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7815476" w14:textId="69B20494" w:rsidR="00162F25" w:rsidRPr="00E57874" w:rsidRDefault="000854D3" w:rsidP="000854D3">
      <w:pPr>
        <w:pStyle w:val="Header"/>
        <w:rPr>
          <w:sz w:val="20"/>
        </w:rPr>
      </w:pPr>
      <w:r w:rsidRPr="00E57874">
        <w:rPr>
          <w:sz w:val="20"/>
        </w:rPr>
        <w:t>Filed 10/29/21</w:t>
      </w:r>
    </w:p>
    <w:p w14:paraId="708F001D" w14:textId="7791FFBE" w:rsidR="00BF0C14" w:rsidRPr="007455E4" w:rsidRDefault="00162F25" w:rsidP="00162F25">
      <w:pPr>
        <w:pStyle w:val="Header"/>
        <w:jc w:val="center"/>
      </w:pPr>
      <w:r>
        <w:t>CERTIFIED FOR PUBLICATION</w:t>
      </w:r>
      <w:r w:rsidR="00BF0C14" w:rsidRPr="007455E4">
        <w:t xml:space="preserve">  </w:t>
      </w:r>
    </w:p>
    <w:p w14:paraId="32F2BC93" w14:textId="451B2BAC" w:rsidR="00AA539B" w:rsidRDefault="00AA539B" w:rsidP="00DB5124">
      <w:pPr>
        <w:rPr>
          <w:rFonts w:eastAsia="Calibri"/>
          <w:szCs w:val="26"/>
        </w:rPr>
      </w:pPr>
    </w:p>
    <w:p w14:paraId="3E674BFD" w14:textId="77777777" w:rsidR="00BF0C14" w:rsidRPr="005630A2" w:rsidRDefault="00BF0C14" w:rsidP="00DB5124">
      <w:pPr>
        <w:rPr>
          <w:rFonts w:eastAsia="Calibri"/>
          <w:szCs w:val="26"/>
        </w:rPr>
      </w:pPr>
    </w:p>
    <w:p w14:paraId="2539181D" w14:textId="77777777" w:rsidR="00AA539B" w:rsidRPr="005630A2" w:rsidRDefault="00AA539B" w:rsidP="00DB5124">
      <w:pPr>
        <w:jc w:val="center"/>
        <w:rPr>
          <w:szCs w:val="26"/>
        </w:rPr>
      </w:pPr>
      <w:r w:rsidRPr="005630A2">
        <w:rPr>
          <w:szCs w:val="26"/>
        </w:rPr>
        <w:t>COURT OF APPEAL, FOURTH APPELLATE DISTRICT</w:t>
      </w:r>
    </w:p>
    <w:p w14:paraId="1A5ED9AB" w14:textId="583BA62C" w:rsidR="00AA539B" w:rsidRPr="005630A2" w:rsidRDefault="00AA539B" w:rsidP="00DB5124">
      <w:pPr>
        <w:jc w:val="center"/>
        <w:rPr>
          <w:szCs w:val="26"/>
        </w:rPr>
      </w:pPr>
    </w:p>
    <w:p w14:paraId="43D13363" w14:textId="6BDB58C2" w:rsidR="00AA539B" w:rsidRPr="005630A2" w:rsidRDefault="00AA539B" w:rsidP="00DB5124">
      <w:pPr>
        <w:jc w:val="center"/>
        <w:rPr>
          <w:szCs w:val="26"/>
        </w:rPr>
      </w:pPr>
      <w:r w:rsidRPr="005630A2">
        <w:rPr>
          <w:szCs w:val="26"/>
        </w:rPr>
        <w:t>DIVISION ONE</w:t>
      </w:r>
    </w:p>
    <w:p w14:paraId="4BAD34A1" w14:textId="22538B56" w:rsidR="00AA539B" w:rsidRPr="005630A2" w:rsidRDefault="00AA539B" w:rsidP="00DB5124">
      <w:pPr>
        <w:jc w:val="center"/>
        <w:rPr>
          <w:szCs w:val="26"/>
        </w:rPr>
      </w:pPr>
    </w:p>
    <w:p w14:paraId="4EC8F242" w14:textId="049920DA" w:rsidR="00AA539B" w:rsidRPr="005630A2" w:rsidRDefault="00AA539B" w:rsidP="00DB5124">
      <w:pPr>
        <w:jc w:val="center"/>
        <w:rPr>
          <w:szCs w:val="26"/>
        </w:rPr>
      </w:pPr>
      <w:r w:rsidRPr="005630A2">
        <w:rPr>
          <w:szCs w:val="26"/>
        </w:rPr>
        <w:t>STATE OF CALIFORNIA</w:t>
      </w:r>
    </w:p>
    <w:p w14:paraId="0E02ABCA" w14:textId="5A007853" w:rsidR="00E07989" w:rsidRDefault="00E07989" w:rsidP="00DB5124">
      <w:pPr>
        <w:keepNext/>
        <w:rPr>
          <w:rFonts w:eastAsia="Calibri"/>
          <w:szCs w:val="26"/>
        </w:rPr>
      </w:pPr>
    </w:p>
    <w:p w14:paraId="078AD1AB" w14:textId="5C6DA5F7" w:rsidR="00EB598A" w:rsidRPr="005630A2" w:rsidRDefault="00EB598A" w:rsidP="00DB5124">
      <w:pPr>
        <w:keepNext/>
        <w:rPr>
          <w:rFonts w:eastAsia="Calibri"/>
          <w:szCs w:val="26"/>
        </w:rPr>
      </w:pPr>
    </w:p>
    <w:tbl>
      <w:tblPr>
        <w:tblW w:w="9990" w:type="dxa"/>
        <w:tblLayout w:type="fixed"/>
        <w:tblLook w:val="04A0" w:firstRow="1" w:lastRow="0" w:firstColumn="1" w:lastColumn="0" w:noHBand="0" w:noVBand="1"/>
      </w:tblPr>
      <w:tblGrid>
        <w:gridCol w:w="5039"/>
        <w:gridCol w:w="4951"/>
      </w:tblGrid>
      <w:tr w:rsidR="005630A2" w:rsidRPr="005630A2" w14:paraId="1FA7A031" w14:textId="77777777" w:rsidTr="003E4F0D">
        <w:tc>
          <w:tcPr>
            <w:tcW w:w="5039" w:type="dxa"/>
            <w:tcBorders>
              <w:top w:val="nil"/>
              <w:left w:val="nil"/>
              <w:bottom w:val="single" w:sz="4" w:space="0" w:color="000000"/>
              <w:right w:val="nil"/>
            </w:tcBorders>
            <w:shd w:val="clear" w:color="auto" w:fill="FFFFFF"/>
          </w:tcPr>
          <w:p w14:paraId="178527BF" w14:textId="77777777" w:rsidR="00E07989" w:rsidRPr="005630A2" w:rsidRDefault="000F533D" w:rsidP="00DB5124">
            <w:pPr>
              <w:rPr>
                <w:szCs w:val="26"/>
              </w:rPr>
            </w:pPr>
            <w:r w:rsidRPr="005630A2">
              <w:rPr>
                <w:szCs w:val="26"/>
              </w:rPr>
              <w:t xml:space="preserve">STATE </w:t>
            </w:r>
            <w:r w:rsidR="000F1649" w:rsidRPr="005630A2">
              <w:rPr>
                <w:szCs w:val="26"/>
              </w:rPr>
              <w:t>FARM GENERAL INSURANCE COMPANY</w:t>
            </w:r>
            <w:r w:rsidR="00E07989" w:rsidRPr="005630A2">
              <w:rPr>
                <w:szCs w:val="26"/>
              </w:rPr>
              <w:t>,</w:t>
            </w:r>
          </w:p>
          <w:p w14:paraId="6A52892D" w14:textId="77777777" w:rsidR="00E07989" w:rsidRPr="005630A2" w:rsidRDefault="00E07989" w:rsidP="00DB5124">
            <w:pPr>
              <w:rPr>
                <w:szCs w:val="26"/>
              </w:rPr>
            </w:pPr>
          </w:p>
          <w:p w14:paraId="7B65656D" w14:textId="77777777" w:rsidR="00E07989" w:rsidRPr="005630A2" w:rsidRDefault="00E07989" w:rsidP="00DB5124">
            <w:pPr>
              <w:rPr>
                <w:szCs w:val="26"/>
              </w:rPr>
            </w:pPr>
            <w:r w:rsidRPr="005630A2">
              <w:rPr>
                <w:szCs w:val="26"/>
              </w:rPr>
              <w:tab/>
              <w:t>Plaintiff and Appellant,</w:t>
            </w:r>
          </w:p>
          <w:p w14:paraId="7BF0FDE1" w14:textId="77777777" w:rsidR="00E07989" w:rsidRPr="005630A2" w:rsidRDefault="00E07989" w:rsidP="00DB5124">
            <w:pPr>
              <w:rPr>
                <w:szCs w:val="26"/>
              </w:rPr>
            </w:pPr>
          </w:p>
          <w:p w14:paraId="6748A788" w14:textId="77777777" w:rsidR="00E07989" w:rsidRPr="005630A2" w:rsidRDefault="00E07989" w:rsidP="00DB5124">
            <w:pPr>
              <w:rPr>
                <w:szCs w:val="26"/>
              </w:rPr>
            </w:pPr>
            <w:r w:rsidRPr="005630A2">
              <w:rPr>
                <w:szCs w:val="26"/>
              </w:rPr>
              <w:tab/>
              <w:t>v.</w:t>
            </w:r>
          </w:p>
          <w:p w14:paraId="695003EA" w14:textId="77777777" w:rsidR="00E07989" w:rsidRPr="005630A2" w:rsidRDefault="00E07989" w:rsidP="00DB5124">
            <w:pPr>
              <w:rPr>
                <w:szCs w:val="26"/>
              </w:rPr>
            </w:pPr>
          </w:p>
          <w:p w14:paraId="3DB31D59" w14:textId="23FCF63C" w:rsidR="00E07989" w:rsidRPr="005630A2" w:rsidRDefault="000F1649" w:rsidP="00DB5124">
            <w:pPr>
              <w:rPr>
                <w:szCs w:val="26"/>
              </w:rPr>
            </w:pPr>
            <w:r w:rsidRPr="005630A2">
              <w:rPr>
                <w:szCs w:val="26"/>
              </w:rPr>
              <w:t>RICARDO LARA</w:t>
            </w:r>
            <w:r w:rsidR="00E07989" w:rsidRPr="005630A2">
              <w:rPr>
                <w:szCs w:val="26"/>
              </w:rPr>
              <w:t>,</w:t>
            </w:r>
            <w:r w:rsidRPr="005630A2">
              <w:rPr>
                <w:szCs w:val="26"/>
              </w:rPr>
              <w:t xml:space="preserve"> </w:t>
            </w:r>
            <w:r w:rsidR="00EB2981">
              <w:rPr>
                <w:szCs w:val="26"/>
              </w:rPr>
              <w:t>as Insurance Commissioner, etc.,</w:t>
            </w:r>
          </w:p>
          <w:p w14:paraId="1B79A40B" w14:textId="77777777" w:rsidR="00E07989" w:rsidRPr="005630A2" w:rsidRDefault="00E07989" w:rsidP="00DB5124">
            <w:pPr>
              <w:rPr>
                <w:szCs w:val="26"/>
              </w:rPr>
            </w:pPr>
          </w:p>
          <w:p w14:paraId="24970321" w14:textId="0C427E3F" w:rsidR="00E07989" w:rsidRPr="005630A2" w:rsidRDefault="00E07989" w:rsidP="00DB5124">
            <w:pPr>
              <w:rPr>
                <w:szCs w:val="26"/>
              </w:rPr>
            </w:pPr>
            <w:r w:rsidRPr="005630A2">
              <w:rPr>
                <w:szCs w:val="26"/>
              </w:rPr>
              <w:tab/>
              <w:t>Defendant</w:t>
            </w:r>
            <w:r w:rsidR="000F1649" w:rsidRPr="005630A2">
              <w:rPr>
                <w:szCs w:val="26"/>
              </w:rPr>
              <w:t xml:space="preserve"> </w:t>
            </w:r>
            <w:r w:rsidRPr="005630A2">
              <w:rPr>
                <w:szCs w:val="26"/>
              </w:rPr>
              <w:t xml:space="preserve">and </w:t>
            </w:r>
            <w:r w:rsidR="000F1649" w:rsidRPr="005630A2">
              <w:rPr>
                <w:szCs w:val="26"/>
              </w:rPr>
              <w:t>Appellant</w:t>
            </w:r>
            <w:r w:rsidR="00EB2981">
              <w:rPr>
                <w:szCs w:val="26"/>
              </w:rPr>
              <w:t>;</w:t>
            </w:r>
          </w:p>
          <w:p w14:paraId="505FC741" w14:textId="77777777" w:rsidR="000F1649" w:rsidRPr="005630A2" w:rsidRDefault="000F1649" w:rsidP="00DB5124">
            <w:pPr>
              <w:rPr>
                <w:szCs w:val="26"/>
              </w:rPr>
            </w:pPr>
          </w:p>
          <w:p w14:paraId="056BE049" w14:textId="6BE34247" w:rsidR="000F1649" w:rsidRPr="005630A2" w:rsidRDefault="000F1649" w:rsidP="00DB5124">
            <w:pPr>
              <w:rPr>
                <w:szCs w:val="26"/>
              </w:rPr>
            </w:pPr>
            <w:r w:rsidRPr="005630A2">
              <w:rPr>
                <w:szCs w:val="26"/>
              </w:rPr>
              <w:t>CONSUMER WATCHDOG,</w:t>
            </w:r>
          </w:p>
          <w:p w14:paraId="1687F191" w14:textId="77777777" w:rsidR="000F1649" w:rsidRPr="005630A2" w:rsidRDefault="000F1649" w:rsidP="00DB5124">
            <w:pPr>
              <w:rPr>
                <w:szCs w:val="26"/>
              </w:rPr>
            </w:pPr>
          </w:p>
          <w:p w14:paraId="784AFF1F" w14:textId="244BBDA6" w:rsidR="000F1649" w:rsidRPr="005630A2" w:rsidRDefault="000F1649" w:rsidP="00DB5124">
            <w:pPr>
              <w:rPr>
                <w:szCs w:val="26"/>
              </w:rPr>
            </w:pPr>
            <w:r w:rsidRPr="005630A2">
              <w:rPr>
                <w:szCs w:val="26"/>
              </w:rPr>
              <w:tab/>
              <w:t>Interven</w:t>
            </w:r>
            <w:r w:rsidR="000651A5">
              <w:rPr>
                <w:szCs w:val="26"/>
              </w:rPr>
              <w:t>or</w:t>
            </w:r>
            <w:r w:rsidRPr="005630A2">
              <w:rPr>
                <w:szCs w:val="26"/>
              </w:rPr>
              <w:t xml:space="preserve"> and Appellant.</w:t>
            </w:r>
          </w:p>
          <w:p w14:paraId="702A31FC" w14:textId="77777777" w:rsidR="00E07989" w:rsidRPr="005630A2" w:rsidRDefault="00E07989" w:rsidP="00DB5124">
            <w:pPr>
              <w:rPr>
                <w:szCs w:val="26"/>
              </w:rPr>
            </w:pPr>
          </w:p>
        </w:tc>
        <w:tc>
          <w:tcPr>
            <w:tcW w:w="4951" w:type="dxa"/>
            <w:tcBorders>
              <w:top w:val="nil"/>
              <w:left w:val="single" w:sz="4" w:space="0" w:color="000000"/>
              <w:bottom w:val="nil"/>
              <w:right w:val="nil"/>
            </w:tcBorders>
            <w:shd w:val="clear" w:color="auto" w:fill="FFFFFF"/>
          </w:tcPr>
          <w:p w14:paraId="1DCC75C7" w14:textId="77777777" w:rsidR="00E07989" w:rsidRPr="005630A2" w:rsidRDefault="00E07989" w:rsidP="00DB5124">
            <w:pPr>
              <w:rPr>
                <w:szCs w:val="26"/>
              </w:rPr>
            </w:pPr>
            <w:r w:rsidRPr="005630A2">
              <w:rPr>
                <w:szCs w:val="26"/>
              </w:rPr>
              <w:t xml:space="preserve">  </w:t>
            </w:r>
            <w:r w:rsidR="000F1649" w:rsidRPr="005630A2">
              <w:rPr>
                <w:szCs w:val="26"/>
              </w:rPr>
              <w:t>D075529</w:t>
            </w:r>
          </w:p>
          <w:p w14:paraId="47CF160E" w14:textId="77777777" w:rsidR="00E07989" w:rsidRPr="005630A2" w:rsidRDefault="00E07989" w:rsidP="00DB5124">
            <w:pPr>
              <w:rPr>
                <w:szCs w:val="26"/>
              </w:rPr>
            </w:pPr>
          </w:p>
          <w:p w14:paraId="6E8DEADA" w14:textId="77777777" w:rsidR="00E07989" w:rsidRPr="005630A2" w:rsidRDefault="00E07989" w:rsidP="00DB5124">
            <w:pPr>
              <w:rPr>
                <w:szCs w:val="26"/>
              </w:rPr>
            </w:pPr>
          </w:p>
          <w:p w14:paraId="5577B03E" w14:textId="2799633A" w:rsidR="00E07989" w:rsidRPr="005630A2" w:rsidRDefault="00E07989" w:rsidP="00DB5124">
            <w:pPr>
              <w:rPr>
                <w:szCs w:val="26"/>
              </w:rPr>
            </w:pPr>
            <w:r w:rsidRPr="005630A2">
              <w:rPr>
                <w:szCs w:val="26"/>
              </w:rPr>
              <w:t xml:space="preserve">  (</w:t>
            </w:r>
            <w:r w:rsidR="00E57874">
              <w:rPr>
                <w:szCs w:val="26"/>
              </w:rPr>
              <w:t xml:space="preserve">San Diego </w:t>
            </w:r>
            <w:r w:rsidRPr="005630A2">
              <w:rPr>
                <w:szCs w:val="26"/>
              </w:rPr>
              <w:t xml:space="preserve">Super. Ct. No. </w:t>
            </w:r>
            <w:r w:rsidR="000F1649" w:rsidRPr="005630A2">
              <w:rPr>
                <w:szCs w:val="26"/>
              </w:rPr>
              <w:t>37-2016-00041469</w:t>
            </w:r>
            <w:r w:rsidR="003D6352" w:rsidRPr="003D6352">
              <w:rPr>
                <w:szCs w:val="26"/>
              </w:rPr>
              <w:t>-CU-MC-CTL</w:t>
            </w:r>
            <w:r w:rsidRPr="005630A2">
              <w:rPr>
                <w:szCs w:val="26"/>
              </w:rPr>
              <w:t>)</w:t>
            </w:r>
          </w:p>
          <w:p w14:paraId="6BB12EE2" w14:textId="77777777" w:rsidR="00E07989" w:rsidRPr="005630A2" w:rsidRDefault="00E07989" w:rsidP="00DB5124">
            <w:pPr>
              <w:rPr>
                <w:szCs w:val="26"/>
              </w:rPr>
            </w:pPr>
          </w:p>
          <w:p w14:paraId="076097AE" w14:textId="57225B35" w:rsidR="007F26B4" w:rsidRPr="005630A2" w:rsidRDefault="007F26B4" w:rsidP="00DB5124">
            <w:pPr>
              <w:rPr>
                <w:szCs w:val="26"/>
              </w:rPr>
            </w:pPr>
            <w:r w:rsidRPr="005630A2">
              <w:rPr>
                <w:szCs w:val="26"/>
              </w:rPr>
              <w:t xml:space="preserve">  </w:t>
            </w:r>
          </w:p>
        </w:tc>
      </w:tr>
    </w:tbl>
    <w:p w14:paraId="7CB93131" w14:textId="77777777" w:rsidR="0081666C" w:rsidRDefault="0070731B" w:rsidP="00DB5124">
      <w:pPr>
        <w:spacing w:line="360" w:lineRule="auto"/>
        <w:rPr>
          <w:szCs w:val="26"/>
        </w:rPr>
      </w:pPr>
      <w:r>
        <w:rPr>
          <w:szCs w:val="26"/>
        </w:rPr>
        <w:tab/>
      </w:r>
    </w:p>
    <w:p w14:paraId="67A12A3F" w14:textId="684489DD" w:rsidR="0081666C" w:rsidRDefault="0081666C" w:rsidP="00DB5124">
      <w:pPr>
        <w:spacing w:line="360" w:lineRule="auto"/>
        <w:rPr>
          <w:szCs w:val="26"/>
        </w:rPr>
      </w:pPr>
      <w:r>
        <w:rPr>
          <w:szCs w:val="26"/>
        </w:rPr>
        <w:tab/>
      </w:r>
      <w:r w:rsidR="008B34BA" w:rsidRPr="005630A2">
        <w:rPr>
          <w:szCs w:val="26"/>
        </w:rPr>
        <w:t xml:space="preserve">APPEALS from a judgment and writ of mandate of the Superior Court of San Diego County, Katherine A. Bacal, Judge.  </w:t>
      </w:r>
      <w:r w:rsidR="003A75F4">
        <w:rPr>
          <w:szCs w:val="26"/>
        </w:rPr>
        <w:t>Affirmed in part and reversed in part with directions</w:t>
      </w:r>
      <w:r w:rsidR="008B34BA" w:rsidRPr="005630A2">
        <w:rPr>
          <w:szCs w:val="26"/>
        </w:rPr>
        <w:t>.</w:t>
      </w:r>
      <w:bookmarkStart w:id="0" w:name="_Hlk79439008"/>
    </w:p>
    <w:p w14:paraId="2CDEA00F" w14:textId="6CA8633F" w:rsidR="0081666C" w:rsidRDefault="0081666C" w:rsidP="00DB5124">
      <w:pPr>
        <w:spacing w:line="360" w:lineRule="auto"/>
        <w:rPr>
          <w:szCs w:val="26"/>
        </w:rPr>
      </w:pPr>
      <w:r>
        <w:rPr>
          <w:szCs w:val="26"/>
        </w:rPr>
        <w:tab/>
        <w:t>Gibson, Dunn &amp; Crutcher, Theodore J. Boutros</w:t>
      </w:r>
      <w:r w:rsidR="00492012">
        <w:rPr>
          <w:szCs w:val="26"/>
        </w:rPr>
        <w:t>, Jr.</w:t>
      </w:r>
      <w:r>
        <w:rPr>
          <w:szCs w:val="26"/>
        </w:rPr>
        <w:t>, Kristin A. Linsley</w:t>
      </w:r>
      <w:r w:rsidR="00F03BE8">
        <w:rPr>
          <w:szCs w:val="26"/>
        </w:rPr>
        <w:t>,</w:t>
      </w:r>
      <w:r w:rsidR="00896241">
        <w:rPr>
          <w:szCs w:val="26"/>
        </w:rPr>
        <w:t xml:space="preserve"> Kahn A. Scolnick</w:t>
      </w:r>
      <w:r w:rsidR="00492012">
        <w:rPr>
          <w:szCs w:val="26"/>
        </w:rPr>
        <w:t>;</w:t>
      </w:r>
      <w:r w:rsidR="00937177">
        <w:rPr>
          <w:szCs w:val="26"/>
        </w:rPr>
        <w:t xml:space="preserve"> </w:t>
      </w:r>
      <w:r>
        <w:rPr>
          <w:szCs w:val="26"/>
        </w:rPr>
        <w:t>Hogan Lovells, Vanessa O. Wells</w:t>
      </w:r>
      <w:r w:rsidR="00492012">
        <w:rPr>
          <w:szCs w:val="26"/>
        </w:rPr>
        <w:t xml:space="preserve"> and</w:t>
      </w:r>
      <w:r>
        <w:rPr>
          <w:szCs w:val="26"/>
        </w:rPr>
        <w:t xml:space="preserve"> Victoria C. Brown for Plaintiff</w:t>
      </w:r>
      <w:r w:rsidRPr="0081666C">
        <w:t xml:space="preserve"> </w:t>
      </w:r>
      <w:r w:rsidRPr="0081666C">
        <w:rPr>
          <w:szCs w:val="26"/>
        </w:rPr>
        <w:t>State Farm General Insurance Company</w:t>
      </w:r>
      <w:r>
        <w:rPr>
          <w:szCs w:val="26"/>
        </w:rPr>
        <w:t>.</w:t>
      </w:r>
    </w:p>
    <w:p w14:paraId="7EB8AA3E" w14:textId="26074D30" w:rsidR="00EB598A" w:rsidRDefault="00EB598A" w:rsidP="00DB5124">
      <w:pPr>
        <w:spacing w:line="360" w:lineRule="auto"/>
        <w:rPr>
          <w:szCs w:val="26"/>
        </w:rPr>
      </w:pPr>
      <w:r>
        <w:rPr>
          <w:szCs w:val="26"/>
        </w:rPr>
        <w:tab/>
        <w:t>LevatoLaw and Ronald C. Cohen</w:t>
      </w:r>
      <w:r w:rsidRPr="00EB598A">
        <w:t xml:space="preserve"> </w:t>
      </w:r>
      <w:r w:rsidRPr="00EB598A">
        <w:rPr>
          <w:szCs w:val="26"/>
        </w:rPr>
        <w:t xml:space="preserve">for </w:t>
      </w:r>
      <w:r>
        <w:rPr>
          <w:szCs w:val="26"/>
        </w:rPr>
        <w:t>California Business Roundtable</w:t>
      </w:r>
      <w:r w:rsidRPr="00EB598A">
        <w:rPr>
          <w:szCs w:val="26"/>
        </w:rPr>
        <w:t xml:space="preserve"> as Amicus Curiae on behalf of </w:t>
      </w:r>
      <w:r>
        <w:rPr>
          <w:szCs w:val="26"/>
        </w:rPr>
        <w:t>Plaintiff</w:t>
      </w:r>
      <w:r w:rsidRPr="00EB598A">
        <w:rPr>
          <w:szCs w:val="26"/>
        </w:rPr>
        <w:t>.</w:t>
      </w:r>
      <w:r>
        <w:rPr>
          <w:szCs w:val="26"/>
        </w:rPr>
        <w:t xml:space="preserve"> </w:t>
      </w:r>
    </w:p>
    <w:p w14:paraId="0128E795" w14:textId="23442AE4" w:rsidR="00EB598A" w:rsidRDefault="00EB598A" w:rsidP="00DB5124">
      <w:pPr>
        <w:spacing w:line="360" w:lineRule="auto"/>
        <w:rPr>
          <w:szCs w:val="26"/>
        </w:rPr>
      </w:pPr>
      <w:r>
        <w:rPr>
          <w:szCs w:val="26"/>
        </w:rPr>
        <w:lastRenderedPageBreak/>
        <w:tab/>
        <w:t xml:space="preserve">California Appellate Law Group, Rex Heinke, Jessica Weisel; Akin Gump Strauss Hauer &amp; Feld and Shawn Hanson for Personal Insurance Federation of California </w:t>
      </w:r>
      <w:r w:rsidR="00EB2981">
        <w:rPr>
          <w:szCs w:val="26"/>
        </w:rPr>
        <w:t>and</w:t>
      </w:r>
      <w:r>
        <w:rPr>
          <w:szCs w:val="26"/>
        </w:rPr>
        <w:t xml:space="preserve"> National Association of Mutual Insurance Companies as Amici Curiae on behalf of Plaintiff.</w:t>
      </w:r>
    </w:p>
    <w:p w14:paraId="73AF2BE0" w14:textId="60036B49" w:rsidR="0081666C" w:rsidRDefault="00F03BE8" w:rsidP="0081666C">
      <w:pPr>
        <w:spacing w:line="360" w:lineRule="auto"/>
        <w:rPr>
          <w:szCs w:val="26"/>
        </w:rPr>
      </w:pPr>
      <w:r>
        <w:rPr>
          <w:szCs w:val="26"/>
        </w:rPr>
        <w:tab/>
      </w:r>
      <w:r w:rsidR="00DA6B60">
        <w:rPr>
          <w:szCs w:val="26"/>
        </w:rPr>
        <w:t xml:space="preserve">Xavier Becerra and </w:t>
      </w:r>
      <w:r>
        <w:rPr>
          <w:szCs w:val="26"/>
        </w:rPr>
        <w:t>Rob Bonta, Attorney</w:t>
      </w:r>
      <w:r w:rsidR="00DA6B60">
        <w:rPr>
          <w:szCs w:val="26"/>
        </w:rPr>
        <w:t>s</w:t>
      </w:r>
      <w:r>
        <w:rPr>
          <w:szCs w:val="26"/>
        </w:rPr>
        <w:t xml:space="preserve"> General, Diane S. Shaw</w:t>
      </w:r>
      <w:r w:rsidR="00492012">
        <w:rPr>
          <w:szCs w:val="26"/>
        </w:rPr>
        <w:t xml:space="preserve"> and Tamar Pachter</w:t>
      </w:r>
      <w:r>
        <w:rPr>
          <w:szCs w:val="26"/>
        </w:rPr>
        <w:t xml:space="preserve">, </w:t>
      </w:r>
      <w:r w:rsidRPr="00F03BE8">
        <w:rPr>
          <w:szCs w:val="26"/>
        </w:rPr>
        <w:t>Assistant Attorney</w:t>
      </w:r>
      <w:r w:rsidR="00492012">
        <w:rPr>
          <w:szCs w:val="26"/>
        </w:rPr>
        <w:t>s</w:t>
      </w:r>
      <w:r w:rsidRPr="00F03BE8">
        <w:rPr>
          <w:szCs w:val="26"/>
        </w:rPr>
        <w:t xml:space="preserve"> General</w:t>
      </w:r>
      <w:r>
        <w:rPr>
          <w:szCs w:val="26"/>
        </w:rPr>
        <w:t xml:space="preserve">, Molly K. Mosley </w:t>
      </w:r>
      <w:r w:rsidR="00677CF7">
        <w:rPr>
          <w:szCs w:val="26"/>
        </w:rPr>
        <w:t>and</w:t>
      </w:r>
      <w:r>
        <w:rPr>
          <w:szCs w:val="26"/>
        </w:rPr>
        <w:t xml:space="preserve"> </w:t>
      </w:r>
      <w:r w:rsidR="0081666C">
        <w:rPr>
          <w:szCs w:val="26"/>
        </w:rPr>
        <w:t>Michael Sapoznikow, Deputy Attorney</w:t>
      </w:r>
      <w:r w:rsidR="00677CF7">
        <w:rPr>
          <w:szCs w:val="26"/>
        </w:rPr>
        <w:t>s</w:t>
      </w:r>
      <w:r w:rsidR="0081666C">
        <w:rPr>
          <w:szCs w:val="26"/>
        </w:rPr>
        <w:t xml:space="preserve"> General</w:t>
      </w:r>
      <w:r>
        <w:rPr>
          <w:szCs w:val="26"/>
        </w:rPr>
        <w:t>,</w:t>
      </w:r>
      <w:r w:rsidR="0081666C">
        <w:rPr>
          <w:szCs w:val="26"/>
        </w:rPr>
        <w:t xml:space="preserve"> for Defendant Ricardo Lara in his official capacity as Insurance Commissioner</w:t>
      </w:r>
      <w:r w:rsidR="00896241">
        <w:rPr>
          <w:szCs w:val="26"/>
        </w:rPr>
        <w:t xml:space="preserve"> of the State of California</w:t>
      </w:r>
      <w:r>
        <w:rPr>
          <w:szCs w:val="26"/>
        </w:rPr>
        <w:t>.</w:t>
      </w:r>
    </w:p>
    <w:p w14:paraId="223314B5" w14:textId="04DC634A" w:rsidR="0081666C" w:rsidRPr="005630A2" w:rsidRDefault="0081666C" w:rsidP="00DB5124">
      <w:pPr>
        <w:spacing w:line="360" w:lineRule="auto"/>
        <w:rPr>
          <w:szCs w:val="26"/>
        </w:rPr>
      </w:pPr>
      <w:r>
        <w:rPr>
          <w:szCs w:val="26"/>
        </w:rPr>
        <w:tab/>
        <w:t xml:space="preserve">Strumwasser &amp; Woocher, </w:t>
      </w:r>
      <w:r w:rsidRPr="0081666C">
        <w:rPr>
          <w:szCs w:val="26"/>
        </w:rPr>
        <w:t>Michael J. Strumwasser, Bryce A. Gee,</w:t>
      </w:r>
      <w:r>
        <w:rPr>
          <w:szCs w:val="26"/>
        </w:rPr>
        <w:t xml:space="preserve"> Caroline </w:t>
      </w:r>
      <w:r w:rsidR="00825F0D">
        <w:rPr>
          <w:szCs w:val="26"/>
        </w:rPr>
        <w:t xml:space="preserve">C. </w:t>
      </w:r>
      <w:r>
        <w:rPr>
          <w:szCs w:val="26"/>
        </w:rPr>
        <w:t>Chiapetti</w:t>
      </w:r>
      <w:r w:rsidR="00677CF7">
        <w:rPr>
          <w:szCs w:val="26"/>
        </w:rPr>
        <w:t>;</w:t>
      </w:r>
      <w:r>
        <w:rPr>
          <w:szCs w:val="26"/>
        </w:rPr>
        <w:t xml:space="preserve"> Harvey Rosenfield</w:t>
      </w:r>
      <w:r w:rsidR="00F03BE8">
        <w:rPr>
          <w:szCs w:val="26"/>
        </w:rPr>
        <w:t xml:space="preserve"> </w:t>
      </w:r>
      <w:r>
        <w:rPr>
          <w:szCs w:val="26"/>
        </w:rPr>
        <w:t xml:space="preserve">and Pamela Pressley, for </w:t>
      </w:r>
      <w:r w:rsidR="009346BB">
        <w:rPr>
          <w:szCs w:val="26"/>
        </w:rPr>
        <w:t>I</w:t>
      </w:r>
      <w:r>
        <w:rPr>
          <w:szCs w:val="26"/>
        </w:rPr>
        <w:t>ntervenor Consumer Watchdog.</w:t>
      </w:r>
    </w:p>
    <w:p w14:paraId="1CAE1FA0" w14:textId="77777777" w:rsidR="005F554D" w:rsidRPr="004237BA" w:rsidRDefault="00C62FC6" w:rsidP="00DB5124">
      <w:pPr>
        <w:keepNext/>
        <w:spacing w:line="360" w:lineRule="auto"/>
        <w:jc w:val="center"/>
        <w:outlineLvl w:val="0"/>
        <w:rPr>
          <w:rFonts w:eastAsia="Calibri"/>
          <w:szCs w:val="26"/>
        </w:rPr>
      </w:pPr>
      <w:bookmarkStart w:id="1" w:name="_Toc475612096"/>
      <w:bookmarkStart w:id="2" w:name="_Toc476142669"/>
      <w:bookmarkStart w:id="3" w:name="_Toc476142941"/>
      <w:bookmarkEnd w:id="0"/>
      <w:r w:rsidRPr="005630A2">
        <w:rPr>
          <w:rFonts w:eastAsia="Calibri"/>
          <w:szCs w:val="26"/>
        </w:rPr>
        <w:t>INTRODUCTION</w:t>
      </w:r>
      <w:bookmarkEnd w:id="1"/>
      <w:bookmarkEnd w:id="2"/>
      <w:bookmarkEnd w:id="3"/>
    </w:p>
    <w:p w14:paraId="5EFFF59F" w14:textId="77777777" w:rsidR="0081714E" w:rsidRPr="005630A2" w:rsidRDefault="005F554D" w:rsidP="00DB5124">
      <w:pPr>
        <w:pStyle w:val="Header1"/>
        <w:spacing w:line="360" w:lineRule="auto"/>
        <w:jc w:val="left"/>
      </w:pPr>
      <w:r>
        <w:tab/>
      </w:r>
      <w:r w:rsidR="00E8083A" w:rsidRPr="005630A2">
        <w:t>T</w:t>
      </w:r>
      <w:r w:rsidR="0020497B" w:rsidRPr="005630A2">
        <w:t xml:space="preserve">his appeal </w:t>
      </w:r>
      <w:r>
        <w:t xml:space="preserve">arises from an application by State Farm General Insurance Company (SFG) to increase its homeowners’ insurance rates, </w:t>
      </w:r>
      <w:r w:rsidR="005D6227">
        <w:t>under</w:t>
      </w:r>
      <w:r>
        <w:t xml:space="preserve"> the prior approval system implemented </w:t>
      </w:r>
      <w:r w:rsidR="005D6227">
        <w:t>by</w:t>
      </w:r>
      <w:r>
        <w:t xml:space="preserve"> Proposition 103 (</w:t>
      </w:r>
      <w:r w:rsidRPr="005630A2">
        <w:t>Ins. Code, § 1861.01 et seq</w:t>
      </w:r>
      <w:r>
        <w:t>.)</w:t>
      </w:r>
      <w:r w:rsidR="00622949" w:rsidRPr="005630A2">
        <w:rPr>
          <w:rStyle w:val="FootnoteReference"/>
        </w:rPr>
        <w:footnoteReference w:id="2"/>
      </w:r>
      <w:r w:rsidR="005E501B">
        <w:t xml:space="preserve">  </w:t>
      </w:r>
      <w:r w:rsidR="005E501B" w:rsidRPr="005630A2">
        <w:t xml:space="preserve">Nonprofit Consumer Watchdog </w:t>
      </w:r>
      <w:r w:rsidR="005E501B">
        <w:t xml:space="preserve">(CW) </w:t>
      </w:r>
      <w:r w:rsidR="005E501B" w:rsidRPr="005630A2">
        <w:t>intervened in the proceeding</w:t>
      </w:r>
      <w:r w:rsidR="005E501B">
        <w:t>, and challenged SFG’s proposed rates</w:t>
      </w:r>
      <w:r w:rsidR="005E501B" w:rsidRPr="005630A2">
        <w:t>.</w:t>
      </w:r>
      <w:r w:rsidR="005E501B">
        <w:t xml:space="preserve">  </w:t>
      </w:r>
      <w:r w:rsidR="001F1F3D">
        <w:t>Section 1861.05, subdivision (a)</w:t>
      </w:r>
      <w:r w:rsidR="004B1F2A">
        <w:t xml:space="preserve"> (§ 1861.05(a)),</w:t>
      </w:r>
      <w:r w:rsidR="001F1F3D">
        <w:t xml:space="preserve"> requires the Insurance Commissioner </w:t>
      </w:r>
      <w:r w:rsidR="005D6227">
        <w:t xml:space="preserve">to </w:t>
      </w:r>
      <w:r w:rsidR="001F1F3D" w:rsidRPr="001F1F3D">
        <w:t>“consider whether the rate mathematically reflects the insurance company’s investment income.”</w:t>
      </w:r>
      <w:r w:rsidR="005E501B">
        <w:t xml:space="preserve">  The </w:t>
      </w:r>
      <w:r w:rsidR="004237BA">
        <w:t xml:space="preserve">Commissioner </w:t>
      </w:r>
      <w:r w:rsidR="00275408">
        <w:t xml:space="preserve">relied on </w:t>
      </w:r>
      <w:r w:rsidR="005E501B">
        <w:t>regulation</w:t>
      </w:r>
      <w:r w:rsidR="00275408">
        <w:t xml:space="preserve"> </w:t>
      </w:r>
      <w:r w:rsidR="005E501B">
        <w:t>section 2644.20</w:t>
      </w:r>
      <w:r w:rsidR="00275408">
        <w:t xml:space="preserve">, addressing projected yield, </w:t>
      </w:r>
      <w:r w:rsidR="005E501B">
        <w:t>to use the combined</w:t>
      </w:r>
      <w:r w:rsidR="001F1F3D">
        <w:t xml:space="preserve"> annual statement</w:t>
      </w:r>
      <w:r w:rsidR="00622949" w:rsidRPr="005630A2">
        <w:t xml:space="preserve"> of </w:t>
      </w:r>
      <w:r w:rsidR="00622949">
        <w:t>SFG’s</w:t>
      </w:r>
      <w:r w:rsidR="00622949" w:rsidRPr="005630A2">
        <w:t xml:space="preserve"> parent company, State Farm Mutual Automobile Insurance Company (S</w:t>
      </w:r>
      <w:r w:rsidR="003A3CC3">
        <w:t>tate Farm</w:t>
      </w:r>
      <w:r w:rsidR="00622949" w:rsidRPr="005630A2">
        <w:t xml:space="preserve"> Mutual) and </w:t>
      </w:r>
      <w:r w:rsidR="004237BA">
        <w:t xml:space="preserve">its </w:t>
      </w:r>
      <w:r w:rsidR="00622949" w:rsidRPr="005630A2">
        <w:t>property-casualty affiliate</w:t>
      </w:r>
      <w:r w:rsidR="00622949">
        <w:t>s</w:t>
      </w:r>
      <w:r w:rsidR="004237BA">
        <w:t>.</w:t>
      </w:r>
      <w:r w:rsidR="00335B53">
        <w:t xml:space="preserve"> </w:t>
      </w:r>
      <w:r w:rsidR="00075BD8">
        <w:t xml:space="preserve"> </w:t>
      </w:r>
      <w:r w:rsidR="004237BA">
        <w:t>The Commissioner</w:t>
      </w:r>
      <w:r w:rsidR="00B754A5">
        <w:t xml:space="preserve"> ordered </w:t>
      </w:r>
      <w:r w:rsidR="001F1F3D">
        <w:t>SFG</w:t>
      </w:r>
      <w:r w:rsidR="00B754A5">
        <w:t xml:space="preserve"> to decrease its rate</w:t>
      </w:r>
      <w:r w:rsidR="005E501B">
        <w:t xml:space="preserve"> retroactively and </w:t>
      </w:r>
      <w:r w:rsidR="00A0354A">
        <w:t>issue</w:t>
      </w:r>
      <w:r w:rsidR="00B754A5">
        <w:t xml:space="preserve"> refund</w:t>
      </w:r>
      <w:r w:rsidR="005E501B">
        <w:t>s</w:t>
      </w:r>
      <w:r w:rsidR="00B754A5">
        <w:t xml:space="preserve"> </w:t>
      </w:r>
      <w:r w:rsidR="00B754A5" w:rsidRPr="00B754A5">
        <w:t>(Rate Order)</w:t>
      </w:r>
      <w:r w:rsidR="001F1F3D" w:rsidRPr="005D6227">
        <w:t>.</w:t>
      </w:r>
    </w:p>
    <w:p w14:paraId="1C7EACF4" w14:textId="77777777" w:rsidR="0018637D" w:rsidRDefault="0081714E" w:rsidP="007B0574">
      <w:pPr>
        <w:pStyle w:val="Header1"/>
        <w:keepNext/>
        <w:widowControl/>
        <w:spacing w:line="360" w:lineRule="auto"/>
        <w:jc w:val="left"/>
      </w:pPr>
      <w:r w:rsidRPr="005630A2">
        <w:lastRenderedPageBreak/>
        <w:tab/>
        <w:t>SFG filed a petition for writ of manda</w:t>
      </w:r>
      <w:r w:rsidR="00523E42">
        <w:t>te</w:t>
      </w:r>
      <w:r w:rsidRPr="005630A2">
        <w:t xml:space="preserve">.  The </w:t>
      </w:r>
      <w:r w:rsidR="009F4100">
        <w:t>superior</w:t>
      </w:r>
      <w:r w:rsidRPr="005630A2">
        <w:t xml:space="preserve"> court </w:t>
      </w:r>
      <w:r w:rsidR="005D6227">
        <w:t xml:space="preserve">determined </w:t>
      </w:r>
      <w:r w:rsidR="00075BD8">
        <w:t>section 1861.05(a)</w:t>
      </w:r>
      <w:r w:rsidR="005D6227">
        <w:t xml:space="preserve"> requires the rate to mathematically reflect </w:t>
      </w:r>
      <w:r w:rsidR="00075BD8">
        <w:t xml:space="preserve">the applicant insurer’s </w:t>
      </w:r>
      <w:r w:rsidR="005D6227">
        <w:t>income, and the Commissioner’s interpretation</w:t>
      </w:r>
      <w:r w:rsidR="00075BD8">
        <w:t xml:space="preserve"> and application</w:t>
      </w:r>
      <w:r w:rsidR="005D6227">
        <w:t xml:space="preserve"> of </w:t>
      </w:r>
      <w:r w:rsidR="00075BD8">
        <w:t xml:space="preserve">regulation section 2644.20 to use the income of SFG’s affiliates </w:t>
      </w:r>
      <w:r w:rsidR="005D6227">
        <w:t xml:space="preserve">conflicted with the statute.  </w:t>
      </w:r>
      <w:r w:rsidR="00562BB0" w:rsidRPr="005630A2">
        <w:t xml:space="preserve">The court </w:t>
      </w:r>
      <w:r w:rsidR="0020497B" w:rsidRPr="005630A2">
        <w:t>entered judgment for SFG</w:t>
      </w:r>
      <w:r w:rsidR="005D6227">
        <w:t xml:space="preserve">, </w:t>
      </w:r>
      <w:r w:rsidR="0020497B" w:rsidRPr="005630A2">
        <w:t xml:space="preserve">issued a </w:t>
      </w:r>
      <w:r w:rsidR="00370536" w:rsidRPr="005630A2">
        <w:t xml:space="preserve">peremptory </w:t>
      </w:r>
      <w:r w:rsidR="0020497B" w:rsidRPr="005630A2">
        <w:t>writ of mandate</w:t>
      </w:r>
      <w:r w:rsidR="005D6227">
        <w:t xml:space="preserve"> requir</w:t>
      </w:r>
      <w:r w:rsidR="0018637D">
        <w:t>ing</w:t>
      </w:r>
      <w:r w:rsidR="005D6227">
        <w:t xml:space="preserve"> the Rate Order be set aside</w:t>
      </w:r>
      <w:r w:rsidR="0020497B" w:rsidRPr="005630A2">
        <w:t xml:space="preserve">, and </w:t>
      </w:r>
      <w:r w:rsidR="00562BB0" w:rsidRPr="005630A2">
        <w:t>remanded remaining issues</w:t>
      </w:r>
      <w:r w:rsidR="005D6227">
        <w:t xml:space="preserve"> to the Commissioner</w:t>
      </w:r>
      <w:r w:rsidR="00CF4C3D">
        <w:t xml:space="preserve">, including the propriety of the </w:t>
      </w:r>
      <w:r w:rsidR="00E83A86">
        <w:t xml:space="preserve">retroactive rate and </w:t>
      </w:r>
      <w:r w:rsidR="00CF4C3D">
        <w:t>refund</w:t>
      </w:r>
      <w:r w:rsidR="00562BB0" w:rsidRPr="005630A2">
        <w:t>.</w:t>
      </w:r>
      <w:r w:rsidR="005D6227">
        <w:t xml:space="preserve">  </w:t>
      </w:r>
    </w:p>
    <w:p w14:paraId="42BDDE76" w14:textId="6759ABD2" w:rsidR="005D6227" w:rsidRDefault="00EC04FB" w:rsidP="00275408">
      <w:pPr>
        <w:pStyle w:val="Header1"/>
        <w:spacing w:line="360" w:lineRule="auto"/>
        <w:jc w:val="left"/>
      </w:pPr>
      <w:r w:rsidRPr="005630A2">
        <w:tab/>
        <w:t xml:space="preserve">The Commissioner and </w:t>
      </w:r>
      <w:r w:rsidR="0020497B" w:rsidRPr="005630A2">
        <w:t xml:space="preserve">CW </w:t>
      </w:r>
      <w:r w:rsidR="00652C39" w:rsidRPr="005630A2">
        <w:t xml:space="preserve">(Appellants) </w:t>
      </w:r>
      <w:r w:rsidR="0020497B" w:rsidRPr="005630A2">
        <w:t>appeal from the judgment and writ of mandate</w:t>
      </w:r>
      <w:r w:rsidR="00CF4C3D">
        <w:t xml:space="preserve">, contending the Commissioner properly interpreted the statute </w:t>
      </w:r>
      <w:r w:rsidR="00A0354A">
        <w:t>and</w:t>
      </w:r>
      <w:r w:rsidR="00CF4C3D">
        <w:t xml:space="preserve"> regulation</w:t>
      </w:r>
      <w:r w:rsidR="00275408">
        <w:t xml:space="preserve"> and had authority to set an earlier effective date and require refunds</w:t>
      </w:r>
      <w:r w:rsidR="00ED50CB" w:rsidRPr="005630A2">
        <w:t>.</w:t>
      </w:r>
      <w:r w:rsidR="003A75F4" w:rsidRPr="005630A2">
        <w:rPr>
          <w:rStyle w:val="FootnoteReference"/>
        </w:rPr>
        <w:footnoteReference w:id="3"/>
      </w:r>
      <w:r w:rsidR="00A0354A">
        <w:t xml:space="preserve">  SFG </w:t>
      </w:r>
      <w:r w:rsidR="00CF4C3D">
        <w:t xml:space="preserve">cross-appeals </w:t>
      </w:r>
      <w:r w:rsidR="00275408">
        <w:t xml:space="preserve">from </w:t>
      </w:r>
      <w:r w:rsidR="0006778D" w:rsidRPr="005630A2">
        <w:t xml:space="preserve">the </w:t>
      </w:r>
      <w:r w:rsidR="001023F0">
        <w:t>order</w:t>
      </w:r>
      <w:r w:rsidR="0006778D" w:rsidRPr="005630A2">
        <w:t xml:space="preserve"> directing remand to the Commissioner</w:t>
      </w:r>
      <w:r w:rsidR="00ED50CB" w:rsidRPr="005630A2">
        <w:t xml:space="preserve">, which it </w:t>
      </w:r>
      <w:r w:rsidR="00275408">
        <w:t>argues</w:t>
      </w:r>
      <w:r w:rsidR="00ED50CB" w:rsidRPr="005630A2">
        <w:t xml:space="preserve"> is unnecessary </w:t>
      </w:r>
      <w:r w:rsidR="00A0354A">
        <w:t xml:space="preserve">in light of </w:t>
      </w:r>
      <w:r w:rsidR="00275408">
        <w:t>the impropriety of the retroactive rate and refund as well as</w:t>
      </w:r>
      <w:r w:rsidR="00A0354A">
        <w:t xml:space="preserve"> a subsequent rate change for SFG</w:t>
      </w:r>
      <w:r w:rsidR="00ED50CB" w:rsidRPr="005630A2">
        <w:t xml:space="preserve">.  </w:t>
      </w:r>
    </w:p>
    <w:p w14:paraId="090C3C32" w14:textId="7EE1AAA2" w:rsidR="0027767F" w:rsidRDefault="005D6227" w:rsidP="00DB5124">
      <w:pPr>
        <w:pStyle w:val="Header1"/>
        <w:spacing w:line="360" w:lineRule="auto"/>
        <w:jc w:val="left"/>
      </w:pPr>
      <w:r>
        <w:tab/>
      </w:r>
      <w:r w:rsidR="00ED50CB" w:rsidRPr="005630A2">
        <w:t xml:space="preserve">We conclude the </w:t>
      </w:r>
      <w:r w:rsidR="009F4100">
        <w:t>superior</w:t>
      </w:r>
      <w:r w:rsidR="00ED50CB" w:rsidRPr="005630A2">
        <w:t xml:space="preserve"> court correctly determined </w:t>
      </w:r>
      <w:r w:rsidR="006755A0">
        <w:t xml:space="preserve">section 1861.05(a) requires use of the applicant insurer’s income, and </w:t>
      </w:r>
      <w:r w:rsidR="00ED50CB" w:rsidRPr="005630A2">
        <w:t xml:space="preserve">the Commissioner erred </w:t>
      </w:r>
      <w:r w:rsidR="006755A0">
        <w:t>in interpreting</w:t>
      </w:r>
      <w:r w:rsidR="00ED50CB" w:rsidRPr="005630A2">
        <w:t xml:space="preserve"> </w:t>
      </w:r>
      <w:r w:rsidR="00A0354A">
        <w:t>and appl</w:t>
      </w:r>
      <w:r w:rsidR="006755A0">
        <w:t>ying</w:t>
      </w:r>
      <w:r w:rsidR="00A0354A">
        <w:t xml:space="preserve"> </w:t>
      </w:r>
      <w:r w:rsidR="00ED50CB" w:rsidRPr="005630A2">
        <w:t xml:space="preserve">Regulation </w:t>
      </w:r>
      <w:r w:rsidR="00370536" w:rsidRPr="005630A2">
        <w:t>26</w:t>
      </w:r>
      <w:r w:rsidR="003F5B13">
        <w:t>4</w:t>
      </w:r>
      <w:r w:rsidR="00370536" w:rsidRPr="005630A2">
        <w:t>4.20</w:t>
      </w:r>
      <w:r w:rsidR="00B208D4">
        <w:t xml:space="preserve"> here</w:t>
      </w:r>
      <w:r w:rsidR="00ED50CB" w:rsidRPr="005630A2">
        <w:t xml:space="preserve">.  </w:t>
      </w:r>
      <w:r w:rsidR="00275408">
        <w:t>W</w:t>
      </w:r>
      <w:r w:rsidR="00ED50CB" w:rsidRPr="005630A2">
        <w:t xml:space="preserve">e further conclude the </w:t>
      </w:r>
      <w:r w:rsidR="00275408">
        <w:t xml:space="preserve">retroactive rate and </w:t>
      </w:r>
      <w:r w:rsidR="00ED50CB" w:rsidRPr="005630A2">
        <w:t xml:space="preserve">refund </w:t>
      </w:r>
      <w:r w:rsidR="00275408">
        <w:t>were</w:t>
      </w:r>
      <w:r w:rsidR="00ED50CB" w:rsidRPr="005630A2">
        <w:t xml:space="preserve"> impermissible</w:t>
      </w:r>
      <w:r w:rsidR="000E7A49">
        <w:t>,</w:t>
      </w:r>
      <w:r w:rsidR="00EC286C">
        <w:t xml:space="preserve"> and remand is </w:t>
      </w:r>
      <w:r w:rsidR="00B208D4">
        <w:t>not warranted</w:t>
      </w:r>
      <w:r w:rsidR="00EC286C">
        <w:t xml:space="preserve"> under the circumstances</w:t>
      </w:r>
      <w:r w:rsidR="006755A0">
        <w:t xml:space="preserve">.  We </w:t>
      </w:r>
      <w:r w:rsidR="00EC286C">
        <w:t xml:space="preserve">direct the </w:t>
      </w:r>
      <w:r w:rsidR="009F4100">
        <w:t>superior</w:t>
      </w:r>
      <w:r w:rsidR="00EC286C">
        <w:t xml:space="preserve"> court to modify the writ of mandate to require the Rate Order be vacated</w:t>
      </w:r>
      <w:r w:rsidR="00B208D4">
        <w:t xml:space="preserve"> in its entirety</w:t>
      </w:r>
      <w:r w:rsidR="006755A0">
        <w:t>, and affirm the judgment and writ of mandate in all other respects</w:t>
      </w:r>
      <w:r w:rsidR="00EC286C">
        <w:t>.</w:t>
      </w:r>
      <w:r w:rsidR="006755A0">
        <w:t xml:space="preserve">  </w:t>
      </w:r>
    </w:p>
    <w:p w14:paraId="356E1026" w14:textId="77777777" w:rsidR="00167060" w:rsidRPr="005630A2" w:rsidRDefault="00C62FC6" w:rsidP="00DB5124">
      <w:pPr>
        <w:keepNext/>
        <w:spacing w:line="360" w:lineRule="auto"/>
        <w:jc w:val="center"/>
        <w:outlineLvl w:val="0"/>
        <w:rPr>
          <w:rFonts w:eastAsia="Calibri"/>
          <w:szCs w:val="26"/>
        </w:rPr>
      </w:pPr>
      <w:bookmarkStart w:id="5" w:name="_Toc475612098"/>
      <w:bookmarkStart w:id="6" w:name="_Toc476142671"/>
      <w:bookmarkStart w:id="7" w:name="_Toc476142943"/>
      <w:bookmarkStart w:id="8" w:name="_Hlk71709759"/>
      <w:r w:rsidRPr="005630A2">
        <w:rPr>
          <w:rFonts w:eastAsia="Calibri"/>
          <w:szCs w:val="26"/>
        </w:rPr>
        <w:lastRenderedPageBreak/>
        <w:t>FACTUAL AND PROCEDURAL BACKGROUND</w:t>
      </w:r>
      <w:bookmarkEnd w:id="5"/>
      <w:bookmarkEnd w:id="6"/>
      <w:bookmarkEnd w:id="7"/>
    </w:p>
    <w:p w14:paraId="5A6E4E4E" w14:textId="77777777" w:rsidR="001A7EDC" w:rsidRPr="005630A2" w:rsidRDefault="001A7EDC" w:rsidP="00DB5124">
      <w:pPr>
        <w:pStyle w:val="Heading1"/>
        <w:keepLines w:val="0"/>
        <w:spacing w:before="0" w:line="360" w:lineRule="auto"/>
        <w:contextualSpacing/>
        <w:rPr>
          <w:rFonts w:ascii="Century Schoolbook" w:eastAsia="Calibri" w:hAnsi="Century Schoolbook" w:cs="Times New Roman"/>
          <w:i/>
          <w:color w:val="auto"/>
          <w:sz w:val="26"/>
          <w:szCs w:val="26"/>
        </w:rPr>
      </w:pPr>
      <w:r w:rsidRPr="005630A2">
        <w:rPr>
          <w:rFonts w:ascii="Century Schoolbook" w:eastAsia="Calibri" w:hAnsi="Century Schoolbook" w:cs="Times New Roman"/>
          <w:color w:val="auto"/>
          <w:sz w:val="26"/>
          <w:szCs w:val="26"/>
        </w:rPr>
        <w:t>A.</w:t>
      </w:r>
      <w:r w:rsidRPr="005630A2">
        <w:rPr>
          <w:rFonts w:ascii="Century Schoolbook" w:eastAsia="Calibri" w:hAnsi="Century Schoolbook" w:cs="Times New Roman"/>
          <w:color w:val="auto"/>
          <w:sz w:val="26"/>
          <w:szCs w:val="26"/>
        </w:rPr>
        <w:tab/>
      </w:r>
      <w:r w:rsidR="003A3A41" w:rsidRPr="005630A2">
        <w:rPr>
          <w:rFonts w:ascii="Century Schoolbook" w:eastAsia="Calibri" w:hAnsi="Century Schoolbook" w:cs="Times New Roman"/>
          <w:i/>
          <w:color w:val="auto"/>
          <w:sz w:val="26"/>
          <w:szCs w:val="26"/>
        </w:rPr>
        <w:t>Proposition 103</w:t>
      </w:r>
    </w:p>
    <w:p w14:paraId="54BEF1A2" w14:textId="52B0F9C6" w:rsidR="0098543A" w:rsidRDefault="002A63E7" w:rsidP="00DB5124">
      <w:pPr>
        <w:spacing w:line="360" w:lineRule="auto"/>
      </w:pPr>
      <w:r w:rsidRPr="005630A2">
        <w:tab/>
        <w:t xml:space="preserve">Proposition 103 was approved by voters </w:t>
      </w:r>
      <w:r w:rsidR="000257B0">
        <w:t>in</w:t>
      </w:r>
      <w:r w:rsidR="00584FF8">
        <w:t xml:space="preserve"> </w:t>
      </w:r>
      <w:r w:rsidR="00584FF8" w:rsidRPr="001169C0">
        <w:t xml:space="preserve">November </w:t>
      </w:r>
      <w:r w:rsidRPr="005630A2">
        <w:t xml:space="preserve">1988, and </w:t>
      </w:r>
      <w:r w:rsidR="00412776">
        <w:t xml:space="preserve">made “numerous fundamental changes in the regulation of automobile and other types of insurance,” including homeowners’ </w:t>
      </w:r>
      <w:r w:rsidR="000257B0">
        <w:t>insurance</w:t>
      </w:r>
      <w:r w:rsidR="0042183C">
        <w:t xml:space="preserve"> and excluding certain lines not at issue here</w:t>
      </w:r>
      <w:r w:rsidR="00412776">
        <w:t>.  (</w:t>
      </w:r>
      <w:r w:rsidR="00412776">
        <w:rPr>
          <w:i/>
          <w:iCs/>
        </w:rPr>
        <w:t>Calfarm Ins. Co. v. Deukmejian</w:t>
      </w:r>
      <w:r w:rsidR="00A16017">
        <w:t xml:space="preserve"> (1989) </w:t>
      </w:r>
      <w:r w:rsidR="00412776">
        <w:t>48 Cal.3d 805, 812 (</w:t>
      </w:r>
      <w:r w:rsidR="00412776">
        <w:rPr>
          <w:i/>
          <w:iCs/>
        </w:rPr>
        <w:t>Calfarm</w:t>
      </w:r>
      <w:r w:rsidR="00412776">
        <w:t>)</w:t>
      </w:r>
      <w:r w:rsidR="0042183C">
        <w:t xml:space="preserve">; </w:t>
      </w:r>
      <w:r w:rsidR="0042183C">
        <w:rPr>
          <w:i/>
          <w:iCs/>
        </w:rPr>
        <w:t>id.</w:t>
      </w:r>
      <w:r w:rsidR="0042183C">
        <w:t xml:space="preserve"> at p. 812, fn. 1</w:t>
      </w:r>
      <w:r w:rsidR="00412776">
        <w:t>.)</w:t>
      </w:r>
      <w:r w:rsidR="0042183C">
        <w:t xml:space="preserve">  </w:t>
      </w:r>
      <w:r w:rsidR="00EE5968" w:rsidRPr="00EE5968">
        <w:t>Previously, insurers set rates in an “ ‘open competition’ system,” and rates had increased significantly.  (</w:t>
      </w:r>
      <w:r w:rsidR="00EE5968" w:rsidRPr="00802E67">
        <w:rPr>
          <w:i/>
          <w:iCs/>
        </w:rPr>
        <w:t xml:space="preserve">20th Century Ins. Co. v. Garamendi </w:t>
      </w:r>
      <w:r w:rsidR="00EE5968" w:rsidRPr="00EE5968">
        <w:t>(1994) 8 Cal.4th 216, 300 (</w:t>
      </w:r>
      <w:r w:rsidR="00EE5968" w:rsidRPr="00EE5968">
        <w:rPr>
          <w:i/>
          <w:iCs/>
        </w:rPr>
        <w:t>20th Century</w:t>
      </w:r>
      <w:r w:rsidR="00EE5968" w:rsidRPr="00EE5968">
        <w:t>); see Stats. 1988, Prop. 103, uncodified § 1 [Findings &amp; Decl</w:t>
      </w:r>
      <w:r w:rsidR="00A762F6">
        <w:t>aration</w:t>
      </w:r>
      <w:r w:rsidR="00EE5968" w:rsidRPr="00EE5968">
        <w:t>.].)</w:t>
      </w:r>
      <w:r w:rsidR="00EE5968">
        <w:t xml:space="preserve">  </w:t>
      </w:r>
      <w:r w:rsidR="00637946">
        <w:t xml:space="preserve">Proposition 103 explained </w:t>
      </w:r>
      <w:r w:rsidR="00A16017">
        <w:t>its</w:t>
      </w:r>
      <w:r w:rsidR="00EB6561" w:rsidRPr="005630A2">
        <w:t xml:space="preserve"> p</w:t>
      </w:r>
      <w:r w:rsidR="0094296F" w:rsidRPr="005630A2">
        <w:t xml:space="preserve">urpose was “to protect consumers from arbitrary insurance rates and practices, to encourage a competitive insurance marketplace, to provide for an accountable Commissioner, and to ensure that insurance is fair, available, and affordable for all Californians.” </w:t>
      </w:r>
      <w:r w:rsidR="00514D8E">
        <w:t xml:space="preserve"> </w:t>
      </w:r>
      <w:r w:rsidR="0094296F" w:rsidRPr="005630A2">
        <w:t>(Stats. 1988,</w:t>
      </w:r>
      <w:r w:rsidR="00812C98">
        <w:t xml:space="preserve"> Prop. 103, uncodified </w:t>
      </w:r>
      <w:r w:rsidR="0094296F" w:rsidRPr="005630A2">
        <w:t>§ 2</w:t>
      </w:r>
      <w:r w:rsidR="00812C98">
        <w:t xml:space="preserve"> </w:t>
      </w:r>
      <w:r w:rsidR="0094296F" w:rsidRPr="005630A2">
        <w:t>[</w:t>
      </w:r>
      <w:r w:rsidR="00812C98">
        <w:t>“</w:t>
      </w:r>
      <w:r w:rsidR="0094296F" w:rsidRPr="005630A2">
        <w:t>Purpose”]</w:t>
      </w:r>
      <w:r w:rsidR="00812C98">
        <w:t xml:space="preserve">; see also </w:t>
      </w:r>
      <w:r w:rsidR="00A762F6" w:rsidRPr="00802E67">
        <w:rPr>
          <w:i/>
          <w:iCs/>
        </w:rPr>
        <w:t>id</w:t>
      </w:r>
      <w:r w:rsidR="00A762F6">
        <w:t xml:space="preserve">., </w:t>
      </w:r>
      <w:r w:rsidR="00812C98">
        <w:t>uncodified</w:t>
      </w:r>
      <w:r w:rsidR="00812C98" w:rsidRPr="00E12413">
        <w:t xml:space="preserve"> § 8, subd. (a)</w:t>
      </w:r>
      <w:r w:rsidR="00812C98">
        <w:t xml:space="preserve"> [</w:t>
      </w:r>
      <w:r w:rsidR="00E12413" w:rsidRPr="00E12413">
        <w:t>“</w:t>
      </w:r>
      <w:r w:rsidR="00812C98">
        <w:t xml:space="preserve">This Act </w:t>
      </w:r>
      <w:r w:rsidR="00E12413" w:rsidRPr="00E12413">
        <w:t>shall be liberally construed and applied in order to fully promote its underlying purposes</w:t>
      </w:r>
      <w:r w:rsidR="00812C98">
        <w:t>”].)</w:t>
      </w:r>
      <w:r w:rsidR="00E12413">
        <w:t xml:space="preserve"> </w:t>
      </w:r>
    </w:p>
    <w:p w14:paraId="3C48B1E3" w14:textId="77777777" w:rsidR="00911B9C" w:rsidRPr="001169C0" w:rsidRDefault="00584FF8" w:rsidP="00DB5124">
      <w:pPr>
        <w:spacing w:line="360" w:lineRule="auto"/>
      </w:pPr>
      <w:r>
        <w:tab/>
        <w:t>With respect to rate</w:t>
      </w:r>
      <w:r w:rsidR="000257B0">
        <w:t xml:space="preserve"> setting</w:t>
      </w:r>
      <w:r>
        <w:t xml:space="preserve">, </w:t>
      </w:r>
      <w:r w:rsidR="003070B4" w:rsidRPr="005630A2">
        <w:t>Proposition 103</w:t>
      </w:r>
      <w:r w:rsidR="00911B9C">
        <w:t xml:space="preserve"> </w:t>
      </w:r>
      <w:r w:rsidR="000257B0">
        <w:t>had</w:t>
      </w:r>
      <w:r w:rsidR="00911B9C">
        <w:t xml:space="preserve"> two main components.  First, it</w:t>
      </w:r>
      <w:r w:rsidR="00911B9C" w:rsidRPr="005630A2">
        <w:t xml:space="preserve"> imposed a rollback</w:t>
      </w:r>
      <w:r w:rsidR="00943942">
        <w:t xml:space="preserve"> of rates to </w:t>
      </w:r>
      <w:r w:rsidR="000257B0">
        <w:t xml:space="preserve">20 percent </w:t>
      </w:r>
      <w:r w:rsidR="00BE4055">
        <w:t>less than</w:t>
      </w:r>
      <w:r w:rsidR="000257B0">
        <w:t xml:space="preserve"> </w:t>
      </w:r>
      <w:r w:rsidR="00943942">
        <w:t xml:space="preserve">their </w:t>
      </w:r>
      <w:r w:rsidR="000257B0">
        <w:t xml:space="preserve">November </w:t>
      </w:r>
      <w:r w:rsidR="00943942">
        <w:t>1987 level</w:t>
      </w:r>
      <w:r w:rsidR="000257B0">
        <w:t>s</w:t>
      </w:r>
      <w:r w:rsidR="00943942">
        <w:t>, for one year after passage (th</w:t>
      </w:r>
      <w:r w:rsidR="000257B0">
        <w:t>r</w:t>
      </w:r>
      <w:r w:rsidR="00943942">
        <w:t xml:space="preserve">ough November 1989).  </w:t>
      </w:r>
      <w:r w:rsidR="00943942" w:rsidRPr="005630A2">
        <w:t>(§ 1861.01, subd. (a).)</w:t>
      </w:r>
      <w:r w:rsidR="000257B0">
        <w:t xml:space="preserve"> </w:t>
      </w:r>
      <w:r w:rsidR="00BE4055">
        <w:t xml:space="preserve"> </w:t>
      </w:r>
      <w:r w:rsidR="00911B9C">
        <w:t>This is sometimes called the “rollback year” or “rollback period.”  (</w:t>
      </w:r>
      <w:r w:rsidR="00911B9C" w:rsidRPr="005630A2">
        <w:rPr>
          <w:i/>
          <w:iCs/>
        </w:rPr>
        <w:t>20th Century</w:t>
      </w:r>
      <w:r w:rsidR="00911B9C" w:rsidRPr="005630A2">
        <w:t xml:space="preserve">, </w:t>
      </w:r>
      <w:r w:rsidR="00911B9C" w:rsidRPr="005630A2">
        <w:rPr>
          <w:i/>
          <w:iCs/>
        </w:rPr>
        <w:t>supra</w:t>
      </w:r>
      <w:r w:rsidR="00911B9C" w:rsidRPr="005630A2">
        <w:t>, 8 Cal.4th at p</w:t>
      </w:r>
      <w:r w:rsidR="00911B9C">
        <w:t>p</w:t>
      </w:r>
      <w:r w:rsidR="00911B9C" w:rsidRPr="005630A2">
        <w:t xml:space="preserve">. </w:t>
      </w:r>
      <w:r w:rsidR="00911B9C">
        <w:t xml:space="preserve">243, </w:t>
      </w:r>
      <w:r w:rsidR="00911B9C" w:rsidRPr="005630A2">
        <w:t>25</w:t>
      </w:r>
      <w:r w:rsidR="00911B9C">
        <w:t xml:space="preserve">3.)  During this period, insurers could </w:t>
      </w:r>
      <w:r w:rsidR="000257B0">
        <w:t>set</w:t>
      </w:r>
      <w:r w:rsidR="00911B9C">
        <w:t xml:space="preserve"> a different rate to avoid confiscation, subject to Commissioner review and the risk of having to refund amounts in excess of a minimally non-confiscatory rate.  </w:t>
      </w:r>
      <w:r w:rsidR="00911B9C" w:rsidRPr="005630A2">
        <w:t>(§ 1861.01, subd. (b);</w:t>
      </w:r>
      <w:r w:rsidR="00911B9C" w:rsidRPr="005630A2">
        <w:rPr>
          <w:i/>
          <w:iCs/>
        </w:rPr>
        <w:t xml:space="preserve"> 20th Century</w:t>
      </w:r>
      <w:r w:rsidR="00911B9C" w:rsidRPr="005630A2">
        <w:t>, at p. 254.)</w:t>
      </w:r>
      <w:r w:rsidR="00911B9C">
        <w:t xml:space="preserve">  For </w:t>
      </w:r>
      <w:r w:rsidR="00911B9C">
        <w:lastRenderedPageBreak/>
        <w:t xml:space="preserve">purposes of this appeal, “confiscatory” can be understood generally to mean “inadequate.”  </w:t>
      </w:r>
      <w:r w:rsidR="00911B9C" w:rsidRPr="00D61F9D">
        <w:t>(</w:t>
      </w:r>
      <w:r w:rsidR="00911B9C">
        <w:t xml:space="preserve">See </w:t>
      </w:r>
      <w:r w:rsidR="00911B9C" w:rsidRPr="001169C0">
        <w:rPr>
          <w:i/>
          <w:iCs/>
        </w:rPr>
        <w:t>Calfarm</w:t>
      </w:r>
      <w:r w:rsidR="00911B9C" w:rsidRPr="001169C0">
        <w:t xml:space="preserve">, </w:t>
      </w:r>
      <w:r w:rsidR="00911B9C" w:rsidRPr="001169C0">
        <w:rPr>
          <w:i/>
          <w:iCs/>
        </w:rPr>
        <w:t>supra</w:t>
      </w:r>
      <w:r w:rsidR="00911B9C" w:rsidRPr="001253D0">
        <w:t>,</w:t>
      </w:r>
      <w:r w:rsidR="00911B9C" w:rsidRPr="001169C0">
        <w:rPr>
          <w:i/>
          <w:iCs/>
        </w:rPr>
        <w:t xml:space="preserve"> </w:t>
      </w:r>
      <w:r w:rsidR="00911B9C" w:rsidRPr="001169C0">
        <w:t>48 Cal.3d at p. 822, fn. 15.)</w:t>
      </w:r>
      <w:r w:rsidR="00911B9C" w:rsidRPr="001169C0">
        <w:rPr>
          <w:rStyle w:val="FootnoteReference"/>
        </w:rPr>
        <w:footnoteReference w:id="4"/>
      </w:r>
    </w:p>
    <w:p w14:paraId="4BDD29BB" w14:textId="0D53E990" w:rsidR="005630A2" w:rsidRDefault="002A66AE" w:rsidP="00DB5124">
      <w:pPr>
        <w:spacing w:line="360" w:lineRule="auto"/>
      </w:pPr>
      <w:r>
        <w:tab/>
      </w:r>
      <w:r w:rsidR="000257B0">
        <w:t>Second</w:t>
      </w:r>
      <w:r>
        <w:t xml:space="preserve">, Proposition 103 </w:t>
      </w:r>
      <w:r w:rsidR="003070B4" w:rsidRPr="005630A2">
        <w:t>implemented a</w:t>
      </w:r>
      <w:r w:rsidR="00EF409D" w:rsidRPr="005630A2">
        <w:t xml:space="preserve"> “prior approval” system</w:t>
      </w:r>
      <w:r w:rsidR="00584FF8">
        <w:t xml:space="preserve">, which provided that </w:t>
      </w:r>
      <w:r w:rsidR="000257B0">
        <w:t>as of November 1989</w:t>
      </w:r>
      <w:r w:rsidR="00584FF8" w:rsidRPr="00584FF8">
        <w:t xml:space="preserve">, </w:t>
      </w:r>
      <w:r w:rsidR="00584FF8">
        <w:t>“</w:t>
      </w:r>
      <w:r w:rsidR="00584FF8" w:rsidRPr="00584FF8">
        <w:t>insurance rates subject to this chapter must be approved by the commissioner prior to their use.</w:t>
      </w:r>
      <w:r w:rsidR="00584FF8">
        <w:t>”</w:t>
      </w:r>
      <w:r w:rsidR="00514D8E">
        <w:t xml:space="preserve"> </w:t>
      </w:r>
      <w:r w:rsidR="003A3A41" w:rsidRPr="005630A2">
        <w:t xml:space="preserve"> (§ 1861.01</w:t>
      </w:r>
      <w:r w:rsidR="000257B0">
        <w:t>, subd. (c)</w:t>
      </w:r>
      <w:r w:rsidR="003A3A41" w:rsidRPr="005630A2">
        <w:t>.</w:t>
      </w:r>
      <w:r w:rsidR="00584FF8">
        <w:t>)</w:t>
      </w:r>
      <w:r>
        <w:t xml:space="preserve">  </w:t>
      </w:r>
      <w:r w:rsidR="000257B0">
        <w:t>Section 1861.05</w:t>
      </w:r>
      <w:r w:rsidR="004B1F2A">
        <w:t>(a) addresses approval of rates, and provides:</w:t>
      </w:r>
    </w:p>
    <w:p w14:paraId="78DF7369" w14:textId="7D50B7C9" w:rsidR="005D39EE" w:rsidRPr="005630A2" w:rsidRDefault="005630A2" w:rsidP="00A076C7">
      <w:pPr>
        <w:pStyle w:val="IndentedQuote"/>
        <w:spacing w:after="160"/>
      </w:pPr>
      <w:r>
        <w:t>“</w:t>
      </w:r>
      <w:r w:rsidRPr="005630A2">
        <w:t>No rate shall be approved or remain in effect which is excessive, inadequate, unfairly discriminatory or otherwise in violation of this chapter.</w:t>
      </w:r>
      <w:r>
        <w:t xml:space="preserve">  </w:t>
      </w:r>
      <w:r w:rsidRPr="005630A2">
        <w:t>In considering whether a rate is excessive, inadequate or unfairly discriminatory, no consideration shall be given to the degree of competition and the commissioner shall consider whether the rate mathematically reflects the insurance company’s investment income.</w:t>
      </w:r>
      <w:r>
        <w:t>”</w:t>
      </w:r>
    </w:p>
    <w:p w14:paraId="2F5B6FDE" w14:textId="22375F4A" w:rsidR="003E0CCC" w:rsidRDefault="004B1F2A" w:rsidP="00DB5124">
      <w:pPr>
        <w:spacing w:line="360" w:lineRule="auto"/>
      </w:pPr>
      <w:r>
        <w:t>The remainder of section 1861.05 sets forth procedural requirements for rate applications</w:t>
      </w:r>
      <w:r w:rsidR="003E0CCC">
        <w:t xml:space="preserve"> (</w:t>
      </w:r>
      <w:r w:rsidR="005630A2">
        <w:t>§ 1861.05, subd. (b)</w:t>
      </w:r>
      <w:r w:rsidR="003E0CCC">
        <w:t>) and public noti</w:t>
      </w:r>
      <w:r w:rsidR="00A5098E">
        <w:t>ce</w:t>
      </w:r>
      <w:r w:rsidR="003E0CCC">
        <w:t xml:space="preserve"> provisions (§ 1861.05, subds. (c)-(d))</w:t>
      </w:r>
      <w:r w:rsidR="00413E0B">
        <w:t>.</w:t>
      </w:r>
    </w:p>
    <w:p w14:paraId="61DF60B4" w14:textId="504B7B55" w:rsidR="007A685A" w:rsidRDefault="0083453F" w:rsidP="00DB5124">
      <w:pPr>
        <w:spacing w:line="360" w:lineRule="auto"/>
      </w:pPr>
      <w:r>
        <w:tab/>
        <w:t xml:space="preserve">The California Supreme Court has explained that section 1861.05(a)’s requirement that </w:t>
      </w:r>
      <w:r w:rsidRPr="002A66AE">
        <w:t>the Commissioner “</w:t>
      </w:r>
      <w:r>
        <w:t xml:space="preserve"> ‘</w:t>
      </w:r>
      <w:r w:rsidRPr="002A66AE">
        <w:t>shall consider whether the rate mathematically reflects the insurance company</w:t>
      </w:r>
      <w:r w:rsidR="00B32BE5">
        <w:t>’</w:t>
      </w:r>
      <w:r w:rsidRPr="002A66AE">
        <w:t>s investment income</w:t>
      </w:r>
      <w:r>
        <w:t>’</w:t>
      </w:r>
      <w:r w:rsidR="009F6E63">
        <w:t> . . . </w:t>
      </w:r>
      <w:r w:rsidRPr="002A66AE">
        <w:t>impliedly requires that the commissioner shall offset the latter against the former.</w:t>
      </w:r>
      <w:r>
        <w:t>”  (</w:t>
      </w:r>
      <w:r>
        <w:rPr>
          <w:i/>
          <w:iCs/>
        </w:rPr>
        <w:t>20th Century</w:t>
      </w:r>
      <w:r w:rsidRPr="00514D8E">
        <w:t>,</w:t>
      </w:r>
      <w:r>
        <w:t xml:space="preserve"> </w:t>
      </w:r>
      <w:r w:rsidR="00514D8E" w:rsidRPr="001253D0">
        <w:rPr>
          <w:i/>
          <w:iCs/>
        </w:rPr>
        <w:t>supra</w:t>
      </w:r>
      <w:r w:rsidR="00514D8E">
        <w:t xml:space="preserve">, </w:t>
      </w:r>
      <w:r>
        <w:t xml:space="preserve">8 Cal.4th at pp. 290-291.)  </w:t>
      </w:r>
      <w:r w:rsidR="0042183C">
        <w:t>I</w:t>
      </w:r>
      <w:r w:rsidR="002A66AE">
        <w:t xml:space="preserve">nsurance companies have two </w:t>
      </w:r>
      <w:r w:rsidR="0042183C">
        <w:t xml:space="preserve">main </w:t>
      </w:r>
      <w:r w:rsidR="002A66AE">
        <w:t>sources of income:  premiums and investment</w:t>
      </w:r>
      <w:r>
        <w:t>s</w:t>
      </w:r>
      <w:r w:rsidR="002A66AE">
        <w:t>.  (See</w:t>
      </w:r>
      <w:r w:rsidR="002A66AE" w:rsidRPr="00911B9C">
        <w:t xml:space="preserve"> </w:t>
      </w:r>
      <w:r w:rsidR="0042183C" w:rsidRPr="00DC3D08">
        <w:t>Rejda &amp; McNamara, Principles of Risk Management and Insurance (12th ed. 2014) p. 127</w:t>
      </w:r>
      <w:r w:rsidR="0042183C">
        <w:t xml:space="preserve">; accord, </w:t>
      </w:r>
      <w:r w:rsidR="002A66AE" w:rsidRPr="00911B9C">
        <w:t xml:space="preserve">Werner and Modlin, Basic </w:t>
      </w:r>
      <w:r w:rsidR="002A66AE" w:rsidRPr="00911B9C">
        <w:lastRenderedPageBreak/>
        <w:t xml:space="preserve">Ratemaking (5th </w:t>
      </w:r>
      <w:r w:rsidR="00374ED4">
        <w:t>e</w:t>
      </w:r>
      <w:r w:rsidR="002A66AE" w:rsidRPr="00911B9C">
        <w:t>d. 2016</w:t>
      </w:r>
      <w:r w:rsidR="001372D2">
        <w:t>)</w:t>
      </w:r>
      <w:r w:rsidR="002A66AE" w:rsidRPr="00911B9C">
        <w:t xml:space="preserve"> p. </w:t>
      </w:r>
      <w:r w:rsidR="002A66AE">
        <w:t>5 [</w:t>
      </w:r>
      <w:r w:rsidR="0042183C">
        <w:t xml:space="preserve">describing </w:t>
      </w:r>
      <w:r>
        <w:t xml:space="preserve">income </w:t>
      </w:r>
      <w:r w:rsidR="0042183C">
        <w:t>sources as “</w:t>
      </w:r>
      <w:r w:rsidR="002A66AE">
        <w:t>underwriting profit and investment income”].)</w:t>
      </w:r>
      <w:r w:rsidR="007E7C90">
        <w:t xml:space="preserve">  </w:t>
      </w:r>
      <w:r w:rsidR="00F45C06">
        <w:t>Thus</w:t>
      </w:r>
      <w:r w:rsidR="002A66AE">
        <w:t xml:space="preserve">, Proposition 103 provides for lower </w:t>
      </w:r>
      <w:r>
        <w:t xml:space="preserve">premium </w:t>
      </w:r>
      <w:r w:rsidR="002A66AE">
        <w:t xml:space="preserve">rates when investment income is high, and higher rates when that income is low. </w:t>
      </w:r>
      <w:r w:rsidR="00237DE7">
        <w:t xml:space="preserve"> </w:t>
      </w:r>
      <w:r w:rsidR="0023229C">
        <w:t>This is consistent with a “total return” ratemaking approach</w:t>
      </w:r>
      <w:r w:rsidR="00DC3D08">
        <w:t>,</w:t>
      </w:r>
      <w:r w:rsidR="0023229C">
        <w:t xml:space="preserve"> in which the premium an insurer can charge is a function of other available income sources</w:t>
      </w:r>
      <w:r>
        <w:t>, thus avoiding an unreasonable rate of return</w:t>
      </w:r>
      <w:r w:rsidR="0023229C">
        <w:t xml:space="preserve">. </w:t>
      </w:r>
      <w:r w:rsidR="00DC3D08">
        <w:t xml:space="preserve"> </w:t>
      </w:r>
      <w:r w:rsidR="007A685A">
        <w:t xml:space="preserve">That said, </w:t>
      </w:r>
      <w:r w:rsidR="007A685A" w:rsidRPr="001169C0">
        <w:t>Proposition 103 did “not establish a detailed method of processing and deciding rate applications,” and “[m]uch [was] necessarily left to the</w:t>
      </w:r>
      <w:r w:rsidR="007A685A" w:rsidRPr="005630A2">
        <w:t xml:space="preserve"> [Commissioner]</w:t>
      </w:r>
      <w:r w:rsidR="007A685A">
        <w:t xml:space="preserve"> . . . .” </w:t>
      </w:r>
      <w:r w:rsidR="00413E0B">
        <w:t xml:space="preserve"> </w:t>
      </w:r>
      <w:r w:rsidR="007A685A" w:rsidRPr="005630A2">
        <w:t>(</w:t>
      </w:r>
      <w:r w:rsidR="007A685A" w:rsidRPr="001169C0">
        <w:rPr>
          <w:i/>
          <w:iCs/>
        </w:rPr>
        <w:t>Calfarm</w:t>
      </w:r>
      <w:r w:rsidR="007A685A">
        <w:t xml:space="preserve">, </w:t>
      </w:r>
      <w:r w:rsidR="007A685A" w:rsidRPr="00402A81">
        <w:rPr>
          <w:i/>
          <w:iCs/>
        </w:rPr>
        <w:t>supra</w:t>
      </w:r>
      <w:r w:rsidR="007A685A">
        <w:t xml:space="preserve">, </w:t>
      </w:r>
      <w:r w:rsidR="007A685A" w:rsidRPr="00402A81">
        <w:t>48</w:t>
      </w:r>
      <w:r w:rsidR="007A685A" w:rsidRPr="005630A2">
        <w:t xml:space="preserve"> Cal.3d </w:t>
      </w:r>
      <w:r w:rsidR="007A685A">
        <w:t>at p.</w:t>
      </w:r>
      <w:r w:rsidR="007A685A" w:rsidRPr="005630A2">
        <w:t xml:space="preserve"> 824.)</w:t>
      </w:r>
      <w:r w:rsidR="007A685A">
        <w:t xml:space="preserve">  The Commissioner promulgated regulations to implement Proposition 103</w:t>
      </w:r>
      <w:r w:rsidR="00F45C06">
        <w:t>, which we describe shortly</w:t>
      </w:r>
      <w:r w:rsidR="007A685A">
        <w:t>.</w:t>
      </w:r>
    </w:p>
    <w:p w14:paraId="518DB70D" w14:textId="13E330C5" w:rsidR="0098543A" w:rsidRDefault="0098543A" w:rsidP="00DB5124">
      <w:pPr>
        <w:spacing w:line="360" w:lineRule="auto"/>
      </w:pPr>
      <w:r>
        <w:tab/>
      </w:r>
      <w:r>
        <w:rPr>
          <w:i/>
          <w:iCs/>
        </w:rPr>
        <w:t xml:space="preserve">Calfarm </w:t>
      </w:r>
      <w:r>
        <w:t xml:space="preserve">and </w:t>
      </w:r>
      <w:r>
        <w:rPr>
          <w:i/>
          <w:iCs/>
        </w:rPr>
        <w:t>20th Century</w:t>
      </w:r>
      <w:r>
        <w:t xml:space="preserve"> were early and significant decisions </w:t>
      </w:r>
      <w:r w:rsidR="00803A7E">
        <w:t>regarding Proposition 103, and specifically the rollback period</w:t>
      </w:r>
      <w:r w:rsidR="0083453F">
        <w:t xml:space="preserve">.  </w:t>
      </w:r>
      <w:r>
        <w:t xml:space="preserve">In </w:t>
      </w:r>
      <w:r w:rsidRPr="0098543A">
        <w:rPr>
          <w:i/>
          <w:iCs/>
        </w:rPr>
        <w:t>Calfarm</w:t>
      </w:r>
      <w:r>
        <w:t xml:space="preserve">, the </w:t>
      </w:r>
      <w:r w:rsidR="00106EA8">
        <w:t xml:space="preserve">California </w:t>
      </w:r>
      <w:r>
        <w:t xml:space="preserve">Supreme Court </w:t>
      </w:r>
      <w:r w:rsidR="00106EA8">
        <w:t>“</w:t>
      </w:r>
      <w:r>
        <w:t>upheld, inter alia, Proposition 103’s provision requiring rate rollbacks.”</w:t>
      </w:r>
      <w:r w:rsidR="009F6E63">
        <w:t xml:space="preserve"> </w:t>
      </w:r>
      <w:r>
        <w:t xml:space="preserve"> (</w:t>
      </w:r>
      <w:r w:rsidRPr="0098543A">
        <w:rPr>
          <w:i/>
          <w:iCs/>
        </w:rPr>
        <w:t>20th Century</w:t>
      </w:r>
      <w:r>
        <w:t xml:space="preserve">, </w:t>
      </w:r>
      <w:r w:rsidRPr="0098543A">
        <w:rPr>
          <w:i/>
          <w:iCs/>
        </w:rPr>
        <w:t>supra</w:t>
      </w:r>
      <w:r>
        <w:t xml:space="preserve">, 8 Cal.4th at p. 240.)  A few years later, in </w:t>
      </w:r>
      <w:r>
        <w:rPr>
          <w:i/>
          <w:iCs/>
        </w:rPr>
        <w:t>20th Century</w:t>
      </w:r>
      <w:r>
        <w:t>, the Court upheld the “implementation of Proposition 103’s rate rollback requirement provision by the Insurance Commissioner.”  (</w:t>
      </w:r>
      <w:r w:rsidR="00B22F91" w:rsidRPr="00B22F91">
        <w:rPr>
          <w:i/>
          <w:iCs/>
        </w:rPr>
        <w:t>Ibid</w:t>
      </w:r>
      <w:r>
        <w:t>.)</w:t>
      </w:r>
      <w:r w:rsidR="0083453F">
        <w:t xml:space="preserve">  </w:t>
      </w:r>
    </w:p>
    <w:p w14:paraId="44B44983" w14:textId="77777777" w:rsidR="001824F5" w:rsidRPr="00F45C06" w:rsidRDefault="00023D59" w:rsidP="00DB5124">
      <w:pPr>
        <w:pStyle w:val="Heading1"/>
        <w:keepLines w:val="0"/>
        <w:spacing w:before="0" w:line="360" w:lineRule="auto"/>
        <w:contextualSpacing/>
        <w:rPr>
          <w:rFonts w:ascii="Century Schoolbook" w:eastAsia="Calibri" w:hAnsi="Century Schoolbook" w:cs="Times New Roman"/>
          <w:color w:val="auto"/>
          <w:sz w:val="26"/>
          <w:szCs w:val="26"/>
        </w:rPr>
      </w:pPr>
      <w:r>
        <w:rPr>
          <w:rFonts w:ascii="Century Schoolbook" w:eastAsia="Calibri" w:hAnsi="Century Schoolbook" w:cs="Times New Roman"/>
          <w:color w:val="auto"/>
          <w:sz w:val="26"/>
          <w:szCs w:val="26"/>
        </w:rPr>
        <w:t>B</w:t>
      </w:r>
      <w:r w:rsidRPr="00023D59">
        <w:rPr>
          <w:rFonts w:ascii="Century Schoolbook" w:eastAsia="Calibri" w:hAnsi="Century Schoolbook" w:cs="Times New Roman"/>
          <w:color w:val="auto"/>
          <w:sz w:val="26"/>
          <w:szCs w:val="26"/>
        </w:rPr>
        <w:t>.</w:t>
      </w:r>
      <w:r w:rsidRPr="00023D59">
        <w:rPr>
          <w:rFonts w:ascii="Century Schoolbook" w:eastAsia="Calibri" w:hAnsi="Century Schoolbook" w:cs="Times New Roman"/>
          <w:color w:val="auto"/>
          <w:sz w:val="26"/>
          <w:szCs w:val="26"/>
        </w:rPr>
        <w:tab/>
      </w:r>
      <w:r w:rsidRPr="00023D59">
        <w:rPr>
          <w:rFonts w:ascii="Century Schoolbook" w:eastAsia="Calibri" w:hAnsi="Century Schoolbook" w:cs="Times New Roman"/>
          <w:i/>
          <w:iCs/>
          <w:color w:val="auto"/>
          <w:sz w:val="26"/>
          <w:szCs w:val="26"/>
        </w:rPr>
        <w:t>Regulations</w:t>
      </w:r>
    </w:p>
    <w:p w14:paraId="5374ED9F" w14:textId="3182AAA0" w:rsidR="00FD5EE9" w:rsidRDefault="00D21C1A" w:rsidP="00DB5124">
      <w:pPr>
        <w:spacing w:line="360" w:lineRule="auto"/>
      </w:pPr>
      <w:r>
        <w:tab/>
      </w:r>
      <w:r w:rsidR="0021404E">
        <w:t>T</w:t>
      </w:r>
      <w:r w:rsidR="00DC5645" w:rsidRPr="005630A2">
        <w:t>he</w:t>
      </w:r>
      <w:r w:rsidR="00F45C06">
        <w:t xml:space="preserve"> </w:t>
      </w:r>
      <w:r w:rsidR="00DC5645" w:rsidRPr="005630A2">
        <w:t>regulations contain formula</w:t>
      </w:r>
      <w:r w:rsidR="001824F5">
        <w:t>s</w:t>
      </w:r>
      <w:r w:rsidR="00DC5645" w:rsidRPr="005630A2">
        <w:t xml:space="preserve"> for determining the “maximum permitted earned premium</w:t>
      </w:r>
      <w:r w:rsidR="00A70A1C">
        <w:t>” and “minimum permitted earned premium”</w:t>
      </w:r>
      <w:r w:rsidR="00513F25">
        <w:t xml:space="preserve"> (Reg</w:t>
      </w:r>
      <w:r w:rsidR="00683714">
        <w:t>.</w:t>
      </w:r>
      <w:r w:rsidR="00513F25">
        <w:t xml:space="preserve"> </w:t>
      </w:r>
      <w:r w:rsidR="00B1511F">
        <w:t xml:space="preserve">§§ </w:t>
      </w:r>
      <w:r w:rsidR="00513F25">
        <w:t>2644.2, 2644.3)</w:t>
      </w:r>
      <w:r w:rsidR="00A70A1C">
        <w:t>; these turn in part on</w:t>
      </w:r>
      <w:r w:rsidR="00264259">
        <w:t xml:space="preserve"> </w:t>
      </w:r>
      <w:r w:rsidR="00023D59">
        <w:t>“investment income factor</w:t>
      </w:r>
      <w:r w:rsidR="00513F25">
        <w:t>s</w:t>
      </w:r>
      <w:r w:rsidR="00023D59">
        <w:t>”</w:t>
      </w:r>
      <w:r w:rsidR="00513F25">
        <w:t xml:space="preserve"> (</w:t>
      </w:r>
      <w:r w:rsidR="0033562C" w:rsidRPr="00802E67">
        <w:rPr>
          <w:i/>
          <w:iCs/>
        </w:rPr>
        <w:t>Id</w:t>
      </w:r>
      <w:r w:rsidR="0033562C">
        <w:t>.,</w:t>
      </w:r>
      <w:r w:rsidR="00513F25">
        <w:t xml:space="preserve"> </w:t>
      </w:r>
      <w:r w:rsidR="0033562C">
        <w:t>§</w:t>
      </w:r>
      <w:r w:rsidR="00802E67">
        <w:t> </w:t>
      </w:r>
      <w:r w:rsidR="00513F25">
        <w:t>2644.19)</w:t>
      </w:r>
      <w:r w:rsidR="00023D59">
        <w:t xml:space="preserve"> </w:t>
      </w:r>
      <w:r w:rsidR="00264259">
        <w:t>and</w:t>
      </w:r>
      <w:r w:rsidR="00023D59">
        <w:t xml:space="preserve"> </w:t>
      </w:r>
      <w:r w:rsidR="00264259">
        <w:t xml:space="preserve">may be </w:t>
      </w:r>
      <w:r w:rsidR="00023D59">
        <w:t>subject to variances</w:t>
      </w:r>
      <w:r w:rsidR="00513F25">
        <w:t xml:space="preserve"> (</w:t>
      </w:r>
      <w:r w:rsidR="0033562C" w:rsidRPr="00E42106">
        <w:rPr>
          <w:i/>
          <w:iCs/>
        </w:rPr>
        <w:t>Id</w:t>
      </w:r>
      <w:r w:rsidR="0033562C">
        <w:t>.,</w:t>
      </w:r>
      <w:r w:rsidR="00513F25">
        <w:t xml:space="preserve"> </w:t>
      </w:r>
      <w:r w:rsidR="00B1511F">
        <w:t xml:space="preserve">§ </w:t>
      </w:r>
      <w:r w:rsidR="00513F25">
        <w:t>2644.27)</w:t>
      </w:r>
      <w:r w:rsidR="00023D59">
        <w:t>.</w:t>
      </w:r>
      <w:r w:rsidR="00513F25">
        <w:t xml:space="preserve">  Broadly speaking, investment income is calculated by multiplying projected yield by</w:t>
      </w:r>
      <w:r w:rsidR="00683714">
        <w:t xml:space="preserve"> other figures defined elsewhere in the regulations, regarding reserves, surplus</w:t>
      </w:r>
      <w:r w:rsidR="00FD5EE9">
        <w:t xml:space="preserve">, and </w:t>
      </w:r>
      <w:r w:rsidR="00B1511F">
        <w:t xml:space="preserve">federal income </w:t>
      </w:r>
      <w:r w:rsidR="00FD5EE9">
        <w:t>taxes.</w:t>
      </w:r>
      <w:r w:rsidR="00DF172D">
        <w:t xml:space="preserve">  (</w:t>
      </w:r>
      <w:r w:rsidR="0033562C" w:rsidRPr="00E42106">
        <w:rPr>
          <w:i/>
          <w:iCs/>
        </w:rPr>
        <w:t>Id</w:t>
      </w:r>
      <w:r w:rsidR="0033562C">
        <w:t>.,</w:t>
      </w:r>
      <w:r w:rsidR="00DF172D">
        <w:t xml:space="preserve"> </w:t>
      </w:r>
      <w:r w:rsidR="00B1511F">
        <w:t xml:space="preserve">§ </w:t>
      </w:r>
      <w:r w:rsidR="00DF172D">
        <w:t>2644.19.)</w:t>
      </w:r>
      <w:r w:rsidR="00FD5EE9">
        <w:t xml:space="preserve">  </w:t>
      </w:r>
    </w:p>
    <w:p w14:paraId="47CCCE18" w14:textId="732BB019" w:rsidR="003A01E5" w:rsidRDefault="000B3A91" w:rsidP="00DB5124">
      <w:pPr>
        <w:spacing w:line="360" w:lineRule="auto"/>
      </w:pPr>
      <w:r>
        <w:lastRenderedPageBreak/>
        <w:tab/>
      </w:r>
      <w:r w:rsidR="003C65E0">
        <w:t>P</w:t>
      </w:r>
      <w:r>
        <w:t>rojected yield</w:t>
      </w:r>
      <w:r w:rsidR="003C65E0">
        <w:t xml:space="preserve"> is central to this app</w:t>
      </w:r>
      <w:r w:rsidR="00683714">
        <w:t>e</w:t>
      </w:r>
      <w:r w:rsidR="003C65E0">
        <w:t>al</w:t>
      </w:r>
      <w:r>
        <w:t>.</w:t>
      </w:r>
      <w:r w:rsidR="00E5390D">
        <w:t xml:space="preserve">  </w:t>
      </w:r>
      <w:r w:rsidR="00DF172D">
        <w:t xml:space="preserve">This factor initially </w:t>
      </w:r>
      <w:r w:rsidR="0021404E">
        <w:t xml:space="preserve">was </w:t>
      </w:r>
      <w:r w:rsidR="00DF172D">
        <w:t>based</w:t>
      </w:r>
      <w:r w:rsidR="001367FE">
        <w:t xml:space="preserve"> </w:t>
      </w:r>
      <w:r w:rsidR="000B2BAA" w:rsidRPr="005630A2">
        <w:t xml:space="preserve">on “imbedded yield,” </w:t>
      </w:r>
      <w:r w:rsidR="00DF172D">
        <w:t xml:space="preserve">calculated using </w:t>
      </w:r>
      <w:r w:rsidR="00DF172D" w:rsidRPr="005630A2">
        <w:t>“the insurer’s net investment income.”</w:t>
      </w:r>
      <w:r w:rsidR="000B2BAA" w:rsidRPr="005630A2">
        <w:t xml:space="preserve"> </w:t>
      </w:r>
      <w:r w:rsidR="000E1DC1">
        <w:t xml:space="preserve"> </w:t>
      </w:r>
      <w:r w:rsidR="000B2BAA" w:rsidRPr="005630A2">
        <w:t>(Reg</w:t>
      </w:r>
      <w:r w:rsidR="00B1511F">
        <w:t>ister</w:t>
      </w:r>
      <w:r w:rsidR="000B2BAA" w:rsidRPr="005630A2">
        <w:t xml:space="preserve"> 92, No. 3, p. </w:t>
      </w:r>
      <w:r w:rsidR="003A01E5">
        <w:t>728.30</w:t>
      </w:r>
      <w:r w:rsidR="00DF172D">
        <w:t xml:space="preserve">; </w:t>
      </w:r>
      <w:r w:rsidR="00B1511F" w:rsidRPr="005630A2">
        <w:t>Reg</w:t>
      </w:r>
      <w:r w:rsidR="00B1511F">
        <w:t>ister</w:t>
      </w:r>
      <w:r w:rsidR="00B1511F" w:rsidRPr="005630A2">
        <w:t xml:space="preserve"> </w:t>
      </w:r>
      <w:r w:rsidR="000B2BAA" w:rsidRPr="005630A2">
        <w:t>92, Nos. 15-17, p. 728.32</w:t>
      </w:r>
      <w:r w:rsidR="00DF172D">
        <w:t xml:space="preserve">; </w:t>
      </w:r>
      <w:r w:rsidR="00B1511F" w:rsidRPr="005630A2">
        <w:t>Reg</w:t>
      </w:r>
      <w:r w:rsidR="00B1511F">
        <w:t xml:space="preserve">ister </w:t>
      </w:r>
      <w:r w:rsidR="00DF172D">
        <w:t>95, No</w:t>
      </w:r>
      <w:r w:rsidR="002D38DD">
        <w:t>s</w:t>
      </w:r>
      <w:r w:rsidR="00DF172D">
        <w:t>.</w:t>
      </w:r>
      <w:r w:rsidR="002D38DD">
        <w:t xml:space="preserve"> 10-11, p. 728.26</w:t>
      </w:r>
      <w:r w:rsidR="00DF172D">
        <w:t>.</w:t>
      </w:r>
      <w:r w:rsidR="007F3ADB" w:rsidRPr="005630A2">
        <w:t>)</w:t>
      </w:r>
      <w:r w:rsidR="0021404E">
        <w:t xml:space="preserve">  </w:t>
      </w:r>
      <w:r w:rsidR="00987721" w:rsidRPr="005630A2">
        <w:t xml:space="preserve">Effective 2007, </w:t>
      </w:r>
      <w:r w:rsidR="000B2BAA" w:rsidRPr="005630A2">
        <w:t>the regulation was amende</w:t>
      </w:r>
      <w:r w:rsidR="002D38DD">
        <w:t>d as follows</w:t>
      </w:r>
      <w:r w:rsidR="003A01E5">
        <w:t>:</w:t>
      </w:r>
    </w:p>
    <w:p w14:paraId="26A38ADB" w14:textId="7BC5A5A6" w:rsidR="005D39EE" w:rsidRDefault="003A01E5" w:rsidP="00A076C7">
      <w:pPr>
        <w:pStyle w:val="IndentedQuote"/>
        <w:spacing w:after="160"/>
      </w:pPr>
      <w:r>
        <w:t>“ ‘</w:t>
      </w:r>
      <w:r w:rsidRPr="003A01E5">
        <w:t>Projected yield</w:t>
      </w:r>
      <w:r>
        <w:t>’</w:t>
      </w:r>
      <w:r w:rsidRPr="003A01E5">
        <w:t xml:space="preserve"> means the weighted average yield computed using the insurer</w:t>
      </w:r>
      <w:r w:rsidR="001F4B1E">
        <w:t>’</w:t>
      </w:r>
      <w:r w:rsidRPr="003A01E5">
        <w:t>s actual portfolio and yields currently available on securities in US capital markets.</w:t>
      </w:r>
      <w:r w:rsidR="00F70050">
        <w:t xml:space="preserve"> </w:t>
      </w:r>
      <w:r w:rsidRPr="003A01E5">
        <w:t xml:space="preserve"> The weights shall be determined using the insurer</w:t>
      </w:r>
      <w:r>
        <w:t>’</w:t>
      </w:r>
      <w:r w:rsidRPr="003A01E5">
        <w:t>s most recent consolidated statutory annual statement, and shall be computed by dividing the insurer</w:t>
      </w:r>
      <w:r w:rsidR="001F4B1E">
        <w:t>’</w:t>
      </w:r>
      <w:r w:rsidRPr="003A01E5">
        <w:t xml:space="preserve">s assets in each separate asset class </w:t>
      </w:r>
      <w:r>
        <w:t xml:space="preserve">. . . </w:t>
      </w:r>
      <w:r w:rsidRPr="003A01E5">
        <w:t>.</w:t>
      </w:r>
      <w:r w:rsidR="00BE4055">
        <w:t>”</w:t>
      </w:r>
    </w:p>
    <w:p w14:paraId="6B12C0E2" w14:textId="77009384" w:rsidR="00BC799B" w:rsidRDefault="007F3ADB" w:rsidP="00DB5124">
      <w:pPr>
        <w:spacing w:line="360" w:lineRule="auto"/>
      </w:pPr>
      <w:r w:rsidRPr="005630A2">
        <w:t>(Reg</w:t>
      </w:r>
      <w:r w:rsidR="003A3CC3">
        <w:t>ister</w:t>
      </w:r>
      <w:r w:rsidR="00B1511F">
        <w:t xml:space="preserve"> </w:t>
      </w:r>
      <w:r w:rsidRPr="005630A2">
        <w:t>2007, No. 1</w:t>
      </w:r>
      <w:r w:rsidR="002D38DD">
        <w:t xml:space="preserve">; </w:t>
      </w:r>
      <w:r w:rsidR="00075BD8">
        <w:t>reg. § 2644.20</w:t>
      </w:r>
      <w:r w:rsidR="002D38DD">
        <w:t>, subd. (a).</w:t>
      </w:r>
      <w:r w:rsidR="003A01E5">
        <w:t>)</w:t>
      </w:r>
      <w:r w:rsidR="002D38DD">
        <w:t xml:space="preserve">  </w:t>
      </w:r>
      <w:r w:rsidR="004819E9">
        <w:t xml:space="preserve">A </w:t>
      </w:r>
      <w:r w:rsidR="003A01E5">
        <w:t>set yield was assigned for each asset class</w:t>
      </w:r>
      <w:r w:rsidR="005E4349">
        <w:t xml:space="preserve">, with bonds </w:t>
      </w:r>
      <w:r w:rsidR="00CA6840">
        <w:t>having</w:t>
      </w:r>
      <w:r w:rsidR="005E4349">
        <w:t xml:space="preserve"> lower yields and stocks </w:t>
      </w:r>
      <w:r w:rsidR="00CA6840">
        <w:t>having</w:t>
      </w:r>
      <w:r w:rsidR="005E4349">
        <w:t xml:space="preserve"> higher ones</w:t>
      </w:r>
      <w:r w:rsidR="004819E9">
        <w:t>.</w:t>
      </w:r>
      <w:r w:rsidR="009F6E63">
        <w:t xml:space="preserve"> </w:t>
      </w:r>
      <w:r w:rsidR="003A01E5">
        <w:t xml:space="preserve"> (</w:t>
      </w:r>
      <w:r w:rsidRPr="005630A2">
        <w:t xml:space="preserve">Reg. </w:t>
      </w:r>
      <w:r w:rsidR="00B1511F">
        <w:t xml:space="preserve">§ </w:t>
      </w:r>
      <w:r w:rsidRPr="005630A2">
        <w:t>2644.20, subd. (c).)</w:t>
      </w:r>
      <w:r w:rsidR="002D38DD">
        <w:rPr>
          <w:rStyle w:val="FootnoteReference"/>
        </w:rPr>
        <w:footnoteReference w:id="5"/>
      </w:r>
      <w:r w:rsidR="004819E9">
        <w:t xml:space="preserve">  </w:t>
      </w:r>
    </w:p>
    <w:p w14:paraId="497E8953" w14:textId="7A6B3971" w:rsidR="00DF172D" w:rsidRDefault="00B32BE5" w:rsidP="00DB5124">
      <w:pPr>
        <w:spacing w:line="360" w:lineRule="auto"/>
      </w:pPr>
      <w:r>
        <w:tab/>
        <w:t xml:space="preserve">Reserves </w:t>
      </w:r>
      <w:r w:rsidR="00D7239A">
        <w:t>are funds for expected liabilities (</w:t>
      </w:r>
      <w:r w:rsidR="00D7239A" w:rsidRPr="00911B9C">
        <w:t>Werner and Modlin</w:t>
      </w:r>
      <w:r w:rsidR="00D7239A">
        <w:t>, at p.</w:t>
      </w:r>
      <w:r w:rsidR="00F70050">
        <w:t> </w:t>
      </w:r>
      <w:r w:rsidR="00D7239A">
        <w:t>317)</w:t>
      </w:r>
      <w:r w:rsidR="001367FE">
        <w:t xml:space="preserve">, while surplus is </w:t>
      </w:r>
      <w:r>
        <w:t>“available capital backing up premiums</w:t>
      </w:r>
      <w:r w:rsidR="001367FE">
        <w:t>.</w:t>
      </w:r>
      <w:r w:rsidR="00D7239A">
        <w:t>”</w:t>
      </w:r>
      <w:r>
        <w:t xml:space="preserve">  (</w:t>
      </w:r>
      <w:r w:rsidRPr="00D21C1A">
        <w:rPr>
          <w:i/>
          <w:iCs/>
        </w:rPr>
        <w:t>20th Century</w:t>
      </w:r>
      <w:r>
        <w:t xml:space="preserve">, 8 Cal.4th at pp. 259, </w:t>
      </w:r>
      <w:r w:rsidR="00022CDB">
        <w:t>290</w:t>
      </w:r>
      <w:r w:rsidR="0021404E">
        <w:t xml:space="preserve">; </w:t>
      </w:r>
      <w:r w:rsidR="00010A71">
        <w:t xml:space="preserve">see </w:t>
      </w:r>
      <w:r w:rsidR="0021404E">
        <w:rPr>
          <w:i/>
          <w:iCs/>
        </w:rPr>
        <w:t>id</w:t>
      </w:r>
      <w:r w:rsidR="0021404E">
        <w:t>. at p. 290 [s</w:t>
      </w:r>
      <w:r w:rsidR="0021404E" w:rsidRPr="0021404E">
        <w:t xml:space="preserve">urplus may </w:t>
      </w:r>
      <w:r w:rsidR="0021404E">
        <w:t>“</w:t>
      </w:r>
      <w:r w:rsidR="0021404E" w:rsidRPr="0021404E">
        <w:t>simultaneously support the insurance business and earn investment income</w:t>
      </w:r>
      <w:r w:rsidR="0021404E">
        <w:t xml:space="preserve">”].)  </w:t>
      </w:r>
      <w:r w:rsidR="001367FE">
        <w:t xml:space="preserve">In the regulations, </w:t>
      </w:r>
      <w:r w:rsidR="00D7239A">
        <w:t>both</w:t>
      </w:r>
      <w:r w:rsidR="001367FE">
        <w:t xml:space="preserve"> </w:t>
      </w:r>
      <w:r w:rsidR="00DF172D">
        <w:t>are based on industry-wide averages</w:t>
      </w:r>
      <w:r w:rsidR="009F6E63">
        <w:t>.</w:t>
      </w:r>
      <w:r w:rsidR="00DF172D">
        <w:t xml:space="preserve"> </w:t>
      </w:r>
      <w:r w:rsidR="009F6E63">
        <w:t xml:space="preserve"> </w:t>
      </w:r>
      <w:r w:rsidR="00DF172D">
        <w:t xml:space="preserve">(Reg. </w:t>
      </w:r>
      <w:r w:rsidR="00B1511F">
        <w:t xml:space="preserve">§ </w:t>
      </w:r>
      <w:r w:rsidR="00DF172D">
        <w:t xml:space="preserve">2644.21 [requiring industry-wide reserve ratios]; </w:t>
      </w:r>
      <w:r w:rsidR="004F25DF">
        <w:rPr>
          <w:i/>
          <w:iCs/>
        </w:rPr>
        <w:t>i</w:t>
      </w:r>
      <w:r w:rsidR="009F6E63" w:rsidRPr="001253D0">
        <w:rPr>
          <w:i/>
          <w:iCs/>
        </w:rPr>
        <w:t>d</w:t>
      </w:r>
      <w:r w:rsidR="009F6E63">
        <w:t xml:space="preserve">., </w:t>
      </w:r>
      <w:r w:rsidR="00B1511F">
        <w:t xml:space="preserve">§ </w:t>
      </w:r>
      <w:r w:rsidR="00DF172D">
        <w:t xml:space="preserve">2644.22 [surplus ratio is reciprocal of leverage factor]; </w:t>
      </w:r>
      <w:r w:rsidR="004F25DF" w:rsidRPr="001253D0">
        <w:rPr>
          <w:i/>
          <w:iCs/>
        </w:rPr>
        <w:t>id</w:t>
      </w:r>
      <w:r w:rsidR="004F25DF">
        <w:t xml:space="preserve">., </w:t>
      </w:r>
      <w:r w:rsidR="00B1511F">
        <w:t xml:space="preserve">§ </w:t>
      </w:r>
      <w:r w:rsidR="00DF172D">
        <w:t xml:space="preserve">2644.17 [requiring industry-wide leverage factors].)  The </w:t>
      </w:r>
      <w:r w:rsidR="00B1511F">
        <w:t xml:space="preserve">federal income </w:t>
      </w:r>
      <w:r w:rsidR="00DF172D">
        <w:t xml:space="preserve">tax factors are based on tax rates, subject to certain adjustments (including, in part, weighted yield under Reg. </w:t>
      </w:r>
      <w:r w:rsidR="00B1511F">
        <w:t xml:space="preserve">§ </w:t>
      </w:r>
      <w:r w:rsidR="00DF172D">
        <w:t xml:space="preserve">2644.20).  </w:t>
      </w:r>
      <w:r w:rsidR="00DF172D" w:rsidRPr="003C65E0">
        <w:t>(</w:t>
      </w:r>
      <w:r w:rsidR="00E166DF" w:rsidRPr="001312DF">
        <w:rPr>
          <w:i/>
          <w:iCs/>
        </w:rPr>
        <w:t>I</w:t>
      </w:r>
      <w:r w:rsidR="00E166DF" w:rsidRPr="001253D0">
        <w:rPr>
          <w:i/>
          <w:iCs/>
        </w:rPr>
        <w:t>d</w:t>
      </w:r>
      <w:r w:rsidR="00E166DF">
        <w:t xml:space="preserve">., </w:t>
      </w:r>
      <w:r w:rsidR="00B1511F">
        <w:t xml:space="preserve">§ </w:t>
      </w:r>
      <w:r w:rsidR="00DF172D">
        <w:t>2644.18</w:t>
      </w:r>
      <w:r w:rsidR="00DF172D" w:rsidRPr="00683714">
        <w:t>.)</w:t>
      </w:r>
      <w:r w:rsidR="00DF172D">
        <w:t xml:space="preserve">  </w:t>
      </w:r>
    </w:p>
    <w:p w14:paraId="16670C4C" w14:textId="77777777" w:rsidR="00EB6561" w:rsidRPr="005630A2" w:rsidRDefault="00023D59" w:rsidP="0087357D">
      <w:pPr>
        <w:pStyle w:val="Heading1"/>
        <w:keepLines w:val="0"/>
        <w:spacing w:before="0" w:line="360" w:lineRule="auto"/>
        <w:contextualSpacing/>
        <w:rPr>
          <w:rFonts w:ascii="Century Schoolbook" w:eastAsia="Calibri" w:hAnsi="Century Schoolbook" w:cs="Times New Roman"/>
          <w:color w:val="auto"/>
          <w:sz w:val="26"/>
          <w:szCs w:val="26"/>
        </w:rPr>
      </w:pPr>
      <w:r>
        <w:rPr>
          <w:rFonts w:ascii="Century Schoolbook" w:eastAsia="Calibri" w:hAnsi="Century Schoolbook" w:cs="Times New Roman"/>
          <w:color w:val="auto"/>
          <w:sz w:val="26"/>
          <w:szCs w:val="26"/>
        </w:rPr>
        <w:lastRenderedPageBreak/>
        <w:t>C</w:t>
      </w:r>
      <w:r w:rsidR="0005738F" w:rsidRPr="005630A2">
        <w:rPr>
          <w:rFonts w:ascii="Century Schoolbook" w:eastAsia="Calibri" w:hAnsi="Century Schoolbook" w:cs="Times New Roman"/>
          <w:color w:val="auto"/>
          <w:sz w:val="26"/>
          <w:szCs w:val="26"/>
        </w:rPr>
        <w:t>.</w:t>
      </w:r>
      <w:r w:rsidR="0005738F" w:rsidRPr="005630A2">
        <w:rPr>
          <w:rFonts w:ascii="Century Schoolbook" w:eastAsia="Calibri" w:hAnsi="Century Schoolbook" w:cs="Times New Roman"/>
          <w:color w:val="auto"/>
          <w:sz w:val="26"/>
          <w:szCs w:val="26"/>
        </w:rPr>
        <w:tab/>
      </w:r>
      <w:r w:rsidR="00692541">
        <w:rPr>
          <w:rFonts w:ascii="Century Schoolbook" w:eastAsia="Calibri" w:hAnsi="Century Schoolbook" w:cs="Times New Roman"/>
          <w:i/>
          <w:iCs/>
          <w:color w:val="auto"/>
          <w:sz w:val="26"/>
          <w:szCs w:val="26"/>
        </w:rPr>
        <w:t>The</w:t>
      </w:r>
      <w:r w:rsidR="00BF10C1">
        <w:rPr>
          <w:rFonts w:ascii="Century Schoolbook" w:eastAsia="Calibri" w:hAnsi="Century Schoolbook" w:cs="Times New Roman"/>
          <w:i/>
          <w:iCs/>
          <w:color w:val="auto"/>
          <w:sz w:val="26"/>
          <w:szCs w:val="26"/>
        </w:rPr>
        <w:t xml:space="preserve"> NAIC</w:t>
      </w:r>
      <w:r w:rsidR="003D3A0E" w:rsidRPr="005630A2">
        <w:rPr>
          <w:rFonts w:ascii="Century Schoolbook" w:eastAsia="Calibri" w:hAnsi="Century Schoolbook" w:cs="Times New Roman"/>
          <w:color w:val="auto"/>
          <w:sz w:val="26"/>
          <w:szCs w:val="26"/>
        </w:rPr>
        <w:t xml:space="preserve"> </w:t>
      </w:r>
      <w:r w:rsidR="00692541" w:rsidRPr="00692541">
        <w:rPr>
          <w:rFonts w:ascii="Century Schoolbook" w:eastAsia="Calibri" w:hAnsi="Century Schoolbook" w:cs="Times New Roman"/>
          <w:i/>
          <w:iCs/>
          <w:color w:val="auto"/>
          <w:sz w:val="26"/>
          <w:szCs w:val="26"/>
        </w:rPr>
        <w:t>and Insurer Reporting</w:t>
      </w:r>
    </w:p>
    <w:p w14:paraId="0A4F7C9B" w14:textId="63F21445" w:rsidR="00010A71" w:rsidRPr="00010A71" w:rsidRDefault="00EE7B7D" w:rsidP="0087357D">
      <w:pPr>
        <w:keepNext/>
        <w:spacing w:line="360" w:lineRule="auto"/>
      </w:pPr>
      <w:r w:rsidRPr="005630A2">
        <w:tab/>
      </w:r>
      <w:r w:rsidR="00461A4B" w:rsidRPr="005630A2">
        <w:t xml:space="preserve">The National Association of Insurance Commissioners (NAIC) is </w:t>
      </w:r>
      <w:r w:rsidR="00D305BB" w:rsidRPr="005630A2">
        <w:t>an organization of</w:t>
      </w:r>
      <w:r w:rsidR="009B0222" w:rsidRPr="005630A2">
        <w:t xml:space="preserve"> insurance regulat</w:t>
      </w:r>
      <w:r w:rsidR="00D305BB" w:rsidRPr="005630A2">
        <w:t>ors from each state</w:t>
      </w:r>
      <w:r w:rsidR="009B0222" w:rsidRPr="005630A2">
        <w:t xml:space="preserve"> that identifies best practices and promotes uniformity.  </w:t>
      </w:r>
      <w:r w:rsidR="00E57494">
        <w:t xml:space="preserve">The </w:t>
      </w:r>
      <w:r w:rsidR="00461A4B" w:rsidRPr="005630A2">
        <w:t xml:space="preserve">NAIC has </w:t>
      </w:r>
      <w:r w:rsidR="0055213E">
        <w:t xml:space="preserve">financial statement </w:t>
      </w:r>
      <w:r w:rsidR="00461A4B" w:rsidRPr="005630A2">
        <w:t xml:space="preserve">forms (or </w:t>
      </w:r>
      <w:r w:rsidR="00A94FDB">
        <w:t>“</w:t>
      </w:r>
      <w:r w:rsidR="00461A4B" w:rsidRPr="005630A2">
        <w:t>blanks</w:t>
      </w:r>
      <w:r w:rsidR="00A94FDB">
        <w:t>”</w:t>
      </w:r>
      <w:r w:rsidR="00461A4B" w:rsidRPr="005630A2">
        <w:t xml:space="preserve">), </w:t>
      </w:r>
      <w:r w:rsidR="00E57494">
        <w:t xml:space="preserve">instructions, </w:t>
      </w:r>
      <w:r w:rsidR="00461A4B" w:rsidRPr="005630A2">
        <w:t>and a</w:t>
      </w:r>
      <w:r w:rsidR="005E4349">
        <w:t>n Accounting Practices and Procedures Manual for insurer reporting</w:t>
      </w:r>
      <w:r w:rsidR="00461A4B" w:rsidRPr="005630A2">
        <w:t>.</w:t>
      </w:r>
      <w:r w:rsidR="009B0222" w:rsidRPr="005630A2">
        <w:rPr>
          <w:rStyle w:val="FootnoteReference"/>
        </w:rPr>
        <w:footnoteReference w:id="6"/>
      </w:r>
      <w:r w:rsidRPr="005630A2">
        <w:t xml:space="preserve"> </w:t>
      </w:r>
      <w:r w:rsidR="00570550" w:rsidRPr="005630A2">
        <w:t xml:space="preserve"> </w:t>
      </w:r>
      <w:r w:rsidR="0055213E">
        <w:t>Relevant here, there</w:t>
      </w:r>
      <w:r w:rsidR="002B2ED5">
        <w:t xml:space="preserve"> i</w:t>
      </w:r>
      <w:r w:rsidR="0055213E">
        <w:t>s a</w:t>
      </w:r>
      <w:r w:rsidR="002B2ED5">
        <w:t xml:space="preserve"> blank for a combined annual statement for affiliated property/casualty insurers. </w:t>
      </w:r>
      <w:r w:rsidR="00010A71">
        <w:t xml:space="preserve"> </w:t>
      </w:r>
      <w:r w:rsidR="00BF10C1">
        <w:rPr>
          <w:szCs w:val="26"/>
          <w:shd w:val="clear" w:color="auto" w:fill="FFFFFF"/>
        </w:rPr>
        <w:t>T</w:t>
      </w:r>
      <w:r w:rsidR="00D305BB" w:rsidRPr="005630A2">
        <w:rPr>
          <w:szCs w:val="26"/>
          <w:shd w:val="clear" w:color="auto" w:fill="FFFFFF"/>
        </w:rPr>
        <w:t xml:space="preserve">he </w:t>
      </w:r>
      <w:r w:rsidR="00570550" w:rsidRPr="005630A2">
        <w:t>instruction</w:t>
      </w:r>
      <w:r w:rsidRPr="005630A2">
        <w:t xml:space="preserve">s </w:t>
      </w:r>
      <w:r w:rsidR="00010A71">
        <w:t xml:space="preserve">provide that “[e]very group of affiliated insurers” that meet conditions described therein shall file a combined annual statement with the NAIC Support and Services Offices.  They further indicate </w:t>
      </w:r>
      <w:r w:rsidR="00A94FDB">
        <w:t>the statement’s</w:t>
      </w:r>
      <w:r w:rsidR="00010A71">
        <w:t xml:space="preserve"> </w:t>
      </w:r>
      <w:r w:rsidR="00570550" w:rsidRPr="005630A2">
        <w:t>“primary purpose”</w:t>
      </w:r>
      <w:r w:rsidR="003D1C48">
        <w:t xml:space="preserve"> </w:t>
      </w:r>
      <w:r w:rsidR="00570550" w:rsidRPr="005630A2">
        <w:t>is “to provide the NAIC database w</w:t>
      </w:r>
      <w:r w:rsidRPr="005630A2">
        <w:t>ith</w:t>
      </w:r>
      <w:r w:rsidR="00570550" w:rsidRPr="005630A2">
        <w:t xml:space="preserve"> combined data for each group of</w:t>
      </w:r>
      <w:r w:rsidRPr="005630A2">
        <w:t xml:space="preserve"> </w:t>
      </w:r>
      <w:r w:rsidR="00570550" w:rsidRPr="005630A2">
        <w:t xml:space="preserve">affiliated insurers for use by the NAIC in statistical research and analysis.”  </w:t>
      </w:r>
    </w:p>
    <w:p w14:paraId="266BF43E" w14:textId="06882F00" w:rsidR="003A3A41" w:rsidRPr="005630A2" w:rsidRDefault="00D305BB" w:rsidP="00DB5124">
      <w:pPr>
        <w:spacing w:line="360" w:lineRule="auto"/>
      </w:pPr>
      <w:r w:rsidRPr="005630A2">
        <w:tab/>
      </w:r>
      <w:r w:rsidR="00010A71">
        <w:t>The Insurance Code requires each</w:t>
      </w:r>
      <w:r w:rsidR="00E57494" w:rsidRPr="005630A2">
        <w:t xml:space="preserve"> insurer </w:t>
      </w:r>
      <w:r w:rsidR="00E57494">
        <w:t>doing business in</w:t>
      </w:r>
      <w:r w:rsidR="00E57494" w:rsidRPr="005630A2">
        <w:t xml:space="preserve"> California to file annual and quarterly statements</w:t>
      </w:r>
      <w:r w:rsidR="00E57494">
        <w:t xml:space="preserve"> with the Commissioner.</w:t>
      </w:r>
      <w:r w:rsidR="00E57494" w:rsidRPr="005630A2">
        <w:t xml:space="preserve"> </w:t>
      </w:r>
      <w:r w:rsidR="00B03114">
        <w:t xml:space="preserve"> </w:t>
      </w:r>
      <w:r w:rsidR="00E57494" w:rsidRPr="005630A2">
        <w:t>(§ 900.)</w:t>
      </w:r>
      <w:r w:rsidR="005E4349">
        <w:t xml:space="preserve">  </w:t>
      </w:r>
      <w:r w:rsidR="00010A71">
        <w:t>They</w:t>
      </w:r>
      <w:r w:rsidR="005E4349">
        <w:t xml:space="preserve"> must use the NAIC statement blanks and instructions, and complete them consistent with the NAIC manual, “</w:t>
      </w:r>
      <w:r w:rsidR="005E4349" w:rsidRPr="005630A2">
        <w:t xml:space="preserve">to the extent </w:t>
      </w:r>
      <w:r w:rsidR="005E4349">
        <w:t xml:space="preserve">. . . </w:t>
      </w:r>
      <w:r w:rsidR="005E4349" w:rsidRPr="005630A2">
        <w:t>not [in] conflict</w:t>
      </w:r>
      <w:r w:rsidR="00010A71">
        <w:t>” with code provision</w:t>
      </w:r>
      <w:r w:rsidR="00A94FDB">
        <w:t>s</w:t>
      </w:r>
      <w:r w:rsidR="00010A71">
        <w:t>.</w:t>
      </w:r>
      <w:r w:rsidR="005E4349">
        <w:t xml:space="preserve"> </w:t>
      </w:r>
      <w:r w:rsidR="004F25DF">
        <w:t xml:space="preserve"> </w:t>
      </w:r>
      <w:r w:rsidR="005E4349">
        <w:t xml:space="preserve">(§ 923.)  </w:t>
      </w:r>
      <w:r w:rsidR="00BF10C1">
        <w:t xml:space="preserve">A separate provision requires insurers to file copies of their annual and quarterly statements with </w:t>
      </w:r>
      <w:r w:rsidR="004F2ED5">
        <w:t xml:space="preserve">the </w:t>
      </w:r>
      <w:r w:rsidR="00BF10C1">
        <w:t>NAIC</w:t>
      </w:r>
      <w:r w:rsidR="00F22A2F" w:rsidRPr="005630A2">
        <w:t xml:space="preserve">. </w:t>
      </w:r>
      <w:r w:rsidR="00B03114">
        <w:t xml:space="preserve"> </w:t>
      </w:r>
      <w:r w:rsidR="00F22A2F" w:rsidRPr="005630A2">
        <w:t>(§ 931.)</w:t>
      </w:r>
      <w:r w:rsidR="00EC0945" w:rsidRPr="005630A2">
        <w:t xml:space="preserve"> </w:t>
      </w:r>
    </w:p>
    <w:p w14:paraId="1685AF44" w14:textId="77777777" w:rsidR="0007368C" w:rsidRPr="006C77DD" w:rsidRDefault="00023D59" w:rsidP="00DB5124">
      <w:pPr>
        <w:pStyle w:val="Heading1"/>
        <w:keepLines w:val="0"/>
        <w:spacing w:before="0" w:line="360" w:lineRule="auto"/>
        <w:contextualSpacing/>
        <w:rPr>
          <w:rFonts w:ascii="Century Schoolbook" w:eastAsia="Calibri" w:hAnsi="Century Schoolbook" w:cs="Times New Roman"/>
          <w:iCs/>
          <w:color w:val="auto"/>
          <w:sz w:val="26"/>
          <w:szCs w:val="26"/>
        </w:rPr>
      </w:pPr>
      <w:bookmarkStart w:id="9" w:name="_Hlk71709703"/>
      <w:r>
        <w:rPr>
          <w:rFonts w:ascii="Century Schoolbook" w:eastAsia="Calibri" w:hAnsi="Century Schoolbook" w:cs="Times New Roman"/>
          <w:color w:val="auto"/>
          <w:sz w:val="26"/>
          <w:szCs w:val="26"/>
        </w:rPr>
        <w:t>D</w:t>
      </w:r>
      <w:r w:rsidR="003E4F0D" w:rsidRPr="005630A2">
        <w:rPr>
          <w:rFonts w:ascii="Century Schoolbook" w:eastAsia="Calibri" w:hAnsi="Century Schoolbook" w:cs="Times New Roman"/>
          <w:color w:val="auto"/>
          <w:sz w:val="26"/>
          <w:szCs w:val="26"/>
        </w:rPr>
        <w:t>.</w:t>
      </w:r>
      <w:r w:rsidR="003E4F0D" w:rsidRPr="005630A2">
        <w:rPr>
          <w:rFonts w:ascii="Century Schoolbook" w:eastAsia="Calibri" w:hAnsi="Century Schoolbook" w:cs="Times New Roman"/>
          <w:color w:val="auto"/>
          <w:sz w:val="26"/>
          <w:szCs w:val="26"/>
        </w:rPr>
        <w:tab/>
      </w:r>
      <w:r w:rsidR="00692541">
        <w:rPr>
          <w:rFonts w:ascii="Century Schoolbook" w:eastAsia="Calibri" w:hAnsi="Century Schoolbook" w:cs="Times New Roman"/>
          <w:i/>
          <w:iCs/>
          <w:color w:val="auto"/>
          <w:sz w:val="26"/>
          <w:szCs w:val="26"/>
        </w:rPr>
        <w:t xml:space="preserve">Background on </w:t>
      </w:r>
      <w:r w:rsidR="00097CDD" w:rsidRPr="005630A2">
        <w:rPr>
          <w:rFonts w:ascii="Century Schoolbook" w:eastAsia="Calibri" w:hAnsi="Century Schoolbook" w:cs="Times New Roman"/>
          <w:i/>
          <w:color w:val="auto"/>
          <w:sz w:val="26"/>
          <w:szCs w:val="26"/>
        </w:rPr>
        <w:t>SFG</w:t>
      </w:r>
    </w:p>
    <w:p w14:paraId="21A174C9" w14:textId="017ABAFE" w:rsidR="00A57DA5" w:rsidRDefault="00023D59" w:rsidP="00DB5124">
      <w:pPr>
        <w:spacing w:line="360" w:lineRule="auto"/>
      </w:pPr>
      <w:r>
        <w:tab/>
        <w:t xml:space="preserve">SFG is a wholly-owned subsidiary of </w:t>
      </w:r>
      <w:r w:rsidR="003A3CC3">
        <w:t>State Farm</w:t>
      </w:r>
      <w:r>
        <w:t xml:space="preserve"> Mutual</w:t>
      </w:r>
      <w:r w:rsidR="002B2ED5">
        <w:t xml:space="preserve">, which also has seven other property/casualty affiliates.  </w:t>
      </w:r>
      <w:r w:rsidR="002B2ED5" w:rsidRPr="005630A2">
        <w:t xml:space="preserve">These entities are sometimes </w:t>
      </w:r>
      <w:r w:rsidR="002B2ED5" w:rsidRPr="005630A2">
        <w:lastRenderedPageBreak/>
        <w:t>described</w:t>
      </w:r>
      <w:r w:rsidR="000E49C6">
        <w:t xml:space="preserve"> here</w:t>
      </w:r>
      <w:r w:rsidR="002B2ED5" w:rsidRPr="005630A2">
        <w:t xml:space="preserve"> as “State Farm Group</w:t>
      </w:r>
      <w:r w:rsidR="003A3CC3">
        <w:t>,</w:t>
      </w:r>
      <w:r w:rsidR="002B2ED5">
        <w:t>”</w:t>
      </w:r>
      <w:r w:rsidR="000E49C6">
        <w:t xml:space="preserve"> </w:t>
      </w:r>
      <w:r w:rsidR="002B2ED5" w:rsidRPr="005630A2">
        <w:t>and most, including SFG, are domiciled in Illinois.</w:t>
      </w:r>
      <w:r w:rsidR="009F29FE">
        <w:rPr>
          <w:rStyle w:val="FootnoteReference"/>
        </w:rPr>
        <w:footnoteReference w:id="7"/>
      </w:r>
      <w:r w:rsidR="002B2ED5" w:rsidRPr="005630A2">
        <w:t xml:space="preserve"> </w:t>
      </w:r>
      <w:r w:rsidR="002B2ED5">
        <w:t xml:space="preserve"> </w:t>
      </w:r>
      <w:r w:rsidR="003A3CC3">
        <w:t xml:space="preserve">  </w:t>
      </w:r>
    </w:p>
    <w:p w14:paraId="4A09F585" w14:textId="34D844C0" w:rsidR="004E2B03" w:rsidRDefault="004E2B03" w:rsidP="00DB5124">
      <w:pPr>
        <w:spacing w:line="360" w:lineRule="auto"/>
      </w:pPr>
      <w:r>
        <w:tab/>
        <w:t xml:space="preserve">SFG took its current form after 1998, when State Farm began the process of converting </w:t>
      </w:r>
      <w:r w:rsidR="000E49C6">
        <w:t>SFG</w:t>
      </w:r>
      <w:r>
        <w:t xml:space="preserve"> </w:t>
      </w:r>
      <w:r w:rsidR="000E49C6">
        <w:t xml:space="preserve">to </w:t>
      </w:r>
      <w:r>
        <w:t>a California-specific company for non-automobile lines, to better manage</w:t>
      </w:r>
      <w:r w:rsidRPr="004E2B03">
        <w:t xml:space="preserve"> </w:t>
      </w:r>
      <w:r>
        <w:t xml:space="preserve">“the </w:t>
      </w:r>
      <w:r w:rsidRPr="002A114F">
        <w:t>unusual risks presented by California’s exposure to catastrophes</w:t>
      </w:r>
      <w:r w:rsidR="009D6C18" w:rsidRPr="002A114F">
        <w:t>,</w:t>
      </w:r>
      <w:r w:rsidRPr="002A114F">
        <w:t xml:space="preserve">” </w:t>
      </w:r>
      <w:r w:rsidR="009D6C18" w:rsidRPr="002A114F">
        <w:t>while</w:t>
      </w:r>
      <w:r w:rsidRPr="002A114F">
        <w:t xml:space="preserve"> “segregat</w:t>
      </w:r>
      <w:r w:rsidR="009D6C18" w:rsidRPr="002A114F">
        <w:t>[ing]</w:t>
      </w:r>
      <w:r w:rsidRPr="002A114F">
        <w:t xml:space="preserve"> </w:t>
      </w:r>
      <w:r w:rsidR="00E166DF">
        <w:t>[</w:t>
      </w:r>
      <w:r w:rsidRPr="002A114F">
        <w:t>that</w:t>
      </w:r>
      <w:r w:rsidR="00E166DF">
        <w:t>]</w:t>
      </w:r>
      <w:r w:rsidRPr="002A114F">
        <w:t xml:space="preserve"> exposure</w:t>
      </w:r>
      <w:r w:rsidR="009D6C18" w:rsidRPr="002A114F">
        <w:t>” and avoiding “cross-subsidiz[ation]” of California policyholders.</w:t>
      </w:r>
      <w:r w:rsidRPr="002A114F">
        <w:t xml:space="preserve"> </w:t>
      </w:r>
      <w:r w:rsidR="009D6C18" w:rsidRPr="002A114F">
        <w:t xml:space="preserve"> </w:t>
      </w:r>
      <w:r w:rsidR="00534EF8" w:rsidRPr="002A114F">
        <w:t>As a result</w:t>
      </w:r>
      <w:r w:rsidR="00534EF8">
        <w:t xml:space="preserve">, SFG did not renew non-California homeowners’ policies, and started offering coverage to California homeowners previously insured by a different State Farm entity. </w:t>
      </w:r>
      <w:r w:rsidR="00ED6F8C">
        <w:t xml:space="preserve"> </w:t>
      </w:r>
      <w:r w:rsidR="00975E7B">
        <w:t>By</w:t>
      </w:r>
      <w:r w:rsidR="00ED6F8C">
        <w:t xml:space="preserve"> the time of the rate hearing</w:t>
      </w:r>
      <w:r w:rsidR="00975E7B">
        <w:t xml:space="preserve"> here</w:t>
      </w:r>
      <w:r w:rsidR="00ED6F8C">
        <w:t xml:space="preserve">, SFG insured approximately 20 percent of California homeowners. </w:t>
      </w:r>
      <w:r w:rsidR="00534EF8">
        <w:t xml:space="preserve"> </w:t>
      </w:r>
      <w:r>
        <w:t>State-specific entities were also developed for Florida and Texas</w:t>
      </w:r>
      <w:r w:rsidR="00534EF8">
        <w:t xml:space="preserve">, </w:t>
      </w:r>
      <w:r w:rsidR="00975E7B">
        <w:t>with</w:t>
      </w:r>
      <w:r w:rsidR="00534EF8">
        <w:t xml:space="preserve"> State Farm Fire and Casualty Insurance Company issu</w:t>
      </w:r>
      <w:r w:rsidR="00975E7B">
        <w:t>ing</w:t>
      </w:r>
      <w:r w:rsidR="00534EF8">
        <w:t xml:space="preserve"> policies in the remaining states</w:t>
      </w:r>
      <w:r>
        <w:t xml:space="preserve">. </w:t>
      </w:r>
      <w:r w:rsidR="00534EF8">
        <w:t xml:space="preserve"> </w:t>
      </w:r>
    </w:p>
    <w:p w14:paraId="7B1CD97D" w14:textId="39D99368" w:rsidR="00B32150" w:rsidRDefault="00975E7B" w:rsidP="00DB5124">
      <w:pPr>
        <w:spacing w:line="360" w:lineRule="auto"/>
      </w:pPr>
      <w:r>
        <w:tab/>
      </w:r>
      <w:r w:rsidR="00E25E93">
        <w:t>SFG has</w:t>
      </w:r>
      <w:r w:rsidR="00E373BD">
        <w:t xml:space="preserve"> its own</w:t>
      </w:r>
      <w:r w:rsidR="00E25E93">
        <w:t xml:space="preserve"> board of directors and officers, with</w:t>
      </w:r>
      <w:r w:rsidR="00CA46BE">
        <w:t xml:space="preserve"> </w:t>
      </w:r>
      <w:r>
        <w:t xml:space="preserve">those </w:t>
      </w:r>
      <w:r w:rsidR="00CA46BE">
        <w:t>individuals</w:t>
      </w:r>
      <w:r w:rsidR="00E25E93">
        <w:t xml:space="preserve"> serving </w:t>
      </w:r>
      <w:r w:rsidR="0066379D">
        <w:t>other State Farm entities</w:t>
      </w:r>
      <w:r w:rsidR="00E25E93">
        <w:t xml:space="preserve"> as wel</w:t>
      </w:r>
      <w:r w:rsidR="00897B5B">
        <w:t>l</w:t>
      </w:r>
      <w:r w:rsidR="00E25E93">
        <w:t xml:space="preserve">.  </w:t>
      </w:r>
      <w:r w:rsidR="00B32150">
        <w:t xml:space="preserve">SFG also takes part in shared services agreements </w:t>
      </w:r>
      <w:r w:rsidR="00897B5B">
        <w:t>for</w:t>
      </w:r>
      <w:r w:rsidR="00B32150">
        <w:t xml:space="preserve"> functions including underwriting, collections</w:t>
      </w:r>
      <w:r w:rsidR="00897B5B">
        <w:t xml:space="preserve">, </w:t>
      </w:r>
      <w:r w:rsidR="00A871D2">
        <w:t xml:space="preserve">and legal, </w:t>
      </w:r>
      <w:r w:rsidR="00897B5B">
        <w:t xml:space="preserve">and does not have its own employees.  SFG also </w:t>
      </w:r>
      <w:r w:rsidR="00B32150">
        <w:t>receives reinsurance protection, a credit line, and coverage of California Earthquake Authority contributions from S</w:t>
      </w:r>
      <w:r w:rsidR="003A3CC3">
        <w:t>tate Farm</w:t>
      </w:r>
      <w:r w:rsidR="00B32150">
        <w:t xml:space="preserve"> Mutual</w:t>
      </w:r>
      <w:r w:rsidR="00897B5B">
        <w:t>,</w:t>
      </w:r>
      <w:r w:rsidR="00B32150">
        <w:t xml:space="preserve"> and participates in a liquidity pool for affiliates that operates like a money market fund. </w:t>
      </w:r>
    </w:p>
    <w:p w14:paraId="1CD07903" w14:textId="25E439E0" w:rsidR="00A871D2" w:rsidRDefault="00B32150" w:rsidP="00A871D2">
      <w:pPr>
        <w:spacing w:line="360" w:lineRule="auto"/>
      </w:pPr>
      <w:r>
        <w:tab/>
        <w:t xml:space="preserve">As for investments, </w:t>
      </w:r>
      <w:r w:rsidR="00AD4305">
        <w:t xml:space="preserve">State Farm has an </w:t>
      </w:r>
      <w:r w:rsidR="00607128">
        <w:t>investment d</w:t>
      </w:r>
      <w:r w:rsidR="00AD4305">
        <w:t>epartment</w:t>
      </w:r>
      <w:r w:rsidR="00607128">
        <w:t xml:space="preserve"> </w:t>
      </w:r>
      <w:r w:rsidR="00A828EB">
        <w:t>that has stated investment policies, and which</w:t>
      </w:r>
      <w:r w:rsidR="00AD4305">
        <w:t xml:space="preserve"> develops a specific investment plan for each entity.  The </w:t>
      </w:r>
      <w:r w:rsidR="00975E7B">
        <w:t>i</w:t>
      </w:r>
      <w:r w:rsidR="00AD4305">
        <w:t xml:space="preserve">nvestment </w:t>
      </w:r>
      <w:r w:rsidR="00975E7B">
        <w:t>d</w:t>
      </w:r>
      <w:r w:rsidR="00AD4305">
        <w:t>epartment recommended a 100</w:t>
      </w:r>
      <w:r w:rsidR="00B03114">
        <w:t xml:space="preserve"> percent</w:t>
      </w:r>
      <w:r w:rsidR="00AD4305">
        <w:t xml:space="preserve"> bond portfolio for SFG</w:t>
      </w:r>
      <w:r w:rsidR="00031C2E">
        <w:t xml:space="preserve">, based on its business needs and exposures, </w:t>
      </w:r>
      <w:r w:rsidR="00AD4305">
        <w:t xml:space="preserve">which </w:t>
      </w:r>
      <w:r w:rsidR="00975E7B">
        <w:t>was</w:t>
      </w:r>
      <w:r w:rsidR="00AD4305">
        <w:t xml:space="preserve"> submitted to SFG’s investment committee and </w:t>
      </w:r>
      <w:r w:rsidR="00CA46BE">
        <w:t xml:space="preserve">then </w:t>
      </w:r>
      <w:r w:rsidR="00AD4305">
        <w:t xml:space="preserve">its </w:t>
      </w:r>
      <w:r w:rsidR="00031C2E">
        <w:t>board</w:t>
      </w:r>
      <w:r w:rsidR="00AD4305">
        <w:t xml:space="preserve">. </w:t>
      </w:r>
      <w:r w:rsidR="00031C2E">
        <w:t xml:space="preserve"> </w:t>
      </w:r>
      <w:r w:rsidR="00975E7B" w:rsidRPr="00975E7B">
        <w:t xml:space="preserve">State Farm </w:t>
      </w:r>
      <w:r w:rsidR="00975E7B" w:rsidRPr="00975E7B">
        <w:lastRenderedPageBreak/>
        <w:t xml:space="preserve">Group </w:t>
      </w:r>
      <w:r w:rsidR="00BD3FA5">
        <w:t>has</w:t>
      </w:r>
      <w:r w:rsidR="00975E7B" w:rsidRPr="00975E7B">
        <w:t xml:space="preserve"> a significant stock portfolio</w:t>
      </w:r>
      <w:r w:rsidR="00C216A0">
        <w:t xml:space="preserve">, </w:t>
      </w:r>
      <w:r>
        <w:t>with</w:t>
      </w:r>
      <w:r w:rsidR="00975E7B">
        <w:t xml:space="preserve"> </w:t>
      </w:r>
      <w:r w:rsidR="00C216A0">
        <w:t>approximately</w:t>
      </w:r>
      <w:r w:rsidR="00975E7B" w:rsidRPr="00975E7B">
        <w:t xml:space="preserve"> 40</w:t>
      </w:r>
      <w:r w:rsidR="00B03114">
        <w:t xml:space="preserve"> percent</w:t>
      </w:r>
      <w:r w:rsidR="00975E7B" w:rsidRPr="00975E7B">
        <w:t xml:space="preserve"> of assets in stocks</w:t>
      </w:r>
      <w:r w:rsidR="00C216A0">
        <w:t xml:space="preserve"> at the relevant time</w:t>
      </w:r>
      <w:r w:rsidR="00975E7B">
        <w:t>.</w:t>
      </w:r>
      <w:r w:rsidR="00975E7B" w:rsidRPr="00975E7B">
        <w:t xml:space="preserve"> </w:t>
      </w:r>
      <w:r w:rsidR="00AB7438">
        <w:t xml:space="preserve"> </w:t>
      </w:r>
      <w:r w:rsidR="00A871D2">
        <w:t xml:space="preserve">Although many large insurers have intercompany pooling agreements, in which premiums and losses are pooled and distributed, SFG has no such arrangement.  SFG maintains that it relies on its surplus to meet policyholder needs, and </w:t>
      </w:r>
      <w:r w:rsidR="00027AA4">
        <w:t xml:space="preserve">that </w:t>
      </w:r>
      <w:r w:rsidR="00A871D2">
        <w:t>State Farm Mutual does not have access to it.</w:t>
      </w:r>
      <w:r w:rsidR="00A871D2" w:rsidRPr="00B32150">
        <w:t xml:space="preserve"> </w:t>
      </w:r>
    </w:p>
    <w:p w14:paraId="04BF3173" w14:textId="59B70B90" w:rsidR="00A871D2" w:rsidRDefault="00B32150" w:rsidP="00DB5124">
      <w:pPr>
        <w:spacing w:line="360" w:lineRule="auto"/>
      </w:pPr>
      <w:r>
        <w:tab/>
      </w:r>
      <w:r w:rsidRPr="00B32150">
        <w:t xml:space="preserve">SFG files its own annual statement.  </w:t>
      </w:r>
      <w:r w:rsidR="003A3CC3">
        <w:t>State Farm Mutual</w:t>
      </w:r>
      <w:r w:rsidR="003A3CC3" w:rsidRPr="00B32150">
        <w:t xml:space="preserve"> </w:t>
      </w:r>
      <w:r w:rsidRPr="00B32150">
        <w:t xml:space="preserve">does so as well, and also files a combined annual statement with the NAIC for State Farm Group.  The combined statement does not specify </w:t>
      </w:r>
      <w:r w:rsidRPr="00B95E92">
        <w:t xml:space="preserve">which affiliate owns which assets. </w:t>
      </w:r>
      <w:r w:rsidR="00A871D2" w:rsidRPr="00A871D2">
        <w:t xml:space="preserve"> </w:t>
      </w:r>
    </w:p>
    <w:p w14:paraId="35D8B596" w14:textId="77777777" w:rsidR="00097CDD" w:rsidRPr="005630A2" w:rsidRDefault="00023D59" w:rsidP="00DB5124">
      <w:pPr>
        <w:pStyle w:val="Heading1"/>
        <w:keepLines w:val="0"/>
        <w:spacing w:before="0" w:line="360" w:lineRule="auto"/>
        <w:contextualSpacing/>
        <w:rPr>
          <w:rFonts w:ascii="Century Schoolbook" w:eastAsia="Calibri" w:hAnsi="Century Schoolbook" w:cs="Times New Roman"/>
          <w:i/>
          <w:color w:val="auto"/>
          <w:sz w:val="26"/>
          <w:szCs w:val="26"/>
        </w:rPr>
      </w:pPr>
      <w:r w:rsidRPr="008542B1">
        <w:rPr>
          <w:rFonts w:ascii="Century Schoolbook" w:eastAsia="Calibri" w:hAnsi="Century Schoolbook" w:cs="Times New Roman"/>
          <w:color w:val="auto"/>
          <w:sz w:val="26"/>
          <w:szCs w:val="26"/>
        </w:rPr>
        <w:t>E</w:t>
      </w:r>
      <w:r w:rsidR="00097CDD" w:rsidRPr="008542B1">
        <w:rPr>
          <w:rFonts w:ascii="Century Schoolbook" w:eastAsia="Calibri" w:hAnsi="Century Schoolbook" w:cs="Times New Roman"/>
          <w:color w:val="auto"/>
          <w:sz w:val="26"/>
          <w:szCs w:val="26"/>
        </w:rPr>
        <w:t>.</w:t>
      </w:r>
      <w:r w:rsidR="00097CDD" w:rsidRPr="008542B1">
        <w:rPr>
          <w:rFonts w:ascii="Century Schoolbook" w:eastAsia="Calibri" w:hAnsi="Century Schoolbook" w:cs="Times New Roman"/>
          <w:color w:val="auto"/>
          <w:sz w:val="26"/>
          <w:szCs w:val="26"/>
        </w:rPr>
        <w:tab/>
      </w:r>
      <w:r w:rsidR="003E79FA" w:rsidRPr="008542B1">
        <w:rPr>
          <w:rFonts w:ascii="Century Schoolbook" w:eastAsia="Calibri" w:hAnsi="Century Schoolbook" w:cs="Times New Roman"/>
          <w:i/>
          <w:iCs/>
          <w:color w:val="auto"/>
          <w:sz w:val="26"/>
          <w:szCs w:val="26"/>
        </w:rPr>
        <w:t xml:space="preserve">Rate </w:t>
      </w:r>
      <w:r w:rsidR="00692541" w:rsidRPr="008542B1">
        <w:rPr>
          <w:rFonts w:ascii="Century Schoolbook" w:eastAsia="Calibri" w:hAnsi="Century Schoolbook" w:cs="Times New Roman"/>
          <w:i/>
          <w:iCs/>
          <w:color w:val="auto"/>
          <w:sz w:val="26"/>
          <w:szCs w:val="26"/>
        </w:rPr>
        <w:t>Application and Hearing</w:t>
      </w:r>
    </w:p>
    <w:p w14:paraId="55BB06CB" w14:textId="66066630" w:rsidR="003C58D8" w:rsidRDefault="00A361BF" w:rsidP="00DB5124">
      <w:pPr>
        <w:spacing w:line="360" w:lineRule="auto"/>
      </w:pPr>
      <w:r>
        <w:tab/>
        <w:t xml:space="preserve">In </w:t>
      </w:r>
      <w:r w:rsidR="001B038D">
        <w:t xml:space="preserve">early </w:t>
      </w:r>
      <w:r>
        <w:t>2014, the Commissioner approved</w:t>
      </w:r>
      <w:r w:rsidR="00A73DAF">
        <w:t xml:space="preserve"> a</w:t>
      </w:r>
      <w:r>
        <w:t xml:space="preserve"> homeowners’ insurance rate request </w:t>
      </w:r>
      <w:r w:rsidR="00A73DAF">
        <w:t xml:space="preserve">submitted by SFG </w:t>
      </w:r>
      <w:r w:rsidR="00A871D2">
        <w:t>the previous year</w:t>
      </w:r>
      <w:r>
        <w:t>.</w:t>
      </w:r>
      <w:r w:rsidR="00EB1E55" w:rsidRPr="00776ADD">
        <w:rPr>
          <w:rStyle w:val="FootnoteReference"/>
        </w:rPr>
        <w:footnoteReference w:id="8"/>
      </w:r>
      <w:r>
        <w:t xml:space="preserve"> </w:t>
      </w:r>
      <w:r w:rsidR="00776ADD">
        <w:t xml:space="preserve"> That application identified a projected yield of 4.94</w:t>
      </w:r>
      <w:r w:rsidR="00B03114">
        <w:t xml:space="preserve"> percent</w:t>
      </w:r>
      <w:r w:rsidR="00776ADD">
        <w:t xml:space="preserve"> on $128.8 billion in invested assets.  </w:t>
      </w:r>
      <w:r w:rsidR="003E79FA" w:rsidRPr="00A73DAF">
        <w:t>In</w:t>
      </w:r>
      <w:r w:rsidR="003E79FA" w:rsidRPr="005630A2">
        <w:t xml:space="preserve"> December 2014, SFG submitted a</w:t>
      </w:r>
      <w:r>
        <w:t>nother</w:t>
      </w:r>
      <w:r w:rsidR="003E79FA" w:rsidRPr="005630A2">
        <w:t xml:space="preserve"> </w:t>
      </w:r>
      <w:r w:rsidR="0044677C">
        <w:t>application</w:t>
      </w:r>
      <w:r w:rsidR="003E79FA" w:rsidRPr="005630A2">
        <w:t xml:space="preserve"> to increase rates</w:t>
      </w:r>
      <w:r w:rsidR="00B95E92">
        <w:t>,</w:t>
      </w:r>
      <w:r w:rsidR="003E79FA" w:rsidRPr="005630A2">
        <w:t xml:space="preserve"> by 6.9</w:t>
      </w:r>
      <w:r w:rsidR="00B03114">
        <w:t xml:space="preserve"> percent</w:t>
      </w:r>
      <w:r w:rsidR="003E79FA" w:rsidRPr="005630A2">
        <w:t xml:space="preserve"> (later amended to 6.4</w:t>
      </w:r>
      <w:r w:rsidR="00B03114">
        <w:t xml:space="preserve"> percent</w:t>
      </w:r>
      <w:r w:rsidR="003E79FA" w:rsidRPr="005630A2">
        <w:t xml:space="preserve">), effective July 15, 2015.  </w:t>
      </w:r>
      <w:r w:rsidR="001726E6">
        <w:t xml:space="preserve">SFG </w:t>
      </w:r>
      <w:r w:rsidR="00B95E92">
        <w:t>used</w:t>
      </w:r>
      <w:r w:rsidR="001726E6">
        <w:t xml:space="preserve"> its individual </w:t>
      </w:r>
      <w:r w:rsidR="00B95E92">
        <w:t>assets</w:t>
      </w:r>
      <w:r w:rsidR="00776ADD">
        <w:t>, and identified a projected yield of 2.40</w:t>
      </w:r>
      <w:r w:rsidR="00B03114">
        <w:t xml:space="preserve"> percent</w:t>
      </w:r>
      <w:r w:rsidR="00776ADD">
        <w:t xml:space="preserve"> on $5.7 billion</w:t>
      </w:r>
      <w:r w:rsidR="00B95E92">
        <w:t xml:space="preserve"> in invested assets</w:t>
      </w:r>
      <w:r w:rsidR="001726E6">
        <w:t xml:space="preserve">.  </w:t>
      </w:r>
      <w:r w:rsidR="003E79FA" w:rsidRPr="005630A2">
        <w:t>CW intervene</w:t>
      </w:r>
      <w:r w:rsidR="00B95E92">
        <w:t>d in the proceeding</w:t>
      </w:r>
      <w:r w:rsidR="00683612">
        <w:t>, and argued in part that SFG failed to use data re</w:t>
      </w:r>
      <w:r w:rsidR="00B95E92">
        <w:t>q</w:t>
      </w:r>
      <w:r w:rsidR="00683612">
        <w:t xml:space="preserve">uired by </w:t>
      </w:r>
      <w:r w:rsidR="00075BD8">
        <w:t>regulation section 2644.20</w:t>
      </w:r>
      <w:r w:rsidR="00683612">
        <w:t>, thus understating projected yield and resulting in an excessive rate.</w:t>
      </w:r>
      <w:r w:rsidR="0018637D">
        <w:rPr>
          <w:rStyle w:val="FootnoteReference"/>
        </w:rPr>
        <w:footnoteReference w:id="9"/>
      </w:r>
      <w:r w:rsidR="00683612">
        <w:t xml:space="preserve"> </w:t>
      </w:r>
      <w:r w:rsidR="003E79FA" w:rsidRPr="005630A2">
        <w:t xml:space="preserve"> </w:t>
      </w:r>
      <w:r w:rsidR="00AA64D8">
        <w:t>On June 22, 2015, t</w:t>
      </w:r>
      <w:r w:rsidR="003E79FA" w:rsidRPr="005630A2">
        <w:t>he Commissioner issued a Notice of Hearing,</w:t>
      </w:r>
      <w:r w:rsidR="00AA64D8">
        <w:t xml:space="preserve"> which stated in part:</w:t>
      </w:r>
    </w:p>
    <w:p w14:paraId="4686CED3" w14:textId="47DAFD7F" w:rsidR="005D39EE" w:rsidRDefault="00AA64D8" w:rsidP="00A076C7">
      <w:pPr>
        <w:pStyle w:val="IndentedQuote"/>
        <w:spacing w:after="160"/>
      </w:pPr>
      <w:r>
        <w:lastRenderedPageBreak/>
        <w:t>“[E]ffective July 15, 2015, Applicant must reduce its rates by 6.6</w:t>
      </w:r>
      <w:r w:rsidR="00B03114">
        <w:t xml:space="preserve"> [percent]</w:t>
      </w:r>
      <w:r>
        <w:t xml:space="preserve"> or any other </w:t>
      </w:r>
      <w:r w:rsidR="003C58D8">
        <w:t>a</w:t>
      </w:r>
      <w:r>
        <w:t>mount by which they are determined through this proceeding to be excessive.</w:t>
      </w:r>
      <w:r w:rsidR="00B03114">
        <w:t xml:space="preserve"> </w:t>
      </w:r>
      <w:r>
        <w:t xml:space="preserve"> [¶]</w:t>
      </w:r>
      <w:r w:rsidR="00B03114">
        <w:t xml:space="preserve"> </w:t>
      </w:r>
      <w:r>
        <w:t xml:space="preserve"> To the extent Applicant charges excessive rates after July 15, 2015 and before implementing any rate change ordered as a result of</w:t>
      </w:r>
      <w:r w:rsidR="003C58D8">
        <w:t xml:space="preserve"> </w:t>
      </w:r>
      <w:r>
        <w:t>this proceeding</w:t>
      </w:r>
      <w:r w:rsidR="003C58D8">
        <w:t>,</w:t>
      </w:r>
      <w:r>
        <w:t xml:space="preserve"> Applicant will owe refunds </w:t>
      </w:r>
      <w:r w:rsidR="003C58D8">
        <w:t xml:space="preserve">. . . </w:t>
      </w:r>
      <w:r>
        <w:t xml:space="preserve">.” </w:t>
      </w:r>
      <w:r w:rsidR="003C58D8">
        <w:t xml:space="preserve"> </w:t>
      </w:r>
    </w:p>
    <w:p w14:paraId="3CB946ED" w14:textId="373BBEC3" w:rsidR="00EB1E55" w:rsidRPr="005630A2" w:rsidRDefault="003C58D8" w:rsidP="00DB5124">
      <w:pPr>
        <w:spacing w:line="360" w:lineRule="auto"/>
      </w:pPr>
      <w:r>
        <w:t xml:space="preserve">The notice </w:t>
      </w:r>
      <w:r w:rsidR="00B95E92">
        <w:t>also stated that one</w:t>
      </w:r>
      <w:r>
        <w:t xml:space="preserve"> of the hearing issues was “if a rate increase is indicated effective July 15, 2015, whether and how much Applicant must pay as refunds and interest</w:t>
      </w:r>
      <w:r w:rsidR="007F6B0C">
        <w:t> . . . </w:t>
      </w:r>
      <w:r>
        <w:t xml:space="preserve">between July 15, 2015 and the date Applicant implements the new rate.”  </w:t>
      </w:r>
    </w:p>
    <w:p w14:paraId="2AE2CD83" w14:textId="14CC2FA7" w:rsidR="0098543A" w:rsidRPr="005807F9" w:rsidRDefault="003E79FA" w:rsidP="00DB5124">
      <w:pPr>
        <w:spacing w:line="360" w:lineRule="auto"/>
      </w:pPr>
      <w:r w:rsidRPr="005630A2">
        <w:tab/>
      </w:r>
      <w:bookmarkStart w:id="10" w:name="_Hlk79426230"/>
      <w:r w:rsidR="00B95E92">
        <w:t>An</w:t>
      </w:r>
      <w:r w:rsidRPr="005630A2">
        <w:t xml:space="preserve"> </w:t>
      </w:r>
      <w:r w:rsidR="00B95E92">
        <w:t>administrative law judge (A</w:t>
      </w:r>
      <w:r w:rsidRPr="005630A2">
        <w:t>LJ</w:t>
      </w:r>
      <w:r w:rsidR="00B95E92">
        <w:t>)</w:t>
      </w:r>
      <w:r w:rsidRPr="005630A2">
        <w:t xml:space="preserve"> held a</w:t>
      </w:r>
      <w:r w:rsidR="00AE28ED">
        <w:t xml:space="preserve"> lengthy </w:t>
      </w:r>
      <w:r w:rsidR="00A5098E">
        <w:t>rate proceeding</w:t>
      </w:r>
      <w:r w:rsidR="00AE28ED">
        <w:t>, wi</w:t>
      </w:r>
      <w:r w:rsidR="00B95E92">
        <w:t xml:space="preserve">th written </w:t>
      </w:r>
      <w:r w:rsidR="00AE28ED">
        <w:t xml:space="preserve">testimony, cross-examination, and exhibits. </w:t>
      </w:r>
      <w:r w:rsidR="00F44884">
        <w:t xml:space="preserve"> </w:t>
      </w:r>
      <w:bookmarkEnd w:id="10"/>
      <w:r w:rsidR="00F44884">
        <w:t xml:space="preserve">Witnesses included SFG executives, </w:t>
      </w:r>
      <w:r w:rsidR="00A871D2">
        <w:t>representatives</w:t>
      </w:r>
      <w:r w:rsidR="00F44884">
        <w:t xml:space="preserve"> from the California Department of Insurance (</w:t>
      </w:r>
      <w:r w:rsidR="008542B1">
        <w:t>Department</w:t>
      </w:r>
      <w:r w:rsidR="00F44884">
        <w:t>)</w:t>
      </w:r>
      <w:r w:rsidR="00F12F87">
        <w:t>,</w:t>
      </w:r>
      <w:r w:rsidR="00F44884">
        <w:t xml:space="preserve"> and expert</w:t>
      </w:r>
      <w:r w:rsidR="00B95E92">
        <w:t>s</w:t>
      </w:r>
      <w:r w:rsidR="00F44884">
        <w:t xml:space="preserve">. </w:t>
      </w:r>
      <w:r w:rsidR="00AE28ED">
        <w:t xml:space="preserve"> </w:t>
      </w:r>
      <w:r w:rsidR="00F44884">
        <w:t xml:space="preserve">We described some of the evidence regarding SFG’s operations above.  </w:t>
      </w:r>
      <w:r w:rsidR="00B32150">
        <w:t xml:space="preserve">Relevant here, </w:t>
      </w:r>
      <w:r w:rsidR="00D36FA9">
        <w:t>a</w:t>
      </w:r>
      <w:r w:rsidR="00F44884">
        <w:t xml:space="preserve"> </w:t>
      </w:r>
      <w:r w:rsidR="008542B1">
        <w:t xml:space="preserve">Department </w:t>
      </w:r>
      <w:r w:rsidR="00F44884">
        <w:t>witness</w:t>
      </w:r>
      <w:r w:rsidR="00B95E92">
        <w:t xml:space="preserve"> also</w:t>
      </w:r>
      <w:r w:rsidR="00F44884">
        <w:t xml:space="preserve"> acknowledged </w:t>
      </w:r>
      <w:r w:rsidR="009248B2" w:rsidRPr="005630A2">
        <w:t>SFG was not in a pooling arrangement</w:t>
      </w:r>
      <w:r w:rsidR="00A871D2">
        <w:t xml:space="preserve">, and </w:t>
      </w:r>
      <w:r w:rsidR="0017555C" w:rsidRPr="005630A2">
        <w:t xml:space="preserve">that if </w:t>
      </w:r>
      <w:r w:rsidR="003A3CC3">
        <w:t>State Farm Mutual</w:t>
      </w:r>
      <w:r w:rsidR="003A3CC3" w:rsidRPr="005630A2">
        <w:t xml:space="preserve"> </w:t>
      </w:r>
      <w:r w:rsidR="0017555C" w:rsidRPr="005630A2">
        <w:t>lost money in stocks, it “couldn’t just take particular earnings from [SFG’s] bonds” to cover its investment losses</w:t>
      </w:r>
      <w:r w:rsidR="0017555C" w:rsidRPr="00AE28ED">
        <w:t xml:space="preserve">. </w:t>
      </w:r>
      <w:r w:rsidR="00AE28ED">
        <w:t xml:space="preserve"> </w:t>
      </w:r>
      <w:r w:rsidR="00F44884">
        <w:t>The witness</w:t>
      </w:r>
      <w:r w:rsidR="003E2BF1">
        <w:t xml:space="preserve"> did</w:t>
      </w:r>
      <w:r w:rsidR="002768DC" w:rsidRPr="005630A2">
        <w:t xml:space="preserve"> question whether SFG chose its own investments</w:t>
      </w:r>
      <w:r w:rsidR="000E6EF4">
        <w:t>, and</w:t>
      </w:r>
      <w:r w:rsidR="00F44884">
        <w:t xml:space="preserve"> opined</w:t>
      </w:r>
      <w:r w:rsidR="000E6EF4">
        <w:t xml:space="preserve"> it</w:t>
      </w:r>
      <w:r w:rsidR="0061536B" w:rsidRPr="005630A2">
        <w:t xml:space="preserve"> did “not </w:t>
      </w:r>
      <w:r w:rsidR="00E760EA" w:rsidRPr="005630A2">
        <w:t>seem reasonable that SFG would choose to invest 100</w:t>
      </w:r>
      <w:r w:rsidR="00BA07B0">
        <w:t xml:space="preserve"> </w:t>
      </w:r>
      <w:r w:rsidR="008D78BC">
        <w:t>[</w:t>
      </w:r>
      <w:r w:rsidR="00BA07B0">
        <w:t>percent</w:t>
      </w:r>
      <w:r w:rsidR="008D78BC">
        <w:t>]</w:t>
      </w:r>
      <w:r w:rsidR="00E760EA" w:rsidRPr="005630A2">
        <w:t xml:space="preserve"> of its</w:t>
      </w:r>
      <w:r w:rsidR="002768DC" w:rsidRPr="005630A2">
        <w:t xml:space="preserve"> </w:t>
      </w:r>
      <w:r w:rsidR="00E760EA" w:rsidRPr="005630A2">
        <w:t>surplus in low-yielding bonds given all of the protection it has from its parent</w:t>
      </w:r>
      <w:r w:rsidR="00F44884">
        <w:t>.</w:t>
      </w:r>
      <w:r w:rsidR="000E6EF4">
        <w:t>”</w:t>
      </w:r>
      <w:r w:rsidR="0061536B" w:rsidRPr="005630A2">
        <w:t xml:space="preserve"> </w:t>
      </w:r>
      <w:r w:rsidR="008542B1">
        <w:t xml:space="preserve"> During the hearing, </w:t>
      </w:r>
      <w:r w:rsidR="003D1C48">
        <w:t>CW</w:t>
      </w:r>
      <w:r w:rsidR="000E6EF4">
        <w:t xml:space="preserve"> and </w:t>
      </w:r>
      <w:r w:rsidR="008542B1">
        <w:t xml:space="preserve">the Department </w:t>
      </w:r>
      <w:r w:rsidR="000E6EF4">
        <w:t xml:space="preserve">filed motions to strike portions of SFG’s evidence, </w:t>
      </w:r>
      <w:r w:rsidR="000E1FF6">
        <w:t>arguing</w:t>
      </w:r>
      <w:r w:rsidR="000E6EF4">
        <w:t xml:space="preserve"> SFG was improperly seeking to relitigate the regulatory ratemaking formula.  The ALJ granted </w:t>
      </w:r>
      <w:r w:rsidR="00487758">
        <w:t>the</w:t>
      </w:r>
      <w:r w:rsidR="00A871D2">
        <w:t xml:space="preserve"> motions</w:t>
      </w:r>
      <w:r w:rsidR="000E6EF4">
        <w:t xml:space="preserve"> in par</w:t>
      </w:r>
      <w:r w:rsidR="004B18A8">
        <w:t xml:space="preserve">t, striking evidence “offered for the purpose of using SFG’s individual annual statement to calculate Projected Yield.”  The ALJ did allow certain evidence about SFG’s operations because it could be pertinent to </w:t>
      </w:r>
      <w:r w:rsidR="00487758">
        <w:t>a</w:t>
      </w:r>
      <w:r w:rsidR="004B18A8">
        <w:t xml:space="preserve"> variance issue. </w:t>
      </w:r>
    </w:p>
    <w:p w14:paraId="59F2E524" w14:textId="784CE1F8" w:rsidR="008542B1" w:rsidRDefault="005807F9" w:rsidP="00DB5124">
      <w:pPr>
        <w:spacing w:line="360" w:lineRule="auto"/>
      </w:pPr>
      <w:r>
        <w:tab/>
      </w:r>
      <w:r w:rsidR="00630420">
        <w:t>After</w:t>
      </w:r>
      <w:r w:rsidR="004B18A8">
        <w:t xml:space="preserve"> the hearing</w:t>
      </w:r>
      <w:r w:rsidR="00630420">
        <w:t>,</w:t>
      </w:r>
      <w:r w:rsidR="004B18A8">
        <w:t xml:space="preserve"> t</w:t>
      </w:r>
      <w:r>
        <w:t>he ALJ issued its decision</w:t>
      </w:r>
      <w:r w:rsidR="00630420">
        <w:t>, which</w:t>
      </w:r>
      <w:r w:rsidR="00714C79">
        <w:t xml:space="preserve"> </w:t>
      </w:r>
      <w:r w:rsidR="00630420">
        <w:t xml:space="preserve">the </w:t>
      </w:r>
      <w:r w:rsidR="00714C79">
        <w:t xml:space="preserve">Commissioner adopted </w:t>
      </w:r>
      <w:r w:rsidR="00B754A5">
        <w:t xml:space="preserve">as its Rate Order </w:t>
      </w:r>
      <w:r w:rsidR="00714C79">
        <w:t>in November 2016</w:t>
      </w:r>
      <w:r w:rsidR="000C0CF0" w:rsidRPr="005630A2">
        <w:t xml:space="preserve">. </w:t>
      </w:r>
      <w:r w:rsidR="003E0C63">
        <w:t xml:space="preserve"> </w:t>
      </w:r>
      <w:r w:rsidR="00E55D57">
        <w:t xml:space="preserve">The order </w:t>
      </w:r>
      <w:r w:rsidR="00EF172A">
        <w:t xml:space="preserve">set forth background </w:t>
      </w:r>
      <w:r w:rsidR="00EF172A">
        <w:lastRenderedPageBreak/>
        <w:t>facts about SFG</w:t>
      </w:r>
      <w:r w:rsidR="00E55D57">
        <w:t>’s operations</w:t>
      </w:r>
      <w:r w:rsidR="00EF172A">
        <w:t>, including</w:t>
      </w:r>
      <w:r w:rsidR="00105B2D">
        <w:t xml:space="preserve"> </w:t>
      </w:r>
      <w:r w:rsidR="00F46D54">
        <w:t xml:space="preserve">regarding the </w:t>
      </w:r>
      <w:r w:rsidR="00B754A5">
        <w:t xml:space="preserve">1998 </w:t>
      </w:r>
      <w:r w:rsidR="00F46D54">
        <w:t>reorganization</w:t>
      </w:r>
      <w:r w:rsidR="00B754A5">
        <w:t>;</w:t>
      </w:r>
      <w:r w:rsidR="00105B2D">
        <w:t xml:space="preserve"> </w:t>
      </w:r>
      <w:r w:rsidR="00A871D2">
        <w:t>SFG’s</w:t>
      </w:r>
      <w:r w:rsidR="00105B2D">
        <w:t xml:space="preserve"> participation in shared services</w:t>
      </w:r>
      <w:r w:rsidR="00B754A5">
        <w:t xml:space="preserve"> </w:t>
      </w:r>
      <w:r w:rsidR="00105B2D">
        <w:t>and reinsurance arrangements with its affiliates</w:t>
      </w:r>
      <w:r w:rsidR="00B754A5">
        <w:t xml:space="preserve">; and </w:t>
      </w:r>
      <w:r w:rsidR="003A3CC3">
        <w:t>State Farm Mutual</w:t>
      </w:r>
      <w:r w:rsidR="00B754A5">
        <w:t>’s purported control of SFG</w:t>
      </w:r>
      <w:r w:rsidR="00105B2D">
        <w:t xml:space="preserve">. </w:t>
      </w:r>
      <w:r w:rsidR="008542B1">
        <w:t xml:space="preserve">  </w:t>
      </w:r>
    </w:p>
    <w:p w14:paraId="564D8C04" w14:textId="68375BA9" w:rsidR="00BE29A2" w:rsidRPr="00BE29A2" w:rsidRDefault="008542B1" w:rsidP="00DB5124">
      <w:pPr>
        <w:spacing w:line="360" w:lineRule="auto"/>
      </w:pPr>
      <w:r>
        <w:tab/>
      </w:r>
      <w:r w:rsidR="00105B2D">
        <w:t xml:space="preserve">The Rate Order required </w:t>
      </w:r>
      <w:r w:rsidR="003E0C63">
        <w:t xml:space="preserve">SFG to reduce its rates by </w:t>
      </w:r>
      <w:r w:rsidR="002F7CC7">
        <w:t>seven</w:t>
      </w:r>
      <w:r w:rsidR="00BA07B0">
        <w:t xml:space="preserve"> percent</w:t>
      </w:r>
      <w:r w:rsidR="003E0C63">
        <w:t xml:space="preserve"> (over 13</w:t>
      </w:r>
      <w:r w:rsidR="00BA07B0">
        <w:t xml:space="preserve"> percent</w:t>
      </w:r>
      <w:r w:rsidR="003E0C63">
        <w:t xml:space="preserve"> below the applied-for rate). </w:t>
      </w:r>
      <w:r w:rsidR="000C0CF0" w:rsidRPr="005630A2">
        <w:t xml:space="preserve"> </w:t>
      </w:r>
      <w:r w:rsidR="00714C79">
        <w:t>In reaching this result, t</w:t>
      </w:r>
      <w:r w:rsidR="000C0CF0" w:rsidRPr="005630A2">
        <w:t xml:space="preserve">he </w:t>
      </w:r>
      <w:r w:rsidR="003E0C63">
        <w:t>Commissioner determined</w:t>
      </w:r>
      <w:r w:rsidR="00D66548">
        <w:t xml:space="preserve"> </w:t>
      </w:r>
      <w:r w:rsidR="00075BD8">
        <w:t>regulation section 2644.20</w:t>
      </w:r>
      <w:r w:rsidR="00D66548">
        <w:t xml:space="preserve"> required use of </w:t>
      </w:r>
      <w:r w:rsidR="00261660">
        <w:t>the</w:t>
      </w:r>
      <w:r w:rsidR="00D66548">
        <w:t xml:space="preserve"> consolidated annual statement </w:t>
      </w:r>
      <w:r w:rsidR="00261660">
        <w:t xml:space="preserve">filed by State Farm Mutual </w:t>
      </w:r>
      <w:r w:rsidR="00D66548">
        <w:t>to calculate SFG’s projected yield</w:t>
      </w:r>
      <w:r w:rsidR="00A87035">
        <w:t>,</w:t>
      </w:r>
      <w:r w:rsidR="006352DB">
        <w:t xml:space="preserve"> </w:t>
      </w:r>
      <w:r w:rsidR="003E0C63">
        <w:t>and</w:t>
      </w:r>
      <w:r w:rsidR="006352DB">
        <w:t xml:space="preserve"> </w:t>
      </w:r>
      <w:r w:rsidR="003E0C63">
        <w:t>the projected yield was 5.84</w:t>
      </w:r>
      <w:r w:rsidR="00BA07B0">
        <w:t xml:space="preserve"> percent</w:t>
      </w:r>
      <w:r w:rsidR="00D66548">
        <w:t xml:space="preserve">. </w:t>
      </w:r>
      <w:r w:rsidR="00632560">
        <w:t xml:space="preserve"> He explained the term “mathematically reflect</w:t>
      </w:r>
      <w:r w:rsidR="000E7ABA">
        <w:t>s</w:t>
      </w:r>
      <w:r w:rsidR="00632560">
        <w:t xml:space="preserve">” in </w:t>
      </w:r>
      <w:r w:rsidR="00B754A5">
        <w:t>section 1861.05(a)</w:t>
      </w:r>
      <w:r w:rsidR="00632560">
        <w:t xml:space="preserve"> “only requires that the calculation . . . be mathematically accurate,” and “does not determine which statement will be used when an insurance company is a group.”  He further explained the industry </w:t>
      </w:r>
      <w:r w:rsidR="00E55D57">
        <w:t xml:space="preserve">was largely comprised of national, group insurers; </w:t>
      </w:r>
      <w:r w:rsidR="00632560">
        <w:t>insur</w:t>
      </w:r>
      <w:r w:rsidR="00E55D57">
        <w:t>ers in</w:t>
      </w:r>
      <w:r w:rsidR="00632560">
        <w:t xml:space="preserve"> groups were required to “perform risk management on [a] . . . group basis”; and using consolidated statements was “consistent with the regulatory framework within which insurers may transfer assets between affiliates </w:t>
      </w:r>
      <w:r w:rsidR="00E55D57">
        <w:t>. . .</w:t>
      </w:r>
      <w:r w:rsidR="00632560">
        <w:t xml:space="preserve"> </w:t>
      </w:r>
      <w:r w:rsidR="00632560" w:rsidRPr="00D36FA9">
        <w:t xml:space="preserve">as </w:t>
      </w:r>
      <w:r w:rsidR="003A3CC3" w:rsidRPr="00D36FA9">
        <w:t>State Farm Mutual</w:t>
      </w:r>
      <w:r w:rsidR="00632560" w:rsidRPr="00D36FA9">
        <w:t xml:space="preserve"> undoubtedly</w:t>
      </w:r>
      <w:r w:rsidR="00632560">
        <w:t xml:space="preserve"> did when it reconfigured SFG in 1998.”  The Commission</w:t>
      </w:r>
      <w:r w:rsidR="00E55D57">
        <w:t>er</w:t>
      </w:r>
      <w:r w:rsidR="00632560">
        <w:t xml:space="preserve"> found no conflict between “actual portfolio” and “consolidated .</w:t>
      </w:r>
      <w:r w:rsidR="009D3A75">
        <w:t> </w:t>
      </w:r>
      <w:r w:rsidR="00632560">
        <w:t>. . statement” in the regulation, stating</w:t>
      </w:r>
      <w:r w:rsidR="00632560" w:rsidRPr="00632560">
        <w:t xml:space="preserve"> </w:t>
      </w:r>
      <w:r w:rsidR="00261660">
        <w:t>the</w:t>
      </w:r>
      <w:r w:rsidR="00632560">
        <w:t xml:space="preserve"> “consolidated annual statement is [SFG’s] actual portfolio on a group basis.”  He noted the “term</w:t>
      </w:r>
      <w:r w:rsidR="001B038D">
        <w:t>[]</w:t>
      </w:r>
      <w:r w:rsidR="00632560">
        <w:t xml:space="preserve"> ‘actual portfolio’ distinguish[ed] the current definition of projected yield . . . from the previous version </w:t>
      </w:r>
      <w:r w:rsidR="00BE29A2">
        <w:t xml:space="preserve">which </w:t>
      </w:r>
      <w:r w:rsidR="00BE29A2" w:rsidRPr="00BE29A2">
        <w:t>defined the projected yield as an ‘imbedded yield</w:t>
      </w:r>
      <w:r w:rsidR="006579C9">
        <w:t>.</w:t>
      </w:r>
      <w:r w:rsidR="00BE29A2" w:rsidRPr="00BE29A2">
        <w:t>’</w:t>
      </w:r>
      <w:r w:rsidR="00514A17">
        <w:t xml:space="preserve"> ”</w:t>
      </w:r>
    </w:p>
    <w:p w14:paraId="78014B8B" w14:textId="7BED4788" w:rsidR="00BB1DE8" w:rsidRPr="00FA1B6D" w:rsidRDefault="00095E8D" w:rsidP="00284FD4">
      <w:pPr>
        <w:spacing w:line="360" w:lineRule="auto"/>
      </w:pPr>
      <w:r>
        <w:tab/>
      </w:r>
      <w:r w:rsidRPr="00714C79">
        <w:t xml:space="preserve">The Commissioner </w:t>
      </w:r>
      <w:r w:rsidR="00261660">
        <w:t xml:space="preserve">further </w:t>
      </w:r>
      <w:r>
        <w:t>determined th</w:t>
      </w:r>
      <w:r w:rsidR="00D25BB4">
        <w:t xml:space="preserve">e </w:t>
      </w:r>
      <w:r w:rsidR="008E1466">
        <w:t>rate formula “support</w:t>
      </w:r>
      <w:r w:rsidR="00514A17">
        <w:t>[</w:t>
      </w:r>
      <w:r w:rsidR="008E1466">
        <w:t>ed</w:t>
      </w:r>
      <w:r w:rsidR="00514A17">
        <w:t>]</w:t>
      </w:r>
      <w:r w:rsidR="008E1466">
        <w:t xml:space="preserve"> [</w:t>
      </w:r>
      <w:r w:rsidR="00E55D57">
        <w:t>a</w:t>
      </w:r>
      <w:r w:rsidR="008E1466">
        <w:t>]</w:t>
      </w:r>
      <w:r w:rsidR="00BA07B0">
        <w:t> </w:t>
      </w:r>
      <w:r w:rsidR="008E1466">
        <w:t>.</w:t>
      </w:r>
      <w:r w:rsidR="00BA07B0">
        <w:t> </w:t>
      </w:r>
      <w:r w:rsidR="008E1466">
        <w:t xml:space="preserve">. . decrease . . . </w:t>
      </w:r>
      <w:r w:rsidR="00D25BB4">
        <w:t xml:space="preserve">retroactive to July 15, 2015.”  He acknowledged SFG contested retroactive reduction, and explained, inter alia, that “maintaining [the initial effective date] to approve new rates retroactively” serves several purposes, including manageability; using an interim rate and refund were </w:t>
      </w:r>
      <w:r w:rsidR="00D25BB4">
        <w:lastRenderedPageBreak/>
        <w:t xml:space="preserve">consistent with the Insurance Code and </w:t>
      </w:r>
      <w:r w:rsidR="00D25BB4">
        <w:rPr>
          <w:i/>
          <w:iCs/>
        </w:rPr>
        <w:t>20th Century</w:t>
      </w:r>
      <w:r w:rsidR="00261660">
        <w:t>;</w:t>
      </w:r>
      <w:r w:rsidR="00D25BB4">
        <w:t xml:space="preserve"> and the Notice of Hearing </w:t>
      </w:r>
      <w:r w:rsidR="00E55D57">
        <w:t xml:space="preserve">had </w:t>
      </w:r>
      <w:r w:rsidR="00D25BB4">
        <w:t>p</w:t>
      </w:r>
      <w:r w:rsidR="00D25BB4" w:rsidRPr="00D36FA9">
        <w:t xml:space="preserve">ut SFG on notice.  </w:t>
      </w:r>
      <w:r w:rsidR="00950DBF" w:rsidRPr="00D36FA9">
        <w:t>SFG represents the</w:t>
      </w:r>
      <w:r w:rsidR="0023229C" w:rsidRPr="00D36FA9">
        <w:t xml:space="preserve"> refunds </w:t>
      </w:r>
      <w:r w:rsidR="002558E2" w:rsidRPr="00D36FA9">
        <w:t>totaled</w:t>
      </w:r>
      <w:r w:rsidR="0023229C" w:rsidRPr="00D36FA9">
        <w:t xml:space="preserve"> </w:t>
      </w:r>
      <w:r w:rsidR="00950DBF" w:rsidRPr="00D36FA9">
        <w:t>about</w:t>
      </w:r>
      <w:r w:rsidR="0023229C" w:rsidRPr="00D36FA9">
        <w:t xml:space="preserve"> $100 million.  </w:t>
      </w:r>
      <w:r w:rsidR="00714C79" w:rsidRPr="00D36FA9">
        <w:t>The Commissioner also</w:t>
      </w:r>
      <w:r w:rsidR="00BB1DE8" w:rsidRPr="00D36FA9">
        <w:t xml:space="preserve"> </w:t>
      </w:r>
      <w:r w:rsidR="00284FD4" w:rsidRPr="00D36FA9">
        <w:t>rejected SFG’s argument</w:t>
      </w:r>
      <w:r w:rsidR="00D36FA9" w:rsidRPr="00D36FA9">
        <w:t xml:space="preserve"> that the rate was confiscator</w:t>
      </w:r>
      <w:r w:rsidR="00D36FA9">
        <w:t>y</w:t>
      </w:r>
      <w:r w:rsidR="00BB1DE8" w:rsidRPr="00D36FA9">
        <w:t>.</w:t>
      </w:r>
      <w:r w:rsidR="00E62CA6" w:rsidRPr="00D36FA9">
        <w:rPr>
          <w:rStyle w:val="FootnoteReference"/>
        </w:rPr>
        <w:footnoteReference w:id="10"/>
      </w:r>
      <w:r w:rsidR="00BB1DE8" w:rsidRPr="00D36FA9">
        <w:t xml:space="preserve"> </w:t>
      </w:r>
    </w:p>
    <w:p w14:paraId="64BC0862" w14:textId="77777777" w:rsidR="000C0CF0" w:rsidRPr="005630A2" w:rsidRDefault="00023D59" w:rsidP="00DB5124">
      <w:pPr>
        <w:pStyle w:val="Heading1"/>
        <w:keepLines w:val="0"/>
        <w:spacing w:before="0" w:line="360" w:lineRule="auto"/>
        <w:contextualSpacing/>
        <w:rPr>
          <w:rFonts w:ascii="Century Schoolbook" w:eastAsia="Calibri" w:hAnsi="Century Schoolbook" w:cs="Times New Roman"/>
          <w:i/>
          <w:color w:val="auto"/>
          <w:sz w:val="26"/>
          <w:szCs w:val="26"/>
        </w:rPr>
      </w:pPr>
      <w:r w:rsidRPr="007644F0">
        <w:rPr>
          <w:rFonts w:ascii="Century Schoolbook" w:eastAsia="Calibri" w:hAnsi="Century Schoolbook" w:cs="Times New Roman"/>
          <w:color w:val="auto"/>
          <w:sz w:val="26"/>
          <w:szCs w:val="26"/>
        </w:rPr>
        <w:t>F</w:t>
      </w:r>
      <w:r w:rsidR="00097CDD" w:rsidRPr="007644F0">
        <w:rPr>
          <w:rFonts w:ascii="Century Schoolbook" w:eastAsia="Calibri" w:hAnsi="Century Schoolbook" w:cs="Times New Roman"/>
          <w:color w:val="auto"/>
          <w:sz w:val="26"/>
          <w:szCs w:val="26"/>
        </w:rPr>
        <w:t>.</w:t>
      </w:r>
      <w:r w:rsidR="00097CDD" w:rsidRPr="007644F0">
        <w:rPr>
          <w:rFonts w:ascii="Century Schoolbook" w:eastAsia="Calibri" w:hAnsi="Century Schoolbook" w:cs="Times New Roman"/>
          <w:color w:val="auto"/>
          <w:sz w:val="26"/>
          <w:szCs w:val="26"/>
        </w:rPr>
        <w:tab/>
      </w:r>
      <w:r w:rsidR="009F4100">
        <w:rPr>
          <w:rFonts w:ascii="Century Schoolbook" w:eastAsia="Calibri" w:hAnsi="Century Schoolbook" w:cs="Times New Roman"/>
          <w:i/>
          <w:color w:val="auto"/>
          <w:sz w:val="26"/>
          <w:szCs w:val="26"/>
        </w:rPr>
        <w:t>Superior</w:t>
      </w:r>
      <w:r w:rsidR="00097CDD" w:rsidRPr="007644F0">
        <w:rPr>
          <w:rFonts w:ascii="Century Schoolbook" w:eastAsia="Calibri" w:hAnsi="Century Schoolbook" w:cs="Times New Roman"/>
          <w:i/>
          <w:color w:val="auto"/>
          <w:sz w:val="26"/>
          <w:szCs w:val="26"/>
        </w:rPr>
        <w:t xml:space="preserve"> Court Proceedings</w:t>
      </w:r>
      <w:r w:rsidR="00097CDD" w:rsidRPr="005630A2">
        <w:rPr>
          <w:rFonts w:ascii="Century Schoolbook" w:eastAsia="Calibri" w:hAnsi="Century Schoolbook" w:cs="Times New Roman"/>
          <w:i/>
          <w:color w:val="auto"/>
          <w:sz w:val="26"/>
          <w:szCs w:val="26"/>
        </w:rPr>
        <w:t xml:space="preserve"> </w:t>
      </w:r>
    </w:p>
    <w:p w14:paraId="1C9A7F3B" w14:textId="5E0D6DB3" w:rsidR="00C77078" w:rsidRPr="005630A2" w:rsidRDefault="000C0CF0" w:rsidP="00DB5124">
      <w:pPr>
        <w:spacing w:line="360" w:lineRule="auto"/>
      </w:pPr>
      <w:r w:rsidRPr="005630A2">
        <w:tab/>
      </w:r>
      <w:r w:rsidR="00C77078">
        <w:t xml:space="preserve">In November 2016, </w:t>
      </w:r>
      <w:r w:rsidRPr="005630A2">
        <w:t xml:space="preserve">SFG filed </w:t>
      </w:r>
      <w:r w:rsidR="00C77078">
        <w:t xml:space="preserve">a </w:t>
      </w:r>
      <w:r w:rsidRPr="005630A2">
        <w:t xml:space="preserve">petition for writ of </w:t>
      </w:r>
      <w:r w:rsidR="000C0EEA">
        <w:t>administrative manda</w:t>
      </w:r>
      <w:r w:rsidR="00514BD9">
        <w:t>te</w:t>
      </w:r>
      <w:r w:rsidRPr="005630A2">
        <w:t xml:space="preserve"> to the superior court, challenging the use of group data, </w:t>
      </w:r>
      <w:r w:rsidR="00514BD9">
        <w:t xml:space="preserve">arguing the rate was confiscatory and </w:t>
      </w:r>
      <w:r w:rsidR="00E166E8">
        <w:t xml:space="preserve">raised </w:t>
      </w:r>
      <w:r w:rsidR="00514BD9">
        <w:t xml:space="preserve">constitutional concerns, and contending the retroactive rate and refund were </w:t>
      </w:r>
      <w:r w:rsidRPr="005630A2">
        <w:t>impermissi</w:t>
      </w:r>
      <w:r w:rsidR="00514BD9">
        <w:t>ble</w:t>
      </w:r>
      <w:r w:rsidRPr="005630A2">
        <w:t>.</w:t>
      </w:r>
      <w:r w:rsidR="000C0EEA">
        <w:rPr>
          <w:rStyle w:val="FootnoteReference"/>
        </w:rPr>
        <w:footnoteReference w:id="11"/>
      </w:r>
      <w:r w:rsidRPr="005630A2">
        <w:t xml:space="preserve">  </w:t>
      </w:r>
      <w:r w:rsidR="00C77078">
        <w:t xml:space="preserve">SFG also sought a stay of the Rate Order pending resolution of the petition.  In December 2016, the superior court stayed the refund, but not the rate reduction.  </w:t>
      </w:r>
      <w:r w:rsidR="00C77078" w:rsidRPr="00C77078">
        <w:t>SFG reduced its rates</w:t>
      </w:r>
      <w:r w:rsidR="00C77078">
        <w:t xml:space="preserve">, consistent with the Rate Order. </w:t>
      </w:r>
      <w:r w:rsidR="00B0065E">
        <w:t xml:space="preserve"> </w:t>
      </w:r>
    </w:p>
    <w:p w14:paraId="6E0FB5ED" w14:textId="44365813" w:rsidR="00FE25E2" w:rsidRDefault="00177F50" w:rsidP="00DB5124">
      <w:pPr>
        <w:spacing w:line="360" w:lineRule="auto"/>
      </w:pPr>
      <w:r w:rsidRPr="005630A2">
        <w:tab/>
      </w:r>
      <w:r w:rsidR="00D374BF">
        <w:t>In March 2018, t</w:t>
      </w:r>
      <w:r w:rsidR="000C0CF0" w:rsidRPr="005630A2">
        <w:t xml:space="preserve">he </w:t>
      </w:r>
      <w:r w:rsidR="009F4100" w:rsidRPr="009F4100">
        <w:t xml:space="preserve">superior </w:t>
      </w:r>
      <w:r w:rsidR="000C0CF0" w:rsidRPr="005630A2">
        <w:t>court</w:t>
      </w:r>
      <w:r w:rsidR="00640AA9">
        <w:t xml:space="preserve"> issued its </w:t>
      </w:r>
      <w:r w:rsidR="008C1E41">
        <w:t>order</w:t>
      </w:r>
      <w:r w:rsidR="007D75DD">
        <w:t xml:space="preserve">, focusing on SFG’s </w:t>
      </w:r>
      <w:r w:rsidR="00514BD9">
        <w:t>position</w:t>
      </w:r>
      <w:r w:rsidR="007D75DD">
        <w:t xml:space="preserve"> that the Commissioner “improperly attributed income to [SFG] from its affiliate’s assets,” </w:t>
      </w:r>
      <w:r w:rsidR="00514BD9">
        <w:t>and its arguments that</w:t>
      </w:r>
      <w:r w:rsidR="007D75DD">
        <w:t xml:space="preserve"> the new rate was inconsistent with section 1861</w:t>
      </w:r>
      <w:r w:rsidR="00B0065E">
        <w:t>.05</w:t>
      </w:r>
      <w:r w:rsidR="007D75DD">
        <w:t>(a)</w:t>
      </w:r>
      <w:r w:rsidR="0006778D">
        <w:t xml:space="preserve"> </w:t>
      </w:r>
      <w:r w:rsidR="00514BD9">
        <w:t xml:space="preserve">and </w:t>
      </w:r>
      <w:r w:rsidR="007D75DD">
        <w:t xml:space="preserve">exceeded the Commissioner’s regulatory authority.  </w:t>
      </w:r>
      <w:r w:rsidR="00B0065E">
        <w:t>The court agreed</w:t>
      </w:r>
      <w:r w:rsidR="0006778D">
        <w:t xml:space="preserve">.  </w:t>
      </w:r>
    </w:p>
    <w:p w14:paraId="6BC3277A" w14:textId="197ED19D" w:rsidR="007D75DD" w:rsidRDefault="001E070D" w:rsidP="00DB5124">
      <w:pPr>
        <w:spacing w:line="360" w:lineRule="auto"/>
      </w:pPr>
      <w:r>
        <w:tab/>
        <w:t>The superior court began by describing section 1861.05(a), and noting that</w:t>
      </w:r>
      <w:r w:rsidR="00184A3D">
        <w:t>,</w:t>
      </w:r>
      <w:r>
        <w:t xml:space="preserve"> “</w:t>
      </w:r>
      <w:r w:rsidR="00184A3D">
        <w:t>O</w:t>
      </w:r>
      <w:r w:rsidR="00F50A6D" w:rsidRPr="001E070D">
        <w:t xml:space="preserve">n its face, the statute says the Commissioner must consider the </w:t>
      </w:r>
      <w:r>
        <w:lastRenderedPageBreak/>
        <w:t>‘</w:t>
      </w:r>
      <w:r w:rsidR="00F50A6D" w:rsidRPr="001E070D">
        <w:t>insurance company</w:t>
      </w:r>
      <w:r>
        <w:t>’</w:t>
      </w:r>
      <w:r w:rsidR="00F50A6D" w:rsidRPr="001E070D">
        <w:t>s</w:t>
      </w:r>
      <w:r>
        <w:t>’</w:t>
      </w:r>
      <w:r w:rsidR="00F50A6D" w:rsidRPr="001E070D">
        <w:t xml:space="preserve"> investment</w:t>
      </w:r>
      <w:r>
        <w:t xml:space="preserve"> </w:t>
      </w:r>
      <w:r w:rsidR="00F50A6D" w:rsidRPr="001E070D">
        <w:t>income.</w:t>
      </w:r>
      <w:r>
        <w:t>”</w:t>
      </w:r>
      <w:r w:rsidRPr="001E070D">
        <w:t xml:space="preserve">  The court </w:t>
      </w:r>
      <w:r>
        <w:t xml:space="preserve">then described </w:t>
      </w:r>
      <w:r w:rsidR="00F50A6D">
        <w:t xml:space="preserve">the Commissioner’s reliance on regulation section 2644.20, and </w:t>
      </w:r>
      <w:r w:rsidR="00184A3D">
        <w:t xml:space="preserve">the </w:t>
      </w:r>
      <w:r w:rsidR="00F50A6D">
        <w:t>NAIC reporting requirements</w:t>
      </w:r>
      <w:r>
        <w:t xml:space="preserve">.  </w:t>
      </w:r>
      <w:r w:rsidR="00184A3D">
        <w:t>T</w:t>
      </w:r>
      <w:r w:rsidR="0006778D">
        <w:t>he court</w:t>
      </w:r>
      <w:r w:rsidR="00A51493">
        <w:t xml:space="preserve"> acknowledg</w:t>
      </w:r>
      <w:r w:rsidR="0006778D">
        <w:t>ed</w:t>
      </w:r>
      <w:r w:rsidR="00A51493">
        <w:t xml:space="preserve"> the Commissioner’s</w:t>
      </w:r>
      <w:r w:rsidR="00B0065E">
        <w:t xml:space="preserve"> </w:t>
      </w:r>
      <w:r w:rsidR="008C2578">
        <w:t xml:space="preserve">interpretation </w:t>
      </w:r>
      <w:r w:rsidR="00A51493">
        <w:t>is due</w:t>
      </w:r>
      <w:r w:rsidR="008C2578" w:rsidRPr="008C2578">
        <w:t xml:space="preserve"> great weight</w:t>
      </w:r>
      <w:r w:rsidR="0006778D">
        <w:t xml:space="preserve"> but</w:t>
      </w:r>
      <w:r w:rsidR="00A51493">
        <w:t xml:space="preserve"> found</w:t>
      </w:r>
      <w:r w:rsidR="008C2578" w:rsidRPr="008C2578">
        <w:t xml:space="preserve"> deference was not warranted here</w:t>
      </w:r>
      <w:r w:rsidR="008C2578">
        <w:t>:</w:t>
      </w:r>
    </w:p>
    <w:p w14:paraId="604D0ECA" w14:textId="313C2A36" w:rsidR="001E070D" w:rsidRDefault="002C69B8" w:rsidP="00A076C7">
      <w:pPr>
        <w:pStyle w:val="IndentedQuote"/>
        <w:spacing w:after="160"/>
      </w:pPr>
      <w:r>
        <w:t>“</w:t>
      </w:r>
      <w:r w:rsidR="008C2578">
        <w:t>Under section 1861.05, the rate must mathematically reflect State Farm</w:t>
      </w:r>
      <w:r w:rsidR="00184A3D">
        <w:t>’</w:t>
      </w:r>
      <w:r w:rsidR="008C2578">
        <w:t xml:space="preserve">s investment income.  </w:t>
      </w:r>
      <w:r w:rsidR="00075BD8">
        <w:t>Regulation section 2644.20</w:t>
      </w:r>
      <w:r w:rsidR="008C2578">
        <w:t xml:space="preserve"> is consistent with the statute in that it requires the yield to be computed using [SFG’s] ‘actual portfolio.’ . . .  The Commissioner’s interpretation that the regulation allows him to use </w:t>
      </w:r>
      <w:r w:rsidR="003A3CC3">
        <w:t>[State Farm Mutual]</w:t>
      </w:r>
      <w:r w:rsidR="008C2578">
        <w:t xml:space="preserve">’s group yield instead of [SFG’s] investment income based on [SFG’s] actual portfolio is inconsistent with the statute. </w:t>
      </w:r>
      <w:r w:rsidR="00215E55">
        <w:t xml:space="preserve"> </w:t>
      </w:r>
      <w:r w:rsidR="008C2578">
        <w:t xml:space="preserve">[SFG’s] actual portfolio consists almost entirely of bonds. </w:t>
      </w:r>
      <w:r w:rsidR="00215E55">
        <w:t xml:space="preserve"> </w:t>
      </w:r>
      <w:r w:rsidR="008C2578">
        <w:t>[Citation.]</w:t>
      </w:r>
      <w:r w:rsidR="00215E55">
        <w:t xml:space="preserve"> </w:t>
      </w:r>
      <w:r w:rsidR="008C2578">
        <w:t xml:space="preserve"> However, the Commissioner used the combined assets for 9 affiliates to come up with a portfolio consisting of about 40</w:t>
      </w:r>
      <w:r w:rsidR="00215E55">
        <w:t xml:space="preserve"> [percent]</w:t>
      </w:r>
      <w:r w:rsidR="008C2578">
        <w:t xml:space="preserve"> equit</w:t>
      </w:r>
      <w:r w:rsidR="0006778D">
        <w:t>i</w:t>
      </w:r>
      <w:r w:rsidR="008C2578">
        <w:t>es</w:t>
      </w:r>
      <w:r w:rsidR="007507B3">
        <w:t xml:space="preserve">. </w:t>
      </w:r>
      <w:r w:rsidR="0006778D">
        <w:t xml:space="preserve"> [Citation.] </w:t>
      </w:r>
      <w:r w:rsidR="00514A17">
        <w:t xml:space="preserve"> </w:t>
      </w:r>
      <w:r w:rsidR="0006778D">
        <w:t>Consequently, the decision must be set aside</w:t>
      </w:r>
      <w:r w:rsidR="008C2578">
        <w:t>.</w:t>
      </w:r>
      <w:r>
        <w:t>”</w:t>
      </w:r>
      <w:r>
        <w:rPr>
          <w:rStyle w:val="FootnoteReference"/>
        </w:rPr>
        <w:footnoteReference w:id="12"/>
      </w:r>
      <w:r w:rsidR="00A51493">
        <w:t xml:space="preserve"> </w:t>
      </w:r>
      <w:r w:rsidR="00CE2847" w:rsidRPr="00CE2847">
        <w:rPr>
          <w:rStyle w:val="FootnoteReference"/>
        </w:rPr>
        <w:t xml:space="preserve"> </w:t>
      </w:r>
    </w:p>
    <w:p w14:paraId="073D572B" w14:textId="72DF2DCA" w:rsidR="00A51493" w:rsidRDefault="002C69B8" w:rsidP="00DB5124">
      <w:pPr>
        <w:spacing w:line="360" w:lineRule="auto"/>
      </w:pPr>
      <w:r>
        <w:tab/>
        <w:t xml:space="preserve">The </w:t>
      </w:r>
      <w:r w:rsidR="00184A3D">
        <w:t xml:space="preserve">superior </w:t>
      </w:r>
      <w:r w:rsidR="0082246E" w:rsidRPr="005630A2">
        <w:t xml:space="preserve">court </w:t>
      </w:r>
      <w:r w:rsidR="0006778D">
        <w:t xml:space="preserve">also </w:t>
      </w:r>
      <w:r w:rsidR="0082246E" w:rsidRPr="005630A2">
        <w:t xml:space="preserve">rejected the Commissioner’s reliance </w:t>
      </w:r>
      <w:r w:rsidR="0006778D">
        <w:t xml:space="preserve">on other Insurance Code sections to contend the term “company” encompasses affiliates </w:t>
      </w:r>
      <w:r w:rsidR="0082246E" w:rsidRPr="005630A2">
        <w:t xml:space="preserve">and NAIC’s </w:t>
      </w:r>
      <w:r w:rsidR="004932D2">
        <w:t xml:space="preserve">purported </w:t>
      </w:r>
      <w:r w:rsidR="0082246E" w:rsidRPr="005630A2">
        <w:t xml:space="preserve">definition of </w:t>
      </w:r>
      <w:r w:rsidR="004932D2">
        <w:t xml:space="preserve">a </w:t>
      </w:r>
      <w:r w:rsidR="0082246E" w:rsidRPr="005630A2">
        <w:t xml:space="preserve">company as “company and its affiliates,” </w:t>
      </w:r>
      <w:r w:rsidR="00B0065E">
        <w:t>explaining</w:t>
      </w:r>
      <w:r w:rsidR="0082246E" w:rsidRPr="005630A2">
        <w:t xml:space="preserve"> in part that there was only one applicant here—SFG.</w:t>
      </w:r>
      <w:r w:rsidR="00B07CEF">
        <w:t xml:space="preserve"> </w:t>
      </w:r>
      <w:r w:rsidR="004932D2">
        <w:t xml:space="preserve"> </w:t>
      </w:r>
      <w:r w:rsidR="00F62178" w:rsidRPr="005630A2">
        <w:lastRenderedPageBreak/>
        <w:t>The court</w:t>
      </w:r>
      <w:r w:rsidR="000C0CF0" w:rsidRPr="005630A2">
        <w:t xml:space="preserve"> did not reach other issues</w:t>
      </w:r>
      <w:r w:rsidR="001E070D">
        <w:t xml:space="preserve"> raised by the parties</w:t>
      </w:r>
      <w:r w:rsidR="000C0CF0" w:rsidRPr="005630A2">
        <w:t>,</w:t>
      </w:r>
      <w:r w:rsidR="00A51493">
        <w:t xml:space="preserve"> including the </w:t>
      </w:r>
      <w:r w:rsidR="00184A3D">
        <w:t xml:space="preserve">retroactive rate and </w:t>
      </w:r>
      <w:r w:rsidR="0006778D">
        <w:t>refund</w:t>
      </w:r>
      <w:r w:rsidR="00A51493">
        <w:t>,</w:t>
      </w:r>
      <w:r w:rsidR="00184A3D">
        <w:t xml:space="preserve"> rejected SFG’s argument that the ALJ improperly excluded certain evidence, and remanded for further proceedings</w:t>
      </w:r>
      <w:r w:rsidR="00E166E8">
        <w:t xml:space="preserve">. </w:t>
      </w:r>
      <w:r w:rsidR="00F62178" w:rsidRPr="005630A2">
        <w:t xml:space="preserve">  </w:t>
      </w:r>
    </w:p>
    <w:p w14:paraId="5745C2CB" w14:textId="7C5251E1" w:rsidR="008B34BA" w:rsidRPr="0006778D" w:rsidRDefault="00A51493" w:rsidP="00DB5124">
      <w:pPr>
        <w:spacing w:line="360" w:lineRule="auto"/>
      </w:pPr>
      <w:r>
        <w:tab/>
      </w:r>
      <w:r w:rsidR="00D374BF">
        <w:t>In February 2019, t</w:t>
      </w:r>
      <w:r w:rsidR="000C0CF0" w:rsidRPr="005630A2">
        <w:t xml:space="preserve">he court entered judgment for SFG and issued a peremptory writ of mandate, requiring the Commissioner to set aside the Rate Order </w:t>
      </w:r>
      <w:r w:rsidR="001B038D">
        <w:t>to the extent inconsistent with its March 2018 order</w:t>
      </w:r>
      <w:r w:rsidR="003A6818">
        <w:t xml:space="preserve"> </w:t>
      </w:r>
      <w:r w:rsidR="000C0CF0" w:rsidRPr="005630A2">
        <w:t xml:space="preserve">and reconsider remanded issues. </w:t>
      </w:r>
      <w:r w:rsidR="0006778D">
        <w:t xml:space="preserve"> </w:t>
      </w:r>
      <w:r w:rsidR="001A7EDC" w:rsidRPr="005630A2">
        <w:rPr>
          <w:szCs w:val="26"/>
        </w:rPr>
        <w:t xml:space="preserve">The Commissioner and CW appealed from the judgment and writ of mandate, and SFG appealed from the </w:t>
      </w:r>
      <w:r w:rsidR="0006778D">
        <w:rPr>
          <w:szCs w:val="26"/>
        </w:rPr>
        <w:t>ruling</w:t>
      </w:r>
      <w:r w:rsidR="001A7EDC" w:rsidRPr="005630A2">
        <w:rPr>
          <w:szCs w:val="26"/>
        </w:rPr>
        <w:t xml:space="preserve"> directing remand to the Commissioner.</w:t>
      </w:r>
      <w:r w:rsidR="005D5256">
        <w:rPr>
          <w:szCs w:val="26"/>
        </w:rPr>
        <w:t xml:space="preserve"> </w:t>
      </w:r>
      <w:r w:rsidR="001A7EDC" w:rsidRPr="005630A2">
        <w:rPr>
          <w:szCs w:val="26"/>
        </w:rPr>
        <w:t xml:space="preserve"> </w:t>
      </w:r>
      <w:r w:rsidR="001A7EDC" w:rsidRPr="005630A2">
        <w:t xml:space="preserve">The California Business Roundtable, Personal Insurance Federation </w:t>
      </w:r>
      <w:r w:rsidR="001E2FC3">
        <w:t>o</w:t>
      </w:r>
      <w:r w:rsidR="001A7EDC" w:rsidRPr="005630A2">
        <w:t>f California</w:t>
      </w:r>
      <w:r w:rsidR="00DE1A11">
        <w:t xml:space="preserve">, </w:t>
      </w:r>
      <w:r w:rsidR="001A7EDC" w:rsidRPr="005630A2">
        <w:t xml:space="preserve">and National Association </w:t>
      </w:r>
      <w:r w:rsidR="001E2FC3">
        <w:t>o</w:t>
      </w:r>
      <w:r w:rsidR="001A7EDC" w:rsidRPr="005630A2">
        <w:t xml:space="preserve">f Mutual Insurance Companies </w:t>
      </w:r>
      <w:r w:rsidR="001A7EDC" w:rsidRPr="005630A2">
        <w:rPr>
          <w:szCs w:val="26"/>
        </w:rPr>
        <w:t xml:space="preserve">applied to file amicus curiae briefs on behalf of </w:t>
      </w:r>
      <w:r w:rsidR="009264C1" w:rsidRPr="00597D3E">
        <w:rPr>
          <w:szCs w:val="26"/>
        </w:rPr>
        <w:t>SFG</w:t>
      </w:r>
      <w:r w:rsidR="001A7EDC" w:rsidRPr="005630A2">
        <w:rPr>
          <w:szCs w:val="26"/>
        </w:rPr>
        <w:t>.  We granted the applications</w:t>
      </w:r>
      <w:r w:rsidR="001A7EDC" w:rsidRPr="00F328A6">
        <w:rPr>
          <w:szCs w:val="26"/>
        </w:rPr>
        <w:t xml:space="preserve">, and the parties filed </w:t>
      </w:r>
      <w:r w:rsidR="001E154D">
        <w:rPr>
          <w:szCs w:val="26"/>
        </w:rPr>
        <w:t>responsive briefs</w:t>
      </w:r>
      <w:r w:rsidR="001A7EDC" w:rsidRPr="00F328A6">
        <w:rPr>
          <w:szCs w:val="26"/>
        </w:rPr>
        <w:t>.</w:t>
      </w:r>
      <w:bookmarkStart w:id="11" w:name="_Toc475612106"/>
      <w:bookmarkStart w:id="12" w:name="_Toc476142679"/>
      <w:bookmarkStart w:id="13" w:name="_Toc476142951"/>
      <w:bookmarkStart w:id="14" w:name="_Hlk71709905"/>
      <w:bookmarkEnd w:id="8"/>
      <w:bookmarkEnd w:id="9"/>
      <w:r w:rsidR="005D5256">
        <w:rPr>
          <w:szCs w:val="26"/>
        </w:rPr>
        <w:t xml:space="preserve"> </w:t>
      </w:r>
    </w:p>
    <w:p w14:paraId="2A4ECC1A" w14:textId="77777777" w:rsidR="008B34BA" w:rsidRPr="005630A2" w:rsidRDefault="00C62FC6" w:rsidP="00DB5124">
      <w:pPr>
        <w:keepNext/>
        <w:spacing w:line="360" w:lineRule="auto"/>
        <w:jc w:val="center"/>
        <w:outlineLvl w:val="0"/>
        <w:rPr>
          <w:rFonts w:eastAsia="Calibri"/>
          <w:szCs w:val="26"/>
        </w:rPr>
      </w:pPr>
      <w:r w:rsidRPr="005630A2">
        <w:rPr>
          <w:rFonts w:eastAsia="Calibri"/>
          <w:szCs w:val="26"/>
        </w:rPr>
        <w:t>DISCUSSION</w:t>
      </w:r>
      <w:bookmarkEnd w:id="11"/>
      <w:bookmarkEnd w:id="12"/>
      <w:bookmarkEnd w:id="13"/>
      <w:r w:rsidRPr="005630A2">
        <w:rPr>
          <w:rFonts w:eastAsia="Calibri"/>
          <w:szCs w:val="26"/>
        </w:rPr>
        <w:t xml:space="preserve">  </w:t>
      </w:r>
    </w:p>
    <w:p w14:paraId="2BF8B991" w14:textId="5B89A447" w:rsidR="003E4F0D" w:rsidRPr="005630A2" w:rsidRDefault="003E4F0D" w:rsidP="00DB5124">
      <w:pPr>
        <w:keepNext/>
        <w:spacing w:line="360" w:lineRule="auto"/>
        <w:jc w:val="center"/>
        <w:outlineLvl w:val="0"/>
        <w:rPr>
          <w:rFonts w:eastAsia="Calibri"/>
          <w:i/>
          <w:szCs w:val="26"/>
        </w:rPr>
      </w:pPr>
      <w:r w:rsidRPr="005630A2">
        <w:rPr>
          <w:rFonts w:eastAsia="Calibri"/>
          <w:szCs w:val="26"/>
        </w:rPr>
        <w:t>I.</w:t>
      </w:r>
      <w:r w:rsidRPr="005630A2">
        <w:rPr>
          <w:rFonts w:eastAsia="Calibri"/>
          <w:szCs w:val="26"/>
        </w:rPr>
        <w:tab/>
      </w:r>
      <w:r w:rsidRPr="005630A2">
        <w:rPr>
          <w:rFonts w:eastAsia="Calibri"/>
          <w:i/>
          <w:szCs w:val="26"/>
        </w:rPr>
        <w:t>Appeal From Judgment</w:t>
      </w:r>
    </w:p>
    <w:p w14:paraId="7FF3CB62" w14:textId="05AE0DFF" w:rsidR="00E166E8" w:rsidRDefault="00C245DF" w:rsidP="00DB5124">
      <w:pPr>
        <w:spacing w:line="360" w:lineRule="auto"/>
        <w:rPr>
          <w:szCs w:val="26"/>
        </w:rPr>
      </w:pPr>
      <w:r w:rsidRPr="005630A2">
        <w:rPr>
          <w:szCs w:val="26"/>
        </w:rPr>
        <w:tab/>
      </w:r>
      <w:r w:rsidR="004E722E" w:rsidRPr="005630A2">
        <w:rPr>
          <w:szCs w:val="26"/>
        </w:rPr>
        <w:t xml:space="preserve">Appellants </w:t>
      </w:r>
      <w:r w:rsidR="005630A2" w:rsidRPr="005630A2">
        <w:rPr>
          <w:szCs w:val="26"/>
        </w:rPr>
        <w:t>argue</w:t>
      </w:r>
      <w:r w:rsidRPr="005630A2">
        <w:rPr>
          <w:szCs w:val="26"/>
        </w:rPr>
        <w:t xml:space="preserve"> </w:t>
      </w:r>
      <w:r w:rsidR="00E166E8">
        <w:rPr>
          <w:szCs w:val="26"/>
        </w:rPr>
        <w:t xml:space="preserve">section 1861.05(a) permits use of group income, the Commissioner properly interpreted and applied </w:t>
      </w:r>
      <w:r w:rsidR="00075BD8">
        <w:rPr>
          <w:szCs w:val="26"/>
        </w:rPr>
        <w:t>regulation section 2644.20</w:t>
      </w:r>
      <w:r w:rsidR="00E166E8">
        <w:rPr>
          <w:szCs w:val="26"/>
        </w:rPr>
        <w:t xml:space="preserve">, and </w:t>
      </w:r>
      <w:r w:rsidR="00496FA9">
        <w:rPr>
          <w:szCs w:val="26"/>
        </w:rPr>
        <w:t>the rate effective date and refund</w:t>
      </w:r>
      <w:r w:rsidR="00E166E8">
        <w:rPr>
          <w:szCs w:val="26"/>
        </w:rPr>
        <w:t xml:space="preserve"> </w:t>
      </w:r>
      <w:r w:rsidR="00496FA9">
        <w:rPr>
          <w:szCs w:val="26"/>
        </w:rPr>
        <w:t>were proper</w:t>
      </w:r>
      <w:r w:rsidR="00E166E8">
        <w:rPr>
          <w:szCs w:val="26"/>
        </w:rPr>
        <w:t xml:space="preserve">.  They also disagree with SFG’s arguments for affirmance that the Rate Order was confiscatory and otherwise unconstitutional.  </w:t>
      </w:r>
      <w:r w:rsidR="00034D73" w:rsidRPr="005630A2">
        <w:rPr>
          <w:szCs w:val="26"/>
        </w:rPr>
        <w:t xml:space="preserve">We reject </w:t>
      </w:r>
      <w:r w:rsidR="00496FA9">
        <w:rPr>
          <w:szCs w:val="26"/>
        </w:rPr>
        <w:t>Appellants’</w:t>
      </w:r>
      <w:r w:rsidR="00034D73" w:rsidRPr="005630A2">
        <w:rPr>
          <w:szCs w:val="26"/>
        </w:rPr>
        <w:t xml:space="preserve"> arguments regarding the statute</w:t>
      </w:r>
      <w:r w:rsidR="00E166E8">
        <w:rPr>
          <w:szCs w:val="26"/>
        </w:rPr>
        <w:t xml:space="preserve"> and</w:t>
      </w:r>
      <w:r w:rsidR="00034D73" w:rsidRPr="005630A2">
        <w:rPr>
          <w:szCs w:val="26"/>
        </w:rPr>
        <w:t xml:space="preserve"> regulation</w:t>
      </w:r>
      <w:r w:rsidR="003A732E">
        <w:rPr>
          <w:szCs w:val="26"/>
        </w:rPr>
        <w:t>,</w:t>
      </w:r>
      <w:r w:rsidR="00E166E8">
        <w:rPr>
          <w:szCs w:val="26"/>
        </w:rPr>
        <w:t xml:space="preserve"> address the </w:t>
      </w:r>
      <w:r w:rsidR="00496FA9">
        <w:rPr>
          <w:szCs w:val="26"/>
        </w:rPr>
        <w:t xml:space="preserve">retroactive rate and </w:t>
      </w:r>
      <w:r w:rsidR="00E166E8">
        <w:rPr>
          <w:szCs w:val="26"/>
        </w:rPr>
        <w:t>refund in connection with SFG’s cross-appeal</w:t>
      </w:r>
      <w:r w:rsidR="00496FA9">
        <w:rPr>
          <w:szCs w:val="26"/>
        </w:rPr>
        <w:t xml:space="preserve"> </w:t>
      </w:r>
      <w:r w:rsidR="00DF21D4">
        <w:rPr>
          <w:szCs w:val="26"/>
        </w:rPr>
        <w:t xml:space="preserve">and conclude </w:t>
      </w:r>
      <w:r w:rsidR="00496FA9">
        <w:rPr>
          <w:szCs w:val="26"/>
        </w:rPr>
        <w:t>they were</w:t>
      </w:r>
      <w:r w:rsidR="00DF21D4">
        <w:rPr>
          <w:szCs w:val="26"/>
        </w:rPr>
        <w:t xml:space="preserve"> improper</w:t>
      </w:r>
      <w:r w:rsidR="003A732E">
        <w:rPr>
          <w:szCs w:val="26"/>
        </w:rPr>
        <w:t>,</w:t>
      </w:r>
      <w:r w:rsidR="00DF21D4">
        <w:rPr>
          <w:szCs w:val="26"/>
        </w:rPr>
        <w:t xml:space="preserve"> and need not and do not address confiscation or constitutionality.</w:t>
      </w:r>
      <w:r w:rsidR="00034D73" w:rsidRPr="005630A2">
        <w:rPr>
          <w:szCs w:val="26"/>
        </w:rPr>
        <w:t xml:space="preserve"> </w:t>
      </w:r>
    </w:p>
    <w:p w14:paraId="46CE7B64" w14:textId="77777777" w:rsidR="00514474" w:rsidRDefault="00C750CB" w:rsidP="00DB5124">
      <w:pPr>
        <w:pStyle w:val="Heading1"/>
        <w:keepLines w:val="0"/>
        <w:spacing w:before="0" w:line="360" w:lineRule="auto"/>
        <w:contextualSpacing/>
        <w:rPr>
          <w:rFonts w:ascii="Century Schoolbook" w:eastAsia="Calibri" w:hAnsi="Century Schoolbook" w:cs="Times New Roman"/>
          <w:iCs/>
          <w:color w:val="auto"/>
          <w:sz w:val="26"/>
          <w:szCs w:val="26"/>
        </w:rPr>
      </w:pPr>
      <w:bookmarkStart w:id="15" w:name="_Hlk71709796"/>
      <w:r w:rsidRPr="005630A2">
        <w:rPr>
          <w:rFonts w:ascii="Century Schoolbook" w:eastAsia="Calibri" w:hAnsi="Century Schoolbook" w:cs="Times New Roman"/>
          <w:iCs/>
          <w:color w:val="auto"/>
          <w:sz w:val="26"/>
          <w:szCs w:val="26"/>
        </w:rPr>
        <w:t>A.</w:t>
      </w:r>
      <w:r w:rsidRPr="005630A2">
        <w:rPr>
          <w:rFonts w:ascii="Century Schoolbook" w:eastAsia="Calibri" w:hAnsi="Century Schoolbook" w:cs="Times New Roman"/>
          <w:iCs/>
          <w:color w:val="auto"/>
          <w:sz w:val="26"/>
          <w:szCs w:val="26"/>
        </w:rPr>
        <w:tab/>
      </w:r>
      <w:r w:rsidR="00514474" w:rsidRPr="00514474">
        <w:rPr>
          <w:rFonts w:ascii="Century Schoolbook" w:eastAsia="Calibri" w:hAnsi="Century Schoolbook" w:cs="Times New Roman"/>
          <w:i/>
          <w:color w:val="auto"/>
          <w:sz w:val="26"/>
          <w:szCs w:val="26"/>
        </w:rPr>
        <w:t>Applicable Law</w:t>
      </w:r>
    </w:p>
    <w:p w14:paraId="7A6090DA" w14:textId="77777777" w:rsidR="00514474" w:rsidRPr="00514474" w:rsidRDefault="00514474" w:rsidP="00DB5124">
      <w:pPr>
        <w:pStyle w:val="Heading2"/>
        <w:spacing w:line="360" w:lineRule="auto"/>
        <w:rPr>
          <w:rFonts w:eastAsia="Calibri"/>
          <w:i/>
          <w:iCs/>
        </w:rPr>
      </w:pPr>
      <w:r w:rsidRPr="00514474">
        <w:rPr>
          <w:rFonts w:eastAsia="Calibri"/>
        </w:rPr>
        <w:tab/>
      </w:r>
      <w:r>
        <w:rPr>
          <w:rFonts w:eastAsia="Calibri"/>
        </w:rPr>
        <w:t>1</w:t>
      </w:r>
      <w:r w:rsidRPr="00514474">
        <w:rPr>
          <w:rFonts w:eastAsia="Calibri"/>
        </w:rPr>
        <w:t>.</w:t>
      </w:r>
      <w:r w:rsidRPr="00514474">
        <w:rPr>
          <w:rFonts w:eastAsia="Calibri"/>
        </w:rPr>
        <w:tab/>
      </w:r>
      <w:r w:rsidRPr="00514474">
        <w:rPr>
          <w:rFonts w:eastAsia="Calibri"/>
          <w:i/>
          <w:iCs/>
        </w:rPr>
        <w:t xml:space="preserve">Statutory </w:t>
      </w:r>
      <w:r w:rsidR="00483083">
        <w:rPr>
          <w:rFonts w:eastAsia="Calibri"/>
          <w:i/>
          <w:iCs/>
        </w:rPr>
        <w:t xml:space="preserve">and Regulatory </w:t>
      </w:r>
      <w:r w:rsidRPr="00514474">
        <w:rPr>
          <w:rFonts w:eastAsia="Calibri"/>
          <w:i/>
          <w:iCs/>
        </w:rPr>
        <w:t xml:space="preserve">Interpretation </w:t>
      </w:r>
    </w:p>
    <w:p w14:paraId="65A2001E" w14:textId="4D2C77D8" w:rsidR="00514474" w:rsidRDefault="00514474" w:rsidP="00DB5124">
      <w:pPr>
        <w:spacing w:line="360" w:lineRule="auto"/>
        <w:rPr>
          <w:szCs w:val="26"/>
        </w:rPr>
      </w:pPr>
      <w:r>
        <w:rPr>
          <w:szCs w:val="26"/>
        </w:rPr>
        <w:tab/>
      </w:r>
      <w:r w:rsidR="00C326B1" w:rsidRPr="00C326B1">
        <w:rPr>
          <w:szCs w:val="26"/>
        </w:rPr>
        <w:t xml:space="preserve">“ ‘When construing a statute, we must “ascertain the intent of the Legislature so as to effectuate the purpose of the law.” ’ </w:t>
      </w:r>
      <w:r w:rsidR="001A000A">
        <w:rPr>
          <w:szCs w:val="26"/>
        </w:rPr>
        <w:t xml:space="preserve"> </w:t>
      </w:r>
      <w:r w:rsidR="00C326B1" w:rsidRPr="00C326B1">
        <w:rPr>
          <w:szCs w:val="26"/>
        </w:rPr>
        <w:t>[Citations.]</w:t>
      </w:r>
      <w:r w:rsidR="001A000A">
        <w:rPr>
          <w:szCs w:val="26"/>
        </w:rPr>
        <w:t xml:space="preserve"> </w:t>
      </w:r>
      <w:r w:rsidR="00C326B1" w:rsidRPr="00C326B1">
        <w:rPr>
          <w:szCs w:val="26"/>
        </w:rPr>
        <w:t xml:space="preserve"> ‘In determining such intent, a court must look first to the words of the statute </w:t>
      </w:r>
      <w:r w:rsidR="00C326B1" w:rsidRPr="00C326B1">
        <w:rPr>
          <w:szCs w:val="26"/>
        </w:rPr>
        <w:lastRenderedPageBreak/>
        <w:t>themselves, giving to the language its usual, ordinary import and according significance, if possible, to every word, phrase and sentence in pursuance of the legislative purpose.’</w:t>
      </w:r>
      <w:r w:rsidR="00C92134">
        <w:rPr>
          <w:szCs w:val="26"/>
        </w:rPr>
        <w:t xml:space="preserve"> </w:t>
      </w:r>
      <w:r w:rsidR="00C326B1" w:rsidRPr="00C326B1">
        <w:rPr>
          <w:szCs w:val="26"/>
        </w:rPr>
        <w:t xml:space="preserve"> [Citation.] </w:t>
      </w:r>
      <w:r w:rsidR="00C92134">
        <w:rPr>
          <w:szCs w:val="26"/>
        </w:rPr>
        <w:t xml:space="preserve"> </w:t>
      </w:r>
      <w:r w:rsidR="00C326B1" w:rsidRPr="00C326B1">
        <w:rPr>
          <w:szCs w:val="26"/>
        </w:rPr>
        <w:t>At the same time, ‘we do not consider . . . statutory language in isolation.’</w:t>
      </w:r>
      <w:r w:rsidR="00C92134">
        <w:rPr>
          <w:szCs w:val="26"/>
        </w:rPr>
        <w:t xml:space="preserve"> </w:t>
      </w:r>
      <w:r w:rsidR="00C326B1" w:rsidRPr="00C326B1">
        <w:rPr>
          <w:szCs w:val="26"/>
        </w:rPr>
        <w:t xml:space="preserve"> [Citation.] </w:t>
      </w:r>
      <w:r w:rsidR="00C92134">
        <w:rPr>
          <w:szCs w:val="26"/>
        </w:rPr>
        <w:t xml:space="preserve"> </w:t>
      </w:r>
      <w:r w:rsidR="00C326B1" w:rsidRPr="00C326B1">
        <w:rPr>
          <w:szCs w:val="26"/>
        </w:rPr>
        <w:t xml:space="preserve">Instead, we ‘examine the entire substance of the statute in order to determine the scope and purpose of the provision, construing its words in context and harmonizing its various parts.’ </w:t>
      </w:r>
      <w:r w:rsidR="00937369">
        <w:rPr>
          <w:szCs w:val="26"/>
        </w:rPr>
        <w:t xml:space="preserve"> </w:t>
      </w:r>
      <w:r w:rsidR="00C326B1" w:rsidRPr="00C326B1">
        <w:rPr>
          <w:szCs w:val="26"/>
        </w:rPr>
        <w:t xml:space="preserve">[Citation.] </w:t>
      </w:r>
      <w:r w:rsidR="00855AB7">
        <w:rPr>
          <w:szCs w:val="26"/>
        </w:rPr>
        <w:t xml:space="preserve"> </w:t>
      </w:r>
      <w:r w:rsidR="00C326B1" w:rsidRPr="00C326B1">
        <w:rPr>
          <w:szCs w:val="26"/>
        </w:rPr>
        <w:t>Moreover, we ‘ “read every statute ‘with reference to the entire scheme of law of which it is part so that the whole may be harmonized and retain effectiveness.’ ” ’ ”  (</w:t>
      </w:r>
      <w:r w:rsidR="00C326B1" w:rsidRPr="00C326B1">
        <w:rPr>
          <w:i/>
          <w:iCs/>
          <w:szCs w:val="26"/>
        </w:rPr>
        <w:t xml:space="preserve">State Farm Mutual </w:t>
      </w:r>
      <w:r w:rsidR="00D9066E">
        <w:rPr>
          <w:i/>
          <w:iCs/>
          <w:szCs w:val="26"/>
        </w:rPr>
        <w:t xml:space="preserve">Automobile Ins. Co. </w:t>
      </w:r>
      <w:r w:rsidR="00C326B1" w:rsidRPr="00C326B1">
        <w:rPr>
          <w:i/>
          <w:iCs/>
          <w:szCs w:val="26"/>
        </w:rPr>
        <w:t>v. Garamendi</w:t>
      </w:r>
      <w:r w:rsidR="00C326B1" w:rsidRPr="00C326B1">
        <w:rPr>
          <w:szCs w:val="26"/>
        </w:rPr>
        <w:t xml:space="preserve"> (2004) 32 Cal.4th 1029, 1043 (</w:t>
      </w:r>
      <w:r w:rsidR="00C326B1" w:rsidRPr="00C326B1">
        <w:rPr>
          <w:i/>
          <w:iCs/>
          <w:szCs w:val="26"/>
        </w:rPr>
        <w:t>Garamendi</w:t>
      </w:r>
      <w:r w:rsidR="00C326B1" w:rsidRPr="00C326B1">
        <w:rPr>
          <w:szCs w:val="26"/>
        </w:rPr>
        <w:t xml:space="preserve">).) </w:t>
      </w:r>
    </w:p>
    <w:p w14:paraId="12EB61BB" w14:textId="4CA243EF" w:rsidR="00F84C9F" w:rsidRDefault="00F84C9F" w:rsidP="00DB5124">
      <w:pPr>
        <w:spacing w:line="360" w:lineRule="auto"/>
        <w:rPr>
          <w:szCs w:val="26"/>
        </w:rPr>
      </w:pPr>
      <w:r>
        <w:rPr>
          <w:szCs w:val="26"/>
        </w:rPr>
        <w:tab/>
        <w:t>“</w:t>
      </w:r>
      <w:r w:rsidRPr="00F84C9F">
        <w:rPr>
          <w:szCs w:val="26"/>
        </w:rPr>
        <w:t>If the statutory language is clear and unambiguous, then we need go no further.</w:t>
      </w:r>
      <w:r>
        <w:rPr>
          <w:szCs w:val="26"/>
        </w:rPr>
        <w:t xml:space="preserve">  [Citation.] </w:t>
      </w:r>
      <w:r w:rsidR="00855AB7">
        <w:rPr>
          <w:szCs w:val="26"/>
        </w:rPr>
        <w:t xml:space="preserve"> </w:t>
      </w:r>
      <w:r w:rsidRPr="00F84C9F">
        <w:rPr>
          <w:szCs w:val="26"/>
        </w:rPr>
        <w:t xml:space="preserve">If, however, the language is susceptible to more than one reasonable interpretation, then we look to </w:t>
      </w:r>
      <w:r>
        <w:rPr>
          <w:szCs w:val="26"/>
        </w:rPr>
        <w:t>‘</w:t>
      </w:r>
      <w:r w:rsidRPr="00F84C9F">
        <w:rPr>
          <w:szCs w:val="26"/>
        </w:rPr>
        <w:t>extrinsic aids, including the ostensible objects to be achieved, the evils to be remedied, the legislative history, public policy, contemporaneous administrative construction, and the statutory scheme of which the statute is a part.</w:t>
      </w:r>
      <w:r>
        <w:rPr>
          <w:szCs w:val="26"/>
        </w:rPr>
        <w:t>’ ”</w:t>
      </w:r>
      <w:r w:rsidR="00855AB7">
        <w:rPr>
          <w:szCs w:val="26"/>
        </w:rPr>
        <w:t xml:space="preserve"> </w:t>
      </w:r>
      <w:r>
        <w:rPr>
          <w:szCs w:val="26"/>
        </w:rPr>
        <w:t xml:space="preserve"> </w:t>
      </w:r>
      <w:bookmarkStart w:id="16" w:name="_Hlk73051132"/>
      <w:r>
        <w:rPr>
          <w:szCs w:val="26"/>
        </w:rPr>
        <w:t>(</w:t>
      </w:r>
      <w:r w:rsidRPr="00F84C9F">
        <w:rPr>
          <w:i/>
          <w:iCs/>
          <w:szCs w:val="26"/>
        </w:rPr>
        <w:t>Hoechst Celanese Corp. v. Franchise Tax Bd.</w:t>
      </w:r>
      <w:r>
        <w:rPr>
          <w:szCs w:val="26"/>
        </w:rPr>
        <w:t xml:space="preserve"> (</w:t>
      </w:r>
      <w:r w:rsidRPr="00F84C9F">
        <w:rPr>
          <w:szCs w:val="26"/>
        </w:rPr>
        <w:t>2001</w:t>
      </w:r>
      <w:r>
        <w:rPr>
          <w:szCs w:val="26"/>
        </w:rPr>
        <w:t xml:space="preserve">) </w:t>
      </w:r>
      <w:r w:rsidRPr="00F84C9F">
        <w:rPr>
          <w:szCs w:val="26"/>
        </w:rPr>
        <w:t>25 Cal.4th 508</w:t>
      </w:r>
      <w:r>
        <w:rPr>
          <w:szCs w:val="26"/>
        </w:rPr>
        <w:t>, 519</w:t>
      </w:r>
      <w:bookmarkEnd w:id="16"/>
      <w:r>
        <w:rPr>
          <w:szCs w:val="26"/>
        </w:rPr>
        <w:t>.)</w:t>
      </w:r>
    </w:p>
    <w:p w14:paraId="6B110CD0" w14:textId="5F530688" w:rsidR="009F2332" w:rsidRPr="008D1D2D" w:rsidRDefault="009F2332" w:rsidP="00DB5124">
      <w:pPr>
        <w:spacing w:line="360" w:lineRule="auto"/>
        <w:rPr>
          <w:szCs w:val="26"/>
        </w:rPr>
      </w:pPr>
      <w:r>
        <w:rPr>
          <w:szCs w:val="26"/>
        </w:rPr>
        <w:tab/>
        <w:t>“</w:t>
      </w:r>
      <w:r w:rsidRPr="009F2332">
        <w:rPr>
          <w:szCs w:val="26"/>
        </w:rPr>
        <w:t>The rules governing interpretation of statutes generally apply also to initiatives and regulations.</w:t>
      </w:r>
      <w:r>
        <w:rPr>
          <w:szCs w:val="26"/>
        </w:rPr>
        <w:t>”  (</w:t>
      </w:r>
      <w:r w:rsidRPr="00C1516B">
        <w:rPr>
          <w:i/>
          <w:iCs/>
        </w:rPr>
        <w:t>Spanish Speaking Citizens’ Foundation, Inc. v. Low</w:t>
      </w:r>
      <w:r w:rsidRPr="005630A2">
        <w:t xml:space="preserve"> (2000) 85 Cal.App.4th 1179</w:t>
      </w:r>
      <w:r>
        <w:t>, 1214</w:t>
      </w:r>
      <w:r w:rsidR="00622A34">
        <w:t xml:space="preserve"> (</w:t>
      </w:r>
      <w:r w:rsidR="00622A34">
        <w:rPr>
          <w:i/>
          <w:iCs/>
        </w:rPr>
        <w:t>Spanish Speaking Citizens</w:t>
      </w:r>
      <w:r w:rsidR="00622A34">
        <w:t>)</w:t>
      </w:r>
      <w:r>
        <w:t xml:space="preserve">; see, e.g., </w:t>
      </w:r>
      <w:r w:rsidRPr="005630A2">
        <w:rPr>
          <w:i/>
          <w:iCs/>
          <w:szCs w:val="26"/>
        </w:rPr>
        <w:t>Silva v. Humboldt</w:t>
      </w:r>
      <w:r w:rsidRPr="005630A2">
        <w:rPr>
          <w:szCs w:val="26"/>
        </w:rPr>
        <w:t xml:space="preserve"> (2021) 62 Cal.App.5th 928, </w:t>
      </w:r>
      <w:r>
        <w:rPr>
          <w:szCs w:val="26"/>
        </w:rPr>
        <w:t>934 [if language</w:t>
      </w:r>
      <w:r w:rsidRPr="009F2332">
        <w:rPr>
          <w:szCs w:val="26"/>
        </w:rPr>
        <w:t xml:space="preserve"> is not ambiguous, we </w:t>
      </w:r>
      <w:r>
        <w:rPr>
          <w:szCs w:val="26"/>
        </w:rPr>
        <w:t>presume “</w:t>
      </w:r>
      <w:r w:rsidRPr="009F2332">
        <w:rPr>
          <w:szCs w:val="26"/>
        </w:rPr>
        <w:t>voters intended the meaning apparent from that language,</w:t>
      </w:r>
      <w:r>
        <w:rPr>
          <w:szCs w:val="26"/>
        </w:rPr>
        <w:t>”</w:t>
      </w:r>
      <w:r w:rsidRPr="009F2332">
        <w:rPr>
          <w:szCs w:val="26"/>
        </w:rPr>
        <w:t xml:space="preserve"> and </w:t>
      </w:r>
      <w:r>
        <w:rPr>
          <w:szCs w:val="26"/>
        </w:rPr>
        <w:t>“</w:t>
      </w:r>
      <w:r w:rsidRPr="009F2332">
        <w:rPr>
          <w:szCs w:val="26"/>
        </w:rPr>
        <w:t>may not add to the statute or rewrite it to conform to some assumed intent</w:t>
      </w:r>
      <w:r>
        <w:rPr>
          <w:szCs w:val="26"/>
        </w:rPr>
        <w:t xml:space="preserve">”].)  </w:t>
      </w:r>
      <w:r w:rsidR="00622A34">
        <w:rPr>
          <w:szCs w:val="26"/>
        </w:rPr>
        <w:t>A reg</w:t>
      </w:r>
      <w:r>
        <w:rPr>
          <w:szCs w:val="26"/>
        </w:rPr>
        <w:t xml:space="preserve">ulation also </w:t>
      </w:r>
      <w:r w:rsidR="00622A34">
        <w:rPr>
          <w:szCs w:val="26"/>
        </w:rPr>
        <w:t>“</w:t>
      </w:r>
      <w:r>
        <w:rPr>
          <w:szCs w:val="26"/>
        </w:rPr>
        <w:t xml:space="preserve">must </w:t>
      </w:r>
      <w:r w:rsidR="00622A34" w:rsidRPr="009F2332">
        <w:rPr>
          <w:szCs w:val="26"/>
        </w:rPr>
        <w:t xml:space="preserve">fit </w:t>
      </w:r>
      <w:r w:rsidR="00622A34">
        <w:rPr>
          <w:szCs w:val="26"/>
        </w:rPr>
        <w:t>‘</w:t>
      </w:r>
      <w:r w:rsidR="00622A34" w:rsidRPr="009F2332">
        <w:rPr>
          <w:szCs w:val="26"/>
        </w:rPr>
        <w:t>within the scope of authority conferred</w:t>
      </w:r>
      <w:r w:rsidR="00622A34">
        <w:rPr>
          <w:szCs w:val="26"/>
        </w:rPr>
        <w:t>’</w:t>
      </w:r>
      <w:r w:rsidR="00622A34" w:rsidRPr="009F2332">
        <w:rPr>
          <w:szCs w:val="26"/>
        </w:rPr>
        <w:t xml:space="preserve"> by the </w:t>
      </w:r>
      <w:r w:rsidR="00A84DA7">
        <w:rPr>
          <w:szCs w:val="26"/>
        </w:rPr>
        <w:t>Legislature</w:t>
      </w:r>
      <w:r w:rsidR="00622A34">
        <w:rPr>
          <w:szCs w:val="26"/>
        </w:rPr>
        <w:t xml:space="preserve">.” </w:t>
      </w:r>
      <w:r w:rsidR="00DB58C2">
        <w:rPr>
          <w:szCs w:val="26"/>
        </w:rPr>
        <w:t xml:space="preserve"> </w:t>
      </w:r>
      <w:r w:rsidR="00622A34">
        <w:rPr>
          <w:szCs w:val="26"/>
        </w:rPr>
        <w:t>(</w:t>
      </w:r>
      <w:r w:rsidR="00622A34" w:rsidRPr="00C16C21">
        <w:rPr>
          <w:i/>
          <w:iCs/>
        </w:rPr>
        <w:t>Association of California Ins. Cos. v. Jones</w:t>
      </w:r>
      <w:r w:rsidR="00622A34" w:rsidRPr="00822FC8">
        <w:t xml:space="preserve"> (201</w:t>
      </w:r>
      <w:r w:rsidR="00FB4421">
        <w:t>7</w:t>
      </w:r>
      <w:r w:rsidR="00622A34" w:rsidRPr="00822FC8">
        <w:t xml:space="preserve">) 2 Cal.5th 376, </w:t>
      </w:r>
      <w:r w:rsidR="00622A34">
        <w:t>390</w:t>
      </w:r>
      <w:r w:rsidR="00EE5164">
        <w:t xml:space="preserve"> (</w:t>
      </w:r>
      <w:r w:rsidR="00EE5164">
        <w:rPr>
          <w:i/>
          <w:iCs/>
        </w:rPr>
        <w:t>ASIC</w:t>
      </w:r>
      <w:r w:rsidR="00EE5164">
        <w:t>)</w:t>
      </w:r>
      <w:r w:rsidR="001E1D87">
        <w:t xml:space="preserve">; </w:t>
      </w:r>
      <w:r w:rsidR="001E1D87">
        <w:rPr>
          <w:i/>
          <w:iCs/>
        </w:rPr>
        <w:t>ibid</w:t>
      </w:r>
      <w:r w:rsidR="001E1D87">
        <w:t>. [</w:t>
      </w:r>
      <w:r w:rsidR="00622A34">
        <w:rPr>
          <w:szCs w:val="26"/>
        </w:rPr>
        <w:t>“</w:t>
      </w:r>
      <w:r w:rsidR="001E1D87">
        <w:rPr>
          <w:szCs w:val="26"/>
        </w:rPr>
        <w:t>[r]</w:t>
      </w:r>
      <w:r w:rsidRPr="009F2332">
        <w:rPr>
          <w:szCs w:val="26"/>
        </w:rPr>
        <w:t>egulations that alter or amend the statute, or enlarge or impair its scope, are invalid</w:t>
      </w:r>
      <w:r w:rsidR="001E1D87">
        <w:rPr>
          <w:szCs w:val="26"/>
        </w:rPr>
        <w:t xml:space="preserve">”]; </w:t>
      </w:r>
      <w:r w:rsidR="00EE5164">
        <w:rPr>
          <w:szCs w:val="26"/>
        </w:rPr>
        <w:t xml:space="preserve">see </w:t>
      </w:r>
      <w:r w:rsidR="001E1D87" w:rsidRPr="0002369E">
        <w:rPr>
          <w:i/>
          <w:iCs/>
          <w:szCs w:val="26"/>
        </w:rPr>
        <w:t>In re Gadlin</w:t>
      </w:r>
      <w:r w:rsidR="001E1D87">
        <w:rPr>
          <w:szCs w:val="26"/>
        </w:rPr>
        <w:t xml:space="preserve"> (</w:t>
      </w:r>
      <w:r w:rsidR="001E1D87" w:rsidRPr="00F25BE1">
        <w:rPr>
          <w:szCs w:val="26"/>
        </w:rPr>
        <w:t>2020</w:t>
      </w:r>
      <w:r w:rsidR="001E1D87">
        <w:rPr>
          <w:szCs w:val="26"/>
        </w:rPr>
        <w:t xml:space="preserve">) </w:t>
      </w:r>
      <w:r w:rsidR="001E1D87" w:rsidRPr="00F25BE1">
        <w:rPr>
          <w:szCs w:val="26"/>
        </w:rPr>
        <w:lastRenderedPageBreak/>
        <w:t>10 Cal.5th 915</w:t>
      </w:r>
      <w:r w:rsidR="001E1D87">
        <w:rPr>
          <w:szCs w:val="26"/>
        </w:rPr>
        <w:t xml:space="preserve">, </w:t>
      </w:r>
      <w:r w:rsidR="001E1D87" w:rsidRPr="008D1D2D">
        <w:rPr>
          <w:szCs w:val="26"/>
        </w:rPr>
        <w:t>926 [regulations must be “ ‘consistent and not in conflict with’</w:t>
      </w:r>
      <w:r w:rsidR="00790902">
        <w:rPr>
          <w:szCs w:val="26"/>
        </w:rPr>
        <w:t> </w:t>
      </w:r>
      <w:r w:rsidR="001E1D87" w:rsidRPr="008D1D2D">
        <w:rPr>
          <w:szCs w:val="26"/>
        </w:rPr>
        <w:t>” statute]</w:t>
      </w:r>
      <w:r w:rsidR="008D1D2D">
        <w:rPr>
          <w:szCs w:val="26"/>
        </w:rPr>
        <w:t xml:space="preserve">; </w:t>
      </w:r>
      <w:r w:rsidR="008D1D2D" w:rsidRPr="008D1D2D">
        <w:rPr>
          <w:i/>
          <w:iCs/>
          <w:szCs w:val="26"/>
        </w:rPr>
        <w:t>Assoc. of Cal. Ins. Cos. v. Poizner</w:t>
      </w:r>
      <w:r w:rsidR="008D1D2D" w:rsidRPr="008D1D2D">
        <w:rPr>
          <w:iCs/>
          <w:szCs w:val="26"/>
        </w:rPr>
        <w:t xml:space="preserve"> (2009) 180 Cal.App.4th 1029, 104</w:t>
      </w:r>
      <w:r w:rsidR="008D1D2D">
        <w:rPr>
          <w:iCs/>
          <w:szCs w:val="26"/>
        </w:rPr>
        <w:t>4 (</w:t>
      </w:r>
      <w:r w:rsidR="008D1D2D">
        <w:rPr>
          <w:i/>
          <w:szCs w:val="26"/>
        </w:rPr>
        <w:t>Poizner</w:t>
      </w:r>
      <w:r w:rsidR="008D1D2D">
        <w:rPr>
          <w:iCs/>
          <w:szCs w:val="26"/>
        </w:rPr>
        <w:t>)</w:t>
      </w:r>
      <w:r w:rsidR="008D1D2D" w:rsidRPr="005630A2">
        <w:rPr>
          <w:iCs/>
          <w:szCs w:val="26"/>
        </w:rPr>
        <w:t xml:space="preserve"> </w:t>
      </w:r>
      <w:r w:rsidR="008D1D2D">
        <w:t>[accord]</w:t>
      </w:r>
      <w:r w:rsidR="001E1D87" w:rsidRPr="008D1D2D">
        <w:rPr>
          <w:szCs w:val="26"/>
        </w:rPr>
        <w:t>.)</w:t>
      </w:r>
      <w:r w:rsidR="001E1D87">
        <w:rPr>
          <w:szCs w:val="26"/>
        </w:rPr>
        <w:t xml:space="preserve"> </w:t>
      </w:r>
    </w:p>
    <w:p w14:paraId="08256527" w14:textId="77777777" w:rsidR="002C46EA" w:rsidRPr="002C46EA" w:rsidRDefault="002C46EA" w:rsidP="00DB5124">
      <w:pPr>
        <w:spacing w:line="360" w:lineRule="auto"/>
        <w:rPr>
          <w:szCs w:val="26"/>
        </w:rPr>
      </w:pPr>
      <w:r>
        <w:tab/>
        <w:t>Courts take “ultimate responsibility for the construction of the statute</w:t>
      </w:r>
      <w:r w:rsidR="005D5256">
        <w:t>,</w:t>
      </w:r>
      <w:r>
        <w:t>” while according “great weight and respect to the administrative</w:t>
      </w:r>
      <w:r w:rsidR="005D5256">
        <w:t xml:space="preserve"> </w:t>
      </w:r>
      <w:r>
        <w:t xml:space="preserve">construction.” </w:t>
      </w:r>
      <w:r w:rsidR="005D5256">
        <w:t xml:space="preserve"> </w:t>
      </w:r>
      <w:r>
        <w:t>(</w:t>
      </w:r>
      <w:r w:rsidRPr="00C16C21">
        <w:rPr>
          <w:i/>
          <w:iCs/>
        </w:rPr>
        <w:t>Yamaha Corp. of America v. State Bd. Of Equalization</w:t>
      </w:r>
      <w:r w:rsidRPr="00822FC8">
        <w:t xml:space="preserve"> (1998) 19 Cal.4th 1, 1</w:t>
      </w:r>
      <w:r>
        <w:t>2 (</w:t>
      </w:r>
      <w:r>
        <w:rPr>
          <w:i/>
          <w:iCs/>
        </w:rPr>
        <w:t>Yamaha</w:t>
      </w:r>
      <w:r>
        <w:t xml:space="preserve">).)  We discuss deference in more detail while addressing the parties’ arguments </w:t>
      </w:r>
      <w:r>
        <w:rPr>
          <w:i/>
          <w:iCs/>
        </w:rPr>
        <w:t>post</w:t>
      </w:r>
      <w:r>
        <w:t>.</w:t>
      </w:r>
    </w:p>
    <w:p w14:paraId="1DA637B3" w14:textId="77777777" w:rsidR="004052FF" w:rsidRPr="005630A2" w:rsidRDefault="004052FF" w:rsidP="00DB5124">
      <w:pPr>
        <w:pStyle w:val="Heading2"/>
        <w:spacing w:line="360" w:lineRule="auto"/>
        <w:rPr>
          <w:rFonts w:eastAsia="Calibri"/>
        </w:rPr>
      </w:pPr>
      <w:r>
        <w:rPr>
          <w:rFonts w:eastAsia="Calibri"/>
        </w:rPr>
        <w:tab/>
      </w:r>
      <w:r w:rsidR="002C46EA">
        <w:rPr>
          <w:rFonts w:eastAsia="Calibri"/>
        </w:rPr>
        <w:t>2</w:t>
      </w:r>
      <w:r>
        <w:rPr>
          <w:rFonts w:eastAsia="Calibri"/>
        </w:rPr>
        <w:t>.</w:t>
      </w:r>
      <w:r>
        <w:rPr>
          <w:rFonts w:eastAsia="Calibri"/>
        </w:rPr>
        <w:tab/>
      </w:r>
      <w:r w:rsidRPr="00514474">
        <w:rPr>
          <w:rFonts w:eastAsia="Calibri"/>
          <w:i/>
          <w:iCs/>
        </w:rPr>
        <w:t>Standard of Review</w:t>
      </w:r>
    </w:p>
    <w:p w14:paraId="0CB3A027" w14:textId="5690A59C" w:rsidR="006D7E9C" w:rsidRDefault="004052FF" w:rsidP="00DB5124">
      <w:pPr>
        <w:spacing w:line="360" w:lineRule="auto"/>
        <w:rPr>
          <w:iCs/>
          <w:szCs w:val="26"/>
        </w:rPr>
      </w:pPr>
      <w:r w:rsidRPr="005630A2">
        <w:rPr>
          <w:iCs/>
          <w:szCs w:val="26"/>
        </w:rPr>
        <w:tab/>
        <w:t xml:space="preserve">The </w:t>
      </w:r>
      <w:r w:rsidR="009F4100" w:rsidRPr="009F4100">
        <w:rPr>
          <w:iCs/>
          <w:szCs w:val="26"/>
        </w:rPr>
        <w:t xml:space="preserve">superior </w:t>
      </w:r>
      <w:r w:rsidRPr="005630A2">
        <w:rPr>
          <w:iCs/>
          <w:szCs w:val="26"/>
        </w:rPr>
        <w:t>court applies independent judgment review</w:t>
      </w:r>
      <w:r w:rsidR="009F4100">
        <w:rPr>
          <w:iCs/>
          <w:szCs w:val="26"/>
        </w:rPr>
        <w:t xml:space="preserve"> to a rate order</w:t>
      </w:r>
      <w:r w:rsidRPr="005630A2">
        <w:rPr>
          <w:iCs/>
          <w:szCs w:val="26"/>
        </w:rPr>
        <w:t>.  (§ 1</w:t>
      </w:r>
      <w:r w:rsidRPr="008D1D2D">
        <w:rPr>
          <w:iCs/>
          <w:szCs w:val="26"/>
        </w:rPr>
        <w:t xml:space="preserve">858.6; </w:t>
      </w:r>
      <w:r w:rsidR="009F4100" w:rsidRPr="008D1D2D">
        <w:rPr>
          <w:iCs/>
          <w:szCs w:val="26"/>
        </w:rPr>
        <w:t xml:space="preserve">see </w:t>
      </w:r>
      <w:r w:rsidR="008D1D2D" w:rsidRPr="00E632E6">
        <w:rPr>
          <w:i/>
          <w:iCs/>
        </w:rPr>
        <w:t>Poizner</w:t>
      </w:r>
      <w:r w:rsidR="008D1D2D" w:rsidRPr="00E632E6">
        <w:t xml:space="preserve">, </w:t>
      </w:r>
      <w:r w:rsidR="008D1D2D" w:rsidRPr="00E632E6">
        <w:rPr>
          <w:i/>
          <w:iCs/>
        </w:rPr>
        <w:t>supra</w:t>
      </w:r>
      <w:r w:rsidR="008D1D2D" w:rsidRPr="00E632E6">
        <w:t>, 180 Cal.App.4th at p. 104</w:t>
      </w:r>
      <w:r w:rsidR="008D1D2D">
        <w:t>5</w:t>
      </w:r>
      <w:r w:rsidR="008D1D2D">
        <w:rPr>
          <w:iCs/>
          <w:szCs w:val="26"/>
        </w:rPr>
        <w:t xml:space="preserve"> </w:t>
      </w:r>
      <w:r w:rsidRPr="005630A2">
        <w:rPr>
          <w:iCs/>
          <w:szCs w:val="26"/>
        </w:rPr>
        <w:t>[independent judgment standard requires “ ‘strong presumption of correctness to the Commissioner’s findings . . . but ultimately the trial court is free to reweigh the evidence’ ”]</w:t>
      </w:r>
      <w:r w:rsidR="006D7E9C">
        <w:rPr>
          <w:iCs/>
          <w:szCs w:val="26"/>
        </w:rPr>
        <w:t xml:space="preserve">; see </w:t>
      </w:r>
      <w:r w:rsidR="006D7E9C" w:rsidRPr="005630A2">
        <w:rPr>
          <w:i/>
          <w:iCs/>
          <w:szCs w:val="26"/>
        </w:rPr>
        <w:t>Fukuda v. City of Angels</w:t>
      </w:r>
      <w:r w:rsidR="006D7E9C" w:rsidRPr="005630A2">
        <w:rPr>
          <w:iCs/>
          <w:szCs w:val="26"/>
        </w:rPr>
        <w:t xml:space="preserve"> (1999) 20 Cal.4th 805, 824</w:t>
      </w:r>
      <w:r w:rsidR="006D7E9C">
        <w:rPr>
          <w:iCs/>
          <w:szCs w:val="26"/>
        </w:rPr>
        <w:t xml:space="preserve"> [where trial court applies independent judgment review, reviewing court applies substantial evidence </w:t>
      </w:r>
      <w:r w:rsidR="008C1E41">
        <w:rPr>
          <w:iCs/>
          <w:szCs w:val="26"/>
        </w:rPr>
        <w:t xml:space="preserve">review </w:t>
      </w:r>
      <w:r w:rsidR="006D7E9C">
        <w:rPr>
          <w:iCs/>
          <w:szCs w:val="26"/>
        </w:rPr>
        <w:t xml:space="preserve">to factual findings]; </w:t>
      </w:r>
      <w:r w:rsidRPr="005630A2">
        <w:rPr>
          <w:i/>
          <w:iCs/>
          <w:szCs w:val="26"/>
        </w:rPr>
        <w:t>20th Century</w:t>
      </w:r>
      <w:r w:rsidRPr="005630A2">
        <w:rPr>
          <w:iCs/>
          <w:szCs w:val="26"/>
        </w:rPr>
        <w:t xml:space="preserve">, </w:t>
      </w:r>
      <w:r w:rsidRPr="005630A2">
        <w:rPr>
          <w:i/>
          <w:iCs/>
          <w:szCs w:val="26"/>
        </w:rPr>
        <w:t>supra</w:t>
      </w:r>
      <w:r w:rsidRPr="005630A2">
        <w:rPr>
          <w:iCs/>
          <w:szCs w:val="26"/>
        </w:rPr>
        <w:t>, 8 Cal.4th at p. 271</w:t>
      </w:r>
      <w:r w:rsidR="006D7E9C">
        <w:rPr>
          <w:iCs/>
          <w:szCs w:val="26"/>
        </w:rPr>
        <w:t xml:space="preserve"> [independent review applies to questions of law and mixed questions of law and fact that are predominantly legal]</w:t>
      </w:r>
      <w:r w:rsidRPr="005630A2">
        <w:rPr>
          <w:iCs/>
          <w:szCs w:val="26"/>
        </w:rPr>
        <w:t>.)</w:t>
      </w:r>
    </w:p>
    <w:p w14:paraId="6213AEA4" w14:textId="002CA743" w:rsidR="004052FF" w:rsidRPr="00125735" w:rsidRDefault="009F4100" w:rsidP="00DB5124">
      <w:pPr>
        <w:spacing w:line="360" w:lineRule="auto"/>
        <w:rPr>
          <w:iCs/>
          <w:szCs w:val="26"/>
        </w:rPr>
      </w:pPr>
      <w:r>
        <w:rPr>
          <w:iCs/>
          <w:szCs w:val="26"/>
        </w:rPr>
        <w:tab/>
        <w:t>“</w:t>
      </w:r>
      <w:r w:rsidRPr="009F4100">
        <w:rPr>
          <w:iCs/>
          <w:szCs w:val="26"/>
        </w:rPr>
        <w:t>Interpretation of a statute or regulation is, of course, an issue of law for the court</w:t>
      </w:r>
      <w:r>
        <w:rPr>
          <w:iCs/>
          <w:szCs w:val="26"/>
        </w:rPr>
        <w:t xml:space="preserve"> [citation</w:t>
      </w:r>
      <w:r w:rsidR="00EF5ED4">
        <w:rPr>
          <w:iCs/>
          <w:szCs w:val="26"/>
        </w:rPr>
        <w:t>s</w:t>
      </w:r>
      <w:r>
        <w:rPr>
          <w:iCs/>
          <w:szCs w:val="26"/>
        </w:rPr>
        <w:t>]</w:t>
      </w:r>
      <w:r w:rsidRPr="009F4100">
        <w:rPr>
          <w:iCs/>
          <w:szCs w:val="26"/>
        </w:rPr>
        <w:t xml:space="preserve">, as is the question whether a regulation is consistent with the authorizing statute </w:t>
      </w:r>
      <w:r>
        <w:rPr>
          <w:iCs/>
          <w:szCs w:val="26"/>
        </w:rPr>
        <w:t>[citation]</w:t>
      </w:r>
      <w:r w:rsidRPr="009F4100">
        <w:rPr>
          <w:iCs/>
          <w:szCs w:val="26"/>
        </w:rPr>
        <w:t>.</w:t>
      </w:r>
      <w:r>
        <w:rPr>
          <w:iCs/>
          <w:szCs w:val="26"/>
        </w:rPr>
        <w:t xml:space="preserve">  </w:t>
      </w:r>
      <w:r w:rsidRPr="009F4100">
        <w:rPr>
          <w:iCs/>
          <w:szCs w:val="26"/>
        </w:rPr>
        <w:t xml:space="preserve">Thus, we must review the interpretations of the </w:t>
      </w:r>
      <w:r w:rsidR="00125735">
        <w:rPr>
          <w:iCs/>
          <w:szCs w:val="26"/>
        </w:rPr>
        <w:t>[agency]</w:t>
      </w:r>
      <w:r w:rsidRPr="009F4100">
        <w:rPr>
          <w:iCs/>
          <w:szCs w:val="26"/>
        </w:rPr>
        <w:t xml:space="preserve"> and the trial court de novo, and come to our own independent conclusions on these issues.</w:t>
      </w:r>
      <w:r w:rsidR="00125735">
        <w:rPr>
          <w:iCs/>
          <w:szCs w:val="26"/>
        </w:rPr>
        <w:t>”  (</w:t>
      </w:r>
      <w:r w:rsidR="00125735" w:rsidRPr="00C1516B">
        <w:rPr>
          <w:i/>
          <w:iCs/>
        </w:rPr>
        <w:t xml:space="preserve">Spanish Speaking </w:t>
      </w:r>
      <w:r w:rsidR="00125735" w:rsidRPr="009F4100">
        <w:rPr>
          <w:i/>
          <w:iCs/>
        </w:rPr>
        <w:t>Citizens</w:t>
      </w:r>
      <w:r w:rsidR="00125735">
        <w:t xml:space="preserve">, </w:t>
      </w:r>
      <w:r w:rsidR="00125735" w:rsidRPr="009F4100">
        <w:rPr>
          <w:i/>
          <w:iCs/>
        </w:rPr>
        <w:t>supra</w:t>
      </w:r>
      <w:r w:rsidR="00125735">
        <w:t xml:space="preserve">, </w:t>
      </w:r>
      <w:r w:rsidR="00125735" w:rsidRPr="009F4100">
        <w:t>85</w:t>
      </w:r>
      <w:r w:rsidR="00125735" w:rsidRPr="005630A2">
        <w:t xml:space="preserve"> Cal.App.4th </w:t>
      </w:r>
      <w:r w:rsidR="00125735">
        <w:t>at p.</w:t>
      </w:r>
      <w:r w:rsidR="00D20104">
        <w:t xml:space="preserve"> </w:t>
      </w:r>
      <w:r w:rsidR="00125735">
        <w:t xml:space="preserve">1214; </w:t>
      </w:r>
      <w:r w:rsidR="004052FF">
        <w:rPr>
          <w:iCs/>
          <w:szCs w:val="26"/>
        </w:rPr>
        <w:t xml:space="preserve">see </w:t>
      </w:r>
      <w:r w:rsidR="004052FF" w:rsidRPr="00180A88">
        <w:rPr>
          <w:i/>
          <w:iCs/>
        </w:rPr>
        <w:t>Mercury</w:t>
      </w:r>
      <w:r w:rsidR="001D5A39" w:rsidRPr="00A84DA7">
        <w:t>,</w:t>
      </w:r>
      <w:r w:rsidR="001D5A39">
        <w:rPr>
          <w:i/>
          <w:iCs/>
        </w:rPr>
        <w:t xml:space="preserve"> supra</w:t>
      </w:r>
      <w:r w:rsidR="001D5A39" w:rsidRPr="00A84DA7">
        <w:t>,</w:t>
      </w:r>
      <w:r w:rsidR="001D5A39">
        <w:rPr>
          <w:i/>
          <w:iCs/>
        </w:rPr>
        <w:t xml:space="preserve"> </w:t>
      </w:r>
      <w:r w:rsidR="004052FF" w:rsidRPr="00822FC8">
        <w:t xml:space="preserve">8 Cal.App.5th </w:t>
      </w:r>
      <w:r w:rsidR="001D5A39">
        <w:t>at p.</w:t>
      </w:r>
      <w:r w:rsidR="004052FF" w:rsidRPr="00822FC8">
        <w:t xml:space="preserve"> 584</w:t>
      </w:r>
      <w:r w:rsidR="004052FF">
        <w:t xml:space="preserve"> </w:t>
      </w:r>
      <w:r w:rsidR="004052FF" w:rsidRPr="00822FC8">
        <w:t>[“Engaging in our own independent judicial review, as we must, we will not defer to either the commissioner or the superior court”]</w:t>
      </w:r>
      <w:r w:rsidR="00125735">
        <w:t xml:space="preserve">.) </w:t>
      </w:r>
    </w:p>
    <w:bookmarkEnd w:id="15"/>
    <w:p w14:paraId="281FA571" w14:textId="77777777" w:rsidR="008B34BA" w:rsidRPr="005630A2" w:rsidRDefault="002C46EA" w:rsidP="0087357D">
      <w:pPr>
        <w:pStyle w:val="Heading1"/>
        <w:keepLines w:val="0"/>
        <w:spacing w:before="0" w:line="360" w:lineRule="auto"/>
        <w:contextualSpacing/>
        <w:rPr>
          <w:rFonts w:ascii="Century Schoolbook" w:eastAsia="Calibri" w:hAnsi="Century Schoolbook" w:cs="Times New Roman"/>
          <w:i/>
          <w:color w:val="auto"/>
          <w:sz w:val="26"/>
          <w:szCs w:val="26"/>
        </w:rPr>
      </w:pPr>
      <w:r>
        <w:rPr>
          <w:rFonts w:ascii="Century Schoolbook" w:eastAsia="Calibri" w:hAnsi="Century Schoolbook" w:cs="Times New Roman"/>
          <w:iCs/>
          <w:color w:val="auto"/>
          <w:sz w:val="26"/>
          <w:szCs w:val="26"/>
        </w:rPr>
        <w:lastRenderedPageBreak/>
        <w:t>B</w:t>
      </w:r>
      <w:r w:rsidR="008B34BA" w:rsidRPr="005630A2">
        <w:rPr>
          <w:rFonts w:ascii="Century Schoolbook" w:eastAsia="Calibri" w:hAnsi="Century Schoolbook" w:cs="Times New Roman"/>
          <w:iCs/>
          <w:color w:val="auto"/>
          <w:sz w:val="26"/>
          <w:szCs w:val="26"/>
        </w:rPr>
        <w:t>.</w:t>
      </w:r>
      <w:r w:rsidR="008B34BA" w:rsidRPr="005630A2">
        <w:rPr>
          <w:rFonts w:ascii="Century Schoolbook" w:eastAsia="Calibri" w:hAnsi="Century Schoolbook" w:cs="Times New Roman"/>
          <w:iCs/>
          <w:color w:val="auto"/>
          <w:sz w:val="26"/>
          <w:szCs w:val="26"/>
        </w:rPr>
        <w:tab/>
      </w:r>
      <w:r w:rsidR="00ED49A6" w:rsidRPr="005630A2">
        <w:rPr>
          <w:rFonts w:ascii="Century Schoolbook" w:eastAsia="Calibri" w:hAnsi="Century Schoolbook" w:cs="Times New Roman"/>
          <w:i/>
          <w:color w:val="auto"/>
          <w:sz w:val="26"/>
          <w:szCs w:val="26"/>
        </w:rPr>
        <w:t>Section 1861.05(a)</w:t>
      </w:r>
    </w:p>
    <w:p w14:paraId="611AAE0D" w14:textId="77777777" w:rsidR="00CD3D48" w:rsidRPr="00CD3D48" w:rsidRDefault="00CD3D48" w:rsidP="0087357D">
      <w:pPr>
        <w:pStyle w:val="Heading2"/>
        <w:spacing w:line="360" w:lineRule="auto"/>
        <w:rPr>
          <w:rFonts w:eastAsia="Calibri"/>
        </w:rPr>
      </w:pPr>
      <w:r w:rsidRPr="00CD3D48">
        <w:rPr>
          <w:rFonts w:eastAsia="Calibri"/>
        </w:rPr>
        <w:tab/>
        <w:t>1.</w:t>
      </w:r>
      <w:r w:rsidRPr="00CD3D48">
        <w:rPr>
          <w:rFonts w:eastAsia="Calibri"/>
        </w:rPr>
        <w:tab/>
      </w:r>
      <w:r w:rsidR="0065086E">
        <w:rPr>
          <w:rFonts w:eastAsia="Calibri"/>
          <w:i/>
          <w:iCs/>
        </w:rPr>
        <w:t>Statutory Language</w:t>
      </w:r>
      <w:r w:rsidR="00EA361B" w:rsidRPr="00CD3D48">
        <w:rPr>
          <w:rFonts w:eastAsia="Calibri"/>
        </w:rPr>
        <w:tab/>
      </w:r>
    </w:p>
    <w:p w14:paraId="579405EF" w14:textId="77777777" w:rsidR="00257AE8" w:rsidRDefault="00FF537E" w:rsidP="0087357D">
      <w:pPr>
        <w:keepNext/>
        <w:spacing w:line="360" w:lineRule="auto"/>
      </w:pPr>
      <w:r>
        <w:tab/>
      </w:r>
      <w:r w:rsidR="00EA361B" w:rsidRPr="005630A2">
        <w:t xml:space="preserve">We begin with the central </w:t>
      </w:r>
      <w:r w:rsidR="00DB78BF" w:rsidRPr="005630A2">
        <w:rPr>
          <w:szCs w:val="26"/>
        </w:rPr>
        <w:t>statutory interpretation issue</w:t>
      </w:r>
      <w:r w:rsidR="00B54AC7">
        <w:rPr>
          <w:szCs w:val="26"/>
        </w:rPr>
        <w:t xml:space="preserve"> here</w:t>
      </w:r>
      <w:r w:rsidR="00F770CD">
        <w:rPr>
          <w:szCs w:val="26"/>
        </w:rPr>
        <w:t xml:space="preserve">:  </w:t>
      </w:r>
      <w:r w:rsidR="00F85760">
        <w:rPr>
          <w:szCs w:val="26"/>
        </w:rPr>
        <w:t xml:space="preserve">what it means </w:t>
      </w:r>
      <w:r w:rsidR="00F85760">
        <w:t>to “</w:t>
      </w:r>
      <w:r w:rsidR="00336EC9" w:rsidRPr="005630A2">
        <w:t>consider whether the rate mathematically reflects the insurance company’s investment income.”  (§ 1861.05(a).)</w:t>
      </w:r>
      <w:r w:rsidR="000644BD">
        <w:t xml:space="preserve">  </w:t>
      </w:r>
    </w:p>
    <w:p w14:paraId="64B47A2A" w14:textId="36FB9AB8" w:rsidR="00483C5F" w:rsidRDefault="001C426F" w:rsidP="00DB5124">
      <w:pPr>
        <w:spacing w:line="360" w:lineRule="auto"/>
      </w:pPr>
      <w:r>
        <w:tab/>
        <w:t xml:space="preserve">Appellants argue </w:t>
      </w:r>
      <w:r w:rsidR="00955B9B">
        <w:t>this language</w:t>
      </w:r>
      <w:r>
        <w:t xml:space="preserve"> </w:t>
      </w:r>
      <w:r w:rsidRPr="005630A2">
        <w:t xml:space="preserve">is an </w:t>
      </w:r>
      <w:r w:rsidR="00955B9B">
        <w:t>“</w:t>
      </w:r>
      <w:r w:rsidRPr="005630A2">
        <w:t>open-ended provision that must be implemented through regulations</w:t>
      </w:r>
      <w:r>
        <w:t>,”</w:t>
      </w:r>
      <w:r w:rsidR="00955B9B">
        <w:t xml:space="preserve"> which does</w:t>
      </w:r>
      <w:r>
        <w:t xml:space="preserve"> not dictate “</w:t>
      </w:r>
      <w:r w:rsidRPr="005630A2">
        <w:t>how investment income is to be projected</w:t>
      </w:r>
      <w:r>
        <w:t>”</w:t>
      </w:r>
      <w:r w:rsidRPr="005630A2">
        <w:t xml:space="preserve"> </w:t>
      </w:r>
      <w:r>
        <w:t xml:space="preserve">and </w:t>
      </w:r>
      <w:r w:rsidR="00DE5F37">
        <w:t>simply requires</w:t>
      </w:r>
      <w:r w:rsidR="00B267FB">
        <w:t xml:space="preserve"> </w:t>
      </w:r>
      <w:r>
        <w:t xml:space="preserve">its </w:t>
      </w:r>
      <w:r w:rsidR="00E63C9E">
        <w:t>consideration</w:t>
      </w:r>
      <w:r w:rsidR="00B267FB">
        <w:t>.</w:t>
      </w:r>
      <w:r w:rsidR="00A26856">
        <w:t xml:space="preserve"> </w:t>
      </w:r>
      <w:r w:rsidR="00DE5F37">
        <w:t xml:space="preserve"> </w:t>
      </w:r>
      <w:r w:rsidR="00955B9B">
        <w:t xml:space="preserve">SFG </w:t>
      </w:r>
      <w:r w:rsidR="00955B9B" w:rsidRPr="00412CE4">
        <w:t>contend</w:t>
      </w:r>
      <w:r w:rsidR="0068271D" w:rsidRPr="00412CE4">
        <w:t xml:space="preserve">s </w:t>
      </w:r>
      <w:r w:rsidR="00955B9B" w:rsidRPr="00412CE4">
        <w:t>the</w:t>
      </w:r>
      <w:r w:rsidR="0068271D" w:rsidRPr="00412CE4">
        <w:t xml:space="preserve"> phrase means “</w:t>
      </w:r>
      <w:r w:rsidR="00955B9B" w:rsidRPr="00412CE4">
        <w:t>the proposed rate must be adjusted by the applicant’s projected investment income to meet the premium need—a straightforward mathematical offset</w:t>
      </w:r>
      <w:r w:rsidR="0068271D" w:rsidRPr="00412CE4">
        <w:t>,</w:t>
      </w:r>
      <w:r w:rsidR="00955B9B" w:rsidRPr="00412CE4">
        <w:t>”</w:t>
      </w:r>
      <w:r w:rsidR="0068271D" w:rsidRPr="00412CE4">
        <w:t xml:space="preserve"> </w:t>
      </w:r>
      <w:r w:rsidR="00412CE4" w:rsidRPr="00412CE4">
        <w:t>and</w:t>
      </w:r>
      <w:r w:rsidR="0068271D" w:rsidRPr="00412CE4">
        <w:t xml:space="preserve"> the Commissioner cannot “disregard the mathematical correlation of the rate to the insurance company’s investment income . . . .”</w:t>
      </w:r>
      <w:r w:rsidR="004E393C" w:rsidRPr="00412CE4">
        <w:t xml:space="preserve"> </w:t>
      </w:r>
      <w:r w:rsidR="00CD3D48" w:rsidRPr="00412CE4">
        <w:t xml:space="preserve"> We conclude </w:t>
      </w:r>
      <w:r w:rsidR="00653CF5" w:rsidRPr="00412CE4">
        <w:t>“consider” cannot be read in isolation, and when</w:t>
      </w:r>
      <w:r w:rsidR="00653CF5">
        <w:t xml:space="preserve"> </w:t>
      </w:r>
      <w:r w:rsidR="00F762FD">
        <w:t xml:space="preserve">we view it </w:t>
      </w:r>
      <w:r w:rsidR="003D4BF1">
        <w:t>alongside “mathematically reflects” and “insurance company</w:t>
      </w:r>
      <w:r w:rsidR="00082BBE">
        <w:t>[]</w:t>
      </w:r>
      <w:r w:rsidR="003D4BF1">
        <w:t>”</w:t>
      </w:r>
      <w:r w:rsidR="00653CF5">
        <w:t>—as we must—</w:t>
      </w:r>
      <w:r w:rsidR="00E63C9E">
        <w:t xml:space="preserve">the </w:t>
      </w:r>
      <w:r w:rsidR="00CD3D48">
        <w:t xml:space="preserve">only reasonable interpretation is that urged by SFG.  </w:t>
      </w:r>
      <w:r w:rsidR="00082BBE">
        <w:t>A</w:t>
      </w:r>
      <w:r w:rsidR="00B531C2">
        <w:t>s we shall explain,</w:t>
      </w:r>
      <w:r w:rsidR="00E63C9E">
        <w:t xml:space="preserve"> </w:t>
      </w:r>
      <w:r w:rsidR="00A25710">
        <w:t xml:space="preserve">the statute requires the Commissioner to </w:t>
      </w:r>
      <w:r w:rsidR="00412CE4">
        <w:t>use</w:t>
      </w:r>
      <w:r w:rsidR="00A25710">
        <w:t xml:space="preserve"> the</w:t>
      </w:r>
      <w:r w:rsidR="00082BBE">
        <w:t xml:space="preserve"> actual projected</w:t>
      </w:r>
      <w:r w:rsidR="00A25710">
        <w:t xml:space="preserve"> investment income</w:t>
      </w:r>
      <w:r w:rsidR="00B507BD">
        <w:t xml:space="preserve"> of the applicant insurer</w:t>
      </w:r>
      <w:r w:rsidR="00CD3D48">
        <w:t>.</w:t>
      </w:r>
      <w:r w:rsidR="00483C5F">
        <w:t xml:space="preserve"> </w:t>
      </w:r>
      <w:r w:rsidR="00B531C2">
        <w:t xml:space="preserve"> </w:t>
      </w:r>
    </w:p>
    <w:p w14:paraId="7ABF7D03" w14:textId="77777777" w:rsidR="0080458B" w:rsidRDefault="00E94F06" w:rsidP="00DB5124">
      <w:pPr>
        <w:pStyle w:val="Heading3"/>
        <w:spacing w:line="360" w:lineRule="auto"/>
      </w:pPr>
      <w:r w:rsidRPr="0068271D">
        <w:t>a.</w:t>
      </w:r>
      <w:r w:rsidRPr="0068271D">
        <w:tab/>
      </w:r>
      <w:r w:rsidR="00F55F4F" w:rsidRPr="0068271D">
        <w:t>“</w:t>
      </w:r>
      <w:r w:rsidR="0080458B" w:rsidRPr="0068271D">
        <w:rPr>
          <w:i/>
          <w:iCs/>
        </w:rPr>
        <w:t>Consider</w:t>
      </w:r>
      <w:r w:rsidR="00F55F4F" w:rsidRPr="0068271D">
        <w:rPr>
          <w:i/>
          <w:iCs/>
        </w:rPr>
        <w:t>”</w:t>
      </w:r>
    </w:p>
    <w:p w14:paraId="1F2BE18A" w14:textId="052068A5" w:rsidR="00C75472" w:rsidRDefault="00653CF5" w:rsidP="00DB5124">
      <w:pPr>
        <w:spacing w:line="360" w:lineRule="auto"/>
      </w:pPr>
      <w:r>
        <w:tab/>
      </w:r>
      <w:r w:rsidR="00487E6B">
        <w:t>“</w:t>
      </w:r>
      <w:r w:rsidR="00487E6B" w:rsidRPr="00487E6B">
        <w:t xml:space="preserve">To </w:t>
      </w:r>
      <w:r w:rsidR="00487E6B">
        <w:t>‘</w:t>
      </w:r>
      <w:r w:rsidR="00487E6B" w:rsidRPr="00487E6B">
        <w:t>consider</w:t>
      </w:r>
      <w:r w:rsidR="00487E6B">
        <w:t>’</w:t>
      </w:r>
      <w:r w:rsidR="00487E6B" w:rsidRPr="00487E6B">
        <w:t xml:space="preserve"> means to </w:t>
      </w:r>
      <w:r w:rsidR="00487E6B">
        <w:t>‘</w:t>
      </w:r>
      <w:r w:rsidR="00487E6B" w:rsidRPr="00487E6B">
        <w:t>think about carefully</w:t>
      </w:r>
      <w:r w:rsidR="00487E6B">
        <w:t>’</w:t>
      </w:r>
      <w:r w:rsidR="00487E6B" w:rsidRPr="00487E6B">
        <w:t xml:space="preserve"> or to </w:t>
      </w:r>
      <w:r w:rsidR="00487E6B">
        <w:t>‘</w:t>
      </w:r>
      <w:r w:rsidR="00487E6B" w:rsidRPr="00487E6B">
        <w:t>take into account.</w:t>
      </w:r>
      <w:r w:rsidR="00487E6B">
        <w:t xml:space="preserve">’ ”  </w:t>
      </w:r>
      <w:r w:rsidR="00487E6B" w:rsidRPr="00487E6B">
        <w:t>(</w:t>
      </w:r>
      <w:r w:rsidR="00487E6B" w:rsidRPr="00487E6B">
        <w:rPr>
          <w:i/>
          <w:iCs/>
        </w:rPr>
        <w:t>Plantier v. Ramona Municipal Water Dist</w:t>
      </w:r>
      <w:r w:rsidR="00FB4421">
        <w:rPr>
          <w:i/>
          <w:iCs/>
        </w:rPr>
        <w:t>.</w:t>
      </w:r>
      <w:r w:rsidR="00487E6B" w:rsidRPr="00487E6B">
        <w:t xml:space="preserve"> (2019</w:t>
      </w:r>
      <w:r w:rsidR="00487E6B" w:rsidRPr="005630A2">
        <w:t>) 7 Cal.5th 372</w:t>
      </w:r>
      <w:r w:rsidR="00487E6B">
        <w:t>, 386 (</w:t>
      </w:r>
      <w:r w:rsidR="00487E6B">
        <w:rPr>
          <w:i/>
          <w:iCs/>
        </w:rPr>
        <w:t>Plantier</w:t>
      </w:r>
      <w:r w:rsidR="00487E6B">
        <w:t xml:space="preserve">), citing </w:t>
      </w:r>
      <w:r w:rsidR="00487E6B" w:rsidRPr="00487E6B">
        <w:t>Webster</w:t>
      </w:r>
      <w:r w:rsidR="00487E6B">
        <w:t>’</w:t>
      </w:r>
      <w:r w:rsidR="00487E6B" w:rsidRPr="00487E6B">
        <w:t>s 9th New Collegiate Dict. (1987) pp. 279</w:t>
      </w:r>
      <w:r w:rsidR="00FB4421">
        <w:t>-</w:t>
      </w:r>
      <w:r w:rsidR="00487E6B" w:rsidRPr="00487E6B">
        <w:t>280</w:t>
      </w:r>
      <w:r w:rsidR="00487E6B">
        <w:t xml:space="preserve">; accord, </w:t>
      </w:r>
      <w:r w:rsidR="00C0207E">
        <w:t>Merriam-</w:t>
      </w:r>
      <w:r w:rsidR="00487E6B">
        <w:t xml:space="preserve">Webster’s </w:t>
      </w:r>
      <w:r w:rsidR="00C0207E">
        <w:t>Collegiate</w:t>
      </w:r>
      <w:r w:rsidR="00487E6B" w:rsidRPr="00900A7B">
        <w:t xml:space="preserve"> Dict. 11th Ed. </w:t>
      </w:r>
      <w:r w:rsidR="00C0207E">
        <w:t>(</w:t>
      </w:r>
      <w:r w:rsidR="00487E6B" w:rsidRPr="00900A7B">
        <w:t>2019)</w:t>
      </w:r>
      <w:r w:rsidR="00CC42FB">
        <w:t xml:space="preserve"> </w:t>
      </w:r>
      <w:r w:rsidR="00C0207E">
        <w:t xml:space="preserve">pp. 265-266 </w:t>
      </w:r>
      <w:r w:rsidR="006A7568">
        <w:t>(</w:t>
      </w:r>
      <w:r w:rsidR="00CC42FB">
        <w:t>Webster’s Dict.</w:t>
      </w:r>
      <w:r w:rsidR="006A7568">
        <w:t>)</w:t>
      </w:r>
      <w:r w:rsidR="00487E6B">
        <w:t xml:space="preserve">.)  </w:t>
      </w:r>
      <w:r w:rsidR="00900A7B">
        <w:t>Viewed alone, “consider” could</w:t>
      </w:r>
      <w:r>
        <w:t xml:space="preserve"> imply a range of levels of review, from mere contemplation to full</w:t>
      </w:r>
      <w:r w:rsidR="003C7A46">
        <w:t xml:space="preserve"> </w:t>
      </w:r>
      <w:r>
        <w:t>incorporation</w:t>
      </w:r>
      <w:r w:rsidR="00900A7B">
        <w:t>.  But “consider” is not alone here; it is part of a directive that also requires “mathematical[] reflect[ion]” for an “insurance company[].”</w:t>
      </w:r>
      <w:r>
        <w:t xml:space="preserve">  </w:t>
      </w:r>
      <w:r w:rsidR="002558E2">
        <w:t>Interpreting</w:t>
      </w:r>
      <w:r w:rsidR="0000365F">
        <w:t xml:space="preserve"> “consider”</w:t>
      </w:r>
      <w:r w:rsidR="00412CE4">
        <w:t xml:space="preserve"> here</w:t>
      </w:r>
      <w:r w:rsidR="0000365F">
        <w:t xml:space="preserve"> to </w:t>
      </w:r>
      <w:r w:rsidR="0000365F">
        <w:lastRenderedPageBreak/>
        <w:t xml:space="preserve">mean </w:t>
      </w:r>
      <w:r>
        <w:t xml:space="preserve">any level of review, as Appellants </w:t>
      </w:r>
      <w:r w:rsidR="003C7A46">
        <w:t>contend</w:t>
      </w:r>
      <w:r>
        <w:t>, would render those words surplusage</w:t>
      </w:r>
      <w:r w:rsidR="0000365F">
        <w:t>.  (</w:t>
      </w:r>
      <w:r w:rsidR="00C75472" w:rsidRPr="002E0862">
        <w:rPr>
          <w:i/>
          <w:iCs/>
        </w:rPr>
        <w:t>Briggs v. Eden Council for Hope &amp; Opportunity</w:t>
      </w:r>
      <w:r w:rsidR="00C75472" w:rsidRPr="005630A2">
        <w:t xml:space="preserve"> (1999) 19 Cal.4th 1106, 1118 </w:t>
      </w:r>
      <w:r w:rsidR="00541199">
        <w:t>(</w:t>
      </w:r>
      <w:r w:rsidR="00541199">
        <w:rPr>
          <w:i/>
          <w:iCs/>
        </w:rPr>
        <w:t>Briggs</w:t>
      </w:r>
      <w:r w:rsidR="00541199">
        <w:t>)</w:t>
      </w:r>
      <w:r w:rsidR="00541199" w:rsidRPr="005630A2">
        <w:t xml:space="preserve"> </w:t>
      </w:r>
      <w:r w:rsidR="00C75472" w:rsidRPr="005630A2">
        <w:t>[“</w:t>
      </w:r>
      <w:r w:rsidR="00FB4421">
        <w:t xml:space="preserve"> ‘ “</w:t>
      </w:r>
      <w:r w:rsidR="00C75472" w:rsidRPr="005630A2">
        <w:t>Courts should give meaning to every word of a statute if possible, and should avoid a construction making any word surplusage</w:t>
      </w:r>
      <w:r w:rsidR="001A1874">
        <w:t>.</w:t>
      </w:r>
      <w:r w:rsidR="00FB4421">
        <w:t xml:space="preserve">” ’ </w:t>
      </w:r>
      <w:r w:rsidR="00C75472" w:rsidRPr="005630A2">
        <w:t>”]</w:t>
      </w:r>
      <w:r w:rsidR="00541199">
        <w:t xml:space="preserve">; </w:t>
      </w:r>
      <w:r w:rsidR="00541199" w:rsidRPr="0002369E">
        <w:rPr>
          <w:i/>
          <w:iCs/>
        </w:rPr>
        <w:t>Garamendi</w:t>
      </w:r>
      <w:r w:rsidR="00541199">
        <w:t xml:space="preserve">, </w:t>
      </w:r>
      <w:r w:rsidR="00541199" w:rsidRPr="0002369E">
        <w:rPr>
          <w:i/>
          <w:iCs/>
        </w:rPr>
        <w:t>supra</w:t>
      </w:r>
      <w:r w:rsidR="00541199">
        <w:t>,</w:t>
      </w:r>
      <w:r w:rsidR="00541199" w:rsidRPr="0002369E">
        <w:t xml:space="preserve"> 32 Cal.4th </w:t>
      </w:r>
      <w:r w:rsidR="00541199">
        <w:t>at p.</w:t>
      </w:r>
      <w:r w:rsidR="00541199" w:rsidRPr="0002369E">
        <w:t xml:space="preserve"> </w:t>
      </w:r>
      <w:r w:rsidR="00541199">
        <w:t>1045 [“ ‘An interpretation that renders statutory language a nullity is obviously to be avoided</w:t>
      </w:r>
      <w:r w:rsidR="001A1874">
        <w:t>.</w:t>
      </w:r>
      <w:r w:rsidR="00541199">
        <w:t>’ ”].)</w:t>
      </w:r>
    </w:p>
    <w:p w14:paraId="717831F0" w14:textId="5E28BE53" w:rsidR="001C3550" w:rsidRDefault="00C75472" w:rsidP="00495B62">
      <w:pPr>
        <w:shd w:val="clear" w:color="auto" w:fill="FFFFFF"/>
        <w:spacing w:line="360" w:lineRule="auto"/>
        <w:textAlignment w:val="baseline"/>
      </w:pPr>
      <w:r>
        <w:tab/>
      </w:r>
      <w:r w:rsidR="001C3550">
        <w:t>The case law supports this interpretation.</w:t>
      </w:r>
      <w:r w:rsidR="00833047">
        <w:t xml:space="preserve">  </w:t>
      </w:r>
      <w:r w:rsidR="008561FD">
        <w:t xml:space="preserve">As noted </w:t>
      </w:r>
      <w:r w:rsidR="008561FD">
        <w:rPr>
          <w:i/>
          <w:iCs/>
        </w:rPr>
        <w:t>ante</w:t>
      </w:r>
      <w:r w:rsidR="008561FD">
        <w:t>,</w:t>
      </w:r>
      <w:r>
        <w:t xml:space="preserve"> </w:t>
      </w:r>
      <w:r w:rsidR="008561FD">
        <w:t>t</w:t>
      </w:r>
      <w:r>
        <w:t xml:space="preserve">he </w:t>
      </w:r>
      <w:r w:rsidR="003C7A46">
        <w:t xml:space="preserve">California </w:t>
      </w:r>
      <w:r>
        <w:t xml:space="preserve">Supreme Court </w:t>
      </w:r>
      <w:r w:rsidR="003C7A46">
        <w:t xml:space="preserve">has </w:t>
      </w:r>
      <w:r w:rsidR="008561FD">
        <w:t xml:space="preserve">observed </w:t>
      </w:r>
      <w:r w:rsidR="005940FC">
        <w:t xml:space="preserve">that </w:t>
      </w:r>
      <w:r w:rsidR="005940FC" w:rsidRPr="005630A2">
        <w:t>section 1861.05(a) “</w:t>
      </w:r>
      <w:r w:rsidR="00447136">
        <w:t xml:space="preserve">impliedly </w:t>
      </w:r>
      <w:r w:rsidR="005940FC" w:rsidRPr="005630A2">
        <w:t>requires that the commissioner shall offset</w:t>
      </w:r>
      <w:r w:rsidR="008561FD">
        <w:t>” investment income against the rate</w:t>
      </w:r>
      <w:r w:rsidR="005940FC">
        <w:t xml:space="preserve">.  </w:t>
      </w:r>
      <w:r w:rsidR="005940FC" w:rsidRPr="005630A2">
        <w:t>(</w:t>
      </w:r>
      <w:r w:rsidR="005940FC" w:rsidRPr="00835FB4">
        <w:rPr>
          <w:i/>
          <w:iCs/>
        </w:rPr>
        <w:t>20th Century</w:t>
      </w:r>
      <w:r w:rsidR="005940FC" w:rsidRPr="005630A2">
        <w:t xml:space="preserve">, </w:t>
      </w:r>
      <w:r w:rsidR="005940FC" w:rsidRPr="00835FB4">
        <w:rPr>
          <w:i/>
          <w:iCs/>
        </w:rPr>
        <w:t>supra</w:t>
      </w:r>
      <w:r w:rsidR="005940FC" w:rsidRPr="005630A2">
        <w:t>, 8 Cal.4th at p. 290.)</w:t>
      </w:r>
      <w:r w:rsidR="003C7A46">
        <w:t xml:space="preserve">  Mere review, or really anything less than substantive incorporation, of the applicant’s investment</w:t>
      </w:r>
      <w:r w:rsidR="005940FC">
        <w:t xml:space="preserve"> income is inconsistent with such an offset.</w:t>
      </w:r>
      <w:r w:rsidR="00F75905">
        <w:t xml:space="preserve">  </w:t>
      </w:r>
      <w:r w:rsidR="00833047">
        <w:t xml:space="preserve">Courts in other contexts have concluded </w:t>
      </w:r>
      <w:r w:rsidR="00833047" w:rsidRPr="003C7A46">
        <w:t xml:space="preserve">the word </w:t>
      </w:r>
      <w:r w:rsidR="00F75905" w:rsidRPr="003C7A46">
        <w:t>“</w:t>
      </w:r>
      <w:r w:rsidR="00833047" w:rsidRPr="003C7A46">
        <w:t>c</w:t>
      </w:r>
      <w:r w:rsidR="00F75905" w:rsidRPr="003C7A46">
        <w:t>onsider” require</w:t>
      </w:r>
      <w:r w:rsidR="00833047" w:rsidRPr="003C7A46">
        <w:t>s</w:t>
      </w:r>
      <w:r w:rsidR="00F75905" w:rsidRPr="003C7A46">
        <w:t xml:space="preserve"> substantive incorporation, as well.  (See</w:t>
      </w:r>
      <w:r w:rsidR="006360F9" w:rsidRPr="003C7A46">
        <w:t>, e.g.,</w:t>
      </w:r>
      <w:r w:rsidR="00F75905" w:rsidRPr="003C7A46">
        <w:t xml:space="preserve"> </w:t>
      </w:r>
      <w:r w:rsidR="00F75905" w:rsidRPr="003C7A46">
        <w:rPr>
          <w:i/>
          <w:iCs/>
        </w:rPr>
        <w:t>Plantier</w:t>
      </w:r>
      <w:r w:rsidR="00F75905" w:rsidRPr="003C7A46">
        <w:t xml:space="preserve">, </w:t>
      </w:r>
      <w:r w:rsidR="00F75905" w:rsidRPr="003C7A46">
        <w:rPr>
          <w:i/>
          <w:iCs/>
        </w:rPr>
        <w:t>supra</w:t>
      </w:r>
      <w:r w:rsidR="00F75905" w:rsidRPr="003C7A46">
        <w:t>, 7 Cal.5th at p</w:t>
      </w:r>
      <w:r w:rsidR="003418F5">
        <w:t>p</w:t>
      </w:r>
      <w:r w:rsidR="00F75905" w:rsidRPr="003C7A46">
        <w:t xml:space="preserve">. </w:t>
      </w:r>
      <w:r w:rsidR="003418F5">
        <w:t xml:space="preserve">381, </w:t>
      </w:r>
      <w:r w:rsidR="00F75905" w:rsidRPr="003C7A46">
        <w:t>386</w:t>
      </w:r>
      <w:r w:rsidR="00F75905">
        <w:t xml:space="preserve"> [</w:t>
      </w:r>
      <w:r w:rsidR="00495B62">
        <w:t xml:space="preserve">where </w:t>
      </w:r>
      <w:r w:rsidR="003418F5">
        <w:t>proposition</w:t>
      </w:r>
      <w:r w:rsidR="00495B62">
        <w:t xml:space="preserve"> barred </w:t>
      </w:r>
      <w:r w:rsidR="005A5F52">
        <w:t xml:space="preserve">local </w:t>
      </w:r>
      <w:r w:rsidR="00495B62">
        <w:t>agency from imposing property</w:t>
      </w:r>
      <w:r w:rsidR="005A5F52">
        <w:t>-related</w:t>
      </w:r>
      <w:r w:rsidR="00495B62">
        <w:t xml:space="preserve"> fee “ ‘[i]f </w:t>
      </w:r>
      <w:r w:rsidR="00495B62" w:rsidRPr="00495B62">
        <w:t xml:space="preserve">written protests </w:t>
      </w:r>
      <w:r w:rsidR="00495B62">
        <w:t>. . . are</w:t>
      </w:r>
      <w:r w:rsidR="00495B62" w:rsidRPr="00495B62">
        <w:t xml:space="preserve"> presented by a majority of owners</w:t>
      </w:r>
      <w:r w:rsidR="00495B62">
        <w:t xml:space="preserve">,’ ” thus requiring </w:t>
      </w:r>
      <w:r w:rsidR="005A5F52">
        <w:t>it</w:t>
      </w:r>
      <w:r w:rsidR="00495B62">
        <w:t xml:space="preserve"> to count all written protests,</w:t>
      </w:r>
      <w:r w:rsidR="003418F5">
        <w:t xml:space="preserve"> </w:t>
      </w:r>
      <w:r w:rsidR="00495B62">
        <w:t>requirement to</w:t>
      </w:r>
      <w:r w:rsidR="003418F5">
        <w:t xml:space="preserve"> also</w:t>
      </w:r>
      <w:r w:rsidR="00304B37">
        <w:t xml:space="preserve"> “</w:t>
      </w:r>
      <w:r w:rsidR="00065167">
        <w:t xml:space="preserve"> ‘</w:t>
      </w:r>
      <w:r w:rsidR="00304B37">
        <w:t>consider all protests</w:t>
      </w:r>
      <w:r w:rsidR="00065167">
        <w:t xml:space="preserve">’ </w:t>
      </w:r>
      <w:r w:rsidR="00304B37">
        <w:t xml:space="preserve">” </w:t>
      </w:r>
      <w:r w:rsidR="00495B62">
        <w:t xml:space="preserve">had to </w:t>
      </w:r>
      <w:r w:rsidR="00304B37">
        <w:t>“</w:t>
      </w:r>
      <w:r w:rsidR="00F75905">
        <w:t>mean more than simply counting</w:t>
      </w:r>
      <w:r w:rsidR="00304B37" w:rsidRPr="00216609">
        <w:t>”</w:t>
      </w:r>
      <w:r w:rsidR="00495B62">
        <w:t xml:space="preserve"> them and </w:t>
      </w:r>
      <w:r w:rsidR="00304B37" w:rsidRPr="00216609">
        <w:t>require</w:t>
      </w:r>
      <w:r w:rsidR="00495B62">
        <w:t>d</w:t>
      </w:r>
      <w:r w:rsidR="00304B37" w:rsidRPr="00216609">
        <w:t xml:space="preserve"> “</w:t>
      </w:r>
      <w:r w:rsidR="00F75905" w:rsidRPr="00216609">
        <w:t>ta</w:t>
      </w:r>
      <w:r w:rsidR="00495B62">
        <w:t>k[ing]</w:t>
      </w:r>
      <w:r w:rsidR="00F75905" w:rsidRPr="00216609">
        <w:t xml:space="preserve"> </w:t>
      </w:r>
      <w:r w:rsidR="00304B37" w:rsidRPr="00216609">
        <w:t>[them]</w:t>
      </w:r>
      <w:r w:rsidR="00F75905" w:rsidRPr="00216609">
        <w:t xml:space="preserve"> into account when deciding whether to approve the proposed fee</w:t>
      </w:r>
      <w:r w:rsidR="00304B37" w:rsidRPr="00216609">
        <w:t xml:space="preserve">”]; </w:t>
      </w:r>
      <w:r w:rsidR="00483C5F" w:rsidRPr="00216609">
        <w:rPr>
          <w:i/>
          <w:iCs/>
        </w:rPr>
        <w:t>MK Hillside Partners v. Comm</w:t>
      </w:r>
      <w:r w:rsidR="00FB4421">
        <w:rPr>
          <w:i/>
          <w:iCs/>
        </w:rPr>
        <w:t>’</w:t>
      </w:r>
      <w:r w:rsidR="00483C5F" w:rsidRPr="00216609">
        <w:rPr>
          <w:i/>
          <w:iCs/>
        </w:rPr>
        <w:t>r of Internal Revenue</w:t>
      </w:r>
      <w:r w:rsidR="00483C5F" w:rsidRPr="00216609">
        <w:t xml:space="preserve"> (9th Cir. 2016) 826 F.3d 1200, 1205 [</w:t>
      </w:r>
      <w:r w:rsidR="00CE4089" w:rsidRPr="00216609">
        <w:t>disagreeing that</w:t>
      </w:r>
      <w:r w:rsidR="00216609" w:rsidRPr="00216609">
        <w:t xml:space="preserve"> </w:t>
      </w:r>
      <w:r w:rsidR="00CE4089" w:rsidRPr="00216609">
        <w:t>statute granting</w:t>
      </w:r>
      <w:r w:rsidR="00216609" w:rsidRPr="00216609">
        <w:t xml:space="preserve"> tax court</w:t>
      </w:r>
      <w:r w:rsidR="00CE4089" w:rsidRPr="00216609">
        <w:t xml:space="preserve"> “jurisdiction to consider” statute of limitations</w:t>
      </w:r>
      <w:r w:rsidR="000D5D3A">
        <w:t xml:space="preserve"> argument by partner did not permit determination of issue</w:t>
      </w:r>
      <w:r w:rsidR="00216609">
        <w:t>; “</w:t>
      </w:r>
      <w:r w:rsidR="006360F9">
        <w:t xml:space="preserve">it is unlikely that Congress enacted </w:t>
      </w:r>
      <w:r w:rsidR="00216609">
        <w:t>‘</w:t>
      </w:r>
      <w:r w:rsidR="000D5D3A">
        <w:t>[</w:t>
      </w:r>
      <w:r w:rsidR="00216609">
        <w:t>the statut</w:t>
      </w:r>
      <w:r w:rsidR="000D5D3A">
        <w:t>e]</w:t>
      </w:r>
      <w:r w:rsidR="006360F9">
        <w:t xml:space="preserve"> to enable a partner to raise an argument pertaining to timeliness about which the Tax Court may only ruminate</w:t>
      </w:r>
      <w:r w:rsidR="00216609">
        <w:t>’ ”].)</w:t>
      </w:r>
    </w:p>
    <w:p w14:paraId="2B20B6FB" w14:textId="6D6B4AE6" w:rsidR="005D7A6E" w:rsidRDefault="001C3550" w:rsidP="00DB5124">
      <w:pPr>
        <w:shd w:val="clear" w:color="auto" w:fill="FFFFFF"/>
        <w:spacing w:line="360" w:lineRule="auto"/>
        <w:textAlignment w:val="baseline"/>
      </w:pPr>
      <w:r>
        <w:tab/>
      </w:r>
      <w:r w:rsidRPr="009F0DBF">
        <w:t xml:space="preserve">Accordingly, we </w:t>
      </w:r>
      <w:r>
        <w:t xml:space="preserve">reject the Commissioner’s contention that the only constraint under section 1861.05(a) is that </w:t>
      </w:r>
      <w:r w:rsidRPr="00EF2A5A">
        <w:t xml:space="preserve">“no consideration shall be given to </w:t>
      </w:r>
      <w:r w:rsidRPr="00EF2A5A">
        <w:lastRenderedPageBreak/>
        <w:t>the degree of competition</w:t>
      </w:r>
      <w:r>
        <w:t>.</w:t>
      </w:r>
      <w:r w:rsidRPr="00EF2A5A">
        <w:t>”</w:t>
      </w:r>
      <w:r>
        <w:t xml:space="preserve">  Just as “consider</w:t>
      </w:r>
      <w:r w:rsidR="003845CE">
        <w:t>[]</w:t>
      </w:r>
      <w:r>
        <w:t>” imposes a mandatory limit on using market competition, so too does “consider” impose a mandatory obligation to use the insurance company’s investment income.</w:t>
      </w:r>
      <w:r w:rsidR="005D7A6E">
        <w:t xml:space="preserve">  </w:t>
      </w:r>
      <w:r w:rsidR="00890535">
        <w:t xml:space="preserve">(See </w:t>
      </w:r>
      <w:r w:rsidR="00890535" w:rsidRPr="001309AB">
        <w:rPr>
          <w:i/>
          <w:iCs/>
        </w:rPr>
        <w:t>People v. Blackburn</w:t>
      </w:r>
      <w:r w:rsidR="00890535">
        <w:t xml:space="preserve"> (2015) 61 Cal.4th 1113, 1125</w:t>
      </w:r>
      <w:r w:rsidR="003845CE">
        <w:t xml:space="preserve"> </w:t>
      </w:r>
      <w:r w:rsidR="00890535">
        <w:t>[“ ‘</w:t>
      </w:r>
      <w:r w:rsidR="00890535" w:rsidRPr="00890535">
        <w:t>it is generally presumed that when a word is used in a particular sense in one part of a statute, it is intended to have the same meaning if it appears in another part of the same statute</w:t>
      </w:r>
      <w:r w:rsidR="00890535">
        <w:t>’ ”</w:t>
      </w:r>
      <w:r w:rsidR="003845CE">
        <w:t>];</w:t>
      </w:r>
      <w:r w:rsidR="001309AB" w:rsidRPr="001309AB">
        <w:t xml:space="preserve"> see </w:t>
      </w:r>
      <w:r w:rsidR="001309AB" w:rsidRPr="001309AB">
        <w:rPr>
          <w:i/>
          <w:iCs/>
        </w:rPr>
        <w:t>Chandis Securities Co. v. City of Dana Point</w:t>
      </w:r>
      <w:r w:rsidR="001309AB" w:rsidRPr="001309AB">
        <w:t xml:space="preserve"> (1996) 52 Cal.App.4th 475, 486</w:t>
      </w:r>
      <w:r w:rsidR="001309AB">
        <w:t xml:space="preserve"> [accord].)  </w:t>
      </w:r>
    </w:p>
    <w:p w14:paraId="21187927" w14:textId="48255363" w:rsidR="001C3550" w:rsidRDefault="005D7A6E" w:rsidP="00DB5124">
      <w:pPr>
        <w:shd w:val="clear" w:color="auto" w:fill="FFFFFF"/>
        <w:spacing w:line="360" w:lineRule="auto"/>
        <w:textAlignment w:val="baseline"/>
      </w:pPr>
      <w:r>
        <w:tab/>
      </w:r>
      <w:r w:rsidR="00833047">
        <w:t xml:space="preserve">We also </w:t>
      </w:r>
      <w:r w:rsidR="00833047" w:rsidRPr="009F0DBF">
        <w:t>disagree with CW that “consider whether”</w:t>
      </w:r>
      <w:r w:rsidR="00833047">
        <w:t xml:space="preserve"> impl</w:t>
      </w:r>
      <w:r w:rsidR="00C41527">
        <w:t>ies</w:t>
      </w:r>
      <w:r w:rsidR="00833047">
        <w:t xml:space="preserve"> a “ ‘yes’ or ‘no’ answer,” such that the Commissioner just needs to affirm he considered investment income, and that SFG’s </w:t>
      </w:r>
      <w:r w:rsidR="002558E2">
        <w:t>interpretation</w:t>
      </w:r>
      <w:r w:rsidR="00833047">
        <w:t xml:space="preserve"> ignores the word “whether.”  Viewed in context, “consider whether” reasonably reflects the Commissioner is reviewing a </w:t>
      </w:r>
      <w:r w:rsidR="00C41527">
        <w:t>proposed</w:t>
      </w:r>
      <w:r w:rsidR="00833047">
        <w:t xml:space="preserve"> </w:t>
      </w:r>
      <w:r w:rsidR="00C41527">
        <w:t>rate</w:t>
      </w:r>
      <w:r w:rsidR="00833047">
        <w:t xml:space="preserve">, </w:t>
      </w:r>
      <w:r w:rsidR="00C41527">
        <w:t xml:space="preserve">not </w:t>
      </w:r>
      <w:r w:rsidR="00833047">
        <w:t>setting it.  (</w:t>
      </w:r>
      <w:r w:rsidR="00FE25E2">
        <w:t>§</w:t>
      </w:r>
      <w:r w:rsidR="00A72A0A">
        <w:t> </w:t>
      </w:r>
      <w:r w:rsidR="00FE25E2">
        <w:t>1861.05(a) [</w:t>
      </w:r>
      <w:r w:rsidR="00FE25E2" w:rsidRPr="00FE25E2">
        <w:t>“[n]o rate shall be approved</w:t>
      </w:r>
      <w:r w:rsidR="00CF22FC">
        <w:t xml:space="preserve"> . . . .</w:t>
      </w:r>
      <w:r w:rsidR="00FE25E2">
        <w:t>”];</w:t>
      </w:r>
      <w:r w:rsidR="00833047">
        <w:t xml:space="preserve"> </w:t>
      </w:r>
      <w:r w:rsidR="00833047" w:rsidRPr="00F43CC2">
        <w:rPr>
          <w:i/>
          <w:iCs/>
        </w:rPr>
        <w:t>20th Century</w:t>
      </w:r>
      <w:r w:rsidR="00833047">
        <w:t xml:space="preserve">, </w:t>
      </w:r>
      <w:r w:rsidR="00833047">
        <w:rPr>
          <w:i/>
          <w:iCs/>
        </w:rPr>
        <w:t>supra</w:t>
      </w:r>
      <w:r w:rsidR="00833047">
        <w:t>, 8 Cal.4th at pp. 284-285 [</w:t>
      </w:r>
      <w:r w:rsidR="00C41527">
        <w:t>under Prop</w:t>
      </w:r>
      <w:r w:rsidR="00DB5A3D">
        <w:t>.</w:t>
      </w:r>
      <w:r w:rsidR="00C41527">
        <w:t xml:space="preserve"> 103, Commissioner does not set rates, but rather</w:t>
      </w:r>
      <w:r w:rsidR="00833047" w:rsidRPr="00E53A3A">
        <w:t xml:space="preserve"> “determines the rate </w:t>
      </w:r>
      <w:r w:rsidR="00C41527">
        <w:t xml:space="preserve">. . . </w:t>
      </w:r>
      <w:r w:rsidR="00833047" w:rsidRPr="00E53A3A">
        <w:t>that</w:t>
      </w:r>
      <w:r w:rsidR="00FB4421">
        <w:t xml:space="preserve"> the</w:t>
      </w:r>
      <w:r w:rsidR="00833047" w:rsidRPr="00E53A3A">
        <w:t> individual insurer may itself set</w:t>
      </w:r>
      <w:r w:rsidR="00DB5A3D">
        <w:t>”].</w:t>
      </w:r>
      <w:r>
        <w:t xml:space="preserve">)  </w:t>
      </w:r>
      <w:r w:rsidR="00FF537E">
        <w:t>This is also consistent with section 1861.05(a) as a whole.  It is in “considering whether a rate is excessive, inadequate or unfairly discriminatory” that the Commissioner is considering investment income.</w:t>
      </w:r>
      <w:r w:rsidR="00A72A0A">
        <w:t xml:space="preserve"> </w:t>
      </w:r>
      <w:r w:rsidR="00B91F34">
        <w:t xml:space="preserve"> (§</w:t>
      </w:r>
      <w:r w:rsidR="00FB4421">
        <w:t> </w:t>
      </w:r>
      <w:r w:rsidR="00B91F34">
        <w:t xml:space="preserve">1861.05(a).)  </w:t>
      </w:r>
      <w:r w:rsidR="00FF537E">
        <w:t xml:space="preserve">That language likewise </w:t>
      </w:r>
      <w:r w:rsidR="00C41527">
        <w:t xml:space="preserve">reflects the Commissioner is reviewing a proposed rate, and, at least for excessive or inadequate rates, does not call for a yes or no answer.  Indeed, the Rate Order did not </w:t>
      </w:r>
      <w:r w:rsidR="00FF537E">
        <w:t>just</w:t>
      </w:r>
      <w:r w:rsidR="00C41527">
        <w:t xml:space="preserve"> state SFG’s rate was excessive</w:t>
      </w:r>
      <w:r w:rsidR="00B91F34">
        <w:t>;</w:t>
      </w:r>
      <w:r w:rsidR="00C41527">
        <w:t xml:space="preserve"> it identified </w:t>
      </w:r>
      <w:r w:rsidR="00FF537E">
        <w:t>a</w:t>
      </w:r>
      <w:r w:rsidR="00C41527">
        <w:t xml:space="preserve"> purported percentage amount by which it</w:t>
      </w:r>
      <w:r w:rsidR="00B91F34">
        <w:t xml:space="preserve"> had to be reduced</w:t>
      </w:r>
      <w:r w:rsidR="00C41527">
        <w:t>.</w:t>
      </w:r>
      <w:r w:rsidR="00833047">
        <w:rPr>
          <w:rFonts w:ascii="Source Sans Pro" w:hAnsi="Source Sans Pro"/>
          <w:color w:val="3D3D3D"/>
          <w:sz w:val="27"/>
          <w:szCs w:val="27"/>
          <w:shd w:val="clear" w:color="auto" w:fill="FFFFFF"/>
        </w:rPr>
        <w:t xml:space="preserve">  </w:t>
      </w:r>
    </w:p>
    <w:p w14:paraId="42EC88F6" w14:textId="77777777" w:rsidR="00DE5F37" w:rsidRDefault="00F55F4F" w:rsidP="00DB5124">
      <w:pPr>
        <w:pStyle w:val="Heading3"/>
        <w:spacing w:line="360" w:lineRule="auto"/>
      </w:pPr>
      <w:r>
        <w:t>b.</w:t>
      </w:r>
      <w:r>
        <w:tab/>
      </w:r>
      <w:r w:rsidRPr="00F55F4F">
        <w:rPr>
          <w:i/>
          <w:iCs/>
        </w:rPr>
        <w:t>“</w:t>
      </w:r>
      <w:r w:rsidR="0080458B" w:rsidRPr="00F55F4F">
        <w:rPr>
          <w:i/>
          <w:iCs/>
        </w:rPr>
        <w:t>Math</w:t>
      </w:r>
      <w:r w:rsidRPr="00F55F4F">
        <w:rPr>
          <w:i/>
          <w:iCs/>
        </w:rPr>
        <w:t>ematically Reflects”</w:t>
      </w:r>
    </w:p>
    <w:p w14:paraId="074F1D43" w14:textId="2F3EFB65" w:rsidR="00216609" w:rsidRPr="00935224" w:rsidRDefault="00DC530F" w:rsidP="00DB5124">
      <w:pPr>
        <w:shd w:val="clear" w:color="auto" w:fill="FFFFFF"/>
        <w:spacing w:line="360" w:lineRule="auto"/>
        <w:textAlignment w:val="baseline"/>
      </w:pPr>
      <w:r>
        <w:tab/>
      </w:r>
      <w:r w:rsidRPr="00216609">
        <w:t xml:space="preserve">We </w:t>
      </w:r>
      <w:r w:rsidR="00B91F34">
        <w:t>turn next to</w:t>
      </w:r>
      <w:r w:rsidRPr="00216609">
        <w:t xml:space="preserve"> “mathematically reflects.”</w:t>
      </w:r>
      <w:r w:rsidR="00216609" w:rsidRPr="00216609">
        <w:t xml:space="preserve"> </w:t>
      </w:r>
      <w:r w:rsidR="00216609">
        <w:t xml:space="preserve"> “</w:t>
      </w:r>
      <w:r w:rsidR="00216609" w:rsidRPr="00216609">
        <w:t>Mathematically</w:t>
      </w:r>
      <w:r w:rsidR="00216609">
        <w:t>”</w:t>
      </w:r>
      <w:r w:rsidR="00216609" w:rsidRPr="00216609">
        <w:t xml:space="preserve"> means “rigorously exact: precise, certain,” while “reflect” in this context means to “make manifest or apparent” and to “mirror.”  (Webster’s Dict</w:t>
      </w:r>
      <w:r w:rsidR="006A00D9">
        <w:t>.</w:t>
      </w:r>
      <w:r w:rsidR="003E5024">
        <w:t xml:space="preserve">, at pp. 765, </w:t>
      </w:r>
      <w:r w:rsidR="003E5024">
        <w:lastRenderedPageBreak/>
        <w:t>1046</w:t>
      </w:r>
      <w:r w:rsidR="00216609" w:rsidRPr="00216609">
        <w:t xml:space="preserve">.)  </w:t>
      </w:r>
      <w:r w:rsidR="007D5F47">
        <w:t>Viewed together</w:t>
      </w:r>
      <w:r w:rsidR="001309AB">
        <w:t xml:space="preserve"> and in context,</w:t>
      </w:r>
      <w:r w:rsidR="007D5F47">
        <w:t xml:space="preserve"> th</w:t>
      </w:r>
      <w:r w:rsidR="005D7A6E">
        <w:t>ese words mean the rate must correlate to the insurance company’s actual projected investment income—meaning, in turn, the Commissioner must use data capturing that income in his review.</w:t>
      </w:r>
      <w:r w:rsidR="00FF537E">
        <w:t xml:space="preserve">  This reading is consistent with the “excessive” and “inadequate” language in section 1861.05(a), which </w:t>
      </w:r>
      <w:r w:rsidR="00385152">
        <w:t>implies there are set</w:t>
      </w:r>
      <w:r w:rsidR="00484411">
        <w:t xml:space="preserve"> higher and lower </w:t>
      </w:r>
      <w:r w:rsidR="00FF537E">
        <w:t>limits</w:t>
      </w:r>
      <w:r w:rsidR="00BD1FED" w:rsidRPr="00935224">
        <w:t>.  (</w:t>
      </w:r>
      <w:r w:rsidR="00935224">
        <w:t>See</w:t>
      </w:r>
      <w:r w:rsidR="00F43CC2" w:rsidRPr="00935224">
        <w:t xml:space="preserve"> </w:t>
      </w:r>
      <w:r w:rsidR="00F43CC2" w:rsidRPr="00FF537E">
        <w:rPr>
          <w:i/>
          <w:iCs/>
        </w:rPr>
        <w:t>20th Century</w:t>
      </w:r>
      <w:r w:rsidR="00F43CC2" w:rsidRPr="00935224">
        <w:t xml:space="preserve">, </w:t>
      </w:r>
      <w:r w:rsidR="00F43CC2" w:rsidRPr="00FF537E">
        <w:rPr>
          <w:i/>
          <w:iCs/>
        </w:rPr>
        <w:t>supra</w:t>
      </w:r>
      <w:r w:rsidR="00F43CC2" w:rsidRPr="00935224">
        <w:t>, 8 Cal.4th at p</w:t>
      </w:r>
      <w:r w:rsidR="00935224" w:rsidRPr="00935224">
        <w:t>.</w:t>
      </w:r>
      <w:r w:rsidR="00935224">
        <w:t xml:space="preserve"> 285 </w:t>
      </w:r>
      <w:r w:rsidR="00E53A3A" w:rsidRPr="00FF537E">
        <w:t>[</w:t>
      </w:r>
      <w:r w:rsidR="00484411">
        <w:t>under prior approval system, “</w:t>
      </w:r>
      <w:r w:rsidR="00E53A3A" w:rsidRPr="00FF537E">
        <w:t xml:space="preserve">ratemaking formula is used to fix </w:t>
      </w:r>
      <w:r w:rsidR="00484411">
        <w:t xml:space="preserve">. . . </w:t>
      </w:r>
      <w:r w:rsidR="00E53A3A" w:rsidRPr="00FF537E">
        <w:t>the range of rates within the bounds of the ‘excessive’ and the ‘inadequate’</w:t>
      </w:r>
      <w:r w:rsidR="009264C1">
        <w:t xml:space="preserve"> ”</w:t>
      </w:r>
      <w:r w:rsidR="00E53A3A" w:rsidRPr="00FF537E">
        <w:t>]</w:t>
      </w:r>
      <w:r w:rsidR="00B66122" w:rsidRPr="00FF537E">
        <w:t>.)</w:t>
      </w:r>
      <w:r w:rsidR="00484411">
        <w:rPr>
          <w:position w:val="6"/>
        </w:rPr>
        <w:t xml:space="preserve">  </w:t>
      </w:r>
      <w:r w:rsidR="00484411">
        <w:t xml:space="preserve">Interpreting the statute to require use of the insurer’s actual projected investment income ensures the approved rate falls within the acceptable range.  Permitting use of data that may simply relate to the insurer—such as aggregate data with affiliates that do not share </w:t>
      </w:r>
      <w:r w:rsidR="00496FA9">
        <w:t>assets</w:t>
      </w:r>
      <w:r w:rsidR="00484411">
        <w:t>—could lead to rates outside that range</w:t>
      </w:r>
      <w:r w:rsidR="001B5FC5">
        <w:t>.</w:t>
      </w:r>
    </w:p>
    <w:p w14:paraId="0122494B" w14:textId="32CED73B" w:rsidR="00EA33FC" w:rsidRPr="00FA2A5D" w:rsidRDefault="001B5FC5" w:rsidP="00DB5124">
      <w:pPr>
        <w:spacing w:line="360" w:lineRule="auto"/>
      </w:pPr>
      <w:r>
        <w:tab/>
        <w:t>Appellant</w:t>
      </w:r>
      <w:r w:rsidR="00475644">
        <w:t>s</w:t>
      </w:r>
      <w:r w:rsidR="004B62D4">
        <w:t xml:space="preserve">’ arguments </w:t>
      </w:r>
      <w:r w:rsidR="00B91F34">
        <w:t>do not compel a different result</w:t>
      </w:r>
      <w:r w:rsidR="004B62D4">
        <w:t xml:space="preserve">.  First, they contend </w:t>
      </w:r>
      <w:r w:rsidR="008238AD">
        <w:t xml:space="preserve">the term “mathematical” does not preclude generic </w:t>
      </w:r>
      <w:r w:rsidR="00FA2A5D">
        <w:t>calculations</w:t>
      </w:r>
      <w:r w:rsidR="00B05D06">
        <w:t xml:space="preserve">.  They </w:t>
      </w:r>
      <w:r w:rsidR="008238AD">
        <w:t xml:space="preserve">explain some rate review factors already utilize </w:t>
      </w:r>
      <w:r w:rsidR="004B62D4">
        <w:t>industry-wide data and other non-company specific information</w:t>
      </w:r>
      <w:r w:rsidR="00B05D06">
        <w:t xml:space="preserve">, citing </w:t>
      </w:r>
      <w:r w:rsidR="008F58B4">
        <w:t>the</w:t>
      </w:r>
      <w:r w:rsidR="008238AD">
        <w:t xml:space="preserve"> </w:t>
      </w:r>
      <w:r w:rsidR="007F5DCE">
        <w:t xml:space="preserve">generic </w:t>
      </w:r>
      <w:r w:rsidR="008238AD">
        <w:t>calculations</w:t>
      </w:r>
      <w:r w:rsidR="007F5DCE">
        <w:t xml:space="preserve"> used for </w:t>
      </w:r>
      <w:r w:rsidR="008238AD">
        <w:t>different asset</w:t>
      </w:r>
      <w:r w:rsidR="007F5DCE">
        <w:t xml:space="preserve"> </w:t>
      </w:r>
      <w:r w:rsidR="006A6CED">
        <w:t xml:space="preserve">classes </w:t>
      </w:r>
      <w:r w:rsidR="007F5DCE">
        <w:t xml:space="preserve">in </w:t>
      </w:r>
      <w:r w:rsidR="00075BD8">
        <w:t>regulation section 2644.20</w:t>
      </w:r>
      <w:r w:rsidR="00852AE4">
        <w:t xml:space="preserve"> and </w:t>
      </w:r>
      <w:r w:rsidR="007F5DCE">
        <w:t xml:space="preserve">certain </w:t>
      </w:r>
      <w:r w:rsidR="008238AD">
        <w:t xml:space="preserve">investment income </w:t>
      </w:r>
      <w:r w:rsidR="007F5DCE">
        <w:t xml:space="preserve">factors, </w:t>
      </w:r>
      <w:r w:rsidR="00B05D06">
        <w:t>like</w:t>
      </w:r>
      <w:r w:rsidR="007F5DCE">
        <w:t xml:space="preserve"> the leverage factor</w:t>
      </w:r>
      <w:r w:rsidR="00852AE4">
        <w:t xml:space="preserve"> </w:t>
      </w:r>
      <w:r w:rsidR="00777AE2">
        <w:t>underlying</w:t>
      </w:r>
      <w:r w:rsidR="00852AE4">
        <w:t xml:space="preserve"> the surplus ratio </w:t>
      </w:r>
      <w:r w:rsidR="00777AE2">
        <w:t>factor</w:t>
      </w:r>
      <w:r w:rsidR="00852AE4">
        <w:t xml:space="preserve"> and the tax factors</w:t>
      </w:r>
      <w:r w:rsidR="004B62D4">
        <w:t>.  (</w:t>
      </w:r>
      <w:r w:rsidR="00567738">
        <w:t xml:space="preserve">See </w:t>
      </w:r>
      <w:r w:rsidR="007F5DCE">
        <w:t>Reg</w:t>
      </w:r>
      <w:r w:rsidR="00075BD8">
        <w:t>. §§</w:t>
      </w:r>
      <w:r w:rsidR="00A41511">
        <w:t> </w:t>
      </w:r>
      <w:r w:rsidR="007F5DCE">
        <w:t>2644.20, subd</w:t>
      </w:r>
      <w:r w:rsidR="00777AE2">
        <w:t>s</w:t>
      </w:r>
      <w:r w:rsidR="007F5DCE">
        <w:t>. (</w:t>
      </w:r>
      <w:r w:rsidR="00777AE2">
        <w:t>b</w:t>
      </w:r>
      <w:r w:rsidR="007F5DCE">
        <w:t>)</w:t>
      </w:r>
      <w:r w:rsidR="00777AE2">
        <w:t>-(c)</w:t>
      </w:r>
      <w:r w:rsidR="000B6F96">
        <w:t>,</w:t>
      </w:r>
      <w:r w:rsidR="007F5DCE">
        <w:t xml:space="preserve"> </w:t>
      </w:r>
      <w:r w:rsidR="00852AE4">
        <w:t>2644.1</w:t>
      </w:r>
      <w:r w:rsidR="00777AE2">
        <w:t>7-</w:t>
      </w:r>
      <w:r w:rsidR="00AE67BC">
        <w:t>2644.</w:t>
      </w:r>
      <w:r w:rsidR="00777AE2">
        <w:t xml:space="preserve">19, </w:t>
      </w:r>
      <w:r w:rsidR="00844C28">
        <w:t>2644.</w:t>
      </w:r>
      <w:r w:rsidR="00777AE2">
        <w:t xml:space="preserve">22; see descriptions </w:t>
      </w:r>
      <w:r w:rsidR="00777AE2">
        <w:rPr>
          <w:i/>
          <w:iCs/>
        </w:rPr>
        <w:t>ante</w:t>
      </w:r>
      <w:r w:rsidR="00777AE2">
        <w:t>.</w:t>
      </w:r>
      <w:r w:rsidR="00567738">
        <w:t>)</w:t>
      </w:r>
      <w:r w:rsidR="00B05D06">
        <w:t xml:space="preserve">  </w:t>
      </w:r>
      <w:r w:rsidR="00A306AE">
        <w:t xml:space="preserve">Although </w:t>
      </w:r>
      <w:r w:rsidR="007F5DCE">
        <w:t xml:space="preserve">a </w:t>
      </w:r>
      <w:r w:rsidR="00A306AE">
        <w:t xml:space="preserve">generic calculation may </w:t>
      </w:r>
      <w:r w:rsidR="00B05D06">
        <w:t>suffice</w:t>
      </w:r>
      <w:r w:rsidR="00C94972">
        <w:t xml:space="preserve"> for </w:t>
      </w:r>
      <w:r w:rsidR="007F5DCE">
        <w:t>certain</w:t>
      </w:r>
      <w:r w:rsidR="00361075">
        <w:t xml:space="preserve"> aspects of the</w:t>
      </w:r>
      <w:r w:rsidR="007F5DCE">
        <w:t xml:space="preserve"> </w:t>
      </w:r>
      <w:r w:rsidR="00361075">
        <w:t>rate determination</w:t>
      </w:r>
      <w:r w:rsidR="007F5DCE">
        <w:t xml:space="preserve">, it </w:t>
      </w:r>
      <w:r w:rsidR="00A306AE">
        <w:t>does not follow</w:t>
      </w:r>
      <w:r w:rsidR="00B91F34">
        <w:t xml:space="preserve"> that</w:t>
      </w:r>
      <w:r w:rsidR="00A306AE">
        <w:t xml:space="preserve"> </w:t>
      </w:r>
      <w:r w:rsidR="007F5DCE">
        <w:t>it</w:t>
      </w:r>
      <w:r w:rsidR="00A306AE">
        <w:t xml:space="preserve"> will </w:t>
      </w:r>
      <w:r w:rsidR="00B05D06">
        <w:t>be adequate</w:t>
      </w:r>
      <w:r w:rsidR="00A306AE">
        <w:t xml:space="preserve"> for</w:t>
      </w:r>
      <w:r w:rsidR="00733C38">
        <w:t xml:space="preserve"> a factor that purports to capture the insurer’s actual portfolio, like projected yield.  </w:t>
      </w:r>
      <w:r w:rsidR="00733C38" w:rsidRPr="00733C38">
        <w:t>Nor is a generic calculation even at issue.</w:t>
      </w:r>
      <w:r w:rsidR="006A6CED">
        <w:t xml:space="preserve">  </w:t>
      </w:r>
      <w:r w:rsidR="00733C38">
        <w:t xml:space="preserve">Indeed, it is </w:t>
      </w:r>
      <w:r w:rsidR="00733C38" w:rsidRPr="006A6CED">
        <w:rPr>
          <w:i/>
          <w:iCs/>
        </w:rPr>
        <w:t>because</w:t>
      </w:r>
      <w:r w:rsidR="00733C38">
        <w:t xml:space="preserve"> projected yield varies based on</w:t>
      </w:r>
      <w:r w:rsidR="00B91F34">
        <w:t xml:space="preserve"> the portfolio at issue</w:t>
      </w:r>
      <w:r w:rsidR="006A6CED">
        <w:t xml:space="preserve"> </w:t>
      </w:r>
      <w:r w:rsidR="00733C38">
        <w:t xml:space="preserve">that using group-level data </w:t>
      </w:r>
      <w:r w:rsidR="006A6CED">
        <w:t xml:space="preserve">can </w:t>
      </w:r>
      <w:r w:rsidR="00733C38">
        <w:t>result in a different</w:t>
      </w:r>
      <w:r w:rsidR="006A6CED">
        <w:t xml:space="preserve"> </w:t>
      </w:r>
      <w:r w:rsidR="00733C38">
        <w:t>amount of investment income</w:t>
      </w:r>
      <w:r w:rsidR="00EA33FC">
        <w:t>.</w:t>
      </w:r>
    </w:p>
    <w:p w14:paraId="1B626D55" w14:textId="5D03FD4C" w:rsidR="00852AE4" w:rsidRDefault="00C94972" w:rsidP="00DB5124">
      <w:pPr>
        <w:spacing w:line="360" w:lineRule="auto"/>
      </w:pPr>
      <w:r>
        <w:tab/>
      </w:r>
      <w:r w:rsidR="00567738">
        <w:t>Second, CW focuses on the Commissioner’s role in administering section 1861.05(a), arguing the phrase</w:t>
      </w:r>
      <w:r w:rsidR="00567738" w:rsidRPr="001B5FC5">
        <w:t xml:space="preserve"> “mathematically reflects” is unusual </w:t>
      </w:r>
      <w:r w:rsidR="00567738">
        <w:lastRenderedPageBreak/>
        <w:t xml:space="preserve">and the statute does not dictate how to apply it, whereas the Commissioner </w:t>
      </w:r>
      <w:r w:rsidR="0067040D">
        <w:t xml:space="preserve">has discretion </w:t>
      </w:r>
      <w:r w:rsidR="00B05D06">
        <w:t>as to what</w:t>
      </w:r>
      <w:r w:rsidR="0067040D">
        <w:t xml:space="preserve"> to include in investment </w:t>
      </w:r>
      <w:r w:rsidR="0067040D" w:rsidRPr="00852AE4">
        <w:t>income</w:t>
      </w:r>
      <w:r w:rsidR="00567738" w:rsidRPr="00852AE4">
        <w:t xml:space="preserve">.  </w:t>
      </w:r>
      <w:r w:rsidR="00852AE4" w:rsidRPr="00852AE4">
        <w:t xml:space="preserve">The Commissioner himself elsewhere emphasizes his “broad authority” to “use . . . many different kinds of data . . . .” </w:t>
      </w:r>
      <w:r w:rsidR="00852AE4">
        <w:t xml:space="preserve"> </w:t>
      </w:r>
      <w:r w:rsidR="0067040D">
        <w:t>But t</w:t>
      </w:r>
      <w:r w:rsidR="00567738">
        <w:t>he words “mathematically reflect</w:t>
      </w:r>
      <w:r w:rsidR="003E0CCC">
        <w:t>[]</w:t>
      </w:r>
      <w:r w:rsidR="00567738">
        <w:t xml:space="preserve">” have meaning, regardless of </w:t>
      </w:r>
      <w:r w:rsidR="00A37631">
        <w:t>being</w:t>
      </w:r>
      <w:r w:rsidR="0067040D">
        <w:t xml:space="preserve"> uncommon or undefined in the statute</w:t>
      </w:r>
      <w:r w:rsidR="00567738">
        <w:t>, and the Commissioner’s discretion is limited by the statutory text.  (</w:t>
      </w:r>
      <w:r w:rsidR="00567738">
        <w:rPr>
          <w:i/>
          <w:iCs/>
        </w:rPr>
        <w:t>Yamaha</w:t>
      </w:r>
      <w:r w:rsidR="00567738">
        <w:t xml:space="preserve">, </w:t>
      </w:r>
      <w:r w:rsidR="00567738">
        <w:rPr>
          <w:i/>
          <w:iCs/>
        </w:rPr>
        <w:t>supra</w:t>
      </w:r>
      <w:r w:rsidR="00567738">
        <w:t>, 19 Cal.4th at pp. 10-11.)</w:t>
      </w:r>
      <w:r w:rsidR="00A37631">
        <w:t xml:space="preserve">  </w:t>
      </w:r>
      <w:r w:rsidR="00B05D06">
        <w:t xml:space="preserve">CW again attempts to rely on </w:t>
      </w:r>
      <w:r w:rsidR="00B05D06">
        <w:rPr>
          <w:i/>
          <w:iCs/>
        </w:rPr>
        <w:t>20th Century</w:t>
      </w:r>
      <w:r w:rsidR="00B05D06">
        <w:t xml:space="preserve">, citing </w:t>
      </w:r>
      <w:r w:rsidR="00B32BE5">
        <w:t>its determination that it was not “</w:t>
      </w:r>
      <w:r w:rsidR="00B32BE5" w:rsidRPr="00B32BE5">
        <w:t>improper for the rate regulations as to rollbacks to take account of investment income on capital used and useful for providing insurance</w:t>
      </w:r>
      <w:r w:rsidR="00B32BE5">
        <w:t>.”  (</w:t>
      </w:r>
      <w:r w:rsidR="00B32BE5">
        <w:rPr>
          <w:i/>
        </w:rPr>
        <w:t>20th Century</w:t>
      </w:r>
      <w:r w:rsidR="00B32BE5">
        <w:t xml:space="preserve">, </w:t>
      </w:r>
      <w:r w:rsidR="00F60AF7" w:rsidRPr="00A84DA7">
        <w:rPr>
          <w:i/>
          <w:iCs/>
        </w:rPr>
        <w:t>supra</w:t>
      </w:r>
      <w:r w:rsidR="00F60AF7">
        <w:t xml:space="preserve">, </w:t>
      </w:r>
      <w:r w:rsidR="00B32BE5">
        <w:t xml:space="preserve">8 Cal.4th at p. 290.)  The </w:t>
      </w:r>
      <w:r w:rsidR="00F60AF7">
        <w:t xml:space="preserve">California Supreme </w:t>
      </w:r>
      <w:r w:rsidR="00B32BE5">
        <w:t>Court</w:t>
      </w:r>
      <w:r w:rsidR="001367FE">
        <w:t xml:space="preserve"> </w:t>
      </w:r>
      <w:r w:rsidR="001F385E">
        <w:t xml:space="preserve">was addressing the exclusion of “surplus surplus,” or </w:t>
      </w:r>
      <w:r w:rsidR="00B32BE5" w:rsidRPr="004819E9">
        <w:t>surplus beyond what is used and useful to back up premiums</w:t>
      </w:r>
      <w:r w:rsidR="00A37631">
        <w:t>, not the Commissioner’s discretion generally</w:t>
      </w:r>
      <w:r w:rsidR="00B32BE5">
        <w:t xml:space="preserve">.  </w:t>
      </w:r>
      <w:r w:rsidR="00B32BE5" w:rsidRPr="004819E9">
        <w:t>(</w:t>
      </w:r>
      <w:r w:rsidR="00B32BE5">
        <w:rPr>
          <w:i/>
          <w:iCs/>
        </w:rPr>
        <w:t>Id.</w:t>
      </w:r>
      <w:r w:rsidR="00B32BE5">
        <w:t xml:space="preserve"> </w:t>
      </w:r>
      <w:r w:rsidR="001367FE">
        <w:t xml:space="preserve">at </w:t>
      </w:r>
      <w:r w:rsidR="00A306AE" w:rsidRPr="00567738">
        <w:rPr>
          <w:lang w:bidi="en-US"/>
        </w:rPr>
        <w:t>pp. 290-291.)</w:t>
      </w:r>
      <w:r w:rsidR="001F385E">
        <w:t xml:space="preserve">  </w:t>
      </w:r>
      <w:r w:rsidR="00A37631">
        <w:t>And the fact that</w:t>
      </w:r>
      <w:r w:rsidR="001F385E">
        <w:t xml:space="preserve"> the Commissioner’s treatment of surplus </w:t>
      </w:r>
      <w:r w:rsidR="009F794D">
        <w:t xml:space="preserve">in the rollback regulations </w:t>
      </w:r>
      <w:r w:rsidR="001F385E">
        <w:t>may have been within his discretion does not imply his treatment of projected yield</w:t>
      </w:r>
      <w:r w:rsidR="009F794D">
        <w:t xml:space="preserve"> in a prior approval hearing regarding SFG</w:t>
      </w:r>
      <w:r w:rsidR="001F385E">
        <w:t xml:space="preserve"> is as well</w:t>
      </w:r>
      <w:r w:rsidR="00A37631">
        <w:t>.</w:t>
      </w:r>
      <w:r w:rsidR="00405C5E">
        <w:rPr>
          <w:rStyle w:val="FootnoteReference"/>
        </w:rPr>
        <w:footnoteReference w:id="13"/>
      </w:r>
    </w:p>
    <w:p w14:paraId="2A091A5E" w14:textId="77777777" w:rsidR="0044055A" w:rsidRPr="00F85760" w:rsidRDefault="00F55F4F" w:rsidP="00DB5124">
      <w:pPr>
        <w:pStyle w:val="Heading3"/>
        <w:spacing w:line="360" w:lineRule="auto"/>
        <w:rPr>
          <w:i/>
          <w:iCs/>
        </w:rPr>
      </w:pPr>
      <w:r w:rsidRPr="0013638C">
        <w:t>c.</w:t>
      </w:r>
      <w:r w:rsidRPr="0013638C">
        <w:tab/>
      </w:r>
      <w:r w:rsidRPr="0013638C">
        <w:rPr>
          <w:i/>
          <w:iCs/>
        </w:rPr>
        <w:t>“Insurance Company”</w:t>
      </w:r>
    </w:p>
    <w:p w14:paraId="3A4547E0" w14:textId="194FFA50" w:rsidR="0013638C" w:rsidRDefault="00DC530F" w:rsidP="00DB5124">
      <w:pPr>
        <w:shd w:val="clear" w:color="auto" w:fill="FFFFFF"/>
        <w:spacing w:line="360" w:lineRule="auto"/>
        <w:textAlignment w:val="baseline"/>
      </w:pPr>
      <w:r w:rsidRPr="00216609">
        <w:tab/>
      </w:r>
      <w:r w:rsidR="00FE25E2">
        <w:t xml:space="preserve">We agree with the </w:t>
      </w:r>
      <w:r w:rsidR="002148E4">
        <w:t>superior</w:t>
      </w:r>
      <w:r w:rsidR="00FE25E2">
        <w:t xml:space="preserve"> court that, on its face, section 1861.05(a) requires the Commissioner to use </w:t>
      </w:r>
      <w:r w:rsidR="0013638C">
        <w:t>“</w:t>
      </w:r>
      <w:r w:rsidR="00FE25E2">
        <w:t xml:space="preserve">the </w:t>
      </w:r>
      <w:r w:rsidR="00FE25E2" w:rsidRPr="0013638C">
        <w:rPr>
          <w:i/>
          <w:iCs/>
        </w:rPr>
        <w:t>insurance company’s</w:t>
      </w:r>
      <w:r w:rsidR="00FE25E2">
        <w:t xml:space="preserve"> investment income</w:t>
      </w:r>
      <w:r w:rsidR="0013638C">
        <w:t>,</w:t>
      </w:r>
      <w:r w:rsidR="00FE25E2">
        <w:t>”</w:t>
      </w:r>
      <w:r w:rsidR="0013638C">
        <w:t xml:space="preserve"> not that of the </w:t>
      </w:r>
      <w:r w:rsidR="004A4F89">
        <w:t>company</w:t>
      </w:r>
      <w:r w:rsidR="0013638C">
        <w:t xml:space="preserve"> and its affiliates.  (Emphasis added.)  Th</w:t>
      </w:r>
      <w:r w:rsidR="004F634B">
        <w:t xml:space="preserve">is </w:t>
      </w:r>
      <w:r w:rsidR="005C1876">
        <w:t>interpretation</w:t>
      </w:r>
      <w:r w:rsidR="004F634B">
        <w:t xml:space="preserve"> is consistent with the</w:t>
      </w:r>
      <w:r w:rsidR="003E0CCC">
        <w:t xml:space="preserve"> precision implied by the</w:t>
      </w:r>
      <w:r w:rsidR="0013638C">
        <w:t xml:space="preserve"> preceding </w:t>
      </w:r>
      <w:r w:rsidR="0013638C">
        <w:lastRenderedPageBreak/>
        <w:t>phrase, “mathematically reflects.</w:t>
      </w:r>
      <w:r w:rsidR="003E0CCC">
        <w:t>”</w:t>
      </w:r>
      <w:r w:rsidR="0013638C">
        <w:t xml:space="preserve">  </w:t>
      </w:r>
      <w:r w:rsidR="004F634B">
        <w:t>It</w:t>
      </w:r>
      <w:r w:rsidR="0013638C">
        <w:t xml:space="preserve"> is also consistent with section 1861.05, subdivisions (b)</w:t>
      </w:r>
      <w:r w:rsidR="004F634B">
        <w:t>-</w:t>
      </w:r>
      <w:r w:rsidR="0013638C">
        <w:t>(</w:t>
      </w:r>
      <w:r w:rsidR="004F634B">
        <w:t>d</w:t>
      </w:r>
      <w:r w:rsidR="0013638C">
        <w:t>), which contain the procedural requirements for rate approval and repeatedly refer to the “insurer” and</w:t>
      </w:r>
      <w:r w:rsidR="00483983">
        <w:t>/or</w:t>
      </w:r>
      <w:r w:rsidR="0013638C">
        <w:t xml:space="preserve"> “applicant,” without reference to affiliates.  (</w:t>
      </w:r>
      <w:r w:rsidR="004F634B">
        <w:t xml:space="preserve">See </w:t>
      </w:r>
      <w:r w:rsidR="0013638C">
        <w:t xml:space="preserve">§ 1861.05, subd. (b) </w:t>
      </w:r>
      <w:r w:rsidR="003E0CCC" w:rsidRPr="003E0CCC">
        <w:t>[“[e]very insurer which desires to change any rate shall file a complete rate application,” with certain specified data</w:t>
      </w:r>
      <w:r w:rsidR="008E7412">
        <w:t>;</w:t>
      </w:r>
      <w:r w:rsidR="003E0CCC" w:rsidRPr="003E0CCC">
        <w:t xml:space="preserve"> </w:t>
      </w:r>
      <w:r w:rsidR="008E7412">
        <w:t xml:space="preserve">placing burden on “applicant” to show rate is justified]; </w:t>
      </w:r>
      <w:r w:rsidR="0031221D" w:rsidRPr="00A84DA7">
        <w:rPr>
          <w:i/>
          <w:iCs/>
        </w:rPr>
        <w:t>id</w:t>
      </w:r>
      <w:r w:rsidR="0031221D">
        <w:t xml:space="preserve">., </w:t>
      </w:r>
      <w:r w:rsidR="008E7412">
        <w:t>subd. (c) [Commissioner “</w:t>
      </w:r>
      <w:r w:rsidR="008E7412" w:rsidRPr="005630A2">
        <w:t>shall notify the public of any application by an insurer for a rate change</w:t>
      </w:r>
      <w:r w:rsidR="008E7412">
        <w:t xml:space="preserve">”]; </w:t>
      </w:r>
      <w:r w:rsidR="0031221D" w:rsidRPr="00A84DA7">
        <w:rPr>
          <w:i/>
          <w:iCs/>
        </w:rPr>
        <w:t>id</w:t>
      </w:r>
      <w:r w:rsidR="0031221D">
        <w:t xml:space="preserve">., </w:t>
      </w:r>
      <w:r w:rsidR="004F634B">
        <w:t>subd. (d)(2) [“extraordinary circumstances” for notice provisions include applications not resolved within deemed-approved 180-day period</w:t>
      </w:r>
      <w:r w:rsidR="003E0CCC">
        <w:t>,</w:t>
      </w:r>
      <w:r w:rsidR="004F634B">
        <w:t xml:space="preserve"> due to </w:t>
      </w:r>
      <w:r w:rsidR="004F634B" w:rsidRPr="004F634B">
        <w:t xml:space="preserve">judicial proceeding involving application and </w:t>
      </w:r>
      <w:r w:rsidR="004F634B">
        <w:t>“</w:t>
      </w:r>
      <w:r w:rsidR="004F634B" w:rsidRPr="004F634B">
        <w:t>initiated by the applicant or an intervenor</w:t>
      </w:r>
      <w:r w:rsidR="004F634B">
        <w:t>”]</w:t>
      </w:r>
      <w:r w:rsidR="0013638C">
        <w:t>.)</w:t>
      </w:r>
      <w:r w:rsidR="0013638C">
        <w:rPr>
          <w:rStyle w:val="FootnoteReference"/>
        </w:rPr>
        <w:footnoteReference w:id="14"/>
      </w:r>
      <w:r w:rsidR="00F14933">
        <w:t xml:space="preserve">  </w:t>
      </w:r>
    </w:p>
    <w:p w14:paraId="0EE335A8" w14:textId="5F8A412C" w:rsidR="00835E9E" w:rsidRDefault="00F14933" w:rsidP="00DB5124">
      <w:pPr>
        <w:shd w:val="clear" w:color="auto" w:fill="FFFFFF"/>
        <w:spacing w:line="360" w:lineRule="auto"/>
        <w:textAlignment w:val="baseline"/>
      </w:pPr>
      <w:r>
        <w:tab/>
        <w:t xml:space="preserve">Appellants’ arguments </w:t>
      </w:r>
      <w:r w:rsidR="00C2066C">
        <w:t xml:space="preserve">are </w:t>
      </w:r>
      <w:r w:rsidR="004A4F89">
        <w:t>unavailing</w:t>
      </w:r>
      <w:r>
        <w:t>.</w:t>
      </w:r>
      <w:r w:rsidR="00616415">
        <w:t xml:space="preserve">  </w:t>
      </w:r>
      <w:r w:rsidR="00DE34C2">
        <w:t xml:space="preserve">First, </w:t>
      </w:r>
      <w:r w:rsidR="00F54FC5">
        <w:t>they</w:t>
      </w:r>
      <w:r w:rsidR="00483C5F">
        <w:t xml:space="preserve"> contend</w:t>
      </w:r>
      <w:r w:rsidR="00835E9E">
        <w:t xml:space="preserve"> </w:t>
      </w:r>
      <w:r w:rsidR="00483C5F">
        <w:t>“</w:t>
      </w:r>
      <w:r w:rsidR="00483C5F" w:rsidRPr="005630A2">
        <w:t>company</w:t>
      </w:r>
      <w:r w:rsidR="00483C5F">
        <w:t>”</w:t>
      </w:r>
      <w:r w:rsidR="00483C5F" w:rsidRPr="005630A2">
        <w:t xml:space="preserve"> is used broadly </w:t>
      </w:r>
      <w:r w:rsidR="00483C5F">
        <w:t xml:space="preserve">in the Insurance Code </w:t>
      </w:r>
      <w:r w:rsidR="00483C5F" w:rsidRPr="005630A2">
        <w:t>to include affiliates</w:t>
      </w:r>
      <w:r w:rsidR="00483C5F">
        <w:t xml:space="preserve">, citing </w:t>
      </w:r>
      <w:r w:rsidR="00616415">
        <w:t xml:space="preserve">a general </w:t>
      </w:r>
      <w:r w:rsidR="00F54FC5">
        <w:t>provision</w:t>
      </w:r>
      <w:r w:rsidR="00616415">
        <w:t xml:space="preserve"> addressing singular and plural references</w:t>
      </w:r>
      <w:r w:rsidR="00835E9E">
        <w:t xml:space="preserve"> (§ 13); </w:t>
      </w:r>
      <w:r w:rsidR="00483C5F">
        <w:t>sections governing insurer examination</w:t>
      </w:r>
      <w:r w:rsidR="003D1C48">
        <w:t>s</w:t>
      </w:r>
      <w:r w:rsidR="00483C5F">
        <w:t xml:space="preserve"> (§ 729</w:t>
      </w:r>
      <w:r w:rsidR="003D1C48">
        <w:t xml:space="preserve">, </w:t>
      </w:r>
      <w:r w:rsidR="00483C5F">
        <w:t>et seq</w:t>
      </w:r>
      <w:r w:rsidR="00483C5F" w:rsidRPr="00AF4BDC">
        <w:t>.</w:t>
      </w:r>
      <w:r w:rsidR="00835E9E">
        <w:t>)</w:t>
      </w:r>
      <w:r w:rsidR="00616415">
        <w:t>, and their purported incorporation by reference into Proposition 103</w:t>
      </w:r>
      <w:r w:rsidR="00483C5F" w:rsidRPr="00AF4BDC">
        <w:t xml:space="preserve">; </w:t>
      </w:r>
      <w:r w:rsidR="00C45780">
        <w:t xml:space="preserve">and </w:t>
      </w:r>
      <w:r w:rsidR="00483C5F" w:rsidRPr="00AF4BDC">
        <w:t>reporting provisions (§§ 900, 923-924</w:t>
      </w:r>
      <w:r w:rsidR="00F54FC5">
        <w:t>, 935.4</w:t>
      </w:r>
      <w:r w:rsidR="00483C5F" w:rsidRPr="00AF4BDC">
        <w:t>)</w:t>
      </w:r>
      <w:r w:rsidR="00616415">
        <w:t xml:space="preserve">, </w:t>
      </w:r>
      <w:r w:rsidR="00F54FC5">
        <w:t>including those</w:t>
      </w:r>
      <w:r w:rsidR="00616415">
        <w:t xml:space="preserve"> referenc</w:t>
      </w:r>
      <w:r w:rsidR="00F54FC5">
        <w:t>ing</w:t>
      </w:r>
      <w:r w:rsidR="00616415">
        <w:t xml:space="preserve"> NAIC materials that </w:t>
      </w:r>
      <w:r w:rsidR="00691BEB">
        <w:t>they</w:t>
      </w:r>
      <w:r w:rsidR="00C45780">
        <w:t xml:space="preserve"> claim</w:t>
      </w:r>
      <w:r w:rsidR="00616415">
        <w:t xml:space="preserve"> define </w:t>
      </w:r>
      <w:r w:rsidR="00645D6E">
        <w:t>“</w:t>
      </w:r>
      <w:r w:rsidR="00616415">
        <w:t>company</w:t>
      </w:r>
      <w:r w:rsidR="00645D6E">
        <w:t>”</w:t>
      </w:r>
      <w:r w:rsidR="00616415">
        <w:t xml:space="preserve"> to include affiliates</w:t>
      </w:r>
      <w:r w:rsidR="00C45780">
        <w:t>.</w:t>
      </w:r>
      <w:r w:rsidR="00C45780" w:rsidRPr="00C45780">
        <w:t xml:space="preserve"> </w:t>
      </w:r>
      <w:r w:rsidR="00C45780">
        <w:t xml:space="preserve"> They also cite</w:t>
      </w:r>
      <w:r w:rsidR="00616415">
        <w:t xml:space="preserve"> a section </w:t>
      </w:r>
      <w:r w:rsidR="00F54FC5">
        <w:t>allowing</w:t>
      </w:r>
      <w:r w:rsidR="00616415">
        <w:t xml:space="preserve"> commonly-owned insurers to act </w:t>
      </w:r>
      <w:r w:rsidR="00171376">
        <w:t xml:space="preserve">as </w:t>
      </w:r>
      <w:r w:rsidR="00616415">
        <w:t xml:space="preserve">a single insurer </w:t>
      </w:r>
      <w:r w:rsidR="00E372F7">
        <w:t>(§ </w:t>
      </w:r>
      <w:r w:rsidR="00616415">
        <w:t>1853.5)</w:t>
      </w:r>
      <w:r w:rsidR="00835E9E">
        <w:t xml:space="preserve">. </w:t>
      </w:r>
      <w:r w:rsidR="00F54FC5">
        <w:t xml:space="preserve"> We address each in turn, and conclude none of these sections support Appellants’ interpretation.</w:t>
      </w:r>
    </w:p>
    <w:p w14:paraId="3D8E1E96" w14:textId="7452364B" w:rsidR="00531433" w:rsidRDefault="00531433" w:rsidP="00DB5124">
      <w:pPr>
        <w:spacing w:line="360" w:lineRule="auto"/>
      </w:pPr>
      <w:r>
        <w:lastRenderedPageBreak/>
        <w:tab/>
      </w:r>
      <w:r w:rsidR="00F54FC5">
        <w:t>Section 13 state</w:t>
      </w:r>
      <w:r w:rsidR="00F90E19">
        <w:t>s</w:t>
      </w:r>
      <w:r w:rsidR="00F54FC5">
        <w:t xml:space="preserve"> “[t]</w:t>
      </w:r>
      <w:r w:rsidR="00F54FC5" w:rsidRPr="00F54FC5">
        <w:t xml:space="preserve">he singular number includes the plural </w:t>
      </w:r>
      <w:r>
        <w:t xml:space="preserve">. . . </w:t>
      </w:r>
      <w:r w:rsidR="00F54FC5">
        <w:t xml:space="preserve">.”  However, the </w:t>
      </w:r>
      <w:r>
        <w:t>section</w:t>
      </w:r>
      <w:r w:rsidR="00F54FC5">
        <w:t xml:space="preserve"> is </w:t>
      </w:r>
      <w:r>
        <w:t xml:space="preserve">a general provision under the </w:t>
      </w:r>
      <w:r w:rsidR="00E372F7">
        <w:t xml:space="preserve">Insurance </w:t>
      </w:r>
      <w:r>
        <w:t xml:space="preserve">Code, and </w:t>
      </w:r>
      <w:r w:rsidR="00835656">
        <w:t>the general provisions</w:t>
      </w:r>
      <w:r>
        <w:t xml:space="preserve"> apply “[u]</w:t>
      </w:r>
      <w:r w:rsidR="00F54FC5" w:rsidRPr="00F54FC5">
        <w:t>nless the context otherwise requires</w:t>
      </w:r>
      <w:r>
        <w:t xml:space="preserve"> . . . </w:t>
      </w:r>
      <w:r w:rsidR="00F54FC5" w:rsidRPr="00F54FC5">
        <w:t>.</w:t>
      </w:r>
      <w:r w:rsidR="00F54FC5">
        <w:t>”</w:t>
      </w:r>
      <w:r>
        <w:t xml:space="preserve">  (§</w:t>
      </w:r>
      <w:r w:rsidR="0031221D">
        <w:t> </w:t>
      </w:r>
      <w:r>
        <w:t>5.)</w:t>
      </w:r>
      <w:r w:rsidR="00D3062C">
        <w:t xml:space="preserve">  Even </w:t>
      </w:r>
      <w:r>
        <w:t>if</w:t>
      </w:r>
      <w:r w:rsidR="00D3062C">
        <w:t xml:space="preserve"> “plural” could be construed to encompass “affiliates</w:t>
      </w:r>
      <w:r>
        <w:t xml:space="preserve">,” </w:t>
      </w:r>
      <w:r w:rsidR="00D3062C">
        <w:t>s</w:t>
      </w:r>
      <w:r w:rsidR="00483983">
        <w:t>ection 1861.05</w:t>
      </w:r>
      <w:r w:rsidR="008F343E">
        <w:t>(a)</w:t>
      </w:r>
      <w:r w:rsidR="00483983">
        <w:t xml:space="preserve"> </w:t>
      </w:r>
      <w:r w:rsidR="00D3062C">
        <w:t xml:space="preserve">would still </w:t>
      </w:r>
      <w:r w:rsidR="00483983">
        <w:t xml:space="preserve">require </w:t>
      </w:r>
      <w:r w:rsidR="00D3062C">
        <w:t xml:space="preserve">“insurance company” to mean the </w:t>
      </w:r>
      <w:r w:rsidR="00D3062C" w:rsidRPr="001320AA">
        <w:t>applicant insurer,</w:t>
      </w:r>
      <w:r w:rsidR="00483983" w:rsidRPr="001320AA">
        <w:t xml:space="preserve"> for the reasons discussed </w:t>
      </w:r>
      <w:r w:rsidR="00483983" w:rsidRPr="001320AA">
        <w:rPr>
          <w:i/>
          <w:iCs/>
        </w:rPr>
        <w:t>ante</w:t>
      </w:r>
      <w:r w:rsidR="00483983" w:rsidRPr="001320AA">
        <w:t>.</w:t>
      </w:r>
      <w:r w:rsidRPr="001320AA">
        <w:t xml:space="preserve">  (Cf. </w:t>
      </w:r>
      <w:r w:rsidRPr="001320AA">
        <w:rPr>
          <w:i/>
          <w:iCs/>
        </w:rPr>
        <w:t>People v. Kunitz</w:t>
      </w:r>
      <w:r w:rsidRPr="001320AA">
        <w:t xml:space="preserve"> (2004) 122 Cal.App.4th 652, 655-656 [“language and structure” of statute at issue indicated general rule</w:t>
      </w:r>
      <w:r w:rsidR="00C67305">
        <w:t xml:space="preserve"> that</w:t>
      </w:r>
      <w:r w:rsidRPr="00531433">
        <w:t xml:space="preserve"> </w:t>
      </w:r>
      <w:r w:rsidR="00C67305">
        <w:t>“</w:t>
      </w:r>
      <w:r w:rsidR="007816BE">
        <w:t xml:space="preserve"> ‘</w:t>
      </w:r>
      <w:r w:rsidRPr="00531433">
        <w:t xml:space="preserve">singular </w:t>
      </w:r>
      <w:r w:rsidR="00C67305">
        <w:t>. . .</w:t>
      </w:r>
      <w:r w:rsidRPr="00531433">
        <w:t xml:space="preserve"> includes the plural’ ”</w:t>
      </w:r>
      <w:r>
        <w:t xml:space="preserve"> was “</w:t>
      </w:r>
      <w:r w:rsidRPr="00531433">
        <w:t>not intended to apply</w:t>
      </w:r>
      <w:r>
        <w:t>”].)</w:t>
      </w:r>
    </w:p>
    <w:p w14:paraId="10382EF2" w14:textId="472BCD38" w:rsidR="00B9632D" w:rsidRDefault="00C67305" w:rsidP="00DB5124">
      <w:pPr>
        <w:spacing w:line="360" w:lineRule="auto"/>
      </w:pPr>
      <w:r>
        <w:tab/>
        <w:t>Section</w:t>
      </w:r>
      <w:r w:rsidR="007E7760">
        <w:t>s</w:t>
      </w:r>
      <w:r>
        <w:t xml:space="preserve"> 729</w:t>
      </w:r>
      <w:r w:rsidR="00551B05">
        <w:t>, et seq.</w:t>
      </w:r>
      <w:r>
        <w:t xml:space="preserve"> contains provisions for </w:t>
      </w:r>
      <w:r w:rsidR="008F343E">
        <w:t xml:space="preserve">Commissioner </w:t>
      </w:r>
      <w:r>
        <w:t>examinations.</w:t>
      </w:r>
      <w:r w:rsidR="00551B05">
        <w:t xml:space="preserve">  (§ 729 [definitions</w:t>
      </w:r>
      <w:r w:rsidR="002F3A2E">
        <w:t xml:space="preserve">]; </w:t>
      </w:r>
      <w:r w:rsidR="00551B05">
        <w:t xml:space="preserve">§ 730 [authorizing Commissioner to conduct examinations, and generally requiring </w:t>
      </w:r>
      <w:r w:rsidR="008F343E">
        <w:t>them</w:t>
      </w:r>
      <w:r w:rsidR="00551B05">
        <w:t xml:space="preserve"> every five years].)</w:t>
      </w:r>
      <w:r w:rsidR="002F3A2E">
        <w:t xml:space="preserve">  </w:t>
      </w:r>
      <w:r>
        <w:t>Section</w:t>
      </w:r>
      <w:r w:rsidR="002F3A2E">
        <w:t xml:space="preserve"> 729</w:t>
      </w:r>
      <w:r>
        <w:t xml:space="preserve"> defines terms “[a]s used in this article,” and states in part that </w:t>
      </w:r>
      <w:r w:rsidR="004711C5" w:rsidRPr="00C67305">
        <w:t>“</w:t>
      </w:r>
      <w:r w:rsidR="004711C5">
        <w:t> </w:t>
      </w:r>
      <w:r>
        <w:t>‘[c]</w:t>
      </w:r>
      <w:r w:rsidRPr="00C67305">
        <w:t>ompany</w:t>
      </w:r>
      <w:r w:rsidR="009F5041">
        <w:t>’</w:t>
      </w:r>
      <w:r w:rsidRPr="00C67305">
        <w:t xml:space="preserve"> means any person engaging in</w:t>
      </w:r>
      <w:r w:rsidR="004711C5">
        <w:t xml:space="preserve"> </w:t>
      </w:r>
      <w:r>
        <w:t xml:space="preserve">. . . </w:t>
      </w:r>
      <w:r w:rsidRPr="00C67305">
        <w:t xml:space="preserve">any </w:t>
      </w:r>
      <w:r>
        <w:t>. . .</w:t>
      </w:r>
      <w:r w:rsidRPr="00C67305">
        <w:t xml:space="preserve"> kind of insurance </w:t>
      </w:r>
      <w:r>
        <w:t>. . .</w:t>
      </w:r>
      <w:r w:rsidRPr="00C67305">
        <w:t xml:space="preserve"> business and any person or group of persons who may otherwise be subject to the </w:t>
      </w:r>
      <w:r>
        <w:t>. . .</w:t>
      </w:r>
      <w:r w:rsidRPr="00C67305">
        <w:t xml:space="preserve"> authority of the commissioner.</w:t>
      </w:r>
      <w:r>
        <w:t>”  (§ 729, subd. (a).)</w:t>
      </w:r>
      <w:r w:rsidR="007007AE">
        <w:t xml:space="preserve">  </w:t>
      </w:r>
      <w:r w:rsidR="002F3A2E">
        <w:t>It</w:t>
      </w:r>
      <w:r w:rsidR="007007AE">
        <w:t xml:space="preserve"> is in a different chapter</w:t>
      </w:r>
      <w:r w:rsidR="008F343E">
        <w:t xml:space="preserve"> and article</w:t>
      </w:r>
      <w:r w:rsidR="007007AE">
        <w:t xml:space="preserve"> from section 1861.05.  (Compare § 729 [Division I</w:t>
      </w:r>
      <w:r w:rsidR="009F5041">
        <w:t>,</w:t>
      </w:r>
      <w:r w:rsidR="007007AE">
        <w:t xml:space="preserve"> Part 2, Ch</w:t>
      </w:r>
      <w:r w:rsidR="009F5041">
        <w:t>.</w:t>
      </w:r>
      <w:r w:rsidR="007007AE">
        <w:t xml:space="preserve"> 1, Art</w:t>
      </w:r>
      <w:r w:rsidR="009F5041">
        <w:t>.</w:t>
      </w:r>
      <w:r w:rsidR="007007AE">
        <w:t xml:space="preserve"> 4</w:t>
      </w:r>
      <w:r w:rsidR="006E1023">
        <w:t>]</w:t>
      </w:r>
      <w:r w:rsidR="007007AE">
        <w:t>, with § 1861.05 [Division I, Part 2, Ch</w:t>
      </w:r>
      <w:r w:rsidR="009F5041">
        <w:t>.</w:t>
      </w:r>
      <w:r w:rsidR="007007AE">
        <w:t xml:space="preserve"> 9, Art</w:t>
      </w:r>
      <w:r w:rsidR="009F5041">
        <w:t>.</w:t>
      </w:r>
      <w:r w:rsidR="007007AE">
        <w:t xml:space="preserve"> 10].)</w:t>
      </w:r>
      <w:r w:rsidR="00DD0E0C">
        <w:t xml:space="preserve">  Section 186</w:t>
      </w:r>
      <w:r w:rsidR="002F3A2E">
        <w:t>0</w:t>
      </w:r>
      <w:r w:rsidR="00DD0E0C">
        <w:t xml:space="preserve">.3 </w:t>
      </w:r>
      <w:r w:rsidR="002F3A2E">
        <w:t xml:space="preserve">does </w:t>
      </w:r>
      <w:r w:rsidR="00DD0E0C">
        <w:t>incorporate</w:t>
      </w:r>
      <w:r w:rsidR="002F3A2E">
        <w:t xml:space="preserve"> section</w:t>
      </w:r>
      <w:r w:rsidR="00DD0E0C">
        <w:t xml:space="preserve"> 730</w:t>
      </w:r>
      <w:r w:rsidR="002F3A2E">
        <w:t>, the substantive examin</w:t>
      </w:r>
      <w:r w:rsidR="004D7D4D">
        <w:t>a</w:t>
      </w:r>
      <w:r w:rsidR="002F3A2E">
        <w:t>tion provisions,</w:t>
      </w:r>
      <w:r w:rsidR="00DD0E0C">
        <w:t xml:space="preserve"> </w:t>
      </w:r>
      <w:r w:rsidR="002F3A2E">
        <w:t>into the chapter in which Proposition 103 is codified (Ch</w:t>
      </w:r>
      <w:r w:rsidR="009F5041">
        <w:t>.</w:t>
      </w:r>
      <w:r w:rsidR="002F3A2E">
        <w:t xml:space="preserve"> 9, Rates and Rating and other Organizations)</w:t>
      </w:r>
      <w:r w:rsidR="00CB392A">
        <w:t xml:space="preserve">.  But in addition to not actually incorporating section 729, section 1860.3 was </w:t>
      </w:r>
      <w:r w:rsidR="002F3A2E">
        <w:t>enacted decades prior to Proposition 103</w:t>
      </w:r>
      <w:r w:rsidR="00CB392A">
        <w:t xml:space="preserve"> </w:t>
      </w:r>
      <w:r w:rsidR="008F343E">
        <w:t xml:space="preserve">and the specific language of section 1861.05 would </w:t>
      </w:r>
      <w:r w:rsidR="00CB392A">
        <w:t>take precedence regardless</w:t>
      </w:r>
      <w:r w:rsidR="002F3A2E">
        <w:t>.  (§</w:t>
      </w:r>
      <w:r w:rsidR="00162502">
        <w:t> </w:t>
      </w:r>
      <w:r w:rsidR="002F3A2E">
        <w:t xml:space="preserve">1860.3; </w:t>
      </w:r>
      <w:r w:rsidR="004D7D4D">
        <w:t>a</w:t>
      </w:r>
      <w:r w:rsidR="002F3A2E">
        <w:t>dded by Stats.</w:t>
      </w:r>
      <w:r w:rsidR="002F3A2E" w:rsidRPr="002F3A2E">
        <w:t xml:space="preserve"> 1947, c</w:t>
      </w:r>
      <w:r w:rsidR="009F5041">
        <w:t>h</w:t>
      </w:r>
      <w:r w:rsidR="002F3A2E" w:rsidRPr="002F3A2E">
        <w:t>. 805, p</w:t>
      </w:r>
      <w:r w:rsidR="004711C5" w:rsidRPr="002F3A2E">
        <w:t>.</w:t>
      </w:r>
      <w:r w:rsidR="004711C5">
        <w:t> </w:t>
      </w:r>
      <w:r w:rsidR="002F3A2E" w:rsidRPr="002F3A2E">
        <w:t>1907, § 1</w:t>
      </w:r>
      <w:r w:rsidR="002F3A2E">
        <w:t>, a</w:t>
      </w:r>
      <w:r w:rsidR="002F3A2E" w:rsidRPr="002F3A2E">
        <w:t>mended by Stats.</w:t>
      </w:r>
      <w:r w:rsidR="00926561">
        <w:t xml:space="preserve"> </w:t>
      </w:r>
      <w:r w:rsidR="002F3A2E" w:rsidRPr="002F3A2E">
        <w:t>1955, c</w:t>
      </w:r>
      <w:r w:rsidR="009F5041">
        <w:t>h</w:t>
      </w:r>
      <w:r w:rsidR="002F3A2E" w:rsidRPr="002F3A2E">
        <w:t>. 677, p. 1168, § 1</w:t>
      </w:r>
      <w:r w:rsidR="008F343E">
        <w:t xml:space="preserve">; </w:t>
      </w:r>
      <w:r w:rsidR="00CB392A">
        <w:t xml:space="preserve">see </w:t>
      </w:r>
      <w:r w:rsidR="00DD0E0C" w:rsidRPr="002D3D7F">
        <w:rPr>
          <w:i/>
          <w:iCs/>
        </w:rPr>
        <w:t>State Dept. of Public Health v. Sup</w:t>
      </w:r>
      <w:r w:rsidR="00835656">
        <w:rPr>
          <w:i/>
          <w:iCs/>
        </w:rPr>
        <w:t xml:space="preserve">. </w:t>
      </w:r>
      <w:r w:rsidR="00DD0E0C" w:rsidRPr="002D3D7F">
        <w:rPr>
          <w:i/>
          <w:iCs/>
        </w:rPr>
        <w:t>Ct</w:t>
      </w:r>
      <w:r w:rsidR="00835656">
        <w:rPr>
          <w:i/>
          <w:iCs/>
        </w:rPr>
        <w:t xml:space="preserve">. </w:t>
      </w:r>
      <w:r w:rsidR="00835656" w:rsidRPr="008F343E">
        <w:t>(</w:t>
      </w:r>
      <w:r w:rsidR="00835656">
        <w:rPr>
          <w:i/>
          <w:iCs/>
        </w:rPr>
        <w:t>Ctr. for Investigative Reporting</w:t>
      </w:r>
      <w:r w:rsidR="00835656" w:rsidRPr="008F343E">
        <w:t>)</w:t>
      </w:r>
      <w:r w:rsidR="00DD0E0C" w:rsidRPr="002D3D7F">
        <w:t xml:space="preserve"> (2015) 60 Cal.4th 940, 955 </w:t>
      </w:r>
      <w:r w:rsidR="001A2ECF" w:rsidRPr="008F343E">
        <w:t>(</w:t>
      </w:r>
      <w:r w:rsidR="001A2ECF">
        <w:rPr>
          <w:i/>
          <w:iCs/>
        </w:rPr>
        <w:t>Ctr. for Investigative Reporting</w:t>
      </w:r>
      <w:r w:rsidR="001A2ECF" w:rsidRPr="008F343E">
        <w:t>)</w:t>
      </w:r>
      <w:r w:rsidR="001A2ECF" w:rsidRPr="002D3D7F">
        <w:t xml:space="preserve"> </w:t>
      </w:r>
      <w:r w:rsidR="00DD0E0C">
        <w:t>[</w:t>
      </w:r>
      <w:r w:rsidR="008F343E">
        <w:t>“ ‘</w:t>
      </w:r>
      <w:r w:rsidR="008F343E" w:rsidRPr="008F343E">
        <w:t xml:space="preserve">If conflicting statutes cannot be reconciled, later enactments </w:t>
      </w:r>
      <w:r w:rsidR="008F343E" w:rsidRPr="008F343E">
        <w:lastRenderedPageBreak/>
        <w:t>supersede earlier ones [citation], and more specific provisions take precedence over more general ones [citation].</w:t>
      </w:r>
      <w:r w:rsidR="008F343E">
        <w:t>’ ”]</w:t>
      </w:r>
      <w:r w:rsidR="00CB392A">
        <w:t xml:space="preserve">; </w:t>
      </w:r>
      <w:r w:rsidR="00DD0E0C" w:rsidRPr="002D3D7F">
        <w:t>Code Civ. Proc., § 1859 [“when a general and particular provision are inconsistent, the latter is paramount to the former”]</w:t>
      </w:r>
      <w:r w:rsidR="00DD0E0C">
        <w:t>.)</w:t>
      </w:r>
      <w:r w:rsidR="00B9632D">
        <w:t xml:space="preserve"> </w:t>
      </w:r>
    </w:p>
    <w:p w14:paraId="566DB435" w14:textId="4EC989F8" w:rsidR="00FC1671" w:rsidRDefault="00FC1671" w:rsidP="00DB5124">
      <w:pPr>
        <w:spacing w:line="360" w:lineRule="auto"/>
      </w:pPr>
      <w:r>
        <w:tab/>
        <w:t>As for the reporting provisions, the financial statement requirements do not define insurer, or require insurers to include affiliate assets</w:t>
      </w:r>
      <w:r w:rsidR="00AB4A11">
        <w:t xml:space="preserve">. </w:t>
      </w:r>
      <w:r>
        <w:t xml:space="preserve"> (§ 900, et seq.)  Nor do the NAIC materials establish otherwise, regardless of their required use under section 923.  The NAIC instructions for the combined annual statement indicate that “wherever the word ‘company’ appears in the blank, it should be construed to mean ‘compan</w:t>
      </w:r>
      <w:r w:rsidR="009F5041">
        <w:t>y</w:t>
      </w:r>
      <w:r>
        <w:t xml:space="preserve"> and its affiliates</w:t>
      </w:r>
      <w:r w:rsidR="00266A55">
        <w:t xml:space="preserve">’ </w:t>
      </w:r>
      <w:r>
        <w:t xml:space="preserve">”—meaning, unsurprisingly, that in a </w:t>
      </w:r>
      <w:r w:rsidRPr="00B9632D">
        <w:t>form</w:t>
      </w:r>
      <w:r>
        <w:t xml:space="preserve"> for combined reporting, company refers to the group.  This provision has no bearing </w:t>
      </w:r>
      <w:r w:rsidR="00AE56FF">
        <w:t xml:space="preserve">on </w:t>
      </w:r>
      <w:r>
        <w:t xml:space="preserve">the meaning of “insurance company” in </w:t>
      </w:r>
      <w:r w:rsidR="00413E0B">
        <w:t>s</w:t>
      </w:r>
      <w:r>
        <w:t xml:space="preserve">ection 1861.05(a).  </w:t>
      </w:r>
      <w:r w:rsidR="0019583E">
        <w:t>T</w:t>
      </w:r>
      <w:r>
        <w:t xml:space="preserve">he own risk </w:t>
      </w:r>
      <w:r w:rsidR="009F5041">
        <w:t xml:space="preserve">and </w:t>
      </w:r>
      <w:r>
        <w:t>solvency assessment (ORSA) rules (§</w:t>
      </w:r>
      <w:r w:rsidR="00065167">
        <w:t> </w:t>
      </w:r>
      <w:r>
        <w:t>935.1, et seq.)</w:t>
      </w:r>
      <w:r w:rsidR="0019583E">
        <w:t xml:space="preserve"> do have </w:t>
      </w:r>
      <w:r>
        <w:t>a definition section, but both that section and the substantive provisions separately address the “insurance group” and “insurer,” undermining any argument that</w:t>
      </w:r>
      <w:r w:rsidR="004D7D4D">
        <w:t xml:space="preserve"> the terms</w:t>
      </w:r>
      <w:r>
        <w:t xml:space="preserve"> </w:t>
      </w:r>
      <w:r w:rsidR="004D7D4D">
        <w:t>“</w:t>
      </w:r>
      <w:r>
        <w:t>insurer</w:t>
      </w:r>
      <w:r w:rsidR="004D7D4D">
        <w:t>”</w:t>
      </w:r>
      <w:r>
        <w:t xml:space="preserve"> </w:t>
      </w:r>
      <w:r w:rsidR="004D7D4D">
        <w:t xml:space="preserve">or “insurance company” </w:t>
      </w:r>
      <w:r>
        <w:t>always i</w:t>
      </w:r>
      <w:r w:rsidR="004D7D4D">
        <w:t>mply</w:t>
      </w:r>
      <w:r>
        <w:t xml:space="preserve"> </w:t>
      </w:r>
      <w:r w:rsidR="004D7D4D">
        <w:t>affiliates as well</w:t>
      </w:r>
      <w:r>
        <w:t>.  (See §</w:t>
      </w:r>
      <w:r w:rsidR="00E86245">
        <w:t> </w:t>
      </w:r>
      <w:r>
        <w:t>935.2, subds. (a)-(b) [defining “insurance group” and “insurer” by reference to § 1215, subds. (</w:t>
      </w:r>
      <w:r w:rsidR="00B83FDE">
        <w:t>e</w:t>
      </w:r>
      <w:r>
        <w:t>) and (f) respectively</w:t>
      </w:r>
      <w:r w:rsidR="009B40A7">
        <w:t>]</w:t>
      </w:r>
      <w:r>
        <w:t>; § 1215, subds. (e), (f)</w:t>
      </w:r>
      <w:r w:rsidR="00A575A8">
        <w:t xml:space="preserve"> [defining terms separately, and not defining insurer to include gr</w:t>
      </w:r>
      <w:r>
        <w:t>o</w:t>
      </w:r>
      <w:r w:rsidR="00A575A8">
        <w:t>up]</w:t>
      </w:r>
      <w:r>
        <w:t xml:space="preserve">; </w:t>
      </w:r>
      <w:r w:rsidR="004B269F">
        <w:t>§ 935.4</w:t>
      </w:r>
      <w:r>
        <w:t xml:space="preserve"> [“an insurer, or the insurance group of which the insurer is a member, shall regularly conduct an ORSA”].)</w:t>
      </w:r>
    </w:p>
    <w:p w14:paraId="49A73B3B" w14:textId="7E663FEA" w:rsidR="00835E9E" w:rsidRDefault="00691BEB" w:rsidP="00DB5124">
      <w:pPr>
        <w:spacing w:line="360" w:lineRule="auto"/>
      </w:pPr>
      <w:r>
        <w:tab/>
      </w:r>
      <w:r w:rsidR="00981CB1">
        <w:t>S</w:t>
      </w:r>
      <w:r w:rsidR="00FC1671">
        <w:t>ection</w:t>
      </w:r>
      <w:r w:rsidR="00483C5F" w:rsidRPr="001919CE">
        <w:t xml:space="preserve"> 1853.5</w:t>
      </w:r>
      <w:r w:rsidR="00FC1671">
        <w:t xml:space="preserve"> is of no aid to </w:t>
      </w:r>
      <w:r w:rsidR="00F90E19">
        <w:t>Appellants</w:t>
      </w:r>
      <w:r w:rsidR="00FC1671">
        <w:t xml:space="preserve"> either.</w:t>
      </w:r>
      <w:r w:rsidR="00483C5F" w:rsidRPr="001919CE">
        <w:t xml:space="preserve"> </w:t>
      </w:r>
      <w:r w:rsidR="00FC1671">
        <w:t xml:space="preserve"> It provides</w:t>
      </w:r>
      <w:r>
        <w:t xml:space="preserve"> “</w:t>
      </w:r>
      <w:r w:rsidRPr="00691BEB">
        <w:t>insurers having a common ownership . . . are hereby authorized to act in concert . . . as if they constituted a single insurer</w:t>
      </w:r>
      <w:r w:rsidR="00F90E19">
        <w:t>,” for purposes including ratemaking.  T</w:t>
      </w:r>
      <w:r>
        <w:t xml:space="preserve">he section </w:t>
      </w:r>
      <w:r w:rsidR="00483C5F" w:rsidRPr="001919CE">
        <w:rPr>
          <w:i/>
          <w:iCs/>
        </w:rPr>
        <w:t>allows</w:t>
      </w:r>
      <w:r w:rsidR="00483C5F">
        <w:t xml:space="preserve"> insurers under common ownership</w:t>
      </w:r>
      <w:r>
        <w:t xml:space="preserve"> to approach ratemaking as a group</w:t>
      </w:r>
      <w:r w:rsidR="00483C5F">
        <w:t xml:space="preserve">, but does not require </w:t>
      </w:r>
      <w:r w:rsidR="00F90E19">
        <w:t>this</w:t>
      </w:r>
      <w:r w:rsidR="00483C5F">
        <w:t>—much less</w:t>
      </w:r>
      <w:r w:rsidR="0092297D">
        <w:t xml:space="preserve"> </w:t>
      </w:r>
      <w:r w:rsidR="00483C5F">
        <w:t>support a presumption under the later-enacted</w:t>
      </w:r>
      <w:r w:rsidR="001919CE">
        <w:t>, and more specific,</w:t>
      </w:r>
      <w:r w:rsidR="00483C5F">
        <w:t xml:space="preserve"> section 1861.05 that </w:t>
      </w:r>
      <w:r>
        <w:t xml:space="preserve">will be treated as if </w:t>
      </w:r>
      <w:r>
        <w:lastRenderedPageBreak/>
        <w:t>they did so</w:t>
      </w:r>
      <w:r w:rsidR="00483C5F">
        <w:t>.</w:t>
      </w:r>
      <w:r w:rsidR="001919CE">
        <w:t xml:space="preserve">  (Cf. </w:t>
      </w:r>
      <w:r w:rsidR="00835656">
        <w:rPr>
          <w:i/>
          <w:iCs/>
        </w:rPr>
        <w:t>Ctr. for Investigative Reporting</w:t>
      </w:r>
      <w:r w:rsidR="001919CE">
        <w:t xml:space="preserve">, </w:t>
      </w:r>
      <w:r w:rsidR="001919CE" w:rsidRPr="001919CE">
        <w:rPr>
          <w:i/>
          <w:iCs/>
        </w:rPr>
        <w:t>supra</w:t>
      </w:r>
      <w:r w:rsidR="001919CE">
        <w:t xml:space="preserve">, </w:t>
      </w:r>
      <w:r w:rsidR="001919CE" w:rsidRPr="002D3D7F">
        <w:t xml:space="preserve">60 Cal.4th </w:t>
      </w:r>
      <w:r w:rsidR="001919CE">
        <w:t>at p.</w:t>
      </w:r>
      <w:r w:rsidR="009A2F56">
        <w:t> </w:t>
      </w:r>
      <w:r w:rsidR="001919CE" w:rsidRPr="002D3D7F">
        <w:t>9</w:t>
      </w:r>
      <w:r w:rsidR="001A2ECF">
        <w:t>60</w:t>
      </w:r>
      <w:r w:rsidR="001919CE">
        <w:t xml:space="preserve"> [“</w:t>
      </w:r>
      <w:r w:rsidR="001919CE" w:rsidRPr="001919CE">
        <w:t>later enactments supersede earlier ones</w:t>
      </w:r>
      <w:r w:rsidR="005E42AF">
        <w:t xml:space="preserve">”]; </w:t>
      </w:r>
      <w:r w:rsidR="005E42AF">
        <w:rPr>
          <w:i/>
          <w:iCs/>
        </w:rPr>
        <w:t>ibid</w:t>
      </w:r>
      <w:r w:rsidR="005E42AF">
        <w:t xml:space="preserve">. [specific statutes trump </w:t>
      </w:r>
      <w:r w:rsidR="00C13841">
        <w:t xml:space="preserve">general </w:t>
      </w:r>
      <w:r w:rsidR="005E42AF">
        <w:t>ones].)</w:t>
      </w:r>
    </w:p>
    <w:p w14:paraId="2F982871" w14:textId="5AD8D7A4" w:rsidR="00777AE2" w:rsidRDefault="00981CB1" w:rsidP="00DB5124">
      <w:pPr>
        <w:spacing w:line="360" w:lineRule="auto"/>
      </w:pPr>
      <w:r>
        <w:tab/>
        <w:t xml:space="preserve">Second, the Commissioner argues the </w:t>
      </w:r>
      <w:r w:rsidR="00FB5016">
        <w:t xml:space="preserve">California </w:t>
      </w:r>
      <w:r>
        <w:t>Supreme Court</w:t>
      </w:r>
      <w:r w:rsidR="00946186" w:rsidRPr="00946186">
        <w:t xml:space="preserve"> “upheld an enterprise-wide</w:t>
      </w:r>
      <w:r w:rsidR="00946186" w:rsidRPr="00A0474A">
        <w:t xml:space="preserve"> approach to </w:t>
      </w:r>
      <w:r>
        <w:t>. . .</w:t>
      </w:r>
      <w:r w:rsidR="00946186" w:rsidRPr="00A0474A">
        <w:t xml:space="preserve"> determining whether rates are confiscatory</w:t>
      </w:r>
      <w:r w:rsidR="007E4D67">
        <w:t>,</w:t>
      </w:r>
      <w:r w:rsidR="009F1E8A">
        <w:t>”</w:t>
      </w:r>
      <w:r w:rsidR="00946186">
        <w:t xml:space="preserve"> </w:t>
      </w:r>
      <w:r w:rsidR="007E4D67">
        <w:t xml:space="preserve">and Appellants note the Court stated </w:t>
      </w:r>
      <w:r w:rsidR="009F1E8A">
        <w:t xml:space="preserve">the </w:t>
      </w:r>
      <w:r w:rsidR="007E4D67" w:rsidRPr="007E4D67">
        <w:t>confiscation analysis “may implicate formulaic ratemaking [citation] using data reflecting the condition and performance of a group of regulated firms.”</w:t>
      </w:r>
      <w:r w:rsidR="009F1E8A">
        <w:t xml:space="preserve">  (</w:t>
      </w:r>
      <w:r w:rsidR="009F1E8A" w:rsidRPr="00A0474A">
        <w:rPr>
          <w:i/>
          <w:iCs/>
        </w:rPr>
        <w:t>20th Century</w:t>
      </w:r>
      <w:r w:rsidR="009F1E8A" w:rsidRPr="00A0474A">
        <w:t xml:space="preserve">, </w:t>
      </w:r>
      <w:r w:rsidR="009F1E8A" w:rsidRPr="00A0474A">
        <w:rPr>
          <w:i/>
          <w:iCs/>
        </w:rPr>
        <w:t>supra</w:t>
      </w:r>
      <w:r w:rsidR="009F1E8A" w:rsidRPr="00A0474A">
        <w:t xml:space="preserve">, 8 Cal.4th at </w:t>
      </w:r>
      <w:r w:rsidR="009F1E8A">
        <w:t>pp. 258, 293.)</w:t>
      </w:r>
      <w:r w:rsidR="007E4D67" w:rsidRPr="007E4D67">
        <w:t xml:space="preserve"> </w:t>
      </w:r>
      <w:r w:rsidR="00BE6F69">
        <w:t xml:space="preserve"> </w:t>
      </w:r>
      <w:r w:rsidR="007E4D67">
        <w:t>The</w:t>
      </w:r>
      <w:r w:rsidR="009F1E8A">
        <w:t xml:space="preserve"> Commissioner</w:t>
      </w:r>
      <w:r w:rsidR="007E4D67">
        <w:t xml:space="preserve"> contend</w:t>
      </w:r>
      <w:r w:rsidR="009F1E8A">
        <w:t>s</w:t>
      </w:r>
      <w:r w:rsidR="007E4D67">
        <w:t xml:space="preserve"> these methods are</w:t>
      </w:r>
      <w:r w:rsidR="00946186">
        <w:t xml:space="preserve"> “</w:t>
      </w:r>
      <w:r w:rsidR="00946186" w:rsidRPr="00A0474A">
        <w:t>equally acceptable</w:t>
      </w:r>
      <w:r>
        <w:t xml:space="preserve"> </w:t>
      </w:r>
      <w:r w:rsidR="00946186" w:rsidRPr="00A0474A">
        <w:t xml:space="preserve">for </w:t>
      </w:r>
      <w:r>
        <w:t>. . .</w:t>
      </w:r>
      <w:r w:rsidR="00946186" w:rsidRPr="00A0474A">
        <w:t xml:space="preserve"> calculating investment income</w:t>
      </w:r>
      <w:r w:rsidR="00946186">
        <w:t xml:space="preserve">.” </w:t>
      </w:r>
      <w:r>
        <w:t xml:space="preserve"> We </w:t>
      </w:r>
      <w:r w:rsidR="007E4D67">
        <w:t>disagree</w:t>
      </w:r>
      <w:r>
        <w:t xml:space="preserve">. </w:t>
      </w:r>
      <w:r w:rsidR="007E4D67">
        <w:t xml:space="preserve"> For one thing, t</w:t>
      </w:r>
      <w:r w:rsidR="000120E2">
        <w:t xml:space="preserve">he </w:t>
      </w:r>
      <w:r w:rsidR="000120E2" w:rsidRPr="005630A2">
        <w:t>reference to</w:t>
      </w:r>
      <w:r>
        <w:t xml:space="preserve"> an</w:t>
      </w:r>
      <w:r w:rsidR="000120E2" w:rsidRPr="005630A2">
        <w:t xml:space="preserve"> “enterprise</w:t>
      </w:r>
      <w:r>
        <w:t>-wide approach</w:t>
      </w:r>
      <w:r w:rsidR="000120E2" w:rsidRPr="005630A2">
        <w:t xml:space="preserve">” </w:t>
      </w:r>
      <w:r w:rsidR="000120E2" w:rsidRPr="00A0474A">
        <w:t>was to the “regulated firm,” as distinguished from specific insurance lin</w:t>
      </w:r>
      <w:r w:rsidR="007C1D7A">
        <w:t>es</w:t>
      </w:r>
      <w:r w:rsidR="000120E2" w:rsidRPr="00A0474A">
        <w:t>.  (</w:t>
      </w:r>
      <w:r w:rsidR="00EA33FC">
        <w:t xml:space="preserve">See </w:t>
      </w:r>
      <w:r w:rsidR="00AA5594">
        <w:rPr>
          <w:i/>
          <w:iCs/>
        </w:rPr>
        <w:t>Id.</w:t>
      </w:r>
      <w:r w:rsidR="000120E2" w:rsidRPr="00A0474A">
        <w:t xml:space="preserve"> at </w:t>
      </w:r>
      <w:r w:rsidR="000120E2">
        <w:t>p.</w:t>
      </w:r>
      <w:r w:rsidR="00772DD2">
        <w:t> </w:t>
      </w:r>
      <w:r w:rsidR="000120E2">
        <w:t xml:space="preserve">258 [confiscation </w:t>
      </w:r>
      <w:r w:rsidR="000120E2" w:rsidRPr="00FA1F36">
        <w:t>“</w:t>
      </w:r>
      <w:r w:rsidR="00FB5016">
        <w:t> </w:t>
      </w:r>
      <w:r w:rsidR="009F1E8A">
        <w:t>‘</w:t>
      </w:r>
      <w:r w:rsidR="000120E2" w:rsidRPr="00FA1F36">
        <w:t>is an enterprise-wide issue, not one to be parsed on a line-by-line basis</w:t>
      </w:r>
      <w:r w:rsidR="009F1E8A">
        <w:t xml:space="preserve">’ </w:t>
      </w:r>
      <w:r w:rsidR="000120E2" w:rsidRPr="00FA1F36">
        <w:t>”];</w:t>
      </w:r>
      <w:r w:rsidR="000120E2">
        <w:t xml:space="preserve"> </w:t>
      </w:r>
      <w:r w:rsidR="00F90E19">
        <w:rPr>
          <w:i/>
          <w:iCs/>
        </w:rPr>
        <w:t>id.</w:t>
      </w:r>
      <w:r w:rsidR="00F90E19">
        <w:t xml:space="preserve"> at p</w:t>
      </w:r>
      <w:r w:rsidR="007D04CE">
        <w:t>. </w:t>
      </w:r>
      <w:r w:rsidR="000120E2" w:rsidRPr="00A0474A">
        <w:t>293 [“confiscation is judged with an eye toward the regulated firm as an enterprise”]</w:t>
      </w:r>
      <w:r w:rsidR="007E4D67">
        <w:t xml:space="preserve">.)  More generally, even </w:t>
      </w:r>
      <w:r w:rsidR="00AD55F9">
        <w:t xml:space="preserve">if </w:t>
      </w:r>
      <w:r w:rsidR="007E4D67">
        <w:t xml:space="preserve">enterprise- or group-wide approaches </w:t>
      </w:r>
      <w:r w:rsidR="007461AB">
        <w:t xml:space="preserve">were </w:t>
      </w:r>
      <w:r w:rsidR="00AD55F9">
        <w:t>“equally acceptable” for calculating investment income</w:t>
      </w:r>
      <w:r w:rsidR="00574B49">
        <w:t xml:space="preserve">, </w:t>
      </w:r>
      <w:r w:rsidR="00EA33FC">
        <w:t>th</w:t>
      </w:r>
      <w:r w:rsidR="007C1D7A">
        <w:t>is</w:t>
      </w:r>
      <w:r w:rsidR="00EA33FC">
        <w:t xml:space="preserve"> still </w:t>
      </w:r>
      <w:r w:rsidR="00AD55F9">
        <w:t>would</w:t>
      </w:r>
      <w:r w:rsidR="00EA33FC">
        <w:t xml:space="preserve"> not aid Appellants. </w:t>
      </w:r>
      <w:r w:rsidR="007E4D67">
        <w:t xml:space="preserve"> </w:t>
      </w:r>
      <w:r w:rsidR="00EA33FC">
        <w:t xml:space="preserve">SFG does </w:t>
      </w:r>
      <w:r w:rsidR="007C1D7A">
        <w:t xml:space="preserve">not </w:t>
      </w:r>
      <w:r w:rsidR="00EA33FC">
        <w:t>contest the use of group-wide data, per se</w:t>
      </w:r>
      <w:r w:rsidR="00AD55F9">
        <w:t>.</w:t>
      </w:r>
      <w:r w:rsidR="00EA33FC">
        <w:t xml:space="preserve"> </w:t>
      </w:r>
      <w:r w:rsidR="00AD55F9">
        <w:t xml:space="preserve"> R</w:t>
      </w:r>
      <w:r w:rsidR="00EA33FC">
        <w:t>ather, they dispute</w:t>
      </w:r>
      <w:r w:rsidR="007461AB">
        <w:t xml:space="preserve"> it </w:t>
      </w:r>
      <w:r w:rsidR="009F1E8A">
        <w:t>can</w:t>
      </w:r>
      <w:r w:rsidR="007461AB">
        <w:t xml:space="preserve"> be used </w:t>
      </w:r>
      <w:r w:rsidR="00EA33FC">
        <w:t xml:space="preserve">for an </w:t>
      </w:r>
      <w:r w:rsidR="007C1D7A">
        <w:t>insurer</w:t>
      </w:r>
      <w:r w:rsidR="00EA33FC">
        <w:t xml:space="preserve"> that does not share income with its group</w:t>
      </w:r>
      <w:r w:rsidR="007461AB">
        <w:t xml:space="preserve">, </w:t>
      </w:r>
      <w:r w:rsidR="00EA33FC">
        <w:t xml:space="preserve">an issue </w:t>
      </w:r>
      <w:r w:rsidR="007C1D7A">
        <w:rPr>
          <w:i/>
          <w:iCs/>
        </w:rPr>
        <w:t>20th Century</w:t>
      </w:r>
      <w:r w:rsidR="007C1D7A">
        <w:t xml:space="preserve"> </w:t>
      </w:r>
      <w:r w:rsidR="00EA33FC">
        <w:t>did not address.</w:t>
      </w:r>
      <w:r w:rsidR="00777AE2">
        <w:t xml:space="preserve">  (See </w:t>
      </w:r>
      <w:r w:rsidR="00777AE2" w:rsidRPr="00777AE2">
        <w:rPr>
          <w:i/>
          <w:iCs/>
        </w:rPr>
        <w:t>California Building Industry Assn. v. State Water Resources Control Bd.</w:t>
      </w:r>
      <w:r w:rsidR="00777AE2" w:rsidRPr="00777AE2">
        <w:t xml:space="preserve"> (2018) 4 Cal.5th 1032, 1043</w:t>
      </w:r>
      <w:r w:rsidR="00117CCA">
        <w:t xml:space="preserve"> [</w:t>
      </w:r>
      <w:r w:rsidR="00777AE2" w:rsidRPr="00777AE2">
        <w:t>“cases are not authority for propositions that are not considered”]</w:t>
      </w:r>
      <w:r w:rsidR="00117CCA">
        <w:t>.)</w:t>
      </w:r>
    </w:p>
    <w:p w14:paraId="7B544100" w14:textId="77777777" w:rsidR="00082BBE" w:rsidRPr="00082BBE" w:rsidRDefault="00082BBE" w:rsidP="00DB5124">
      <w:pPr>
        <w:spacing w:line="360" w:lineRule="auto"/>
        <w:rPr>
          <w:szCs w:val="26"/>
        </w:rPr>
      </w:pPr>
      <w:r>
        <w:rPr>
          <w:szCs w:val="26"/>
        </w:rPr>
        <w:tab/>
        <w:t xml:space="preserve">In sum, </w:t>
      </w:r>
      <w:r w:rsidR="00902860">
        <w:rPr>
          <w:szCs w:val="26"/>
        </w:rPr>
        <w:t xml:space="preserve">the text of </w:t>
      </w:r>
      <w:r w:rsidR="00AD40DD">
        <w:rPr>
          <w:szCs w:val="26"/>
        </w:rPr>
        <w:t xml:space="preserve">section 1861.05(a) requires the Commissioner to use the applicant insurer’s actual </w:t>
      </w:r>
      <w:r>
        <w:rPr>
          <w:szCs w:val="26"/>
        </w:rPr>
        <w:t>projected investment income</w:t>
      </w:r>
      <w:r w:rsidR="007461AB">
        <w:rPr>
          <w:szCs w:val="26"/>
        </w:rPr>
        <w:t xml:space="preserve">, </w:t>
      </w:r>
      <w:r w:rsidR="00AD40DD">
        <w:rPr>
          <w:szCs w:val="26"/>
        </w:rPr>
        <w:t>preclud</w:t>
      </w:r>
      <w:r w:rsidR="00902860">
        <w:rPr>
          <w:szCs w:val="26"/>
        </w:rPr>
        <w:t>ing</w:t>
      </w:r>
      <w:r w:rsidR="00AD40DD">
        <w:rPr>
          <w:szCs w:val="26"/>
        </w:rPr>
        <w:t xml:space="preserve"> the use of</w:t>
      </w:r>
      <w:r>
        <w:rPr>
          <w:szCs w:val="26"/>
        </w:rPr>
        <w:t xml:space="preserve"> group data that does not reflect such income</w:t>
      </w:r>
      <w:r>
        <w:t xml:space="preserve">.  </w:t>
      </w:r>
    </w:p>
    <w:p w14:paraId="6A4EA7EA" w14:textId="77777777" w:rsidR="0065086E" w:rsidRPr="00BE4EEE" w:rsidRDefault="0065086E" w:rsidP="0087357D">
      <w:pPr>
        <w:pStyle w:val="Heading2"/>
        <w:spacing w:line="360" w:lineRule="auto"/>
        <w:rPr>
          <w:rFonts w:eastAsia="Calibri"/>
        </w:rPr>
      </w:pPr>
      <w:r w:rsidRPr="00CD3D48">
        <w:rPr>
          <w:rFonts w:eastAsia="Calibri"/>
        </w:rPr>
        <w:lastRenderedPageBreak/>
        <w:tab/>
      </w:r>
      <w:r w:rsidRPr="00BE4EEE">
        <w:rPr>
          <w:rFonts w:eastAsia="Calibri"/>
        </w:rPr>
        <w:t>2.</w:t>
      </w:r>
      <w:r w:rsidRPr="00BE4EEE">
        <w:rPr>
          <w:rFonts w:eastAsia="Calibri"/>
        </w:rPr>
        <w:tab/>
      </w:r>
      <w:r w:rsidRPr="00BE4EEE">
        <w:rPr>
          <w:rFonts w:eastAsia="Calibri"/>
          <w:i/>
          <w:iCs/>
        </w:rPr>
        <w:t>Statutory Scheme</w:t>
      </w:r>
      <w:r w:rsidRPr="00BE4EEE">
        <w:rPr>
          <w:rFonts w:eastAsia="Calibri"/>
        </w:rPr>
        <w:tab/>
      </w:r>
    </w:p>
    <w:p w14:paraId="3EC444CF" w14:textId="3F96445E" w:rsidR="00BE4EEE" w:rsidRDefault="004F6C1D" w:rsidP="0087357D">
      <w:pPr>
        <w:keepNext/>
        <w:shd w:val="clear" w:color="auto" w:fill="FFFFFF"/>
        <w:spacing w:line="360" w:lineRule="auto"/>
        <w:textAlignment w:val="baseline"/>
      </w:pPr>
      <w:r w:rsidRPr="00BE4EEE">
        <w:tab/>
        <w:t xml:space="preserve">This interpretation </w:t>
      </w:r>
      <w:r w:rsidR="00F770CD" w:rsidRPr="00BE4EEE">
        <w:t>is consistent with the broader statutory scheme</w:t>
      </w:r>
      <w:r w:rsidRPr="00BE4EEE">
        <w:t>.</w:t>
      </w:r>
      <w:r>
        <w:t xml:space="preserve">  SFG and </w:t>
      </w:r>
      <w:r w:rsidR="00755E49">
        <w:t xml:space="preserve">CW </w:t>
      </w:r>
      <w:r>
        <w:t xml:space="preserve">agree, and </w:t>
      </w:r>
      <w:r w:rsidR="00755E49">
        <w:t xml:space="preserve">the Commissioner </w:t>
      </w:r>
      <w:r>
        <w:t xml:space="preserve">does not dispute, that the scheme </w:t>
      </w:r>
      <w:r w:rsidR="004A5243">
        <w:t xml:space="preserve">implements a </w:t>
      </w:r>
      <w:r w:rsidR="009E1AA6">
        <w:t>“</w:t>
      </w:r>
      <w:r w:rsidR="004A5243">
        <w:t>total return</w:t>
      </w:r>
      <w:r w:rsidR="009E1AA6">
        <w:t>”</w:t>
      </w:r>
      <w:r w:rsidR="004A5243">
        <w:t xml:space="preserve"> approach to ratemaking</w:t>
      </w:r>
      <w:r w:rsidR="00A5144B">
        <w:t>.</w:t>
      </w:r>
      <w:r w:rsidR="00A5144B" w:rsidRPr="00A5144B">
        <w:t xml:space="preserve"> </w:t>
      </w:r>
      <w:r w:rsidR="00A5144B">
        <w:t xml:space="preserve"> </w:t>
      </w:r>
      <w:r w:rsidR="00BE4EEE">
        <w:t xml:space="preserve">As noted </w:t>
      </w:r>
      <w:r w:rsidR="00BE4EEE">
        <w:rPr>
          <w:i/>
          <w:iCs/>
        </w:rPr>
        <w:t>ante</w:t>
      </w:r>
      <w:r w:rsidR="00BE4EEE">
        <w:t xml:space="preserve">, </w:t>
      </w:r>
      <w:r w:rsidR="009F1E8A">
        <w:t>t</w:t>
      </w:r>
      <w:r w:rsidR="00A5144B">
        <w:t>h</w:t>
      </w:r>
      <w:r w:rsidR="00BE4EEE">
        <w:t xml:space="preserve">e total return approach contemplates that </w:t>
      </w:r>
      <w:r w:rsidR="00A5144B">
        <w:t xml:space="preserve">if an insurer can earn profit from </w:t>
      </w:r>
      <w:r w:rsidR="00BE4EEE">
        <w:t>sources other than premiums</w:t>
      </w:r>
      <w:r w:rsidR="00A5144B">
        <w:t>—like investments—the premium</w:t>
      </w:r>
      <w:r w:rsidR="00BE4EEE">
        <w:t xml:space="preserve"> that it can charge</w:t>
      </w:r>
      <w:r w:rsidR="00A5144B">
        <w:t xml:space="preserve"> should be reduced</w:t>
      </w:r>
      <w:r w:rsidR="00A07251">
        <w:t>.</w:t>
      </w:r>
      <w:r w:rsidR="00402600">
        <w:t xml:space="preserve"> </w:t>
      </w:r>
      <w:r w:rsidR="004A5243">
        <w:t xml:space="preserve"> </w:t>
      </w:r>
      <w:r w:rsidR="00BE4EEE">
        <w:t>In turn, using</w:t>
      </w:r>
      <w:r w:rsidR="0040005E">
        <w:t xml:space="preserve"> the</w:t>
      </w:r>
      <w:r w:rsidR="00BE4EEE">
        <w:t xml:space="preserve"> applicant</w:t>
      </w:r>
      <w:r w:rsidR="0040005E">
        <w:t xml:space="preserve"> insurer’s actual investment portfolio </w:t>
      </w:r>
      <w:r w:rsidR="00BE4EEE">
        <w:t>in the ratemaking process ensures that the income credited to the insurer for purposes of this offset is actually available to it, thus avoiding arbitrarily high or low rate</w:t>
      </w:r>
      <w:r w:rsidR="008436D0">
        <w:t>s</w:t>
      </w:r>
      <w:r w:rsidR="00BE4EEE">
        <w:t xml:space="preserve">. </w:t>
      </w:r>
    </w:p>
    <w:p w14:paraId="0A908E65" w14:textId="0E420F67" w:rsidR="00483C5F" w:rsidRDefault="00BE4EEE" w:rsidP="00DB5124">
      <w:pPr>
        <w:shd w:val="clear" w:color="auto" w:fill="FFFFFF"/>
        <w:spacing w:line="360" w:lineRule="auto"/>
        <w:textAlignment w:val="baseline"/>
      </w:pPr>
      <w:r>
        <w:tab/>
      </w:r>
      <w:r w:rsidR="00424769">
        <w:t xml:space="preserve">Accordingly, we disagree with </w:t>
      </w:r>
      <w:r w:rsidR="00672207">
        <w:t xml:space="preserve">CW that </w:t>
      </w:r>
      <w:r w:rsidR="00672207" w:rsidRPr="00672207">
        <w:t>imposing requirements on the Commissioner’s</w:t>
      </w:r>
      <w:r w:rsidR="00672207">
        <w:t xml:space="preserve"> consideration </w:t>
      </w:r>
      <w:r w:rsidR="00F63B3F">
        <w:t xml:space="preserve">of investment income </w:t>
      </w:r>
      <w:r w:rsidR="00672207">
        <w:t xml:space="preserve">is inconsistent with the statutory scheme.  </w:t>
      </w:r>
      <w:r w:rsidR="00424769">
        <w:t xml:space="preserve">Specifically, </w:t>
      </w:r>
      <w:r w:rsidR="007D04CE">
        <w:t xml:space="preserve">CW </w:t>
      </w:r>
      <w:r w:rsidR="00672207">
        <w:t xml:space="preserve">argues </w:t>
      </w:r>
      <w:r w:rsidR="0000023F" w:rsidRPr="0000023F">
        <w:t>there is no “right way” to get “actual” numbers, as ratemaking is “inherently prospective”</w:t>
      </w:r>
      <w:r w:rsidR="0000023F">
        <w:t xml:space="preserve"> and</w:t>
      </w:r>
      <w:r w:rsidR="0000023F" w:rsidRPr="0000023F">
        <w:t xml:space="preserve"> “necessarily encompasses a normative dimension</w:t>
      </w:r>
      <w:r w:rsidR="0000023F">
        <w:t xml:space="preserve"> . . . </w:t>
      </w:r>
      <w:r w:rsidR="0000023F" w:rsidRPr="0000023F">
        <w:t>.”</w:t>
      </w:r>
      <w:r w:rsidR="00F33FF8">
        <w:t xml:space="preserve"> </w:t>
      </w:r>
      <w:r w:rsidR="0000023F" w:rsidRPr="0000023F">
        <w:t xml:space="preserve"> </w:t>
      </w:r>
      <w:r w:rsidR="00424769">
        <w:t xml:space="preserve">Thus, </w:t>
      </w:r>
      <w:r w:rsidR="0000023F">
        <w:t>CW</w:t>
      </w:r>
      <w:r w:rsidR="0000023F" w:rsidRPr="0000023F">
        <w:t xml:space="preserve"> </w:t>
      </w:r>
      <w:r w:rsidR="00424769">
        <w:t>posits,</w:t>
      </w:r>
      <w:r w:rsidR="0000023F" w:rsidRPr="0000023F">
        <w:t xml:space="preserve"> the question is not whether the Commission</w:t>
      </w:r>
      <w:r w:rsidR="00424769">
        <w:t>er</w:t>
      </w:r>
      <w:r w:rsidR="0000023F" w:rsidRPr="0000023F">
        <w:t xml:space="preserve"> used the “actual” number for SFG’s future investment income, but whether </w:t>
      </w:r>
      <w:r w:rsidR="00424769">
        <w:t>he</w:t>
      </w:r>
      <w:r w:rsidR="0000023F" w:rsidRPr="0000023F">
        <w:t xml:space="preserve"> “selected from among the alternatives a reasonable way to reflect SFG’s future investment income</w:t>
      </w:r>
      <w:r w:rsidR="009F1E8A">
        <w:t xml:space="preserve"> . . . </w:t>
      </w:r>
      <w:r w:rsidR="00B412D6">
        <w:t>.</w:t>
      </w:r>
      <w:r w:rsidR="009F1E8A">
        <w:t>”</w:t>
      </w:r>
      <w:r w:rsidR="00F33FF8">
        <w:t xml:space="preserve"> </w:t>
      </w:r>
      <w:r w:rsidR="00105AAE">
        <w:t xml:space="preserve"> We disagree</w:t>
      </w:r>
      <w:r w:rsidR="0000023F">
        <w:t>.</w:t>
      </w:r>
      <w:r w:rsidR="00891FC5">
        <w:t xml:space="preserve">  </w:t>
      </w:r>
      <w:r w:rsidR="0000023F">
        <w:t>T</w:t>
      </w:r>
      <w:r w:rsidR="00DF631A">
        <w:t>here is no dispute</w:t>
      </w:r>
      <w:r w:rsidR="008436D0">
        <w:t xml:space="preserve"> prior approval</w:t>
      </w:r>
      <w:r w:rsidR="00DF631A">
        <w:t xml:space="preserve"> </w:t>
      </w:r>
      <w:r w:rsidR="00105AAE">
        <w:t xml:space="preserve">ratemaking is prospective </w:t>
      </w:r>
      <w:r w:rsidR="008436D0">
        <w:t>or</w:t>
      </w:r>
      <w:r w:rsidR="00105AAE">
        <w:t xml:space="preserve"> </w:t>
      </w:r>
      <w:r w:rsidR="008436D0">
        <w:t xml:space="preserve">that </w:t>
      </w:r>
      <w:r w:rsidR="00105AAE">
        <w:t>the Commissioner has discretion in administering the process</w:t>
      </w:r>
      <w:r w:rsidR="008436D0">
        <w:t xml:space="preserve">, </w:t>
      </w:r>
      <w:r w:rsidR="00105AAE">
        <w:t xml:space="preserve">but he must do so within the limits of the </w:t>
      </w:r>
      <w:r w:rsidR="002558E2">
        <w:t>statute</w:t>
      </w:r>
      <w:r w:rsidR="00DF631A">
        <w:t xml:space="preserve">.  </w:t>
      </w:r>
      <w:r w:rsidR="00DF631A" w:rsidRPr="00DF631A">
        <w:t>(</w:t>
      </w:r>
      <w:bookmarkStart w:id="17" w:name="_Hlk79143574"/>
      <w:r w:rsidR="00EE5164" w:rsidRPr="00EE5164">
        <w:rPr>
          <w:i/>
          <w:iCs/>
        </w:rPr>
        <w:t>ASIC</w:t>
      </w:r>
      <w:r w:rsidR="00EE5164">
        <w:t xml:space="preserve">, </w:t>
      </w:r>
      <w:r w:rsidR="00EE5164" w:rsidRPr="00EE5164">
        <w:rPr>
          <w:i/>
          <w:iCs/>
        </w:rPr>
        <w:t>supra</w:t>
      </w:r>
      <w:r w:rsidR="00EE5164">
        <w:t xml:space="preserve">, </w:t>
      </w:r>
      <w:r w:rsidR="00EE5164" w:rsidRPr="00EE5164">
        <w:t xml:space="preserve">2 Cal.5th </w:t>
      </w:r>
      <w:r w:rsidR="00EE5164">
        <w:t>at p.</w:t>
      </w:r>
      <w:r w:rsidR="00EE5164" w:rsidRPr="00EE5164">
        <w:t xml:space="preserve"> 390</w:t>
      </w:r>
      <w:r w:rsidR="008D1D2D">
        <w:t xml:space="preserve">; </w:t>
      </w:r>
      <w:r w:rsidR="00DF631A" w:rsidRPr="00DF631A">
        <w:rPr>
          <w:i/>
          <w:iCs/>
        </w:rPr>
        <w:t>Poizner</w:t>
      </w:r>
      <w:r w:rsidR="00DF631A" w:rsidRPr="00A84DA7">
        <w:t>,</w:t>
      </w:r>
      <w:r w:rsidR="00DF631A" w:rsidRPr="00DF631A">
        <w:rPr>
          <w:i/>
          <w:iCs/>
        </w:rPr>
        <w:t xml:space="preserve"> supra</w:t>
      </w:r>
      <w:r w:rsidR="00DF631A" w:rsidRPr="00A84DA7">
        <w:t>,</w:t>
      </w:r>
      <w:r w:rsidR="00DF631A" w:rsidRPr="00DF631A">
        <w:t xml:space="preserve"> 180</w:t>
      </w:r>
      <w:r w:rsidR="00BD4868">
        <w:t xml:space="preserve"> </w:t>
      </w:r>
      <w:r w:rsidR="00DF631A" w:rsidRPr="00DF631A">
        <w:t>Cal.App.4th at p. 1048</w:t>
      </w:r>
      <w:bookmarkEnd w:id="17"/>
      <w:r w:rsidR="00DF631A" w:rsidRPr="00DF631A">
        <w:t>.)</w:t>
      </w:r>
      <w:r w:rsidR="00891FC5">
        <w:t xml:space="preserve">  </w:t>
      </w:r>
      <w:r w:rsidR="008436D0">
        <w:t>And</w:t>
      </w:r>
      <w:r w:rsidR="00F63B3F">
        <w:t xml:space="preserve"> the statut</w:t>
      </w:r>
      <w:r w:rsidR="008436D0">
        <w:t xml:space="preserve">e </w:t>
      </w:r>
      <w:r w:rsidR="00F63B3F">
        <w:t xml:space="preserve">requires </w:t>
      </w:r>
      <w:r w:rsidR="00B412D6">
        <w:t>him</w:t>
      </w:r>
      <w:r w:rsidR="00F63B3F">
        <w:t xml:space="preserve"> to use the insurer’s </w:t>
      </w:r>
      <w:r w:rsidR="00B412D6">
        <w:t>actual</w:t>
      </w:r>
      <w:r w:rsidR="00D70F05">
        <w:t xml:space="preserve"> projected investment income</w:t>
      </w:r>
      <w:r w:rsidR="00F63B3F">
        <w:t xml:space="preserve">—not </w:t>
      </w:r>
      <w:r w:rsidR="00483C5F">
        <w:t>to “select[] from among . . . [reasonable] alternatives</w:t>
      </w:r>
      <w:r w:rsidR="00891FC5">
        <w:t>.”</w:t>
      </w:r>
      <w:r w:rsidR="00B412D6">
        <w:rPr>
          <w:rStyle w:val="FootnoteReference"/>
        </w:rPr>
        <w:footnoteReference w:id="15"/>
      </w:r>
      <w:r w:rsidR="006C5B3D">
        <w:tab/>
      </w:r>
      <w:bookmarkStart w:id="18" w:name="_Hlk76045082"/>
    </w:p>
    <w:bookmarkEnd w:id="18"/>
    <w:p w14:paraId="66B38052" w14:textId="77777777" w:rsidR="0065086E" w:rsidRPr="0065086E" w:rsidRDefault="0065086E" w:rsidP="0087357D">
      <w:pPr>
        <w:pStyle w:val="Heading2"/>
        <w:spacing w:line="360" w:lineRule="auto"/>
        <w:rPr>
          <w:rFonts w:eastAsia="Calibri"/>
        </w:rPr>
      </w:pPr>
      <w:r w:rsidRPr="00CD3D48">
        <w:rPr>
          <w:rFonts w:eastAsia="Calibri"/>
        </w:rPr>
        <w:lastRenderedPageBreak/>
        <w:tab/>
      </w:r>
      <w:r w:rsidRPr="00733308">
        <w:rPr>
          <w:rFonts w:eastAsia="Calibri"/>
        </w:rPr>
        <w:t>3.</w:t>
      </w:r>
      <w:r w:rsidRPr="00733308">
        <w:rPr>
          <w:rFonts w:eastAsia="Calibri"/>
        </w:rPr>
        <w:tab/>
      </w:r>
      <w:r w:rsidRPr="00733308">
        <w:rPr>
          <w:rFonts w:eastAsia="Calibri"/>
          <w:i/>
          <w:iCs/>
        </w:rPr>
        <w:t>Statutory Purpose</w:t>
      </w:r>
      <w:r w:rsidR="008E1FFD">
        <w:rPr>
          <w:rFonts w:eastAsia="Calibri"/>
          <w:i/>
          <w:iCs/>
        </w:rPr>
        <w:t>s</w:t>
      </w:r>
      <w:r w:rsidRPr="00CD3D48">
        <w:rPr>
          <w:rFonts w:eastAsia="Calibri"/>
        </w:rPr>
        <w:tab/>
      </w:r>
    </w:p>
    <w:p w14:paraId="0F4EBC82" w14:textId="77777777" w:rsidR="0044055A" w:rsidRDefault="002C3758" w:rsidP="0087357D">
      <w:pPr>
        <w:keepNext/>
        <w:shd w:val="clear" w:color="auto" w:fill="FFFFFF"/>
        <w:spacing w:line="360" w:lineRule="auto"/>
        <w:textAlignment w:val="baseline"/>
      </w:pPr>
      <w:r>
        <w:tab/>
      </w:r>
      <w:r w:rsidR="00D70F05">
        <w:t xml:space="preserve">Requiring use of the insurer’s actual projected investment income is also </w:t>
      </w:r>
      <w:r>
        <w:t xml:space="preserve">consistent with </w:t>
      </w:r>
      <w:r w:rsidR="00D70F05">
        <w:t>the purpose</w:t>
      </w:r>
      <w:r w:rsidR="008E1FFD">
        <w:t>s</w:t>
      </w:r>
      <w:r w:rsidR="00D70F05">
        <w:t xml:space="preserve"> of </w:t>
      </w:r>
      <w:r>
        <w:t>Proposition 103.</w:t>
      </w:r>
    </w:p>
    <w:p w14:paraId="5AA27E39" w14:textId="50B8B9D7" w:rsidR="008641F7" w:rsidRDefault="002C3758" w:rsidP="0087357D">
      <w:pPr>
        <w:keepNext/>
        <w:shd w:val="clear" w:color="auto" w:fill="FFFFFF"/>
        <w:spacing w:line="360" w:lineRule="auto"/>
        <w:textAlignment w:val="baseline"/>
      </w:pPr>
      <w:r>
        <w:tab/>
      </w:r>
      <w:r w:rsidR="00791004">
        <w:t>A</w:t>
      </w:r>
      <w:r>
        <w:t xml:space="preserve">s </w:t>
      </w:r>
      <w:r w:rsidR="00382885">
        <w:t>noted</w:t>
      </w:r>
      <w:r>
        <w:t xml:space="preserve"> </w:t>
      </w:r>
      <w:r>
        <w:rPr>
          <w:i/>
          <w:iCs/>
        </w:rPr>
        <w:t>ante</w:t>
      </w:r>
      <w:r>
        <w:t xml:space="preserve">, </w:t>
      </w:r>
      <w:r w:rsidR="00CA4EB6">
        <w:t xml:space="preserve">the initiative’s stated </w:t>
      </w:r>
      <w:r>
        <w:t xml:space="preserve">purpose is </w:t>
      </w:r>
      <w:r w:rsidRPr="005630A2">
        <w:t xml:space="preserve">to “protect consumers from arbitrary insurance rates and practices, to encourage a competitive insurance marketplace, to provide for an accountable Commissioner, and to ensure that insurance is fair, available, and affordable for all Californians.” </w:t>
      </w:r>
      <w:r w:rsidR="0028707A">
        <w:t xml:space="preserve"> </w:t>
      </w:r>
      <w:r w:rsidRPr="005630A2">
        <w:t>(Stats. 1988, § 2, p. A-276.)</w:t>
      </w:r>
      <w:r w:rsidR="00CA4EB6">
        <w:t xml:space="preserve">  Thus, the </w:t>
      </w:r>
      <w:r w:rsidR="00951CB9">
        <w:t>objective</w:t>
      </w:r>
      <w:r w:rsidR="00CA4EB6">
        <w:t xml:space="preserve"> is not </w:t>
      </w:r>
      <w:r w:rsidR="00E37EE1">
        <w:t>just</w:t>
      </w:r>
      <w:r w:rsidR="00CA4EB6">
        <w:t xml:space="preserve"> to keep insurance rates </w:t>
      </w:r>
      <w:r w:rsidR="00382885">
        <w:t>fair to consumers</w:t>
      </w:r>
      <w:r w:rsidR="00CA4EB6">
        <w:t xml:space="preserve">, but also to keep insurance </w:t>
      </w:r>
      <w:r w:rsidR="00CA4EB6">
        <w:rPr>
          <w:i/>
          <w:iCs/>
        </w:rPr>
        <w:t>available</w:t>
      </w:r>
      <w:r w:rsidR="00CA4EB6">
        <w:t xml:space="preserve">—which requires that rates be fair to the insurers as well.  </w:t>
      </w:r>
      <w:r w:rsidR="00914F15">
        <w:t>(</w:t>
      </w:r>
      <w:r w:rsidR="00382885">
        <w:t xml:space="preserve">See </w:t>
      </w:r>
      <w:r w:rsidR="00D64070" w:rsidRPr="005630A2">
        <w:rPr>
          <w:i/>
          <w:iCs/>
        </w:rPr>
        <w:t>20th Century</w:t>
      </w:r>
      <w:r w:rsidR="00D64070" w:rsidRPr="005630A2">
        <w:t xml:space="preserve">, </w:t>
      </w:r>
      <w:r w:rsidR="00D64070" w:rsidRPr="00EF665F">
        <w:rPr>
          <w:i/>
          <w:iCs/>
        </w:rPr>
        <w:t>supra</w:t>
      </w:r>
      <w:r w:rsidR="00D64070" w:rsidRPr="005630A2">
        <w:t>, 8 Cal.4th</w:t>
      </w:r>
      <w:r w:rsidR="00D64070" w:rsidRPr="005630A2">
        <w:rPr>
          <w:i/>
          <w:iCs/>
        </w:rPr>
        <w:t xml:space="preserve"> </w:t>
      </w:r>
      <w:r w:rsidR="00D64070" w:rsidRPr="005630A2">
        <w:t xml:space="preserve">at p. </w:t>
      </w:r>
      <w:r w:rsidR="00D64070">
        <w:t>300 [</w:t>
      </w:r>
      <w:r w:rsidR="00951CB9">
        <w:t>“</w:t>
      </w:r>
      <w:r w:rsidR="00951CB9" w:rsidRPr="00951CB9">
        <w:t xml:space="preserve">ultimate goal is the guaranty that </w:t>
      </w:r>
      <w:r w:rsidR="00951CB9">
        <w:t>‘</w:t>
      </w:r>
      <w:r w:rsidR="00951CB9" w:rsidRPr="00951CB9">
        <w:t>insurance is fair, available, and affordable for all Californians</w:t>
      </w:r>
      <w:r w:rsidR="00951CB9">
        <w:t xml:space="preserve">’ ”]; </w:t>
      </w:r>
      <w:r w:rsidR="00D64070">
        <w:rPr>
          <w:i/>
          <w:iCs/>
        </w:rPr>
        <w:t>Spanish Speaking Citizens</w:t>
      </w:r>
      <w:r w:rsidR="00D64070">
        <w:t xml:space="preserve">, </w:t>
      </w:r>
      <w:r w:rsidR="00D64070">
        <w:rPr>
          <w:i/>
          <w:iCs/>
        </w:rPr>
        <w:t>supra</w:t>
      </w:r>
      <w:r w:rsidR="00D64070">
        <w:t>, 85 Cal.App.4th at p. 1226 [“We can conceive of no interpretation of ‘arbitrary insurance rates’ . . . as anything other than rates which do not reflect the cost of providing insurance”]</w:t>
      </w:r>
      <w:r w:rsidR="00951CB9">
        <w:t>; cf.</w:t>
      </w:r>
      <w:r w:rsidR="00951CB9" w:rsidRPr="00951CB9">
        <w:t xml:space="preserve"> </w:t>
      </w:r>
      <w:r w:rsidR="00951CB9" w:rsidRPr="00951CB9">
        <w:rPr>
          <w:i/>
          <w:iCs/>
        </w:rPr>
        <w:t>Calfarm</w:t>
      </w:r>
      <w:r w:rsidR="00951CB9" w:rsidRPr="00951CB9">
        <w:t xml:space="preserve">, </w:t>
      </w:r>
      <w:r w:rsidR="00951CB9" w:rsidRPr="00951CB9">
        <w:rPr>
          <w:i/>
          <w:iCs/>
        </w:rPr>
        <w:t>supra</w:t>
      </w:r>
      <w:r w:rsidR="00951CB9" w:rsidRPr="00951CB9">
        <w:t>, 48 Cal.3d at p. 821 [“[o]ver the long term the state must permit insurers a fair return”]</w:t>
      </w:r>
      <w:r w:rsidR="00951CB9">
        <w:t xml:space="preserve">.)  </w:t>
      </w:r>
      <w:r w:rsidR="008641F7">
        <w:t>In contrast, SFG and amicus California Business Roundtable suggest</w:t>
      </w:r>
      <w:r w:rsidR="001D0860">
        <w:t xml:space="preserve"> </w:t>
      </w:r>
      <w:r w:rsidR="008641F7">
        <w:t>imputing high-yield income to insurers</w:t>
      </w:r>
      <w:r w:rsidR="00DE1A11">
        <w:t xml:space="preserve"> with prudent </w:t>
      </w:r>
      <w:r w:rsidR="001D0860">
        <w:t>investment</w:t>
      </w:r>
      <w:r w:rsidR="00DE1A11">
        <w:t xml:space="preserve"> strategies</w:t>
      </w:r>
      <w:r w:rsidR="001D0860">
        <w:t xml:space="preserve"> would </w:t>
      </w:r>
      <w:r w:rsidR="008641F7">
        <w:t>impos</w:t>
      </w:r>
      <w:r w:rsidR="001D0860">
        <w:t>e</w:t>
      </w:r>
      <w:r w:rsidR="008641F7">
        <w:t xml:space="preserve"> an artificial price cap</w:t>
      </w:r>
      <w:r w:rsidR="00E37EE1">
        <w:t xml:space="preserve"> on rates</w:t>
      </w:r>
      <w:r w:rsidR="008641F7">
        <w:t xml:space="preserve">, </w:t>
      </w:r>
      <w:r w:rsidR="001D0860">
        <w:t xml:space="preserve">which </w:t>
      </w:r>
      <w:r w:rsidR="008641F7">
        <w:t xml:space="preserve">could </w:t>
      </w:r>
      <w:r w:rsidR="001D0860">
        <w:t>disincentivize</w:t>
      </w:r>
      <w:r w:rsidR="009346BB">
        <w:t xml:space="preserve"> </w:t>
      </w:r>
      <w:r w:rsidR="00E37EE1">
        <w:t>such</w:t>
      </w:r>
      <w:r w:rsidR="009346BB">
        <w:t xml:space="preserve"> </w:t>
      </w:r>
      <w:r w:rsidR="00E37EE1">
        <w:t>strategies</w:t>
      </w:r>
      <w:r w:rsidR="009346BB">
        <w:t xml:space="preserve"> </w:t>
      </w:r>
      <w:r w:rsidR="00E37EE1">
        <w:t>and/</w:t>
      </w:r>
      <w:r w:rsidR="001D0860">
        <w:t xml:space="preserve">or lead them to </w:t>
      </w:r>
      <w:r w:rsidR="008641F7">
        <w:t xml:space="preserve">exit the market—thus limiting availability, to the </w:t>
      </w:r>
      <w:r w:rsidR="002558E2">
        <w:t>detriment</w:t>
      </w:r>
      <w:r w:rsidR="008641F7">
        <w:t xml:space="preserve"> of consumers.  </w:t>
      </w:r>
    </w:p>
    <w:p w14:paraId="26D136FC" w14:textId="13988027" w:rsidR="004A5243" w:rsidRPr="00B54AC7" w:rsidRDefault="008641F7" w:rsidP="00DB5124">
      <w:pPr>
        <w:shd w:val="clear" w:color="auto" w:fill="FFFFFF"/>
        <w:spacing w:line="360" w:lineRule="auto"/>
        <w:textAlignment w:val="baseline"/>
      </w:pPr>
      <w:r>
        <w:tab/>
        <w:t xml:space="preserve">Further, Proposition 103’s focus on </w:t>
      </w:r>
      <w:r w:rsidR="00D64070">
        <w:t xml:space="preserve">fairness to both consumers and insurers is reflected in </w:t>
      </w:r>
      <w:r w:rsidR="00BC7669">
        <w:t>section 1861.05(a), itself, which bars</w:t>
      </w:r>
      <w:r w:rsidR="00D64070">
        <w:t xml:space="preserve"> both excessive </w:t>
      </w:r>
      <w:r w:rsidR="00D64070">
        <w:rPr>
          <w:i/>
          <w:iCs/>
        </w:rPr>
        <w:t>and</w:t>
      </w:r>
      <w:r w:rsidR="00BC7669">
        <w:t xml:space="preserve"> inadequate rates.  </w:t>
      </w:r>
      <w:r w:rsidR="002C0C0D">
        <w:t>(</w:t>
      </w:r>
      <w:r w:rsidR="002C0C0D" w:rsidRPr="005630A2">
        <w:rPr>
          <w:i/>
          <w:iCs/>
        </w:rPr>
        <w:t>20th Century</w:t>
      </w:r>
      <w:r w:rsidR="002C0C0D" w:rsidRPr="005630A2">
        <w:t xml:space="preserve">, </w:t>
      </w:r>
      <w:r w:rsidR="002C0C0D" w:rsidRPr="00EF665F">
        <w:rPr>
          <w:i/>
          <w:iCs/>
        </w:rPr>
        <w:t>supra</w:t>
      </w:r>
      <w:r w:rsidR="002C0C0D" w:rsidRPr="005630A2">
        <w:t>, 8 Cal.4th</w:t>
      </w:r>
      <w:r w:rsidR="002C0C0D" w:rsidRPr="005630A2">
        <w:rPr>
          <w:i/>
          <w:iCs/>
        </w:rPr>
        <w:t xml:space="preserve"> </w:t>
      </w:r>
      <w:r w:rsidR="002C0C0D" w:rsidRPr="005630A2">
        <w:t>at pp. 2</w:t>
      </w:r>
      <w:r w:rsidR="002C0C0D">
        <w:t xml:space="preserve">44-245 </w:t>
      </w:r>
      <w:r w:rsidR="00FE7020">
        <w:t>[§ </w:t>
      </w:r>
      <w:r w:rsidR="002C0C0D" w:rsidRPr="00EF665F">
        <w:t>1861.0</w:t>
      </w:r>
      <w:r w:rsidR="009B5F45">
        <w:t>5</w:t>
      </w:r>
      <w:r w:rsidR="002C0C0D" w:rsidRPr="00EF665F">
        <w:t xml:space="preserve">(a)’s “general standard” for rates that are not “excessive, </w:t>
      </w:r>
      <w:r w:rsidR="002C0C0D" w:rsidRPr="00EF665F">
        <w:lastRenderedPageBreak/>
        <w:t xml:space="preserve">inadequate, </w:t>
      </w:r>
      <w:r w:rsidR="002C0C0D">
        <w:t xml:space="preserve">[or] </w:t>
      </w:r>
      <w:r w:rsidR="002C0C0D" w:rsidRPr="00EF665F">
        <w:t>unfairly discriminatory” requires “fair and reasonable rates,” and the “range of fair and reasonable rates is defined in light of the insurer’s legitimate interest in financial integrity and the insured’s legitimate interest in freedom from exploitation</w:t>
      </w:r>
      <w:r w:rsidR="002C0C0D">
        <w:t xml:space="preserve">”].) </w:t>
      </w:r>
    </w:p>
    <w:p w14:paraId="43373910" w14:textId="6E31C999" w:rsidR="0080458B" w:rsidRDefault="00FA70A6" w:rsidP="00DE1A11">
      <w:pPr>
        <w:shd w:val="clear" w:color="auto" w:fill="FFFFFF"/>
        <w:spacing w:line="360" w:lineRule="auto"/>
        <w:textAlignment w:val="baseline"/>
      </w:pPr>
      <w:r>
        <w:tab/>
        <w:t xml:space="preserve">We therefore </w:t>
      </w:r>
      <w:r w:rsidR="00DE1A11">
        <w:t>disagree with</w:t>
      </w:r>
      <w:r>
        <w:t xml:space="preserve"> </w:t>
      </w:r>
      <w:r w:rsidR="0099314D">
        <w:t>Appellants</w:t>
      </w:r>
      <w:r w:rsidR="00DE1A11">
        <w:t xml:space="preserve"> </w:t>
      </w:r>
      <w:r w:rsidR="0099314D">
        <w:t xml:space="preserve">to the extent they suggest the goal </w:t>
      </w:r>
      <w:r w:rsidR="00A224B1">
        <w:t xml:space="preserve">of Proposition 103 </w:t>
      </w:r>
      <w:r w:rsidR="0099314D">
        <w:t>was only to lower rates and prevent insurers from artificially raising them.  Two related points also lack merit.</w:t>
      </w:r>
      <w:r w:rsidR="00DE1A11">
        <w:t xml:space="preserve"> </w:t>
      </w:r>
      <w:r w:rsidR="007F7165">
        <w:t xml:space="preserve"> </w:t>
      </w:r>
      <w:r w:rsidR="002C7D69">
        <w:t>Appellants contend</w:t>
      </w:r>
      <w:r w:rsidR="0099314D">
        <w:t xml:space="preserve"> Proposition 103 calls for liberal construal to promote its underlying purposes.</w:t>
      </w:r>
      <w:r w:rsidR="008B1017" w:rsidRPr="008B1017">
        <w:t xml:space="preserve"> </w:t>
      </w:r>
      <w:r w:rsidR="00FE7020">
        <w:t xml:space="preserve"> </w:t>
      </w:r>
      <w:r w:rsidR="008B1017">
        <w:t>(</w:t>
      </w:r>
      <w:r w:rsidR="008B1017" w:rsidRPr="006E4021">
        <w:t>Prop. 103,</w:t>
      </w:r>
      <w:r w:rsidR="008B1017">
        <w:t xml:space="preserve"> </w:t>
      </w:r>
      <w:r w:rsidR="008B1017" w:rsidRPr="006E4021">
        <w:t>§ 8, subd. (a).)</w:t>
      </w:r>
      <w:r w:rsidR="00C77B0F">
        <w:t xml:space="preserve"> </w:t>
      </w:r>
      <w:r w:rsidR="008B1017">
        <w:t xml:space="preserve"> </w:t>
      </w:r>
      <w:r w:rsidR="00DE1A11">
        <w:t>True,</w:t>
      </w:r>
      <w:r w:rsidR="0099314D">
        <w:t xml:space="preserve"> but those purposes extend beyond low rates.</w:t>
      </w:r>
      <w:r w:rsidR="002C7D69">
        <w:t xml:space="preserve">  </w:t>
      </w:r>
      <w:r>
        <w:t xml:space="preserve">We also </w:t>
      </w:r>
      <w:r w:rsidR="00DE1A11">
        <w:t>are not persuaded by</w:t>
      </w:r>
      <w:r w:rsidR="002C7D69">
        <w:t xml:space="preserve"> CW</w:t>
      </w:r>
      <w:r w:rsidR="00DE1A11">
        <w:t>’s argument</w:t>
      </w:r>
      <w:r>
        <w:t xml:space="preserve"> that</w:t>
      </w:r>
      <w:r w:rsidR="00483C5F">
        <w:t xml:space="preserve"> “[f]</w:t>
      </w:r>
      <w:r w:rsidR="00483C5F" w:rsidRPr="005630A2">
        <w:t>orcing consumers to pay excessive rates would frustrate the purpose of protecting consumers from arbitrary insurance rates.</w:t>
      </w:r>
      <w:r w:rsidR="00483C5F">
        <w:t xml:space="preserve">” </w:t>
      </w:r>
      <w:r w:rsidR="00DE1A11">
        <w:t xml:space="preserve"> The argument assumes SFG’s </w:t>
      </w:r>
      <w:r w:rsidR="002558E2">
        <w:t>interpretation</w:t>
      </w:r>
      <w:r w:rsidR="000B4327">
        <w:t xml:space="preserve"> results in an exc</w:t>
      </w:r>
      <w:r w:rsidR="00DE1A11">
        <w:t>essive</w:t>
      </w:r>
      <w:r w:rsidR="000B4327">
        <w:t xml:space="preserve"> rate</w:t>
      </w:r>
      <w:r w:rsidR="00DE1A11">
        <w:t>, which Appellants have not established.</w:t>
      </w:r>
    </w:p>
    <w:p w14:paraId="3894FAA6" w14:textId="77777777" w:rsidR="0065086E" w:rsidRPr="0065086E" w:rsidRDefault="0065086E" w:rsidP="00DB5124">
      <w:pPr>
        <w:pStyle w:val="Heading2"/>
        <w:spacing w:line="360" w:lineRule="auto"/>
        <w:rPr>
          <w:rFonts w:eastAsia="Calibri"/>
        </w:rPr>
      </w:pPr>
      <w:r w:rsidRPr="00CD3D48">
        <w:rPr>
          <w:rFonts w:eastAsia="Calibri"/>
        </w:rPr>
        <w:tab/>
      </w:r>
      <w:r w:rsidRPr="007B7217">
        <w:rPr>
          <w:rFonts w:eastAsia="Calibri"/>
        </w:rPr>
        <w:t>4.</w:t>
      </w:r>
      <w:r w:rsidRPr="007B7217">
        <w:rPr>
          <w:rFonts w:eastAsia="Calibri"/>
        </w:rPr>
        <w:tab/>
      </w:r>
      <w:r w:rsidRPr="007B7217">
        <w:rPr>
          <w:rFonts w:eastAsia="Calibri"/>
          <w:i/>
          <w:iCs/>
        </w:rPr>
        <w:t>Historical Context</w:t>
      </w:r>
      <w:r w:rsidRPr="00CD3D48">
        <w:rPr>
          <w:rFonts w:eastAsia="Calibri"/>
        </w:rPr>
        <w:tab/>
      </w:r>
    </w:p>
    <w:p w14:paraId="466071FE" w14:textId="55F319D6" w:rsidR="00BE7B62" w:rsidRDefault="00B7699E" w:rsidP="00DB5124">
      <w:pPr>
        <w:spacing w:line="360" w:lineRule="auto"/>
      </w:pPr>
      <w:r>
        <w:tab/>
        <w:t>Finally, CW contends the historical context supports Appellants’ position</w:t>
      </w:r>
      <w:r w:rsidR="008A444B">
        <w:t xml:space="preserve">.  CW explains </w:t>
      </w:r>
      <w:r w:rsidR="0065086E">
        <w:t>it was an open question</w:t>
      </w:r>
      <w:r>
        <w:t xml:space="preserve"> before Proposition 103</w:t>
      </w:r>
      <w:r w:rsidR="0065086E">
        <w:t xml:space="preserve"> </w:t>
      </w:r>
      <w:r>
        <w:t xml:space="preserve">was </w:t>
      </w:r>
      <w:r w:rsidR="00DA63C8">
        <w:t>enacted</w:t>
      </w:r>
      <w:r>
        <w:t xml:space="preserve"> </w:t>
      </w:r>
      <w:r w:rsidR="008A444B">
        <w:t>whether</w:t>
      </w:r>
      <w:r w:rsidR="0065086E">
        <w:t xml:space="preserve"> investment income would </w:t>
      </w:r>
      <w:r w:rsidR="008A444B">
        <w:t xml:space="preserve">even </w:t>
      </w:r>
      <w:r w:rsidR="0065086E">
        <w:t>be considered in setting rate</w:t>
      </w:r>
      <w:r>
        <w:t>s</w:t>
      </w:r>
      <w:r w:rsidR="008A444B">
        <w:t>,</w:t>
      </w:r>
      <w:r>
        <w:t xml:space="preserve"> and </w:t>
      </w:r>
      <w:r w:rsidR="008A444B">
        <w:t xml:space="preserve">that contemporaneous </w:t>
      </w:r>
      <w:r>
        <w:t>materials</w:t>
      </w:r>
      <w:r w:rsidR="00BE7B62">
        <w:t>, including a NAIC report and a legislative report,</w:t>
      </w:r>
      <w:r>
        <w:t xml:space="preserve"> reflect such consideration would be flexible.  CW seeks judicial notice</w:t>
      </w:r>
      <w:r w:rsidR="00BE7B62">
        <w:t xml:space="preserve"> of these reports</w:t>
      </w:r>
      <w:r w:rsidR="0065086E">
        <w:t xml:space="preserve">. </w:t>
      </w:r>
      <w:r w:rsidR="00BE7B62">
        <w:t xml:space="preserve"> </w:t>
      </w:r>
    </w:p>
    <w:p w14:paraId="7D02063F" w14:textId="77777777" w:rsidR="000228C3" w:rsidRDefault="00BE7B62" w:rsidP="00DB5124">
      <w:pPr>
        <w:spacing w:line="360" w:lineRule="auto"/>
      </w:pPr>
      <w:r>
        <w:tab/>
      </w:r>
      <w:r w:rsidR="0031011C">
        <w:t>H</w:t>
      </w:r>
      <w:r>
        <w:t>istorical context can be relevant to statutory interpretation</w:t>
      </w:r>
      <w:r w:rsidR="004735B4">
        <w:t xml:space="preserve"> (</w:t>
      </w:r>
      <w:r w:rsidR="004735B4">
        <w:rPr>
          <w:i/>
          <w:iCs/>
        </w:rPr>
        <w:t>Spanish Speaking Citizens</w:t>
      </w:r>
      <w:r w:rsidR="004735B4">
        <w:t xml:space="preserve">, </w:t>
      </w:r>
      <w:r w:rsidR="004735B4">
        <w:rPr>
          <w:i/>
          <w:iCs/>
        </w:rPr>
        <w:t>supra</w:t>
      </w:r>
      <w:r w:rsidR="004735B4">
        <w:t>, 85 Cal.App.4th at p. 1214)</w:t>
      </w:r>
      <w:r>
        <w:t xml:space="preserve">, </w:t>
      </w:r>
      <w:r w:rsidR="0031011C">
        <w:t xml:space="preserve">but </w:t>
      </w:r>
      <w:r>
        <w:t>CW does not establish it sheds any light here.</w:t>
      </w:r>
      <w:r w:rsidR="008A444B">
        <w:t xml:space="preserve">  Even if CW were correct that the historical materials support flexibility in ratemaking </w:t>
      </w:r>
      <w:r w:rsidR="008A444B" w:rsidRPr="008A444B">
        <w:rPr>
          <w:i/>
          <w:iCs/>
        </w:rPr>
        <w:t>generally</w:t>
      </w:r>
      <w:r w:rsidR="008A444B">
        <w:t>, section 1861.05(a) uses specific language</w:t>
      </w:r>
      <w:r w:rsidR="0031011C">
        <w:t>.  I</w:t>
      </w:r>
      <w:r w:rsidR="008A444B">
        <w:t>t is the meaning of that</w:t>
      </w:r>
      <w:r w:rsidR="002846EE">
        <w:t xml:space="preserve"> </w:t>
      </w:r>
      <w:r w:rsidR="008A444B">
        <w:t>language</w:t>
      </w:r>
      <w:r w:rsidR="0031011C">
        <w:t xml:space="preserve"> that is </w:t>
      </w:r>
      <w:r w:rsidR="008A444B">
        <w:t>before us.</w:t>
      </w:r>
    </w:p>
    <w:p w14:paraId="51B68B15" w14:textId="58A20F6E" w:rsidR="000228C3" w:rsidRDefault="00BE7B62" w:rsidP="00DB5124">
      <w:pPr>
        <w:spacing w:line="360" w:lineRule="auto"/>
      </w:pPr>
      <w:r>
        <w:lastRenderedPageBreak/>
        <w:tab/>
        <w:t xml:space="preserve">In turn, we decline to take judicial notice of the reports, </w:t>
      </w:r>
      <w:r w:rsidR="000228C3">
        <w:t xml:space="preserve">as </w:t>
      </w:r>
      <w:r>
        <w:t>they are not relevant to disposition of this appea</w:t>
      </w:r>
      <w:r w:rsidR="000228C3">
        <w:t>l</w:t>
      </w:r>
      <w:bookmarkStart w:id="19" w:name="_Hlk79149405"/>
      <w:r>
        <w:t>.</w:t>
      </w:r>
      <w:r w:rsidR="000228C3">
        <w:t xml:space="preserve">  </w:t>
      </w:r>
      <w:r w:rsidR="00F53FFD" w:rsidRPr="00F53FFD">
        <w:t>(</w:t>
      </w:r>
      <w:r w:rsidR="0071438D" w:rsidRPr="0071438D">
        <w:rPr>
          <w:i/>
          <w:iCs/>
        </w:rPr>
        <w:t>Sup</w:t>
      </w:r>
      <w:r w:rsidR="001049CF">
        <w:rPr>
          <w:i/>
          <w:iCs/>
        </w:rPr>
        <w:t>erior</w:t>
      </w:r>
      <w:r w:rsidR="0071438D" w:rsidRPr="0071438D">
        <w:rPr>
          <w:i/>
          <w:iCs/>
        </w:rPr>
        <w:t xml:space="preserve"> C</w:t>
      </w:r>
      <w:r w:rsidR="001049CF">
        <w:rPr>
          <w:i/>
          <w:iCs/>
        </w:rPr>
        <w:t>our</w:t>
      </w:r>
      <w:r w:rsidR="0071438D" w:rsidRPr="0071438D">
        <w:rPr>
          <w:i/>
          <w:iCs/>
        </w:rPr>
        <w:t>t v. C</w:t>
      </w:r>
      <w:r w:rsidR="001049CF">
        <w:rPr>
          <w:i/>
          <w:iCs/>
        </w:rPr>
        <w:t>oun</w:t>
      </w:r>
      <w:r w:rsidR="0071438D" w:rsidRPr="0071438D">
        <w:rPr>
          <w:i/>
          <w:iCs/>
        </w:rPr>
        <w:t>ty of Mendocino</w:t>
      </w:r>
      <w:r w:rsidR="0071438D">
        <w:t xml:space="preserve"> (1996) 13 Cal.4th 45, 59</w:t>
      </w:r>
      <w:r w:rsidR="00FE7020">
        <w:t>,</w:t>
      </w:r>
      <w:r w:rsidR="0071438D">
        <w:t xml:space="preserve"> fn. 7 [denying judicial notice of irrelevant material].)  </w:t>
      </w:r>
      <w:bookmarkEnd w:id="19"/>
      <w:r w:rsidR="000228C3">
        <w:t>Additionally, there is no indication the voters were presented with these reports, or even their subject matter.  The ballot pamphlet, which is in the record, focused on reducing rates and imposing regulations</w:t>
      </w:r>
      <w:r w:rsidR="0031011C">
        <w:t>—</w:t>
      </w:r>
      <w:r w:rsidR="000228C3">
        <w:t xml:space="preserve">not ratemaking methodology. </w:t>
      </w:r>
      <w:r w:rsidR="0065086E">
        <w:t xml:space="preserve"> (Se</w:t>
      </w:r>
      <w:r w:rsidR="000228C3">
        <w:t>e</w:t>
      </w:r>
      <w:r w:rsidR="0065086E">
        <w:t xml:space="preserve"> </w:t>
      </w:r>
      <w:r w:rsidR="0065086E" w:rsidRPr="005630A2">
        <w:rPr>
          <w:i/>
          <w:iCs/>
        </w:rPr>
        <w:t>20th Century</w:t>
      </w:r>
      <w:r w:rsidR="0065086E" w:rsidRPr="005630A2">
        <w:t xml:space="preserve">, </w:t>
      </w:r>
      <w:r w:rsidR="0065086E" w:rsidRPr="00EF665F">
        <w:rPr>
          <w:i/>
          <w:iCs/>
        </w:rPr>
        <w:t>supra</w:t>
      </w:r>
      <w:r w:rsidR="0065086E" w:rsidRPr="005630A2">
        <w:t>, 8 Cal.4th</w:t>
      </w:r>
      <w:r w:rsidR="0065086E" w:rsidRPr="005630A2">
        <w:rPr>
          <w:i/>
          <w:iCs/>
        </w:rPr>
        <w:t xml:space="preserve"> </w:t>
      </w:r>
      <w:r w:rsidR="0065086E" w:rsidRPr="005630A2">
        <w:t xml:space="preserve">at pp. 269-270, fn. 8 [denying notice of flyers “purportedly” distributed to voters during Proposition 103 campaign, because party failed to persuade </w:t>
      </w:r>
      <w:r w:rsidR="000228C3">
        <w:t>court</w:t>
      </w:r>
      <w:r w:rsidR="0065086E" w:rsidRPr="005630A2">
        <w:t xml:space="preserve"> that contents may be noticed]</w:t>
      </w:r>
      <w:r w:rsidR="000228C3">
        <w:t xml:space="preserve">; cf. </w:t>
      </w:r>
      <w:r w:rsidR="000228C3" w:rsidRPr="000228C3">
        <w:rPr>
          <w:i/>
          <w:iCs/>
        </w:rPr>
        <w:t>Legislature v. Eu</w:t>
      </w:r>
      <w:r w:rsidR="000228C3" w:rsidRPr="000228C3">
        <w:t xml:space="preserve"> (1991) 54 Cal.3d 492, 504-505 [appropriate to consider ballot pamphlets presented to voters in determining meaning of proposition]</w:t>
      </w:r>
      <w:r w:rsidR="000228C3">
        <w:t>.)</w:t>
      </w:r>
    </w:p>
    <w:bookmarkEnd w:id="14"/>
    <w:p w14:paraId="6302898E" w14:textId="77777777" w:rsidR="00ED49A6" w:rsidRPr="00777AE2" w:rsidRDefault="002C46EA" w:rsidP="00DB5124">
      <w:pPr>
        <w:pStyle w:val="Heading1"/>
        <w:keepLines w:val="0"/>
        <w:spacing w:before="0" w:line="360" w:lineRule="auto"/>
        <w:contextualSpacing/>
        <w:rPr>
          <w:rFonts w:ascii="Century Schoolbook" w:eastAsia="Calibri" w:hAnsi="Century Schoolbook" w:cs="Times New Roman"/>
          <w:i/>
          <w:color w:val="auto"/>
          <w:sz w:val="26"/>
          <w:szCs w:val="26"/>
        </w:rPr>
      </w:pPr>
      <w:r w:rsidRPr="00777AE2">
        <w:rPr>
          <w:rFonts w:ascii="Century Schoolbook" w:eastAsia="Calibri" w:hAnsi="Century Schoolbook" w:cs="Times New Roman"/>
          <w:iCs/>
          <w:color w:val="auto"/>
          <w:sz w:val="26"/>
          <w:szCs w:val="26"/>
        </w:rPr>
        <w:t>C</w:t>
      </w:r>
      <w:r w:rsidR="00514474" w:rsidRPr="00777AE2">
        <w:rPr>
          <w:rFonts w:ascii="Century Schoolbook" w:eastAsia="Calibri" w:hAnsi="Century Schoolbook" w:cs="Times New Roman"/>
          <w:iCs/>
          <w:color w:val="auto"/>
          <w:sz w:val="26"/>
          <w:szCs w:val="26"/>
        </w:rPr>
        <w:t>.</w:t>
      </w:r>
      <w:r w:rsidR="00ED49A6" w:rsidRPr="00777AE2">
        <w:rPr>
          <w:rFonts w:ascii="Century Schoolbook" w:eastAsia="Calibri" w:hAnsi="Century Schoolbook" w:cs="Times New Roman"/>
          <w:i/>
          <w:color w:val="auto"/>
          <w:sz w:val="26"/>
          <w:szCs w:val="26"/>
        </w:rPr>
        <w:tab/>
      </w:r>
      <w:r w:rsidR="00075BD8">
        <w:rPr>
          <w:rFonts w:ascii="Century Schoolbook" w:eastAsia="Calibri" w:hAnsi="Century Schoolbook" w:cs="Times New Roman"/>
          <w:i/>
          <w:color w:val="auto"/>
          <w:sz w:val="26"/>
          <w:szCs w:val="26"/>
        </w:rPr>
        <w:t>Regulation section 2644.20</w:t>
      </w:r>
    </w:p>
    <w:p w14:paraId="7364001F" w14:textId="77777777" w:rsidR="00A7703C" w:rsidRDefault="00BA5825" w:rsidP="00DB5124">
      <w:pPr>
        <w:spacing w:line="360" w:lineRule="auto"/>
      </w:pPr>
      <w:r w:rsidRPr="00777AE2">
        <w:tab/>
        <w:t>We now turn to the</w:t>
      </w:r>
      <w:r w:rsidR="003E3F0E" w:rsidRPr="00777AE2">
        <w:t xml:space="preserve"> </w:t>
      </w:r>
      <w:r w:rsidR="00EB7D34">
        <w:t>heart of this matter</w:t>
      </w:r>
      <w:r w:rsidR="003E3F0E" w:rsidRPr="00777AE2">
        <w:t xml:space="preserve">: </w:t>
      </w:r>
      <w:r w:rsidR="000242CB" w:rsidRPr="00777AE2">
        <w:t xml:space="preserve"> whether the Commissioner’s interpretation </w:t>
      </w:r>
      <w:r w:rsidR="00EB7D34">
        <w:t xml:space="preserve">and application of </w:t>
      </w:r>
      <w:r w:rsidR="00075BD8">
        <w:t>regulation section 2644.20</w:t>
      </w:r>
      <w:r w:rsidR="00EB7D34">
        <w:t xml:space="preserve"> in</w:t>
      </w:r>
      <w:r w:rsidR="000242CB" w:rsidRPr="00777AE2">
        <w:t xml:space="preserve"> SFG’s</w:t>
      </w:r>
      <w:r w:rsidR="000242CB">
        <w:t xml:space="preserve"> rate </w:t>
      </w:r>
      <w:r w:rsidR="00EB7D34">
        <w:t xml:space="preserve">hearing </w:t>
      </w:r>
      <w:r w:rsidR="000242CB">
        <w:t xml:space="preserve">was consistent with section 1861.05(a).  We conclude </w:t>
      </w:r>
      <w:r w:rsidR="003B2334">
        <w:t xml:space="preserve">it was not.  We also </w:t>
      </w:r>
      <w:r w:rsidR="000242CB">
        <w:t>reject</w:t>
      </w:r>
      <w:r w:rsidR="00B079AE">
        <w:t xml:space="preserve"> </w:t>
      </w:r>
      <w:r w:rsidR="003B2334">
        <w:t>Appellants’</w:t>
      </w:r>
      <w:r w:rsidR="000242CB">
        <w:t xml:space="preserve"> arguments </w:t>
      </w:r>
      <w:r w:rsidR="00B079AE">
        <w:t xml:space="preserve">that </w:t>
      </w:r>
      <w:r w:rsidR="000242CB">
        <w:t>the Commissioner’s</w:t>
      </w:r>
      <w:r w:rsidR="00B079AE">
        <w:t xml:space="preserve"> interpretation </w:t>
      </w:r>
      <w:r w:rsidR="00EB7D34">
        <w:t xml:space="preserve">of the regulation </w:t>
      </w:r>
      <w:r w:rsidR="00B079AE">
        <w:t xml:space="preserve">satisfies various </w:t>
      </w:r>
      <w:r w:rsidR="0070209A">
        <w:t>objectives under</w:t>
      </w:r>
      <w:r w:rsidR="00B079AE">
        <w:t xml:space="preserve"> Proposition 103</w:t>
      </w:r>
      <w:r w:rsidR="0070209A">
        <w:t xml:space="preserve"> </w:t>
      </w:r>
      <w:r w:rsidR="000242CB">
        <w:t>or</w:t>
      </w:r>
      <w:r w:rsidR="0070209A">
        <w:t xml:space="preserve"> </w:t>
      </w:r>
      <w:r w:rsidR="00B079AE">
        <w:t>warrants deference.</w:t>
      </w:r>
    </w:p>
    <w:p w14:paraId="5E65A8E9" w14:textId="77777777" w:rsidR="00E632E6" w:rsidRDefault="00E632E6" w:rsidP="00DB5124">
      <w:pPr>
        <w:pStyle w:val="Heading2"/>
        <w:spacing w:line="360" w:lineRule="auto"/>
        <w:ind w:firstLine="720"/>
        <w:rPr>
          <w:rFonts w:cs="Times New Roman"/>
          <w:i/>
          <w:iCs/>
        </w:rPr>
      </w:pPr>
      <w:r w:rsidRPr="00023F00">
        <w:rPr>
          <w:rFonts w:cs="Times New Roman"/>
        </w:rPr>
        <w:t>1.</w:t>
      </w:r>
      <w:r w:rsidR="000242CB" w:rsidRPr="00023F00">
        <w:rPr>
          <w:rFonts w:cs="Times New Roman"/>
          <w:i/>
          <w:iCs/>
        </w:rPr>
        <w:tab/>
      </w:r>
      <w:r w:rsidR="0065086E" w:rsidRPr="00023F00">
        <w:rPr>
          <w:rFonts w:cs="Times New Roman"/>
          <w:i/>
          <w:iCs/>
        </w:rPr>
        <w:t xml:space="preserve">Regulation </w:t>
      </w:r>
      <w:r w:rsidR="003F3568">
        <w:rPr>
          <w:rFonts w:cs="Times New Roman"/>
          <w:i/>
          <w:iCs/>
        </w:rPr>
        <w:t>Language and Application</w:t>
      </w:r>
    </w:p>
    <w:p w14:paraId="7D0DD206" w14:textId="2BC8DB78" w:rsidR="0036104C" w:rsidRPr="0036104C" w:rsidRDefault="00E632E6" w:rsidP="00DB5124">
      <w:pPr>
        <w:spacing w:line="360" w:lineRule="auto"/>
        <w:rPr>
          <w:i/>
          <w:iCs/>
        </w:rPr>
      </w:pPr>
      <w:r>
        <w:tab/>
      </w:r>
      <w:r w:rsidR="00075BD8">
        <w:t>Regulation section 2644.20</w:t>
      </w:r>
      <w:r w:rsidR="0016607A">
        <w:t>, subdivision (a)</w:t>
      </w:r>
      <w:r w:rsidR="0008609A">
        <w:t xml:space="preserve"> </w:t>
      </w:r>
      <w:r w:rsidR="003B2334">
        <w:t>states projected yield</w:t>
      </w:r>
      <w:r w:rsidR="00FC1AE8">
        <w:t xml:space="preserve"> </w:t>
      </w:r>
      <w:r w:rsidR="003B2334" w:rsidRPr="003B2334">
        <w:t xml:space="preserve">means the </w:t>
      </w:r>
      <w:r w:rsidR="003B2334">
        <w:t>“</w:t>
      </w:r>
      <w:r w:rsidR="003B2334" w:rsidRPr="003B2334">
        <w:t>weighted average yield</w:t>
      </w:r>
      <w:r w:rsidR="00815060">
        <w:t> . . . </w:t>
      </w:r>
      <w:r w:rsidR="003B2334" w:rsidRPr="003B2334">
        <w:t>using the insurer</w:t>
      </w:r>
      <w:r w:rsidR="003B2334">
        <w:t>’</w:t>
      </w:r>
      <w:r w:rsidR="003B2334" w:rsidRPr="003B2334">
        <w:t>s actual portfolio</w:t>
      </w:r>
      <w:r w:rsidR="003B2334">
        <w:t xml:space="preserve">,” and that </w:t>
      </w:r>
      <w:r w:rsidR="0036104C">
        <w:t>the “</w:t>
      </w:r>
      <w:r w:rsidR="003B2334" w:rsidRPr="003B2334">
        <w:t>weights shall be determined using the insurer</w:t>
      </w:r>
      <w:r w:rsidR="0036104C">
        <w:t>’</w:t>
      </w:r>
      <w:r w:rsidR="003B2334" w:rsidRPr="003B2334">
        <w:t>s most recent consolidated statutory annual statement</w:t>
      </w:r>
      <w:r w:rsidR="003B2334">
        <w:t>.”</w:t>
      </w:r>
      <w:r w:rsidR="00C77B0F">
        <w:t xml:space="preserve"> </w:t>
      </w:r>
      <w:r w:rsidR="003B2334">
        <w:t xml:space="preserve"> Appellants maintain this language unambiguously and properly require</w:t>
      </w:r>
      <w:r w:rsidR="0036104C">
        <w:t>s</w:t>
      </w:r>
      <w:r w:rsidR="003B2334">
        <w:t xml:space="preserve"> the Commissioner to use State Farm Group’s combined statement </w:t>
      </w:r>
      <w:r w:rsidR="0036104C">
        <w:t>for</w:t>
      </w:r>
      <w:r w:rsidR="003B2334">
        <w:t xml:space="preserve"> SFG rate proceeding</w:t>
      </w:r>
      <w:r w:rsidR="0036104C">
        <w:t>s</w:t>
      </w:r>
      <w:r w:rsidR="003B2334">
        <w:t xml:space="preserve">.  SFG contends this interpretation and application of the regulation </w:t>
      </w:r>
      <w:r w:rsidR="0036104C">
        <w:t>is</w:t>
      </w:r>
      <w:r w:rsidR="003B2334">
        <w:t xml:space="preserve"> </w:t>
      </w:r>
      <w:r w:rsidR="0036104C">
        <w:t xml:space="preserve">internally inconsistent, as </w:t>
      </w:r>
      <w:r w:rsidR="0036104C">
        <w:lastRenderedPageBreak/>
        <w:t>there is no consolidated statement for SFG that reflect</w:t>
      </w:r>
      <w:r w:rsidR="008841F5">
        <w:t>s</w:t>
      </w:r>
      <w:r w:rsidR="0036104C">
        <w:t xml:space="preserve"> its actual portfolio, and that using the group</w:t>
      </w:r>
      <w:r w:rsidR="005F0967">
        <w:t>’s</w:t>
      </w:r>
      <w:r w:rsidR="0036104C">
        <w:t xml:space="preserve"> statement violates section 1861.05(a)’s requirement that the rate reflect </w:t>
      </w:r>
      <w:r w:rsidR="0036104C" w:rsidRPr="008841F5">
        <w:t>SFG’s</w:t>
      </w:r>
      <w:r w:rsidR="0036104C">
        <w:t xml:space="preserve"> investment income.  </w:t>
      </w:r>
      <w:r w:rsidR="005F0967">
        <w:t>We agree with SFG.</w:t>
      </w:r>
    </w:p>
    <w:p w14:paraId="163F3927" w14:textId="0D355335" w:rsidR="00491459" w:rsidRDefault="0036104C" w:rsidP="00DB5124">
      <w:pPr>
        <w:spacing w:line="360" w:lineRule="auto"/>
      </w:pPr>
      <w:r>
        <w:tab/>
        <w:t xml:space="preserve">We begin with the regulation language, and </w:t>
      </w:r>
      <w:r w:rsidR="005F0967">
        <w:t>conclude</w:t>
      </w:r>
      <w:r>
        <w:t xml:space="preserve"> it does not neatly apply to an insurer </w:t>
      </w:r>
      <w:r w:rsidR="001421A0">
        <w:t xml:space="preserve">that either does not participate in a group, or does, but without </w:t>
      </w:r>
      <w:r w:rsidR="00756DAF" w:rsidRPr="0071438D">
        <w:t>pooling assets</w:t>
      </w:r>
      <w:r w:rsidR="0071438D" w:rsidRPr="0071438D">
        <w:t xml:space="preserve"> or income</w:t>
      </w:r>
      <w:r w:rsidR="001421A0">
        <w:t xml:space="preserve"> with other group members. </w:t>
      </w:r>
      <w:r w:rsidR="00D66369">
        <w:t xml:space="preserve"> “Actual” means “existing in fact or reality,” or “existing . . . at the time.”  (</w:t>
      </w:r>
      <w:r w:rsidR="00D66369" w:rsidRPr="00216609">
        <w:t>Webster’s Dict</w:t>
      </w:r>
      <w:r w:rsidR="00D66369">
        <w:t>.</w:t>
      </w:r>
      <w:r w:rsidR="006A7568">
        <w:t>, at p. 13.</w:t>
      </w:r>
      <w:r w:rsidR="00D66369">
        <w:t>)  “Portfolio,” in, this context, refers to “[t]</w:t>
      </w:r>
      <w:r w:rsidR="00D66369" w:rsidRPr="00667EE2">
        <w:t>he various securities or other investments held by an investor at any given time</w:t>
      </w:r>
      <w:r w:rsidR="00D66369">
        <w:t>.”  (</w:t>
      </w:r>
      <w:r w:rsidR="00D66369" w:rsidRPr="00667EE2">
        <w:t>Black</w:t>
      </w:r>
      <w:r w:rsidR="00641EAD">
        <w:t>’</w:t>
      </w:r>
      <w:r w:rsidR="00D66369" w:rsidRPr="00667EE2">
        <w:t>s Law Dictionary</w:t>
      </w:r>
      <w:r w:rsidR="00D66369">
        <w:t xml:space="preserve"> </w:t>
      </w:r>
      <w:r w:rsidR="006A00D9">
        <w:t>(</w:t>
      </w:r>
      <w:r w:rsidR="00D66369">
        <w:t xml:space="preserve">9th </w:t>
      </w:r>
      <w:r w:rsidR="0090290B">
        <w:t>e</w:t>
      </w:r>
      <w:r w:rsidR="00D66369">
        <w:t>d. 2009</w:t>
      </w:r>
      <w:r w:rsidR="006A00D9">
        <w:t>) p. 1280</w:t>
      </w:r>
      <w:r w:rsidR="00D66369">
        <w:t xml:space="preserve">; </w:t>
      </w:r>
      <w:r w:rsidR="001421A0">
        <w:t>Webster’s Dict.</w:t>
      </w:r>
      <w:r w:rsidR="006A7568">
        <w:t>, at p. 967</w:t>
      </w:r>
      <w:r w:rsidR="001421A0">
        <w:t xml:space="preserve"> [accord]</w:t>
      </w:r>
      <w:r w:rsidR="00D66369">
        <w:t xml:space="preserve">.)  Thus, </w:t>
      </w:r>
      <w:r w:rsidR="003A12BF">
        <w:t xml:space="preserve">an </w:t>
      </w:r>
      <w:r w:rsidR="00781A24">
        <w:t>insurer’s</w:t>
      </w:r>
      <w:r w:rsidR="003A12BF">
        <w:t xml:space="preserve"> “actual portfolio” </w:t>
      </w:r>
      <w:r w:rsidR="00D66369">
        <w:t>is the set of investments held</w:t>
      </w:r>
      <w:r w:rsidR="00302433">
        <w:t xml:space="preserve"> by</w:t>
      </w:r>
      <w:r w:rsidR="00D66369">
        <w:t xml:space="preserve"> </w:t>
      </w:r>
      <w:r w:rsidR="003A12BF">
        <w:t xml:space="preserve">the </w:t>
      </w:r>
      <w:r w:rsidR="00781A24">
        <w:t>insurer</w:t>
      </w:r>
      <w:r w:rsidR="00D66369">
        <w:t xml:space="preserve"> at </w:t>
      </w:r>
      <w:r w:rsidR="003A12BF">
        <w:t>that</w:t>
      </w:r>
      <w:r w:rsidR="00D66369">
        <w:t xml:space="preserve"> time.</w:t>
      </w:r>
      <w:r w:rsidR="005075FC">
        <w:t xml:space="preserve">  As for the phrase</w:t>
      </w:r>
      <w:r w:rsidR="001421A0">
        <w:t xml:space="preserve"> “consolidated statutory annual statement</w:t>
      </w:r>
      <w:r w:rsidR="00756DAF">
        <w:t>,</w:t>
      </w:r>
      <w:r w:rsidR="005075FC">
        <w:t xml:space="preserve">” the statute only requires annual financial statements (§ 900); the combined group statement is a NAIC filing.  </w:t>
      </w:r>
      <w:r w:rsidR="00756DAF">
        <w:t>F</w:t>
      </w:r>
      <w:r w:rsidR="001421A0">
        <w:t>or an insurer that pools assets within a group, th</w:t>
      </w:r>
      <w:r w:rsidR="00756DAF">
        <w:t>e</w:t>
      </w:r>
      <w:r w:rsidR="001421A0">
        <w:t xml:space="preserve"> </w:t>
      </w:r>
      <w:r w:rsidR="00756DAF">
        <w:t xml:space="preserve">combined statement arguably could serve as a “consolidated statutory annual statement,” and </w:t>
      </w:r>
      <w:r w:rsidR="008841F5">
        <w:t xml:space="preserve">it </w:t>
      </w:r>
      <w:r w:rsidR="00756DAF">
        <w:t>could reflect its actual portfolio.  However,</w:t>
      </w:r>
      <w:r w:rsidR="001421A0">
        <w:t xml:space="preserve"> an insurer that does not</w:t>
      </w:r>
      <w:r w:rsidR="005075FC">
        <w:t xml:space="preserve"> pool assets, like SFG, does not have a “consolidated statutory annual statement” </w:t>
      </w:r>
      <w:r w:rsidR="00756DAF">
        <w:t xml:space="preserve">in any meaningful sense, </w:t>
      </w:r>
      <w:r w:rsidR="005075FC">
        <w:t xml:space="preserve">and any group statement in which it participates reflects only the </w:t>
      </w:r>
      <w:r w:rsidR="005075FC">
        <w:rPr>
          <w:i/>
          <w:iCs/>
        </w:rPr>
        <w:t>group’s</w:t>
      </w:r>
      <w:r w:rsidR="005075FC">
        <w:t xml:space="preserve"> portfolio</w:t>
      </w:r>
      <w:r w:rsidR="00417A11">
        <w:t>—not its actual portfolio</w:t>
      </w:r>
      <w:r w:rsidR="005075FC">
        <w:t xml:space="preserve">. </w:t>
      </w:r>
    </w:p>
    <w:p w14:paraId="12804225" w14:textId="405CDFF0" w:rsidR="00781A24" w:rsidRDefault="005075FC" w:rsidP="00DB5124">
      <w:pPr>
        <w:spacing w:line="360" w:lineRule="auto"/>
      </w:pPr>
      <w:r>
        <w:tab/>
        <w:t>Accordingly,</w:t>
      </w:r>
      <w:r w:rsidR="00417A11">
        <w:t xml:space="preserve"> </w:t>
      </w:r>
      <w:r>
        <w:t xml:space="preserve">in applying </w:t>
      </w:r>
      <w:r w:rsidR="00AF4D6B">
        <w:t>regulation section 2644.20</w:t>
      </w:r>
      <w:r w:rsidR="00417A11">
        <w:t xml:space="preserve"> to an insurer like SFG</w:t>
      </w:r>
      <w:r>
        <w:t>, the</w:t>
      </w:r>
      <w:r w:rsidR="00756DAF">
        <w:t>re</w:t>
      </w:r>
      <w:r>
        <w:t xml:space="preserve"> </w:t>
      </w:r>
      <w:r w:rsidR="00756DAF">
        <w:t>are</w:t>
      </w:r>
      <w:r w:rsidR="00417A11">
        <w:t xml:space="preserve"> two options:  (i) capture SFG’s actual portfolio by using its individual statement, and forego using a combined statement; or</w:t>
      </w:r>
      <w:r>
        <w:t xml:space="preserve"> </w:t>
      </w:r>
      <w:r w:rsidR="00417A11">
        <w:t>(ii)</w:t>
      </w:r>
      <w:r>
        <w:t xml:space="preserve"> use </w:t>
      </w:r>
      <w:r w:rsidR="00417A11">
        <w:t>State Farm Group’s</w:t>
      </w:r>
      <w:r>
        <w:t xml:space="preserve"> </w:t>
      </w:r>
      <w:r w:rsidR="00417A11">
        <w:t>combined</w:t>
      </w:r>
      <w:r>
        <w:t xml:space="preserve"> annual statement and forego </w:t>
      </w:r>
      <w:r w:rsidR="00417A11">
        <w:t>reflecting</w:t>
      </w:r>
      <w:r>
        <w:t xml:space="preserve"> SFG’s actual portfolio.</w:t>
      </w:r>
      <w:r w:rsidR="00756DAF">
        <w:t xml:space="preserve">  </w:t>
      </w:r>
      <w:r w:rsidR="00417A11">
        <w:t xml:space="preserve">This brings us back to the statute, because only the first interpretation </w:t>
      </w:r>
      <w:r w:rsidR="008841F5">
        <w:t>is consistent</w:t>
      </w:r>
      <w:r w:rsidR="00417A11">
        <w:t xml:space="preserve"> with section 1861.05(a).  As discussed </w:t>
      </w:r>
      <w:r w:rsidR="00417A11">
        <w:rPr>
          <w:i/>
          <w:iCs/>
        </w:rPr>
        <w:t>ante</w:t>
      </w:r>
      <w:r w:rsidR="00417A11">
        <w:t xml:space="preserve">, the statute requires the Commissioner to use the </w:t>
      </w:r>
      <w:r w:rsidR="00417A11" w:rsidRPr="00417A11">
        <w:rPr>
          <w:i/>
          <w:iCs/>
        </w:rPr>
        <w:t>insur</w:t>
      </w:r>
      <w:r w:rsidR="00AF4D6B">
        <w:rPr>
          <w:i/>
          <w:iCs/>
        </w:rPr>
        <w:t>ance company</w:t>
      </w:r>
      <w:r w:rsidR="00417A11" w:rsidRPr="00417A11">
        <w:rPr>
          <w:i/>
          <w:iCs/>
        </w:rPr>
        <w:t>’s</w:t>
      </w:r>
      <w:r w:rsidR="00417A11">
        <w:t xml:space="preserve"> actual </w:t>
      </w:r>
      <w:r w:rsidR="00417A11">
        <w:lastRenderedPageBreak/>
        <w:t>projected investment income, not some approximation thereof</w:t>
      </w:r>
      <w:r w:rsidR="00AF4D6B">
        <w:t xml:space="preserve">.  </w:t>
      </w:r>
      <w:r>
        <w:t>(</w:t>
      </w:r>
      <w:r w:rsidR="008D1D2D">
        <w:t>See</w:t>
      </w:r>
      <w:r>
        <w:t xml:space="preserve"> </w:t>
      </w:r>
      <w:r w:rsidR="00EE5164" w:rsidRPr="00EE5164">
        <w:rPr>
          <w:i/>
          <w:iCs/>
        </w:rPr>
        <w:t>ASIC</w:t>
      </w:r>
      <w:r w:rsidR="00EE5164" w:rsidRPr="00EE5164">
        <w:t xml:space="preserve">, </w:t>
      </w:r>
      <w:r w:rsidR="00EE5164" w:rsidRPr="00A84DA7">
        <w:rPr>
          <w:i/>
          <w:iCs/>
        </w:rPr>
        <w:t>supra</w:t>
      </w:r>
      <w:r w:rsidR="00EE5164" w:rsidRPr="00EE5164">
        <w:t>, 2 Cal.5th at p. 390</w:t>
      </w:r>
      <w:r w:rsidR="00EE5164">
        <w:t xml:space="preserve"> [regulation must fit within statutory authority]; </w:t>
      </w:r>
      <w:r w:rsidRPr="00E632E6">
        <w:rPr>
          <w:i/>
          <w:iCs/>
        </w:rPr>
        <w:t>Poizner</w:t>
      </w:r>
      <w:r w:rsidRPr="00E632E6">
        <w:t xml:space="preserve">, </w:t>
      </w:r>
      <w:r w:rsidRPr="00E632E6">
        <w:rPr>
          <w:i/>
          <w:iCs/>
        </w:rPr>
        <w:t>supra</w:t>
      </w:r>
      <w:r w:rsidRPr="00E632E6">
        <w:t>, 180 Cal.App.4th at p. 1044</w:t>
      </w:r>
      <w:r w:rsidR="00EE5164">
        <w:t xml:space="preserve"> [</w:t>
      </w:r>
      <w:r w:rsidR="008841F5">
        <w:t>accord</w:t>
      </w:r>
      <w:r w:rsidR="00EE5164">
        <w:t>]</w:t>
      </w:r>
      <w:r>
        <w:t>.)</w:t>
      </w:r>
      <w:r w:rsidR="00AF4D6B">
        <w:t xml:space="preserve">  T</w:t>
      </w:r>
      <w:r w:rsidR="00AF4D6B" w:rsidRPr="00AF4D6B">
        <w:t xml:space="preserve">he need to </w:t>
      </w:r>
      <w:r w:rsidR="008841F5">
        <w:t>focus on</w:t>
      </w:r>
      <w:r w:rsidR="00AF4D6B">
        <w:t xml:space="preserve"> the </w:t>
      </w:r>
      <w:r w:rsidR="008841F5">
        <w:t xml:space="preserve">applicant </w:t>
      </w:r>
      <w:r w:rsidR="00AF4D6B">
        <w:t>insurer</w:t>
      </w:r>
      <w:r w:rsidR="008841F5">
        <w:t xml:space="preserve"> </w:t>
      </w:r>
      <w:r w:rsidR="00AF4D6B" w:rsidRPr="00AF4D6B">
        <w:t xml:space="preserve">is particularly evident here, where the insurer and group have different asset portfolios, and asset distribution drives </w:t>
      </w:r>
      <w:r w:rsidR="00AF4D6B">
        <w:t xml:space="preserve">the projected yield calculation.  (Reg. § 2644.20, subd. (a).)  </w:t>
      </w:r>
      <w:r w:rsidR="00417A11">
        <w:t xml:space="preserve">Accordingly, the Commissioner’s use of State Farm Group’s combined annual statement to calculate SFG’s projected yield </w:t>
      </w:r>
      <w:r w:rsidR="00417A11" w:rsidRPr="00E80AF9">
        <w:t>violates section 1861.05(a).</w:t>
      </w:r>
      <w:r w:rsidR="00417A11">
        <w:t xml:space="preserve"> </w:t>
      </w:r>
    </w:p>
    <w:p w14:paraId="5D764906" w14:textId="75B5C46E" w:rsidR="00384AC2" w:rsidRDefault="00781A24" w:rsidP="00DB5124">
      <w:pPr>
        <w:spacing w:line="360" w:lineRule="auto"/>
      </w:pPr>
      <w:r>
        <w:tab/>
        <w:t>The Commissioner’s arguments to the contrary lack force.</w:t>
      </w:r>
      <w:r w:rsidR="00384AC2">
        <w:t xml:space="preserve">  </w:t>
      </w:r>
      <w:r w:rsidR="00E80AF9">
        <w:t xml:space="preserve">In the Rate Order, he </w:t>
      </w:r>
      <w:r>
        <w:t>found “no conflict between the terms ‘insurer’s actual portfolio’ and ‘consolidated statutory annual statement</w:t>
      </w:r>
      <w:r w:rsidR="00D50657">
        <w:t>’</w:t>
      </w:r>
      <w:r>
        <w:t xml:space="preserve"> because Applicant’s consolidated annual statement is Applicant’s actual portfolio on a group basis.” </w:t>
      </w:r>
      <w:r w:rsidR="009E36EF">
        <w:t xml:space="preserve"> CW echoes this argument here.  </w:t>
      </w:r>
      <w:r>
        <w:t>But the regulation calls for the</w:t>
      </w:r>
      <w:r w:rsidR="00E80AF9">
        <w:t xml:space="preserve"> “insurer’s </w:t>
      </w:r>
      <w:r w:rsidR="00E80AF9" w:rsidRPr="00781A24">
        <w:rPr>
          <w:i/>
          <w:iCs/>
        </w:rPr>
        <w:t>actual portfolio</w:t>
      </w:r>
      <w:r w:rsidR="00E80AF9">
        <w:t>,” not the “insurer’s actual portfolio on a group basis</w:t>
      </w:r>
      <w:r>
        <w:t xml:space="preserve">.”  (Reg. </w:t>
      </w:r>
      <w:r w:rsidR="00B1511F">
        <w:t>§</w:t>
      </w:r>
      <w:r w:rsidR="00E31DCC">
        <w:t> </w:t>
      </w:r>
      <w:r>
        <w:t xml:space="preserve">2644.20.)  And, regardless, the statute still requires the rate to </w:t>
      </w:r>
      <w:r w:rsidR="00E80AF9">
        <w:t>“mathematical</w:t>
      </w:r>
      <w:r>
        <w:t>ly</w:t>
      </w:r>
      <w:r w:rsidR="00E80AF9">
        <w:t xml:space="preserve"> reflect</w:t>
      </w:r>
      <w:r w:rsidR="008841F5">
        <w:t>[]</w:t>
      </w:r>
      <w:r w:rsidR="00E80AF9">
        <w:t>” the “insurance company’s investment income”</w:t>
      </w:r>
      <w:r>
        <w:t>—</w:t>
      </w:r>
      <w:r w:rsidR="00E80AF9">
        <w:t>not th</w:t>
      </w:r>
      <w:r>
        <w:t>at of the</w:t>
      </w:r>
      <w:r w:rsidR="00E80AF9">
        <w:t xml:space="preserve"> insurance company and </w:t>
      </w:r>
      <w:r>
        <w:t xml:space="preserve">its affiliates.  </w:t>
      </w:r>
      <w:r w:rsidR="00E80AF9">
        <w:t>(§ 1861.05(a).)</w:t>
      </w:r>
      <w:r w:rsidR="00CF19B6">
        <w:t xml:space="preserve">  </w:t>
      </w:r>
    </w:p>
    <w:p w14:paraId="1DDC653E" w14:textId="6A331350" w:rsidR="00BA5C5F" w:rsidRDefault="00384AC2" w:rsidP="00DB5124">
      <w:pPr>
        <w:spacing w:line="360" w:lineRule="auto"/>
      </w:pPr>
      <w:r>
        <w:tab/>
      </w:r>
      <w:r w:rsidR="00781A24">
        <w:t>T</w:t>
      </w:r>
      <w:r w:rsidR="00E80AF9">
        <w:t>he Commissioner</w:t>
      </w:r>
      <w:r w:rsidR="00781A24">
        <w:t xml:space="preserve"> further </w:t>
      </w:r>
      <w:r w:rsidR="00B82125">
        <w:t xml:space="preserve">contends </w:t>
      </w:r>
      <w:r w:rsidR="004A2167">
        <w:t>here</w:t>
      </w:r>
      <w:r w:rsidR="00781A24">
        <w:t xml:space="preserve"> that the </w:t>
      </w:r>
      <w:r w:rsidR="00E80AF9">
        <w:t>regulation “</w:t>
      </w:r>
      <w:r w:rsidR="00E80AF9" w:rsidRPr="005D79FA">
        <w:t xml:space="preserve">defines </w:t>
      </w:r>
      <w:r w:rsidR="00E80AF9">
        <w:t>‘</w:t>
      </w:r>
      <w:r w:rsidR="00E80AF9" w:rsidRPr="005D79FA">
        <w:t>actual portfolio</w:t>
      </w:r>
      <w:r w:rsidR="00C77B0F">
        <w:t>’</w:t>
      </w:r>
      <w:r w:rsidR="00E80AF9" w:rsidRPr="005D79FA">
        <w:t xml:space="preserve"> to mean the investments reported in the </w:t>
      </w:r>
      <w:r w:rsidR="00C77B0F">
        <w:t>‘</w:t>
      </w:r>
      <w:r w:rsidR="00E80AF9" w:rsidRPr="005D79FA">
        <w:t>insurer’s consolidated annual statement</w:t>
      </w:r>
      <w:r w:rsidR="00E80AF9">
        <w:t>,</w:t>
      </w:r>
      <w:r w:rsidR="00846D6F">
        <w:t xml:space="preserve">’ </w:t>
      </w:r>
      <w:r w:rsidR="00E80AF9">
        <w:t xml:space="preserve">” noting </w:t>
      </w:r>
      <w:r w:rsidR="00B82125">
        <w:t xml:space="preserve">the term </w:t>
      </w:r>
      <w:r w:rsidR="00E80AF9">
        <w:t xml:space="preserve">“actual portfolio” </w:t>
      </w:r>
      <w:r w:rsidR="00B82125">
        <w:t xml:space="preserve">does </w:t>
      </w:r>
      <w:r w:rsidR="00E80AF9">
        <w:t xml:space="preserve">not appear in Proposition 103. </w:t>
      </w:r>
      <w:r w:rsidR="006A4AE1">
        <w:t xml:space="preserve"> But s</w:t>
      </w:r>
      <w:r w:rsidR="00D66369">
        <w:t xml:space="preserve">tatutory interpretation </w:t>
      </w:r>
      <w:r w:rsidR="006A4AE1">
        <w:t>aims to</w:t>
      </w:r>
      <w:r w:rsidR="00781A24">
        <w:t xml:space="preserve"> avoid rendering any words meaningless</w:t>
      </w:r>
      <w:r w:rsidR="006A4AE1">
        <w:t xml:space="preserve"> </w:t>
      </w:r>
      <w:r w:rsidR="00D66369">
        <w:t>(</w:t>
      </w:r>
      <w:r w:rsidR="00541199" w:rsidRPr="00541199">
        <w:rPr>
          <w:i/>
          <w:iCs/>
        </w:rPr>
        <w:t>Briggs</w:t>
      </w:r>
      <w:r w:rsidR="00541199">
        <w:t xml:space="preserve">, </w:t>
      </w:r>
      <w:r w:rsidR="00541199" w:rsidRPr="00541199">
        <w:rPr>
          <w:i/>
          <w:iCs/>
        </w:rPr>
        <w:t>supra</w:t>
      </w:r>
      <w:r w:rsidR="00541199">
        <w:t xml:space="preserve">, </w:t>
      </w:r>
      <w:r w:rsidR="00541199" w:rsidRPr="00541199">
        <w:t xml:space="preserve">19 Cal.4th </w:t>
      </w:r>
      <w:r w:rsidR="00541199">
        <w:t>at p</w:t>
      </w:r>
      <w:r w:rsidR="00E74DBD">
        <w:t>. </w:t>
      </w:r>
      <w:r w:rsidR="00541199" w:rsidRPr="00541199">
        <w:t>1118</w:t>
      </w:r>
      <w:r w:rsidR="006A4AE1">
        <w:t>), and r</w:t>
      </w:r>
      <w:r w:rsidR="00D66369" w:rsidRPr="006A4AE1">
        <w:t>egardless of</w:t>
      </w:r>
      <w:r w:rsidR="00D66369">
        <w:t xml:space="preserve"> whether “actual portfolio” appears in the statute, the </w:t>
      </w:r>
      <w:r w:rsidR="006A4AE1">
        <w:t>words</w:t>
      </w:r>
      <w:r w:rsidR="00D66369">
        <w:t xml:space="preserve"> ha</w:t>
      </w:r>
      <w:r w:rsidR="006A4AE1">
        <w:t xml:space="preserve">ve </w:t>
      </w:r>
      <w:r w:rsidR="00D66369">
        <w:t>meaning</w:t>
      </w:r>
      <w:r w:rsidR="006A4AE1">
        <w:t xml:space="preserve">.  </w:t>
      </w:r>
      <w:r w:rsidR="00B82125">
        <w:t xml:space="preserve">The </w:t>
      </w:r>
      <w:r w:rsidR="00D66369">
        <w:t xml:space="preserve">Commissioner’s </w:t>
      </w:r>
      <w:r w:rsidR="00781A24">
        <w:t xml:space="preserve">argument would </w:t>
      </w:r>
      <w:r w:rsidR="00D66369">
        <w:t xml:space="preserve">render </w:t>
      </w:r>
      <w:r w:rsidR="00781A24">
        <w:t>“actual portfolio”</w:t>
      </w:r>
      <w:r w:rsidR="00D66369">
        <w:t xml:space="preserve"> a </w:t>
      </w:r>
      <w:r w:rsidR="006A4AE1">
        <w:t xml:space="preserve">nullity for insurers like SFG that lack a combined statement—and effectively leave him free to simply choose a statement for this purpose, which remains inconsistent with the statute.  </w:t>
      </w:r>
      <w:r>
        <w:t xml:space="preserve">(Cf. </w:t>
      </w:r>
      <w:r w:rsidR="00F1343D">
        <w:rPr>
          <w:i/>
          <w:iCs/>
        </w:rPr>
        <w:t>State Farm Mut</w:t>
      </w:r>
      <w:r w:rsidR="00AE7771">
        <w:rPr>
          <w:i/>
          <w:iCs/>
        </w:rPr>
        <w:t xml:space="preserve">. Auto. Ins. </w:t>
      </w:r>
      <w:r w:rsidR="00AE7771">
        <w:rPr>
          <w:i/>
          <w:iCs/>
        </w:rPr>
        <w:lastRenderedPageBreak/>
        <w:t>Co.</w:t>
      </w:r>
      <w:r w:rsidR="00F1343D">
        <w:rPr>
          <w:i/>
          <w:iCs/>
        </w:rPr>
        <w:t xml:space="preserve"> v. Quackenbush </w:t>
      </w:r>
      <w:r w:rsidR="00F1343D">
        <w:t>(1999) 77 Cal.App.4th 65, 77</w:t>
      </w:r>
      <w:r>
        <w:t xml:space="preserve"> </w:t>
      </w:r>
      <w:r w:rsidR="00D040DC">
        <w:t>(</w:t>
      </w:r>
      <w:r w:rsidR="00D040DC" w:rsidRPr="00BE5B4B">
        <w:rPr>
          <w:i/>
          <w:iCs/>
        </w:rPr>
        <w:t>Quackenbush</w:t>
      </w:r>
      <w:r w:rsidR="00D040DC">
        <w:t xml:space="preserve">) </w:t>
      </w:r>
      <w:r>
        <w:t>[“T</w:t>
      </w:r>
      <w:r w:rsidRPr="00612479">
        <w:t xml:space="preserve">he Commissioner goes too far, however, when he asserts that </w:t>
      </w:r>
      <w:r>
        <w:t>‘</w:t>
      </w:r>
      <w:r w:rsidRPr="00612479">
        <w:t>actual data</w:t>
      </w:r>
      <w:r>
        <w:t>’</w:t>
      </w:r>
      <w:r w:rsidRPr="00612479">
        <w:t xml:space="preserve"> means </w:t>
      </w:r>
      <w:r>
        <w:t>‘</w:t>
      </w:r>
      <w:r w:rsidRPr="00612479">
        <w:t>the right number,</w:t>
      </w:r>
      <w:r>
        <w:t>’</w:t>
      </w:r>
      <w:r w:rsidRPr="00612479">
        <w:t xml:space="preserve"> which allows him to judge whether the insurer used </w:t>
      </w:r>
      <w:r>
        <w:t>‘</w:t>
      </w:r>
      <w:r w:rsidRPr="00612479">
        <w:t>a correct process</w:t>
      </w:r>
      <w:r>
        <w:t>’</w:t>
      </w:r>
      <w:r w:rsidRPr="00612479">
        <w:t xml:space="preserve"> when it determined its 1989 </w:t>
      </w:r>
      <w:r>
        <w:t>[</w:t>
      </w:r>
      <w:r w:rsidRPr="00612479">
        <w:t>allocated loss adjustment expenses</w:t>
      </w:r>
      <w:r>
        <w:t>]</w:t>
      </w:r>
      <w:r w:rsidRPr="00612479">
        <w:t xml:space="preserve"> reserves. </w:t>
      </w:r>
      <w:r w:rsidR="00F1343D">
        <w:t xml:space="preserve"> </w:t>
      </w:r>
      <w:r w:rsidRPr="00612479">
        <w:t xml:space="preserve">By no stretch can </w:t>
      </w:r>
      <w:r>
        <w:t>‘</w:t>
      </w:r>
      <w:r w:rsidRPr="00612479">
        <w:t>actual</w:t>
      </w:r>
      <w:r>
        <w:t>’</w:t>
      </w:r>
      <w:r w:rsidRPr="00612479">
        <w:t xml:space="preserve"> be understood to mean </w:t>
      </w:r>
      <w:r>
        <w:t>‘</w:t>
      </w:r>
      <w:r w:rsidRPr="00612479">
        <w:t>correctly determined.</w:t>
      </w:r>
      <w:r>
        <w:t>’ ”].)</w:t>
      </w:r>
      <w:r w:rsidR="009A5FD2">
        <w:rPr>
          <w:rStyle w:val="FootnoteReference"/>
        </w:rPr>
        <w:footnoteReference w:id="16"/>
      </w:r>
    </w:p>
    <w:p w14:paraId="2B24AAE1" w14:textId="4478C578" w:rsidR="00A868E0" w:rsidRDefault="00BA5C5F" w:rsidP="00DB5124">
      <w:pPr>
        <w:spacing w:line="360" w:lineRule="auto"/>
      </w:pPr>
      <w:r>
        <w:tab/>
      </w:r>
      <w:r w:rsidR="001B3DDE">
        <w:t xml:space="preserve">SFG contends, and we agree, that </w:t>
      </w:r>
      <w:r w:rsidR="009307CD">
        <w:t>t</w:t>
      </w:r>
      <w:r w:rsidR="00527538">
        <w:t xml:space="preserve">he Commissioner’s </w:t>
      </w:r>
      <w:r w:rsidR="00C04D10">
        <w:t>interpretation</w:t>
      </w:r>
      <w:r w:rsidR="00527538">
        <w:t xml:space="preserve"> is further undermined </w:t>
      </w:r>
      <w:r w:rsidR="009307CD">
        <w:t xml:space="preserve">by his </w:t>
      </w:r>
      <w:r w:rsidR="008841F5">
        <w:t>use of individual statements for</w:t>
      </w:r>
      <w:r w:rsidR="009307CD">
        <w:t xml:space="preserve"> insurers operating outside of group</w:t>
      </w:r>
      <w:r w:rsidR="008841F5">
        <w:t>s</w:t>
      </w:r>
      <w:r w:rsidR="001B3DDE">
        <w:t>.</w:t>
      </w:r>
      <w:r w:rsidR="009307CD">
        <w:rPr>
          <w:rStyle w:val="FootnoteReference"/>
        </w:rPr>
        <w:footnoteReference w:id="17"/>
      </w:r>
      <w:r w:rsidR="009307CD">
        <w:t xml:space="preserve"> </w:t>
      </w:r>
      <w:r w:rsidR="001B3DDE">
        <w:t xml:space="preserve"> The Commissioner acknowledg</w:t>
      </w:r>
      <w:r w:rsidR="009307CD">
        <w:t>es</w:t>
      </w:r>
      <w:r w:rsidR="001B3DDE">
        <w:t xml:space="preserve"> he “has interpreted Regulation 2644.20 to permit the small minority of insurers that do not belong to a group to submit data from the only NAIC financial statements that include their data—their individual financial statements.” </w:t>
      </w:r>
      <w:r w:rsidR="009307CD">
        <w:t xml:space="preserve"> </w:t>
      </w:r>
      <w:r w:rsidR="00C26F6D">
        <w:t>His</w:t>
      </w:r>
      <w:r w:rsidR="009307CD">
        <w:t xml:space="preserve"> explanation</w:t>
      </w:r>
      <w:r w:rsidR="0074798D">
        <w:t xml:space="preserve"> is that</w:t>
      </w:r>
      <w:r w:rsidR="009307CD">
        <w:t xml:space="preserve"> </w:t>
      </w:r>
      <w:r w:rsidR="00C26F6D">
        <w:t xml:space="preserve">the truly individual insurers comprise a small part of the market; </w:t>
      </w:r>
      <w:r w:rsidR="009307CD" w:rsidRPr="009307CD">
        <w:t>SFG is unique among large insurers for not pooling assets, and basically wants an exception</w:t>
      </w:r>
      <w:r w:rsidR="009307CD">
        <w:t xml:space="preserve">; </w:t>
      </w:r>
      <w:r w:rsidR="00C26F6D">
        <w:t xml:space="preserve">and </w:t>
      </w:r>
      <w:r w:rsidR="00FE2099">
        <w:t>he</w:t>
      </w:r>
      <w:r w:rsidR="00C26F6D">
        <w:t xml:space="preserve"> could reasonably draw the line for group dat</w:t>
      </w:r>
      <w:r w:rsidR="00FE2099">
        <w:t>a</w:t>
      </w:r>
      <w:r w:rsidR="00C26F6D">
        <w:t xml:space="preserve"> based on entities filing </w:t>
      </w:r>
      <w:r w:rsidR="00C92238">
        <w:t xml:space="preserve">NAIC </w:t>
      </w:r>
      <w:r w:rsidR="00BD0C3D">
        <w:t>combined statements</w:t>
      </w:r>
      <w:r w:rsidR="00C26F6D">
        <w:t xml:space="preserve">.  This </w:t>
      </w:r>
      <w:r w:rsidR="009307CD">
        <w:t>explanation</w:t>
      </w:r>
      <w:r w:rsidR="00C26F6D">
        <w:t xml:space="preserve"> turn</w:t>
      </w:r>
      <w:r w:rsidR="00FE2099">
        <w:t>s</w:t>
      </w:r>
      <w:r w:rsidR="00C26F6D">
        <w:t xml:space="preserve"> not on the </w:t>
      </w:r>
      <w:r w:rsidR="008841F5">
        <w:t xml:space="preserve">statutory or </w:t>
      </w:r>
      <w:r w:rsidR="00C26F6D">
        <w:t xml:space="preserve">regulatory text, but on policy reasons for treating </w:t>
      </w:r>
      <w:r w:rsidR="00FE2099">
        <w:t>certain</w:t>
      </w:r>
      <w:r w:rsidR="00C26F6D">
        <w:t xml:space="preserve"> insurers differently, and lacks merit regardless.</w:t>
      </w:r>
      <w:r w:rsidR="00FE2099">
        <w:t xml:space="preserve">  </w:t>
      </w:r>
      <w:r w:rsidR="00C26F6D">
        <w:t xml:space="preserve">At the relevant time, SFG insured </w:t>
      </w:r>
      <w:r w:rsidR="008841F5">
        <w:t>20 percent of</w:t>
      </w:r>
      <w:r w:rsidR="00C26F6D">
        <w:t xml:space="preserve"> California homeowners</w:t>
      </w:r>
      <w:r w:rsidR="008841F5">
        <w:t>, or one-fifth of the market</w:t>
      </w:r>
      <w:r w:rsidR="00C26F6D">
        <w:t xml:space="preserve">.  State Farm may have been the only large insurer not pooling </w:t>
      </w:r>
      <w:r w:rsidR="00C26F6D">
        <w:lastRenderedPageBreak/>
        <w:t xml:space="preserve">assets, but the Commissioner’s claim that SFG’s argument “does not apply to most of the industry” is </w:t>
      </w:r>
      <w:r w:rsidR="008841F5">
        <w:t>somewhat misleading</w:t>
      </w:r>
      <w:r w:rsidR="00C26F6D">
        <w:t xml:space="preserve">. </w:t>
      </w:r>
      <w:r w:rsidR="00FE2099">
        <w:t xml:space="preserve"> </w:t>
      </w:r>
      <w:r w:rsidR="008841F5">
        <w:t>T</w:t>
      </w:r>
      <w:r w:rsidR="00A868E0">
        <w:t>he insurer</w:t>
      </w:r>
      <w:r w:rsidR="008841F5">
        <w:t xml:space="preserve">s </w:t>
      </w:r>
      <w:r w:rsidR="00A868E0">
        <w:t>not sharing assets</w:t>
      </w:r>
      <w:r w:rsidR="008841F5">
        <w:t xml:space="preserve"> </w:t>
      </w:r>
      <w:r w:rsidR="00A868E0">
        <w:rPr>
          <w:i/>
          <w:iCs/>
        </w:rPr>
        <w:t>d</w:t>
      </w:r>
      <w:r w:rsidR="008841F5">
        <w:rPr>
          <w:i/>
          <w:iCs/>
        </w:rPr>
        <w:t>o</w:t>
      </w:r>
      <w:r w:rsidR="00A868E0">
        <w:t xml:space="preserve"> collectively comprise a large </w:t>
      </w:r>
      <w:r w:rsidR="008841F5">
        <w:t>portion</w:t>
      </w:r>
      <w:r w:rsidR="00A868E0">
        <w:t xml:space="preserve"> of the market</w:t>
      </w:r>
      <w:r w:rsidR="0035464B">
        <w:t>.</w:t>
      </w:r>
    </w:p>
    <w:p w14:paraId="38BC4BC9" w14:textId="6AC22332" w:rsidR="00A868E0" w:rsidRDefault="0074798D" w:rsidP="00DB5124">
      <w:pPr>
        <w:spacing w:line="360" w:lineRule="auto"/>
      </w:pPr>
      <w:r>
        <w:tab/>
      </w:r>
      <w:r w:rsidRPr="00A868E0">
        <w:t xml:space="preserve">Appellants’ remaining arguments here lack merit.  </w:t>
      </w:r>
      <w:r w:rsidR="00A868E0" w:rsidRPr="00A868E0">
        <w:t xml:space="preserve">First, they </w:t>
      </w:r>
      <w:r w:rsidR="00A868E0">
        <w:t xml:space="preserve">dispute </w:t>
      </w:r>
    </w:p>
    <w:p w14:paraId="2AB433E4" w14:textId="3CF3D1F6" w:rsidR="00BA5C5F" w:rsidRDefault="00A868E0" w:rsidP="00DB5124">
      <w:pPr>
        <w:spacing w:line="360" w:lineRule="auto"/>
      </w:pPr>
      <w:r w:rsidRPr="00A868E0">
        <w:t>the relevance of the lack of a pooling arrang</w:t>
      </w:r>
      <w:r>
        <w:t>e</w:t>
      </w:r>
      <w:r w:rsidRPr="00A868E0">
        <w:t xml:space="preserve">ment. </w:t>
      </w:r>
      <w:r>
        <w:t xml:space="preserve"> </w:t>
      </w:r>
      <w:r w:rsidR="00280831">
        <w:t xml:space="preserve">They argue </w:t>
      </w:r>
      <w:r w:rsidR="00686B5B">
        <w:t xml:space="preserve">SFG is controlled by State Farm Mutual, and </w:t>
      </w:r>
      <w:r w:rsidR="0012454A">
        <w:t>State Farm investments are under common control.</w:t>
      </w:r>
      <w:r w:rsidR="00280831">
        <w:t xml:space="preserve"> </w:t>
      </w:r>
      <w:r>
        <w:t xml:space="preserve"> </w:t>
      </w:r>
      <w:r w:rsidR="00280831">
        <w:t xml:space="preserve">They also argue </w:t>
      </w:r>
      <w:r w:rsidR="000A155C">
        <w:t>transactions between entities</w:t>
      </w:r>
      <w:r w:rsidR="00290400">
        <w:t xml:space="preserve"> are permitted subject to “</w:t>
      </w:r>
      <w:r w:rsidR="00290400" w:rsidRPr="00290400">
        <w:t>regulatory formalities</w:t>
      </w:r>
      <w:r w:rsidR="00290400">
        <w:t xml:space="preserve">” </w:t>
      </w:r>
      <w:r w:rsidR="00280831">
        <w:t>that</w:t>
      </w:r>
      <w:r w:rsidR="00290400">
        <w:t xml:space="preserve"> amount to reporting </w:t>
      </w:r>
      <w:r w:rsidR="000A155C">
        <w:t>requirements</w:t>
      </w:r>
      <w:r w:rsidR="00697280">
        <w:t>, citing section 1215.5</w:t>
      </w:r>
      <w:r w:rsidR="00280831">
        <w:t xml:space="preserve">, with CW </w:t>
      </w:r>
      <w:r w:rsidR="00323BE1">
        <w:t xml:space="preserve">even </w:t>
      </w:r>
      <w:r w:rsidR="00280831">
        <w:t xml:space="preserve">claiming </w:t>
      </w:r>
      <w:r w:rsidR="003A3CC3">
        <w:t>State Farm Mutual</w:t>
      </w:r>
      <w:r w:rsidR="00280831">
        <w:t xml:space="preserve"> “can, with a little paperwork, always change the corporate structures</w:t>
      </w:r>
      <w:r w:rsidR="00D35433">
        <w:t> </w:t>
      </w:r>
      <w:r w:rsidR="00280831">
        <w:t xml:space="preserve">. . . .”  And, they contend, </w:t>
      </w:r>
      <w:r w:rsidR="001A2123">
        <w:t xml:space="preserve">State </w:t>
      </w:r>
      <w:r w:rsidR="001A2123" w:rsidRPr="001A2123">
        <w:t>Farm’s</w:t>
      </w:r>
      <w:r w:rsidR="00280831" w:rsidRPr="001A2123">
        <w:t xml:space="preserve"> investment managers can</w:t>
      </w:r>
      <w:r w:rsidR="00280831">
        <w:t xml:space="preserve"> rebalance assets on the open market</w:t>
      </w:r>
      <w:r w:rsidR="0012454A">
        <w:t>, regardless</w:t>
      </w:r>
      <w:r w:rsidR="00280831">
        <w:t>.</w:t>
      </w:r>
      <w:r w:rsidR="00E05C0A">
        <w:rPr>
          <w:rStyle w:val="FootnoteReference"/>
        </w:rPr>
        <w:footnoteReference w:id="18"/>
      </w:r>
      <w:r w:rsidR="00280831">
        <w:t xml:space="preserve"> </w:t>
      </w:r>
    </w:p>
    <w:p w14:paraId="5E376B72" w14:textId="51200FF1" w:rsidR="005811E4" w:rsidRDefault="00E05C0A" w:rsidP="00DB5124">
      <w:pPr>
        <w:spacing w:line="360" w:lineRule="auto"/>
      </w:pPr>
      <w:r>
        <w:t xml:space="preserve"> </w:t>
      </w:r>
      <w:r w:rsidR="00EE7383">
        <w:tab/>
        <w:t xml:space="preserve">These arguments </w:t>
      </w:r>
      <w:r w:rsidR="0012454A">
        <w:t xml:space="preserve">ignore corporate formalities and </w:t>
      </w:r>
      <w:r w:rsidR="00EE7383">
        <w:t>amount to</w:t>
      </w:r>
      <w:r w:rsidR="00833C5E">
        <w:t xml:space="preserve"> </w:t>
      </w:r>
      <w:r w:rsidR="00EE7383">
        <w:t>speculation</w:t>
      </w:r>
      <w:r w:rsidR="00833C5E">
        <w:t>.</w:t>
      </w:r>
      <w:r w:rsidR="005811E4">
        <w:t xml:space="preserve">  (Cf. </w:t>
      </w:r>
      <w:r w:rsidR="005811E4" w:rsidRPr="00BF6CBE">
        <w:rPr>
          <w:i/>
          <w:iCs/>
        </w:rPr>
        <w:t>Mesler v. Bragg Management Co.</w:t>
      </w:r>
      <w:r w:rsidR="005811E4">
        <w:t xml:space="preserve"> (1985) </w:t>
      </w:r>
      <w:r w:rsidR="005811E4" w:rsidRPr="00BF6CBE">
        <w:t xml:space="preserve">39 Cal.3d </w:t>
      </w:r>
      <w:r w:rsidR="005811E4">
        <w:t>290,</w:t>
      </w:r>
      <w:r w:rsidR="005811E4" w:rsidRPr="00BF6CBE">
        <w:t xml:space="preserve"> 301</w:t>
      </w:r>
      <w:r w:rsidR="005811E4">
        <w:t xml:space="preserve"> [</w:t>
      </w:r>
      <w:r w:rsidR="005811E4" w:rsidRPr="00BF6CBE">
        <w:t xml:space="preserve">corporate form </w:t>
      </w:r>
      <w:r w:rsidR="005811E4">
        <w:t>“</w:t>
      </w:r>
      <w:r w:rsidR="005811E4" w:rsidRPr="00BF6CBE">
        <w:t>will be disregarded only in narrowly defined circumstances and only when the ends of justice so require”</w:t>
      </w:r>
      <w:r w:rsidR="005811E4">
        <w:t xml:space="preserve">]; </w:t>
      </w:r>
      <w:r w:rsidR="005811E4" w:rsidRPr="0012454A">
        <w:rPr>
          <w:i/>
          <w:iCs/>
        </w:rPr>
        <w:t>Flocco v. State Farm Mut. Auto. Ins. Co.</w:t>
      </w:r>
      <w:r w:rsidR="005811E4">
        <w:t xml:space="preserve"> (D.C.App.2000) 752 A.2d 147, 155 [rejecting argument</w:t>
      </w:r>
      <w:r w:rsidR="00686B5B">
        <w:t>s</w:t>
      </w:r>
      <w:r w:rsidR="005811E4">
        <w:t xml:space="preserve"> that “</w:t>
      </w:r>
      <w:r w:rsidR="005811E4" w:rsidRPr="00BF6CBE">
        <w:t xml:space="preserve">State Farm Mutual and State Farm Fire </w:t>
      </w:r>
      <w:r w:rsidR="005811E4">
        <w:t>[were]</w:t>
      </w:r>
      <w:r w:rsidR="005811E4" w:rsidRPr="00BF6CBE">
        <w:t xml:space="preserve"> one and the same</w:t>
      </w:r>
      <w:r w:rsidR="005811E4">
        <w:t xml:space="preserve">” and </w:t>
      </w:r>
      <w:r w:rsidR="00686B5B">
        <w:lastRenderedPageBreak/>
        <w:t>challenging</w:t>
      </w:r>
      <w:r w:rsidR="005811E4">
        <w:t xml:space="preserve"> “</w:t>
      </w:r>
      <w:r w:rsidR="005811E4" w:rsidRPr="00BF6CBE">
        <w:t>separate corporate existence</w:t>
      </w:r>
      <w:r w:rsidR="00686B5B">
        <w:t>” of latter; noting</w:t>
      </w:r>
      <w:r w:rsidR="005811E4">
        <w:t xml:space="preserve"> status as wholly owned subsidiary did “not provide a sufficient basis for such a finding”].)  </w:t>
      </w:r>
      <w:r w:rsidR="00F32BBE">
        <w:t>State Farm assists with investment planning, but it is SFG’s investment committee that reviews the plan and its board that approves it.</w:t>
      </w:r>
      <w:r w:rsidR="005811E4">
        <w:t xml:space="preserve">  Appellants</w:t>
      </w:r>
      <w:r w:rsidR="00833C5E">
        <w:t xml:space="preserve"> identify no affiliate transactions, “change</w:t>
      </w:r>
      <w:r w:rsidR="005811E4">
        <w:t>[s]</w:t>
      </w:r>
      <w:r w:rsidR="00833C5E">
        <w:t xml:space="preserve"> [to] the corporate structures,” or </w:t>
      </w:r>
      <w:r w:rsidR="005811E4">
        <w:t>even “</w:t>
      </w:r>
      <w:r w:rsidR="00833C5E">
        <w:t>rebalanc</w:t>
      </w:r>
      <w:r w:rsidR="005811E4">
        <w:t>[ing]</w:t>
      </w:r>
      <w:r w:rsidR="004A4F89">
        <w:t>,</w:t>
      </w:r>
      <w:r w:rsidR="005811E4">
        <w:t>”</w:t>
      </w:r>
      <w:r w:rsidR="00833C5E">
        <w:t xml:space="preserve"> since SFG’s reorganization in 1998 to reflect </w:t>
      </w:r>
      <w:r w:rsidR="005811E4">
        <w:t>intermingling</w:t>
      </w:r>
      <w:r w:rsidR="00833C5E">
        <w:t xml:space="preserve"> of assets.</w:t>
      </w:r>
      <w:r w:rsidR="001610F9">
        <w:t xml:space="preserve">  </w:t>
      </w:r>
    </w:p>
    <w:p w14:paraId="0F21E868" w14:textId="3B3D9D9B" w:rsidR="005811E4" w:rsidRDefault="005811E4" w:rsidP="00DB5124">
      <w:pPr>
        <w:spacing w:line="360" w:lineRule="auto"/>
      </w:pPr>
      <w:r>
        <w:tab/>
      </w:r>
      <w:r w:rsidR="00323BE1">
        <w:t xml:space="preserve">Nor do </w:t>
      </w:r>
      <w:r>
        <w:t>Appellants</w:t>
      </w:r>
      <w:r w:rsidR="00323BE1">
        <w:t xml:space="preserve"> </w:t>
      </w:r>
      <w:r w:rsidR="001610F9">
        <w:t>accurately</w:t>
      </w:r>
      <w:r w:rsidR="00323BE1">
        <w:t xml:space="preserve"> characterize affiliate transactions</w:t>
      </w:r>
      <w:r w:rsidR="00197AA5">
        <w:t xml:space="preserve"> (much </w:t>
      </w:r>
      <w:r w:rsidR="00323BE1">
        <w:t xml:space="preserve">less corporate reorganizations, which </w:t>
      </w:r>
      <w:r>
        <w:t>typically</w:t>
      </w:r>
      <w:r w:rsidR="001610F9">
        <w:t xml:space="preserve"> </w:t>
      </w:r>
      <w:r w:rsidR="00323BE1">
        <w:t>require more than “a little paperwork</w:t>
      </w:r>
      <w:r>
        <w:t>”</w:t>
      </w:r>
      <w:r w:rsidR="00197AA5">
        <w:t>).</w:t>
      </w:r>
      <w:r w:rsidR="00323BE1">
        <w:t xml:space="preserve">  </w:t>
      </w:r>
      <w:r w:rsidR="00833C5E">
        <w:t>Far from mere reporting</w:t>
      </w:r>
      <w:r w:rsidR="001610F9">
        <w:t xml:space="preserve"> requirements</w:t>
      </w:r>
      <w:r w:rsidR="00833C5E">
        <w:t>,</w:t>
      </w:r>
      <w:r w:rsidR="001610F9">
        <w:t xml:space="preserve"> the law imposes guidelines on such transactions and permits </w:t>
      </w:r>
      <w:r w:rsidR="00323BE1">
        <w:t xml:space="preserve">disapproval </w:t>
      </w:r>
      <w:r w:rsidR="001610F9">
        <w:t xml:space="preserve">by </w:t>
      </w:r>
      <w:r w:rsidR="00833C5E">
        <w:t>the Commission</w:t>
      </w:r>
      <w:r w:rsidR="00323BE1">
        <w:t>er</w:t>
      </w:r>
      <w:r w:rsidR="00833C5E">
        <w:t xml:space="preserve">; similar </w:t>
      </w:r>
      <w:r w:rsidR="00323BE1">
        <w:t xml:space="preserve">laws </w:t>
      </w:r>
      <w:r w:rsidR="00833C5E">
        <w:t xml:space="preserve">apply in Illinois, where SFG is domiciled. </w:t>
      </w:r>
      <w:r w:rsidR="00841424">
        <w:t xml:space="preserve"> </w:t>
      </w:r>
      <w:r w:rsidR="00B95B3B">
        <w:t>(</w:t>
      </w:r>
      <w:r w:rsidR="00071314">
        <w:t xml:space="preserve">See </w:t>
      </w:r>
      <w:r w:rsidR="00071314" w:rsidRPr="00071314">
        <w:rPr>
          <w:i/>
          <w:iCs/>
        </w:rPr>
        <w:t>Fremont Indemnity Co. v. Fremont General Corp.</w:t>
      </w:r>
      <w:r w:rsidR="00071314" w:rsidRPr="00071314">
        <w:t xml:space="preserve"> (2007) 148 Cal.App.4th 97, 126 [</w:t>
      </w:r>
      <w:r w:rsidR="00F32BBE">
        <w:t xml:space="preserve">§ </w:t>
      </w:r>
      <w:r w:rsidR="00071314" w:rsidRPr="00071314">
        <w:t>1215.5</w:t>
      </w:r>
      <w:r w:rsidR="00F32BBE">
        <w:t xml:space="preserve"> provides</w:t>
      </w:r>
      <w:r w:rsidR="00071314">
        <w:t xml:space="preserve"> </w:t>
      </w:r>
      <w:r w:rsidR="00833C5E">
        <w:t>“</w:t>
      </w:r>
      <w:r w:rsidR="00071314" w:rsidRPr="00071314">
        <w:t xml:space="preserve">terms of transactions by insurers with their affiliates must be </w:t>
      </w:r>
      <w:r w:rsidR="00290400">
        <w:t>‘</w:t>
      </w:r>
      <w:r w:rsidR="00071314" w:rsidRPr="00071314">
        <w:t>fair and reasonable,</w:t>
      </w:r>
      <w:r w:rsidR="00290400">
        <w:t>’</w:t>
      </w:r>
      <w:r w:rsidR="00071314" w:rsidRPr="00071314">
        <w:t xml:space="preserve"> </w:t>
      </w:r>
      <w:r w:rsidR="00833C5E">
        <w:t>. . .</w:t>
      </w:r>
      <w:r w:rsidR="00071314" w:rsidRPr="00071314">
        <w:t xml:space="preserve"> an insurer must notify the commissioner before entering into certain types of transactions, and </w:t>
      </w:r>
      <w:r w:rsidR="00833C5E">
        <w:t>. . .</w:t>
      </w:r>
      <w:r w:rsidR="00071314" w:rsidRPr="00071314">
        <w:t xml:space="preserve"> the commissioner may disapprove the transaction</w:t>
      </w:r>
      <w:r w:rsidR="00833C5E" w:rsidRPr="00B7467A">
        <w:t>”</w:t>
      </w:r>
      <w:r w:rsidR="00071314" w:rsidRPr="00B7467A">
        <w:t>]</w:t>
      </w:r>
      <w:r w:rsidR="00833C5E" w:rsidRPr="00B7467A">
        <w:t xml:space="preserve">; </w:t>
      </w:r>
      <w:r w:rsidR="00B7467A">
        <w:t xml:space="preserve">cf. </w:t>
      </w:r>
      <w:r w:rsidR="00315D5F" w:rsidRPr="00B7467A">
        <w:t>215 ILCS 5/131.20</w:t>
      </w:r>
      <w:r w:rsidR="00290400">
        <w:t xml:space="preserve"> [</w:t>
      </w:r>
      <w:r w:rsidR="00B7467A">
        <w:t xml:space="preserve">standards for affiliate transactions]; </w:t>
      </w:r>
      <w:r w:rsidR="00B7467A" w:rsidRPr="00B7467A">
        <w:t>215 ILCS 5/131.20</w:t>
      </w:r>
      <w:r w:rsidR="00B902C9">
        <w:t>a</w:t>
      </w:r>
      <w:r w:rsidR="00B7467A">
        <w:t xml:space="preserve"> [notification and disapproval provisions].)</w:t>
      </w:r>
      <w:r>
        <w:t xml:space="preserve"> </w:t>
      </w:r>
    </w:p>
    <w:p w14:paraId="22DD9827" w14:textId="18431B08" w:rsidR="00D5305E" w:rsidRDefault="00A33A1E" w:rsidP="00B211B0">
      <w:pPr>
        <w:spacing w:line="360" w:lineRule="auto"/>
      </w:pPr>
      <w:r>
        <w:tab/>
      </w:r>
      <w:r w:rsidR="001610F9" w:rsidRPr="001610F9">
        <w:t>Second</w:t>
      </w:r>
      <w:r w:rsidRPr="001610F9">
        <w:t>, Appellants</w:t>
      </w:r>
      <w:r w:rsidR="00534F8C">
        <w:t xml:space="preserve"> </w:t>
      </w:r>
      <w:r w:rsidR="00ED1E21">
        <w:t>argue</w:t>
      </w:r>
      <w:r w:rsidR="00534F8C">
        <w:t xml:space="preserve"> SFG’s focus on projected yield runs afoul of </w:t>
      </w:r>
      <w:r w:rsidR="00D5305E">
        <w:t>r</w:t>
      </w:r>
      <w:r w:rsidR="00534F8C">
        <w:t xml:space="preserve">egulation </w:t>
      </w:r>
      <w:r w:rsidR="00D5305E">
        <w:t xml:space="preserve">section </w:t>
      </w:r>
      <w:r w:rsidR="00534F8C">
        <w:t xml:space="preserve">2646.4, </w:t>
      </w:r>
      <w:r w:rsidR="00ED1E21">
        <w:t xml:space="preserve">subdivision (c), </w:t>
      </w:r>
      <w:r w:rsidR="00534F8C">
        <w:t xml:space="preserve">which </w:t>
      </w:r>
      <w:r w:rsidR="00ED1E21">
        <w:t xml:space="preserve">they contend </w:t>
      </w:r>
      <w:r w:rsidR="00534F8C">
        <w:t xml:space="preserve">prohibits </w:t>
      </w:r>
      <w:r w:rsidRPr="001610F9">
        <w:t>“piecemeal relitigation of the regulatory</w:t>
      </w:r>
      <w:r w:rsidRPr="00F3643E">
        <w:t xml:space="preserve"> formula</w:t>
      </w:r>
      <w:r w:rsidR="00534F8C">
        <w:t>”</w:t>
      </w:r>
      <w:r w:rsidRPr="00F3643E">
        <w:t xml:space="preserve"> in a rate hearing</w:t>
      </w:r>
      <w:r w:rsidR="00534F8C">
        <w:t>.</w:t>
      </w:r>
      <w:r>
        <w:t xml:space="preserve">  Regulation</w:t>
      </w:r>
      <w:r w:rsidR="00D5305E">
        <w:t xml:space="preserve"> section</w:t>
      </w:r>
      <w:r>
        <w:t xml:space="preserve"> 2646.4, subdivision (c) bars “[r]</w:t>
      </w:r>
      <w:r w:rsidRPr="00F3643E">
        <w:t xml:space="preserve">elitigation </w:t>
      </w:r>
      <w:r>
        <w:t xml:space="preserve">. . . </w:t>
      </w:r>
      <w:r w:rsidRPr="00F3643E">
        <w:t xml:space="preserve">of a matter already determined </w:t>
      </w:r>
      <w:r w:rsidR="007E5AE7">
        <w:t>either</w:t>
      </w:r>
      <w:r w:rsidRPr="00F3643E">
        <w:t xml:space="preserve"> by these regulations or by a generic</w:t>
      </w:r>
      <w:r w:rsidR="00D5305E">
        <w:t xml:space="preserve"> </w:t>
      </w:r>
      <w:r w:rsidRPr="00F3643E">
        <w:t>determination</w:t>
      </w:r>
      <w:r>
        <w:t>”</w:t>
      </w:r>
      <w:r w:rsidR="005B606A">
        <w:t xml:space="preserve">; it </w:t>
      </w:r>
      <w:r>
        <w:t>permits evidence “</w:t>
      </w:r>
      <w:r w:rsidRPr="00F3643E">
        <w:t xml:space="preserve">relevant to </w:t>
      </w:r>
      <w:r>
        <w:t>. . .</w:t>
      </w:r>
      <w:r w:rsidRPr="00F3643E">
        <w:t xml:space="preserve"> whether the rate is excessive or inadequat</w:t>
      </w:r>
      <w:r w:rsidR="007E5AE7">
        <w:t>e</w:t>
      </w:r>
      <w:r w:rsidR="0045052A">
        <w:t>,</w:t>
      </w:r>
      <w:r w:rsidR="00534F8C">
        <w:t>”</w:t>
      </w:r>
      <w:r w:rsidR="0045052A">
        <w:t xml:space="preserve"> so long as not offered to relitigate the prohibited matters.  </w:t>
      </w:r>
      <w:r w:rsidR="00D5305E">
        <w:t xml:space="preserve">(Cf. </w:t>
      </w:r>
      <w:r w:rsidR="00D5305E">
        <w:rPr>
          <w:i/>
          <w:iCs/>
        </w:rPr>
        <w:t>20th Century</w:t>
      </w:r>
      <w:r w:rsidR="00D5305E">
        <w:t xml:space="preserve">, </w:t>
      </w:r>
      <w:r w:rsidR="00D5305E">
        <w:rPr>
          <w:i/>
          <w:iCs/>
        </w:rPr>
        <w:t>supra</w:t>
      </w:r>
      <w:r w:rsidR="00D5305E">
        <w:t xml:space="preserve">, 8 Cal.4th at p. 312 [effect of relitigation </w:t>
      </w:r>
      <w:r w:rsidR="00D5305E">
        <w:lastRenderedPageBreak/>
        <w:t>bar is “</w:t>
      </w:r>
      <w:r w:rsidR="00D5305E" w:rsidRPr="00D5305E">
        <w:t xml:space="preserve">simply to assure </w:t>
      </w:r>
      <w:r w:rsidR="00D5305E">
        <w:t>. . .</w:t>
      </w:r>
      <w:r w:rsidR="00D5305E" w:rsidRPr="00D5305E">
        <w:t xml:space="preserve"> the </w:t>
      </w:r>
      <w:r w:rsidR="00D5305E">
        <w:t>[ALJ]</w:t>
      </w:r>
      <w:r w:rsidR="00D5305E" w:rsidRPr="00D5305E">
        <w:t xml:space="preserve"> does not entertain the question whether the premises underlying the rate regulations as to rollbacks are sound</w:t>
      </w:r>
      <w:r w:rsidR="00D5305E">
        <w:t xml:space="preserve">”].) </w:t>
      </w:r>
      <w:r w:rsidR="00823D99">
        <w:t xml:space="preserve"> </w:t>
      </w:r>
      <w:r w:rsidR="00534F8C">
        <w:t xml:space="preserve">SFG does not dispute the validity of </w:t>
      </w:r>
      <w:r w:rsidR="00075BD8">
        <w:t>regulation section 2644.20</w:t>
      </w:r>
      <w:r w:rsidR="008B7ACD">
        <w:t xml:space="preserve">, but </w:t>
      </w:r>
      <w:r w:rsidR="0045052A">
        <w:t xml:space="preserve">rather, </w:t>
      </w:r>
      <w:r w:rsidR="008B7ACD">
        <w:t xml:space="preserve">whether </w:t>
      </w:r>
      <w:r w:rsidR="0045052A">
        <w:t xml:space="preserve">its application here </w:t>
      </w:r>
      <w:r w:rsidR="008B7ACD">
        <w:t>was inconsistent with section 1861.05</w:t>
      </w:r>
      <w:r w:rsidR="0045052A">
        <w:t>—a matter not resolved by the regulatory text and not involving a generic determination</w:t>
      </w:r>
      <w:r w:rsidR="008B7ACD">
        <w:t>.</w:t>
      </w:r>
      <w:r w:rsidR="00D5305E">
        <w:t xml:space="preserve">  </w:t>
      </w:r>
      <w:r w:rsidR="00197AA5">
        <w:t>Further</w:t>
      </w:r>
      <w:r w:rsidR="00ED1E21">
        <w:t xml:space="preserve">, the dispute </w:t>
      </w:r>
      <w:r w:rsidR="00ED1E21" w:rsidRPr="00B211B0">
        <w:t xml:space="preserve">turns on statutory </w:t>
      </w:r>
      <w:r w:rsidR="00197AA5">
        <w:t xml:space="preserve">and regulatory </w:t>
      </w:r>
      <w:r w:rsidR="005C1876" w:rsidRPr="00B211B0">
        <w:t>interpretation</w:t>
      </w:r>
      <w:r w:rsidR="00197AA5">
        <w:t xml:space="preserve">, </w:t>
      </w:r>
      <w:r w:rsidR="00B211B0" w:rsidRPr="00B211B0">
        <w:t>not</w:t>
      </w:r>
      <w:r w:rsidR="00197AA5">
        <w:t xml:space="preserve"> obscure </w:t>
      </w:r>
      <w:r w:rsidR="00B211B0">
        <w:t xml:space="preserve">regulatory </w:t>
      </w:r>
      <w:r w:rsidR="00197AA5">
        <w:t>calculations</w:t>
      </w:r>
      <w:r w:rsidR="00B211B0">
        <w:t xml:space="preserve"> </w:t>
      </w:r>
      <w:r w:rsidR="00ED1E21">
        <w:t>beyond our purview</w:t>
      </w:r>
      <w:r w:rsidR="00197AA5">
        <w:t>, as Appellants suggest</w:t>
      </w:r>
      <w:r w:rsidR="00ED1E21">
        <w:t xml:space="preserve">.  (Compare </w:t>
      </w:r>
      <w:r w:rsidR="00D5305E">
        <w:rPr>
          <w:i/>
          <w:iCs/>
        </w:rPr>
        <w:t>20th Century</w:t>
      </w:r>
      <w:r w:rsidR="00D5305E">
        <w:t xml:space="preserve">, at p. 293 </w:t>
      </w:r>
      <w:r w:rsidR="00ED1E21">
        <w:t>[observing “</w:t>
      </w:r>
      <w:r w:rsidR="00B902C9">
        <w:t xml:space="preserve"> ‘</w:t>
      </w:r>
      <w:r w:rsidR="0045052A" w:rsidRPr="00A33A1E">
        <w:t>economic judgments required in rate proceedings are often hopelessly complex and do not admit of a single correct result</w:t>
      </w:r>
      <w:r w:rsidR="00B902C9">
        <w:t xml:space="preserve">’ </w:t>
      </w:r>
      <w:r w:rsidR="00ED1E21">
        <w:t>”].)</w:t>
      </w:r>
      <w:r w:rsidR="004F46A6">
        <w:t xml:space="preserve"> </w:t>
      </w:r>
      <w:r w:rsidR="00ED1E21">
        <w:t xml:space="preserve"> </w:t>
      </w:r>
      <w:r w:rsidR="00A32266">
        <w:t xml:space="preserve">Indeed, the Rate Order itself </w:t>
      </w:r>
      <w:r w:rsidR="006E0EE0">
        <w:t>suggests</w:t>
      </w:r>
      <w:r w:rsidR="00A32266">
        <w:t xml:space="preserve"> there are just two possible outcomes: </w:t>
      </w:r>
      <w:r w:rsidR="00DC2C37">
        <w:t xml:space="preserve"> </w:t>
      </w:r>
      <w:r w:rsidR="00A32266">
        <w:t>a lower yield</w:t>
      </w:r>
      <w:r w:rsidR="005E602A">
        <w:t xml:space="preserve"> and higher maximum rate</w:t>
      </w:r>
      <w:r w:rsidR="00A32266">
        <w:t xml:space="preserve">, using the numbers in SFG’s </w:t>
      </w:r>
      <w:r w:rsidR="005E602A">
        <w:t>statement</w:t>
      </w:r>
      <w:r w:rsidR="00A32266">
        <w:t>, or a higher yield</w:t>
      </w:r>
      <w:r w:rsidR="005E602A">
        <w:t xml:space="preserve"> and lower maximum rate</w:t>
      </w:r>
      <w:r w:rsidR="00A32266">
        <w:t>, using State Farm Group’s combined statement</w:t>
      </w:r>
      <w:r w:rsidR="0045052A">
        <w:t>.</w:t>
      </w:r>
      <w:r w:rsidR="00320EB7">
        <w:t xml:space="preserve"> </w:t>
      </w:r>
    </w:p>
    <w:p w14:paraId="2A22D6C1" w14:textId="3DCD645C" w:rsidR="00491459" w:rsidRDefault="001610F9" w:rsidP="00DB5124">
      <w:pPr>
        <w:spacing w:line="360" w:lineRule="auto"/>
      </w:pPr>
      <w:r>
        <w:tab/>
      </w:r>
      <w:r w:rsidRPr="00491459">
        <w:t xml:space="preserve">Finally, we disagree with </w:t>
      </w:r>
      <w:r w:rsidR="00491459" w:rsidRPr="00491459">
        <w:t xml:space="preserve">the Commissioner that </w:t>
      </w:r>
      <w:r w:rsidRPr="00491459">
        <w:t>affirming the</w:t>
      </w:r>
      <w:r>
        <w:t xml:space="preserve"> judgment effectively invalidates </w:t>
      </w:r>
      <w:r w:rsidR="00075BD8">
        <w:t>regulation section 2644.20</w:t>
      </w:r>
      <w:r>
        <w:t xml:space="preserve">.  </w:t>
      </w:r>
      <w:r w:rsidR="00491459">
        <w:t>T</w:t>
      </w:r>
      <w:r>
        <w:t xml:space="preserve">he </w:t>
      </w:r>
      <w:r w:rsidR="00491459">
        <w:t>superior</w:t>
      </w:r>
      <w:r>
        <w:t xml:space="preserve"> court</w:t>
      </w:r>
      <w:r w:rsidR="00491459">
        <w:t xml:space="preserve"> determined the regulation’s use of the insurer’s actual </w:t>
      </w:r>
      <w:r w:rsidR="002558E2">
        <w:t>portfolio</w:t>
      </w:r>
      <w:r w:rsidR="00491459">
        <w:t xml:space="preserve"> </w:t>
      </w:r>
      <w:r w:rsidR="00491459" w:rsidRPr="006E0EE0">
        <w:t>was</w:t>
      </w:r>
      <w:r w:rsidR="00491459">
        <w:t xml:space="preserve"> consistent with the statute; it was the Commissioner’s “interpretation that the regulation allows him to use</w:t>
      </w:r>
      <w:r w:rsidR="00DA63C8">
        <w:t xml:space="preserve"> [State Farm Mutual’s] </w:t>
      </w:r>
      <w:r w:rsidR="00491459">
        <w:t>group yield instead of [SFG’s] investment income based on [SFG’s] actual portfolio” that was inconsistent.  Accordingly, the judgment does not bar the</w:t>
      </w:r>
      <w:r w:rsidR="005A0213">
        <w:t xml:space="preserve"> </w:t>
      </w:r>
      <w:r w:rsidR="00491459">
        <w:t xml:space="preserve">Commissioner from continuing to use </w:t>
      </w:r>
      <w:r w:rsidR="005A0213">
        <w:t xml:space="preserve">a </w:t>
      </w:r>
      <w:r w:rsidR="00491459">
        <w:t>combined annual statement</w:t>
      </w:r>
      <w:r w:rsidR="005A0213">
        <w:t xml:space="preserve"> </w:t>
      </w:r>
      <w:r w:rsidR="00491459">
        <w:t>for</w:t>
      </w:r>
      <w:r w:rsidR="005A0213">
        <w:t xml:space="preserve"> </w:t>
      </w:r>
      <w:r w:rsidR="00491459">
        <w:t>insurer</w:t>
      </w:r>
      <w:r w:rsidR="00DC2C37">
        <w:t>s</w:t>
      </w:r>
      <w:r w:rsidR="00491459">
        <w:t xml:space="preserve"> </w:t>
      </w:r>
      <w:r w:rsidR="00DC2C37">
        <w:t>that</w:t>
      </w:r>
      <w:r w:rsidR="00491459">
        <w:t xml:space="preserve"> </w:t>
      </w:r>
      <w:r w:rsidR="005A0213">
        <w:t>pool</w:t>
      </w:r>
      <w:r w:rsidR="00491459">
        <w:t xml:space="preserve"> asset</w:t>
      </w:r>
      <w:r w:rsidR="00DC2C37">
        <w:t xml:space="preserve">s, which SFG concedes may comprise </w:t>
      </w:r>
      <w:r w:rsidR="00464D2C">
        <w:t xml:space="preserve">some </w:t>
      </w:r>
      <w:r w:rsidR="00DC2C37">
        <w:t>of the market</w:t>
      </w:r>
      <w:r w:rsidR="00491459">
        <w:t xml:space="preserve">.  </w:t>
      </w:r>
      <w:r w:rsidR="005A0213">
        <w:t xml:space="preserve">And, of course, the Commissioner </w:t>
      </w:r>
      <w:r w:rsidR="00DC2C37">
        <w:t>already uses</w:t>
      </w:r>
      <w:r w:rsidR="005A0213">
        <w:t xml:space="preserve"> individual statements for </w:t>
      </w:r>
      <w:r w:rsidR="00C952BC">
        <w:t xml:space="preserve">insurers without affiliates. </w:t>
      </w:r>
    </w:p>
    <w:p w14:paraId="159561A3" w14:textId="77777777" w:rsidR="001C426F" w:rsidRPr="00C04AD9" w:rsidRDefault="001C426F" w:rsidP="00DB5124">
      <w:pPr>
        <w:pStyle w:val="Heading2"/>
        <w:spacing w:line="360" w:lineRule="auto"/>
        <w:ind w:firstLine="720"/>
        <w:rPr>
          <w:rFonts w:cs="Times New Roman"/>
        </w:rPr>
      </w:pPr>
      <w:r w:rsidRPr="00320EB7">
        <w:rPr>
          <w:rFonts w:cs="Times New Roman"/>
        </w:rPr>
        <w:t>2.</w:t>
      </w:r>
      <w:r w:rsidR="00C04AD9" w:rsidRPr="00320EB7">
        <w:rPr>
          <w:rFonts w:cs="Times New Roman"/>
        </w:rPr>
        <w:tab/>
      </w:r>
      <w:r w:rsidRPr="00320EB7">
        <w:rPr>
          <w:rFonts w:cs="Times New Roman"/>
          <w:i/>
          <w:iCs/>
        </w:rPr>
        <w:t>Regulat</w:t>
      </w:r>
      <w:r w:rsidR="00326E1A">
        <w:rPr>
          <w:rFonts w:cs="Times New Roman"/>
          <w:i/>
          <w:iCs/>
        </w:rPr>
        <w:t>ory</w:t>
      </w:r>
      <w:r w:rsidRPr="00320EB7">
        <w:rPr>
          <w:rFonts w:cs="Times New Roman"/>
          <w:i/>
          <w:iCs/>
        </w:rPr>
        <w:t xml:space="preserve"> </w:t>
      </w:r>
      <w:r w:rsidR="00320EB7">
        <w:rPr>
          <w:rFonts w:cs="Times New Roman"/>
          <w:i/>
          <w:iCs/>
        </w:rPr>
        <w:t>Purposes</w:t>
      </w:r>
    </w:p>
    <w:p w14:paraId="1ECF748C" w14:textId="0B9005A7" w:rsidR="00BD369E" w:rsidRDefault="00BA5825" w:rsidP="00DB5124">
      <w:pPr>
        <w:spacing w:line="360" w:lineRule="auto"/>
      </w:pPr>
      <w:r>
        <w:tab/>
        <w:t xml:space="preserve">Appellants contend </w:t>
      </w:r>
      <w:r w:rsidR="00AB44A8">
        <w:t xml:space="preserve">that use of group-level data under </w:t>
      </w:r>
      <w:r w:rsidR="00075BD8">
        <w:t>regulation section 2644.20</w:t>
      </w:r>
      <w:r>
        <w:t xml:space="preserve"> </w:t>
      </w:r>
      <w:r w:rsidR="00224D10">
        <w:t>advances</w:t>
      </w:r>
      <w:r w:rsidR="00320EB7">
        <w:t xml:space="preserve"> </w:t>
      </w:r>
      <w:r w:rsidR="00224D10">
        <w:t xml:space="preserve">the purposes of Proposition 103 by limiting rate </w:t>
      </w:r>
      <w:r w:rsidR="00224D10">
        <w:lastRenderedPageBreak/>
        <w:t>manipulation, ensuring accuracy, and improving manageability</w:t>
      </w:r>
      <w:r>
        <w:t xml:space="preserve">. </w:t>
      </w:r>
      <w:r w:rsidR="00AB44A8">
        <w:t xml:space="preserve"> </w:t>
      </w:r>
      <w:r w:rsidR="00B26162">
        <w:t>Both the premises of this argument and its particulars lack merit</w:t>
      </w:r>
      <w:r w:rsidR="00DA2B06">
        <w:t xml:space="preserve"> with respect to SFG</w:t>
      </w:r>
      <w:r w:rsidR="00B26162">
        <w:t>.</w:t>
      </w:r>
    </w:p>
    <w:p w14:paraId="17B6D988" w14:textId="32317196" w:rsidR="001A2123" w:rsidRDefault="00B26162" w:rsidP="004439EF">
      <w:pPr>
        <w:spacing w:line="360" w:lineRule="auto"/>
      </w:pPr>
      <w:r>
        <w:tab/>
        <w:t xml:space="preserve">As an initial matter, the purported objectives identified by Appellants rest on </w:t>
      </w:r>
      <w:r w:rsidR="00DA2B06">
        <w:t>a statutory meaning</w:t>
      </w:r>
      <w:r w:rsidR="00476291">
        <w:t xml:space="preserve"> and purpose</w:t>
      </w:r>
      <w:r w:rsidR="00DA2B06">
        <w:t xml:space="preserve"> we have rejected:  </w:t>
      </w:r>
      <w:r w:rsidR="00224D10">
        <w:t xml:space="preserve">that </w:t>
      </w:r>
      <w:r w:rsidR="00DA2B06">
        <w:t>section 1861.05(a) permits</w:t>
      </w:r>
      <w:r w:rsidR="00224D10">
        <w:t xml:space="preserve"> use </w:t>
      </w:r>
      <w:r w:rsidR="00207745">
        <w:t xml:space="preserve">of </w:t>
      </w:r>
      <w:r w:rsidR="00224D10">
        <w:t>group-level data for insurers who do not pool assets</w:t>
      </w:r>
      <w:r w:rsidR="00476291">
        <w:t xml:space="preserve"> and Proposition 103 was meant solely to keep rates low for consumers</w:t>
      </w:r>
      <w:r w:rsidR="00224D10">
        <w:t>.</w:t>
      </w:r>
      <w:r w:rsidR="00310E73">
        <w:t xml:space="preserve">  </w:t>
      </w:r>
      <w:r w:rsidR="00DA2B06">
        <w:t>V</w:t>
      </w:r>
      <w:r>
        <w:t>iewing such data as valid</w:t>
      </w:r>
      <w:r w:rsidR="00476291">
        <w:t xml:space="preserve"> and necessary</w:t>
      </w:r>
      <w:r>
        <w:t xml:space="preserve"> </w:t>
      </w:r>
      <w:r w:rsidR="00DA2B06">
        <w:t>is a predicate to Appellants’ concerns that groups may be engaging in rate manipulation, group</w:t>
      </w:r>
      <w:r>
        <w:t xml:space="preserve"> data is </w:t>
      </w:r>
      <w:r w:rsidR="00BB3A31">
        <w:t xml:space="preserve">always </w:t>
      </w:r>
      <w:r>
        <w:t xml:space="preserve">necessary to achieve accurate results, </w:t>
      </w:r>
      <w:r w:rsidR="00DA2B06">
        <w:t>and</w:t>
      </w:r>
      <w:r>
        <w:t xml:space="preserve"> capture of group data </w:t>
      </w:r>
      <w:r w:rsidR="00DA2B06">
        <w:t>should be</w:t>
      </w:r>
      <w:r>
        <w:t xml:space="preserve"> manageable</w:t>
      </w:r>
      <w:r w:rsidR="00DA2B06">
        <w:t xml:space="preserve">.  </w:t>
      </w:r>
      <w:r w:rsidR="004439EF">
        <w:t>H</w:t>
      </w:r>
      <w:r w:rsidR="00AB44A8">
        <w:t xml:space="preserve">owever laudable the Commissioner’s </w:t>
      </w:r>
      <w:r w:rsidR="00DA2B06">
        <w:t>goals</w:t>
      </w:r>
      <w:r w:rsidR="00AB44A8">
        <w:t xml:space="preserve"> in trying to capture group-wide data</w:t>
      </w:r>
      <w:r w:rsidR="00DA2B06">
        <w:t xml:space="preserve">, they </w:t>
      </w:r>
      <w:r w:rsidR="00AB44A8">
        <w:t>cannot supplant the statutory meaning.  (</w:t>
      </w:r>
      <w:r w:rsidR="00476291">
        <w:t>See</w:t>
      </w:r>
      <w:r w:rsidR="00BD369E">
        <w:t>, e.g.,</w:t>
      </w:r>
      <w:r w:rsidR="00AB44A8">
        <w:t xml:space="preserve"> </w:t>
      </w:r>
      <w:r w:rsidR="00DA5883" w:rsidRPr="00DA5883">
        <w:rPr>
          <w:i/>
          <w:iCs/>
        </w:rPr>
        <w:t>FDA v. Brown &amp; Williamson Tobacco Corp.</w:t>
      </w:r>
      <w:r w:rsidR="00DA5883">
        <w:t xml:space="preserve"> (2000) </w:t>
      </w:r>
      <w:r w:rsidR="00DA5883" w:rsidRPr="00DA5883">
        <w:t>529 U.S. 120, 161</w:t>
      </w:r>
      <w:r w:rsidR="00DA5883">
        <w:t xml:space="preserve"> [“</w:t>
      </w:r>
      <w:r w:rsidR="00DA5883" w:rsidRPr="00DA5883">
        <w:t xml:space="preserve">no matter how </w:t>
      </w:r>
      <w:r w:rsidR="00DA5883">
        <w:t>‘</w:t>
      </w:r>
      <w:r w:rsidR="00DA5883" w:rsidRPr="00DA5883">
        <w:t>important, conspicuous, and controversial</w:t>
      </w:r>
      <w:r w:rsidR="00DA5883">
        <w:t xml:space="preserve">’ </w:t>
      </w:r>
      <w:r w:rsidR="00DA5883" w:rsidRPr="00DA5883">
        <w:t xml:space="preserve">the issue, </w:t>
      </w:r>
      <w:r w:rsidR="00DA5883">
        <w:t>. . .</w:t>
      </w:r>
      <w:r w:rsidR="00DA5883" w:rsidRPr="00DA5883">
        <w:t xml:space="preserve"> an administrative agency</w:t>
      </w:r>
      <w:r w:rsidR="00DA5883">
        <w:t>’</w:t>
      </w:r>
      <w:r w:rsidR="00DA5883" w:rsidRPr="00DA5883">
        <w:t xml:space="preserve">s power to regulate in the public interest must always be grounded in </w:t>
      </w:r>
      <w:r w:rsidR="00DA5883" w:rsidRPr="0022035A">
        <w:t>a valid grant of authority from [the legislature]”]</w:t>
      </w:r>
      <w:r w:rsidR="00BD369E" w:rsidRPr="0022035A">
        <w:t>.</w:t>
      </w:r>
      <w:r w:rsidR="004439EF">
        <w:t xml:space="preserve">)  </w:t>
      </w:r>
    </w:p>
    <w:p w14:paraId="5CC3F27F" w14:textId="77777777" w:rsidR="00AB44A8" w:rsidRDefault="00DA5883" w:rsidP="00DB5124">
      <w:pPr>
        <w:spacing w:line="360" w:lineRule="auto"/>
      </w:pPr>
      <w:r>
        <w:tab/>
        <w:t>Appellants</w:t>
      </w:r>
      <w:r w:rsidR="004439EF">
        <w:t>’</w:t>
      </w:r>
      <w:r>
        <w:t xml:space="preserve"> specific contentions also lack force.  </w:t>
      </w:r>
    </w:p>
    <w:p w14:paraId="643AE5E6" w14:textId="2F357E2F" w:rsidR="00E46833" w:rsidRDefault="00BA5825" w:rsidP="004439EF">
      <w:pPr>
        <w:spacing w:line="360" w:lineRule="auto"/>
      </w:pPr>
      <w:r w:rsidRPr="00651674">
        <w:tab/>
        <w:t xml:space="preserve">First, Appellants </w:t>
      </w:r>
      <w:r w:rsidR="00E46833">
        <w:t>contend rate manipulation is a problem</w:t>
      </w:r>
      <w:r w:rsidR="004439EF">
        <w:t xml:space="preserve">, explaining multi-state </w:t>
      </w:r>
      <w:r w:rsidRPr="00651674">
        <w:t xml:space="preserve">insurers have </w:t>
      </w:r>
      <w:r w:rsidR="004439EF">
        <w:t>the</w:t>
      </w:r>
      <w:r w:rsidRPr="00651674">
        <w:t xml:space="preserve"> incentive</w:t>
      </w:r>
      <w:r w:rsidR="004439EF">
        <w:t xml:space="preserve"> and </w:t>
      </w:r>
      <w:r w:rsidR="00F319A2">
        <w:t xml:space="preserve">the </w:t>
      </w:r>
      <w:r w:rsidR="004439EF">
        <w:t>means</w:t>
      </w:r>
      <w:r w:rsidRPr="00651674">
        <w:t xml:space="preserve"> to avoid recognition</w:t>
      </w:r>
      <w:r w:rsidRPr="005F76CF">
        <w:t xml:space="preserve"> of investment income</w:t>
      </w:r>
      <w:r w:rsidR="004439EF">
        <w:t>, such as</w:t>
      </w:r>
      <w:r w:rsidR="00476291">
        <w:t xml:space="preserve"> by</w:t>
      </w:r>
      <w:r w:rsidR="004439EF">
        <w:t xml:space="preserve"> “</w:t>
      </w:r>
      <w:r w:rsidR="004439EF" w:rsidRPr="005F76CF">
        <w:t>artificially rais</w:t>
      </w:r>
      <w:r w:rsidR="004439EF">
        <w:t xml:space="preserve">[ing] rates </w:t>
      </w:r>
      <w:r w:rsidR="00476291">
        <w:t>[through]</w:t>
      </w:r>
      <w:r w:rsidR="004439EF">
        <w:t xml:space="preserve"> altering corporate structures and investment holdings.”  In turn, they contend, using group-level data reduces rate manipulation opportunities, consistent with the purposes of Proposition 103. </w:t>
      </w:r>
    </w:p>
    <w:p w14:paraId="42929ABF" w14:textId="47DAA83E" w:rsidR="00476291" w:rsidRPr="007671C9" w:rsidRDefault="00E46833" w:rsidP="00DB5124">
      <w:pPr>
        <w:spacing w:line="360" w:lineRule="auto"/>
      </w:pPr>
      <w:r>
        <w:tab/>
      </w:r>
      <w:r w:rsidR="00476291">
        <w:t>These contentions resemble their</w:t>
      </w:r>
      <w:r>
        <w:t xml:space="preserve"> </w:t>
      </w:r>
      <w:r w:rsidR="00476291">
        <w:t>claims</w:t>
      </w:r>
      <w:r>
        <w:t xml:space="preserve"> about SFG’s purported lack of independence, and likewise amount to speculation. </w:t>
      </w:r>
      <w:r w:rsidR="00BB3A31">
        <w:t xml:space="preserve"> In essence, their position appears to be that any insurer group not </w:t>
      </w:r>
      <w:r w:rsidR="0093110C">
        <w:t xml:space="preserve">openly </w:t>
      </w:r>
      <w:r w:rsidR="00BB3A31">
        <w:t xml:space="preserve">sharing assets </w:t>
      </w:r>
      <w:r w:rsidR="0093110C">
        <w:t xml:space="preserve">is </w:t>
      </w:r>
      <w:r w:rsidR="00BB3A31">
        <w:t xml:space="preserve">doing so for nefarious purposes.  </w:t>
      </w:r>
      <w:r>
        <w:t xml:space="preserve">For example, CW </w:t>
      </w:r>
      <w:r w:rsidR="00C01032" w:rsidRPr="00C01032">
        <w:t xml:space="preserve">cites the Rate Order </w:t>
      </w:r>
      <w:r>
        <w:t>finding</w:t>
      </w:r>
      <w:r w:rsidR="00C01032" w:rsidRPr="00C01032">
        <w:t xml:space="preserve"> that insurers “may transfer assets between affiliates </w:t>
      </w:r>
      <w:r>
        <w:t xml:space="preserve">. . </w:t>
      </w:r>
      <w:r w:rsidRPr="006429B5">
        <w:t>.</w:t>
      </w:r>
      <w:r w:rsidR="00C01032" w:rsidRPr="006429B5">
        <w:t xml:space="preserve"> as </w:t>
      </w:r>
      <w:r w:rsidR="003A3CC3" w:rsidRPr="006429B5">
        <w:t>State Farm Mutual</w:t>
      </w:r>
      <w:r w:rsidR="00C01032" w:rsidRPr="006429B5">
        <w:t xml:space="preserve"> </w:t>
      </w:r>
      <w:r w:rsidR="00C01032" w:rsidRPr="006429B5">
        <w:lastRenderedPageBreak/>
        <w:t>undoubtedly</w:t>
      </w:r>
      <w:r w:rsidR="00C01032" w:rsidRPr="00C01032">
        <w:t xml:space="preserve"> did when it reconfigured SFG in 1998</w:t>
      </w:r>
      <w:r w:rsidR="00311505">
        <w:t>,</w:t>
      </w:r>
      <w:r w:rsidR="00C01032" w:rsidRPr="00C01032">
        <w:t>”</w:t>
      </w:r>
      <w:r w:rsidR="00311505">
        <w:t xml:space="preserve"> </w:t>
      </w:r>
      <w:r>
        <w:t>and suggests</w:t>
      </w:r>
      <w:r w:rsidR="00311505">
        <w:t xml:space="preserve"> </w:t>
      </w:r>
      <w:r>
        <w:t>the goal</w:t>
      </w:r>
      <w:r w:rsidR="00311505" w:rsidRPr="00311505">
        <w:t xml:space="preserve"> was “to evade effective rate regulatio</w:t>
      </w:r>
      <w:r w:rsidR="00BA60A6">
        <w:t>n</w:t>
      </w:r>
      <w:r>
        <w:t>,”</w:t>
      </w:r>
      <w:r w:rsidR="00311505">
        <w:t xml:space="preserve"> not </w:t>
      </w:r>
      <w:r w:rsidR="00782B45">
        <w:t xml:space="preserve">to </w:t>
      </w:r>
      <w:r w:rsidR="00311505">
        <w:t xml:space="preserve">manage risk. </w:t>
      </w:r>
      <w:r w:rsidR="00C01032" w:rsidRPr="00C01032">
        <w:t xml:space="preserve"> </w:t>
      </w:r>
      <w:r w:rsidR="00476291">
        <w:t>But r</w:t>
      </w:r>
      <w:r w:rsidR="00075BD8">
        <w:t>egulation section 2644.20</w:t>
      </w:r>
      <w:r w:rsidR="00582109">
        <w:t xml:space="preserve"> did not require use of combined statements in 1998</w:t>
      </w:r>
      <w:r w:rsidR="00476291">
        <w:t xml:space="preserve"> (see discussion </w:t>
      </w:r>
      <w:r w:rsidR="00476291">
        <w:rPr>
          <w:i/>
          <w:iCs/>
        </w:rPr>
        <w:t>post</w:t>
      </w:r>
      <w:r w:rsidR="00476291">
        <w:t>)</w:t>
      </w:r>
      <w:r w:rsidR="00582109">
        <w:t>, and CW does not explain how the</w:t>
      </w:r>
      <w:r w:rsidR="00476291">
        <w:t xml:space="preserve"> </w:t>
      </w:r>
      <w:r w:rsidR="00582109">
        <w:t>reorganization was intended to avoid the regulation at the time.</w:t>
      </w:r>
      <w:r w:rsidR="0022035A">
        <w:t xml:space="preserve">  </w:t>
      </w:r>
      <w:r w:rsidR="00476291">
        <w:t>For similar reasons, we</w:t>
      </w:r>
      <w:r w:rsidR="00476291" w:rsidRPr="00476291">
        <w:t xml:space="preserve"> reject the Commissioner’s conjecture that if </w:t>
      </w:r>
      <w:r w:rsidR="00F319A2">
        <w:t>we affirm the</w:t>
      </w:r>
      <w:r w:rsidR="00476291" w:rsidRPr="00476291">
        <w:t xml:space="preserve"> judgment, “large insurers can be expected to move their California policies to corporate entities that hold only low-yield investments.” </w:t>
      </w:r>
      <w:r w:rsidR="00F319A2">
        <w:t xml:space="preserve"> </w:t>
      </w:r>
      <w:r w:rsidR="00476291">
        <w:t>Appellants</w:t>
      </w:r>
      <w:r w:rsidR="00980A5F">
        <w:t xml:space="preserve"> also note aspects of SFG’s relationship with its affiliates, including the shared services, reinsurance, and liquidity pool.  But, a</w:t>
      </w:r>
      <w:r w:rsidR="00582109">
        <w:t xml:space="preserve">gain, </w:t>
      </w:r>
      <w:r w:rsidR="00476291">
        <w:t>they</w:t>
      </w:r>
      <w:r w:rsidR="00582109">
        <w:t xml:space="preserve"> identify no evidence of </w:t>
      </w:r>
      <w:r w:rsidR="00582109" w:rsidRPr="00980A5F">
        <w:rPr>
          <w:i/>
          <w:iCs/>
        </w:rPr>
        <w:t>asset</w:t>
      </w:r>
      <w:r w:rsidR="00582109">
        <w:t xml:space="preserve"> sharing since 1998</w:t>
      </w:r>
      <w:r w:rsidR="0093110C">
        <w:t xml:space="preserve">, </w:t>
      </w:r>
      <w:r w:rsidR="0022035A">
        <w:t xml:space="preserve">much less </w:t>
      </w:r>
      <w:r w:rsidR="0093110C">
        <w:t xml:space="preserve">in a manner intended </w:t>
      </w:r>
      <w:r w:rsidR="0022035A" w:rsidRPr="00DC2196">
        <w:t>to avoid regulation</w:t>
      </w:r>
      <w:r w:rsidR="00582109" w:rsidRPr="00DC2196">
        <w:t>.</w:t>
      </w:r>
      <w:r w:rsidR="0022035A" w:rsidRPr="00DC2196">
        <w:rPr>
          <w:rStyle w:val="FootnoteReference"/>
        </w:rPr>
        <w:footnoteReference w:id="19"/>
      </w:r>
      <w:r w:rsidR="00980A5F" w:rsidRPr="00DC2196">
        <w:t xml:space="preserve"> </w:t>
      </w:r>
      <w:r w:rsidR="00BB3A31">
        <w:t xml:space="preserve"> </w:t>
      </w:r>
    </w:p>
    <w:p w14:paraId="0D476456" w14:textId="6F2A9B50" w:rsidR="00476291" w:rsidRDefault="00651674" w:rsidP="00476291">
      <w:pPr>
        <w:spacing w:line="360" w:lineRule="auto"/>
      </w:pPr>
      <w:r w:rsidRPr="007671C9">
        <w:tab/>
      </w:r>
      <w:r w:rsidR="00C96A74" w:rsidRPr="007671C9">
        <w:t>Appellants also do not establish that</w:t>
      </w:r>
      <w:r>
        <w:t xml:space="preserve"> </w:t>
      </w:r>
      <w:r w:rsidR="00C96A74">
        <w:t>limiting rate manipulation was a purpose of Proposition 103.  The</w:t>
      </w:r>
      <w:r w:rsidR="00C01032">
        <w:t xml:space="preserve">y cite </w:t>
      </w:r>
      <w:r w:rsidR="00E62774">
        <w:t>its</w:t>
      </w:r>
      <w:r w:rsidR="00C01032">
        <w:t xml:space="preserve"> purpose section, which reflects it was </w:t>
      </w:r>
      <w:r w:rsidR="00476291">
        <w:t>meant</w:t>
      </w:r>
      <w:r w:rsidR="00C01032">
        <w:t xml:space="preserve"> to ensure fair and reasonable rates</w:t>
      </w:r>
      <w:r w:rsidR="004628BF">
        <w:t xml:space="preserve">, and the Commissioner’s broad discretion in adopting regulations to administer the initiative.  </w:t>
      </w:r>
      <w:r w:rsidR="00E62774">
        <w:t>But the initiative provided for</w:t>
      </w:r>
      <w:r w:rsidR="00633F59">
        <w:t xml:space="preserve"> </w:t>
      </w:r>
      <w:r w:rsidR="00476291">
        <w:t xml:space="preserve">the prior approval system, </w:t>
      </w:r>
      <w:r w:rsidR="00633F59">
        <w:t>pursuant to which insurance companies can apply for rate changes</w:t>
      </w:r>
      <w:r w:rsidR="00476291">
        <w:t xml:space="preserve"> and the Commissioner can review them</w:t>
      </w:r>
      <w:r w:rsidR="00633F59">
        <w:t>—not the kind of open-ended enforcement power the Commissioner appears to be asserting</w:t>
      </w:r>
      <w:r w:rsidR="00C01032">
        <w:t>.</w:t>
      </w:r>
      <w:r w:rsidR="00633F59">
        <w:t xml:space="preserve">  </w:t>
      </w:r>
    </w:p>
    <w:p w14:paraId="06E0EDA5" w14:textId="36D7EAE9" w:rsidR="00943C74" w:rsidRDefault="007C0DB5" w:rsidP="00DB5124">
      <w:pPr>
        <w:spacing w:line="360" w:lineRule="auto"/>
      </w:pPr>
      <w:r>
        <w:tab/>
      </w:r>
      <w:r w:rsidRPr="002C13A6">
        <w:t xml:space="preserve">Second, </w:t>
      </w:r>
      <w:r w:rsidR="00BB3A31">
        <w:t xml:space="preserve">Appellants </w:t>
      </w:r>
      <w:r w:rsidR="00046EB8">
        <w:t xml:space="preserve">contend that using group-level data is more accurate and reliable, noting other aspects of insurance regulation use group data and most insurers pool income.  With respect to group data, they </w:t>
      </w:r>
      <w:r w:rsidR="00191899">
        <w:lastRenderedPageBreak/>
        <w:t>contend</w:t>
      </w:r>
      <w:r w:rsidR="00046EB8">
        <w:t xml:space="preserve"> risk management occurs on a group-wide </w:t>
      </w:r>
      <w:r w:rsidR="005E0D9B">
        <w:t xml:space="preserve">basis </w:t>
      </w:r>
      <w:r w:rsidR="00046EB8">
        <w:t xml:space="preserve">and cite a Rate Order finding that focusing only on SFG “would not provide an accurate picture of the diversification of [its] investment risk . . . .”  They also </w:t>
      </w:r>
      <w:r w:rsidR="005E0D9B">
        <w:t>cite</w:t>
      </w:r>
      <w:r w:rsidR="00046EB8">
        <w:t xml:space="preserve"> a finding by a rating organization that State Farm Group was “well diversified . . . .” </w:t>
      </w:r>
      <w:r w:rsidR="00452737">
        <w:t xml:space="preserve"> But </w:t>
      </w:r>
      <w:r w:rsidR="005E0D9B">
        <w:t xml:space="preserve">Appellants do not establish </w:t>
      </w:r>
      <w:r w:rsidR="00452737">
        <w:t>risk assessment</w:t>
      </w:r>
      <w:r w:rsidR="005E0D9B">
        <w:t xml:space="preserve"> and diversification are </w:t>
      </w:r>
      <w:r w:rsidR="00452737">
        <w:t xml:space="preserve">coextensive with income projection, and, regardless, section 1861.05(a) </w:t>
      </w:r>
      <w:r w:rsidR="005E0D9B">
        <w:t xml:space="preserve">still </w:t>
      </w:r>
      <w:r w:rsidR="00452737">
        <w:t xml:space="preserve">requires use of the </w:t>
      </w:r>
      <w:r w:rsidR="005E0D9B">
        <w:rPr>
          <w:i/>
          <w:iCs/>
        </w:rPr>
        <w:t>insurance company</w:t>
      </w:r>
      <w:r w:rsidR="005E0D9B">
        <w:t>’s</w:t>
      </w:r>
      <w:r w:rsidR="00452737">
        <w:t xml:space="preserve"> investment income.</w:t>
      </w:r>
      <w:r w:rsidR="005E0D9B">
        <w:t xml:space="preserve"> </w:t>
      </w:r>
      <w:r w:rsidR="00EF08DA">
        <w:t xml:space="preserve">  </w:t>
      </w:r>
    </w:p>
    <w:p w14:paraId="7E098178" w14:textId="5DC3380F" w:rsidR="00BD2CAE" w:rsidRDefault="00943C74" w:rsidP="00DB5124">
      <w:pPr>
        <w:spacing w:line="360" w:lineRule="auto"/>
      </w:pPr>
      <w:r>
        <w:tab/>
      </w:r>
      <w:r w:rsidR="005E0D9B">
        <w:t>A</w:t>
      </w:r>
      <w:r w:rsidR="00452737">
        <w:t xml:space="preserve">s for those insurers </w:t>
      </w:r>
      <w:r w:rsidR="007D08C0">
        <w:t xml:space="preserve">that </w:t>
      </w:r>
      <w:r w:rsidR="00C75938">
        <w:t xml:space="preserve">do </w:t>
      </w:r>
      <w:r w:rsidR="00452737">
        <w:t>pool income, their prevalence does not compel a different result</w:t>
      </w:r>
      <w:r w:rsidR="00227B46">
        <w:t>.</w:t>
      </w:r>
      <w:r>
        <w:t xml:space="preserve">  There is no dispute </w:t>
      </w:r>
      <w:r w:rsidR="00511F31">
        <w:t xml:space="preserve">regulations </w:t>
      </w:r>
      <w:r w:rsidR="00511F31" w:rsidRPr="005630A2">
        <w:t xml:space="preserve">are </w:t>
      </w:r>
      <w:r w:rsidR="00511F31">
        <w:t>“</w:t>
      </w:r>
      <w:r w:rsidR="00511F31" w:rsidRPr="005630A2">
        <w:t>not invalid merely because they are to some extent underinclusive or overinclusive</w:t>
      </w:r>
      <w:r w:rsidR="00E665FF">
        <w:t>,</w:t>
      </w:r>
      <w:r w:rsidR="00511F31">
        <w:t>”</w:t>
      </w:r>
      <w:r w:rsidR="00E665FF">
        <w:t xml:space="preserve"> as the Commissioner asserts, but </w:t>
      </w:r>
      <w:r>
        <w:t>regulations</w:t>
      </w:r>
      <w:r w:rsidR="00C75938">
        <w:t xml:space="preserve"> still must be </w:t>
      </w:r>
      <w:r>
        <w:t xml:space="preserve">applied </w:t>
      </w:r>
      <w:r w:rsidR="00C75938">
        <w:t>consistent with the</w:t>
      </w:r>
      <w:r>
        <w:t xml:space="preserve"> authorizing </w:t>
      </w:r>
      <w:r w:rsidR="00C75938">
        <w:t>statute</w:t>
      </w:r>
      <w:r w:rsidR="00EF08DA">
        <w:t>.</w:t>
      </w:r>
      <w:r w:rsidR="00943047">
        <w:t xml:space="preserve"> </w:t>
      </w:r>
      <w:r w:rsidR="00EF08DA">
        <w:t xml:space="preserve"> T</w:t>
      </w:r>
      <w:r w:rsidR="00C75938">
        <w:t xml:space="preserve">he cases </w:t>
      </w:r>
      <w:r>
        <w:t>t</w:t>
      </w:r>
      <w:r w:rsidR="00C75938">
        <w:t>he</w:t>
      </w:r>
      <w:r>
        <w:t xml:space="preserve"> Commissioner </w:t>
      </w:r>
      <w:r w:rsidR="00C75938">
        <w:t xml:space="preserve">cites are inapposite.  (See </w:t>
      </w:r>
      <w:r w:rsidR="00511F31" w:rsidRPr="00511F31">
        <w:rPr>
          <w:i/>
          <w:iCs/>
        </w:rPr>
        <w:t>Warden v. State Bar</w:t>
      </w:r>
      <w:r w:rsidR="00511F31" w:rsidRPr="005630A2">
        <w:t xml:space="preserve"> (1999) 21 Cal.4th 628, </w:t>
      </w:r>
      <w:r w:rsidR="006431A5">
        <w:t>633-634</w:t>
      </w:r>
      <w:r w:rsidR="00BD2CAE">
        <w:t>,</w:t>
      </w:r>
      <w:r w:rsidR="007D08C0">
        <w:t xml:space="preserve"> 649,</w:t>
      </w:r>
      <w:r w:rsidR="00BD2CAE">
        <w:t xml:space="preserve"> fn.</w:t>
      </w:r>
      <w:r w:rsidR="0045746B">
        <w:t> </w:t>
      </w:r>
      <w:r w:rsidR="00BD2CAE">
        <w:t>13</w:t>
      </w:r>
      <w:r w:rsidR="006431A5">
        <w:t xml:space="preserve"> [rejecting argument that state bar MCLE exemptions violated equal protection</w:t>
      </w:r>
      <w:r w:rsidR="00BD2CAE">
        <w:t>, just because classifications might be imperfect</w:t>
      </w:r>
      <w:r w:rsidR="006431A5">
        <w:t xml:space="preserve">]; </w:t>
      </w:r>
      <w:r w:rsidR="00C75938" w:rsidRPr="00C75938">
        <w:rPr>
          <w:i/>
          <w:iCs/>
        </w:rPr>
        <w:t>Agric</w:t>
      </w:r>
      <w:r w:rsidR="004A40D0">
        <w:rPr>
          <w:i/>
          <w:iCs/>
        </w:rPr>
        <w:t>.</w:t>
      </w:r>
      <w:r w:rsidR="00C75938" w:rsidRPr="00C75938">
        <w:rPr>
          <w:i/>
          <w:iCs/>
        </w:rPr>
        <w:t xml:space="preserve"> Labor Relations Bd. v. Superior Court</w:t>
      </w:r>
      <w:r w:rsidR="00C75938" w:rsidRPr="00C75938">
        <w:t xml:space="preserve"> (1976) 16 Cal.3d 392</w:t>
      </w:r>
      <w:r w:rsidR="00C75938">
        <w:t xml:space="preserve">, </w:t>
      </w:r>
      <w:r w:rsidR="001E1A98">
        <w:t>410-411</w:t>
      </w:r>
      <w:r w:rsidR="00511F31">
        <w:t xml:space="preserve"> [</w:t>
      </w:r>
      <w:r w:rsidR="001E1A98" w:rsidRPr="001E1A98">
        <w:t xml:space="preserve">zoning plan is </w:t>
      </w:r>
      <w:r w:rsidR="001E1A98">
        <w:t>not “</w:t>
      </w:r>
      <w:r w:rsidR="001E1A98" w:rsidRPr="001E1A98">
        <w:t>unconstitutional merely because certain property owners can show that it causes them unnecessary hardship</w:t>
      </w:r>
      <w:r w:rsidR="00BD2CAE">
        <w:t>”</w:t>
      </w:r>
      <w:r w:rsidR="001E1A98">
        <w:t>].)</w:t>
      </w:r>
      <w:r w:rsidR="008D4C96">
        <w:t xml:space="preserve">  </w:t>
      </w:r>
    </w:p>
    <w:p w14:paraId="4DB8D114" w14:textId="472D5176" w:rsidR="00E46833" w:rsidRDefault="00BA5825" w:rsidP="00DB5124">
      <w:pPr>
        <w:spacing w:line="360" w:lineRule="auto"/>
      </w:pPr>
      <w:r w:rsidRPr="00852F56">
        <w:tab/>
      </w:r>
      <w:r w:rsidRPr="00325B62">
        <w:t xml:space="preserve">Third, </w:t>
      </w:r>
      <w:r w:rsidR="00852F56" w:rsidRPr="00325B62">
        <w:t xml:space="preserve">Appellants contend </w:t>
      </w:r>
      <w:r w:rsidR="00BD2CAE" w:rsidRPr="00325B62">
        <w:t>use of group-level data</w:t>
      </w:r>
      <w:r w:rsidR="00852F56" w:rsidRPr="00325B62">
        <w:t xml:space="preserve"> </w:t>
      </w:r>
      <w:r w:rsidR="00BD2CAE" w:rsidRPr="00325B62">
        <w:t>improves</w:t>
      </w:r>
      <w:r w:rsidR="00852F56" w:rsidRPr="00BD2CAE">
        <w:t xml:space="preserve"> manageability</w:t>
      </w:r>
      <w:r w:rsidR="002852C9">
        <w:t xml:space="preserve">, by </w:t>
      </w:r>
      <w:r w:rsidR="00BD2CAE">
        <w:t xml:space="preserve">eliminating disputes </w:t>
      </w:r>
      <w:r w:rsidR="008A1BD6">
        <w:t xml:space="preserve">over </w:t>
      </w:r>
      <w:r w:rsidR="00BD2CAE">
        <w:t>whether entities should be treated as groups and avoiding the need to examine corporate affairs</w:t>
      </w:r>
      <w:r w:rsidR="002F5FCD">
        <w:t xml:space="preserve"> and transactions</w:t>
      </w:r>
      <w:r w:rsidR="002852C9">
        <w:t>.</w:t>
      </w:r>
      <w:r w:rsidRPr="00852F56">
        <w:t xml:space="preserve"> </w:t>
      </w:r>
      <w:r w:rsidR="005E00FA">
        <w:t xml:space="preserve"> </w:t>
      </w:r>
      <w:r w:rsidR="00325B62">
        <w:t xml:space="preserve">But </w:t>
      </w:r>
      <w:r w:rsidR="002F5FCD">
        <w:t xml:space="preserve">their preceding arguments </w:t>
      </w:r>
      <w:r w:rsidR="007F44F7">
        <w:t>reflect</w:t>
      </w:r>
      <w:r w:rsidR="002F5FCD">
        <w:t xml:space="preserve"> they contemplate </w:t>
      </w:r>
      <w:r w:rsidR="008A1BD6">
        <w:t>few</w:t>
      </w:r>
      <w:r w:rsidR="005C15D6">
        <w:t>,</w:t>
      </w:r>
      <w:r w:rsidR="008A1BD6">
        <w:t xml:space="preserve"> if any</w:t>
      </w:r>
      <w:r w:rsidR="005C15D6">
        <w:t>,</w:t>
      </w:r>
      <w:r w:rsidR="002F5FCD">
        <w:t xml:space="preserve"> good faith dispute</w:t>
      </w:r>
      <w:r w:rsidR="007F44F7">
        <w:t xml:space="preserve">s; they simply assume group treatment is always valid, and </w:t>
      </w:r>
      <w:r w:rsidR="0093249C">
        <w:t>they have not established this</w:t>
      </w:r>
      <w:r w:rsidR="007F44F7">
        <w:t xml:space="preserve">. </w:t>
      </w:r>
      <w:r w:rsidR="0093249C">
        <w:t xml:space="preserve"> Their </w:t>
      </w:r>
      <w:r w:rsidR="002F5FCD">
        <w:t>specific contentions also lack merit.</w:t>
      </w:r>
      <w:r w:rsidR="000A7E6A">
        <w:t xml:space="preserve">  </w:t>
      </w:r>
      <w:r w:rsidR="00BE1BDE">
        <w:t>They contend the NAIC set an “</w:t>
      </w:r>
      <w:r w:rsidR="004542A9">
        <w:t xml:space="preserve">objective standard” for determining if affiliates are sufficiently related to file a combined statement, </w:t>
      </w:r>
      <w:r w:rsidR="00BE1BDE">
        <w:t>thus eliminating disputes about group treatment.</w:t>
      </w:r>
      <w:r w:rsidR="00101D8E">
        <w:t xml:space="preserve"> </w:t>
      </w:r>
      <w:r w:rsidR="007F44F7">
        <w:t xml:space="preserve"> T</w:t>
      </w:r>
      <w:r w:rsidR="00BE1BDE">
        <w:t xml:space="preserve">he purpose of the NAIC form </w:t>
      </w:r>
      <w:r w:rsidR="00BE1BDE">
        <w:lastRenderedPageBreak/>
        <w:t xml:space="preserve">is to </w:t>
      </w:r>
      <w:r w:rsidR="007F44F7" w:rsidRPr="007F44F7">
        <w:t xml:space="preserve">provide </w:t>
      </w:r>
      <w:r w:rsidR="007F44F7">
        <w:t>“</w:t>
      </w:r>
      <w:r w:rsidR="007F44F7" w:rsidRPr="007F44F7">
        <w:t xml:space="preserve">combined data </w:t>
      </w:r>
      <w:r w:rsidR="007F44F7">
        <w:t>. . .</w:t>
      </w:r>
      <w:r w:rsidR="007F44F7" w:rsidRPr="007F44F7">
        <w:t xml:space="preserve"> for use by the NAIC in statistical research and analysis.” </w:t>
      </w:r>
      <w:r w:rsidR="0093249C">
        <w:t xml:space="preserve"> </w:t>
      </w:r>
      <w:r w:rsidR="00E500B8">
        <w:t>We are unconvinced</w:t>
      </w:r>
      <w:r w:rsidR="00EF45C3">
        <w:t xml:space="preserve"> that </w:t>
      </w:r>
      <w:r w:rsidR="00E500B8">
        <w:t>such a</w:t>
      </w:r>
      <w:r w:rsidR="00EF45C3">
        <w:t xml:space="preserve"> standard, objective or otherwise, can be dispositive of whether </w:t>
      </w:r>
      <w:r w:rsidR="00BE1BDE">
        <w:t xml:space="preserve">group assets </w:t>
      </w:r>
      <w:r w:rsidR="007F44F7">
        <w:t>reflect an</w:t>
      </w:r>
      <w:r w:rsidR="00BE1BDE">
        <w:t xml:space="preserve"> “insurance company’s investment income” under section 1861.05(a). </w:t>
      </w:r>
      <w:r w:rsidR="00EF45C3">
        <w:t xml:space="preserve"> Appellants also note the </w:t>
      </w:r>
      <w:r w:rsidR="00E12413">
        <w:t>Commissioner may adopt regulations to “reduce the job to manageable size</w:t>
      </w:r>
      <w:r w:rsidR="00EF45C3">
        <w:t xml:space="preserve"> . . . .”  (</w:t>
      </w:r>
      <w:r w:rsidR="00EF45C3" w:rsidRPr="00E12413">
        <w:rPr>
          <w:i/>
          <w:iCs/>
        </w:rPr>
        <w:t>Calfarm</w:t>
      </w:r>
      <w:r w:rsidR="00EF45C3" w:rsidRPr="00E12413">
        <w:t xml:space="preserve">, </w:t>
      </w:r>
      <w:r w:rsidR="00EF45C3" w:rsidRPr="00E12413">
        <w:rPr>
          <w:i/>
          <w:iCs/>
        </w:rPr>
        <w:t>supra</w:t>
      </w:r>
      <w:r w:rsidR="00EF45C3" w:rsidRPr="00E12413">
        <w:t>, 48 Cal.3d at p. 824.)</w:t>
      </w:r>
      <w:r w:rsidR="003D5EA6">
        <w:t xml:space="preserve"> </w:t>
      </w:r>
      <w:r w:rsidR="00EF45C3">
        <w:t xml:space="preserve"> But the purported manageability concern only arises from the unfounded assumption that group treatment is always valid.  Finally, t</w:t>
      </w:r>
      <w:r w:rsidR="00F83B16">
        <w:t xml:space="preserve">he Commissioner argues use of group data leaves insurers “free to </w:t>
      </w:r>
      <w:r w:rsidR="00F83B16" w:rsidRPr="005630A2">
        <w:t xml:space="preserve">structure their businesses </w:t>
      </w:r>
      <w:r w:rsidR="00EF45C3" w:rsidRPr="00EF45C3">
        <w:t>and allocate investments between corporate entities</w:t>
      </w:r>
      <w:r w:rsidR="00EF45C3">
        <w:t xml:space="preserve"> </w:t>
      </w:r>
      <w:r w:rsidR="00F83B16" w:rsidRPr="005630A2">
        <w:t>in whatever ways they find prudent, without those internal corporate decisions affecting their California rates.</w:t>
      </w:r>
      <w:r w:rsidR="00F83B16">
        <w:t>”</w:t>
      </w:r>
      <w:r w:rsidR="00002F81">
        <w:t xml:space="preserve"> </w:t>
      </w:r>
      <w:r w:rsidR="00F83B16">
        <w:t xml:space="preserve"> </w:t>
      </w:r>
      <w:r w:rsidR="00EF45C3">
        <w:t xml:space="preserve">Not so.  Far from giving </w:t>
      </w:r>
      <w:r w:rsidR="005D28E7">
        <w:t>insurers</w:t>
      </w:r>
      <w:r w:rsidR="00EF45C3">
        <w:t xml:space="preserve"> flexibility, requisite use of group data could spur </w:t>
      </w:r>
      <w:r w:rsidR="005D28E7">
        <w:t>them</w:t>
      </w:r>
      <w:r w:rsidR="00EF45C3">
        <w:t xml:space="preserve"> to tailor </w:t>
      </w:r>
      <w:r w:rsidR="005D28E7">
        <w:t xml:space="preserve">their </w:t>
      </w:r>
      <w:r w:rsidR="00EF45C3">
        <w:t xml:space="preserve">investment </w:t>
      </w:r>
      <w:r w:rsidR="007F44F7">
        <w:t xml:space="preserve">and business </w:t>
      </w:r>
      <w:r w:rsidR="00EF45C3">
        <w:t>strategies</w:t>
      </w:r>
      <w:r w:rsidR="00895E07">
        <w:t>—and to the</w:t>
      </w:r>
      <w:r w:rsidR="004D0358">
        <w:t xml:space="preserve"> </w:t>
      </w:r>
      <w:r w:rsidR="00895E07">
        <w:t>detriment of consumers</w:t>
      </w:r>
      <w:r w:rsidR="007F44F7">
        <w:t>, as noted above</w:t>
      </w:r>
      <w:r w:rsidR="005D28E7">
        <w:t>.</w:t>
      </w:r>
    </w:p>
    <w:p w14:paraId="4639C91A" w14:textId="77777777" w:rsidR="002C46EA" w:rsidRPr="002C46EA" w:rsidRDefault="00BA5825" w:rsidP="00DB5124">
      <w:pPr>
        <w:pStyle w:val="Heading2"/>
        <w:spacing w:line="360" w:lineRule="auto"/>
        <w:ind w:firstLine="720"/>
        <w:rPr>
          <w:rFonts w:cs="Times New Roman"/>
          <w:i/>
          <w:iCs/>
        </w:rPr>
      </w:pPr>
      <w:r w:rsidRPr="002B6CA3">
        <w:rPr>
          <w:rFonts w:cs="Times New Roman"/>
        </w:rPr>
        <w:t>3.</w:t>
      </w:r>
      <w:r w:rsidRPr="002B6CA3">
        <w:rPr>
          <w:rFonts w:cs="Times New Roman"/>
        </w:rPr>
        <w:tab/>
      </w:r>
      <w:r w:rsidRPr="002B6CA3">
        <w:rPr>
          <w:rFonts w:cs="Times New Roman"/>
          <w:i/>
          <w:iCs/>
        </w:rPr>
        <w:t>Deference to Commissioner</w:t>
      </w:r>
    </w:p>
    <w:p w14:paraId="31E4C64F" w14:textId="4603DB8B" w:rsidR="002B6CA3" w:rsidRDefault="00BA5825" w:rsidP="00DB5124">
      <w:pPr>
        <w:spacing w:line="360" w:lineRule="auto"/>
      </w:pPr>
      <w:r>
        <w:tab/>
        <w:t>Appellants</w:t>
      </w:r>
      <w:r w:rsidR="003249A6">
        <w:t xml:space="preserve"> further</w:t>
      </w:r>
      <w:r>
        <w:t xml:space="preserve"> contend </w:t>
      </w:r>
      <w:r w:rsidR="002B6CA3">
        <w:t xml:space="preserve">we should also accept the Commissioner’s interpretation and application of </w:t>
      </w:r>
      <w:r w:rsidR="004A40D0">
        <w:t xml:space="preserve">regulation </w:t>
      </w:r>
      <w:r w:rsidR="002B6CA3">
        <w:t xml:space="preserve">section 2644.20, because significant deference is due to him.  We </w:t>
      </w:r>
      <w:r w:rsidR="00967FE5">
        <w:t>agree with the superior court that</w:t>
      </w:r>
      <w:r w:rsidR="002B6CA3">
        <w:t xml:space="preserve"> deference is </w:t>
      </w:r>
      <w:r w:rsidR="00967FE5">
        <w:t xml:space="preserve">not </w:t>
      </w:r>
      <w:r w:rsidR="002B6CA3">
        <w:t>warranted here.</w:t>
      </w:r>
    </w:p>
    <w:p w14:paraId="309892B3" w14:textId="77777777" w:rsidR="002C46EA" w:rsidRDefault="002C46EA" w:rsidP="00DB5124">
      <w:pPr>
        <w:pStyle w:val="Heading3"/>
        <w:spacing w:line="360" w:lineRule="auto"/>
      </w:pPr>
      <w:r>
        <w:t>a.</w:t>
      </w:r>
      <w:r>
        <w:tab/>
      </w:r>
      <w:r w:rsidRPr="002C46EA">
        <w:rPr>
          <w:i/>
          <w:iCs/>
        </w:rPr>
        <w:t>Applicable Law</w:t>
      </w:r>
    </w:p>
    <w:p w14:paraId="6840BA3C" w14:textId="6CAE71EA" w:rsidR="00F91B39" w:rsidRDefault="002B6CA3" w:rsidP="00DB5124">
      <w:pPr>
        <w:spacing w:line="360" w:lineRule="auto"/>
      </w:pPr>
      <w:r>
        <w:tab/>
        <w:t>Additional legal background is helpfu</w:t>
      </w:r>
      <w:r w:rsidR="00BB71BC">
        <w:t>l</w:t>
      </w:r>
      <w:r>
        <w:t>.</w:t>
      </w:r>
      <w:r w:rsidR="00F91B39">
        <w:t xml:space="preserve">  </w:t>
      </w:r>
      <w:r w:rsidR="006274FF">
        <w:t>There are two categories of administrative rules, quasi-legislative and interpretive.</w:t>
      </w:r>
      <w:r w:rsidR="00F91B39" w:rsidRPr="00F91B39">
        <w:t xml:space="preserve">  (</w:t>
      </w:r>
      <w:r w:rsidR="00F91B39" w:rsidRPr="006274FF">
        <w:rPr>
          <w:i/>
          <w:iCs/>
        </w:rPr>
        <w:t>Yamaha</w:t>
      </w:r>
      <w:r w:rsidR="00F91B39" w:rsidRPr="00F91B39">
        <w:t xml:space="preserve">, </w:t>
      </w:r>
      <w:r w:rsidR="00F91B39" w:rsidRPr="00F91B39">
        <w:rPr>
          <w:i/>
          <w:iCs/>
        </w:rPr>
        <w:t>supra</w:t>
      </w:r>
      <w:r w:rsidR="00F91B39" w:rsidRPr="00F91B39">
        <w:t xml:space="preserve">, 19 Cal.4th at p. </w:t>
      </w:r>
      <w:r w:rsidR="006274FF">
        <w:t>1</w:t>
      </w:r>
      <w:r w:rsidR="00973EA0">
        <w:t>0</w:t>
      </w:r>
      <w:r w:rsidR="00F91B39" w:rsidRPr="00F91B39">
        <w:t>.)</w:t>
      </w:r>
      <w:r w:rsidR="006274FF">
        <w:t xml:space="preserve">  </w:t>
      </w:r>
      <w:r w:rsidR="00973EA0">
        <w:t>A q</w:t>
      </w:r>
      <w:r w:rsidR="006274FF" w:rsidRPr="006274FF">
        <w:t xml:space="preserve">uasi-legislative rule </w:t>
      </w:r>
      <w:r w:rsidR="006274FF">
        <w:t>“</w:t>
      </w:r>
      <w:r w:rsidR="006274FF" w:rsidRPr="006274FF">
        <w:t>represent</w:t>
      </w:r>
      <w:r w:rsidR="00BB71BC">
        <w:t>s</w:t>
      </w:r>
      <w:r w:rsidR="006274FF" w:rsidRPr="006274FF">
        <w:t xml:space="preserve"> an authentic form of substantive lawmakin</w:t>
      </w:r>
      <w:r w:rsidR="006274FF">
        <w:t>g,” in which the “</w:t>
      </w:r>
      <w:r w:rsidR="006274FF" w:rsidRPr="006274FF">
        <w:t>agency has been delegated the Legislature</w:t>
      </w:r>
      <w:r w:rsidR="00DC47A8">
        <w:t>’</w:t>
      </w:r>
      <w:r w:rsidR="006274FF" w:rsidRPr="006274FF">
        <w:t>s lawmaking powe</w:t>
      </w:r>
      <w:r w:rsidR="006274FF">
        <w:t>r” and the scope of judicial review is narrow.  (</w:t>
      </w:r>
      <w:r w:rsidR="003249A6" w:rsidRPr="003B02DF">
        <w:rPr>
          <w:i/>
          <w:iCs/>
        </w:rPr>
        <w:t>Ibid</w:t>
      </w:r>
      <w:r w:rsidR="003249A6">
        <w:t xml:space="preserve">; </w:t>
      </w:r>
      <w:r w:rsidR="006274FF">
        <w:rPr>
          <w:i/>
          <w:iCs/>
        </w:rPr>
        <w:t>Id</w:t>
      </w:r>
      <w:r w:rsidR="006274FF">
        <w:t>.</w:t>
      </w:r>
      <w:r w:rsidR="004A40D0">
        <w:t xml:space="preserve"> at pp. 10-11</w:t>
      </w:r>
      <w:r w:rsidR="006274FF">
        <w:t xml:space="preserve"> [requiring quasi-legislative rules to come within designated authority, and be “reasonably necessary” to implement the </w:t>
      </w:r>
      <w:r w:rsidR="006274FF">
        <w:lastRenderedPageBreak/>
        <w:t>statutory purpose]</w:t>
      </w:r>
      <w:r w:rsidR="00973EA0">
        <w:t xml:space="preserve">; see </w:t>
      </w:r>
      <w:r w:rsidR="00973EA0" w:rsidRPr="00973EA0">
        <w:rPr>
          <w:i/>
          <w:iCs/>
        </w:rPr>
        <w:t>ASIC</w:t>
      </w:r>
      <w:r w:rsidR="00973EA0">
        <w:t xml:space="preserve">, </w:t>
      </w:r>
      <w:r w:rsidR="00973EA0" w:rsidRPr="00973EA0">
        <w:rPr>
          <w:i/>
          <w:iCs/>
        </w:rPr>
        <w:t>supra</w:t>
      </w:r>
      <w:r w:rsidR="00973EA0">
        <w:t>, 2 Cal.5th at pp. 396-397</w:t>
      </w:r>
      <w:r w:rsidR="006274FF">
        <w:t xml:space="preserve">.)  </w:t>
      </w:r>
      <w:r w:rsidR="00973EA0">
        <w:t>An interpretive rule “</w:t>
      </w:r>
      <w:r w:rsidR="006274FF" w:rsidRPr="00973EA0">
        <w:t>represent</w:t>
      </w:r>
      <w:r w:rsidR="00E538B1">
        <w:t>s</w:t>
      </w:r>
      <w:r w:rsidR="006274FF" w:rsidRPr="00973EA0">
        <w:t xml:space="preserve"> the agency</w:t>
      </w:r>
      <w:r w:rsidR="00973EA0">
        <w:t>’</w:t>
      </w:r>
      <w:r w:rsidR="006274FF" w:rsidRPr="00973EA0">
        <w:t>s view of the statute</w:t>
      </w:r>
      <w:r w:rsidR="00973EA0" w:rsidRPr="00973EA0">
        <w:t>’</w:t>
      </w:r>
      <w:r w:rsidR="006274FF" w:rsidRPr="00973EA0">
        <w:t>s legal meaning and effect,</w:t>
      </w:r>
      <w:r w:rsidR="00973EA0">
        <w:t>” and “</w:t>
      </w:r>
      <w:r w:rsidR="00973EA0" w:rsidRPr="00973EA0">
        <w:t>commands a commensurably lesser degree of judicial deference</w:t>
      </w:r>
      <w:r w:rsidR="00973EA0">
        <w:t>.”</w:t>
      </w:r>
      <w:r w:rsidR="00E538B1">
        <w:t xml:space="preserve"> </w:t>
      </w:r>
      <w:r w:rsidR="00973EA0" w:rsidRPr="00973EA0">
        <w:t xml:space="preserve"> (</w:t>
      </w:r>
      <w:r w:rsidR="00DC47A8">
        <w:rPr>
          <w:i/>
          <w:iCs/>
        </w:rPr>
        <w:t>Yamaha</w:t>
      </w:r>
      <w:r w:rsidR="00DC47A8">
        <w:t>,</w:t>
      </w:r>
      <w:r w:rsidR="00973EA0" w:rsidRPr="00973EA0">
        <w:t xml:space="preserve"> at p. 1</w:t>
      </w:r>
      <w:r w:rsidR="004A40D0">
        <w:t>1</w:t>
      </w:r>
      <w:r w:rsidR="00973EA0">
        <w:t xml:space="preserve">; </w:t>
      </w:r>
      <w:r w:rsidR="00973EA0" w:rsidRPr="00973EA0">
        <w:rPr>
          <w:i/>
          <w:iCs/>
        </w:rPr>
        <w:t>ASIC</w:t>
      </w:r>
      <w:r w:rsidR="00973EA0">
        <w:t>, at p. 397 [</w:t>
      </w:r>
      <w:r w:rsidR="00973EA0" w:rsidRPr="00973EA0">
        <w:t xml:space="preserve">court </w:t>
      </w:r>
      <w:r w:rsidR="00973EA0">
        <w:t>“</w:t>
      </w:r>
      <w:r w:rsidR="00973EA0" w:rsidRPr="00973EA0">
        <w:t>must also consider whether the administrative interpretation is a proper construction of the statute</w:t>
      </w:r>
      <w:r w:rsidR="00973EA0">
        <w:t>”].)</w:t>
      </w:r>
    </w:p>
    <w:p w14:paraId="16358E81" w14:textId="0D253A37" w:rsidR="000C2A9F" w:rsidRDefault="00F91B39" w:rsidP="00DB5124">
      <w:pPr>
        <w:spacing w:line="360" w:lineRule="auto"/>
      </w:pPr>
      <w:r>
        <w:tab/>
        <w:t>There are “</w:t>
      </w:r>
      <w:r w:rsidRPr="00F91B39">
        <w:t>two broad categories of factors relevant to a court</w:t>
      </w:r>
      <w:r w:rsidR="00B37A40">
        <w:t>’</w:t>
      </w:r>
      <w:r w:rsidRPr="00F91B39">
        <w:t>s assessment of the weight due an agency</w:t>
      </w:r>
      <w:r w:rsidR="00DC47A8">
        <w:t>’</w:t>
      </w:r>
      <w:r w:rsidRPr="00F91B39">
        <w:t xml:space="preserve">s interpretation: </w:t>
      </w:r>
      <w:r w:rsidR="00B37A40">
        <w:t xml:space="preserve"> </w:t>
      </w:r>
      <w:r w:rsidRPr="00F91B39">
        <w:t xml:space="preserve">those </w:t>
      </w:r>
      <w:r>
        <w:t>‘</w:t>
      </w:r>
      <w:r w:rsidRPr="00F91B39">
        <w:t>indicating that the agency has a comparative interpretive advantage over the courts,</w:t>
      </w:r>
      <w:r>
        <w:t>’</w:t>
      </w:r>
      <w:r w:rsidRPr="00F91B39">
        <w:t xml:space="preserve"> and those </w:t>
      </w:r>
      <w:r>
        <w:t>‘</w:t>
      </w:r>
      <w:r w:rsidRPr="00F91B39">
        <w:t>indicating that the interpretation in question is probably correct.</w:t>
      </w:r>
      <w:r>
        <w:t>’</w:t>
      </w:r>
      <w:r w:rsidR="00967FE5">
        <w:t xml:space="preserve"> ”</w:t>
      </w:r>
      <w:r w:rsidRPr="00F91B39">
        <w:t xml:space="preserve"> </w:t>
      </w:r>
      <w:r w:rsidR="00E538B1">
        <w:t xml:space="preserve"> </w:t>
      </w:r>
      <w:r>
        <w:t>(</w:t>
      </w:r>
      <w:r>
        <w:rPr>
          <w:i/>
          <w:iCs/>
        </w:rPr>
        <w:t>Yamaha</w:t>
      </w:r>
      <w:r>
        <w:t xml:space="preserve">, </w:t>
      </w:r>
      <w:r>
        <w:rPr>
          <w:i/>
          <w:iCs/>
        </w:rPr>
        <w:t>supra</w:t>
      </w:r>
      <w:r>
        <w:t>, 19 Cal.4th at p. 12;</w:t>
      </w:r>
      <w:r w:rsidR="00973EA0">
        <w:t xml:space="preserve"> see</w:t>
      </w:r>
      <w:r>
        <w:t xml:space="preserve"> </w:t>
      </w:r>
      <w:r w:rsidR="002C46EA" w:rsidRPr="00700979">
        <w:rPr>
          <w:i/>
          <w:iCs/>
        </w:rPr>
        <w:t>ASIC</w:t>
      </w:r>
      <w:r w:rsidR="002C46EA">
        <w:t xml:space="preserve">, </w:t>
      </w:r>
      <w:r w:rsidR="002C46EA">
        <w:rPr>
          <w:i/>
          <w:iCs/>
        </w:rPr>
        <w:t>supra</w:t>
      </w:r>
      <w:r w:rsidR="002C46EA">
        <w:t>,</w:t>
      </w:r>
      <w:r w:rsidR="002C46EA" w:rsidRPr="00822FC8">
        <w:t xml:space="preserve"> 2 Cal.5th </w:t>
      </w:r>
      <w:r w:rsidR="002C46EA">
        <w:t>at p. 39</w:t>
      </w:r>
      <w:r w:rsidR="00973EA0">
        <w:t>0</w:t>
      </w:r>
      <w:r w:rsidR="002C46EA">
        <w:t>.</w:t>
      </w:r>
      <w:r w:rsidR="000C2A9F">
        <w:t xml:space="preserve">)  </w:t>
      </w:r>
    </w:p>
    <w:p w14:paraId="1FA8A443" w14:textId="50C1F1C8" w:rsidR="000C2A9F" w:rsidRDefault="000C2A9F" w:rsidP="00DB5124">
      <w:pPr>
        <w:spacing w:line="360" w:lineRule="auto"/>
      </w:pPr>
      <w:r>
        <w:tab/>
        <w:t>“</w:t>
      </w:r>
      <w:r w:rsidRPr="000C2A9F">
        <w:t xml:space="preserve">In the first category are factors that </w:t>
      </w:r>
      <w:r w:rsidR="006E0C62">
        <w:t>‘</w:t>
      </w:r>
      <w:r w:rsidRPr="000C2A9F">
        <w:t>assume the agency has expertise and technical knowledge, especially where the legal text to be interpreted is technical, obscure, complex, open-ended, or entwined with issues of fact, policy, and discretion.</w:t>
      </w:r>
      <w:r>
        <w:t xml:space="preserve">  </w:t>
      </w:r>
      <w:r w:rsidRPr="000C2A9F">
        <w:t>A court is more likely to defer to an agency</w:t>
      </w:r>
      <w:r w:rsidR="00DC47A8">
        <w:t>’</w:t>
      </w:r>
      <w:r w:rsidRPr="000C2A9F">
        <w:t>s interpretation of its own regulation than to its interpretation of a statute, since the agency is likely to be intimately familiar with regulations it authored and sensitive to the practical implications of one interpretation over another.</w:t>
      </w:r>
      <w:r w:rsidR="006E0C62">
        <w:t xml:space="preserve">’ </w:t>
      </w:r>
      <w:r>
        <w:t>”  (</w:t>
      </w:r>
      <w:r>
        <w:rPr>
          <w:i/>
          <w:iCs/>
        </w:rPr>
        <w:t>Yamaha</w:t>
      </w:r>
      <w:r>
        <w:t xml:space="preserve">, </w:t>
      </w:r>
      <w:r>
        <w:rPr>
          <w:i/>
          <w:iCs/>
        </w:rPr>
        <w:t>supra</w:t>
      </w:r>
      <w:r>
        <w:t xml:space="preserve">, 19 Cal.4th at p. 12.)  </w:t>
      </w:r>
    </w:p>
    <w:p w14:paraId="23B25710" w14:textId="41F06CE9" w:rsidR="002C46EA" w:rsidRDefault="000C2A9F" w:rsidP="00DB5124">
      <w:pPr>
        <w:spacing w:line="360" w:lineRule="auto"/>
      </w:pPr>
      <w:r>
        <w:tab/>
      </w:r>
      <w:r w:rsidR="002C46EA">
        <w:t xml:space="preserve"> The “</w:t>
      </w:r>
      <w:r w:rsidR="002C46EA" w:rsidRPr="00862C07">
        <w:t>second group of factors</w:t>
      </w:r>
      <w:r w:rsidR="00880C41">
        <w:t> . . . </w:t>
      </w:r>
      <w:r w:rsidR="002C46EA" w:rsidRPr="00862C07">
        <w:t xml:space="preserve">includes indications of careful consideration by senior agency officials </w:t>
      </w:r>
      <w:r w:rsidR="002C46EA">
        <w:t>. . .</w:t>
      </w:r>
      <w:r w:rsidR="00DC47A8">
        <w:t xml:space="preserve"> </w:t>
      </w:r>
      <w:r w:rsidR="002C46EA" w:rsidRPr="00862C07">
        <w:t xml:space="preserve">, evidence that the agency </w:t>
      </w:r>
      <w:r w:rsidR="00DC47A8">
        <w:t>‘</w:t>
      </w:r>
      <w:r w:rsidR="002C46EA" w:rsidRPr="00862C07">
        <w:t>has consistently maintained the interpretation in question, especially if [it] is long-standing</w:t>
      </w:r>
      <w:r w:rsidR="00DC47A8">
        <w:t>’</w:t>
      </w:r>
      <w:r w:rsidR="002C46EA" w:rsidRPr="00862C07">
        <w:t xml:space="preserve"> </w:t>
      </w:r>
      <w:r w:rsidR="002C46EA">
        <w:t xml:space="preserve">. . . </w:t>
      </w:r>
      <w:r w:rsidR="002C46EA" w:rsidRPr="00862C07">
        <w:t>, and indications that the agency</w:t>
      </w:r>
      <w:r w:rsidR="002C46EA">
        <w:t>’</w:t>
      </w:r>
      <w:r w:rsidR="002C46EA" w:rsidRPr="00862C07">
        <w:t>s interpretation was contemporaneous with legislative enactment of the statute being interpreted.</w:t>
      </w:r>
      <w:r w:rsidR="002C46EA">
        <w:t>”  (</w:t>
      </w:r>
      <w:r w:rsidR="002C46EA">
        <w:rPr>
          <w:i/>
          <w:iCs/>
        </w:rPr>
        <w:t>Yamaha</w:t>
      </w:r>
      <w:r w:rsidR="002C46EA">
        <w:t xml:space="preserve">, </w:t>
      </w:r>
      <w:r w:rsidR="002C46EA">
        <w:rPr>
          <w:i/>
          <w:iCs/>
        </w:rPr>
        <w:t>supra</w:t>
      </w:r>
      <w:r w:rsidR="002C46EA">
        <w:t>, 19 Cal.4th at p</w:t>
      </w:r>
      <w:r>
        <w:t>p</w:t>
      </w:r>
      <w:r w:rsidR="002C46EA">
        <w:t xml:space="preserve">. </w:t>
      </w:r>
      <w:r>
        <w:t>12-</w:t>
      </w:r>
      <w:r w:rsidR="002C46EA">
        <w:t>13.)  Further, “[i]</w:t>
      </w:r>
      <w:r w:rsidR="002C46EA" w:rsidRPr="00862C07">
        <w:t xml:space="preserve">f an agency has adopted an interpretive rule in accordance with Administrative Procedure Act provisions—which include procedures (e.g., notice to the public </w:t>
      </w:r>
      <w:r w:rsidR="002C46EA" w:rsidRPr="00862C07">
        <w:lastRenderedPageBreak/>
        <w:t xml:space="preserve">of the proposed rule and opportunity for public comment) that enhance the accuracy and reliability of the resulting administrative </w:t>
      </w:r>
      <w:r w:rsidR="00DC47A8">
        <w:t>‘</w:t>
      </w:r>
      <w:r w:rsidR="002C46EA" w:rsidRPr="00862C07">
        <w:t>product</w:t>
      </w:r>
      <w:r w:rsidR="00DC47A8">
        <w:t>’</w:t>
      </w:r>
      <w:r w:rsidR="002C46EA" w:rsidRPr="00862C07">
        <w:t>—that circumstance weighs in favor of judicial deference.</w:t>
      </w:r>
      <w:r w:rsidR="002C46EA">
        <w:t>”</w:t>
      </w:r>
      <w:r w:rsidR="007E7760">
        <w:rPr>
          <w:rStyle w:val="FootnoteReference"/>
        </w:rPr>
        <w:footnoteReference w:id="20"/>
      </w:r>
      <w:r w:rsidR="002C46EA">
        <w:t xml:space="preserve">  (</w:t>
      </w:r>
      <w:r w:rsidR="002C46EA">
        <w:rPr>
          <w:i/>
          <w:iCs/>
        </w:rPr>
        <w:t>Id</w:t>
      </w:r>
      <w:r w:rsidR="002C46EA">
        <w:t>.</w:t>
      </w:r>
      <w:r w:rsidR="002C5803">
        <w:t xml:space="preserve"> at p</w:t>
      </w:r>
      <w:r w:rsidR="007925EE">
        <w:t>.</w:t>
      </w:r>
      <w:r w:rsidR="002C5803">
        <w:t xml:space="preserve"> 13.</w:t>
      </w:r>
      <w:r w:rsidR="002C46EA">
        <w:t>)</w:t>
      </w:r>
      <w:r w:rsidR="002C46EA" w:rsidRPr="00862C07">
        <w:t xml:space="preserve"> </w:t>
      </w:r>
    </w:p>
    <w:p w14:paraId="0BC2C78C" w14:textId="77777777" w:rsidR="002C46EA" w:rsidRDefault="002C46EA" w:rsidP="00DB5124">
      <w:pPr>
        <w:pStyle w:val="Heading3"/>
        <w:spacing w:line="360" w:lineRule="auto"/>
      </w:pPr>
      <w:r>
        <w:t>b.</w:t>
      </w:r>
      <w:r>
        <w:tab/>
      </w:r>
      <w:r w:rsidRPr="002C46EA">
        <w:rPr>
          <w:i/>
          <w:iCs/>
        </w:rPr>
        <w:t>Analysis</w:t>
      </w:r>
    </w:p>
    <w:p w14:paraId="4A6E0B51" w14:textId="763152A6" w:rsidR="00C531E4" w:rsidRDefault="00366597" w:rsidP="00DB5124">
      <w:pPr>
        <w:spacing w:line="360" w:lineRule="auto"/>
      </w:pPr>
      <w:r>
        <w:tab/>
      </w:r>
      <w:r w:rsidR="004E3685">
        <w:t>As an initial matter</w:t>
      </w:r>
      <w:r w:rsidRPr="00CB1186">
        <w:t xml:space="preserve">, </w:t>
      </w:r>
      <w:r w:rsidR="000058B3">
        <w:t>Appellants</w:t>
      </w:r>
      <w:r w:rsidRPr="00CB1186">
        <w:t xml:space="preserve"> contend </w:t>
      </w:r>
      <w:r w:rsidR="00075BD8">
        <w:t>regulation section 2644.20</w:t>
      </w:r>
      <w:r w:rsidRPr="00CB1186">
        <w:t xml:space="preserve"> </w:t>
      </w:r>
      <w:r w:rsidR="000058B3">
        <w:t>warrants great deference “</w:t>
      </w:r>
      <w:r w:rsidRPr="00366597">
        <w:t xml:space="preserve">because it is a quasi-legislative rule </w:t>
      </w:r>
      <w:r w:rsidR="004E3685">
        <w:t xml:space="preserve">. . . </w:t>
      </w:r>
      <w:r w:rsidRPr="0068240C">
        <w:t>.</w:t>
      </w:r>
      <w:r w:rsidR="004E3685">
        <w:t>”</w:t>
      </w:r>
      <w:r w:rsidR="00517CD1" w:rsidRPr="0068240C">
        <w:t xml:space="preserve"> </w:t>
      </w:r>
      <w:r w:rsidRPr="0068240C">
        <w:t xml:space="preserve"> </w:t>
      </w:r>
      <w:r w:rsidR="00742BDC">
        <w:t xml:space="preserve">But, as discussed </w:t>
      </w:r>
      <w:r w:rsidR="00742BDC">
        <w:rPr>
          <w:i/>
          <w:iCs/>
        </w:rPr>
        <w:t>ante</w:t>
      </w:r>
      <w:r w:rsidR="00742BDC">
        <w:t xml:space="preserve">, the validity of </w:t>
      </w:r>
      <w:r w:rsidR="00075BD8">
        <w:t>regulation section 2644.20</w:t>
      </w:r>
      <w:r w:rsidR="00742BDC">
        <w:t xml:space="preserve"> is not at issue here.  Rather, the issue is whether </w:t>
      </w:r>
      <w:r w:rsidR="00DC47A8">
        <w:t>the Commissioner’s</w:t>
      </w:r>
      <w:r w:rsidR="00742BDC">
        <w:t xml:space="preserve"> </w:t>
      </w:r>
      <w:r w:rsidR="00742BDC">
        <w:rPr>
          <w:i/>
          <w:iCs/>
        </w:rPr>
        <w:t xml:space="preserve">interpretation </w:t>
      </w:r>
      <w:r w:rsidR="00742BDC">
        <w:t>of the regulation, as applied to SFG, is consistent with the statute</w:t>
      </w:r>
      <w:r w:rsidR="00967FE5">
        <w:t xml:space="preserve">, </w:t>
      </w:r>
      <w:r w:rsidR="005A3BCF">
        <w:t xml:space="preserve">and we </w:t>
      </w:r>
      <w:r w:rsidR="00967FE5">
        <w:t>have concluded it is</w:t>
      </w:r>
      <w:r w:rsidR="005A3BCF">
        <w:t xml:space="preserve"> not.  </w:t>
      </w:r>
      <w:r w:rsidR="00DC47A8">
        <w:t>T</w:t>
      </w:r>
      <w:r w:rsidR="005A3BCF">
        <w:t xml:space="preserve">hat lack of statutory consistency would render deference inappropriate, even if quasi-legislative principles applied.  (See </w:t>
      </w:r>
      <w:r w:rsidR="005A3BCF" w:rsidRPr="005A3BCF">
        <w:rPr>
          <w:i/>
          <w:iCs/>
          <w:lang w:bidi="en-US"/>
        </w:rPr>
        <w:t>Yamaha</w:t>
      </w:r>
      <w:r w:rsidR="005A3BCF" w:rsidRPr="005A3BCF">
        <w:rPr>
          <w:lang w:bidi="en-US"/>
        </w:rPr>
        <w:t xml:space="preserve">, </w:t>
      </w:r>
      <w:r w:rsidR="005A3BCF" w:rsidRPr="0006794F">
        <w:rPr>
          <w:i/>
          <w:iCs/>
          <w:lang w:bidi="en-US"/>
        </w:rPr>
        <w:t>supra</w:t>
      </w:r>
      <w:r w:rsidR="005A3BCF" w:rsidRPr="005A3BCF">
        <w:rPr>
          <w:lang w:bidi="en-US"/>
        </w:rPr>
        <w:t>, 19 Cal.4th at p. 11, fn. 4 [“even quasi-legislative rules are reviewed independently for consistency with controlling law”]</w:t>
      </w:r>
      <w:r w:rsidR="005A3BCF">
        <w:rPr>
          <w:lang w:bidi="en-US"/>
        </w:rPr>
        <w:t xml:space="preserve">; </w:t>
      </w:r>
      <w:r w:rsidR="00F1343D">
        <w:rPr>
          <w:i/>
          <w:iCs/>
        </w:rPr>
        <w:t>Quackenbush</w:t>
      </w:r>
      <w:r w:rsidR="00F1343D" w:rsidRPr="00A84DA7">
        <w:t>,</w:t>
      </w:r>
      <w:r w:rsidR="00F1343D">
        <w:rPr>
          <w:i/>
          <w:iCs/>
        </w:rPr>
        <w:t xml:space="preserve"> supra</w:t>
      </w:r>
      <w:r w:rsidR="00F1343D" w:rsidRPr="00A84DA7">
        <w:t>,</w:t>
      </w:r>
      <w:r w:rsidR="00F1343D">
        <w:rPr>
          <w:i/>
          <w:iCs/>
        </w:rPr>
        <w:t xml:space="preserve"> </w:t>
      </w:r>
      <w:r w:rsidR="00F1343D">
        <w:t>77 Cal.App.4th at p.</w:t>
      </w:r>
      <w:r w:rsidR="00701403">
        <w:t xml:space="preserve"> </w:t>
      </w:r>
      <w:r w:rsidR="00F1343D">
        <w:t>71</w:t>
      </w:r>
      <w:r w:rsidR="00187EA5">
        <w:t>,</w:t>
      </w:r>
      <w:r w:rsidR="00F1343D">
        <w:t xml:space="preserve"> fn. 2 [“</w:t>
      </w:r>
      <w:r w:rsidR="00F1343D" w:rsidRPr="00F1343D">
        <w:t xml:space="preserve">it is clear that the </w:t>
      </w:r>
      <w:r w:rsidR="00672A80">
        <w:t>‘</w:t>
      </w:r>
      <w:r w:rsidR="00F1343D" w:rsidRPr="00F1343D">
        <w:t>quasi-legislative</w:t>
      </w:r>
      <w:r w:rsidR="00672A80">
        <w:t>’</w:t>
      </w:r>
      <w:r w:rsidR="00F1343D" w:rsidRPr="00F1343D">
        <w:t xml:space="preserve"> label does not insulate the Commissioner</w:t>
      </w:r>
      <w:r w:rsidR="00F1343D">
        <w:t>’</w:t>
      </w:r>
      <w:r w:rsidR="00F1343D" w:rsidRPr="00F1343D">
        <w:t>s legal determinations from the usual level of judicial scrutiny any more than it protects his factual determinations</w:t>
      </w:r>
      <w:r w:rsidR="00F1343D">
        <w:t>”]</w:t>
      </w:r>
      <w:r w:rsidR="007324AB">
        <w:t>.)</w:t>
      </w:r>
    </w:p>
    <w:p w14:paraId="7AB50ADF" w14:textId="3CDA5568" w:rsidR="00C21B5D" w:rsidRDefault="004E3685" w:rsidP="00DB5124">
      <w:pPr>
        <w:spacing w:line="360" w:lineRule="auto"/>
      </w:pPr>
      <w:r>
        <w:tab/>
        <w:t xml:space="preserve">Turning to the factors impacting deference to agency interpretations, we begin first with agency expertise and knowledge.  Although there is no </w:t>
      </w:r>
      <w:r>
        <w:lastRenderedPageBreak/>
        <w:t xml:space="preserve">dispute regarding the Commissioner’s expertise here, </w:t>
      </w:r>
      <w:r>
        <w:rPr>
          <w:lang w:bidi="en-US"/>
        </w:rPr>
        <w:t>it is</w:t>
      </w:r>
      <w:r w:rsidR="007324AB">
        <w:rPr>
          <w:lang w:bidi="en-US"/>
        </w:rPr>
        <w:t xml:space="preserve"> not dispositiv</w:t>
      </w:r>
      <w:r w:rsidR="000058B3">
        <w:rPr>
          <w:lang w:bidi="en-US"/>
        </w:rPr>
        <w:t>e</w:t>
      </w:r>
      <w:r>
        <w:rPr>
          <w:lang w:bidi="en-US"/>
        </w:rPr>
        <w:t xml:space="preserve">.  </w:t>
      </w:r>
      <w:r w:rsidR="007324AB">
        <w:rPr>
          <w:i/>
          <w:iCs/>
          <w:lang w:bidi="en-US"/>
        </w:rPr>
        <w:t>Quackenbush</w:t>
      </w:r>
      <w:r w:rsidR="007324AB">
        <w:rPr>
          <w:lang w:bidi="en-US"/>
        </w:rPr>
        <w:t xml:space="preserve"> </w:t>
      </w:r>
      <w:r>
        <w:rPr>
          <w:lang w:bidi="en-US"/>
        </w:rPr>
        <w:t>is instructive</w:t>
      </w:r>
      <w:r w:rsidR="007324AB">
        <w:rPr>
          <w:lang w:bidi="en-US"/>
        </w:rPr>
        <w:t xml:space="preserve">.  There, the </w:t>
      </w:r>
      <w:r w:rsidR="00C25794" w:rsidRPr="00C25794">
        <w:t>Cour</w:t>
      </w:r>
      <w:r w:rsidR="007324AB">
        <w:t>t of Appeal declined to defer to the Commissioner</w:t>
      </w:r>
      <w:r w:rsidR="002B2E90">
        <w:t>’s regulatory interpretation</w:t>
      </w:r>
      <w:r w:rsidR="00967FE5">
        <w:t xml:space="preserve"> </w:t>
      </w:r>
      <w:r w:rsidR="00B47E17">
        <w:t>in</w:t>
      </w:r>
      <w:r w:rsidR="002D3ED6">
        <w:t xml:space="preserve"> affirming a </w:t>
      </w:r>
      <w:r w:rsidR="005A3BCF">
        <w:t xml:space="preserve">mixed </w:t>
      </w:r>
      <w:r w:rsidR="002D3ED6">
        <w:t xml:space="preserve">judgment that </w:t>
      </w:r>
      <w:r w:rsidR="005A3BCF">
        <w:t xml:space="preserve">effectively </w:t>
      </w:r>
      <w:r w:rsidR="002D3ED6">
        <w:t xml:space="preserve">precluded a </w:t>
      </w:r>
      <w:r w:rsidR="005A3BCF">
        <w:t xml:space="preserve">rollback year </w:t>
      </w:r>
      <w:r w:rsidR="002D3ED6">
        <w:t>refund.  (</w:t>
      </w:r>
      <w:r w:rsidR="007324AB">
        <w:rPr>
          <w:i/>
          <w:iCs/>
        </w:rPr>
        <w:t>Quackenbush</w:t>
      </w:r>
      <w:r w:rsidR="007324AB">
        <w:t xml:space="preserve">, </w:t>
      </w:r>
      <w:r w:rsidR="007324AB">
        <w:rPr>
          <w:i/>
          <w:iCs/>
        </w:rPr>
        <w:t>supra</w:t>
      </w:r>
      <w:r w:rsidR="007324AB">
        <w:t>, 77 Cal.App.4th</w:t>
      </w:r>
      <w:r w:rsidR="002D3ED6">
        <w:t xml:space="preserve"> at p</w:t>
      </w:r>
      <w:r w:rsidR="00546F2C">
        <w:t>p</w:t>
      </w:r>
      <w:r w:rsidR="002D3ED6">
        <w:t>.</w:t>
      </w:r>
      <w:r w:rsidR="005120E0">
        <w:t xml:space="preserve"> </w:t>
      </w:r>
      <w:r w:rsidR="002D3ED6">
        <w:t>69</w:t>
      </w:r>
      <w:r w:rsidR="00546F2C">
        <w:t>, 71-72</w:t>
      </w:r>
      <w:r w:rsidR="005A3BCF">
        <w:t xml:space="preserve">; </w:t>
      </w:r>
      <w:r w:rsidR="005A3BCF">
        <w:rPr>
          <w:i/>
          <w:iCs/>
        </w:rPr>
        <w:t>ibid</w:t>
      </w:r>
      <w:r w:rsidR="005A3BCF">
        <w:t>. [</w:t>
      </w:r>
      <w:r w:rsidR="00F1343D">
        <w:t xml:space="preserve">addressing </w:t>
      </w:r>
      <w:r w:rsidR="002D3ED6">
        <w:t xml:space="preserve">treatment of loss </w:t>
      </w:r>
      <w:r w:rsidR="00CF23C7">
        <w:t xml:space="preserve">adjustment </w:t>
      </w:r>
      <w:r w:rsidR="002558E2">
        <w:t>expenses</w:t>
      </w:r>
      <w:r w:rsidR="00CF23C7">
        <w:t xml:space="preserve"> </w:t>
      </w:r>
      <w:r w:rsidR="002D3ED6">
        <w:t xml:space="preserve">under </w:t>
      </w:r>
      <w:r w:rsidR="00967FE5">
        <w:t>r</w:t>
      </w:r>
      <w:r w:rsidR="002D3ED6">
        <w:t xml:space="preserve">egulation </w:t>
      </w:r>
      <w:r w:rsidR="00967FE5">
        <w:t xml:space="preserve">section </w:t>
      </w:r>
      <w:r w:rsidR="002D3ED6">
        <w:t>2643.6</w:t>
      </w:r>
      <w:r w:rsidR="00F1343D">
        <w:t>]</w:t>
      </w:r>
      <w:r w:rsidR="00B47E17">
        <w:t xml:space="preserve">.)  </w:t>
      </w:r>
      <w:r w:rsidR="00A4491B">
        <w:t xml:space="preserve">The </w:t>
      </w:r>
      <w:r w:rsidR="006B77D5" w:rsidRPr="00A84DA7">
        <w:rPr>
          <w:i/>
          <w:iCs/>
        </w:rPr>
        <w:t>Quackenbush</w:t>
      </w:r>
      <w:r w:rsidR="006B77D5">
        <w:t xml:space="preserve"> </w:t>
      </w:r>
      <w:r w:rsidR="00A4491B">
        <w:t xml:space="preserve">court </w:t>
      </w:r>
      <w:r w:rsidR="00CF23C7">
        <w:t>acknowledged</w:t>
      </w:r>
      <w:r w:rsidR="00A4491B">
        <w:t xml:space="preserve"> it “must respect the Commissioner’s expertise,” noting this was a </w:t>
      </w:r>
      <w:r w:rsidR="00F1343D">
        <w:rPr>
          <w:i/>
          <w:iCs/>
        </w:rPr>
        <w:t xml:space="preserve">Yamaha </w:t>
      </w:r>
      <w:r w:rsidR="00A4491B">
        <w:t xml:space="preserve">factor, but found the second group of factors were “less helpful” </w:t>
      </w:r>
      <w:r w:rsidR="00255AE4">
        <w:t>to the Commissioner.  (</w:t>
      </w:r>
      <w:r w:rsidR="002C5803">
        <w:rPr>
          <w:i/>
          <w:iCs/>
        </w:rPr>
        <w:t>Quackenbush</w:t>
      </w:r>
      <w:r w:rsidR="002C5803" w:rsidRPr="003B02DF">
        <w:t>,</w:t>
      </w:r>
      <w:r w:rsidR="00255AE4">
        <w:t xml:space="preserve"> at p. 75</w:t>
      </w:r>
      <w:r w:rsidR="004D0BD5">
        <w:t xml:space="preserve">; </w:t>
      </w:r>
      <w:r w:rsidR="004D0BD5">
        <w:rPr>
          <w:i/>
          <w:iCs/>
        </w:rPr>
        <w:t>id.</w:t>
      </w:r>
      <w:r w:rsidR="004D0BD5">
        <w:t xml:space="preserve"> at pp. 75-76 [</w:t>
      </w:r>
      <w:r w:rsidR="002558E2">
        <w:t>interpretation</w:t>
      </w:r>
      <w:r w:rsidR="004D0BD5">
        <w:t xml:space="preserve"> was not </w:t>
      </w:r>
      <w:r w:rsidR="00A4491B">
        <w:t xml:space="preserve">contemporaneous with regulation’s enactment; </w:t>
      </w:r>
      <w:r w:rsidR="004D0BD5">
        <w:t xml:space="preserve">this </w:t>
      </w:r>
      <w:r w:rsidR="00A4491B">
        <w:t xml:space="preserve">was “first contested case,” so </w:t>
      </w:r>
      <w:r w:rsidR="004D0BD5">
        <w:t xml:space="preserve">one </w:t>
      </w:r>
      <w:r w:rsidR="00CF23C7">
        <w:t xml:space="preserve">could not say </w:t>
      </w:r>
      <w:r w:rsidR="00A4491B">
        <w:t xml:space="preserve">Commissioner </w:t>
      </w:r>
      <w:r w:rsidR="00CF23C7">
        <w:t>“</w:t>
      </w:r>
      <w:r w:rsidR="00A4491B">
        <w:t>consistently main</w:t>
      </w:r>
      <w:r w:rsidR="00A746AD">
        <w:t>t</w:t>
      </w:r>
      <w:r w:rsidR="00A4491B">
        <w:t>ained</w:t>
      </w:r>
      <w:r w:rsidR="00CF23C7">
        <w:t>”</w:t>
      </w:r>
      <w:r w:rsidR="00A4491B">
        <w:t xml:space="preserve"> </w:t>
      </w:r>
      <w:r w:rsidR="00CF23C7">
        <w:t>the</w:t>
      </w:r>
      <w:r w:rsidR="00A4491B">
        <w:t xml:space="preserve"> interpretation</w:t>
      </w:r>
      <w:r w:rsidR="00CF23C7">
        <w:t>;</w:t>
      </w:r>
      <w:r w:rsidR="00A4491B">
        <w:t xml:space="preserve"> and </w:t>
      </w:r>
      <w:r w:rsidR="007324AB">
        <w:t>stance</w:t>
      </w:r>
      <w:r w:rsidR="00A4491B">
        <w:t xml:space="preserve"> could be viewed as a litigation position entitled to </w:t>
      </w:r>
      <w:r w:rsidR="004D0BD5">
        <w:t>“</w:t>
      </w:r>
      <w:r w:rsidR="00A4491B">
        <w:t>substantial weight, but limited deference</w:t>
      </w:r>
      <w:r w:rsidR="004D0BD5">
        <w:t>”].)</w:t>
      </w:r>
    </w:p>
    <w:p w14:paraId="0F06591C" w14:textId="36853E1E" w:rsidR="009D3A75" w:rsidRDefault="00B61066" w:rsidP="002C5803">
      <w:pPr>
        <w:keepNext/>
        <w:spacing w:line="360" w:lineRule="auto"/>
      </w:pPr>
      <w:r w:rsidRPr="00BC799B">
        <w:tab/>
        <w:t>Second</w:t>
      </w:r>
      <w:r w:rsidR="00C531E4">
        <w:t xml:space="preserve">, the Commissioner emphasizes </w:t>
      </w:r>
      <w:r w:rsidR="00075BD8">
        <w:t>regulation section 2644.20</w:t>
      </w:r>
      <w:r w:rsidR="00C531E4">
        <w:t xml:space="preserve"> was adopted </w:t>
      </w:r>
      <w:r w:rsidR="002C5803">
        <w:t>“</w:t>
      </w:r>
      <w:r w:rsidR="007F0673" w:rsidRPr="00423AE9">
        <w:t>through a notice and comment procedure that mirrors the Administrative Procedure Act</w:t>
      </w:r>
      <w:r w:rsidR="002C5803">
        <w:t>.</w:t>
      </w:r>
      <w:r w:rsidR="007F0673">
        <w:t>”</w:t>
      </w:r>
      <w:r w:rsidR="00FD6079">
        <w:t xml:space="preserve"> </w:t>
      </w:r>
      <w:r w:rsidR="00C531E4">
        <w:t xml:space="preserve"> But </w:t>
      </w:r>
      <w:r w:rsidR="002E5C9C">
        <w:t xml:space="preserve">deference is warranted for formally adopted </w:t>
      </w:r>
      <w:r w:rsidR="00C531E4">
        <w:t>rules</w:t>
      </w:r>
      <w:r w:rsidR="002E5C9C">
        <w:t xml:space="preserve"> because, in theory, they “</w:t>
      </w:r>
      <w:r w:rsidR="002E5C9C" w:rsidRPr="002E5C9C">
        <w:t>include</w:t>
      </w:r>
      <w:r w:rsidR="002E5C9C">
        <w:t>[]</w:t>
      </w:r>
      <w:r w:rsidR="002E5C9C" w:rsidRPr="002E5C9C">
        <w:t xml:space="preserve"> indications of careful consideration by senior agency officials</w:t>
      </w:r>
      <w:r w:rsidR="002E5C9C">
        <w:t>.”  (</w:t>
      </w:r>
      <w:r w:rsidR="00C531E4">
        <w:rPr>
          <w:i/>
          <w:iCs/>
        </w:rPr>
        <w:t>Yamaha</w:t>
      </w:r>
      <w:r w:rsidR="00C531E4">
        <w:t xml:space="preserve">, </w:t>
      </w:r>
      <w:r w:rsidR="00C531E4">
        <w:rPr>
          <w:i/>
          <w:iCs/>
        </w:rPr>
        <w:t>supra</w:t>
      </w:r>
      <w:r w:rsidR="00C531E4">
        <w:t xml:space="preserve">, </w:t>
      </w:r>
      <w:r w:rsidR="00C531E4" w:rsidRPr="00B61066">
        <w:t xml:space="preserve">19 Cal.4th </w:t>
      </w:r>
      <w:r w:rsidR="002E5C9C">
        <w:t>at p.</w:t>
      </w:r>
      <w:r w:rsidR="005536B4">
        <w:t> </w:t>
      </w:r>
      <w:r w:rsidR="002E5C9C">
        <w:t>13</w:t>
      </w:r>
      <w:r w:rsidR="002C5803">
        <w:t xml:space="preserve">; </w:t>
      </w:r>
      <w:r w:rsidR="002C5803" w:rsidRPr="003B02DF">
        <w:rPr>
          <w:i/>
          <w:iCs/>
        </w:rPr>
        <w:t>ibid</w:t>
      </w:r>
      <w:r w:rsidR="002C5803">
        <w:t>.</w:t>
      </w:r>
      <w:r w:rsidR="002E5C9C">
        <w:t xml:space="preserve"> [“</w:t>
      </w:r>
      <w:r w:rsidR="002C5803">
        <w:t xml:space="preserve"> ‘</w:t>
      </w:r>
      <w:r w:rsidR="002E5C9C">
        <w:t>an</w:t>
      </w:r>
      <w:r w:rsidR="002E5C9C" w:rsidRPr="002E5C9C">
        <w:t xml:space="preserve"> interpretation of a statute contained in a regulation adopted after public notice and comment is more deserving of deference than [one] contained in an advice letter prepared by a single staff member</w:t>
      </w:r>
      <w:r w:rsidR="002C5803">
        <w:t xml:space="preserve">’ </w:t>
      </w:r>
      <w:r w:rsidR="002E5C9C" w:rsidRPr="002E5C9C">
        <w:t>”</w:t>
      </w:r>
      <w:r w:rsidR="002E5C9C">
        <w:t>].)</w:t>
      </w:r>
      <w:r w:rsidR="00CD7A83">
        <w:t xml:space="preserve">  </w:t>
      </w:r>
    </w:p>
    <w:p w14:paraId="0E6F1529" w14:textId="76410CE9" w:rsidR="00D91C63" w:rsidRDefault="00F842F5" w:rsidP="009D3A75">
      <w:pPr>
        <w:keepNext/>
        <w:spacing w:line="360" w:lineRule="auto"/>
      </w:pPr>
      <w:r>
        <w:tab/>
      </w:r>
      <w:r w:rsidR="000B7A42">
        <w:t>A</w:t>
      </w:r>
      <w:r w:rsidR="00987277">
        <w:t xml:space="preserve">ppellants identify nothing in </w:t>
      </w:r>
      <w:r w:rsidR="00DC47A8">
        <w:t xml:space="preserve">the </w:t>
      </w:r>
      <w:r w:rsidR="00987277">
        <w:t>2007</w:t>
      </w:r>
      <w:r w:rsidR="001D5A39">
        <w:t xml:space="preserve"> regulation </w:t>
      </w:r>
      <w:r w:rsidR="00987277">
        <w:t>revision</w:t>
      </w:r>
      <w:r w:rsidR="00F11C6D">
        <w:t xml:space="preserve"> process </w:t>
      </w:r>
      <w:r w:rsidR="00987277">
        <w:t>reflect</w:t>
      </w:r>
      <w:r w:rsidR="00F11C6D">
        <w:t>ing</w:t>
      </w:r>
      <w:r w:rsidR="00987277">
        <w:t xml:space="preserve"> </w:t>
      </w:r>
      <w:r w:rsidR="001D5A39">
        <w:t xml:space="preserve">careful </w:t>
      </w:r>
      <w:r w:rsidR="00987277">
        <w:t xml:space="preserve">consideration of the disputed “consolidated </w:t>
      </w:r>
      <w:r w:rsidR="001D5A39">
        <w:t xml:space="preserve">statutory </w:t>
      </w:r>
      <w:r w:rsidR="00987277">
        <w:t>annual statement</w:t>
      </w:r>
      <w:r w:rsidR="001D5A39">
        <w:t>”</w:t>
      </w:r>
      <w:r w:rsidR="00F11C6D">
        <w:t xml:space="preserve"> language.</w:t>
      </w:r>
      <w:r>
        <w:t xml:space="preserve">  </w:t>
      </w:r>
      <w:r w:rsidR="00C5761C">
        <w:t>Indeed</w:t>
      </w:r>
      <w:r w:rsidR="00CD7A83">
        <w:t>,</w:t>
      </w:r>
      <w:r w:rsidR="00C5761C">
        <w:t xml:space="preserve"> neither</w:t>
      </w:r>
      <w:r w:rsidR="00F11C6D">
        <w:t xml:space="preserve"> </w:t>
      </w:r>
      <w:r w:rsidR="0006794F">
        <w:t>t</w:t>
      </w:r>
      <w:r w:rsidR="002E5C9C">
        <w:t>he Notice of Proposed Rulemaking</w:t>
      </w:r>
      <w:r w:rsidR="00C53D8E">
        <w:t xml:space="preserve"> </w:t>
      </w:r>
      <w:r w:rsidR="00E23719">
        <w:t>n</w:t>
      </w:r>
      <w:r w:rsidR="00F17D7F">
        <w:t>or</w:t>
      </w:r>
      <w:r w:rsidR="0006794F">
        <w:t xml:space="preserve"> Final Statement of Reasons </w:t>
      </w:r>
      <w:r w:rsidR="00C5761C">
        <w:t>discuss this</w:t>
      </w:r>
      <w:r w:rsidR="002B2E90">
        <w:t xml:space="preserve"> </w:t>
      </w:r>
      <w:r w:rsidR="00C5761C">
        <w:t>language</w:t>
      </w:r>
      <w:r w:rsidR="002B2E90">
        <w:t xml:space="preserve"> specifically</w:t>
      </w:r>
      <w:r w:rsidR="00C5761C">
        <w:t xml:space="preserve">, even though they </w:t>
      </w:r>
      <w:r w:rsidR="00932E2F">
        <w:t xml:space="preserve">do </w:t>
      </w:r>
      <w:r w:rsidR="00AA74FB">
        <w:t xml:space="preserve">generally </w:t>
      </w:r>
      <w:r w:rsidR="00C5761C">
        <w:t>address</w:t>
      </w:r>
      <w:r w:rsidR="0006794F">
        <w:t xml:space="preserve"> changes to projected yield, </w:t>
      </w:r>
      <w:r w:rsidR="0006794F" w:rsidRPr="00932E2F">
        <w:t>including the use of the insurer’s actual portfolio</w:t>
      </w:r>
      <w:r w:rsidR="00C5761C" w:rsidRPr="00932E2F">
        <w:t>.</w:t>
      </w:r>
      <w:r w:rsidR="002E5C9C" w:rsidRPr="00CD7A83">
        <w:t xml:space="preserve"> </w:t>
      </w:r>
      <w:r w:rsidR="0006794F" w:rsidRPr="00CD7A83">
        <w:t xml:space="preserve"> </w:t>
      </w:r>
      <w:r w:rsidR="00F11C6D" w:rsidRPr="00CD7A83">
        <w:t xml:space="preserve">And when a public </w:t>
      </w:r>
      <w:r w:rsidR="00F11C6D" w:rsidRPr="00CD7A83">
        <w:lastRenderedPageBreak/>
        <w:t>commentator</w:t>
      </w:r>
      <w:r w:rsidR="00F11C6D">
        <w:t xml:space="preserve"> suggested consolidated statement data might be inappropriate in certain situations, the Commissioner simply referred </w:t>
      </w:r>
      <w:r w:rsidR="00DC47A8">
        <w:t>the commentator</w:t>
      </w:r>
      <w:r w:rsidR="00F11C6D">
        <w:t xml:space="preserve"> to “</w:t>
      </w:r>
      <w:r w:rsidR="00F11C6D" w:rsidRPr="00F11C6D">
        <w:t>other comments in this rulemaking file regarding use of combined data</w:t>
      </w:r>
      <w:r w:rsidR="00F11C6D">
        <w:t>”—none of which addressed consolidated statements.</w:t>
      </w:r>
      <w:r w:rsidR="00F11C6D">
        <w:rPr>
          <w:rStyle w:val="FootnoteReference"/>
        </w:rPr>
        <w:footnoteReference w:id="21"/>
      </w:r>
      <w:r w:rsidR="00F11C6D" w:rsidRPr="00F11C6D">
        <w:rPr>
          <w:i/>
          <w:iCs/>
        </w:rPr>
        <w:t xml:space="preserve"> </w:t>
      </w:r>
      <w:r w:rsidR="00CD7A83">
        <w:t xml:space="preserve"> </w:t>
      </w:r>
      <w:r w:rsidR="00D91C63" w:rsidRPr="00D91C63">
        <w:t xml:space="preserve">For analogous reasons, we </w:t>
      </w:r>
      <w:r w:rsidR="00D91C63">
        <w:t>agree with</w:t>
      </w:r>
      <w:r w:rsidR="00D91C63" w:rsidRPr="00D91C63">
        <w:t xml:space="preserve"> </w:t>
      </w:r>
      <w:r w:rsidR="00D91C63">
        <w:t>SFG that</w:t>
      </w:r>
      <w:r w:rsidR="00D91C63" w:rsidRPr="00D91C63">
        <w:t xml:space="preserve"> the Commissioner’s effective disregard for the “actual portfolio” language</w:t>
      </w:r>
      <w:r w:rsidR="00D91C63">
        <w:t xml:space="preserve"> in his regulatory interpretation arguments likewise</w:t>
      </w:r>
      <w:r w:rsidR="00D91C63" w:rsidRPr="00D91C63">
        <w:t xml:space="preserve"> does not “reflect the type of ‘thoroughness . . .’ and ‘validity </w:t>
      </w:r>
      <w:r w:rsidR="002C5803" w:rsidRPr="00D91C63">
        <w:t>of</w:t>
      </w:r>
      <w:r w:rsidR="002C5803">
        <w:t> . . . </w:t>
      </w:r>
      <w:r w:rsidR="00D91C63" w:rsidRPr="00D91C63">
        <w:t>reasoning’ that supports judicial deference.”  (</w:t>
      </w:r>
      <w:r w:rsidR="00D91C63" w:rsidRPr="00F17D7F">
        <w:rPr>
          <w:i/>
          <w:iCs/>
        </w:rPr>
        <w:t>Yamaha</w:t>
      </w:r>
      <w:r w:rsidR="00D91C63" w:rsidRPr="00D91C63">
        <w:t xml:space="preserve">, </w:t>
      </w:r>
      <w:r w:rsidR="00D91C63" w:rsidRPr="00F17D7F">
        <w:rPr>
          <w:i/>
          <w:iCs/>
        </w:rPr>
        <w:t>supra</w:t>
      </w:r>
      <w:r w:rsidR="00D91C63" w:rsidRPr="00D91C63">
        <w:t>, 19 Cal.4th at p. 14.)</w:t>
      </w:r>
    </w:p>
    <w:p w14:paraId="568B7B05" w14:textId="22909FCB" w:rsidR="006A6C6E" w:rsidRDefault="00CD7A83" w:rsidP="00DB5124">
      <w:pPr>
        <w:spacing w:line="360" w:lineRule="auto"/>
      </w:pPr>
      <w:r>
        <w:tab/>
      </w:r>
      <w:r w:rsidR="0023619C" w:rsidRPr="0023619C">
        <w:rPr>
          <w:i/>
          <w:iCs/>
        </w:rPr>
        <w:t>PacifiCare Life &amp; Health Ins. Co. v. Jones</w:t>
      </w:r>
      <w:r w:rsidR="0023619C">
        <w:t xml:space="preserve"> (2018) 27 Cal.App.5th 391</w:t>
      </w:r>
      <w:r>
        <w:t>, cited by the Commissioner,</w:t>
      </w:r>
      <w:r w:rsidR="00C5761C">
        <w:t xml:space="preserve"> does not aid Appellants</w:t>
      </w:r>
      <w:r w:rsidR="00FD6079">
        <w:t>.</w:t>
      </w:r>
      <w:r w:rsidR="0023619C">
        <w:t xml:space="preserve">  </w:t>
      </w:r>
      <w:r w:rsidR="00C5761C">
        <w:t xml:space="preserve">In rejecting a facial challenge to a regulation under the </w:t>
      </w:r>
      <w:r w:rsidR="00520CB5">
        <w:t xml:space="preserve">Unfair Insurance Practices Act, </w:t>
      </w:r>
      <w:r w:rsidR="00C5761C">
        <w:t xml:space="preserve">the court </w:t>
      </w:r>
      <w:r w:rsidR="004A49FB">
        <w:t xml:space="preserve">there </w:t>
      </w:r>
      <w:r w:rsidR="00C5761C">
        <w:t>noted the Commissioner engaged in a formal rulemaking process and</w:t>
      </w:r>
      <w:r>
        <w:t xml:space="preserve"> this “careful consideration,” along with his expertise, supported deference</w:t>
      </w:r>
      <w:r w:rsidR="00520CB5">
        <w:t>.  (</w:t>
      </w:r>
      <w:r w:rsidR="00520CB5">
        <w:rPr>
          <w:i/>
          <w:iCs/>
        </w:rPr>
        <w:t>Id.</w:t>
      </w:r>
      <w:r w:rsidR="00520CB5">
        <w:t xml:space="preserve"> at p. 417.)</w:t>
      </w:r>
      <w:r>
        <w:t xml:space="preserve">  The present case involves </w:t>
      </w:r>
      <w:r w:rsidR="00F17D7F">
        <w:t>application of a regulation</w:t>
      </w:r>
      <w:r>
        <w:t xml:space="preserve">, and </w:t>
      </w:r>
      <w:r w:rsidRPr="00932E2F">
        <w:t xml:space="preserve">there is no indication of careful consideration of the language at issue.  (Cf. </w:t>
      </w:r>
      <w:r w:rsidRPr="00932E2F">
        <w:rPr>
          <w:i/>
          <w:iCs/>
        </w:rPr>
        <w:t>Spanish Speaking Citizens</w:t>
      </w:r>
      <w:r w:rsidRPr="00932E2F">
        <w:t xml:space="preserve">, </w:t>
      </w:r>
      <w:r w:rsidRPr="00932E2F">
        <w:rPr>
          <w:i/>
          <w:iCs/>
        </w:rPr>
        <w:t>supra</w:t>
      </w:r>
      <w:r w:rsidRPr="00932E2F">
        <w:t>, 85 Cal.App.4th at p</w:t>
      </w:r>
      <w:r w:rsidR="00413E0B">
        <w:t>p</w:t>
      </w:r>
      <w:r w:rsidRPr="00932E2F">
        <w:t>. 1186, 1195, 1198</w:t>
      </w:r>
      <w:r w:rsidR="00932E2F" w:rsidRPr="00932E2F">
        <w:t xml:space="preserve"> </w:t>
      </w:r>
      <w:r w:rsidRPr="00932E2F">
        <w:t xml:space="preserve">[regulations regarding </w:t>
      </w:r>
      <w:r w:rsidR="00C5761C" w:rsidRPr="00932E2F">
        <w:t>automobile insurance rating factors</w:t>
      </w:r>
      <w:r w:rsidRPr="00932E2F">
        <w:t xml:space="preserve"> </w:t>
      </w:r>
      <w:r w:rsidR="00C5761C" w:rsidRPr="00932E2F">
        <w:t>were “adopted after years of study and</w:t>
      </w:r>
      <w:r w:rsidR="00C5761C" w:rsidRPr="00C5761C">
        <w:t xml:space="preserve"> debate,” including appointment of an </w:t>
      </w:r>
      <w:r w:rsidR="00932E2F">
        <w:t>“</w:t>
      </w:r>
      <w:r w:rsidR="00C5761C" w:rsidRPr="00C5761C">
        <w:t xml:space="preserve">actuarial advisory </w:t>
      </w:r>
      <w:r w:rsidR="00776AAD">
        <w:t>committee</w:t>
      </w:r>
      <w:r w:rsidR="00C5761C" w:rsidRPr="00C5761C">
        <w:t>”</w:t>
      </w:r>
      <w:r>
        <w:t xml:space="preserve"> and</w:t>
      </w:r>
      <w:r w:rsidR="00C5761C" w:rsidRPr="00C5761C">
        <w:t xml:space="preserve"> release of an</w:t>
      </w:r>
      <w:r>
        <w:t xml:space="preserve"> 18-month</w:t>
      </w:r>
      <w:r w:rsidR="00C5761C" w:rsidRPr="00C5761C">
        <w:t xml:space="preserve"> </w:t>
      </w:r>
      <w:r>
        <w:t>impact analysis].)</w:t>
      </w:r>
      <w:r w:rsidR="00D91C63">
        <w:t xml:space="preserve"> </w:t>
      </w:r>
    </w:p>
    <w:p w14:paraId="3FFB4057" w14:textId="1E9491FD" w:rsidR="00DD427C" w:rsidRDefault="007F0673" w:rsidP="00D91C63">
      <w:pPr>
        <w:spacing w:line="360" w:lineRule="auto"/>
      </w:pPr>
      <w:r>
        <w:lastRenderedPageBreak/>
        <w:tab/>
      </w:r>
      <w:r w:rsidRPr="004011CA">
        <w:t>Third, Appellants argue the Commissioner has consistently applied the</w:t>
      </w:r>
      <w:r w:rsidRPr="00CB1186">
        <w:t xml:space="preserve"> current version of the regulation</w:t>
      </w:r>
      <w:r w:rsidR="00F842F5">
        <w:t xml:space="preserve"> since its adoption in 2007, and SFG has identified no evidence of inconsistent </w:t>
      </w:r>
      <w:r w:rsidR="00F842F5" w:rsidRPr="008F4CFD">
        <w:t>treatment</w:t>
      </w:r>
      <w:r w:rsidR="00CB1186" w:rsidRPr="008F4CFD">
        <w:t>.</w:t>
      </w:r>
      <w:r w:rsidR="00F842F5" w:rsidRPr="008F4CFD">
        <w:t xml:space="preserve"> </w:t>
      </w:r>
      <w:r w:rsidR="00CB1186" w:rsidRPr="008F4CFD">
        <w:t xml:space="preserve"> </w:t>
      </w:r>
      <w:r w:rsidR="004011CA" w:rsidRPr="008F4CFD">
        <w:t>The Commissioner</w:t>
      </w:r>
      <w:r w:rsidR="00D91C63" w:rsidRPr="008F4CFD">
        <w:t xml:space="preserve"> also</w:t>
      </w:r>
      <w:r w:rsidR="004011CA" w:rsidRPr="008F4CFD">
        <w:t xml:space="preserve"> notes </w:t>
      </w:r>
      <w:r w:rsidR="00AE6950">
        <w:t>he is required</w:t>
      </w:r>
      <w:r w:rsidR="004011CA" w:rsidRPr="008F4CFD">
        <w:t xml:space="preserve"> to use a “single,</w:t>
      </w:r>
      <w:r w:rsidR="004011CA">
        <w:t xml:space="preserve"> consistent methodology,” and maintains he does so</w:t>
      </w:r>
      <w:r w:rsidR="00AE6950">
        <w:t xml:space="preserve">.  (See </w:t>
      </w:r>
      <w:r w:rsidR="004A49FB">
        <w:t>R</w:t>
      </w:r>
      <w:r w:rsidR="00AE6950">
        <w:t>eg. § 2643.1 [“</w:t>
      </w:r>
      <w:r w:rsidR="00AE6950" w:rsidRPr="00AE6950">
        <w:t>While companies remain free to formulate their rates under any methodology, the Commissioner</w:t>
      </w:r>
      <w:r w:rsidR="00AE6950">
        <w:t>’</w:t>
      </w:r>
      <w:r w:rsidR="00AE6950" w:rsidRPr="00AE6950">
        <w:t>s review of those rates must use a single, consistent methodology.</w:t>
      </w:r>
      <w:r w:rsidR="00AE6950">
        <w:t xml:space="preserve">”].) </w:t>
      </w:r>
      <w:r w:rsidR="004011CA">
        <w:t xml:space="preserve"> </w:t>
      </w:r>
      <w:r w:rsidR="004F333D">
        <w:t>But</w:t>
      </w:r>
      <w:r w:rsidR="00AE6950">
        <w:t xml:space="preserve"> SFG </w:t>
      </w:r>
      <w:r w:rsidR="00AE6950">
        <w:rPr>
          <w:i/>
          <w:iCs/>
        </w:rPr>
        <w:t>has</w:t>
      </w:r>
      <w:r w:rsidR="00AE6950">
        <w:t xml:space="preserve"> noted different treatment, for insurers without affiliates, and the Commissioner has acknowledged as much</w:t>
      </w:r>
      <w:r w:rsidR="00F842F5">
        <w:t xml:space="preserve">. </w:t>
      </w:r>
      <w:r w:rsidR="009B37AC">
        <w:t xml:space="preserve"> </w:t>
      </w:r>
      <w:r w:rsidR="00D91C63">
        <w:t>Further, t</w:t>
      </w:r>
      <w:r w:rsidR="009B37AC">
        <w:t>h</w:t>
      </w:r>
      <w:r w:rsidR="00AE6950">
        <w:t>e present</w:t>
      </w:r>
      <w:r w:rsidR="004F333D">
        <w:t xml:space="preserve"> matter</w:t>
      </w:r>
      <w:r w:rsidR="009B37AC">
        <w:t xml:space="preserve"> appears to be the first contested </w:t>
      </w:r>
      <w:r w:rsidR="004011CA">
        <w:t xml:space="preserve">adjudication of </w:t>
      </w:r>
      <w:r w:rsidR="00F842F5">
        <w:t>th</w:t>
      </w:r>
      <w:r w:rsidR="004011CA">
        <w:t>e</w:t>
      </w:r>
      <w:r w:rsidR="00F842F5">
        <w:t xml:space="preserve"> regulatory language</w:t>
      </w:r>
      <w:r w:rsidR="004011CA">
        <w:t xml:space="preserve"> at issue</w:t>
      </w:r>
      <w:r w:rsidR="00F842F5">
        <w:t xml:space="preserve">, </w:t>
      </w:r>
      <w:r w:rsidR="00D91C63">
        <w:t>casting doubt on</w:t>
      </w:r>
      <w:r w:rsidR="00F842F5">
        <w:t xml:space="preserve"> the Commissioner’s ability to claim “consistent interpretation” at all.  (See </w:t>
      </w:r>
      <w:r w:rsidR="00F842F5">
        <w:rPr>
          <w:i/>
          <w:iCs/>
        </w:rPr>
        <w:t>Quackenbush</w:t>
      </w:r>
      <w:r w:rsidR="00F842F5">
        <w:t xml:space="preserve">, </w:t>
      </w:r>
      <w:r w:rsidR="00F842F5">
        <w:rPr>
          <w:i/>
          <w:iCs/>
        </w:rPr>
        <w:t>supra</w:t>
      </w:r>
      <w:r w:rsidR="00F842F5">
        <w:t>, 77 Cal.App.4th at p. 7</w:t>
      </w:r>
      <w:r w:rsidR="00776AAD">
        <w:t>6</w:t>
      </w:r>
      <w:r w:rsidR="00F842F5">
        <w:t xml:space="preserve"> [“Since . . . this is the first contested case to test the requirements of </w:t>
      </w:r>
      <w:r w:rsidR="00776AAD">
        <w:t xml:space="preserve">[regulation] </w:t>
      </w:r>
      <w:r w:rsidR="00F842F5">
        <w:t>section 2643.6, it cannot be said that the Commissioner had consistently maintained his interpretation.”]</w:t>
      </w:r>
      <w:r w:rsidR="007A671C">
        <w:t>.)</w:t>
      </w:r>
      <w:r w:rsidR="00454539">
        <w:rPr>
          <w:rStyle w:val="FootnoteReference"/>
        </w:rPr>
        <w:footnoteReference w:id="22"/>
      </w:r>
      <w:r w:rsidR="007A671C">
        <w:t xml:space="preserve">  </w:t>
      </w:r>
    </w:p>
    <w:p w14:paraId="24E0150F" w14:textId="4B622C30" w:rsidR="00F842F5" w:rsidRDefault="00CB1186" w:rsidP="00DB5124">
      <w:pPr>
        <w:spacing w:line="360" w:lineRule="auto"/>
      </w:pPr>
      <w:r>
        <w:tab/>
      </w:r>
      <w:r w:rsidR="005B0A13">
        <w:t>Moreover</w:t>
      </w:r>
      <w:r w:rsidR="009B37AC" w:rsidRPr="00632181">
        <w:t>, our starting point is not 2007</w:t>
      </w:r>
      <w:r w:rsidR="00632181" w:rsidRPr="00632181">
        <w:t xml:space="preserve">.  </w:t>
      </w:r>
      <w:r w:rsidRPr="00632181">
        <w:t>The Commission</w:t>
      </w:r>
      <w:r w:rsidR="00632181" w:rsidRPr="00632181">
        <w:t>er</w:t>
      </w:r>
      <w:r w:rsidRPr="00632181">
        <w:t xml:space="preserve"> </w:t>
      </w:r>
      <w:r w:rsidR="005B0A13">
        <w:t xml:space="preserve">first issued </w:t>
      </w:r>
      <w:r w:rsidRPr="009B37AC">
        <w:t xml:space="preserve">regulations </w:t>
      </w:r>
      <w:r w:rsidR="0099560D" w:rsidRPr="009B37AC">
        <w:t>under Proposition 103</w:t>
      </w:r>
      <w:r w:rsidR="0099560D">
        <w:t xml:space="preserve"> </w:t>
      </w:r>
      <w:r>
        <w:t xml:space="preserve">in </w:t>
      </w:r>
      <w:r w:rsidR="0099560D">
        <w:t>1991</w:t>
      </w:r>
      <w:r>
        <w:t xml:space="preserve">, and between </w:t>
      </w:r>
      <w:r w:rsidR="0099560D">
        <w:t>a minor revision</w:t>
      </w:r>
      <w:r w:rsidR="00222E52">
        <w:t xml:space="preserve"> the following</w:t>
      </w:r>
      <w:r w:rsidR="0099560D">
        <w:t xml:space="preserve"> year</w:t>
      </w:r>
      <w:r>
        <w:t xml:space="preserve"> and 2007, projected yield was calculated using “imbedded </w:t>
      </w:r>
      <w:r w:rsidR="00BE0BFB">
        <w:t>yield</w:t>
      </w:r>
      <w:r>
        <w:t>”</w:t>
      </w:r>
      <w:r w:rsidR="00BE0BFB">
        <w:t xml:space="preserve"> based on the insurer’s “net investment income”</w:t>
      </w:r>
      <w:r>
        <w:t>—</w:t>
      </w:r>
      <w:r w:rsidR="0099560D">
        <w:t>with</w:t>
      </w:r>
      <w:r>
        <w:t xml:space="preserve"> no reference to a “consolidated </w:t>
      </w:r>
      <w:r w:rsidR="00632181">
        <w:t xml:space="preserve">statutory </w:t>
      </w:r>
      <w:r>
        <w:t>annual statement.”</w:t>
      </w:r>
      <w:r w:rsidR="00413E0B">
        <w:t xml:space="preserve"> </w:t>
      </w:r>
      <w:r w:rsidR="00BE0BFB">
        <w:t xml:space="preserve"> </w:t>
      </w:r>
      <w:r w:rsidR="00BE0BFB" w:rsidRPr="005630A2">
        <w:t>(Reg</w:t>
      </w:r>
      <w:r w:rsidR="00B1511F">
        <w:t xml:space="preserve">ister </w:t>
      </w:r>
      <w:r w:rsidR="00BE0BFB" w:rsidRPr="005630A2">
        <w:t xml:space="preserve">92, No. 3, </w:t>
      </w:r>
      <w:r w:rsidR="00BE0BFB" w:rsidRPr="005630A2">
        <w:lastRenderedPageBreak/>
        <w:t xml:space="preserve">p. </w:t>
      </w:r>
      <w:r w:rsidR="00BE0BFB">
        <w:t xml:space="preserve">728.30; </w:t>
      </w:r>
      <w:r w:rsidR="00BE0BFB" w:rsidRPr="005630A2">
        <w:t>Reg</w:t>
      </w:r>
      <w:r w:rsidR="00B1511F">
        <w:t>ister</w:t>
      </w:r>
      <w:r w:rsidR="00BE0BFB" w:rsidRPr="005630A2">
        <w:t xml:space="preserve"> 92, </w:t>
      </w:r>
      <w:bookmarkStart w:id="20" w:name="_Hlk83720798"/>
      <w:r w:rsidR="00BE0BFB" w:rsidRPr="005630A2">
        <w:t>Nos. 15-17, p. 728.32</w:t>
      </w:r>
      <w:bookmarkEnd w:id="20"/>
      <w:r w:rsidR="00BE0BFB" w:rsidRPr="005630A2">
        <w:t>]</w:t>
      </w:r>
      <w:r w:rsidR="00632181">
        <w:t>.</w:t>
      </w:r>
      <w:r w:rsidR="00BE0BFB" w:rsidRPr="005630A2">
        <w:t>)</w:t>
      </w:r>
      <w:r w:rsidR="0099560D">
        <w:rPr>
          <w:rStyle w:val="FootnoteReference"/>
        </w:rPr>
        <w:footnoteReference w:id="23"/>
      </w:r>
      <w:r w:rsidR="005179C6">
        <w:t xml:space="preserve"> </w:t>
      </w:r>
      <w:r w:rsidR="00632181">
        <w:t xml:space="preserve"> </w:t>
      </w:r>
      <w:r w:rsidR="00BF7771">
        <w:t>The 2007 rulemaking file generally addressed reasons for the change, as noted above</w:t>
      </w:r>
      <w:bookmarkStart w:id="21" w:name="_Hlk79064603"/>
      <w:r w:rsidR="000B250D">
        <w:t>.</w:t>
      </w:r>
      <w:r w:rsidR="005B0A13">
        <w:t xml:space="preserve"> </w:t>
      </w:r>
      <w:bookmarkEnd w:id="21"/>
      <w:r w:rsidR="005B0A13">
        <w:t xml:space="preserve"> </w:t>
      </w:r>
      <w:r w:rsidR="00BF7771">
        <w:t>But</w:t>
      </w:r>
      <w:r w:rsidR="005B0A13">
        <w:t xml:space="preserve"> the point is there </w:t>
      </w:r>
      <w:r w:rsidR="005B0A13" w:rsidRPr="00BF7771">
        <w:rPr>
          <w:i/>
          <w:iCs/>
        </w:rPr>
        <w:t>was</w:t>
      </w:r>
      <w:r w:rsidR="005B0A13">
        <w:t xml:space="preserve"> a change</w:t>
      </w:r>
      <w:r w:rsidR="00AA74FB">
        <w:t>, which not only underscores the lack of consistent application, but also reflects a lack of contemporaneous enactment</w:t>
      </w:r>
      <w:r w:rsidR="005B0A13">
        <w:t>.</w:t>
      </w:r>
      <w:r w:rsidR="00220C43">
        <w:t xml:space="preserve">  (Cf. </w:t>
      </w:r>
      <w:r w:rsidR="00220C43" w:rsidRPr="00FB6F03">
        <w:rPr>
          <w:i/>
          <w:iCs/>
        </w:rPr>
        <w:t>Yamaha</w:t>
      </w:r>
      <w:r w:rsidR="00220C43" w:rsidRPr="005630A2">
        <w:t xml:space="preserve">, </w:t>
      </w:r>
      <w:r w:rsidR="00220C43" w:rsidRPr="00FB6F03">
        <w:rPr>
          <w:i/>
          <w:iCs/>
        </w:rPr>
        <w:t>supra</w:t>
      </w:r>
      <w:r w:rsidR="00220C43" w:rsidRPr="005630A2">
        <w:t>, 19 Cal.4th at p. 13</w:t>
      </w:r>
      <w:r w:rsidR="00220C43">
        <w:t xml:space="preserve"> [factors for deference include whether interpretation was “</w:t>
      </w:r>
      <w:r w:rsidR="00220C43" w:rsidRPr="00FB6F03">
        <w:t xml:space="preserve">contemporaneous with </w:t>
      </w:r>
      <w:r w:rsidR="00220C43" w:rsidRPr="00E96D8F">
        <w:t>legislative enactment of the statute being interpreted”].)</w:t>
      </w:r>
      <w:r w:rsidR="000B6175">
        <w:t xml:space="preserve">  Accordingly</w:t>
      </w:r>
      <w:r w:rsidR="00BF7771">
        <w:t>, we</w:t>
      </w:r>
      <w:r w:rsidR="000B6175">
        <w:t xml:space="preserve"> also</w:t>
      </w:r>
      <w:r w:rsidR="00BF7771">
        <w:t xml:space="preserve"> reject any </w:t>
      </w:r>
      <w:r w:rsidR="000B6175">
        <w:t>reliance</w:t>
      </w:r>
      <w:r w:rsidR="00BF7771">
        <w:t xml:space="preserve"> by Appellants</w:t>
      </w:r>
      <w:r w:rsidR="001023F0">
        <w:t xml:space="preserve"> here</w:t>
      </w:r>
      <w:r w:rsidR="00BF7771">
        <w:t xml:space="preserve"> </w:t>
      </w:r>
      <w:r w:rsidR="000B6175">
        <w:t>on the</w:t>
      </w:r>
      <w:r w:rsidR="00BF7771">
        <w:t xml:space="preserve"> Supreme Court’s approval of the</w:t>
      </w:r>
      <w:r w:rsidR="000B6175">
        <w:t xml:space="preserve"> Proposition 103</w:t>
      </w:r>
      <w:r w:rsidR="00BF7771">
        <w:t xml:space="preserve"> regulatory framework in </w:t>
      </w:r>
      <w:r w:rsidR="00BF7771">
        <w:rPr>
          <w:i/>
          <w:iCs/>
        </w:rPr>
        <w:t>20th Century</w:t>
      </w:r>
      <w:r w:rsidR="00BF7771">
        <w:t xml:space="preserve">, </w:t>
      </w:r>
      <w:r w:rsidR="001023F0">
        <w:t>as</w:t>
      </w:r>
      <w:r w:rsidR="00BF7771">
        <w:t xml:space="preserve"> the disputed regulatory language was not in effect at the time.</w:t>
      </w:r>
      <w:r w:rsidR="001821BB">
        <w:rPr>
          <w:rStyle w:val="FootnoteReference"/>
        </w:rPr>
        <w:footnoteReference w:id="24"/>
      </w:r>
      <w:r w:rsidR="000B6175">
        <w:t xml:space="preserve"> </w:t>
      </w:r>
    </w:p>
    <w:p w14:paraId="4394B6EB" w14:textId="6CF088F2" w:rsidR="001D28AD" w:rsidRPr="001D28AD" w:rsidRDefault="009F0E4C" w:rsidP="00DB5124">
      <w:pPr>
        <w:pStyle w:val="Heading1"/>
        <w:keepLines w:val="0"/>
        <w:spacing w:before="0" w:line="360" w:lineRule="auto"/>
        <w:contextualSpacing/>
        <w:rPr>
          <w:rFonts w:ascii="Century Schoolbook" w:eastAsia="Calibri" w:hAnsi="Century Schoolbook" w:cs="Times New Roman"/>
          <w:iCs/>
          <w:color w:val="auto"/>
          <w:sz w:val="26"/>
          <w:szCs w:val="26"/>
        </w:rPr>
      </w:pPr>
      <w:r>
        <w:rPr>
          <w:rFonts w:ascii="Century Schoolbook" w:eastAsia="Calibri" w:hAnsi="Century Schoolbook" w:cs="Times New Roman"/>
          <w:iCs/>
          <w:color w:val="auto"/>
          <w:sz w:val="26"/>
          <w:szCs w:val="26"/>
        </w:rPr>
        <w:t>D</w:t>
      </w:r>
      <w:r w:rsidR="001D28AD" w:rsidRPr="00777AE2">
        <w:rPr>
          <w:rFonts w:ascii="Century Schoolbook" w:eastAsia="Calibri" w:hAnsi="Century Schoolbook" w:cs="Times New Roman"/>
          <w:iCs/>
          <w:color w:val="auto"/>
          <w:sz w:val="26"/>
          <w:szCs w:val="26"/>
        </w:rPr>
        <w:t>.</w:t>
      </w:r>
      <w:r w:rsidR="001D28AD" w:rsidRPr="00777AE2">
        <w:rPr>
          <w:rFonts w:ascii="Century Schoolbook" w:eastAsia="Calibri" w:hAnsi="Century Schoolbook" w:cs="Times New Roman"/>
          <w:i/>
          <w:color w:val="auto"/>
          <w:sz w:val="26"/>
          <w:szCs w:val="26"/>
        </w:rPr>
        <w:tab/>
      </w:r>
      <w:r w:rsidR="001D28AD">
        <w:rPr>
          <w:rFonts w:ascii="Century Schoolbook" w:eastAsia="Calibri" w:hAnsi="Century Schoolbook" w:cs="Times New Roman"/>
          <w:i/>
          <w:color w:val="auto"/>
          <w:sz w:val="26"/>
          <w:szCs w:val="26"/>
        </w:rPr>
        <w:t xml:space="preserve">Conclusion </w:t>
      </w:r>
    </w:p>
    <w:p w14:paraId="3B3A2060" w14:textId="77777777" w:rsidR="00FF557C" w:rsidRDefault="001D28AD" w:rsidP="00DB5124">
      <w:pPr>
        <w:spacing w:line="360" w:lineRule="auto"/>
      </w:pPr>
      <w:r>
        <w:tab/>
      </w:r>
      <w:r w:rsidRPr="001D28AD">
        <w:t xml:space="preserve">Having </w:t>
      </w:r>
      <w:r w:rsidR="003A732E">
        <w:t>determined</w:t>
      </w:r>
      <w:r w:rsidRPr="001D28AD">
        <w:t xml:space="preserve"> the</w:t>
      </w:r>
      <w:r>
        <w:t xml:space="preserve"> Commissioner’s </w:t>
      </w:r>
      <w:r w:rsidR="002558E2">
        <w:t>interpretation</w:t>
      </w:r>
      <w:r>
        <w:t xml:space="preserve"> and application of </w:t>
      </w:r>
      <w:r w:rsidR="00075BD8">
        <w:t>regulation section 2644.20</w:t>
      </w:r>
      <w:r>
        <w:t xml:space="preserve"> is inconsistent with Insurance Code section 1861.05(a), </w:t>
      </w:r>
      <w:r w:rsidR="003A732E">
        <w:t xml:space="preserve">notwithstanding applicable principles of deference, </w:t>
      </w:r>
      <w:r>
        <w:t xml:space="preserve">we agree the superior court properly </w:t>
      </w:r>
      <w:r w:rsidR="00FF557C">
        <w:t>required the</w:t>
      </w:r>
      <w:r>
        <w:t xml:space="preserve"> Rate Order </w:t>
      </w:r>
      <w:r w:rsidR="00FF557C">
        <w:t xml:space="preserve">to be set </w:t>
      </w:r>
      <w:r>
        <w:t>aside</w:t>
      </w:r>
      <w:r w:rsidR="003A732E">
        <w:t>.</w:t>
      </w:r>
    </w:p>
    <w:p w14:paraId="3FF8D5E5" w14:textId="77777777" w:rsidR="001D28AD" w:rsidRDefault="001D28AD" w:rsidP="0087357D">
      <w:pPr>
        <w:keepNext/>
        <w:spacing w:line="360" w:lineRule="auto"/>
        <w:jc w:val="center"/>
        <w:outlineLvl w:val="0"/>
        <w:rPr>
          <w:rFonts w:eastAsia="Calibri"/>
          <w:i/>
          <w:szCs w:val="26"/>
        </w:rPr>
      </w:pPr>
      <w:r w:rsidRPr="0039414C">
        <w:rPr>
          <w:rFonts w:eastAsia="Calibri"/>
          <w:szCs w:val="26"/>
        </w:rPr>
        <w:lastRenderedPageBreak/>
        <w:t>II.</w:t>
      </w:r>
      <w:r w:rsidRPr="0039414C">
        <w:rPr>
          <w:rFonts w:eastAsia="Calibri"/>
          <w:szCs w:val="26"/>
        </w:rPr>
        <w:tab/>
      </w:r>
      <w:r w:rsidR="0039414C">
        <w:rPr>
          <w:rFonts w:eastAsia="Calibri"/>
          <w:i/>
          <w:iCs/>
          <w:szCs w:val="26"/>
        </w:rPr>
        <w:t>Retroactive Rate</w:t>
      </w:r>
      <w:r w:rsidR="001023F0">
        <w:rPr>
          <w:rFonts w:eastAsia="Calibri"/>
          <w:i/>
          <w:iCs/>
          <w:szCs w:val="26"/>
        </w:rPr>
        <w:t xml:space="preserve"> and Refund, and </w:t>
      </w:r>
      <w:r w:rsidRPr="0039414C">
        <w:rPr>
          <w:rFonts w:eastAsia="Calibri"/>
          <w:i/>
          <w:iCs/>
          <w:szCs w:val="26"/>
        </w:rPr>
        <w:t>Cross</w:t>
      </w:r>
      <w:r w:rsidRPr="0039414C">
        <w:rPr>
          <w:rFonts w:eastAsia="Calibri"/>
          <w:szCs w:val="26"/>
        </w:rPr>
        <w:t>-</w:t>
      </w:r>
      <w:r w:rsidRPr="0039414C">
        <w:rPr>
          <w:rFonts w:eastAsia="Calibri"/>
          <w:i/>
          <w:szCs w:val="26"/>
        </w:rPr>
        <w:t xml:space="preserve">Appeal From Remand </w:t>
      </w:r>
      <w:r w:rsidR="001023F0">
        <w:rPr>
          <w:rFonts w:eastAsia="Calibri"/>
          <w:i/>
          <w:szCs w:val="26"/>
        </w:rPr>
        <w:t>Order</w:t>
      </w:r>
    </w:p>
    <w:p w14:paraId="483295EC" w14:textId="665D7372" w:rsidR="00551C34" w:rsidRPr="002C46EA" w:rsidRDefault="001D28AD" w:rsidP="0087357D">
      <w:pPr>
        <w:keepNext/>
        <w:spacing w:line="360" w:lineRule="auto"/>
      </w:pPr>
      <w:r>
        <w:tab/>
        <w:t xml:space="preserve">We now turn to </w:t>
      </w:r>
      <w:r w:rsidR="00551C34">
        <w:t xml:space="preserve">the </w:t>
      </w:r>
      <w:r w:rsidR="00F46999">
        <w:t xml:space="preserve">errors urged by SFG:  that </w:t>
      </w:r>
      <w:r w:rsidR="00551C34">
        <w:t xml:space="preserve">the </w:t>
      </w:r>
      <w:r w:rsidR="00F46999">
        <w:t xml:space="preserve">Commissioner erred in ordering a retroactive rate and refund, and that the superior court erred </w:t>
      </w:r>
      <w:r w:rsidR="004A49FB">
        <w:t xml:space="preserve">in </w:t>
      </w:r>
      <w:r w:rsidR="00F46999">
        <w:t>ordering a remand</w:t>
      </w:r>
      <w:r w:rsidR="00551C34">
        <w:t>.</w:t>
      </w:r>
      <w:r w:rsidR="00551C34">
        <w:rPr>
          <w:rStyle w:val="FootnoteReference"/>
        </w:rPr>
        <w:footnoteReference w:id="25"/>
      </w:r>
      <w:r w:rsidR="00551C34">
        <w:t xml:space="preserve">  We agree with SFG in both respects.</w:t>
      </w:r>
    </w:p>
    <w:p w14:paraId="57AE4F82" w14:textId="77777777" w:rsidR="001D28AD" w:rsidRPr="00551C34" w:rsidRDefault="00551C34" w:rsidP="00DB5124">
      <w:pPr>
        <w:pStyle w:val="Heading1"/>
        <w:keepLines w:val="0"/>
        <w:spacing w:before="0" w:line="360" w:lineRule="auto"/>
        <w:contextualSpacing/>
        <w:rPr>
          <w:rFonts w:ascii="Century Schoolbook" w:eastAsia="Calibri" w:hAnsi="Century Schoolbook" w:cs="Times New Roman"/>
          <w:i/>
          <w:color w:val="auto"/>
          <w:sz w:val="26"/>
          <w:szCs w:val="26"/>
        </w:rPr>
      </w:pPr>
      <w:r w:rsidRPr="00FE0F0A">
        <w:rPr>
          <w:rFonts w:ascii="Century Schoolbook" w:eastAsia="Calibri" w:hAnsi="Century Schoolbook" w:cs="Times New Roman"/>
          <w:iCs/>
          <w:color w:val="auto"/>
          <w:sz w:val="26"/>
          <w:szCs w:val="26"/>
        </w:rPr>
        <w:t>A.</w:t>
      </w:r>
      <w:r w:rsidRPr="00FE0F0A">
        <w:rPr>
          <w:rFonts w:ascii="Century Schoolbook" w:eastAsia="Calibri" w:hAnsi="Century Schoolbook" w:cs="Times New Roman"/>
          <w:iCs/>
          <w:color w:val="auto"/>
          <w:sz w:val="26"/>
          <w:szCs w:val="26"/>
        </w:rPr>
        <w:tab/>
      </w:r>
      <w:r w:rsidR="0039414C" w:rsidRPr="0039414C">
        <w:rPr>
          <w:rFonts w:ascii="Century Schoolbook" w:eastAsia="Calibri" w:hAnsi="Century Schoolbook" w:cs="Times New Roman"/>
          <w:i/>
          <w:color w:val="auto"/>
          <w:sz w:val="26"/>
          <w:szCs w:val="26"/>
        </w:rPr>
        <w:t>Commissioner’s</w:t>
      </w:r>
      <w:r w:rsidR="0039414C">
        <w:rPr>
          <w:rFonts w:ascii="Century Schoolbook" w:eastAsia="Calibri" w:hAnsi="Century Schoolbook" w:cs="Times New Roman"/>
          <w:iCs/>
          <w:color w:val="auto"/>
          <w:sz w:val="26"/>
          <w:szCs w:val="26"/>
        </w:rPr>
        <w:t xml:space="preserve"> </w:t>
      </w:r>
      <w:r w:rsidR="0039414C">
        <w:rPr>
          <w:rFonts w:ascii="Century Schoolbook" w:eastAsia="Calibri" w:hAnsi="Century Schoolbook" w:cs="Times New Roman"/>
          <w:i/>
          <w:color w:val="auto"/>
          <w:sz w:val="26"/>
          <w:szCs w:val="26"/>
        </w:rPr>
        <w:t>Retroactive Rate</w:t>
      </w:r>
      <w:r w:rsidRPr="00FE0F0A">
        <w:rPr>
          <w:rFonts w:ascii="Century Schoolbook" w:eastAsia="Calibri" w:hAnsi="Century Schoolbook" w:cs="Times New Roman"/>
          <w:i/>
          <w:color w:val="auto"/>
          <w:sz w:val="26"/>
          <w:szCs w:val="26"/>
        </w:rPr>
        <w:t xml:space="preserve"> Order</w:t>
      </w:r>
      <w:r w:rsidRPr="005B3039">
        <w:rPr>
          <w:rFonts w:ascii="Century Schoolbook" w:eastAsia="Calibri" w:hAnsi="Century Schoolbook" w:cs="Times New Roman"/>
          <w:i/>
          <w:color w:val="auto"/>
          <w:sz w:val="26"/>
          <w:szCs w:val="26"/>
        </w:rPr>
        <w:t xml:space="preserve"> </w:t>
      </w:r>
    </w:p>
    <w:p w14:paraId="552D00B9" w14:textId="77777777" w:rsidR="00551C34" w:rsidRPr="00551C34" w:rsidRDefault="00551C34" w:rsidP="00DB5124">
      <w:pPr>
        <w:spacing w:line="360" w:lineRule="auto"/>
      </w:pPr>
      <w:r>
        <w:tab/>
        <w:t xml:space="preserve">SFG argues that under the prior approval system, it was required to pay the approved rate pending </w:t>
      </w:r>
      <w:r w:rsidR="0039414C">
        <w:t>approval of a new</w:t>
      </w:r>
      <w:r>
        <w:t xml:space="preserve"> </w:t>
      </w:r>
      <w:r w:rsidR="0039414C">
        <w:t>one</w:t>
      </w:r>
      <w:r>
        <w:t xml:space="preserve">, </w:t>
      </w:r>
      <w:r w:rsidR="0039414C">
        <w:t xml:space="preserve">thus precluding retroactive rates and related refunds.  </w:t>
      </w:r>
      <w:r>
        <w:t>Appellants maintain</w:t>
      </w:r>
      <w:r w:rsidR="0039414C">
        <w:t xml:space="preserve"> the rate was not impermissibly retroactive, and the refund was proper regardless.  We conclude the statutory prior approval requirement is prospective in operation and inconsistent with retroactive rates and refunds</w:t>
      </w:r>
      <w:r>
        <w:t>.</w:t>
      </w:r>
    </w:p>
    <w:p w14:paraId="3A819286" w14:textId="77777777" w:rsidR="00EC286C" w:rsidRDefault="00EC286C" w:rsidP="00DB5124">
      <w:pPr>
        <w:pStyle w:val="Heading2"/>
        <w:spacing w:line="360" w:lineRule="auto"/>
        <w:ind w:firstLine="720"/>
        <w:rPr>
          <w:rFonts w:cs="Times New Roman"/>
          <w:i/>
          <w:iCs/>
        </w:rPr>
      </w:pPr>
      <w:r w:rsidRPr="005630A2">
        <w:rPr>
          <w:rFonts w:cs="Times New Roman"/>
        </w:rPr>
        <w:t>1.</w:t>
      </w:r>
      <w:r w:rsidRPr="005630A2">
        <w:rPr>
          <w:rFonts w:cs="Times New Roman"/>
        </w:rPr>
        <w:tab/>
      </w:r>
      <w:r w:rsidRPr="005630A2">
        <w:rPr>
          <w:rFonts w:cs="Times New Roman"/>
          <w:i/>
          <w:iCs/>
        </w:rPr>
        <w:t>Applicable Law</w:t>
      </w:r>
    </w:p>
    <w:p w14:paraId="17DEE5F0" w14:textId="1C9A08FF" w:rsidR="00FD43D2" w:rsidRDefault="00877FA3" w:rsidP="00DB5124">
      <w:pPr>
        <w:spacing w:line="360" w:lineRule="auto"/>
      </w:pPr>
      <w:r>
        <w:tab/>
      </w:r>
      <w:r w:rsidRPr="005630A2">
        <w:t xml:space="preserve"> </w:t>
      </w:r>
      <w:r w:rsidR="002C432A" w:rsidRPr="005630A2">
        <w:t>“[S]tatutes ordinarily are interpreted as operating prospectively in the absence of a clear indication of a</w:t>
      </w:r>
      <w:r w:rsidR="002C432A">
        <w:t xml:space="preserve"> </w:t>
      </w:r>
      <w:r w:rsidR="002C432A" w:rsidRPr="005630A2">
        <w:t>contrary legislative intent.</w:t>
      </w:r>
      <w:r w:rsidR="002C432A">
        <w:t>”</w:t>
      </w:r>
      <w:r w:rsidR="008009E0">
        <w:t xml:space="preserve"> </w:t>
      </w:r>
      <w:r w:rsidR="002C432A">
        <w:t xml:space="preserve"> (</w:t>
      </w:r>
      <w:r w:rsidR="002C432A" w:rsidRPr="002C432A">
        <w:rPr>
          <w:i/>
          <w:iCs/>
        </w:rPr>
        <w:t>Quarry v. Doe I</w:t>
      </w:r>
      <w:r w:rsidR="002C432A" w:rsidRPr="005630A2">
        <w:t xml:space="preserve"> (2012) 53 Cal.4th 945, 955</w:t>
      </w:r>
      <w:r w:rsidR="007B4FC5">
        <w:t xml:space="preserve"> (</w:t>
      </w:r>
      <w:r w:rsidR="007B4FC5" w:rsidRPr="00DF702C">
        <w:rPr>
          <w:i/>
          <w:iCs/>
        </w:rPr>
        <w:t>Quarry</w:t>
      </w:r>
      <w:r w:rsidR="007B4FC5">
        <w:t>)</w:t>
      </w:r>
      <w:r w:rsidR="002C432A">
        <w:t>.)</w:t>
      </w:r>
      <w:r w:rsidR="008A43F5">
        <w:t xml:space="preserve">  </w:t>
      </w:r>
    </w:p>
    <w:p w14:paraId="5D27F80F" w14:textId="61E30010" w:rsidR="00804AA9" w:rsidRDefault="00FD43D2" w:rsidP="00DB5124">
      <w:pPr>
        <w:spacing w:line="360" w:lineRule="auto"/>
      </w:pPr>
      <w:r>
        <w:tab/>
      </w:r>
      <w:r w:rsidR="008A43F5">
        <w:t xml:space="preserve">“In deciding whether the application of a law is prospective or retroactive, we look to function, not form. </w:t>
      </w:r>
      <w:r>
        <w:t>. . .</w:t>
      </w:r>
      <w:r w:rsidR="008A43F5">
        <w:t xml:space="preserve">  Does the law </w:t>
      </w:r>
      <w:r>
        <w:t>‘</w:t>
      </w:r>
      <w:r w:rsidR="008A43F5">
        <w:t xml:space="preserve">change[ ] the legal consequences of past conduct by imposing new or different liabilities based upon such conduct?’ </w:t>
      </w:r>
      <w:r w:rsidR="00457DD6">
        <w:t xml:space="preserve"> </w:t>
      </w:r>
      <w:r w:rsidR="008A43F5">
        <w:t>[Citation.]  Does it ‘substantially affect [ ] existing rights and obligations?’</w:t>
      </w:r>
      <w:r w:rsidR="00457DD6">
        <w:t xml:space="preserve"> </w:t>
      </w:r>
      <w:r w:rsidR="008A43F5">
        <w:t xml:space="preserve"> [Citation.] </w:t>
      </w:r>
      <w:r w:rsidR="00457DD6">
        <w:t xml:space="preserve"> </w:t>
      </w:r>
      <w:r w:rsidR="008A43F5">
        <w:t>If so, then application to a trial of preenactment conduct is forbidden, absent an express legislative intent to permit such retroactive application</w:t>
      </w:r>
      <w:r w:rsidR="00D71743">
        <w:t xml:space="preserve">.  </w:t>
      </w:r>
      <w:r w:rsidR="008A43F5">
        <w:t xml:space="preserve">If not, then application to a trial of </w:t>
      </w:r>
      <w:r w:rsidR="008A43F5">
        <w:lastRenderedPageBreak/>
        <w:t>preenactment conduct is permitted, because the application is prospective.</w:t>
      </w:r>
      <w:r w:rsidR="00D71743">
        <w:t>”  (</w:t>
      </w:r>
      <w:r w:rsidR="00D71743" w:rsidRPr="00D71743">
        <w:rPr>
          <w:i/>
          <w:iCs/>
        </w:rPr>
        <w:t>Elsner v. Uveges</w:t>
      </w:r>
      <w:r w:rsidR="00D71743" w:rsidRPr="00D71743">
        <w:t xml:space="preserve"> (2004) 34 Cal.4th 915, 936</w:t>
      </w:r>
      <w:r w:rsidR="00D71743">
        <w:t>-937</w:t>
      </w:r>
      <w:r w:rsidR="003A50F7">
        <w:t xml:space="preserve">; see </w:t>
      </w:r>
      <w:r w:rsidR="003A50F7" w:rsidRPr="008A0FCE">
        <w:rPr>
          <w:i/>
          <w:iCs/>
        </w:rPr>
        <w:t>Landgraf v. USI Film Products</w:t>
      </w:r>
      <w:r w:rsidR="003A50F7" w:rsidRPr="008A0FCE">
        <w:t xml:space="preserve"> (1994) 511 U.S. 244, </w:t>
      </w:r>
      <w:r w:rsidR="003A50F7">
        <w:t>280 [retroactive law increase</w:t>
      </w:r>
      <w:r w:rsidR="0020238F">
        <w:t>s “</w:t>
      </w:r>
      <w:r w:rsidR="003A50F7">
        <w:t>liability for past conduct”]</w:t>
      </w:r>
      <w:r w:rsidR="0020238F">
        <w:t xml:space="preserve">; see, e.g., </w:t>
      </w:r>
      <w:r w:rsidR="0020238F" w:rsidRPr="0020238F">
        <w:rPr>
          <w:i/>
          <w:iCs/>
        </w:rPr>
        <w:t>Californians for Disability Rights v. Mervyn’s, LLC</w:t>
      </w:r>
      <w:r w:rsidR="0020238F" w:rsidRPr="0020238F">
        <w:t xml:space="preserve"> (2006) 39 Cal.4th 223, 23</w:t>
      </w:r>
      <w:r w:rsidR="00776AAD">
        <w:t>1-23</w:t>
      </w:r>
      <w:r w:rsidR="0020238F" w:rsidRPr="0020238F">
        <w:t>2 [retroactive rules included</w:t>
      </w:r>
      <w:r w:rsidR="0020238F">
        <w:t xml:space="preserve"> </w:t>
      </w:r>
      <w:r w:rsidR="0020238F" w:rsidRPr="0020238F">
        <w:t>“subject[ing] tobacco sellers to tort liability for acts performed</w:t>
      </w:r>
      <w:r w:rsidR="0043675F">
        <w:t>”</w:t>
      </w:r>
      <w:r w:rsidR="0020238F">
        <w:t xml:space="preserve"> when “</w:t>
      </w:r>
      <w:r w:rsidR="0020238F" w:rsidRPr="0020238F">
        <w:t>protect</w:t>
      </w:r>
      <w:r w:rsidR="0020238F">
        <w:t>[ed] [by]</w:t>
      </w:r>
      <w:r w:rsidR="0020238F" w:rsidRPr="0020238F">
        <w:t xml:space="preserve"> an immunity statute,” while prospective rules included eliminating right under </w:t>
      </w:r>
      <w:r w:rsidR="0020238F">
        <w:t>a</w:t>
      </w:r>
      <w:r w:rsidR="0020238F" w:rsidRPr="0020238F">
        <w:t>nti</w:t>
      </w:r>
      <w:r w:rsidR="005764EF">
        <w:t>-</w:t>
      </w:r>
      <w:r w:rsidR="0020238F" w:rsidRPr="0020238F">
        <w:t xml:space="preserve">SLAPP to </w:t>
      </w:r>
      <w:r w:rsidR="00363D10">
        <w:t>“</w:t>
      </w:r>
      <w:r w:rsidR="0020238F" w:rsidRPr="0020238F">
        <w:t>dismiss certain public-interest lawsuits”].)</w:t>
      </w:r>
    </w:p>
    <w:p w14:paraId="6164496A" w14:textId="77777777" w:rsidR="009469D1" w:rsidRDefault="00804AA9" w:rsidP="00DB5124">
      <w:pPr>
        <w:spacing w:line="360" w:lineRule="auto"/>
      </w:pPr>
      <w:r>
        <w:tab/>
      </w:r>
      <w:r w:rsidR="008A0FCE">
        <w:t>“[T]</w:t>
      </w:r>
      <w:r w:rsidR="008A0FCE" w:rsidRPr="008A0FCE">
        <w:t>he presumption that legislation operates prospectively rather than retroactively is rooted in constitutional principles</w:t>
      </w:r>
      <w:r w:rsidR="008A0FCE">
        <w:t>.”  (</w:t>
      </w:r>
      <w:r w:rsidR="008A0FCE">
        <w:rPr>
          <w:i/>
          <w:iCs/>
        </w:rPr>
        <w:t xml:space="preserve">Myers </w:t>
      </w:r>
      <w:r w:rsidR="008A0FCE" w:rsidRPr="008A0FCE">
        <w:rPr>
          <w:i/>
          <w:iCs/>
        </w:rPr>
        <w:t>v. Philip Morris Companies, Inc</w:t>
      </w:r>
      <w:r w:rsidR="008A0FCE" w:rsidRPr="008A0FCE">
        <w:t>. (2002) 28 Cal.4th 828, 841</w:t>
      </w:r>
      <w:r w:rsidR="009469D1">
        <w:t>;</w:t>
      </w:r>
      <w:r w:rsidR="0043675F">
        <w:t xml:space="preserve"> see</w:t>
      </w:r>
      <w:r w:rsidR="009469D1" w:rsidRPr="009469D1">
        <w:t xml:space="preserve"> </w:t>
      </w:r>
      <w:r w:rsidR="009469D1" w:rsidRPr="009469D1">
        <w:rPr>
          <w:i/>
          <w:iCs/>
        </w:rPr>
        <w:t>McClung v. Employment Development Dept.</w:t>
      </w:r>
      <w:r w:rsidR="009469D1" w:rsidRPr="005630A2">
        <w:t xml:space="preserve"> (2004) 34 Cal.4th 467, 475</w:t>
      </w:r>
      <w:r w:rsidR="009469D1">
        <w:t xml:space="preserve"> [</w:t>
      </w:r>
      <w:r w:rsidR="00741C88" w:rsidRPr="005630A2">
        <w:t>“[e]lementary considerations of fairness dictate that individuals should have an opportunity to know what the law is and to conform their conduct accordingly</w:t>
      </w:r>
      <w:r w:rsidR="009469D1">
        <w:t>”].)</w:t>
      </w:r>
    </w:p>
    <w:p w14:paraId="5F614BE9" w14:textId="078EC662" w:rsidR="00F61E5D" w:rsidRPr="005630A2" w:rsidRDefault="009469D1" w:rsidP="00DB5124">
      <w:pPr>
        <w:spacing w:line="360" w:lineRule="auto"/>
      </w:pPr>
      <w:r>
        <w:tab/>
        <w:t>“</w:t>
      </w:r>
      <w:r w:rsidRPr="009469D1">
        <w:t xml:space="preserve">Ambiguous statutory language will not suffice to dispel the presumption against retroactivity; rather </w:t>
      </w:r>
      <w:r>
        <w:t>‘ “</w:t>
      </w:r>
      <w:r w:rsidRPr="009469D1">
        <w:t xml:space="preserve">a statute that is ambiguous with respect to retroactive application is construed </w:t>
      </w:r>
      <w:r>
        <w:t>. . .</w:t>
      </w:r>
      <w:r w:rsidRPr="009469D1">
        <w:t xml:space="preserve"> to be unambiguously prospective.</w:t>
      </w:r>
      <w:r>
        <w:t>” ’ ”</w:t>
      </w:r>
      <w:r w:rsidRPr="009469D1">
        <w:t xml:space="preserve"> </w:t>
      </w:r>
      <w:r w:rsidR="008009E0">
        <w:t xml:space="preserve"> </w:t>
      </w:r>
      <w:r w:rsidR="00741C88" w:rsidRPr="005630A2">
        <w:t>(</w:t>
      </w:r>
      <w:r w:rsidR="00741C88" w:rsidRPr="009469D1">
        <w:rPr>
          <w:i/>
          <w:iCs/>
        </w:rPr>
        <w:t>Quarry</w:t>
      </w:r>
      <w:r w:rsidR="00741C88" w:rsidRPr="005630A2">
        <w:t xml:space="preserve">, </w:t>
      </w:r>
      <w:r w:rsidR="00741C88" w:rsidRPr="009469D1">
        <w:rPr>
          <w:i/>
          <w:iCs/>
        </w:rPr>
        <w:t>supra</w:t>
      </w:r>
      <w:r w:rsidR="00741C88" w:rsidRPr="005630A2">
        <w:t>, 53 Cal.4th at p. 955.</w:t>
      </w:r>
      <w:r>
        <w:t>)</w:t>
      </w:r>
    </w:p>
    <w:p w14:paraId="32AA12C5" w14:textId="77777777" w:rsidR="00EC286C" w:rsidRDefault="00EC286C" w:rsidP="00DB5124">
      <w:pPr>
        <w:pStyle w:val="Heading2"/>
        <w:spacing w:line="360" w:lineRule="auto"/>
        <w:ind w:firstLine="720"/>
        <w:rPr>
          <w:rFonts w:cs="Times New Roman"/>
          <w:iCs/>
        </w:rPr>
      </w:pPr>
      <w:r w:rsidRPr="005630A2">
        <w:rPr>
          <w:rFonts w:cs="Times New Roman"/>
          <w:iCs/>
        </w:rPr>
        <w:t>2.</w:t>
      </w:r>
      <w:r w:rsidRPr="005630A2">
        <w:rPr>
          <w:rFonts w:cs="Times New Roman"/>
          <w:iCs/>
        </w:rPr>
        <w:tab/>
      </w:r>
      <w:r w:rsidRPr="005630A2">
        <w:rPr>
          <w:rFonts w:cs="Times New Roman"/>
          <w:i/>
        </w:rPr>
        <w:t>Analysis</w:t>
      </w:r>
    </w:p>
    <w:p w14:paraId="419EE356" w14:textId="77777777" w:rsidR="00BD0B23" w:rsidRPr="00BD0B23" w:rsidRDefault="00BD0B23" w:rsidP="00DB5124">
      <w:pPr>
        <w:pStyle w:val="Heading3"/>
        <w:spacing w:line="360" w:lineRule="auto"/>
        <w:rPr>
          <w:i/>
          <w:iCs/>
        </w:rPr>
      </w:pPr>
      <w:r>
        <w:t>a.</w:t>
      </w:r>
      <w:r>
        <w:tab/>
      </w:r>
      <w:r w:rsidR="00E23F6D">
        <w:rPr>
          <w:i/>
          <w:iCs/>
        </w:rPr>
        <w:t>Statutory Language</w:t>
      </w:r>
    </w:p>
    <w:p w14:paraId="078436EF" w14:textId="42D9B675" w:rsidR="00FD43D2" w:rsidRDefault="00AE0977" w:rsidP="00DB5124">
      <w:pPr>
        <w:spacing w:line="360" w:lineRule="auto"/>
        <w:rPr>
          <w:szCs w:val="26"/>
        </w:rPr>
      </w:pPr>
      <w:r w:rsidRPr="006B20DF">
        <w:rPr>
          <w:szCs w:val="26"/>
        </w:rPr>
        <w:tab/>
      </w:r>
      <w:r w:rsidR="00FD43D2">
        <w:rPr>
          <w:szCs w:val="26"/>
        </w:rPr>
        <w:t>The prior approval requirement is set forth in s</w:t>
      </w:r>
      <w:r w:rsidRPr="006B20DF">
        <w:rPr>
          <w:szCs w:val="26"/>
        </w:rPr>
        <w:t>ection 1</w:t>
      </w:r>
      <w:r w:rsidR="00825619" w:rsidRPr="006B20DF">
        <w:rPr>
          <w:szCs w:val="26"/>
        </w:rPr>
        <w:t>86</w:t>
      </w:r>
      <w:r w:rsidRPr="006B20DF">
        <w:rPr>
          <w:szCs w:val="26"/>
        </w:rPr>
        <w:t>1.01, subdivision (c)</w:t>
      </w:r>
      <w:r w:rsidR="0043675F">
        <w:rPr>
          <w:szCs w:val="26"/>
        </w:rPr>
        <w:t>,</w:t>
      </w:r>
      <w:r w:rsidR="00FD43D2">
        <w:rPr>
          <w:szCs w:val="26"/>
        </w:rPr>
        <w:t xml:space="preserve"> and it is brief: </w:t>
      </w:r>
      <w:r w:rsidR="00E86B25">
        <w:rPr>
          <w:szCs w:val="26"/>
        </w:rPr>
        <w:t xml:space="preserve"> </w:t>
      </w:r>
      <w:r w:rsidR="00FD43D2">
        <w:rPr>
          <w:szCs w:val="26"/>
        </w:rPr>
        <w:t>“</w:t>
      </w:r>
      <w:r w:rsidR="00FD43D2" w:rsidRPr="00FD43D2">
        <w:rPr>
          <w:szCs w:val="26"/>
        </w:rPr>
        <w:t>Commencing November 8, 1989, insurance rates subject to this chapter must be approved by the commissioner prior to their use.</w:t>
      </w:r>
      <w:r w:rsidR="00FD43D2">
        <w:rPr>
          <w:szCs w:val="26"/>
        </w:rPr>
        <w:t xml:space="preserve">”  </w:t>
      </w:r>
      <w:r w:rsidR="001A560C">
        <w:rPr>
          <w:szCs w:val="26"/>
        </w:rPr>
        <w:t>The plain language of the</w:t>
      </w:r>
      <w:r w:rsidR="00FD43D2">
        <w:rPr>
          <w:szCs w:val="26"/>
        </w:rPr>
        <w:t xml:space="preserve"> statute</w:t>
      </w:r>
      <w:r w:rsidR="001A560C">
        <w:rPr>
          <w:szCs w:val="26"/>
        </w:rPr>
        <w:t xml:space="preserve"> thus</w:t>
      </w:r>
      <w:r w:rsidR="00FD43D2">
        <w:rPr>
          <w:szCs w:val="26"/>
        </w:rPr>
        <w:t xml:space="preserve"> requires that rates be set before their use</w:t>
      </w:r>
      <w:r w:rsidR="001A560C">
        <w:rPr>
          <w:szCs w:val="26"/>
        </w:rPr>
        <w:t>,</w:t>
      </w:r>
      <w:r w:rsidR="00FD43D2">
        <w:rPr>
          <w:szCs w:val="26"/>
        </w:rPr>
        <w:t xml:space="preserve"> and apply prospectively.</w:t>
      </w:r>
    </w:p>
    <w:p w14:paraId="763C1662" w14:textId="683C6B87" w:rsidR="00584770" w:rsidRDefault="001A560C" w:rsidP="00363D10">
      <w:pPr>
        <w:spacing w:line="360" w:lineRule="auto"/>
        <w:rPr>
          <w:szCs w:val="26"/>
        </w:rPr>
      </w:pPr>
      <w:r>
        <w:rPr>
          <w:szCs w:val="26"/>
        </w:rPr>
        <w:tab/>
      </w:r>
      <w:r w:rsidR="00584770">
        <w:rPr>
          <w:szCs w:val="26"/>
        </w:rPr>
        <w:t>We disagree with Appellant</w:t>
      </w:r>
      <w:r>
        <w:rPr>
          <w:szCs w:val="26"/>
        </w:rPr>
        <w:t>s</w:t>
      </w:r>
      <w:r w:rsidR="00584770">
        <w:rPr>
          <w:szCs w:val="26"/>
        </w:rPr>
        <w:t xml:space="preserve"> that </w:t>
      </w:r>
      <w:r>
        <w:rPr>
          <w:szCs w:val="26"/>
        </w:rPr>
        <w:t xml:space="preserve">language in </w:t>
      </w:r>
      <w:r w:rsidR="00F64452">
        <w:rPr>
          <w:szCs w:val="26"/>
        </w:rPr>
        <w:t>section 1861.05(a)</w:t>
      </w:r>
      <w:r>
        <w:rPr>
          <w:szCs w:val="26"/>
        </w:rPr>
        <w:t>—</w:t>
      </w:r>
      <w:r w:rsidR="00F64452">
        <w:rPr>
          <w:szCs w:val="26"/>
        </w:rPr>
        <w:t>“</w:t>
      </w:r>
      <w:r w:rsidR="00F64452">
        <w:t>[n]</w:t>
      </w:r>
      <w:r w:rsidR="00F64452" w:rsidRPr="005630A2">
        <w:t>o rate shall be approved or remain in</w:t>
      </w:r>
      <w:r w:rsidR="00F64452">
        <w:t xml:space="preserve"> effect”</w:t>
      </w:r>
      <w:r>
        <w:t>—</w:t>
      </w:r>
      <w:r w:rsidR="00F64452">
        <w:t xml:space="preserve">supports a different </w:t>
      </w:r>
      <w:r>
        <w:t>reading</w:t>
      </w:r>
      <w:r w:rsidR="00584770">
        <w:rPr>
          <w:szCs w:val="26"/>
        </w:rPr>
        <w:t>.</w:t>
      </w:r>
      <w:r w:rsidR="00584770" w:rsidRPr="006B20DF">
        <w:rPr>
          <w:szCs w:val="26"/>
        </w:rPr>
        <w:t xml:space="preserve"> </w:t>
      </w:r>
      <w:r w:rsidR="00F64452">
        <w:rPr>
          <w:szCs w:val="26"/>
        </w:rPr>
        <w:t xml:space="preserve"> </w:t>
      </w:r>
      <w:r w:rsidR="00363D10">
        <w:rPr>
          <w:szCs w:val="26"/>
        </w:rPr>
        <w:lastRenderedPageBreak/>
        <w:t xml:space="preserve">Construed in context, this language </w:t>
      </w:r>
      <w:r w:rsidR="007C0E15">
        <w:rPr>
          <w:szCs w:val="26"/>
        </w:rPr>
        <w:t xml:space="preserve">simply </w:t>
      </w:r>
      <w:r w:rsidR="00363D10">
        <w:rPr>
          <w:szCs w:val="26"/>
        </w:rPr>
        <w:t xml:space="preserve">reflects that </w:t>
      </w:r>
      <w:r w:rsidR="00492685">
        <w:rPr>
          <w:szCs w:val="26"/>
        </w:rPr>
        <w:t xml:space="preserve">when a rate is reviewed and does not satisfy prior </w:t>
      </w:r>
      <w:r w:rsidR="00363D10">
        <w:rPr>
          <w:szCs w:val="26"/>
        </w:rPr>
        <w:t>approval requirements</w:t>
      </w:r>
      <w:r w:rsidR="007C0E15">
        <w:rPr>
          <w:szCs w:val="26"/>
        </w:rPr>
        <w:t xml:space="preserve"> (such as by being excessive)</w:t>
      </w:r>
      <w:r w:rsidR="00492685">
        <w:rPr>
          <w:szCs w:val="26"/>
        </w:rPr>
        <w:t xml:space="preserve">, it </w:t>
      </w:r>
      <w:r w:rsidR="00363D10">
        <w:rPr>
          <w:szCs w:val="26"/>
        </w:rPr>
        <w:t xml:space="preserve">will not go into effect or </w:t>
      </w:r>
      <w:r w:rsidR="00492685">
        <w:rPr>
          <w:szCs w:val="26"/>
        </w:rPr>
        <w:t>will</w:t>
      </w:r>
      <w:r w:rsidR="00363D10">
        <w:rPr>
          <w:szCs w:val="26"/>
        </w:rPr>
        <w:t xml:space="preserve"> no longer stay in effect</w:t>
      </w:r>
      <w:r w:rsidR="00492685">
        <w:rPr>
          <w:szCs w:val="26"/>
        </w:rPr>
        <w:t xml:space="preserve">.  This </w:t>
      </w:r>
      <w:r w:rsidR="002A6365">
        <w:rPr>
          <w:szCs w:val="26"/>
        </w:rPr>
        <w:t xml:space="preserve">is consistent with section 1861.01, subdivision (c)’s prospective orientation.  </w:t>
      </w:r>
      <w:r w:rsidR="002A6365" w:rsidRPr="002A6365">
        <w:rPr>
          <w:szCs w:val="26"/>
        </w:rPr>
        <w:t>Appellants’ suggestion that the terms “approved” and “remain in effect” represent prospective and retrospective options</w:t>
      </w:r>
      <w:r w:rsidR="00492685">
        <w:rPr>
          <w:szCs w:val="26"/>
        </w:rPr>
        <w:t xml:space="preserve"> is not consistent with that orientation, and lacks merit regardless</w:t>
      </w:r>
      <w:r w:rsidR="002A6365" w:rsidRPr="002A6365">
        <w:rPr>
          <w:szCs w:val="26"/>
        </w:rPr>
        <w:t xml:space="preserve">. </w:t>
      </w:r>
      <w:r w:rsidR="002A6365">
        <w:rPr>
          <w:szCs w:val="26"/>
        </w:rPr>
        <w:t xml:space="preserve"> </w:t>
      </w:r>
      <w:r>
        <w:rPr>
          <w:szCs w:val="26"/>
        </w:rPr>
        <w:t xml:space="preserve">Even if </w:t>
      </w:r>
      <w:r w:rsidR="00492685">
        <w:rPr>
          <w:szCs w:val="26"/>
        </w:rPr>
        <w:t>the</w:t>
      </w:r>
      <w:r>
        <w:rPr>
          <w:szCs w:val="26"/>
        </w:rPr>
        <w:t xml:space="preserve"> interpretation were reasonable, </w:t>
      </w:r>
      <w:r w:rsidR="002A6365">
        <w:rPr>
          <w:szCs w:val="26"/>
        </w:rPr>
        <w:t>it</w:t>
      </w:r>
      <w:r>
        <w:rPr>
          <w:szCs w:val="26"/>
        </w:rPr>
        <w:t xml:space="preserve"> would simply render the phrase ambiguous</w:t>
      </w:r>
      <w:r w:rsidR="007C0E15">
        <w:rPr>
          <w:szCs w:val="26"/>
        </w:rPr>
        <w:t xml:space="preserve"> and that is </w:t>
      </w:r>
      <w:r>
        <w:rPr>
          <w:szCs w:val="26"/>
        </w:rPr>
        <w:t>insufficient for retroactive application</w:t>
      </w:r>
      <w:r w:rsidR="00A0264D">
        <w:t>.  (</w:t>
      </w:r>
      <w:r w:rsidR="00A0264D" w:rsidRPr="009469D1">
        <w:rPr>
          <w:i/>
          <w:iCs/>
        </w:rPr>
        <w:t>Quarry</w:t>
      </w:r>
      <w:r w:rsidR="00A0264D" w:rsidRPr="005630A2">
        <w:t xml:space="preserve">, </w:t>
      </w:r>
      <w:r w:rsidR="00A0264D" w:rsidRPr="009469D1">
        <w:rPr>
          <w:i/>
          <w:iCs/>
        </w:rPr>
        <w:t>supra</w:t>
      </w:r>
      <w:r w:rsidR="00A0264D" w:rsidRPr="005630A2">
        <w:t>, 53 Cal.4th at p. 955</w:t>
      </w:r>
      <w:r w:rsidR="00A0264D">
        <w:t>.)</w:t>
      </w:r>
    </w:p>
    <w:p w14:paraId="7A33AA34" w14:textId="77777777" w:rsidR="00BD0B23" w:rsidRPr="00BD0B23" w:rsidRDefault="00BD0B23" w:rsidP="00DB5124">
      <w:pPr>
        <w:pStyle w:val="Heading3"/>
        <w:spacing w:line="360" w:lineRule="auto"/>
        <w:rPr>
          <w:i/>
          <w:iCs/>
        </w:rPr>
      </w:pPr>
      <w:r w:rsidRPr="00A152FC">
        <w:t>b.</w:t>
      </w:r>
      <w:r w:rsidRPr="00A152FC">
        <w:tab/>
      </w:r>
      <w:r w:rsidRPr="00A152FC">
        <w:rPr>
          <w:i/>
          <w:iCs/>
        </w:rPr>
        <w:t>Statutory Scheme</w:t>
      </w:r>
    </w:p>
    <w:p w14:paraId="2B158FCB" w14:textId="77777777" w:rsidR="00A744C6" w:rsidRDefault="00A744C6" w:rsidP="00DB5124">
      <w:pPr>
        <w:spacing w:line="360" w:lineRule="auto"/>
        <w:rPr>
          <w:szCs w:val="26"/>
        </w:rPr>
      </w:pPr>
      <w:r>
        <w:rPr>
          <w:szCs w:val="26"/>
        </w:rPr>
        <w:tab/>
        <w:t xml:space="preserve">Prospective </w:t>
      </w:r>
      <w:r w:rsidRPr="00A744C6">
        <w:rPr>
          <w:szCs w:val="26"/>
        </w:rPr>
        <w:t>application of prior approved rates</w:t>
      </w:r>
      <w:r>
        <w:rPr>
          <w:szCs w:val="26"/>
        </w:rPr>
        <w:t xml:space="preserve"> </w:t>
      </w:r>
      <w:r w:rsidR="00107DF5">
        <w:rPr>
          <w:szCs w:val="26"/>
        </w:rPr>
        <w:t xml:space="preserve">also </w:t>
      </w:r>
      <w:r>
        <w:rPr>
          <w:szCs w:val="26"/>
        </w:rPr>
        <w:t xml:space="preserve">is consistent with </w:t>
      </w:r>
      <w:r w:rsidR="00825619" w:rsidRPr="006B20DF">
        <w:rPr>
          <w:szCs w:val="26"/>
        </w:rPr>
        <w:t xml:space="preserve">the </w:t>
      </w:r>
      <w:r w:rsidR="00CC7C33">
        <w:rPr>
          <w:szCs w:val="26"/>
        </w:rPr>
        <w:t>distinction</w:t>
      </w:r>
      <w:r w:rsidR="00825619" w:rsidRPr="006B20DF">
        <w:rPr>
          <w:szCs w:val="26"/>
        </w:rPr>
        <w:t xml:space="preserve"> between th</w:t>
      </w:r>
      <w:r>
        <w:rPr>
          <w:szCs w:val="26"/>
        </w:rPr>
        <w:t xml:space="preserve">e prior approval </w:t>
      </w:r>
      <w:r w:rsidR="00825619" w:rsidRPr="006B20DF">
        <w:rPr>
          <w:szCs w:val="26"/>
        </w:rPr>
        <w:t xml:space="preserve">period and the rollback year, which did incorporate </w:t>
      </w:r>
      <w:r>
        <w:rPr>
          <w:szCs w:val="26"/>
        </w:rPr>
        <w:t xml:space="preserve">retroactive </w:t>
      </w:r>
      <w:r w:rsidR="00825619" w:rsidRPr="006B20DF">
        <w:rPr>
          <w:szCs w:val="26"/>
        </w:rPr>
        <w:t>refunds.</w:t>
      </w:r>
      <w:r w:rsidR="00CC7C33">
        <w:rPr>
          <w:szCs w:val="26"/>
        </w:rPr>
        <w:t xml:space="preserve">  </w:t>
      </w:r>
    </w:p>
    <w:p w14:paraId="753A1ECF" w14:textId="7000B30E" w:rsidR="00825619" w:rsidRPr="00A744C6" w:rsidRDefault="00A744C6" w:rsidP="00DB5124">
      <w:pPr>
        <w:spacing w:line="360" w:lineRule="auto"/>
        <w:rPr>
          <w:szCs w:val="26"/>
        </w:rPr>
      </w:pPr>
      <w:r>
        <w:rPr>
          <w:szCs w:val="26"/>
        </w:rPr>
        <w:tab/>
      </w:r>
      <w:r w:rsidR="00825619" w:rsidRPr="006B20DF">
        <w:rPr>
          <w:szCs w:val="26"/>
        </w:rPr>
        <w:t xml:space="preserve">As the </w:t>
      </w:r>
      <w:r w:rsidR="008009E0">
        <w:rPr>
          <w:szCs w:val="26"/>
        </w:rPr>
        <w:t xml:space="preserve">California </w:t>
      </w:r>
      <w:r w:rsidR="00825619" w:rsidRPr="006B20DF">
        <w:rPr>
          <w:szCs w:val="26"/>
        </w:rPr>
        <w:t xml:space="preserve">Supreme Court explained in </w:t>
      </w:r>
      <w:r w:rsidR="00825619" w:rsidRPr="006B20DF">
        <w:rPr>
          <w:i/>
          <w:iCs/>
          <w:szCs w:val="26"/>
        </w:rPr>
        <w:t>20th Century</w:t>
      </w:r>
      <w:r w:rsidR="00825619" w:rsidRPr="006B20DF">
        <w:rPr>
          <w:szCs w:val="26"/>
        </w:rPr>
        <w:t>,</w:t>
      </w:r>
      <w:r w:rsidR="00CC7C33">
        <w:rPr>
          <w:szCs w:val="26"/>
        </w:rPr>
        <w:t xml:space="preserve"> </w:t>
      </w:r>
      <w:r w:rsidR="00825619" w:rsidRPr="006B20DF">
        <w:rPr>
          <w:szCs w:val="26"/>
        </w:rPr>
        <w:t xml:space="preserve">the </w:t>
      </w:r>
      <w:r w:rsidR="00FB0616" w:rsidRPr="006B20DF">
        <w:rPr>
          <w:szCs w:val="26"/>
        </w:rPr>
        <w:t xml:space="preserve">rollback year was a “temporary regulatory regime </w:t>
      </w:r>
      <w:r w:rsidR="00841AF3">
        <w:rPr>
          <w:szCs w:val="26"/>
        </w:rPr>
        <w:t>. . .</w:t>
      </w:r>
      <w:r w:rsidR="00FB0616" w:rsidRPr="006B20DF">
        <w:rPr>
          <w:szCs w:val="26"/>
        </w:rPr>
        <w:t xml:space="preserve"> evidently designed to allow the setting up of a permanent regulatory regime to follow . . . .”  (</w:t>
      </w:r>
      <w:r w:rsidR="00FB0616" w:rsidRPr="006B20DF">
        <w:rPr>
          <w:i/>
          <w:iCs/>
          <w:szCs w:val="26"/>
        </w:rPr>
        <w:t>20th Century</w:t>
      </w:r>
      <w:r w:rsidR="00FB0616" w:rsidRPr="006B20DF">
        <w:rPr>
          <w:szCs w:val="26"/>
        </w:rPr>
        <w:t xml:space="preserve">, </w:t>
      </w:r>
      <w:r w:rsidR="00FB0616" w:rsidRPr="006B20DF">
        <w:rPr>
          <w:i/>
          <w:iCs/>
          <w:szCs w:val="26"/>
        </w:rPr>
        <w:t>supra</w:t>
      </w:r>
      <w:r w:rsidR="00FB0616" w:rsidRPr="006B20DF">
        <w:rPr>
          <w:szCs w:val="26"/>
        </w:rPr>
        <w:t xml:space="preserve">, 8 Cal.4th at p. 243.)  </w:t>
      </w:r>
      <w:r w:rsidR="00825619" w:rsidRPr="006B20DF">
        <w:rPr>
          <w:szCs w:val="26"/>
        </w:rPr>
        <w:t xml:space="preserve">The Court </w:t>
      </w:r>
      <w:r w:rsidR="00841AF3">
        <w:rPr>
          <w:szCs w:val="26"/>
        </w:rPr>
        <w:t xml:space="preserve">emphasized, </w:t>
      </w:r>
      <w:r w:rsidR="00825619" w:rsidRPr="006B20DF">
        <w:rPr>
          <w:szCs w:val="26"/>
        </w:rPr>
        <w:t xml:space="preserve">“So far as the ratemaking formula functions in the rate rollback, </w:t>
      </w:r>
      <w:r w:rsidR="00841AF3">
        <w:rPr>
          <w:szCs w:val="26"/>
        </w:rPr>
        <w:t>. . .</w:t>
      </w:r>
      <w:r w:rsidR="00825619" w:rsidRPr="006B20DF">
        <w:rPr>
          <w:szCs w:val="26"/>
        </w:rPr>
        <w:t xml:space="preserve"> it has nothing to do with the </w:t>
      </w:r>
      <w:r w:rsidR="004F35FC" w:rsidRPr="006B20DF">
        <w:rPr>
          <w:szCs w:val="26"/>
        </w:rPr>
        <w:t>‘</w:t>
      </w:r>
      <w:r w:rsidR="00825619" w:rsidRPr="006B20DF">
        <w:rPr>
          <w:szCs w:val="26"/>
        </w:rPr>
        <w:t>prior approval</w:t>
      </w:r>
      <w:r w:rsidR="004F35FC" w:rsidRPr="006B20DF">
        <w:rPr>
          <w:szCs w:val="26"/>
        </w:rPr>
        <w:t>’</w:t>
      </w:r>
      <w:r w:rsidR="00825619" w:rsidRPr="006B20DF">
        <w:rPr>
          <w:szCs w:val="26"/>
        </w:rPr>
        <w:t xml:space="preserve"> system</w:t>
      </w:r>
      <w:r w:rsidR="00841AF3">
        <w:rPr>
          <w:szCs w:val="26"/>
        </w:rPr>
        <w:t xml:space="preserve">. . . </w:t>
      </w:r>
      <w:r w:rsidR="00825619" w:rsidRPr="006B20DF">
        <w:rPr>
          <w:szCs w:val="26"/>
        </w:rPr>
        <w:t>.</w:t>
      </w:r>
      <w:r w:rsidR="0047422E">
        <w:rPr>
          <w:szCs w:val="26"/>
        </w:rPr>
        <w:t xml:space="preserve"> </w:t>
      </w:r>
      <w:r w:rsidR="00825619" w:rsidRPr="006B20DF">
        <w:rPr>
          <w:szCs w:val="26"/>
        </w:rPr>
        <w:t xml:space="preserve"> That the two regimes are distinct is apparent in Proposition 103.  It remains such in our construction of the initiative in </w:t>
      </w:r>
      <w:r w:rsidR="00825619" w:rsidRPr="006B20DF">
        <w:rPr>
          <w:i/>
          <w:iCs/>
          <w:szCs w:val="26"/>
        </w:rPr>
        <w:t>Calfarm</w:t>
      </w:r>
      <w:r w:rsidR="00825619" w:rsidRPr="006B20DF">
        <w:rPr>
          <w:szCs w:val="26"/>
        </w:rPr>
        <w:t>.”</w:t>
      </w:r>
      <w:r w:rsidR="00841AF3">
        <w:rPr>
          <w:i/>
          <w:iCs/>
        </w:rPr>
        <w:t xml:space="preserve">  </w:t>
      </w:r>
      <w:r w:rsidR="00825619" w:rsidRPr="006B20DF">
        <w:rPr>
          <w:szCs w:val="26"/>
        </w:rPr>
        <w:t>(</w:t>
      </w:r>
      <w:r w:rsidR="008009E0">
        <w:rPr>
          <w:i/>
          <w:iCs/>
          <w:szCs w:val="26"/>
        </w:rPr>
        <w:t>20th Century</w:t>
      </w:r>
      <w:r w:rsidR="00825619" w:rsidRPr="006B20DF">
        <w:rPr>
          <w:szCs w:val="26"/>
        </w:rPr>
        <w:t>, at p</w:t>
      </w:r>
      <w:r w:rsidR="00841AF3">
        <w:rPr>
          <w:szCs w:val="26"/>
        </w:rPr>
        <w:t>p</w:t>
      </w:r>
      <w:r w:rsidR="00825619" w:rsidRPr="006B20DF">
        <w:rPr>
          <w:szCs w:val="26"/>
        </w:rPr>
        <w:t xml:space="preserve">. 288-289.)  </w:t>
      </w:r>
    </w:p>
    <w:p w14:paraId="51BCD0A7" w14:textId="55AADA7E" w:rsidR="00FB0616" w:rsidRPr="006B20DF" w:rsidRDefault="004F35FC" w:rsidP="00DB5124">
      <w:pPr>
        <w:spacing w:line="360" w:lineRule="auto"/>
        <w:rPr>
          <w:szCs w:val="26"/>
        </w:rPr>
      </w:pPr>
      <w:r w:rsidRPr="006B20DF">
        <w:rPr>
          <w:szCs w:val="26"/>
        </w:rPr>
        <w:tab/>
        <w:t>During</w:t>
      </w:r>
      <w:r w:rsidR="00FB0616" w:rsidRPr="006B20DF">
        <w:rPr>
          <w:szCs w:val="26"/>
        </w:rPr>
        <w:t xml:space="preserve"> </w:t>
      </w:r>
      <w:r w:rsidRPr="006B20DF">
        <w:rPr>
          <w:szCs w:val="26"/>
        </w:rPr>
        <w:t>the rollback year,</w:t>
      </w:r>
      <w:r w:rsidR="00A744C6">
        <w:rPr>
          <w:szCs w:val="26"/>
        </w:rPr>
        <w:t xml:space="preserve"> an insurer who </w:t>
      </w:r>
      <w:r w:rsidR="00A152FC">
        <w:rPr>
          <w:szCs w:val="26"/>
        </w:rPr>
        <w:t>felt</w:t>
      </w:r>
      <w:r w:rsidR="00A744C6">
        <w:rPr>
          <w:szCs w:val="26"/>
        </w:rPr>
        <w:t xml:space="preserve"> the 20</w:t>
      </w:r>
      <w:r w:rsidR="008841F5">
        <w:rPr>
          <w:szCs w:val="26"/>
        </w:rPr>
        <w:t xml:space="preserve"> percent</w:t>
      </w:r>
      <w:r w:rsidR="00A744C6">
        <w:rPr>
          <w:szCs w:val="26"/>
        </w:rPr>
        <w:t xml:space="preserve"> rollback was confiscatory could apply for higher rate</w:t>
      </w:r>
      <w:r w:rsidR="00A152FC">
        <w:rPr>
          <w:szCs w:val="26"/>
        </w:rPr>
        <w:t>s</w:t>
      </w:r>
      <w:r w:rsidR="00A744C6">
        <w:rPr>
          <w:szCs w:val="26"/>
        </w:rPr>
        <w:t xml:space="preserve"> and</w:t>
      </w:r>
      <w:r w:rsidR="00107DF5">
        <w:rPr>
          <w:szCs w:val="26"/>
        </w:rPr>
        <w:t xml:space="preserve"> start</w:t>
      </w:r>
      <w:r w:rsidR="00A744C6">
        <w:rPr>
          <w:szCs w:val="26"/>
        </w:rPr>
        <w:t xml:space="preserve"> </w:t>
      </w:r>
      <w:r w:rsidR="00A152FC">
        <w:rPr>
          <w:szCs w:val="26"/>
        </w:rPr>
        <w:t>charg</w:t>
      </w:r>
      <w:r w:rsidR="00107DF5">
        <w:rPr>
          <w:szCs w:val="26"/>
        </w:rPr>
        <w:t>ing</w:t>
      </w:r>
      <w:r w:rsidR="00A152FC">
        <w:rPr>
          <w:szCs w:val="26"/>
        </w:rPr>
        <w:t xml:space="preserve"> them, </w:t>
      </w:r>
      <w:r w:rsidR="00A744C6">
        <w:rPr>
          <w:szCs w:val="26"/>
        </w:rPr>
        <w:t xml:space="preserve">but if the Commissioner </w:t>
      </w:r>
      <w:r w:rsidR="00107DF5">
        <w:rPr>
          <w:szCs w:val="26"/>
        </w:rPr>
        <w:t xml:space="preserve">later </w:t>
      </w:r>
      <w:r w:rsidR="00A744C6">
        <w:rPr>
          <w:szCs w:val="26"/>
        </w:rPr>
        <w:t xml:space="preserve">determined </w:t>
      </w:r>
      <w:r w:rsidR="00D170C9">
        <w:rPr>
          <w:szCs w:val="26"/>
        </w:rPr>
        <w:t>they</w:t>
      </w:r>
      <w:r w:rsidR="00A744C6">
        <w:rPr>
          <w:szCs w:val="26"/>
        </w:rPr>
        <w:t xml:space="preserve"> were excessive, the insurer “had to </w:t>
      </w:r>
      <w:r w:rsidR="00A744C6" w:rsidRPr="006B20DF">
        <w:rPr>
          <w:szCs w:val="26"/>
        </w:rPr>
        <w:t>refund with interest any premiums collected in excess of the rates ultimately approved</w:t>
      </w:r>
      <w:r w:rsidR="00A744C6">
        <w:rPr>
          <w:szCs w:val="26"/>
        </w:rPr>
        <w:t>.”  (</w:t>
      </w:r>
      <w:r w:rsidR="00FB0616" w:rsidRPr="006B20DF">
        <w:rPr>
          <w:i/>
          <w:iCs/>
          <w:szCs w:val="26"/>
        </w:rPr>
        <w:t>Calfarm</w:t>
      </w:r>
      <w:r w:rsidR="00FB0616" w:rsidRPr="006B20DF">
        <w:rPr>
          <w:szCs w:val="26"/>
        </w:rPr>
        <w:t xml:space="preserve">, </w:t>
      </w:r>
      <w:r w:rsidR="00FB0616" w:rsidRPr="006B20DF">
        <w:rPr>
          <w:i/>
          <w:iCs/>
          <w:szCs w:val="26"/>
        </w:rPr>
        <w:t>supra</w:t>
      </w:r>
      <w:r w:rsidR="00FB0616" w:rsidRPr="006B20DF">
        <w:rPr>
          <w:szCs w:val="26"/>
        </w:rPr>
        <w:t>, 48 Cal.3d at p. 815</w:t>
      </w:r>
      <w:r w:rsidR="00A744C6">
        <w:rPr>
          <w:szCs w:val="26"/>
        </w:rPr>
        <w:t xml:space="preserve">; </w:t>
      </w:r>
      <w:r w:rsidR="00A744C6">
        <w:rPr>
          <w:i/>
          <w:iCs/>
          <w:szCs w:val="26"/>
        </w:rPr>
        <w:t>id.</w:t>
      </w:r>
      <w:r w:rsidR="00A744C6">
        <w:rPr>
          <w:szCs w:val="26"/>
        </w:rPr>
        <w:t xml:space="preserve"> at p. 825 [</w:t>
      </w:r>
      <w:r w:rsidR="00A744C6" w:rsidRPr="00A744C6">
        <w:rPr>
          <w:szCs w:val="26"/>
        </w:rPr>
        <w:t>elaborating that if application were filed</w:t>
      </w:r>
      <w:r w:rsidR="00A744C6">
        <w:rPr>
          <w:szCs w:val="26"/>
        </w:rPr>
        <w:t xml:space="preserve"> during rollback</w:t>
      </w:r>
      <w:r w:rsidR="00A744C6" w:rsidRPr="00A744C6">
        <w:rPr>
          <w:szCs w:val="26"/>
        </w:rPr>
        <w:t xml:space="preserve">, insurer </w:t>
      </w:r>
      <w:r w:rsidR="00CD6EC8">
        <w:rPr>
          <w:szCs w:val="26"/>
        </w:rPr>
        <w:t>could “</w:t>
      </w:r>
      <w:r w:rsidR="00D170C9">
        <w:rPr>
          <w:szCs w:val="26"/>
        </w:rPr>
        <w:t xml:space="preserve">begin </w:t>
      </w:r>
      <w:r w:rsidR="00A744C6" w:rsidRPr="00A744C6">
        <w:rPr>
          <w:szCs w:val="26"/>
        </w:rPr>
        <w:t>charg</w:t>
      </w:r>
      <w:r w:rsidR="00D170C9">
        <w:rPr>
          <w:szCs w:val="26"/>
        </w:rPr>
        <w:t>ing</w:t>
      </w:r>
      <w:r w:rsidR="00A744C6" w:rsidRPr="00A744C6">
        <w:rPr>
          <w:szCs w:val="26"/>
        </w:rPr>
        <w:t xml:space="preserve"> </w:t>
      </w:r>
      <w:r w:rsidR="00A744C6" w:rsidRPr="00A744C6">
        <w:rPr>
          <w:szCs w:val="26"/>
        </w:rPr>
        <w:lastRenderedPageBreak/>
        <w:t>that higher rate pending approval</w:t>
      </w:r>
      <w:r w:rsidR="00BF6A59">
        <w:rPr>
          <w:szCs w:val="26"/>
        </w:rPr>
        <w:t>,</w:t>
      </w:r>
      <w:r w:rsidR="00306A78">
        <w:rPr>
          <w:szCs w:val="26"/>
        </w:rPr>
        <w:t>”</w:t>
      </w:r>
      <w:r w:rsidR="00BF6A59">
        <w:rPr>
          <w:szCs w:val="26"/>
        </w:rPr>
        <w:t xml:space="preserve"> while</w:t>
      </w:r>
      <w:r w:rsidR="00306A78">
        <w:rPr>
          <w:szCs w:val="26"/>
        </w:rPr>
        <w:t xml:space="preserve"> after that period</w:t>
      </w:r>
      <w:r w:rsidR="00A744C6">
        <w:rPr>
          <w:szCs w:val="26"/>
        </w:rPr>
        <w:t xml:space="preserve">, </w:t>
      </w:r>
      <w:r w:rsidR="00A744C6" w:rsidRPr="00A744C6">
        <w:rPr>
          <w:szCs w:val="26"/>
        </w:rPr>
        <w:t xml:space="preserve">rates </w:t>
      </w:r>
      <w:r w:rsidR="00D170C9">
        <w:rPr>
          <w:szCs w:val="26"/>
        </w:rPr>
        <w:t>“</w:t>
      </w:r>
      <w:r w:rsidR="00A744C6" w:rsidRPr="00A744C6">
        <w:rPr>
          <w:szCs w:val="26"/>
        </w:rPr>
        <w:t xml:space="preserve">must be approved by the commissioner prior to their use, but . . . </w:t>
      </w:r>
      <w:r w:rsidR="00107DF5">
        <w:rPr>
          <w:szCs w:val="26"/>
        </w:rPr>
        <w:t>the commissioner</w:t>
      </w:r>
      <w:r w:rsidR="00A744C6" w:rsidRPr="00A744C6">
        <w:rPr>
          <w:szCs w:val="26"/>
        </w:rPr>
        <w:t xml:space="preserve"> can approve an interim rate pending her final decision”</w:t>
      </w:r>
      <w:r w:rsidR="00BF6A59">
        <w:rPr>
          <w:szCs w:val="26"/>
        </w:rPr>
        <w:t>;</w:t>
      </w:r>
      <w:r w:rsidR="004E098D">
        <w:rPr>
          <w:szCs w:val="26"/>
        </w:rPr>
        <w:t xml:space="preserve"> </w:t>
      </w:r>
      <w:r w:rsidR="00A744C6" w:rsidRPr="00A744C6">
        <w:rPr>
          <w:szCs w:val="26"/>
        </w:rPr>
        <w:t xml:space="preserve">“[i]f </w:t>
      </w:r>
      <w:r w:rsidR="00107DF5">
        <w:rPr>
          <w:szCs w:val="26"/>
        </w:rPr>
        <w:t>the commissioner</w:t>
      </w:r>
      <w:r w:rsidR="00A744C6" w:rsidRPr="00A744C6">
        <w:rPr>
          <w:szCs w:val="26"/>
        </w:rPr>
        <w:t xml:space="preserve"> finds the initiative’s rate, or some other rate less than the insurer charged, is fair and reasonable, the insurer must refund excess premiums </w:t>
      </w:r>
      <w:r w:rsidR="00CD6EC8">
        <w:rPr>
          <w:szCs w:val="26"/>
        </w:rPr>
        <w:t>. . .</w:t>
      </w:r>
      <w:r w:rsidR="00A744C6" w:rsidRPr="00A744C6">
        <w:rPr>
          <w:szCs w:val="26"/>
        </w:rPr>
        <w:t xml:space="preserve"> with interest”</w:t>
      </w:r>
      <w:r w:rsidR="00306A78">
        <w:rPr>
          <w:szCs w:val="26"/>
        </w:rPr>
        <w:t xml:space="preserve">].) </w:t>
      </w:r>
      <w:r w:rsidR="00D170C9">
        <w:rPr>
          <w:szCs w:val="26"/>
        </w:rPr>
        <w:t xml:space="preserve"> The rollback r</w:t>
      </w:r>
      <w:r w:rsidR="00306A78">
        <w:rPr>
          <w:szCs w:val="26"/>
        </w:rPr>
        <w:t>egulations addressed refunds</w:t>
      </w:r>
      <w:r w:rsidR="00FB0616" w:rsidRPr="006B20DF">
        <w:rPr>
          <w:szCs w:val="26"/>
        </w:rPr>
        <w:t xml:space="preserve">.  (Reg. </w:t>
      </w:r>
      <w:r w:rsidR="00B1511F">
        <w:rPr>
          <w:szCs w:val="26"/>
        </w:rPr>
        <w:t xml:space="preserve">§ </w:t>
      </w:r>
      <w:r w:rsidR="00FB0616" w:rsidRPr="006B20DF">
        <w:rPr>
          <w:szCs w:val="26"/>
        </w:rPr>
        <w:t>2645.3 [</w:t>
      </w:r>
      <w:r w:rsidR="00D170C9">
        <w:rPr>
          <w:szCs w:val="26"/>
        </w:rPr>
        <w:t xml:space="preserve">to </w:t>
      </w:r>
      <w:r w:rsidR="00FB0616" w:rsidRPr="006B20DF">
        <w:rPr>
          <w:szCs w:val="26"/>
        </w:rPr>
        <w:t xml:space="preserve">“extent that the rates charged during the rollback period exceeded the minimum permitted earned premium, the excess shall be refunded to consumers with interest”]; Reg. </w:t>
      </w:r>
      <w:r w:rsidR="003A3CC3">
        <w:rPr>
          <w:szCs w:val="26"/>
        </w:rPr>
        <w:t xml:space="preserve">§ </w:t>
      </w:r>
      <w:r w:rsidR="00FB0616" w:rsidRPr="006B20DF">
        <w:rPr>
          <w:szCs w:val="26"/>
        </w:rPr>
        <w:t xml:space="preserve">2645.9 </w:t>
      </w:r>
      <w:r w:rsidR="004509AF">
        <w:rPr>
          <w:szCs w:val="26"/>
        </w:rPr>
        <w:t>[a</w:t>
      </w:r>
      <w:r w:rsidR="00FB0616" w:rsidRPr="006B20DF">
        <w:rPr>
          <w:szCs w:val="26"/>
        </w:rPr>
        <w:t xml:space="preserve">mount of </w:t>
      </w:r>
      <w:r w:rsidR="004509AF">
        <w:rPr>
          <w:szCs w:val="26"/>
        </w:rPr>
        <w:t>refund]</w:t>
      </w:r>
      <w:r w:rsidR="00FB0616" w:rsidRPr="006B20DF">
        <w:rPr>
          <w:szCs w:val="26"/>
        </w:rPr>
        <w:t>.)</w:t>
      </w:r>
      <w:r w:rsidR="00D170C9">
        <w:rPr>
          <w:szCs w:val="26"/>
        </w:rPr>
        <w:t xml:space="preserve">  Refunds thus served a function during the rollback year:  facilitating the temporary system in which insurers could charge non-approved rates pending approval</w:t>
      </w:r>
      <w:r w:rsidR="00CD6EC8">
        <w:rPr>
          <w:szCs w:val="26"/>
        </w:rPr>
        <w:t xml:space="preserve">.  </w:t>
      </w:r>
      <w:r w:rsidR="00FB0616" w:rsidRPr="006B20DF">
        <w:rPr>
          <w:szCs w:val="26"/>
        </w:rPr>
        <w:t>(</w:t>
      </w:r>
      <w:r w:rsidR="00CD6EC8">
        <w:rPr>
          <w:szCs w:val="26"/>
        </w:rPr>
        <w:t xml:space="preserve">See </w:t>
      </w:r>
      <w:r w:rsidR="00FB0616" w:rsidRPr="006B20DF">
        <w:rPr>
          <w:i/>
          <w:iCs/>
          <w:szCs w:val="26"/>
        </w:rPr>
        <w:t>20th Century</w:t>
      </w:r>
      <w:r w:rsidR="00FB0616" w:rsidRPr="006B20DF">
        <w:rPr>
          <w:szCs w:val="26"/>
        </w:rPr>
        <w:t xml:space="preserve">, </w:t>
      </w:r>
      <w:r w:rsidR="00FB0616" w:rsidRPr="006B20DF">
        <w:rPr>
          <w:i/>
          <w:iCs/>
          <w:szCs w:val="26"/>
        </w:rPr>
        <w:t>supra</w:t>
      </w:r>
      <w:r w:rsidR="00FB0616" w:rsidRPr="006B20DF">
        <w:rPr>
          <w:szCs w:val="26"/>
        </w:rPr>
        <w:t>, 8 Cal.4th at p. 283 [insurers “were on notice that, in charging a higher rate [than the statutory rollback rate], they were proceeding at their own risk:</w:t>
      </w:r>
      <w:r w:rsidR="00D170C9">
        <w:rPr>
          <w:szCs w:val="26"/>
        </w:rPr>
        <w:t xml:space="preserve">  </w:t>
      </w:r>
      <w:r w:rsidR="00FB0616" w:rsidRPr="006B20DF">
        <w:rPr>
          <w:szCs w:val="26"/>
        </w:rPr>
        <w:t>they had to establish their entitlement to that rate”].)</w:t>
      </w:r>
      <w:r w:rsidR="00AD1818">
        <w:rPr>
          <w:szCs w:val="26"/>
        </w:rPr>
        <w:t xml:space="preserve">  </w:t>
      </w:r>
    </w:p>
    <w:p w14:paraId="539D6E68" w14:textId="08D3D491" w:rsidR="00CC7C33" w:rsidRDefault="00FB0616" w:rsidP="00DB5124">
      <w:pPr>
        <w:spacing w:line="360" w:lineRule="auto"/>
        <w:rPr>
          <w:szCs w:val="26"/>
        </w:rPr>
      </w:pPr>
      <w:r w:rsidRPr="006B20DF">
        <w:rPr>
          <w:szCs w:val="26"/>
        </w:rPr>
        <w:tab/>
      </w:r>
      <w:r w:rsidR="004F35FC" w:rsidRPr="006B20DF">
        <w:rPr>
          <w:szCs w:val="26"/>
        </w:rPr>
        <w:t>In contrast,</w:t>
      </w:r>
      <w:r w:rsidR="00D170C9">
        <w:rPr>
          <w:szCs w:val="26"/>
        </w:rPr>
        <w:t xml:space="preserve"> </w:t>
      </w:r>
      <w:r w:rsidR="004F35FC" w:rsidRPr="006B20DF">
        <w:rPr>
          <w:szCs w:val="26"/>
        </w:rPr>
        <w:t>the prior approval system requires insurer</w:t>
      </w:r>
      <w:r w:rsidR="00D170C9">
        <w:rPr>
          <w:szCs w:val="26"/>
        </w:rPr>
        <w:t>s</w:t>
      </w:r>
      <w:r w:rsidR="004F35FC" w:rsidRPr="006B20DF">
        <w:rPr>
          <w:szCs w:val="26"/>
        </w:rPr>
        <w:t xml:space="preserve"> </w:t>
      </w:r>
      <w:r w:rsidRPr="006B20DF">
        <w:rPr>
          <w:szCs w:val="26"/>
        </w:rPr>
        <w:t xml:space="preserve">to </w:t>
      </w:r>
      <w:r w:rsidR="00D170C9">
        <w:rPr>
          <w:szCs w:val="26"/>
        </w:rPr>
        <w:t xml:space="preserve">charge </w:t>
      </w:r>
      <w:r w:rsidR="004F35FC" w:rsidRPr="006B20DF">
        <w:rPr>
          <w:szCs w:val="26"/>
        </w:rPr>
        <w:t>prior approved rate</w:t>
      </w:r>
      <w:r w:rsidR="00D170C9">
        <w:rPr>
          <w:szCs w:val="26"/>
        </w:rPr>
        <w:t>s, pending approval of new ones, so there is no comparable role for refunds</w:t>
      </w:r>
      <w:r w:rsidRPr="006B20DF">
        <w:rPr>
          <w:szCs w:val="26"/>
        </w:rPr>
        <w:t xml:space="preserve">.  (§ 1861.01, subd. (c); </w:t>
      </w:r>
      <w:r w:rsidRPr="006B20DF">
        <w:rPr>
          <w:i/>
          <w:iCs/>
          <w:szCs w:val="26"/>
        </w:rPr>
        <w:t>Calfarm</w:t>
      </w:r>
      <w:r w:rsidRPr="006B20DF">
        <w:rPr>
          <w:szCs w:val="26"/>
        </w:rPr>
        <w:t xml:space="preserve">, </w:t>
      </w:r>
      <w:r w:rsidRPr="006B20DF">
        <w:rPr>
          <w:i/>
          <w:iCs/>
          <w:szCs w:val="26"/>
        </w:rPr>
        <w:t>supra</w:t>
      </w:r>
      <w:r w:rsidRPr="006B20DF">
        <w:rPr>
          <w:szCs w:val="26"/>
        </w:rPr>
        <w:t>, 48 Cal.3d at p. 825</w:t>
      </w:r>
      <w:r w:rsidR="00A45A0A">
        <w:rPr>
          <w:szCs w:val="26"/>
        </w:rPr>
        <w:t>, fn. 17</w:t>
      </w:r>
      <w:r w:rsidRPr="006B20DF">
        <w:rPr>
          <w:szCs w:val="26"/>
        </w:rPr>
        <w:t xml:space="preserve">.)  </w:t>
      </w:r>
      <w:r w:rsidR="00D170C9">
        <w:rPr>
          <w:szCs w:val="26"/>
        </w:rPr>
        <w:t>Nor do the regulations applicable</w:t>
      </w:r>
      <w:r w:rsidR="008D7DC5">
        <w:rPr>
          <w:szCs w:val="26"/>
        </w:rPr>
        <w:t xml:space="preserve"> to</w:t>
      </w:r>
      <w:r w:rsidR="00D170C9">
        <w:rPr>
          <w:szCs w:val="26"/>
        </w:rPr>
        <w:t xml:space="preserve"> the prior approval system address refunds, in contrast to the rollback </w:t>
      </w:r>
      <w:r w:rsidR="002558E2">
        <w:rPr>
          <w:szCs w:val="26"/>
        </w:rPr>
        <w:t>regulations</w:t>
      </w:r>
      <w:r w:rsidR="00D170C9">
        <w:rPr>
          <w:szCs w:val="26"/>
        </w:rPr>
        <w:t xml:space="preserve">.  </w:t>
      </w:r>
      <w:r w:rsidRPr="006B20DF">
        <w:rPr>
          <w:szCs w:val="26"/>
        </w:rPr>
        <w:t xml:space="preserve">(See Ch. </w:t>
      </w:r>
      <w:r w:rsidR="00C36F97">
        <w:rPr>
          <w:szCs w:val="26"/>
        </w:rPr>
        <w:t>5</w:t>
      </w:r>
      <w:r w:rsidRPr="006B20DF">
        <w:rPr>
          <w:szCs w:val="26"/>
        </w:rPr>
        <w:t xml:space="preserve">, subchapter 4.8 generally, including article 6 </w:t>
      </w:r>
      <w:r w:rsidR="008D7DC5">
        <w:rPr>
          <w:szCs w:val="26"/>
        </w:rPr>
        <w:t>[</w:t>
      </w:r>
      <w:r w:rsidRPr="006B20DF">
        <w:rPr>
          <w:szCs w:val="26"/>
        </w:rPr>
        <w:t>Procedures for Determination of Rates</w:t>
      </w:r>
      <w:r w:rsidR="008D7DC5">
        <w:rPr>
          <w:szCs w:val="26"/>
        </w:rPr>
        <w:t>]</w:t>
      </w:r>
      <w:r w:rsidRPr="006B20DF">
        <w:rPr>
          <w:szCs w:val="26"/>
        </w:rPr>
        <w:t>.)</w:t>
      </w:r>
    </w:p>
    <w:p w14:paraId="59A18085" w14:textId="6C4D66C5" w:rsidR="00C71951" w:rsidRDefault="00C71AF6" w:rsidP="00DB5124">
      <w:pPr>
        <w:spacing w:line="360" w:lineRule="auto"/>
        <w:rPr>
          <w:szCs w:val="26"/>
        </w:rPr>
      </w:pPr>
      <w:r>
        <w:rPr>
          <w:szCs w:val="26"/>
        </w:rPr>
        <w:tab/>
        <w:t>W</w:t>
      </w:r>
      <w:r w:rsidR="00C71951">
        <w:rPr>
          <w:szCs w:val="26"/>
        </w:rPr>
        <w:t xml:space="preserve">e reject Appellants’ </w:t>
      </w:r>
      <w:r w:rsidR="001B71A7">
        <w:rPr>
          <w:szCs w:val="26"/>
        </w:rPr>
        <w:t>suggestion</w:t>
      </w:r>
      <w:r w:rsidR="00C71951">
        <w:rPr>
          <w:szCs w:val="26"/>
        </w:rPr>
        <w:t xml:space="preserve"> that </w:t>
      </w:r>
      <w:r w:rsidR="00C71951">
        <w:rPr>
          <w:i/>
          <w:iCs/>
          <w:szCs w:val="26"/>
        </w:rPr>
        <w:t>Calfarm</w:t>
      </w:r>
      <w:r w:rsidR="00C71951">
        <w:t xml:space="preserve"> and </w:t>
      </w:r>
      <w:r w:rsidR="00C71951">
        <w:rPr>
          <w:i/>
          <w:iCs/>
        </w:rPr>
        <w:t>20th Century</w:t>
      </w:r>
      <w:r w:rsidR="00C71951">
        <w:t xml:space="preserve"> support</w:t>
      </w:r>
      <w:r w:rsidR="00C71951">
        <w:rPr>
          <w:szCs w:val="26"/>
        </w:rPr>
        <w:t xml:space="preserve"> the use of refunds generally under Proposition 103.</w:t>
      </w:r>
      <w:r w:rsidR="001B71A7">
        <w:rPr>
          <w:szCs w:val="26"/>
        </w:rPr>
        <w:t xml:space="preserve"> </w:t>
      </w:r>
      <w:r w:rsidR="00C71951">
        <w:rPr>
          <w:szCs w:val="26"/>
        </w:rPr>
        <w:t xml:space="preserve"> </w:t>
      </w:r>
      <w:r w:rsidR="00A53D19">
        <w:rPr>
          <w:szCs w:val="26"/>
        </w:rPr>
        <w:t xml:space="preserve">Those decisions concerned the </w:t>
      </w:r>
      <w:r w:rsidR="008D7DC5">
        <w:rPr>
          <w:szCs w:val="26"/>
        </w:rPr>
        <w:t>substantive rate</w:t>
      </w:r>
      <w:r w:rsidR="00C71951">
        <w:rPr>
          <w:szCs w:val="26"/>
        </w:rPr>
        <w:t xml:space="preserve"> rollback, and</w:t>
      </w:r>
      <w:r w:rsidR="00A53D19">
        <w:rPr>
          <w:szCs w:val="26"/>
        </w:rPr>
        <w:t xml:space="preserve"> </w:t>
      </w:r>
      <w:r w:rsidR="008D7DC5">
        <w:rPr>
          <w:szCs w:val="26"/>
        </w:rPr>
        <w:t xml:space="preserve">the </w:t>
      </w:r>
      <w:r w:rsidR="00C71951">
        <w:rPr>
          <w:szCs w:val="26"/>
        </w:rPr>
        <w:t>rollback regulations, respectively</w:t>
      </w:r>
      <w:r w:rsidR="00A53D19">
        <w:rPr>
          <w:szCs w:val="26"/>
        </w:rPr>
        <w:t>, and the Court took care to distinguish the prior approval period as a separate regime</w:t>
      </w:r>
      <w:r w:rsidR="00C71951">
        <w:rPr>
          <w:szCs w:val="26"/>
        </w:rPr>
        <w:t xml:space="preserve">.  </w:t>
      </w:r>
      <w:r w:rsidR="00C71951" w:rsidRPr="00C71951">
        <w:rPr>
          <w:szCs w:val="26"/>
        </w:rPr>
        <w:t>(</w:t>
      </w:r>
      <w:r w:rsidR="00C71951" w:rsidRPr="00C71951">
        <w:rPr>
          <w:i/>
          <w:iCs/>
          <w:szCs w:val="26"/>
        </w:rPr>
        <w:t>Calfarm</w:t>
      </w:r>
      <w:r w:rsidR="00C71951">
        <w:rPr>
          <w:szCs w:val="26"/>
        </w:rPr>
        <w:t xml:space="preserve">, </w:t>
      </w:r>
      <w:r w:rsidR="00C71951" w:rsidRPr="002120E0">
        <w:rPr>
          <w:i/>
          <w:iCs/>
          <w:szCs w:val="26"/>
        </w:rPr>
        <w:t>supra</w:t>
      </w:r>
      <w:r w:rsidR="00C71951" w:rsidRPr="002120E0">
        <w:rPr>
          <w:szCs w:val="26"/>
        </w:rPr>
        <w:t xml:space="preserve">, </w:t>
      </w:r>
      <w:r w:rsidR="002120E0" w:rsidRPr="002120E0">
        <w:rPr>
          <w:szCs w:val="26"/>
        </w:rPr>
        <w:t>48 Cal.3d</w:t>
      </w:r>
      <w:r w:rsidR="00C71951" w:rsidRPr="002120E0">
        <w:rPr>
          <w:szCs w:val="26"/>
        </w:rPr>
        <w:t xml:space="preserve"> at </w:t>
      </w:r>
      <w:r w:rsidR="00835766">
        <w:rPr>
          <w:szCs w:val="26"/>
        </w:rPr>
        <w:t xml:space="preserve">p. </w:t>
      </w:r>
      <w:r w:rsidR="002120E0" w:rsidRPr="002120E0">
        <w:rPr>
          <w:szCs w:val="26"/>
        </w:rPr>
        <w:t>825</w:t>
      </w:r>
      <w:r w:rsidR="001E1495">
        <w:rPr>
          <w:szCs w:val="26"/>
        </w:rPr>
        <w:t xml:space="preserve"> and</w:t>
      </w:r>
      <w:r w:rsidR="00C36F97">
        <w:rPr>
          <w:szCs w:val="26"/>
        </w:rPr>
        <w:t xml:space="preserve"> fn.</w:t>
      </w:r>
      <w:r w:rsidR="00BD5B90">
        <w:rPr>
          <w:szCs w:val="26"/>
        </w:rPr>
        <w:t xml:space="preserve"> </w:t>
      </w:r>
      <w:r w:rsidR="00C36F97">
        <w:rPr>
          <w:szCs w:val="26"/>
        </w:rPr>
        <w:t>17</w:t>
      </w:r>
      <w:r w:rsidR="00C71951" w:rsidRPr="002120E0">
        <w:rPr>
          <w:szCs w:val="26"/>
        </w:rPr>
        <w:t xml:space="preserve">; </w:t>
      </w:r>
      <w:r w:rsidR="00C71951" w:rsidRPr="002120E0">
        <w:rPr>
          <w:i/>
          <w:iCs/>
          <w:szCs w:val="26"/>
        </w:rPr>
        <w:t>20th Century</w:t>
      </w:r>
      <w:r w:rsidR="00C71951" w:rsidRPr="002120E0">
        <w:rPr>
          <w:szCs w:val="26"/>
        </w:rPr>
        <w:t>,</w:t>
      </w:r>
      <w:r w:rsidR="00C71951" w:rsidRPr="00C71951">
        <w:rPr>
          <w:szCs w:val="26"/>
        </w:rPr>
        <w:t xml:space="preserve"> </w:t>
      </w:r>
      <w:r w:rsidR="00C71951" w:rsidRPr="00C71951">
        <w:rPr>
          <w:i/>
          <w:iCs/>
          <w:szCs w:val="26"/>
        </w:rPr>
        <w:t>supra</w:t>
      </w:r>
      <w:r w:rsidR="00C71951" w:rsidRPr="00C71951">
        <w:rPr>
          <w:szCs w:val="26"/>
        </w:rPr>
        <w:t>, 8 Cal.4th at pp.</w:t>
      </w:r>
      <w:r w:rsidR="002120E0">
        <w:rPr>
          <w:szCs w:val="26"/>
        </w:rPr>
        <w:t xml:space="preserve"> </w:t>
      </w:r>
      <w:r w:rsidR="006C7DBC">
        <w:rPr>
          <w:szCs w:val="26"/>
        </w:rPr>
        <w:t>242</w:t>
      </w:r>
      <w:r w:rsidR="00C36F97">
        <w:rPr>
          <w:szCs w:val="26"/>
        </w:rPr>
        <w:t>-243, 288-289</w:t>
      </w:r>
      <w:r w:rsidR="00422C23">
        <w:rPr>
          <w:szCs w:val="26"/>
        </w:rPr>
        <w:t>.)</w:t>
      </w:r>
      <w:r w:rsidR="001B71A7">
        <w:rPr>
          <w:szCs w:val="26"/>
        </w:rPr>
        <w:t xml:space="preserve">  </w:t>
      </w:r>
      <w:r w:rsidR="002F5113" w:rsidRPr="002F5113">
        <w:rPr>
          <w:i/>
          <w:iCs/>
          <w:szCs w:val="26"/>
        </w:rPr>
        <w:t>Mercury</w:t>
      </w:r>
      <w:r w:rsidR="002F5113">
        <w:rPr>
          <w:szCs w:val="26"/>
        </w:rPr>
        <w:t xml:space="preserve">, cited by </w:t>
      </w:r>
      <w:r w:rsidR="002F5113">
        <w:rPr>
          <w:szCs w:val="26"/>
        </w:rPr>
        <w:lastRenderedPageBreak/>
        <w:t>Appellants, did not involve refunds and</w:t>
      </w:r>
      <w:r w:rsidR="00A53D19">
        <w:rPr>
          <w:szCs w:val="26"/>
        </w:rPr>
        <w:t xml:space="preserve"> is otherwise distinguishable.  </w:t>
      </w:r>
      <w:r w:rsidR="002F5113">
        <w:rPr>
          <w:szCs w:val="26"/>
        </w:rPr>
        <w:t>(</w:t>
      </w:r>
      <w:r w:rsidR="002F5113" w:rsidRPr="002F5113">
        <w:rPr>
          <w:i/>
          <w:iCs/>
          <w:szCs w:val="26"/>
        </w:rPr>
        <w:t>Mercury</w:t>
      </w:r>
      <w:r w:rsidR="002F5113" w:rsidRPr="002F5113">
        <w:rPr>
          <w:szCs w:val="26"/>
        </w:rPr>
        <w:t xml:space="preserve">, </w:t>
      </w:r>
      <w:r w:rsidR="002F5113" w:rsidRPr="002F5113">
        <w:rPr>
          <w:i/>
          <w:iCs/>
          <w:szCs w:val="26"/>
        </w:rPr>
        <w:t>supra</w:t>
      </w:r>
      <w:r w:rsidR="002F5113" w:rsidRPr="002F5113">
        <w:rPr>
          <w:szCs w:val="26"/>
        </w:rPr>
        <w:t>, 8 Cal.App.5th at p. 589</w:t>
      </w:r>
      <w:r w:rsidR="002F5113">
        <w:rPr>
          <w:szCs w:val="26"/>
        </w:rPr>
        <w:t xml:space="preserve"> [rejecting attempt to limit </w:t>
      </w:r>
      <w:r w:rsidR="002F5113">
        <w:rPr>
          <w:i/>
          <w:iCs/>
          <w:szCs w:val="26"/>
        </w:rPr>
        <w:t>20th Century</w:t>
      </w:r>
      <w:r w:rsidR="002F5113">
        <w:rPr>
          <w:szCs w:val="26"/>
        </w:rPr>
        <w:t>’s “deep financial hardship” test for confiscation to rollback period, noting “[n]othing in the Supreme Court’s extended discussion . . . suggests that it would apply only to a retrospective price control rather than a prospective price control”].)</w:t>
      </w:r>
      <w:r w:rsidR="008D7DC5">
        <w:rPr>
          <w:szCs w:val="26"/>
        </w:rPr>
        <w:t xml:space="preserve">  </w:t>
      </w:r>
    </w:p>
    <w:p w14:paraId="23CC4802" w14:textId="77777777" w:rsidR="00BD0B23" w:rsidRPr="00BD0B23" w:rsidRDefault="00BD0B23" w:rsidP="00DB5124">
      <w:pPr>
        <w:pStyle w:val="Heading3"/>
        <w:spacing w:line="360" w:lineRule="auto"/>
        <w:rPr>
          <w:i/>
          <w:iCs/>
        </w:rPr>
      </w:pPr>
      <w:r w:rsidRPr="00E207D2">
        <w:t>c.</w:t>
      </w:r>
      <w:r w:rsidRPr="00E207D2">
        <w:tab/>
      </w:r>
      <w:r w:rsidRPr="00E207D2">
        <w:rPr>
          <w:i/>
          <w:iCs/>
        </w:rPr>
        <w:t>Case Law from Other Contexts</w:t>
      </w:r>
    </w:p>
    <w:p w14:paraId="6EF33876" w14:textId="584EA75E" w:rsidR="00C45AA0" w:rsidRDefault="00B55CFD" w:rsidP="00DB5124">
      <w:pPr>
        <w:spacing w:line="360" w:lineRule="auto"/>
        <w:rPr>
          <w:szCs w:val="26"/>
        </w:rPr>
      </w:pPr>
      <w:r>
        <w:rPr>
          <w:szCs w:val="26"/>
        </w:rPr>
        <w:tab/>
      </w:r>
      <w:r w:rsidR="00E207D2">
        <w:rPr>
          <w:szCs w:val="26"/>
        </w:rPr>
        <w:t>W</w:t>
      </w:r>
      <w:r>
        <w:rPr>
          <w:szCs w:val="26"/>
        </w:rPr>
        <w:t xml:space="preserve">e agree with SFG that </w:t>
      </w:r>
      <w:r w:rsidR="003D2BA7">
        <w:rPr>
          <w:szCs w:val="26"/>
        </w:rPr>
        <w:t xml:space="preserve">authority </w:t>
      </w:r>
      <w:r>
        <w:rPr>
          <w:szCs w:val="26"/>
        </w:rPr>
        <w:t>from other contexts support</w:t>
      </w:r>
      <w:r w:rsidR="00C22428">
        <w:rPr>
          <w:szCs w:val="26"/>
        </w:rPr>
        <w:t>s</w:t>
      </w:r>
      <w:r>
        <w:rPr>
          <w:szCs w:val="26"/>
        </w:rPr>
        <w:t xml:space="preserve"> the conclusion that the </w:t>
      </w:r>
      <w:r w:rsidR="00E207D2">
        <w:rPr>
          <w:szCs w:val="26"/>
        </w:rPr>
        <w:t>retroactive rate and refund</w:t>
      </w:r>
      <w:r>
        <w:rPr>
          <w:szCs w:val="26"/>
        </w:rPr>
        <w:t xml:space="preserve"> </w:t>
      </w:r>
      <w:r w:rsidR="00E207D2">
        <w:rPr>
          <w:szCs w:val="26"/>
        </w:rPr>
        <w:t>were</w:t>
      </w:r>
      <w:r>
        <w:rPr>
          <w:szCs w:val="26"/>
        </w:rPr>
        <w:t xml:space="preserve"> impermissib</w:t>
      </w:r>
      <w:r w:rsidR="006204D3">
        <w:rPr>
          <w:szCs w:val="26"/>
        </w:rPr>
        <w:t>le</w:t>
      </w:r>
      <w:r>
        <w:rPr>
          <w:szCs w:val="26"/>
        </w:rPr>
        <w:t>.</w:t>
      </w:r>
      <w:r w:rsidR="003D2BA7">
        <w:rPr>
          <w:szCs w:val="26"/>
        </w:rPr>
        <w:t xml:space="preserve">  For example, i</w:t>
      </w:r>
      <w:r w:rsidR="009E68FA">
        <w:rPr>
          <w:szCs w:val="26"/>
        </w:rPr>
        <w:t xml:space="preserve">n </w:t>
      </w:r>
      <w:r w:rsidR="009E68FA" w:rsidRPr="006B20DF">
        <w:rPr>
          <w:i/>
          <w:iCs/>
          <w:szCs w:val="26"/>
        </w:rPr>
        <w:t>Bowen v. Georgetown U</w:t>
      </w:r>
      <w:r w:rsidR="009E68FA">
        <w:rPr>
          <w:i/>
          <w:iCs/>
          <w:szCs w:val="26"/>
        </w:rPr>
        <w:t>niversity</w:t>
      </w:r>
      <w:r w:rsidR="009E68FA" w:rsidRPr="006B20DF">
        <w:rPr>
          <w:i/>
          <w:iCs/>
          <w:szCs w:val="26"/>
        </w:rPr>
        <w:t xml:space="preserve"> Hospital</w:t>
      </w:r>
      <w:r w:rsidR="009E68FA" w:rsidRPr="006B20DF">
        <w:rPr>
          <w:szCs w:val="26"/>
        </w:rPr>
        <w:t xml:space="preserve"> (1988) 488 U.S. 204</w:t>
      </w:r>
      <w:r w:rsidR="00E337A7">
        <w:rPr>
          <w:szCs w:val="26"/>
        </w:rPr>
        <w:t xml:space="preserve"> (</w:t>
      </w:r>
      <w:r w:rsidR="00E337A7" w:rsidRPr="002A1828">
        <w:rPr>
          <w:i/>
          <w:iCs/>
          <w:szCs w:val="26"/>
        </w:rPr>
        <w:t>Bowen</w:t>
      </w:r>
      <w:r w:rsidR="00E337A7">
        <w:rPr>
          <w:szCs w:val="26"/>
        </w:rPr>
        <w:t>)</w:t>
      </w:r>
      <w:r w:rsidR="009E68FA">
        <w:rPr>
          <w:szCs w:val="26"/>
        </w:rPr>
        <w:t xml:space="preserve">, </w:t>
      </w:r>
      <w:r w:rsidR="003D2BA7">
        <w:rPr>
          <w:szCs w:val="26"/>
        </w:rPr>
        <w:t xml:space="preserve">the United States Supreme Court </w:t>
      </w:r>
      <w:r w:rsidR="009E68FA">
        <w:rPr>
          <w:szCs w:val="26"/>
        </w:rPr>
        <w:t>h</w:t>
      </w:r>
      <w:r w:rsidR="003D2BA7">
        <w:rPr>
          <w:szCs w:val="26"/>
        </w:rPr>
        <w:t>eld</w:t>
      </w:r>
      <w:r w:rsidR="009E68FA" w:rsidRPr="006B20DF">
        <w:rPr>
          <w:szCs w:val="26"/>
        </w:rPr>
        <w:t xml:space="preserve"> the Secretary of Health and Human Services had no authority to issue retroactive</w:t>
      </w:r>
      <w:r w:rsidR="003D2BA7">
        <w:rPr>
          <w:szCs w:val="26"/>
        </w:rPr>
        <w:t xml:space="preserve"> Medicare</w:t>
      </w:r>
      <w:r w:rsidR="009E68FA" w:rsidRPr="006B20DF">
        <w:rPr>
          <w:szCs w:val="26"/>
        </w:rPr>
        <w:t xml:space="preserve"> </w:t>
      </w:r>
      <w:r w:rsidR="000240EB">
        <w:rPr>
          <w:szCs w:val="26"/>
        </w:rPr>
        <w:t>cost-limit</w:t>
      </w:r>
      <w:r w:rsidR="009E68FA" w:rsidRPr="006B20DF">
        <w:rPr>
          <w:szCs w:val="26"/>
        </w:rPr>
        <w:t xml:space="preserve"> rules </w:t>
      </w:r>
      <w:r w:rsidR="009E68FA">
        <w:rPr>
          <w:szCs w:val="26"/>
        </w:rPr>
        <w:t xml:space="preserve">that required </w:t>
      </w:r>
      <w:r w:rsidR="006204D3">
        <w:rPr>
          <w:szCs w:val="26"/>
        </w:rPr>
        <w:t>providers to return sums</w:t>
      </w:r>
      <w:r w:rsidR="009E68FA">
        <w:rPr>
          <w:szCs w:val="26"/>
        </w:rPr>
        <w:t>.  (</w:t>
      </w:r>
      <w:r w:rsidR="009E68FA">
        <w:rPr>
          <w:i/>
          <w:iCs/>
          <w:szCs w:val="26"/>
        </w:rPr>
        <w:t>Id.</w:t>
      </w:r>
      <w:r w:rsidR="009E68FA">
        <w:rPr>
          <w:szCs w:val="26"/>
        </w:rPr>
        <w:t xml:space="preserve"> at pp. 208-216.)</w:t>
      </w:r>
      <w:r w:rsidR="006204D3">
        <w:rPr>
          <w:szCs w:val="26"/>
        </w:rPr>
        <w:t xml:space="preserve">  </w:t>
      </w:r>
      <w:r w:rsidR="009E68FA">
        <w:rPr>
          <w:szCs w:val="26"/>
        </w:rPr>
        <w:t xml:space="preserve">The Court </w:t>
      </w:r>
      <w:r w:rsidR="00B5238E">
        <w:rPr>
          <w:szCs w:val="26"/>
        </w:rPr>
        <w:t>stated</w:t>
      </w:r>
      <w:r w:rsidR="009E68FA">
        <w:rPr>
          <w:szCs w:val="26"/>
        </w:rPr>
        <w:t xml:space="preserve"> that </w:t>
      </w:r>
      <w:r w:rsidR="009E68FA" w:rsidRPr="006B20DF">
        <w:rPr>
          <w:szCs w:val="26"/>
        </w:rPr>
        <w:t xml:space="preserve">“[e]ven where </w:t>
      </w:r>
      <w:r w:rsidR="00FE125A">
        <w:rPr>
          <w:szCs w:val="26"/>
        </w:rPr>
        <w:t xml:space="preserve">some </w:t>
      </w:r>
      <w:r w:rsidR="009E68FA" w:rsidRPr="006B20DF">
        <w:rPr>
          <w:szCs w:val="26"/>
        </w:rPr>
        <w:t>substantial justification for retroactive rulemaking is presented, courts should be reluctant to find such authority absent an express statutory grant.</w:t>
      </w:r>
      <w:r w:rsidR="009E68FA">
        <w:rPr>
          <w:szCs w:val="26"/>
        </w:rPr>
        <w:t>”</w:t>
      </w:r>
      <w:r w:rsidR="009E68FA" w:rsidRPr="006B20DF">
        <w:rPr>
          <w:szCs w:val="26"/>
        </w:rPr>
        <w:t xml:space="preserve">  (</w:t>
      </w:r>
      <w:r w:rsidR="009E68FA">
        <w:rPr>
          <w:i/>
          <w:iCs/>
          <w:szCs w:val="26"/>
        </w:rPr>
        <w:t>I</w:t>
      </w:r>
      <w:r w:rsidR="009E68FA" w:rsidRPr="006B20DF">
        <w:rPr>
          <w:i/>
          <w:iCs/>
          <w:szCs w:val="26"/>
        </w:rPr>
        <w:t>d.</w:t>
      </w:r>
      <w:r w:rsidR="009E68FA" w:rsidRPr="006B20DF">
        <w:rPr>
          <w:szCs w:val="26"/>
        </w:rPr>
        <w:t xml:space="preserve"> at pp. 208-209</w:t>
      </w:r>
      <w:r w:rsidR="006204D3">
        <w:rPr>
          <w:szCs w:val="26"/>
        </w:rPr>
        <w:t>.)</w:t>
      </w:r>
      <w:r w:rsidR="00B5238E">
        <w:rPr>
          <w:szCs w:val="26"/>
        </w:rPr>
        <w:t xml:space="preserve">  </w:t>
      </w:r>
      <w:r w:rsidR="003D2BA7">
        <w:rPr>
          <w:szCs w:val="26"/>
        </w:rPr>
        <w:t>A</w:t>
      </w:r>
      <w:r w:rsidR="006204D3">
        <w:rPr>
          <w:szCs w:val="26"/>
        </w:rPr>
        <w:t xml:space="preserve"> rule against retroactive ratemaking in </w:t>
      </w:r>
      <w:r w:rsidR="002558E2">
        <w:rPr>
          <w:szCs w:val="26"/>
        </w:rPr>
        <w:t>California’s</w:t>
      </w:r>
      <w:r w:rsidR="006204D3">
        <w:rPr>
          <w:szCs w:val="26"/>
        </w:rPr>
        <w:t xml:space="preserve"> </w:t>
      </w:r>
      <w:r w:rsidR="006204D3" w:rsidRPr="006B20DF">
        <w:rPr>
          <w:szCs w:val="26"/>
        </w:rPr>
        <w:t>public utility setting</w:t>
      </w:r>
      <w:r w:rsidR="00B5238E">
        <w:rPr>
          <w:szCs w:val="26"/>
        </w:rPr>
        <w:t xml:space="preserve"> similarly</w:t>
      </w:r>
      <w:r w:rsidR="003D2BA7">
        <w:rPr>
          <w:szCs w:val="26"/>
        </w:rPr>
        <w:t xml:space="preserve"> </w:t>
      </w:r>
      <w:r w:rsidR="00C45AA0" w:rsidRPr="006B20DF">
        <w:rPr>
          <w:szCs w:val="26"/>
        </w:rPr>
        <w:t>“prevents [a regulator] from forcing a [regulated entity] to disgorge the proceeds of rates that have been finally approved and collected.”  (</w:t>
      </w:r>
      <w:r w:rsidR="006C7DBC" w:rsidRPr="00C36F97">
        <w:rPr>
          <w:i/>
          <w:iCs/>
          <w:szCs w:val="26"/>
        </w:rPr>
        <w:t>The</w:t>
      </w:r>
      <w:r w:rsidR="006C7DBC">
        <w:rPr>
          <w:szCs w:val="26"/>
        </w:rPr>
        <w:t xml:space="preserve"> </w:t>
      </w:r>
      <w:r w:rsidR="00C45AA0" w:rsidRPr="006B20DF">
        <w:rPr>
          <w:i/>
          <w:iCs/>
          <w:szCs w:val="26"/>
        </w:rPr>
        <w:t xml:space="preserve">Ponderosa Telephone Co. v. </w:t>
      </w:r>
      <w:r w:rsidR="006C7DBC">
        <w:rPr>
          <w:i/>
          <w:iCs/>
          <w:szCs w:val="26"/>
        </w:rPr>
        <w:t>Public Utilities Com.</w:t>
      </w:r>
      <w:r w:rsidR="00C45AA0" w:rsidRPr="006B20DF">
        <w:rPr>
          <w:szCs w:val="26"/>
        </w:rPr>
        <w:t xml:space="preserve"> (2011) 197 Cal.App.4th 48, 62</w:t>
      </w:r>
      <w:r w:rsidR="006204D3">
        <w:rPr>
          <w:szCs w:val="26"/>
        </w:rPr>
        <w:t>; se</w:t>
      </w:r>
      <w:r w:rsidR="006204D3" w:rsidRPr="006B20DF">
        <w:rPr>
          <w:szCs w:val="26"/>
        </w:rPr>
        <w:t>e</w:t>
      </w:r>
      <w:r w:rsidR="006204D3">
        <w:rPr>
          <w:szCs w:val="26"/>
        </w:rPr>
        <w:t>, e.g.,</w:t>
      </w:r>
      <w:r w:rsidR="006204D3" w:rsidRPr="006B20DF">
        <w:rPr>
          <w:szCs w:val="26"/>
        </w:rPr>
        <w:t xml:space="preserve"> </w:t>
      </w:r>
      <w:r w:rsidR="006204D3" w:rsidRPr="006B20DF">
        <w:rPr>
          <w:i/>
          <w:iCs/>
          <w:szCs w:val="26"/>
        </w:rPr>
        <w:t>Pacific Tel</w:t>
      </w:r>
      <w:r w:rsidR="006C7DBC">
        <w:rPr>
          <w:i/>
          <w:iCs/>
          <w:szCs w:val="26"/>
        </w:rPr>
        <w:t>.</w:t>
      </w:r>
      <w:r w:rsidR="006204D3" w:rsidRPr="006B20DF">
        <w:rPr>
          <w:i/>
          <w:iCs/>
          <w:szCs w:val="26"/>
        </w:rPr>
        <w:t xml:space="preserve"> &amp; Tel</w:t>
      </w:r>
      <w:r w:rsidR="006C7DBC">
        <w:rPr>
          <w:i/>
          <w:iCs/>
          <w:szCs w:val="26"/>
        </w:rPr>
        <w:t>.</w:t>
      </w:r>
      <w:r w:rsidR="006204D3" w:rsidRPr="006B20DF">
        <w:rPr>
          <w:i/>
          <w:iCs/>
          <w:szCs w:val="26"/>
        </w:rPr>
        <w:t xml:space="preserve"> Co. v. </w:t>
      </w:r>
      <w:r w:rsidR="006C7DBC">
        <w:rPr>
          <w:i/>
          <w:iCs/>
          <w:szCs w:val="26"/>
        </w:rPr>
        <w:t>Public Utilities Com.</w:t>
      </w:r>
      <w:r w:rsidR="006204D3" w:rsidRPr="006B20DF">
        <w:rPr>
          <w:szCs w:val="26"/>
        </w:rPr>
        <w:t xml:space="preserve"> (1965) 62 Cal.2d 634, 649-650 [</w:t>
      </w:r>
      <w:r w:rsidR="00AA6E11">
        <w:rPr>
          <w:szCs w:val="26"/>
        </w:rPr>
        <w:t xml:space="preserve">accord; </w:t>
      </w:r>
      <w:r w:rsidR="006204D3" w:rsidRPr="006B20DF">
        <w:rPr>
          <w:szCs w:val="26"/>
        </w:rPr>
        <w:t>striking</w:t>
      </w:r>
      <w:r w:rsidR="006204D3">
        <w:rPr>
          <w:szCs w:val="26"/>
        </w:rPr>
        <w:t xml:space="preserve"> refund order issued at </w:t>
      </w:r>
      <w:r w:rsidR="001D0741">
        <w:rPr>
          <w:szCs w:val="26"/>
        </w:rPr>
        <w:t>end</w:t>
      </w:r>
      <w:r w:rsidR="006204D3">
        <w:rPr>
          <w:szCs w:val="26"/>
        </w:rPr>
        <w:t xml:space="preserve"> of rate investigation</w:t>
      </w:r>
      <w:r w:rsidR="00AA6E11">
        <w:rPr>
          <w:szCs w:val="26"/>
        </w:rPr>
        <w:t>, for period of investigation]</w:t>
      </w:r>
      <w:r w:rsidR="006204D3">
        <w:rPr>
          <w:szCs w:val="26"/>
        </w:rPr>
        <w:t>.)  We recognize</w:t>
      </w:r>
      <w:r w:rsidR="00B5238E">
        <w:rPr>
          <w:szCs w:val="26"/>
        </w:rPr>
        <w:t xml:space="preserve"> these are different </w:t>
      </w:r>
      <w:r w:rsidR="006204D3">
        <w:rPr>
          <w:szCs w:val="26"/>
        </w:rPr>
        <w:t xml:space="preserve">statutory and regulatory schemes, but </w:t>
      </w:r>
      <w:r w:rsidR="002E3F78">
        <w:rPr>
          <w:szCs w:val="26"/>
        </w:rPr>
        <w:t>other statutes</w:t>
      </w:r>
      <w:r w:rsidR="00B5238E">
        <w:rPr>
          <w:szCs w:val="26"/>
        </w:rPr>
        <w:t xml:space="preserve"> </w:t>
      </w:r>
      <w:r w:rsidR="002E3F78">
        <w:rPr>
          <w:szCs w:val="26"/>
        </w:rPr>
        <w:t xml:space="preserve">can </w:t>
      </w:r>
      <w:r w:rsidR="00B5238E">
        <w:rPr>
          <w:szCs w:val="26"/>
        </w:rPr>
        <w:t>be instructive</w:t>
      </w:r>
      <w:r w:rsidR="002E3F78">
        <w:rPr>
          <w:szCs w:val="26"/>
        </w:rPr>
        <w:t xml:space="preserve"> and these serve that role here</w:t>
      </w:r>
      <w:r w:rsidR="00B5238E">
        <w:rPr>
          <w:szCs w:val="26"/>
        </w:rPr>
        <w:t xml:space="preserve">. </w:t>
      </w:r>
      <w:r w:rsidR="006204D3">
        <w:rPr>
          <w:szCs w:val="26"/>
        </w:rPr>
        <w:t xml:space="preserve"> (See, e.g., </w:t>
      </w:r>
      <w:r w:rsidR="006204D3" w:rsidRPr="006204D3">
        <w:rPr>
          <w:i/>
          <w:iCs/>
          <w:szCs w:val="26"/>
        </w:rPr>
        <w:t>Calfarm</w:t>
      </w:r>
      <w:r w:rsidR="006204D3" w:rsidRPr="006204D3">
        <w:rPr>
          <w:szCs w:val="26"/>
        </w:rPr>
        <w:t xml:space="preserve">, </w:t>
      </w:r>
      <w:r w:rsidR="006204D3" w:rsidRPr="006204D3">
        <w:rPr>
          <w:i/>
          <w:iCs/>
          <w:szCs w:val="26"/>
        </w:rPr>
        <w:t>supra</w:t>
      </w:r>
      <w:r w:rsidR="006204D3" w:rsidRPr="006204D3">
        <w:rPr>
          <w:szCs w:val="26"/>
        </w:rPr>
        <w:t>, 48 Cal.3d at p. 825, fn.</w:t>
      </w:r>
      <w:r w:rsidR="00187EA5">
        <w:rPr>
          <w:szCs w:val="26"/>
        </w:rPr>
        <w:t> </w:t>
      </w:r>
      <w:r w:rsidR="006204D3" w:rsidRPr="006204D3">
        <w:rPr>
          <w:szCs w:val="26"/>
        </w:rPr>
        <w:t>16</w:t>
      </w:r>
      <w:r w:rsidR="006204D3">
        <w:rPr>
          <w:szCs w:val="26"/>
        </w:rPr>
        <w:t xml:space="preserve"> [</w:t>
      </w:r>
      <w:r w:rsidR="00D25BB4">
        <w:rPr>
          <w:szCs w:val="26"/>
        </w:rPr>
        <w:t>noting “</w:t>
      </w:r>
      <w:r w:rsidR="00D25BB4" w:rsidRPr="00D25BB4">
        <w:rPr>
          <w:szCs w:val="26"/>
        </w:rPr>
        <w:t>analogous area of public utility regulation</w:t>
      </w:r>
      <w:r w:rsidR="006204D3">
        <w:rPr>
          <w:szCs w:val="26"/>
        </w:rPr>
        <w:t>”].)</w:t>
      </w:r>
    </w:p>
    <w:p w14:paraId="03C9E881" w14:textId="00C4F3DD" w:rsidR="002120E0" w:rsidRDefault="00A73BB9" w:rsidP="00DB5124">
      <w:pPr>
        <w:spacing w:line="360" w:lineRule="auto"/>
        <w:rPr>
          <w:szCs w:val="26"/>
        </w:rPr>
      </w:pPr>
      <w:r>
        <w:rPr>
          <w:szCs w:val="26"/>
        </w:rPr>
        <w:lastRenderedPageBreak/>
        <w:tab/>
      </w:r>
      <w:r w:rsidR="00B55CFD">
        <w:rPr>
          <w:szCs w:val="26"/>
        </w:rPr>
        <w:t xml:space="preserve">SFG also directs us to cases addressing the </w:t>
      </w:r>
      <w:r>
        <w:rPr>
          <w:szCs w:val="26"/>
        </w:rPr>
        <w:t xml:space="preserve">exclusivity of </w:t>
      </w:r>
      <w:r w:rsidR="00C45AA0">
        <w:rPr>
          <w:szCs w:val="26"/>
        </w:rPr>
        <w:t xml:space="preserve">California </w:t>
      </w:r>
      <w:r w:rsidR="00835593">
        <w:rPr>
          <w:szCs w:val="26"/>
        </w:rPr>
        <w:t>rate approval</w:t>
      </w:r>
      <w:r>
        <w:rPr>
          <w:szCs w:val="26"/>
        </w:rPr>
        <w:t xml:space="preserve"> proceedings</w:t>
      </w:r>
      <w:r w:rsidR="00B55CFD">
        <w:rPr>
          <w:szCs w:val="26"/>
        </w:rPr>
        <w:t xml:space="preserve">, in which </w:t>
      </w:r>
      <w:r w:rsidR="00835593">
        <w:rPr>
          <w:szCs w:val="26"/>
        </w:rPr>
        <w:t>the</w:t>
      </w:r>
      <w:r w:rsidR="00DE637F">
        <w:rPr>
          <w:szCs w:val="26"/>
        </w:rPr>
        <w:t xml:space="preserve"> court</w:t>
      </w:r>
      <w:r w:rsidR="00835593">
        <w:rPr>
          <w:szCs w:val="26"/>
        </w:rPr>
        <w:t>s</w:t>
      </w:r>
      <w:r w:rsidR="00DE637F">
        <w:rPr>
          <w:szCs w:val="26"/>
        </w:rPr>
        <w:t xml:space="preserve"> </w:t>
      </w:r>
      <w:r w:rsidR="00B55CFD">
        <w:rPr>
          <w:szCs w:val="26"/>
        </w:rPr>
        <w:t>reasoned</w:t>
      </w:r>
      <w:r w:rsidR="00835593">
        <w:rPr>
          <w:szCs w:val="26"/>
        </w:rPr>
        <w:t>,</w:t>
      </w:r>
      <w:r w:rsidR="00B55CFD">
        <w:rPr>
          <w:szCs w:val="26"/>
        </w:rPr>
        <w:t xml:space="preserve"> in part</w:t>
      </w:r>
      <w:r w:rsidR="00835593">
        <w:rPr>
          <w:szCs w:val="26"/>
        </w:rPr>
        <w:t>,</w:t>
      </w:r>
      <w:r w:rsidR="00B55CFD">
        <w:rPr>
          <w:szCs w:val="26"/>
        </w:rPr>
        <w:t xml:space="preserve"> that</w:t>
      </w:r>
      <w:r w:rsidR="00835593">
        <w:rPr>
          <w:szCs w:val="26"/>
        </w:rPr>
        <w:t xml:space="preserve"> </w:t>
      </w:r>
      <w:r w:rsidR="00B55CFD" w:rsidRPr="006B20DF">
        <w:rPr>
          <w:szCs w:val="26"/>
        </w:rPr>
        <w:t>insurer</w:t>
      </w:r>
      <w:r w:rsidR="00835593">
        <w:rPr>
          <w:szCs w:val="26"/>
        </w:rPr>
        <w:t xml:space="preserve">s are </w:t>
      </w:r>
      <w:r w:rsidR="00B55CFD" w:rsidRPr="006B20DF">
        <w:rPr>
          <w:i/>
          <w:iCs/>
          <w:szCs w:val="26"/>
        </w:rPr>
        <w:t>required</w:t>
      </w:r>
      <w:r w:rsidR="00B55CFD" w:rsidRPr="006B20DF">
        <w:rPr>
          <w:szCs w:val="26"/>
        </w:rPr>
        <w:t xml:space="preserve"> to charge </w:t>
      </w:r>
      <w:r w:rsidR="00DE637F">
        <w:rPr>
          <w:szCs w:val="26"/>
        </w:rPr>
        <w:t>approved</w:t>
      </w:r>
      <w:r w:rsidR="00B55CFD" w:rsidRPr="006B20DF">
        <w:rPr>
          <w:szCs w:val="26"/>
        </w:rPr>
        <w:t xml:space="preserve"> rate</w:t>
      </w:r>
      <w:r w:rsidR="00835593">
        <w:rPr>
          <w:szCs w:val="26"/>
        </w:rPr>
        <w:t>s</w:t>
      </w:r>
      <w:r w:rsidR="00DE637F">
        <w:rPr>
          <w:szCs w:val="26"/>
        </w:rPr>
        <w:t xml:space="preserve">.  (See </w:t>
      </w:r>
      <w:r w:rsidR="00DE637F" w:rsidRPr="006B20DF">
        <w:rPr>
          <w:i/>
          <w:iCs/>
          <w:szCs w:val="26"/>
        </w:rPr>
        <w:t>Walker v. Allstate Indem. Co.</w:t>
      </w:r>
      <w:r w:rsidR="00DE637F" w:rsidRPr="006B20DF">
        <w:rPr>
          <w:szCs w:val="26"/>
        </w:rPr>
        <w:t xml:space="preserve"> (2000) 77 Cal.App.4th 750</w:t>
      </w:r>
      <w:r>
        <w:rPr>
          <w:szCs w:val="26"/>
        </w:rPr>
        <w:t xml:space="preserve">, </w:t>
      </w:r>
      <w:r w:rsidRPr="006B20DF">
        <w:rPr>
          <w:szCs w:val="26"/>
        </w:rPr>
        <w:t xml:space="preserve">753 [“Once the commissioner’s decision is final, an insurer must charge only the approved rate”]; </w:t>
      </w:r>
      <w:r w:rsidR="00DE637F" w:rsidRPr="006B20DF">
        <w:rPr>
          <w:i/>
          <w:iCs/>
          <w:szCs w:val="26"/>
        </w:rPr>
        <w:t>MacKay v. Superior Court</w:t>
      </w:r>
      <w:r w:rsidR="00DE637F" w:rsidRPr="006B20DF">
        <w:rPr>
          <w:szCs w:val="26"/>
        </w:rPr>
        <w:t xml:space="preserve"> (2010) 188 Cal.App.4th 1427, 1431</w:t>
      </w:r>
      <w:r>
        <w:rPr>
          <w:szCs w:val="26"/>
        </w:rPr>
        <w:t xml:space="preserve"> [</w:t>
      </w:r>
      <w:r w:rsidRPr="006B20DF">
        <w:rPr>
          <w:szCs w:val="26"/>
        </w:rPr>
        <w:t xml:space="preserve">casualty insurer “cannot charge a rate unless the rate is part of a rate plan which has been approved in advance”]; </w:t>
      </w:r>
      <w:r w:rsidR="0060492C">
        <w:rPr>
          <w:i/>
          <w:iCs/>
          <w:szCs w:val="26"/>
        </w:rPr>
        <w:t>MacKay</w:t>
      </w:r>
      <w:r w:rsidR="0060492C" w:rsidRPr="00446283">
        <w:rPr>
          <w:szCs w:val="26"/>
        </w:rPr>
        <w:t>,</w:t>
      </w:r>
      <w:r w:rsidRPr="006B20DF">
        <w:rPr>
          <w:szCs w:val="26"/>
        </w:rPr>
        <w:t xml:space="preserve"> at p. 1435</w:t>
      </w:r>
      <w:r w:rsidR="008009E0">
        <w:rPr>
          <w:szCs w:val="26"/>
        </w:rPr>
        <w:t>,</w:t>
      </w:r>
      <w:r w:rsidRPr="006B20DF">
        <w:rPr>
          <w:szCs w:val="26"/>
        </w:rPr>
        <w:t xml:space="preserve"> fn. 6 [“[a]n approved rate has the imprimatur of the </w:t>
      </w:r>
      <w:r w:rsidR="006032E0">
        <w:rPr>
          <w:szCs w:val="26"/>
        </w:rPr>
        <w:t>[Department]</w:t>
      </w:r>
      <w:r w:rsidRPr="006B20DF">
        <w:rPr>
          <w:szCs w:val="26"/>
        </w:rPr>
        <w:t xml:space="preserve">; it has been approved as compliant with the law, to the best of the </w:t>
      </w:r>
      <w:r w:rsidR="006032E0">
        <w:rPr>
          <w:szCs w:val="26"/>
        </w:rPr>
        <w:t>[Department]’</w:t>
      </w:r>
      <w:r w:rsidRPr="006B20DF">
        <w:rPr>
          <w:szCs w:val="26"/>
        </w:rPr>
        <w:t>s determination.”].)</w:t>
      </w:r>
      <w:r>
        <w:rPr>
          <w:szCs w:val="26"/>
        </w:rPr>
        <w:t xml:space="preserve">  </w:t>
      </w:r>
      <w:r w:rsidR="007E7760">
        <w:rPr>
          <w:szCs w:val="26"/>
        </w:rPr>
        <w:t>Contrary to Appellants’ assertion, t</w:t>
      </w:r>
      <w:r w:rsidR="00B55CFD">
        <w:rPr>
          <w:szCs w:val="26"/>
        </w:rPr>
        <w:t xml:space="preserve">he significance of this reasoning is not </w:t>
      </w:r>
      <w:r w:rsidR="008D7DC5">
        <w:rPr>
          <w:szCs w:val="26"/>
        </w:rPr>
        <w:t>diminished</w:t>
      </w:r>
      <w:r w:rsidR="003D2720">
        <w:rPr>
          <w:szCs w:val="26"/>
        </w:rPr>
        <w:t xml:space="preserve"> </w:t>
      </w:r>
      <w:r w:rsidR="008D7DC5">
        <w:rPr>
          <w:szCs w:val="26"/>
        </w:rPr>
        <w:t>just</w:t>
      </w:r>
      <w:r w:rsidR="00C04374">
        <w:rPr>
          <w:szCs w:val="26"/>
        </w:rPr>
        <w:t xml:space="preserve"> </w:t>
      </w:r>
      <w:r w:rsidR="00B55CFD">
        <w:rPr>
          <w:szCs w:val="26"/>
        </w:rPr>
        <w:t>becaus</w:t>
      </w:r>
      <w:r>
        <w:rPr>
          <w:szCs w:val="26"/>
        </w:rPr>
        <w:t xml:space="preserve">e these cases </w:t>
      </w:r>
      <w:r w:rsidR="00C04374">
        <w:rPr>
          <w:szCs w:val="26"/>
        </w:rPr>
        <w:t>arise</w:t>
      </w:r>
      <w:r>
        <w:rPr>
          <w:szCs w:val="26"/>
        </w:rPr>
        <w:t xml:space="preserve"> in a different legal context or </w:t>
      </w:r>
      <w:r w:rsidR="008D7DC5">
        <w:rPr>
          <w:szCs w:val="26"/>
        </w:rPr>
        <w:t xml:space="preserve">because </w:t>
      </w:r>
      <w:r>
        <w:rPr>
          <w:szCs w:val="26"/>
        </w:rPr>
        <w:t xml:space="preserve">that </w:t>
      </w:r>
      <w:r w:rsidR="00C04374">
        <w:rPr>
          <w:szCs w:val="26"/>
        </w:rPr>
        <w:t>context</w:t>
      </w:r>
      <w:r>
        <w:rPr>
          <w:szCs w:val="26"/>
        </w:rPr>
        <w:t xml:space="preserve"> continues to evolve. </w:t>
      </w:r>
      <w:r w:rsidR="006032E0">
        <w:rPr>
          <w:szCs w:val="26"/>
        </w:rPr>
        <w:t xml:space="preserve"> </w:t>
      </w:r>
      <w:r w:rsidR="00DE637F">
        <w:rPr>
          <w:szCs w:val="26"/>
        </w:rPr>
        <w:t>(See</w:t>
      </w:r>
      <w:r w:rsidR="00C04374">
        <w:rPr>
          <w:szCs w:val="26"/>
        </w:rPr>
        <w:t xml:space="preserve"> </w:t>
      </w:r>
      <w:r w:rsidR="00DE637F">
        <w:rPr>
          <w:i/>
          <w:iCs/>
          <w:szCs w:val="26"/>
        </w:rPr>
        <w:t>Villanueva v. Fidelity National Title Co</w:t>
      </w:r>
      <w:r w:rsidR="006C7DBC">
        <w:rPr>
          <w:i/>
          <w:iCs/>
          <w:szCs w:val="26"/>
        </w:rPr>
        <w:t>.</w:t>
      </w:r>
      <w:r w:rsidR="00DE637F">
        <w:rPr>
          <w:szCs w:val="26"/>
        </w:rPr>
        <w:t xml:space="preserve"> (2021) 11 Cal.5th 104, </w:t>
      </w:r>
      <w:r w:rsidR="006C7DBC">
        <w:rPr>
          <w:szCs w:val="26"/>
        </w:rPr>
        <w:t>110-111</w:t>
      </w:r>
      <w:r>
        <w:rPr>
          <w:szCs w:val="26"/>
        </w:rPr>
        <w:t xml:space="preserve"> [Commission</w:t>
      </w:r>
      <w:r w:rsidR="00C04374">
        <w:rPr>
          <w:szCs w:val="26"/>
        </w:rPr>
        <w:t>er</w:t>
      </w:r>
      <w:r>
        <w:rPr>
          <w:szCs w:val="26"/>
        </w:rPr>
        <w:t xml:space="preserve"> did not have exclusive jurisdiction over claim that title insurer charged unauthorized rate].)</w:t>
      </w:r>
      <w:r w:rsidR="006204D3">
        <w:rPr>
          <w:szCs w:val="26"/>
        </w:rPr>
        <w:t xml:space="preserve"> </w:t>
      </w:r>
    </w:p>
    <w:p w14:paraId="73E9440C" w14:textId="77777777" w:rsidR="00BD0B23" w:rsidRPr="0020238F" w:rsidRDefault="00BD0B23" w:rsidP="00DB5124">
      <w:pPr>
        <w:pStyle w:val="Heading3"/>
        <w:spacing w:line="360" w:lineRule="auto"/>
        <w:rPr>
          <w:i/>
          <w:iCs/>
        </w:rPr>
      </w:pPr>
      <w:r w:rsidRPr="00A23396">
        <w:t>d.</w:t>
      </w:r>
      <w:r w:rsidRPr="00A23396">
        <w:tab/>
      </w:r>
      <w:r w:rsidRPr="00A23396">
        <w:rPr>
          <w:i/>
          <w:iCs/>
        </w:rPr>
        <w:t xml:space="preserve">Appellants’ </w:t>
      </w:r>
      <w:r w:rsidR="00A23396" w:rsidRPr="00A23396">
        <w:rPr>
          <w:i/>
          <w:iCs/>
        </w:rPr>
        <w:t>Remaining Arguments</w:t>
      </w:r>
    </w:p>
    <w:p w14:paraId="56E4807C" w14:textId="4316E2D1" w:rsidR="007153FA" w:rsidRDefault="004E57BC" w:rsidP="00DB5124">
      <w:pPr>
        <w:spacing w:line="360" w:lineRule="auto"/>
        <w:rPr>
          <w:szCs w:val="26"/>
        </w:rPr>
      </w:pPr>
      <w:r>
        <w:rPr>
          <w:szCs w:val="26"/>
        </w:rPr>
        <w:tab/>
        <w:t xml:space="preserve">Appellants’ remaining arguments </w:t>
      </w:r>
      <w:r w:rsidR="00A23396">
        <w:rPr>
          <w:szCs w:val="26"/>
        </w:rPr>
        <w:t>lack merit</w:t>
      </w:r>
      <w:r>
        <w:rPr>
          <w:szCs w:val="26"/>
        </w:rPr>
        <w:t>.</w:t>
      </w:r>
      <w:r w:rsidR="00BA3537">
        <w:rPr>
          <w:szCs w:val="26"/>
        </w:rPr>
        <w:t xml:space="preserve">  </w:t>
      </w:r>
      <w:r w:rsidR="00E9186F">
        <w:rPr>
          <w:szCs w:val="26"/>
        </w:rPr>
        <w:t>First, w</w:t>
      </w:r>
      <w:r w:rsidR="009A193F" w:rsidRPr="006B20DF">
        <w:rPr>
          <w:szCs w:val="26"/>
        </w:rPr>
        <w:t>e reject their reliance on</w:t>
      </w:r>
      <w:r w:rsidR="00A23396">
        <w:rPr>
          <w:szCs w:val="26"/>
        </w:rPr>
        <w:t xml:space="preserve"> the </w:t>
      </w:r>
      <w:r w:rsidR="00231393">
        <w:rPr>
          <w:szCs w:val="26"/>
        </w:rPr>
        <w:t xml:space="preserve">California Supreme </w:t>
      </w:r>
      <w:r w:rsidR="00A23396">
        <w:rPr>
          <w:szCs w:val="26"/>
        </w:rPr>
        <w:t xml:space="preserve">Court’s observation in </w:t>
      </w:r>
      <w:r w:rsidR="009A193F" w:rsidRPr="006B20DF">
        <w:rPr>
          <w:i/>
          <w:iCs/>
          <w:szCs w:val="26"/>
        </w:rPr>
        <w:t>Calfarm</w:t>
      </w:r>
      <w:r w:rsidR="00A23396">
        <w:rPr>
          <w:szCs w:val="26"/>
        </w:rPr>
        <w:t xml:space="preserve"> </w:t>
      </w:r>
      <w:r w:rsidR="009A193F" w:rsidRPr="006B20DF">
        <w:rPr>
          <w:szCs w:val="26"/>
        </w:rPr>
        <w:t>that the Commissioner’s “power to grant interim relief . . . may fairly be implied” from the “</w:t>
      </w:r>
      <w:r w:rsidR="009A193F" w:rsidRPr="00B952F1">
        <w:rPr>
          <w:szCs w:val="26"/>
        </w:rPr>
        <w:t>remain</w:t>
      </w:r>
      <w:r w:rsidR="00231393">
        <w:rPr>
          <w:szCs w:val="26"/>
        </w:rPr>
        <w:t xml:space="preserve"> </w:t>
      </w:r>
      <w:r w:rsidR="009A193F" w:rsidRPr="00B952F1">
        <w:rPr>
          <w:szCs w:val="26"/>
        </w:rPr>
        <w:t>in</w:t>
      </w:r>
      <w:r w:rsidR="009A193F" w:rsidRPr="006B20DF">
        <w:rPr>
          <w:szCs w:val="26"/>
        </w:rPr>
        <w:t xml:space="preserve"> effect” language.</w:t>
      </w:r>
      <w:r w:rsidR="009A193F">
        <w:rPr>
          <w:szCs w:val="26"/>
        </w:rPr>
        <w:t xml:space="preserve">  (</w:t>
      </w:r>
      <w:r w:rsidR="009A193F">
        <w:rPr>
          <w:i/>
          <w:iCs/>
          <w:szCs w:val="26"/>
        </w:rPr>
        <w:t>Calfarm</w:t>
      </w:r>
      <w:r w:rsidR="009A193F">
        <w:rPr>
          <w:szCs w:val="26"/>
        </w:rPr>
        <w:t xml:space="preserve">, </w:t>
      </w:r>
      <w:r w:rsidR="009A193F">
        <w:rPr>
          <w:i/>
          <w:iCs/>
          <w:szCs w:val="26"/>
        </w:rPr>
        <w:t>supra</w:t>
      </w:r>
      <w:r w:rsidR="009A193F">
        <w:rPr>
          <w:szCs w:val="26"/>
        </w:rPr>
        <w:t xml:space="preserve">, 48 Cal.3d at p. 825.) </w:t>
      </w:r>
      <w:r w:rsidR="00386FE0">
        <w:rPr>
          <w:szCs w:val="26"/>
        </w:rPr>
        <w:t xml:space="preserve"> </w:t>
      </w:r>
      <w:r w:rsidR="00A23396">
        <w:rPr>
          <w:szCs w:val="26"/>
        </w:rPr>
        <w:t xml:space="preserve">The Court was addressing the rollback period, and specifically insurers’ ability to obtain relief for potentially confiscatory </w:t>
      </w:r>
      <w:r w:rsidR="00A23396" w:rsidRPr="00603BCE">
        <w:rPr>
          <w:szCs w:val="26"/>
        </w:rPr>
        <w:t>rates</w:t>
      </w:r>
      <w:r w:rsidR="00FB0616" w:rsidRPr="006B20DF">
        <w:rPr>
          <w:szCs w:val="26"/>
        </w:rPr>
        <w:t>.  (</w:t>
      </w:r>
      <w:r w:rsidR="00A23396">
        <w:rPr>
          <w:i/>
          <w:iCs/>
          <w:szCs w:val="26"/>
        </w:rPr>
        <w:t>Ibid</w:t>
      </w:r>
      <w:r w:rsidR="00FB0616" w:rsidRPr="006B20DF">
        <w:rPr>
          <w:szCs w:val="26"/>
        </w:rPr>
        <w:t>.)</w:t>
      </w:r>
      <w:r w:rsidR="00603BCE">
        <w:rPr>
          <w:szCs w:val="26"/>
        </w:rPr>
        <w:t xml:space="preserve">  The “remain in effect” language could reasonably have a different interpretation in that context, where there were rates in use that had not yet been approved.  </w:t>
      </w:r>
      <w:r w:rsidR="007153FA">
        <w:rPr>
          <w:szCs w:val="26"/>
        </w:rPr>
        <w:t xml:space="preserve">Although </w:t>
      </w:r>
      <w:r w:rsidR="00A23396">
        <w:rPr>
          <w:szCs w:val="26"/>
        </w:rPr>
        <w:t>the Court</w:t>
      </w:r>
      <w:r w:rsidR="007153FA">
        <w:rPr>
          <w:szCs w:val="26"/>
        </w:rPr>
        <w:t xml:space="preserve"> </w:t>
      </w:r>
      <w:r w:rsidR="00603BCE">
        <w:rPr>
          <w:szCs w:val="26"/>
        </w:rPr>
        <w:t xml:space="preserve">did </w:t>
      </w:r>
      <w:r w:rsidR="007153FA">
        <w:rPr>
          <w:szCs w:val="26"/>
        </w:rPr>
        <w:t>allud</w:t>
      </w:r>
      <w:r w:rsidR="00603BCE">
        <w:rPr>
          <w:szCs w:val="26"/>
        </w:rPr>
        <w:t>e</w:t>
      </w:r>
      <w:r w:rsidR="007153FA">
        <w:rPr>
          <w:szCs w:val="26"/>
        </w:rPr>
        <w:t xml:space="preserve"> to the possibility of interim relief in the prior approval period,</w:t>
      </w:r>
      <w:r w:rsidR="00A23396">
        <w:rPr>
          <w:szCs w:val="26"/>
        </w:rPr>
        <w:t xml:space="preserve"> </w:t>
      </w:r>
      <w:r w:rsidR="007153FA">
        <w:rPr>
          <w:szCs w:val="26"/>
        </w:rPr>
        <w:t>it did so in terms of “interim rates”</w:t>
      </w:r>
      <w:r w:rsidR="00603BCE">
        <w:rPr>
          <w:szCs w:val="26"/>
        </w:rPr>
        <w:t xml:space="preserve"> (</w:t>
      </w:r>
      <w:r w:rsidR="006C7DBC" w:rsidRPr="00835766">
        <w:rPr>
          <w:i/>
          <w:iCs/>
          <w:szCs w:val="26"/>
        </w:rPr>
        <w:t>Ib</w:t>
      </w:r>
      <w:r w:rsidR="00603BCE" w:rsidRPr="006C7DBC">
        <w:rPr>
          <w:i/>
          <w:iCs/>
          <w:szCs w:val="26"/>
        </w:rPr>
        <w:t>id</w:t>
      </w:r>
      <w:r w:rsidR="00603BCE">
        <w:rPr>
          <w:i/>
          <w:iCs/>
          <w:szCs w:val="26"/>
        </w:rPr>
        <w:t>.</w:t>
      </w:r>
      <w:r w:rsidR="00603BCE">
        <w:rPr>
          <w:szCs w:val="26"/>
        </w:rPr>
        <w:t xml:space="preserve">)—implying the use of a temporary </w:t>
      </w:r>
      <w:r w:rsidR="00603BCE" w:rsidRPr="00603BCE">
        <w:rPr>
          <w:i/>
          <w:iCs/>
          <w:szCs w:val="26"/>
        </w:rPr>
        <w:t>rate</w:t>
      </w:r>
      <w:r w:rsidR="00603BCE">
        <w:rPr>
          <w:szCs w:val="26"/>
        </w:rPr>
        <w:t xml:space="preserve">, not, as we discuss </w:t>
      </w:r>
      <w:r w:rsidR="00603BCE">
        <w:rPr>
          <w:i/>
          <w:iCs/>
          <w:szCs w:val="26"/>
        </w:rPr>
        <w:t>post</w:t>
      </w:r>
      <w:r w:rsidR="00603BCE">
        <w:rPr>
          <w:szCs w:val="26"/>
        </w:rPr>
        <w:t xml:space="preserve">, mere notice that a refund might be </w:t>
      </w:r>
      <w:r w:rsidR="00603BCE">
        <w:rPr>
          <w:szCs w:val="26"/>
        </w:rPr>
        <w:lastRenderedPageBreak/>
        <w:t>imposed in some amount</w:t>
      </w:r>
      <w:r w:rsidR="00C453BC">
        <w:rPr>
          <w:szCs w:val="26"/>
        </w:rPr>
        <w:t xml:space="preserve"> (much less </w:t>
      </w:r>
      <w:r w:rsidR="00C453BC" w:rsidRPr="00C453BC">
        <w:rPr>
          <w:szCs w:val="26"/>
        </w:rPr>
        <w:t>the “immediate</w:t>
      </w:r>
      <w:r w:rsidR="006C7DBC">
        <w:rPr>
          <w:szCs w:val="26"/>
        </w:rPr>
        <w:t>[]</w:t>
      </w:r>
      <w:r w:rsidR="00C453BC" w:rsidRPr="00C453BC">
        <w:rPr>
          <w:szCs w:val="26"/>
        </w:rPr>
        <w:t xml:space="preserve"> reduct[ion]” the Commissioner </w:t>
      </w:r>
      <w:r w:rsidR="00E835FF">
        <w:rPr>
          <w:szCs w:val="26"/>
        </w:rPr>
        <w:t xml:space="preserve">now </w:t>
      </w:r>
      <w:r w:rsidR="00C453BC" w:rsidRPr="00C453BC">
        <w:rPr>
          <w:szCs w:val="26"/>
        </w:rPr>
        <w:t>claims he could impose)</w:t>
      </w:r>
      <w:r w:rsidR="00FB0616" w:rsidRPr="00C453BC">
        <w:rPr>
          <w:szCs w:val="26"/>
        </w:rPr>
        <w:t>.</w:t>
      </w:r>
      <w:r w:rsidR="002E29D7" w:rsidRPr="00C453BC">
        <w:rPr>
          <w:szCs w:val="26"/>
        </w:rPr>
        <w:t xml:space="preserve">  </w:t>
      </w:r>
    </w:p>
    <w:p w14:paraId="17220644" w14:textId="763AD1DC" w:rsidR="00155973" w:rsidRDefault="00FB0616" w:rsidP="00DB5124">
      <w:pPr>
        <w:spacing w:line="360" w:lineRule="auto"/>
        <w:rPr>
          <w:szCs w:val="26"/>
        </w:rPr>
      </w:pPr>
      <w:r w:rsidRPr="006B20DF">
        <w:rPr>
          <w:szCs w:val="26"/>
        </w:rPr>
        <w:tab/>
      </w:r>
      <w:r w:rsidR="004426D8" w:rsidRPr="00155973">
        <w:rPr>
          <w:szCs w:val="26"/>
        </w:rPr>
        <w:t>Second</w:t>
      </w:r>
      <w:r w:rsidRPr="00155973">
        <w:rPr>
          <w:szCs w:val="26"/>
        </w:rPr>
        <w:t xml:space="preserve">, </w:t>
      </w:r>
      <w:r w:rsidR="006D0CD5" w:rsidRPr="00155973">
        <w:rPr>
          <w:szCs w:val="26"/>
        </w:rPr>
        <w:t xml:space="preserve">Appellants </w:t>
      </w:r>
      <w:r w:rsidR="00162DDB" w:rsidRPr="00155973">
        <w:rPr>
          <w:szCs w:val="26"/>
        </w:rPr>
        <w:t>contend the</w:t>
      </w:r>
      <w:r w:rsidR="00AA0A32" w:rsidRPr="00155973">
        <w:rPr>
          <w:szCs w:val="26"/>
        </w:rPr>
        <w:t xml:space="preserve"> </w:t>
      </w:r>
      <w:r w:rsidR="00DC7CF9" w:rsidRPr="00155973">
        <w:rPr>
          <w:szCs w:val="26"/>
        </w:rPr>
        <w:t>refund</w:t>
      </w:r>
      <w:r w:rsidR="00162DDB" w:rsidRPr="00155973">
        <w:rPr>
          <w:szCs w:val="26"/>
        </w:rPr>
        <w:t xml:space="preserve"> </w:t>
      </w:r>
      <w:r w:rsidR="006D0CD5" w:rsidRPr="00155973">
        <w:rPr>
          <w:szCs w:val="26"/>
        </w:rPr>
        <w:t>actually</w:t>
      </w:r>
      <w:r w:rsidR="00162DDB" w:rsidRPr="00155973">
        <w:rPr>
          <w:szCs w:val="26"/>
        </w:rPr>
        <w:t xml:space="preserve"> </w:t>
      </w:r>
      <w:r w:rsidR="00155973" w:rsidRPr="00155973">
        <w:rPr>
          <w:szCs w:val="26"/>
        </w:rPr>
        <w:t xml:space="preserve">was </w:t>
      </w:r>
      <w:r w:rsidR="00162DDB" w:rsidRPr="00155973">
        <w:rPr>
          <w:i/>
          <w:iCs/>
          <w:szCs w:val="26"/>
        </w:rPr>
        <w:t>prospective</w:t>
      </w:r>
      <w:r w:rsidR="00162DDB" w:rsidRPr="00155973">
        <w:rPr>
          <w:szCs w:val="26"/>
        </w:rPr>
        <w:t xml:space="preserve">, </w:t>
      </w:r>
      <w:r w:rsidR="00AA0A32" w:rsidRPr="00155973">
        <w:rPr>
          <w:szCs w:val="26"/>
        </w:rPr>
        <w:t>citing</w:t>
      </w:r>
      <w:r w:rsidR="00AA0A32">
        <w:rPr>
          <w:szCs w:val="26"/>
        </w:rPr>
        <w:t xml:space="preserve"> </w:t>
      </w:r>
      <w:r w:rsidR="00155973">
        <w:rPr>
          <w:szCs w:val="26"/>
        </w:rPr>
        <w:t xml:space="preserve">a discussion from </w:t>
      </w:r>
      <w:r w:rsidR="00AA0A32">
        <w:rPr>
          <w:i/>
          <w:iCs/>
          <w:szCs w:val="26"/>
        </w:rPr>
        <w:t>20th Century</w:t>
      </w:r>
      <w:r w:rsidR="00AA0A32">
        <w:rPr>
          <w:szCs w:val="26"/>
        </w:rPr>
        <w:t>.</w:t>
      </w:r>
      <w:r w:rsidR="00155973">
        <w:rPr>
          <w:szCs w:val="26"/>
        </w:rPr>
        <w:t xml:space="preserve"> </w:t>
      </w:r>
      <w:r w:rsidR="0052355F">
        <w:rPr>
          <w:szCs w:val="26"/>
        </w:rPr>
        <w:t xml:space="preserve"> </w:t>
      </w:r>
      <w:r w:rsidR="008D7DC5">
        <w:rPr>
          <w:szCs w:val="26"/>
        </w:rPr>
        <w:t>T</w:t>
      </w:r>
      <w:r w:rsidR="00155973">
        <w:rPr>
          <w:szCs w:val="26"/>
        </w:rPr>
        <w:t>hat</w:t>
      </w:r>
      <w:r w:rsidR="0052355F">
        <w:rPr>
          <w:szCs w:val="26"/>
        </w:rPr>
        <w:t xml:space="preserve"> discussion, like the rest of the case, concerns the rollback </w:t>
      </w:r>
      <w:r w:rsidR="00155973">
        <w:rPr>
          <w:szCs w:val="26"/>
        </w:rPr>
        <w:t>period</w:t>
      </w:r>
      <w:r w:rsidR="004115E9">
        <w:rPr>
          <w:szCs w:val="26"/>
        </w:rPr>
        <w:t xml:space="preserve">, and </w:t>
      </w:r>
      <w:r w:rsidR="00155973">
        <w:rPr>
          <w:szCs w:val="26"/>
        </w:rPr>
        <w:t>does not apply here</w:t>
      </w:r>
      <w:r w:rsidR="004115E9">
        <w:rPr>
          <w:szCs w:val="26"/>
        </w:rPr>
        <w:t>.</w:t>
      </w:r>
      <w:r w:rsidR="008D7DC5">
        <w:rPr>
          <w:szCs w:val="26"/>
        </w:rPr>
        <w:t xml:space="preserve">  We explain.  </w:t>
      </w:r>
      <w:r w:rsidR="0052355F">
        <w:rPr>
          <w:szCs w:val="26"/>
        </w:rPr>
        <w:t>The Court</w:t>
      </w:r>
      <w:r w:rsidR="00155973">
        <w:rPr>
          <w:szCs w:val="26"/>
        </w:rPr>
        <w:t xml:space="preserve"> observ</w:t>
      </w:r>
      <w:r w:rsidR="00203DC5">
        <w:rPr>
          <w:szCs w:val="26"/>
        </w:rPr>
        <w:t>ed</w:t>
      </w:r>
      <w:r w:rsidR="0052355F">
        <w:rPr>
          <w:szCs w:val="26"/>
        </w:rPr>
        <w:t xml:space="preserve"> </w:t>
      </w:r>
      <w:r w:rsidR="00AA3885" w:rsidRPr="006B20DF">
        <w:rPr>
          <w:szCs w:val="26"/>
        </w:rPr>
        <w:t>th</w:t>
      </w:r>
      <w:r w:rsidR="008D7DC5">
        <w:rPr>
          <w:szCs w:val="26"/>
        </w:rPr>
        <w:t>at</w:t>
      </w:r>
      <w:r w:rsidR="00AA3885" w:rsidRPr="006B20DF">
        <w:rPr>
          <w:szCs w:val="26"/>
        </w:rPr>
        <w:t xml:space="preserve"> “</w:t>
      </w:r>
      <w:r w:rsidR="00877FA3" w:rsidRPr="006B20DF">
        <w:rPr>
          <w:szCs w:val="26"/>
        </w:rPr>
        <w:t>rate regulations as to rollbacks may properly be considered prospective</w:t>
      </w:r>
      <w:r w:rsidR="0052355F">
        <w:rPr>
          <w:szCs w:val="26"/>
        </w:rPr>
        <w:t>,</w:t>
      </w:r>
      <w:r w:rsidR="00AA3885" w:rsidRPr="006B20DF">
        <w:rPr>
          <w:szCs w:val="26"/>
        </w:rPr>
        <w:t>”</w:t>
      </w:r>
      <w:r w:rsidR="0052355F">
        <w:rPr>
          <w:szCs w:val="26"/>
        </w:rPr>
        <w:t xml:space="preserve"> </w:t>
      </w:r>
      <w:r w:rsidR="00155973">
        <w:rPr>
          <w:szCs w:val="26"/>
        </w:rPr>
        <w:t>stating</w:t>
      </w:r>
      <w:r w:rsidR="0052355F">
        <w:rPr>
          <w:szCs w:val="26"/>
        </w:rPr>
        <w:t xml:space="preserve">, in part: </w:t>
      </w:r>
      <w:r w:rsidR="00795F5E">
        <w:rPr>
          <w:szCs w:val="26"/>
        </w:rPr>
        <w:t xml:space="preserve"> </w:t>
      </w:r>
      <w:r w:rsidR="0052355F">
        <w:rPr>
          <w:szCs w:val="26"/>
        </w:rPr>
        <w:t>“</w:t>
      </w:r>
      <w:r w:rsidR="00877FA3" w:rsidRPr="006B20DF">
        <w:rPr>
          <w:szCs w:val="26"/>
        </w:rPr>
        <w:t xml:space="preserve">The ordering of a refund of rates is </w:t>
      </w:r>
      <w:r w:rsidR="009870EA" w:rsidRPr="006B20DF">
        <w:rPr>
          <w:szCs w:val="26"/>
        </w:rPr>
        <w:t>‘</w:t>
      </w:r>
      <w:r w:rsidR="00877FA3" w:rsidRPr="006B20DF">
        <w:rPr>
          <w:szCs w:val="26"/>
        </w:rPr>
        <w:t>akin to a reduction in rates,</w:t>
      </w:r>
      <w:r w:rsidR="009870EA" w:rsidRPr="006B20DF">
        <w:rPr>
          <w:szCs w:val="26"/>
        </w:rPr>
        <w:t>’</w:t>
      </w:r>
      <w:r w:rsidR="00877FA3" w:rsidRPr="006B20DF">
        <w:rPr>
          <w:szCs w:val="26"/>
        </w:rPr>
        <w:t xml:space="preserve"> when, as here, </w:t>
      </w:r>
      <w:r w:rsidR="00877FA3" w:rsidRPr="006B20DF">
        <w:rPr>
          <w:i/>
          <w:iCs/>
          <w:szCs w:val="26"/>
        </w:rPr>
        <w:t xml:space="preserve">the rates in question were charged </w:t>
      </w:r>
      <w:r w:rsidR="006C7DBC" w:rsidRPr="00231393">
        <w:rPr>
          <w:szCs w:val="26"/>
        </w:rPr>
        <w:t>‘</w:t>
      </w:r>
      <w:r w:rsidR="00877FA3" w:rsidRPr="006B20DF">
        <w:rPr>
          <w:i/>
          <w:iCs/>
          <w:szCs w:val="26"/>
        </w:rPr>
        <w:t>pending a determination of [their] legality</w:t>
      </w:r>
      <w:r w:rsidR="00877FA3" w:rsidRPr="006B20DF">
        <w:rPr>
          <w:szCs w:val="26"/>
        </w:rPr>
        <w:t xml:space="preserve"> . . . .</w:t>
      </w:r>
      <w:r w:rsidR="006C7DBC">
        <w:rPr>
          <w:szCs w:val="26"/>
        </w:rPr>
        <w:t>’</w:t>
      </w:r>
      <w:r w:rsidR="00877FA3" w:rsidRPr="006C7DBC">
        <w:rPr>
          <w:szCs w:val="26"/>
        </w:rPr>
        <w:t xml:space="preserve"> </w:t>
      </w:r>
      <w:r w:rsidR="005E7161">
        <w:rPr>
          <w:szCs w:val="26"/>
        </w:rPr>
        <w:t xml:space="preserve"> </w:t>
      </w:r>
      <w:r w:rsidR="00877FA3" w:rsidRPr="006B20DF">
        <w:rPr>
          <w:szCs w:val="26"/>
        </w:rPr>
        <w:t>[Citation</w:t>
      </w:r>
      <w:r w:rsidR="006C7DBC">
        <w:rPr>
          <w:szCs w:val="26"/>
        </w:rPr>
        <w:t>s</w:t>
      </w:r>
      <w:r w:rsidR="00877FA3" w:rsidRPr="006B20DF">
        <w:rPr>
          <w:szCs w:val="26"/>
        </w:rPr>
        <w:t>.]  It follows that the ordering of a refund of rates is itself prospective.”</w:t>
      </w:r>
      <w:r w:rsidR="0052355F">
        <w:rPr>
          <w:szCs w:val="26"/>
        </w:rPr>
        <w:t xml:space="preserve">  (</w:t>
      </w:r>
      <w:r w:rsidR="0052355F" w:rsidRPr="0052355F">
        <w:rPr>
          <w:i/>
          <w:iCs/>
          <w:szCs w:val="26"/>
        </w:rPr>
        <w:t>20th Century</w:t>
      </w:r>
      <w:r w:rsidR="0052355F">
        <w:rPr>
          <w:szCs w:val="26"/>
        </w:rPr>
        <w:t xml:space="preserve">, </w:t>
      </w:r>
      <w:r w:rsidR="0052355F">
        <w:rPr>
          <w:i/>
          <w:iCs/>
          <w:szCs w:val="26"/>
        </w:rPr>
        <w:t>supra</w:t>
      </w:r>
      <w:r w:rsidR="0052355F">
        <w:rPr>
          <w:szCs w:val="26"/>
        </w:rPr>
        <w:t>, 8 Cal.4th at 281</w:t>
      </w:r>
      <w:r w:rsidR="008D7DC5">
        <w:rPr>
          <w:szCs w:val="26"/>
        </w:rPr>
        <w:t>, ital</w:t>
      </w:r>
      <w:r w:rsidR="00E56863">
        <w:rPr>
          <w:szCs w:val="26"/>
        </w:rPr>
        <w:t>ics</w:t>
      </w:r>
      <w:r w:rsidR="008D7DC5">
        <w:rPr>
          <w:szCs w:val="26"/>
        </w:rPr>
        <w:t xml:space="preserve"> added</w:t>
      </w:r>
      <w:r w:rsidR="0052355F">
        <w:rPr>
          <w:szCs w:val="26"/>
        </w:rPr>
        <w:t>.)</w:t>
      </w:r>
      <w:r w:rsidR="004115E9">
        <w:rPr>
          <w:szCs w:val="26"/>
        </w:rPr>
        <w:t xml:space="preserve">  </w:t>
      </w:r>
      <w:r w:rsidR="00155973">
        <w:rPr>
          <w:szCs w:val="26"/>
        </w:rPr>
        <w:t>In</w:t>
      </w:r>
      <w:r w:rsidR="00F23F16">
        <w:rPr>
          <w:szCs w:val="26"/>
        </w:rPr>
        <w:t xml:space="preserve"> the prior approval system, rates</w:t>
      </w:r>
      <w:r w:rsidR="0047665B">
        <w:rPr>
          <w:szCs w:val="26"/>
        </w:rPr>
        <w:t xml:space="preserve"> </w:t>
      </w:r>
      <w:r w:rsidR="00F23F16">
        <w:rPr>
          <w:szCs w:val="26"/>
        </w:rPr>
        <w:t>are not</w:t>
      </w:r>
      <w:r w:rsidR="00F23F16">
        <w:rPr>
          <w:i/>
          <w:iCs/>
          <w:szCs w:val="26"/>
        </w:rPr>
        <w:t xml:space="preserve"> </w:t>
      </w:r>
      <w:r w:rsidR="00F23F16">
        <w:rPr>
          <w:szCs w:val="26"/>
        </w:rPr>
        <w:t>“pending a determination of . . . legality</w:t>
      </w:r>
      <w:r w:rsidR="00203DC5">
        <w:rPr>
          <w:szCs w:val="26"/>
        </w:rPr>
        <w:t>.</w:t>
      </w:r>
      <w:r w:rsidR="00F23F16">
        <w:rPr>
          <w:szCs w:val="26"/>
        </w:rPr>
        <w:t>”</w:t>
      </w:r>
      <w:r w:rsidR="00203DC5">
        <w:rPr>
          <w:szCs w:val="26"/>
        </w:rPr>
        <w:t xml:space="preserve"> </w:t>
      </w:r>
      <w:r w:rsidR="00155973">
        <w:rPr>
          <w:szCs w:val="26"/>
        </w:rPr>
        <w:t xml:space="preserve"> </w:t>
      </w:r>
      <w:r w:rsidR="00203DC5">
        <w:rPr>
          <w:szCs w:val="26"/>
        </w:rPr>
        <w:t>T</w:t>
      </w:r>
      <w:r w:rsidR="00F23F16">
        <w:rPr>
          <w:szCs w:val="26"/>
        </w:rPr>
        <w:t xml:space="preserve">hey have </w:t>
      </w:r>
      <w:r w:rsidR="00F23F16" w:rsidRPr="00203DC5">
        <w:rPr>
          <w:szCs w:val="26"/>
        </w:rPr>
        <w:t>been approved</w:t>
      </w:r>
      <w:r w:rsidR="00F23F16">
        <w:rPr>
          <w:szCs w:val="26"/>
        </w:rPr>
        <w:t>.</w:t>
      </w:r>
      <w:r w:rsidR="00155973">
        <w:rPr>
          <w:szCs w:val="26"/>
        </w:rPr>
        <w:t xml:space="preserve">  </w:t>
      </w:r>
    </w:p>
    <w:p w14:paraId="0F5723CA" w14:textId="1771A400" w:rsidR="004115E9" w:rsidRPr="001F58E3" w:rsidRDefault="00155973" w:rsidP="00DB5124">
      <w:pPr>
        <w:spacing w:line="360" w:lineRule="auto"/>
        <w:rPr>
          <w:szCs w:val="26"/>
        </w:rPr>
      </w:pPr>
      <w:r>
        <w:rPr>
          <w:szCs w:val="26"/>
        </w:rPr>
        <w:tab/>
      </w:r>
      <w:r w:rsidR="0052355F">
        <w:rPr>
          <w:szCs w:val="26"/>
        </w:rPr>
        <w:t xml:space="preserve">The Court </w:t>
      </w:r>
      <w:r>
        <w:rPr>
          <w:szCs w:val="26"/>
        </w:rPr>
        <w:t>then noted</w:t>
      </w:r>
      <w:r w:rsidR="00F23F16">
        <w:rPr>
          <w:szCs w:val="26"/>
        </w:rPr>
        <w:t xml:space="preserve"> that even if the rollback regulations “might </w:t>
      </w:r>
      <w:r w:rsidR="0052355F" w:rsidRPr="006B20DF">
        <w:rPr>
          <w:szCs w:val="26"/>
        </w:rPr>
        <w:t>be deemed ‘retroactive,’ they cannot be deemed impermissibly so</w:t>
      </w:r>
      <w:r w:rsidR="00F23F16">
        <w:rPr>
          <w:szCs w:val="26"/>
        </w:rPr>
        <w:t>”</w:t>
      </w:r>
      <w:r>
        <w:rPr>
          <w:szCs w:val="26"/>
        </w:rPr>
        <w:t>—</w:t>
      </w:r>
      <w:r w:rsidR="00740305">
        <w:rPr>
          <w:szCs w:val="26"/>
        </w:rPr>
        <w:t xml:space="preserve">contrasting </w:t>
      </w:r>
      <w:r w:rsidR="00F23F16">
        <w:rPr>
          <w:szCs w:val="26"/>
        </w:rPr>
        <w:t xml:space="preserve">“primary retroactivity,” </w:t>
      </w:r>
      <w:r>
        <w:rPr>
          <w:szCs w:val="26"/>
        </w:rPr>
        <w:t>which</w:t>
      </w:r>
      <w:r w:rsidR="0047665B">
        <w:rPr>
          <w:szCs w:val="26"/>
        </w:rPr>
        <w:t xml:space="preserve"> impact</w:t>
      </w:r>
      <w:r>
        <w:rPr>
          <w:szCs w:val="26"/>
        </w:rPr>
        <w:t>s</w:t>
      </w:r>
      <w:r w:rsidR="0047665B">
        <w:rPr>
          <w:szCs w:val="26"/>
        </w:rPr>
        <w:t xml:space="preserve"> </w:t>
      </w:r>
      <w:r w:rsidR="00740305">
        <w:rPr>
          <w:szCs w:val="26"/>
        </w:rPr>
        <w:t>“</w:t>
      </w:r>
      <w:r w:rsidR="0047665B">
        <w:rPr>
          <w:szCs w:val="26"/>
        </w:rPr>
        <w:t>past legal consequences of past actions,</w:t>
      </w:r>
      <w:r w:rsidR="00740305">
        <w:rPr>
          <w:szCs w:val="26"/>
        </w:rPr>
        <w:t>”</w:t>
      </w:r>
      <w:r w:rsidR="0047665B">
        <w:rPr>
          <w:szCs w:val="26"/>
        </w:rPr>
        <w:t xml:space="preserve"> </w:t>
      </w:r>
      <w:r w:rsidR="00F23F16">
        <w:rPr>
          <w:szCs w:val="26"/>
        </w:rPr>
        <w:t>with</w:t>
      </w:r>
      <w:r w:rsidR="0052355F" w:rsidRPr="006B20DF">
        <w:rPr>
          <w:szCs w:val="26"/>
        </w:rPr>
        <w:t xml:space="preserve"> “ </w:t>
      </w:r>
      <w:r w:rsidR="00F23F16">
        <w:rPr>
          <w:szCs w:val="26"/>
        </w:rPr>
        <w:t>‘[s]</w:t>
      </w:r>
      <w:r w:rsidR="0052355F" w:rsidRPr="006B20DF">
        <w:rPr>
          <w:szCs w:val="26"/>
        </w:rPr>
        <w:t>econdary</w:t>
      </w:r>
      <w:r w:rsidR="00F23F16">
        <w:rPr>
          <w:szCs w:val="26"/>
        </w:rPr>
        <w:t>’</w:t>
      </w:r>
      <w:r w:rsidR="0052355F" w:rsidRPr="006B20DF">
        <w:rPr>
          <w:szCs w:val="26"/>
        </w:rPr>
        <w:t xml:space="preserve"> retroactivity</w:t>
      </w:r>
      <w:r w:rsidR="00F23F16">
        <w:rPr>
          <w:szCs w:val="26"/>
        </w:rPr>
        <w:t>,</w:t>
      </w:r>
      <w:r w:rsidR="0052355F" w:rsidRPr="006B20DF">
        <w:rPr>
          <w:szCs w:val="26"/>
        </w:rPr>
        <w:t>”</w:t>
      </w:r>
      <w:r w:rsidR="00F23F16">
        <w:rPr>
          <w:szCs w:val="26"/>
        </w:rPr>
        <w:t xml:space="preserve"> </w:t>
      </w:r>
      <w:r w:rsidR="0052355F" w:rsidRPr="006B20DF">
        <w:rPr>
          <w:szCs w:val="26"/>
        </w:rPr>
        <w:t>when regulations “affect[] the future legal consequences of past transactions . . . .”</w:t>
      </w:r>
      <w:r w:rsidR="007C6CCC">
        <w:rPr>
          <w:szCs w:val="26"/>
        </w:rPr>
        <w:t xml:space="preserve"> </w:t>
      </w:r>
      <w:r w:rsidR="00F23F16">
        <w:rPr>
          <w:szCs w:val="26"/>
        </w:rPr>
        <w:t xml:space="preserve"> </w:t>
      </w:r>
      <w:r w:rsidR="0047665B">
        <w:rPr>
          <w:szCs w:val="26"/>
        </w:rPr>
        <w:t>(</w:t>
      </w:r>
      <w:r w:rsidRPr="0052355F">
        <w:rPr>
          <w:i/>
          <w:iCs/>
          <w:szCs w:val="26"/>
        </w:rPr>
        <w:t>20th Century</w:t>
      </w:r>
      <w:r>
        <w:rPr>
          <w:szCs w:val="26"/>
        </w:rPr>
        <w:t xml:space="preserve">, </w:t>
      </w:r>
      <w:r>
        <w:rPr>
          <w:i/>
          <w:iCs/>
          <w:szCs w:val="26"/>
        </w:rPr>
        <w:t>supra</w:t>
      </w:r>
      <w:r>
        <w:rPr>
          <w:szCs w:val="26"/>
        </w:rPr>
        <w:t xml:space="preserve">, 8 Cal.4th </w:t>
      </w:r>
      <w:r w:rsidR="0047665B" w:rsidRPr="006B20DF">
        <w:rPr>
          <w:szCs w:val="26"/>
        </w:rPr>
        <w:t>at p. 281</w:t>
      </w:r>
      <w:r w:rsidR="0047665B">
        <w:rPr>
          <w:szCs w:val="26"/>
        </w:rPr>
        <w:t>.)</w:t>
      </w:r>
      <w:r w:rsidR="00F23F16">
        <w:rPr>
          <w:szCs w:val="26"/>
        </w:rPr>
        <w:t xml:space="preserve"> </w:t>
      </w:r>
      <w:r>
        <w:rPr>
          <w:szCs w:val="26"/>
        </w:rPr>
        <w:t xml:space="preserve"> It found secondary retroactivity was present, but this </w:t>
      </w:r>
      <w:r w:rsidR="00F23F16">
        <w:rPr>
          <w:szCs w:val="26"/>
        </w:rPr>
        <w:t>was “</w:t>
      </w:r>
      <w:r w:rsidR="0052355F" w:rsidRPr="006B20DF">
        <w:rPr>
          <w:szCs w:val="26"/>
        </w:rPr>
        <w:t xml:space="preserve">an entirely lawful consequence of much agency rulemaking and does not by itself render a rule invalid.”  </w:t>
      </w:r>
      <w:r w:rsidR="00F23F16">
        <w:rPr>
          <w:szCs w:val="26"/>
        </w:rPr>
        <w:t>(</w:t>
      </w:r>
      <w:r w:rsidR="0047665B">
        <w:rPr>
          <w:i/>
          <w:iCs/>
          <w:szCs w:val="26"/>
        </w:rPr>
        <w:t xml:space="preserve">Id. </w:t>
      </w:r>
      <w:r w:rsidR="0047665B">
        <w:rPr>
          <w:szCs w:val="26"/>
        </w:rPr>
        <w:t xml:space="preserve">at p. </w:t>
      </w:r>
      <w:r w:rsidR="0052355F" w:rsidRPr="006B20DF">
        <w:rPr>
          <w:szCs w:val="26"/>
        </w:rPr>
        <w:t>28</w:t>
      </w:r>
      <w:r w:rsidR="00F23F16">
        <w:rPr>
          <w:szCs w:val="26"/>
        </w:rPr>
        <w:t>2.</w:t>
      </w:r>
      <w:r w:rsidR="0047665B">
        <w:rPr>
          <w:szCs w:val="26"/>
        </w:rPr>
        <w:t>)</w:t>
      </w:r>
      <w:r w:rsidR="00740305">
        <w:rPr>
          <w:szCs w:val="26"/>
        </w:rPr>
        <w:t xml:space="preserve">  But rollback year refunds c</w:t>
      </w:r>
      <w:r w:rsidR="00BF2320">
        <w:rPr>
          <w:szCs w:val="26"/>
        </w:rPr>
        <w:t>ould</w:t>
      </w:r>
      <w:r w:rsidR="00740305">
        <w:rPr>
          <w:szCs w:val="26"/>
        </w:rPr>
        <w:t xml:space="preserve"> be viewed as impacting </w:t>
      </w:r>
      <w:r w:rsidR="00740305" w:rsidRPr="00740305">
        <w:rPr>
          <w:szCs w:val="26"/>
        </w:rPr>
        <w:t>future</w:t>
      </w:r>
      <w:r w:rsidR="00740305">
        <w:rPr>
          <w:szCs w:val="26"/>
        </w:rPr>
        <w:t xml:space="preserve"> legal consequences, because the rates were not approved yet.  In contrast, a refund order as to an approved rate would impact </w:t>
      </w:r>
      <w:r w:rsidR="00740305" w:rsidRPr="00740305">
        <w:rPr>
          <w:i/>
          <w:iCs/>
          <w:szCs w:val="26"/>
        </w:rPr>
        <w:t>existing</w:t>
      </w:r>
      <w:r w:rsidR="00740305">
        <w:rPr>
          <w:i/>
          <w:iCs/>
          <w:szCs w:val="26"/>
        </w:rPr>
        <w:t xml:space="preserve"> </w:t>
      </w:r>
      <w:r w:rsidR="00740305">
        <w:rPr>
          <w:szCs w:val="26"/>
        </w:rPr>
        <w:t>legal consequences</w:t>
      </w:r>
      <w:r w:rsidR="0047665B">
        <w:rPr>
          <w:szCs w:val="26"/>
        </w:rPr>
        <w:t xml:space="preserve">.  (See </w:t>
      </w:r>
      <w:r w:rsidR="004115E9">
        <w:rPr>
          <w:i/>
          <w:iCs/>
          <w:szCs w:val="26"/>
        </w:rPr>
        <w:t>Bowen</w:t>
      </w:r>
      <w:r w:rsidR="004115E9" w:rsidRPr="00231393">
        <w:rPr>
          <w:szCs w:val="26"/>
        </w:rPr>
        <w:t>,</w:t>
      </w:r>
      <w:r w:rsidR="004115E9">
        <w:rPr>
          <w:i/>
          <w:iCs/>
          <w:szCs w:val="26"/>
        </w:rPr>
        <w:t xml:space="preserve"> supra</w:t>
      </w:r>
      <w:r w:rsidR="004115E9">
        <w:rPr>
          <w:szCs w:val="26"/>
        </w:rPr>
        <w:t xml:space="preserve">, 488 U.S. at </w:t>
      </w:r>
      <w:r w:rsidR="00437088">
        <w:rPr>
          <w:szCs w:val="26"/>
        </w:rPr>
        <w:t>p</w:t>
      </w:r>
      <w:r w:rsidR="004115E9">
        <w:rPr>
          <w:szCs w:val="26"/>
        </w:rPr>
        <w:t>p. 219-220 (</w:t>
      </w:r>
      <w:r w:rsidR="00E56863">
        <w:rPr>
          <w:szCs w:val="26"/>
        </w:rPr>
        <w:t xml:space="preserve">conc. opn. of </w:t>
      </w:r>
      <w:r w:rsidR="004115E9" w:rsidRPr="004115E9">
        <w:rPr>
          <w:szCs w:val="26"/>
        </w:rPr>
        <w:t>Scalia, J.) [</w:t>
      </w:r>
      <w:r w:rsidR="00740305">
        <w:rPr>
          <w:szCs w:val="26"/>
        </w:rPr>
        <w:t>providing examples; p</w:t>
      </w:r>
      <w:r w:rsidR="004115E9" w:rsidRPr="004115E9">
        <w:rPr>
          <w:szCs w:val="26"/>
        </w:rPr>
        <w:t xml:space="preserve">rimary retroactivity </w:t>
      </w:r>
      <w:r w:rsidR="004115E9">
        <w:rPr>
          <w:szCs w:val="26"/>
        </w:rPr>
        <w:t xml:space="preserve">includes </w:t>
      </w:r>
      <w:r w:rsidR="004115E9" w:rsidRPr="004115E9">
        <w:rPr>
          <w:szCs w:val="26"/>
        </w:rPr>
        <w:t>chang</w:t>
      </w:r>
      <w:r w:rsidR="004115E9">
        <w:rPr>
          <w:szCs w:val="26"/>
        </w:rPr>
        <w:t xml:space="preserve">e to </w:t>
      </w:r>
      <w:r w:rsidR="004115E9" w:rsidRPr="004115E9">
        <w:rPr>
          <w:szCs w:val="26"/>
        </w:rPr>
        <w:t xml:space="preserve">“reimbursement </w:t>
      </w:r>
      <w:r w:rsidR="00740305">
        <w:rPr>
          <w:szCs w:val="26"/>
        </w:rPr>
        <w:t xml:space="preserve">. . . </w:t>
      </w:r>
      <w:r w:rsidR="004115E9" w:rsidRPr="004115E9">
        <w:rPr>
          <w:szCs w:val="26"/>
        </w:rPr>
        <w:t xml:space="preserve">for already-provided Medicare services” </w:t>
      </w:r>
      <w:r w:rsidR="004115E9">
        <w:rPr>
          <w:szCs w:val="26"/>
        </w:rPr>
        <w:t>and</w:t>
      </w:r>
      <w:r w:rsidR="004115E9" w:rsidRPr="004115E9">
        <w:rPr>
          <w:szCs w:val="26"/>
        </w:rPr>
        <w:t xml:space="preserve"> </w:t>
      </w:r>
      <w:r w:rsidR="004115E9">
        <w:rPr>
          <w:szCs w:val="26"/>
        </w:rPr>
        <w:t>attempt</w:t>
      </w:r>
      <w:r w:rsidR="004115E9" w:rsidRPr="004115E9">
        <w:rPr>
          <w:szCs w:val="26"/>
        </w:rPr>
        <w:t xml:space="preserve"> to “recoup . . . funds</w:t>
      </w:r>
      <w:r w:rsidR="00740305">
        <w:rPr>
          <w:szCs w:val="26"/>
        </w:rPr>
        <w:t>”</w:t>
      </w:r>
      <w:r w:rsidR="004115E9" w:rsidRPr="004115E9">
        <w:rPr>
          <w:szCs w:val="26"/>
        </w:rPr>
        <w:t xml:space="preserve"> paid to hospitals,</w:t>
      </w:r>
      <w:r w:rsidR="00740305">
        <w:rPr>
          <w:szCs w:val="26"/>
        </w:rPr>
        <w:t xml:space="preserve"> </w:t>
      </w:r>
      <w:r w:rsidR="00BF2320">
        <w:rPr>
          <w:szCs w:val="26"/>
        </w:rPr>
        <w:t>and</w:t>
      </w:r>
      <w:r w:rsidR="004115E9" w:rsidRPr="004115E9">
        <w:rPr>
          <w:szCs w:val="26"/>
        </w:rPr>
        <w:t xml:space="preserve"> </w:t>
      </w:r>
      <w:r w:rsidR="00740305">
        <w:rPr>
          <w:szCs w:val="26"/>
        </w:rPr>
        <w:t>s</w:t>
      </w:r>
      <w:r w:rsidR="004115E9" w:rsidRPr="004115E9">
        <w:rPr>
          <w:szCs w:val="26"/>
        </w:rPr>
        <w:t xml:space="preserve">econdary </w:t>
      </w:r>
      <w:r w:rsidR="004115E9" w:rsidRPr="004115E9">
        <w:rPr>
          <w:szCs w:val="26"/>
        </w:rPr>
        <w:lastRenderedPageBreak/>
        <w:t>retroactivity</w:t>
      </w:r>
      <w:r w:rsidR="004115E9">
        <w:rPr>
          <w:szCs w:val="26"/>
        </w:rPr>
        <w:t xml:space="preserve"> inclu</w:t>
      </w:r>
      <w:r w:rsidR="00740305">
        <w:rPr>
          <w:szCs w:val="26"/>
        </w:rPr>
        <w:t>d</w:t>
      </w:r>
      <w:r w:rsidR="004115E9">
        <w:rPr>
          <w:szCs w:val="26"/>
        </w:rPr>
        <w:t xml:space="preserve">es </w:t>
      </w:r>
      <w:r w:rsidR="004115E9" w:rsidRPr="004115E9">
        <w:rPr>
          <w:szCs w:val="26"/>
        </w:rPr>
        <w:t xml:space="preserve">rule </w:t>
      </w:r>
      <w:r w:rsidR="00076762">
        <w:rPr>
          <w:szCs w:val="26"/>
        </w:rPr>
        <w:t>“</w:t>
      </w:r>
      <w:r w:rsidR="004115E9" w:rsidRPr="004115E9">
        <w:rPr>
          <w:szCs w:val="26"/>
        </w:rPr>
        <w:t xml:space="preserve">that for </w:t>
      </w:r>
      <w:r w:rsidR="00BF2320">
        <w:rPr>
          <w:szCs w:val="26"/>
        </w:rPr>
        <w:t xml:space="preserve">. . . </w:t>
      </w:r>
      <w:r w:rsidR="004115E9" w:rsidRPr="004115E9">
        <w:rPr>
          <w:szCs w:val="26"/>
        </w:rPr>
        <w:t>future income tax liability</w:t>
      </w:r>
      <w:r w:rsidR="00076762">
        <w:rPr>
          <w:szCs w:val="26"/>
        </w:rPr>
        <w:t>”</w:t>
      </w:r>
      <w:r w:rsidR="004115E9" w:rsidRPr="004115E9">
        <w:rPr>
          <w:szCs w:val="26"/>
        </w:rPr>
        <w:t xml:space="preserve"> treats previously nontaxable trusts as taxable, </w:t>
      </w:r>
      <w:r w:rsidR="00076762">
        <w:rPr>
          <w:szCs w:val="26"/>
        </w:rPr>
        <w:t>“</w:t>
      </w:r>
      <w:r w:rsidR="004115E9" w:rsidRPr="004115E9">
        <w:rPr>
          <w:szCs w:val="26"/>
        </w:rPr>
        <w:t xml:space="preserve">rendering the previously established </w:t>
      </w:r>
      <w:r w:rsidR="004115E9" w:rsidRPr="001F58E3">
        <w:rPr>
          <w:szCs w:val="26"/>
        </w:rPr>
        <w:t>trusts less desirable in the future”].)</w:t>
      </w:r>
      <w:r w:rsidR="008B7124">
        <w:rPr>
          <w:rStyle w:val="FootnoteReference"/>
          <w:szCs w:val="26"/>
        </w:rPr>
        <w:footnoteReference w:id="26"/>
      </w:r>
    </w:p>
    <w:p w14:paraId="1D04C1FE" w14:textId="4991D8D6" w:rsidR="00E73E00" w:rsidRPr="006B20DF" w:rsidRDefault="00C453BC" w:rsidP="00DB5124">
      <w:pPr>
        <w:spacing w:line="360" w:lineRule="auto"/>
        <w:rPr>
          <w:szCs w:val="26"/>
        </w:rPr>
      </w:pPr>
      <w:r w:rsidRPr="001F58E3">
        <w:rPr>
          <w:szCs w:val="26"/>
        </w:rPr>
        <w:tab/>
      </w:r>
      <w:r w:rsidR="00502BED" w:rsidRPr="001F58E3">
        <w:rPr>
          <w:szCs w:val="26"/>
        </w:rPr>
        <w:t xml:space="preserve">Third, </w:t>
      </w:r>
      <w:r w:rsidRPr="001F58E3">
        <w:rPr>
          <w:szCs w:val="26"/>
        </w:rPr>
        <w:t>Appellants</w:t>
      </w:r>
      <w:r>
        <w:rPr>
          <w:szCs w:val="26"/>
        </w:rPr>
        <w:t xml:space="preserve"> cite the Werner </w:t>
      </w:r>
      <w:r w:rsidR="001F58E3">
        <w:rPr>
          <w:szCs w:val="26"/>
        </w:rPr>
        <w:t xml:space="preserve">ratemaking </w:t>
      </w:r>
      <w:r>
        <w:rPr>
          <w:szCs w:val="26"/>
        </w:rPr>
        <w:t xml:space="preserve">treatise to </w:t>
      </w:r>
      <w:r w:rsidR="001F58E3">
        <w:rPr>
          <w:szCs w:val="26"/>
        </w:rPr>
        <w:t>contend</w:t>
      </w:r>
      <w:r>
        <w:rPr>
          <w:szCs w:val="26"/>
        </w:rPr>
        <w:t xml:space="preserve"> </w:t>
      </w:r>
      <w:r w:rsidR="00162DDB" w:rsidRPr="006B20DF">
        <w:rPr>
          <w:szCs w:val="26"/>
        </w:rPr>
        <w:t xml:space="preserve">ratemaking is prospective </w:t>
      </w:r>
      <w:r w:rsidR="00927629" w:rsidRPr="006B20DF">
        <w:rPr>
          <w:szCs w:val="26"/>
        </w:rPr>
        <w:t>when</w:t>
      </w:r>
      <w:r>
        <w:rPr>
          <w:szCs w:val="26"/>
        </w:rPr>
        <w:t xml:space="preserve">, as here, it is based on </w:t>
      </w:r>
      <w:r w:rsidR="00927629" w:rsidRPr="006B20DF">
        <w:rPr>
          <w:szCs w:val="26"/>
        </w:rPr>
        <w:t>“past experience to estimate the premium needed for a prospective policy period</w:t>
      </w:r>
      <w:r w:rsidR="00162DDB" w:rsidRPr="006B20DF">
        <w:rPr>
          <w:szCs w:val="26"/>
        </w:rPr>
        <w:t>,</w:t>
      </w:r>
      <w:r w:rsidR="00927629" w:rsidRPr="006B20DF">
        <w:rPr>
          <w:szCs w:val="26"/>
        </w:rPr>
        <w:t>”</w:t>
      </w:r>
      <w:r w:rsidR="00391A24">
        <w:rPr>
          <w:szCs w:val="26"/>
        </w:rPr>
        <w:t xml:space="preserve"> </w:t>
      </w:r>
      <w:r>
        <w:rPr>
          <w:szCs w:val="26"/>
        </w:rPr>
        <w:t>whereas it would be</w:t>
      </w:r>
      <w:r w:rsidR="00162DDB" w:rsidRPr="006B20DF">
        <w:rPr>
          <w:szCs w:val="26"/>
        </w:rPr>
        <w:t xml:space="preserve"> </w:t>
      </w:r>
      <w:r w:rsidR="00391A24" w:rsidRPr="00391A24">
        <w:rPr>
          <w:szCs w:val="26"/>
        </w:rPr>
        <w:t xml:space="preserve">retrospective </w:t>
      </w:r>
      <w:r>
        <w:rPr>
          <w:szCs w:val="26"/>
        </w:rPr>
        <w:t>if</w:t>
      </w:r>
      <w:r w:rsidR="00391A24" w:rsidRPr="00391A24">
        <w:rPr>
          <w:szCs w:val="26"/>
        </w:rPr>
        <w:t xml:space="preserve"> based on “actual experience during the policy period</w:t>
      </w:r>
      <w:r>
        <w:rPr>
          <w:szCs w:val="26"/>
        </w:rPr>
        <w:t>.</w:t>
      </w:r>
      <w:r w:rsidR="00391A24">
        <w:rPr>
          <w:szCs w:val="26"/>
        </w:rPr>
        <w:t>”</w:t>
      </w:r>
      <w:r>
        <w:rPr>
          <w:szCs w:val="26"/>
        </w:rPr>
        <w:t xml:space="preserve"> </w:t>
      </w:r>
      <w:r w:rsidR="00391A24">
        <w:rPr>
          <w:szCs w:val="26"/>
        </w:rPr>
        <w:t xml:space="preserve"> </w:t>
      </w:r>
      <w:r w:rsidR="001F58E3">
        <w:rPr>
          <w:szCs w:val="26"/>
        </w:rPr>
        <w:t xml:space="preserve">But the treatise focuses on ratemaking methodology generally, not retroactivity under California law.  And, regardless, both prospective and retroactive ratemaking use data; the difference is what the data is used </w:t>
      </w:r>
      <w:r w:rsidR="001F58E3">
        <w:rPr>
          <w:i/>
          <w:iCs/>
          <w:szCs w:val="26"/>
        </w:rPr>
        <w:t>for</w:t>
      </w:r>
      <w:r w:rsidR="001F58E3">
        <w:rPr>
          <w:szCs w:val="26"/>
        </w:rPr>
        <w:t xml:space="preserve">.  </w:t>
      </w:r>
      <w:r w:rsidR="00600D74" w:rsidRPr="006B20DF">
        <w:rPr>
          <w:szCs w:val="26"/>
        </w:rPr>
        <w:t>(</w:t>
      </w:r>
      <w:r w:rsidR="001F58E3">
        <w:rPr>
          <w:szCs w:val="26"/>
        </w:rPr>
        <w:t xml:space="preserve">See </w:t>
      </w:r>
      <w:r w:rsidR="00600D74" w:rsidRPr="006B20DF">
        <w:rPr>
          <w:i/>
          <w:iCs/>
          <w:szCs w:val="26"/>
        </w:rPr>
        <w:t>20th Century</w:t>
      </w:r>
      <w:r w:rsidR="00600D74" w:rsidRPr="006B20DF">
        <w:rPr>
          <w:szCs w:val="26"/>
        </w:rPr>
        <w:t xml:space="preserve">, </w:t>
      </w:r>
      <w:r w:rsidR="00600D74" w:rsidRPr="006B20DF">
        <w:rPr>
          <w:i/>
          <w:iCs/>
          <w:szCs w:val="26"/>
        </w:rPr>
        <w:t>supra</w:t>
      </w:r>
      <w:r w:rsidR="00600D74" w:rsidRPr="006B20DF">
        <w:rPr>
          <w:szCs w:val="26"/>
        </w:rPr>
        <w:t xml:space="preserve">, 8 Cal.4th at p. 252 </w:t>
      </w:r>
      <w:r w:rsidR="001F58E3">
        <w:rPr>
          <w:szCs w:val="26"/>
        </w:rPr>
        <w:t>[“</w:t>
      </w:r>
      <w:r w:rsidR="001F58E3" w:rsidRPr="001F58E3">
        <w:rPr>
          <w:szCs w:val="26"/>
        </w:rPr>
        <w:t xml:space="preserve">Because the </w:t>
      </w:r>
      <w:r w:rsidR="001F58E3">
        <w:rPr>
          <w:szCs w:val="26"/>
        </w:rPr>
        <w:t>‘</w:t>
      </w:r>
      <w:r w:rsidR="001F58E3" w:rsidRPr="001F58E3">
        <w:rPr>
          <w:szCs w:val="26"/>
        </w:rPr>
        <w:t>prior approval</w:t>
      </w:r>
      <w:r w:rsidR="001F58E3">
        <w:rPr>
          <w:szCs w:val="26"/>
        </w:rPr>
        <w:t>’</w:t>
      </w:r>
      <w:r w:rsidR="001F58E3" w:rsidRPr="001F58E3">
        <w:rPr>
          <w:szCs w:val="26"/>
        </w:rPr>
        <w:t xml:space="preserve"> system concerns rates for the future, its orientation is necessarily prospective.</w:t>
      </w:r>
      <w:r w:rsidR="001F58E3">
        <w:rPr>
          <w:szCs w:val="26"/>
        </w:rPr>
        <w:t xml:space="preserve">  </w:t>
      </w:r>
      <w:r w:rsidR="001F58E3" w:rsidRPr="001F58E3">
        <w:rPr>
          <w:szCs w:val="26"/>
        </w:rPr>
        <w:t>Hence, for review of rates thereunder, the ratemaking formula relies much on projections.</w:t>
      </w:r>
      <w:r w:rsidR="001F58E3">
        <w:rPr>
          <w:szCs w:val="26"/>
        </w:rPr>
        <w:t xml:space="preserve">  [Citations.]</w:t>
      </w:r>
      <w:r w:rsidR="00D576F9">
        <w:rPr>
          <w:szCs w:val="26"/>
        </w:rPr>
        <w:t xml:space="preserve"> </w:t>
      </w:r>
      <w:r w:rsidR="001F58E3">
        <w:rPr>
          <w:szCs w:val="26"/>
        </w:rPr>
        <w:t xml:space="preserve"> </w:t>
      </w:r>
      <w:r w:rsidR="0011593D" w:rsidRPr="0011593D">
        <w:rPr>
          <w:szCs w:val="26"/>
        </w:rPr>
        <w:t>[¶]</w:t>
      </w:r>
      <w:r w:rsidR="0011593D">
        <w:rPr>
          <w:szCs w:val="26"/>
        </w:rPr>
        <w:t xml:space="preserve">  </w:t>
      </w:r>
      <w:r w:rsidR="001F58E3" w:rsidRPr="001F58E3">
        <w:rPr>
          <w:szCs w:val="26"/>
        </w:rPr>
        <w:t>By contrast, because the rate rollback concerns rates for a period that has passed, its orientation is retrospective.</w:t>
      </w:r>
      <w:r w:rsidR="00D576F9">
        <w:rPr>
          <w:szCs w:val="26"/>
        </w:rPr>
        <w:t xml:space="preserve"> </w:t>
      </w:r>
      <w:r w:rsidR="001F58E3" w:rsidRPr="001F58E3">
        <w:rPr>
          <w:szCs w:val="26"/>
        </w:rPr>
        <w:t xml:space="preserve"> Hence, for review of rates thereunder, the ratemaking formula relies much on actual historical data.</w:t>
      </w:r>
      <w:r w:rsidR="001F58E3">
        <w:rPr>
          <w:szCs w:val="26"/>
        </w:rPr>
        <w:t>”].)</w:t>
      </w:r>
      <w:r w:rsidR="00614E4E">
        <w:rPr>
          <w:szCs w:val="26"/>
        </w:rPr>
        <w:t xml:space="preserve">  To the extent the Commissioner </w:t>
      </w:r>
      <w:r w:rsidR="00614E4E">
        <w:rPr>
          <w:szCs w:val="26"/>
        </w:rPr>
        <w:lastRenderedPageBreak/>
        <w:t>used past data to impose a rate for a “period that has passed”—as he did here—the resulting order is retroactive.  (</w:t>
      </w:r>
      <w:r w:rsidR="00614E4E">
        <w:rPr>
          <w:i/>
          <w:iCs/>
          <w:szCs w:val="26"/>
        </w:rPr>
        <w:t>Ibid.</w:t>
      </w:r>
      <w:r w:rsidR="00614E4E">
        <w:rPr>
          <w:szCs w:val="26"/>
        </w:rPr>
        <w:t>)</w:t>
      </w:r>
    </w:p>
    <w:p w14:paraId="5A92FD4C" w14:textId="70F5F933" w:rsidR="008F2617" w:rsidRDefault="00BF4002" w:rsidP="00DB5124">
      <w:pPr>
        <w:spacing w:line="360" w:lineRule="auto"/>
        <w:rPr>
          <w:szCs w:val="26"/>
        </w:rPr>
      </w:pPr>
      <w:r w:rsidRPr="006B20DF">
        <w:rPr>
          <w:szCs w:val="26"/>
        </w:rPr>
        <w:tab/>
      </w:r>
      <w:r w:rsidR="00DF0B14">
        <w:rPr>
          <w:szCs w:val="26"/>
        </w:rPr>
        <w:t>Finally</w:t>
      </w:r>
      <w:r w:rsidR="006D0CD5" w:rsidRPr="008F2617">
        <w:rPr>
          <w:szCs w:val="26"/>
        </w:rPr>
        <w:t xml:space="preserve">, Appellants </w:t>
      </w:r>
      <w:r w:rsidR="00825619" w:rsidRPr="008F2617">
        <w:rPr>
          <w:szCs w:val="26"/>
        </w:rPr>
        <w:t>contend</w:t>
      </w:r>
      <w:r w:rsidR="00FA41E3" w:rsidRPr="008F2617">
        <w:rPr>
          <w:szCs w:val="26"/>
        </w:rPr>
        <w:t xml:space="preserve"> the Notice of Hearing, issued June 22,</w:t>
      </w:r>
      <w:r w:rsidR="00FA41E3" w:rsidRPr="006B20DF">
        <w:rPr>
          <w:szCs w:val="26"/>
        </w:rPr>
        <w:t xml:space="preserve"> 2015, “</w:t>
      </w:r>
      <w:r w:rsidR="00927629" w:rsidRPr="006B20DF">
        <w:rPr>
          <w:szCs w:val="26"/>
        </w:rPr>
        <w:t>provisionally advis</w:t>
      </w:r>
      <w:r w:rsidR="00FA41E3" w:rsidRPr="006B20DF">
        <w:rPr>
          <w:szCs w:val="26"/>
        </w:rPr>
        <w:t>[ed</w:t>
      </w:r>
      <w:r w:rsidR="00577D0E">
        <w:rPr>
          <w:szCs w:val="26"/>
        </w:rPr>
        <w:t>]</w:t>
      </w:r>
      <w:r w:rsidR="00FA41E3" w:rsidRPr="006B20DF">
        <w:rPr>
          <w:szCs w:val="26"/>
        </w:rPr>
        <w:t xml:space="preserve"> [SFG]</w:t>
      </w:r>
      <w:r w:rsidR="00927629" w:rsidRPr="006B20DF">
        <w:rPr>
          <w:szCs w:val="26"/>
        </w:rPr>
        <w:t xml:space="preserve"> that its existing rates were excessive, and that it could be required to issue refunds on excess premiums collected after July 15, 2015.</w:t>
      </w:r>
      <w:r w:rsidR="00577D0E">
        <w:rPr>
          <w:szCs w:val="26"/>
        </w:rPr>
        <w:t>”</w:t>
      </w:r>
      <w:r w:rsidR="00FA41E3" w:rsidRPr="006B20DF">
        <w:rPr>
          <w:szCs w:val="26"/>
        </w:rPr>
        <w:t xml:space="preserve"> </w:t>
      </w:r>
      <w:r w:rsidR="00577D0E">
        <w:rPr>
          <w:szCs w:val="26"/>
        </w:rPr>
        <w:t xml:space="preserve"> The Commissioner contends, in turn, that SFG had options besides charging the prior approved rates during the rate hearing, including “</w:t>
      </w:r>
      <w:r w:rsidR="00577D0E" w:rsidRPr="007355E0">
        <w:rPr>
          <w:szCs w:val="26"/>
        </w:rPr>
        <w:t>approac</w:t>
      </w:r>
      <w:r w:rsidR="00577D0E">
        <w:rPr>
          <w:szCs w:val="26"/>
        </w:rPr>
        <w:t>hing</w:t>
      </w:r>
      <w:r w:rsidR="00577D0E" w:rsidRPr="007355E0">
        <w:rPr>
          <w:szCs w:val="26"/>
        </w:rPr>
        <w:t xml:space="preserve"> </w:t>
      </w:r>
      <w:r w:rsidR="00577D0E">
        <w:rPr>
          <w:szCs w:val="26"/>
        </w:rPr>
        <w:t>[him]</w:t>
      </w:r>
      <w:r w:rsidR="00577D0E" w:rsidRPr="007355E0">
        <w:rPr>
          <w:szCs w:val="26"/>
        </w:rPr>
        <w:t xml:space="preserve"> for an interim rate orde</w:t>
      </w:r>
      <w:r w:rsidR="00577D0E">
        <w:rPr>
          <w:szCs w:val="26"/>
        </w:rPr>
        <w:t xml:space="preserve">r” </w:t>
      </w:r>
      <w:r w:rsidR="00B028E2">
        <w:rPr>
          <w:szCs w:val="26"/>
        </w:rPr>
        <w:t xml:space="preserve">that was </w:t>
      </w:r>
      <w:r w:rsidR="00577D0E" w:rsidRPr="007355E0">
        <w:rPr>
          <w:szCs w:val="26"/>
        </w:rPr>
        <w:t xml:space="preserve">consistent with </w:t>
      </w:r>
      <w:r w:rsidR="00577D0E">
        <w:rPr>
          <w:szCs w:val="26"/>
        </w:rPr>
        <w:t xml:space="preserve">the Notice of Hearing and </w:t>
      </w:r>
      <w:r w:rsidR="00577D0E" w:rsidRPr="0021155C">
        <w:rPr>
          <w:szCs w:val="26"/>
        </w:rPr>
        <w:t>stipulat</w:t>
      </w:r>
      <w:r w:rsidR="00577D0E">
        <w:rPr>
          <w:szCs w:val="26"/>
        </w:rPr>
        <w:t>ing</w:t>
      </w:r>
      <w:r w:rsidR="00577D0E" w:rsidRPr="0021155C">
        <w:rPr>
          <w:szCs w:val="26"/>
        </w:rPr>
        <w:t xml:space="preserve"> to a lower rate. </w:t>
      </w:r>
      <w:r w:rsidR="00577D0E">
        <w:rPr>
          <w:szCs w:val="26"/>
        </w:rPr>
        <w:t xml:space="preserve"> These arguments lack merit.  </w:t>
      </w:r>
      <w:r w:rsidR="00DF684B" w:rsidRPr="006B20DF">
        <w:rPr>
          <w:szCs w:val="26"/>
        </w:rPr>
        <w:t xml:space="preserve">The issue is not that SFG was unaware </w:t>
      </w:r>
      <w:r w:rsidR="00577D0E">
        <w:rPr>
          <w:szCs w:val="26"/>
        </w:rPr>
        <w:t>the Commissioner might order a refund</w:t>
      </w:r>
      <w:r w:rsidR="00DF684B" w:rsidRPr="006B20DF">
        <w:rPr>
          <w:szCs w:val="26"/>
        </w:rPr>
        <w:t xml:space="preserve">; that much </w:t>
      </w:r>
      <w:r w:rsidR="00577D0E">
        <w:rPr>
          <w:szCs w:val="26"/>
        </w:rPr>
        <w:t>was</w:t>
      </w:r>
      <w:r w:rsidR="00DF684B" w:rsidRPr="006B20DF">
        <w:rPr>
          <w:szCs w:val="26"/>
        </w:rPr>
        <w:t xml:space="preserve"> plain from the notice</w:t>
      </w:r>
      <w:r w:rsidR="00CC45F4">
        <w:rPr>
          <w:szCs w:val="26"/>
        </w:rPr>
        <w:t xml:space="preserve"> </w:t>
      </w:r>
      <w:r w:rsidR="00577D0E">
        <w:rPr>
          <w:szCs w:val="26"/>
        </w:rPr>
        <w:t xml:space="preserve">(even if </w:t>
      </w:r>
      <w:r w:rsidR="00087260">
        <w:rPr>
          <w:szCs w:val="26"/>
        </w:rPr>
        <w:t xml:space="preserve">it was </w:t>
      </w:r>
      <w:r w:rsidR="00CC45F4">
        <w:rPr>
          <w:szCs w:val="26"/>
        </w:rPr>
        <w:t xml:space="preserve">vague as to </w:t>
      </w:r>
      <w:r w:rsidR="00577D0E">
        <w:rPr>
          <w:szCs w:val="26"/>
        </w:rPr>
        <w:t xml:space="preserve">how much of a refund </w:t>
      </w:r>
      <w:r w:rsidR="00B028E2">
        <w:rPr>
          <w:szCs w:val="26"/>
        </w:rPr>
        <w:t>might</w:t>
      </w:r>
      <w:r w:rsidR="00577D0E">
        <w:rPr>
          <w:szCs w:val="26"/>
        </w:rPr>
        <w:t xml:space="preserve"> be </w:t>
      </w:r>
      <w:r w:rsidR="008F2617">
        <w:rPr>
          <w:szCs w:val="26"/>
        </w:rPr>
        <w:t>due</w:t>
      </w:r>
      <w:r w:rsidR="00577D0E">
        <w:rPr>
          <w:szCs w:val="26"/>
        </w:rPr>
        <w:t>)</w:t>
      </w:r>
      <w:r w:rsidR="00CC45F4">
        <w:rPr>
          <w:szCs w:val="26"/>
        </w:rPr>
        <w:t xml:space="preserve">. </w:t>
      </w:r>
      <w:r w:rsidR="00DF684B" w:rsidRPr="006B20DF">
        <w:rPr>
          <w:szCs w:val="26"/>
        </w:rPr>
        <w:t xml:space="preserve"> The issue is that SFG </w:t>
      </w:r>
      <w:r w:rsidR="008F2617">
        <w:rPr>
          <w:szCs w:val="26"/>
        </w:rPr>
        <w:t>was required and entitled to</w:t>
      </w:r>
      <w:r w:rsidR="00DF684B" w:rsidRPr="006B20DF">
        <w:rPr>
          <w:szCs w:val="26"/>
        </w:rPr>
        <w:t xml:space="preserve"> charge the approved rate, until a different rate was approved.</w:t>
      </w:r>
      <w:r w:rsidR="009E3239">
        <w:rPr>
          <w:szCs w:val="26"/>
        </w:rPr>
        <w:t xml:space="preserve">  </w:t>
      </w:r>
      <w:r w:rsidR="00577D0E">
        <w:rPr>
          <w:szCs w:val="26"/>
        </w:rPr>
        <w:t xml:space="preserve">The purported </w:t>
      </w:r>
      <w:r w:rsidR="00B028E2">
        <w:rPr>
          <w:szCs w:val="26"/>
        </w:rPr>
        <w:t xml:space="preserve">alternatives </w:t>
      </w:r>
      <w:r w:rsidR="00577D0E">
        <w:rPr>
          <w:szCs w:val="26"/>
        </w:rPr>
        <w:t xml:space="preserve">would have </w:t>
      </w:r>
      <w:r w:rsidR="00E835FF">
        <w:rPr>
          <w:szCs w:val="26"/>
        </w:rPr>
        <w:t>forced</w:t>
      </w:r>
      <w:r w:rsidR="00577D0E">
        <w:rPr>
          <w:szCs w:val="26"/>
        </w:rPr>
        <w:t xml:space="preserve"> SFG to concede the Commissioner’s position, at least during the </w:t>
      </w:r>
      <w:r w:rsidR="008F2617">
        <w:rPr>
          <w:szCs w:val="26"/>
        </w:rPr>
        <w:t>hearing</w:t>
      </w:r>
      <w:r w:rsidR="00577D0E">
        <w:rPr>
          <w:szCs w:val="26"/>
        </w:rPr>
        <w:t>, and to forego the difference in premiums if SFG turned out to be correct.</w:t>
      </w:r>
      <w:r w:rsidR="008F2617">
        <w:rPr>
          <w:szCs w:val="26"/>
        </w:rPr>
        <w:t xml:space="preserve">  Nor </w:t>
      </w:r>
      <w:r w:rsidR="00E835FF">
        <w:rPr>
          <w:szCs w:val="26"/>
        </w:rPr>
        <w:t xml:space="preserve">do </w:t>
      </w:r>
      <w:r w:rsidR="008F2617">
        <w:rPr>
          <w:szCs w:val="26"/>
        </w:rPr>
        <w:t xml:space="preserve">we find it relevant that SFG identified the July 15, 2015 date in its application, as CW notes.  SFG unsuccessfully tried to update the date later, </w:t>
      </w:r>
      <w:r w:rsidR="00DF0B14">
        <w:rPr>
          <w:szCs w:val="26"/>
        </w:rPr>
        <w:t>and</w:t>
      </w:r>
      <w:r w:rsidR="008F2617">
        <w:rPr>
          <w:szCs w:val="26"/>
        </w:rPr>
        <w:t xml:space="preserve"> it has consistently disputed the validity of a retroactive rate and refund</w:t>
      </w:r>
      <w:r w:rsidR="008F2617" w:rsidRPr="008F2617">
        <w:rPr>
          <w:szCs w:val="26"/>
        </w:rPr>
        <w:t xml:space="preserve">.  </w:t>
      </w:r>
    </w:p>
    <w:p w14:paraId="540C2626" w14:textId="6495F217" w:rsidR="007355E0" w:rsidRDefault="00577D0E" w:rsidP="00DB5124">
      <w:pPr>
        <w:spacing w:line="360" w:lineRule="auto"/>
        <w:rPr>
          <w:szCs w:val="26"/>
        </w:rPr>
      </w:pPr>
      <w:r>
        <w:rPr>
          <w:szCs w:val="26"/>
        </w:rPr>
        <w:tab/>
        <w:t xml:space="preserve">The cases cited by </w:t>
      </w:r>
      <w:r w:rsidR="00B028E2">
        <w:rPr>
          <w:szCs w:val="26"/>
        </w:rPr>
        <w:t>the Commissioner are of no assistance</w:t>
      </w:r>
      <w:r>
        <w:rPr>
          <w:szCs w:val="26"/>
        </w:rPr>
        <w:t>.</w:t>
      </w:r>
      <w:r w:rsidR="00B028E2">
        <w:rPr>
          <w:szCs w:val="26"/>
        </w:rPr>
        <w:t xml:space="preserve"> </w:t>
      </w:r>
      <w:r>
        <w:rPr>
          <w:szCs w:val="26"/>
        </w:rPr>
        <w:t xml:space="preserve"> </w:t>
      </w:r>
      <w:r w:rsidR="008F2617">
        <w:rPr>
          <w:szCs w:val="26"/>
        </w:rPr>
        <w:t xml:space="preserve">In </w:t>
      </w:r>
      <w:r w:rsidR="00050596" w:rsidRPr="00EC18B7">
        <w:rPr>
          <w:i/>
          <w:iCs/>
          <w:szCs w:val="26"/>
        </w:rPr>
        <w:t>In re</w:t>
      </w:r>
      <w:r w:rsidR="00050596">
        <w:rPr>
          <w:szCs w:val="26"/>
        </w:rPr>
        <w:t xml:space="preserve"> </w:t>
      </w:r>
      <w:r w:rsidRPr="006B20DF">
        <w:rPr>
          <w:i/>
          <w:iCs/>
          <w:szCs w:val="26"/>
        </w:rPr>
        <w:t>Marriage of Economou</w:t>
      </w:r>
      <w:r w:rsidRPr="006B20DF">
        <w:rPr>
          <w:szCs w:val="26"/>
        </w:rPr>
        <w:t xml:space="preserve"> (1990) 224 Cal.App.3d 1466, </w:t>
      </w:r>
      <w:r w:rsidR="008F2617">
        <w:rPr>
          <w:szCs w:val="26"/>
        </w:rPr>
        <w:t>t</w:t>
      </w:r>
      <w:r w:rsidR="00E7229B" w:rsidRPr="006B20DF">
        <w:rPr>
          <w:szCs w:val="26"/>
        </w:rPr>
        <w:t xml:space="preserve">he </w:t>
      </w:r>
      <w:r w:rsidR="007F4C04" w:rsidRPr="006B20DF">
        <w:rPr>
          <w:szCs w:val="26"/>
        </w:rPr>
        <w:t>C</w:t>
      </w:r>
      <w:r w:rsidR="00E7229B" w:rsidRPr="006B20DF">
        <w:rPr>
          <w:szCs w:val="26"/>
        </w:rPr>
        <w:t>ourt</w:t>
      </w:r>
      <w:r w:rsidR="007F4C04" w:rsidRPr="006B20DF">
        <w:rPr>
          <w:szCs w:val="26"/>
        </w:rPr>
        <w:t xml:space="preserve"> of Appeal affirmed an order </w:t>
      </w:r>
      <w:r w:rsidR="00E835FF">
        <w:rPr>
          <w:szCs w:val="26"/>
        </w:rPr>
        <w:t>requiring the</w:t>
      </w:r>
      <w:r w:rsidR="007F4C04" w:rsidRPr="006B20DF">
        <w:rPr>
          <w:szCs w:val="26"/>
        </w:rPr>
        <w:t xml:space="preserve"> husband to pay retroactive</w:t>
      </w:r>
      <w:r w:rsidR="00E7229B" w:rsidRPr="006B20DF">
        <w:rPr>
          <w:szCs w:val="26"/>
        </w:rPr>
        <w:t xml:space="preserve"> support</w:t>
      </w:r>
      <w:r w:rsidR="007F4C04" w:rsidRPr="006B20DF">
        <w:rPr>
          <w:szCs w:val="26"/>
        </w:rPr>
        <w:t>, based on his fraudulent conduct.  (</w:t>
      </w:r>
      <w:r w:rsidR="008F2617">
        <w:rPr>
          <w:i/>
          <w:iCs/>
          <w:szCs w:val="26"/>
        </w:rPr>
        <w:t>Id.</w:t>
      </w:r>
      <w:r w:rsidR="008F2617">
        <w:rPr>
          <w:szCs w:val="26"/>
        </w:rPr>
        <w:t xml:space="preserve"> </w:t>
      </w:r>
      <w:r w:rsidR="007F4C04" w:rsidRPr="006B20DF">
        <w:rPr>
          <w:szCs w:val="26"/>
        </w:rPr>
        <w:t xml:space="preserve">at </w:t>
      </w:r>
      <w:r w:rsidR="007F4C04" w:rsidRPr="00220510">
        <w:rPr>
          <w:szCs w:val="26"/>
        </w:rPr>
        <w:t>p. 1477.)  The court explained child support can be retroactive</w:t>
      </w:r>
      <w:r w:rsidR="008F2617" w:rsidRPr="00220510">
        <w:rPr>
          <w:szCs w:val="26"/>
        </w:rPr>
        <w:t xml:space="preserve"> and</w:t>
      </w:r>
      <w:r w:rsidR="007F4C04" w:rsidRPr="00220510">
        <w:rPr>
          <w:szCs w:val="26"/>
        </w:rPr>
        <w:t xml:space="preserve"> spousal support is subject to modification</w:t>
      </w:r>
      <w:r w:rsidR="00412AB4" w:rsidRPr="00220510">
        <w:rPr>
          <w:szCs w:val="26"/>
        </w:rPr>
        <w:t xml:space="preserve">, </w:t>
      </w:r>
      <w:r w:rsidR="00231393">
        <w:rPr>
          <w:szCs w:val="26"/>
        </w:rPr>
        <w:t xml:space="preserve">citing applicable statutes, </w:t>
      </w:r>
      <w:r w:rsidR="00412AB4" w:rsidRPr="00220510">
        <w:rPr>
          <w:szCs w:val="26"/>
        </w:rPr>
        <w:t xml:space="preserve">and </w:t>
      </w:r>
      <w:r w:rsidR="007F4C04" w:rsidRPr="00220510">
        <w:rPr>
          <w:szCs w:val="26"/>
        </w:rPr>
        <w:t xml:space="preserve">the family court had </w:t>
      </w:r>
      <w:r w:rsidR="00220510">
        <w:rPr>
          <w:szCs w:val="26"/>
        </w:rPr>
        <w:t>given</w:t>
      </w:r>
      <w:r w:rsidR="007F4C04" w:rsidRPr="00220510">
        <w:rPr>
          <w:szCs w:val="26"/>
        </w:rPr>
        <w:t xml:space="preserve"> notice retroactivity might be considered</w:t>
      </w:r>
      <w:r w:rsidR="00E7229B" w:rsidRPr="00220510">
        <w:rPr>
          <w:szCs w:val="26"/>
        </w:rPr>
        <w:t>.  (</w:t>
      </w:r>
      <w:r w:rsidR="00E7229B" w:rsidRPr="00220510">
        <w:rPr>
          <w:i/>
          <w:iCs/>
          <w:szCs w:val="26"/>
        </w:rPr>
        <w:t>Id.</w:t>
      </w:r>
      <w:r w:rsidR="00E7229B" w:rsidRPr="00220510">
        <w:rPr>
          <w:szCs w:val="26"/>
        </w:rPr>
        <w:t xml:space="preserve"> at pp. 1477-1478.)</w:t>
      </w:r>
      <w:r w:rsidR="00E7229B" w:rsidRPr="006B20DF">
        <w:rPr>
          <w:szCs w:val="26"/>
        </w:rPr>
        <w:t xml:space="preserve">  Here, the</w:t>
      </w:r>
      <w:r w:rsidR="00535A9E">
        <w:rPr>
          <w:szCs w:val="26"/>
        </w:rPr>
        <w:t>re is no legal basis</w:t>
      </w:r>
      <w:r w:rsidR="00E7229B" w:rsidRPr="006B20DF">
        <w:rPr>
          <w:szCs w:val="26"/>
        </w:rPr>
        <w:t xml:space="preserve"> </w:t>
      </w:r>
      <w:r w:rsidR="00535A9E">
        <w:rPr>
          <w:szCs w:val="26"/>
        </w:rPr>
        <w:t>for</w:t>
      </w:r>
      <w:r w:rsidR="00E7229B" w:rsidRPr="006B20DF">
        <w:rPr>
          <w:szCs w:val="26"/>
        </w:rPr>
        <w:t xml:space="preserve"> a retroactive</w:t>
      </w:r>
      <w:r w:rsidR="00CA75A4" w:rsidRPr="006B20DF">
        <w:rPr>
          <w:szCs w:val="26"/>
        </w:rPr>
        <w:t xml:space="preserve"> refund</w:t>
      </w:r>
      <w:r w:rsidR="00CE45B5" w:rsidRPr="006B20DF">
        <w:rPr>
          <w:szCs w:val="26"/>
        </w:rPr>
        <w:t xml:space="preserve"> in the first place</w:t>
      </w:r>
      <w:r w:rsidR="00412AB4" w:rsidRPr="006B20DF">
        <w:rPr>
          <w:szCs w:val="26"/>
        </w:rPr>
        <w:t>.</w:t>
      </w:r>
      <w:r w:rsidR="00DF0B14">
        <w:rPr>
          <w:szCs w:val="26"/>
        </w:rPr>
        <w:t xml:space="preserve">  </w:t>
      </w:r>
      <w:r w:rsidR="007E6114">
        <w:rPr>
          <w:i/>
          <w:iCs/>
          <w:szCs w:val="26"/>
        </w:rPr>
        <w:t xml:space="preserve">Pitts v. Perluss </w:t>
      </w:r>
      <w:r w:rsidR="007E6114">
        <w:rPr>
          <w:szCs w:val="26"/>
        </w:rPr>
        <w:t>(1962) 58 Cal.</w:t>
      </w:r>
      <w:r w:rsidR="00471342">
        <w:rPr>
          <w:szCs w:val="26"/>
        </w:rPr>
        <w:t>2d 824</w:t>
      </w:r>
      <w:r w:rsidR="00DF0B14">
        <w:rPr>
          <w:szCs w:val="26"/>
        </w:rPr>
        <w:t xml:space="preserve"> </w:t>
      </w:r>
      <w:r w:rsidR="00471342">
        <w:rPr>
          <w:szCs w:val="26"/>
        </w:rPr>
        <w:t xml:space="preserve">is </w:t>
      </w:r>
      <w:r w:rsidR="00471342">
        <w:rPr>
          <w:szCs w:val="26"/>
        </w:rPr>
        <w:lastRenderedPageBreak/>
        <w:t>likewise distinguishable.  (</w:t>
      </w:r>
      <w:r w:rsidR="00471342">
        <w:rPr>
          <w:i/>
          <w:iCs/>
          <w:szCs w:val="26"/>
        </w:rPr>
        <w:t>Id.</w:t>
      </w:r>
      <w:r w:rsidR="00471342">
        <w:rPr>
          <w:szCs w:val="26"/>
        </w:rPr>
        <w:t xml:space="preserve"> at pp. </w:t>
      </w:r>
      <w:r w:rsidR="003D28DA">
        <w:rPr>
          <w:szCs w:val="26"/>
        </w:rPr>
        <w:t>827-</w:t>
      </w:r>
      <w:r w:rsidR="00471342">
        <w:rPr>
          <w:szCs w:val="26"/>
        </w:rPr>
        <w:t xml:space="preserve">828, 835 [regulation </w:t>
      </w:r>
      <w:r w:rsidR="00DF0B14">
        <w:rPr>
          <w:szCs w:val="26"/>
        </w:rPr>
        <w:t xml:space="preserve">for </w:t>
      </w:r>
      <w:r w:rsidR="00471342">
        <w:rPr>
          <w:szCs w:val="26"/>
        </w:rPr>
        <w:t xml:space="preserve">unemployment compensation disability insurance not retroactive simply because it impacted existing plans; expressly noting </w:t>
      </w:r>
      <w:r w:rsidR="00DF0B14">
        <w:rPr>
          <w:szCs w:val="26"/>
        </w:rPr>
        <w:t xml:space="preserve">no </w:t>
      </w:r>
      <w:r w:rsidR="00471342">
        <w:rPr>
          <w:szCs w:val="26"/>
        </w:rPr>
        <w:t xml:space="preserve">penalty </w:t>
      </w:r>
      <w:r w:rsidR="00DF0B14">
        <w:rPr>
          <w:szCs w:val="26"/>
        </w:rPr>
        <w:t>“</w:t>
      </w:r>
      <w:r w:rsidR="00471342">
        <w:rPr>
          <w:szCs w:val="26"/>
        </w:rPr>
        <w:t>attaches to any past act” and companies just had to “discontinue . . . noncomplying plans or establish complying ones”].)</w:t>
      </w:r>
      <w:r w:rsidR="00DF0B14">
        <w:rPr>
          <w:rStyle w:val="FootnoteReference"/>
          <w:szCs w:val="26"/>
        </w:rPr>
        <w:footnoteReference w:id="27"/>
      </w:r>
      <w:r w:rsidR="00DF0B14">
        <w:rPr>
          <w:szCs w:val="26"/>
        </w:rPr>
        <w:t xml:space="preserve"> </w:t>
      </w:r>
      <w:r w:rsidR="00DF0B14" w:rsidRPr="00DF0B14">
        <w:t xml:space="preserve"> </w:t>
      </w:r>
    </w:p>
    <w:p w14:paraId="71205BF7" w14:textId="77777777" w:rsidR="001D28AD" w:rsidRPr="001D28AD" w:rsidRDefault="001D28AD" w:rsidP="00DB5124">
      <w:pPr>
        <w:pStyle w:val="Heading1"/>
        <w:keepLines w:val="0"/>
        <w:spacing w:before="0" w:line="360" w:lineRule="auto"/>
        <w:contextualSpacing/>
        <w:rPr>
          <w:rFonts w:ascii="Century Schoolbook" w:eastAsia="Calibri" w:hAnsi="Century Schoolbook" w:cs="Times New Roman"/>
          <w:i/>
          <w:color w:val="auto"/>
          <w:sz w:val="26"/>
          <w:szCs w:val="26"/>
        </w:rPr>
      </w:pPr>
      <w:bookmarkStart w:id="22" w:name="_Hlk68597170"/>
      <w:r w:rsidRPr="00A10D34">
        <w:rPr>
          <w:rFonts w:ascii="Century Schoolbook" w:eastAsia="Calibri" w:hAnsi="Century Schoolbook" w:cs="Times New Roman"/>
          <w:iCs/>
          <w:color w:val="auto"/>
          <w:sz w:val="26"/>
          <w:szCs w:val="26"/>
        </w:rPr>
        <w:t>B.</w:t>
      </w:r>
      <w:r w:rsidRPr="00A10D34">
        <w:rPr>
          <w:rFonts w:ascii="Century Schoolbook" w:eastAsia="Calibri" w:hAnsi="Century Schoolbook" w:cs="Times New Roman"/>
          <w:iCs/>
          <w:color w:val="auto"/>
          <w:sz w:val="26"/>
          <w:szCs w:val="26"/>
        </w:rPr>
        <w:tab/>
      </w:r>
      <w:r w:rsidR="0039414C" w:rsidRPr="00A10D34">
        <w:rPr>
          <w:rFonts w:ascii="Century Schoolbook" w:eastAsia="Calibri" w:hAnsi="Century Schoolbook" w:cs="Times New Roman"/>
          <w:i/>
          <w:color w:val="auto"/>
          <w:sz w:val="26"/>
          <w:szCs w:val="26"/>
        </w:rPr>
        <w:t xml:space="preserve">Superior Court’s </w:t>
      </w:r>
      <w:r w:rsidRPr="00A10D34">
        <w:rPr>
          <w:rFonts w:ascii="Century Schoolbook" w:eastAsia="Calibri" w:hAnsi="Century Schoolbook" w:cs="Times New Roman"/>
          <w:i/>
          <w:color w:val="auto"/>
          <w:sz w:val="26"/>
          <w:szCs w:val="26"/>
        </w:rPr>
        <w:t>Remand Order</w:t>
      </w:r>
      <w:r w:rsidRPr="005B3039">
        <w:rPr>
          <w:rFonts w:ascii="Century Schoolbook" w:eastAsia="Calibri" w:hAnsi="Century Schoolbook" w:cs="Times New Roman"/>
          <w:i/>
          <w:color w:val="auto"/>
          <w:sz w:val="26"/>
          <w:szCs w:val="26"/>
        </w:rPr>
        <w:t xml:space="preserve"> </w:t>
      </w:r>
    </w:p>
    <w:p w14:paraId="0174FC9C" w14:textId="77777777" w:rsidR="0023229C" w:rsidRPr="004572CC" w:rsidRDefault="00732F19" w:rsidP="00DB5124">
      <w:pPr>
        <w:spacing w:line="360" w:lineRule="auto"/>
      </w:pPr>
      <w:r>
        <w:tab/>
      </w:r>
      <w:r w:rsidR="00296262">
        <w:t xml:space="preserve">In its cross-appeal, </w:t>
      </w:r>
      <w:r>
        <w:t xml:space="preserve">SFG </w:t>
      </w:r>
      <w:r w:rsidR="00296262">
        <w:t>argues</w:t>
      </w:r>
      <w:r>
        <w:t xml:space="preserve"> the </w:t>
      </w:r>
      <w:r w:rsidR="00296262">
        <w:t xml:space="preserve">superior </w:t>
      </w:r>
      <w:r>
        <w:t xml:space="preserve">court erred </w:t>
      </w:r>
      <w:r w:rsidR="00296262">
        <w:t>by</w:t>
      </w:r>
      <w:r>
        <w:t xml:space="preserve"> remanding to the Commissioner, </w:t>
      </w:r>
      <w:r w:rsidR="00296262">
        <w:t>as there is nothing left for him to determine</w:t>
      </w:r>
      <w:r w:rsidR="00071F69">
        <w:t xml:space="preserve">. </w:t>
      </w:r>
      <w:r w:rsidR="009010F7">
        <w:t xml:space="preserve"> </w:t>
      </w:r>
      <w:r>
        <w:t>We agre</w:t>
      </w:r>
      <w:r w:rsidR="00071F69">
        <w:t>e</w:t>
      </w:r>
      <w:r>
        <w:t>.</w:t>
      </w:r>
    </w:p>
    <w:p w14:paraId="000B931D" w14:textId="77777777" w:rsidR="005A7DED" w:rsidRPr="001D28AD" w:rsidRDefault="001D28AD" w:rsidP="00DB5124">
      <w:pPr>
        <w:pStyle w:val="Heading2"/>
        <w:spacing w:line="360" w:lineRule="auto"/>
        <w:ind w:firstLine="720"/>
        <w:rPr>
          <w:rFonts w:cs="Times New Roman"/>
        </w:rPr>
      </w:pPr>
      <w:r>
        <w:rPr>
          <w:rFonts w:cs="Times New Roman"/>
        </w:rPr>
        <w:t>1</w:t>
      </w:r>
      <w:r w:rsidR="005A7DED" w:rsidRPr="001D28AD">
        <w:rPr>
          <w:rFonts w:cs="Times New Roman"/>
        </w:rPr>
        <w:t>.</w:t>
      </w:r>
      <w:r w:rsidR="005A7DED" w:rsidRPr="001D28AD">
        <w:rPr>
          <w:rFonts w:cs="Times New Roman"/>
        </w:rPr>
        <w:tab/>
      </w:r>
      <w:r w:rsidR="005A7DED" w:rsidRPr="001D28AD">
        <w:rPr>
          <w:rFonts w:cs="Times New Roman"/>
          <w:i/>
          <w:iCs/>
        </w:rPr>
        <w:t>Additional Facts</w:t>
      </w:r>
    </w:p>
    <w:p w14:paraId="571779FB" w14:textId="2572EC7F" w:rsidR="005A7DED" w:rsidRPr="00D55595" w:rsidRDefault="00D374BF" w:rsidP="00DB5124">
      <w:pPr>
        <w:spacing w:line="360" w:lineRule="auto"/>
        <w:rPr>
          <w:highlight w:val="cyan"/>
        </w:rPr>
      </w:pPr>
      <w:r>
        <w:tab/>
      </w:r>
      <w:r w:rsidR="00BC00B3">
        <w:t>In March 2018, t</w:t>
      </w:r>
      <w:r>
        <w:t xml:space="preserve">he </w:t>
      </w:r>
      <w:r w:rsidR="00BC00B3">
        <w:t>superior</w:t>
      </w:r>
      <w:r>
        <w:t xml:space="preserve"> court entered its minute order</w:t>
      </w:r>
      <w:r w:rsidR="00D55595">
        <w:t xml:space="preserve"> setting aside the rate determination and remanding for further proceedings, including on the retroactive rate and refund issue</w:t>
      </w:r>
      <w:r w:rsidR="00BC00B3">
        <w:t>.  In May</w:t>
      </w:r>
      <w:r>
        <w:t xml:space="preserve"> 2018</w:t>
      </w:r>
      <w:r w:rsidR="00395920">
        <w:t>, the Commissioner approved SFG’s application for a new rate</w:t>
      </w:r>
      <w:r w:rsidR="00677590">
        <w:t xml:space="preserve">, set to take </w:t>
      </w:r>
      <w:r w:rsidR="00677590" w:rsidRPr="00D55595">
        <w:t>effect on July 15, 2018</w:t>
      </w:r>
      <w:r w:rsidR="00395920" w:rsidRPr="00D55595">
        <w:t xml:space="preserve">.  </w:t>
      </w:r>
      <w:r w:rsidR="009010F7" w:rsidRPr="00D55595">
        <w:t>That July</w:t>
      </w:r>
      <w:r w:rsidR="00395920" w:rsidRPr="00D55595">
        <w:t>, SFG moved for reconsideration of the</w:t>
      </w:r>
      <w:r w:rsidR="006945E3" w:rsidRPr="00D55595">
        <w:t xml:space="preserve"> remand </w:t>
      </w:r>
      <w:r w:rsidR="008762F8">
        <w:t>order</w:t>
      </w:r>
      <w:r w:rsidR="006945E3" w:rsidRPr="00D55595">
        <w:t xml:space="preserve"> </w:t>
      </w:r>
      <w:r w:rsidR="00395920" w:rsidRPr="00D55595">
        <w:t xml:space="preserve">under </w:t>
      </w:r>
      <w:r w:rsidR="005A7DED" w:rsidRPr="00D55595">
        <w:t>Code of Civil Procedure section 1008, subdivision (b)</w:t>
      </w:r>
      <w:r w:rsidR="00395920" w:rsidRPr="00D55595">
        <w:t xml:space="preserve">, which </w:t>
      </w:r>
      <w:r w:rsidR="0006643B" w:rsidRPr="00D55595">
        <w:t xml:space="preserve">the court </w:t>
      </w:r>
      <w:r w:rsidR="0006643B" w:rsidRPr="005D76CD">
        <w:t xml:space="preserve">denied on timeliness and other grounds. </w:t>
      </w:r>
      <w:r w:rsidR="00D55595" w:rsidRPr="005D76CD">
        <w:t xml:space="preserve"> </w:t>
      </w:r>
      <w:r w:rsidR="009010F7" w:rsidRPr="005D76CD">
        <w:t>The court</w:t>
      </w:r>
      <w:r w:rsidR="00D55595" w:rsidRPr="005D76CD">
        <w:t>’s writ of mandate, issued with the judgment in February 2019, continued to direct the Commissioner to reconsider remanded issues</w:t>
      </w:r>
      <w:r w:rsidR="009010F7" w:rsidRPr="005D76CD">
        <w:t xml:space="preserve">. </w:t>
      </w:r>
    </w:p>
    <w:p w14:paraId="3AAF6B3C" w14:textId="77777777" w:rsidR="005A7DED" w:rsidRPr="001D28AD" w:rsidRDefault="001D28AD" w:rsidP="0087357D">
      <w:pPr>
        <w:pStyle w:val="Heading2"/>
        <w:spacing w:line="360" w:lineRule="auto"/>
        <w:ind w:firstLine="720"/>
        <w:rPr>
          <w:rFonts w:cs="Times New Roman"/>
        </w:rPr>
      </w:pPr>
      <w:r>
        <w:rPr>
          <w:rFonts w:cs="Times New Roman"/>
        </w:rPr>
        <w:lastRenderedPageBreak/>
        <w:t>2</w:t>
      </w:r>
      <w:r w:rsidR="005A7DED" w:rsidRPr="001D28AD">
        <w:rPr>
          <w:rFonts w:cs="Times New Roman"/>
        </w:rPr>
        <w:t>.</w:t>
      </w:r>
      <w:r w:rsidR="005A7DED" w:rsidRPr="001D28AD">
        <w:rPr>
          <w:rFonts w:cs="Times New Roman"/>
        </w:rPr>
        <w:tab/>
      </w:r>
      <w:r w:rsidR="005A7DED" w:rsidRPr="001D28AD">
        <w:rPr>
          <w:rFonts w:cs="Times New Roman"/>
          <w:i/>
          <w:iCs/>
        </w:rPr>
        <w:t>Analysis</w:t>
      </w:r>
    </w:p>
    <w:p w14:paraId="76B1B057" w14:textId="3F073188" w:rsidR="00713866" w:rsidRDefault="00732F19" w:rsidP="0087357D">
      <w:pPr>
        <w:keepNext/>
        <w:spacing w:line="360" w:lineRule="auto"/>
      </w:pPr>
      <w:r>
        <w:tab/>
      </w:r>
      <w:r w:rsidR="00782A32">
        <w:t>As a preliminary matter,</w:t>
      </w:r>
      <w:r w:rsidR="00DB02AB">
        <w:t xml:space="preserve"> </w:t>
      </w:r>
      <w:r w:rsidR="007C16BE">
        <w:t xml:space="preserve">it is unnecessary to resolve </w:t>
      </w:r>
      <w:r w:rsidR="00782A32">
        <w:t xml:space="preserve">SFG’s argument that the </w:t>
      </w:r>
      <w:r w:rsidR="00DA475D">
        <w:t>superior</w:t>
      </w:r>
      <w:r w:rsidR="00782A32">
        <w:t xml:space="preserve"> court erred by deny</w:t>
      </w:r>
      <w:r w:rsidR="005A7DED">
        <w:t>ing its</w:t>
      </w:r>
      <w:r w:rsidR="00782A32">
        <w:t xml:space="preserve"> </w:t>
      </w:r>
      <w:r w:rsidR="00DA475D">
        <w:t xml:space="preserve">reconsideration </w:t>
      </w:r>
      <w:r w:rsidR="00782A32">
        <w:t xml:space="preserve">motion. </w:t>
      </w:r>
      <w:r w:rsidR="005A7DED" w:rsidRPr="00DB02AB">
        <w:t xml:space="preserve"> </w:t>
      </w:r>
      <w:r w:rsidR="00782A32" w:rsidRPr="00DB02AB">
        <w:t xml:space="preserve">CW </w:t>
      </w:r>
      <w:r w:rsidR="00DB02AB">
        <w:t>states</w:t>
      </w:r>
      <w:r w:rsidR="00782A32" w:rsidRPr="00DB02AB">
        <w:t xml:space="preserve"> the issue is irrelevant</w:t>
      </w:r>
      <w:r w:rsidR="00DB02AB">
        <w:t xml:space="preserve"> (while maintaining the court did not err)</w:t>
      </w:r>
      <w:r w:rsidR="00782A32">
        <w:t xml:space="preserve">, </w:t>
      </w:r>
      <w:r w:rsidR="00DB02AB">
        <w:t xml:space="preserve">explaining </w:t>
      </w:r>
      <w:r w:rsidR="00782A32">
        <w:t xml:space="preserve">remand </w:t>
      </w:r>
      <w:r w:rsidR="005A7DED">
        <w:t>can</w:t>
      </w:r>
      <w:r w:rsidR="00782A32">
        <w:t xml:space="preserve"> only be denied if the Commissioner lacked authority to set a retroactive rate</w:t>
      </w:r>
      <w:r w:rsidR="00DB02AB">
        <w:t xml:space="preserve">.  The </w:t>
      </w:r>
      <w:r w:rsidR="005A7DED">
        <w:t xml:space="preserve">Commissioner does not </w:t>
      </w:r>
      <w:r w:rsidR="00006CC6">
        <w:t xml:space="preserve">substantively </w:t>
      </w:r>
      <w:r w:rsidR="005A7DED">
        <w:t xml:space="preserve">address the </w:t>
      </w:r>
      <w:r w:rsidR="00006CC6">
        <w:t>reconsideration motion at all</w:t>
      </w:r>
      <w:r w:rsidR="005A7DED">
        <w:t xml:space="preserve">. </w:t>
      </w:r>
      <w:r w:rsidR="00713866">
        <w:t xml:space="preserve"> We </w:t>
      </w:r>
      <w:r w:rsidR="00006CC6">
        <w:t xml:space="preserve">conclude </w:t>
      </w:r>
      <w:r w:rsidR="00713866">
        <w:t>the need for remand</w:t>
      </w:r>
      <w:r w:rsidR="00006CC6">
        <w:t xml:space="preserve">, if any, </w:t>
      </w:r>
      <w:r w:rsidR="00713866">
        <w:t>is independent of the reconsideration motion</w:t>
      </w:r>
      <w:r w:rsidR="00006CC6">
        <w:t>, and the record reflects no such need exists here</w:t>
      </w:r>
      <w:r w:rsidR="00713866">
        <w:t>.</w:t>
      </w:r>
    </w:p>
    <w:p w14:paraId="19C6E7C1" w14:textId="61830BA0" w:rsidR="00807F20" w:rsidRDefault="00F02847" w:rsidP="00DB5124">
      <w:pPr>
        <w:spacing w:line="360" w:lineRule="auto"/>
      </w:pPr>
      <w:r>
        <w:tab/>
      </w:r>
      <w:r w:rsidR="005B64BC">
        <w:t>The</w:t>
      </w:r>
      <w:r w:rsidR="00713866">
        <w:t xml:space="preserve"> </w:t>
      </w:r>
      <w:r w:rsidR="00050596">
        <w:t xml:space="preserve">propriety </w:t>
      </w:r>
      <w:r w:rsidR="00713866">
        <w:t xml:space="preserve">of </w:t>
      </w:r>
      <w:r w:rsidR="002558E2">
        <w:t>administrative</w:t>
      </w:r>
      <w:r w:rsidR="005B64BC">
        <w:t xml:space="preserve"> proceedings </w:t>
      </w:r>
      <w:r>
        <w:t xml:space="preserve">on remand </w:t>
      </w:r>
      <w:r w:rsidR="00713866">
        <w:t xml:space="preserve">turns on </w:t>
      </w:r>
      <w:r w:rsidR="00FA6D8D">
        <w:t xml:space="preserve">whether anything remains for determination </w:t>
      </w:r>
      <w:r w:rsidR="00485070">
        <w:t>by the agency</w:t>
      </w:r>
      <w:r w:rsidR="00FA6D8D">
        <w:t>.  (Se</w:t>
      </w:r>
      <w:r w:rsidR="001F0B73">
        <w:t xml:space="preserve">e </w:t>
      </w:r>
      <w:r w:rsidR="00FA6D8D" w:rsidRPr="00FA6D8D">
        <w:rPr>
          <w:i/>
          <w:iCs/>
        </w:rPr>
        <w:t>Tripp v. Swoap</w:t>
      </w:r>
      <w:r w:rsidR="00FA6D8D" w:rsidRPr="00FA6D8D">
        <w:t xml:space="preserve"> (1976) 17 Cal.3d 671, 677</w:t>
      </w:r>
      <w:r w:rsidR="00FA6D8D">
        <w:t xml:space="preserve"> </w:t>
      </w:r>
      <w:r w:rsidR="00FA6D8D" w:rsidRPr="00FA6D8D">
        <w:t xml:space="preserve">[no need </w:t>
      </w:r>
      <w:r w:rsidR="00FA6D8D">
        <w:t>for</w:t>
      </w:r>
      <w:r w:rsidR="00FA6D8D" w:rsidRPr="00FA6D8D">
        <w:t xml:space="preserve"> remand </w:t>
      </w:r>
      <w:r w:rsidR="00FA6D8D">
        <w:t>regarding</w:t>
      </w:r>
      <w:r w:rsidR="00FA6D8D" w:rsidRPr="00FA6D8D">
        <w:t xml:space="preserve"> disability benefits</w:t>
      </w:r>
      <w:r w:rsidR="00485070">
        <w:t xml:space="preserve">, as </w:t>
      </w:r>
      <w:r w:rsidR="00FA6D8D" w:rsidRPr="00FA6D8D">
        <w:t xml:space="preserve">there </w:t>
      </w:r>
      <w:r w:rsidR="00485070">
        <w:t>“</w:t>
      </w:r>
      <w:r w:rsidR="00FA6D8D" w:rsidRPr="00FA6D8D">
        <w:t>was no issue remaining on which the trial court could invade the director</w:t>
      </w:r>
      <w:r>
        <w:t>’</w:t>
      </w:r>
      <w:r w:rsidR="00FA6D8D" w:rsidRPr="00FA6D8D">
        <w:t>s discretion</w:t>
      </w:r>
      <w:r w:rsidR="00FA6D8D">
        <w:t>”</w:t>
      </w:r>
      <w:r w:rsidR="00FA6D8D" w:rsidRPr="00FA6D8D">
        <w:t xml:space="preserve">], overruled on other grounds in </w:t>
      </w:r>
      <w:r w:rsidR="00FA6D8D" w:rsidRPr="00FA6D8D">
        <w:rPr>
          <w:i/>
          <w:iCs/>
        </w:rPr>
        <w:t>Frink v. Prod</w:t>
      </w:r>
      <w:r w:rsidR="00FA6D8D" w:rsidRPr="00FA6D8D">
        <w:t xml:space="preserve"> (1982) 31 Cal.3d 166, 180</w:t>
      </w:r>
      <w:r w:rsidR="00FA6D8D">
        <w:t xml:space="preserve">; </w:t>
      </w:r>
      <w:r w:rsidR="00FA6D8D" w:rsidRPr="00FA6D8D">
        <w:rPr>
          <w:i/>
          <w:iCs/>
        </w:rPr>
        <w:t>Ross Gen. Hosp., Inc. v. Lackner</w:t>
      </w:r>
      <w:r w:rsidR="00FA6D8D" w:rsidRPr="00FA6D8D">
        <w:t xml:space="preserve"> (1978) 83 Cal.App.3d 346, 354</w:t>
      </w:r>
      <w:r>
        <w:t xml:space="preserve"> </w:t>
      </w:r>
      <w:r w:rsidR="00FA6D8D" w:rsidRPr="00FA6D8D">
        <w:t>[</w:t>
      </w:r>
      <w:r w:rsidR="00485070">
        <w:t xml:space="preserve">concluding hospital facility regulation was invalid as applied and directing department to issue certificate of exemption to hospital; when </w:t>
      </w:r>
      <w:r w:rsidR="00FA6D8D" w:rsidRPr="00FA6D8D">
        <w:t xml:space="preserve">administrative </w:t>
      </w:r>
      <w:r w:rsidR="009A4AC5">
        <w:t>record “</w:t>
      </w:r>
      <w:r w:rsidR="00FA6D8D" w:rsidRPr="00FA6D8D">
        <w:t>requires as a matter of law that a particular determination be made, the court may order that the agency carry out its legal obligation</w:t>
      </w:r>
      <w:r w:rsidR="009A4AC5">
        <w:t>”]</w:t>
      </w:r>
      <w:r w:rsidR="00485070">
        <w:t>.</w:t>
      </w:r>
      <w:r w:rsidR="009A4AC5">
        <w:t>)</w:t>
      </w:r>
      <w:r w:rsidR="009A4AC5">
        <w:rPr>
          <w:rStyle w:val="FootnoteReference"/>
        </w:rPr>
        <w:footnoteReference w:id="28"/>
      </w:r>
    </w:p>
    <w:p w14:paraId="7EB58B2F" w14:textId="1203F272" w:rsidR="00677590" w:rsidRDefault="00713866" w:rsidP="00DB5124">
      <w:pPr>
        <w:spacing w:line="360" w:lineRule="auto"/>
      </w:pPr>
      <w:r>
        <w:lastRenderedPageBreak/>
        <w:tab/>
        <w:t xml:space="preserve">Here, remand is unnecessary because no further rate determination is needed.  </w:t>
      </w:r>
      <w:r w:rsidR="00485070">
        <w:t xml:space="preserve">There are three time periods: </w:t>
      </w:r>
      <w:r w:rsidR="00C06F24">
        <w:t xml:space="preserve"> </w:t>
      </w:r>
      <w:r w:rsidR="00632652">
        <w:t xml:space="preserve">(i) </w:t>
      </w:r>
      <w:r w:rsidR="00677590">
        <w:t xml:space="preserve">from July 15, 2015, the </w:t>
      </w:r>
      <w:r w:rsidR="00485070">
        <w:t>rate</w:t>
      </w:r>
      <w:r w:rsidR="008F1C85">
        <w:t xml:space="preserve"> commencement date under the</w:t>
      </w:r>
      <w:r w:rsidR="00632652">
        <w:t xml:space="preserve"> Rate Order</w:t>
      </w:r>
      <w:r w:rsidR="008F1C85">
        <w:t xml:space="preserve">, </w:t>
      </w:r>
      <w:r w:rsidR="00677590">
        <w:t>through</w:t>
      </w:r>
      <w:r w:rsidR="008F1C85">
        <w:t xml:space="preserve"> </w:t>
      </w:r>
      <w:r w:rsidR="00170FD0">
        <w:t xml:space="preserve">December 8, </w:t>
      </w:r>
      <w:r w:rsidR="00AC1E89">
        <w:t xml:space="preserve">2016, </w:t>
      </w:r>
      <w:r w:rsidR="008F1C85">
        <w:t xml:space="preserve">the </w:t>
      </w:r>
      <w:r w:rsidR="00485070">
        <w:t>date the Rate Order became effective;</w:t>
      </w:r>
      <w:r w:rsidR="008F1C85">
        <w:t xml:space="preserve"> (ii)</w:t>
      </w:r>
      <w:r w:rsidR="00677590">
        <w:t xml:space="preserve"> between </w:t>
      </w:r>
      <w:r w:rsidR="008F1C85">
        <w:t>December 8, 2016</w:t>
      </w:r>
      <w:r w:rsidR="00677590">
        <w:t xml:space="preserve"> and </w:t>
      </w:r>
      <w:r w:rsidR="00170FD0">
        <w:t xml:space="preserve">July 15, 2018, </w:t>
      </w:r>
      <w:r w:rsidR="00677590">
        <w:t>the date SFG’s new</w:t>
      </w:r>
      <w:r w:rsidR="00170FD0">
        <w:t>ly approved</w:t>
      </w:r>
      <w:r w:rsidR="00677590">
        <w:t xml:space="preserve"> rate took effec</w:t>
      </w:r>
      <w:r w:rsidR="00170FD0">
        <w:t>t</w:t>
      </w:r>
      <w:r w:rsidR="00677590">
        <w:t xml:space="preserve">, </w:t>
      </w:r>
      <w:r w:rsidR="00170FD0">
        <w:t>during which</w:t>
      </w:r>
      <w:r w:rsidR="00677590">
        <w:t xml:space="preserve"> SFG charged rates consistent with the Rate Order</w:t>
      </w:r>
      <w:r w:rsidR="008F1C85">
        <w:t xml:space="preserve">; and (iii) </w:t>
      </w:r>
      <w:r w:rsidR="00677590">
        <w:t xml:space="preserve">after </w:t>
      </w:r>
      <w:r w:rsidR="008F1C85">
        <w:t xml:space="preserve">July 15, 2018.  For the first period, we </w:t>
      </w:r>
      <w:r w:rsidR="00677590">
        <w:t xml:space="preserve">concluded above that the retroactive rate </w:t>
      </w:r>
      <w:r w:rsidR="00170FD0">
        <w:t>and related</w:t>
      </w:r>
      <w:r w:rsidR="00677590">
        <w:t xml:space="preserve"> refund</w:t>
      </w:r>
      <w:r w:rsidR="00170FD0">
        <w:t xml:space="preserve"> were invalid</w:t>
      </w:r>
      <w:r w:rsidR="00677590">
        <w:t>, obviating the need for recalculation</w:t>
      </w:r>
      <w:r w:rsidR="00C77078">
        <w:t>.</w:t>
      </w:r>
      <w:r w:rsidR="00170FD0">
        <w:t xml:space="preserve">  </w:t>
      </w:r>
      <w:r w:rsidR="00677590">
        <w:t>F</w:t>
      </w:r>
      <w:r w:rsidR="008F1C85">
        <w:t>or the second period, SFG</w:t>
      </w:r>
      <w:r w:rsidR="00C77078">
        <w:t xml:space="preserve"> </w:t>
      </w:r>
      <w:r w:rsidR="00170FD0">
        <w:t>represents it</w:t>
      </w:r>
      <w:r w:rsidR="00C77078">
        <w:t xml:space="preserve"> cannot recover </w:t>
      </w:r>
      <w:r w:rsidR="00677590">
        <w:t xml:space="preserve">amounts </w:t>
      </w:r>
      <w:r w:rsidR="00170FD0">
        <w:t xml:space="preserve">lost due to </w:t>
      </w:r>
      <w:r w:rsidR="00677590">
        <w:t>applying the reduced rate</w:t>
      </w:r>
      <w:r w:rsidR="00170FD0">
        <w:t>s</w:t>
      </w:r>
      <w:r w:rsidR="00677590">
        <w:t xml:space="preserve">, so there </w:t>
      </w:r>
      <w:r w:rsidR="00170FD0">
        <w:t>is also n</w:t>
      </w:r>
      <w:r w:rsidR="00677590">
        <w:t>o need for recalculation</w:t>
      </w:r>
      <w:r w:rsidR="00C77078" w:rsidRPr="00170FD0">
        <w:t xml:space="preserve">. </w:t>
      </w:r>
      <w:r w:rsidR="00C77078">
        <w:t xml:space="preserve"> </w:t>
      </w:r>
      <w:r w:rsidR="00677590">
        <w:t>For the third period</w:t>
      </w:r>
      <w:r w:rsidR="008F1C85">
        <w:t xml:space="preserve">, </w:t>
      </w:r>
      <w:r w:rsidR="00677590">
        <w:t xml:space="preserve">SFG </w:t>
      </w:r>
      <w:r w:rsidR="00170FD0">
        <w:t xml:space="preserve">had </w:t>
      </w:r>
      <w:r w:rsidR="00677590">
        <w:t xml:space="preserve">obtained a rate increase in 2018, so there is nothing to </w:t>
      </w:r>
      <w:r w:rsidR="00C05224">
        <w:t>re</w:t>
      </w:r>
      <w:r w:rsidR="00677590">
        <w:t xml:space="preserve">calculate </w:t>
      </w:r>
      <w:r w:rsidR="00C05224">
        <w:t>there</w:t>
      </w:r>
      <w:r w:rsidR="00677590">
        <w:t>, either.</w:t>
      </w:r>
    </w:p>
    <w:p w14:paraId="15A9937F" w14:textId="538B112B" w:rsidR="00920965" w:rsidRDefault="00807F20" w:rsidP="00DB5124">
      <w:pPr>
        <w:spacing w:line="360" w:lineRule="auto"/>
      </w:pPr>
      <w:r>
        <w:tab/>
      </w:r>
      <w:r w:rsidR="002E5820" w:rsidRPr="00BC0E11">
        <w:t>Appellants’ arguments for remand are not persuasive.</w:t>
      </w:r>
      <w:r w:rsidRPr="00BC0E11">
        <w:t xml:space="preserve">  </w:t>
      </w:r>
      <w:r w:rsidR="00BC0E11">
        <w:t>First</w:t>
      </w:r>
      <w:r>
        <w:t xml:space="preserve">, </w:t>
      </w:r>
      <w:r w:rsidR="00517CA0">
        <w:t xml:space="preserve">they </w:t>
      </w:r>
      <w:r w:rsidR="002F7D49">
        <w:t>argue</w:t>
      </w:r>
      <w:r w:rsidR="00517CA0">
        <w:t xml:space="preserve"> remand</w:t>
      </w:r>
      <w:r w:rsidR="001F0B73">
        <w:t xml:space="preserve"> is needed </w:t>
      </w:r>
      <w:r w:rsidR="00BC0E11">
        <w:t>so the</w:t>
      </w:r>
      <w:r w:rsidR="001F0B73">
        <w:t xml:space="preserve"> Commissioner </w:t>
      </w:r>
      <w:r w:rsidR="00BC0E11">
        <w:t>can</w:t>
      </w:r>
      <w:r w:rsidR="001F0B73">
        <w:t xml:space="preserve"> determine </w:t>
      </w:r>
      <w:r w:rsidR="00BC0E11">
        <w:t>a</w:t>
      </w:r>
      <w:r w:rsidR="001F0B73">
        <w:t xml:space="preserve"> rate</w:t>
      </w:r>
      <w:r w:rsidR="00BC0E11">
        <w:t xml:space="preserve"> and refund amount</w:t>
      </w:r>
      <w:r w:rsidR="001F0B73">
        <w:t xml:space="preserve"> for the first period</w:t>
      </w:r>
      <w:r w:rsidR="002F7D49">
        <w:t>.  This argument falls with our determination that the retroactive rate and refund were impermissible.  Second</w:t>
      </w:r>
      <w:r w:rsidR="002F7D49" w:rsidRPr="00BC0E11">
        <w:t>, the</w:t>
      </w:r>
      <w:r w:rsidR="002F7D49">
        <w:t xml:space="preserve"> Commissioner cites Code of Civil Procedure </w:t>
      </w:r>
      <w:r w:rsidR="002F7D49" w:rsidRPr="00807F20">
        <w:t>section 1094.5</w:t>
      </w:r>
      <w:r w:rsidR="002F7D49">
        <w:t xml:space="preserve">, which applies to administrative mandate matters, and argues </w:t>
      </w:r>
      <w:r w:rsidR="002F7D49" w:rsidRPr="00807F20">
        <w:t>the judgment “shall not limit or control in any way the discretion legally vested in the respondent</w:t>
      </w:r>
      <w:r w:rsidR="002F7D49">
        <w:t>.</w:t>
      </w:r>
      <w:r w:rsidR="002F7D49" w:rsidRPr="00807F20">
        <w:t>”</w:t>
      </w:r>
      <w:r w:rsidR="00C06F24">
        <w:t xml:space="preserve"> </w:t>
      </w:r>
      <w:r w:rsidR="002F7D49">
        <w:t xml:space="preserve"> (§ 1094.5, subd. (f).) </w:t>
      </w:r>
      <w:r w:rsidR="006534BC">
        <w:t xml:space="preserve"> </w:t>
      </w:r>
      <w:r w:rsidR="002F7D49">
        <w:t xml:space="preserve">No such limit </w:t>
      </w:r>
      <w:r w:rsidR="00C05224">
        <w:t>is at issue</w:t>
      </w:r>
      <w:r w:rsidR="002F7D49">
        <w:t xml:space="preserve"> here, because there is no discretion left to exercise.  (Cf. </w:t>
      </w:r>
      <w:r w:rsidR="002F7D49">
        <w:rPr>
          <w:i/>
          <w:iCs/>
        </w:rPr>
        <w:t xml:space="preserve">Horwitz v. City of Los Angeles </w:t>
      </w:r>
      <w:r w:rsidR="002F7D49">
        <w:t>(2004) 124 Cal.App.4th 1344, 1355 [rejecting argument in zoning dispute that trial court erred by ordering city to revoke permits, rather than remanding; explaining there was “</w:t>
      </w:r>
      <w:r w:rsidR="002F7D49" w:rsidRPr="00245282">
        <w:t>no discretion involved in the application of the formula to the measurements at issue</w:t>
      </w:r>
      <w:r w:rsidR="002F7D49">
        <w:t xml:space="preserve">” under the zoning ordinance].)  </w:t>
      </w:r>
      <w:r w:rsidR="00812095">
        <w:t>Finally, the</w:t>
      </w:r>
      <w:r w:rsidR="001F0B73">
        <w:t xml:space="preserve"> Commissioner </w:t>
      </w:r>
      <w:r w:rsidR="002F7D49">
        <w:t>states</w:t>
      </w:r>
      <w:r w:rsidR="00DB4918">
        <w:t xml:space="preserve"> </w:t>
      </w:r>
      <w:r w:rsidR="006D47B2">
        <w:t>he designated the Rate Order as precedential</w:t>
      </w:r>
      <w:r w:rsidR="00AC1E89">
        <w:t>,</w:t>
      </w:r>
      <w:r w:rsidR="002F7D49">
        <w:t xml:space="preserve"> he</w:t>
      </w:r>
      <w:r w:rsidR="006D47B2">
        <w:t xml:space="preserve"> “must . . . determine what to do” with it</w:t>
      </w:r>
      <w:r w:rsidR="00AC1E89">
        <w:t>,</w:t>
      </w:r>
      <w:r w:rsidR="006D47B2">
        <w:t xml:space="preserve"> and the “</w:t>
      </w:r>
      <w:r w:rsidR="00EE79D0" w:rsidRPr="001F0B73">
        <w:t xml:space="preserve">answer may not be as simple as </w:t>
      </w:r>
      <w:r w:rsidR="00EE79D0" w:rsidRPr="001F0B73">
        <w:lastRenderedPageBreak/>
        <w:t>merely setting it aside</w:t>
      </w:r>
      <w:r w:rsidR="00EE79D0" w:rsidRPr="005630A2">
        <w:t>.</w:t>
      </w:r>
      <w:r w:rsidR="001F0B73">
        <w:t xml:space="preserve">” </w:t>
      </w:r>
      <w:r w:rsidR="00EE79D0" w:rsidRPr="005630A2">
        <w:t xml:space="preserve"> </w:t>
      </w:r>
      <w:r w:rsidR="001F0B73">
        <w:t xml:space="preserve">He </w:t>
      </w:r>
      <w:r w:rsidR="002F7D49">
        <w:t>notes</w:t>
      </w:r>
      <w:r w:rsidR="001F0B73">
        <w:t xml:space="preserve"> </w:t>
      </w:r>
      <w:r w:rsidR="002F7D49">
        <w:t xml:space="preserve">SFG did not challenge </w:t>
      </w:r>
      <w:r w:rsidR="001F0B73">
        <w:t xml:space="preserve">some issues </w:t>
      </w:r>
      <w:r w:rsidR="002F7D49">
        <w:t xml:space="preserve">and chose not to </w:t>
      </w:r>
      <w:r w:rsidR="00920965">
        <w:t>keep</w:t>
      </w:r>
      <w:r w:rsidR="002F7D49">
        <w:t xml:space="preserve"> pursuing others, citing the </w:t>
      </w:r>
      <w:r w:rsidR="001F0B73" w:rsidRPr="005630A2">
        <w:t>catastrophe adjustment factor</w:t>
      </w:r>
      <w:r w:rsidR="002F7D49">
        <w:t xml:space="preserve"> and </w:t>
      </w:r>
      <w:r w:rsidR="001F0B73">
        <w:t>leverage factor variance</w:t>
      </w:r>
      <w:r w:rsidR="002F7D49">
        <w:t>, respectively</w:t>
      </w:r>
      <w:r w:rsidR="00920965">
        <w:t xml:space="preserve">.  </w:t>
      </w:r>
      <w:r w:rsidR="00BC569E">
        <w:t>But he</w:t>
      </w:r>
      <w:r w:rsidR="00920965">
        <w:t xml:space="preserve"> does not </w:t>
      </w:r>
      <w:r w:rsidR="00DB4918">
        <w:t>argue</w:t>
      </w:r>
      <w:r w:rsidR="00920965">
        <w:t xml:space="preserve"> these or any other issues </w:t>
      </w:r>
      <w:r w:rsidR="00920965" w:rsidRPr="006D47B2">
        <w:rPr>
          <w:i/>
          <w:iCs/>
        </w:rPr>
        <w:t>should</w:t>
      </w:r>
      <w:r w:rsidR="00920965">
        <w:rPr>
          <w:i/>
          <w:iCs/>
        </w:rPr>
        <w:t xml:space="preserve"> </w:t>
      </w:r>
      <w:r w:rsidR="00920965">
        <w:t xml:space="preserve">be </w:t>
      </w:r>
      <w:r w:rsidR="00920965" w:rsidRPr="006A25FB">
        <w:t>precedential</w:t>
      </w:r>
      <w:r w:rsidR="00BC569E">
        <w:t>; instead, he summarily asserts</w:t>
      </w:r>
      <w:r w:rsidR="00920965">
        <w:t xml:space="preserve"> </w:t>
      </w:r>
      <w:r w:rsidR="00920965" w:rsidRPr="006A25FB">
        <w:t xml:space="preserve">he </w:t>
      </w:r>
      <w:r w:rsidR="00920965">
        <w:t>“</w:t>
      </w:r>
      <w:r w:rsidR="00920965" w:rsidRPr="006A25FB">
        <w:t>needs to determine</w:t>
      </w:r>
      <w:r w:rsidR="00920965">
        <w:t>”</w:t>
      </w:r>
      <w:r w:rsidR="00920965" w:rsidRPr="006A25FB">
        <w:t xml:space="preserve"> this</w:t>
      </w:r>
      <w:r w:rsidR="00920965">
        <w:t xml:space="preserve">, </w:t>
      </w:r>
      <w:r w:rsidR="00BC569E">
        <w:t>without</w:t>
      </w:r>
      <w:r w:rsidR="00DB4918">
        <w:t xml:space="preserve"> </w:t>
      </w:r>
      <w:r w:rsidR="00BC569E">
        <w:t xml:space="preserve">elaboration or </w:t>
      </w:r>
      <w:r w:rsidR="00DB4918">
        <w:t>authority</w:t>
      </w:r>
      <w:r w:rsidR="00BC569E">
        <w:t xml:space="preserve">.  We are not persuaded.  </w:t>
      </w:r>
    </w:p>
    <w:p w14:paraId="258C27B6" w14:textId="77777777" w:rsidR="00912C3C" w:rsidRPr="005630A2" w:rsidRDefault="00C62FC6" w:rsidP="009F29FE">
      <w:pPr>
        <w:keepNext/>
        <w:spacing w:line="360" w:lineRule="auto"/>
        <w:jc w:val="center"/>
        <w:outlineLvl w:val="0"/>
        <w:rPr>
          <w:rFonts w:eastAsia="Calibri"/>
          <w:szCs w:val="26"/>
        </w:rPr>
      </w:pPr>
      <w:bookmarkStart w:id="23" w:name="_Toc475612148"/>
      <w:bookmarkStart w:id="24" w:name="_Toc476142761"/>
      <w:bookmarkStart w:id="25" w:name="_Toc476143033"/>
      <w:bookmarkStart w:id="26" w:name="_Hlk71710044"/>
      <w:r w:rsidRPr="005630A2">
        <w:rPr>
          <w:rFonts w:eastAsia="Calibri"/>
          <w:szCs w:val="26"/>
        </w:rPr>
        <w:t>DISPOSITION</w:t>
      </w:r>
      <w:bookmarkEnd w:id="23"/>
      <w:bookmarkEnd w:id="24"/>
      <w:bookmarkEnd w:id="25"/>
    </w:p>
    <w:p w14:paraId="0CDC29EB" w14:textId="54D14A6C" w:rsidR="00B2301E" w:rsidRDefault="00457A88" w:rsidP="00EC18B7">
      <w:pPr>
        <w:keepNext/>
        <w:keepLines/>
        <w:spacing w:line="360" w:lineRule="auto"/>
        <w:rPr>
          <w:szCs w:val="26"/>
        </w:rPr>
      </w:pPr>
      <w:r w:rsidRPr="00797D3D">
        <w:rPr>
          <w:szCs w:val="26"/>
        </w:rPr>
        <w:tab/>
      </w:r>
      <w:r>
        <w:rPr>
          <w:szCs w:val="26"/>
        </w:rPr>
        <w:t xml:space="preserve">  The judgment is affirmed as to the </w:t>
      </w:r>
      <w:r>
        <w:t xml:space="preserve">superior </w:t>
      </w:r>
      <w:r>
        <w:rPr>
          <w:szCs w:val="26"/>
        </w:rPr>
        <w:t>court’s ruling that the Commissioner’s rate determination must be set aside.  The judgment is reversed to the extent the superior court remanded to the Commissioner</w:t>
      </w:r>
      <w:r w:rsidR="008B00B7">
        <w:rPr>
          <w:szCs w:val="26"/>
        </w:rPr>
        <w:t xml:space="preserve"> for further proceedings</w:t>
      </w:r>
      <w:r>
        <w:rPr>
          <w:szCs w:val="26"/>
        </w:rPr>
        <w:t xml:space="preserve">.  The superior court is directed to enter a new and different judgment: </w:t>
      </w:r>
      <w:r w:rsidR="00C06F24">
        <w:rPr>
          <w:szCs w:val="26"/>
        </w:rPr>
        <w:t xml:space="preserve"> </w:t>
      </w:r>
      <w:r>
        <w:rPr>
          <w:szCs w:val="26"/>
        </w:rPr>
        <w:t>(i)</w:t>
      </w:r>
      <w:r w:rsidR="00FA13A4">
        <w:rPr>
          <w:szCs w:val="26"/>
        </w:rPr>
        <w:t xml:space="preserve"> granting SFG’s petition for writ of administrative manda</w:t>
      </w:r>
      <w:r w:rsidR="001F36CA">
        <w:rPr>
          <w:szCs w:val="26"/>
        </w:rPr>
        <w:t>te</w:t>
      </w:r>
      <w:r w:rsidR="00FA13A4">
        <w:rPr>
          <w:szCs w:val="26"/>
        </w:rPr>
        <w:t>; and (ii) directing the Commissioner to set aside the Rate Order in its entirety.</w:t>
      </w:r>
      <w:r w:rsidR="003A13A0">
        <w:rPr>
          <w:szCs w:val="26"/>
        </w:rPr>
        <w:t xml:space="preserve">  </w:t>
      </w:r>
      <w:r w:rsidR="00FE125A">
        <w:rPr>
          <w:szCs w:val="26"/>
        </w:rPr>
        <w:t>SFG shall be awarded its costs on appeal.</w:t>
      </w:r>
    </w:p>
    <w:p w14:paraId="095798FB" w14:textId="77777777" w:rsidR="00162F25" w:rsidRDefault="00162F25" w:rsidP="00EC18B7">
      <w:pPr>
        <w:keepNext/>
        <w:keepLines/>
        <w:spacing w:line="360" w:lineRule="auto"/>
        <w:rPr>
          <w:szCs w:val="26"/>
        </w:rPr>
      </w:pPr>
    </w:p>
    <w:p w14:paraId="6894528F" w14:textId="07CFF58D" w:rsidR="002A19E0" w:rsidRDefault="002A19E0" w:rsidP="00EC18B7">
      <w:pPr>
        <w:keepNext/>
        <w:keepLines/>
        <w:rPr>
          <w:szCs w:val="26"/>
        </w:rPr>
      </w:pPr>
    </w:p>
    <w:p w14:paraId="1100BD8C" w14:textId="77777777" w:rsidR="00FE2E67" w:rsidRDefault="00FE2E67" w:rsidP="009F29FE">
      <w:pPr>
        <w:keepNext/>
        <w:keepLines/>
        <w:jc w:val="right"/>
        <w:rPr>
          <w:szCs w:val="26"/>
          <w:u w:val="single"/>
        </w:rPr>
      </w:pPr>
    </w:p>
    <w:p w14:paraId="27577913" w14:textId="52DD5B34" w:rsidR="002A19E0" w:rsidRDefault="002A19E0" w:rsidP="009F29FE">
      <w:pPr>
        <w:keepNext/>
        <w:keepLines/>
        <w:jc w:val="right"/>
        <w:rPr>
          <w:szCs w:val="26"/>
        </w:rPr>
      </w:pPr>
      <w:r>
        <w:rPr>
          <w:szCs w:val="26"/>
        </w:rPr>
        <w:t>HUFFMAN, Acting P. J.</w:t>
      </w:r>
    </w:p>
    <w:p w14:paraId="14539D23" w14:textId="733E4BDE" w:rsidR="002A19E0" w:rsidRDefault="002A19E0" w:rsidP="009F29FE">
      <w:pPr>
        <w:keepNext/>
        <w:keepLines/>
        <w:tabs>
          <w:tab w:val="right" w:pos="3600"/>
        </w:tabs>
        <w:rPr>
          <w:szCs w:val="26"/>
        </w:rPr>
      </w:pPr>
    </w:p>
    <w:p w14:paraId="37F179B8" w14:textId="4209D91E" w:rsidR="002A19E0" w:rsidRDefault="002A19E0" w:rsidP="009F29FE">
      <w:pPr>
        <w:keepNext/>
        <w:keepLines/>
        <w:tabs>
          <w:tab w:val="right" w:pos="3600"/>
        </w:tabs>
        <w:rPr>
          <w:szCs w:val="26"/>
        </w:rPr>
      </w:pPr>
      <w:r>
        <w:rPr>
          <w:szCs w:val="26"/>
        </w:rPr>
        <w:t>WE CONCUR:</w:t>
      </w:r>
    </w:p>
    <w:p w14:paraId="0EDB2559" w14:textId="42E7AFAF" w:rsidR="002A19E0" w:rsidRDefault="002A19E0" w:rsidP="009F29FE">
      <w:pPr>
        <w:keepNext/>
        <w:keepLines/>
        <w:tabs>
          <w:tab w:val="right" w:pos="3600"/>
        </w:tabs>
        <w:rPr>
          <w:szCs w:val="26"/>
        </w:rPr>
      </w:pPr>
    </w:p>
    <w:p w14:paraId="4D4B98A0" w14:textId="7015FABC" w:rsidR="002A19E0" w:rsidRDefault="002A19E0" w:rsidP="009F29FE">
      <w:pPr>
        <w:keepNext/>
        <w:keepLines/>
        <w:tabs>
          <w:tab w:val="right" w:pos="3600"/>
        </w:tabs>
        <w:rPr>
          <w:szCs w:val="26"/>
        </w:rPr>
      </w:pPr>
    </w:p>
    <w:p w14:paraId="1640EBC5" w14:textId="0B657CB5" w:rsidR="002A19E0" w:rsidRDefault="002A19E0" w:rsidP="009F29FE">
      <w:pPr>
        <w:keepNext/>
        <w:keepLines/>
        <w:tabs>
          <w:tab w:val="right" w:pos="3600"/>
        </w:tabs>
        <w:rPr>
          <w:szCs w:val="26"/>
        </w:rPr>
      </w:pPr>
    </w:p>
    <w:p w14:paraId="4F6DE9DE" w14:textId="77777777" w:rsidR="00FE2E67" w:rsidRDefault="00FE2E67" w:rsidP="009F29FE">
      <w:pPr>
        <w:keepNext/>
        <w:keepLines/>
        <w:tabs>
          <w:tab w:val="right" w:pos="3600"/>
        </w:tabs>
        <w:rPr>
          <w:szCs w:val="26"/>
        </w:rPr>
      </w:pPr>
    </w:p>
    <w:p w14:paraId="4CF56E32" w14:textId="46B1D9BE" w:rsidR="002A19E0" w:rsidRDefault="002A19E0" w:rsidP="009F29FE">
      <w:pPr>
        <w:keepNext/>
        <w:keepLines/>
        <w:tabs>
          <w:tab w:val="right" w:pos="3600"/>
        </w:tabs>
        <w:rPr>
          <w:szCs w:val="26"/>
        </w:rPr>
      </w:pPr>
      <w:r>
        <w:rPr>
          <w:szCs w:val="26"/>
        </w:rPr>
        <w:t>GUERRERO, J.</w:t>
      </w:r>
    </w:p>
    <w:p w14:paraId="6CF76422" w14:textId="2F42AB5E" w:rsidR="002A19E0" w:rsidRDefault="002A19E0" w:rsidP="009F29FE">
      <w:pPr>
        <w:keepNext/>
        <w:keepLines/>
        <w:tabs>
          <w:tab w:val="right" w:pos="3600"/>
        </w:tabs>
        <w:rPr>
          <w:szCs w:val="26"/>
        </w:rPr>
      </w:pPr>
    </w:p>
    <w:p w14:paraId="2BB4FCA2" w14:textId="1A7D9EF6" w:rsidR="002A19E0" w:rsidRDefault="002A19E0" w:rsidP="009F29FE">
      <w:pPr>
        <w:keepNext/>
        <w:keepLines/>
        <w:tabs>
          <w:tab w:val="right" w:pos="3600"/>
        </w:tabs>
        <w:rPr>
          <w:szCs w:val="26"/>
        </w:rPr>
      </w:pPr>
    </w:p>
    <w:p w14:paraId="60480617" w14:textId="74516F2E" w:rsidR="002A19E0" w:rsidRDefault="002A19E0" w:rsidP="009F29FE">
      <w:pPr>
        <w:keepNext/>
        <w:keepLines/>
        <w:tabs>
          <w:tab w:val="right" w:pos="3600"/>
        </w:tabs>
        <w:rPr>
          <w:szCs w:val="26"/>
        </w:rPr>
      </w:pPr>
    </w:p>
    <w:p w14:paraId="5A8B47C4" w14:textId="77777777" w:rsidR="00FE2E67" w:rsidRDefault="00FE2E67" w:rsidP="009F29FE">
      <w:pPr>
        <w:keepNext/>
        <w:keepLines/>
        <w:tabs>
          <w:tab w:val="right" w:pos="3600"/>
        </w:tabs>
        <w:rPr>
          <w:szCs w:val="26"/>
          <w:u w:val="single"/>
        </w:rPr>
      </w:pPr>
    </w:p>
    <w:p w14:paraId="7540C3B5" w14:textId="2C4D11D5" w:rsidR="00C92238" w:rsidRPr="004B269F" w:rsidRDefault="002A19E0" w:rsidP="009F29FE">
      <w:pPr>
        <w:keepNext/>
        <w:keepLines/>
        <w:tabs>
          <w:tab w:val="right" w:pos="3600"/>
        </w:tabs>
        <w:rPr>
          <w:szCs w:val="26"/>
        </w:rPr>
      </w:pPr>
      <w:r>
        <w:rPr>
          <w:szCs w:val="26"/>
        </w:rPr>
        <w:t>DO, J.</w:t>
      </w:r>
      <w:bookmarkEnd w:id="22"/>
      <w:bookmarkEnd w:id="26"/>
    </w:p>
    <w:sectPr w:rsidR="00C92238" w:rsidRPr="004B269F" w:rsidSect="00325645">
      <w:headerReference w:type="even" r:id="rId8"/>
      <w:headerReference w:type="default" r:id="rId9"/>
      <w:footerReference w:type="even" r:id="rId10"/>
      <w:footerReference w:type="defaul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88F60" w14:textId="77777777" w:rsidR="00A45A0A" w:rsidRDefault="00A45A0A" w:rsidP="008A4617">
      <w:r>
        <w:separator/>
      </w:r>
    </w:p>
  </w:endnote>
  <w:endnote w:type="continuationSeparator" w:id="0">
    <w:p w14:paraId="10481247" w14:textId="77777777" w:rsidR="00A45A0A" w:rsidRDefault="00A45A0A" w:rsidP="008A4617">
      <w:r>
        <w:continuationSeparator/>
      </w:r>
    </w:p>
  </w:endnote>
  <w:endnote w:type="continuationNotice" w:id="1">
    <w:p w14:paraId="56E5B405" w14:textId="77777777" w:rsidR="00A45A0A" w:rsidRDefault="00A45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95768" w14:textId="77777777" w:rsidR="00A45A0A" w:rsidRDefault="00A45A0A">
    <w:pPr>
      <w:pStyle w:val="Footer"/>
    </w:pPr>
  </w:p>
  <w:p w14:paraId="0E9AE336" w14:textId="77777777" w:rsidR="00A45A0A" w:rsidRDefault="00A45A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912848"/>
      <w:docPartObj>
        <w:docPartGallery w:val="Page Numbers (Bottom of Page)"/>
        <w:docPartUnique/>
      </w:docPartObj>
    </w:sdtPr>
    <w:sdtEndPr/>
    <w:sdtContent>
      <w:p w14:paraId="375AB43A" w14:textId="77777777" w:rsidR="00A45A0A" w:rsidRDefault="00A45A0A" w:rsidP="000C0EEA">
        <w:pPr>
          <w:pStyle w:val="Footer"/>
          <w:tabs>
            <w:tab w:val="clear" w:pos="4680"/>
            <w:tab w:val="clear" w:pos="9360"/>
          </w:tabs>
          <w:jc w:val="center"/>
        </w:pPr>
        <w:r>
          <w:fldChar w:fldCharType="begin"/>
        </w:r>
        <w:r>
          <w:instrText xml:space="preserve"> PAGE   \* MERGEFORMAT </w:instrText>
        </w:r>
        <w:r>
          <w:fldChar w:fldCharType="separate"/>
        </w:r>
        <w:r>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1247A" w14:textId="77777777" w:rsidR="00A45A0A" w:rsidRDefault="00A45A0A" w:rsidP="008A4617">
      <w:r>
        <w:separator/>
      </w:r>
    </w:p>
  </w:footnote>
  <w:footnote w:type="continuationSeparator" w:id="0">
    <w:p w14:paraId="530F8C4A" w14:textId="77777777" w:rsidR="00A45A0A" w:rsidRDefault="00A45A0A" w:rsidP="008A4617">
      <w:r>
        <w:continuationSeparator/>
      </w:r>
    </w:p>
  </w:footnote>
  <w:footnote w:type="continuationNotice" w:id="1">
    <w:p w14:paraId="26B81F1F" w14:textId="77777777" w:rsidR="00A45A0A" w:rsidRDefault="00A45A0A"/>
  </w:footnote>
  <w:footnote w:id="2">
    <w:p w14:paraId="713991B0" w14:textId="334DB007" w:rsidR="00A45A0A" w:rsidRPr="00D61F9D" w:rsidRDefault="00A45A0A" w:rsidP="001821BB">
      <w:pPr>
        <w:pStyle w:val="FootnoteText"/>
        <w:spacing w:after="240"/>
      </w:pPr>
      <w:r w:rsidRPr="00D61F9D">
        <w:rPr>
          <w:rStyle w:val="FootnoteReference"/>
        </w:rPr>
        <w:footnoteRef/>
      </w:r>
      <w:r w:rsidRPr="00D61F9D">
        <w:t xml:space="preserve"> </w:t>
      </w:r>
      <w:r w:rsidRPr="00D61F9D">
        <w:tab/>
      </w:r>
      <w:r>
        <w:t xml:space="preserve">Further statutory references are to the Insurance Code </w:t>
      </w:r>
      <w:r w:rsidRPr="00D61F9D">
        <w:t>unless noted.</w:t>
      </w:r>
      <w:r>
        <w:t xml:space="preserve">  Regulation references are to the Proposition 103 regulations (Cal. Code Regs., tit. 10, </w:t>
      </w:r>
      <w:r w:rsidRPr="00335B53">
        <w:t>§</w:t>
      </w:r>
      <w:r>
        <w:t> </w:t>
      </w:r>
      <w:r w:rsidRPr="00335B53">
        <w:t>2641.1</w:t>
      </w:r>
      <w:r>
        <w:t xml:space="preserve"> et seq.), unless noted.</w:t>
      </w:r>
    </w:p>
  </w:footnote>
  <w:footnote w:id="3">
    <w:p w14:paraId="48970E57" w14:textId="56674EB6" w:rsidR="00A45A0A" w:rsidRPr="00D61F9D" w:rsidRDefault="00A45A0A" w:rsidP="001821BB">
      <w:pPr>
        <w:pStyle w:val="FootnoteText"/>
        <w:spacing w:after="240"/>
      </w:pPr>
      <w:r w:rsidRPr="00D61F9D">
        <w:rPr>
          <w:rStyle w:val="FootnoteReference"/>
        </w:rPr>
        <w:footnoteRef/>
      </w:r>
      <w:r w:rsidRPr="00D61F9D">
        <w:t xml:space="preserve"> </w:t>
      </w:r>
      <w:r w:rsidRPr="00D61F9D">
        <w:tab/>
      </w:r>
      <w:bookmarkStart w:id="4" w:name="_Hlk79426948"/>
      <w:r>
        <w:t xml:space="preserve">For clarity, we </w:t>
      </w:r>
      <w:r w:rsidRPr="00D61F9D">
        <w:t>generally refer to</w:t>
      </w:r>
      <w:r>
        <w:t xml:space="preserve"> </w:t>
      </w:r>
      <w:r w:rsidRPr="00D61F9D">
        <w:t>points made by at least one appellant</w:t>
      </w:r>
      <w:r>
        <w:t xml:space="preserve"> (the Commissioner or CW)</w:t>
      </w:r>
      <w:r w:rsidRPr="00D61F9D">
        <w:t xml:space="preserve"> as </w:t>
      </w:r>
      <w:r>
        <w:t>being by</w:t>
      </w:r>
      <w:r w:rsidRPr="00D61F9D">
        <w:t xml:space="preserve"> Appellants, and distinguish</w:t>
      </w:r>
      <w:r>
        <w:t xml:space="preserve"> between them</w:t>
      </w:r>
      <w:r w:rsidRPr="00D61F9D">
        <w:t xml:space="preserve"> </w:t>
      </w:r>
      <w:r>
        <w:t>as</w:t>
      </w:r>
      <w:r w:rsidRPr="00D61F9D">
        <w:t xml:space="preserve"> </w:t>
      </w:r>
      <w:r>
        <w:t>warranted.</w:t>
      </w:r>
      <w:bookmarkEnd w:id="4"/>
    </w:p>
  </w:footnote>
  <w:footnote w:id="4">
    <w:p w14:paraId="660DEDC1" w14:textId="5E92A058" w:rsidR="00A45A0A" w:rsidRDefault="00A45A0A" w:rsidP="001821BB">
      <w:pPr>
        <w:pStyle w:val="FootnoteText"/>
        <w:spacing w:after="240"/>
      </w:pPr>
      <w:r>
        <w:rPr>
          <w:rStyle w:val="FootnoteReference"/>
        </w:rPr>
        <w:footnoteRef/>
      </w:r>
      <w:r>
        <w:t xml:space="preserve"> </w:t>
      </w:r>
      <w:r>
        <w:tab/>
        <w:t xml:space="preserve">What it means for a rate to be confiscatory in this context has been disputed, including in </w:t>
      </w:r>
      <w:r w:rsidRPr="0071598D">
        <w:rPr>
          <w:i/>
          <w:iCs/>
        </w:rPr>
        <w:t>20th</w:t>
      </w:r>
      <w:r>
        <w:rPr>
          <w:i/>
          <w:iCs/>
        </w:rPr>
        <w:t xml:space="preserve"> Century</w:t>
      </w:r>
      <w:r>
        <w:t xml:space="preserve"> and this case.  (See, e.g., </w:t>
      </w:r>
      <w:r w:rsidRPr="0071598D">
        <w:rPr>
          <w:i/>
          <w:iCs/>
        </w:rPr>
        <w:t>20th Century</w:t>
      </w:r>
      <w:r>
        <w:t xml:space="preserve">, </w:t>
      </w:r>
      <w:r w:rsidRPr="0071598D">
        <w:rPr>
          <w:i/>
          <w:iCs/>
        </w:rPr>
        <w:t>supra</w:t>
      </w:r>
      <w:r>
        <w:t xml:space="preserve">, 8 Cal.4th at pp. 262-263; see also </w:t>
      </w:r>
      <w:r w:rsidRPr="00BE4055">
        <w:rPr>
          <w:i/>
          <w:iCs/>
        </w:rPr>
        <w:t>Mercury Casualty Co. v. Jones</w:t>
      </w:r>
      <w:r w:rsidRPr="00BE4055">
        <w:t xml:space="preserve"> (2017) 8 Cal.App.5th 561, </w:t>
      </w:r>
      <w:r>
        <w:t>583-584 (</w:t>
      </w:r>
      <w:r>
        <w:rPr>
          <w:i/>
          <w:iCs/>
        </w:rPr>
        <w:t>Mercury</w:t>
      </w:r>
      <w:r>
        <w:t>).)  Because we do not reach the issue here, we need not define the term further.</w:t>
      </w:r>
    </w:p>
  </w:footnote>
  <w:footnote w:id="5">
    <w:p w14:paraId="3F66F043" w14:textId="353F871B" w:rsidR="00A45A0A" w:rsidRDefault="00A45A0A" w:rsidP="001821BB">
      <w:pPr>
        <w:pStyle w:val="FootnoteText"/>
        <w:spacing w:after="240"/>
      </w:pPr>
      <w:r>
        <w:rPr>
          <w:rStyle w:val="FootnoteReference"/>
        </w:rPr>
        <w:footnoteRef/>
      </w:r>
      <w:r>
        <w:t xml:space="preserve"> </w:t>
      </w:r>
      <w:r>
        <w:tab/>
        <w:t xml:space="preserve">There were later amendments to the yield provisions, but they are not at issue here.  (See </w:t>
      </w:r>
      <w:r w:rsidRPr="002D38DD">
        <w:t>Register 200</w:t>
      </w:r>
      <w:r>
        <w:t>8, No. 20; Register 2018, No. 8.)</w:t>
      </w:r>
    </w:p>
  </w:footnote>
  <w:footnote w:id="6">
    <w:p w14:paraId="6B1C0A70" w14:textId="73D8E675" w:rsidR="00A45A0A" w:rsidRPr="00D61F9D" w:rsidRDefault="00A45A0A" w:rsidP="001821BB">
      <w:pPr>
        <w:pStyle w:val="FootnoteText"/>
        <w:spacing w:after="240"/>
      </w:pPr>
      <w:r w:rsidRPr="00D61F9D">
        <w:rPr>
          <w:rStyle w:val="FootnoteReference"/>
        </w:rPr>
        <w:footnoteRef/>
      </w:r>
      <w:r w:rsidRPr="00D61F9D">
        <w:t xml:space="preserve"> </w:t>
      </w:r>
      <w:r w:rsidRPr="00D61F9D">
        <w:tab/>
        <w:t xml:space="preserve">We </w:t>
      </w:r>
      <w:r>
        <w:t xml:space="preserve">grant SFG’s request for judicial </w:t>
      </w:r>
      <w:r w:rsidRPr="00D61F9D">
        <w:t xml:space="preserve">notice of the </w:t>
      </w:r>
      <w:r>
        <w:t>NAIC instructions, annual statement blank, and manual in effect when SFG filed its rate application</w:t>
      </w:r>
      <w:r w:rsidRPr="00D61F9D">
        <w:t>.  (Evid. Code</w:t>
      </w:r>
      <w:r>
        <w:t>,</w:t>
      </w:r>
      <w:r w:rsidRPr="00D61F9D">
        <w:t xml:space="preserve"> §§ 452, subd. (h)</w:t>
      </w:r>
      <w:r w:rsidR="005B49CD">
        <w:t>,</w:t>
      </w:r>
      <w:r w:rsidRPr="00D61F9D">
        <w:t xml:space="preserve"> 459.)</w:t>
      </w:r>
    </w:p>
  </w:footnote>
  <w:footnote w:id="7">
    <w:p w14:paraId="2E3583C5" w14:textId="66D073BE" w:rsidR="00A45A0A" w:rsidRDefault="00A45A0A">
      <w:pPr>
        <w:pStyle w:val="FootnoteText"/>
      </w:pPr>
      <w:r>
        <w:rPr>
          <w:rStyle w:val="FootnoteReference"/>
        </w:rPr>
        <w:footnoteRef/>
      </w:r>
      <w:r>
        <w:t xml:space="preserve"> </w:t>
      </w:r>
      <w:r>
        <w:tab/>
      </w:r>
      <w:r>
        <w:rPr>
          <w:rFonts w:eastAsia="Times New Roman"/>
        </w:rPr>
        <w:t>We also sometimes use “State Farm,” when the record is unclear in distinguishing State Farm Mutual from State Farm Group.</w:t>
      </w:r>
    </w:p>
  </w:footnote>
  <w:footnote w:id="8">
    <w:p w14:paraId="2DC94B32" w14:textId="419C1F57" w:rsidR="00A45A0A" w:rsidRDefault="00A45A0A" w:rsidP="001821BB">
      <w:pPr>
        <w:pStyle w:val="FootnoteText"/>
        <w:spacing w:after="240"/>
      </w:pPr>
      <w:r>
        <w:rPr>
          <w:rStyle w:val="FootnoteReference"/>
        </w:rPr>
        <w:footnoteRef/>
      </w:r>
      <w:r>
        <w:t xml:space="preserve"> </w:t>
      </w:r>
      <w:r>
        <w:tab/>
        <w:t xml:space="preserve">We grant CW’s request for judicial notice of SFG’s prior rate application.  (Evid. Code, </w:t>
      </w:r>
      <w:r w:rsidRPr="00D61F9D">
        <w:t>§§</w:t>
      </w:r>
      <w:r>
        <w:t xml:space="preserve"> 452, subd. (h), 459.)</w:t>
      </w:r>
    </w:p>
  </w:footnote>
  <w:footnote w:id="9">
    <w:p w14:paraId="1E569535" w14:textId="1D6B11EB" w:rsidR="00A45A0A" w:rsidRDefault="00A45A0A">
      <w:pPr>
        <w:pStyle w:val="FootnoteText"/>
      </w:pPr>
      <w:r>
        <w:rPr>
          <w:rStyle w:val="FootnoteReference"/>
        </w:rPr>
        <w:footnoteRef/>
      </w:r>
      <w:r>
        <w:t xml:space="preserve"> </w:t>
      </w:r>
      <w:r>
        <w:tab/>
      </w:r>
      <w:r w:rsidRPr="0018637D">
        <w:t xml:space="preserve">Another nonprofit intervenor, Consumer Federation of California, is not a party to this appeal. </w:t>
      </w:r>
    </w:p>
  </w:footnote>
  <w:footnote w:id="10">
    <w:p w14:paraId="7AA6D623" w14:textId="2F9B1886" w:rsidR="00A45A0A" w:rsidRDefault="00A45A0A" w:rsidP="001821BB">
      <w:pPr>
        <w:pStyle w:val="FootnoteText"/>
        <w:spacing w:after="240"/>
      </w:pPr>
      <w:r>
        <w:rPr>
          <w:rStyle w:val="FootnoteReference"/>
        </w:rPr>
        <w:footnoteRef/>
      </w:r>
      <w:r>
        <w:t xml:space="preserve"> </w:t>
      </w:r>
      <w:r>
        <w:tab/>
        <w:t xml:space="preserve">The Commissioner made other determinations which are not at issue here, including as to the leverage factor variance (which SFG challenged in the superior court, but is not pursuing here), and the catastrophe adjustment factor (which SFG did not challenge in the superior court at all).  The Commissioner notes these determinations in arguing for a remand, which we address </w:t>
      </w:r>
      <w:r>
        <w:rPr>
          <w:i/>
          <w:iCs/>
        </w:rPr>
        <w:t>post</w:t>
      </w:r>
      <w:r>
        <w:t xml:space="preserve">. </w:t>
      </w:r>
    </w:p>
  </w:footnote>
  <w:footnote w:id="11">
    <w:p w14:paraId="6D71EC48" w14:textId="6C089056" w:rsidR="00A45A0A" w:rsidRDefault="00A45A0A" w:rsidP="001821BB">
      <w:pPr>
        <w:pStyle w:val="FootnoteText"/>
        <w:spacing w:after="240"/>
      </w:pPr>
      <w:r>
        <w:rPr>
          <w:rStyle w:val="FootnoteReference"/>
        </w:rPr>
        <w:footnoteRef/>
      </w:r>
      <w:r>
        <w:t xml:space="preserve"> </w:t>
      </w:r>
      <w:r>
        <w:tab/>
        <w:t xml:space="preserve">SFG also sought traditional mandate and declaratory and injunctive relief, but the superior court issued a writ of administrative mandate and the parties focus on that aspect of the petition.  We do so as well. </w:t>
      </w:r>
    </w:p>
  </w:footnote>
  <w:footnote w:id="12">
    <w:p w14:paraId="468271D4" w14:textId="60600CD0" w:rsidR="00A45A0A" w:rsidRDefault="00A45A0A" w:rsidP="001821BB">
      <w:pPr>
        <w:pStyle w:val="FootnoteText"/>
        <w:spacing w:after="240"/>
      </w:pPr>
      <w:r>
        <w:rPr>
          <w:rStyle w:val="FootnoteReference"/>
        </w:rPr>
        <w:footnoteRef/>
      </w:r>
      <w:r>
        <w:t xml:space="preserve"> </w:t>
      </w:r>
      <w:r>
        <w:tab/>
      </w:r>
      <w:r w:rsidRPr="002C69B8">
        <w:t xml:space="preserve">The </w:t>
      </w:r>
      <w:r>
        <w:t xml:space="preserve">superior </w:t>
      </w:r>
      <w:r w:rsidRPr="002C69B8">
        <w:t xml:space="preserve">court observed here that the “regulation requires the Commissioner to use [SFG’s] consolidated annual statement, but in this instance [SFG’s] figures are included </w:t>
      </w:r>
      <w:r w:rsidRPr="00D36FA9">
        <w:t>in [State Farm Mutual]’s</w:t>
      </w:r>
      <w:r w:rsidRPr="002C69B8">
        <w:t xml:space="preserve"> statement because of NAIC’s rules” and “the NAIC does not allow [SFG] to file its own annual statement.”  </w:t>
      </w:r>
      <w:r>
        <w:t>Appellants criticize this finding as inaccurate, and assert other ways in which the court purportedly was confused.  V</w:t>
      </w:r>
      <w:r w:rsidRPr="00D61F9D">
        <w:t xml:space="preserve">iewed in context, the court may have meant SFG does not file a </w:t>
      </w:r>
      <w:r w:rsidRPr="006352DB">
        <w:rPr>
          <w:i/>
          <w:iCs/>
        </w:rPr>
        <w:t>consolidated</w:t>
      </w:r>
      <w:r w:rsidRPr="00D61F9D">
        <w:t xml:space="preserve"> statement under NAIC rules.  Regardless</w:t>
      </w:r>
      <w:r>
        <w:t>, any error here is immaterial;</w:t>
      </w:r>
      <w:r w:rsidRPr="00D61F9D">
        <w:t xml:space="preserve"> </w:t>
      </w:r>
      <w:r>
        <w:t xml:space="preserve">as discussed </w:t>
      </w:r>
      <w:r w:rsidRPr="001D5A39">
        <w:rPr>
          <w:i/>
          <w:iCs/>
        </w:rPr>
        <w:t>post</w:t>
      </w:r>
      <w:r>
        <w:t xml:space="preserve">, the appeal focuses on statutory and regulatory interpretation and we apply de novo review.  (Cf. </w:t>
      </w:r>
      <w:r w:rsidRPr="001D5A39">
        <w:rPr>
          <w:i/>
          <w:iCs/>
        </w:rPr>
        <w:t>Mercury</w:t>
      </w:r>
      <w:r w:rsidRPr="000E5557">
        <w:t>,</w:t>
      </w:r>
      <w:r>
        <w:rPr>
          <w:i/>
          <w:iCs/>
        </w:rPr>
        <w:t xml:space="preserve"> supra</w:t>
      </w:r>
      <w:r w:rsidRPr="000E5557">
        <w:t>,</w:t>
      </w:r>
      <w:r w:rsidRPr="001D5A39">
        <w:t xml:space="preserve"> 8 Cal.App.5th </w:t>
      </w:r>
      <w:r>
        <w:t>at p.</w:t>
      </w:r>
      <w:r w:rsidRPr="001D5A39">
        <w:t xml:space="preserve"> 584</w:t>
      </w:r>
      <w:r>
        <w:t xml:space="preserve"> [“</w:t>
      </w:r>
      <w:r w:rsidRPr="009F4100">
        <w:t>any error the superior court might have made</w:t>
      </w:r>
      <w:r>
        <w:t>,” in improperly deferring to Commissioner’s interpretation, “</w:t>
      </w:r>
      <w:r w:rsidRPr="009F4100">
        <w:t>was necessarily harmless</w:t>
      </w:r>
      <w:r>
        <w:t>”].)</w:t>
      </w:r>
    </w:p>
  </w:footnote>
  <w:footnote w:id="13">
    <w:p w14:paraId="1555AC9B" w14:textId="5FD867EB" w:rsidR="00A45A0A" w:rsidRDefault="00A45A0A" w:rsidP="00765157">
      <w:pPr>
        <w:pStyle w:val="FootnoteText"/>
        <w:spacing w:after="240"/>
      </w:pPr>
      <w:r>
        <w:rPr>
          <w:rStyle w:val="FootnoteReference"/>
        </w:rPr>
        <w:footnoteRef/>
      </w:r>
      <w:r>
        <w:tab/>
        <w:t xml:space="preserve">Along similar lines, we reject the Commissioner’s contention that SFG’s “ ‘actual’ reported investment income” would include “surplus surplus,” its exclusion benefits SFG, and this shows </w:t>
      </w:r>
      <w:r w:rsidRPr="00405C5E">
        <w:t xml:space="preserve">the </w:t>
      </w:r>
      <w:r>
        <w:t>“</w:t>
      </w:r>
      <w:r w:rsidRPr="00405C5E">
        <w:t>dangers</w:t>
      </w:r>
      <w:r>
        <w:t xml:space="preserve">” of focusing on rate </w:t>
      </w:r>
      <w:r w:rsidRPr="00B47965">
        <w:t>components</w:t>
      </w:r>
      <w:r>
        <w:t xml:space="preserve">.  It may well be that the Commissioner’s treatment of “surplus surplus” in the prior approval system is within his discretion too, but this still has no bearing on whether his calculation of projected yield is consistent with the statute.  </w:t>
      </w:r>
    </w:p>
  </w:footnote>
  <w:footnote w:id="14">
    <w:p w14:paraId="12CB80F1" w14:textId="2FCE551B" w:rsidR="00A45A0A" w:rsidRPr="00D61F9D" w:rsidRDefault="00A45A0A" w:rsidP="001821BB">
      <w:pPr>
        <w:pStyle w:val="FootnoteText"/>
        <w:spacing w:after="240"/>
      </w:pPr>
      <w:r w:rsidRPr="00D61F9D">
        <w:rPr>
          <w:rStyle w:val="FootnoteReference"/>
        </w:rPr>
        <w:footnoteRef/>
      </w:r>
      <w:r w:rsidRPr="00D61F9D">
        <w:t xml:space="preserve"> </w:t>
      </w:r>
      <w:r w:rsidRPr="00D61F9D">
        <w:tab/>
      </w:r>
      <w:r w:rsidRPr="006075D4">
        <w:t xml:space="preserve">In addressing required application data, </w:t>
      </w:r>
      <w:r>
        <w:t xml:space="preserve">section 1861.05, </w:t>
      </w:r>
      <w:r w:rsidRPr="006075D4">
        <w:t xml:space="preserve">subdivision (b) cites three </w:t>
      </w:r>
      <w:r>
        <w:t xml:space="preserve">other </w:t>
      </w:r>
      <w:r w:rsidRPr="006075D4">
        <w:t>sections</w:t>
      </w:r>
      <w:r>
        <w:t xml:space="preserve">, but they have no bearing here.  (§§ 1857.7, 1857.9, 1864; § 1857.15 is also cited, but has been repealed.)  None </w:t>
      </w:r>
      <w:r w:rsidRPr="006075D4">
        <w:t>address affiliates</w:t>
      </w:r>
      <w:r>
        <w:t xml:space="preserve">, </w:t>
      </w:r>
      <w:r w:rsidRPr="006075D4">
        <w:t xml:space="preserve">and the </w:t>
      </w:r>
      <w:r>
        <w:t>only mention of groups is in section 1857.9, a reporting provision that permits aggregate reports and incorporates by reference a statute requiring joint records in certain cases.</w:t>
      </w:r>
      <w:r w:rsidRPr="006075D4">
        <w:t xml:space="preserve"> </w:t>
      </w:r>
      <w:r>
        <w:t xml:space="preserve"> </w:t>
      </w:r>
      <w:r w:rsidRPr="006075D4">
        <w:t>(</w:t>
      </w:r>
      <w:r>
        <w:t xml:space="preserve">§ </w:t>
      </w:r>
      <w:r w:rsidRPr="006075D4">
        <w:t>1857.9</w:t>
      </w:r>
      <w:r>
        <w:t>, subds. (e), (j) [insurer can meet obligation consistent with § 1857, which requires reasonable records be maintained by insurer groups</w:t>
      </w:r>
      <w:r w:rsidRPr="006075D4">
        <w:t xml:space="preserve"> </w:t>
      </w:r>
      <w:r>
        <w:t>“</w:t>
      </w:r>
      <w:r w:rsidRPr="006075D4">
        <w:t>engag</w:t>
      </w:r>
      <w:r>
        <w:t>[ing]</w:t>
      </w:r>
      <w:r w:rsidRPr="006075D4">
        <w:t xml:space="preserve"> in joint underwriting or joint reinsurance”</w:t>
      </w:r>
      <w:r>
        <w:t>].)</w:t>
      </w:r>
    </w:p>
  </w:footnote>
  <w:footnote w:id="15">
    <w:p w14:paraId="241E4DBB" w14:textId="0C1792D8" w:rsidR="00A45A0A" w:rsidRDefault="00A45A0A" w:rsidP="001821BB">
      <w:pPr>
        <w:pStyle w:val="FootnoteText"/>
        <w:spacing w:after="240"/>
      </w:pPr>
      <w:r>
        <w:rPr>
          <w:rStyle w:val="FootnoteReference"/>
        </w:rPr>
        <w:footnoteRef/>
      </w:r>
      <w:r>
        <w:t xml:space="preserve"> </w:t>
      </w:r>
      <w:r>
        <w:tab/>
      </w:r>
      <w:r w:rsidRPr="00B412D6">
        <w:t>CW also asserts here</w:t>
      </w:r>
      <w:r>
        <w:t xml:space="preserve"> </w:t>
      </w:r>
      <w:r w:rsidRPr="00B412D6">
        <w:t>that ratemaking “requires allocation of nationwide data to specific jurisdictions and lines of business.”  To the extent CW suggest</w:t>
      </w:r>
      <w:r>
        <w:t>s</w:t>
      </w:r>
      <w:r w:rsidRPr="00B412D6">
        <w:t xml:space="preserve"> the statutory scheme </w:t>
      </w:r>
      <w:r w:rsidRPr="00B412D6">
        <w:rPr>
          <w:i/>
          <w:iCs/>
        </w:rPr>
        <w:t>requires</w:t>
      </w:r>
      <w:r w:rsidRPr="00B412D6">
        <w:t xml:space="preserve"> the Commissioner to use group-level data, this </w:t>
      </w:r>
      <w:r>
        <w:t>is inconsistent with</w:t>
      </w:r>
      <w:r w:rsidRPr="00B412D6">
        <w:t xml:space="preserve"> its argument that the scheme leaves him free to exercise his discretion</w:t>
      </w:r>
      <w:r>
        <w:t xml:space="preserve"> and is no more persuasive</w:t>
      </w:r>
      <w:r w:rsidRPr="00B412D6">
        <w:t>.</w:t>
      </w:r>
    </w:p>
  </w:footnote>
  <w:footnote w:id="16">
    <w:p w14:paraId="3998D0E8" w14:textId="7F690E3B" w:rsidR="00A45A0A" w:rsidRDefault="00A45A0A" w:rsidP="009A5FD2">
      <w:pPr>
        <w:pStyle w:val="FootnoteText"/>
        <w:spacing w:after="240"/>
      </w:pPr>
      <w:r>
        <w:rPr>
          <w:rStyle w:val="FootnoteReference"/>
        </w:rPr>
        <w:footnoteRef/>
      </w:r>
      <w:r>
        <w:t xml:space="preserve"> </w:t>
      </w:r>
      <w:r>
        <w:tab/>
      </w:r>
      <w:r w:rsidRPr="00A32266">
        <w:t xml:space="preserve">CW </w:t>
      </w:r>
      <w:r>
        <w:t>suggests SFG is feigning confusion about what “consolidated statutory annual statement” refers to, noting it used group</w:t>
      </w:r>
      <w:r w:rsidRPr="00A32266">
        <w:t xml:space="preserve"> data in its </w:t>
      </w:r>
      <w:r>
        <w:t xml:space="preserve">prior </w:t>
      </w:r>
      <w:r w:rsidRPr="00A32266">
        <w:t>rate application</w:t>
      </w:r>
      <w:r>
        <w:t xml:space="preserve"> in 2013</w:t>
      </w:r>
      <w:r w:rsidRPr="00A32266">
        <w:t xml:space="preserve">. </w:t>
      </w:r>
      <w:r>
        <w:t xml:space="preserve"> Our understanding is that SFG disagrees with the Commissioner’s interpretation, not that it is confused by it, and Appellants do not establish any prior acquiescence by SFG is relevant.</w:t>
      </w:r>
    </w:p>
  </w:footnote>
  <w:footnote w:id="17">
    <w:p w14:paraId="3693232F" w14:textId="7C53DC40" w:rsidR="00A45A0A" w:rsidRDefault="00A45A0A" w:rsidP="009307CD">
      <w:pPr>
        <w:pStyle w:val="FootnoteText"/>
        <w:spacing w:after="240"/>
      </w:pPr>
      <w:r>
        <w:rPr>
          <w:rStyle w:val="FootnoteReference"/>
        </w:rPr>
        <w:footnoteRef/>
      </w:r>
      <w:r>
        <w:t xml:space="preserve"> </w:t>
      </w:r>
      <w:r w:rsidRPr="00CF19B6">
        <w:tab/>
      </w:r>
      <w:r>
        <w:t xml:space="preserve">The individual insurers at the relevant time were </w:t>
      </w:r>
      <w:r w:rsidRPr="00BD0FBB">
        <w:t>Century National, Wawanesa, Golden Bear, Armed Forces Insurance Exchange, and Cal</w:t>
      </w:r>
      <w:r>
        <w:t>ifornia</w:t>
      </w:r>
      <w:r w:rsidRPr="00BD0FBB">
        <w:t xml:space="preserve"> Mutual Insurance Company</w:t>
      </w:r>
      <w:r>
        <w:t xml:space="preserve">.  </w:t>
      </w:r>
    </w:p>
  </w:footnote>
  <w:footnote w:id="18">
    <w:p w14:paraId="45B97FD1" w14:textId="23257269" w:rsidR="00A45A0A" w:rsidRDefault="00A45A0A" w:rsidP="006B2AC2">
      <w:pPr>
        <w:pStyle w:val="FootnoteText"/>
        <w:spacing w:after="240"/>
      </w:pPr>
      <w:r>
        <w:rPr>
          <w:rStyle w:val="FootnoteReference"/>
        </w:rPr>
        <w:footnoteRef/>
      </w:r>
      <w:r>
        <w:t xml:space="preserve"> </w:t>
      </w:r>
      <w:r>
        <w:tab/>
      </w:r>
      <w:r w:rsidRPr="00E05C0A">
        <w:t xml:space="preserve">This is an appropriate juncture to </w:t>
      </w:r>
      <w:r>
        <w:t>address</w:t>
      </w:r>
      <w:r w:rsidRPr="00E05C0A">
        <w:t xml:space="preserve"> the record.  SFG offered testimony about its structure and operations, some of which CW and the </w:t>
      </w:r>
      <w:r w:rsidRPr="00F01B62">
        <w:t>Department</w:t>
      </w:r>
      <w:r w:rsidRPr="00E05C0A">
        <w:t xml:space="preserve"> successfully excluded </w:t>
      </w:r>
      <w:r>
        <w:t>on relevance grounds</w:t>
      </w:r>
      <w:r w:rsidRPr="00E05C0A">
        <w:t xml:space="preserve">.  </w:t>
      </w:r>
      <w:r>
        <w:t xml:space="preserve">Some </w:t>
      </w:r>
      <w:r w:rsidRPr="00E05C0A">
        <w:t xml:space="preserve">facts </w:t>
      </w:r>
      <w:r>
        <w:t xml:space="preserve">still </w:t>
      </w:r>
      <w:r w:rsidRPr="00E05C0A">
        <w:t>came in</w:t>
      </w:r>
      <w:r>
        <w:t>, including</w:t>
      </w:r>
      <w:r w:rsidRPr="00E05C0A">
        <w:t xml:space="preserve"> through </w:t>
      </w:r>
      <w:r>
        <w:t>their own</w:t>
      </w:r>
      <w:r w:rsidRPr="00E05C0A">
        <w:t xml:space="preserve"> witnesses, and the Rate Order discussed </w:t>
      </w:r>
      <w:r>
        <w:t>them</w:t>
      </w:r>
      <w:r w:rsidRPr="00E05C0A">
        <w:t xml:space="preserve">.  Appellants cite </w:t>
      </w:r>
      <w:r>
        <w:t xml:space="preserve">some of this evidence to dispute SFG’s independent existence, while </w:t>
      </w:r>
      <w:r w:rsidRPr="00E05C0A">
        <w:t>maintain</w:t>
      </w:r>
      <w:r>
        <w:t>ing</w:t>
      </w:r>
      <w:r w:rsidRPr="00E05C0A">
        <w:t xml:space="preserve"> </w:t>
      </w:r>
      <w:r>
        <w:t>similar evidence proffered by SFG to illustrate that independence was properly excluded by the ALJ</w:t>
      </w:r>
      <w:r w:rsidRPr="00E05C0A">
        <w:t xml:space="preserve">.  Although we decline to reach SFG’s </w:t>
      </w:r>
      <w:r>
        <w:t xml:space="preserve">summary assertion that such exclusion was erroneous, </w:t>
      </w:r>
      <w:r w:rsidRPr="00E05C0A">
        <w:t xml:space="preserve">we </w:t>
      </w:r>
      <w:r>
        <w:t>find</w:t>
      </w:r>
      <w:r w:rsidRPr="00E05C0A">
        <w:t xml:space="preserve"> Appellants’ approach</w:t>
      </w:r>
      <w:r>
        <w:t xml:space="preserve"> to the evidence in this appeal unhelpful</w:t>
      </w:r>
      <w:r w:rsidRPr="00E05C0A">
        <w:t>.</w:t>
      </w:r>
      <w:r>
        <w:t xml:space="preserve">  To the extent facts are in the record, we consider them for all purposes.</w:t>
      </w:r>
    </w:p>
  </w:footnote>
  <w:footnote w:id="19">
    <w:p w14:paraId="7869422C" w14:textId="6EA2EDEC" w:rsidR="00A45A0A" w:rsidRDefault="00A45A0A" w:rsidP="00B677A6">
      <w:pPr>
        <w:pStyle w:val="FootnoteText"/>
        <w:spacing w:after="240"/>
      </w:pPr>
      <w:r>
        <w:rPr>
          <w:rStyle w:val="FootnoteReference"/>
        </w:rPr>
        <w:footnoteRef/>
      </w:r>
      <w:r>
        <w:t xml:space="preserve"> </w:t>
      </w:r>
      <w:r>
        <w:tab/>
        <w:t>T</w:t>
      </w:r>
      <w:r w:rsidRPr="00B677A6">
        <w:t>he</w:t>
      </w:r>
      <w:r>
        <w:t xml:space="preserve"> Commissioner does </w:t>
      </w:r>
      <w:r w:rsidRPr="0022035A">
        <w:t xml:space="preserve">contend </w:t>
      </w:r>
      <w:r>
        <w:t>that</w:t>
      </w:r>
      <w:r w:rsidRPr="0022035A">
        <w:t xml:space="preserve"> because SFG</w:t>
      </w:r>
      <w:r>
        <w:t>’s evidence was excluded</w:t>
      </w:r>
      <w:r w:rsidRPr="0022035A">
        <w:t xml:space="preserve">, </w:t>
      </w:r>
      <w:r>
        <w:t>it</w:t>
      </w:r>
      <w:r w:rsidRPr="0022035A">
        <w:t xml:space="preserve"> has not proven there was no rate manipulation, and we lack</w:t>
      </w:r>
      <w:r>
        <w:t xml:space="preserve"> </w:t>
      </w:r>
      <w:r w:rsidRPr="0022035A">
        <w:t>the recor</w:t>
      </w:r>
      <w:r>
        <w:t xml:space="preserve">d to determine if there was. </w:t>
      </w:r>
      <w:r w:rsidRPr="0022035A">
        <w:t xml:space="preserve"> </w:t>
      </w:r>
      <w:r>
        <w:t xml:space="preserve">We reiterate our </w:t>
      </w:r>
      <w:r w:rsidRPr="0022035A">
        <w:t>concern with Appellants’ approach to the evidence</w:t>
      </w:r>
      <w:r>
        <w:t xml:space="preserve"> in this appeal</w:t>
      </w:r>
      <w:r w:rsidRPr="0022035A">
        <w:t>,</w:t>
      </w:r>
      <w:r>
        <w:t xml:space="preserve"> and, either way, </w:t>
      </w:r>
      <w:r w:rsidRPr="0022035A">
        <w:t xml:space="preserve">will not assume </w:t>
      </w:r>
      <w:r>
        <w:t>SFG manipulates</w:t>
      </w:r>
      <w:r w:rsidRPr="0022035A">
        <w:t xml:space="preserve"> </w:t>
      </w:r>
      <w:r>
        <w:t>rates</w:t>
      </w:r>
      <w:r w:rsidRPr="0022035A">
        <w:t xml:space="preserve"> because </w:t>
      </w:r>
      <w:r>
        <w:t>it</w:t>
      </w:r>
      <w:r w:rsidRPr="0022035A">
        <w:t xml:space="preserve"> allegedly has not shown otherwise.</w:t>
      </w:r>
      <w:r>
        <w:t xml:space="preserve">  </w:t>
      </w:r>
    </w:p>
  </w:footnote>
  <w:footnote w:id="20">
    <w:p w14:paraId="0884DF05" w14:textId="44ADC6AB" w:rsidR="00A45A0A" w:rsidRDefault="00A45A0A" w:rsidP="007E7760">
      <w:pPr>
        <w:pStyle w:val="FootnoteText"/>
        <w:spacing w:after="240"/>
      </w:pPr>
      <w:r>
        <w:rPr>
          <w:rStyle w:val="FootnoteReference"/>
        </w:rPr>
        <w:footnoteRef/>
      </w:r>
      <w:r>
        <w:t xml:space="preserve"> </w:t>
      </w:r>
      <w:r w:rsidRPr="00175EA5">
        <w:tab/>
      </w:r>
      <w:r>
        <w:t xml:space="preserve">We disagree with </w:t>
      </w:r>
      <w:r w:rsidRPr="00175EA5">
        <w:t>CW</w:t>
      </w:r>
      <w:r>
        <w:t xml:space="preserve"> that </w:t>
      </w:r>
      <w:r w:rsidRPr="00175EA5">
        <w:t xml:space="preserve">courts must defer to an </w:t>
      </w:r>
      <w:r>
        <w:t xml:space="preserve">interpretation </w:t>
      </w:r>
      <w:r w:rsidRPr="00175EA5">
        <w:t xml:space="preserve">involving </w:t>
      </w:r>
      <w:r>
        <w:t>an agency’s “</w:t>
      </w:r>
      <w:r w:rsidRPr="00175EA5">
        <w:t>area of expertise</w:t>
      </w:r>
      <w:r>
        <w:t>”</w:t>
      </w:r>
      <w:r w:rsidRPr="00175EA5">
        <w:t xml:space="preserve"> unless the </w:t>
      </w:r>
      <w:r>
        <w:t>“ ‘</w:t>
      </w:r>
      <w:r w:rsidRPr="00175EA5">
        <w:t xml:space="preserve">construction contradicts the clear language and purpose of the interpreted provision,’ ” </w:t>
      </w:r>
      <w:r>
        <w:t>for which it cites</w:t>
      </w:r>
      <w:r w:rsidRPr="00175EA5">
        <w:t xml:space="preserve"> </w:t>
      </w:r>
      <w:r w:rsidRPr="00175EA5">
        <w:rPr>
          <w:i/>
          <w:iCs/>
        </w:rPr>
        <w:t>Hoitt v. Dept. of Rehabilitation</w:t>
      </w:r>
      <w:r w:rsidRPr="00175EA5">
        <w:t xml:space="preserve"> (2012) 207 Cal.App.4th 513, 526.  </w:t>
      </w:r>
      <w:r w:rsidRPr="00175EA5">
        <w:rPr>
          <w:i/>
          <w:iCs/>
        </w:rPr>
        <w:t xml:space="preserve">Hoitt </w:t>
      </w:r>
      <w:r w:rsidRPr="00175EA5">
        <w:t>is inapposite</w:t>
      </w:r>
      <w:r>
        <w:t>, and</w:t>
      </w:r>
      <w:r w:rsidRPr="00175EA5">
        <w:t xml:space="preserve"> its view of the applicable legal standards has been rejected.  (</w:t>
      </w:r>
      <w:r>
        <w:rPr>
          <w:i/>
          <w:iCs/>
        </w:rPr>
        <w:t>Ibid.</w:t>
      </w:r>
      <w:r w:rsidRPr="00175EA5">
        <w:t xml:space="preserve"> [department properly interpreted regulations </w:t>
      </w:r>
      <w:r>
        <w:t>for</w:t>
      </w:r>
      <w:r w:rsidRPr="00175EA5">
        <w:t xml:space="preserve"> vocational training reimbursement]; </w:t>
      </w:r>
      <w:r w:rsidRPr="00175EA5">
        <w:rPr>
          <w:i/>
          <w:iCs/>
        </w:rPr>
        <w:t>United Artists Theatre Circuit, Inc. v. Cal. Regional Water Quality Control</w:t>
      </w:r>
      <w:r>
        <w:rPr>
          <w:i/>
          <w:iCs/>
        </w:rPr>
        <w:t xml:space="preserve"> Bd.</w:t>
      </w:r>
      <w:r w:rsidRPr="00175EA5">
        <w:t xml:space="preserve"> (2019) 42 Cal.App.5th 851, 883-884 [rejecting similar language</w:t>
      </w:r>
      <w:r>
        <w:t xml:space="preserve">; </w:t>
      </w:r>
      <w:r w:rsidRPr="00175EA5">
        <w:t xml:space="preserve">“if taken literally,” it would “almost always require deference to any agency interpretation of an ambiguous statute,” which is </w:t>
      </w:r>
      <w:r>
        <w:t>“</w:t>
      </w:r>
      <w:r w:rsidRPr="00175EA5">
        <w:t>inconsistent with this court</w:t>
      </w:r>
      <w:r>
        <w:t>’</w:t>
      </w:r>
      <w:r w:rsidRPr="00175EA5">
        <w:t>s ‘ultimate responsibility for the construction of the statute’</w:t>
      </w:r>
      <w:r w:rsidR="00F41EF2">
        <w:t> </w:t>
      </w:r>
      <w:r w:rsidRPr="00175EA5">
        <w:t>”].)</w:t>
      </w:r>
      <w:r>
        <w:t xml:space="preserve">  </w:t>
      </w:r>
    </w:p>
  </w:footnote>
  <w:footnote w:id="21">
    <w:p w14:paraId="59B09B48" w14:textId="09387A9B" w:rsidR="00A45A0A" w:rsidRDefault="00A45A0A" w:rsidP="001821BB">
      <w:pPr>
        <w:pStyle w:val="FootnoteText"/>
        <w:spacing w:after="240"/>
      </w:pPr>
      <w:r>
        <w:rPr>
          <w:rStyle w:val="FootnoteReference"/>
        </w:rPr>
        <w:footnoteRef/>
      </w:r>
      <w:r>
        <w:t xml:space="preserve"> </w:t>
      </w:r>
      <w:r>
        <w:tab/>
        <w:t xml:space="preserve">The commentator’s specific concern was that </w:t>
      </w:r>
      <w:r w:rsidRPr="00F11C6D">
        <w:t xml:space="preserve">“use of consolidated Annual Statement data is inappropriate where companies not admitted in California are included,” and “[i]f the non-admitted company writes a different mix of business from the admitted insurer, they will have a very differently distributed portfolio and the duration of the invested assets is likely to be different.” </w:t>
      </w:r>
      <w:r>
        <w:t xml:space="preserve"> </w:t>
      </w:r>
      <w:r w:rsidRPr="00D61F9D">
        <w:t xml:space="preserve">We </w:t>
      </w:r>
      <w:r>
        <w:t>grant</w:t>
      </w:r>
      <w:r w:rsidRPr="00D61F9D">
        <w:t xml:space="preserve"> </w:t>
      </w:r>
      <w:r>
        <w:t xml:space="preserve">SFG’s request for </w:t>
      </w:r>
      <w:r w:rsidRPr="00D61F9D">
        <w:t xml:space="preserve">judicial notice of </w:t>
      </w:r>
      <w:r>
        <w:t>administrative materials regarding the Proposition 103 regulations</w:t>
      </w:r>
      <w:r w:rsidRPr="00D61F9D">
        <w:t>.  (Evid. Code</w:t>
      </w:r>
      <w:r>
        <w:t>,</w:t>
      </w:r>
      <w:r w:rsidRPr="00D61F9D">
        <w:t xml:space="preserve"> §§ 452, subd. (c)</w:t>
      </w:r>
      <w:r>
        <w:t>,</w:t>
      </w:r>
      <w:r w:rsidRPr="00D61F9D">
        <w:t xml:space="preserve"> 459.)</w:t>
      </w:r>
      <w:r>
        <w:t xml:space="preserve">  </w:t>
      </w:r>
    </w:p>
  </w:footnote>
  <w:footnote w:id="22">
    <w:p w14:paraId="6742032D" w14:textId="56C43944" w:rsidR="00A45A0A" w:rsidRPr="00354D7E" w:rsidRDefault="00A45A0A" w:rsidP="001821BB">
      <w:pPr>
        <w:pStyle w:val="FootnoteText"/>
        <w:spacing w:after="240"/>
      </w:pPr>
      <w:r>
        <w:rPr>
          <w:rStyle w:val="FootnoteReference"/>
        </w:rPr>
        <w:footnoteRef/>
      </w:r>
      <w:r>
        <w:t xml:space="preserve"> </w:t>
      </w:r>
      <w:r>
        <w:tab/>
        <w:t xml:space="preserve">We reject CW’s claim that SFG previously admitted the Commissioner interpreted the regulation consistently.  It cites a superior court brief in which SFG said it filed this case after “years of accepting the Commissioner’s interpretations in order to gain rate approvals without having to go to hearing.”  SFG’s point appeared to be that it had </w:t>
      </w:r>
      <w:r>
        <w:rPr>
          <w:i/>
          <w:iCs/>
        </w:rPr>
        <w:t xml:space="preserve">avoided </w:t>
      </w:r>
      <w:r>
        <w:t>taking a position on the Commissioner’s view at all, to expedite rate approvals.</w:t>
      </w:r>
    </w:p>
  </w:footnote>
  <w:footnote w:id="23">
    <w:p w14:paraId="6A80D65F" w14:textId="01EA091E" w:rsidR="00A45A0A" w:rsidRPr="00D61F9D" w:rsidRDefault="00A45A0A" w:rsidP="001821BB">
      <w:pPr>
        <w:pStyle w:val="FootnoteText"/>
        <w:spacing w:after="240"/>
      </w:pPr>
      <w:r w:rsidRPr="00D61F9D">
        <w:rPr>
          <w:rStyle w:val="FootnoteReference"/>
        </w:rPr>
        <w:footnoteRef/>
      </w:r>
      <w:r w:rsidRPr="00D61F9D">
        <w:t xml:space="preserve"> </w:t>
      </w:r>
      <w:r w:rsidRPr="00D61F9D">
        <w:tab/>
        <w:t xml:space="preserve">The net investment </w:t>
      </w:r>
      <w:r>
        <w:t xml:space="preserve">income </w:t>
      </w:r>
      <w:r w:rsidRPr="00D61F9D">
        <w:t>calculation called for “excluding capital gains, [and] divid[ing] by the average of the insurer’s . . . surplus and reserves.”  (Former Cal. Code Regs., tit. 10, § 2644.20(a)</w:t>
      </w:r>
      <w:r>
        <w:t>;</w:t>
      </w:r>
      <w:r w:rsidRPr="00D61F9D">
        <w:t xml:space="preserve"> </w:t>
      </w:r>
      <w:r w:rsidRPr="00E92695">
        <w:t xml:space="preserve">Register 92, </w:t>
      </w:r>
      <w:r w:rsidRPr="008C52B9">
        <w:t>Nos. 15-17, p. 728.32</w:t>
      </w:r>
      <w:r w:rsidRPr="00D61F9D">
        <w:t>.)</w:t>
      </w:r>
    </w:p>
  </w:footnote>
  <w:footnote w:id="24">
    <w:p w14:paraId="6BACF278" w14:textId="7D0FE7D9" w:rsidR="00A45A0A" w:rsidRDefault="00A45A0A" w:rsidP="001821BB">
      <w:pPr>
        <w:pStyle w:val="FootnoteText"/>
        <w:spacing w:after="240"/>
      </w:pPr>
      <w:r>
        <w:rPr>
          <w:rStyle w:val="FootnoteReference"/>
        </w:rPr>
        <w:footnoteRef/>
      </w:r>
      <w:r>
        <w:t xml:space="preserve"> </w:t>
      </w:r>
      <w:r>
        <w:tab/>
      </w:r>
      <w:r w:rsidRPr="001821BB">
        <w:t xml:space="preserve">SFG directs us to additional </w:t>
      </w:r>
      <w:r>
        <w:t>administrative materials that reflect an early focus on individual insurers, which it contends further illustrate the Commissioner’s position has vacillated.  Although we already concluded as much, at least some of the materials are consistent with that conclusion</w:t>
      </w:r>
      <w:r w:rsidRPr="001821BB">
        <w:t>.  (See, e.g., Commissioner letter to Office of Admin</w:t>
      </w:r>
      <w:r>
        <w:t>.</w:t>
      </w:r>
      <w:r w:rsidRPr="001821BB">
        <w:t xml:space="preserve"> Law, 199</w:t>
      </w:r>
      <w:r>
        <w:t>2</w:t>
      </w:r>
      <w:r w:rsidRPr="001821BB">
        <w:t xml:space="preserve"> [addressing importance of § 1861.05(a), and explaining a “crucial aspect” of ratemaking is that the insurers have use of the premiums]; Reg. </w:t>
      </w:r>
      <w:r>
        <w:t xml:space="preserve">§ </w:t>
      </w:r>
      <w:r w:rsidRPr="001821BB">
        <w:t xml:space="preserve">2646.4 [titled “Hearings on </w:t>
      </w:r>
      <w:r>
        <w:t>I</w:t>
      </w:r>
      <w:r w:rsidRPr="001821BB">
        <w:t xml:space="preserve">ndividual </w:t>
      </w:r>
      <w:r>
        <w:t>I</w:t>
      </w:r>
      <w:r w:rsidRPr="001821BB">
        <w:t xml:space="preserve">nsurers’ </w:t>
      </w:r>
      <w:r>
        <w:t>R</w:t>
      </w:r>
      <w:r w:rsidRPr="001821BB">
        <w:t>ates” sinc</w:t>
      </w:r>
      <w:r>
        <w:t>e</w:t>
      </w:r>
      <w:r w:rsidRPr="001821BB">
        <w:t xml:space="preserve"> </w:t>
      </w:r>
      <w:r w:rsidRPr="00597D3E">
        <w:t>Register 92</w:t>
      </w:r>
      <w:r w:rsidRPr="001821BB">
        <w:t>, No. 3]</w:t>
      </w:r>
      <w:r>
        <w:t>.)</w:t>
      </w:r>
    </w:p>
  </w:footnote>
  <w:footnote w:id="25">
    <w:p w14:paraId="64DEDE60" w14:textId="630B0A33" w:rsidR="00A45A0A" w:rsidRPr="00551C34" w:rsidRDefault="00A45A0A" w:rsidP="00551C34">
      <w:pPr>
        <w:pStyle w:val="FootnoteText"/>
        <w:spacing w:after="240"/>
      </w:pPr>
      <w:r>
        <w:rPr>
          <w:rStyle w:val="FootnoteReference"/>
        </w:rPr>
        <w:footnoteRef/>
      </w:r>
      <w:r>
        <w:t xml:space="preserve"> </w:t>
      </w:r>
      <w:r>
        <w:tab/>
        <w:t xml:space="preserve">As noted, the superior court did not reach the retroactive rate and refund issues, but the Commissioner agrees we should do so and CW impliedly agrees by acknowledging their relevance to remand.  SFG appears to treat these issues both as further reason to affirm set aside of the Rate Order, </w:t>
      </w:r>
      <w:r w:rsidRPr="001B0653">
        <w:t>and</w:t>
      </w:r>
      <w:r>
        <w:t xml:space="preserve"> an argument against remand, thus implicating the appeal and cross-appeal.  We group them with the cross-appeal for clarity.</w:t>
      </w:r>
    </w:p>
  </w:footnote>
  <w:footnote w:id="26">
    <w:p w14:paraId="55060195" w14:textId="399340E3" w:rsidR="00A45A0A" w:rsidRDefault="00A45A0A" w:rsidP="008B7124">
      <w:pPr>
        <w:pStyle w:val="FootnoteText"/>
        <w:spacing w:after="240"/>
      </w:pPr>
      <w:r>
        <w:rPr>
          <w:rStyle w:val="FootnoteReference"/>
        </w:rPr>
        <w:footnoteRef/>
      </w:r>
      <w:r>
        <w:t xml:space="preserve"> </w:t>
      </w:r>
      <w:r>
        <w:tab/>
        <w:t xml:space="preserve">We recognize the California Supreme Court distinguished </w:t>
      </w:r>
      <w:r>
        <w:rPr>
          <w:i/>
          <w:iCs/>
        </w:rPr>
        <w:t>Bowen</w:t>
      </w:r>
      <w:r>
        <w:t xml:space="preserve"> in addressing the rollback year in </w:t>
      </w:r>
      <w:r>
        <w:rPr>
          <w:i/>
          <w:iCs/>
        </w:rPr>
        <w:t>20th Century</w:t>
      </w:r>
      <w:r>
        <w:t xml:space="preserve">, but it expressed no opinion on its application to the prior approval system.  </w:t>
      </w:r>
      <w:r w:rsidRPr="006204D3">
        <w:t>(</w:t>
      </w:r>
      <w:r w:rsidRPr="006204D3">
        <w:rPr>
          <w:i/>
          <w:iCs/>
        </w:rPr>
        <w:t>20th Century</w:t>
      </w:r>
      <w:r w:rsidRPr="006204D3">
        <w:t xml:space="preserve">, </w:t>
      </w:r>
      <w:r w:rsidRPr="006204D3">
        <w:rPr>
          <w:i/>
          <w:iCs/>
        </w:rPr>
        <w:t>supra</w:t>
      </w:r>
      <w:r w:rsidRPr="006204D3">
        <w:t xml:space="preserve">, 8 Cal.4th at p. 282 [rejecting reliance on </w:t>
      </w:r>
      <w:r w:rsidRPr="006204D3">
        <w:rPr>
          <w:i/>
          <w:iCs/>
        </w:rPr>
        <w:t xml:space="preserve">Bowen </w:t>
      </w:r>
      <w:r w:rsidRPr="006204D3">
        <w:t>to argue rollback regulations were impermissibly retroactive, explaining the “Medicare cost-limit regulations</w:t>
      </w:r>
      <w:r>
        <w:t>”</w:t>
      </w:r>
      <w:r w:rsidRPr="006204D3">
        <w:t xml:space="preserve"> there “ ‘alt[ered] the past legal consequences of past actions’ under predecessor regulations”].)</w:t>
      </w:r>
      <w:r>
        <w:t xml:space="preserve">  The Commissioner</w:t>
      </w:r>
      <w:r w:rsidRPr="00B60B16">
        <w:t xml:space="preserve"> </w:t>
      </w:r>
      <w:r>
        <w:t>relatedly</w:t>
      </w:r>
      <w:r w:rsidRPr="00B60B16">
        <w:t xml:space="preserve"> contend</w:t>
      </w:r>
      <w:r>
        <w:t>s</w:t>
      </w:r>
      <w:r w:rsidRPr="00B60B16">
        <w:t xml:space="preserve"> the Rate Order did not change the legal consequences of past conduct because </w:t>
      </w:r>
      <w:r>
        <w:t>regulation section 2644.20</w:t>
      </w:r>
      <w:r w:rsidRPr="00B60B16">
        <w:t xml:space="preserve"> has been in effect since 2007. </w:t>
      </w:r>
      <w:r>
        <w:t xml:space="preserve"> He conflates the propriety of the order with its timing; SFG’s objection here is not to the rate determination itself, but to the effective date and refund.</w:t>
      </w:r>
    </w:p>
  </w:footnote>
  <w:footnote w:id="27">
    <w:p w14:paraId="6277A2DE" w14:textId="18BFE13B" w:rsidR="00A45A0A" w:rsidRDefault="00A45A0A" w:rsidP="00DF0B14">
      <w:pPr>
        <w:pStyle w:val="FootnoteText"/>
        <w:spacing w:after="240"/>
      </w:pPr>
      <w:r>
        <w:rPr>
          <w:rStyle w:val="FootnoteReference"/>
        </w:rPr>
        <w:footnoteRef/>
      </w:r>
      <w:r>
        <w:t xml:space="preserve"> </w:t>
      </w:r>
      <w:r>
        <w:tab/>
        <w:t xml:space="preserve">We briefly address two remaining points.  First, we reject the Commissioner’s analogy to the judicial power to preserve the status quo pending decision; the issue is what he ordered </w:t>
      </w:r>
      <w:r w:rsidRPr="00702E07">
        <w:rPr>
          <w:i/>
          <w:iCs/>
        </w:rPr>
        <w:t>after</w:t>
      </w:r>
      <w:r>
        <w:t xml:space="preserve"> the rate hearing, not during it, and the case he cites is inapposite. </w:t>
      </w:r>
      <w:r w:rsidRPr="00FF557C">
        <w:t xml:space="preserve"> (</w:t>
      </w:r>
      <w:r>
        <w:t>Cf.</w:t>
      </w:r>
      <w:r w:rsidRPr="00FF557C">
        <w:t xml:space="preserve"> </w:t>
      </w:r>
      <w:r w:rsidRPr="00FF557C">
        <w:rPr>
          <w:i/>
          <w:iCs/>
        </w:rPr>
        <w:t>People ex rel. San Francisco Bay Conservation and Development Com</w:t>
      </w:r>
      <w:r>
        <w:rPr>
          <w:i/>
          <w:iCs/>
        </w:rPr>
        <w:t>.</w:t>
      </w:r>
      <w:r w:rsidRPr="00FF557C">
        <w:rPr>
          <w:i/>
          <w:iCs/>
        </w:rPr>
        <w:t xml:space="preserve"> v. Emeryville</w:t>
      </w:r>
      <w:r w:rsidRPr="00FF557C">
        <w:t xml:space="preserve"> (1968) 69 Cal.2d 533, 538 [deletion of procedural language from constitution did not limit Court’s inherent power to preserve jurisdiction </w:t>
      </w:r>
      <w:r>
        <w:t>with</w:t>
      </w:r>
      <w:r w:rsidRPr="00FF557C">
        <w:t xml:space="preserve"> writ of supersedeas].)</w:t>
      </w:r>
      <w:r>
        <w:t xml:space="preserve">  Second, </w:t>
      </w:r>
      <w:r w:rsidRPr="007355E0">
        <w:t xml:space="preserve">SFG initially </w:t>
      </w:r>
      <w:r>
        <w:t>cited</w:t>
      </w:r>
      <w:r w:rsidRPr="007355E0">
        <w:t xml:space="preserve"> sections 1858.1 to</w:t>
      </w:r>
      <w:r>
        <w:t xml:space="preserve"> </w:t>
      </w:r>
      <w:r w:rsidRPr="007355E0">
        <w:t xml:space="preserve">1858.3, and 1858.6, but withdrew its reliance on the former and did not </w:t>
      </w:r>
      <w:r>
        <w:t>discuss</w:t>
      </w:r>
      <w:r w:rsidRPr="007355E0">
        <w:t xml:space="preserve"> the latter in its reply brief.</w:t>
      </w:r>
      <w:r>
        <w:t xml:space="preserve">  </w:t>
      </w:r>
      <w:r w:rsidRPr="007355E0">
        <w:t xml:space="preserve">We </w:t>
      </w:r>
      <w:r>
        <w:t>need</w:t>
      </w:r>
      <w:r w:rsidRPr="007355E0">
        <w:t xml:space="preserve"> not </w:t>
      </w:r>
      <w:r>
        <w:t xml:space="preserve">address them.  </w:t>
      </w:r>
    </w:p>
  </w:footnote>
  <w:footnote w:id="28">
    <w:p w14:paraId="22B01483" w14:textId="2BD79AEE" w:rsidR="00A45A0A" w:rsidRDefault="00A45A0A">
      <w:pPr>
        <w:pStyle w:val="FootnoteText"/>
      </w:pPr>
      <w:r>
        <w:rPr>
          <w:rStyle w:val="FootnoteReference"/>
        </w:rPr>
        <w:footnoteRef/>
      </w:r>
      <w:r>
        <w:t xml:space="preserve"> </w:t>
      </w:r>
      <w:r>
        <w:tab/>
        <w:t xml:space="preserve">(See </w:t>
      </w:r>
      <w:r w:rsidRPr="009A4AC5">
        <w:rPr>
          <w:i/>
          <w:iCs/>
        </w:rPr>
        <w:t xml:space="preserve">In re Martinez </w:t>
      </w:r>
      <w:r w:rsidRPr="009A4AC5">
        <w:t xml:space="preserve">(2012) 210 Cal.App.4th 800, 827 </w:t>
      </w:r>
      <w:r>
        <w:t>[</w:t>
      </w:r>
      <w:r w:rsidRPr="009A4AC5">
        <w:t>“ ‘It is indeed a well-established principle of administrative law that an administrative agency vested with discretion to make a certain decision in the first instance may have its discretion limited on remand or even eliminated entirely by a reviewing court</w:t>
      </w:r>
      <w:r w:rsidR="00AD53D4">
        <w:t xml:space="preserve">’ </w:t>
      </w:r>
      <w:r w:rsidRPr="009A4AC5">
        <w:t>”</w:t>
      </w:r>
      <w:r>
        <w:t>],</w:t>
      </w:r>
      <w:r w:rsidRPr="009A4AC5">
        <w:t xml:space="preserve"> citing </w:t>
      </w:r>
      <w:r w:rsidRPr="009A4AC5">
        <w:rPr>
          <w:i/>
          <w:iCs/>
        </w:rPr>
        <w:t>In re Prather</w:t>
      </w:r>
      <w:r w:rsidRPr="009A4AC5">
        <w:t xml:space="preserve"> (2010) 50 Cal.4th 238, 259</w:t>
      </w:r>
      <w:r>
        <w:t xml:space="preserve"> (</w:t>
      </w:r>
      <w:r w:rsidRPr="009A4AC5">
        <w:t>conc. op</w:t>
      </w:r>
      <w:r>
        <w:t>n</w:t>
      </w:r>
      <w:r w:rsidRPr="009A4AC5">
        <w:t>. of Moreno</w:t>
      </w:r>
      <w:r>
        <w:t>, J.)</w:t>
      </w:r>
      <w:r w:rsidRPr="009A4AC5">
        <w:t xml:space="preserve">; cf. </w:t>
      </w:r>
      <w:r w:rsidRPr="009A4AC5">
        <w:rPr>
          <w:i/>
          <w:iCs/>
        </w:rPr>
        <w:t>People v. Coelho</w:t>
      </w:r>
      <w:r w:rsidRPr="009A4AC5">
        <w:t xml:space="preserve"> (2001) 89 Cal.App.4th 861, 889 [“reviewing courts have consistently declined to remand cases where doing so would be an idle act that exalts form over substance”</w:t>
      </w:r>
      <w:r>
        <w:t>]</w:t>
      </w:r>
      <w:r w:rsidRPr="009A4AC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AF528" w14:textId="77777777" w:rsidR="00A45A0A" w:rsidRDefault="00A45A0A">
    <w:pPr>
      <w:pStyle w:val="Header"/>
    </w:pPr>
  </w:p>
  <w:p w14:paraId="018BDD0C" w14:textId="77777777" w:rsidR="00A45A0A" w:rsidRDefault="00A45A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8A01B" w14:textId="77777777" w:rsidR="00A45A0A" w:rsidRDefault="00A45A0A">
    <w:pPr>
      <w:pStyle w:val="Header"/>
    </w:pPr>
  </w:p>
  <w:p w14:paraId="5EA317EE" w14:textId="77777777" w:rsidR="00A45A0A" w:rsidRDefault="00A45A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99A"/>
    <w:multiLevelType w:val="hybridMultilevel"/>
    <w:tmpl w:val="1120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0E5D"/>
    <w:multiLevelType w:val="hybridMultilevel"/>
    <w:tmpl w:val="7BC6C6C2"/>
    <w:lvl w:ilvl="0" w:tplc="9A761F8C">
      <w:start w:val="1"/>
      <w:numFmt w:val="decimal"/>
      <w:lvlText w:val="%1"/>
      <w:lvlJc w:val="left"/>
      <w:pPr>
        <w:ind w:left="1475" w:hanging="1134"/>
        <w:jc w:val="right"/>
      </w:pPr>
      <w:rPr>
        <w:rFonts w:hint="default"/>
        <w:w w:val="105"/>
      </w:rPr>
    </w:lvl>
    <w:lvl w:ilvl="1" w:tplc="C10ED634">
      <w:start w:val="1"/>
      <w:numFmt w:val="decimal"/>
      <w:lvlText w:val="%2"/>
      <w:lvlJc w:val="left"/>
      <w:pPr>
        <w:ind w:left="1445" w:hanging="1137"/>
        <w:jc w:val="right"/>
      </w:pPr>
      <w:rPr>
        <w:rFonts w:hint="default"/>
        <w:w w:val="110"/>
      </w:rPr>
    </w:lvl>
    <w:lvl w:ilvl="2" w:tplc="43CC4EB0">
      <w:start w:val="1"/>
      <w:numFmt w:val="decimal"/>
      <w:lvlText w:val="%3"/>
      <w:lvlJc w:val="left"/>
      <w:pPr>
        <w:ind w:left="1491" w:hanging="1143"/>
        <w:jc w:val="right"/>
      </w:pPr>
      <w:rPr>
        <w:rFonts w:hint="default"/>
        <w:w w:val="110"/>
      </w:rPr>
    </w:lvl>
    <w:lvl w:ilvl="3" w:tplc="23B098CA">
      <w:numFmt w:val="bullet"/>
      <w:lvlText w:val="•"/>
      <w:lvlJc w:val="left"/>
      <w:pPr>
        <w:ind w:left="1500" w:hanging="1143"/>
      </w:pPr>
      <w:rPr>
        <w:rFonts w:hint="default"/>
      </w:rPr>
    </w:lvl>
    <w:lvl w:ilvl="4" w:tplc="EE7CA3B8">
      <w:numFmt w:val="bullet"/>
      <w:lvlText w:val="•"/>
      <w:lvlJc w:val="left"/>
      <w:pPr>
        <w:ind w:left="1539" w:hanging="1143"/>
      </w:pPr>
      <w:rPr>
        <w:rFonts w:hint="default"/>
      </w:rPr>
    </w:lvl>
    <w:lvl w:ilvl="5" w:tplc="772426A4">
      <w:numFmt w:val="bullet"/>
      <w:lvlText w:val="•"/>
      <w:lvlJc w:val="left"/>
      <w:pPr>
        <w:ind w:left="1578" w:hanging="1143"/>
      </w:pPr>
      <w:rPr>
        <w:rFonts w:hint="default"/>
      </w:rPr>
    </w:lvl>
    <w:lvl w:ilvl="6" w:tplc="D474036C">
      <w:numFmt w:val="bullet"/>
      <w:lvlText w:val="•"/>
      <w:lvlJc w:val="left"/>
      <w:pPr>
        <w:ind w:left="1617" w:hanging="1143"/>
      </w:pPr>
      <w:rPr>
        <w:rFonts w:hint="default"/>
      </w:rPr>
    </w:lvl>
    <w:lvl w:ilvl="7" w:tplc="7E308B96">
      <w:numFmt w:val="bullet"/>
      <w:lvlText w:val="•"/>
      <w:lvlJc w:val="left"/>
      <w:pPr>
        <w:ind w:left="1657" w:hanging="1143"/>
      </w:pPr>
      <w:rPr>
        <w:rFonts w:hint="default"/>
      </w:rPr>
    </w:lvl>
    <w:lvl w:ilvl="8" w:tplc="9DC6501A">
      <w:numFmt w:val="bullet"/>
      <w:lvlText w:val="•"/>
      <w:lvlJc w:val="left"/>
      <w:pPr>
        <w:ind w:left="1696" w:hanging="1143"/>
      </w:pPr>
      <w:rPr>
        <w:rFonts w:hint="default"/>
      </w:rPr>
    </w:lvl>
  </w:abstractNum>
  <w:abstractNum w:abstractNumId="2" w15:restartNumberingAfterBreak="0">
    <w:nsid w:val="059C6464"/>
    <w:multiLevelType w:val="hybridMultilevel"/>
    <w:tmpl w:val="3DAE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27B13"/>
    <w:multiLevelType w:val="multilevel"/>
    <w:tmpl w:val="067AB85A"/>
    <w:lvl w:ilvl="0">
      <w:start w:val="21"/>
      <w:numFmt w:val="upperLetter"/>
      <w:lvlText w:val="%1"/>
      <w:lvlJc w:val="left"/>
      <w:pPr>
        <w:ind w:left="694" w:hanging="540"/>
      </w:pPr>
      <w:rPr>
        <w:rFonts w:hint="default"/>
      </w:rPr>
    </w:lvl>
    <w:lvl w:ilvl="1">
      <w:start w:val="5"/>
      <w:numFmt w:val="upperLetter"/>
      <w:lvlText w:val="%1.%2."/>
      <w:lvlJc w:val="left"/>
      <w:pPr>
        <w:ind w:left="694" w:hanging="540"/>
      </w:pPr>
      <w:rPr>
        <w:rFonts w:ascii="Times New Roman" w:eastAsia="Times New Roman" w:hAnsi="Times New Roman" w:hint="default"/>
        <w:w w:val="99"/>
        <w:sz w:val="26"/>
        <w:szCs w:val="26"/>
      </w:rPr>
    </w:lvl>
    <w:lvl w:ilvl="2">
      <w:start w:val="1"/>
      <w:numFmt w:val="decimal"/>
      <w:lvlText w:val="%3."/>
      <w:lvlJc w:val="left"/>
      <w:pPr>
        <w:ind w:left="1908" w:hanging="692"/>
      </w:pPr>
      <w:rPr>
        <w:rFonts w:ascii="Times New Roman" w:eastAsia="Times New Roman" w:hAnsi="Times New Roman" w:hint="default"/>
        <w:b/>
        <w:bCs/>
        <w:color w:val="575757"/>
        <w:w w:val="75"/>
        <w:sz w:val="28"/>
        <w:szCs w:val="28"/>
      </w:rPr>
    </w:lvl>
    <w:lvl w:ilvl="3">
      <w:start w:val="1"/>
      <w:numFmt w:val="bullet"/>
      <w:lvlText w:val="•"/>
      <w:lvlJc w:val="left"/>
      <w:pPr>
        <w:ind w:left="3433" w:hanging="692"/>
      </w:pPr>
      <w:rPr>
        <w:rFonts w:hint="default"/>
      </w:rPr>
    </w:lvl>
    <w:lvl w:ilvl="4">
      <w:start w:val="1"/>
      <w:numFmt w:val="bullet"/>
      <w:lvlText w:val="•"/>
      <w:lvlJc w:val="left"/>
      <w:pPr>
        <w:ind w:left="4196" w:hanging="692"/>
      </w:pPr>
      <w:rPr>
        <w:rFonts w:hint="default"/>
      </w:rPr>
    </w:lvl>
    <w:lvl w:ilvl="5">
      <w:start w:val="1"/>
      <w:numFmt w:val="bullet"/>
      <w:lvlText w:val="•"/>
      <w:lvlJc w:val="left"/>
      <w:pPr>
        <w:ind w:left="4958" w:hanging="692"/>
      </w:pPr>
      <w:rPr>
        <w:rFonts w:hint="default"/>
      </w:rPr>
    </w:lvl>
    <w:lvl w:ilvl="6">
      <w:start w:val="1"/>
      <w:numFmt w:val="bullet"/>
      <w:lvlText w:val="•"/>
      <w:lvlJc w:val="left"/>
      <w:pPr>
        <w:ind w:left="5721" w:hanging="692"/>
      </w:pPr>
      <w:rPr>
        <w:rFonts w:hint="default"/>
      </w:rPr>
    </w:lvl>
    <w:lvl w:ilvl="7">
      <w:start w:val="1"/>
      <w:numFmt w:val="bullet"/>
      <w:lvlText w:val="•"/>
      <w:lvlJc w:val="left"/>
      <w:pPr>
        <w:ind w:left="6483" w:hanging="692"/>
      </w:pPr>
      <w:rPr>
        <w:rFonts w:hint="default"/>
      </w:rPr>
    </w:lvl>
    <w:lvl w:ilvl="8">
      <w:start w:val="1"/>
      <w:numFmt w:val="bullet"/>
      <w:lvlText w:val="•"/>
      <w:lvlJc w:val="left"/>
      <w:pPr>
        <w:ind w:left="7246" w:hanging="692"/>
      </w:pPr>
      <w:rPr>
        <w:rFonts w:hint="default"/>
      </w:rPr>
    </w:lvl>
  </w:abstractNum>
  <w:abstractNum w:abstractNumId="4" w15:restartNumberingAfterBreak="0">
    <w:nsid w:val="25852040"/>
    <w:multiLevelType w:val="hybridMultilevel"/>
    <w:tmpl w:val="80466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11644"/>
    <w:multiLevelType w:val="hybridMultilevel"/>
    <w:tmpl w:val="C196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61C73"/>
    <w:multiLevelType w:val="multilevel"/>
    <w:tmpl w:val="CCE85A0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2C365D69"/>
    <w:multiLevelType w:val="hybridMultilevel"/>
    <w:tmpl w:val="C4F2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F4BDF"/>
    <w:multiLevelType w:val="hybridMultilevel"/>
    <w:tmpl w:val="E690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B10EE"/>
    <w:multiLevelType w:val="multilevel"/>
    <w:tmpl w:val="54BAF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6A2285"/>
    <w:multiLevelType w:val="hybridMultilevel"/>
    <w:tmpl w:val="DFA0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344F6"/>
    <w:multiLevelType w:val="hybridMultilevel"/>
    <w:tmpl w:val="E7DC8B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A921CF"/>
    <w:multiLevelType w:val="hybridMultilevel"/>
    <w:tmpl w:val="973A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C76CC"/>
    <w:multiLevelType w:val="hybridMultilevel"/>
    <w:tmpl w:val="A7C26850"/>
    <w:lvl w:ilvl="0" w:tplc="1ADA8938">
      <w:start w:val="1"/>
      <w:numFmt w:val="decimal"/>
      <w:lvlText w:val="%1."/>
      <w:lvlJc w:val="left"/>
      <w:pPr>
        <w:ind w:left="2160" w:hanging="360"/>
      </w:pPr>
      <w:rPr>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F1E146D"/>
    <w:multiLevelType w:val="hybridMultilevel"/>
    <w:tmpl w:val="69405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A1AFD"/>
    <w:multiLevelType w:val="hybridMultilevel"/>
    <w:tmpl w:val="063C9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D21E3"/>
    <w:multiLevelType w:val="hybridMultilevel"/>
    <w:tmpl w:val="640A3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05C9D"/>
    <w:multiLevelType w:val="hybridMultilevel"/>
    <w:tmpl w:val="8356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F0D45"/>
    <w:multiLevelType w:val="hybridMultilevel"/>
    <w:tmpl w:val="856AB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10"/>
  </w:num>
  <w:num w:numId="5">
    <w:abstractNumId w:val="6"/>
  </w:num>
  <w:num w:numId="6">
    <w:abstractNumId w:val="12"/>
  </w:num>
  <w:num w:numId="7">
    <w:abstractNumId w:val="3"/>
  </w:num>
  <w:num w:numId="8">
    <w:abstractNumId w:val="16"/>
  </w:num>
  <w:num w:numId="9">
    <w:abstractNumId w:val="8"/>
  </w:num>
  <w:num w:numId="10">
    <w:abstractNumId w:val="17"/>
  </w:num>
  <w:num w:numId="11">
    <w:abstractNumId w:val="7"/>
  </w:num>
  <w:num w:numId="12">
    <w:abstractNumId w:val="13"/>
  </w:num>
  <w:num w:numId="13">
    <w:abstractNumId w:val="1"/>
  </w:num>
  <w:num w:numId="14">
    <w:abstractNumId w:val="14"/>
  </w:num>
  <w:num w:numId="15">
    <w:abstractNumId w:val="5"/>
  </w:num>
  <w:num w:numId="16">
    <w:abstractNumId w:val="0"/>
  </w:num>
  <w:num w:numId="17">
    <w:abstractNumId w:val="18"/>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isplayBackgroundShape/>
  <w:stylePaneSortMethod w:val="000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39B"/>
    <w:rsid w:val="0000023F"/>
    <w:rsid w:val="00000412"/>
    <w:rsid w:val="000006EE"/>
    <w:rsid w:val="0000088C"/>
    <w:rsid w:val="000008DC"/>
    <w:rsid w:val="00000B03"/>
    <w:rsid w:val="00001188"/>
    <w:rsid w:val="000011F3"/>
    <w:rsid w:val="000014DC"/>
    <w:rsid w:val="00001858"/>
    <w:rsid w:val="00001CFB"/>
    <w:rsid w:val="0000212C"/>
    <w:rsid w:val="000022B1"/>
    <w:rsid w:val="000026EC"/>
    <w:rsid w:val="00002F81"/>
    <w:rsid w:val="00002FDA"/>
    <w:rsid w:val="00003656"/>
    <w:rsid w:val="0000365F"/>
    <w:rsid w:val="000036BD"/>
    <w:rsid w:val="000039F1"/>
    <w:rsid w:val="00003F48"/>
    <w:rsid w:val="00004026"/>
    <w:rsid w:val="00004050"/>
    <w:rsid w:val="00004560"/>
    <w:rsid w:val="00004589"/>
    <w:rsid w:val="00004619"/>
    <w:rsid w:val="00004887"/>
    <w:rsid w:val="0000491D"/>
    <w:rsid w:val="00004C31"/>
    <w:rsid w:val="00004D1C"/>
    <w:rsid w:val="00004D78"/>
    <w:rsid w:val="00004EC0"/>
    <w:rsid w:val="0000502D"/>
    <w:rsid w:val="0000542C"/>
    <w:rsid w:val="0000548D"/>
    <w:rsid w:val="000058B3"/>
    <w:rsid w:val="000058FC"/>
    <w:rsid w:val="00005DD5"/>
    <w:rsid w:val="00005EE0"/>
    <w:rsid w:val="0000600E"/>
    <w:rsid w:val="00006356"/>
    <w:rsid w:val="0000668F"/>
    <w:rsid w:val="000067A3"/>
    <w:rsid w:val="000068AB"/>
    <w:rsid w:val="00006AD4"/>
    <w:rsid w:val="00006C9D"/>
    <w:rsid w:val="00006CC6"/>
    <w:rsid w:val="00006D85"/>
    <w:rsid w:val="000072CD"/>
    <w:rsid w:val="00007837"/>
    <w:rsid w:val="00007A07"/>
    <w:rsid w:val="00007DF0"/>
    <w:rsid w:val="00010224"/>
    <w:rsid w:val="000105CE"/>
    <w:rsid w:val="0001060E"/>
    <w:rsid w:val="000109AB"/>
    <w:rsid w:val="000109D8"/>
    <w:rsid w:val="00010A1F"/>
    <w:rsid w:val="00010A71"/>
    <w:rsid w:val="00010D8A"/>
    <w:rsid w:val="000112B3"/>
    <w:rsid w:val="00011691"/>
    <w:rsid w:val="000119BD"/>
    <w:rsid w:val="00011C42"/>
    <w:rsid w:val="000120E2"/>
    <w:rsid w:val="00012223"/>
    <w:rsid w:val="00012257"/>
    <w:rsid w:val="00012288"/>
    <w:rsid w:val="00012428"/>
    <w:rsid w:val="00012566"/>
    <w:rsid w:val="00012701"/>
    <w:rsid w:val="00012AA2"/>
    <w:rsid w:val="00012ECC"/>
    <w:rsid w:val="000132F6"/>
    <w:rsid w:val="00013562"/>
    <w:rsid w:val="000136B8"/>
    <w:rsid w:val="000137D6"/>
    <w:rsid w:val="0001385A"/>
    <w:rsid w:val="0001387C"/>
    <w:rsid w:val="00013C3F"/>
    <w:rsid w:val="00013F7A"/>
    <w:rsid w:val="00014358"/>
    <w:rsid w:val="000144F4"/>
    <w:rsid w:val="00014695"/>
    <w:rsid w:val="0001485F"/>
    <w:rsid w:val="00014898"/>
    <w:rsid w:val="000149A3"/>
    <w:rsid w:val="00014A5B"/>
    <w:rsid w:val="00014B33"/>
    <w:rsid w:val="00015208"/>
    <w:rsid w:val="00015481"/>
    <w:rsid w:val="000155FC"/>
    <w:rsid w:val="0001561D"/>
    <w:rsid w:val="00015642"/>
    <w:rsid w:val="00015B36"/>
    <w:rsid w:val="00015ED5"/>
    <w:rsid w:val="00015F64"/>
    <w:rsid w:val="00015F98"/>
    <w:rsid w:val="00016468"/>
    <w:rsid w:val="000165BF"/>
    <w:rsid w:val="000169EB"/>
    <w:rsid w:val="00016A55"/>
    <w:rsid w:val="00016E2F"/>
    <w:rsid w:val="0001718E"/>
    <w:rsid w:val="00017267"/>
    <w:rsid w:val="00017572"/>
    <w:rsid w:val="00017682"/>
    <w:rsid w:val="000179CE"/>
    <w:rsid w:val="00017F38"/>
    <w:rsid w:val="00017F4F"/>
    <w:rsid w:val="000205AA"/>
    <w:rsid w:val="000206B6"/>
    <w:rsid w:val="000206B9"/>
    <w:rsid w:val="0002079D"/>
    <w:rsid w:val="00020C1F"/>
    <w:rsid w:val="00021096"/>
    <w:rsid w:val="00021194"/>
    <w:rsid w:val="00021644"/>
    <w:rsid w:val="00021678"/>
    <w:rsid w:val="0002181D"/>
    <w:rsid w:val="000218B3"/>
    <w:rsid w:val="00021AA9"/>
    <w:rsid w:val="00021AFC"/>
    <w:rsid w:val="00021BC3"/>
    <w:rsid w:val="00021CBF"/>
    <w:rsid w:val="0002205F"/>
    <w:rsid w:val="000220CE"/>
    <w:rsid w:val="00022266"/>
    <w:rsid w:val="000222B3"/>
    <w:rsid w:val="00022380"/>
    <w:rsid w:val="0002250E"/>
    <w:rsid w:val="0002259D"/>
    <w:rsid w:val="00022634"/>
    <w:rsid w:val="000228C3"/>
    <w:rsid w:val="00022A41"/>
    <w:rsid w:val="00022CDB"/>
    <w:rsid w:val="00023021"/>
    <w:rsid w:val="00023060"/>
    <w:rsid w:val="00023283"/>
    <w:rsid w:val="000232A4"/>
    <w:rsid w:val="000232CD"/>
    <w:rsid w:val="000234F9"/>
    <w:rsid w:val="00023612"/>
    <w:rsid w:val="0002369E"/>
    <w:rsid w:val="00023985"/>
    <w:rsid w:val="00023B0B"/>
    <w:rsid w:val="00023B78"/>
    <w:rsid w:val="00023D20"/>
    <w:rsid w:val="00023D59"/>
    <w:rsid w:val="00023D8A"/>
    <w:rsid w:val="00023E51"/>
    <w:rsid w:val="00023F00"/>
    <w:rsid w:val="000240EB"/>
    <w:rsid w:val="000241B1"/>
    <w:rsid w:val="000242CB"/>
    <w:rsid w:val="00024493"/>
    <w:rsid w:val="00024608"/>
    <w:rsid w:val="00024A0E"/>
    <w:rsid w:val="00024CFA"/>
    <w:rsid w:val="0002531F"/>
    <w:rsid w:val="000257B0"/>
    <w:rsid w:val="0002594B"/>
    <w:rsid w:val="00025BD5"/>
    <w:rsid w:val="00025C21"/>
    <w:rsid w:val="00026246"/>
    <w:rsid w:val="0002648E"/>
    <w:rsid w:val="00026AA9"/>
    <w:rsid w:val="00026B35"/>
    <w:rsid w:val="00026BE2"/>
    <w:rsid w:val="000272DE"/>
    <w:rsid w:val="0002743B"/>
    <w:rsid w:val="0002788C"/>
    <w:rsid w:val="00027A5D"/>
    <w:rsid w:val="00027AA4"/>
    <w:rsid w:val="00027CBE"/>
    <w:rsid w:val="00027D8A"/>
    <w:rsid w:val="00027E21"/>
    <w:rsid w:val="00027F05"/>
    <w:rsid w:val="000304EE"/>
    <w:rsid w:val="00030898"/>
    <w:rsid w:val="0003098C"/>
    <w:rsid w:val="00030C11"/>
    <w:rsid w:val="00030D3E"/>
    <w:rsid w:val="00031073"/>
    <w:rsid w:val="000310FA"/>
    <w:rsid w:val="0003124D"/>
    <w:rsid w:val="000312D7"/>
    <w:rsid w:val="00031646"/>
    <w:rsid w:val="0003197F"/>
    <w:rsid w:val="00031BF2"/>
    <w:rsid w:val="00031C2E"/>
    <w:rsid w:val="00032062"/>
    <w:rsid w:val="000329E3"/>
    <w:rsid w:val="00032BD0"/>
    <w:rsid w:val="00032BE5"/>
    <w:rsid w:val="00032C0E"/>
    <w:rsid w:val="00032D57"/>
    <w:rsid w:val="00032DF2"/>
    <w:rsid w:val="00033131"/>
    <w:rsid w:val="00033166"/>
    <w:rsid w:val="00033195"/>
    <w:rsid w:val="000340B1"/>
    <w:rsid w:val="0003421D"/>
    <w:rsid w:val="0003470F"/>
    <w:rsid w:val="0003475E"/>
    <w:rsid w:val="0003482A"/>
    <w:rsid w:val="00034834"/>
    <w:rsid w:val="00034D73"/>
    <w:rsid w:val="00034F55"/>
    <w:rsid w:val="000350EE"/>
    <w:rsid w:val="000351CE"/>
    <w:rsid w:val="000356ED"/>
    <w:rsid w:val="0003588F"/>
    <w:rsid w:val="00035B39"/>
    <w:rsid w:val="00035B74"/>
    <w:rsid w:val="00035C78"/>
    <w:rsid w:val="00035EB9"/>
    <w:rsid w:val="0003600E"/>
    <w:rsid w:val="0003612E"/>
    <w:rsid w:val="000362BE"/>
    <w:rsid w:val="000363BC"/>
    <w:rsid w:val="0003684C"/>
    <w:rsid w:val="00036E57"/>
    <w:rsid w:val="000370E2"/>
    <w:rsid w:val="00037179"/>
    <w:rsid w:val="00037468"/>
    <w:rsid w:val="0003750A"/>
    <w:rsid w:val="0003769D"/>
    <w:rsid w:val="000376AB"/>
    <w:rsid w:val="00037DD4"/>
    <w:rsid w:val="0004025D"/>
    <w:rsid w:val="000403DE"/>
    <w:rsid w:val="000404FC"/>
    <w:rsid w:val="00040F64"/>
    <w:rsid w:val="00040FCA"/>
    <w:rsid w:val="00041069"/>
    <w:rsid w:val="00041322"/>
    <w:rsid w:val="000413A3"/>
    <w:rsid w:val="00041707"/>
    <w:rsid w:val="000417A2"/>
    <w:rsid w:val="0004194F"/>
    <w:rsid w:val="0004198B"/>
    <w:rsid w:val="00041B38"/>
    <w:rsid w:val="00041D1E"/>
    <w:rsid w:val="00041D59"/>
    <w:rsid w:val="000420E3"/>
    <w:rsid w:val="000421AB"/>
    <w:rsid w:val="00042539"/>
    <w:rsid w:val="00042636"/>
    <w:rsid w:val="00042891"/>
    <w:rsid w:val="00042BC7"/>
    <w:rsid w:val="00042D4D"/>
    <w:rsid w:val="00042E1E"/>
    <w:rsid w:val="0004350B"/>
    <w:rsid w:val="00043A35"/>
    <w:rsid w:val="00043AC0"/>
    <w:rsid w:val="000440B3"/>
    <w:rsid w:val="0004417A"/>
    <w:rsid w:val="0004422D"/>
    <w:rsid w:val="000442A0"/>
    <w:rsid w:val="0004432F"/>
    <w:rsid w:val="000443A0"/>
    <w:rsid w:val="00044B7B"/>
    <w:rsid w:val="00045015"/>
    <w:rsid w:val="0004532A"/>
    <w:rsid w:val="0004537B"/>
    <w:rsid w:val="00045730"/>
    <w:rsid w:val="000457D2"/>
    <w:rsid w:val="00045AB3"/>
    <w:rsid w:val="00045C48"/>
    <w:rsid w:val="00045C65"/>
    <w:rsid w:val="00045C68"/>
    <w:rsid w:val="00045D21"/>
    <w:rsid w:val="0004609F"/>
    <w:rsid w:val="00046121"/>
    <w:rsid w:val="00046A48"/>
    <w:rsid w:val="00046A6E"/>
    <w:rsid w:val="00046B5C"/>
    <w:rsid w:val="00046EB8"/>
    <w:rsid w:val="000470E5"/>
    <w:rsid w:val="000474B0"/>
    <w:rsid w:val="000476D7"/>
    <w:rsid w:val="000479A1"/>
    <w:rsid w:val="00047B33"/>
    <w:rsid w:val="00047F1C"/>
    <w:rsid w:val="00047F29"/>
    <w:rsid w:val="00050238"/>
    <w:rsid w:val="000503C3"/>
    <w:rsid w:val="00050596"/>
    <w:rsid w:val="00050ADB"/>
    <w:rsid w:val="00051012"/>
    <w:rsid w:val="00051390"/>
    <w:rsid w:val="0005152A"/>
    <w:rsid w:val="00051664"/>
    <w:rsid w:val="00051854"/>
    <w:rsid w:val="00051869"/>
    <w:rsid w:val="000518CA"/>
    <w:rsid w:val="000518D3"/>
    <w:rsid w:val="000519F4"/>
    <w:rsid w:val="00051A07"/>
    <w:rsid w:val="00051AAD"/>
    <w:rsid w:val="00051ACF"/>
    <w:rsid w:val="00052004"/>
    <w:rsid w:val="0005210B"/>
    <w:rsid w:val="0005224B"/>
    <w:rsid w:val="000524F3"/>
    <w:rsid w:val="00052A81"/>
    <w:rsid w:val="00052C4C"/>
    <w:rsid w:val="00052DEC"/>
    <w:rsid w:val="00053769"/>
    <w:rsid w:val="000539D1"/>
    <w:rsid w:val="00053B25"/>
    <w:rsid w:val="00053BAE"/>
    <w:rsid w:val="00053E51"/>
    <w:rsid w:val="00053FAE"/>
    <w:rsid w:val="00054280"/>
    <w:rsid w:val="0005488B"/>
    <w:rsid w:val="00054AF1"/>
    <w:rsid w:val="00054B16"/>
    <w:rsid w:val="00054BEF"/>
    <w:rsid w:val="00055098"/>
    <w:rsid w:val="00055B29"/>
    <w:rsid w:val="00055D07"/>
    <w:rsid w:val="00055ED8"/>
    <w:rsid w:val="00055F0D"/>
    <w:rsid w:val="00056422"/>
    <w:rsid w:val="0005657C"/>
    <w:rsid w:val="000565C8"/>
    <w:rsid w:val="000568C3"/>
    <w:rsid w:val="00056C0E"/>
    <w:rsid w:val="00056EAA"/>
    <w:rsid w:val="0005738F"/>
    <w:rsid w:val="000573D6"/>
    <w:rsid w:val="00057532"/>
    <w:rsid w:val="00057643"/>
    <w:rsid w:val="00057786"/>
    <w:rsid w:val="00057A38"/>
    <w:rsid w:val="00057A90"/>
    <w:rsid w:val="00057ABD"/>
    <w:rsid w:val="00057C17"/>
    <w:rsid w:val="00057F57"/>
    <w:rsid w:val="0006006D"/>
    <w:rsid w:val="000601D4"/>
    <w:rsid w:val="0006028C"/>
    <w:rsid w:val="00060314"/>
    <w:rsid w:val="00060544"/>
    <w:rsid w:val="00060B78"/>
    <w:rsid w:val="00060CD0"/>
    <w:rsid w:val="000614D7"/>
    <w:rsid w:val="00061510"/>
    <w:rsid w:val="00061878"/>
    <w:rsid w:val="00061A1D"/>
    <w:rsid w:val="00061C97"/>
    <w:rsid w:val="00061D8C"/>
    <w:rsid w:val="000620E5"/>
    <w:rsid w:val="00062157"/>
    <w:rsid w:val="00062392"/>
    <w:rsid w:val="00062795"/>
    <w:rsid w:val="00062A0B"/>
    <w:rsid w:val="00062B3C"/>
    <w:rsid w:val="00063066"/>
    <w:rsid w:val="0006330E"/>
    <w:rsid w:val="0006370D"/>
    <w:rsid w:val="0006375B"/>
    <w:rsid w:val="00063863"/>
    <w:rsid w:val="00063883"/>
    <w:rsid w:val="000638E7"/>
    <w:rsid w:val="00063AE8"/>
    <w:rsid w:val="00063D1E"/>
    <w:rsid w:val="00063D83"/>
    <w:rsid w:val="000641C8"/>
    <w:rsid w:val="000643C1"/>
    <w:rsid w:val="000644BD"/>
    <w:rsid w:val="00064546"/>
    <w:rsid w:val="00064EEC"/>
    <w:rsid w:val="00064F59"/>
    <w:rsid w:val="00065167"/>
    <w:rsid w:val="000651A5"/>
    <w:rsid w:val="0006557E"/>
    <w:rsid w:val="000655A3"/>
    <w:rsid w:val="0006564F"/>
    <w:rsid w:val="00065BEA"/>
    <w:rsid w:val="0006643B"/>
    <w:rsid w:val="00066590"/>
    <w:rsid w:val="000668EC"/>
    <w:rsid w:val="00066955"/>
    <w:rsid w:val="000669C1"/>
    <w:rsid w:val="00066B30"/>
    <w:rsid w:val="00066DF3"/>
    <w:rsid w:val="00066F4A"/>
    <w:rsid w:val="00067004"/>
    <w:rsid w:val="000671B6"/>
    <w:rsid w:val="000675BB"/>
    <w:rsid w:val="00067687"/>
    <w:rsid w:val="000676BC"/>
    <w:rsid w:val="0006778D"/>
    <w:rsid w:val="0006794F"/>
    <w:rsid w:val="00067A58"/>
    <w:rsid w:val="00067A75"/>
    <w:rsid w:val="00067BD1"/>
    <w:rsid w:val="00067BF6"/>
    <w:rsid w:val="00067D73"/>
    <w:rsid w:val="00067EA8"/>
    <w:rsid w:val="00070200"/>
    <w:rsid w:val="0007024C"/>
    <w:rsid w:val="0007079C"/>
    <w:rsid w:val="000707F7"/>
    <w:rsid w:val="000709C0"/>
    <w:rsid w:val="000709F1"/>
    <w:rsid w:val="00070C53"/>
    <w:rsid w:val="00070D2B"/>
    <w:rsid w:val="000711BF"/>
    <w:rsid w:val="00071262"/>
    <w:rsid w:val="00071314"/>
    <w:rsid w:val="00071365"/>
    <w:rsid w:val="0007159F"/>
    <w:rsid w:val="00071977"/>
    <w:rsid w:val="000719D6"/>
    <w:rsid w:val="00071A28"/>
    <w:rsid w:val="00071F69"/>
    <w:rsid w:val="00072236"/>
    <w:rsid w:val="0007287F"/>
    <w:rsid w:val="0007290E"/>
    <w:rsid w:val="00072998"/>
    <w:rsid w:val="00072B10"/>
    <w:rsid w:val="00072B68"/>
    <w:rsid w:val="00072C3C"/>
    <w:rsid w:val="00072F37"/>
    <w:rsid w:val="00072FEE"/>
    <w:rsid w:val="0007300F"/>
    <w:rsid w:val="00073244"/>
    <w:rsid w:val="000732D4"/>
    <w:rsid w:val="0007335E"/>
    <w:rsid w:val="00073544"/>
    <w:rsid w:val="0007355D"/>
    <w:rsid w:val="000735D6"/>
    <w:rsid w:val="0007368C"/>
    <w:rsid w:val="00073825"/>
    <w:rsid w:val="0007387D"/>
    <w:rsid w:val="00073E92"/>
    <w:rsid w:val="0007459B"/>
    <w:rsid w:val="000745F5"/>
    <w:rsid w:val="00074A20"/>
    <w:rsid w:val="00074BA1"/>
    <w:rsid w:val="00074C4E"/>
    <w:rsid w:val="00074E2F"/>
    <w:rsid w:val="00074E50"/>
    <w:rsid w:val="00074EF4"/>
    <w:rsid w:val="00075598"/>
    <w:rsid w:val="000757CC"/>
    <w:rsid w:val="00075837"/>
    <w:rsid w:val="00075940"/>
    <w:rsid w:val="00075BD8"/>
    <w:rsid w:val="00076762"/>
    <w:rsid w:val="0007677D"/>
    <w:rsid w:val="000769D2"/>
    <w:rsid w:val="00076A61"/>
    <w:rsid w:val="00076B2C"/>
    <w:rsid w:val="00076F3E"/>
    <w:rsid w:val="00077180"/>
    <w:rsid w:val="00077360"/>
    <w:rsid w:val="00077950"/>
    <w:rsid w:val="00077A0A"/>
    <w:rsid w:val="00077AC9"/>
    <w:rsid w:val="00077DC8"/>
    <w:rsid w:val="00077DDD"/>
    <w:rsid w:val="00080488"/>
    <w:rsid w:val="0008075B"/>
    <w:rsid w:val="00080BA2"/>
    <w:rsid w:val="00080C88"/>
    <w:rsid w:val="000810A8"/>
    <w:rsid w:val="00081372"/>
    <w:rsid w:val="00081EFC"/>
    <w:rsid w:val="000820D1"/>
    <w:rsid w:val="000827F2"/>
    <w:rsid w:val="00082B92"/>
    <w:rsid w:val="00082BBE"/>
    <w:rsid w:val="00082E30"/>
    <w:rsid w:val="000836D2"/>
    <w:rsid w:val="00083869"/>
    <w:rsid w:val="00083A93"/>
    <w:rsid w:val="00083B6F"/>
    <w:rsid w:val="00083E70"/>
    <w:rsid w:val="00083F3E"/>
    <w:rsid w:val="0008401F"/>
    <w:rsid w:val="00084149"/>
    <w:rsid w:val="0008439B"/>
    <w:rsid w:val="00084441"/>
    <w:rsid w:val="00084630"/>
    <w:rsid w:val="0008474C"/>
    <w:rsid w:val="00084A6D"/>
    <w:rsid w:val="00085464"/>
    <w:rsid w:val="000854D3"/>
    <w:rsid w:val="000855FB"/>
    <w:rsid w:val="00085B55"/>
    <w:rsid w:val="0008609A"/>
    <w:rsid w:val="0008647F"/>
    <w:rsid w:val="000865C5"/>
    <w:rsid w:val="00086D1B"/>
    <w:rsid w:val="00087255"/>
    <w:rsid w:val="00087260"/>
    <w:rsid w:val="00087472"/>
    <w:rsid w:val="00087630"/>
    <w:rsid w:val="0008797C"/>
    <w:rsid w:val="00091104"/>
    <w:rsid w:val="00091338"/>
    <w:rsid w:val="0009137C"/>
    <w:rsid w:val="00091815"/>
    <w:rsid w:val="00091A7B"/>
    <w:rsid w:val="00092026"/>
    <w:rsid w:val="0009254B"/>
    <w:rsid w:val="000927DD"/>
    <w:rsid w:val="00092832"/>
    <w:rsid w:val="00092841"/>
    <w:rsid w:val="00092990"/>
    <w:rsid w:val="00092E3F"/>
    <w:rsid w:val="0009354B"/>
    <w:rsid w:val="00093699"/>
    <w:rsid w:val="000938F6"/>
    <w:rsid w:val="000939D9"/>
    <w:rsid w:val="0009442C"/>
    <w:rsid w:val="000944AC"/>
    <w:rsid w:val="000944BA"/>
    <w:rsid w:val="000946B8"/>
    <w:rsid w:val="0009475F"/>
    <w:rsid w:val="000947BD"/>
    <w:rsid w:val="0009486D"/>
    <w:rsid w:val="00094911"/>
    <w:rsid w:val="00094A53"/>
    <w:rsid w:val="0009538F"/>
    <w:rsid w:val="000954E0"/>
    <w:rsid w:val="000958A8"/>
    <w:rsid w:val="00095966"/>
    <w:rsid w:val="000959E9"/>
    <w:rsid w:val="00095E8D"/>
    <w:rsid w:val="00095EA8"/>
    <w:rsid w:val="00095F32"/>
    <w:rsid w:val="00096711"/>
    <w:rsid w:val="000968DC"/>
    <w:rsid w:val="00096BE7"/>
    <w:rsid w:val="00097075"/>
    <w:rsid w:val="00097105"/>
    <w:rsid w:val="000971E9"/>
    <w:rsid w:val="00097274"/>
    <w:rsid w:val="0009730F"/>
    <w:rsid w:val="00097CDD"/>
    <w:rsid w:val="00097DEA"/>
    <w:rsid w:val="000A0357"/>
    <w:rsid w:val="000A0376"/>
    <w:rsid w:val="000A0457"/>
    <w:rsid w:val="000A06C1"/>
    <w:rsid w:val="000A079F"/>
    <w:rsid w:val="000A0823"/>
    <w:rsid w:val="000A0905"/>
    <w:rsid w:val="000A0A91"/>
    <w:rsid w:val="000A0E0D"/>
    <w:rsid w:val="000A1079"/>
    <w:rsid w:val="000A121F"/>
    <w:rsid w:val="000A155C"/>
    <w:rsid w:val="000A1955"/>
    <w:rsid w:val="000A1E49"/>
    <w:rsid w:val="000A215F"/>
    <w:rsid w:val="000A2380"/>
    <w:rsid w:val="000A2E97"/>
    <w:rsid w:val="000A395C"/>
    <w:rsid w:val="000A3C14"/>
    <w:rsid w:val="000A3C15"/>
    <w:rsid w:val="000A3FD4"/>
    <w:rsid w:val="000A40B0"/>
    <w:rsid w:val="000A44BC"/>
    <w:rsid w:val="000A44D3"/>
    <w:rsid w:val="000A47E9"/>
    <w:rsid w:val="000A485E"/>
    <w:rsid w:val="000A49DB"/>
    <w:rsid w:val="000A4B7F"/>
    <w:rsid w:val="000A4D8B"/>
    <w:rsid w:val="000A4F05"/>
    <w:rsid w:val="000A5151"/>
    <w:rsid w:val="000A57B3"/>
    <w:rsid w:val="000A5940"/>
    <w:rsid w:val="000A5BD1"/>
    <w:rsid w:val="000A5BF0"/>
    <w:rsid w:val="000A5D65"/>
    <w:rsid w:val="000A5EC9"/>
    <w:rsid w:val="000A60D9"/>
    <w:rsid w:val="000A65B0"/>
    <w:rsid w:val="000A6656"/>
    <w:rsid w:val="000A66C4"/>
    <w:rsid w:val="000A6850"/>
    <w:rsid w:val="000A6866"/>
    <w:rsid w:val="000A6ACE"/>
    <w:rsid w:val="000A6BDD"/>
    <w:rsid w:val="000A6DCF"/>
    <w:rsid w:val="000A7B50"/>
    <w:rsid w:val="000A7E6A"/>
    <w:rsid w:val="000A7F5E"/>
    <w:rsid w:val="000B0096"/>
    <w:rsid w:val="000B024C"/>
    <w:rsid w:val="000B0B22"/>
    <w:rsid w:val="000B0C65"/>
    <w:rsid w:val="000B1A6B"/>
    <w:rsid w:val="000B1AE8"/>
    <w:rsid w:val="000B1C03"/>
    <w:rsid w:val="000B1CDF"/>
    <w:rsid w:val="000B226B"/>
    <w:rsid w:val="000B250D"/>
    <w:rsid w:val="000B25E6"/>
    <w:rsid w:val="000B2B5B"/>
    <w:rsid w:val="000B2B72"/>
    <w:rsid w:val="000B2BAA"/>
    <w:rsid w:val="000B2C20"/>
    <w:rsid w:val="000B35DB"/>
    <w:rsid w:val="000B36D8"/>
    <w:rsid w:val="000B3718"/>
    <w:rsid w:val="000B373C"/>
    <w:rsid w:val="000B397A"/>
    <w:rsid w:val="000B3A91"/>
    <w:rsid w:val="000B4222"/>
    <w:rsid w:val="000B4327"/>
    <w:rsid w:val="000B469B"/>
    <w:rsid w:val="000B46CB"/>
    <w:rsid w:val="000B47EB"/>
    <w:rsid w:val="000B4EAD"/>
    <w:rsid w:val="000B51A3"/>
    <w:rsid w:val="000B5357"/>
    <w:rsid w:val="000B536A"/>
    <w:rsid w:val="000B55BF"/>
    <w:rsid w:val="000B5601"/>
    <w:rsid w:val="000B5D35"/>
    <w:rsid w:val="000B5FC9"/>
    <w:rsid w:val="000B6175"/>
    <w:rsid w:val="000B633F"/>
    <w:rsid w:val="000B642A"/>
    <w:rsid w:val="000B67AE"/>
    <w:rsid w:val="000B69C4"/>
    <w:rsid w:val="000B6A1B"/>
    <w:rsid w:val="000B6B15"/>
    <w:rsid w:val="000B6C51"/>
    <w:rsid w:val="000B6DDB"/>
    <w:rsid w:val="000B6E3A"/>
    <w:rsid w:val="000B6F96"/>
    <w:rsid w:val="000B75C8"/>
    <w:rsid w:val="000B78DC"/>
    <w:rsid w:val="000B7930"/>
    <w:rsid w:val="000B79FF"/>
    <w:rsid w:val="000B7A42"/>
    <w:rsid w:val="000B7BB2"/>
    <w:rsid w:val="000B7BFF"/>
    <w:rsid w:val="000B7E2C"/>
    <w:rsid w:val="000B7FFD"/>
    <w:rsid w:val="000C005B"/>
    <w:rsid w:val="000C03B3"/>
    <w:rsid w:val="000C060E"/>
    <w:rsid w:val="000C06DF"/>
    <w:rsid w:val="000C0AE0"/>
    <w:rsid w:val="000C0B39"/>
    <w:rsid w:val="000C0CF0"/>
    <w:rsid w:val="000C0D64"/>
    <w:rsid w:val="000C0EAD"/>
    <w:rsid w:val="000C0EEA"/>
    <w:rsid w:val="000C141C"/>
    <w:rsid w:val="000C1612"/>
    <w:rsid w:val="000C1614"/>
    <w:rsid w:val="000C1A78"/>
    <w:rsid w:val="000C1AAF"/>
    <w:rsid w:val="000C1F14"/>
    <w:rsid w:val="000C1F6B"/>
    <w:rsid w:val="000C2245"/>
    <w:rsid w:val="000C271D"/>
    <w:rsid w:val="000C29AA"/>
    <w:rsid w:val="000C2A9F"/>
    <w:rsid w:val="000C2C4A"/>
    <w:rsid w:val="000C2CC0"/>
    <w:rsid w:val="000C39E8"/>
    <w:rsid w:val="000C3AEA"/>
    <w:rsid w:val="000C3E43"/>
    <w:rsid w:val="000C3EFF"/>
    <w:rsid w:val="000C42B2"/>
    <w:rsid w:val="000C43AA"/>
    <w:rsid w:val="000C4BFF"/>
    <w:rsid w:val="000C4E7D"/>
    <w:rsid w:val="000C4F9E"/>
    <w:rsid w:val="000C524C"/>
    <w:rsid w:val="000C5424"/>
    <w:rsid w:val="000C58E3"/>
    <w:rsid w:val="000C59B4"/>
    <w:rsid w:val="000C5AB5"/>
    <w:rsid w:val="000C5D0E"/>
    <w:rsid w:val="000C5E2A"/>
    <w:rsid w:val="000C6491"/>
    <w:rsid w:val="000C64AB"/>
    <w:rsid w:val="000C64E1"/>
    <w:rsid w:val="000C65A7"/>
    <w:rsid w:val="000C6A6A"/>
    <w:rsid w:val="000C70AA"/>
    <w:rsid w:val="000C7214"/>
    <w:rsid w:val="000C73C7"/>
    <w:rsid w:val="000C73F3"/>
    <w:rsid w:val="000C7567"/>
    <w:rsid w:val="000C7A26"/>
    <w:rsid w:val="000C7CB0"/>
    <w:rsid w:val="000D01AD"/>
    <w:rsid w:val="000D02A4"/>
    <w:rsid w:val="000D0447"/>
    <w:rsid w:val="000D05D4"/>
    <w:rsid w:val="000D0992"/>
    <w:rsid w:val="000D1372"/>
    <w:rsid w:val="000D1691"/>
    <w:rsid w:val="000D17BB"/>
    <w:rsid w:val="000D1C8F"/>
    <w:rsid w:val="000D2044"/>
    <w:rsid w:val="000D2157"/>
    <w:rsid w:val="000D23CB"/>
    <w:rsid w:val="000D284F"/>
    <w:rsid w:val="000D2E55"/>
    <w:rsid w:val="000D2EA7"/>
    <w:rsid w:val="000D2F71"/>
    <w:rsid w:val="000D394B"/>
    <w:rsid w:val="000D3AAF"/>
    <w:rsid w:val="000D3B58"/>
    <w:rsid w:val="000D3B6C"/>
    <w:rsid w:val="000D3CA1"/>
    <w:rsid w:val="000D41A9"/>
    <w:rsid w:val="000D41AA"/>
    <w:rsid w:val="000D45AB"/>
    <w:rsid w:val="000D4642"/>
    <w:rsid w:val="000D46DC"/>
    <w:rsid w:val="000D4F71"/>
    <w:rsid w:val="000D518B"/>
    <w:rsid w:val="000D5379"/>
    <w:rsid w:val="000D5455"/>
    <w:rsid w:val="000D5945"/>
    <w:rsid w:val="000D59D9"/>
    <w:rsid w:val="000D59DF"/>
    <w:rsid w:val="000D5B9B"/>
    <w:rsid w:val="000D5D3A"/>
    <w:rsid w:val="000D60A6"/>
    <w:rsid w:val="000D61F6"/>
    <w:rsid w:val="000D62B9"/>
    <w:rsid w:val="000D6570"/>
    <w:rsid w:val="000D667F"/>
    <w:rsid w:val="000D6808"/>
    <w:rsid w:val="000D68A0"/>
    <w:rsid w:val="000D6F04"/>
    <w:rsid w:val="000D6F9E"/>
    <w:rsid w:val="000D6FB2"/>
    <w:rsid w:val="000D725D"/>
    <w:rsid w:val="000D74F0"/>
    <w:rsid w:val="000D7E1A"/>
    <w:rsid w:val="000E013E"/>
    <w:rsid w:val="000E01FE"/>
    <w:rsid w:val="000E0552"/>
    <w:rsid w:val="000E0674"/>
    <w:rsid w:val="000E06D3"/>
    <w:rsid w:val="000E0A2D"/>
    <w:rsid w:val="000E0AFF"/>
    <w:rsid w:val="000E0D89"/>
    <w:rsid w:val="000E0E0C"/>
    <w:rsid w:val="000E1010"/>
    <w:rsid w:val="000E1154"/>
    <w:rsid w:val="000E11EA"/>
    <w:rsid w:val="000E13EF"/>
    <w:rsid w:val="000E14A9"/>
    <w:rsid w:val="000E14AA"/>
    <w:rsid w:val="000E1963"/>
    <w:rsid w:val="000E1DC1"/>
    <w:rsid w:val="000E1FF6"/>
    <w:rsid w:val="000E22AE"/>
    <w:rsid w:val="000E2539"/>
    <w:rsid w:val="000E26EA"/>
    <w:rsid w:val="000E2B29"/>
    <w:rsid w:val="000E2E09"/>
    <w:rsid w:val="000E2F59"/>
    <w:rsid w:val="000E303A"/>
    <w:rsid w:val="000E3A85"/>
    <w:rsid w:val="000E3BEA"/>
    <w:rsid w:val="000E3D75"/>
    <w:rsid w:val="000E3E7C"/>
    <w:rsid w:val="000E4136"/>
    <w:rsid w:val="000E4940"/>
    <w:rsid w:val="000E497A"/>
    <w:rsid w:val="000E49C6"/>
    <w:rsid w:val="000E4AEC"/>
    <w:rsid w:val="000E4B07"/>
    <w:rsid w:val="000E4EFF"/>
    <w:rsid w:val="000E4F88"/>
    <w:rsid w:val="000E50DC"/>
    <w:rsid w:val="000E5440"/>
    <w:rsid w:val="000E5557"/>
    <w:rsid w:val="000E5C0B"/>
    <w:rsid w:val="000E60DC"/>
    <w:rsid w:val="000E62E4"/>
    <w:rsid w:val="000E6400"/>
    <w:rsid w:val="000E65DD"/>
    <w:rsid w:val="000E6C8B"/>
    <w:rsid w:val="000E6EF4"/>
    <w:rsid w:val="000E6F13"/>
    <w:rsid w:val="000E7051"/>
    <w:rsid w:val="000E70FA"/>
    <w:rsid w:val="000E72C3"/>
    <w:rsid w:val="000E73C6"/>
    <w:rsid w:val="000E7591"/>
    <w:rsid w:val="000E76D0"/>
    <w:rsid w:val="000E79E8"/>
    <w:rsid w:val="000E7A49"/>
    <w:rsid w:val="000E7ABA"/>
    <w:rsid w:val="000E7C39"/>
    <w:rsid w:val="000E7C66"/>
    <w:rsid w:val="000E7E19"/>
    <w:rsid w:val="000E7F1C"/>
    <w:rsid w:val="000E7F84"/>
    <w:rsid w:val="000F02BE"/>
    <w:rsid w:val="000F0554"/>
    <w:rsid w:val="000F068D"/>
    <w:rsid w:val="000F0726"/>
    <w:rsid w:val="000F0830"/>
    <w:rsid w:val="000F0C63"/>
    <w:rsid w:val="000F0E03"/>
    <w:rsid w:val="000F108C"/>
    <w:rsid w:val="000F1649"/>
    <w:rsid w:val="000F183E"/>
    <w:rsid w:val="000F1CE5"/>
    <w:rsid w:val="000F204F"/>
    <w:rsid w:val="000F21D3"/>
    <w:rsid w:val="000F2221"/>
    <w:rsid w:val="000F23A5"/>
    <w:rsid w:val="000F2B29"/>
    <w:rsid w:val="000F2CE8"/>
    <w:rsid w:val="000F2DCB"/>
    <w:rsid w:val="000F2E24"/>
    <w:rsid w:val="000F2F80"/>
    <w:rsid w:val="000F3461"/>
    <w:rsid w:val="000F357A"/>
    <w:rsid w:val="000F35B1"/>
    <w:rsid w:val="000F37DF"/>
    <w:rsid w:val="000F3A37"/>
    <w:rsid w:val="000F3AD3"/>
    <w:rsid w:val="000F3D55"/>
    <w:rsid w:val="000F4139"/>
    <w:rsid w:val="000F46D7"/>
    <w:rsid w:val="000F4AFB"/>
    <w:rsid w:val="000F4BA2"/>
    <w:rsid w:val="000F4E42"/>
    <w:rsid w:val="000F4E5D"/>
    <w:rsid w:val="000F4EB6"/>
    <w:rsid w:val="000F50F5"/>
    <w:rsid w:val="000F5104"/>
    <w:rsid w:val="000F533D"/>
    <w:rsid w:val="000F54F3"/>
    <w:rsid w:val="000F5520"/>
    <w:rsid w:val="000F594F"/>
    <w:rsid w:val="000F67BA"/>
    <w:rsid w:val="000F68B7"/>
    <w:rsid w:val="000F7129"/>
    <w:rsid w:val="000F716B"/>
    <w:rsid w:val="000F71AB"/>
    <w:rsid w:val="000F78A0"/>
    <w:rsid w:val="000F7CB8"/>
    <w:rsid w:val="000F7CF7"/>
    <w:rsid w:val="000F7D35"/>
    <w:rsid w:val="000F7FD1"/>
    <w:rsid w:val="00100094"/>
    <w:rsid w:val="001007BD"/>
    <w:rsid w:val="00100D71"/>
    <w:rsid w:val="0010118B"/>
    <w:rsid w:val="001011A1"/>
    <w:rsid w:val="001014F5"/>
    <w:rsid w:val="00101542"/>
    <w:rsid w:val="0010170C"/>
    <w:rsid w:val="00101877"/>
    <w:rsid w:val="0010194A"/>
    <w:rsid w:val="001019B3"/>
    <w:rsid w:val="00101ADD"/>
    <w:rsid w:val="00101AF5"/>
    <w:rsid w:val="00101BDB"/>
    <w:rsid w:val="00101C3F"/>
    <w:rsid w:val="00101D8E"/>
    <w:rsid w:val="00101E00"/>
    <w:rsid w:val="001023F0"/>
    <w:rsid w:val="00102541"/>
    <w:rsid w:val="00102AB0"/>
    <w:rsid w:val="00102CEF"/>
    <w:rsid w:val="00102D71"/>
    <w:rsid w:val="00103050"/>
    <w:rsid w:val="001030CF"/>
    <w:rsid w:val="00103101"/>
    <w:rsid w:val="00103601"/>
    <w:rsid w:val="00103773"/>
    <w:rsid w:val="00103952"/>
    <w:rsid w:val="00103DF7"/>
    <w:rsid w:val="00103FCF"/>
    <w:rsid w:val="00103FFB"/>
    <w:rsid w:val="0010405D"/>
    <w:rsid w:val="0010410B"/>
    <w:rsid w:val="001049CF"/>
    <w:rsid w:val="00104C8A"/>
    <w:rsid w:val="00104CDB"/>
    <w:rsid w:val="001051E2"/>
    <w:rsid w:val="001052AA"/>
    <w:rsid w:val="0010557A"/>
    <w:rsid w:val="001056A7"/>
    <w:rsid w:val="00105AAE"/>
    <w:rsid w:val="00105B2D"/>
    <w:rsid w:val="00106056"/>
    <w:rsid w:val="001060E1"/>
    <w:rsid w:val="001061B2"/>
    <w:rsid w:val="001062D1"/>
    <w:rsid w:val="00106520"/>
    <w:rsid w:val="00106EA8"/>
    <w:rsid w:val="00107964"/>
    <w:rsid w:val="00107A45"/>
    <w:rsid w:val="00107DF5"/>
    <w:rsid w:val="00107E2E"/>
    <w:rsid w:val="00107EBB"/>
    <w:rsid w:val="00107FF0"/>
    <w:rsid w:val="00110478"/>
    <w:rsid w:val="001105A5"/>
    <w:rsid w:val="0011071C"/>
    <w:rsid w:val="00110AB7"/>
    <w:rsid w:val="0011120B"/>
    <w:rsid w:val="00111477"/>
    <w:rsid w:val="00111571"/>
    <w:rsid w:val="00111853"/>
    <w:rsid w:val="0011186E"/>
    <w:rsid w:val="0011198C"/>
    <w:rsid w:val="00111B7B"/>
    <w:rsid w:val="00111CB7"/>
    <w:rsid w:val="00111CBF"/>
    <w:rsid w:val="00111F0B"/>
    <w:rsid w:val="00111F52"/>
    <w:rsid w:val="001122A8"/>
    <w:rsid w:val="001129D6"/>
    <w:rsid w:val="00112A98"/>
    <w:rsid w:val="00113CBB"/>
    <w:rsid w:val="00113F4B"/>
    <w:rsid w:val="00114296"/>
    <w:rsid w:val="00114510"/>
    <w:rsid w:val="0011455A"/>
    <w:rsid w:val="0011457C"/>
    <w:rsid w:val="00114A49"/>
    <w:rsid w:val="00114B52"/>
    <w:rsid w:val="00114BD5"/>
    <w:rsid w:val="00114DA6"/>
    <w:rsid w:val="00115173"/>
    <w:rsid w:val="001156F9"/>
    <w:rsid w:val="0011589B"/>
    <w:rsid w:val="0011593D"/>
    <w:rsid w:val="001159F8"/>
    <w:rsid w:val="00115AE7"/>
    <w:rsid w:val="001169C0"/>
    <w:rsid w:val="00116B57"/>
    <w:rsid w:val="00116F74"/>
    <w:rsid w:val="001170BF"/>
    <w:rsid w:val="0011710C"/>
    <w:rsid w:val="0011764A"/>
    <w:rsid w:val="00117934"/>
    <w:rsid w:val="0011799F"/>
    <w:rsid w:val="00117B86"/>
    <w:rsid w:val="00117CCA"/>
    <w:rsid w:val="00117CF0"/>
    <w:rsid w:val="00117E77"/>
    <w:rsid w:val="00117F7B"/>
    <w:rsid w:val="00117FB9"/>
    <w:rsid w:val="00120048"/>
    <w:rsid w:val="001201C0"/>
    <w:rsid w:val="00120A11"/>
    <w:rsid w:val="00120BD3"/>
    <w:rsid w:val="0012114B"/>
    <w:rsid w:val="001212C3"/>
    <w:rsid w:val="00121593"/>
    <w:rsid w:val="001215E7"/>
    <w:rsid w:val="00121999"/>
    <w:rsid w:val="00121ABE"/>
    <w:rsid w:val="00122043"/>
    <w:rsid w:val="0012217C"/>
    <w:rsid w:val="0012224A"/>
    <w:rsid w:val="0012260B"/>
    <w:rsid w:val="00122662"/>
    <w:rsid w:val="00122B77"/>
    <w:rsid w:val="00122B97"/>
    <w:rsid w:val="00122F35"/>
    <w:rsid w:val="00123478"/>
    <w:rsid w:val="00123616"/>
    <w:rsid w:val="00124460"/>
    <w:rsid w:val="0012454A"/>
    <w:rsid w:val="00124603"/>
    <w:rsid w:val="00124761"/>
    <w:rsid w:val="00124809"/>
    <w:rsid w:val="00124859"/>
    <w:rsid w:val="00124908"/>
    <w:rsid w:val="00124E16"/>
    <w:rsid w:val="00125148"/>
    <w:rsid w:val="001253D0"/>
    <w:rsid w:val="0012540B"/>
    <w:rsid w:val="001255BC"/>
    <w:rsid w:val="0012563D"/>
    <w:rsid w:val="00125735"/>
    <w:rsid w:val="00125955"/>
    <w:rsid w:val="00125E6C"/>
    <w:rsid w:val="001260B7"/>
    <w:rsid w:val="001262F1"/>
    <w:rsid w:val="0012631B"/>
    <w:rsid w:val="00126786"/>
    <w:rsid w:val="001267CC"/>
    <w:rsid w:val="00126C1A"/>
    <w:rsid w:val="00126C60"/>
    <w:rsid w:val="00126D13"/>
    <w:rsid w:val="00126FF2"/>
    <w:rsid w:val="00126FF9"/>
    <w:rsid w:val="0012705D"/>
    <w:rsid w:val="00127242"/>
    <w:rsid w:val="0012747E"/>
    <w:rsid w:val="00127E9D"/>
    <w:rsid w:val="001302B3"/>
    <w:rsid w:val="00130548"/>
    <w:rsid w:val="001305E2"/>
    <w:rsid w:val="0013062A"/>
    <w:rsid w:val="00130684"/>
    <w:rsid w:val="001308DD"/>
    <w:rsid w:val="001309AB"/>
    <w:rsid w:val="00130CCE"/>
    <w:rsid w:val="0013125A"/>
    <w:rsid w:val="001312DF"/>
    <w:rsid w:val="00131F61"/>
    <w:rsid w:val="001320AA"/>
    <w:rsid w:val="00132275"/>
    <w:rsid w:val="001324C5"/>
    <w:rsid w:val="00132609"/>
    <w:rsid w:val="001328E4"/>
    <w:rsid w:val="00132D1B"/>
    <w:rsid w:val="00132D92"/>
    <w:rsid w:val="00132F60"/>
    <w:rsid w:val="0013394B"/>
    <w:rsid w:val="00133980"/>
    <w:rsid w:val="00133BAE"/>
    <w:rsid w:val="00133C42"/>
    <w:rsid w:val="00133E1D"/>
    <w:rsid w:val="00134093"/>
    <w:rsid w:val="00134323"/>
    <w:rsid w:val="0013453C"/>
    <w:rsid w:val="00134C98"/>
    <w:rsid w:val="00134CC6"/>
    <w:rsid w:val="001352F8"/>
    <w:rsid w:val="0013533A"/>
    <w:rsid w:val="0013536B"/>
    <w:rsid w:val="001353D5"/>
    <w:rsid w:val="00135AE5"/>
    <w:rsid w:val="00135B94"/>
    <w:rsid w:val="00135CC6"/>
    <w:rsid w:val="00135E9A"/>
    <w:rsid w:val="0013638C"/>
    <w:rsid w:val="001363B4"/>
    <w:rsid w:val="00136452"/>
    <w:rsid w:val="001367FE"/>
    <w:rsid w:val="001368A4"/>
    <w:rsid w:val="00136ABF"/>
    <w:rsid w:val="00136AFB"/>
    <w:rsid w:val="00136CE6"/>
    <w:rsid w:val="00136F53"/>
    <w:rsid w:val="00137111"/>
    <w:rsid w:val="001372D2"/>
    <w:rsid w:val="001374B0"/>
    <w:rsid w:val="00137B45"/>
    <w:rsid w:val="00137EFB"/>
    <w:rsid w:val="0014017D"/>
    <w:rsid w:val="00140472"/>
    <w:rsid w:val="0014057D"/>
    <w:rsid w:val="001405D6"/>
    <w:rsid w:val="00140769"/>
    <w:rsid w:val="001408FA"/>
    <w:rsid w:val="00140ADC"/>
    <w:rsid w:val="00140AE6"/>
    <w:rsid w:val="00140D8C"/>
    <w:rsid w:val="00140DC2"/>
    <w:rsid w:val="00141327"/>
    <w:rsid w:val="00141740"/>
    <w:rsid w:val="00141B61"/>
    <w:rsid w:val="00141F5A"/>
    <w:rsid w:val="001421A0"/>
    <w:rsid w:val="00142815"/>
    <w:rsid w:val="00142CD4"/>
    <w:rsid w:val="00143270"/>
    <w:rsid w:val="001436A5"/>
    <w:rsid w:val="00143A1D"/>
    <w:rsid w:val="00143CB4"/>
    <w:rsid w:val="00143DB7"/>
    <w:rsid w:val="00144714"/>
    <w:rsid w:val="0014499F"/>
    <w:rsid w:val="00144F32"/>
    <w:rsid w:val="00144FFD"/>
    <w:rsid w:val="001451C3"/>
    <w:rsid w:val="001452F8"/>
    <w:rsid w:val="0014553C"/>
    <w:rsid w:val="00145557"/>
    <w:rsid w:val="0014563D"/>
    <w:rsid w:val="00145B99"/>
    <w:rsid w:val="00145CFA"/>
    <w:rsid w:val="00145FFC"/>
    <w:rsid w:val="001460A1"/>
    <w:rsid w:val="0014640E"/>
    <w:rsid w:val="0014645D"/>
    <w:rsid w:val="0014647D"/>
    <w:rsid w:val="001464B2"/>
    <w:rsid w:val="00146665"/>
    <w:rsid w:val="0014719B"/>
    <w:rsid w:val="001471D1"/>
    <w:rsid w:val="00147230"/>
    <w:rsid w:val="0014723C"/>
    <w:rsid w:val="001472B6"/>
    <w:rsid w:val="001472C2"/>
    <w:rsid w:val="0014738D"/>
    <w:rsid w:val="0014747F"/>
    <w:rsid w:val="00147683"/>
    <w:rsid w:val="001477DE"/>
    <w:rsid w:val="001478D3"/>
    <w:rsid w:val="00150012"/>
    <w:rsid w:val="00150157"/>
    <w:rsid w:val="00150783"/>
    <w:rsid w:val="0015084B"/>
    <w:rsid w:val="001508A3"/>
    <w:rsid w:val="001508BB"/>
    <w:rsid w:val="00150BB7"/>
    <w:rsid w:val="00150C65"/>
    <w:rsid w:val="00150EF3"/>
    <w:rsid w:val="001514E6"/>
    <w:rsid w:val="001515AA"/>
    <w:rsid w:val="00151814"/>
    <w:rsid w:val="00151B90"/>
    <w:rsid w:val="00151CA4"/>
    <w:rsid w:val="00151EAD"/>
    <w:rsid w:val="00151F18"/>
    <w:rsid w:val="00152127"/>
    <w:rsid w:val="0015212E"/>
    <w:rsid w:val="001526F7"/>
    <w:rsid w:val="00152BB2"/>
    <w:rsid w:val="00152BC6"/>
    <w:rsid w:val="00152D08"/>
    <w:rsid w:val="00152EA5"/>
    <w:rsid w:val="00152F6F"/>
    <w:rsid w:val="001532D1"/>
    <w:rsid w:val="00153C45"/>
    <w:rsid w:val="00153D28"/>
    <w:rsid w:val="00153DCB"/>
    <w:rsid w:val="00153EB4"/>
    <w:rsid w:val="00153EF4"/>
    <w:rsid w:val="00154079"/>
    <w:rsid w:val="00154590"/>
    <w:rsid w:val="00154608"/>
    <w:rsid w:val="00154AF0"/>
    <w:rsid w:val="00154C43"/>
    <w:rsid w:val="00154EF1"/>
    <w:rsid w:val="00155126"/>
    <w:rsid w:val="001553F3"/>
    <w:rsid w:val="00155973"/>
    <w:rsid w:val="00155EBA"/>
    <w:rsid w:val="00155F62"/>
    <w:rsid w:val="001562FF"/>
    <w:rsid w:val="001563AE"/>
    <w:rsid w:val="00156416"/>
    <w:rsid w:val="001564F3"/>
    <w:rsid w:val="001567C0"/>
    <w:rsid w:val="001568BA"/>
    <w:rsid w:val="001568FA"/>
    <w:rsid w:val="00156986"/>
    <w:rsid w:val="001569C0"/>
    <w:rsid w:val="00156AC6"/>
    <w:rsid w:val="00156D09"/>
    <w:rsid w:val="001574E4"/>
    <w:rsid w:val="001574EF"/>
    <w:rsid w:val="0015778B"/>
    <w:rsid w:val="001577EE"/>
    <w:rsid w:val="00157B83"/>
    <w:rsid w:val="00157DD5"/>
    <w:rsid w:val="00157F4C"/>
    <w:rsid w:val="001600B5"/>
    <w:rsid w:val="001600E4"/>
    <w:rsid w:val="001609F7"/>
    <w:rsid w:val="00160B68"/>
    <w:rsid w:val="00160BAA"/>
    <w:rsid w:val="001610F9"/>
    <w:rsid w:val="00161261"/>
    <w:rsid w:val="001612AF"/>
    <w:rsid w:val="00161485"/>
    <w:rsid w:val="001614D5"/>
    <w:rsid w:val="001616E3"/>
    <w:rsid w:val="00161968"/>
    <w:rsid w:val="00161A7E"/>
    <w:rsid w:val="00161CBA"/>
    <w:rsid w:val="00161DB7"/>
    <w:rsid w:val="0016213A"/>
    <w:rsid w:val="0016245B"/>
    <w:rsid w:val="001624A5"/>
    <w:rsid w:val="001624B2"/>
    <w:rsid w:val="00162502"/>
    <w:rsid w:val="00162505"/>
    <w:rsid w:val="001626BA"/>
    <w:rsid w:val="0016276F"/>
    <w:rsid w:val="00162DDB"/>
    <w:rsid w:val="00162F25"/>
    <w:rsid w:val="0016304C"/>
    <w:rsid w:val="0016380B"/>
    <w:rsid w:val="00163CC6"/>
    <w:rsid w:val="00163F21"/>
    <w:rsid w:val="00163F31"/>
    <w:rsid w:val="00164130"/>
    <w:rsid w:val="001641B3"/>
    <w:rsid w:val="00164293"/>
    <w:rsid w:val="00164399"/>
    <w:rsid w:val="001648B4"/>
    <w:rsid w:val="001649BA"/>
    <w:rsid w:val="00164F30"/>
    <w:rsid w:val="00165467"/>
    <w:rsid w:val="0016556E"/>
    <w:rsid w:val="001655AD"/>
    <w:rsid w:val="0016579D"/>
    <w:rsid w:val="00165874"/>
    <w:rsid w:val="001659D1"/>
    <w:rsid w:val="00165B3C"/>
    <w:rsid w:val="00165CD3"/>
    <w:rsid w:val="00165E7A"/>
    <w:rsid w:val="00165EC6"/>
    <w:rsid w:val="00165F65"/>
    <w:rsid w:val="00165F76"/>
    <w:rsid w:val="00165F8D"/>
    <w:rsid w:val="00165F9C"/>
    <w:rsid w:val="0016607A"/>
    <w:rsid w:val="001660F4"/>
    <w:rsid w:val="00166105"/>
    <w:rsid w:val="0016619B"/>
    <w:rsid w:val="001661B1"/>
    <w:rsid w:val="00166393"/>
    <w:rsid w:val="00166E19"/>
    <w:rsid w:val="00167060"/>
    <w:rsid w:val="00167C9A"/>
    <w:rsid w:val="00167D52"/>
    <w:rsid w:val="001702CF"/>
    <w:rsid w:val="00170660"/>
    <w:rsid w:val="00170AF6"/>
    <w:rsid w:val="00170B86"/>
    <w:rsid w:val="00170DBF"/>
    <w:rsid w:val="00170EA0"/>
    <w:rsid w:val="00170FD0"/>
    <w:rsid w:val="00171320"/>
    <w:rsid w:val="0017132D"/>
    <w:rsid w:val="00171376"/>
    <w:rsid w:val="00171566"/>
    <w:rsid w:val="0017166B"/>
    <w:rsid w:val="00171DD9"/>
    <w:rsid w:val="00171E50"/>
    <w:rsid w:val="00172009"/>
    <w:rsid w:val="0017223A"/>
    <w:rsid w:val="00172301"/>
    <w:rsid w:val="00172359"/>
    <w:rsid w:val="001724ED"/>
    <w:rsid w:val="001726E6"/>
    <w:rsid w:val="00172812"/>
    <w:rsid w:val="00172921"/>
    <w:rsid w:val="00172ACF"/>
    <w:rsid w:val="00172B03"/>
    <w:rsid w:val="00172F04"/>
    <w:rsid w:val="00173584"/>
    <w:rsid w:val="0017396D"/>
    <w:rsid w:val="00173C74"/>
    <w:rsid w:val="00173D82"/>
    <w:rsid w:val="00174078"/>
    <w:rsid w:val="00174104"/>
    <w:rsid w:val="0017424E"/>
    <w:rsid w:val="0017442E"/>
    <w:rsid w:val="001747A0"/>
    <w:rsid w:val="00174916"/>
    <w:rsid w:val="00174BF8"/>
    <w:rsid w:val="00174D5E"/>
    <w:rsid w:val="00175046"/>
    <w:rsid w:val="00175272"/>
    <w:rsid w:val="0017555C"/>
    <w:rsid w:val="0017576F"/>
    <w:rsid w:val="00175CE2"/>
    <w:rsid w:val="00175D13"/>
    <w:rsid w:val="00175D3C"/>
    <w:rsid w:val="00175EA5"/>
    <w:rsid w:val="00176363"/>
    <w:rsid w:val="001763B8"/>
    <w:rsid w:val="00176406"/>
    <w:rsid w:val="0017657A"/>
    <w:rsid w:val="00177F50"/>
    <w:rsid w:val="00180202"/>
    <w:rsid w:val="001805A0"/>
    <w:rsid w:val="0018068E"/>
    <w:rsid w:val="001806F8"/>
    <w:rsid w:val="00180A88"/>
    <w:rsid w:val="00180FF6"/>
    <w:rsid w:val="00181271"/>
    <w:rsid w:val="001815A5"/>
    <w:rsid w:val="001816D9"/>
    <w:rsid w:val="001818D5"/>
    <w:rsid w:val="00181C8E"/>
    <w:rsid w:val="0018209D"/>
    <w:rsid w:val="001820BB"/>
    <w:rsid w:val="001821BB"/>
    <w:rsid w:val="001824F5"/>
    <w:rsid w:val="00182517"/>
    <w:rsid w:val="00182657"/>
    <w:rsid w:val="00182E3E"/>
    <w:rsid w:val="00182EFD"/>
    <w:rsid w:val="00182F7E"/>
    <w:rsid w:val="00183099"/>
    <w:rsid w:val="0018379B"/>
    <w:rsid w:val="00183876"/>
    <w:rsid w:val="00183C0C"/>
    <w:rsid w:val="00183C4B"/>
    <w:rsid w:val="001846CF"/>
    <w:rsid w:val="001847F2"/>
    <w:rsid w:val="001848F7"/>
    <w:rsid w:val="001849D0"/>
    <w:rsid w:val="00184A3D"/>
    <w:rsid w:val="00184A59"/>
    <w:rsid w:val="00184D39"/>
    <w:rsid w:val="00184FD2"/>
    <w:rsid w:val="00185069"/>
    <w:rsid w:val="00185262"/>
    <w:rsid w:val="0018538B"/>
    <w:rsid w:val="001854C1"/>
    <w:rsid w:val="00185B84"/>
    <w:rsid w:val="00185BA0"/>
    <w:rsid w:val="00186122"/>
    <w:rsid w:val="0018637D"/>
    <w:rsid w:val="001865B1"/>
    <w:rsid w:val="001866D7"/>
    <w:rsid w:val="001866FB"/>
    <w:rsid w:val="0018673F"/>
    <w:rsid w:val="00186A16"/>
    <w:rsid w:val="00186FD4"/>
    <w:rsid w:val="00187075"/>
    <w:rsid w:val="00187557"/>
    <w:rsid w:val="001875AE"/>
    <w:rsid w:val="00187683"/>
    <w:rsid w:val="00187802"/>
    <w:rsid w:val="0018788E"/>
    <w:rsid w:val="00187A8B"/>
    <w:rsid w:val="00187B3C"/>
    <w:rsid w:val="00187EA5"/>
    <w:rsid w:val="00190277"/>
    <w:rsid w:val="00190980"/>
    <w:rsid w:val="0019098B"/>
    <w:rsid w:val="00190A28"/>
    <w:rsid w:val="00190E39"/>
    <w:rsid w:val="0019112A"/>
    <w:rsid w:val="0019122A"/>
    <w:rsid w:val="00191461"/>
    <w:rsid w:val="00191899"/>
    <w:rsid w:val="001919CE"/>
    <w:rsid w:val="00191B28"/>
    <w:rsid w:val="00192342"/>
    <w:rsid w:val="00192375"/>
    <w:rsid w:val="001926ED"/>
    <w:rsid w:val="00192788"/>
    <w:rsid w:val="0019283E"/>
    <w:rsid w:val="0019284C"/>
    <w:rsid w:val="001928D9"/>
    <w:rsid w:val="0019293C"/>
    <w:rsid w:val="00192B6E"/>
    <w:rsid w:val="00192C2F"/>
    <w:rsid w:val="00192D3D"/>
    <w:rsid w:val="00192E51"/>
    <w:rsid w:val="00192EB8"/>
    <w:rsid w:val="00192ED7"/>
    <w:rsid w:val="00192FAB"/>
    <w:rsid w:val="00192FEE"/>
    <w:rsid w:val="00193B10"/>
    <w:rsid w:val="00193BEA"/>
    <w:rsid w:val="00193C91"/>
    <w:rsid w:val="00193E47"/>
    <w:rsid w:val="00193F5D"/>
    <w:rsid w:val="00194AA6"/>
    <w:rsid w:val="00195080"/>
    <w:rsid w:val="00195535"/>
    <w:rsid w:val="00195608"/>
    <w:rsid w:val="0019583E"/>
    <w:rsid w:val="001958CF"/>
    <w:rsid w:val="00195BC9"/>
    <w:rsid w:val="00195DFA"/>
    <w:rsid w:val="00195F76"/>
    <w:rsid w:val="0019623E"/>
    <w:rsid w:val="0019670A"/>
    <w:rsid w:val="00196F69"/>
    <w:rsid w:val="00196FCC"/>
    <w:rsid w:val="00197040"/>
    <w:rsid w:val="001970BA"/>
    <w:rsid w:val="00197AA5"/>
    <w:rsid w:val="001A000A"/>
    <w:rsid w:val="001A0331"/>
    <w:rsid w:val="001A041D"/>
    <w:rsid w:val="001A0436"/>
    <w:rsid w:val="001A0485"/>
    <w:rsid w:val="001A0596"/>
    <w:rsid w:val="001A079A"/>
    <w:rsid w:val="001A0C71"/>
    <w:rsid w:val="001A1116"/>
    <w:rsid w:val="001A1306"/>
    <w:rsid w:val="001A1874"/>
    <w:rsid w:val="001A1B8B"/>
    <w:rsid w:val="001A1F6F"/>
    <w:rsid w:val="001A1FAC"/>
    <w:rsid w:val="001A2123"/>
    <w:rsid w:val="001A2258"/>
    <w:rsid w:val="001A2514"/>
    <w:rsid w:val="001A2725"/>
    <w:rsid w:val="001A2EAF"/>
    <w:rsid w:val="001A2ECF"/>
    <w:rsid w:val="001A30B5"/>
    <w:rsid w:val="001A30DA"/>
    <w:rsid w:val="001A328E"/>
    <w:rsid w:val="001A3670"/>
    <w:rsid w:val="001A3950"/>
    <w:rsid w:val="001A3B45"/>
    <w:rsid w:val="001A3E34"/>
    <w:rsid w:val="001A3E73"/>
    <w:rsid w:val="001A3E98"/>
    <w:rsid w:val="001A40B2"/>
    <w:rsid w:val="001A412F"/>
    <w:rsid w:val="001A4141"/>
    <w:rsid w:val="001A41F5"/>
    <w:rsid w:val="001A4272"/>
    <w:rsid w:val="001A42CE"/>
    <w:rsid w:val="001A46CD"/>
    <w:rsid w:val="001A4F46"/>
    <w:rsid w:val="001A4FD1"/>
    <w:rsid w:val="001A5021"/>
    <w:rsid w:val="001A560C"/>
    <w:rsid w:val="001A5626"/>
    <w:rsid w:val="001A583F"/>
    <w:rsid w:val="001A5B55"/>
    <w:rsid w:val="001A5B8F"/>
    <w:rsid w:val="001A5BF2"/>
    <w:rsid w:val="001A5D63"/>
    <w:rsid w:val="001A5DCE"/>
    <w:rsid w:val="001A5F80"/>
    <w:rsid w:val="001A638F"/>
    <w:rsid w:val="001A6C98"/>
    <w:rsid w:val="001A71A1"/>
    <w:rsid w:val="001A7315"/>
    <w:rsid w:val="001A74E2"/>
    <w:rsid w:val="001A7648"/>
    <w:rsid w:val="001A7762"/>
    <w:rsid w:val="001A7AAD"/>
    <w:rsid w:val="001A7DF3"/>
    <w:rsid w:val="001A7EDC"/>
    <w:rsid w:val="001B001C"/>
    <w:rsid w:val="001B00D8"/>
    <w:rsid w:val="001B038D"/>
    <w:rsid w:val="001B0653"/>
    <w:rsid w:val="001B0773"/>
    <w:rsid w:val="001B09DB"/>
    <w:rsid w:val="001B0B2D"/>
    <w:rsid w:val="001B0FD0"/>
    <w:rsid w:val="001B125D"/>
    <w:rsid w:val="001B12E5"/>
    <w:rsid w:val="001B137B"/>
    <w:rsid w:val="001B1478"/>
    <w:rsid w:val="001B153A"/>
    <w:rsid w:val="001B15B0"/>
    <w:rsid w:val="001B16B5"/>
    <w:rsid w:val="001B1A24"/>
    <w:rsid w:val="001B1A33"/>
    <w:rsid w:val="001B1CB6"/>
    <w:rsid w:val="001B1DDC"/>
    <w:rsid w:val="001B20C1"/>
    <w:rsid w:val="001B2286"/>
    <w:rsid w:val="001B25CB"/>
    <w:rsid w:val="001B2739"/>
    <w:rsid w:val="001B2926"/>
    <w:rsid w:val="001B2A04"/>
    <w:rsid w:val="001B2DBD"/>
    <w:rsid w:val="001B3390"/>
    <w:rsid w:val="001B3460"/>
    <w:rsid w:val="001B3663"/>
    <w:rsid w:val="001B3DDE"/>
    <w:rsid w:val="001B4354"/>
    <w:rsid w:val="001B4698"/>
    <w:rsid w:val="001B4E7A"/>
    <w:rsid w:val="001B4EB1"/>
    <w:rsid w:val="001B4F73"/>
    <w:rsid w:val="001B5285"/>
    <w:rsid w:val="001B5305"/>
    <w:rsid w:val="001B5350"/>
    <w:rsid w:val="001B5A32"/>
    <w:rsid w:val="001B5D49"/>
    <w:rsid w:val="001B5FC5"/>
    <w:rsid w:val="001B65E2"/>
    <w:rsid w:val="001B6E78"/>
    <w:rsid w:val="001B6F3E"/>
    <w:rsid w:val="001B6FE5"/>
    <w:rsid w:val="001B71A7"/>
    <w:rsid w:val="001B7277"/>
    <w:rsid w:val="001B7334"/>
    <w:rsid w:val="001B7580"/>
    <w:rsid w:val="001B7618"/>
    <w:rsid w:val="001B7778"/>
    <w:rsid w:val="001B78C4"/>
    <w:rsid w:val="001B7BC6"/>
    <w:rsid w:val="001C0098"/>
    <w:rsid w:val="001C0510"/>
    <w:rsid w:val="001C06AE"/>
    <w:rsid w:val="001C0876"/>
    <w:rsid w:val="001C08BC"/>
    <w:rsid w:val="001C0C8C"/>
    <w:rsid w:val="001C0EFC"/>
    <w:rsid w:val="001C1072"/>
    <w:rsid w:val="001C112A"/>
    <w:rsid w:val="001C1295"/>
    <w:rsid w:val="001C133B"/>
    <w:rsid w:val="001C150A"/>
    <w:rsid w:val="001C15A8"/>
    <w:rsid w:val="001C1632"/>
    <w:rsid w:val="001C17F9"/>
    <w:rsid w:val="001C1B7D"/>
    <w:rsid w:val="001C1EED"/>
    <w:rsid w:val="001C20A9"/>
    <w:rsid w:val="001C212A"/>
    <w:rsid w:val="001C217A"/>
    <w:rsid w:val="001C268A"/>
    <w:rsid w:val="001C27EB"/>
    <w:rsid w:val="001C2C57"/>
    <w:rsid w:val="001C2EED"/>
    <w:rsid w:val="001C309B"/>
    <w:rsid w:val="001C3201"/>
    <w:rsid w:val="001C32C6"/>
    <w:rsid w:val="001C33AB"/>
    <w:rsid w:val="001C3550"/>
    <w:rsid w:val="001C3553"/>
    <w:rsid w:val="001C36FC"/>
    <w:rsid w:val="001C3791"/>
    <w:rsid w:val="001C3A27"/>
    <w:rsid w:val="001C3E31"/>
    <w:rsid w:val="001C3F59"/>
    <w:rsid w:val="001C4187"/>
    <w:rsid w:val="001C426F"/>
    <w:rsid w:val="001C43E6"/>
    <w:rsid w:val="001C44AC"/>
    <w:rsid w:val="001C483C"/>
    <w:rsid w:val="001C487B"/>
    <w:rsid w:val="001C49E8"/>
    <w:rsid w:val="001C4AB1"/>
    <w:rsid w:val="001C53C1"/>
    <w:rsid w:val="001C54DA"/>
    <w:rsid w:val="001C56B8"/>
    <w:rsid w:val="001C56C1"/>
    <w:rsid w:val="001C58F1"/>
    <w:rsid w:val="001C5C92"/>
    <w:rsid w:val="001C60B6"/>
    <w:rsid w:val="001C63CB"/>
    <w:rsid w:val="001C6BFD"/>
    <w:rsid w:val="001C6EA3"/>
    <w:rsid w:val="001C734A"/>
    <w:rsid w:val="001C771B"/>
    <w:rsid w:val="001C7789"/>
    <w:rsid w:val="001C794D"/>
    <w:rsid w:val="001C7A44"/>
    <w:rsid w:val="001C7B2D"/>
    <w:rsid w:val="001C7B9B"/>
    <w:rsid w:val="001C7D10"/>
    <w:rsid w:val="001D0240"/>
    <w:rsid w:val="001D039F"/>
    <w:rsid w:val="001D0741"/>
    <w:rsid w:val="001D0860"/>
    <w:rsid w:val="001D094E"/>
    <w:rsid w:val="001D0987"/>
    <w:rsid w:val="001D09AF"/>
    <w:rsid w:val="001D0ADF"/>
    <w:rsid w:val="001D1553"/>
    <w:rsid w:val="001D155D"/>
    <w:rsid w:val="001D1981"/>
    <w:rsid w:val="001D1C31"/>
    <w:rsid w:val="001D1EE2"/>
    <w:rsid w:val="001D25BF"/>
    <w:rsid w:val="001D27F2"/>
    <w:rsid w:val="001D28AD"/>
    <w:rsid w:val="001D3060"/>
    <w:rsid w:val="001D3220"/>
    <w:rsid w:val="001D33EA"/>
    <w:rsid w:val="001D3513"/>
    <w:rsid w:val="001D390F"/>
    <w:rsid w:val="001D3959"/>
    <w:rsid w:val="001D3F4F"/>
    <w:rsid w:val="001D3F67"/>
    <w:rsid w:val="001D3FAE"/>
    <w:rsid w:val="001D3FD2"/>
    <w:rsid w:val="001D4174"/>
    <w:rsid w:val="001D4770"/>
    <w:rsid w:val="001D4D83"/>
    <w:rsid w:val="001D4E88"/>
    <w:rsid w:val="001D4F42"/>
    <w:rsid w:val="001D5132"/>
    <w:rsid w:val="001D5246"/>
    <w:rsid w:val="001D53FF"/>
    <w:rsid w:val="001D550D"/>
    <w:rsid w:val="001D5560"/>
    <w:rsid w:val="001D55AB"/>
    <w:rsid w:val="001D566C"/>
    <w:rsid w:val="001D5672"/>
    <w:rsid w:val="001D5908"/>
    <w:rsid w:val="001D5A39"/>
    <w:rsid w:val="001D5D59"/>
    <w:rsid w:val="001D5E08"/>
    <w:rsid w:val="001D5E7D"/>
    <w:rsid w:val="001D6183"/>
    <w:rsid w:val="001D6357"/>
    <w:rsid w:val="001D69B2"/>
    <w:rsid w:val="001D6B6F"/>
    <w:rsid w:val="001D6D1D"/>
    <w:rsid w:val="001D6E63"/>
    <w:rsid w:val="001D6EAE"/>
    <w:rsid w:val="001D7082"/>
    <w:rsid w:val="001D7574"/>
    <w:rsid w:val="001D77E0"/>
    <w:rsid w:val="001D78D4"/>
    <w:rsid w:val="001D7BEA"/>
    <w:rsid w:val="001D7DA2"/>
    <w:rsid w:val="001D7F34"/>
    <w:rsid w:val="001E018F"/>
    <w:rsid w:val="001E039D"/>
    <w:rsid w:val="001E070D"/>
    <w:rsid w:val="001E07D2"/>
    <w:rsid w:val="001E08D0"/>
    <w:rsid w:val="001E0BDE"/>
    <w:rsid w:val="001E0BE0"/>
    <w:rsid w:val="001E0F8D"/>
    <w:rsid w:val="001E0FA2"/>
    <w:rsid w:val="001E1228"/>
    <w:rsid w:val="001E142D"/>
    <w:rsid w:val="001E1495"/>
    <w:rsid w:val="001E154D"/>
    <w:rsid w:val="001E16DB"/>
    <w:rsid w:val="001E17F9"/>
    <w:rsid w:val="001E186C"/>
    <w:rsid w:val="001E1912"/>
    <w:rsid w:val="001E199B"/>
    <w:rsid w:val="001E1A19"/>
    <w:rsid w:val="001E1A98"/>
    <w:rsid w:val="001E1B7F"/>
    <w:rsid w:val="001E1CD3"/>
    <w:rsid w:val="001E1D87"/>
    <w:rsid w:val="001E1F08"/>
    <w:rsid w:val="001E2256"/>
    <w:rsid w:val="001E256A"/>
    <w:rsid w:val="001E25A4"/>
    <w:rsid w:val="001E2684"/>
    <w:rsid w:val="001E273C"/>
    <w:rsid w:val="001E29E7"/>
    <w:rsid w:val="001E2B95"/>
    <w:rsid w:val="001E2F02"/>
    <w:rsid w:val="001E2FC3"/>
    <w:rsid w:val="001E3177"/>
    <w:rsid w:val="001E36C2"/>
    <w:rsid w:val="001E3B8F"/>
    <w:rsid w:val="001E3D16"/>
    <w:rsid w:val="001E40B9"/>
    <w:rsid w:val="001E41AC"/>
    <w:rsid w:val="001E42B2"/>
    <w:rsid w:val="001E4428"/>
    <w:rsid w:val="001E4458"/>
    <w:rsid w:val="001E449A"/>
    <w:rsid w:val="001E452A"/>
    <w:rsid w:val="001E4CD2"/>
    <w:rsid w:val="001E4E85"/>
    <w:rsid w:val="001E502E"/>
    <w:rsid w:val="001E51C0"/>
    <w:rsid w:val="001E54F2"/>
    <w:rsid w:val="001E5812"/>
    <w:rsid w:val="001E5BB2"/>
    <w:rsid w:val="001E5BF3"/>
    <w:rsid w:val="001E604D"/>
    <w:rsid w:val="001E635A"/>
    <w:rsid w:val="001E6D7B"/>
    <w:rsid w:val="001E6F2C"/>
    <w:rsid w:val="001E75F3"/>
    <w:rsid w:val="001E79EB"/>
    <w:rsid w:val="001E7F77"/>
    <w:rsid w:val="001F05DD"/>
    <w:rsid w:val="001F065F"/>
    <w:rsid w:val="001F0B73"/>
    <w:rsid w:val="001F0D17"/>
    <w:rsid w:val="001F0EBF"/>
    <w:rsid w:val="001F1015"/>
    <w:rsid w:val="001F1356"/>
    <w:rsid w:val="001F1ABB"/>
    <w:rsid w:val="001F1BB8"/>
    <w:rsid w:val="001F1C38"/>
    <w:rsid w:val="001F1F3D"/>
    <w:rsid w:val="001F2229"/>
    <w:rsid w:val="001F22C3"/>
    <w:rsid w:val="001F25DB"/>
    <w:rsid w:val="001F27F9"/>
    <w:rsid w:val="001F2EF7"/>
    <w:rsid w:val="001F2FC3"/>
    <w:rsid w:val="001F3106"/>
    <w:rsid w:val="001F3639"/>
    <w:rsid w:val="001F36CA"/>
    <w:rsid w:val="001F37A0"/>
    <w:rsid w:val="001F385E"/>
    <w:rsid w:val="001F396F"/>
    <w:rsid w:val="001F39E3"/>
    <w:rsid w:val="001F3A27"/>
    <w:rsid w:val="001F41EA"/>
    <w:rsid w:val="001F4266"/>
    <w:rsid w:val="001F4356"/>
    <w:rsid w:val="001F4A3E"/>
    <w:rsid w:val="001F4B1E"/>
    <w:rsid w:val="001F4B9D"/>
    <w:rsid w:val="001F4BDD"/>
    <w:rsid w:val="001F4F30"/>
    <w:rsid w:val="001F5144"/>
    <w:rsid w:val="001F52C7"/>
    <w:rsid w:val="001F5377"/>
    <w:rsid w:val="001F58E3"/>
    <w:rsid w:val="001F58FF"/>
    <w:rsid w:val="001F5900"/>
    <w:rsid w:val="001F5965"/>
    <w:rsid w:val="001F5EDF"/>
    <w:rsid w:val="001F6702"/>
    <w:rsid w:val="001F67B6"/>
    <w:rsid w:val="001F6F32"/>
    <w:rsid w:val="001F736B"/>
    <w:rsid w:val="001F7591"/>
    <w:rsid w:val="001F76B0"/>
    <w:rsid w:val="001F77BD"/>
    <w:rsid w:val="001F7857"/>
    <w:rsid w:val="001F7A1D"/>
    <w:rsid w:val="001F7BDE"/>
    <w:rsid w:val="001F7E12"/>
    <w:rsid w:val="001F7E53"/>
    <w:rsid w:val="0020046B"/>
    <w:rsid w:val="00200773"/>
    <w:rsid w:val="002008D1"/>
    <w:rsid w:val="00200D0D"/>
    <w:rsid w:val="00201342"/>
    <w:rsid w:val="00201600"/>
    <w:rsid w:val="002017D3"/>
    <w:rsid w:val="00201C05"/>
    <w:rsid w:val="00201D87"/>
    <w:rsid w:val="00202087"/>
    <w:rsid w:val="00202256"/>
    <w:rsid w:val="002022BF"/>
    <w:rsid w:val="0020238F"/>
    <w:rsid w:val="00202940"/>
    <w:rsid w:val="002029CF"/>
    <w:rsid w:val="00203A3B"/>
    <w:rsid w:val="00203A3F"/>
    <w:rsid w:val="00203DC5"/>
    <w:rsid w:val="00203FAB"/>
    <w:rsid w:val="0020459B"/>
    <w:rsid w:val="00204748"/>
    <w:rsid w:val="00204755"/>
    <w:rsid w:val="0020481E"/>
    <w:rsid w:val="0020497B"/>
    <w:rsid w:val="00204D6F"/>
    <w:rsid w:val="002051E3"/>
    <w:rsid w:val="00205335"/>
    <w:rsid w:val="002061C8"/>
    <w:rsid w:val="002064BB"/>
    <w:rsid w:val="00206753"/>
    <w:rsid w:val="0020680C"/>
    <w:rsid w:val="002068C8"/>
    <w:rsid w:val="00206912"/>
    <w:rsid w:val="002069C3"/>
    <w:rsid w:val="00206D47"/>
    <w:rsid w:val="00206D9C"/>
    <w:rsid w:val="00206DC4"/>
    <w:rsid w:val="00206E7B"/>
    <w:rsid w:val="00207123"/>
    <w:rsid w:val="00207745"/>
    <w:rsid w:val="002078AF"/>
    <w:rsid w:val="00207BBF"/>
    <w:rsid w:val="00207C9F"/>
    <w:rsid w:val="00210412"/>
    <w:rsid w:val="0021067F"/>
    <w:rsid w:val="00210901"/>
    <w:rsid w:val="002109EF"/>
    <w:rsid w:val="00210D86"/>
    <w:rsid w:val="00210EE6"/>
    <w:rsid w:val="00210F52"/>
    <w:rsid w:val="0021155C"/>
    <w:rsid w:val="0021156B"/>
    <w:rsid w:val="002116A7"/>
    <w:rsid w:val="00211894"/>
    <w:rsid w:val="00211AFC"/>
    <w:rsid w:val="00211B9D"/>
    <w:rsid w:val="0021207E"/>
    <w:rsid w:val="002120C8"/>
    <w:rsid w:val="002120E0"/>
    <w:rsid w:val="002122CE"/>
    <w:rsid w:val="002123A8"/>
    <w:rsid w:val="0021274D"/>
    <w:rsid w:val="00212840"/>
    <w:rsid w:val="002129CA"/>
    <w:rsid w:val="00212A8A"/>
    <w:rsid w:val="00212CB5"/>
    <w:rsid w:val="00212E55"/>
    <w:rsid w:val="00213025"/>
    <w:rsid w:val="002131C6"/>
    <w:rsid w:val="002136C6"/>
    <w:rsid w:val="00213792"/>
    <w:rsid w:val="00213A42"/>
    <w:rsid w:val="00213AEB"/>
    <w:rsid w:val="00213CA7"/>
    <w:rsid w:val="00213FFE"/>
    <w:rsid w:val="0021401B"/>
    <w:rsid w:val="0021404E"/>
    <w:rsid w:val="00214109"/>
    <w:rsid w:val="002148E4"/>
    <w:rsid w:val="002149D3"/>
    <w:rsid w:val="002149DC"/>
    <w:rsid w:val="00214B4F"/>
    <w:rsid w:val="00214CDF"/>
    <w:rsid w:val="00214D56"/>
    <w:rsid w:val="00214E5F"/>
    <w:rsid w:val="002151B6"/>
    <w:rsid w:val="00215506"/>
    <w:rsid w:val="00215657"/>
    <w:rsid w:val="00215731"/>
    <w:rsid w:val="002157E3"/>
    <w:rsid w:val="0021584B"/>
    <w:rsid w:val="00215BD3"/>
    <w:rsid w:val="00215E55"/>
    <w:rsid w:val="00215FD0"/>
    <w:rsid w:val="0021602E"/>
    <w:rsid w:val="002160C8"/>
    <w:rsid w:val="0021621E"/>
    <w:rsid w:val="00216243"/>
    <w:rsid w:val="002165CA"/>
    <w:rsid w:val="00216609"/>
    <w:rsid w:val="002168F5"/>
    <w:rsid w:val="00216A8D"/>
    <w:rsid w:val="00216CE6"/>
    <w:rsid w:val="00216D68"/>
    <w:rsid w:val="0021709E"/>
    <w:rsid w:val="002170FF"/>
    <w:rsid w:val="0021756F"/>
    <w:rsid w:val="0022014E"/>
    <w:rsid w:val="002201F0"/>
    <w:rsid w:val="0022035A"/>
    <w:rsid w:val="00220510"/>
    <w:rsid w:val="002205A3"/>
    <w:rsid w:val="00220814"/>
    <w:rsid w:val="002209D1"/>
    <w:rsid w:val="00220A8F"/>
    <w:rsid w:val="00220B88"/>
    <w:rsid w:val="00220C43"/>
    <w:rsid w:val="00220EFD"/>
    <w:rsid w:val="0022122C"/>
    <w:rsid w:val="002214AA"/>
    <w:rsid w:val="00221DA1"/>
    <w:rsid w:val="002222F6"/>
    <w:rsid w:val="002224F1"/>
    <w:rsid w:val="0022279D"/>
    <w:rsid w:val="002228E6"/>
    <w:rsid w:val="00222B75"/>
    <w:rsid w:val="00222E52"/>
    <w:rsid w:val="00222E6F"/>
    <w:rsid w:val="00222F6B"/>
    <w:rsid w:val="002233D6"/>
    <w:rsid w:val="00223463"/>
    <w:rsid w:val="00223886"/>
    <w:rsid w:val="00223B47"/>
    <w:rsid w:val="00223F86"/>
    <w:rsid w:val="00223FD0"/>
    <w:rsid w:val="00224504"/>
    <w:rsid w:val="00224894"/>
    <w:rsid w:val="00224A6D"/>
    <w:rsid w:val="00224D10"/>
    <w:rsid w:val="00224E8C"/>
    <w:rsid w:val="00224F23"/>
    <w:rsid w:val="002250BF"/>
    <w:rsid w:val="002250CB"/>
    <w:rsid w:val="00225249"/>
    <w:rsid w:val="00225261"/>
    <w:rsid w:val="002258AA"/>
    <w:rsid w:val="002258C2"/>
    <w:rsid w:val="00225DCA"/>
    <w:rsid w:val="00225DD9"/>
    <w:rsid w:val="00225F23"/>
    <w:rsid w:val="00226676"/>
    <w:rsid w:val="00226A23"/>
    <w:rsid w:val="00226AAC"/>
    <w:rsid w:val="00226FC8"/>
    <w:rsid w:val="00227127"/>
    <w:rsid w:val="00227608"/>
    <w:rsid w:val="00227A07"/>
    <w:rsid w:val="00227B46"/>
    <w:rsid w:val="00227CEF"/>
    <w:rsid w:val="00227D3A"/>
    <w:rsid w:val="00227DD1"/>
    <w:rsid w:val="00227F42"/>
    <w:rsid w:val="0023002E"/>
    <w:rsid w:val="00230143"/>
    <w:rsid w:val="00230260"/>
    <w:rsid w:val="002302B1"/>
    <w:rsid w:val="00230A0C"/>
    <w:rsid w:val="00230C2C"/>
    <w:rsid w:val="00230DA2"/>
    <w:rsid w:val="00230DAB"/>
    <w:rsid w:val="00230FCF"/>
    <w:rsid w:val="00231393"/>
    <w:rsid w:val="00231754"/>
    <w:rsid w:val="002319DC"/>
    <w:rsid w:val="00231A40"/>
    <w:rsid w:val="00231ADD"/>
    <w:rsid w:val="00231EF9"/>
    <w:rsid w:val="00232274"/>
    <w:rsid w:val="0023229C"/>
    <w:rsid w:val="0023245D"/>
    <w:rsid w:val="002324DB"/>
    <w:rsid w:val="0023268F"/>
    <w:rsid w:val="002326B7"/>
    <w:rsid w:val="002326FF"/>
    <w:rsid w:val="0023282C"/>
    <w:rsid w:val="00232E23"/>
    <w:rsid w:val="00232F24"/>
    <w:rsid w:val="0023349E"/>
    <w:rsid w:val="0023368B"/>
    <w:rsid w:val="00233752"/>
    <w:rsid w:val="00233BA2"/>
    <w:rsid w:val="00233DC9"/>
    <w:rsid w:val="00234760"/>
    <w:rsid w:val="00234780"/>
    <w:rsid w:val="00234A04"/>
    <w:rsid w:val="00234A25"/>
    <w:rsid w:val="00234AA8"/>
    <w:rsid w:val="00234EA2"/>
    <w:rsid w:val="00234F1B"/>
    <w:rsid w:val="00235018"/>
    <w:rsid w:val="002352FD"/>
    <w:rsid w:val="0023590E"/>
    <w:rsid w:val="00235B5C"/>
    <w:rsid w:val="00235C05"/>
    <w:rsid w:val="00236073"/>
    <w:rsid w:val="0023619C"/>
    <w:rsid w:val="002362A1"/>
    <w:rsid w:val="00236303"/>
    <w:rsid w:val="002364D3"/>
    <w:rsid w:val="00236518"/>
    <w:rsid w:val="00236833"/>
    <w:rsid w:val="00236847"/>
    <w:rsid w:val="00236975"/>
    <w:rsid w:val="002369E1"/>
    <w:rsid w:val="00236A6F"/>
    <w:rsid w:val="00236BF7"/>
    <w:rsid w:val="00236E75"/>
    <w:rsid w:val="00236ED5"/>
    <w:rsid w:val="002372DF"/>
    <w:rsid w:val="002378DD"/>
    <w:rsid w:val="00237972"/>
    <w:rsid w:val="00237B8B"/>
    <w:rsid w:val="00237DE7"/>
    <w:rsid w:val="002404BD"/>
    <w:rsid w:val="002407E2"/>
    <w:rsid w:val="002408E2"/>
    <w:rsid w:val="0024145C"/>
    <w:rsid w:val="002418D3"/>
    <w:rsid w:val="00241B65"/>
    <w:rsid w:val="0024204E"/>
    <w:rsid w:val="0024214F"/>
    <w:rsid w:val="00242156"/>
    <w:rsid w:val="0024223B"/>
    <w:rsid w:val="00242499"/>
    <w:rsid w:val="002425F8"/>
    <w:rsid w:val="0024270D"/>
    <w:rsid w:val="0024272C"/>
    <w:rsid w:val="00242836"/>
    <w:rsid w:val="0024286F"/>
    <w:rsid w:val="00243255"/>
    <w:rsid w:val="0024364A"/>
    <w:rsid w:val="0024368B"/>
    <w:rsid w:val="002438DD"/>
    <w:rsid w:val="002438FA"/>
    <w:rsid w:val="00243CD7"/>
    <w:rsid w:val="002448ED"/>
    <w:rsid w:val="00245095"/>
    <w:rsid w:val="002450AB"/>
    <w:rsid w:val="00245282"/>
    <w:rsid w:val="00245283"/>
    <w:rsid w:val="002454B7"/>
    <w:rsid w:val="0024576A"/>
    <w:rsid w:val="00245B0A"/>
    <w:rsid w:val="00245C86"/>
    <w:rsid w:val="00245CDB"/>
    <w:rsid w:val="002460CD"/>
    <w:rsid w:val="002467E5"/>
    <w:rsid w:val="00246A20"/>
    <w:rsid w:val="00246B66"/>
    <w:rsid w:val="00246DF4"/>
    <w:rsid w:val="00246E9A"/>
    <w:rsid w:val="00246FD0"/>
    <w:rsid w:val="00247175"/>
    <w:rsid w:val="002471B1"/>
    <w:rsid w:val="0024731C"/>
    <w:rsid w:val="00247494"/>
    <w:rsid w:val="0024772C"/>
    <w:rsid w:val="00247C1D"/>
    <w:rsid w:val="00250626"/>
    <w:rsid w:val="00250802"/>
    <w:rsid w:val="00250836"/>
    <w:rsid w:val="00250913"/>
    <w:rsid w:val="002509AD"/>
    <w:rsid w:val="00250A4A"/>
    <w:rsid w:val="00250C05"/>
    <w:rsid w:val="00250D22"/>
    <w:rsid w:val="00250D3D"/>
    <w:rsid w:val="0025164F"/>
    <w:rsid w:val="00252200"/>
    <w:rsid w:val="002524F1"/>
    <w:rsid w:val="00252592"/>
    <w:rsid w:val="00252A25"/>
    <w:rsid w:val="00252B0C"/>
    <w:rsid w:val="00252BA4"/>
    <w:rsid w:val="00252C74"/>
    <w:rsid w:val="00253005"/>
    <w:rsid w:val="002533A0"/>
    <w:rsid w:val="00253646"/>
    <w:rsid w:val="002538D5"/>
    <w:rsid w:val="00253D5E"/>
    <w:rsid w:val="002541AB"/>
    <w:rsid w:val="00254339"/>
    <w:rsid w:val="0025453D"/>
    <w:rsid w:val="00254590"/>
    <w:rsid w:val="0025481C"/>
    <w:rsid w:val="00254963"/>
    <w:rsid w:val="00254F97"/>
    <w:rsid w:val="0025520F"/>
    <w:rsid w:val="0025524E"/>
    <w:rsid w:val="002558E2"/>
    <w:rsid w:val="00255AE4"/>
    <w:rsid w:val="00255B96"/>
    <w:rsid w:val="00255B9C"/>
    <w:rsid w:val="00255F0A"/>
    <w:rsid w:val="00255F0B"/>
    <w:rsid w:val="00255F96"/>
    <w:rsid w:val="002562F0"/>
    <w:rsid w:val="00256443"/>
    <w:rsid w:val="0025644E"/>
    <w:rsid w:val="00256580"/>
    <w:rsid w:val="00256858"/>
    <w:rsid w:val="0025694B"/>
    <w:rsid w:val="0025696A"/>
    <w:rsid w:val="00256FC8"/>
    <w:rsid w:val="002571FD"/>
    <w:rsid w:val="00257AA2"/>
    <w:rsid w:val="00257AE8"/>
    <w:rsid w:val="00257BD3"/>
    <w:rsid w:val="00257F1C"/>
    <w:rsid w:val="00260777"/>
    <w:rsid w:val="002607F7"/>
    <w:rsid w:val="00260BD2"/>
    <w:rsid w:val="00260C0A"/>
    <w:rsid w:val="00260ED7"/>
    <w:rsid w:val="0026102F"/>
    <w:rsid w:val="00261636"/>
    <w:rsid w:val="00261660"/>
    <w:rsid w:val="002618A3"/>
    <w:rsid w:val="00261A16"/>
    <w:rsid w:val="00261AD6"/>
    <w:rsid w:val="00261C40"/>
    <w:rsid w:val="00261CED"/>
    <w:rsid w:val="00262119"/>
    <w:rsid w:val="00262204"/>
    <w:rsid w:val="002625B6"/>
    <w:rsid w:val="0026295E"/>
    <w:rsid w:val="00263845"/>
    <w:rsid w:val="00263922"/>
    <w:rsid w:val="00263A06"/>
    <w:rsid w:val="00263A37"/>
    <w:rsid w:val="00263A61"/>
    <w:rsid w:val="00263B90"/>
    <w:rsid w:val="00263C99"/>
    <w:rsid w:val="00263EB9"/>
    <w:rsid w:val="00264259"/>
    <w:rsid w:val="002644EC"/>
    <w:rsid w:val="00264621"/>
    <w:rsid w:val="00264795"/>
    <w:rsid w:val="00264BC7"/>
    <w:rsid w:val="00265396"/>
    <w:rsid w:val="00265685"/>
    <w:rsid w:val="00265C22"/>
    <w:rsid w:val="0026682F"/>
    <w:rsid w:val="00266A55"/>
    <w:rsid w:val="00266CBA"/>
    <w:rsid w:val="00266E52"/>
    <w:rsid w:val="00266E78"/>
    <w:rsid w:val="00266EDD"/>
    <w:rsid w:val="00266F29"/>
    <w:rsid w:val="0026705B"/>
    <w:rsid w:val="0026757E"/>
    <w:rsid w:val="00267660"/>
    <w:rsid w:val="00267665"/>
    <w:rsid w:val="002676EC"/>
    <w:rsid w:val="00267891"/>
    <w:rsid w:val="002678E0"/>
    <w:rsid w:val="00267925"/>
    <w:rsid w:val="00267A3D"/>
    <w:rsid w:val="00267AE9"/>
    <w:rsid w:val="00267EC6"/>
    <w:rsid w:val="00267FAF"/>
    <w:rsid w:val="0027015C"/>
    <w:rsid w:val="00270499"/>
    <w:rsid w:val="0027062C"/>
    <w:rsid w:val="00270831"/>
    <w:rsid w:val="0027097D"/>
    <w:rsid w:val="002709F2"/>
    <w:rsid w:val="00270FA3"/>
    <w:rsid w:val="0027109E"/>
    <w:rsid w:val="0027137E"/>
    <w:rsid w:val="002713A1"/>
    <w:rsid w:val="0027141D"/>
    <w:rsid w:val="00271589"/>
    <w:rsid w:val="00271798"/>
    <w:rsid w:val="00271CF1"/>
    <w:rsid w:val="00271D95"/>
    <w:rsid w:val="00271DFC"/>
    <w:rsid w:val="00271E5D"/>
    <w:rsid w:val="00271EC9"/>
    <w:rsid w:val="002722A9"/>
    <w:rsid w:val="00272390"/>
    <w:rsid w:val="0027260C"/>
    <w:rsid w:val="0027264E"/>
    <w:rsid w:val="00272760"/>
    <w:rsid w:val="00272AC5"/>
    <w:rsid w:val="0027302D"/>
    <w:rsid w:val="00273462"/>
    <w:rsid w:val="0027361C"/>
    <w:rsid w:val="00273CB8"/>
    <w:rsid w:val="00273EB1"/>
    <w:rsid w:val="00273ECB"/>
    <w:rsid w:val="00274109"/>
    <w:rsid w:val="0027455A"/>
    <w:rsid w:val="00274AB6"/>
    <w:rsid w:val="002750AA"/>
    <w:rsid w:val="00275149"/>
    <w:rsid w:val="002751B7"/>
    <w:rsid w:val="002753CE"/>
    <w:rsid w:val="00275408"/>
    <w:rsid w:val="00275476"/>
    <w:rsid w:val="002754E4"/>
    <w:rsid w:val="00275598"/>
    <w:rsid w:val="002756F8"/>
    <w:rsid w:val="00275B23"/>
    <w:rsid w:val="00275C26"/>
    <w:rsid w:val="00275E93"/>
    <w:rsid w:val="00275F7A"/>
    <w:rsid w:val="00276096"/>
    <w:rsid w:val="00276293"/>
    <w:rsid w:val="0027633B"/>
    <w:rsid w:val="0027646D"/>
    <w:rsid w:val="002768DC"/>
    <w:rsid w:val="00276B5E"/>
    <w:rsid w:val="00276B9A"/>
    <w:rsid w:val="00276C54"/>
    <w:rsid w:val="00276DAE"/>
    <w:rsid w:val="00276E4D"/>
    <w:rsid w:val="00276F76"/>
    <w:rsid w:val="00277055"/>
    <w:rsid w:val="0027753D"/>
    <w:rsid w:val="0027767F"/>
    <w:rsid w:val="0027781B"/>
    <w:rsid w:val="00280245"/>
    <w:rsid w:val="002803CF"/>
    <w:rsid w:val="00280831"/>
    <w:rsid w:val="00280BAB"/>
    <w:rsid w:val="00280C49"/>
    <w:rsid w:val="00280F71"/>
    <w:rsid w:val="00281031"/>
    <w:rsid w:val="00281049"/>
    <w:rsid w:val="002811E1"/>
    <w:rsid w:val="00281751"/>
    <w:rsid w:val="00281773"/>
    <w:rsid w:val="002817BE"/>
    <w:rsid w:val="00281952"/>
    <w:rsid w:val="00281A81"/>
    <w:rsid w:val="002820D7"/>
    <w:rsid w:val="00282964"/>
    <w:rsid w:val="0028310A"/>
    <w:rsid w:val="00283322"/>
    <w:rsid w:val="00283576"/>
    <w:rsid w:val="00283613"/>
    <w:rsid w:val="002837A2"/>
    <w:rsid w:val="002838AF"/>
    <w:rsid w:val="00283A4A"/>
    <w:rsid w:val="00283D4A"/>
    <w:rsid w:val="00283D6B"/>
    <w:rsid w:val="00283E45"/>
    <w:rsid w:val="00283E48"/>
    <w:rsid w:val="0028405D"/>
    <w:rsid w:val="002840F9"/>
    <w:rsid w:val="002841C1"/>
    <w:rsid w:val="00284439"/>
    <w:rsid w:val="00284668"/>
    <w:rsid w:val="002846EE"/>
    <w:rsid w:val="002848DB"/>
    <w:rsid w:val="00284992"/>
    <w:rsid w:val="00284DE6"/>
    <w:rsid w:val="00284F80"/>
    <w:rsid w:val="00284FD4"/>
    <w:rsid w:val="002852C9"/>
    <w:rsid w:val="00285BA9"/>
    <w:rsid w:val="0028610C"/>
    <w:rsid w:val="002862E6"/>
    <w:rsid w:val="0028630C"/>
    <w:rsid w:val="002863D9"/>
    <w:rsid w:val="00286483"/>
    <w:rsid w:val="002865AA"/>
    <w:rsid w:val="002868F7"/>
    <w:rsid w:val="00286F18"/>
    <w:rsid w:val="00286F44"/>
    <w:rsid w:val="0028707A"/>
    <w:rsid w:val="002870FA"/>
    <w:rsid w:val="0028738C"/>
    <w:rsid w:val="0028758D"/>
    <w:rsid w:val="00287730"/>
    <w:rsid w:val="002878DF"/>
    <w:rsid w:val="00287BE6"/>
    <w:rsid w:val="00287CA6"/>
    <w:rsid w:val="00287DED"/>
    <w:rsid w:val="00287E7E"/>
    <w:rsid w:val="002902EB"/>
    <w:rsid w:val="00290400"/>
    <w:rsid w:val="002907D2"/>
    <w:rsid w:val="002907EC"/>
    <w:rsid w:val="00290941"/>
    <w:rsid w:val="002909AD"/>
    <w:rsid w:val="00290E73"/>
    <w:rsid w:val="00291005"/>
    <w:rsid w:val="00291145"/>
    <w:rsid w:val="002913E0"/>
    <w:rsid w:val="002915DD"/>
    <w:rsid w:val="00291742"/>
    <w:rsid w:val="00291B24"/>
    <w:rsid w:val="002921AC"/>
    <w:rsid w:val="00292745"/>
    <w:rsid w:val="0029286A"/>
    <w:rsid w:val="002928AC"/>
    <w:rsid w:val="002930F3"/>
    <w:rsid w:val="002933D6"/>
    <w:rsid w:val="002933FA"/>
    <w:rsid w:val="00293584"/>
    <w:rsid w:val="00293609"/>
    <w:rsid w:val="00293976"/>
    <w:rsid w:val="00293B2B"/>
    <w:rsid w:val="002942B8"/>
    <w:rsid w:val="00294723"/>
    <w:rsid w:val="002947B6"/>
    <w:rsid w:val="00294A8E"/>
    <w:rsid w:val="00294A9F"/>
    <w:rsid w:val="00294BA6"/>
    <w:rsid w:val="00294E9A"/>
    <w:rsid w:val="0029508F"/>
    <w:rsid w:val="002953DA"/>
    <w:rsid w:val="0029550C"/>
    <w:rsid w:val="002959E2"/>
    <w:rsid w:val="00295C88"/>
    <w:rsid w:val="002960C6"/>
    <w:rsid w:val="0029614F"/>
    <w:rsid w:val="002961AF"/>
    <w:rsid w:val="00296262"/>
    <w:rsid w:val="00296632"/>
    <w:rsid w:val="00296BB3"/>
    <w:rsid w:val="00296F21"/>
    <w:rsid w:val="002971F1"/>
    <w:rsid w:val="0029720C"/>
    <w:rsid w:val="00297572"/>
    <w:rsid w:val="00297588"/>
    <w:rsid w:val="00297ABB"/>
    <w:rsid w:val="00297C86"/>
    <w:rsid w:val="002A0318"/>
    <w:rsid w:val="002A05CB"/>
    <w:rsid w:val="002A060B"/>
    <w:rsid w:val="002A086F"/>
    <w:rsid w:val="002A0BD1"/>
    <w:rsid w:val="002A0EAB"/>
    <w:rsid w:val="002A114F"/>
    <w:rsid w:val="002A1267"/>
    <w:rsid w:val="002A15AB"/>
    <w:rsid w:val="002A1828"/>
    <w:rsid w:val="002A19E0"/>
    <w:rsid w:val="002A1E1A"/>
    <w:rsid w:val="002A220A"/>
    <w:rsid w:val="002A229E"/>
    <w:rsid w:val="002A25EB"/>
    <w:rsid w:val="002A276D"/>
    <w:rsid w:val="002A30A5"/>
    <w:rsid w:val="002A3452"/>
    <w:rsid w:val="002A3669"/>
    <w:rsid w:val="002A38EC"/>
    <w:rsid w:val="002A3BEC"/>
    <w:rsid w:val="002A3DC4"/>
    <w:rsid w:val="002A4733"/>
    <w:rsid w:val="002A4FE0"/>
    <w:rsid w:val="002A552D"/>
    <w:rsid w:val="002A558B"/>
    <w:rsid w:val="002A57E1"/>
    <w:rsid w:val="002A581C"/>
    <w:rsid w:val="002A5973"/>
    <w:rsid w:val="002A607C"/>
    <w:rsid w:val="002A6365"/>
    <w:rsid w:val="002A63E7"/>
    <w:rsid w:val="002A66AE"/>
    <w:rsid w:val="002A6A15"/>
    <w:rsid w:val="002A721C"/>
    <w:rsid w:val="002A7830"/>
    <w:rsid w:val="002A7E73"/>
    <w:rsid w:val="002B032C"/>
    <w:rsid w:val="002B06CE"/>
    <w:rsid w:val="002B0919"/>
    <w:rsid w:val="002B10AD"/>
    <w:rsid w:val="002B1284"/>
    <w:rsid w:val="002B12BE"/>
    <w:rsid w:val="002B157E"/>
    <w:rsid w:val="002B182B"/>
    <w:rsid w:val="002B18E8"/>
    <w:rsid w:val="002B1F8C"/>
    <w:rsid w:val="002B20F9"/>
    <w:rsid w:val="002B2105"/>
    <w:rsid w:val="002B23EF"/>
    <w:rsid w:val="002B242E"/>
    <w:rsid w:val="002B24B4"/>
    <w:rsid w:val="002B253F"/>
    <w:rsid w:val="002B29D2"/>
    <w:rsid w:val="002B2C70"/>
    <w:rsid w:val="002B2E90"/>
    <w:rsid w:val="002B2ED5"/>
    <w:rsid w:val="002B2F13"/>
    <w:rsid w:val="002B2F18"/>
    <w:rsid w:val="002B356E"/>
    <w:rsid w:val="002B3598"/>
    <w:rsid w:val="002B3666"/>
    <w:rsid w:val="002B3720"/>
    <w:rsid w:val="002B3AD0"/>
    <w:rsid w:val="002B4434"/>
    <w:rsid w:val="002B44D2"/>
    <w:rsid w:val="002B4624"/>
    <w:rsid w:val="002B4694"/>
    <w:rsid w:val="002B48DC"/>
    <w:rsid w:val="002B4A90"/>
    <w:rsid w:val="002B4B34"/>
    <w:rsid w:val="002B5177"/>
    <w:rsid w:val="002B5263"/>
    <w:rsid w:val="002B5544"/>
    <w:rsid w:val="002B5994"/>
    <w:rsid w:val="002B5C1F"/>
    <w:rsid w:val="002B5FDD"/>
    <w:rsid w:val="002B6024"/>
    <w:rsid w:val="002B6167"/>
    <w:rsid w:val="002B633A"/>
    <w:rsid w:val="002B6C6F"/>
    <w:rsid w:val="002B6C8B"/>
    <w:rsid w:val="002B6CA3"/>
    <w:rsid w:val="002B7065"/>
    <w:rsid w:val="002B726B"/>
    <w:rsid w:val="002B7364"/>
    <w:rsid w:val="002B7678"/>
    <w:rsid w:val="002B7742"/>
    <w:rsid w:val="002B7801"/>
    <w:rsid w:val="002B7BBE"/>
    <w:rsid w:val="002C00A8"/>
    <w:rsid w:val="002C02FF"/>
    <w:rsid w:val="002C037C"/>
    <w:rsid w:val="002C05FA"/>
    <w:rsid w:val="002C081B"/>
    <w:rsid w:val="002C0893"/>
    <w:rsid w:val="002C0BA1"/>
    <w:rsid w:val="002C0C0D"/>
    <w:rsid w:val="002C0D34"/>
    <w:rsid w:val="002C0F37"/>
    <w:rsid w:val="002C116D"/>
    <w:rsid w:val="002C12BC"/>
    <w:rsid w:val="002C13A6"/>
    <w:rsid w:val="002C165A"/>
    <w:rsid w:val="002C1B69"/>
    <w:rsid w:val="002C23F7"/>
    <w:rsid w:val="002C2671"/>
    <w:rsid w:val="002C2B3A"/>
    <w:rsid w:val="002C3275"/>
    <w:rsid w:val="002C3758"/>
    <w:rsid w:val="002C379A"/>
    <w:rsid w:val="002C395D"/>
    <w:rsid w:val="002C398F"/>
    <w:rsid w:val="002C3A69"/>
    <w:rsid w:val="002C3E04"/>
    <w:rsid w:val="002C4012"/>
    <w:rsid w:val="002C432A"/>
    <w:rsid w:val="002C4433"/>
    <w:rsid w:val="002C4500"/>
    <w:rsid w:val="002C46EA"/>
    <w:rsid w:val="002C47F7"/>
    <w:rsid w:val="002C480B"/>
    <w:rsid w:val="002C4817"/>
    <w:rsid w:val="002C4B32"/>
    <w:rsid w:val="002C4B3E"/>
    <w:rsid w:val="002C4D56"/>
    <w:rsid w:val="002C514D"/>
    <w:rsid w:val="002C5211"/>
    <w:rsid w:val="002C5736"/>
    <w:rsid w:val="002C5803"/>
    <w:rsid w:val="002C585D"/>
    <w:rsid w:val="002C5D09"/>
    <w:rsid w:val="002C5D0E"/>
    <w:rsid w:val="002C5D13"/>
    <w:rsid w:val="002C5D24"/>
    <w:rsid w:val="002C5D5A"/>
    <w:rsid w:val="002C65BC"/>
    <w:rsid w:val="002C6607"/>
    <w:rsid w:val="002C660C"/>
    <w:rsid w:val="002C6657"/>
    <w:rsid w:val="002C6836"/>
    <w:rsid w:val="002C687C"/>
    <w:rsid w:val="002C69B8"/>
    <w:rsid w:val="002C6A44"/>
    <w:rsid w:val="002C6C1E"/>
    <w:rsid w:val="002C6C28"/>
    <w:rsid w:val="002C6EE6"/>
    <w:rsid w:val="002C6F31"/>
    <w:rsid w:val="002C6F4C"/>
    <w:rsid w:val="002C73C9"/>
    <w:rsid w:val="002C74B3"/>
    <w:rsid w:val="002C7B82"/>
    <w:rsid w:val="002C7C32"/>
    <w:rsid w:val="002C7CB7"/>
    <w:rsid w:val="002C7CD2"/>
    <w:rsid w:val="002C7D69"/>
    <w:rsid w:val="002D0382"/>
    <w:rsid w:val="002D0494"/>
    <w:rsid w:val="002D0545"/>
    <w:rsid w:val="002D0572"/>
    <w:rsid w:val="002D0C0D"/>
    <w:rsid w:val="002D0D6B"/>
    <w:rsid w:val="002D0E72"/>
    <w:rsid w:val="002D0EAF"/>
    <w:rsid w:val="002D116F"/>
    <w:rsid w:val="002D1183"/>
    <w:rsid w:val="002D15F7"/>
    <w:rsid w:val="002D1B98"/>
    <w:rsid w:val="002D1BFD"/>
    <w:rsid w:val="002D1E26"/>
    <w:rsid w:val="002D1F6B"/>
    <w:rsid w:val="002D2141"/>
    <w:rsid w:val="002D21E3"/>
    <w:rsid w:val="002D220C"/>
    <w:rsid w:val="002D2455"/>
    <w:rsid w:val="002D272D"/>
    <w:rsid w:val="002D2869"/>
    <w:rsid w:val="002D28B2"/>
    <w:rsid w:val="002D29F4"/>
    <w:rsid w:val="002D2E12"/>
    <w:rsid w:val="002D2F65"/>
    <w:rsid w:val="002D2F7C"/>
    <w:rsid w:val="002D35AC"/>
    <w:rsid w:val="002D37AD"/>
    <w:rsid w:val="002D388A"/>
    <w:rsid w:val="002D38BE"/>
    <w:rsid w:val="002D38DD"/>
    <w:rsid w:val="002D39A7"/>
    <w:rsid w:val="002D3D6E"/>
    <w:rsid w:val="002D3D7F"/>
    <w:rsid w:val="002D3ED6"/>
    <w:rsid w:val="002D4434"/>
    <w:rsid w:val="002D443C"/>
    <w:rsid w:val="002D451A"/>
    <w:rsid w:val="002D4676"/>
    <w:rsid w:val="002D4682"/>
    <w:rsid w:val="002D49B7"/>
    <w:rsid w:val="002D4BD6"/>
    <w:rsid w:val="002D4C06"/>
    <w:rsid w:val="002D4F0F"/>
    <w:rsid w:val="002D4F90"/>
    <w:rsid w:val="002D5016"/>
    <w:rsid w:val="002D509D"/>
    <w:rsid w:val="002D50AF"/>
    <w:rsid w:val="002D510C"/>
    <w:rsid w:val="002D5383"/>
    <w:rsid w:val="002D5AD2"/>
    <w:rsid w:val="002D5B9A"/>
    <w:rsid w:val="002D607F"/>
    <w:rsid w:val="002D6182"/>
    <w:rsid w:val="002D61FF"/>
    <w:rsid w:val="002D62E8"/>
    <w:rsid w:val="002D6744"/>
    <w:rsid w:val="002D6B51"/>
    <w:rsid w:val="002D6B94"/>
    <w:rsid w:val="002D6D2F"/>
    <w:rsid w:val="002D73CD"/>
    <w:rsid w:val="002D73D9"/>
    <w:rsid w:val="002D760D"/>
    <w:rsid w:val="002D788C"/>
    <w:rsid w:val="002D7D32"/>
    <w:rsid w:val="002D7F37"/>
    <w:rsid w:val="002E0161"/>
    <w:rsid w:val="002E0194"/>
    <w:rsid w:val="002E03CF"/>
    <w:rsid w:val="002E0862"/>
    <w:rsid w:val="002E0CD2"/>
    <w:rsid w:val="002E0ECC"/>
    <w:rsid w:val="002E0EF4"/>
    <w:rsid w:val="002E0F32"/>
    <w:rsid w:val="002E10F7"/>
    <w:rsid w:val="002E11F2"/>
    <w:rsid w:val="002E147F"/>
    <w:rsid w:val="002E15EE"/>
    <w:rsid w:val="002E173B"/>
    <w:rsid w:val="002E1AAA"/>
    <w:rsid w:val="002E1CC4"/>
    <w:rsid w:val="002E1CF3"/>
    <w:rsid w:val="002E1E51"/>
    <w:rsid w:val="002E20F0"/>
    <w:rsid w:val="002E2179"/>
    <w:rsid w:val="002E265B"/>
    <w:rsid w:val="002E26A0"/>
    <w:rsid w:val="002E27B6"/>
    <w:rsid w:val="002E29D7"/>
    <w:rsid w:val="002E2AE2"/>
    <w:rsid w:val="002E33F2"/>
    <w:rsid w:val="002E3433"/>
    <w:rsid w:val="002E36F7"/>
    <w:rsid w:val="002E37C3"/>
    <w:rsid w:val="002E3845"/>
    <w:rsid w:val="002E3AC7"/>
    <w:rsid w:val="002E3E20"/>
    <w:rsid w:val="002E3F78"/>
    <w:rsid w:val="002E43BD"/>
    <w:rsid w:val="002E445B"/>
    <w:rsid w:val="002E4469"/>
    <w:rsid w:val="002E4912"/>
    <w:rsid w:val="002E5009"/>
    <w:rsid w:val="002E5199"/>
    <w:rsid w:val="002E5214"/>
    <w:rsid w:val="002E5242"/>
    <w:rsid w:val="002E54F4"/>
    <w:rsid w:val="002E55A0"/>
    <w:rsid w:val="002E57FA"/>
    <w:rsid w:val="002E5820"/>
    <w:rsid w:val="002E58CB"/>
    <w:rsid w:val="002E59FD"/>
    <w:rsid w:val="002E5C9C"/>
    <w:rsid w:val="002E5D99"/>
    <w:rsid w:val="002E5F4F"/>
    <w:rsid w:val="002E62BB"/>
    <w:rsid w:val="002E65DE"/>
    <w:rsid w:val="002E6603"/>
    <w:rsid w:val="002E66CE"/>
    <w:rsid w:val="002E6881"/>
    <w:rsid w:val="002E6D53"/>
    <w:rsid w:val="002E6FFC"/>
    <w:rsid w:val="002E74E0"/>
    <w:rsid w:val="002E75FB"/>
    <w:rsid w:val="002E7CAB"/>
    <w:rsid w:val="002E7D7A"/>
    <w:rsid w:val="002E7EB0"/>
    <w:rsid w:val="002F00CF"/>
    <w:rsid w:val="002F0559"/>
    <w:rsid w:val="002F057C"/>
    <w:rsid w:val="002F05E7"/>
    <w:rsid w:val="002F097C"/>
    <w:rsid w:val="002F0AB1"/>
    <w:rsid w:val="002F0B32"/>
    <w:rsid w:val="002F0CCF"/>
    <w:rsid w:val="002F1184"/>
    <w:rsid w:val="002F120D"/>
    <w:rsid w:val="002F138A"/>
    <w:rsid w:val="002F167C"/>
    <w:rsid w:val="002F16CA"/>
    <w:rsid w:val="002F1A3A"/>
    <w:rsid w:val="002F1B1B"/>
    <w:rsid w:val="002F1C83"/>
    <w:rsid w:val="002F1D5C"/>
    <w:rsid w:val="002F1D74"/>
    <w:rsid w:val="002F1DB6"/>
    <w:rsid w:val="002F202A"/>
    <w:rsid w:val="002F231B"/>
    <w:rsid w:val="002F2461"/>
    <w:rsid w:val="002F27A6"/>
    <w:rsid w:val="002F2D4E"/>
    <w:rsid w:val="002F2E1F"/>
    <w:rsid w:val="002F2FD2"/>
    <w:rsid w:val="002F308B"/>
    <w:rsid w:val="002F336D"/>
    <w:rsid w:val="002F3699"/>
    <w:rsid w:val="002F3903"/>
    <w:rsid w:val="002F3A2E"/>
    <w:rsid w:val="002F3BB1"/>
    <w:rsid w:val="002F3BFA"/>
    <w:rsid w:val="002F4423"/>
    <w:rsid w:val="002F48E1"/>
    <w:rsid w:val="002F4972"/>
    <w:rsid w:val="002F4AD1"/>
    <w:rsid w:val="002F50AA"/>
    <w:rsid w:val="002F5113"/>
    <w:rsid w:val="002F514A"/>
    <w:rsid w:val="002F51D2"/>
    <w:rsid w:val="002F5A0B"/>
    <w:rsid w:val="002F5D63"/>
    <w:rsid w:val="002F5FCD"/>
    <w:rsid w:val="002F62C0"/>
    <w:rsid w:val="002F63DB"/>
    <w:rsid w:val="002F6496"/>
    <w:rsid w:val="002F64EE"/>
    <w:rsid w:val="002F7A31"/>
    <w:rsid w:val="002F7B59"/>
    <w:rsid w:val="002F7BFB"/>
    <w:rsid w:val="002F7CC7"/>
    <w:rsid w:val="002F7D49"/>
    <w:rsid w:val="002F7E24"/>
    <w:rsid w:val="002F7E33"/>
    <w:rsid w:val="003001B0"/>
    <w:rsid w:val="00300416"/>
    <w:rsid w:val="003006F7"/>
    <w:rsid w:val="00300B3D"/>
    <w:rsid w:val="00300BFE"/>
    <w:rsid w:val="00300CB7"/>
    <w:rsid w:val="00300CFD"/>
    <w:rsid w:val="00300E80"/>
    <w:rsid w:val="00300F0F"/>
    <w:rsid w:val="00301448"/>
    <w:rsid w:val="00301591"/>
    <w:rsid w:val="00301730"/>
    <w:rsid w:val="00301765"/>
    <w:rsid w:val="00301B48"/>
    <w:rsid w:val="00301B64"/>
    <w:rsid w:val="00301B75"/>
    <w:rsid w:val="00301BBF"/>
    <w:rsid w:val="00301CBC"/>
    <w:rsid w:val="00301EA9"/>
    <w:rsid w:val="00302433"/>
    <w:rsid w:val="0030293F"/>
    <w:rsid w:val="00302A9C"/>
    <w:rsid w:val="00302AB3"/>
    <w:rsid w:val="00302AE0"/>
    <w:rsid w:val="00302BB0"/>
    <w:rsid w:val="00302F84"/>
    <w:rsid w:val="0030343A"/>
    <w:rsid w:val="0030358D"/>
    <w:rsid w:val="0030367F"/>
    <w:rsid w:val="00303799"/>
    <w:rsid w:val="00303DAC"/>
    <w:rsid w:val="00303E6B"/>
    <w:rsid w:val="00303FC1"/>
    <w:rsid w:val="003041A9"/>
    <w:rsid w:val="00304233"/>
    <w:rsid w:val="00304393"/>
    <w:rsid w:val="0030452F"/>
    <w:rsid w:val="00304768"/>
    <w:rsid w:val="00304979"/>
    <w:rsid w:val="00304B37"/>
    <w:rsid w:val="00304D57"/>
    <w:rsid w:val="00305059"/>
    <w:rsid w:val="0030506C"/>
    <w:rsid w:val="00305138"/>
    <w:rsid w:val="0030521A"/>
    <w:rsid w:val="00305252"/>
    <w:rsid w:val="00305687"/>
    <w:rsid w:val="003056CE"/>
    <w:rsid w:val="00305EDE"/>
    <w:rsid w:val="003061E7"/>
    <w:rsid w:val="0030622E"/>
    <w:rsid w:val="00306319"/>
    <w:rsid w:val="00306A78"/>
    <w:rsid w:val="00306B11"/>
    <w:rsid w:val="00306D31"/>
    <w:rsid w:val="00306F39"/>
    <w:rsid w:val="00307097"/>
    <w:rsid w:val="003070B4"/>
    <w:rsid w:val="00307860"/>
    <w:rsid w:val="00307B21"/>
    <w:rsid w:val="00307F02"/>
    <w:rsid w:val="0031011C"/>
    <w:rsid w:val="00310162"/>
    <w:rsid w:val="0031065D"/>
    <w:rsid w:val="00310A15"/>
    <w:rsid w:val="00310E29"/>
    <w:rsid w:val="00310E73"/>
    <w:rsid w:val="00310FA8"/>
    <w:rsid w:val="00311505"/>
    <w:rsid w:val="003118A5"/>
    <w:rsid w:val="00311CBB"/>
    <w:rsid w:val="00311DC5"/>
    <w:rsid w:val="00311DDF"/>
    <w:rsid w:val="00311FE5"/>
    <w:rsid w:val="003120ED"/>
    <w:rsid w:val="0031221D"/>
    <w:rsid w:val="003126C3"/>
    <w:rsid w:val="00312795"/>
    <w:rsid w:val="00312845"/>
    <w:rsid w:val="00312C3F"/>
    <w:rsid w:val="0031349C"/>
    <w:rsid w:val="00313639"/>
    <w:rsid w:val="00313A7F"/>
    <w:rsid w:val="00313BD7"/>
    <w:rsid w:val="00313C31"/>
    <w:rsid w:val="00313E40"/>
    <w:rsid w:val="00313E42"/>
    <w:rsid w:val="00313FF0"/>
    <w:rsid w:val="00314056"/>
    <w:rsid w:val="00314663"/>
    <w:rsid w:val="00314789"/>
    <w:rsid w:val="003149C9"/>
    <w:rsid w:val="00314AC3"/>
    <w:rsid w:val="00314B1A"/>
    <w:rsid w:val="00315031"/>
    <w:rsid w:val="00315816"/>
    <w:rsid w:val="00315AB0"/>
    <w:rsid w:val="00315D5F"/>
    <w:rsid w:val="00315DB4"/>
    <w:rsid w:val="00315DDC"/>
    <w:rsid w:val="00316027"/>
    <w:rsid w:val="00316079"/>
    <w:rsid w:val="00316216"/>
    <w:rsid w:val="003163CC"/>
    <w:rsid w:val="0031649F"/>
    <w:rsid w:val="003164A4"/>
    <w:rsid w:val="00316CB3"/>
    <w:rsid w:val="00316D5C"/>
    <w:rsid w:val="00316DE4"/>
    <w:rsid w:val="00316EDE"/>
    <w:rsid w:val="00317402"/>
    <w:rsid w:val="00317428"/>
    <w:rsid w:val="00317BCF"/>
    <w:rsid w:val="0032000D"/>
    <w:rsid w:val="00320209"/>
    <w:rsid w:val="0032062F"/>
    <w:rsid w:val="00320717"/>
    <w:rsid w:val="00320B77"/>
    <w:rsid w:val="00320E05"/>
    <w:rsid w:val="00320E3B"/>
    <w:rsid w:val="00320EB7"/>
    <w:rsid w:val="00321173"/>
    <w:rsid w:val="003212CC"/>
    <w:rsid w:val="00321979"/>
    <w:rsid w:val="00321A7A"/>
    <w:rsid w:val="00322108"/>
    <w:rsid w:val="00322464"/>
    <w:rsid w:val="00323453"/>
    <w:rsid w:val="0032362B"/>
    <w:rsid w:val="0032375B"/>
    <w:rsid w:val="00323A93"/>
    <w:rsid w:val="00323BE1"/>
    <w:rsid w:val="00324500"/>
    <w:rsid w:val="00324736"/>
    <w:rsid w:val="003249A6"/>
    <w:rsid w:val="00324A60"/>
    <w:rsid w:val="00324BE4"/>
    <w:rsid w:val="00324EC0"/>
    <w:rsid w:val="00324FC8"/>
    <w:rsid w:val="0032501A"/>
    <w:rsid w:val="003250D0"/>
    <w:rsid w:val="00325386"/>
    <w:rsid w:val="00325645"/>
    <w:rsid w:val="00325B10"/>
    <w:rsid w:val="00325B62"/>
    <w:rsid w:val="003267D2"/>
    <w:rsid w:val="0032698D"/>
    <w:rsid w:val="00326BD3"/>
    <w:rsid w:val="00326CA0"/>
    <w:rsid w:val="00326D03"/>
    <w:rsid w:val="00326E1A"/>
    <w:rsid w:val="00326E95"/>
    <w:rsid w:val="00326FA4"/>
    <w:rsid w:val="003270EF"/>
    <w:rsid w:val="003275C1"/>
    <w:rsid w:val="00327645"/>
    <w:rsid w:val="003276A3"/>
    <w:rsid w:val="00327BA0"/>
    <w:rsid w:val="00327BC8"/>
    <w:rsid w:val="00327D81"/>
    <w:rsid w:val="00327E8C"/>
    <w:rsid w:val="00327FB8"/>
    <w:rsid w:val="00330368"/>
    <w:rsid w:val="003306C2"/>
    <w:rsid w:val="00330750"/>
    <w:rsid w:val="0033075F"/>
    <w:rsid w:val="003307E2"/>
    <w:rsid w:val="00330884"/>
    <w:rsid w:val="00330E08"/>
    <w:rsid w:val="0033152D"/>
    <w:rsid w:val="0033155A"/>
    <w:rsid w:val="003319C1"/>
    <w:rsid w:val="00331DC0"/>
    <w:rsid w:val="00331E9B"/>
    <w:rsid w:val="0033252A"/>
    <w:rsid w:val="003325E5"/>
    <w:rsid w:val="003326E2"/>
    <w:rsid w:val="003328BF"/>
    <w:rsid w:val="00332FB4"/>
    <w:rsid w:val="00332FCC"/>
    <w:rsid w:val="00333090"/>
    <w:rsid w:val="00333132"/>
    <w:rsid w:val="003338AF"/>
    <w:rsid w:val="00333AA8"/>
    <w:rsid w:val="00333B18"/>
    <w:rsid w:val="00333B37"/>
    <w:rsid w:val="00333BA8"/>
    <w:rsid w:val="0033409C"/>
    <w:rsid w:val="00334C06"/>
    <w:rsid w:val="00334D8C"/>
    <w:rsid w:val="00334F96"/>
    <w:rsid w:val="003350C7"/>
    <w:rsid w:val="003350F1"/>
    <w:rsid w:val="003351D7"/>
    <w:rsid w:val="0033562C"/>
    <w:rsid w:val="003358BE"/>
    <w:rsid w:val="00335B53"/>
    <w:rsid w:val="00336162"/>
    <w:rsid w:val="003367A9"/>
    <w:rsid w:val="00336933"/>
    <w:rsid w:val="00336A1E"/>
    <w:rsid w:val="00336B81"/>
    <w:rsid w:val="00336C4A"/>
    <w:rsid w:val="00336E50"/>
    <w:rsid w:val="00336EC9"/>
    <w:rsid w:val="00337020"/>
    <w:rsid w:val="003371B5"/>
    <w:rsid w:val="003379FD"/>
    <w:rsid w:val="00337A3C"/>
    <w:rsid w:val="00337DA1"/>
    <w:rsid w:val="003402C3"/>
    <w:rsid w:val="00340493"/>
    <w:rsid w:val="00340A75"/>
    <w:rsid w:val="00341014"/>
    <w:rsid w:val="00341122"/>
    <w:rsid w:val="003418F5"/>
    <w:rsid w:val="0034198C"/>
    <w:rsid w:val="00341B02"/>
    <w:rsid w:val="00341B47"/>
    <w:rsid w:val="00341C97"/>
    <w:rsid w:val="00341F6A"/>
    <w:rsid w:val="00342499"/>
    <w:rsid w:val="00342A36"/>
    <w:rsid w:val="00342DB4"/>
    <w:rsid w:val="003430AE"/>
    <w:rsid w:val="00343106"/>
    <w:rsid w:val="003431F1"/>
    <w:rsid w:val="003436E3"/>
    <w:rsid w:val="00343930"/>
    <w:rsid w:val="0034397C"/>
    <w:rsid w:val="003439B7"/>
    <w:rsid w:val="00343AA2"/>
    <w:rsid w:val="00343F7D"/>
    <w:rsid w:val="00344097"/>
    <w:rsid w:val="00344183"/>
    <w:rsid w:val="00344293"/>
    <w:rsid w:val="0034474E"/>
    <w:rsid w:val="003449B5"/>
    <w:rsid w:val="00344CD3"/>
    <w:rsid w:val="0034574E"/>
    <w:rsid w:val="00345D29"/>
    <w:rsid w:val="0034610B"/>
    <w:rsid w:val="00346193"/>
    <w:rsid w:val="00346513"/>
    <w:rsid w:val="00346556"/>
    <w:rsid w:val="00346791"/>
    <w:rsid w:val="0034697F"/>
    <w:rsid w:val="00346E25"/>
    <w:rsid w:val="00346FAC"/>
    <w:rsid w:val="003470FE"/>
    <w:rsid w:val="00347177"/>
    <w:rsid w:val="00347221"/>
    <w:rsid w:val="0034753E"/>
    <w:rsid w:val="00347785"/>
    <w:rsid w:val="003477CE"/>
    <w:rsid w:val="00347873"/>
    <w:rsid w:val="00347B4C"/>
    <w:rsid w:val="00347E7A"/>
    <w:rsid w:val="003501A7"/>
    <w:rsid w:val="00350366"/>
    <w:rsid w:val="00350531"/>
    <w:rsid w:val="003505AC"/>
    <w:rsid w:val="00350723"/>
    <w:rsid w:val="003512B6"/>
    <w:rsid w:val="003513B3"/>
    <w:rsid w:val="00351728"/>
    <w:rsid w:val="003519E7"/>
    <w:rsid w:val="00351AC6"/>
    <w:rsid w:val="00351AEE"/>
    <w:rsid w:val="0035208D"/>
    <w:rsid w:val="0035229D"/>
    <w:rsid w:val="003523D7"/>
    <w:rsid w:val="00352724"/>
    <w:rsid w:val="003529C6"/>
    <w:rsid w:val="00352FF0"/>
    <w:rsid w:val="00352FF2"/>
    <w:rsid w:val="003539B3"/>
    <w:rsid w:val="00353CB2"/>
    <w:rsid w:val="00353D60"/>
    <w:rsid w:val="00353E67"/>
    <w:rsid w:val="00353F1F"/>
    <w:rsid w:val="003540C3"/>
    <w:rsid w:val="00354106"/>
    <w:rsid w:val="0035464B"/>
    <w:rsid w:val="00354AC3"/>
    <w:rsid w:val="00354CE7"/>
    <w:rsid w:val="00354D3E"/>
    <w:rsid w:val="00354D7E"/>
    <w:rsid w:val="003550B0"/>
    <w:rsid w:val="003552EA"/>
    <w:rsid w:val="0035541D"/>
    <w:rsid w:val="00355859"/>
    <w:rsid w:val="00355CCA"/>
    <w:rsid w:val="00355CED"/>
    <w:rsid w:val="00355DC5"/>
    <w:rsid w:val="00356020"/>
    <w:rsid w:val="003565A9"/>
    <w:rsid w:val="00356791"/>
    <w:rsid w:val="0035688A"/>
    <w:rsid w:val="003568AB"/>
    <w:rsid w:val="00356A84"/>
    <w:rsid w:val="00356B43"/>
    <w:rsid w:val="00356DC9"/>
    <w:rsid w:val="00357183"/>
    <w:rsid w:val="0035737D"/>
    <w:rsid w:val="00357568"/>
    <w:rsid w:val="0035756D"/>
    <w:rsid w:val="00357705"/>
    <w:rsid w:val="0035771B"/>
    <w:rsid w:val="00357F5B"/>
    <w:rsid w:val="0036015A"/>
    <w:rsid w:val="0036019B"/>
    <w:rsid w:val="003606CE"/>
    <w:rsid w:val="003606F4"/>
    <w:rsid w:val="00360797"/>
    <w:rsid w:val="00360CC2"/>
    <w:rsid w:val="00360CCA"/>
    <w:rsid w:val="0036104C"/>
    <w:rsid w:val="00361075"/>
    <w:rsid w:val="00361271"/>
    <w:rsid w:val="00361619"/>
    <w:rsid w:val="00361A5B"/>
    <w:rsid w:val="00361BA8"/>
    <w:rsid w:val="00361DB8"/>
    <w:rsid w:val="00361EA9"/>
    <w:rsid w:val="0036206C"/>
    <w:rsid w:val="00362083"/>
    <w:rsid w:val="0036215E"/>
    <w:rsid w:val="003622C3"/>
    <w:rsid w:val="003624CE"/>
    <w:rsid w:val="003624EF"/>
    <w:rsid w:val="00362553"/>
    <w:rsid w:val="003625D1"/>
    <w:rsid w:val="00362820"/>
    <w:rsid w:val="0036296C"/>
    <w:rsid w:val="00362AE8"/>
    <w:rsid w:val="00362CA0"/>
    <w:rsid w:val="00362F8E"/>
    <w:rsid w:val="0036309B"/>
    <w:rsid w:val="00363A1D"/>
    <w:rsid w:val="00363D10"/>
    <w:rsid w:val="00363F6D"/>
    <w:rsid w:val="00364126"/>
    <w:rsid w:val="00364346"/>
    <w:rsid w:val="00364A4C"/>
    <w:rsid w:val="00364B13"/>
    <w:rsid w:val="003657ED"/>
    <w:rsid w:val="003659D2"/>
    <w:rsid w:val="00365ADA"/>
    <w:rsid w:val="00365C0C"/>
    <w:rsid w:val="00365C85"/>
    <w:rsid w:val="00365D1C"/>
    <w:rsid w:val="00366160"/>
    <w:rsid w:val="0036631A"/>
    <w:rsid w:val="00366597"/>
    <w:rsid w:val="00366665"/>
    <w:rsid w:val="003666D6"/>
    <w:rsid w:val="00366B9B"/>
    <w:rsid w:val="003670CB"/>
    <w:rsid w:val="003670CD"/>
    <w:rsid w:val="00367150"/>
    <w:rsid w:val="003673C8"/>
    <w:rsid w:val="00367427"/>
    <w:rsid w:val="00367526"/>
    <w:rsid w:val="003675B1"/>
    <w:rsid w:val="00367750"/>
    <w:rsid w:val="003677D1"/>
    <w:rsid w:val="003679A7"/>
    <w:rsid w:val="003679AF"/>
    <w:rsid w:val="00367DA8"/>
    <w:rsid w:val="00367E9D"/>
    <w:rsid w:val="00370076"/>
    <w:rsid w:val="0037009B"/>
    <w:rsid w:val="00370218"/>
    <w:rsid w:val="00370536"/>
    <w:rsid w:val="00370573"/>
    <w:rsid w:val="00370E30"/>
    <w:rsid w:val="003710DD"/>
    <w:rsid w:val="0037157B"/>
    <w:rsid w:val="00371642"/>
    <w:rsid w:val="00371852"/>
    <w:rsid w:val="0037194E"/>
    <w:rsid w:val="00371B1A"/>
    <w:rsid w:val="00371BE9"/>
    <w:rsid w:val="00371EED"/>
    <w:rsid w:val="00371F98"/>
    <w:rsid w:val="00371FF5"/>
    <w:rsid w:val="0037285E"/>
    <w:rsid w:val="003728EC"/>
    <w:rsid w:val="00372AE2"/>
    <w:rsid w:val="00372B71"/>
    <w:rsid w:val="00372C60"/>
    <w:rsid w:val="00372DFF"/>
    <w:rsid w:val="00373030"/>
    <w:rsid w:val="00373089"/>
    <w:rsid w:val="00373326"/>
    <w:rsid w:val="0037383D"/>
    <w:rsid w:val="00373925"/>
    <w:rsid w:val="00373C8B"/>
    <w:rsid w:val="00373D97"/>
    <w:rsid w:val="00373ECB"/>
    <w:rsid w:val="00374171"/>
    <w:rsid w:val="003741E7"/>
    <w:rsid w:val="00374287"/>
    <w:rsid w:val="003743A1"/>
    <w:rsid w:val="00374414"/>
    <w:rsid w:val="003744E3"/>
    <w:rsid w:val="0037499F"/>
    <w:rsid w:val="00374ED4"/>
    <w:rsid w:val="003750A0"/>
    <w:rsid w:val="00375261"/>
    <w:rsid w:val="003752FE"/>
    <w:rsid w:val="0037551B"/>
    <w:rsid w:val="003757CE"/>
    <w:rsid w:val="00375A73"/>
    <w:rsid w:val="00375D31"/>
    <w:rsid w:val="00375D82"/>
    <w:rsid w:val="00375FC8"/>
    <w:rsid w:val="0037601C"/>
    <w:rsid w:val="003765F8"/>
    <w:rsid w:val="00376E09"/>
    <w:rsid w:val="00376F69"/>
    <w:rsid w:val="00377030"/>
    <w:rsid w:val="0037705F"/>
    <w:rsid w:val="00377559"/>
    <w:rsid w:val="00377BC9"/>
    <w:rsid w:val="00377CBF"/>
    <w:rsid w:val="00380207"/>
    <w:rsid w:val="0038033E"/>
    <w:rsid w:val="003805CE"/>
    <w:rsid w:val="00380630"/>
    <w:rsid w:val="003806B4"/>
    <w:rsid w:val="003806BE"/>
    <w:rsid w:val="003808C5"/>
    <w:rsid w:val="00380C9A"/>
    <w:rsid w:val="00380D25"/>
    <w:rsid w:val="00380E9B"/>
    <w:rsid w:val="00380F65"/>
    <w:rsid w:val="00380FA0"/>
    <w:rsid w:val="00381318"/>
    <w:rsid w:val="00381497"/>
    <w:rsid w:val="00382051"/>
    <w:rsid w:val="0038256D"/>
    <w:rsid w:val="00382581"/>
    <w:rsid w:val="00382885"/>
    <w:rsid w:val="00382BA9"/>
    <w:rsid w:val="00382D68"/>
    <w:rsid w:val="00382F62"/>
    <w:rsid w:val="00383252"/>
    <w:rsid w:val="0038342A"/>
    <w:rsid w:val="0038380A"/>
    <w:rsid w:val="0038392D"/>
    <w:rsid w:val="00383D4E"/>
    <w:rsid w:val="003840EA"/>
    <w:rsid w:val="0038430A"/>
    <w:rsid w:val="003845CE"/>
    <w:rsid w:val="0038481C"/>
    <w:rsid w:val="00384831"/>
    <w:rsid w:val="0038487E"/>
    <w:rsid w:val="00384AA4"/>
    <w:rsid w:val="00384AC2"/>
    <w:rsid w:val="00384D1B"/>
    <w:rsid w:val="00385152"/>
    <w:rsid w:val="003851A9"/>
    <w:rsid w:val="003857FA"/>
    <w:rsid w:val="00385ABE"/>
    <w:rsid w:val="00385B42"/>
    <w:rsid w:val="00385E66"/>
    <w:rsid w:val="00385EA4"/>
    <w:rsid w:val="00386061"/>
    <w:rsid w:val="003865C1"/>
    <w:rsid w:val="00386733"/>
    <w:rsid w:val="0038697B"/>
    <w:rsid w:val="00386B14"/>
    <w:rsid w:val="00386FE0"/>
    <w:rsid w:val="003870AD"/>
    <w:rsid w:val="0038775E"/>
    <w:rsid w:val="0038778E"/>
    <w:rsid w:val="00387C27"/>
    <w:rsid w:val="00390870"/>
    <w:rsid w:val="003909CE"/>
    <w:rsid w:val="00390ACA"/>
    <w:rsid w:val="00390C0B"/>
    <w:rsid w:val="00391053"/>
    <w:rsid w:val="00391396"/>
    <w:rsid w:val="0039144D"/>
    <w:rsid w:val="00391696"/>
    <w:rsid w:val="003917B3"/>
    <w:rsid w:val="003919DC"/>
    <w:rsid w:val="00391A24"/>
    <w:rsid w:val="00391E15"/>
    <w:rsid w:val="0039204E"/>
    <w:rsid w:val="00392CF6"/>
    <w:rsid w:val="00392F21"/>
    <w:rsid w:val="003934EC"/>
    <w:rsid w:val="003936E0"/>
    <w:rsid w:val="00393E70"/>
    <w:rsid w:val="00393EB9"/>
    <w:rsid w:val="0039409F"/>
    <w:rsid w:val="00394125"/>
    <w:rsid w:val="0039414C"/>
    <w:rsid w:val="003946C5"/>
    <w:rsid w:val="0039479A"/>
    <w:rsid w:val="00394E00"/>
    <w:rsid w:val="00394F89"/>
    <w:rsid w:val="00395474"/>
    <w:rsid w:val="00395920"/>
    <w:rsid w:val="00395B60"/>
    <w:rsid w:val="00395D8E"/>
    <w:rsid w:val="00395E98"/>
    <w:rsid w:val="00395F89"/>
    <w:rsid w:val="003960DF"/>
    <w:rsid w:val="00396446"/>
    <w:rsid w:val="00396570"/>
    <w:rsid w:val="003969DB"/>
    <w:rsid w:val="003973E8"/>
    <w:rsid w:val="003976C3"/>
    <w:rsid w:val="003976C7"/>
    <w:rsid w:val="003A01E5"/>
    <w:rsid w:val="003A02B3"/>
    <w:rsid w:val="003A07AF"/>
    <w:rsid w:val="003A082E"/>
    <w:rsid w:val="003A09AF"/>
    <w:rsid w:val="003A0A09"/>
    <w:rsid w:val="003A0C81"/>
    <w:rsid w:val="003A1007"/>
    <w:rsid w:val="003A12BF"/>
    <w:rsid w:val="003A13A0"/>
    <w:rsid w:val="003A1688"/>
    <w:rsid w:val="003A1A85"/>
    <w:rsid w:val="003A1EF9"/>
    <w:rsid w:val="003A1F46"/>
    <w:rsid w:val="003A239E"/>
    <w:rsid w:val="003A27C0"/>
    <w:rsid w:val="003A2C17"/>
    <w:rsid w:val="003A2D6D"/>
    <w:rsid w:val="003A326B"/>
    <w:rsid w:val="003A3285"/>
    <w:rsid w:val="003A35A2"/>
    <w:rsid w:val="003A360A"/>
    <w:rsid w:val="003A37CD"/>
    <w:rsid w:val="003A388E"/>
    <w:rsid w:val="003A3A41"/>
    <w:rsid w:val="003A3BE2"/>
    <w:rsid w:val="003A3C8C"/>
    <w:rsid w:val="003A3CC3"/>
    <w:rsid w:val="003A3E76"/>
    <w:rsid w:val="003A3FAE"/>
    <w:rsid w:val="003A4507"/>
    <w:rsid w:val="003A483B"/>
    <w:rsid w:val="003A4862"/>
    <w:rsid w:val="003A4F50"/>
    <w:rsid w:val="003A4F9C"/>
    <w:rsid w:val="003A50F7"/>
    <w:rsid w:val="003A54BC"/>
    <w:rsid w:val="003A559C"/>
    <w:rsid w:val="003A5664"/>
    <w:rsid w:val="003A5766"/>
    <w:rsid w:val="003A5812"/>
    <w:rsid w:val="003A58FA"/>
    <w:rsid w:val="003A5DDD"/>
    <w:rsid w:val="003A5EF8"/>
    <w:rsid w:val="003A5F04"/>
    <w:rsid w:val="003A60AB"/>
    <w:rsid w:val="003A60D1"/>
    <w:rsid w:val="003A623E"/>
    <w:rsid w:val="003A62E0"/>
    <w:rsid w:val="003A6818"/>
    <w:rsid w:val="003A6A81"/>
    <w:rsid w:val="003A6A88"/>
    <w:rsid w:val="003A6BCB"/>
    <w:rsid w:val="003A6E18"/>
    <w:rsid w:val="003A6EF6"/>
    <w:rsid w:val="003A732E"/>
    <w:rsid w:val="003A75F4"/>
    <w:rsid w:val="003A76CE"/>
    <w:rsid w:val="003A79AD"/>
    <w:rsid w:val="003A7A78"/>
    <w:rsid w:val="003A7BFF"/>
    <w:rsid w:val="003A7F0E"/>
    <w:rsid w:val="003A7FBD"/>
    <w:rsid w:val="003B0003"/>
    <w:rsid w:val="003B02DF"/>
    <w:rsid w:val="003B038E"/>
    <w:rsid w:val="003B0F02"/>
    <w:rsid w:val="003B0F31"/>
    <w:rsid w:val="003B1212"/>
    <w:rsid w:val="003B20F0"/>
    <w:rsid w:val="003B211F"/>
    <w:rsid w:val="003B2334"/>
    <w:rsid w:val="003B29FC"/>
    <w:rsid w:val="003B2CB6"/>
    <w:rsid w:val="003B2FCE"/>
    <w:rsid w:val="003B3031"/>
    <w:rsid w:val="003B30AB"/>
    <w:rsid w:val="003B34A8"/>
    <w:rsid w:val="003B34B4"/>
    <w:rsid w:val="003B35DC"/>
    <w:rsid w:val="003B373B"/>
    <w:rsid w:val="003B3B19"/>
    <w:rsid w:val="003B3C5F"/>
    <w:rsid w:val="003B3DF4"/>
    <w:rsid w:val="003B3EEA"/>
    <w:rsid w:val="003B413F"/>
    <w:rsid w:val="003B414D"/>
    <w:rsid w:val="003B4252"/>
    <w:rsid w:val="003B434E"/>
    <w:rsid w:val="003B446A"/>
    <w:rsid w:val="003B4617"/>
    <w:rsid w:val="003B48BC"/>
    <w:rsid w:val="003B4AA6"/>
    <w:rsid w:val="003B4C3B"/>
    <w:rsid w:val="003B4F3F"/>
    <w:rsid w:val="003B521B"/>
    <w:rsid w:val="003B52E7"/>
    <w:rsid w:val="003B5863"/>
    <w:rsid w:val="003B5CB4"/>
    <w:rsid w:val="003B5E3A"/>
    <w:rsid w:val="003B664D"/>
    <w:rsid w:val="003B683F"/>
    <w:rsid w:val="003B6F54"/>
    <w:rsid w:val="003B7484"/>
    <w:rsid w:val="003B75EC"/>
    <w:rsid w:val="003B778B"/>
    <w:rsid w:val="003B77B7"/>
    <w:rsid w:val="003B7A3D"/>
    <w:rsid w:val="003B7C34"/>
    <w:rsid w:val="003B7D1A"/>
    <w:rsid w:val="003B7F82"/>
    <w:rsid w:val="003C01EE"/>
    <w:rsid w:val="003C0CB7"/>
    <w:rsid w:val="003C10BC"/>
    <w:rsid w:val="003C1206"/>
    <w:rsid w:val="003C12DC"/>
    <w:rsid w:val="003C13B6"/>
    <w:rsid w:val="003C1568"/>
    <w:rsid w:val="003C15E2"/>
    <w:rsid w:val="003C1A42"/>
    <w:rsid w:val="003C1C94"/>
    <w:rsid w:val="003C1CD7"/>
    <w:rsid w:val="003C1D0A"/>
    <w:rsid w:val="003C1F68"/>
    <w:rsid w:val="003C203C"/>
    <w:rsid w:val="003C214A"/>
    <w:rsid w:val="003C2201"/>
    <w:rsid w:val="003C2244"/>
    <w:rsid w:val="003C22C4"/>
    <w:rsid w:val="003C243E"/>
    <w:rsid w:val="003C2B48"/>
    <w:rsid w:val="003C2D2F"/>
    <w:rsid w:val="003C2F67"/>
    <w:rsid w:val="003C2F89"/>
    <w:rsid w:val="003C389A"/>
    <w:rsid w:val="003C38D4"/>
    <w:rsid w:val="003C3A48"/>
    <w:rsid w:val="003C434F"/>
    <w:rsid w:val="003C444D"/>
    <w:rsid w:val="003C4F5C"/>
    <w:rsid w:val="003C50F6"/>
    <w:rsid w:val="003C5289"/>
    <w:rsid w:val="003C541C"/>
    <w:rsid w:val="003C5604"/>
    <w:rsid w:val="003C56DE"/>
    <w:rsid w:val="003C58D8"/>
    <w:rsid w:val="003C58FC"/>
    <w:rsid w:val="003C5912"/>
    <w:rsid w:val="003C5936"/>
    <w:rsid w:val="003C5D81"/>
    <w:rsid w:val="003C5ECE"/>
    <w:rsid w:val="003C604A"/>
    <w:rsid w:val="003C6117"/>
    <w:rsid w:val="003C65E0"/>
    <w:rsid w:val="003C65E1"/>
    <w:rsid w:val="003C6633"/>
    <w:rsid w:val="003C6657"/>
    <w:rsid w:val="003C6962"/>
    <w:rsid w:val="003C6D99"/>
    <w:rsid w:val="003C6E77"/>
    <w:rsid w:val="003C716E"/>
    <w:rsid w:val="003C71EC"/>
    <w:rsid w:val="003C7591"/>
    <w:rsid w:val="003C76CD"/>
    <w:rsid w:val="003C7A46"/>
    <w:rsid w:val="003C7A6D"/>
    <w:rsid w:val="003C7D63"/>
    <w:rsid w:val="003C7F65"/>
    <w:rsid w:val="003D054B"/>
    <w:rsid w:val="003D05DA"/>
    <w:rsid w:val="003D0638"/>
    <w:rsid w:val="003D0740"/>
    <w:rsid w:val="003D0A9E"/>
    <w:rsid w:val="003D13F7"/>
    <w:rsid w:val="003D15EF"/>
    <w:rsid w:val="003D1A28"/>
    <w:rsid w:val="003D1C48"/>
    <w:rsid w:val="003D234F"/>
    <w:rsid w:val="003D244C"/>
    <w:rsid w:val="003D25DC"/>
    <w:rsid w:val="003D2720"/>
    <w:rsid w:val="003D28DA"/>
    <w:rsid w:val="003D2BA7"/>
    <w:rsid w:val="003D2E32"/>
    <w:rsid w:val="003D316A"/>
    <w:rsid w:val="003D3A0E"/>
    <w:rsid w:val="003D3BCD"/>
    <w:rsid w:val="003D3D5A"/>
    <w:rsid w:val="003D3E95"/>
    <w:rsid w:val="003D3ED8"/>
    <w:rsid w:val="003D3F70"/>
    <w:rsid w:val="003D41CA"/>
    <w:rsid w:val="003D4BF1"/>
    <w:rsid w:val="003D4DA0"/>
    <w:rsid w:val="003D4E16"/>
    <w:rsid w:val="003D51D0"/>
    <w:rsid w:val="003D5AA5"/>
    <w:rsid w:val="003D5EA6"/>
    <w:rsid w:val="003D6352"/>
    <w:rsid w:val="003D67D9"/>
    <w:rsid w:val="003D694C"/>
    <w:rsid w:val="003D6958"/>
    <w:rsid w:val="003D6D3E"/>
    <w:rsid w:val="003D6DBA"/>
    <w:rsid w:val="003D6E3C"/>
    <w:rsid w:val="003D7311"/>
    <w:rsid w:val="003E0488"/>
    <w:rsid w:val="003E0739"/>
    <w:rsid w:val="003E0804"/>
    <w:rsid w:val="003E0BDA"/>
    <w:rsid w:val="003E0C2F"/>
    <w:rsid w:val="003E0C63"/>
    <w:rsid w:val="003E0CCC"/>
    <w:rsid w:val="003E0E63"/>
    <w:rsid w:val="003E1111"/>
    <w:rsid w:val="003E11C0"/>
    <w:rsid w:val="003E11C1"/>
    <w:rsid w:val="003E1351"/>
    <w:rsid w:val="003E1C94"/>
    <w:rsid w:val="003E1CDD"/>
    <w:rsid w:val="003E204A"/>
    <w:rsid w:val="003E2232"/>
    <w:rsid w:val="003E23E4"/>
    <w:rsid w:val="003E24D2"/>
    <w:rsid w:val="003E285A"/>
    <w:rsid w:val="003E29FB"/>
    <w:rsid w:val="003E2BC4"/>
    <w:rsid w:val="003E2BF1"/>
    <w:rsid w:val="003E2C55"/>
    <w:rsid w:val="003E3007"/>
    <w:rsid w:val="003E3252"/>
    <w:rsid w:val="003E35EE"/>
    <w:rsid w:val="003E389F"/>
    <w:rsid w:val="003E3F0E"/>
    <w:rsid w:val="003E440B"/>
    <w:rsid w:val="003E4412"/>
    <w:rsid w:val="003E465E"/>
    <w:rsid w:val="003E4672"/>
    <w:rsid w:val="003E4A2F"/>
    <w:rsid w:val="003E4A8E"/>
    <w:rsid w:val="003E4B76"/>
    <w:rsid w:val="003E4EFA"/>
    <w:rsid w:val="003E4F09"/>
    <w:rsid w:val="003E4F0D"/>
    <w:rsid w:val="003E5024"/>
    <w:rsid w:val="003E5BD7"/>
    <w:rsid w:val="003E5CB2"/>
    <w:rsid w:val="003E6208"/>
    <w:rsid w:val="003E6545"/>
    <w:rsid w:val="003E6839"/>
    <w:rsid w:val="003E689F"/>
    <w:rsid w:val="003E68DC"/>
    <w:rsid w:val="003E6D98"/>
    <w:rsid w:val="003E6E5B"/>
    <w:rsid w:val="003E70E5"/>
    <w:rsid w:val="003E7545"/>
    <w:rsid w:val="003E7703"/>
    <w:rsid w:val="003E7767"/>
    <w:rsid w:val="003E79F3"/>
    <w:rsid w:val="003E79FA"/>
    <w:rsid w:val="003E7BE2"/>
    <w:rsid w:val="003E7DA9"/>
    <w:rsid w:val="003E7E91"/>
    <w:rsid w:val="003E7E97"/>
    <w:rsid w:val="003E7F07"/>
    <w:rsid w:val="003F0194"/>
    <w:rsid w:val="003F05B0"/>
    <w:rsid w:val="003F0660"/>
    <w:rsid w:val="003F07A4"/>
    <w:rsid w:val="003F0A9C"/>
    <w:rsid w:val="003F0BE5"/>
    <w:rsid w:val="003F0E44"/>
    <w:rsid w:val="003F119D"/>
    <w:rsid w:val="003F18D1"/>
    <w:rsid w:val="003F199C"/>
    <w:rsid w:val="003F1D90"/>
    <w:rsid w:val="003F2321"/>
    <w:rsid w:val="003F27D1"/>
    <w:rsid w:val="003F2EDA"/>
    <w:rsid w:val="003F32A9"/>
    <w:rsid w:val="003F3568"/>
    <w:rsid w:val="003F36CB"/>
    <w:rsid w:val="003F3975"/>
    <w:rsid w:val="003F3B10"/>
    <w:rsid w:val="003F3DBB"/>
    <w:rsid w:val="003F3F94"/>
    <w:rsid w:val="003F4169"/>
    <w:rsid w:val="003F434F"/>
    <w:rsid w:val="003F45FA"/>
    <w:rsid w:val="003F463E"/>
    <w:rsid w:val="003F46B0"/>
    <w:rsid w:val="003F470A"/>
    <w:rsid w:val="003F4A06"/>
    <w:rsid w:val="003F4BC5"/>
    <w:rsid w:val="003F4E1A"/>
    <w:rsid w:val="003F53E6"/>
    <w:rsid w:val="003F5480"/>
    <w:rsid w:val="003F5560"/>
    <w:rsid w:val="003F573C"/>
    <w:rsid w:val="003F5844"/>
    <w:rsid w:val="003F5B13"/>
    <w:rsid w:val="003F5B1B"/>
    <w:rsid w:val="003F5CAA"/>
    <w:rsid w:val="003F615C"/>
    <w:rsid w:val="003F6163"/>
    <w:rsid w:val="003F62FB"/>
    <w:rsid w:val="003F6342"/>
    <w:rsid w:val="003F685D"/>
    <w:rsid w:val="003F6AD6"/>
    <w:rsid w:val="003F6B17"/>
    <w:rsid w:val="003F6D1F"/>
    <w:rsid w:val="003F6DC0"/>
    <w:rsid w:val="003F6E74"/>
    <w:rsid w:val="003F7823"/>
    <w:rsid w:val="003F7895"/>
    <w:rsid w:val="003F7986"/>
    <w:rsid w:val="003F7ACC"/>
    <w:rsid w:val="003F7B10"/>
    <w:rsid w:val="003F7B85"/>
    <w:rsid w:val="003F7BB6"/>
    <w:rsid w:val="003F7D18"/>
    <w:rsid w:val="003F7EFC"/>
    <w:rsid w:val="003F7F43"/>
    <w:rsid w:val="0040005E"/>
    <w:rsid w:val="00401017"/>
    <w:rsid w:val="004011CA"/>
    <w:rsid w:val="00401235"/>
    <w:rsid w:val="0040176F"/>
    <w:rsid w:val="0040189B"/>
    <w:rsid w:val="00401B8C"/>
    <w:rsid w:val="00401C7A"/>
    <w:rsid w:val="00401CC1"/>
    <w:rsid w:val="00401D07"/>
    <w:rsid w:val="00401D58"/>
    <w:rsid w:val="00401F64"/>
    <w:rsid w:val="00401FA5"/>
    <w:rsid w:val="0040211B"/>
    <w:rsid w:val="0040231E"/>
    <w:rsid w:val="004023AC"/>
    <w:rsid w:val="00402600"/>
    <w:rsid w:val="00402775"/>
    <w:rsid w:val="004027D2"/>
    <w:rsid w:val="00402A81"/>
    <w:rsid w:val="00403130"/>
    <w:rsid w:val="00403281"/>
    <w:rsid w:val="004034AB"/>
    <w:rsid w:val="004036A6"/>
    <w:rsid w:val="004038C4"/>
    <w:rsid w:val="00403938"/>
    <w:rsid w:val="00403A44"/>
    <w:rsid w:val="00403B93"/>
    <w:rsid w:val="00403F70"/>
    <w:rsid w:val="00403F71"/>
    <w:rsid w:val="00403FF8"/>
    <w:rsid w:val="00404484"/>
    <w:rsid w:val="00404A74"/>
    <w:rsid w:val="00404B8F"/>
    <w:rsid w:val="004052FF"/>
    <w:rsid w:val="0040576D"/>
    <w:rsid w:val="00405C5E"/>
    <w:rsid w:val="00405D9D"/>
    <w:rsid w:val="004065CB"/>
    <w:rsid w:val="00406639"/>
    <w:rsid w:val="00406798"/>
    <w:rsid w:val="00406C9D"/>
    <w:rsid w:val="00406D5F"/>
    <w:rsid w:val="004070D4"/>
    <w:rsid w:val="004070DF"/>
    <w:rsid w:val="00407779"/>
    <w:rsid w:val="00407850"/>
    <w:rsid w:val="00407DD8"/>
    <w:rsid w:val="00410081"/>
    <w:rsid w:val="0041094B"/>
    <w:rsid w:val="00410952"/>
    <w:rsid w:val="00410A08"/>
    <w:rsid w:val="00411125"/>
    <w:rsid w:val="004111BA"/>
    <w:rsid w:val="00411200"/>
    <w:rsid w:val="00411250"/>
    <w:rsid w:val="0041152C"/>
    <w:rsid w:val="004115E9"/>
    <w:rsid w:val="004117A8"/>
    <w:rsid w:val="0041194B"/>
    <w:rsid w:val="00411CAE"/>
    <w:rsid w:val="00412299"/>
    <w:rsid w:val="00412380"/>
    <w:rsid w:val="00412776"/>
    <w:rsid w:val="004129E3"/>
    <w:rsid w:val="00412A5A"/>
    <w:rsid w:val="00412AB4"/>
    <w:rsid w:val="00412C0D"/>
    <w:rsid w:val="00412CE4"/>
    <w:rsid w:val="00412D1F"/>
    <w:rsid w:val="00412D46"/>
    <w:rsid w:val="0041322D"/>
    <w:rsid w:val="004132E8"/>
    <w:rsid w:val="004134D8"/>
    <w:rsid w:val="00413A3E"/>
    <w:rsid w:val="00413AA5"/>
    <w:rsid w:val="00413D6A"/>
    <w:rsid w:val="00413E0B"/>
    <w:rsid w:val="00414093"/>
    <w:rsid w:val="00414809"/>
    <w:rsid w:val="004148B3"/>
    <w:rsid w:val="00414D98"/>
    <w:rsid w:val="0041522B"/>
    <w:rsid w:val="0041527E"/>
    <w:rsid w:val="00415300"/>
    <w:rsid w:val="004153EB"/>
    <w:rsid w:val="0041566D"/>
    <w:rsid w:val="00415EDA"/>
    <w:rsid w:val="00415EED"/>
    <w:rsid w:val="0041624B"/>
    <w:rsid w:val="004169E5"/>
    <w:rsid w:val="00416D36"/>
    <w:rsid w:val="00416E7F"/>
    <w:rsid w:val="004171D9"/>
    <w:rsid w:val="00417456"/>
    <w:rsid w:val="0041757F"/>
    <w:rsid w:val="00417618"/>
    <w:rsid w:val="00417656"/>
    <w:rsid w:val="00417730"/>
    <w:rsid w:val="00417A11"/>
    <w:rsid w:val="00417DA5"/>
    <w:rsid w:val="00417DB2"/>
    <w:rsid w:val="00420454"/>
    <w:rsid w:val="0042058F"/>
    <w:rsid w:val="0042088A"/>
    <w:rsid w:val="00420A20"/>
    <w:rsid w:val="00420D7D"/>
    <w:rsid w:val="00420F50"/>
    <w:rsid w:val="004211AD"/>
    <w:rsid w:val="004212C3"/>
    <w:rsid w:val="004212FA"/>
    <w:rsid w:val="00421652"/>
    <w:rsid w:val="004217FF"/>
    <w:rsid w:val="0042183C"/>
    <w:rsid w:val="004218DB"/>
    <w:rsid w:val="00421C28"/>
    <w:rsid w:val="004221AC"/>
    <w:rsid w:val="004225DA"/>
    <w:rsid w:val="00422901"/>
    <w:rsid w:val="00422914"/>
    <w:rsid w:val="00422C23"/>
    <w:rsid w:val="00422D01"/>
    <w:rsid w:val="00423154"/>
    <w:rsid w:val="00423171"/>
    <w:rsid w:val="004231E2"/>
    <w:rsid w:val="004237BA"/>
    <w:rsid w:val="0042387E"/>
    <w:rsid w:val="0042396F"/>
    <w:rsid w:val="0042399D"/>
    <w:rsid w:val="00423AE9"/>
    <w:rsid w:val="00423D47"/>
    <w:rsid w:val="004244B4"/>
    <w:rsid w:val="00424769"/>
    <w:rsid w:val="00424961"/>
    <w:rsid w:val="00424AAB"/>
    <w:rsid w:val="00424BC6"/>
    <w:rsid w:val="00424D78"/>
    <w:rsid w:val="0042503E"/>
    <w:rsid w:val="0042517C"/>
    <w:rsid w:val="004252B6"/>
    <w:rsid w:val="0042534C"/>
    <w:rsid w:val="00425FF5"/>
    <w:rsid w:val="00426069"/>
    <w:rsid w:val="00426090"/>
    <w:rsid w:val="004260F3"/>
    <w:rsid w:val="00426385"/>
    <w:rsid w:val="00426391"/>
    <w:rsid w:val="004265A0"/>
    <w:rsid w:val="004265D8"/>
    <w:rsid w:val="00426749"/>
    <w:rsid w:val="0042680E"/>
    <w:rsid w:val="00426A5D"/>
    <w:rsid w:val="00426F5A"/>
    <w:rsid w:val="0042748D"/>
    <w:rsid w:val="00427593"/>
    <w:rsid w:val="0042761A"/>
    <w:rsid w:val="004277F7"/>
    <w:rsid w:val="00427D99"/>
    <w:rsid w:val="00430075"/>
    <w:rsid w:val="00430123"/>
    <w:rsid w:val="004302DD"/>
    <w:rsid w:val="004303CC"/>
    <w:rsid w:val="004304DC"/>
    <w:rsid w:val="004307C3"/>
    <w:rsid w:val="00430853"/>
    <w:rsid w:val="004309B9"/>
    <w:rsid w:val="004309BF"/>
    <w:rsid w:val="00430C1A"/>
    <w:rsid w:val="0043138D"/>
    <w:rsid w:val="0043166D"/>
    <w:rsid w:val="004317E1"/>
    <w:rsid w:val="00431DA9"/>
    <w:rsid w:val="00431E67"/>
    <w:rsid w:val="004323A3"/>
    <w:rsid w:val="0043241E"/>
    <w:rsid w:val="004325D2"/>
    <w:rsid w:val="004325FF"/>
    <w:rsid w:val="00432989"/>
    <w:rsid w:val="004329C0"/>
    <w:rsid w:val="00432F02"/>
    <w:rsid w:val="00433203"/>
    <w:rsid w:val="00433679"/>
    <w:rsid w:val="00433766"/>
    <w:rsid w:val="00433AD6"/>
    <w:rsid w:val="00433BFA"/>
    <w:rsid w:val="00433D1F"/>
    <w:rsid w:val="00434641"/>
    <w:rsid w:val="00434965"/>
    <w:rsid w:val="004349EC"/>
    <w:rsid w:val="00434C6E"/>
    <w:rsid w:val="00434F25"/>
    <w:rsid w:val="004355FE"/>
    <w:rsid w:val="00435AC2"/>
    <w:rsid w:val="00435D7B"/>
    <w:rsid w:val="00436484"/>
    <w:rsid w:val="004365A7"/>
    <w:rsid w:val="0043675F"/>
    <w:rsid w:val="00436933"/>
    <w:rsid w:val="00436A2C"/>
    <w:rsid w:val="00436B7A"/>
    <w:rsid w:val="00436BE5"/>
    <w:rsid w:val="00437088"/>
    <w:rsid w:val="0043708A"/>
    <w:rsid w:val="00437228"/>
    <w:rsid w:val="004372E2"/>
    <w:rsid w:val="00437718"/>
    <w:rsid w:val="004377B3"/>
    <w:rsid w:val="0044043E"/>
    <w:rsid w:val="0044055A"/>
    <w:rsid w:val="00440582"/>
    <w:rsid w:val="0044066B"/>
    <w:rsid w:val="004406B1"/>
    <w:rsid w:val="00440955"/>
    <w:rsid w:val="00440A96"/>
    <w:rsid w:val="00441324"/>
    <w:rsid w:val="00441325"/>
    <w:rsid w:val="004414EC"/>
    <w:rsid w:val="00441579"/>
    <w:rsid w:val="00441621"/>
    <w:rsid w:val="004416E3"/>
    <w:rsid w:val="0044177B"/>
    <w:rsid w:val="00441865"/>
    <w:rsid w:val="00441E7A"/>
    <w:rsid w:val="00441F24"/>
    <w:rsid w:val="00442166"/>
    <w:rsid w:val="004421B4"/>
    <w:rsid w:val="004421D2"/>
    <w:rsid w:val="0044232C"/>
    <w:rsid w:val="004426D8"/>
    <w:rsid w:val="004426E3"/>
    <w:rsid w:val="00442A3B"/>
    <w:rsid w:val="00442C02"/>
    <w:rsid w:val="00442E0E"/>
    <w:rsid w:val="00442E55"/>
    <w:rsid w:val="00442F44"/>
    <w:rsid w:val="00442F59"/>
    <w:rsid w:val="00442F5E"/>
    <w:rsid w:val="00443646"/>
    <w:rsid w:val="004438B8"/>
    <w:rsid w:val="004439EF"/>
    <w:rsid w:val="00443BF8"/>
    <w:rsid w:val="00443E46"/>
    <w:rsid w:val="00443EE0"/>
    <w:rsid w:val="00443F83"/>
    <w:rsid w:val="004444F4"/>
    <w:rsid w:val="00444722"/>
    <w:rsid w:val="0044489D"/>
    <w:rsid w:val="00444F8F"/>
    <w:rsid w:val="00444FFD"/>
    <w:rsid w:val="004450A2"/>
    <w:rsid w:val="004450C0"/>
    <w:rsid w:val="0044540B"/>
    <w:rsid w:val="004455EC"/>
    <w:rsid w:val="00445D68"/>
    <w:rsid w:val="00445D71"/>
    <w:rsid w:val="00446283"/>
    <w:rsid w:val="00446507"/>
    <w:rsid w:val="0044677C"/>
    <w:rsid w:val="004469A0"/>
    <w:rsid w:val="00446C77"/>
    <w:rsid w:val="00447136"/>
    <w:rsid w:val="0044754A"/>
    <w:rsid w:val="00447864"/>
    <w:rsid w:val="004479EF"/>
    <w:rsid w:val="00447D5F"/>
    <w:rsid w:val="00447F06"/>
    <w:rsid w:val="004501D6"/>
    <w:rsid w:val="0045052A"/>
    <w:rsid w:val="00450674"/>
    <w:rsid w:val="004506AA"/>
    <w:rsid w:val="004509AF"/>
    <w:rsid w:val="00450CFE"/>
    <w:rsid w:val="00450F88"/>
    <w:rsid w:val="00451248"/>
    <w:rsid w:val="0045143A"/>
    <w:rsid w:val="004514F1"/>
    <w:rsid w:val="0045177D"/>
    <w:rsid w:val="0045197B"/>
    <w:rsid w:val="00451AC5"/>
    <w:rsid w:val="00451F93"/>
    <w:rsid w:val="004520A4"/>
    <w:rsid w:val="004523CE"/>
    <w:rsid w:val="00452736"/>
    <w:rsid w:val="00452737"/>
    <w:rsid w:val="004529EE"/>
    <w:rsid w:val="00452D4C"/>
    <w:rsid w:val="004530A9"/>
    <w:rsid w:val="004536C1"/>
    <w:rsid w:val="00453CDC"/>
    <w:rsid w:val="00453EAB"/>
    <w:rsid w:val="00454135"/>
    <w:rsid w:val="00454217"/>
    <w:rsid w:val="004542A9"/>
    <w:rsid w:val="004543DA"/>
    <w:rsid w:val="0045440D"/>
    <w:rsid w:val="00454539"/>
    <w:rsid w:val="00454F82"/>
    <w:rsid w:val="00454FA4"/>
    <w:rsid w:val="004550C7"/>
    <w:rsid w:val="004554CA"/>
    <w:rsid w:val="00455527"/>
    <w:rsid w:val="004557CA"/>
    <w:rsid w:val="00455EFB"/>
    <w:rsid w:val="00456005"/>
    <w:rsid w:val="00456013"/>
    <w:rsid w:val="00456121"/>
    <w:rsid w:val="004564C4"/>
    <w:rsid w:val="0045659F"/>
    <w:rsid w:val="004565D1"/>
    <w:rsid w:val="004569A2"/>
    <w:rsid w:val="00456C45"/>
    <w:rsid w:val="00456D30"/>
    <w:rsid w:val="00456F3A"/>
    <w:rsid w:val="004570FB"/>
    <w:rsid w:val="00457204"/>
    <w:rsid w:val="004572CC"/>
    <w:rsid w:val="004572EC"/>
    <w:rsid w:val="0045746B"/>
    <w:rsid w:val="004578FD"/>
    <w:rsid w:val="00457A88"/>
    <w:rsid w:val="00457AC6"/>
    <w:rsid w:val="00457AFE"/>
    <w:rsid w:val="00457B8B"/>
    <w:rsid w:val="00457BAB"/>
    <w:rsid w:val="00457DD6"/>
    <w:rsid w:val="00457E28"/>
    <w:rsid w:val="00457F26"/>
    <w:rsid w:val="00460109"/>
    <w:rsid w:val="00460196"/>
    <w:rsid w:val="00460235"/>
    <w:rsid w:val="0046067E"/>
    <w:rsid w:val="0046074C"/>
    <w:rsid w:val="00460CE1"/>
    <w:rsid w:val="00460DDB"/>
    <w:rsid w:val="00460E5F"/>
    <w:rsid w:val="00460EC8"/>
    <w:rsid w:val="00460F42"/>
    <w:rsid w:val="00460F4B"/>
    <w:rsid w:val="00460FC2"/>
    <w:rsid w:val="004615E9"/>
    <w:rsid w:val="00461911"/>
    <w:rsid w:val="00461A4B"/>
    <w:rsid w:val="00461AB8"/>
    <w:rsid w:val="00461D90"/>
    <w:rsid w:val="00461E59"/>
    <w:rsid w:val="00462171"/>
    <w:rsid w:val="00462325"/>
    <w:rsid w:val="004623FC"/>
    <w:rsid w:val="0046246F"/>
    <w:rsid w:val="004628BF"/>
    <w:rsid w:val="00462E78"/>
    <w:rsid w:val="00463731"/>
    <w:rsid w:val="0046374D"/>
    <w:rsid w:val="0046382A"/>
    <w:rsid w:val="004638E1"/>
    <w:rsid w:val="00463A0E"/>
    <w:rsid w:val="00463BFC"/>
    <w:rsid w:val="0046408E"/>
    <w:rsid w:val="00464105"/>
    <w:rsid w:val="004644FF"/>
    <w:rsid w:val="00464B9E"/>
    <w:rsid w:val="00464D2C"/>
    <w:rsid w:val="00464EE9"/>
    <w:rsid w:val="004651AD"/>
    <w:rsid w:val="00465D83"/>
    <w:rsid w:val="00465E7D"/>
    <w:rsid w:val="004660B6"/>
    <w:rsid w:val="00466154"/>
    <w:rsid w:val="004665EC"/>
    <w:rsid w:val="00466BAA"/>
    <w:rsid w:val="00466C65"/>
    <w:rsid w:val="00467093"/>
    <w:rsid w:val="00467230"/>
    <w:rsid w:val="00467EF5"/>
    <w:rsid w:val="00470444"/>
    <w:rsid w:val="004704AB"/>
    <w:rsid w:val="004704ED"/>
    <w:rsid w:val="0047069F"/>
    <w:rsid w:val="00470730"/>
    <w:rsid w:val="00470AB7"/>
    <w:rsid w:val="00470E54"/>
    <w:rsid w:val="004710A0"/>
    <w:rsid w:val="004711C5"/>
    <w:rsid w:val="00471342"/>
    <w:rsid w:val="00471A52"/>
    <w:rsid w:val="00471CEA"/>
    <w:rsid w:val="00471D35"/>
    <w:rsid w:val="00471DA8"/>
    <w:rsid w:val="0047204B"/>
    <w:rsid w:val="004724E5"/>
    <w:rsid w:val="00472653"/>
    <w:rsid w:val="004726AD"/>
    <w:rsid w:val="00472771"/>
    <w:rsid w:val="004727AD"/>
    <w:rsid w:val="00472BD0"/>
    <w:rsid w:val="00472C16"/>
    <w:rsid w:val="004734A4"/>
    <w:rsid w:val="004735B4"/>
    <w:rsid w:val="004736B0"/>
    <w:rsid w:val="00473BAF"/>
    <w:rsid w:val="00473E92"/>
    <w:rsid w:val="00473F88"/>
    <w:rsid w:val="0047418B"/>
    <w:rsid w:val="0047422E"/>
    <w:rsid w:val="004742C0"/>
    <w:rsid w:val="004743AE"/>
    <w:rsid w:val="00474426"/>
    <w:rsid w:val="00474529"/>
    <w:rsid w:val="0047456E"/>
    <w:rsid w:val="0047487F"/>
    <w:rsid w:val="00474881"/>
    <w:rsid w:val="0047494A"/>
    <w:rsid w:val="00474E21"/>
    <w:rsid w:val="00474FE4"/>
    <w:rsid w:val="00475644"/>
    <w:rsid w:val="004757BF"/>
    <w:rsid w:val="00475A37"/>
    <w:rsid w:val="00475B5E"/>
    <w:rsid w:val="00475C30"/>
    <w:rsid w:val="00475E9A"/>
    <w:rsid w:val="00476247"/>
    <w:rsid w:val="0047626B"/>
    <w:rsid w:val="00476291"/>
    <w:rsid w:val="0047636A"/>
    <w:rsid w:val="004763F6"/>
    <w:rsid w:val="00476649"/>
    <w:rsid w:val="0047665B"/>
    <w:rsid w:val="00476E3D"/>
    <w:rsid w:val="00476FC3"/>
    <w:rsid w:val="004773D2"/>
    <w:rsid w:val="0047749F"/>
    <w:rsid w:val="004776F0"/>
    <w:rsid w:val="00477B5E"/>
    <w:rsid w:val="00477BEE"/>
    <w:rsid w:val="00477CFD"/>
    <w:rsid w:val="004800E4"/>
    <w:rsid w:val="004802E8"/>
    <w:rsid w:val="0048048F"/>
    <w:rsid w:val="00480912"/>
    <w:rsid w:val="00480E6A"/>
    <w:rsid w:val="0048163E"/>
    <w:rsid w:val="00481651"/>
    <w:rsid w:val="004819E9"/>
    <w:rsid w:val="00481B1D"/>
    <w:rsid w:val="00481CED"/>
    <w:rsid w:val="00481EEA"/>
    <w:rsid w:val="0048229A"/>
    <w:rsid w:val="00482431"/>
    <w:rsid w:val="004826F7"/>
    <w:rsid w:val="00482834"/>
    <w:rsid w:val="00482ADE"/>
    <w:rsid w:val="00482B5E"/>
    <w:rsid w:val="00482DCD"/>
    <w:rsid w:val="00483083"/>
    <w:rsid w:val="0048338B"/>
    <w:rsid w:val="00483503"/>
    <w:rsid w:val="00483969"/>
    <w:rsid w:val="00483983"/>
    <w:rsid w:val="00483C5F"/>
    <w:rsid w:val="00484411"/>
    <w:rsid w:val="0048447A"/>
    <w:rsid w:val="004844C1"/>
    <w:rsid w:val="0048477A"/>
    <w:rsid w:val="004848B0"/>
    <w:rsid w:val="00484FD4"/>
    <w:rsid w:val="00485070"/>
    <w:rsid w:val="0048516F"/>
    <w:rsid w:val="0048518A"/>
    <w:rsid w:val="00485201"/>
    <w:rsid w:val="00485505"/>
    <w:rsid w:val="0048571C"/>
    <w:rsid w:val="00485764"/>
    <w:rsid w:val="00485A28"/>
    <w:rsid w:val="00485B2E"/>
    <w:rsid w:val="00485BE0"/>
    <w:rsid w:val="00485DBC"/>
    <w:rsid w:val="00486115"/>
    <w:rsid w:val="004861CC"/>
    <w:rsid w:val="00486642"/>
    <w:rsid w:val="00486A58"/>
    <w:rsid w:val="00486DB2"/>
    <w:rsid w:val="00486EBE"/>
    <w:rsid w:val="00487042"/>
    <w:rsid w:val="004872E3"/>
    <w:rsid w:val="00487475"/>
    <w:rsid w:val="0048766E"/>
    <w:rsid w:val="00487758"/>
    <w:rsid w:val="00487816"/>
    <w:rsid w:val="00487ADC"/>
    <w:rsid w:val="00487CE7"/>
    <w:rsid w:val="00487E6B"/>
    <w:rsid w:val="00490024"/>
    <w:rsid w:val="00490147"/>
    <w:rsid w:val="00490320"/>
    <w:rsid w:val="004903D9"/>
    <w:rsid w:val="004903E6"/>
    <w:rsid w:val="00490B9E"/>
    <w:rsid w:val="00490D1D"/>
    <w:rsid w:val="0049106A"/>
    <w:rsid w:val="00491261"/>
    <w:rsid w:val="00491459"/>
    <w:rsid w:val="00491619"/>
    <w:rsid w:val="00491737"/>
    <w:rsid w:val="0049175D"/>
    <w:rsid w:val="0049199D"/>
    <w:rsid w:val="00492012"/>
    <w:rsid w:val="004921E7"/>
    <w:rsid w:val="00492235"/>
    <w:rsid w:val="0049249E"/>
    <w:rsid w:val="004924AB"/>
    <w:rsid w:val="00492685"/>
    <w:rsid w:val="004926D4"/>
    <w:rsid w:val="00492755"/>
    <w:rsid w:val="0049296C"/>
    <w:rsid w:val="00492B4B"/>
    <w:rsid w:val="00492BF2"/>
    <w:rsid w:val="00492DBF"/>
    <w:rsid w:val="004932D2"/>
    <w:rsid w:val="00493467"/>
    <w:rsid w:val="004937CF"/>
    <w:rsid w:val="00493C5C"/>
    <w:rsid w:val="00494241"/>
    <w:rsid w:val="004945D3"/>
    <w:rsid w:val="00494ABB"/>
    <w:rsid w:val="004954D9"/>
    <w:rsid w:val="00495626"/>
    <w:rsid w:val="004956E2"/>
    <w:rsid w:val="0049572C"/>
    <w:rsid w:val="00495B0A"/>
    <w:rsid w:val="00495B62"/>
    <w:rsid w:val="00495BB5"/>
    <w:rsid w:val="00495CF7"/>
    <w:rsid w:val="00495E0B"/>
    <w:rsid w:val="00495F8C"/>
    <w:rsid w:val="00496033"/>
    <w:rsid w:val="00496378"/>
    <w:rsid w:val="004964B4"/>
    <w:rsid w:val="004965C7"/>
    <w:rsid w:val="00496FA9"/>
    <w:rsid w:val="00497145"/>
    <w:rsid w:val="004973C6"/>
    <w:rsid w:val="00497416"/>
    <w:rsid w:val="00497697"/>
    <w:rsid w:val="0049779B"/>
    <w:rsid w:val="00497B89"/>
    <w:rsid w:val="00497B8E"/>
    <w:rsid w:val="00497C81"/>
    <w:rsid w:val="00497D40"/>
    <w:rsid w:val="004A00A4"/>
    <w:rsid w:val="004A066C"/>
    <w:rsid w:val="004A0B40"/>
    <w:rsid w:val="004A102E"/>
    <w:rsid w:val="004A1120"/>
    <w:rsid w:val="004A13A2"/>
    <w:rsid w:val="004A16DC"/>
    <w:rsid w:val="004A1774"/>
    <w:rsid w:val="004A18BC"/>
    <w:rsid w:val="004A1B66"/>
    <w:rsid w:val="004A2131"/>
    <w:rsid w:val="004A2167"/>
    <w:rsid w:val="004A261B"/>
    <w:rsid w:val="004A29DA"/>
    <w:rsid w:val="004A2D09"/>
    <w:rsid w:val="004A30B4"/>
    <w:rsid w:val="004A311A"/>
    <w:rsid w:val="004A31F9"/>
    <w:rsid w:val="004A327C"/>
    <w:rsid w:val="004A3A75"/>
    <w:rsid w:val="004A3ED8"/>
    <w:rsid w:val="004A4061"/>
    <w:rsid w:val="004A40BC"/>
    <w:rsid w:val="004A40D0"/>
    <w:rsid w:val="004A4114"/>
    <w:rsid w:val="004A42ED"/>
    <w:rsid w:val="004A43E3"/>
    <w:rsid w:val="004A4735"/>
    <w:rsid w:val="004A47C2"/>
    <w:rsid w:val="004A492B"/>
    <w:rsid w:val="004A49FB"/>
    <w:rsid w:val="004A4C5F"/>
    <w:rsid w:val="004A4E0C"/>
    <w:rsid w:val="004A4E82"/>
    <w:rsid w:val="004A4F89"/>
    <w:rsid w:val="004A51E0"/>
    <w:rsid w:val="004A5243"/>
    <w:rsid w:val="004A534F"/>
    <w:rsid w:val="004A5445"/>
    <w:rsid w:val="004A5998"/>
    <w:rsid w:val="004A5EF1"/>
    <w:rsid w:val="004A61C9"/>
    <w:rsid w:val="004A62F6"/>
    <w:rsid w:val="004A64F6"/>
    <w:rsid w:val="004A6869"/>
    <w:rsid w:val="004A69D8"/>
    <w:rsid w:val="004A6A6F"/>
    <w:rsid w:val="004A6AFC"/>
    <w:rsid w:val="004A6BA2"/>
    <w:rsid w:val="004A6C94"/>
    <w:rsid w:val="004A6E27"/>
    <w:rsid w:val="004A6EFD"/>
    <w:rsid w:val="004A7022"/>
    <w:rsid w:val="004A742D"/>
    <w:rsid w:val="004A7A37"/>
    <w:rsid w:val="004A7AE8"/>
    <w:rsid w:val="004A7FF8"/>
    <w:rsid w:val="004B00B4"/>
    <w:rsid w:val="004B017A"/>
    <w:rsid w:val="004B0392"/>
    <w:rsid w:val="004B078E"/>
    <w:rsid w:val="004B0960"/>
    <w:rsid w:val="004B0D42"/>
    <w:rsid w:val="004B0DF4"/>
    <w:rsid w:val="004B0EF0"/>
    <w:rsid w:val="004B0FA1"/>
    <w:rsid w:val="004B1071"/>
    <w:rsid w:val="004B1418"/>
    <w:rsid w:val="004B1829"/>
    <w:rsid w:val="004B18A8"/>
    <w:rsid w:val="004B1A1C"/>
    <w:rsid w:val="004B1A68"/>
    <w:rsid w:val="004B1C29"/>
    <w:rsid w:val="004B1D74"/>
    <w:rsid w:val="004B1F2A"/>
    <w:rsid w:val="004B2407"/>
    <w:rsid w:val="004B269F"/>
    <w:rsid w:val="004B272F"/>
    <w:rsid w:val="004B2901"/>
    <w:rsid w:val="004B2AB3"/>
    <w:rsid w:val="004B2B54"/>
    <w:rsid w:val="004B2C77"/>
    <w:rsid w:val="004B2D59"/>
    <w:rsid w:val="004B2E24"/>
    <w:rsid w:val="004B3333"/>
    <w:rsid w:val="004B3550"/>
    <w:rsid w:val="004B359D"/>
    <w:rsid w:val="004B389F"/>
    <w:rsid w:val="004B3939"/>
    <w:rsid w:val="004B42A1"/>
    <w:rsid w:val="004B46B0"/>
    <w:rsid w:val="004B46DE"/>
    <w:rsid w:val="004B4CF3"/>
    <w:rsid w:val="004B4D66"/>
    <w:rsid w:val="004B516A"/>
    <w:rsid w:val="004B5290"/>
    <w:rsid w:val="004B52D6"/>
    <w:rsid w:val="004B530F"/>
    <w:rsid w:val="004B5BCE"/>
    <w:rsid w:val="004B5BE7"/>
    <w:rsid w:val="004B5DA8"/>
    <w:rsid w:val="004B5F3F"/>
    <w:rsid w:val="004B606D"/>
    <w:rsid w:val="004B60D5"/>
    <w:rsid w:val="004B62D4"/>
    <w:rsid w:val="004B631C"/>
    <w:rsid w:val="004B684B"/>
    <w:rsid w:val="004B68F0"/>
    <w:rsid w:val="004B6C27"/>
    <w:rsid w:val="004B6D83"/>
    <w:rsid w:val="004B6F15"/>
    <w:rsid w:val="004B707D"/>
    <w:rsid w:val="004B754A"/>
    <w:rsid w:val="004B7566"/>
    <w:rsid w:val="004B76E4"/>
    <w:rsid w:val="004B778C"/>
    <w:rsid w:val="004B7BDF"/>
    <w:rsid w:val="004B7CE6"/>
    <w:rsid w:val="004B7DA6"/>
    <w:rsid w:val="004B7F6D"/>
    <w:rsid w:val="004C044F"/>
    <w:rsid w:val="004C0698"/>
    <w:rsid w:val="004C07FA"/>
    <w:rsid w:val="004C0BD0"/>
    <w:rsid w:val="004C139A"/>
    <w:rsid w:val="004C14C9"/>
    <w:rsid w:val="004C1813"/>
    <w:rsid w:val="004C19C2"/>
    <w:rsid w:val="004C1CFD"/>
    <w:rsid w:val="004C1E50"/>
    <w:rsid w:val="004C25B6"/>
    <w:rsid w:val="004C25DE"/>
    <w:rsid w:val="004C27CA"/>
    <w:rsid w:val="004C2854"/>
    <w:rsid w:val="004C2B6E"/>
    <w:rsid w:val="004C2EEA"/>
    <w:rsid w:val="004C2F30"/>
    <w:rsid w:val="004C30E1"/>
    <w:rsid w:val="004C3246"/>
    <w:rsid w:val="004C330C"/>
    <w:rsid w:val="004C3804"/>
    <w:rsid w:val="004C3BAF"/>
    <w:rsid w:val="004C5059"/>
    <w:rsid w:val="004C5798"/>
    <w:rsid w:val="004C5A4C"/>
    <w:rsid w:val="004C5C10"/>
    <w:rsid w:val="004C5C96"/>
    <w:rsid w:val="004C5F2E"/>
    <w:rsid w:val="004C6449"/>
    <w:rsid w:val="004C6AFC"/>
    <w:rsid w:val="004C715C"/>
    <w:rsid w:val="004C7490"/>
    <w:rsid w:val="004C78B6"/>
    <w:rsid w:val="004C7932"/>
    <w:rsid w:val="004C7EFF"/>
    <w:rsid w:val="004D0358"/>
    <w:rsid w:val="004D037B"/>
    <w:rsid w:val="004D06BC"/>
    <w:rsid w:val="004D06C1"/>
    <w:rsid w:val="004D0863"/>
    <w:rsid w:val="004D0BD5"/>
    <w:rsid w:val="004D0D49"/>
    <w:rsid w:val="004D0D8C"/>
    <w:rsid w:val="004D0EBC"/>
    <w:rsid w:val="004D1122"/>
    <w:rsid w:val="004D11FB"/>
    <w:rsid w:val="004D1294"/>
    <w:rsid w:val="004D146A"/>
    <w:rsid w:val="004D1498"/>
    <w:rsid w:val="004D16A6"/>
    <w:rsid w:val="004D17DB"/>
    <w:rsid w:val="004D1BD8"/>
    <w:rsid w:val="004D1BEE"/>
    <w:rsid w:val="004D1C71"/>
    <w:rsid w:val="004D1C9A"/>
    <w:rsid w:val="004D22EE"/>
    <w:rsid w:val="004D2912"/>
    <w:rsid w:val="004D2C6F"/>
    <w:rsid w:val="004D368F"/>
    <w:rsid w:val="004D388C"/>
    <w:rsid w:val="004D3D84"/>
    <w:rsid w:val="004D3FFE"/>
    <w:rsid w:val="004D43D4"/>
    <w:rsid w:val="004D43E3"/>
    <w:rsid w:val="004D44EB"/>
    <w:rsid w:val="004D4560"/>
    <w:rsid w:val="004D46EE"/>
    <w:rsid w:val="004D47B3"/>
    <w:rsid w:val="004D4826"/>
    <w:rsid w:val="004D49DC"/>
    <w:rsid w:val="004D4C37"/>
    <w:rsid w:val="004D53E0"/>
    <w:rsid w:val="004D550B"/>
    <w:rsid w:val="004D5632"/>
    <w:rsid w:val="004D56A3"/>
    <w:rsid w:val="004D57E1"/>
    <w:rsid w:val="004D5DA2"/>
    <w:rsid w:val="004D5DAB"/>
    <w:rsid w:val="004D6024"/>
    <w:rsid w:val="004D6368"/>
    <w:rsid w:val="004D665E"/>
    <w:rsid w:val="004D66E7"/>
    <w:rsid w:val="004D69AB"/>
    <w:rsid w:val="004D6B3A"/>
    <w:rsid w:val="004D6C04"/>
    <w:rsid w:val="004D72D9"/>
    <w:rsid w:val="004D7688"/>
    <w:rsid w:val="004D76B3"/>
    <w:rsid w:val="004D7782"/>
    <w:rsid w:val="004D79BB"/>
    <w:rsid w:val="004D7A98"/>
    <w:rsid w:val="004D7D4D"/>
    <w:rsid w:val="004D7F39"/>
    <w:rsid w:val="004E0104"/>
    <w:rsid w:val="004E04B3"/>
    <w:rsid w:val="004E0661"/>
    <w:rsid w:val="004E0743"/>
    <w:rsid w:val="004E0919"/>
    <w:rsid w:val="004E0978"/>
    <w:rsid w:val="004E098D"/>
    <w:rsid w:val="004E0CBB"/>
    <w:rsid w:val="004E0D2E"/>
    <w:rsid w:val="004E0F80"/>
    <w:rsid w:val="004E0F8E"/>
    <w:rsid w:val="004E12ED"/>
    <w:rsid w:val="004E1608"/>
    <w:rsid w:val="004E160A"/>
    <w:rsid w:val="004E18BF"/>
    <w:rsid w:val="004E198C"/>
    <w:rsid w:val="004E1A24"/>
    <w:rsid w:val="004E1CD2"/>
    <w:rsid w:val="004E1EAE"/>
    <w:rsid w:val="004E2150"/>
    <w:rsid w:val="004E24C9"/>
    <w:rsid w:val="004E2A01"/>
    <w:rsid w:val="004E2A38"/>
    <w:rsid w:val="004E2B03"/>
    <w:rsid w:val="004E30C0"/>
    <w:rsid w:val="004E3685"/>
    <w:rsid w:val="004E376D"/>
    <w:rsid w:val="004E393C"/>
    <w:rsid w:val="004E3945"/>
    <w:rsid w:val="004E44D3"/>
    <w:rsid w:val="004E4626"/>
    <w:rsid w:val="004E4782"/>
    <w:rsid w:val="004E4DC0"/>
    <w:rsid w:val="004E4EA0"/>
    <w:rsid w:val="004E50DD"/>
    <w:rsid w:val="004E558B"/>
    <w:rsid w:val="004E5795"/>
    <w:rsid w:val="004E57BC"/>
    <w:rsid w:val="004E57E9"/>
    <w:rsid w:val="004E5C44"/>
    <w:rsid w:val="004E5DFA"/>
    <w:rsid w:val="004E67C7"/>
    <w:rsid w:val="004E702A"/>
    <w:rsid w:val="004E705A"/>
    <w:rsid w:val="004E715D"/>
    <w:rsid w:val="004E722E"/>
    <w:rsid w:val="004E78EC"/>
    <w:rsid w:val="004E7927"/>
    <w:rsid w:val="004E79FF"/>
    <w:rsid w:val="004E7BEE"/>
    <w:rsid w:val="004E7E5B"/>
    <w:rsid w:val="004F0066"/>
    <w:rsid w:val="004F0499"/>
    <w:rsid w:val="004F0552"/>
    <w:rsid w:val="004F0822"/>
    <w:rsid w:val="004F0A9D"/>
    <w:rsid w:val="004F0C40"/>
    <w:rsid w:val="004F0C65"/>
    <w:rsid w:val="004F0D32"/>
    <w:rsid w:val="004F11CC"/>
    <w:rsid w:val="004F1365"/>
    <w:rsid w:val="004F1C84"/>
    <w:rsid w:val="004F1ECA"/>
    <w:rsid w:val="004F2311"/>
    <w:rsid w:val="004F23AC"/>
    <w:rsid w:val="004F2404"/>
    <w:rsid w:val="004F24BF"/>
    <w:rsid w:val="004F25DF"/>
    <w:rsid w:val="004F284E"/>
    <w:rsid w:val="004F2902"/>
    <w:rsid w:val="004F2ED5"/>
    <w:rsid w:val="004F333D"/>
    <w:rsid w:val="004F35FC"/>
    <w:rsid w:val="004F3740"/>
    <w:rsid w:val="004F37D5"/>
    <w:rsid w:val="004F38FA"/>
    <w:rsid w:val="004F3981"/>
    <w:rsid w:val="004F39DD"/>
    <w:rsid w:val="004F3C11"/>
    <w:rsid w:val="004F3C24"/>
    <w:rsid w:val="004F3E91"/>
    <w:rsid w:val="004F430B"/>
    <w:rsid w:val="004F4553"/>
    <w:rsid w:val="004F46A6"/>
    <w:rsid w:val="004F494A"/>
    <w:rsid w:val="004F4C88"/>
    <w:rsid w:val="004F4DBA"/>
    <w:rsid w:val="004F501E"/>
    <w:rsid w:val="004F5163"/>
    <w:rsid w:val="004F564B"/>
    <w:rsid w:val="004F57C4"/>
    <w:rsid w:val="004F5B8B"/>
    <w:rsid w:val="004F5CAE"/>
    <w:rsid w:val="004F5DFE"/>
    <w:rsid w:val="004F61D4"/>
    <w:rsid w:val="004F634B"/>
    <w:rsid w:val="004F6448"/>
    <w:rsid w:val="004F671D"/>
    <w:rsid w:val="004F6996"/>
    <w:rsid w:val="004F6B58"/>
    <w:rsid w:val="004F6BFA"/>
    <w:rsid w:val="004F6C1D"/>
    <w:rsid w:val="004F6C48"/>
    <w:rsid w:val="004F710F"/>
    <w:rsid w:val="004F7348"/>
    <w:rsid w:val="004F767C"/>
    <w:rsid w:val="004F7965"/>
    <w:rsid w:val="004F7A41"/>
    <w:rsid w:val="004F7CDF"/>
    <w:rsid w:val="004F7D32"/>
    <w:rsid w:val="004F7F04"/>
    <w:rsid w:val="005002F5"/>
    <w:rsid w:val="0050038F"/>
    <w:rsid w:val="005004F5"/>
    <w:rsid w:val="00500619"/>
    <w:rsid w:val="00500C07"/>
    <w:rsid w:val="00500D38"/>
    <w:rsid w:val="00500DCE"/>
    <w:rsid w:val="00501497"/>
    <w:rsid w:val="00501579"/>
    <w:rsid w:val="00501672"/>
    <w:rsid w:val="005016D4"/>
    <w:rsid w:val="00501871"/>
    <w:rsid w:val="005019B3"/>
    <w:rsid w:val="00501ED9"/>
    <w:rsid w:val="005025D7"/>
    <w:rsid w:val="0050267B"/>
    <w:rsid w:val="00502BED"/>
    <w:rsid w:val="00502CD3"/>
    <w:rsid w:val="00503330"/>
    <w:rsid w:val="0050345A"/>
    <w:rsid w:val="00503529"/>
    <w:rsid w:val="005038A1"/>
    <w:rsid w:val="00503C30"/>
    <w:rsid w:val="0050405B"/>
    <w:rsid w:val="0050412B"/>
    <w:rsid w:val="00504538"/>
    <w:rsid w:val="00504A97"/>
    <w:rsid w:val="00504AD9"/>
    <w:rsid w:val="0050509F"/>
    <w:rsid w:val="00505385"/>
    <w:rsid w:val="005053A1"/>
    <w:rsid w:val="005053ED"/>
    <w:rsid w:val="00505433"/>
    <w:rsid w:val="0050552E"/>
    <w:rsid w:val="00505CA2"/>
    <w:rsid w:val="00505D40"/>
    <w:rsid w:val="00505F17"/>
    <w:rsid w:val="00506295"/>
    <w:rsid w:val="005062A9"/>
    <w:rsid w:val="005064A1"/>
    <w:rsid w:val="00506605"/>
    <w:rsid w:val="00506813"/>
    <w:rsid w:val="0050699F"/>
    <w:rsid w:val="005072E2"/>
    <w:rsid w:val="0050731A"/>
    <w:rsid w:val="005073DC"/>
    <w:rsid w:val="00507521"/>
    <w:rsid w:val="00507522"/>
    <w:rsid w:val="005075FC"/>
    <w:rsid w:val="005076E7"/>
    <w:rsid w:val="00507BBE"/>
    <w:rsid w:val="00507BBF"/>
    <w:rsid w:val="00507C81"/>
    <w:rsid w:val="00507D52"/>
    <w:rsid w:val="005100E5"/>
    <w:rsid w:val="00510404"/>
    <w:rsid w:val="00510469"/>
    <w:rsid w:val="005104BA"/>
    <w:rsid w:val="00510545"/>
    <w:rsid w:val="00510990"/>
    <w:rsid w:val="00510A0D"/>
    <w:rsid w:val="00510A1B"/>
    <w:rsid w:val="00510A81"/>
    <w:rsid w:val="00510B9E"/>
    <w:rsid w:val="00510CD2"/>
    <w:rsid w:val="00510D1F"/>
    <w:rsid w:val="005112D6"/>
    <w:rsid w:val="00511BAC"/>
    <w:rsid w:val="00511D80"/>
    <w:rsid w:val="00511E4C"/>
    <w:rsid w:val="00511F31"/>
    <w:rsid w:val="00511F81"/>
    <w:rsid w:val="005120E0"/>
    <w:rsid w:val="00512834"/>
    <w:rsid w:val="00512DF1"/>
    <w:rsid w:val="005130BF"/>
    <w:rsid w:val="005131A4"/>
    <w:rsid w:val="00513326"/>
    <w:rsid w:val="0051392A"/>
    <w:rsid w:val="00513E7A"/>
    <w:rsid w:val="00513F25"/>
    <w:rsid w:val="00514115"/>
    <w:rsid w:val="00514192"/>
    <w:rsid w:val="005142FC"/>
    <w:rsid w:val="00514335"/>
    <w:rsid w:val="00514474"/>
    <w:rsid w:val="00514570"/>
    <w:rsid w:val="005147C6"/>
    <w:rsid w:val="00514A17"/>
    <w:rsid w:val="00514A79"/>
    <w:rsid w:val="00514BD9"/>
    <w:rsid w:val="00514D8E"/>
    <w:rsid w:val="005150AC"/>
    <w:rsid w:val="0051528E"/>
    <w:rsid w:val="0051549C"/>
    <w:rsid w:val="00515630"/>
    <w:rsid w:val="00515BA0"/>
    <w:rsid w:val="00515E19"/>
    <w:rsid w:val="005160A7"/>
    <w:rsid w:val="005162D1"/>
    <w:rsid w:val="005162E1"/>
    <w:rsid w:val="00516331"/>
    <w:rsid w:val="005163DF"/>
    <w:rsid w:val="00516487"/>
    <w:rsid w:val="005164A0"/>
    <w:rsid w:val="005165E2"/>
    <w:rsid w:val="005167E9"/>
    <w:rsid w:val="0051689B"/>
    <w:rsid w:val="00516CC0"/>
    <w:rsid w:val="00516D43"/>
    <w:rsid w:val="00517766"/>
    <w:rsid w:val="005177B3"/>
    <w:rsid w:val="005179C6"/>
    <w:rsid w:val="00517BDA"/>
    <w:rsid w:val="00517CA0"/>
    <w:rsid w:val="00517CCD"/>
    <w:rsid w:val="00517CD1"/>
    <w:rsid w:val="00517F27"/>
    <w:rsid w:val="0052023E"/>
    <w:rsid w:val="00520CB5"/>
    <w:rsid w:val="0052119C"/>
    <w:rsid w:val="005212BD"/>
    <w:rsid w:val="00521707"/>
    <w:rsid w:val="0052175D"/>
    <w:rsid w:val="00521D6A"/>
    <w:rsid w:val="00521F29"/>
    <w:rsid w:val="00522A79"/>
    <w:rsid w:val="00522C0F"/>
    <w:rsid w:val="00522CBB"/>
    <w:rsid w:val="00522DEE"/>
    <w:rsid w:val="0052355F"/>
    <w:rsid w:val="005236C5"/>
    <w:rsid w:val="0052381F"/>
    <w:rsid w:val="00523A20"/>
    <w:rsid w:val="00523BC5"/>
    <w:rsid w:val="00523E42"/>
    <w:rsid w:val="00523FA0"/>
    <w:rsid w:val="00524019"/>
    <w:rsid w:val="0052407E"/>
    <w:rsid w:val="0052464C"/>
    <w:rsid w:val="005247B4"/>
    <w:rsid w:val="00524D14"/>
    <w:rsid w:val="00524D40"/>
    <w:rsid w:val="005254F1"/>
    <w:rsid w:val="005256F7"/>
    <w:rsid w:val="00525992"/>
    <w:rsid w:val="00525DFF"/>
    <w:rsid w:val="00526296"/>
    <w:rsid w:val="00526793"/>
    <w:rsid w:val="0052680A"/>
    <w:rsid w:val="005268E3"/>
    <w:rsid w:val="00526A75"/>
    <w:rsid w:val="00526CB8"/>
    <w:rsid w:val="00526EB7"/>
    <w:rsid w:val="00527038"/>
    <w:rsid w:val="0052738A"/>
    <w:rsid w:val="005274F8"/>
    <w:rsid w:val="00527538"/>
    <w:rsid w:val="00527749"/>
    <w:rsid w:val="0052791B"/>
    <w:rsid w:val="00527A13"/>
    <w:rsid w:val="00527B93"/>
    <w:rsid w:val="00527FBE"/>
    <w:rsid w:val="005300AE"/>
    <w:rsid w:val="00530795"/>
    <w:rsid w:val="00530965"/>
    <w:rsid w:val="00530CD9"/>
    <w:rsid w:val="00530E42"/>
    <w:rsid w:val="005310BB"/>
    <w:rsid w:val="005312CE"/>
    <w:rsid w:val="0053142E"/>
    <w:rsid w:val="00531433"/>
    <w:rsid w:val="0053166F"/>
    <w:rsid w:val="005316B5"/>
    <w:rsid w:val="005317DF"/>
    <w:rsid w:val="00531A4C"/>
    <w:rsid w:val="00531C32"/>
    <w:rsid w:val="00531E66"/>
    <w:rsid w:val="00532E9F"/>
    <w:rsid w:val="00533384"/>
    <w:rsid w:val="00533884"/>
    <w:rsid w:val="00533907"/>
    <w:rsid w:val="00534007"/>
    <w:rsid w:val="00534643"/>
    <w:rsid w:val="005349C2"/>
    <w:rsid w:val="00534C99"/>
    <w:rsid w:val="00534EF8"/>
    <w:rsid w:val="00534F8C"/>
    <w:rsid w:val="005356DD"/>
    <w:rsid w:val="00535A9E"/>
    <w:rsid w:val="00535B43"/>
    <w:rsid w:val="005363F8"/>
    <w:rsid w:val="00536643"/>
    <w:rsid w:val="00536C44"/>
    <w:rsid w:val="00536D76"/>
    <w:rsid w:val="00536EE7"/>
    <w:rsid w:val="00536F8C"/>
    <w:rsid w:val="00537347"/>
    <w:rsid w:val="00537C57"/>
    <w:rsid w:val="00537DBC"/>
    <w:rsid w:val="0054066E"/>
    <w:rsid w:val="00540768"/>
    <w:rsid w:val="00540AA8"/>
    <w:rsid w:val="00541132"/>
    <w:rsid w:val="00541160"/>
    <w:rsid w:val="00541199"/>
    <w:rsid w:val="0054170D"/>
    <w:rsid w:val="005419C3"/>
    <w:rsid w:val="00541A83"/>
    <w:rsid w:val="00541CAE"/>
    <w:rsid w:val="00541DB9"/>
    <w:rsid w:val="00541E38"/>
    <w:rsid w:val="00541F49"/>
    <w:rsid w:val="00542A7A"/>
    <w:rsid w:val="00542C70"/>
    <w:rsid w:val="005435B0"/>
    <w:rsid w:val="00543C59"/>
    <w:rsid w:val="00543D88"/>
    <w:rsid w:val="00543EF8"/>
    <w:rsid w:val="00543F13"/>
    <w:rsid w:val="0054417E"/>
    <w:rsid w:val="00544237"/>
    <w:rsid w:val="005442E7"/>
    <w:rsid w:val="005446B9"/>
    <w:rsid w:val="005446D5"/>
    <w:rsid w:val="005447DB"/>
    <w:rsid w:val="00544991"/>
    <w:rsid w:val="005449FF"/>
    <w:rsid w:val="00544A49"/>
    <w:rsid w:val="00544C5A"/>
    <w:rsid w:val="00544CB8"/>
    <w:rsid w:val="00544D1A"/>
    <w:rsid w:val="00544F43"/>
    <w:rsid w:val="00544FE8"/>
    <w:rsid w:val="00545194"/>
    <w:rsid w:val="00545302"/>
    <w:rsid w:val="005455A7"/>
    <w:rsid w:val="005456BA"/>
    <w:rsid w:val="00545739"/>
    <w:rsid w:val="00545E9F"/>
    <w:rsid w:val="005468E9"/>
    <w:rsid w:val="00546DB3"/>
    <w:rsid w:val="00546F2C"/>
    <w:rsid w:val="005474D5"/>
    <w:rsid w:val="00547805"/>
    <w:rsid w:val="00547A73"/>
    <w:rsid w:val="00550081"/>
    <w:rsid w:val="00550226"/>
    <w:rsid w:val="005502DA"/>
    <w:rsid w:val="00550403"/>
    <w:rsid w:val="00550965"/>
    <w:rsid w:val="00550B3B"/>
    <w:rsid w:val="00550B77"/>
    <w:rsid w:val="00550BA9"/>
    <w:rsid w:val="00550CA9"/>
    <w:rsid w:val="005511F4"/>
    <w:rsid w:val="005512CF"/>
    <w:rsid w:val="00551A04"/>
    <w:rsid w:val="00551B05"/>
    <w:rsid w:val="00551BB9"/>
    <w:rsid w:val="00551C34"/>
    <w:rsid w:val="00551F0B"/>
    <w:rsid w:val="005520E1"/>
    <w:rsid w:val="0055213E"/>
    <w:rsid w:val="00552505"/>
    <w:rsid w:val="00552595"/>
    <w:rsid w:val="005527AD"/>
    <w:rsid w:val="00552B02"/>
    <w:rsid w:val="00552CC6"/>
    <w:rsid w:val="00552DF8"/>
    <w:rsid w:val="00552E62"/>
    <w:rsid w:val="00552ECA"/>
    <w:rsid w:val="0055320D"/>
    <w:rsid w:val="005533B0"/>
    <w:rsid w:val="0055365C"/>
    <w:rsid w:val="005536B4"/>
    <w:rsid w:val="005536FC"/>
    <w:rsid w:val="0055392A"/>
    <w:rsid w:val="00553E55"/>
    <w:rsid w:val="00553F6A"/>
    <w:rsid w:val="00554054"/>
    <w:rsid w:val="0055421D"/>
    <w:rsid w:val="00554304"/>
    <w:rsid w:val="0055448C"/>
    <w:rsid w:val="00554BEE"/>
    <w:rsid w:val="00554C51"/>
    <w:rsid w:val="005553C2"/>
    <w:rsid w:val="00555837"/>
    <w:rsid w:val="00555C7C"/>
    <w:rsid w:val="0055611E"/>
    <w:rsid w:val="005562D9"/>
    <w:rsid w:val="005563B1"/>
    <w:rsid w:val="0055664A"/>
    <w:rsid w:val="005566DF"/>
    <w:rsid w:val="00556E8E"/>
    <w:rsid w:val="00556F85"/>
    <w:rsid w:val="005573C7"/>
    <w:rsid w:val="005576E8"/>
    <w:rsid w:val="00557D32"/>
    <w:rsid w:val="00557EFE"/>
    <w:rsid w:val="0056039A"/>
    <w:rsid w:val="00560425"/>
    <w:rsid w:val="00560A7A"/>
    <w:rsid w:val="00560F21"/>
    <w:rsid w:val="005612DE"/>
    <w:rsid w:val="0056161D"/>
    <w:rsid w:val="00561991"/>
    <w:rsid w:val="00561B74"/>
    <w:rsid w:val="00562246"/>
    <w:rsid w:val="00562559"/>
    <w:rsid w:val="00562638"/>
    <w:rsid w:val="00562714"/>
    <w:rsid w:val="00562BB0"/>
    <w:rsid w:val="00562BF2"/>
    <w:rsid w:val="00562DC3"/>
    <w:rsid w:val="00562EC4"/>
    <w:rsid w:val="005630A2"/>
    <w:rsid w:val="00563B05"/>
    <w:rsid w:val="00563DFF"/>
    <w:rsid w:val="00563E2A"/>
    <w:rsid w:val="0056432F"/>
    <w:rsid w:val="005643FB"/>
    <w:rsid w:val="00564667"/>
    <w:rsid w:val="005647C6"/>
    <w:rsid w:val="00564A25"/>
    <w:rsid w:val="00564A96"/>
    <w:rsid w:val="00564AD0"/>
    <w:rsid w:val="00564C70"/>
    <w:rsid w:val="0056549E"/>
    <w:rsid w:val="005655CE"/>
    <w:rsid w:val="00565CFA"/>
    <w:rsid w:val="0056654E"/>
    <w:rsid w:val="00566CE6"/>
    <w:rsid w:val="00566F33"/>
    <w:rsid w:val="005672DB"/>
    <w:rsid w:val="00567459"/>
    <w:rsid w:val="0056759E"/>
    <w:rsid w:val="00567738"/>
    <w:rsid w:val="00567A26"/>
    <w:rsid w:val="00567D27"/>
    <w:rsid w:val="00567F8B"/>
    <w:rsid w:val="00570150"/>
    <w:rsid w:val="00570164"/>
    <w:rsid w:val="00570321"/>
    <w:rsid w:val="00570550"/>
    <w:rsid w:val="005705D1"/>
    <w:rsid w:val="0057069E"/>
    <w:rsid w:val="005707E3"/>
    <w:rsid w:val="00570DCF"/>
    <w:rsid w:val="00571563"/>
    <w:rsid w:val="00571619"/>
    <w:rsid w:val="0057165E"/>
    <w:rsid w:val="005716D0"/>
    <w:rsid w:val="00571788"/>
    <w:rsid w:val="00571B0A"/>
    <w:rsid w:val="00571C14"/>
    <w:rsid w:val="00571C7E"/>
    <w:rsid w:val="005721A0"/>
    <w:rsid w:val="005722BF"/>
    <w:rsid w:val="00572658"/>
    <w:rsid w:val="00572A45"/>
    <w:rsid w:val="00572C89"/>
    <w:rsid w:val="00572DBE"/>
    <w:rsid w:val="00572DE1"/>
    <w:rsid w:val="00572F29"/>
    <w:rsid w:val="00573194"/>
    <w:rsid w:val="005731E6"/>
    <w:rsid w:val="00573627"/>
    <w:rsid w:val="00573851"/>
    <w:rsid w:val="00573979"/>
    <w:rsid w:val="00573E26"/>
    <w:rsid w:val="0057447D"/>
    <w:rsid w:val="0057476F"/>
    <w:rsid w:val="00574788"/>
    <w:rsid w:val="00574801"/>
    <w:rsid w:val="005749BA"/>
    <w:rsid w:val="00574B49"/>
    <w:rsid w:val="00574C43"/>
    <w:rsid w:val="00574DFC"/>
    <w:rsid w:val="0057504A"/>
    <w:rsid w:val="0057524F"/>
    <w:rsid w:val="00575352"/>
    <w:rsid w:val="0057546A"/>
    <w:rsid w:val="0057583D"/>
    <w:rsid w:val="00575D6F"/>
    <w:rsid w:val="00575E89"/>
    <w:rsid w:val="00575F4A"/>
    <w:rsid w:val="005760F0"/>
    <w:rsid w:val="0057615B"/>
    <w:rsid w:val="00576171"/>
    <w:rsid w:val="005761FC"/>
    <w:rsid w:val="0057629B"/>
    <w:rsid w:val="005763C1"/>
    <w:rsid w:val="0057646A"/>
    <w:rsid w:val="005764EF"/>
    <w:rsid w:val="0057686D"/>
    <w:rsid w:val="00576A98"/>
    <w:rsid w:val="00576E69"/>
    <w:rsid w:val="00577021"/>
    <w:rsid w:val="00577070"/>
    <w:rsid w:val="00577345"/>
    <w:rsid w:val="005773C4"/>
    <w:rsid w:val="0057753E"/>
    <w:rsid w:val="00577D0E"/>
    <w:rsid w:val="00577E69"/>
    <w:rsid w:val="00577E9B"/>
    <w:rsid w:val="00577EBF"/>
    <w:rsid w:val="00577EF6"/>
    <w:rsid w:val="00580506"/>
    <w:rsid w:val="005806B6"/>
    <w:rsid w:val="005807F9"/>
    <w:rsid w:val="005808B4"/>
    <w:rsid w:val="00580F12"/>
    <w:rsid w:val="00580FB4"/>
    <w:rsid w:val="005811E4"/>
    <w:rsid w:val="00581A17"/>
    <w:rsid w:val="00581E24"/>
    <w:rsid w:val="0058205D"/>
    <w:rsid w:val="0058206C"/>
    <w:rsid w:val="00582076"/>
    <w:rsid w:val="00582109"/>
    <w:rsid w:val="00582374"/>
    <w:rsid w:val="00582E60"/>
    <w:rsid w:val="00583610"/>
    <w:rsid w:val="0058391D"/>
    <w:rsid w:val="005839B4"/>
    <w:rsid w:val="00583E60"/>
    <w:rsid w:val="00583FE4"/>
    <w:rsid w:val="00584235"/>
    <w:rsid w:val="00584294"/>
    <w:rsid w:val="00584435"/>
    <w:rsid w:val="005846A9"/>
    <w:rsid w:val="00584770"/>
    <w:rsid w:val="00584A22"/>
    <w:rsid w:val="00584C47"/>
    <w:rsid w:val="00584C95"/>
    <w:rsid w:val="00584FF8"/>
    <w:rsid w:val="0058506E"/>
    <w:rsid w:val="005852C0"/>
    <w:rsid w:val="00585554"/>
    <w:rsid w:val="0058599B"/>
    <w:rsid w:val="00585AC3"/>
    <w:rsid w:val="00585B96"/>
    <w:rsid w:val="00585BF7"/>
    <w:rsid w:val="00585E3A"/>
    <w:rsid w:val="00585FC3"/>
    <w:rsid w:val="005862D3"/>
    <w:rsid w:val="00586694"/>
    <w:rsid w:val="00586C28"/>
    <w:rsid w:val="00586C2F"/>
    <w:rsid w:val="0058723E"/>
    <w:rsid w:val="00587677"/>
    <w:rsid w:val="0058771B"/>
    <w:rsid w:val="0058790C"/>
    <w:rsid w:val="00587966"/>
    <w:rsid w:val="00587A8C"/>
    <w:rsid w:val="00587C35"/>
    <w:rsid w:val="00587C73"/>
    <w:rsid w:val="005900D5"/>
    <w:rsid w:val="00590141"/>
    <w:rsid w:val="0059030C"/>
    <w:rsid w:val="00590381"/>
    <w:rsid w:val="00590506"/>
    <w:rsid w:val="005907A4"/>
    <w:rsid w:val="00590CB2"/>
    <w:rsid w:val="00590D38"/>
    <w:rsid w:val="00590E16"/>
    <w:rsid w:val="00590F0E"/>
    <w:rsid w:val="00591083"/>
    <w:rsid w:val="005914E6"/>
    <w:rsid w:val="005917DF"/>
    <w:rsid w:val="0059199C"/>
    <w:rsid w:val="00591F0A"/>
    <w:rsid w:val="005920B6"/>
    <w:rsid w:val="0059299C"/>
    <w:rsid w:val="00592B0A"/>
    <w:rsid w:val="00592BE5"/>
    <w:rsid w:val="0059337D"/>
    <w:rsid w:val="005937D4"/>
    <w:rsid w:val="00593E40"/>
    <w:rsid w:val="005940B6"/>
    <w:rsid w:val="005940FC"/>
    <w:rsid w:val="0059449F"/>
    <w:rsid w:val="0059456D"/>
    <w:rsid w:val="005946FD"/>
    <w:rsid w:val="00594A95"/>
    <w:rsid w:val="00594E40"/>
    <w:rsid w:val="00595092"/>
    <w:rsid w:val="005951B5"/>
    <w:rsid w:val="0059540D"/>
    <w:rsid w:val="005956EA"/>
    <w:rsid w:val="00595D71"/>
    <w:rsid w:val="00596040"/>
    <w:rsid w:val="005963DC"/>
    <w:rsid w:val="00596676"/>
    <w:rsid w:val="005966CF"/>
    <w:rsid w:val="005968FC"/>
    <w:rsid w:val="00596B57"/>
    <w:rsid w:val="00596FAC"/>
    <w:rsid w:val="00596FF0"/>
    <w:rsid w:val="0059752F"/>
    <w:rsid w:val="005975F2"/>
    <w:rsid w:val="005978F5"/>
    <w:rsid w:val="00597B1A"/>
    <w:rsid w:val="00597B8E"/>
    <w:rsid w:val="00597C0E"/>
    <w:rsid w:val="00597D3E"/>
    <w:rsid w:val="00597F5E"/>
    <w:rsid w:val="00597FA8"/>
    <w:rsid w:val="005A0007"/>
    <w:rsid w:val="005A0213"/>
    <w:rsid w:val="005A041E"/>
    <w:rsid w:val="005A05A8"/>
    <w:rsid w:val="005A08C2"/>
    <w:rsid w:val="005A0900"/>
    <w:rsid w:val="005A0979"/>
    <w:rsid w:val="005A0AD0"/>
    <w:rsid w:val="005A0C1F"/>
    <w:rsid w:val="005A1742"/>
    <w:rsid w:val="005A1B4F"/>
    <w:rsid w:val="005A1D08"/>
    <w:rsid w:val="005A25CF"/>
    <w:rsid w:val="005A2615"/>
    <w:rsid w:val="005A2866"/>
    <w:rsid w:val="005A2CEA"/>
    <w:rsid w:val="005A2D57"/>
    <w:rsid w:val="005A2DE4"/>
    <w:rsid w:val="005A32E4"/>
    <w:rsid w:val="005A3499"/>
    <w:rsid w:val="005A34E1"/>
    <w:rsid w:val="005A35B3"/>
    <w:rsid w:val="005A374F"/>
    <w:rsid w:val="005A3AAA"/>
    <w:rsid w:val="005A3BBD"/>
    <w:rsid w:val="005A3BCF"/>
    <w:rsid w:val="005A43C0"/>
    <w:rsid w:val="005A461D"/>
    <w:rsid w:val="005A4719"/>
    <w:rsid w:val="005A4DDA"/>
    <w:rsid w:val="005A4EFB"/>
    <w:rsid w:val="005A5039"/>
    <w:rsid w:val="005A55B7"/>
    <w:rsid w:val="005A595C"/>
    <w:rsid w:val="005A596C"/>
    <w:rsid w:val="005A5A36"/>
    <w:rsid w:val="005A5C92"/>
    <w:rsid w:val="005A5DB5"/>
    <w:rsid w:val="005A5EDA"/>
    <w:rsid w:val="005A5F52"/>
    <w:rsid w:val="005A5F70"/>
    <w:rsid w:val="005A60DB"/>
    <w:rsid w:val="005A6149"/>
    <w:rsid w:val="005A6190"/>
    <w:rsid w:val="005A619C"/>
    <w:rsid w:val="005A6221"/>
    <w:rsid w:val="005A641F"/>
    <w:rsid w:val="005A6555"/>
    <w:rsid w:val="005A6AC0"/>
    <w:rsid w:val="005A6B3D"/>
    <w:rsid w:val="005A6C8E"/>
    <w:rsid w:val="005A6DC2"/>
    <w:rsid w:val="005A7183"/>
    <w:rsid w:val="005A765A"/>
    <w:rsid w:val="005A7D8C"/>
    <w:rsid w:val="005A7DE9"/>
    <w:rsid w:val="005A7DED"/>
    <w:rsid w:val="005B0A13"/>
    <w:rsid w:val="005B0B92"/>
    <w:rsid w:val="005B10BF"/>
    <w:rsid w:val="005B11A7"/>
    <w:rsid w:val="005B13F3"/>
    <w:rsid w:val="005B1957"/>
    <w:rsid w:val="005B1BC8"/>
    <w:rsid w:val="005B2266"/>
    <w:rsid w:val="005B2367"/>
    <w:rsid w:val="005B2632"/>
    <w:rsid w:val="005B26FF"/>
    <w:rsid w:val="005B2C12"/>
    <w:rsid w:val="005B3036"/>
    <w:rsid w:val="005B3039"/>
    <w:rsid w:val="005B324B"/>
    <w:rsid w:val="005B335A"/>
    <w:rsid w:val="005B33C2"/>
    <w:rsid w:val="005B34C3"/>
    <w:rsid w:val="005B36C8"/>
    <w:rsid w:val="005B3948"/>
    <w:rsid w:val="005B3998"/>
    <w:rsid w:val="005B39BD"/>
    <w:rsid w:val="005B3E04"/>
    <w:rsid w:val="005B3EA1"/>
    <w:rsid w:val="005B4233"/>
    <w:rsid w:val="005B44AE"/>
    <w:rsid w:val="005B4611"/>
    <w:rsid w:val="005B4612"/>
    <w:rsid w:val="005B46C9"/>
    <w:rsid w:val="005B4799"/>
    <w:rsid w:val="005B47CE"/>
    <w:rsid w:val="005B49CD"/>
    <w:rsid w:val="005B49E0"/>
    <w:rsid w:val="005B4C49"/>
    <w:rsid w:val="005B4EA3"/>
    <w:rsid w:val="005B5060"/>
    <w:rsid w:val="005B54C7"/>
    <w:rsid w:val="005B555F"/>
    <w:rsid w:val="005B583D"/>
    <w:rsid w:val="005B58F0"/>
    <w:rsid w:val="005B5ADD"/>
    <w:rsid w:val="005B5D7D"/>
    <w:rsid w:val="005B5D86"/>
    <w:rsid w:val="005B606A"/>
    <w:rsid w:val="005B64BC"/>
    <w:rsid w:val="005B6572"/>
    <w:rsid w:val="005B6614"/>
    <w:rsid w:val="005B669F"/>
    <w:rsid w:val="005B68DF"/>
    <w:rsid w:val="005B6A4E"/>
    <w:rsid w:val="005B705A"/>
    <w:rsid w:val="005B714B"/>
    <w:rsid w:val="005B7393"/>
    <w:rsid w:val="005B7417"/>
    <w:rsid w:val="005B7CB4"/>
    <w:rsid w:val="005B7D63"/>
    <w:rsid w:val="005C052A"/>
    <w:rsid w:val="005C05E3"/>
    <w:rsid w:val="005C099D"/>
    <w:rsid w:val="005C0EFD"/>
    <w:rsid w:val="005C1128"/>
    <w:rsid w:val="005C14F2"/>
    <w:rsid w:val="005C1581"/>
    <w:rsid w:val="005C15D6"/>
    <w:rsid w:val="005C1876"/>
    <w:rsid w:val="005C19EE"/>
    <w:rsid w:val="005C1AAF"/>
    <w:rsid w:val="005C1E45"/>
    <w:rsid w:val="005C1FEF"/>
    <w:rsid w:val="005C201C"/>
    <w:rsid w:val="005C2108"/>
    <w:rsid w:val="005C2220"/>
    <w:rsid w:val="005C243F"/>
    <w:rsid w:val="005C2817"/>
    <w:rsid w:val="005C28A8"/>
    <w:rsid w:val="005C2B8D"/>
    <w:rsid w:val="005C2DC3"/>
    <w:rsid w:val="005C2DEB"/>
    <w:rsid w:val="005C30C2"/>
    <w:rsid w:val="005C30E2"/>
    <w:rsid w:val="005C3184"/>
    <w:rsid w:val="005C31BC"/>
    <w:rsid w:val="005C3523"/>
    <w:rsid w:val="005C3541"/>
    <w:rsid w:val="005C35B8"/>
    <w:rsid w:val="005C3721"/>
    <w:rsid w:val="005C417E"/>
    <w:rsid w:val="005C41E6"/>
    <w:rsid w:val="005C4434"/>
    <w:rsid w:val="005C471A"/>
    <w:rsid w:val="005C4A75"/>
    <w:rsid w:val="005C4AC5"/>
    <w:rsid w:val="005C4B66"/>
    <w:rsid w:val="005C4BF5"/>
    <w:rsid w:val="005C4CEB"/>
    <w:rsid w:val="005C4FC5"/>
    <w:rsid w:val="005C53C6"/>
    <w:rsid w:val="005C5A09"/>
    <w:rsid w:val="005C5AB0"/>
    <w:rsid w:val="005C5C9C"/>
    <w:rsid w:val="005C5ECD"/>
    <w:rsid w:val="005C62C2"/>
    <w:rsid w:val="005C62F1"/>
    <w:rsid w:val="005C6B72"/>
    <w:rsid w:val="005C70BA"/>
    <w:rsid w:val="005C7540"/>
    <w:rsid w:val="005C7864"/>
    <w:rsid w:val="005C78D5"/>
    <w:rsid w:val="005C7C26"/>
    <w:rsid w:val="005C7FED"/>
    <w:rsid w:val="005D05C6"/>
    <w:rsid w:val="005D0729"/>
    <w:rsid w:val="005D07DE"/>
    <w:rsid w:val="005D07E0"/>
    <w:rsid w:val="005D099E"/>
    <w:rsid w:val="005D0ACE"/>
    <w:rsid w:val="005D0D53"/>
    <w:rsid w:val="005D0E61"/>
    <w:rsid w:val="005D11B0"/>
    <w:rsid w:val="005D12A5"/>
    <w:rsid w:val="005D131A"/>
    <w:rsid w:val="005D135B"/>
    <w:rsid w:val="005D1D2C"/>
    <w:rsid w:val="005D1F20"/>
    <w:rsid w:val="005D1FD3"/>
    <w:rsid w:val="005D249F"/>
    <w:rsid w:val="005D2530"/>
    <w:rsid w:val="005D263D"/>
    <w:rsid w:val="005D282D"/>
    <w:rsid w:val="005D283D"/>
    <w:rsid w:val="005D2885"/>
    <w:rsid w:val="005D28E7"/>
    <w:rsid w:val="005D2C58"/>
    <w:rsid w:val="005D2DA7"/>
    <w:rsid w:val="005D3041"/>
    <w:rsid w:val="005D306F"/>
    <w:rsid w:val="005D3413"/>
    <w:rsid w:val="005D3569"/>
    <w:rsid w:val="005D378D"/>
    <w:rsid w:val="005D399F"/>
    <w:rsid w:val="005D39EE"/>
    <w:rsid w:val="005D3D0D"/>
    <w:rsid w:val="005D3E15"/>
    <w:rsid w:val="005D403E"/>
    <w:rsid w:val="005D4150"/>
    <w:rsid w:val="005D4353"/>
    <w:rsid w:val="005D4473"/>
    <w:rsid w:val="005D4A09"/>
    <w:rsid w:val="005D4B1A"/>
    <w:rsid w:val="005D4B6D"/>
    <w:rsid w:val="005D5133"/>
    <w:rsid w:val="005D5256"/>
    <w:rsid w:val="005D52B2"/>
    <w:rsid w:val="005D52E5"/>
    <w:rsid w:val="005D5359"/>
    <w:rsid w:val="005D5651"/>
    <w:rsid w:val="005D5C06"/>
    <w:rsid w:val="005D5E1F"/>
    <w:rsid w:val="005D5EE6"/>
    <w:rsid w:val="005D6227"/>
    <w:rsid w:val="005D62F0"/>
    <w:rsid w:val="005D7091"/>
    <w:rsid w:val="005D76CD"/>
    <w:rsid w:val="005D79FA"/>
    <w:rsid w:val="005D7A6E"/>
    <w:rsid w:val="005D7D0B"/>
    <w:rsid w:val="005D7D41"/>
    <w:rsid w:val="005D7F02"/>
    <w:rsid w:val="005E00FA"/>
    <w:rsid w:val="005E02BF"/>
    <w:rsid w:val="005E043F"/>
    <w:rsid w:val="005E048F"/>
    <w:rsid w:val="005E0BB3"/>
    <w:rsid w:val="005E0CF7"/>
    <w:rsid w:val="005E0D9B"/>
    <w:rsid w:val="005E0E9E"/>
    <w:rsid w:val="005E0FA2"/>
    <w:rsid w:val="005E1478"/>
    <w:rsid w:val="005E1574"/>
    <w:rsid w:val="005E1745"/>
    <w:rsid w:val="005E1A28"/>
    <w:rsid w:val="005E1B1E"/>
    <w:rsid w:val="005E1DB1"/>
    <w:rsid w:val="005E1E28"/>
    <w:rsid w:val="005E209D"/>
    <w:rsid w:val="005E2512"/>
    <w:rsid w:val="005E2648"/>
    <w:rsid w:val="005E2863"/>
    <w:rsid w:val="005E2A9F"/>
    <w:rsid w:val="005E2B36"/>
    <w:rsid w:val="005E2B84"/>
    <w:rsid w:val="005E2C59"/>
    <w:rsid w:val="005E30BC"/>
    <w:rsid w:val="005E30DC"/>
    <w:rsid w:val="005E3171"/>
    <w:rsid w:val="005E3526"/>
    <w:rsid w:val="005E359A"/>
    <w:rsid w:val="005E3730"/>
    <w:rsid w:val="005E3B08"/>
    <w:rsid w:val="005E3FD9"/>
    <w:rsid w:val="005E42AF"/>
    <w:rsid w:val="005E4349"/>
    <w:rsid w:val="005E4369"/>
    <w:rsid w:val="005E4CCB"/>
    <w:rsid w:val="005E4E53"/>
    <w:rsid w:val="005E4FF7"/>
    <w:rsid w:val="005E501B"/>
    <w:rsid w:val="005E5314"/>
    <w:rsid w:val="005E5437"/>
    <w:rsid w:val="005E55B0"/>
    <w:rsid w:val="005E5B1E"/>
    <w:rsid w:val="005E5BDC"/>
    <w:rsid w:val="005E5EAC"/>
    <w:rsid w:val="005E5FAA"/>
    <w:rsid w:val="005E602A"/>
    <w:rsid w:val="005E617A"/>
    <w:rsid w:val="005E6255"/>
    <w:rsid w:val="005E63CE"/>
    <w:rsid w:val="005E67D6"/>
    <w:rsid w:val="005E6842"/>
    <w:rsid w:val="005E6868"/>
    <w:rsid w:val="005E68FD"/>
    <w:rsid w:val="005E69AF"/>
    <w:rsid w:val="005E6B55"/>
    <w:rsid w:val="005E6B5B"/>
    <w:rsid w:val="005E7161"/>
    <w:rsid w:val="005E73FD"/>
    <w:rsid w:val="005E7C3C"/>
    <w:rsid w:val="005F0562"/>
    <w:rsid w:val="005F05CE"/>
    <w:rsid w:val="005F064B"/>
    <w:rsid w:val="005F0967"/>
    <w:rsid w:val="005F09D2"/>
    <w:rsid w:val="005F0E55"/>
    <w:rsid w:val="005F1126"/>
    <w:rsid w:val="005F159B"/>
    <w:rsid w:val="005F1B5F"/>
    <w:rsid w:val="005F1C66"/>
    <w:rsid w:val="005F1EC5"/>
    <w:rsid w:val="005F1FD9"/>
    <w:rsid w:val="005F227C"/>
    <w:rsid w:val="005F2416"/>
    <w:rsid w:val="005F262D"/>
    <w:rsid w:val="005F2ACE"/>
    <w:rsid w:val="005F2AD1"/>
    <w:rsid w:val="005F2D39"/>
    <w:rsid w:val="005F2FD8"/>
    <w:rsid w:val="005F32EC"/>
    <w:rsid w:val="005F3416"/>
    <w:rsid w:val="005F34FA"/>
    <w:rsid w:val="005F3538"/>
    <w:rsid w:val="005F3756"/>
    <w:rsid w:val="005F397D"/>
    <w:rsid w:val="005F4030"/>
    <w:rsid w:val="005F407B"/>
    <w:rsid w:val="005F4986"/>
    <w:rsid w:val="005F502E"/>
    <w:rsid w:val="005F53F9"/>
    <w:rsid w:val="005F554D"/>
    <w:rsid w:val="005F57C8"/>
    <w:rsid w:val="005F5BC7"/>
    <w:rsid w:val="005F6197"/>
    <w:rsid w:val="005F6434"/>
    <w:rsid w:val="005F6494"/>
    <w:rsid w:val="005F66D7"/>
    <w:rsid w:val="005F6911"/>
    <w:rsid w:val="005F6E86"/>
    <w:rsid w:val="005F7109"/>
    <w:rsid w:val="005F739D"/>
    <w:rsid w:val="005F73EC"/>
    <w:rsid w:val="005F75D9"/>
    <w:rsid w:val="005F76CF"/>
    <w:rsid w:val="005F7985"/>
    <w:rsid w:val="005F7A09"/>
    <w:rsid w:val="005F7B4C"/>
    <w:rsid w:val="005F7C29"/>
    <w:rsid w:val="00600150"/>
    <w:rsid w:val="00600541"/>
    <w:rsid w:val="00600925"/>
    <w:rsid w:val="00600A05"/>
    <w:rsid w:val="00600B84"/>
    <w:rsid w:val="00600D23"/>
    <w:rsid w:val="00600D74"/>
    <w:rsid w:val="00600E46"/>
    <w:rsid w:val="00600EB9"/>
    <w:rsid w:val="00600F6D"/>
    <w:rsid w:val="006011B9"/>
    <w:rsid w:val="006014BE"/>
    <w:rsid w:val="0060150A"/>
    <w:rsid w:val="00601757"/>
    <w:rsid w:val="00601B34"/>
    <w:rsid w:val="00601D1B"/>
    <w:rsid w:val="00601F22"/>
    <w:rsid w:val="00601F4A"/>
    <w:rsid w:val="00601F75"/>
    <w:rsid w:val="006022EF"/>
    <w:rsid w:val="006023F0"/>
    <w:rsid w:val="00602A4B"/>
    <w:rsid w:val="00602A72"/>
    <w:rsid w:val="00602D6D"/>
    <w:rsid w:val="00602E4A"/>
    <w:rsid w:val="006032E0"/>
    <w:rsid w:val="00603379"/>
    <w:rsid w:val="00603465"/>
    <w:rsid w:val="0060348F"/>
    <w:rsid w:val="00603539"/>
    <w:rsid w:val="00603602"/>
    <w:rsid w:val="00603777"/>
    <w:rsid w:val="006039AF"/>
    <w:rsid w:val="00603BCE"/>
    <w:rsid w:val="00603BD5"/>
    <w:rsid w:val="0060403E"/>
    <w:rsid w:val="00604178"/>
    <w:rsid w:val="00604231"/>
    <w:rsid w:val="0060437B"/>
    <w:rsid w:val="006045F4"/>
    <w:rsid w:val="0060492C"/>
    <w:rsid w:val="00604C98"/>
    <w:rsid w:val="00604DE9"/>
    <w:rsid w:val="0060552F"/>
    <w:rsid w:val="006056AF"/>
    <w:rsid w:val="006056EB"/>
    <w:rsid w:val="0060579B"/>
    <w:rsid w:val="006063C8"/>
    <w:rsid w:val="0060641D"/>
    <w:rsid w:val="00606469"/>
    <w:rsid w:val="006069DF"/>
    <w:rsid w:val="00606B39"/>
    <w:rsid w:val="00606B8E"/>
    <w:rsid w:val="00607128"/>
    <w:rsid w:val="00607244"/>
    <w:rsid w:val="006073D1"/>
    <w:rsid w:val="006075D4"/>
    <w:rsid w:val="0060791D"/>
    <w:rsid w:val="00607CED"/>
    <w:rsid w:val="00607DE9"/>
    <w:rsid w:val="00607E62"/>
    <w:rsid w:val="006102C4"/>
    <w:rsid w:val="006102D4"/>
    <w:rsid w:val="006104E9"/>
    <w:rsid w:val="006105B5"/>
    <w:rsid w:val="00610604"/>
    <w:rsid w:val="0061092D"/>
    <w:rsid w:val="0061099C"/>
    <w:rsid w:val="006109FF"/>
    <w:rsid w:val="0061139A"/>
    <w:rsid w:val="00611431"/>
    <w:rsid w:val="00611798"/>
    <w:rsid w:val="00611A0F"/>
    <w:rsid w:val="00611D21"/>
    <w:rsid w:val="00611DE5"/>
    <w:rsid w:val="00611E85"/>
    <w:rsid w:val="00611F68"/>
    <w:rsid w:val="00612450"/>
    <w:rsid w:val="00612479"/>
    <w:rsid w:val="00612698"/>
    <w:rsid w:val="006127E0"/>
    <w:rsid w:val="00612C3F"/>
    <w:rsid w:val="00612F5D"/>
    <w:rsid w:val="006137EB"/>
    <w:rsid w:val="00613890"/>
    <w:rsid w:val="00613A8B"/>
    <w:rsid w:val="00613E97"/>
    <w:rsid w:val="00613F2A"/>
    <w:rsid w:val="0061430F"/>
    <w:rsid w:val="006143D2"/>
    <w:rsid w:val="006143D5"/>
    <w:rsid w:val="0061462B"/>
    <w:rsid w:val="00614937"/>
    <w:rsid w:val="00614B35"/>
    <w:rsid w:val="00614C84"/>
    <w:rsid w:val="00614E36"/>
    <w:rsid w:val="00614E4E"/>
    <w:rsid w:val="00615166"/>
    <w:rsid w:val="006152FA"/>
    <w:rsid w:val="0061536B"/>
    <w:rsid w:val="0061543F"/>
    <w:rsid w:val="00615A1A"/>
    <w:rsid w:val="00615A90"/>
    <w:rsid w:val="00615ED4"/>
    <w:rsid w:val="00615EFA"/>
    <w:rsid w:val="006163A6"/>
    <w:rsid w:val="006163AA"/>
    <w:rsid w:val="00616415"/>
    <w:rsid w:val="006164D4"/>
    <w:rsid w:val="006166CD"/>
    <w:rsid w:val="0061681A"/>
    <w:rsid w:val="00616C23"/>
    <w:rsid w:val="00616C87"/>
    <w:rsid w:val="00616E35"/>
    <w:rsid w:val="00616F01"/>
    <w:rsid w:val="00617115"/>
    <w:rsid w:val="0061737D"/>
    <w:rsid w:val="0061742F"/>
    <w:rsid w:val="0061781D"/>
    <w:rsid w:val="00617956"/>
    <w:rsid w:val="00617DC6"/>
    <w:rsid w:val="006200B4"/>
    <w:rsid w:val="00620337"/>
    <w:rsid w:val="006204D3"/>
    <w:rsid w:val="0062099D"/>
    <w:rsid w:val="00620CE0"/>
    <w:rsid w:val="00620D3F"/>
    <w:rsid w:val="00620EEE"/>
    <w:rsid w:val="00621193"/>
    <w:rsid w:val="00621360"/>
    <w:rsid w:val="00621520"/>
    <w:rsid w:val="006217DF"/>
    <w:rsid w:val="006218D9"/>
    <w:rsid w:val="00621B14"/>
    <w:rsid w:val="00621DCC"/>
    <w:rsid w:val="00621EA8"/>
    <w:rsid w:val="00621FC4"/>
    <w:rsid w:val="006226F0"/>
    <w:rsid w:val="0062291E"/>
    <w:rsid w:val="00622949"/>
    <w:rsid w:val="006229F2"/>
    <w:rsid w:val="00622A34"/>
    <w:rsid w:val="00622C43"/>
    <w:rsid w:val="00622C58"/>
    <w:rsid w:val="00622FD6"/>
    <w:rsid w:val="006231D3"/>
    <w:rsid w:val="00623384"/>
    <w:rsid w:val="00623991"/>
    <w:rsid w:val="00623AB3"/>
    <w:rsid w:val="00623B33"/>
    <w:rsid w:val="00624578"/>
    <w:rsid w:val="00624637"/>
    <w:rsid w:val="00624941"/>
    <w:rsid w:val="00624AFA"/>
    <w:rsid w:val="0062510C"/>
    <w:rsid w:val="00625640"/>
    <w:rsid w:val="00625B83"/>
    <w:rsid w:val="00625BAC"/>
    <w:rsid w:val="00625C78"/>
    <w:rsid w:val="00625DFF"/>
    <w:rsid w:val="00625F62"/>
    <w:rsid w:val="00626084"/>
    <w:rsid w:val="006263F2"/>
    <w:rsid w:val="006267EB"/>
    <w:rsid w:val="006268EB"/>
    <w:rsid w:val="00626FF6"/>
    <w:rsid w:val="00627073"/>
    <w:rsid w:val="006271A9"/>
    <w:rsid w:val="006274A5"/>
    <w:rsid w:val="006274FF"/>
    <w:rsid w:val="0062766D"/>
    <w:rsid w:val="0062774D"/>
    <w:rsid w:val="00627F80"/>
    <w:rsid w:val="00630019"/>
    <w:rsid w:val="00630420"/>
    <w:rsid w:val="006307A5"/>
    <w:rsid w:val="00630803"/>
    <w:rsid w:val="006308AF"/>
    <w:rsid w:val="00630B18"/>
    <w:rsid w:val="00630D4D"/>
    <w:rsid w:val="00630E1F"/>
    <w:rsid w:val="00631089"/>
    <w:rsid w:val="0063115D"/>
    <w:rsid w:val="00631186"/>
    <w:rsid w:val="006314E3"/>
    <w:rsid w:val="006316F4"/>
    <w:rsid w:val="00631C84"/>
    <w:rsid w:val="0063205F"/>
    <w:rsid w:val="006320C3"/>
    <w:rsid w:val="00632181"/>
    <w:rsid w:val="0063245B"/>
    <w:rsid w:val="00632560"/>
    <w:rsid w:val="00632652"/>
    <w:rsid w:val="00633364"/>
    <w:rsid w:val="00633E69"/>
    <w:rsid w:val="00633F59"/>
    <w:rsid w:val="0063402E"/>
    <w:rsid w:val="0063443D"/>
    <w:rsid w:val="00634444"/>
    <w:rsid w:val="0063453A"/>
    <w:rsid w:val="006349BA"/>
    <w:rsid w:val="00634B42"/>
    <w:rsid w:val="00634C79"/>
    <w:rsid w:val="006351D5"/>
    <w:rsid w:val="006352DB"/>
    <w:rsid w:val="006354BB"/>
    <w:rsid w:val="00635929"/>
    <w:rsid w:val="00635AF0"/>
    <w:rsid w:val="006360F9"/>
    <w:rsid w:val="006361AC"/>
    <w:rsid w:val="00636619"/>
    <w:rsid w:val="006366D0"/>
    <w:rsid w:val="00636A12"/>
    <w:rsid w:val="006372DA"/>
    <w:rsid w:val="00637446"/>
    <w:rsid w:val="006374C9"/>
    <w:rsid w:val="00637575"/>
    <w:rsid w:val="006377C1"/>
    <w:rsid w:val="00637815"/>
    <w:rsid w:val="00637946"/>
    <w:rsid w:val="00637964"/>
    <w:rsid w:val="00637965"/>
    <w:rsid w:val="006379C0"/>
    <w:rsid w:val="00637BD6"/>
    <w:rsid w:val="00637BF2"/>
    <w:rsid w:val="00637F34"/>
    <w:rsid w:val="00640406"/>
    <w:rsid w:val="006406FC"/>
    <w:rsid w:val="0064083D"/>
    <w:rsid w:val="0064091A"/>
    <w:rsid w:val="00640AA9"/>
    <w:rsid w:val="00641363"/>
    <w:rsid w:val="006415DA"/>
    <w:rsid w:val="0064165F"/>
    <w:rsid w:val="00641976"/>
    <w:rsid w:val="00641A1E"/>
    <w:rsid w:val="00641E6A"/>
    <w:rsid w:val="00641E94"/>
    <w:rsid w:val="00641EAD"/>
    <w:rsid w:val="00642083"/>
    <w:rsid w:val="0064243C"/>
    <w:rsid w:val="006429B5"/>
    <w:rsid w:val="0064301D"/>
    <w:rsid w:val="006431A5"/>
    <w:rsid w:val="006431B9"/>
    <w:rsid w:val="006431D7"/>
    <w:rsid w:val="006432B3"/>
    <w:rsid w:val="0064330A"/>
    <w:rsid w:val="0064332C"/>
    <w:rsid w:val="006439D2"/>
    <w:rsid w:val="00643CED"/>
    <w:rsid w:val="00643F23"/>
    <w:rsid w:val="006446FB"/>
    <w:rsid w:val="006447A1"/>
    <w:rsid w:val="006449FD"/>
    <w:rsid w:val="00644A4D"/>
    <w:rsid w:val="00644CD0"/>
    <w:rsid w:val="00644D92"/>
    <w:rsid w:val="00644FC5"/>
    <w:rsid w:val="006450DC"/>
    <w:rsid w:val="006452D5"/>
    <w:rsid w:val="00645443"/>
    <w:rsid w:val="0064549B"/>
    <w:rsid w:val="006454B3"/>
    <w:rsid w:val="0064589B"/>
    <w:rsid w:val="00645ABB"/>
    <w:rsid w:val="00645AE4"/>
    <w:rsid w:val="00645B4D"/>
    <w:rsid w:val="00645D6E"/>
    <w:rsid w:val="00646326"/>
    <w:rsid w:val="006465B1"/>
    <w:rsid w:val="00646872"/>
    <w:rsid w:val="00646DEF"/>
    <w:rsid w:val="0064771B"/>
    <w:rsid w:val="00647786"/>
    <w:rsid w:val="00647CB3"/>
    <w:rsid w:val="00647F41"/>
    <w:rsid w:val="006502E3"/>
    <w:rsid w:val="0065053B"/>
    <w:rsid w:val="006506A0"/>
    <w:rsid w:val="006507F1"/>
    <w:rsid w:val="0065086E"/>
    <w:rsid w:val="006509D2"/>
    <w:rsid w:val="00650A24"/>
    <w:rsid w:val="00650B13"/>
    <w:rsid w:val="00650CF3"/>
    <w:rsid w:val="0065120E"/>
    <w:rsid w:val="006514E0"/>
    <w:rsid w:val="00651674"/>
    <w:rsid w:val="0065180A"/>
    <w:rsid w:val="0065190F"/>
    <w:rsid w:val="00651985"/>
    <w:rsid w:val="00651D3D"/>
    <w:rsid w:val="00651E01"/>
    <w:rsid w:val="00652424"/>
    <w:rsid w:val="0065256C"/>
    <w:rsid w:val="006527D6"/>
    <w:rsid w:val="00652957"/>
    <w:rsid w:val="00652B2A"/>
    <w:rsid w:val="00652B68"/>
    <w:rsid w:val="00652B7D"/>
    <w:rsid w:val="00652BF9"/>
    <w:rsid w:val="00652C39"/>
    <w:rsid w:val="00652E21"/>
    <w:rsid w:val="00652FA9"/>
    <w:rsid w:val="006530EF"/>
    <w:rsid w:val="00653244"/>
    <w:rsid w:val="00653255"/>
    <w:rsid w:val="006534BC"/>
    <w:rsid w:val="0065356A"/>
    <w:rsid w:val="00653585"/>
    <w:rsid w:val="006535B5"/>
    <w:rsid w:val="00653904"/>
    <w:rsid w:val="00653ABA"/>
    <w:rsid w:val="00653CD8"/>
    <w:rsid w:val="00653CF5"/>
    <w:rsid w:val="00653EF1"/>
    <w:rsid w:val="00653FC0"/>
    <w:rsid w:val="00654306"/>
    <w:rsid w:val="006544B6"/>
    <w:rsid w:val="006549AC"/>
    <w:rsid w:val="00654C22"/>
    <w:rsid w:val="00654C23"/>
    <w:rsid w:val="00654D45"/>
    <w:rsid w:val="00655035"/>
    <w:rsid w:val="0065528B"/>
    <w:rsid w:val="006556D9"/>
    <w:rsid w:val="006559FB"/>
    <w:rsid w:val="00655C14"/>
    <w:rsid w:val="00655D52"/>
    <w:rsid w:val="00655E55"/>
    <w:rsid w:val="00656167"/>
    <w:rsid w:val="006565F2"/>
    <w:rsid w:val="0065668B"/>
    <w:rsid w:val="006572B1"/>
    <w:rsid w:val="0065760E"/>
    <w:rsid w:val="00657689"/>
    <w:rsid w:val="0065775E"/>
    <w:rsid w:val="006579C9"/>
    <w:rsid w:val="00657BD9"/>
    <w:rsid w:val="00657C99"/>
    <w:rsid w:val="00657DC5"/>
    <w:rsid w:val="006602C2"/>
    <w:rsid w:val="0066047B"/>
    <w:rsid w:val="0066075E"/>
    <w:rsid w:val="0066096F"/>
    <w:rsid w:val="00660A1E"/>
    <w:rsid w:val="00660C47"/>
    <w:rsid w:val="00660C90"/>
    <w:rsid w:val="00660CBA"/>
    <w:rsid w:val="00660EBB"/>
    <w:rsid w:val="00660EC8"/>
    <w:rsid w:val="00661934"/>
    <w:rsid w:val="00661975"/>
    <w:rsid w:val="00661AA9"/>
    <w:rsid w:val="00661E50"/>
    <w:rsid w:val="00661FC9"/>
    <w:rsid w:val="00662CAF"/>
    <w:rsid w:val="00663138"/>
    <w:rsid w:val="0066379D"/>
    <w:rsid w:val="00663A9E"/>
    <w:rsid w:val="00663DB3"/>
    <w:rsid w:val="00663DB9"/>
    <w:rsid w:val="00664052"/>
    <w:rsid w:val="006640CF"/>
    <w:rsid w:val="00664434"/>
    <w:rsid w:val="006644C4"/>
    <w:rsid w:val="006649BB"/>
    <w:rsid w:val="00664C7C"/>
    <w:rsid w:val="00664D7A"/>
    <w:rsid w:val="00664F6B"/>
    <w:rsid w:val="006652EC"/>
    <w:rsid w:val="00665522"/>
    <w:rsid w:val="00665542"/>
    <w:rsid w:val="00665623"/>
    <w:rsid w:val="00665674"/>
    <w:rsid w:val="006658E5"/>
    <w:rsid w:val="00665A78"/>
    <w:rsid w:val="00665C8B"/>
    <w:rsid w:val="00665E91"/>
    <w:rsid w:val="00665FB0"/>
    <w:rsid w:val="00666033"/>
    <w:rsid w:val="0066619B"/>
    <w:rsid w:val="0066637C"/>
    <w:rsid w:val="0066652D"/>
    <w:rsid w:val="00666580"/>
    <w:rsid w:val="00666894"/>
    <w:rsid w:val="006668A3"/>
    <w:rsid w:val="00666953"/>
    <w:rsid w:val="00666A8D"/>
    <w:rsid w:val="00666A94"/>
    <w:rsid w:val="00666BE6"/>
    <w:rsid w:val="00666BF5"/>
    <w:rsid w:val="0066711F"/>
    <w:rsid w:val="0066718F"/>
    <w:rsid w:val="00667226"/>
    <w:rsid w:val="00667403"/>
    <w:rsid w:val="0066746F"/>
    <w:rsid w:val="006678CD"/>
    <w:rsid w:val="00667DAE"/>
    <w:rsid w:val="00667EE2"/>
    <w:rsid w:val="00667F2E"/>
    <w:rsid w:val="006701C8"/>
    <w:rsid w:val="0067040D"/>
    <w:rsid w:val="006708DC"/>
    <w:rsid w:val="00670A04"/>
    <w:rsid w:val="00670A22"/>
    <w:rsid w:val="0067133E"/>
    <w:rsid w:val="00671379"/>
    <w:rsid w:val="00671524"/>
    <w:rsid w:val="00671799"/>
    <w:rsid w:val="006717A8"/>
    <w:rsid w:val="00671864"/>
    <w:rsid w:val="00671FC1"/>
    <w:rsid w:val="00672207"/>
    <w:rsid w:val="00672595"/>
    <w:rsid w:val="006726E7"/>
    <w:rsid w:val="00672954"/>
    <w:rsid w:val="00672A09"/>
    <w:rsid w:val="00672A80"/>
    <w:rsid w:val="0067304C"/>
    <w:rsid w:val="00673182"/>
    <w:rsid w:val="006732CF"/>
    <w:rsid w:val="0067365C"/>
    <w:rsid w:val="00673663"/>
    <w:rsid w:val="0067374F"/>
    <w:rsid w:val="00673857"/>
    <w:rsid w:val="00673CB2"/>
    <w:rsid w:val="006745A9"/>
    <w:rsid w:val="0067484F"/>
    <w:rsid w:val="00674AD5"/>
    <w:rsid w:val="00674C8F"/>
    <w:rsid w:val="00674E19"/>
    <w:rsid w:val="00674F76"/>
    <w:rsid w:val="006750C0"/>
    <w:rsid w:val="006755A0"/>
    <w:rsid w:val="0067569A"/>
    <w:rsid w:val="006758FE"/>
    <w:rsid w:val="00675E8D"/>
    <w:rsid w:val="00675EC7"/>
    <w:rsid w:val="006761DD"/>
    <w:rsid w:val="00676233"/>
    <w:rsid w:val="0067624A"/>
    <w:rsid w:val="006766D0"/>
    <w:rsid w:val="00676730"/>
    <w:rsid w:val="00676924"/>
    <w:rsid w:val="00676A61"/>
    <w:rsid w:val="00676AD8"/>
    <w:rsid w:val="00676CBA"/>
    <w:rsid w:val="00676E1D"/>
    <w:rsid w:val="006771FD"/>
    <w:rsid w:val="0067724E"/>
    <w:rsid w:val="00677468"/>
    <w:rsid w:val="006774DD"/>
    <w:rsid w:val="00677590"/>
    <w:rsid w:val="0067789C"/>
    <w:rsid w:val="0067791B"/>
    <w:rsid w:val="00677CF7"/>
    <w:rsid w:val="00677E68"/>
    <w:rsid w:val="00677E75"/>
    <w:rsid w:val="00677F63"/>
    <w:rsid w:val="00680304"/>
    <w:rsid w:val="00680799"/>
    <w:rsid w:val="00680978"/>
    <w:rsid w:val="00680A58"/>
    <w:rsid w:val="00680B34"/>
    <w:rsid w:val="00680D62"/>
    <w:rsid w:val="0068113C"/>
    <w:rsid w:val="00681275"/>
    <w:rsid w:val="00681314"/>
    <w:rsid w:val="0068193E"/>
    <w:rsid w:val="00681E91"/>
    <w:rsid w:val="00681F35"/>
    <w:rsid w:val="006821AE"/>
    <w:rsid w:val="006823EF"/>
    <w:rsid w:val="0068240C"/>
    <w:rsid w:val="006825F1"/>
    <w:rsid w:val="0068271D"/>
    <w:rsid w:val="0068294B"/>
    <w:rsid w:val="00682A36"/>
    <w:rsid w:val="00683034"/>
    <w:rsid w:val="00683372"/>
    <w:rsid w:val="00683461"/>
    <w:rsid w:val="00683586"/>
    <w:rsid w:val="00683612"/>
    <w:rsid w:val="00683714"/>
    <w:rsid w:val="00683C7A"/>
    <w:rsid w:val="00683D56"/>
    <w:rsid w:val="00684609"/>
    <w:rsid w:val="0068474E"/>
    <w:rsid w:val="006849F6"/>
    <w:rsid w:val="00684D1D"/>
    <w:rsid w:val="00684E74"/>
    <w:rsid w:val="00684E82"/>
    <w:rsid w:val="0068551E"/>
    <w:rsid w:val="00685757"/>
    <w:rsid w:val="006859C5"/>
    <w:rsid w:val="00685BDC"/>
    <w:rsid w:val="00685C78"/>
    <w:rsid w:val="00685D75"/>
    <w:rsid w:val="00685EEE"/>
    <w:rsid w:val="006863C1"/>
    <w:rsid w:val="0068642F"/>
    <w:rsid w:val="00686513"/>
    <w:rsid w:val="00686538"/>
    <w:rsid w:val="006867AD"/>
    <w:rsid w:val="006867EE"/>
    <w:rsid w:val="00686B5B"/>
    <w:rsid w:val="00686F42"/>
    <w:rsid w:val="0068704F"/>
    <w:rsid w:val="006871D0"/>
    <w:rsid w:val="00687318"/>
    <w:rsid w:val="0068760C"/>
    <w:rsid w:val="006878DD"/>
    <w:rsid w:val="00687F47"/>
    <w:rsid w:val="00690164"/>
    <w:rsid w:val="0069036B"/>
    <w:rsid w:val="006905B9"/>
    <w:rsid w:val="00690662"/>
    <w:rsid w:val="006906AC"/>
    <w:rsid w:val="0069074C"/>
    <w:rsid w:val="0069086A"/>
    <w:rsid w:val="00690C55"/>
    <w:rsid w:val="00691097"/>
    <w:rsid w:val="00691900"/>
    <w:rsid w:val="006919FA"/>
    <w:rsid w:val="00691BEB"/>
    <w:rsid w:val="00691CE9"/>
    <w:rsid w:val="00691CFB"/>
    <w:rsid w:val="0069250A"/>
    <w:rsid w:val="00692541"/>
    <w:rsid w:val="00692A32"/>
    <w:rsid w:val="00692DC6"/>
    <w:rsid w:val="00693076"/>
    <w:rsid w:val="006931D2"/>
    <w:rsid w:val="006931FA"/>
    <w:rsid w:val="00693543"/>
    <w:rsid w:val="006936DC"/>
    <w:rsid w:val="006937E9"/>
    <w:rsid w:val="00693DD4"/>
    <w:rsid w:val="00693ED6"/>
    <w:rsid w:val="00693EF2"/>
    <w:rsid w:val="00693F3E"/>
    <w:rsid w:val="00694188"/>
    <w:rsid w:val="00694238"/>
    <w:rsid w:val="00694374"/>
    <w:rsid w:val="00694401"/>
    <w:rsid w:val="006945E3"/>
    <w:rsid w:val="006949AB"/>
    <w:rsid w:val="006949BA"/>
    <w:rsid w:val="00694DA3"/>
    <w:rsid w:val="0069505B"/>
    <w:rsid w:val="0069513E"/>
    <w:rsid w:val="0069522D"/>
    <w:rsid w:val="00695636"/>
    <w:rsid w:val="00695C5B"/>
    <w:rsid w:val="00695E17"/>
    <w:rsid w:val="00695F36"/>
    <w:rsid w:val="00696129"/>
    <w:rsid w:val="006963EF"/>
    <w:rsid w:val="006969C4"/>
    <w:rsid w:val="00696ACF"/>
    <w:rsid w:val="00696CB4"/>
    <w:rsid w:val="00697278"/>
    <w:rsid w:val="00697280"/>
    <w:rsid w:val="0069728F"/>
    <w:rsid w:val="006972F7"/>
    <w:rsid w:val="0069788D"/>
    <w:rsid w:val="00697E9A"/>
    <w:rsid w:val="00697EA0"/>
    <w:rsid w:val="00697F21"/>
    <w:rsid w:val="006A0005"/>
    <w:rsid w:val="006A00D9"/>
    <w:rsid w:val="006A00E7"/>
    <w:rsid w:val="006A0196"/>
    <w:rsid w:val="006A06CF"/>
    <w:rsid w:val="006A0EEC"/>
    <w:rsid w:val="006A131F"/>
    <w:rsid w:val="006A1629"/>
    <w:rsid w:val="006A162E"/>
    <w:rsid w:val="006A167A"/>
    <w:rsid w:val="006A1B2F"/>
    <w:rsid w:val="006A2142"/>
    <w:rsid w:val="006A21EA"/>
    <w:rsid w:val="006A238E"/>
    <w:rsid w:val="006A2496"/>
    <w:rsid w:val="006A25FB"/>
    <w:rsid w:val="006A2752"/>
    <w:rsid w:val="006A280D"/>
    <w:rsid w:val="006A2E0C"/>
    <w:rsid w:val="006A2F46"/>
    <w:rsid w:val="006A30A6"/>
    <w:rsid w:val="006A343C"/>
    <w:rsid w:val="006A35CF"/>
    <w:rsid w:val="006A3A26"/>
    <w:rsid w:val="006A3AD6"/>
    <w:rsid w:val="006A3B18"/>
    <w:rsid w:val="006A3CA7"/>
    <w:rsid w:val="006A3E29"/>
    <w:rsid w:val="006A4556"/>
    <w:rsid w:val="006A4762"/>
    <w:rsid w:val="006A4AE1"/>
    <w:rsid w:val="006A4D94"/>
    <w:rsid w:val="006A4E2D"/>
    <w:rsid w:val="006A503F"/>
    <w:rsid w:val="006A5110"/>
    <w:rsid w:val="006A5155"/>
    <w:rsid w:val="006A5609"/>
    <w:rsid w:val="006A579D"/>
    <w:rsid w:val="006A5872"/>
    <w:rsid w:val="006A5AB3"/>
    <w:rsid w:val="006A5E18"/>
    <w:rsid w:val="006A5ED0"/>
    <w:rsid w:val="006A60FE"/>
    <w:rsid w:val="006A6662"/>
    <w:rsid w:val="006A67A9"/>
    <w:rsid w:val="006A680C"/>
    <w:rsid w:val="006A6C22"/>
    <w:rsid w:val="006A6C6E"/>
    <w:rsid w:val="006A6CED"/>
    <w:rsid w:val="006A6DD3"/>
    <w:rsid w:val="006A740C"/>
    <w:rsid w:val="006A7469"/>
    <w:rsid w:val="006A7568"/>
    <w:rsid w:val="006A7658"/>
    <w:rsid w:val="006A7F3E"/>
    <w:rsid w:val="006B0074"/>
    <w:rsid w:val="006B0B12"/>
    <w:rsid w:val="006B0C1D"/>
    <w:rsid w:val="006B1054"/>
    <w:rsid w:val="006B13BC"/>
    <w:rsid w:val="006B16E7"/>
    <w:rsid w:val="006B20DF"/>
    <w:rsid w:val="006B215C"/>
    <w:rsid w:val="006B2567"/>
    <w:rsid w:val="006B2602"/>
    <w:rsid w:val="006B27DD"/>
    <w:rsid w:val="006B2938"/>
    <w:rsid w:val="006B2AC2"/>
    <w:rsid w:val="006B2ED0"/>
    <w:rsid w:val="006B33A0"/>
    <w:rsid w:val="006B391A"/>
    <w:rsid w:val="006B3B0D"/>
    <w:rsid w:val="006B3C2D"/>
    <w:rsid w:val="006B4085"/>
    <w:rsid w:val="006B4603"/>
    <w:rsid w:val="006B49AA"/>
    <w:rsid w:val="006B4CD1"/>
    <w:rsid w:val="006B4F3F"/>
    <w:rsid w:val="006B4FF4"/>
    <w:rsid w:val="006B5040"/>
    <w:rsid w:val="006B544D"/>
    <w:rsid w:val="006B548A"/>
    <w:rsid w:val="006B5540"/>
    <w:rsid w:val="006B5B01"/>
    <w:rsid w:val="006B5D53"/>
    <w:rsid w:val="006B60D7"/>
    <w:rsid w:val="006B6411"/>
    <w:rsid w:val="006B6452"/>
    <w:rsid w:val="006B68FA"/>
    <w:rsid w:val="006B6923"/>
    <w:rsid w:val="006B6A3D"/>
    <w:rsid w:val="006B6B5F"/>
    <w:rsid w:val="006B6BBF"/>
    <w:rsid w:val="006B7001"/>
    <w:rsid w:val="006B7340"/>
    <w:rsid w:val="006B751F"/>
    <w:rsid w:val="006B77D5"/>
    <w:rsid w:val="006B7939"/>
    <w:rsid w:val="006B7A54"/>
    <w:rsid w:val="006B7CE4"/>
    <w:rsid w:val="006B7CEA"/>
    <w:rsid w:val="006C0A23"/>
    <w:rsid w:val="006C10D6"/>
    <w:rsid w:val="006C11E9"/>
    <w:rsid w:val="006C16C1"/>
    <w:rsid w:val="006C1E8A"/>
    <w:rsid w:val="006C2342"/>
    <w:rsid w:val="006C2A84"/>
    <w:rsid w:val="006C2C29"/>
    <w:rsid w:val="006C2C71"/>
    <w:rsid w:val="006C2E9F"/>
    <w:rsid w:val="006C34FE"/>
    <w:rsid w:val="006C3D78"/>
    <w:rsid w:val="006C3E94"/>
    <w:rsid w:val="006C40A5"/>
    <w:rsid w:val="006C424A"/>
    <w:rsid w:val="006C4402"/>
    <w:rsid w:val="006C48B4"/>
    <w:rsid w:val="006C4C05"/>
    <w:rsid w:val="006C4D8E"/>
    <w:rsid w:val="006C517D"/>
    <w:rsid w:val="006C5232"/>
    <w:rsid w:val="006C5A30"/>
    <w:rsid w:val="006C5ADC"/>
    <w:rsid w:val="006C5B3D"/>
    <w:rsid w:val="006C5C07"/>
    <w:rsid w:val="006C5C7A"/>
    <w:rsid w:val="006C5DD7"/>
    <w:rsid w:val="006C5FBE"/>
    <w:rsid w:val="006C66FC"/>
    <w:rsid w:val="006C671A"/>
    <w:rsid w:val="006C6740"/>
    <w:rsid w:val="006C684E"/>
    <w:rsid w:val="006C6B29"/>
    <w:rsid w:val="006C6B4D"/>
    <w:rsid w:val="006C6B7D"/>
    <w:rsid w:val="006C6D28"/>
    <w:rsid w:val="006C6D88"/>
    <w:rsid w:val="006C73AA"/>
    <w:rsid w:val="006C74A5"/>
    <w:rsid w:val="006C7780"/>
    <w:rsid w:val="006C77DD"/>
    <w:rsid w:val="006C7959"/>
    <w:rsid w:val="006C79A9"/>
    <w:rsid w:val="006C7DBC"/>
    <w:rsid w:val="006C7E79"/>
    <w:rsid w:val="006D0035"/>
    <w:rsid w:val="006D022F"/>
    <w:rsid w:val="006D02C1"/>
    <w:rsid w:val="006D08AB"/>
    <w:rsid w:val="006D0C06"/>
    <w:rsid w:val="006D0CD5"/>
    <w:rsid w:val="006D0DE6"/>
    <w:rsid w:val="006D13AC"/>
    <w:rsid w:val="006D15F2"/>
    <w:rsid w:val="006D17D6"/>
    <w:rsid w:val="006D1BDF"/>
    <w:rsid w:val="006D1C8F"/>
    <w:rsid w:val="006D1E4B"/>
    <w:rsid w:val="006D1E6B"/>
    <w:rsid w:val="006D26C2"/>
    <w:rsid w:val="006D27C1"/>
    <w:rsid w:val="006D2B52"/>
    <w:rsid w:val="006D2E55"/>
    <w:rsid w:val="006D333B"/>
    <w:rsid w:val="006D3392"/>
    <w:rsid w:val="006D35C7"/>
    <w:rsid w:val="006D3ABA"/>
    <w:rsid w:val="006D3E08"/>
    <w:rsid w:val="006D40BC"/>
    <w:rsid w:val="006D45D5"/>
    <w:rsid w:val="006D47B2"/>
    <w:rsid w:val="006D4880"/>
    <w:rsid w:val="006D49B3"/>
    <w:rsid w:val="006D4A9B"/>
    <w:rsid w:val="006D4CFA"/>
    <w:rsid w:val="006D547F"/>
    <w:rsid w:val="006D54BC"/>
    <w:rsid w:val="006D54F7"/>
    <w:rsid w:val="006D555D"/>
    <w:rsid w:val="006D58BD"/>
    <w:rsid w:val="006D5B53"/>
    <w:rsid w:val="006D5E30"/>
    <w:rsid w:val="006D605B"/>
    <w:rsid w:val="006D626C"/>
    <w:rsid w:val="006D6487"/>
    <w:rsid w:val="006D659E"/>
    <w:rsid w:val="006D69F6"/>
    <w:rsid w:val="006D6CCE"/>
    <w:rsid w:val="006D72B7"/>
    <w:rsid w:val="006D757F"/>
    <w:rsid w:val="006D7BBB"/>
    <w:rsid w:val="006D7E9C"/>
    <w:rsid w:val="006D7EA3"/>
    <w:rsid w:val="006D7F54"/>
    <w:rsid w:val="006E0377"/>
    <w:rsid w:val="006E072B"/>
    <w:rsid w:val="006E0BD1"/>
    <w:rsid w:val="006E0C62"/>
    <w:rsid w:val="006E0D79"/>
    <w:rsid w:val="006E0DA5"/>
    <w:rsid w:val="006E0EE0"/>
    <w:rsid w:val="006E1023"/>
    <w:rsid w:val="006E11CF"/>
    <w:rsid w:val="006E1385"/>
    <w:rsid w:val="006E1423"/>
    <w:rsid w:val="006E1645"/>
    <w:rsid w:val="006E1AEE"/>
    <w:rsid w:val="006E1C6A"/>
    <w:rsid w:val="006E2714"/>
    <w:rsid w:val="006E2784"/>
    <w:rsid w:val="006E28BF"/>
    <w:rsid w:val="006E2A5D"/>
    <w:rsid w:val="006E2DB2"/>
    <w:rsid w:val="006E2F58"/>
    <w:rsid w:val="006E32EC"/>
    <w:rsid w:val="006E32EE"/>
    <w:rsid w:val="006E346D"/>
    <w:rsid w:val="006E39BA"/>
    <w:rsid w:val="006E3A3C"/>
    <w:rsid w:val="006E4021"/>
    <w:rsid w:val="006E42C4"/>
    <w:rsid w:val="006E42CC"/>
    <w:rsid w:val="006E439D"/>
    <w:rsid w:val="006E45F2"/>
    <w:rsid w:val="006E4949"/>
    <w:rsid w:val="006E49AC"/>
    <w:rsid w:val="006E4BF2"/>
    <w:rsid w:val="006E4CA0"/>
    <w:rsid w:val="006E4CC7"/>
    <w:rsid w:val="006E4FA8"/>
    <w:rsid w:val="006E5140"/>
    <w:rsid w:val="006E52ED"/>
    <w:rsid w:val="006E533D"/>
    <w:rsid w:val="006E53B8"/>
    <w:rsid w:val="006E579D"/>
    <w:rsid w:val="006E5A4C"/>
    <w:rsid w:val="006E5DD4"/>
    <w:rsid w:val="006E60DF"/>
    <w:rsid w:val="006E6202"/>
    <w:rsid w:val="006E624B"/>
    <w:rsid w:val="006E626C"/>
    <w:rsid w:val="006E672C"/>
    <w:rsid w:val="006E6865"/>
    <w:rsid w:val="006E6E5A"/>
    <w:rsid w:val="006E6EEE"/>
    <w:rsid w:val="006E6F09"/>
    <w:rsid w:val="006E6F6C"/>
    <w:rsid w:val="006E726D"/>
    <w:rsid w:val="006E7357"/>
    <w:rsid w:val="006E78AB"/>
    <w:rsid w:val="006E794D"/>
    <w:rsid w:val="006E7A88"/>
    <w:rsid w:val="006E7AD2"/>
    <w:rsid w:val="006E7BD2"/>
    <w:rsid w:val="006E7F10"/>
    <w:rsid w:val="006F0285"/>
    <w:rsid w:val="006F03F1"/>
    <w:rsid w:val="006F04AF"/>
    <w:rsid w:val="006F06B9"/>
    <w:rsid w:val="006F06CB"/>
    <w:rsid w:val="006F0A9D"/>
    <w:rsid w:val="006F0C95"/>
    <w:rsid w:val="006F0D7F"/>
    <w:rsid w:val="006F0F34"/>
    <w:rsid w:val="006F1084"/>
    <w:rsid w:val="006F1416"/>
    <w:rsid w:val="006F1530"/>
    <w:rsid w:val="006F1A36"/>
    <w:rsid w:val="006F1ACC"/>
    <w:rsid w:val="006F1F65"/>
    <w:rsid w:val="006F20DC"/>
    <w:rsid w:val="006F2676"/>
    <w:rsid w:val="006F28E3"/>
    <w:rsid w:val="006F2D4E"/>
    <w:rsid w:val="006F2E6F"/>
    <w:rsid w:val="006F35CD"/>
    <w:rsid w:val="006F3988"/>
    <w:rsid w:val="006F3B62"/>
    <w:rsid w:val="006F3C20"/>
    <w:rsid w:val="006F3CE3"/>
    <w:rsid w:val="006F41A4"/>
    <w:rsid w:val="006F4533"/>
    <w:rsid w:val="006F4594"/>
    <w:rsid w:val="006F474C"/>
    <w:rsid w:val="006F4877"/>
    <w:rsid w:val="006F48FF"/>
    <w:rsid w:val="006F4B10"/>
    <w:rsid w:val="006F4BA0"/>
    <w:rsid w:val="006F4FFF"/>
    <w:rsid w:val="006F5510"/>
    <w:rsid w:val="006F5A48"/>
    <w:rsid w:val="006F5D20"/>
    <w:rsid w:val="006F5DB0"/>
    <w:rsid w:val="006F6048"/>
    <w:rsid w:val="006F6253"/>
    <w:rsid w:val="006F646C"/>
    <w:rsid w:val="006F6616"/>
    <w:rsid w:val="006F6A66"/>
    <w:rsid w:val="006F6B57"/>
    <w:rsid w:val="006F6C28"/>
    <w:rsid w:val="006F6D08"/>
    <w:rsid w:val="006F6EF9"/>
    <w:rsid w:val="006F6F9A"/>
    <w:rsid w:val="006F70DB"/>
    <w:rsid w:val="006F72DB"/>
    <w:rsid w:val="006F7C72"/>
    <w:rsid w:val="006F7D86"/>
    <w:rsid w:val="006F7FD3"/>
    <w:rsid w:val="00700400"/>
    <w:rsid w:val="007004C7"/>
    <w:rsid w:val="007007AE"/>
    <w:rsid w:val="007007D4"/>
    <w:rsid w:val="00700979"/>
    <w:rsid w:val="00700AFD"/>
    <w:rsid w:val="00700C26"/>
    <w:rsid w:val="00700DFC"/>
    <w:rsid w:val="0070132A"/>
    <w:rsid w:val="00701403"/>
    <w:rsid w:val="0070171B"/>
    <w:rsid w:val="0070185C"/>
    <w:rsid w:val="0070192B"/>
    <w:rsid w:val="00701C51"/>
    <w:rsid w:val="00701F57"/>
    <w:rsid w:val="00701FE8"/>
    <w:rsid w:val="0070209A"/>
    <w:rsid w:val="00702171"/>
    <w:rsid w:val="0070217D"/>
    <w:rsid w:val="007021AC"/>
    <w:rsid w:val="007023AE"/>
    <w:rsid w:val="0070273F"/>
    <w:rsid w:val="00702991"/>
    <w:rsid w:val="00702BBE"/>
    <w:rsid w:val="00702BD2"/>
    <w:rsid w:val="00702E07"/>
    <w:rsid w:val="00702EB9"/>
    <w:rsid w:val="007030CE"/>
    <w:rsid w:val="0070316F"/>
    <w:rsid w:val="00703199"/>
    <w:rsid w:val="0070361D"/>
    <w:rsid w:val="00703879"/>
    <w:rsid w:val="00703AC5"/>
    <w:rsid w:val="00703B6F"/>
    <w:rsid w:val="0070405F"/>
    <w:rsid w:val="00704074"/>
    <w:rsid w:val="007043B3"/>
    <w:rsid w:val="00704534"/>
    <w:rsid w:val="00704830"/>
    <w:rsid w:val="00704B32"/>
    <w:rsid w:val="00704BCE"/>
    <w:rsid w:val="00705151"/>
    <w:rsid w:val="00705199"/>
    <w:rsid w:val="007051B8"/>
    <w:rsid w:val="007052CD"/>
    <w:rsid w:val="007053D8"/>
    <w:rsid w:val="007054BA"/>
    <w:rsid w:val="007054DC"/>
    <w:rsid w:val="00705518"/>
    <w:rsid w:val="00705548"/>
    <w:rsid w:val="0070557D"/>
    <w:rsid w:val="0070579B"/>
    <w:rsid w:val="00705B46"/>
    <w:rsid w:val="00706039"/>
    <w:rsid w:val="00706713"/>
    <w:rsid w:val="007067D8"/>
    <w:rsid w:val="00706991"/>
    <w:rsid w:val="0070731B"/>
    <w:rsid w:val="00707582"/>
    <w:rsid w:val="00707A95"/>
    <w:rsid w:val="00707C88"/>
    <w:rsid w:val="007101A6"/>
    <w:rsid w:val="00710352"/>
    <w:rsid w:val="00710420"/>
    <w:rsid w:val="0071043A"/>
    <w:rsid w:val="00710487"/>
    <w:rsid w:val="00710549"/>
    <w:rsid w:val="0071094E"/>
    <w:rsid w:val="00710B27"/>
    <w:rsid w:val="00710CC9"/>
    <w:rsid w:val="007111A9"/>
    <w:rsid w:val="00711803"/>
    <w:rsid w:val="00711B42"/>
    <w:rsid w:val="00711C1C"/>
    <w:rsid w:val="00711C49"/>
    <w:rsid w:val="00711DEB"/>
    <w:rsid w:val="00711F01"/>
    <w:rsid w:val="0071262B"/>
    <w:rsid w:val="00712941"/>
    <w:rsid w:val="0071299E"/>
    <w:rsid w:val="00712C2E"/>
    <w:rsid w:val="00712C69"/>
    <w:rsid w:val="00712E54"/>
    <w:rsid w:val="00712F35"/>
    <w:rsid w:val="007133F5"/>
    <w:rsid w:val="00713491"/>
    <w:rsid w:val="007137A0"/>
    <w:rsid w:val="00713866"/>
    <w:rsid w:val="007139A6"/>
    <w:rsid w:val="007139CC"/>
    <w:rsid w:val="00713EBF"/>
    <w:rsid w:val="00713EE1"/>
    <w:rsid w:val="007141EC"/>
    <w:rsid w:val="0071438D"/>
    <w:rsid w:val="00714A75"/>
    <w:rsid w:val="00714B1B"/>
    <w:rsid w:val="00714C79"/>
    <w:rsid w:val="00714C96"/>
    <w:rsid w:val="0071510E"/>
    <w:rsid w:val="007153D2"/>
    <w:rsid w:val="007153FA"/>
    <w:rsid w:val="00715727"/>
    <w:rsid w:val="0071579F"/>
    <w:rsid w:val="0071580B"/>
    <w:rsid w:val="0071598D"/>
    <w:rsid w:val="00715E22"/>
    <w:rsid w:val="00716136"/>
    <w:rsid w:val="007161A1"/>
    <w:rsid w:val="007164B8"/>
    <w:rsid w:val="00716881"/>
    <w:rsid w:val="00716B29"/>
    <w:rsid w:val="00717387"/>
    <w:rsid w:val="0071765B"/>
    <w:rsid w:val="007202FE"/>
    <w:rsid w:val="00720377"/>
    <w:rsid w:val="007206FF"/>
    <w:rsid w:val="0072079E"/>
    <w:rsid w:val="00720811"/>
    <w:rsid w:val="00720868"/>
    <w:rsid w:val="0072099D"/>
    <w:rsid w:val="00720AE7"/>
    <w:rsid w:val="00720BAA"/>
    <w:rsid w:val="00720CAA"/>
    <w:rsid w:val="00720D62"/>
    <w:rsid w:val="00720F4C"/>
    <w:rsid w:val="00721221"/>
    <w:rsid w:val="00721382"/>
    <w:rsid w:val="0072154C"/>
    <w:rsid w:val="007215EC"/>
    <w:rsid w:val="007217A9"/>
    <w:rsid w:val="00721A66"/>
    <w:rsid w:val="00721CD1"/>
    <w:rsid w:val="00721EC2"/>
    <w:rsid w:val="0072203F"/>
    <w:rsid w:val="0072208C"/>
    <w:rsid w:val="00722467"/>
    <w:rsid w:val="007227BA"/>
    <w:rsid w:val="007228DA"/>
    <w:rsid w:val="00722CA3"/>
    <w:rsid w:val="00722D68"/>
    <w:rsid w:val="00722D6E"/>
    <w:rsid w:val="00722D83"/>
    <w:rsid w:val="007232BE"/>
    <w:rsid w:val="007239E6"/>
    <w:rsid w:val="00723AB4"/>
    <w:rsid w:val="00723C32"/>
    <w:rsid w:val="00723D92"/>
    <w:rsid w:val="00724180"/>
    <w:rsid w:val="007244B0"/>
    <w:rsid w:val="0072470D"/>
    <w:rsid w:val="00724854"/>
    <w:rsid w:val="007248DB"/>
    <w:rsid w:val="00724FFE"/>
    <w:rsid w:val="007255D2"/>
    <w:rsid w:val="007258E8"/>
    <w:rsid w:val="007259DF"/>
    <w:rsid w:val="00725B35"/>
    <w:rsid w:val="007262AC"/>
    <w:rsid w:val="00726343"/>
    <w:rsid w:val="00726399"/>
    <w:rsid w:val="0072646F"/>
    <w:rsid w:val="00726940"/>
    <w:rsid w:val="00726BDA"/>
    <w:rsid w:val="00726BEE"/>
    <w:rsid w:val="00726C4B"/>
    <w:rsid w:val="00726D39"/>
    <w:rsid w:val="00726DC7"/>
    <w:rsid w:val="00726E98"/>
    <w:rsid w:val="00727066"/>
    <w:rsid w:val="00727199"/>
    <w:rsid w:val="007278C1"/>
    <w:rsid w:val="00727904"/>
    <w:rsid w:val="00727AC0"/>
    <w:rsid w:val="00727B4C"/>
    <w:rsid w:val="00727BC4"/>
    <w:rsid w:val="00727D45"/>
    <w:rsid w:val="00727EFF"/>
    <w:rsid w:val="00730028"/>
    <w:rsid w:val="0073027E"/>
    <w:rsid w:val="0073043C"/>
    <w:rsid w:val="00730551"/>
    <w:rsid w:val="00730592"/>
    <w:rsid w:val="00730656"/>
    <w:rsid w:val="007306D9"/>
    <w:rsid w:val="0073095B"/>
    <w:rsid w:val="00730A57"/>
    <w:rsid w:val="007311F0"/>
    <w:rsid w:val="0073149A"/>
    <w:rsid w:val="007315EA"/>
    <w:rsid w:val="0073177C"/>
    <w:rsid w:val="007319AB"/>
    <w:rsid w:val="00731C84"/>
    <w:rsid w:val="00731E4B"/>
    <w:rsid w:val="00732017"/>
    <w:rsid w:val="00732091"/>
    <w:rsid w:val="0073228C"/>
    <w:rsid w:val="007322F1"/>
    <w:rsid w:val="007324AB"/>
    <w:rsid w:val="00732881"/>
    <w:rsid w:val="007329D8"/>
    <w:rsid w:val="00732F19"/>
    <w:rsid w:val="007331EB"/>
    <w:rsid w:val="00733308"/>
    <w:rsid w:val="00733C38"/>
    <w:rsid w:val="00733DB3"/>
    <w:rsid w:val="00734393"/>
    <w:rsid w:val="007348E7"/>
    <w:rsid w:val="00734AEB"/>
    <w:rsid w:val="00734CFF"/>
    <w:rsid w:val="00734D09"/>
    <w:rsid w:val="00734E3D"/>
    <w:rsid w:val="007355E0"/>
    <w:rsid w:val="007356C9"/>
    <w:rsid w:val="0073583C"/>
    <w:rsid w:val="00735BFF"/>
    <w:rsid w:val="00735CE7"/>
    <w:rsid w:val="00735ED1"/>
    <w:rsid w:val="0073617E"/>
    <w:rsid w:val="007362F4"/>
    <w:rsid w:val="00736360"/>
    <w:rsid w:val="00736419"/>
    <w:rsid w:val="00736519"/>
    <w:rsid w:val="00736B8D"/>
    <w:rsid w:val="00736C60"/>
    <w:rsid w:val="00736D5C"/>
    <w:rsid w:val="00737049"/>
    <w:rsid w:val="007379CF"/>
    <w:rsid w:val="00737BA4"/>
    <w:rsid w:val="00737D1F"/>
    <w:rsid w:val="00740023"/>
    <w:rsid w:val="0074007D"/>
    <w:rsid w:val="00740305"/>
    <w:rsid w:val="00740900"/>
    <w:rsid w:val="007409DD"/>
    <w:rsid w:val="007409F5"/>
    <w:rsid w:val="00740C46"/>
    <w:rsid w:val="00740F53"/>
    <w:rsid w:val="00740F8D"/>
    <w:rsid w:val="0074100C"/>
    <w:rsid w:val="00741152"/>
    <w:rsid w:val="0074119C"/>
    <w:rsid w:val="007413CA"/>
    <w:rsid w:val="007413DF"/>
    <w:rsid w:val="0074162D"/>
    <w:rsid w:val="00741700"/>
    <w:rsid w:val="00741750"/>
    <w:rsid w:val="0074175F"/>
    <w:rsid w:val="00741C88"/>
    <w:rsid w:val="00741D0E"/>
    <w:rsid w:val="00741FC9"/>
    <w:rsid w:val="00741FE2"/>
    <w:rsid w:val="007423C1"/>
    <w:rsid w:val="00742606"/>
    <w:rsid w:val="0074265E"/>
    <w:rsid w:val="00742ACA"/>
    <w:rsid w:val="00742BDC"/>
    <w:rsid w:val="00743095"/>
    <w:rsid w:val="0074365E"/>
    <w:rsid w:val="0074391A"/>
    <w:rsid w:val="0074397C"/>
    <w:rsid w:val="00743C0E"/>
    <w:rsid w:val="00743C40"/>
    <w:rsid w:val="0074448C"/>
    <w:rsid w:val="00744507"/>
    <w:rsid w:val="00744640"/>
    <w:rsid w:val="007448F7"/>
    <w:rsid w:val="00744D65"/>
    <w:rsid w:val="007454B6"/>
    <w:rsid w:val="007454BE"/>
    <w:rsid w:val="007455E4"/>
    <w:rsid w:val="00745EDF"/>
    <w:rsid w:val="007461AB"/>
    <w:rsid w:val="007461DE"/>
    <w:rsid w:val="007463B9"/>
    <w:rsid w:val="007464B5"/>
    <w:rsid w:val="007464F3"/>
    <w:rsid w:val="007468E8"/>
    <w:rsid w:val="00746996"/>
    <w:rsid w:val="00746A3D"/>
    <w:rsid w:val="00746A5C"/>
    <w:rsid w:val="00746BE0"/>
    <w:rsid w:val="00746DAC"/>
    <w:rsid w:val="0074707D"/>
    <w:rsid w:val="007472DE"/>
    <w:rsid w:val="0074751A"/>
    <w:rsid w:val="00747583"/>
    <w:rsid w:val="0074763C"/>
    <w:rsid w:val="0074770C"/>
    <w:rsid w:val="0074777A"/>
    <w:rsid w:val="0074798D"/>
    <w:rsid w:val="00747B34"/>
    <w:rsid w:val="00747BA8"/>
    <w:rsid w:val="007500F9"/>
    <w:rsid w:val="00750221"/>
    <w:rsid w:val="007504A0"/>
    <w:rsid w:val="00750569"/>
    <w:rsid w:val="007507B3"/>
    <w:rsid w:val="00750854"/>
    <w:rsid w:val="0075086F"/>
    <w:rsid w:val="007508AE"/>
    <w:rsid w:val="00750A6D"/>
    <w:rsid w:val="00750CE8"/>
    <w:rsid w:val="0075103B"/>
    <w:rsid w:val="007511D7"/>
    <w:rsid w:val="00751271"/>
    <w:rsid w:val="007517EB"/>
    <w:rsid w:val="00751A50"/>
    <w:rsid w:val="00751D86"/>
    <w:rsid w:val="00751ED2"/>
    <w:rsid w:val="007523C7"/>
    <w:rsid w:val="00752694"/>
    <w:rsid w:val="007527BC"/>
    <w:rsid w:val="00752BD2"/>
    <w:rsid w:val="00752DE5"/>
    <w:rsid w:val="00752F7A"/>
    <w:rsid w:val="00753010"/>
    <w:rsid w:val="00753599"/>
    <w:rsid w:val="00753815"/>
    <w:rsid w:val="00753BB9"/>
    <w:rsid w:val="007540CF"/>
    <w:rsid w:val="00754554"/>
    <w:rsid w:val="007545EB"/>
    <w:rsid w:val="00754726"/>
    <w:rsid w:val="0075489F"/>
    <w:rsid w:val="00754C2C"/>
    <w:rsid w:val="00754C46"/>
    <w:rsid w:val="00754CDE"/>
    <w:rsid w:val="00754E19"/>
    <w:rsid w:val="00754F28"/>
    <w:rsid w:val="00754F36"/>
    <w:rsid w:val="00755367"/>
    <w:rsid w:val="007553BB"/>
    <w:rsid w:val="00755456"/>
    <w:rsid w:val="00755C5B"/>
    <w:rsid w:val="00755DFC"/>
    <w:rsid w:val="00755E49"/>
    <w:rsid w:val="0075608A"/>
    <w:rsid w:val="007561E5"/>
    <w:rsid w:val="007564A5"/>
    <w:rsid w:val="00756590"/>
    <w:rsid w:val="0075671B"/>
    <w:rsid w:val="00756B16"/>
    <w:rsid w:val="00756BAC"/>
    <w:rsid w:val="00756C1C"/>
    <w:rsid w:val="00756DAF"/>
    <w:rsid w:val="00756F69"/>
    <w:rsid w:val="0075706F"/>
    <w:rsid w:val="00757C09"/>
    <w:rsid w:val="00757CC9"/>
    <w:rsid w:val="007603FC"/>
    <w:rsid w:val="0076073F"/>
    <w:rsid w:val="00760846"/>
    <w:rsid w:val="00760965"/>
    <w:rsid w:val="00760D03"/>
    <w:rsid w:val="00760E0E"/>
    <w:rsid w:val="007610A2"/>
    <w:rsid w:val="00761314"/>
    <w:rsid w:val="0076132C"/>
    <w:rsid w:val="007616C7"/>
    <w:rsid w:val="007617EA"/>
    <w:rsid w:val="00761DDF"/>
    <w:rsid w:val="00761FD3"/>
    <w:rsid w:val="0076261D"/>
    <w:rsid w:val="00762964"/>
    <w:rsid w:val="00762C4D"/>
    <w:rsid w:val="00762E23"/>
    <w:rsid w:val="00763003"/>
    <w:rsid w:val="00763088"/>
    <w:rsid w:val="00764494"/>
    <w:rsid w:val="007644F0"/>
    <w:rsid w:val="00764B9F"/>
    <w:rsid w:val="00764DA4"/>
    <w:rsid w:val="00765157"/>
    <w:rsid w:val="00765224"/>
    <w:rsid w:val="00765517"/>
    <w:rsid w:val="00765677"/>
    <w:rsid w:val="00765860"/>
    <w:rsid w:val="00765AD7"/>
    <w:rsid w:val="00765AEB"/>
    <w:rsid w:val="0076608B"/>
    <w:rsid w:val="00766283"/>
    <w:rsid w:val="007662D5"/>
    <w:rsid w:val="00766374"/>
    <w:rsid w:val="007665C0"/>
    <w:rsid w:val="00766603"/>
    <w:rsid w:val="00766649"/>
    <w:rsid w:val="00766CD0"/>
    <w:rsid w:val="00766CE5"/>
    <w:rsid w:val="00766F1A"/>
    <w:rsid w:val="00767054"/>
    <w:rsid w:val="007671C9"/>
    <w:rsid w:val="00767481"/>
    <w:rsid w:val="00767965"/>
    <w:rsid w:val="00767A13"/>
    <w:rsid w:val="00767C28"/>
    <w:rsid w:val="00767E6D"/>
    <w:rsid w:val="00767F64"/>
    <w:rsid w:val="007701F6"/>
    <w:rsid w:val="007702A8"/>
    <w:rsid w:val="0077093A"/>
    <w:rsid w:val="00770A0D"/>
    <w:rsid w:val="00770D2A"/>
    <w:rsid w:val="00770E34"/>
    <w:rsid w:val="007710AC"/>
    <w:rsid w:val="00771718"/>
    <w:rsid w:val="007718F6"/>
    <w:rsid w:val="00771B65"/>
    <w:rsid w:val="00771EF9"/>
    <w:rsid w:val="0077296C"/>
    <w:rsid w:val="00772CF5"/>
    <w:rsid w:val="00772DD2"/>
    <w:rsid w:val="007730FB"/>
    <w:rsid w:val="007733D0"/>
    <w:rsid w:val="007734DD"/>
    <w:rsid w:val="007737EB"/>
    <w:rsid w:val="007739F9"/>
    <w:rsid w:val="00773F98"/>
    <w:rsid w:val="00774268"/>
    <w:rsid w:val="007747F2"/>
    <w:rsid w:val="00774B2E"/>
    <w:rsid w:val="00774C64"/>
    <w:rsid w:val="00774FA8"/>
    <w:rsid w:val="00775119"/>
    <w:rsid w:val="00775162"/>
    <w:rsid w:val="00775B52"/>
    <w:rsid w:val="00775D3E"/>
    <w:rsid w:val="00775F00"/>
    <w:rsid w:val="007764CC"/>
    <w:rsid w:val="00776AAD"/>
    <w:rsid w:val="00776ADD"/>
    <w:rsid w:val="0077731C"/>
    <w:rsid w:val="00777338"/>
    <w:rsid w:val="007773C2"/>
    <w:rsid w:val="00777410"/>
    <w:rsid w:val="007774A8"/>
    <w:rsid w:val="00777AE2"/>
    <w:rsid w:val="0078006B"/>
    <w:rsid w:val="007800C8"/>
    <w:rsid w:val="007802A7"/>
    <w:rsid w:val="00780670"/>
    <w:rsid w:val="00780706"/>
    <w:rsid w:val="00780791"/>
    <w:rsid w:val="007807D2"/>
    <w:rsid w:val="007808AC"/>
    <w:rsid w:val="00780AC1"/>
    <w:rsid w:val="00780AE7"/>
    <w:rsid w:val="00780CAD"/>
    <w:rsid w:val="00780E8B"/>
    <w:rsid w:val="00780F6F"/>
    <w:rsid w:val="00781638"/>
    <w:rsid w:val="007816BE"/>
    <w:rsid w:val="00781901"/>
    <w:rsid w:val="00781A24"/>
    <w:rsid w:val="00781B1D"/>
    <w:rsid w:val="00781E1A"/>
    <w:rsid w:val="00781E9D"/>
    <w:rsid w:val="0078236A"/>
    <w:rsid w:val="00782A32"/>
    <w:rsid w:val="00782B45"/>
    <w:rsid w:val="00782FA3"/>
    <w:rsid w:val="0078328F"/>
    <w:rsid w:val="00783427"/>
    <w:rsid w:val="00783631"/>
    <w:rsid w:val="0078398F"/>
    <w:rsid w:val="00783A88"/>
    <w:rsid w:val="00783D0C"/>
    <w:rsid w:val="00783D12"/>
    <w:rsid w:val="00783D87"/>
    <w:rsid w:val="007840C7"/>
    <w:rsid w:val="00784281"/>
    <w:rsid w:val="0078430D"/>
    <w:rsid w:val="0078447B"/>
    <w:rsid w:val="00784863"/>
    <w:rsid w:val="00784891"/>
    <w:rsid w:val="007849FA"/>
    <w:rsid w:val="0078564E"/>
    <w:rsid w:val="00785CA4"/>
    <w:rsid w:val="00785F4D"/>
    <w:rsid w:val="00786034"/>
    <w:rsid w:val="007866C3"/>
    <w:rsid w:val="00786BA9"/>
    <w:rsid w:val="00786FA6"/>
    <w:rsid w:val="007871FD"/>
    <w:rsid w:val="00787225"/>
    <w:rsid w:val="00787306"/>
    <w:rsid w:val="00787376"/>
    <w:rsid w:val="0078752B"/>
    <w:rsid w:val="00787931"/>
    <w:rsid w:val="00787948"/>
    <w:rsid w:val="00787A8E"/>
    <w:rsid w:val="00787D55"/>
    <w:rsid w:val="00787EFE"/>
    <w:rsid w:val="00787F46"/>
    <w:rsid w:val="0079008A"/>
    <w:rsid w:val="00790280"/>
    <w:rsid w:val="007902A1"/>
    <w:rsid w:val="007903DC"/>
    <w:rsid w:val="00790451"/>
    <w:rsid w:val="007904D0"/>
    <w:rsid w:val="0079050C"/>
    <w:rsid w:val="0079074D"/>
    <w:rsid w:val="00790828"/>
    <w:rsid w:val="00790902"/>
    <w:rsid w:val="00790E38"/>
    <w:rsid w:val="00791004"/>
    <w:rsid w:val="00791270"/>
    <w:rsid w:val="00791C92"/>
    <w:rsid w:val="00791FB5"/>
    <w:rsid w:val="00791FF5"/>
    <w:rsid w:val="0079203A"/>
    <w:rsid w:val="007920F4"/>
    <w:rsid w:val="007925EE"/>
    <w:rsid w:val="0079269C"/>
    <w:rsid w:val="00792984"/>
    <w:rsid w:val="00792AC6"/>
    <w:rsid w:val="00792EB7"/>
    <w:rsid w:val="0079326A"/>
    <w:rsid w:val="00793367"/>
    <w:rsid w:val="007933C6"/>
    <w:rsid w:val="00793618"/>
    <w:rsid w:val="007937EE"/>
    <w:rsid w:val="00793827"/>
    <w:rsid w:val="00793946"/>
    <w:rsid w:val="00793B59"/>
    <w:rsid w:val="00793C26"/>
    <w:rsid w:val="00793E3E"/>
    <w:rsid w:val="00793FD9"/>
    <w:rsid w:val="00794083"/>
    <w:rsid w:val="00794562"/>
    <w:rsid w:val="007947CA"/>
    <w:rsid w:val="00794912"/>
    <w:rsid w:val="00794A3F"/>
    <w:rsid w:val="00794D09"/>
    <w:rsid w:val="007953A2"/>
    <w:rsid w:val="007954CA"/>
    <w:rsid w:val="007958C7"/>
    <w:rsid w:val="00795B04"/>
    <w:rsid w:val="00795BBE"/>
    <w:rsid w:val="00795F5E"/>
    <w:rsid w:val="00796084"/>
    <w:rsid w:val="007960E6"/>
    <w:rsid w:val="0079613A"/>
    <w:rsid w:val="007961DD"/>
    <w:rsid w:val="007962F9"/>
    <w:rsid w:val="00796317"/>
    <w:rsid w:val="0079651B"/>
    <w:rsid w:val="007966F0"/>
    <w:rsid w:val="00796887"/>
    <w:rsid w:val="007969BE"/>
    <w:rsid w:val="007969F4"/>
    <w:rsid w:val="00796AEE"/>
    <w:rsid w:val="00796CD8"/>
    <w:rsid w:val="00796ED4"/>
    <w:rsid w:val="00796FA1"/>
    <w:rsid w:val="0079719A"/>
    <w:rsid w:val="00797369"/>
    <w:rsid w:val="007973CA"/>
    <w:rsid w:val="00797541"/>
    <w:rsid w:val="00797D3D"/>
    <w:rsid w:val="00797F30"/>
    <w:rsid w:val="00797FF0"/>
    <w:rsid w:val="007A01F4"/>
    <w:rsid w:val="007A071B"/>
    <w:rsid w:val="007A073A"/>
    <w:rsid w:val="007A0903"/>
    <w:rsid w:val="007A0B0F"/>
    <w:rsid w:val="007A0CA9"/>
    <w:rsid w:val="007A0FA9"/>
    <w:rsid w:val="007A10BB"/>
    <w:rsid w:val="007A1109"/>
    <w:rsid w:val="007A123A"/>
    <w:rsid w:val="007A1443"/>
    <w:rsid w:val="007A1485"/>
    <w:rsid w:val="007A1732"/>
    <w:rsid w:val="007A1783"/>
    <w:rsid w:val="007A1BEF"/>
    <w:rsid w:val="007A20E6"/>
    <w:rsid w:val="007A219C"/>
    <w:rsid w:val="007A2204"/>
    <w:rsid w:val="007A243D"/>
    <w:rsid w:val="007A273C"/>
    <w:rsid w:val="007A2BE8"/>
    <w:rsid w:val="007A2DF6"/>
    <w:rsid w:val="007A3309"/>
    <w:rsid w:val="007A340F"/>
    <w:rsid w:val="007A3798"/>
    <w:rsid w:val="007A3A45"/>
    <w:rsid w:val="007A3E64"/>
    <w:rsid w:val="007A4054"/>
    <w:rsid w:val="007A42D9"/>
    <w:rsid w:val="007A44C9"/>
    <w:rsid w:val="007A47B2"/>
    <w:rsid w:val="007A48F4"/>
    <w:rsid w:val="007A4C4D"/>
    <w:rsid w:val="007A4D8E"/>
    <w:rsid w:val="007A52FA"/>
    <w:rsid w:val="007A53BC"/>
    <w:rsid w:val="007A5789"/>
    <w:rsid w:val="007A5A05"/>
    <w:rsid w:val="007A64CB"/>
    <w:rsid w:val="007A671C"/>
    <w:rsid w:val="007A67E3"/>
    <w:rsid w:val="007A685A"/>
    <w:rsid w:val="007A6CE0"/>
    <w:rsid w:val="007A6DA0"/>
    <w:rsid w:val="007A6DE9"/>
    <w:rsid w:val="007A6E42"/>
    <w:rsid w:val="007A6EC5"/>
    <w:rsid w:val="007A7098"/>
    <w:rsid w:val="007A7644"/>
    <w:rsid w:val="007A79EE"/>
    <w:rsid w:val="007A7E20"/>
    <w:rsid w:val="007B0338"/>
    <w:rsid w:val="007B0574"/>
    <w:rsid w:val="007B0825"/>
    <w:rsid w:val="007B0879"/>
    <w:rsid w:val="007B0904"/>
    <w:rsid w:val="007B09D7"/>
    <w:rsid w:val="007B0C54"/>
    <w:rsid w:val="007B0E86"/>
    <w:rsid w:val="007B1500"/>
    <w:rsid w:val="007B1535"/>
    <w:rsid w:val="007B158E"/>
    <w:rsid w:val="007B1A3E"/>
    <w:rsid w:val="007B1ADA"/>
    <w:rsid w:val="007B1E2C"/>
    <w:rsid w:val="007B1F81"/>
    <w:rsid w:val="007B22CA"/>
    <w:rsid w:val="007B2457"/>
    <w:rsid w:val="007B250A"/>
    <w:rsid w:val="007B265D"/>
    <w:rsid w:val="007B2C3B"/>
    <w:rsid w:val="007B2D02"/>
    <w:rsid w:val="007B36D6"/>
    <w:rsid w:val="007B3969"/>
    <w:rsid w:val="007B39DD"/>
    <w:rsid w:val="007B3ADF"/>
    <w:rsid w:val="007B3B71"/>
    <w:rsid w:val="007B41FD"/>
    <w:rsid w:val="007B4251"/>
    <w:rsid w:val="007B4413"/>
    <w:rsid w:val="007B479E"/>
    <w:rsid w:val="007B4A96"/>
    <w:rsid w:val="007B4B29"/>
    <w:rsid w:val="007B4C11"/>
    <w:rsid w:val="007B4D3F"/>
    <w:rsid w:val="007B4F19"/>
    <w:rsid w:val="007B4F3D"/>
    <w:rsid w:val="007B4FC5"/>
    <w:rsid w:val="007B53D3"/>
    <w:rsid w:val="007B56BD"/>
    <w:rsid w:val="007B5825"/>
    <w:rsid w:val="007B5918"/>
    <w:rsid w:val="007B59E1"/>
    <w:rsid w:val="007B5C29"/>
    <w:rsid w:val="007B60F2"/>
    <w:rsid w:val="007B614F"/>
    <w:rsid w:val="007B6478"/>
    <w:rsid w:val="007B65FC"/>
    <w:rsid w:val="007B67C6"/>
    <w:rsid w:val="007B6AA1"/>
    <w:rsid w:val="007B6FA5"/>
    <w:rsid w:val="007B7217"/>
    <w:rsid w:val="007B7338"/>
    <w:rsid w:val="007B7CB0"/>
    <w:rsid w:val="007B7D86"/>
    <w:rsid w:val="007B7EC8"/>
    <w:rsid w:val="007C0059"/>
    <w:rsid w:val="007C0377"/>
    <w:rsid w:val="007C08FF"/>
    <w:rsid w:val="007C0B03"/>
    <w:rsid w:val="007C0C9E"/>
    <w:rsid w:val="007C0DB5"/>
    <w:rsid w:val="007C0E15"/>
    <w:rsid w:val="007C0F53"/>
    <w:rsid w:val="007C10B0"/>
    <w:rsid w:val="007C10BB"/>
    <w:rsid w:val="007C1351"/>
    <w:rsid w:val="007C1499"/>
    <w:rsid w:val="007C16BE"/>
    <w:rsid w:val="007C1703"/>
    <w:rsid w:val="007C17E8"/>
    <w:rsid w:val="007C1BD6"/>
    <w:rsid w:val="007C1D7A"/>
    <w:rsid w:val="007C1E30"/>
    <w:rsid w:val="007C2058"/>
    <w:rsid w:val="007C217D"/>
    <w:rsid w:val="007C2282"/>
    <w:rsid w:val="007C22B2"/>
    <w:rsid w:val="007C2442"/>
    <w:rsid w:val="007C2461"/>
    <w:rsid w:val="007C271C"/>
    <w:rsid w:val="007C2893"/>
    <w:rsid w:val="007C292B"/>
    <w:rsid w:val="007C2B25"/>
    <w:rsid w:val="007C2B61"/>
    <w:rsid w:val="007C2F7B"/>
    <w:rsid w:val="007C3309"/>
    <w:rsid w:val="007C3374"/>
    <w:rsid w:val="007C3497"/>
    <w:rsid w:val="007C371F"/>
    <w:rsid w:val="007C3917"/>
    <w:rsid w:val="007C3944"/>
    <w:rsid w:val="007C3AD8"/>
    <w:rsid w:val="007C3E2E"/>
    <w:rsid w:val="007C4038"/>
    <w:rsid w:val="007C42BD"/>
    <w:rsid w:val="007C4B07"/>
    <w:rsid w:val="007C4B2C"/>
    <w:rsid w:val="007C4CE5"/>
    <w:rsid w:val="007C53CE"/>
    <w:rsid w:val="007C5436"/>
    <w:rsid w:val="007C5564"/>
    <w:rsid w:val="007C55C5"/>
    <w:rsid w:val="007C586B"/>
    <w:rsid w:val="007C5CD8"/>
    <w:rsid w:val="007C6104"/>
    <w:rsid w:val="007C6A39"/>
    <w:rsid w:val="007C6C95"/>
    <w:rsid w:val="007C6CCC"/>
    <w:rsid w:val="007C6ED5"/>
    <w:rsid w:val="007C7408"/>
    <w:rsid w:val="007C76E6"/>
    <w:rsid w:val="007C7A89"/>
    <w:rsid w:val="007C7B89"/>
    <w:rsid w:val="007D04CE"/>
    <w:rsid w:val="007D08C0"/>
    <w:rsid w:val="007D0D32"/>
    <w:rsid w:val="007D0D41"/>
    <w:rsid w:val="007D13C6"/>
    <w:rsid w:val="007D1EDF"/>
    <w:rsid w:val="007D2A90"/>
    <w:rsid w:val="007D2B3D"/>
    <w:rsid w:val="007D2FEF"/>
    <w:rsid w:val="007D32FC"/>
    <w:rsid w:val="007D33E4"/>
    <w:rsid w:val="007D33FA"/>
    <w:rsid w:val="007D342A"/>
    <w:rsid w:val="007D34AA"/>
    <w:rsid w:val="007D3829"/>
    <w:rsid w:val="007D3897"/>
    <w:rsid w:val="007D3D32"/>
    <w:rsid w:val="007D3DF7"/>
    <w:rsid w:val="007D451F"/>
    <w:rsid w:val="007D471F"/>
    <w:rsid w:val="007D4724"/>
    <w:rsid w:val="007D4FC4"/>
    <w:rsid w:val="007D56DD"/>
    <w:rsid w:val="007D583B"/>
    <w:rsid w:val="007D586F"/>
    <w:rsid w:val="007D5D10"/>
    <w:rsid w:val="007D5F47"/>
    <w:rsid w:val="007D6143"/>
    <w:rsid w:val="007D620C"/>
    <w:rsid w:val="007D62C4"/>
    <w:rsid w:val="007D634C"/>
    <w:rsid w:val="007D64BD"/>
    <w:rsid w:val="007D6608"/>
    <w:rsid w:val="007D68EE"/>
    <w:rsid w:val="007D6A1E"/>
    <w:rsid w:val="007D6B15"/>
    <w:rsid w:val="007D6C04"/>
    <w:rsid w:val="007D7037"/>
    <w:rsid w:val="007D75DD"/>
    <w:rsid w:val="007D7E29"/>
    <w:rsid w:val="007D7E83"/>
    <w:rsid w:val="007E0187"/>
    <w:rsid w:val="007E03A2"/>
    <w:rsid w:val="007E068F"/>
    <w:rsid w:val="007E070F"/>
    <w:rsid w:val="007E07FE"/>
    <w:rsid w:val="007E094B"/>
    <w:rsid w:val="007E0ABF"/>
    <w:rsid w:val="007E0FBF"/>
    <w:rsid w:val="007E1031"/>
    <w:rsid w:val="007E1064"/>
    <w:rsid w:val="007E1253"/>
    <w:rsid w:val="007E1520"/>
    <w:rsid w:val="007E203F"/>
    <w:rsid w:val="007E255D"/>
    <w:rsid w:val="007E2683"/>
    <w:rsid w:val="007E39C1"/>
    <w:rsid w:val="007E39FE"/>
    <w:rsid w:val="007E4504"/>
    <w:rsid w:val="007E4966"/>
    <w:rsid w:val="007E4A99"/>
    <w:rsid w:val="007E4C58"/>
    <w:rsid w:val="007E4D67"/>
    <w:rsid w:val="007E5038"/>
    <w:rsid w:val="007E511A"/>
    <w:rsid w:val="007E51FA"/>
    <w:rsid w:val="007E5A86"/>
    <w:rsid w:val="007E5AE7"/>
    <w:rsid w:val="007E5B81"/>
    <w:rsid w:val="007E5BE9"/>
    <w:rsid w:val="007E5CB5"/>
    <w:rsid w:val="007E6114"/>
    <w:rsid w:val="007E62A5"/>
    <w:rsid w:val="007E664C"/>
    <w:rsid w:val="007E691C"/>
    <w:rsid w:val="007E6AE4"/>
    <w:rsid w:val="007E7120"/>
    <w:rsid w:val="007E7760"/>
    <w:rsid w:val="007E7B2A"/>
    <w:rsid w:val="007E7C90"/>
    <w:rsid w:val="007E7E36"/>
    <w:rsid w:val="007F0409"/>
    <w:rsid w:val="007F0673"/>
    <w:rsid w:val="007F0982"/>
    <w:rsid w:val="007F0C82"/>
    <w:rsid w:val="007F1C76"/>
    <w:rsid w:val="007F1C96"/>
    <w:rsid w:val="007F1D45"/>
    <w:rsid w:val="007F1DE8"/>
    <w:rsid w:val="007F1FC7"/>
    <w:rsid w:val="007F21D0"/>
    <w:rsid w:val="007F226D"/>
    <w:rsid w:val="007F23B8"/>
    <w:rsid w:val="007F2457"/>
    <w:rsid w:val="007F26B4"/>
    <w:rsid w:val="007F283A"/>
    <w:rsid w:val="007F2A7A"/>
    <w:rsid w:val="007F2ABD"/>
    <w:rsid w:val="007F2AFB"/>
    <w:rsid w:val="007F32D3"/>
    <w:rsid w:val="007F37E4"/>
    <w:rsid w:val="007F3AB9"/>
    <w:rsid w:val="007F3ADB"/>
    <w:rsid w:val="007F3BA2"/>
    <w:rsid w:val="007F42C9"/>
    <w:rsid w:val="007F44F7"/>
    <w:rsid w:val="007F4C04"/>
    <w:rsid w:val="007F4E63"/>
    <w:rsid w:val="007F5141"/>
    <w:rsid w:val="007F517E"/>
    <w:rsid w:val="007F5239"/>
    <w:rsid w:val="007F5259"/>
    <w:rsid w:val="007F553F"/>
    <w:rsid w:val="007F57FD"/>
    <w:rsid w:val="007F5DCE"/>
    <w:rsid w:val="007F6113"/>
    <w:rsid w:val="007F63AC"/>
    <w:rsid w:val="007F665E"/>
    <w:rsid w:val="007F6668"/>
    <w:rsid w:val="007F6992"/>
    <w:rsid w:val="007F6B0C"/>
    <w:rsid w:val="007F6D46"/>
    <w:rsid w:val="007F6ED1"/>
    <w:rsid w:val="007F7039"/>
    <w:rsid w:val="007F70AE"/>
    <w:rsid w:val="007F7165"/>
    <w:rsid w:val="007F727A"/>
    <w:rsid w:val="007F73B1"/>
    <w:rsid w:val="007F786F"/>
    <w:rsid w:val="007F7CA6"/>
    <w:rsid w:val="00800479"/>
    <w:rsid w:val="00800482"/>
    <w:rsid w:val="008009E0"/>
    <w:rsid w:val="00800E10"/>
    <w:rsid w:val="00800F13"/>
    <w:rsid w:val="008012FE"/>
    <w:rsid w:val="008015F3"/>
    <w:rsid w:val="0080172B"/>
    <w:rsid w:val="008019A6"/>
    <w:rsid w:val="00801C75"/>
    <w:rsid w:val="00802022"/>
    <w:rsid w:val="00802080"/>
    <w:rsid w:val="00802300"/>
    <w:rsid w:val="00802493"/>
    <w:rsid w:val="00802AF5"/>
    <w:rsid w:val="00802B59"/>
    <w:rsid w:val="00802D43"/>
    <w:rsid w:val="00802E67"/>
    <w:rsid w:val="00802FD0"/>
    <w:rsid w:val="00803088"/>
    <w:rsid w:val="008034C6"/>
    <w:rsid w:val="00803A7E"/>
    <w:rsid w:val="00803DB6"/>
    <w:rsid w:val="0080458B"/>
    <w:rsid w:val="008049BE"/>
    <w:rsid w:val="00804A94"/>
    <w:rsid w:val="00804AA9"/>
    <w:rsid w:val="00804B9F"/>
    <w:rsid w:val="00804CEB"/>
    <w:rsid w:val="00804D09"/>
    <w:rsid w:val="00805283"/>
    <w:rsid w:val="0080562D"/>
    <w:rsid w:val="00805634"/>
    <w:rsid w:val="008056EE"/>
    <w:rsid w:val="00805846"/>
    <w:rsid w:val="00805A9E"/>
    <w:rsid w:val="00805C5D"/>
    <w:rsid w:val="00805DE5"/>
    <w:rsid w:val="00805E5E"/>
    <w:rsid w:val="0080601A"/>
    <w:rsid w:val="0080615F"/>
    <w:rsid w:val="008066C6"/>
    <w:rsid w:val="00806A5A"/>
    <w:rsid w:val="00806AAA"/>
    <w:rsid w:val="00806C8E"/>
    <w:rsid w:val="00806F51"/>
    <w:rsid w:val="00806FCB"/>
    <w:rsid w:val="008071E5"/>
    <w:rsid w:val="0080730F"/>
    <w:rsid w:val="0080785C"/>
    <w:rsid w:val="00807A62"/>
    <w:rsid w:val="00807C0F"/>
    <w:rsid w:val="00807D4F"/>
    <w:rsid w:val="00807F20"/>
    <w:rsid w:val="0081004D"/>
    <w:rsid w:val="008102CE"/>
    <w:rsid w:val="008102D1"/>
    <w:rsid w:val="00810438"/>
    <w:rsid w:val="0081055E"/>
    <w:rsid w:val="00810879"/>
    <w:rsid w:val="00810F3D"/>
    <w:rsid w:val="0081101B"/>
    <w:rsid w:val="008111A8"/>
    <w:rsid w:val="00811394"/>
    <w:rsid w:val="00811B82"/>
    <w:rsid w:val="00811CCE"/>
    <w:rsid w:val="00811E97"/>
    <w:rsid w:val="00811EF8"/>
    <w:rsid w:val="00812095"/>
    <w:rsid w:val="008123F1"/>
    <w:rsid w:val="008126E4"/>
    <w:rsid w:val="0081286A"/>
    <w:rsid w:val="00812913"/>
    <w:rsid w:val="00812C98"/>
    <w:rsid w:val="008131F4"/>
    <w:rsid w:val="00813212"/>
    <w:rsid w:val="00813459"/>
    <w:rsid w:val="008136AD"/>
    <w:rsid w:val="00813A8A"/>
    <w:rsid w:val="00813DA8"/>
    <w:rsid w:val="0081408A"/>
    <w:rsid w:val="00814148"/>
    <w:rsid w:val="0081415E"/>
    <w:rsid w:val="00814218"/>
    <w:rsid w:val="008142EF"/>
    <w:rsid w:val="0081472E"/>
    <w:rsid w:val="00814ABB"/>
    <w:rsid w:val="00814B44"/>
    <w:rsid w:val="00814BFB"/>
    <w:rsid w:val="00815060"/>
    <w:rsid w:val="0081525A"/>
    <w:rsid w:val="00815372"/>
    <w:rsid w:val="008153B4"/>
    <w:rsid w:val="008158CA"/>
    <w:rsid w:val="00815E88"/>
    <w:rsid w:val="00815F2F"/>
    <w:rsid w:val="008161F8"/>
    <w:rsid w:val="00816264"/>
    <w:rsid w:val="008164EC"/>
    <w:rsid w:val="0081666C"/>
    <w:rsid w:val="00816746"/>
    <w:rsid w:val="008169E9"/>
    <w:rsid w:val="00816BB1"/>
    <w:rsid w:val="00817096"/>
    <w:rsid w:val="0081714E"/>
    <w:rsid w:val="008171EC"/>
    <w:rsid w:val="008172E4"/>
    <w:rsid w:val="0081775F"/>
    <w:rsid w:val="0081776E"/>
    <w:rsid w:val="008177B2"/>
    <w:rsid w:val="00817F28"/>
    <w:rsid w:val="00820165"/>
    <w:rsid w:val="0082024D"/>
    <w:rsid w:val="0082047F"/>
    <w:rsid w:val="00820B57"/>
    <w:rsid w:val="00820C31"/>
    <w:rsid w:val="00820EE8"/>
    <w:rsid w:val="00820F35"/>
    <w:rsid w:val="00820FC8"/>
    <w:rsid w:val="0082109E"/>
    <w:rsid w:val="00821120"/>
    <w:rsid w:val="00821355"/>
    <w:rsid w:val="0082177F"/>
    <w:rsid w:val="008217CF"/>
    <w:rsid w:val="00821AC0"/>
    <w:rsid w:val="0082246E"/>
    <w:rsid w:val="0082249D"/>
    <w:rsid w:val="0082266D"/>
    <w:rsid w:val="0082271C"/>
    <w:rsid w:val="008229CD"/>
    <w:rsid w:val="00822E12"/>
    <w:rsid w:val="00822FC8"/>
    <w:rsid w:val="00823043"/>
    <w:rsid w:val="0082358C"/>
    <w:rsid w:val="008236E9"/>
    <w:rsid w:val="0082386E"/>
    <w:rsid w:val="008238AD"/>
    <w:rsid w:val="00823A96"/>
    <w:rsid w:val="00823D99"/>
    <w:rsid w:val="0082422B"/>
    <w:rsid w:val="008242A6"/>
    <w:rsid w:val="0082494E"/>
    <w:rsid w:val="00824A09"/>
    <w:rsid w:val="00824E5C"/>
    <w:rsid w:val="008252B6"/>
    <w:rsid w:val="00825619"/>
    <w:rsid w:val="00825720"/>
    <w:rsid w:val="008257B0"/>
    <w:rsid w:val="00825A5C"/>
    <w:rsid w:val="00825F0D"/>
    <w:rsid w:val="00825FFA"/>
    <w:rsid w:val="00826287"/>
    <w:rsid w:val="00826520"/>
    <w:rsid w:val="00826682"/>
    <w:rsid w:val="0082668D"/>
    <w:rsid w:val="00826724"/>
    <w:rsid w:val="0082677A"/>
    <w:rsid w:val="00826B00"/>
    <w:rsid w:val="00826F10"/>
    <w:rsid w:val="0082708A"/>
    <w:rsid w:val="008273EF"/>
    <w:rsid w:val="0082743A"/>
    <w:rsid w:val="00827495"/>
    <w:rsid w:val="00827BBE"/>
    <w:rsid w:val="0083037F"/>
    <w:rsid w:val="008305DD"/>
    <w:rsid w:val="008309FB"/>
    <w:rsid w:val="00830B7F"/>
    <w:rsid w:val="00830C50"/>
    <w:rsid w:val="00830EE4"/>
    <w:rsid w:val="008310EF"/>
    <w:rsid w:val="00831280"/>
    <w:rsid w:val="00831644"/>
    <w:rsid w:val="00831AA5"/>
    <w:rsid w:val="00831E3B"/>
    <w:rsid w:val="00831E83"/>
    <w:rsid w:val="00831FA0"/>
    <w:rsid w:val="008320C3"/>
    <w:rsid w:val="0083216B"/>
    <w:rsid w:val="008322B8"/>
    <w:rsid w:val="008324BB"/>
    <w:rsid w:val="008324D9"/>
    <w:rsid w:val="0083270A"/>
    <w:rsid w:val="008327B6"/>
    <w:rsid w:val="008327C8"/>
    <w:rsid w:val="0083299E"/>
    <w:rsid w:val="00832B8E"/>
    <w:rsid w:val="00832DC6"/>
    <w:rsid w:val="00833047"/>
    <w:rsid w:val="00833501"/>
    <w:rsid w:val="00833514"/>
    <w:rsid w:val="00833A5C"/>
    <w:rsid w:val="00833A64"/>
    <w:rsid w:val="00833C5E"/>
    <w:rsid w:val="00833DBB"/>
    <w:rsid w:val="00833F41"/>
    <w:rsid w:val="008343EB"/>
    <w:rsid w:val="0083453F"/>
    <w:rsid w:val="008347E2"/>
    <w:rsid w:val="00834923"/>
    <w:rsid w:val="00834CE8"/>
    <w:rsid w:val="00834D95"/>
    <w:rsid w:val="00834F39"/>
    <w:rsid w:val="00834F8C"/>
    <w:rsid w:val="00834FCC"/>
    <w:rsid w:val="0083507B"/>
    <w:rsid w:val="0083523E"/>
    <w:rsid w:val="008352DB"/>
    <w:rsid w:val="00835593"/>
    <w:rsid w:val="00835656"/>
    <w:rsid w:val="00835766"/>
    <w:rsid w:val="00835ADA"/>
    <w:rsid w:val="00835E9E"/>
    <w:rsid w:val="00835F92"/>
    <w:rsid w:val="00835FB4"/>
    <w:rsid w:val="0083611F"/>
    <w:rsid w:val="0083639D"/>
    <w:rsid w:val="008364B7"/>
    <w:rsid w:val="00836584"/>
    <w:rsid w:val="008365C2"/>
    <w:rsid w:val="00836B71"/>
    <w:rsid w:val="00836BB9"/>
    <w:rsid w:val="00837681"/>
    <w:rsid w:val="008379D6"/>
    <w:rsid w:val="00837B8E"/>
    <w:rsid w:val="00837E24"/>
    <w:rsid w:val="008403BF"/>
    <w:rsid w:val="0084089C"/>
    <w:rsid w:val="00840C2C"/>
    <w:rsid w:val="00840D66"/>
    <w:rsid w:val="0084121F"/>
    <w:rsid w:val="008412C8"/>
    <w:rsid w:val="00841424"/>
    <w:rsid w:val="008414E8"/>
    <w:rsid w:val="00841607"/>
    <w:rsid w:val="008418E3"/>
    <w:rsid w:val="00841AF3"/>
    <w:rsid w:val="00841C4F"/>
    <w:rsid w:val="00841EB7"/>
    <w:rsid w:val="0084239E"/>
    <w:rsid w:val="00842678"/>
    <w:rsid w:val="00842B5F"/>
    <w:rsid w:val="00842F63"/>
    <w:rsid w:val="0084314E"/>
    <w:rsid w:val="0084317B"/>
    <w:rsid w:val="00843491"/>
    <w:rsid w:val="008436D0"/>
    <w:rsid w:val="0084395B"/>
    <w:rsid w:val="00843A6A"/>
    <w:rsid w:val="0084414D"/>
    <w:rsid w:val="008443F1"/>
    <w:rsid w:val="0084466B"/>
    <w:rsid w:val="0084471F"/>
    <w:rsid w:val="00844852"/>
    <w:rsid w:val="008449C4"/>
    <w:rsid w:val="00844C28"/>
    <w:rsid w:val="00844CC4"/>
    <w:rsid w:val="00844F8F"/>
    <w:rsid w:val="008452B7"/>
    <w:rsid w:val="00845757"/>
    <w:rsid w:val="008459F5"/>
    <w:rsid w:val="00845AA8"/>
    <w:rsid w:val="00845B41"/>
    <w:rsid w:val="00845D5B"/>
    <w:rsid w:val="00846555"/>
    <w:rsid w:val="00846D6F"/>
    <w:rsid w:val="00847133"/>
    <w:rsid w:val="008472CA"/>
    <w:rsid w:val="00847311"/>
    <w:rsid w:val="008475FB"/>
    <w:rsid w:val="00847662"/>
    <w:rsid w:val="008477BF"/>
    <w:rsid w:val="00847AA6"/>
    <w:rsid w:val="00847E08"/>
    <w:rsid w:val="00847E60"/>
    <w:rsid w:val="00847F04"/>
    <w:rsid w:val="00847F2B"/>
    <w:rsid w:val="008502AA"/>
    <w:rsid w:val="00850B2B"/>
    <w:rsid w:val="00850CC1"/>
    <w:rsid w:val="00850FCF"/>
    <w:rsid w:val="0085137C"/>
    <w:rsid w:val="00851474"/>
    <w:rsid w:val="008514A9"/>
    <w:rsid w:val="00851859"/>
    <w:rsid w:val="008519A7"/>
    <w:rsid w:val="00851C46"/>
    <w:rsid w:val="00851E12"/>
    <w:rsid w:val="00851F05"/>
    <w:rsid w:val="00851FD5"/>
    <w:rsid w:val="0085215E"/>
    <w:rsid w:val="00852247"/>
    <w:rsid w:val="00852286"/>
    <w:rsid w:val="00852543"/>
    <w:rsid w:val="0085265E"/>
    <w:rsid w:val="008526D4"/>
    <w:rsid w:val="00852789"/>
    <w:rsid w:val="008529C0"/>
    <w:rsid w:val="00852A82"/>
    <w:rsid w:val="00852AE4"/>
    <w:rsid w:val="00852E53"/>
    <w:rsid w:val="00852F56"/>
    <w:rsid w:val="0085314D"/>
    <w:rsid w:val="00853345"/>
    <w:rsid w:val="00853496"/>
    <w:rsid w:val="0085356E"/>
    <w:rsid w:val="00853605"/>
    <w:rsid w:val="00853EA7"/>
    <w:rsid w:val="008542B1"/>
    <w:rsid w:val="0085498C"/>
    <w:rsid w:val="00854BA4"/>
    <w:rsid w:val="00854D60"/>
    <w:rsid w:val="00855395"/>
    <w:rsid w:val="0085594E"/>
    <w:rsid w:val="008559ED"/>
    <w:rsid w:val="00855AB7"/>
    <w:rsid w:val="00855CC6"/>
    <w:rsid w:val="00855F15"/>
    <w:rsid w:val="008561FD"/>
    <w:rsid w:val="008565AA"/>
    <w:rsid w:val="0085689A"/>
    <w:rsid w:val="008569E8"/>
    <w:rsid w:val="00856A4E"/>
    <w:rsid w:val="00856C76"/>
    <w:rsid w:val="00856CDC"/>
    <w:rsid w:val="00856FB5"/>
    <w:rsid w:val="0085732D"/>
    <w:rsid w:val="00857421"/>
    <w:rsid w:val="0085755D"/>
    <w:rsid w:val="00857711"/>
    <w:rsid w:val="008579DE"/>
    <w:rsid w:val="00857DB3"/>
    <w:rsid w:val="00857E61"/>
    <w:rsid w:val="0086007D"/>
    <w:rsid w:val="008606BC"/>
    <w:rsid w:val="008607FE"/>
    <w:rsid w:val="00860959"/>
    <w:rsid w:val="00860C4F"/>
    <w:rsid w:val="00861331"/>
    <w:rsid w:val="00861495"/>
    <w:rsid w:val="00861585"/>
    <w:rsid w:val="00861963"/>
    <w:rsid w:val="00861A90"/>
    <w:rsid w:val="00861C45"/>
    <w:rsid w:val="008621EE"/>
    <w:rsid w:val="008623D4"/>
    <w:rsid w:val="00862905"/>
    <w:rsid w:val="00862C07"/>
    <w:rsid w:val="008630EE"/>
    <w:rsid w:val="008633AF"/>
    <w:rsid w:val="00863583"/>
    <w:rsid w:val="0086381C"/>
    <w:rsid w:val="00863832"/>
    <w:rsid w:val="00863D76"/>
    <w:rsid w:val="00864000"/>
    <w:rsid w:val="008641F7"/>
    <w:rsid w:val="00864228"/>
    <w:rsid w:val="00864794"/>
    <w:rsid w:val="008647F8"/>
    <w:rsid w:val="00864E6F"/>
    <w:rsid w:val="00864F1C"/>
    <w:rsid w:val="008652AE"/>
    <w:rsid w:val="008653C9"/>
    <w:rsid w:val="00865A8F"/>
    <w:rsid w:val="00865AA5"/>
    <w:rsid w:val="00865AF3"/>
    <w:rsid w:val="00865B48"/>
    <w:rsid w:val="0086617F"/>
    <w:rsid w:val="008667AC"/>
    <w:rsid w:val="0086695D"/>
    <w:rsid w:val="00866A13"/>
    <w:rsid w:val="00866C89"/>
    <w:rsid w:val="00866E4C"/>
    <w:rsid w:val="0086760F"/>
    <w:rsid w:val="00867810"/>
    <w:rsid w:val="00867C80"/>
    <w:rsid w:val="00867CBA"/>
    <w:rsid w:val="00867D26"/>
    <w:rsid w:val="00867D28"/>
    <w:rsid w:val="00867DAA"/>
    <w:rsid w:val="00867EA2"/>
    <w:rsid w:val="00867FDF"/>
    <w:rsid w:val="00867FFD"/>
    <w:rsid w:val="008700FB"/>
    <w:rsid w:val="0087019F"/>
    <w:rsid w:val="0087029F"/>
    <w:rsid w:val="008703A0"/>
    <w:rsid w:val="00870895"/>
    <w:rsid w:val="008708FE"/>
    <w:rsid w:val="00870EAC"/>
    <w:rsid w:val="00870FC3"/>
    <w:rsid w:val="008710F5"/>
    <w:rsid w:val="00871112"/>
    <w:rsid w:val="00871370"/>
    <w:rsid w:val="008713E8"/>
    <w:rsid w:val="00871DCF"/>
    <w:rsid w:val="00871F9B"/>
    <w:rsid w:val="008724CD"/>
    <w:rsid w:val="00872CEE"/>
    <w:rsid w:val="008734FD"/>
    <w:rsid w:val="0087357D"/>
    <w:rsid w:val="00873626"/>
    <w:rsid w:val="008739CD"/>
    <w:rsid w:val="00873F61"/>
    <w:rsid w:val="00874287"/>
    <w:rsid w:val="00874629"/>
    <w:rsid w:val="00874662"/>
    <w:rsid w:val="00874C1F"/>
    <w:rsid w:val="0087528E"/>
    <w:rsid w:val="008752CD"/>
    <w:rsid w:val="00875448"/>
    <w:rsid w:val="008755A7"/>
    <w:rsid w:val="00875641"/>
    <w:rsid w:val="00875947"/>
    <w:rsid w:val="00875E17"/>
    <w:rsid w:val="00875E22"/>
    <w:rsid w:val="00875E7D"/>
    <w:rsid w:val="00876037"/>
    <w:rsid w:val="008762F8"/>
    <w:rsid w:val="00876799"/>
    <w:rsid w:val="00876A41"/>
    <w:rsid w:val="00876AD9"/>
    <w:rsid w:val="00876CC2"/>
    <w:rsid w:val="00876E81"/>
    <w:rsid w:val="00877071"/>
    <w:rsid w:val="0087731C"/>
    <w:rsid w:val="008773AA"/>
    <w:rsid w:val="00877611"/>
    <w:rsid w:val="00877AE5"/>
    <w:rsid w:val="00877E09"/>
    <w:rsid w:val="00877FA3"/>
    <w:rsid w:val="00880274"/>
    <w:rsid w:val="0088038D"/>
    <w:rsid w:val="0088041F"/>
    <w:rsid w:val="008807A2"/>
    <w:rsid w:val="0088087F"/>
    <w:rsid w:val="00880BB4"/>
    <w:rsid w:val="00880C41"/>
    <w:rsid w:val="008812A5"/>
    <w:rsid w:val="00881310"/>
    <w:rsid w:val="00881445"/>
    <w:rsid w:val="00881485"/>
    <w:rsid w:val="008814B6"/>
    <w:rsid w:val="00881528"/>
    <w:rsid w:val="00881575"/>
    <w:rsid w:val="0088165A"/>
    <w:rsid w:val="00882009"/>
    <w:rsid w:val="0088205D"/>
    <w:rsid w:val="00882733"/>
    <w:rsid w:val="0088275A"/>
    <w:rsid w:val="008827EC"/>
    <w:rsid w:val="00882992"/>
    <w:rsid w:val="008829A4"/>
    <w:rsid w:val="008829F5"/>
    <w:rsid w:val="00882FD8"/>
    <w:rsid w:val="008832EC"/>
    <w:rsid w:val="008834AD"/>
    <w:rsid w:val="00883772"/>
    <w:rsid w:val="00883788"/>
    <w:rsid w:val="008837E3"/>
    <w:rsid w:val="008839A4"/>
    <w:rsid w:val="008839F2"/>
    <w:rsid w:val="008841F5"/>
    <w:rsid w:val="0088422F"/>
    <w:rsid w:val="008843B0"/>
    <w:rsid w:val="008848B4"/>
    <w:rsid w:val="00884B2C"/>
    <w:rsid w:val="00884C87"/>
    <w:rsid w:val="00884CEF"/>
    <w:rsid w:val="008850AC"/>
    <w:rsid w:val="00885134"/>
    <w:rsid w:val="0088538A"/>
    <w:rsid w:val="008855A6"/>
    <w:rsid w:val="008856B9"/>
    <w:rsid w:val="0088606E"/>
    <w:rsid w:val="00886400"/>
    <w:rsid w:val="00886720"/>
    <w:rsid w:val="008867F7"/>
    <w:rsid w:val="00886ACA"/>
    <w:rsid w:val="00886BA4"/>
    <w:rsid w:val="00886CA8"/>
    <w:rsid w:val="00886FA9"/>
    <w:rsid w:val="00887729"/>
    <w:rsid w:val="00887905"/>
    <w:rsid w:val="00887C38"/>
    <w:rsid w:val="00887F55"/>
    <w:rsid w:val="00890204"/>
    <w:rsid w:val="008902E8"/>
    <w:rsid w:val="00890429"/>
    <w:rsid w:val="00890535"/>
    <w:rsid w:val="008905D7"/>
    <w:rsid w:val="00890BD5"/>
    <w:rsid w:val="00890DCA"/>
    <w:rsid w:val="00891087"/>
    <w:rsid w:val="00891538"/>
    <w:rsid w:val="0089169C"/>
    <w:rsid w:val="00891747"/>
    <w:rsid w:val="00891758"/>
    <w:rsid w:val="008917C7"/>
    <w:rsid w:val="00891A32"/>
    <w:rsid w:val="00891FC5"/>
    <w:rsid w:val="0089218D"/>
    <w:rsid w:val="008923DC"/>
    <w:rsid w:val="0089273C"/>
    <w:rsid w:val="008927EF"/>
    <w:rsid w:val="00892E7E"/>
    <w:rsid w:val="00893364"/>
    <w:rsid w:val="008939D3"/>
    <w:rsid w:val="00893E21"/>
    <w:rsid w:val="00893E60"/>
    <w:rsid w:val="00893FB6"/>
    <w:rsid w:val="00894147"/>
    <w:rsid w:val="008941D7"/>
    <w:rsid w:val="00894B45"/>
    <w:rsid w:val="00894B5A"/>
    <w:rsid w:val="00894BF4"/>
    <w:rsid w:val="00894C70"/>
    <w:rsid w:val="00894DB0"/>
    <w:rsid w:val="00894E67"/>
    <w:rsid w:val="0089511C"/>
    <w:rsid w:val="008952CD"/>
    <w:rsid w:val="00895350"/>
    <w:rsid w:val="008955DE"/>
    <w:rsid w:val="00895669"/>
    <w:rsid w:val="00895993"/>
    <w:rsid w:val="00895D61"/>
    <w:rsid w:val="00895D82"/>
    <w:rsid w:val="00895E05"/>
    <w:rsid w:val="00895E07"/>
    <w:rsid w:val="00896241"/>
    <w:rsid w:val="008962EE"/>
    <w:rsid w:val="008970BF"/>
    <w:rsid w:val="00897433"/>
    <w:rsid w:val="0089782C"/>
    <w:rsid w:val="00897AF0"/>
    <w:rsid w:val="00897B5B"/>
    <w:rsid w:val="00897BF3"/>
    <w:rsid w:val="00897C63"/>
    <w:rsid w:val="00897D37"/>
    <w:rsid w:val="008A055C"/>
    <w:rsid w:val="008A09D9"/>
    <w:rsid w:val="008A0B2A"/>
    <w:rsid w:val="008A0C14"/>
    <w:rsid w:val="008A0E4D"/>
    <w:rsid w:val="008A0FCE"/>
    <w:rsid w:val="008A1111"/>
    <w:rsid w:val="008A1301"/>
    <w:rsid w:val="008A14DB"/>
    <w:rsid w:val="008A176B"/>
    <w:rsid w:val="008A19DC"/>
    <w:rsid w:val="008A1BD6"/>
    <w:rsid w:val="008A1CB8"/>
    <w:rsid w:val="008A2081"/>
    <w:rsid w:val="008A241F"/>
    <w:rsid w:val="008A273F"/>
    <w:rsid w:val="008A3027"/>
    <w:rsid w:val="008A30F6"/>
    <w:rsid w:val="008A3294"/>
    <w:rsid w:val="008A3299"/>
    <w:rsid w:val="008A32DC"/>
    <w:rsid w:val="008A3552"/>
    <w:rsid w:val="008A369B"/>
    <w:rsid w:val="008A392A"/>
    <w:rsid w:val="008A3E40"/>
    <w:rsid w:val="008A3E9E"/>
    <w:rsid w:val="008A4139"/>
    <w:rsid w:val="008A429F"/>
    <w:rsid w:val="008A43F5"/>
    <w:rsid w:val="008A444B"/>
    <w:rsid w:val="008A4617"/>
    <w:rsid w:val="008A470E"/>
    <w:rsid w:val="008A4807"/>
    <w:rsid w:val="008A4A8B"/>
    <w:rsid w:val="008A562C"/>
    <w:rsid w:val="008A5964"/>
    <w:rsid w:val="008A5EBA"/>
    <w:rsid w:val="008A64A3"/>
    <w:rsid w:val="008A72BE"/>
    <w:rsid w:val="008A730E"/>
    <w:rsid w:val="008A787B"/>
    <w:rsid w:val="008A791A"/>
    <w:rsid w:val="008A79D9"/>
    <w:rsid w:val="008A7A35"/>
    <w:rsid w:val="008A7A73"/>
    <w:rsid w:val="008A7D10"/>
    <w:rsid w:val="008B00B7"/>
    <w:rsid w:val="008B0176"/>
    <w:rsid w:val="008B0216"/>
    <w:rsid w:val="008B03CF"/>
    <w:rsid w:val="008B0469"/>
    <w:rsid w:val="008B04F9"/>
    <w:rsid w:val="008B051C"/>
    <w:rsid w:val="008B05FF"/>
    <w:rsid w:val="008B077B"/>
    <w:rsid w:val="008B0F37"/>
    <w:rsid w:val="008B1017"/>
    <w:rsid w:val="008B146D"/>
    <w:rsid w:val="008B14FA"/>
    <w:rsid w:val="008B190F"/>
    <w:rsid w:val="008B192D"/>
    <w:rsid w:val="008B19B3"/>
    <w:rsid w:val="008B1CAA"/>
    <w:rsid w:val="008B20E6"/>
    <w:rsid w:val="008B21AC"/>
    <w:rsid w:val="008B2532"/>
    <w:rsid w:val="008B2653"/>
    <w:rsid w:val="008B2C64"/>
    <w:rsid w:val="008B318C"/>
    <w:rsid w:val="008B34BA"/>
    <w:rsid w:val="008B3709"/>
    <w:rsid w:val="008B37EE"/>
    <w:rsid w:val="008B391C"/>
    <w:rsid w:val="008B4039"/>
    <w:rsid w:val="008B42CF"/>
    <w:rsid w:val="008B44E8"/>
    <w:rsid w:val="008B4C1D"/>
    <w:rsid w:val="008B4D1A"/>
    <w:rsid w:val="008B535A"/>
    <w:rsid w:val="008B5441"/>
    <w:rsid w:val="008B555E"/>
    <w:rsid w:val="008B56A9"/>
    <w:rsid w:val="008B588C"/>
    <w:rsid w:val="008B58E3"/>
    <w:rsid w:val="008B5FB8"/>
    <w:rsid w:val="008B6308"/>
    <w:rsid w:val="008B634F"/>
    <w:rsid w:val="008B6445"/>
    <w:rsid w:val="008B6506"/>
    <w:rsid w:val="008B671F"/>
    <w:rsid w:val="008B67BA"/>
    <w:rsid w:val="008B6874"/>
    <w:rsid w:val="008B696C"/>
    <w:rsid w:val="008B6CE4"/>
    <w:rsid w:val="008B703A"/>
    <w:rsid w:val="008B7124"/>
    <w:rsid w:val="008B77AB"/>
    <w:rsid w:val="008B781B"/>
    <w:rsid w:val="008B789C"/>
    <w:rsid w:val="008B7ACD"/>
    <w:rsid w:val="008C0225"/>
    <w:rsid w:val="008C0374"/>
    <w:rsid w:val="008C0A43"/>
    <w:rsid w:val="008C0E1F"/>
    <w:rsid w:val="008C1112"/>
    <w:rsid w:val="008C12CA"/>
    <w:rsid w:val="008C1397"/>
    <w:rsid w:val="008C1633"/>
    <w:rsid w:val="008C1718"/>
    <w:rsid w:val="008C1759"/>
    <w:rsid w:val="008C17DF"/>
    <w:rsid w:val="008C1C20"/>
    <w:rsid w:val="008C1E41"/>
    <w:rsid w:val="008C200D"/>
    <w:rsid w:val="008C24F6"/>
    <w:rsid w:val="008C2578"/>
    <w:rsid w:val="008C259D"/>
    <w:rsid w:val="008C270C"/>
    <w:rsid w:val="008C2778"/>
    <w:rsid w:val="008C29ED"/>
    <w:rsid w:val="008C2B13"/>
    <w:rsid w:val="008C32D1"/>
    <w:rsid w:val="008C348E"/>
    <w:rsid w:val="008C362F"/>
    <w:rsid w:val="008C36B2"/>
    <w:rsid w:val="008C372A"/>
    <w:rsid w:val="008C37B1"/>
    <w:rsid w:val="008C3821"/>
    <w:rsid w:val="008C3AEF"/>
    <w:rsid w:val="008C3D9E"/>
    <w:rsid w:val="008C3EBA"/>
    <w:rsid w:val="008C40AD"/>
    <w:rsid w:val="008C44F6"/>
    <w:rsid w:val="008C482D"/>
    <w:rsid w:val="008C4BA9"/>
    <w:rsid w:val="008C4C0A"/>
    <w:rsid w:val="008C4D8A"/>
    <w:rsid w:val="008C4F20"/>
    <w:rsid w:val="008C4F74"/>
    <w:rsid w:val="008C50D3"/>
    <w:rsid w:val="008C52B9"/>
    <w:rsid w:val="008C56D9"/>
    <w:rsid w:val="008C592F"/>
    <w:rsid w:val="008C5C19"/>
    <w:rsid w:val="008C601C"/>
    <w:rsid w:val="008C6283"/>
    <w:rsid w:val="008C641A"/>
    <w:rsid w:val="008C6449"/>
    <w:rsid w:val="008C6568"/>
    <w:rsid w:val="008C6574"/>
    <w:rsid w:val="008C65E0"/>
    <w:rsid w:val="008C6999"/>
    <w:rsid w:val="008C6AC3"/>
    <w:rsid w:val="008C6B98"/>
    <w:rsid w:val="008C6E7A"/>
    <w:rsid w:val="008C71A6"/>
    <w:rsid w:val="008C75DC"/>
    <w:rsid w:val="008C792F"/>
    <w:rsid w:val="008C7A93"/>
    <w:rsid w:val="008C7AA6"/>
    <w:rsid w:val="008C7AAD"/>
    <w:rsid w:val="008C7C1E"/>
    <w:rsid w:val="008C7D17"/>
    <w:rsid w:val="008C7F02"/>
    <w:rsid w:val="008D02A8"/>
    <w:rsid w:val="008D06FA"/>
    <w:rsid w:val="008D087A"/>
    <w:rsid w:val="008D0960"/>
    <w:rsid w:val="008D09F4"/>
    <w:rsid w:val="008D108B"/>
    <w:rsid w:val="008D1276"/>
    <w:rsid w:val="008D1BCE"/>
    <w:rsid w:val="008D1BFB"/>
    <w:rsid w:val="008D1D2D"/>
    <w:rsid w:val="008D2477"/>
    <w:rsid w:val="008D253E"/>
    <w:rsid w:val="008D2567"/>
    <w:rsid w:val="008D25ED"/>
    <w:rsid w:val="008D2730"/>
    <w:rsid w:val="008D2A29"/>
    <w:rsid w:val="008D2E6F"/>
    <w:rsid w:val="008D3101"/>
    <w:rsid w:val="008D31E8"/>
    <w:rsid w:val="008D3240"/>
    <w:rsid w:val="008D3527"/>
    <w:rsid w:val="008D3773"/>
    <w:rsid w:val="008D3A72"/>
    <w:rsid w:val="008D3BC0"/>
    <w:rsid w:val="008D3C22"/>
    <w:rsid w:val="008D3D81"/>
    <w:rsid w:val="008D412A"/>
    <w:rsid w:val="008D4845"/>
    <w:rsid w:val="008D4B3C"/>
    <w:rsid w:val="008D4C96"/>
    <w:rsid w:val="008D4E1D"/>
    <w:rsid w:val="008D4F46"/>
    <w:rsid w:val="008D51C9"/>
    <w:rsid w:val="008D54C4"/>
    <w:rsid w:val="008D56AC"/>
    <w:rsid w:val="008D59A7"/>
    <w:rsid w:val="008D5B06"/>
    <w:rsid w:val="008D5BDD"/>
    <w:rsid w:val="008D5E53"/>
    <w:rsid w:val="008D5FF5"/>
    <w:rsid w:val="008D6133"/>
    <w:rsid w:val="008D624A"/>
    <w:rsid w:val="008D6344"/>
    <w:rsid w:val="008D639C"/>
    <w:rsid w:val="008D650A"/>
    <w:rsid w:val="008D67C7"/>
    <w:rsid w:val="008D6A6E"/>
    <w:rsid w:val="008D6A99"/>
    <w:rsid w:val="008D6B1E"/>
    <w:rsid w:val="008D721C"/>
    <w:rsid w:val="008D763F"/>
    <w:rsid w:val="008D7722"/>
    <w:rsid w:val="008D7798"/>
    <w:rsid w:val="008D78BC"/>
    <w:rsid w:val="008D7997"/>
    <w:rsid w:val="008D7A7F"/>
    <w:rsid w:val="008D7D5B"/>
    <w:rsid w:val="008D7DC5"/>
    <w:rsid w:val="008E0251"/>
    <w:rsid w:val="008E0354"/>
    <w:rsid w:val="008E06E8"/>
    <w:rsid w:val="008E0705"/>
    <w:rsid w:val="008E0CA6"/>
    <w:rsid w:val="008E0DA5"/>
    <w:rsid w:val="008E0E43"/>
    <w:rsid w:val="008E10EA"/>
    <w:rsid w:val="008E1105"/>
    <w:rsid w:val="008E131E"/>
    <w:rsid w:val="008E1466"/>
    <w:rsid w:val="008E14A1"/>
    <w:rsid w:val="008E16D7"/>
    <w:rsid w:val="008E18BC"/>
    <w:rsid w:val="008E1AD8"/>
    <w:rsid w:val="008E1B32"/>
    <w:rsid w:val="008E1C7A"/>
    <w:rsid w:val="008E1FFD"/>
    <w:rsid w:val="008E222A"/>
    <w:rsid w:val="008E237F"/>
    <w:rsid w:val="008E260C"/>
    <w:rsid w:val="008E29DB"/>
    <w:rsid w:val="008E2E6B"/>
    <w:rsid w:val="008E30F0"/>
    <w:rsid w:val="008E3231"/>
    <w:rsid w:val="008E32DA"/>
    <w:rsid w:val="008E371F"/>
    <w:rsid w:val="008E37A3"/>
    <w:rsid w:val="008E386B"/>
    <w:rsid w:val="008E3CFA"/>
    <w:rsid w:val="008E4246"/>
    <w:rsid w:val="008E4259"/>
    <w:rsid w:val="008E4265"/>
    <w:rsid w:val="008E4A17"/>
    <w:rsid w:val="008E4CE7"/>
    <w:rsid w:val="008E4D84"/>
    <w:rsid w:val="008E4DAB"/>
    <w:rsid w:val="008E4E67"/>
    <w:rsid w:val="008E4EA5"/>
    <w:rsid w:val="008E5464"/>
    <w:rsid w:val="008E5AFE"/>
    <w:rsid w:val="008E5F20"/>
    <w:rsid w:val="008E609A"/>
    <w:rsid w:val="008E6276"/>
    <w:rsid w:val="008E6553"/>
    <w:rsid w:val="008E6D6A"/>
    <w:rsid w:val="008E6EA0"/>
    <w:rsid w:val="008E70B6"/>
    <w:rsid w:val="008E7284"/>
    <w:rsid w:val="008E7412"/>
    <w:rsid w:val="008E7660"/>
    <w:rsid w:val="008E774E"/>
    <w:rsid w:val="008E7C03"/>
    <w:rsid w:val="008E7DEE"/>
    <w:rsid w:val="008F0169"/>
    <w:rsid w:val="008F06BA"/>
    <w:rsid w:val="008F0902"/>
    <w:rsid w:val="008F096E"/>
    <w:rsid w:val="008F1406"/>
    <w:rsid w:val="008F1551"/>
    <w:rsid w:val="008F174B"/>
    <w:rsid w:val="008F191A"/>
    <w:rsid w:val="008F1C85"/>
    <w:rsid w:val="008F1D00"/>
    <w:rsid w:val="008F1EE8"/>
    <w:rsid w:val="008F2019"/>
    <w:rsid w:val="008F2419"/>
    <w:rsid w:val="008F2455"/>
    <w:rsid w:val="008F245F"/>
    <w:rsid w:val="008F25C6"/>
    <w:rsid w:val="008F2617"/>
    <w:rsid w:val="008F2679"/>
    <w:rsid w:val="008F2C7D"/>
    <w:rsid w:val="008F2CF1"/>
    <w:rsid w:val="008F2CF9"/>
    <w:rsid w:val="008F2F14"/>
    <w:rsid w:val="008F307B"/>
    <w:rsid w:val="008F3285"/>
    <w:rsid w:val="008F343E"/>
    <w:rsid w:val="008F3D9E"/>
    <w:rsid w:val="008F3DAC"/>
    <w:rsid w:val="008F3E5C"/>
    <w:rsid w:val="008F42BC"/>
    <w:rsid w:val="008F4350"/>
    <w:rsid w:val="008F438F"/>
    <w:rsid w:val="008F44B9"/>
    <w:rsid w:val="008F45B0"/>
    <w:rsid w:val="008F4841"/>
    <w:rsid w:val="008F4925"/>
    <w:rsid w:val="008F4A75"/>
    <w:rsid w:val="008F4CFD"/>
    <w:rsid w:val="008F4F9F"/>
    <w:rsid w:val="008F5384"/>
    <w:rsid w:val="008F541F"/>
    <w:rsid w:val="008F58B4"/>
    <w:rsid w:val="008F5C04"/>
    <w:rsid w:val="008F5DC8"/>
    <w:rsid w:val="008F5E23"/>
    <w:rsid w:val="008F6018"/>
    <w:rsid w:val="008F65A3"/>
    <w:rsid w:val="008F65C0"/>
    <w:rsid w:val="008F684F"/>
    <w:rsid w:val="008F697C"/>
    <w:rsid w:val="008F6C47"/>
    <w:rsid w:val="008F6C56"/>
    <w:rsid w:val="008F7332"/>
    <w:rsid w:val="008F7370"/>
    <w:rsid w:val="008F753E"/>
    <w:rsid w:val="008F7615"/>
    <w:rsid w:val="008F7BE4"/>
    <w:rsid w:val="008F7CC4"/>
    <w:rsid w:val="008F7EDC"/>
    <w:rsid w:val="00900105"/>
    <w:rsid w:val="00900295"/>
    <w:rsid w:val="00900300"/>
    <w:rsid w:val="00900845"/>
    <w:rsid w:val="00900A7B"/>
    <w:rsid w:val="00900B4D"/>
    <w:rsid w:val="00900DC9"/>
    <w:rsid w:val="00900F9C"/>
    <w:rsid w:val="009010D3"/>
    <w:rsid w:val="009010F7"/>
    <w:rsid w:val="009015F8"/>
    <w:rsid w:val="009019E5"/>
    <w:rsid w:val="00901CD8"/>
    <w:rsid w:val="009020A4"/>
    <w:rsid w:val="009020D4"/>
    <w:rsid w:val="00902130"/>
    <w:rsid w:val="00902543"/>
    <w:rsid w:val="00902860"/>
    <w:rsid w:val="0090290B"/>
    <w:rsid w:val="00902961"/>
    <w:rsid w:val="009029BE"/>
    <w:rsid w:val="00902D0C"/>
    <w:rsid w:val="00903648"/>
    <w:rsid w:val="00903683"/>
    <w:rsid w:val="009038F1"/>
    <w:rsid w:val="00903D5C"/>
    <w:rsid w:val="00903D81"/>
    <w:rsid w:val="0090406D"/>
    <w:rsid w:val="009040FB"/>
    <w:rsid w:val="00904124"/>
    <w:rsid w:val="009042A4"/>
    <w:rsid w:val="009044EA"/>
    <w:rsid w:val="0090487F"/>
    <w:rsid w:val="009051A0"/>
    <w:rsid w:val="00905407"/>
    <w:rsid w:val="00905419"/>
    <w:rsid w:val="009058B2"/>
    <w:rsid w:val="00905C11"/>
    <w:rsid w:val="00905E9B"/>
    <w:rsid w:val="009062F3"/>
    <w:rsid w:val="009064B4"/>
    <w:rsid w:val="009069FE"/>
    <w:rsid w:val="00906B66"/>
    <w:rsid w:val="00906BF2"/>
    <w:rsid w:val="00906DC8"/>
    <w:rsid w:val="00907026"/>
    <w:rsid w:val="009071BB"/>
    <w:rsid w:val="0090758C"/>
    <w:rsid w:val="00907632"/>
    <w:rsid w:val="00910534"/>
    <w:rsid w:val="00910586"/>
    <w:rsid w:val="009107AC"/>
    <w:rsid w:val="009108E3"/>
    <w:rsid w:val="0091096B"/>
    <w:rsid w:val="00910CE1"/>
    <w:rsid w:val="00910DB6"/>
    <w:rsid w:val="00911332"/>
    <w:rsid w:val="0091138F"/>
    <w:rsid w:val="00911583"/>
    <w:rsid w:val="00911B9C"/>
    <w:rsid w:val="00911CC9"/>
    <w:rsid w:val="00911E16"/>
    <w:rsid w:val="009123AF"/>
    <w:rsid w:val="0091256B"/>
    <w:rsid w:val="0091264E"/>
    <w:rsid w:val="009129F6"/>
    <w:rsid w:val="00912C3C"/>
    <w:rsid w:val="00912CAF"/>
    <w:rsid w:val="00913094"/>
    <w:rsid w:val="009133A7"/>
    <w:rsid w:val="00913400"/>
    <w:rsid w:val="009134A2"/>
    <w:rsid w:val="0091352B"/>
    <w:rsid w:val="0091355A"/>
    <w:rsid w:val="00913961"/>
    <w:rsid w:val="00913B57"/>
    <w:rsid w:val="00913CFA"/>
    <w:rsid w:val="0091424B"/>
    <w:rsid w:val="009142EE"/>
    <w:rsid w:val="009143CE"/>
    <w:rsid w:val="0091479D"/>
    <w:rsid w:val="00914BB2"/>
    <w:rsid w:val="00914E34"/>
    <w:rsid w:val="00914F15"/>
    <w:rsid w:val="009151C5"/>
    <w:rsid w:val="00915507"/>
    <w:rsid w:val="009157AC"/>
    <w:rsid w:val="00915928"/>
    <w:rsid w:val="00915F51"/>
    <w:rsid w:val="009163E0"/>
    <w:rsid w:val="00916525"/>
    <w:rsid w:val="0091681D"/>
    <w:rsid w:val="00916E4F"/>
    <w:rsid w:val="00917317"/>
    <w:rsid w:val="0091767C"/>
    <w:rsid w:val="009179C7"/>
    <w:rsid w:val="00917CF9"/>
    <w:rsid w:val="009200CB"/>
    <w:rsid w:val="0092027A"/>
    <w:rsid w:val="00920373"/>
    <w:rsid w:val="00920501"/>
    <w:rsid w:val="00920580"/>
    <w:rsid w:val="009205EA"/>
    <w:rsid w:val="00920965"/>
    <w:rsid w:val="00920C6D"/>
    <w:rsid w:val="0092112F"/>
    <w:rsid w:val="009211B8"/>
    <w:rsid w:val="0092122B"/>
    <w:rsid w:val="00921661"/>
    <w:rsid w:val="00921A5B"/>
    <w:rsid w:val="00921F31"/>
    <w:rsid w:val="0092241B"/>
    <w:rsid w:val="00922844"/>
    <w:rsid w:val="0092297D"/>
    <w:rsid w:val="00922F4F"/>
    <w:rsid w:val="00923770"/>
    <w:rsid w:val="009238EF"/>
    <w:rsid w:val="0092399C"/>
    <w:rsid w:val="00923AE2"/>
    <w:rsid w:val="0092426F"/>
    <w:rsid w:val="009242E2"/>
    <w:rsid w:val="009246D9"/>
    <w:rsid w:val="009247CB"/>
    <w:rsid w:val="009248B2"/>
    <w:rsid w:val="00924984"/>
    <w:rsid w:val="00924F7B"/>
    <w:rsid w:val="00924FE6"/>
    <w:rsid w:val="00925221"/>
    <w:rsid w:val="00925356"/>
    <w:rsid w:val="0092545E"/>
    <w:rsid w:val="009259F6"/>
    <w:rsid w:val="00925B1F"/>
    <w:rsid w:val="00925D32"/>
    <w:rsid w:val="00926421"/>
    <w:rsid w:val="00926491"/>
    <w:rsid w:val="009264C1"/>
    <w:rsid w:val="00926561"/>
    <w:rsid w:val="009266E3"/>
    <w:rsid w:val="00926852"/>
    <w:rsid w:val="00926942"/>
    <w:rsid w:val="00926EA6"/>
    <w:rsid w:val="009273A7"/>
    <w:rsid w:val="009274DD"/>
    <w:rsid w:val="00927629"/>
    <w:rsid w:val="0092793C"/>
    <w:rsid w:val="00927A53"/>
    <w:rsid w:val="00927D6E"/>
    <w:rsid w:val="0093000B"/>
    <w:rsid w:val="0093003B"/>
    <w:rsid w:val="00930289"/>
    <w:rsid w:val="0093056B"/>
    <w:rsid w:val="00930748"/>
    <w:rsid w:val="009307CD"/>
    <w:rsid w:val="00930826"/>
    <w:rsid w:val="00930D28"/>
    <w:rsid w:val="00930E7A"/>
    <w:rsid w:val="00930EA9"/>
    <w:rsid w:val="00930EAD"/>
    <w:rsid w:val="00930EF3"/>
    <w:rsid w:val="00930F75"/>
    <w:rsid w:val="0093110C"/>
    <w:rsid w:val="009312F4"/>
    <w:rsid w:val="009318EA"/>
    <w:rsid w:val="00931A40"/>
    <w:rsid w:val="0093211C"/>
    <w:rsid w:val="009322AC"/>
    <w:rsid w:val="00932443"/>
    <w:rsid w:val="0093249C"/>
    <w:rsid w:val="009325F7"/>
    <w:rsid w:val="009327D0"/>
    <w:rsid w:val="00932C24"/>
    <w:rsid w:val="00932E2F"/>
    <w:rsid w:val="0093300E"/>
    <w:rsid w:val="009335AA"/>
    <w:rsid w:val="009335F2"/>
    <w:rsid w:val="00933CBF"/>
    <w:rsid w:val="00933E8D"/>
    <w:rsid w:val="009346BB"/>
    <w:rsid w:val="00934FCE"/>
    <w:rsid w:val="00935224"/>
    <w:rsid w:val="0093557C"/>
    <w:rsid w:val="00935865"/>
    <w:rsid w:val="00935D6A"/>
    <w:rsid w:val="0093656A"/>
    <w:rsid w:val="00936824"/>
    <w:rsid w:val="00936A8C"/>
    <w:rsid w:val="00936FAC"/>
    <w:rsid w:val="00937177"/>
    <w:rsid w:val="009371EE"/>
    <w:rsid w:val="00937369"/>
    <w:rsid w:val="009373B6"/>
    <w:rsid w:val="00937502"/>
    <w:rsid w:val="00937525"/>
    <w:rsid w:val="0093761B"/>
    <w:rsid w:val="009377EF"/>
    <w:rsid w:val="009378B2"/>
    <w:rsid w:val="009379D6"/>
    <w:rsid w:val="00937CBD"/>
    <w:rsid w:val="00937D0C"/>
    <w:rsid w:val="009401C2"/>
    <w:rsid w:val="009402D2"/>
    <w:rsid w:val="009403A9"/>
    <w:rsid w:val="0094072A"/>
    <w:rsid w:val="00940810"/>
    <w:rsid w:val="00940BA3"/>
    <w:rsid w:val="00940C6A"/>
    <w:rsid w:val="00940D97"/>
    <w:rsid w:val="0094114F"/>
    <w:rsid w:val="00941738"/>
    <w:rsid w:val="00941886"/>
    <w:rsid w:val="00941D64"/>
    <w:rsid w:val="00941F09"/>
    <w:rsid w:val="00942053"/>
    <w:rsid w:val="00942533"/>
    <w:rsid w:val="009427EC"/>
    <w:rsid w:val="0094296F"/>
    <w:rsid w:val="00942DD2"/>
    <w:rsid w:val="00942E55"/>
    <w:rsid w:val="00943047"/>
    <w:rsid w:val="00943363"/>
    <w:rsid w:val="009433D2"/>
    <w:rsid w:val="00943942"/>
    <w:rsid w:val="009439BE"/>
    <w:rsid w:val="00943B11"/>
    <w:rsid w:val="00943B8B"/>
    <w:rsid w:val="00943C74"/>
    <w:rsid w:val="00943DD5"/>
    <w:rsid w:val="00943EB0"/>
    <w:rsid w:val="00944066"/>
    <w:rsid w:val="009440DB"/>
    <w:rsid w:val="009441A7"/>
    <w:rsid w:val="009448D0"/>
    <w:rsid w:val="00945131"/>
    <w:rsid w:val="00945350"/>
    <w:rsid w:val="00945621"/>
    <w:rsid w:val="0094586B"/>
    <w:rsid w:val="009458D6"/>
    <w:rsid w:val="00945AD4"/>
    <w:rsid w:val="00945BBA"/>
    <w:rsid w:val="00946186"/>
    <w:rsid w:val="009462E0"/>
    <w:rsid w:val="009466F0"/>
    <w:rsid w:val="00946731"/>
    <w:rsid w:val="009469D1"/>
    <w:rsid w:val="00946C78"/>
    <w:rsid w:val="00946D26"/>
    <w:rsid w:val="00947175"/>
    <w:rsid w:val="0094770C"/>
    <w:rsid w:val="0094771D"/>
    <w:rsid w:val="0094787B"/>
    <w:rsid w:val="00947F2A"/>
    <w:rsid w:val="009507C6"/>
    <w:rsid w:val="009507FE"/>
    <w:rsid w:val="00950908"/>
    <w:rsid w:val="00950990"/>
    <w:rsid w:val="009509A7"/>
    <w:rsid w:val="00950A83"/>
    <w:rsid w:val="00950D00"/>
    <w:rsid w:val="00950DBF"/>
    <w:rsid w:val="00951024"/>
    <w:rsid w:val="009511D3"/>
    <w:rsid w:val="0095121F"/>
    <w:rsid w:val="00951264"/>
    <w:rsid w:val="00951405"/>
    <w:rsid w:val="00951466"/>
    <w:rsid w:val="00951879"/>
    <w:rsid w:val="00951930"/>
    <w:rsid w:val="00951937"/>
    <w:rsid w:val="00951B23"/>
    <w:rsid w:val="00951CB9"/>
    <w:rsid w:val="00951F6D"/>
    <w:rsid w:val="0095210F"/>
    <w:rsid w:val="00952232"/>
    <w:rsid w:val="009522B5"/>
    <w:rsid w:val="0095260A"/>
    <w:rsid w:val="0095274E"/>
    <w:rsid w:val="00952A16"/>
    <w:rsid w:val="00952DED"/>
    <w:rsid w:val="00952F29"/>
    <w:rsid w:val="0095309C"/>
    <w:rsid w:val="009531DE"/>
    <w:rsid w:val="0095343B"/>
    <w:rsid w:val="00953A27"/>
    <w:rsid w:val="00953D3A"/>
    <w:rsid w:val="00953F18"/>
    <w:rsid w:val="009548AF"/>
    <w:rsid w:val="009548EE"/>
    <w:rsid w:val="00954AD7"/>
    <w:rsid w:val="00954B7B"/>
    <w:rsid w:val="00954FBA"/>
    <w:rsid w:val="009551A6"/>
    <w:rsid w:val="009551E9"/>
    <w:rsid w:val="0095526D"/>
    <w:rsid w:val="009553C2"/>
    <w:rsid w:val="00955577"/>
    <w:rsid w:val="00955777"/>
    <w:rsid w:val="00955B9B"/>
    <w:rsid w:val="00955CB8"/>
    <w:rsid w:val="00955E08"/>
    <w:rsid w:val="00956038"/>
    <w:rsid w:val="0095605F"/>
    <w:rsid w:val="0095614D"/>
    <w:rsid w:val="0095615F"/>
    <w:rsid w:val="009563AA"/>
    <w:rsid w:val="009570F4"/>
    <w:rsid w:val="009573F5"/>
    <w:rsid w:val="0095746B"/>
    <w:rsid w:val="00957C39"/>
    <w:rsid w:val="00957C77"/>
    <w:rsid w:val="009600A5"/>
    <w:rsid w:val="00960DB6"/>
    <w:rsid w:val="0096146F"/>
    <w:rsid w:val="00961483"/>
    <w:rsid w:val="009615D9"/>
    <w:rsid w:val="00961636"/>
    <w:rsid w:val="00961D7F"/>
    <w:rsid w:val="00961E01"/>
    <w:rsid w:val="009625EA"/>
    <w:rsid w:val="0096270A"/>
    <w:rsid w:val="00962850"/>
    <w:rsid w:val="009629F8"/>
    <w:rsid w:val="0096304C"/>
    <w:rsid w:val="0096323A"/>
    <w:rsid w:val="00963244"/>
    <w:rsid w:val="009633C0"/>
    <w:rsid w:val="009636F5"/>
    <w:rsid w:val="009638E6"/>
    <w:rsid w:val="009639D7"/>
    <w:rsid w:val="00963C47"/>
    <w:rsid w:val="00963C67"/>
    <w:rsid w:val="00963EED"/>
    <w:rsid w:val="009645F1"/>
    <w:rsid w:val="00965163"/>
    <w:rsid w:val="009651EB"/>
    <w:rsid w:val="009655F2"/>
    <w:rsid w:val="00965633"/>
    <w:rsid w:val="009657A7"/>
    <w:rsid w:val="00965A55"/>
    <w:rsid w:val="00965B4F"/>
    <w:rsid w:val="009661F7"/>
    <w:rsid w:val="009664ED"/>
    <w:rsid w:val="00966F34"/>
    <w:rsid w:val="00967FE5"/>
    <w:rsid w:val="00970284"/>
    <w:rsid w:val="009702D1"/>
    <w:rsid w:val="00970312"/>
    <w:rsid w:val="0097071A"/>
    <w:rsid w:val="009709E1"/>
    <w:rsid w:val="00970AD9"/>
    <w:rsid w:val="00970E4E"/>
    <w:rsid w:val="009711EE"/>
    <w:rsid w:val="009715F1"/>
    <w:rsid w:val="009717A5"/>
    <w:rsid w:val="0097199F"/>
    <w:rsid w:val="0097223F"/>
    <w:rsid w:val="0097290F"/>
    <w:rsid w:val="00972EB3"/>
    <w:rsid w:val="00972F09"/>
    <w:rsid w:val="009734BC"/>
    <w:rsid w:val="00973761"/>
    <w:rsid w:val="00973911"/>
    <w:rsid w:val="00973DD2"/>
    <w:rsid w:val="00973E5A"/>
    <w:rsid w:val="00973EA0"/>
    <w:rsid w:val="00974137"/>
    <w:rsid w:val="009741B9"/>
    <w:rsid w:val="0097429E"/>
    <w:rsid w:val="00974334"/>
    <w:rsid w:val="00974424"/>
    <w:rsid w:val="00974474"/>
    <w:rsid w:val="009745B9"/>
    <w:rsid w:val="00974962"/>
    <w:rsid w:val="00974F0D"/>
    <w:rsid w:val="0097505A"/>
    <w:rsid w:val="00975080"/>
    <w:rsid w:val="00975422"/>
    <w:rsid w:val="00975740"/>
    <w:rsid w:val="00975842"/>
    <w:rsid w:val="00975B3D"/>
    <w:rsid w:val="00975C46"/>
    <w:rsid w:val="00975C4A"/>
    <w:rsid w:val="00975E7B"/>
    <w:rsid w:val="00975F8D"/>
    <w:rsid w:val="00975FD9"/>
    <w:rsid w:val="00976950"/>
    <w:rsid w:val="00976BF1"/>
    <w:rsid w:val="00976D6D"/>
    <w:rsid w:val="00976DA1"/>
    <w:rsid w:val="00976E84"/>
    <w:rsid w:val="00976F21"/>
    <w:rsid w:val="009770E2"/>
    <w:rsid w:val="00977450"/>
    <w:rsid w:val="00977669"/>
    <w:rsid w:val="0097768A"/>
    <w:rsid w:val="009777A3"/>
    <w:rsid w:val="00977889"/>
    <w:rsid w:val="0098002A"/>
    <w:rsid w:val="009800CF"/>
    <w:rsid w:val="009802D8"/>
    <w:rsid w:val="009808B3"/>
    <w:rsid w:val="00980A5F"/>
    <w:rsid w:val="00981233"/>
    <w:rsid w:val="009812CE"/>
    <w:rsid w:val="009814CE"/>
    <w:rsid w:val="009815D7"/>
    <w:rsid w:val="00981675"/>
    <w:rsid w:val="00981BEC"/>
    <w:rsid w:val="00981C8E"/>
    <w:rsid w:val="00981CB1"/>
    <w:rsid w:val="009821F1"/>
    <w:rsid w:val="0098268E"/>
    <w:rsid w:val="009827AC"/>
    <w:rsid w:val="0098287D"/>
    <w:rsid w:val="009828F6"/>
    <w:rsid w:val="00982BFE"/>
    <w:rsid w:val="0098309A"/>
    <w:rsid w:val="009834CF"/>
    <w:rsid w:val="009838D9"/>
    <w:rsid w:val="00983A62"/>
    <w:rsid w:val="00983E92"/>
    <w:rsid w:val="009840FE"/>
    <w:rsid w:val="00984121"/>
    <w:rsid w:val="00984179"/>
    <w:rsid w:val="00984297"/>
    <w:rsid w:val="00984435"/>
    <w:rsid w:val="009844B8"/>
    <w:rsid w:val="00984A86"/>
    <w:rsid w:val="00984C5C"/>
    <w:rsid w:val="00984D44"/>
    <w:rsid w:val="00984D4D"/>
    <w:rsid w:val="00984DFB"/>
    <w:rsid w:val="00984E4E"/>
    <w:rsid w:val="009852F0"/>
    <w:rsid w:val="009853EA"/>
    <w:rsid w:val="0098543A"/>
    <w:rsid w:val="00985475"/>
    <w:rsid w:val="00985703"/>
    <w:rsid w:val="009857F0"/>
    <w:rsid w:val="009859AB"/>
    <w:rsid w:val="00985AB5"/>
    <w:rsid w:val="00985C4C"/>
    <w:rsid w:val="00985D76"/>
    <w:rsid w:val="0098692B"/>
    <w:rsid w:val="00986B8B"/>
    <w:rsid w:val="00986F56"/>
    <w:rsid w:val="0098702F"/>
    <w:rsid w:val="0098704B"/>
    <w:rsid w:val="009870EA"/>
    <w:rsid w:val="00987277"/>
    <w:rsid w:val="00987721"/>
    <w:rsid w:val="00987787"/>
    <w:rsid w:val="00987B70"/>
    <w:rsid w:val="00987CF2"/>
    <w:rsid w:val="00987DAD"/>
    <w:rsid w:val="00987EBF"/>
    <w:rsid w:val="00990679"/>
    <w:rsid w:val="009906FF"/>
    <w:rsid w:val="0099092C"/>
    <w:rsid w:val="00990A8C"/>
    <w:rsid w:val="00990C45"/>
    <w:rsid w:val="0099128B"/>
    <w:rsid w:val="009914C6"/>
    <w:rsid w:val="009917FE"/>
    <w:rsid w:val="00991A7A"/>
    <w:rsid w:val="00991AC6"/>
    <w:rsid w:val="00992046"/>
    <w:rsid w:val="00992129"/>
    <w:rsid w:val="009921B1"/>
    <w:rsid w:val="00992464"/>
    <w:rsid w:val="009924CB"/>
    <w:rsid w:val="00992605"/>
    <w:rsid w:val="009929A7"/>
    <w:rsid w:val="00992A45"/>
    <w:rsid w:val="00992A92"/>
    <w:rsid w:val="00992BCE"/>
    <w:rsid w:val="00992C55"/>
    <w:rsid w:val="00992FCB"/>
    <w:rsid w:val="0099314D"/>
    <w:rsid w:val="009931E6"/>
    <w:rsid w:val="009933FA"/>
    <w:rsid w:val="0099344A"/>
    <w:rsid w:val="00993471"/>
    <w:rsid w:val="00993563"/>
    <w:rsid w:val="00993639"/>
    <w:rsid w:val="00993651"/>
    <w:rsid w:val="00993A0C"/>
    <w:rsid w:val="00993D30"/>
    <w:rsid w:val="00993EED"/>
    <w:rsid w:val="00994085"/>
    <w:rsid w:val="0099437F"/>
    <w:rsid w:val="0099453B"/>
    <w:rsid w:val="009948A5"/>
    <w:rsid w:val="00994B7B"/>
    <w:rsid w:val="00994C49"/>
    <w:rsid w:val="0099560D"/>
    <w:rsid w:val="0099589C"/>
    <w:rsid w:val="00995B22"/>
    <w:rsid w:val="00995B66"/>
    <w:rsid w:val="00995B94"/>
    <w:rsid w:val="00995E57"/>
    <w:rsid w:val="00995FFB"/>
    <w:rsid w:val="00996029"/>
    <w:rsid w:val="0099692D"/>
    <w:rsid w:val="009969E4"/>
    <w:rsid w:val="00996B2D"/>
    <w:rsid w:val="00996E57"/>
    <w:rsid w:val="00997098"/>
    <w:rsid w:val="009976CD"/>
    <w:rsid w:val="00997B23"/>
    <w:rsid w:val="00997B99"/>
    <w:rsid w:val="00997D00"/>
    <w:rsid w:val="00997F4F"/>
    <w:rsid w:val="009A01CD"/>
    <w:rsid w:val="009A0242"/>
    <w:rsid w:val="009A06FC"/>
    <w:rsid w:val="009A07B0"/>
    <w:rsid w:val="009A0E89"/>
    <w:rsid w:val="009A1005"/>
    <w:rsid w:val="009A104A"/>
    <w:rsid w:val="009A193F"/>
    <w:rsid w:val="009A1BEF"/>
    <w:rsid w:val="009A1DB7"/>
    <w:rsid w:val="009A1DEF"/>
    <w:rsid w:val="009A2165"/>
    <w:rsid w:val="009A24FA"/>
    <w:rsid w:val="009A29C0"/>
    <w:rsid w:val="009A29E8"/>
    <w:rsid w:val="009A2CD9"/>
    <w:rsid w:val="009A2DB8"/>
    <w:rsid w:val="009A2EC6"/>
    <w:rsid w:val="009A2F56"/>
    <w:rsid w:val="009A338B"/>
    <w:rsid w:val="009A33D2"/>
    <w:rsid w:val="009A34FC"/>
    <w:rsid w:val="009A3786"/>
    <w:rsid w:val="009A38F9"/>
    <w:rsid w:val="009A3A77"/>
    <w:rsid w:val="009A3A8C"/>
    <w:rsid w:val="009A4253"/>
    <w:rsid w:val="009A4401"/>
    <w:rsid w:val="009A44BD"/>
    <w:rsid w:val="009A44C1"/>
    <w:rsid w:val="009A4AC5"/>
    <w:rsid w:val="009A4DBB"/>
    <w:rsid w:val="009A4DDE"/>
    <w:rsid w:val="009A523C"/>
    <w:rsid w:val="009A5CE8"/>
    <w:rsid w:val="009A5FD2"/>
    <w:rsid w:val="009A611A"/>
    <w:rsid w:val="009A6217"/>
    <w:rsid w:val="009A6F20"/>
    <w:rsid w:val="009A776F"/>
    <w:rsid w:val="009A7BB9"/>
    <w:rsid w:val="009B01B4"/>
    <w:rsid w:val="009B0222"/>
    <w:rsid w:val="009B0468"/>
    <w:rsid w:val="009B04DA"/>
    <w:rsid w:val="009B0777"/>
    <w:rsid w:val="009B0DB2"/>
    <w:rsid w:val="009B11AA"/>
    <w:rsid w:val="009B1383"/>
    <w:rsid w:val="009B1555"/>
    <w:rsid w:val="009B17A8"/>
    <w:rsid w:val="009B17D6"/>
    <w:rsid w:val="009B2207"/>
    <w:rsid w:val="009B22CA"/>
    <w:rsid w:val="009B24FA"/>
    <w:rsid w:val="009B2B02"/>
    <w:rsid w:val="009B2B26"/>
    <w:rsid w:val="009B2C1C"/>
    <w:rsid w:val="009B2EA5"/>
    <w:rsid w:val="009B2FA1"/>
    <w:rsid w:val="009B2FD1"/>
    <w:rsid w:val="009B3273"/>
    <w:rsid w:val="009B34C1"/>
    <w:rsid w:val="009B37AC"/>
    <w:rsid w:val="009B3A8C"/>
    <w:rsid w:val="009B3AF0"/>
    <w:rsid w:val="009B40A7"/>
    <w:rsid w:val="009B43FF"/>
    <w:rsid w:val="009B479D"/>
    <w:rsid w:val="009B4819"/>
    <w:rsid w:val="009B4939"/>
    <w:rsid w:val="009B499B"/>
    <w:rsid w:val="009B4B1D"/>
    <w:rsid w:val="009B4D9C"/>
    <w:rsid w:val="009B4FEF"/>
    <w:rsid w:val="009B506E"/>
    <w:rsid w:val="009B53A0"/>
    <w:rsid w:val="009B5418"/>
    <w:rsid w:val="009B5675"/>
    <w:rsid w:val="009B5678"/>
    <w:rsid w:val="009B576E"/>
    <w:rsid w:val="009B5DC1"/>
    <w:rsid w:val="009B5F45"/>
    <w:rsid w:val="009B61B0"/>
    <w:rsid w:val="009B61FE"/>
    <w:rsid w:val="009B6202"/>
    <w:rsid w:val="009B62B3"/>
    <w:rsid w:val="009B6992"/>
    <w:rsid w:val="009B6EE6"/>
    <w:rsid w:val="009B75A9"/>
    <w:rsid w:val="009B7920"/>
    <w:rsid w:val="009B7A49"/>
    <w:rsid w:val="009B7A9D"/>
    <w:rsid w:val="009B7BDC"/>
    <w:rsid w:val="009B7CD1"/>
    <w:rsid w:val="009B7E73"/>
    <w:rsid w:val="009C005E"/>
    <w:rsid w:val="009C00E1"/>
    <w:rsid w:val="009C016D"/>
    <w:rsid w:val="009C0246"/>
    <w:rsid w:val="009C0314"/>
    <w:rsid w:val="009C06F2"/>
    <w:rsid w:val="009C0927"/>
    <w:rsid w:val="009C0A2E"/>
    <w:rsid w:val="009C0A7F"/>
    <w:rsid w:val="009C0BF6"/>
    <w:rsid w:val="009C0CBB"/>
    <w:rsid w:val="009C0CCF"/>
    <w:rsid w:val="009C10DC"/>
    <w:rsid w:val="009C10FD"/>
    <w:rsid w:val="009C132D"/>
    <w:rsid w:val="009C17CA"/>
    <w:rsid w:val="009C1DE6"/>
    <w:rsid w:val="009C1F6C"/>
    <w:rsid w:val="009C2113"/>
    <w:rsid w:val="009C2241"/>
    <w:rsid w:val="009C241F"/>
    <w:rsid w:val="009C242B"/>
    <w:rsid w:val="009C2DA4"/>
    <w:rsid w:val="009C3C40"/>
    <w:rsid w:val="009C3D0D"/>
    <w:rsid w:val="009C3D4B"/>
    <w:rsid w:val="009C3D50"/>
    <w:rsid w:val="009C3FEF"/>
    <w:rsid w:val="009C4359"/>
    <w:rsid w:val="009C4472"/>
    <w:rsid w:val="009C47C1"/>
    <w:rsid w:val="009C49BB"/>
    <w:rsid w:val="009C4B13"/>
    <w:rsid w:val="009C4C1D"/>
    <w:rsid w:val="009C4C52"/>
    <w:rsid w:val="009C4CAE"/>
    <w:rsid w:val="009C4F5C"/>
    <w:rsid w:val="009C50CE"/>
    <w:rsid w:val="009C5115"/>
    <w:rsid w:val="009C576A"/>
    <w:rsid w:val="009C5968"/>
    <w:rsid w:val="009C5994"/>
    <w:rsid w:val="009C5DB8"/>
    <w:rsid w:val="009C6085"/>
    <w:rsid w:val="009C60CE"/>
    <w:rsid w:val="009C6110"/>
    <w:rsid w:val="009C644E"/>
    <w:rsid w:val="009C68F3"/>
    <w:rsid w:val="009C69E5"/>
    <w:rsid w:val="009C6ED9"/>
    <w:rsid w:val="009C717A"/>
    <w:rsid w:val="009C728F"/>
    <w:rsid w:val="009C72AF"/>
    <w:rsid w:val="009C7483"/>
    <w:rsid w:val="009C74F1"/>
    <w:rsid w:val="009C78F3"/>
    <w:rsid w:val="009C7BF6"/>
    <w:rsid w:val="009C7D1E"/>
    <w:rsid w:val="009D005B"/>
    <w:rsid w:val="009D0347"/>
    <w:rsid w:val="009D0663"/>
    <w:rsid w:val="009D07AC"/>
    <w:rsid w:val="009D09C4"/>
    <w:rsid w:val="009D0A6C"/>
    <w:rsid w:val="009D0C53"/>
    <w:rsid w:val="009D0CCD"/>
    <w:rsid w:val="009D0DFA"/>
    <w:rsid w:val="009D156B"/>
    <w:rsid w:val="009D184C"/>
    <w:rsid w:val="009D19A3"/>
    <w:rsid w:val="009D1A8C"/>
    <w:rsid w:val="009D27F3"/>
    <w:rsid w:val="009D27FE"/>
    <w:rsid w:val="009D2900"/>
    <w:rsid w:val="009D2CBB"/>
    <w:rsid w:val="009D2FAE"/>
    <w:rsid w:val="009D3A75"/>
    <w:rsid w:val="009D3BE1"/>
    <w:rsid w:val="009D3C2E"/>
    <w:rsid w:val="009D3C6C"/>
    <w:rsid w:val="009D40CC"/>
    <w:rsid w:val="009D4425"/>
    <w:rsid w:val="009D468D"/>
    <w:rsid w:val="009D4C3C"/>
    <w:rsid w:val="009D4F45"/>
    <w:rsid w:val="009D5088"/>
    <w:rsid w:val="009D5131"/>
    <w:rsid w:val="009D5309"/>
    <w:rsid w:val="009D5310"/>
    <w:rsid w:val="009D54C5"/>
    <w:rsid w:val="009D56F6"/>
    <w:rsid w:val="009D580C"/>
    <w:rsid w:val="009D5B71"/>
    <w:rsid w:val="009D5D27"/>
    <w:rsid w:val="009D5D6D"/>
    <w:rsid w:val="009D5FDA"/>
    <w:rsid w:val="009D62CB"/>
    <w:rsid w:val="009D643F"/>
    <w:rsid w:val="009D68F5"/>
    <w:rsid w:val="009D6C18"/>
    <w:rsid w:val="009D6DC5"/>
    <w:rsid w:val="009D6EA6"/>
    <w:rsid w:val="009D7185"/>
    <w:rsid w:val="009D762B"/>
    <w:rsid w:val="009D7B00"/>
    <w:rsid w:val="009D7DB5"/>
    <w:rsid w:val="009D7EDB"/>
    <w:rsid w:val="009D7EE3"/>
    <w:rsid w:val="009E0850"/>
    <w:rsid w:val="009E0A1E"/>
    <w:rsid w:val="009E0B69"/>
    <w:rsid w:val="009E1162"/>
    <w:rsid w:val="009E12EE"/>
    <w:rsid w:val="009E139D"/>
    <w:rsid w:val="009E13B4"/>
    <w:rsid w:val="009E1834"/>
    <w:rsid w:val="009E1AA6"/>
    <w:rsid w:val="009E1C87"/>
    <w:rsid w:val="009E2084"/>
    <w:rsid w:val="009E2120"/>
    <w:rsid w:val="009E247C"/>
    <w:rsid w:val="009E27E3"/>
    <w:rsid w:val="009E2954"/>
    <w:rsid w:val="009E2D92"/>
    <w:rsid w:val="009E2ED0"/>
    <w:rsid w:val="009E2FBB"/>
    <w:rsid w:val="009E3078"/>
    <w:rsid w:val="009E3239"/>
    <w:rsid w:val="009E36EF"/>
    <w:rsid w:val="009E3D75"/>
    <w:rsid w:val="009E3DB3"/>
    <w:rsid w:val="009E411F"/>
    <w:rsid w:val="009E4D69"/>
    <w:rsid w:val="009E4D7D"/>
    <w:rsid w:val="009E4EA5"/>
    <w:rsid w:val="009E5280"/>
    <w:rsid w:val="009E58E1"/>
    <w:rsid w:val="009E5950"/>
    <w:rsid w:val="009E6280"/>
    <w:rsid w:val="009E6458"/>
    <w:rsid w:val="009E6487"/>
    <w:rsid w:val="009E6628"/>
    <w:rsid w:val="009E66AC"/>
    <w:rsid w:val="009E67B3"/>
    <w:rsid w:val="009E68FA"/>
    <w:rsid w:val="009E6AF9"/>
    <w:rsid w:val="009E6B49"/>
    <w:rsid w:val="009E6E76"/>
    <w:rsid w:val="009E6F8D"/>
    <w:rsid w:val="009E7095"/>
    <w:rsid w:val="009E71A1"/>
    <w:rsid w:val="009E7451"/>
    <w:rsid w:val="009E7806"/>
    <w:rsid w:val="009E782E"/>
    <w:rsid w:val="009E79B1"/>
    <w:rsid w:val="009E7CEF"/>
    <w:rsid w:val="009E7D97"/>
    <w:rsid w:val="009E7E8F"/>
    <w:rsid w:val="009E7FE9"/>
    <w:rsid w:val="009F0049"/>
    <w:rsid w:val="009F006A"/>
    <w:rsid w:val="009F02C6"/>
    <w:rsid w:val="009F03BC"/>
    <w:rsid w:val="009F03EB"/>
    <w:rsid w:val="009F03ED"/>
    <w:rsid w:val="009F0A7B"/>
    <w:rsid w:val="009F0DBF"/>
    <w:rsid w:val="009F0E4C"/>
    <w:rsid w:val="009F13BC"/>
    <w:rsid w:val="009F1E1E"/>
    <w:rsid w:val="009F1E8A"/>
    <w:rsid w:val="009F1E8B"/>
    <w:rsid w:val="009F1EEC"/>
    <w:rsid w:val="009F2332"/>
    <w:rsid w:val="009F2359"/>
    <w:rsid w:val="009F248B"/>
    <w:rsid w:val="009F29FE"/>
    <w:rsid w:val="009F2D55"/>
    <w:rsid w:val="009F340E"/>
    <w:rsid w:val="009F36CB"/>
    <w:rsid w:val="009F37D0"/>
    <w:rsid w:val="009F3909"/>
    <w:rsid w:val="009F392E"/>
    <w:rsid w:val="009F3AC2"/>
    <w:rsid w:val="009F3C35"/>
    <w:rsid w:val="009F3DFD"/>
    <w:rsid w:val="009F3EC8"/>
    <w:rsid w:val="009F4100"/>
    <w:rsid w:val="009F4170"/>
    <w:rsid w:val="009F4193"/>
    <w:rsid w:val="009F41B7"/>
    <w:rsid w:val="009F41D6"/>
    <w:rsid w:val="009F4730"/>
    <w:rsid w:val="009F4D61"/>
    <w:rsid w:val="009F4D7F"/>
    <w:rsid w:val="009F5011"/>
    <w:rsid w:val="009F5041"/>
    <w:rsid w:val="009F54B6"/>
    <w:rsid w:val="009F5931"/>
    <w:rsid w:val="009F594B"/>
    <w:rsid w:val="009F5ADB"/>
    <w:rsid w:val="009F5CCF"/>
    <w:rsid w:val="009F5DFE"/>
    <w:rsid w:val="009F6317"/>
    <w:rsid w:val="009F6912"/>
    <w:rsid w:val="009F6D63"/>
    <w:rsid w:val="009F6E63"/>
    <w:rsid w:val="009F6F62"/>
    <w:rsid w:val="009F7003"/>
    <w:rsid w:val="009F7210"/>
    <w:rsid w:val="009F72CB"/>
    <w:rsid w:val="009F74E9"/>
    <w:rsid w:val="009F7585"/>
    <w:rsid w:val="009F77A8"/>
    <w:rsid w:val="009F794D"/>
    <w:rsid w:val="009F7ECC"/>
    <w:rsid w:val="009F7F49"/>
    <w:rsid w:val="00A00184"/>
    <w:rsid w:val="00A00431"/>
    <w:rsid w:val="00A00982"/>
    <w:rsid w:val="00A00A05"/>
    <w:rsid w:val="00A00B58"/>
    <w:rsid w:val="00A00C23"/>
    <w:rsid w:val="00A00E33"/>
    <w:rsid w:val="00A00EAD"/>
    <w:rsid w:val="00A00FD8"/>
    <w:rsid w:val="00A01306"/>
    <w:rsid w:val="00A0145A"/>
    <w:rsid w:val="00A01466"/>
    <w:rsid w:val="00A01676"/>
    <w:rsid w:val="00A01711"/>
    <w:rsid w:val="00A01820"/>
    <w:rsid w:val="00A019B6"/>
    <w:rsid w:val="00A02033"/>
    <w:rsid w:val="00A02345"/>
    <w:rsid w:val="00A023C1"/>
    <w:rsid w:val="00A02488"/>
    <w:rsid w:val="00A024F6"/>
    <w:rsid w:val="00A0264D"/>
    <w:rsid w:val="00A02692"/>
    <w:rsid w:val="00A0270A"/>
    <w:rsid w:val="00A029BB"/>
    <w:rsid w:val="00A02CC8"/>
    <w:rsid w:val="00A02D1F"/>
    <w:rsid w:val="00A030DD"/>
    <w:rsid w:val="00A031A9"/>
    <w:rsid w:val="00A0354A"/>
    <w:rsid w:val="00A0385F"/>
    <w:rsid w:val="00A03B18"/>
    <w:rsid w:val="00A03CC1"/>
    <w:rsid w:val="00A03DDE"/>
    <w:rsid w:val="00A04137"/>
    <w:rsid w:val="00A04248"/>
    <w:rsid w:val="00A0427A"/>
    <w:rsid w:val="00A0449A"/>
    <w:rsid w:val="00A044DE"/>
    <w:rsid w:val="00A045F7"/>
    <w:rsid w:val="00A0474A"/>
    <w:rsid w:val="00A0490D"/>
    <w:rsid w:val="00A04D7D"/>
    <w:rsid w:val="00A05055"/>
    <w:rsid w:val="00A055AF"/>
    <w:rsid w:val="00A055E4"/>
    <w:rsid w:val="00A0560E"/>
    <w:rsid w:val="00A05861"/>
    <w:rsid w:val="00A058C0"/>
    <w:rsid w:val="00A05968"/>
    <w:rsid w:val="00A05B30"/>
    <w:rsid w:val="00A06111"/>
    <w:rsid w:val="00A06370"/>
    <w:rsid w:val="00A06879"/>
    <w:rsid w:val="00A068B7"/>
    <w:rsid w:val="00A0696C"/>
    <w:rsid w:val="00A0703E"/>
    <w:rsid w:val="00A07251"/>
    <w:rsid w:val="00A07427"/>
    <w:rsid w:val="00A0750F"/>
    <w:rsid w:val="00A076B8"/>
    <w:rsid w:val="00A076C7"/>
    <w:rsid w:val="00A077AA"/>
    <w:rsid w:val="00A0789F"/>
    <w:rsid w:val="00A0794E"/>
    <w:rsid w:val="00A07989"/>
    <w:rsid w:val="00A07C9F"/>
    <w:rsid w:val="00A07DC1"/>
    <w:rsid w:val="00A1000A"/>
    <w:rsid w:val="00A10D34"/>
    <w:rsid w:val="00A10E5A"/>
    <w:rsid w:val="00A110A5"/>
    <w:rsid w:val="00A11400"/>
    <w:rsid w:val="00A114FF"/>
    <w:rsid w:val="00A1156A"/>
    <w:rsid w:val="00A11771"/>
    <w:rsid w:val="00A11CA2"/>
    <w:rsid w:val="00A1244D"/>
    <w:rsid w:val="00A12BCB"/>
    <w:rsid w:val="00A1316D"/>
    <w:rsid w:val="00A131C0"/>
    <w:rsid w:val="00A13276"/>
    <w:rsid w:val="00A13376"/>
    <w:rsid w:val="00A134EF"/>
    <w:rsid w:val="00A137DF"/>
    <w:rsid w:val="00A13912"/>
    <w:rsid w:val="00A13C15"/>
    <w:rsid w:val="00A13E1E"/>
    <w:rsid w:val="00A13F00"/>
    <w:rsid w:val="00A1407E"/>
    <w:rsid w:val="00A14118"/>
    <w:rsid w:val="00A1417A"/>
    <w:rsid w:val="00A143FB"/>
    <w:rsid w:val="00A146EE"/>
    <w:rsid w:val="00A148EC"/>
    <w:rsid w:val="00A1493F"/>
    <w:rsid w:val="00A1521B"/>
    <w:rsid w:val="00A152FC"/>
    <w:rsid w:val="00A1539F"/>
    <w:rsid w:val="00A15C9C"/>
    <w:rsid w:val="00A15CA5"/>
    <w:rsid w:val="00A15E44"/>
    <w:rsid w:val="00A16017"/>
    <w:rsid w:val="00A16228"/>
    <w:rsid w:val="00A16562"/>
    <w:rsid w:val="00A167AD"/>
    <w:rsid w:val="00A1680C"/>
    <w:rsid w:val="00A16CCD"/>
    <w:rsid w:val="00A16D17"/>
    <w:rsid w:val="00A1722C"/>
    <w:rsid w:val="00A1773B"/>
    <w:rsid w:val="00A17BE9"/>
    <w:rsid w:val="00A17F76"/>
    <w:rsid w:val="00A200E4"/>
    <w:rsid w:val="00A20501"/>
    <w:rsid w:val="00A207E5"/>
    <w:rsid w:val="00A2088F"/>
    <w:rsid w:val="00A20A51"/>
    <w:rsid w:val="00A20A7E"/>
    <w:rsid w:val="00A20B53"/>
    <w:rsid w:val="00A21475"/>
    <w:rsid w:val="00A215C7"/>
    <w:rsid w:val="00A2185F"/>
    <w:rsid w:val="00A21B6C"/>
    <w:rsid w:val="00A21E70"/>
    <w:rsid w:val="00A221C4"/>
    <w:rsid w:val="00A224B1"/>
    <w:rsid w:val="00A22AD9"/>
    <w:rsid w:val="00A22AF3"/>
    <w:rsid w:val="00A22B5C"/>
    <w:rsid w:val="00A22B77"/>
    <w:rsid w:val="00A22F50"/>
    <w:rsid w:val="00A22FA4"/>
    <w:rsid w:val="00A2317D"/>
    <w:rsid w:val="00A23271"/>
    <w:rsid w:val="00A23396"/>
    <w:rsid w:val="00A234F1"/>
    <w:rsid w:val="00A23700"/>
    <w:rsid w:val="00A237BF"/>
    <w:rsid w:val="00A2398F"/>
    <w:rsid w:val="00A24319"/>
    <w:rsid w:val="00A2448B"/>
    <w:rsid w:val="00A24567"/>
    <w:rsid w:val="00A24764"/>
    <w:rsid w:val="00A247BE"/>
    <w:rsid w:val="00A24942"/>
    <w:rsid w:val="00A24A1F"/>
    <w:rsid w:val="00A24D05"/>
    <w:rsid w:val="00A24F4F"/>
    <w:rsid w:val="00A253C7"/>
    <w:rsid w:val="00A254DD"/>
    <w:rsid w:val="00A2550C"/>
    <w:rsid w:val="00A25710"/>
    <w:rsid w:val="00A2590D"/>
    <w:rsid w:val="00A2591F"/>
    <w:rsid w:val="00A25A79"/>
    <w:rsid w:val="00A25A99"/>
    <w:rsid w:val="00A25C39"/>
    <w:rsid w:val="00A25C6B"/>
    <w:rsid w:val="00A25D6E"/>
    <w:rsid w:val="00A26834"/>
    <w:rsid w:val="00A26856"/>
    <w:rsid w:val="00A26A1B"/>
    <w:rsid w:val="00A26B63"/>
    <w:rsid w:val="00A26E5F"/>
    <w:rsid w:val="00A26EA6"/>
    <w:rsid w:val="00A26F69"/>
    <w:rsid w:val="00A270E9"/>
    <w:rsid w:val="00A279DC"/>
    <w:rsid w:val="00A27AD2"/>
    <w:rsid w:val="00A27C4A"/>
    <w:rsid w:val="00A27D40"/>
    <w:rsid w:val="00A27D72"/>
    <w:rsid w:val="00A30426"/>
    <w:rsid w:val="00A30497"/>
    <w:rsid w:val="00A306AE"/>
    <w:rsid w:val="00A3078A"/>
    <w:rsid w:val="00A30B5E"/>
    <w:rsid w:val="00A30DEE"/>
    <w:rsid w:val="00A30FB6"/>
    <w:rsid w:val="00A3188E"/>
    <w:rsid w:val="00A31A8A"/>
    <w:rsid w:val="00A31BC4"/>
    <w:rsid w:val="00A31F08"/>
    <w:rsid w:val="00A32067"/>
    <w:rsid w:val="00A3206E"/>
    <w:rsid w:val="00A320CC"/>
    <w:rsid w:val="00A3211A"/>
    <w:rsid w:val="00A32266"/>
    <w:rsid w:val="00A3239F"/>
    <w:rsid w:val="00A32997"/>
    <w:rsid w:val="00A32D41"/>
    <w:rsid w:val="00A32D75"/>
    <w:rsid w:val="00A32E23"/>
    <w:rsid w:val="00A33205"/>
    <w:rsid w:val="00A33300"/>
    <w:rsid w:val="00A33439"/>
    <w:rsid w:val="00A3346A"/>
    <w:rsid w:val="00A3357B"/>
    <w:rsid w:val="00A33918"/>
    <w:rsid w:val="00A3398E"/>
    <w:rsid w:val="00A33A1E"/>
    <w:rsid w:val="00A3410F"/>
    <w:rsid w:val="00A3426D"/>
    <w:rsid w:val="00A3484C"/>
    <w:rsid w:val="00A34B71"/>
    <w:rsid w:val="00A34C45"/>
    <w:rsid w:val="00A34E90"/>
    <w:rsid w:val="00A34F85"/>
    <w:rsid w:val="00A351BC"/>
    <w:rsid w:val="00A352F8"/>
    <w:rsid w:val="00A35450"/>
    <w:rsid w:val="00A3545F"/>
    <w:rsid w:val="00A35545"/>
    <w:rsid w:val="00A3555C"/>
    <w:rsid w:val="00A35936"/>
    <w:rsid w:val="00A35AD4"/>
    <w:rsid w:val="00A35B4A"/>
    <w:rsid w:val="00A35BBD"/>
    <w:rsid w:val="00A35C35"/>
    <w:rsid w:val="00A35E50"/>
    <w:rsid w:val="00A35F6B"/>
    <w:rsid w:val="00A361BF"/>
    <w:rsid w:val="00A36731"/>
    <w:rsid w:val="00A36A02"/>
    <w:rsid w:val="00A36D24"/>
    <w:rsid w:val="00A3703E"/>
    <w:rsid w:val="00A37579"/>
    <w:rsid w:val="00A37631"/>
    <w:rsid w:val="00A37A10"/>
    <w:rsid w:val="00A37FA5"/>
    <w:rsid w:val="00A4000E"/>
    <w:rsid w:val="00A4017D"/>
    <w:rsid w:val="00A4042A"/>
    <w:rsid w:val="00A40786"/>
    <w:rsid w:val="00A40789"/>
    <w:rsid w:val="00A40AB0"/>
    <w:rsid w:val="00A40AD7"/>
    <w:rsid w:val="00A4116E"/>
    <w:rsid w:val="00A41213"/>
    <w:rsid w:val="00A41320"/>
    <w:rsid w:val="00A41511"/>
    <w:rsid w:val="00A41673"/>
    <w:rsid w:val="00A41696"/>
    <w:rsid w:val="00A41862"/>
    <w:rsid w:val="00A41D3C"/>
    <w:rsid w:val="00A420CF"/>
    <w:rsid w:val="00A4246E"/>
    <w:rsid w:val="00A424F0"/>
    <w:rsid w:val="00A42A47"/>
    <w:rsid w:val="00A42A92"/>
    <w:rsid w:val="00A42E6E"/>
    <w:rsid w:val="00A43037"/>
    <w:rsid w:val="00A43090"/>
    <w:rsid w:val="00A43182"/>
    <w:rsid w:val="00A43225"/>
    <w:rsid w:val="00A43305"/>
    <w:rsid w:val="00A435AC"/>
    <w:rsid w:val="00A4363D"/>
    <w:rsid w:val="00A436EB"/>
    <w:rsid w:val="00A43806"/>
    <w:rsid w:val="00A43A7C"/>
    <w:rsid w:val="00A43BF3"/>
    <w:rsid w:val="00A43C8E"/>
    <w:rsid w:val="00A4406B"/>
    <w:rsid w:val="00A44357"/>
    <w:rsid w:val="00A44377"/>
    <w:rsid w:val="00A4491B"/>
    <w:rsid w:val="00A449E7"/>
    <w:rsid w:val="00A450E6"/>
    <w:rsid w:val="00A4516C"/>
    <w:rsid w:val="00A456E1"/>
    <w:rsid w:val="00A45A0A"/>
    <w:rsid w:val="00A45D03"/>
    <w:rsid w:val="00A45D30"/>
    <w:rsid w:val="00A45DA7"/>
    <w:rsid w:val="00A45E65"/>
    <w:rsid w:val="00A46233"/>
    <w:rsid w:val="00A4669D"/>
    <w:rsid w:val="00A46A4A"/>
    <w:rsid w:val="00A46D4F"/>
    <w:rsid w:val="00A46D76"/>
    <w:rsid w:val="00A47974"/>
    <w:rsid w:val="00A479BE"/>
    <w:rsid w:val="00A47E5A"/>
    <w:rsid w:val="00A47EDA"/>
    <w:rsid w:val="00A47F5B"/>
    <w:rsid w:val="00A5031D"/>
    <w:rsid w:val="00A50461"/>
    <w:rsid w:val="00A5082D"/>
    <w:rsid w:val="00A5098E"/>
    <w:rsid w:val="00A50B8A"/>
    <w:rsid w:val="00A50D90"/>
    <w:rsid w:val="00A50FFC"/>
    <w:rsid w:val="00A51147"/>
    <w:rsid w:val="00A5144B"/>
    <w:rsid w:val="00A5146B"/>
    <w:rsid w:val="00A51493"/>
    <w:rsid w:val="00A514B4"/>
    <w:rsid w:val="00A514C0"/>
    <w:rsid w:val="00A51539"/>
    <w:rsid w:val="00A519C9"/>
    <w:rsid w:val="00A51A62"/>
    <w:rsid w:val="00A51FFD"/>
    <w:rsid w:val="00A52000"/>
    <w:rsid w:val="00A52912"/>
    <w:rsid w:val="00A52F08"/>
    <w:rsid w:val="00A532FC"/>
    <w:rsid w:val="00A53760"/>
    <w:rsid w:val="00A53B72"/>
    <w:rsid w:val="00A53C6F"/>
    <w:rsid w:val="00A53D19"/>
    <w:rsid w:val="00A53D38"/>
    <w:rsid w:val="00A53F4C"/>
    <w:rsid w:val="00A53FD9"/>
    <w:rsid w:val="00A544A1"/>
    <w:rsid w:val="00A54861"/>
    <w:rsid w:val="00A54B0B"/>
    <w:rsid w:val="00A54B26"/>
    <w:rsid w:val="00A55107"/>
    <w:rsid w:val="00A551A2"/>
    <w:rsid w:val="00A553B2"/>
    <w:rsid w:val="00A55476"/>
    <w:rsid w:val="00A554FB"/>
    <w:rsid w:val="00A55584"/>
    <w:rsid w:val="00A5564C"/>
    <w:rsid w:val="00A558A6"/>
    <w:rsid w:val="00A55A5D"/>
    <w:rsid w:val="00A55C2E"/>
    <w:rsid w:val="00A55D10"/>
    <w:rsid w:val="00A55DF2"/>
    <w:rsid w:val="00A55DF7"/>
    <w:rsid w:val="00A55E05"/>
    <w:rsid w:val="00A562C8"/>
    <w:rsid w:val="00A563F5"/>
    <w:rsid w:val="00A566D6"/>
    <w:rsid w:val="00A5686A"/>
    <w:rsid w:val="00A56A7A"/>
    <w:rsid w:val="00A56CD2"/>
    <w:rsid w:val="00A56D4E"/>
    <w:rsid w:val="00A56E17"/>
    <w:rsid w:val="00A572BB"/>
    <w:rsid w:val="00A57481"/>
    <w:rsid w:val="00A575A8"/>
    <w:rsid w:val="00A578DC"/>
    <w:rsid w:val="00A579E2"/>
    <w:rsid w:val="00A57D3A"/>
    <w:rsid w:val="00A57DA5"/>
    <w:rsid w:val="00A57DD5"/>
    <w:rsid w:val="00A6021F"/>
    <w:rsid w:val="00A602E5"/>
    <w:rsid w:val="00A60370"/>
    <w:rsid w:val="00A6042B"/>
    <w:rsid w:val="00A6055E"/>
    <w:rsid w:val="00A60F73"/>
    <w:rsid w:val="00A61057"/>
    <w:rsid w:val="00A612E4"/>
    <w:rsid w:val="00A613F9"/>
    <w:rsid w:val="00A61755"/>
    <w:rsid w:val="00A61B17"/>
    <w:rsid w:val="00A61BDA"/>
    <w:rsid w:val="00A61D67"/>
    <w:rsid w:val="00A61E60"/>
    <w:rsid w:val="00A6207E"/>
    <w:rsid w:val="00A62313"/>
    <w:rsid w:val="00A62470"/>
    <w:rsid w:val="00A627BA"/>
    <w:rsid w:val="00A630A5"/>
    <w:rsid w:val="00A632F7"/>
    <w:rsid w:val="00A6402D"/>
    <w:rsid w:val="00A6427B"/>
    <w:rsid w:val="00A6433F"/>
    <w:rsid w:val="00A64618"/>
    <w:rsid w:val="00A64967"/>
    <w:rsid w:val="00A64E87"/>
    <w:rsid w:val="00A64EE6"/>
    <w:rsid w:val="00A6518B"/>
    <w:rsid w:val="00A65204"/>
    <w:rsid w:val="00A65476"/>
    <w:rsid w:val="00A6564B"/>
    <w:rsid w:val="00A65F2F"/>
    <w:rsid w:val="00A6621D"/>
    <w:rsid w:val="00A66237"/>
    <w:rsid w:val="00A666E2"/>
    <w:rsid w:val="00A66746"/>
    <w:rsid w:val="00A66CAE"/>
    <w:rsid w:val="00A66D8B"/>
    <w:rsid w:val="00A67211"/>
    <w:rsid w:val="00A678C4"/>
    <w:rsid w:val="00A67BE4"/>
    <w:rsid w:val="00A67C62"/>
    <w:rsid w:val="00A67ECC"/>
    <w:rsid w:val="00A67F86"/>
    <w:rsid w:val="00A701A0"/>
    <w:rsid w:val="00A704EA"/>
    <w:rsid w:val="00A705C5"/>
    <w:rsid w:val="00A7066E"/>
    <w:rsid w:val="00A70A1C"/>
    <w:rsid w:val="00A70CA5"/>
    <w:rsid w:val="00A71053"/>
    <w:rsid w:val="00A710B1"/>
    <w:rsid w:val="00A71291"/>
    <w:rsid w:val="00A71293"/>
    <w:rsid w:val="00A71387"/>
    <w:rsid w:val="00A718DC"/>
    <w:rsid w:val="00A71AED"/>
    <w:rsid w:val="00A71C76"/>
    <w:rsid w:val="00A7280A"/>
    <w:rsid w:val="00A72A0A"/>
    <w:rsid w:val="00A72BF3"/>
    <w:rsid w:val="00A72CBD"/>
    <w:rsid w:val="00A73139"/>
    <w:rsid w:val="00A734AD"/>
    <w:rsid w:val="00A73755"/>
    <w:rsid w:val="00A739F5"/>
    <w:rsid w:val="00A73BB9"/>
    <w:rsid w:val="00A73C39"/>
    <w:rsid w:val="00A73DAF"/>
    <w:rsid w:val="00A73EB2"/>
    <w:rsid w:val="00A740D9"/>
    <w:rsid w:val="00A744C6"/>
    <w:rsid w:val="00A746AD"/>
    <w:rsid w:val="00A746B5"/>
    <w:rsid w:val="00A74A00"/>
    <w:rsid w:val="00A74B9E"/>
    <w:rsid w:val="00A74D02"/>
    <w:rsid w:val="00A74DCE"/>
    <w:rsid w:val="00A75070"/>
    <w:rsid w:val="00A75398"/>
    <w:rsid w:val="00A757CA"/>
    <w:rsid w:val="00A75A7D"/>
    <w:rsid w:val="00A75F3C"/>
    <w:rsid w:val="00A75F6A"/>
    <w:rsid w:val="00A760A3"/>
    <w:rsid w:val="00A760E1"/>
    <w:rsid w:val="00A762F6"/>
    <w:rsid w:val="00A76A9A"/>
    <w:rsid w:val="00A76B91"/>
    <w:rsid w:val="00A76C23"/>
    <w:rsid w:val="00A7703C"/>
    <w:rsid w:val="00A77483"/>
    <w:rsid w:val="00A777AB"/>
    <w:rsid w:val="00A77AC2"/>
    <w:rsid w:val="00A77C88"/>
    <w:rsid w:val="00A77EA0"/>
    <w:rsid w:val="00A77F49"/>
    <w:rsid w:val="00A801A7"/>
    <w:rsid w:val="00A806D5"/>
    <w:rsid w:val="00A80C44"/>
    <w:rsid w:val="00A80E99"/>
    <w:rsid w:val="00A8106B"/>
    <w:rsid w:val="00A81563"/>
    <w:rsid w:val="00A816CF"/>
    <w:rsid w:val="00A81757"/>
    <w:rsid w:val="00A81B85"/>
    <w:rsid w:val="00A81BC6"/>
    <w:rsid w:val="00A81F31"/>
    <w:rsid w:val="00A81FBF"/>
    <w:rsid w:val="00A820C5"/>
    <w:rsid w:val="00A82241"/>
    <w:rsid w:val="00A822AF"/>
    <w:rsid w:val="00A822E0"/>
    <w:rsid w:val="00A82303"/>
    <w:rsid w:val="00A82697"/>
    <w:rsid w:val="00A828EB"/>
    <w:rsid w:val="00A82942"/>
    <w:rsid w:val="00A82AE1"/>
    <w:rsid w:val="00A82C59"/>
    <w:rsid w:val="00A82E3A"/>
    <w:rsid w:val="00A830B5"/>
    <w:rsid w:val="00A830DD"/>
    <w:rsid w:val="00A831E3"/>
    <w:rsid w:val="00A83AD2"/>
    <w:rsid w:val="00A83BBE"/>
    <w:rsid w:val="00A83E0E"/>
    <w:rsid w:val="00A83EE5"/>
    <w:rsid w:val="00A83F4D"/>
    <w:rsid w:val="00A8435A"/>
    <w:rsid w:val="00A8457D"/>
    <w:rsid w:val="00A846A3"/>
    <w:rsid w:val="00A84A06"/>
    <w:rsid w:val="00A84DA7"/>
    <w:rsid w:val="00A84E25"/>
    <w:rsid w:val="00A85532"/>
    <w:rsid w:val="00A858B6"/>
    <w:rsid w:val="00A85AFC"/>
    <w:rsid w:val="00A85C9F"/>
    <w:rsid w:val="00A85D71"/>
    <w:rsid w:val="00A864EA"/>
    <w:rsid w:val="00A8653A"/>
    <w:rsid w:val="00A866F5"/>
    <w:rsid w:val="00A867D6"/>
    <w:rsid w:val="00A868E0"/>
    <w:rsid w:val="00A86A64"/>
    <w:rsid w:val="00A87035"/>
    <w:rsid w:val="00A871D2"/>
    <w:rsid w:val="00A8730C"/>
    <w:rsid w:val="00A874DE"/>
    <w:rsid w:val="00A87D6B"/>
    <w:rsid w:val="00A87E14"/>
    <w:rsid w:val="00A9015D"/>
    <w:rsid w:val="00A9018B"/>
    <w:rsid w:val="00A901D5"/>
    <w:rsid w:val="00A90715"/>
    <w:rsid w:val="00A90B18"/>
    <w:rsid w:val="00A90B54"/>
    <w:rsid w:val="00A90DA7"/>
    <w:rsid w:val="00A91047"/>
    <w:rsid w:val="00A91058"/>
    <w:rsid w:val="00A91248"/>
    <w:rsid w:val="00A918EA"/>
    <w:rsid w:val="00A91DF9"/>
    <w:rsid w:val="00A921B9"/>
    <w:rsid w:val="00A92813"/>
    <w:rsid w:val="00A92A85"/>
    <w:rsid w:val="00A932F2"/>
    <w:rsid w:val="00A9370D"/>
    <w:rsid w:val="00A937D5"/>
    <w:rsid w:val="00A93B1E"/>
    <w:rsid w:val="00A94093"/>
    <w:rsid w:val="00A941E9"/>
    <w:rsid w:val="00A942FD"/>
    <w:rsid w:val="00A94FDB"/>
    <w:rsid w:val="00A95560"/>
    <w:rsid w:val="00A955CC"/>
    <w:rsid w:val="00A95992"/>
    <w:rsid w:val="00A95B50"/>
    <w:rsid w:val="00A96405"/>
    <w:rsid w:val="00A9675D"/>
    <w:rsid w:val="00A96960"/>
    <w:rsid w:val="00A96A56"/>
    <w:rsid w:val="00A96C6D"/>
    <w:rsid w:val="00A96F59"/>
    <w:rsid w:val="00A96F8C"/>
    <w:rsid w:val="00A9711A"/>
    <w:rsid w:val="00A97203"/>
    <w:rsid w:val="00A97414"/>
    <w:rsid w:val="00A97525"/>
    <w:rsid w:val="00A97585"/>
    <w:rsid w:val="00A97DA6"/>
    <w:rsid w:val="00A97F09"/>
    <w:rsid w:val="00AA0075"/>
    <w:rsid w:val="00AA044F"/>
    <w:rsid w:val="00AA0556"/>
    <w:rsid w:val="00AA07F2"/>
    <w:rsid w:val="00AA09C6"/>
    <w:rsid w:val="00AA0A32"/>
    <w:rsid w:val="00AA0D96"/>
    <w:rsid w:val="00AA1348"/>
    <w:rsid w:val="00AA13E6"/>
    <w:rsid w:val="00AA17B1"/>
    <w:rsid w:val="00AA17E1"/>
    <w:rsid w:val="00AA1DB8"/>
    <w:rsid w:val="00AA22FE"/>
    <w:rsid w:val="00AA2464"/>
    <w:rsid w:val="00AA26D1"/>
    <w:rsid w:val="00AA28D3"/>
    <w:rsid w:val="00AA2CBA"/>
    <w:rsid w:val="00AA2E08"/>
    <w:rsid w:val="00AA2F8D"/>
    <w:rsid w:val="00AA3338"/>
    <w:rsid w:val="00AA376B"/>
    <w:rsid w:val="00AA3885"/>
    <w:rsid w:val="00AA3A29"/>
    <w:rsid w:val="00AA3AA8"/>
    <w:rsid w:val="00AA3FAD"/>
    <w:rsid w:val="00AA4034"/>
    <w:rsid w:val="00AA4130"/>
    <w:rsid w:val="00AA4375"/>
    <w:rsid w:val="00AA44F0"/>
    <w:rsid w:val="00AA4636"/>
    <w:rsid w:val="00AA4B13"/>
    <w:rsid w:val="00AA4F65"/>
    <w:rsid w:val="00AA5103"/>
    <w:rsid w:val="00AA528F"/>
    <w:rsid w:val="00AA539B"/>
    <w:rsid w:val="00AA543D"/>
    <w:rsid w:val="00AA5487"/>
    <w:rsid w:val="00AA5594"/>
    <w:rsid w:val="00AA5694"/>
    <w:rsid w:val="00AA58F3"/>
    <w:rsid w:val="00AA60E6"/>
    <w:rsid w:val="00AA623D"/>
    <w:rsid w:val="00AA64D8"/>
    <w:rsid w:val="00AA654F"/>
    <w:rsid w:val="00AA6A8D"/>
    <w:rsid w:val="00AA6BCA"/>
    <w:rsid w:val="00AA6D8D"/>
    <w:rsid w:val="00AA6E11"/>
    <w:rsid w:val="00AA6E9B"/>
    <w:rsid w:val="00AA73A8"/>
    <w:rsid w:val="00AA74FB"/>
    <w:rsid w:val="00AA7653"/>
    <w:rsid w:val="00AA79B3"/>
    <w:rsid w:val="00AA79C6"/>
    <w:rsid w:val="00AA79E5"/>
    <w:rsid w:val="00AA7AD2"/>
    <w:rsid w:val="00AA7D76"/>
    <w:rsid w:val="00AA7DDC"/>
    <w:rsid w:val="00AB02F9"/>
    <w:rsid w:val="00AB0433"/>
    <w:rsid w:val="00AB048D"/>
    <w:rsid w:val="00AB06CC"/>
    <w:rsid w:val="00AB0A7F"/>
    <w:rsid w:val="00AB0BBB"/>
    <w:rsid w:val="00AB0BE5"/>
    <w:rsid w:val="00AB10A2"/>
    <w:rsid w:val="00AB18BA"/>
    <w:rsid w:val="00AB19F1"/>
    <w:rsid w:val="00AB1A7B"/>
    <w:rsid w:val="00AB1B3F"/>
    <w:rsid w:val="00AB1BF9"/>
    <w:rsid w:val="00AB1EDB"/>
    <w:rsid w:val="00AB2186"/>
    <w:rsid w:val="00AB224B"/>
    <w:rsid w:val="00AB26F1"/>
    <w:rsid w:val="00AB26F6"/>
    <w:rsid w:val="00AB27C7"/>
    <w:rsid w:val="00AB2B4C"/>
    <w:rsid w:val="00AB379F"/>
    <w:rsid w:val="00AB3A4C"/>
    <w:rsid w:val="00AB3E2C"/>
    <w:rsid w:val="00AB427C"/>
    <w:rsid w:val="00AB44A8"/>
    <w:rsid w:val="00AB4503"/>
    <w:rsid w:val="00AB466E"/>
    <w:rsid w:val="00AB4746"/>
    <w:rsid w:val="00AB48E9"/>
    <w:rsid w:val="00AB4A11"/>
    <w:rsid w:val="00AB4D06"/>
    <w:rsid w:val="00AB4F65"/>
    <w:rsid w:val="00AB51BE"/>
    <w:rsid w:val="00AB5218"/>
    <w:rsid w:val="00AB52B3"/>
    <w:rsid w:val="00AB58F7"/>
    <w:rsid w:val="00AB5E8D"/>
    <w:rsid w:val="00AB6189"/>
    <w:rsid w:val="00AB6450"/>
    <w:rsid w:val="00AB65F9"/>
    <w:rsid w:val="00AB65FF"/>
    <w:rsid w:val="00AB6814"/>
    <w:rsid w:val="00AB692F"/>
    <w:rsid w:val="00AB6E38"/>
    <w:rsid w:val="00AB7383"/>
    <w:rsid w:val="00AB73CA"/>
    <w:rsid w:val="00AB7433"/>
    <w:rsid w:val="00AB7438"/>
    <w:rsid w:val="00AB7563"/>
    <w:rsid w:val="00AB77A2"/>
    <w:rsid w:val="00AB7C75"/>
    <w:rsid w:val="00AB7FDD"/>
    <w:rsid w:val="00AC060A"/>
    <w:rsid w:val="00AC08CC"/>
    <w:rsid w:val="00AC08CF"/>
    <w:rsid w:val="00AC09C5"/>
    <w:rsid w:val="00AC14B7"/>
    <w:rsid w:val="00AC1525"/>
    <w:rsid w:val="00AC18FB"/>
    <w:rsid w:val="00AC1E89"/>
    <w:rsid w:val="00AC1F9B"/>
    <w:rsid w:val="00AC1FE3"/>
    <w:rsid w:val="00AC210F"/>
    <w:rsid w:val="00AC21DD"/>
    <w:rsid w:val="00AC2B16"/>
    <w:rsid w:val="00AC2BD6"/>
    <w:rsid w:val="00AC2F1F"/>
    <w:rsid w:val="00AC3ADA"/>
    <w:rsid w:val="00AC3ADE"/>
    <w:rsid w:val="00AC3B67"/>
    <w:rsid w:val="00AC3D27"/>
    <w:rsid w:val="00AC3D5A"/>
    <w:rsid w:val="00AC3DD4"/>
    <w:rsid w:val="00AC42AF"/>
    <w:rsid w:val="00AC42F5"/>
    <w:rsid w:val="00AC4358"/>
    <w:rsid w:val="00AC488C"/>
    <w:rsid w:val="00AC4A13"/>
    <w:rsid w:val="00AC4EB1"/>
    <w:rsid w:val="00AC5406"/>
    <w:rsid w:val="00AC5821"/>
    <w:rsid w:val="00AC5ACB"/>
    <w:rsid w:val="00AC5C6D"/>
    <w:rsid w:val="00AC60A0"/>
    <w:rsid w:val="00AC6142"/>
    <w:rsid w:val="00AC628F"/>
    <w:rsid w:val="00AC62AF"/>
    <w:rsid w:val="00AC648D"/>
    <w:rsid w:val="00AC6B5D"/>
    <w:rsid w:val="00AC6C85"/>
    <w:rsid w:val="00AC6EDD"/>
    <w:rsid w:val="00AC7327"/>
    <w:rsid w:val="00AC7694"/>
    <w:rsid w:val="00AC7A98"/>
    <w:rsid w:val="00AC7C1C"/>
    <w:rsid w:val="00AC7C9B"/>
    <w:rsid w:val="00AD0060"/>
    <w:rsid w:val="00AD007A"/>
    <w:rsid w:val="00AD0C5C"/>
    <w:rsid w:val="00AD0DCB"/>
    <w:rsid w:val="00AD1293"/>
    <w:rsid w:val="00AD1470"/>
    <w:rsid w:val="00AD1625"/>
    <w:rsid w:val="00AD1818"/>
    <w:rsid w:val="00AD1849"/>
    <w:rsid w:val="00AD1A04"/>
    <w:rsid w:val="00AD1C73"/>
    <w:rsid w:val="00AD2063"/>
    <w:rsid w:val="00AD218D"/>
    <w:rsid w:val="00AD230C"/>
    <w:rsid w:val="00AD2475"/>
    <w:rsid w:val="00AD29C9"/>
    <w:rsid w:val="00AD3050"/>
    <w:rsid w:val="00AD34A4"/>
    <w:rsid w:val="00AD3599"/>
    <w:rsid w:val="00AD37A2"/>
    <w:rsid w:val="00AD3809"/>
    <w:rsid w:val="00AD38F8"/>
    <w:rsid w:val="00AD3B2D"/>
    <w:rsid w:val="00AD3B42"/>
    <w:rsid w:val="00AD40DD"/>
    <w:rsid w:val="00AD4305"/>
    <w:rsid w:val="00AD43BB"/>
    <w:rsid w:val="00AD455F"/>
    <w:rsid w:val="00AD4710"/>
    <w:rsid w:val="00AD4749"/>
    <w:rsid w:val="00AD4D7E"/>
    <w:rsid w:val="00AD4E12"/>
    <w:rsid w:val="00AD521E"/>
    <w:rsid w:val="00AD53D4"/>
    <w:rsid w:val="00AD5493"/>
    <w:rsid w:val="00AD55F9"/>
    <w:rsid w:val="00AD580E"/>
    <w:rsid w:val="00AD6059"/>
    <w:rsid w:val="00AD6267"/>
    <w:rsid w:val="00AD6B28"/>
    <w:rsid w:val="00AD6C20"/>
    <w:rsid w:val="00AD6DE2"/>
    <w:rsid w:val="00AD7178"/>
    <w:rsid w:val="00AD7226"/>
    <w:rsid w:val="00AD7257"/>
    <w:rsid w:val="00AD76EE"/>
    <w:rsid w:val="00AD77FE"/>
    <w:rsid w:val="00AE00A0"/>
    <w:rsid w:val="00AE0122"/>
    <w:rsid w:val="00AE0457"/>
    <w:rsid w:val="00AE0977"/>
    <w:rsid w:val="00AE1415"/>
    <w:rsid w:val="00AE166F"/>
    <w:rsid w:val="00AE1853"/>
    <w:rsid w:val="00AE1B66"/>
    <w:rsid w:val="00AE1FA8"/>
    <w:rsid w:val="00AE2030"/>
    <w:rsid w:val="00AE245C"/>
    <w:rsid w:val="00AE25FB"/>
    <w:rsid w:val="00AE2803"/>
    <w:rsid w:val="00AE28ED"/>
    <w:rsid w:val="00AE2944"/>
    <w:rsid w:val="00AE2977"/>
    <w:rsid w:val="00AE2BE2"/>
    <w:rsid w:val="00AE2E01"/>
    <w:rsid w:val="00AE2FA8"/>
    <w:rsid w:val="00AE3078"/>
    <w:rsid w:val="00AE31F3"/>
    <w:rsid w:val="00AE330A"/>
    <w:rsid w:val="00AE3398"/>
    <w:rsid w:val="00AE3767"/>
    <w:rsid w:val="00AE397B"/>
    <w:rsid w:val="00AE3A43"/>
    <w:rsid w:val="00AE3B09"/>
    <w:rsid w:val="00AE3F24"/>
    <w:rsid w:val="00AE4277"/>
    <w:rsid w:val="00AE49CB"/>
    <w:rsid w:val="00AE4C5A"/>
    <w:rsid w:val="00AE507C"/>
    <w:rsid w:val="00AE521B"/>
    <w:rsid w:val="00AE545E"/>
    <w:rsid w:val="00AE5615"/>
    <w:rsid w:val="00AE565B"/>
    <w:rsid w:val="00AE56CA"/>
    <w:rsid w:val="00AE56FF"/>
    <w:rsid w:val="00AE5852"/>
    <w:rsid w:val="00AE5EE1"/>
    <w:rsid w:val="00AE6348"/>
    <w:rsid w:val="00AE6369"/>
    <w:rsid w:val="00AE6611"/>
    <w:rsid w:val="00AE674A"/>
    <w:rsid w:val="00AE67BC"/>
    <w:rsid w:val="00AE6950"/>
    <w:rsid w:val="00AE6BB9"/>
    <w:rsid w:val="00AE6DF3"/>
    <w:rsid w:val="00AE6F51"/>
    <w:rsid w:val="00AE7559"/>
    <w:rsid w:val="00AE75D5"/>
    <w:rsid w:val="00AE7694"/>
    <w:rsid w:val="00AE7771"/>
    <w:rsid w:val="00AE7860"/>
    <w:rsid w:val="00AE786C"/>
    <w:rsid w:val="00AE7CF7"/>
    <w:rsid w:val="00AF0164"/>
    <w:rsid w:val="00AF016D"/>
    <w:rsid w:val="00AF02AF"/>
    <w:rsid w:val="00AF03CF"/>
    <w:rsid w:val="00AF040C"/>
    <w:rsid w:val="00AF0BAB"/>
    <w:rsid w:val="00AF1018"/>
    <w:rsid w:val="00AF1294"/>
    <w:rsid w:val="00AF1DD5"/>
    <w:rsid w:val="00AF21CE"/>
    <w:rsid w:val="00AF21F3"/>
    <w:rsid w:val="00AF2341"/>
    <w:rsid w:val="00AF272A"/>
    <w:rsid w:val="00AF2789"/>
    <w:rsid w:val="00AF2831"/>
    <w:rsid w:val="00AF29E6"/>
    <w:rsid w:val="00AF2A4F"/>
    <w:rsid w:val="00AF2A71"/>
    <w:rsid w:val="00AF2B01"/>
    <w:rsid w:val="00AF2BE7"/>
    <w:rsid w:val="00AF2BE8"/>
    <w:rsid w:val="00AF2D4F"/>
    <w:rsid w:val="00AF2ECE"/>
    <w:rsid w:val="00AF2FC2"/>
    <w:rsid w:val="00AF325C"/>
    <w:rsid w:val="00AF3D83"/>
    <w:rsid w:val="00AF3DE8"/>
    <w:rsid w:val="00AF3FDD"/>
    <w:rsid w:val="00AF4222"/>
    <w:rsid w:val="00AF42E5"/>
    <w:rsid w:val="00AF42F5"/>
    <w:rsid w:val="00AF43B9"/>
    <w:rsid w:val="00AF44DC"/>
    <w:rsid w:val="00AF4610"/>
    <w:rsid w:val="00AF4801"/>
    <w:rsid w:val="00AF490C"/>
    <w:rsid w:val="00AF4BDC"/>
    <w:rsid w:val="00AF4C20"/>
    <w:rsid w:val="00AF4D6B"/>
    <w:rsid w:val="00AF5122"/>
    <w:rsid w:val="00AF51A9"/>
    <w:rsid w:val="00AF55F4"/>
    <w:rsid w:val="00AF5BBF"/>
    <w:rsid w:val="00AF6226"/>
    <w:rsid w:val="00AF6315"/>
    <w:rsid w:val="00AF6935"/>
    <w:rsid w:val="00AF6C43"/>
    <w:rsid w:val="00AF7217"/>
    <w:rsid w:val="00AF72A8"/>
    <w:rsid w:val="00AF72E3"/>
    <w:rsid w:val="00AF7446"/>
    <w:rsid w:val="00AF7589"/>
    <w:rsid w:val="00AF792B"/>
    <w:rsid w:val="00AF798B"/>
    <w:rsid w:val="00AF7E4B"/>
    <w:rsid w:val="00AF7E61"/>
    <w:rsid w:val="00B00016"/>
    <w:rsid w:val="00B0025C"/>
    <w:rsid w:val="00B003DF"/>
    <w:rsid w:val="00B0065E"/>
    <w:rsid w:val="00B00852"/>
    <w:rsid w:val="00B00A43"/>
    <w:rsid w:val="00B00A88"/>
    <w:rsid w:val="00B00AF7"/>
    <w:rsid w:val="00B00B94"/>
    <w:rsid w:val="00B00E1C"/>
    <w:rsid w:val="00B00FA4"/>
    <w:rsid w:val="00B01058"/>
    <w:rsid w:val="00B010BA"/>
    <w:rsid w:val="00B01331"/>
    <w:rsid w:val="00B01369"/>
    <w:rsid w:val="00B01452"/>
    <w:rsid w:val="00B01481"/>
    <w:rsid w:val="00B01540"/>
    <w:rsid w:val="00B01AFC"/>
    <w:rsid w:val="00B01B64"/>
    <w:rsid w:val="00B01BF9"/>
    <w:rsid w:val="00B01FB5"/>
    <w:rsid w:val="00B024B4"/>
    <w:rsid w:val="00B02780"/>
    <w:rsid w:val="00B028E2"/>
    <w:rsid w:val="00B02925"/>
    <w:rsid w:val="00B02BCC"/>
    <w:rsid w:val="00B02C43"/>
    <w:rsid w:val="00B02F34"/>
    <w:rsid w:val="00B03114"/>
    <w:rsid w:val="00B033F0"/>
    <w:rsid w:val="00B0390E"/>
    <w:rsid w:val="00B03CD4"/>
    <w:rsid w:val="00B0434F"/>
    <w:rsid w:val="00B046E5"/>
    <w:rsid w:val="00B047D1"/>
    <w:rsid w:val="00B0481B"/>
    <w:rsid w:val="00B04870"/>
    <w:rsid w:val="00B0490E"/>
    <w:rsid w:val="00B04959"/>
    <w:rsid w:val="00B04A52"/>
    <w:rsid w:val="00B04B41"/>
    <w:rsid w:val="00B04C82"/>
    <w:rsid w:val="00B04E10"/>
    <w:rsid w:val="00B0553F"/>
    <w:rsid w:val="00B057E7"/>
    <w:rsid w:val="00B05806"/>
    <w:rsid w:val="00B05954"/>
    <w:rsid w:val="00B05AEE"/>
    <w:rsid w:val="00B05C3B"/>
    <w:rsid w:val="00B05C92"/>
    <w:rsid w:val="00B05D06"/>
    <w:rsid w:val="00B05E98"/>
    <w:rsid w:val="00B063E3"/>
    <w:rsid w:val="00B066C0"/>
    <w:rsid w:val="00B06B45"/>
    <w:rsid w:val="00B06B9F"/>
    <w:rsid w:val="00B06BF6"/>
    <w:rsid w:val="00B07617"/>
    <w:rsid w:val="00B076C1"/>
    <w:rsid w:val="00B0786D"/>
    <w:rsid w:val="00B079AE"/>
    <w:rsid w:val="00B07C53"/>
    <w:rsid w:val="00B07CEF"/>
    <w:rsid w:val="00B10350"/>
    <w:rsid w:val="00B10402"/>
    <w:rsid w:val="00B10945"/>
    <w:rsid w:val="00B10AE1"/>
    <w:rsid w:val="00B10CB5"/>
    <w:rsid w:val="00B10EB4"/>
    <w:rsid w:val="00B1103D"/>
    <w:rsid w:val="00B11055"/>
    <w:rsid w:val="00B112CC"/>
    <w:rsid w:val="00B113AB"/>
    <w:rsid w:val="00B1174F"/>
    <w:rsid w:val="00B11823"/>
    <w:rsid w:val="00B11A28"/>
    <w:rsid w:val="00B11CE1"/>
    <w:rsid w:val="00B1222A"/>
    <w:rsid w:val="00B123DF"/>
    <w:rsid w:val="00B1249D"/>
    <w:rsid w:val="00B12567"/>
    <w:rsid w:val="00B126D8"/>
    <w:rsid w:val="00B1302E"/>
    <w:rsid w:val="00B13725"/>
    <w:rsid w:val="00B13796"/>
    <w:rsid w:val="00B138B6"/>
    <w:rsid w:val="00B139B3"/>
    <w:rsid w:val="00B13A0D"/>
    <w:rsid w:val="00B13AD7"/>
    <w:rsid w:val="00B13B3C"/>
    <w:rsid w:val="00B13C43"/>
    <w:rsid w:val="00B13CD1"/>
    <w:rsid w:val="00B13E9E"/>
    <w:rsid w:val="00B14076"/>
    <w:rsid w:val="00B1429E"/>
    <w:rsid w:val="00B14503"/>
    <w:rsid w:val="00B14763"/>
    <w:rsid w:val="00B14A21"/>
    <w:rsid w:val="00B14C4E"/>
    <w:rsid w:val="00B1511F"/>
    <w:rsid w:val="00B15BC4"/>
    <w:rsid w:val="00B15CBB"/>
    <w:rsid w:val="00B15F38"/>
    <w:rsid w:val="00B1627D"/>
    <w:rsid w:val="00B16483"/>
    <w:rsid w:val="00B164BC"/>
    <w:rsid w:val="00B16BFE"/>
    <w:rsid w:val="00B16C62"/>
    <w:rsid w:val="00B16D47"/>
    <w:rsid w:val="00B1710F"/>
    <w:rsid w:val="00B1718E"/>
    <w:rsid w:val="00B171A2"/>
    <w:rsid w:val="00B1769D"/>
    <w:rsid w:val="00B17793"/>
    <w:rsid w:val="00B17BDC"/>
    <w:rsid w:val="00B17BEA"/>
    <w:rsid w:val="00B17EC7"/>
    <w:rsid w:val="00B20358"/>
    <w:rsid w:val="00B2054B"/>
    <w:rsid w:val="00B208D4"/>
    <w:rsid w:val="00B20F2E"/>
    <w:rsid w:val="00B211B0"/>
    <w:rsid w:val="00B212C5"/>
    <w:rsid w:val="00B214B4"/>
    <w:rsid w:val="00B215E0"/>
    <w:rsid w:val="00B2169F"/>
    <w:rsid w:val="00B21FD5"/>
    <w:rsid w:val="00B22025"/>
    <w:rsid w:val="00B22176"/>
    <w:rsid w:val="00B2220F"/>
    <w:rsid w:val="00B22629"/>
    <w:rsid w:val="00B228C3"/>
    <w:rsid w:val="00B22CA2"/>
    <w:rsid w:val="00B22E89"/>
    <w:rsid w:val="00B22F65"/>
    <w:rsid w:val="00B22F91"/>
    <w:rsid w:val="00B23013"/>
    <w:rsid w:val="00B2301E"/>
    <w:rsid w:val="00B233D1"/>
    <w:rsid w:val="00B235D2"/>
    <w:rsid w:val="00B23DB3"/>
    <w:rsid w:val="00B24050"/>
    <w:rsid w:val="00B242B4"/>
    <w:rsid w:val="00B2438D"/>
    <w:rsid w:val="00B243E9"/>
    <w:rsid w:val="00B244D1"/>
    <w:rsid w:val="00B24DE5"/>
    <w:rsid w:val="00B251FD"/>
    <w:rsid w:val="00B25809"/>
    <w:rsid w:val="00B25CD7"/>
    <w:rsid w:val="00B25E62"/>
    <w:rsid w:val="00B25F4F"/>
    <w:rsid w:val="00B26162"/>
    <w:rsid w:val="00B261D8"/>
    <w:rsid w:val="00B2658C"/>
    <w:rsid w:val="00B265B7"/>
    <w:rsid w:val="00B2678E"/>
    <w:rsid w:val="00B267FB"/>
    <w:rsid w:val="00B26C2E"/>
    <w:rsid w:val="00B26F29"/>
    <w:rsid w:val="00B27017"/>
    <w:rsid w:val="00B270C6"/>
    <w:rsid w:val="00B270E0"/>
    <w:rsid w:val="00B2711A"/>
    <w:rsid w:val="00B279F4"/>
    <w:rsid w:val="00B30625"/>
    <w:rsid w:val="00B30738"/>
    <w:rsid w:val="00B30AA6"/>
    <w:rsid w:val="00B30ADE"/>
    <w:rsid w:val="00B30F1E"/>
    <w:rsid w:val="00B31131"/>
    <w:rsid w:val="00B31171"/>
    <w:rsid w:val="00B3131F"/>
    <w:rsid w:val="00B31455"/>
    <w:rsid w:val="00B31C83"/>
    <w:rsid w:val="00B31F1E"/>
    <w:rsid w:val="00B32150"/>
    <w:rsid w:val="00B32B4A"/>
    <w:rsid w:val="00B32B63"/>
    <w:rsid w:val="00B32BE5"/>
    <w:rsid w:val="00B33454"/>
    <w:rsid w:val="00B334BA"/>
    <w:rsid w:val="00B335FD"/>
    <w:rsid w:val="00B3367E"/>
    <w:rsid w:val="00B337E3"/>
    <w:rsid w:val="00B33A2E"/>
    <w:rsid w:val="00B34177"/>
    <w:rsid w:val="00B341FB"/>
    <w:rsid w:val="00B34AAE"/>
    <w:rsid w:val="00B34D91"/>
    <w:rsid w:val="00B34FA2"/>
    <w:rsid w:val="00B3503E"/>
    <w:rsid w:val="00B35541"/>
    <w:rsid w:val="00B3563E"/>
    <w:rsid w:val="00B356D1"/>
    <w:rsid w:val="00B35785"/>
    <w:rsid w:val="00B35798"/>
    <w:rsid w:val="00B35861"/>
    <w:rsid w:val="00B35A2D"/>
    <w:rsid w:val="00B35AE8"/>
    <w:rsid w:val="00B35F26"/>
    <w:rsid w:val="00B35F58"/>
    <w:rsid w:val="00B3618A"/>
    <w:rsid w:val="00B362D5"/>
    <w:rsid w:val="00B367B4"/>
    <w:rsid w:val="00B36AA3"/>
    <w:rsid w:val="00B36E82"/>
    <w:rsid w:val="00B37A11"/>
    <w:rsid w:val="00B37A40"/>
    <w:rsid w:val="00B37C50"/>
    <w:rsid w:val="00B37E47"/>
    <w:rsid w:val="00B37F7D"/>
    <w:rsid w:val="00B4026F"/>
    <w:rsid w:val="00B404FA"/>
    <w:rsid w:val="00B40731"/>
    <w:rsid w:val="00B40798"/>
    <w:rsid w:val="00B408EC"/>
    <w:rsid w:val="00B4097C"/>
    <w:rsid w:val="00B40C0C"/>
    <w:rsid w:val="00B41119"/>
    <w:rsid w:val="00B411E5"/>
    <w:rsid w:val="00B412D6"/>
    <w:rsid w:val="00B416D1"/>
    <w:rsid w:val="00B41CAF"/>
    <w:rsid w:val="00B41E30"/>
    <w:rsid w:val="00B41E5D"/>
    <w:rsid w:val="00B42239"/>
    <w:rsid w:val="00B4227A"/>
    <w:rsid w:val="00B4241F"/>
    <w:rsid w:val="00B4263B"/>
    <w:rsid w:val="00B42712"/>
    <w:rsid w:val="00B428DF"/>
    <w:rsid w:val="00B42CC6"/>
    <w:rsid w:val="00B42CD1"/>
    <w:rsid w:val="00B42D47"/>
    <w:rsid w:val="00B43004"/>
    <w:rsid w:val="00B4304B"/>
    <w:rsid w:val="00B43093"/>
    <w:rsid w:val="00B433CE"/>
    <w:rsid w:val="00B4343A"/>
    <w:rsid w:val="00B43F56"/>
    <w:rsid w:val="00B4410F"/>
    <w:rsid w:val="00B44270"/>
    <w:rsid w:val="00B444D9"/>
    <w:rsid w:val="00B451AE"/>
    <w:rsid w:val="00B45534"/>
    <w:rsid w:val="00B4564B"/>
    <w:rsid w:val="00B45935"/>
    <w:rsid w:val="00B464DF"/>
    <w:rsid w:val="00B46734"/>
    <w:rsid w:val="00B46D63"/>
    <w:rsid w:val="00B46FE3"/>
    <w:rsid w:val="00B4745D"/>
    <w:rsid w:val="00B47965"/>
    <w:rsid w:val="00B47B89"/>
    <w:rsid w:val="00B47BC4"/>
    <w:rsid w:val="00B47BEB"/>
    <w:rsid w:val="00B47DA6"/>
    <w:rsid w:val="00B47E17"/>
    <w:rsid w:val="00B501AE"/>
    <w:rsid w:val="00B502FE"/>
    <w:rsid w:val="00B507BD"/>
    <w:rsid w:val="00B5082C"/>
    <w:rsid w:val="00B50DFB"/>
    <w:rsid w:val="00B50E55"/>
    <w:rsid w:val="00B5127C"/>
    <w:rsid w:val="00B514B5"/>
    <w:rsid w:val="00B51930"/>
    <w:rsid w:val="00B51936"/>
    <w:rsid w:val="00B51C6C"/>
    <w:rsid w:val="00B51E80"/>
    <w:rsid w:val="00B51EE6"/>
    <w:rsid w:val="00B51F03"/>
    <w:rsid w:val="00B52079"/>
    <w:rsid w:val="00B5238E"/>
    <w:rsid w:val="00B523F1"/>
    <w:rsid w:val="00B52461"/>
    <w:rsid w:val="00B527B6"/>
    <w:rsid w:val="00B52A5E"/>
    <w:rsid w:val="00B52C18"/>
    <w:rsid w:val="00B52C5C"/>
    <w:rsid w:val="00B52F38"/>
    <w:rsid w:val="00B531C2"/>
    <w:rsid w:val="00B53AB9"/>
    <w:rsid w:val="00B53CF4"/>
    <w:rsid w:val="00B53D91"/>
    <w:rsid w:val="00B53F5E"/>
    <w:rsid w:val="00B541AA"/>
    <w:rsid w:val="00B54267"/>
    <w:rsid w:val="00B5492D"/>
    <w:rsid w:val="00B54985"/>
    <w:rsid w:val="00B54AC7"/>
    <w:rsid w:val="00B54DAE"/>
    <w:rsid w:val="00B54FD1"/>
    <w:rsid w:val="00B556EA"/>
    <w:rsid w:val="00B5587C"/>
    <w:rsid w:val="00B55CFD"/>
    <w:rsid w:val="00B55D96"/>
    <w:rsid w:val="00B56030"/>
    <w:rsid w:val="00B5651F"/>
    <w:rsid w:val="00B56943"/>
    <w:rsid w:val="00B57276"/>
    <w:rsid w:val="00B573F1"/>
    <w:rsid w:val="00B5799C"/>
    <w:rsid w:val="00B57FE2"/>
    <w:rsid w:val="00B600B2"/>
    <w:rsid w:val="00B602B3"/>
    <w:rsid w:val="00B602E9"/>
    <w:rsid w:val="00B604B5"/>
    <w:rsid w:val="00B60512"/>
    <w:rsid w:val="00B60B16"/>
    <w:rsid w:val="00B60C58"/>
    <w:rsid w:val="00B61066"/>
    <w:rsid w:val="00B612EA"/>
    <w:rsid w:val="00B612F7"/>
    <w:rsid w:val="00B6130D"/>
    <w:rsid w:val="00B61744"/>
    <w:rsid w:val="00B61827"/>
    <w:rsid w:val="00B61937"/>
    <w:rsid w:val="00B61B6F"/>
    <w:rsid w:val="00B61CCD"/>
    <w:rsid w:val="00B61E5F"/>
    <w:rsid w:val="00B6211A"/>
    <w:rsid w:val="00B621D2"/>
    <w:rsid w:val="00B6224C"/>
    <w:rsid w:val="00B629B5"/>
    <w:rsid w:val="00B62E5D"/>
    <w:rsid w:val="00B62EE8"/>
    <w:rsid w:val="00B63137"/>
    <w:rsid w:val="00B6342A"/>
    <w:rsid w:val="00B63854"/>
    <w:rsid w:val="00B63876"/>
    <w:rsid w:val="00B63B27"/>
    <w:rsid w:val="00B642B6"/>
    <w:rsid w:val="00B64611"/>
    <w:rsid w:val="00B6462E"/>
    <w:rsid w:val="00B64877"/>
    <w:rsid w:val="00B64B39"/>
    <w:rsid w:val="00B64C5B"/>
    <w:rsid w:val="00B64CA8"/>
    <w:rsid w:val="00B65016"/>
    <w:rsid w:val="00B65068"/>
    <w:rsid w:val="00B6552C"/>
    <w:rsid w:val="00B655FA"/>
    <w:rsid w:val="00B65800"/>
    <w:rsid w:val="00B658CA"/>
    <w:rsid w:val="00B65963"/>
    <w:rsid w:val="00B659AF"/>
    <w:rsid w:val="00B659FD"/>
    <w:rsid w:val="00B65F13"/>
    <w:rsid w:val="00B66122"/>
    <w:rsid w:val="00B66149"/>
    <w:rsid w:val="00B668C6"/>
    <w:rsid w:val="00B669C3"/>
    <w:rsid w:val="00B66A58"/>
    <w:rsid w:val="00B66C3D"/>
    <w:rsid w:val="00B66E50"/>
    <w:rsid w:val="00B6713F"/>
    <w:rsid w:val="00B6719A"/>
    <w:rsid w:val="00B672B2"/>
    <w:rsid w:val="00B67447"/>
    <w:rsid w:val="00B674C3"/>
    <w:rsid w:val="00B67589"/>
    <w:rsid w:val="00B67670"/>
    <w:rsid w:val="00B677A6"/>
    <w:rsid w:val="00B67A00"/>
    <w:rsid w:val="00B67D5F"/>
    <w:rsid w:val="00B7005D"/>
    <w:rsid w:val="00B7078D"/>
    <w:rsid w:val="00B70EDB"/>
    <w:rsid w:val="00B70FAF"/>
    <w:rsid w:val="00B71218"/>
    <w:rsid w:val="00B713FE"/>
    <w:rsid w:val="00B714B9"/>
    <w:rsid w:val="00B7170B"/>
    <w:rsid w:val="00B71AFE"/>
    <w:rsid w:val="00B71B4C"/>
    <w:rsid w:val="00B71CFA"/>
    <w:rsid w:val="00B71DEB"/>
    <w:rsid w:val="00B72AFE"/>
    <w:rsid w:val="00B72C70"/>
    <w:rsid w:val="00B72DE2"/>
    <w:rsid w:val="00B72DF8"/>
    <w:rsid w:val="00B7370A"/>
    <w:rsid w:val="00B7399D"/>
    <w:rsid w:val="00B73D1A"/>
    <w:rsid w:val="00B74389"/>
    <w:rsid w:val="00B7467A"/>
    <w:rsid w:val="00B74710"/>
    <w:rsid w:val="00B74A56"/>
    <w:rsid w:val="00B74B13"/>
    <w:rsid w:val="00B75218"/>
    <w:rsid w:val="00B7533C"/>
    <w:rsid w:val="00B7548B"/>
    <w:rsid w:val="00B754A5"/>
    <w:rsid w:val="00B755DC"/>
    <w:rsid w:val="00B756AE"/>
    <w:rsid w:val="00B75A31"/>
    <w:rsid w:val="00B75DBA"/>
    <w:rsid w:val="00B75FB1"/>
    <w:rsid w:val="00B760DF"/>
    <w:rsid w:val="00B7611E"/>
    <w:rsid w:val="00B76245"/>
    <w:rsid w:val="00B76329"/>
    <w:rsid w:val="00B76356"/>
    <w:rsid w:val="00B76957"/>
    <w:rsid w:val="00B7699E"/>
    <w:rsid w:val="00B76B2D"/>
    <w:rsid w:val="00B76BC6"/>
    <w:rsid w:val="00B772C6"/>
    <w:rsid w:val="00B77454"/>
    <w:rsid w:val="00B7762A"/>
    <w:rsid w:val="00B77BC5"/>
    <w:rsid w:val="00B77C7B"/>
    <w:rsid w:val="00B77FCF"/>
    <w:rsid w:val="00B801FC"/>
    <w:rsid w:val="00B8033D"/>
    <w:rsid w:val="00B8058C"/>
    <w:rsid w:val="00B81311"/>
    <w:rsid w:val="00B814F8"/>
    <w:rsid w:val="00B81811"/>
    <w:rsid w:val="00B82125"/>
    <w:rsid w:val="00B82305"/>
    <w:rsid w:val="00B82384"/>
    <w:rsid w:val="00B8265C"/>
    <w:rsid w:val="00B8278C"/>
    <w:rsid w:val="00B82826"/>
    <w:rsid w:val="00B832D4"/>
    <w:rsid w:val="00B83AAE"/>
    <w:rsid w:val="00B83EB1"/>
    <w:rsid w:val="00B83ECB"/>
    <w:rsid w:val="00B83FDE"/>
    <w:rsid w:val="00B840F6"/>
    <w:rsid w:val="00B841CB"/>
    <w:rsid w:val="00B8460C"/>
    <w:rsid w:val="00B84855"/>
    <w:rsid w:val="00B848C9"/>
    <w:rsid w:val="00B84D9E"/>
    <w:rsid w:val="00B84E75"/>
    <w:rsid w:val="00B84FCB"/>
    <w:rsid w:val="00B8502A"/>
    <w:rsid w:val="00B85301"/>
    <w:rsid w:val="00B855BF"/>
    <w:rsid w:val="00B85627"/>
    <w:rsid w:val="00B85851"/>
    <w:rsid w:val="00B8585F"/>
    <w:rsid w:val="00B859DA"/>
    <w:rsid w:val="00B85A0F"/>
    <w:rsid w:val="00B85AD9"/>
    <w:rsid w:val="00B85AE3"/>
    <w:rsid w:val="00B85CB9"/>
    <w:rsid w:val="00B85CDB"/>
    <w:rsid w:val="00B85FC0"/>
    <w:rsid w:val="00B86454"/>
    <w:rsid w:val="00B8654A"/>
    <w:rsid w:val="00B86B7F"/>
    <w:rsid w:val="00B8706C"/>
    <w:rsid w:val="00B87129"/>
    <w:rsid w:val="00B8715C"/>
    <w:rsid w:val="00B871EC"/>
    <w:rsid w:val="00B87215"/>
    <w:rsid w:val="00B87A58"/>
    <w:rsid w:val="00B87BD6"/>
    <w:rsid w:val="00B902C9"/>
    <w:rsid w:val="00B905A4"/>
    <w:rsid w:val="00B906CA"/>
    <w:rsid w:val="00B909AB"/>
    <w:rsid w:val="00B90A9A"/>
    <w:rsid w:val="00B90B73"/>
    <w:rsid w:val="00B90D8B"/>
    <w:rsid w:val="00B912BD"/>
    <w:rsid w:val="00B9149B"/>
    <w:rsid w:val="00B915C5"/>
    <w:rsid w:val="00B91729"/>
    <w:rsid w:val="00B917E2"/>
    <w:rsid w:val="00B91A32"/>
    <w:rsid w:val="00B91EBA"/>
    <w:rsid w:val="00B91F34"/>
    <w:rsid w:val="00B91F8F"/>
    <w:rsid w:val="00B92327"/>
    <w:rsid w:val="00B92410"/>
    <w:rsid w:val="00B92586"/>
    <w:rsid w:val="00B92608"/>
    <w:rsid w:val="00B92653"/>
    <w:rsid w:val="00B92A48"/>
    <w:rsid w:val="00B92A78"/>
    <w:rsid w:val="00B92B6D"/>
    <w:rsid w:val="00B93742"/>
    <w:rsid w:val="00B938B3"/>
    <w:rsid w:val="00B93A4B"/>
    <w:rsid w:val="00B93B7C"/>
    <w:rsid w:val="00B941A6"/>
    <w:rsid w:val="00B9442A"/>
    <w:rsid w:val="00B94504"/>
    <w:rsid w:val="00B946E3"/>
    <w:rsid w:val="00B94CAC"/>
    <w:rsid w:val="00B94DE5"/>
    <w:rsid w:val="00B94E3D"/>
    <w:rsid w:val="00B95204"/>
    <w:rsid w:val="00B95257"/>
    <w:rsid w:val="00B952F1"/>
    <w:rsid w:val="00B95304"/>
    <w:rsid w:val="00B95363"/>
    <w:rsid w:val="00B9550F"/>
    <w:rsid w:val="00B95789"/>
    <w:rsid w:val="00B95922"/>
    <w:rsid w:val="00B95A77"/>
    <w:rsid w:val="00B95B3B"/>
    <w:rsid w:val="00B95E41"/>
    <w:rsid w:val="00B95E92"/>
    <w:rsid w:val="00B95E9E"/>
    <w:rsid w:val="00B95FCA"/>
    <w:rsid w:val="00B9600E"/>
    <w:rsid w:val="00B960B2"/>
    <w:rsid w:val="00B9632D"/>
    <w:rsid w:val="00B9680B"/>
    <w:rsid w:val="00B9681C"/>
    <w:rsid w:val="00B969D1"/>
    <w:rsid w:val="00B96BAA"/>
    <w:rsid w:val="00B96CBE"/>
    <w:rsid w:val="00B97040"/>
    <w:rsid w:val="00B97123"/>
    <w:rsid w:val="00B974E7"/>
    <w:rsid w:val="00B976EA"/>
    <w:rsid w:val="00BA01EA"/>
    <w:rsid w:val="00BA03FD"/>
    <w:rsid w:val="00BA07B0"/>
    <w:rsid w:val="00BA0B4F"/>
    <w:rsid w:val="00BA11A3"/>
    <w:rsid w:val="00BA1426"/>
    <w:rsid w:val="00BA14A4"/>
    <w:rsid w:val="00BA19C3"/>
    <w:rsid w:val="00BA1EEC"/>
    <w:rsid w:val="00BA205C"/>
    <w:rsid w:val="00BA22CE"/>
    <w:rsid w:val="00BA2321"/>
    <w:rsid w:val="00BA27DE"/>
    <w:rsid w:val="00BA2E80"/>
    <w:rsid w:val="00BA3537"/>
    <w:rsid w:val="00BA38FA"/>
    <w:rsid w:val="00BA3AA1"/>
    <w:rsid w:val="00BA3FAF"/>
    <w:rsid w:val="00BA451D"/>
    <w:rsid w:val="00BA4675"/>
    <w:rsid w:val="00BA48E6"/>
    <w:rsid w:val="00BA539C"/>
    <w:rsid w:val="00BA55B8"/>
    <w:rsid w:val="00BA577C"/>
    <w:rsid w:val="00BA5825"/>
    <w:rsid w:val="00BA58F1"/>
    <w:rsid w:val="00BA5954"/>
    <w:rsid w:val="00BA5B39"/>
    <w:rsid w:val="00BA5B4C"/>
    <w:rsid w:val="00BA5B89"/>
    <w:rsid w:val="00BA5C5F"/>
    <w:rsid w:val="00BA5D6C"/>
    <w:rsid w:val="00BA5E79"/>
    <w:rsid w:val="00BA60A6"/>
    <w:rsid w:val="00BA6828"/>
    <w:rsid w:val="00BA6BC0"/>
    <w:rsid w:val="00BA6EFA"/>
    <w:rsid w:val="00BA6FFF"/>
    <w:rsid w:val="00BA725C"/>
    <w:rsid w:val="00BA7292"/>
    <w:rsid w:val="00BA76EA"/>
    <w:rsid w:val="00BA7A6B"/>
    <w:rsid w:val="00BA7E4E"/>
    <w:rsid w:val="00BA7EA1"/>
    <w:rsid w:val="00BA7F55"/>
    <w:rsid w:val="00BA7F5E"/>
    <w:rsid w:val="00BB0037"/>
    <w:rsid w:val="00BB04FA"/>
    <w:rsid w:val="00BB0D46"/>
    <w:rsid w:val="00BB10D1"/>
    <w:rsid w:val="00BB10D2"/>
    <w:rsid w:val="00BB1101"/>
    <w:rsid w:val="00BB11E5"/>
    <w:rsid w:val="00BB179A"/>
    <w:rsid w:val="00BB1DE8"/>
    <w:rsid w:val="00BB1F72"/>
    <w:rsid w:val="00BB29AC"/>
    <w:rsid w:val="00BB2A1E"/>
    <w:rsid w:val="00BB2B2F"/>
    <w:rsid w:val="00BB2B34"/>
    <w:rsid w:val="00BB2BC9"/>
    <w:rsid w:val="00BB2C7D"/>
    <w:rsid w:val="00BB2E0A"/>
    <w:rsid w:val="00BB3124"/>
    <w:rsid w:val="00BB35C0"/>
    <w:rsid w:val="00BB35E8"/>
    <w:rsid w:val="00BB3878"/>
    <w:rsid w:val="00BB3986"/>
    <w:rsid w:val="00BB39B8"/>
    <w:rsid w:val="00BB3A31"/>
    <w:rsid w:val="00BB3B7A"/>
    <w:rsid w:val="00BB3D1E"/>
    <w:rsid w:val="00BB3E97"/>
    <w:rsid w:val="00BB40C5"/>
    <w:rsid w:val="00BB4136"/>
    <w:rsid w:val="00BB479A"/>
    <w:rsid w:val="00BB49C5"/>
    <w:rsid w:val="00BB4B29"/>
    <w:rsid w:val="00BB50FA"/>
    <w:rsid w:val="00BB5355"/>
    <w:rsid w:val="00BB5D90"/>
    <w:rsid w:val="00BB6033"/>
    <w:rsid w:val="00BB6417"/>
    <w:rsid w:val="00BB66B6"/>
    <w:rsid w:val="00BB66D3"/>
    <w:rsid w:val="00BB6CB7"/>
    <w:rsid w:val="00BB6CBA"/>
    <w:rsid w:val="00BB6DE8"/>
    <w:rsid w:val="00BB710A"/>
    <w:rsid w:val="00BB7199"/>
    <w:rsid w:val="00BB71BC"/>
    <w:rsid w:val="00BB7417"/>
    <w:rsid w:val="00BB7564"/>
    <w:rsid w:val="00BB76AC"/>
    <w:rsid w:val="00BB782B"/>
    <w:rsid w:val="00BB7B28"/>
    <w:rsid w:val="00BB7D19"/>
    <w:rsid w:val="00BB7D31"/>
    <w:rsid w:val="00BB7EB0"/>
    <w:rsid w:val="00BB7F5A"/>
    <w:rsid w:val="00BC002F"/>
    <w:rsid w:val="00BC00B3"/>
    <w:rsid w:val="00BC0666"/>
    <w:rsid w:val="00BC0761"/>
    <w:rsid w:val="00BC0953"/>
    <w:rsid w:val="00BC0E11"/>
    <w:rsid w:val="00BC1283"/>
    <w:rsid w:val="00BC1470"/>
    <w:rsid w:val="00BC1B93"/>
    <w:rsid w:val="00BC1EB8"/>
    <w:rsid w:val="00BC238A"/>
    <w:rsid w:val="00BC2460"/>
    <w:rsid w:val="00BC269F"/>
    <w:rsid w:val="00BC28E7"/>
    <w:rsid w:val="00BC308D"/>
    <w:rsid w:val="00BC34B6"/>
    <w:rsid w:val="00BC3839"/>
    <w:rsid w:val="00BC38EB"/>
    <w:rsid w:val="00BC3BBB"/>
    <w:rsid w:val="00BC4530"/>
    <w:rsid w:val="00BC4BB3"/>
    <w:rsid w:val="00BC5127"/>
    <w:rsid w:val="00BC522A"/>
    <w:rsid w:val="00BC569E"/>
    <w:rsid w:val="00BC58AC"/>
    <w:rsid w:val="00BC5AF4"/>
    <w:rsid w:val="00BC5F6B"/>
    <w:rsid w:val="00BC6DB1"/>
    <w:rsid w:val="00BC6FC7"/>
    <w:rsid w:val="00BC71A7"/>
    <w:rsid w:val="00BC73DD"/>
    <w:rsid w:val="00BC7487"/>
    <w:rsid w:val="00BC7669"/>
    <w:rsid w:val="00BC7977"/>
    <w:rsid w:val="00BC799B"/>
    <w:rsid w:val="00BC79A7"/>
    <w:rsid w:val="00BC7CC7"/>
    <w:rsid w:val="00BC7CE8"/>
    <w:rsid w:val="00BC7DE7"/>
    <w:rsid w:val="00BC7F0A"/>
    <w:rsid w:val="00BD03C2"/>
    <w:rsid w:val="00BD0510"/>
    <w:rsid w:val="00BD0722"/>
    <w:rsid w:val="00BD0A2C"/>
    <w:rsid w:val="00BD0B23"/>
    <w:rsid w:val="00BD0C3D"/>
    <w:rsid w:val="00BD0FBB"/>
    <w:rsid w:val="00BD11E0"/>
    <w:rsid w:val="00BD13EC"/>
    <w:rsid w:val="00BD160D"/>
    <w:rsid w:val="00BD17B8"/>
    <w:rsid w:val="00BD194E"/>
    <w:rsid w:val="00BD1ECE"/>
    <w:rsid w:val="00BD1FED"/>
    <w:rsid w:val="00BD2812"/>
    <w:rsid w:val="00BD2C96"/>
    <w:rsid w:val="00BD2CAE"/>
    <w:rsid w:val="00BD2E7D"/>
    <w:rsid w:val="00BD363C"/>
    <w:rsid w:val="00BD369E"/>
    <w:rsid w:val="00BD3720"/>
    <w:rsid w:val="00BD3DA0"/>
    <w:rsid w:val="00BD3F86"/>
    <w:rsid w:val="00BD3F9C"/>
    <w:rsid w:val="00BD3FA5"/>
    <w:rsid w:val="00BD4868"/>
    <w:rsid w:val="00BD4964"/>
    <w:rsid w:val="00BD4BFF"/>
    <w:rsid w:val="00BD4D2C"/>
    <w:rsid w:val="00BD507C"/>
    <w:rsid w:val="00BD52C6"/>
    <w:rsid w:val="00BD5652"/>
    <w:rsid w:val="00BD59B6"/>
    <w:rsid w:val="00BD5B90"/>
    <w:rsid w:val="00BD5C94"/>
    <w:rsid w:val="00BD5E98"/>
    <w:rsid w:val="00BD6381"/>
    <w:rsid w:val="00BD64B4"/>
    <w:rsid w:val="00BD6710"/>
    <w:rsid w:val="00BD6CAF"/>
    <w:rsid w:val="00BD6D1F"/>
    <w:rsid w:val="00BD6D7F"/>
    <w:rsid w:val="00BD7167"/>
    <w:rsid w:val="00BD7386"/>
    <w:rsid w:val="00BD750D"/>
    <w:rsid w:val="00BD768B"/>
    <w:rsid w:val="00BD792A"/>
    <w:rsid w:val="00BD7F44"/>
    <w:rsid w:val="00BE0042"/>
    <w:rsid w:val="00BE0105"/>
    <w:rsid w:val="00BE019E"/>
    <w:rsid w:val="00BE0267"/>
    <w:rsid w:val="00BE095E"/>
    <w:rsid w:val="00BE0B57"/>
    <w:rsid w:val="00BE0BCD"/>
    <w:rsid w:val="00BE0BE6"/>
    <w:rsid w:val="00BE0BFB"/>
    <w:rsid w:val="00BE0D86"/>
    <w:rsid w:val="00BE0F07"/>
    <w:rsid w:val="00BE102C"/>
    <w:rsid w:val="00BE126B"/>
    <w:rsid w:val="00BE143D"/>
    <w:rsid w:val="00BE188A"/>
    <w:rsid w:val="00BE1B03"/>
    <w:rsid w:val="00BE1BDE"/>
    <w:rsid w:val="00BE1F8E"/>
    <w:rsid w:val="00BE239B"/>
    <w:rsid w:val="00BE243F"/>
    <w:rsid w:val="00BE24D9"/>
    <w:rsid w:val="00BE24F2"/>
    <w:rsid w:val="00BE25C2"/>
    <w:rsid w:val="00BE261C"/>
    <w:rsid w:val="00BE29A2"/>
    <w:rsid w:val="00BE29BF"/>
    <w:rsid w:val="00BE2F4C"/>
    <w:rsid w:val="00BE312C"/>
    <w:rsid w:val="00BE3257"/>
    <w:rsid w:val="00BE353C"/>
    <w:rsid w:val="00BE3C1E"/>
    <w:rsid w:val="00BE3CB4"/>
    <w:rsid w:val="00BE3EBE"/>
    <w:rsid w:val="00BE4055"/>
    <w:rsid w:val="00BE4063"/>
    <w:rsid w:val="00BE4645"/>
    <w:rsid w:val="00BE4E34"/>
    <w:rsid w:val="00BE4EEE"/>
    <w:rsid w:val="00BE4F68"/>
    <w:rsid w:val="00BE5148"/>
    <w:rsid w:val="00BE530E"/>
    <w:rsid w:val="00BE5773"/>
    <w:rsid w:val="00BE57C9"/>
    <w:rsid w:val="00BE5B4B"/>
    <w:rsid w:val="00BE61A8"/>
    <w:rsid w:val="00BE64F7"/>
    <w:rsid w:val="00BE6594"/>
    <w:rsid w:val="00BE6C61"/>
    <w:rsid w:val="00BE6E81"/>
    <w:rsid w:val="00BE6F69"/>
    <w:rsid w:val="00BE6FA6"/>
    <w:rsid w:val="00BE6FCA"/>
    <w:rsid w:val="00BE7041"/>
    <w:rsid w:val="00BE7662"/>
    <w:rsid w:val="00BE7B62"/>
    <w:rsid w:val="00BE7BE7"/>
    <w:rsid w:val="00BF0542"/>
    <w:rsid w:val="00BF09AF"/>
    <w:rsid w:val="00BF0C14"/>
    <w:rsid w:val="00BF0E13"/>
    <w:rsid w:val="00BF10BB"/>
    <w:rsid w:val="00BF10C1"/>
    <w:rsid w:val="00BF1764"/>
    <w:rsid w:val="00BF1B54"/>
    <w:rsid w:val="00BF1C6B"/>
    <w:rsid w:val="00BF1F94"/>
    <w:rsid w:val="00BF20CA"/>
    <w:rsid w:val="00BF214B"/>
    <w:rsid w:val="00BF218E"/>
    <w:rsid w:val="00BF22F4"/>
    <w:rsid w:val="00BF2320"/>
    <w:rsid w:val="00BF26A9"/>
    <w:rsid w:val="00BF2ABE"/>
    <w:rsid w:val="00BF2BFA"/>
    <w:rsid w:val="00BF2CE3"/>
    <w:rsid w:val="00BF2D66"/>
    <w:rsid w:val="00BF2D77"/>
    <w:rsid w:val="00BF301D"/>
    <w:rsid w:val="00BF302E"/>
    <w:rsid w:val="00BF3150"/>
    <w:rsid w:val="00BF34F2"/>
    <w:rsid w:val="00BF37A4"/>
    <w:rsid w:val="00BF3E34"/>
    <w:rsid w:val="00BF4002"/>
    <w:rsid w:val="00BF4026"/>
    <w:rsid w:val="00BF40A2"/>
    <w:rsid w:val="00BF4211"/>
    <w:rsid w:val="00BF4255"/>
    <w:rsid w:val="00BF426B"/>
    <w:rsid w:val="00BF43E7"/>
    <w:rsid w:val="00BF450D"/>
    <w:rsid w:val="00BF4A4C"/>
    <w:rsid w:val="00BF4A89"/>
    <w:rsid w:val="00BF4B9D"/>
    <w:rsid w:val="00BF4F4F"/>
    <w:rsid w:val="00BF50B1"/>
    <w:rsid w:val="00BF516E"/>
    <w:rsid w:val="00BF589C"/>
    <w:rsid w:val="00BF635C"/>
    <w:rsid w:val="00BF636A"/>
    <w:rsid w:val="00BF654F"/>
    <w:rsid w:val="00BF6653"/>
    <w:rsid w:val="00BF687F"/>
    <w:rsid w:val="00BF6A59"/>
    <w:rsid w:val="00BF6C00"/>
    <w:rsid w:val="00BF6CBE"/>
    <w:rsid w:val="00BF6D57"/>
    <w:rsid w:val="00BF709B"/>
    <w:rsid w:val="00BF7127"/>
    <w:rsid w:val="00BF7181"/>
    <w:rsid w:val="00BF75CF"/>
    <w:rsid w:val="00BF7627"/>
    <w:rsid w:val="00BF76D0"/>
    <w:rsid w:val="00BF7771"/>
    <w:rsid w:val="00BF7B50"/>
    <w:rsid w:val="00BF7B68"/>
    <w:rsid w:val="00BF7CD2"/>
    <w:rsid w:val="00BF7D6C"/>
    <w:rsid w:val="00C0048B"/>
    <w:rsid w:val="00C005E3"/>
    <w:rsid w:val="00C00B72"/>
    <w:rsid w:val="00C00BC7"/>
    <w:rsid w:val="00C00D0D"/>
    <w:rsid w:val="00C00D4E"/>
    <w:rsid w:val="00C01032"/>
    <w:rsid w:val="00C014DF"/>
    <w:rsid w:val="00C015A1"/>
    <w:rsid w:val="00C01606"/>
    <w:rsid w:val="00C01CA7"/>
    <w:rsid w:val="00C01F47"/>
    <w:rsid w:val="00C0202E"/>
    <w:rsid w:val="00C0207E"/>
    <w:rsid w:val="00C0238D"/>
    <w:rsid w:val="00C025E1"/>
    <w:rsid w:val="00C02645"/>
    <w:rsid w:val="00C02907"/>
    <w:rsid w:val="00C02D54"/>
    <w:rsid w:val="00C02D94"/>
    <w:rsid w:val="00C0317F"/>
    <w:rsid w:val="00C03208"/>
    <w:rsid w:val="00C0341F"/>
    <w:rsid w:val="00C035F0"/>
    <w:rsid w:val="00C03D82"/>
    <w:rsid w:val="00C03DFF"/>
    <w:rsid w:val="00C04374"/>
    <w:rsid w:val="00C046BA"/>
    <w:rsid w:val="00C049B7"/>
    <w:rsid w:val="00C049C7"/>
    <w:rsid w:val="00C04AD9"/>
    <w:rsid w:val="00C04D10"/>
    <w:rsid w:val="00C05199"/>
    <w:rsid w:val="00C05224"/>
    <w:rsid w:val="00C0523C"/>
    <w:rsid w:val="00C05269"/>
    <w:rsid w:val="00C05660"/>
    <w:rsid w:val="00C05869"/>
    <w:rsid w:val="00C05AB6"/>
    <w:rsid w:val="00C06018"/>
    <w:rsid w:val="00C062F6"/>
    <w:rsid w:val="00C06420"/>
    <w:rsid w:val="00C064C7"/>
    <w:rsid w:val="00C06521"/>
    <w:rsid w:val="00C06729"/>
    <w:rsid w:val="00C0687C"/>
    <w:rsid w:val="00C06ED9"/>
    <w:rsid w:val="00C06F24"/>
    <w:rsid w:val="00C0767A"/>
    <w:rsid w:val="00C079E9"/>
    <w:rsid w:val="00C07B48"/>
    <w:rsid w:val="00C07BC4"/>
    <w:rsid w:val="00C07C56"/>
    <w:rsid w:val="00C1006B"/>
    <w:rsid w:val="00C10086"/>
    <w:rsid w:val="00C100C5"/>
    <w:rsid w:val="00C101B2"/>
    <w:rsid w:val="00C107C9"/>
    <w:rsid w:val="00C10828"/>
    <w:rsid w:val="00C10AAD"/>
    <w:rsid w:val="00C10F4E"/>
    <w:rsid w:val="00C113B4"/>
    <w:rsid w:val="00C11E63"/>
    <w:rsid w:val="00C1237F"/>
    <w:rsid w:val="00C124EA"/>
    <w:rsid w:val="00C126F0"/>
    <w:rsid w:val="00C127AE"/>
    <w:rsid w:val="00C129C0"/>
    <w:rsid w:val="00C130D0"/>
    <w:rsid w:val="00C131FC"/>
    <w:rsid w:val="00C1336E"/>
    <w:rsid w:val="00C133BC"/>
    <w:rsid w:val="00C136C6"/>
    <w:rsid w:val="00C13841"/>
    <w:rsid w:val="00C138FE"/>
    <w:rsid w:val="00C13BCB"/>
    <w:rsid w:val="00C13CA9"/>
    <w:rsid w:val="00C1422E"/>
    <w:rsid w:val="00C1436B"/>
    <w:rsid w:val="00C1446E"/>
    <w:rsid w:val="00C1476C"/>
    <w:rsid w:val="00C14986"/>
    <w:rsid w:val="00C14AFA"/>
    <w:rsid w:val="00C14B57"/>
    <w:rsid w:val="00C14DB4"/>
    <w:rsid w:val="00C14E7F"/>
    <w:rsid w:val="00C14FFA"/>
    <w:rsid w:val="00C1516B"/>
    <w:rsid w:val="00C153C6"/>
    <w:rsid w:val="00C15424"/>
    <w:rsid w:val="00C154E6"/>
    <w:rsid w:val="00C154FD"/>
    <w:rsid w:val="00C15CDE"/>
    <w:rsid w:val="00C15D6B"/>
    <w:rsid w:val="00C15FD1"/>
    <w:rsid w:val="00C1650C"/>
    <w:rsid w:val="00C16848"/>
    <w:rsid w:val="00C16C20"/>
    <w:rsid w:val="00C16C21"/>
    <w:rsid w:val="00C17049"/>
    <w:rsid w:val="00C1730F"/>
    <w:rsid w:val="00C17532"/>
    <w:rsid w:val="00C1794E"/>
    <w:rsid w:val="00C17CD6"/>
    <w:rsid w:val="00C201F7"/>
    <w:rsid w:val="00C2066C"/>
    <w:rsid w:val="00C20694"/>
    <w:rsid w:val="00C20A4D"/>
    <w:rsid w:val="00C20C83"/>
    <w:rsid w:val="00C20FF1"/>
    <w:rsid w:val="00C21310"/>
    <w:rsid w:val="00C21448"/>
    <w:rsid w:val="00C216A0"/>
    <w:rsid w:val="00C216F7"/>
    <w:rsid w:val="00C217B4"/>
    <w:rsid w:val="00C21944"/>
    <w:rsid w:val="00C21AD0"/>
    <w:rsid w:val="00C21B5D"/>
    <w:rsid w:val="00C220DF"/>
    <w:rsid w:val="00C221BD"/>
    <w:rsid w:val="00C22428"/>
    <w:rsid w:val="00C2263E"/>
    <w:rsid w:val="00C22BB6"/>
    <w:rsid w:val="00C22C74"/>
    <w:rsid w:val="00C22CB3"/>
    <w:rsid w:val="00C235E5"/>
    <w:rsid w:val="00C2433A"/>
    <w:rsid w:val="00C2436F"/>
    <w:rsid w:val="00C243D9"/>
    <w:rsid w:val="00C245DF"/>
    <w:rsid w:val="00C2485D"/>
    <w:rsid w:val="00C24BE6"/>
    <w:rsid w:val="00C24D2A"/>
    <w:rsid w:val="00C24E18"/>
    <w:rsid w:val="00C24E6B"/>
    <w:rsid w:val="00C2501E"/>
    <w:rsid w:val="00C2502F"/>
    <w:rsid w:val="00C2510C"/>
    <w:rsid w:val="00C25329"/>
    <w:rsid w:val="00C25506"/>
    <w:rsid w:val="00C25794"/>
    <w:rsid w:val="00C2591A"/>
    <w:rsid w:val="00C25C75"/>
    <w:rsid w:val="00C25D98"/>
    <w:rsid w:val="00C261C9"/>
    <w:rsid w:val="00C261EE"/>
    <w:rsid w:val="00C264BC"/>
    <w:rsid w:val="00C2659B"/>
    <w:rsid w:val="00C26CD1"/>
    <w:rsid w:val="00C26F6D"/>
    <w:rsid w:val="00C27015"/>
    <w:rsid w:val="00C27044"/>
    <w:rsid w:val="00C277BE"/>
    <w:rsid w:val="00C27A7C"/>
    <w:rsid w:val="00C27F59"/>
    <w:rsid w:val="00C3011E"/>
    <w:rsid w:val="00C3014D"/>
    <w:rsid w:val="00C30345"/>
    <w:rsid w:val="00C30791"/>
    <w:rsid w:val="00C30D9C"/>
    <w:rsid w:val="00C31582"/>
    <w:rsid w:val="00C3159B"/>
    <w:rsid w:val="00C31644"/>
    <w:rsid w:val="00C316E1"/>
    <w:rsid w:val="00C3176A"/>
    <w:rsid w:val="00C31844"/>
    <w:rsid w:val="00C31E37"/>
    <w:rsid w:val="00C3200D"/>
    <w:rsid w:val="00C3201B"/>
    <w:rsid w:val="00C3250B"/>
    <w:rsid w:val="00C32615"/>
    <w:rsid w:val="00C3267F"/>
    <w:rsid w:val="00C326B1"/>
    <w:rsid w:val="00C32709"/>
    <w:rsid w:val="00C32760"/>
    <w:rsid w:val="00C32955"/>
    <w:rsid w:val="00C32D72"/>
    <w:rsid w:val="00C32E2A"/>
    <w:rsid w:val="00C3304C"/>
    <w:rsid w:val="00C33134"/>
    <w:rsid w:val="00C33147"/>
    <w:rsid w:val="00C337E0"/>
    <w:rsid w:val="00C338E6"/>
    <w:rsid w:val="00C3393C"/>
    <w:rsid w:val="00C33B64"/>
    <w:rsid w:val="00C33CFE"/>
    <w:rsid w:val="00C33E2F"/>
    <w:rsid w:val="00C33FF1"/>
    <w:rsid w:val="00C3402E"/>
    <w:rsid w:val="00C344D1"/>
    <w:rsid w:val="00C349C4"/>
    <w:rsid w:val="00C35431"/>
    <w:rsid w:val="00C35B49"/>
    <w:rsid w:val="00C35DB4"/>
    <w:rsid w:val="00C3603F"/>
    <w:rsid w:val="00C36102"/>
    <w:rsid w:val="00C36270"/>
    <w:rsid w:val="00C366FC"/>
    <w:rsid w:val="00C36AD8"/>
    <w:rsid w:val="00C36C25"/>
    <w:rsid w:val="00C36F97"/>
    <w:rsid w:val="00C37805"/>
    <w:rsid w:val="00C379B2"/>
    <w:rsid w:val="00C37A94"/>
    <w:rsid w:val="00C37B34"/>
    <w:rsid w:val="00C37B54"/>
    <w:rsid w:val="00C37C39"/>
    <w:rsid w:val="00C37FEF"/>
    <w:rsid w:val="00C40363"/>
    <w:rsid w:val="00C403C3"/>
    <w:rsid w:val="00C4046C"/>
    <w:rsid w:val="00C40576"/>
    <w:rsid w:val="00C40776"/>
    <w:rsid w:val="00C40B1D"/>
    <w:rsid w:val="00C40CD3"/>
    <w:rsid w:val="00C40F02"/>
    <w:rsid w:val="00C41527"/>
    <w:rsid w:val="00C41820"/>
    <w:rsid w:val="00C41A63"/>
    <w:rsid w:val="00C41B00"/>
    <w:rsid w:val="00C41B6D"/>
    <w:rsid w:val="00C41B8C"/>
    <w:rsid w:val="00C4262B"/>
    <w:rsid w:val="00C42BEB"/>
    <w:rsid w:val="00C42D84"/>
    <w:rsid w:val="00C42DC9"/>
    <w:rsid w:val="00C42EC5"/>
    <w:rsid w:val="00C42EE8"/>
    <w:rsid w:val="00C430CE"/>
    <w:rsid w:val="00C43706"/>
    <w:rsid w:val="00C43F4F"/>
    <w:rsid w:val="00C43FD1"/>
    <w:rsid w:val="00C4435B"/>
    <w:rsid w:val="00C44974"/>
    <w:rsid w:val="00C44AE7"/>
    <w:rsid w:val="00C44FE8"/>
    <w:rsid w:val="00C453BC"/>
    <w:rsid w:val="00C4544A"/>
    <w:rsid w:val="00C4544B"/>
    <w:rsid w:val="00C4560D"/>
    <w:rsid w:val="00C45780"/>
    <w:rsid w:val="00C45822"/>
    <w:rsid w:val="00C45964"/>
    <w:rsid w:val="00C4598C"/>
    <w:rsid w:val="00C459E7"/>
    <w:rsid w:val="00C45A34"/>
    <w:rsid w:val="00C45AA0"/>
    <w:rsid w:val="00C45BDB"/>
    <w:rsid w:val="00C45D1C"/>
    <w:rsid w:val="00C45E75"/>
    <w:rsid w:val="00C4661F"/>
    <w:rsid w:val="00C4679F"/>
    <w:rsid w:val="00C46AD5"/>
    <w:rsid w:val="00C46D3B"/>
    <w:rsid w:val="00C470FA"/>
    <w:rsid w:val="00C47394"/>
    <w:rsid w:val="00C476D8"/>
    <w:rsid w:val="00C47A91"/>
    <w:rsid w:val="00C47AEF"/>
    <w:rsid w:val="00C47B64"/>
    <w:rsid w:val="00C502E6"/>
    <w:rsid w:val="00C507B8"/>
    <w:rsid w:val="00C50877"/>
    <w:rsid w:val="00C509BD"/>
    <w:rsid w:val="00C50B86"/>
    <w:rsid w:val="00C50CF4"/>
    <w:rsid w:val="00C50D10"/>
    <w:rsid w:val="00C51354"/>
    <w:rsid w:val="00C513AC"/>
    <w:rsid w:val="00C517A4"/>
    <w:rsid w:val="00C5185C"/>
    <w:rsid w:val="00C5193D"/>
    <w:rsid w:val="00C51B9A"/>
    <w:rsid w:val="00C51D1F"/>
    <w:rsid w:val="00C51D9B"/>
    <w:rsid w:val="00C5201B"/>
    <w:rsid w:val="00C52280"/>
    <w:rsid w:val="00C522EB"/>
    <w:rsid w:val="00C52355"/>
    <w:rsid w:val="00C523E0"/>
    <w:rsid w:val="00C527BC"/>
    <w:rsid w:val="00C5280A"/>
    <w:rsid w:val="00C52834"/>
    <w:rsid w:val="00C529DF"/>
    <w:rsid w:val="00C52C40"/>
    <w:rsid w:val="00C53039"/>
    <w:rsid w:val="00C531E4"/>
    <w:rsid w:val="00C537AD"/>
    <w:rsid w:val="00C539FB"/>
    <w:rsid w:val="00C53D8E"/>
    <w:rsid w:val="00C53DBC"/>
    <w:rsid w:val="00C541CD"/>
    <w:rsid w:val="00C54631"/>
    <w:rsid w:val="00C5499C"/>
    <w:rsid w:val="00C54A6B"/>
    <w:rsid w:val="00C54F93"/>
    <w:rsid w:val="00C54FDF"/>
    <w:rsid w:val="00C5590E"/>
    <w:rsid w:val="00C55B29"/>
    <w:rsid w:val="00C55C3D"/>
    <w:rsid w:val="00C55F3C"/>
    <w:rsid w:val="00C561BA"/>
    <w:rsid w:val="00C56500"/>
    <w:rsid w:val="00C56B2F"/>
    <w:rsid w:val="00C56B8D"/>
    <w:rsid w:val="00C57097"/>
    <w:rsid w:val="00C57208"/>
    <w:rsid w:val="00C572B8"/>
    <w:rsid w:val="00C5761C"/>
    <w:rsid w:val="00C57DA2"/>
    <w:rsid w:val="00C57E03"/>
    <w:rsid w:val="00C57F36"/>
    <w:rsid w:val="00C60413"/>
    <w:rsid w:val="00C60833"/>
    <w:rsid w:val="00C608A2"/>
    <w:rsid w:val="00C6094B"/>
    <w:rsid w:val="00C609A5"/>
    <w:rsid w:val="00C60A89"/>
    <w:rsid w:val="00C60B2D"/>
    <w:rsid w:val="00C60C45"/>
    <w:rsid w:val="00C60C82"/>
    <w:rsid w:val="00C60CB6"/>
    <w:rsid w:val="00C61593"/>
    <w:rsid w:val="00C61630"/>
    <w:rsid w:val="00C61780"/>
    <w:rsid w:val="00C618C9"/>
    <w:rsid w:val="00C61924"/>
    <w:rsid w:val="00C61ABE"/>
    <w:rsid w:val="00C61E04"/>
    <w:rsid w:val="00C61EDA"/>
    <w:rsid w:val="00C61F27"/>
    <w:rsid w:val="00C62036"/>
    <w:rsid w:val="00C623E9"/>
    <w:rsid w:val="00C62708"/>
    <w:rsid w:val="00C62FB6"/>
    <w:rsid w:val="00C62FC6"/>
    <w:rsid w:val="00C63213"/>
    <w:rsid w:val="00C6325E"/>
    <w:rsid w:val="00C6340A"/>
    <w:rsid w:val="00C63660"/>
    <w:rsid w:val="00C63DC6"/>
    <w:rsid w:val="00C63E1A"/>
    <w:rsid w:val="00C64091"/>
    <w:rsid w:val="00C64104"/>
    <w:rsid w:val="00C6420A"/>
    <w:rsid w:val="00C643A6"/>
    <w:rsid w:val="00C64413"/>
    <w:rsid w:val="00C64462"/>
    <w:rsid w:val="00C6449B"/>
    <w:rsid w:val="00C648CA"/>
    <w:rsid w:val="00C64ED8"/>
    <w:rsid w:val="00C64FA6"/>
    <w:rsid w:val="00C6510C"/>
    <w:rsid w:val="00C655F3"/>
    <w:rsid w:val="00C65664"/>
    <w:rsid w:val="00C65822"/>
    <w:rsid w:val="00C6582D"/>
    <w:rsid w:val="00C65930"/>
    <w:rsid w:val="00C659F8"/>
    <w:rsid w:val="00C65FBB"/>
    <w:rsid w:val="00C66112"/>
    <w:rsid w:val="00C66580"/>
    <w:rsid w:val="00C666F1"/>
    <w:rsid w:val="00C66711"/>
    <w:rsid w:val="00C66760"/>
    <w:rsid w:val="00C6685E"/>
    <w:rsid w:val="00C66A75"/>
    <w:rsid w:val="00C66C80"/>
    <w:rsid w:val="00C66FF8"/>
    <w:rsid w:val="00C67002"/>
    <w:rsid w:val="00C67305"/>
    <w:rsid w:val="00C6741F"/>
    <w:rsid w:val="00C675E4"/>
    <w:rsid w:val="00C6762B"/>
    <w:rsid w:val="00C679AA"/>
    <w:rsid w:val="00C70079"/>
    <w:rsid w:val="00C70291"/>
    <w:rsid w:val="00C70397"/>
    <w:rsid w:val="00C70496"/>
    <w:rsid w:val="00C7057B"/>
    <w:rsid w:val="00C7057C"/>
    <w:rsid w:val="00C707A0"/>
    <w:rsid w:val="00C70A4C"/>
    <w:rsid w:val="00C70B4E"/>
    <w:rsid w:val="00C70B83"/>
    <w:rsid w:val="00C7173F"/>
    <w:rsid w:val="00C71951"/>
    <w:rsid w:val="00C71AF6"/>
    <w:rsid w:val="00C721F3"/>
    <w:rsid w:val="00C7248E"/>
    <w:rsid w:val="00C72490"/>
    <w:rsid w:val="00C725FA"/>
    <w:rsid w:val="00C727D4"/>
    <w:rsid w:val="00C72C08"/>
    <w:rsid w:val="00C72C09"/>
    <w:rsid w:val="00C72C25"/>
    <w:rsid w:val="00C72D0D"/>
    <w:rsid w:val="00C72D3E"/>
    <w:rsid w:val="00C72E36"/>
    <w:rsid w:val="00C72EC9"/>
    <w:rsid w:val="00C7315E"/>
    <w:rsid w:val="00C738A7"/>
    <w:rsid w:val="00C73918"/>
    <w:rsid w:val="00C73DEE"/>
    <w:rsid w:val="00C741D1"/>
    <w:rsid w:val="00C74319"/>
    <w:rsid w:val="00C74951"/>
    <w:rsid w:val="00C74AE1"/>
    <w:rsid w:val="00C74C83"/>
    <w:rsid w:val="00C74CC8"/>
    <w:rsid w:val="00C750CB"/>
    <w:rsid w:val="00C7510C"/>
    <w:rsid w:val="00C75344"/>
    <w:rsid w:val="00C75472"/>
    <w:rsid w:val="00C7562C"/>
    <w:rsid w:val="00C75828"/>
    <w:rsid w:val="00C758CA"/>
    <w:rsid w:val="00C75938"/>
    <w:rsid w:val="00C759DF"/>
    <w:rsid w:val="00C762AA"/>
    <w:rsid w:val="00C76383"/>
    <w:rsid w:val="00C76972"/>
    <w:rsid w:val="00C76B3C"/>
    <w:rsid w:val="00C76BC4"/>
    <w:rsid w:val="00C76CBD"/>
    <w:rsid w:val="00C76FAA"/>
    <w:rsid w:val="00C7701B"/>
    <w:rsid w:val="00C77078"/>
    <w:rsid w:val="00C774DA"/>
    <w:rsid w:val="00C778A5"/>
    <w:rsid w:val="00C778DD"/>
    <w:rsid w:val="00C77B0F"/>
    <w:rsid w:val="00C77CD2"/>
    <w:rsid w:val="00C8015C"/>
    <w:rsid w:val="00C80436"/>
    <w:rsid w:val="00C80861"/>
    <w:rsid w:val="00C80CB0"/>
    <w:rsid w:val="00C80D12"/>
    <w:rsid w:val="00C8100A"/>
    <w:rsid w:val="00C8103D"/>
    <w:rsid w:val="00C810F3"/>
    <w:rsid w:val="00C8171E"/>
    <w:rsid w:val="00C818B4"/>
    <w:rsid w:val="00C819FA"/>
    <w:rsid w:val="00C81E5A"/>
    <w:rsid w:val="00C81FC8"/>
    <w:rsid w:val="00C82044"/>
    <w:rsid w:val="00C823E2"/>
    <w:rsid w:val="00C8240E"/>
    <w:rsid w:val="00C82415"/>
    <w:rsid w:val="00C826B5"/>
    <w:rsid w:val="00C828B4"/>
    <w:rsid w:val="00C82C09"/>
    <w:rsid w:val="00C82E1C"/>
    <w:rsid w:val="00C82E54"/>
    <w:rsid w:val="00C82FCC"/>
    <w:rsid w:val="00C83A90"/>
    <w:rsid w:val="00C8408A"/>
    <w:rsid w:val="00C841F2"/>
    <w:rsid w:val="00C841FD"/>
    <w:rsid w:val="00C8438F"/>
    <w:rsid w:val="00C8450F"/>
    <w:rsid w:val="00C845FA"/>
    <w:rsid w:val="00C848AF"/>
    <w:rsid w:val="00C8491E"/>
    <w:rsid w:val="00C8496D"/>
    <w:rsid w:val="00C84990"/>
    <w:rsid w:val="00C849F5"/>
    <w:rsid w:val="00C84C7C"/>
    <w:rsid w:val="00C84EC0"/>
    <w:rsid w:val="00C85371"/>
    <w:rsid w:val="00C85397"/>
    <w:rsid w:val="00C8569C"/>
    <w:rsid w:val="00C857C8"/>
    <w:rsid w:val="00C85863"/>
    <w:rsid w:val="00C8596C"/>
    <w:rsid w:val="00C85BF1"/>
    <w:rsid w:val="00C85C9D"/>
    <w:rsid w:val="00C85E1A"/>
    <w:rsid w:val="00C860D5"/>
    <w:rsid w:val="00C86266"/>
    <w:rsid w:val="00C86294"/>
    <w:rsid w:val="00C862F6"/>
    <w:rsid w:val="00C86414"/>
    <w:rsid w:val="00C86452"/>
    <w:rsid w:val="00C8656A"/>
    <w:rsid w:val="00C86582"/>
    <w:rsid w:val="00C86605"/>
    <w:rsid w:val="00C872A2"/>
    <w:rsid w:val="00C8737B"/>
    <w:rsid w:val="00C873A8"/>
    <w:rsid w:val="00C87756"/>
    <w:rsid w:val="00C87876"/>
    <w:rsid w:val="00C87AC3"/>
    <w:rsid w:val="00C87FC7"/>
    <w:rsid w:val="00C902C0"/>
    <w:rsid w:val="00C90E67"/>
    <w:rsid w:val="00C90EEA"/>
    <w:rsid w:val="00C91174"/>
    <w:rsid w:val="00C91972"/>
    <w:rsid w:val="00C91AC6"/>
    <w:rsid w:val="00C92134"/>
    <w:rsid w:val="00C92238"/>
    <w:rsid w:val="00C92673"/>
    <w:rsid w:val="00C92BB7"/>
    <w:rsid w:val="00C92D0B"/>
    <w:rsid w:val="00C92DEF"/>
    <w:rsid w:val="00C92E38"/>
    <w:rsid w:val="00C93113"/>
    <w:rsid w:val="00C9362E"/>
    <w:rsid w:val="00C93888"/>
    <w:rsid w:val="00C93E6D"/>
    <w:rsid w:val="00C93F69"/>
    <w:rsid w:val="00C94052"/>
    <w:rsid w:val="00C94601"/>
    <w:rsid w:val="00C94972"/>
    <w:rsid w:val="00C94BBD"/>
    <w:rsid w:val="00C94C2B"/>
    <w:rsid w:val="00C952BC"/>
    <w:rsid w:val="00C952FF"/>
    <w:rsid w:val="00C953AD"/>
    <w:rsid w:val="00C95575"/>
    <w:rsid w:val="00C95D34"/>
    <w:rsid w:val="00C95E6D"/>
    <w:rsid w:val="00C96130"/>
    <w:rsid w:val="00C9619F"/>
    <w:rsid w:val="00C96457"/>
    <w:rsid w:val="00C96498"/>
    <w:rsid w:val="00C965F7"/>
    <w:rsid w:val="00C969BC"/>
    <w:rsid w:val="00C96A74"/>
    <w:rsid w:val="00C96E8E"/>
    <w:rsid w:val="00C96F7C"/>
    <w:rsid w:val="00C9710F"/>
    <w:rsid w:val="00C97145"/>
    <w:rsid w:val="00C972F4"/>
    <w:rsid w:val="00C97420"/>
    <w:rsid w:val="00C9797B"/>
    <w:rsid w:val="00C979D4"/>
    <w:rsid w:val="00C97A81"/>
    <w:rsid w:val="00C97C56"/>
    <w:rsid w:val="00C97C64"/>
    <w:rsid w:val="00C97CA3"/>
    <w:rsid w:val="00C97D54"/>
    <w:rsid w:val="00C97DA1"/>
    <w:rsid w:val="00C97DDC"/>
    <w:rsid w:val="00C97ED4"/>
    <w:rsid w:val="00CA06F7"/>
    <w:rsid w:val="00CA0929"/>
    <w:rsid w:val="00CA0ACC"/>
    <w:rsid w:val="00CA0BD7"/>
    <w:rsid w:val="00CA0BEB"/>
    <w:rsid w:val="00CA100E"/>
    <w:rsid w:val="00CA1301"/>
    <w:rsid w:val="00CA1812"/>
    <w:rsid w:val="00CA1DE6"/>
    <w:rsid w:val="00CA2384"/>
    <w:rsid w:val="00CA2495"/>
    <w:rsid w:val="00CA29D0"/>
    <w:rsid w:val="00CA2A01"/>
    <w:rsid w:val="00CA2D6F"/>
    <w:rsid w:val="00CA2E21"/>
    <w:rsid w:val="00CA3830"/>
    <w:rsid w:val="00CA385C"/>
    <w:rsid w:val="00CA38F8"/>
    <w:rsid w:val="00CA3A05"/>
    <w:rsid w:val="00CA3A77"/>
    <w:rsid w:val="00CA3A89"/>
    <w:rsid w:val="00CA4384"/>
    <w:rsid w:val="00CA43DF"/>
    <w:rsid w:val="00CA46B2"/>
    <w:rsid w:val="00CA46BE"/>
    <w:rsid w:val="00CA48BE"/>
    <w:rsid w:val="00CA4A0F"/>
    <w:rsid w:val="00CA4D8C"/>
    <w:rsid w:val="00CA4DCF"/>
    <w:rsid w:val="00CA4EB6"/>
    <w:rsid w:val="00CA4F43"/>
    <w:rsid w:val="00CA4F64"/>
    <w:rsid w:val="00CA5430"/>
    <w:rsid w:val="00CA595D"/>
    <w:rsid w:val="00CA5AA5"/>
    <w:rsid w:val="00CA5E38"/>
    <w:rsid w:val="00CA5F1A"/>
    <w:rsid w:val="00CA6307"/>
    <w:rsid w:val="00CA65B8"/>
    <w:rsid w:val="00CA65EE"/>
    <w:rsid w:val="00CA666D"/>
    <w:rsid w:val="00CA67A6"/>
    <w:rsid w:val="00CA6840"/>
    <w:rsid w:val="00CA6934"/>
    <w:rsid w:val="00CA6E5B"/>
    <w:rsid w:val="00CA7007"/>
    <w:rsid w:val="00CA71A8"/>
    <w:rsid w:val="00CA750A"/>
    <w:rsid w:val="00CA75A4"/>
    <w:rsid w:val="00CA7C37"/>
    <w:rsid w:val="00CB00FD"/>
    <w:rsid w:val="00CB0A5F"/>
    <w:rsid w:val="00CB1186"/>
    <w:rsid w:val="00CB15C5"/>
    <w:rsid w:val="00CB19AC"/>
    <w:rsid w:val="00CB1BC2"/>
    <w:rsid w:val="00CB1D3C"/>
    <w:rsid w:val="00CB2223"/>
    <w:rsid w:val="00CB2470"/>
    <w:rsid w:val="00CB2596"/>
    <w:rsid w:val="00CB2692"/>
    <w:rsid w:val="00CB2BC1"/>
    <w:rsid w:val="00CB2BC2"/>
    <w:rsid w:val="00CB2FA9"/>
    <w:rsid w:val="00CB300A"/>
    <w:rsid w:val="00CB313A"/>
    <w:rsid w:val="00CB323F"/>
    <w:rsid w:val="00CB334C"/>
    <w:rsid w:val="00CB33FD"/>
    <w:rsid w:val="00CB343B"/>
    <w:rsid w:val="00CB352A"/>
    <w:rsid w:val="00CB3560"/>
    <w:rsid w:val="00CB392A"/>
    <w:rsid w:val="00CB3999"/>
    <w:rsid w:val="00CB3B6F"/>
    <w:rsid w:val="00CB440E"/>
    <w:rsid w:val="00CB4425"/>
    <w:rsid w:val="00CB4872"/>
    <w:rsid w:val="00CB495C"/>
    <w:rsid w:val="00CB4E1E"/>
    <w:rsid w:val="00CB56DF"/>
    <w:rsid w:val="00CB5752"/>
    <w:rsid w:val="00CB5928"/>
    <w:rsid w:val="00CB5A7D"/>
    <w:rsid w:val="00CB6238"/>
    <w:rsid w:val="00CB6285"/>
    <w:rsid w:val="00CB65E0"/>
    <w:rsid w:val="00CB6803"/>
    <w:rsid w:val="00CB68DF"/>
    <w:rsid w:val="00CB6F00"/>
    <w:rsid w:val="00CB6FF6"/>
    <w:rsid w:val="00CB73DC"/>
    <w:rsid w:val="00CB7BE2"/>
    <w:rsid w:val="00CB7C96"/>
    <w:rsid w:val="00CB7CCC"/>
    <w:rsid w:val="00CB7E93"/>
    <w:rsid w:val="00CC000F"/>
    <w:rsid w:val="00CC0414"/>
    <w:rsid w:val="00CC07D1"/>
    <w:rsid w:val="00CC0B96"/>
    <w:rsid w:val="00CC0BB8"/>
    <w:rsid w:val="00CC0D6F"/>
    <w:rsid w:val="00CC11C0"/>
    <w:rsid w:val="00CC12CC"/>
    <w:rsid w:val="00CC1750"/>
    <w:rsid w:val="00CC17D1"/>
    <w:rsid w:val="00CC17F4"/>
    <w:rsid w:val="00CC1CEC"/>
    <w:rsid w:val="00CC27DF"/>
    <w:rsid w:val="00CC2913"/>
    <w:rsid w:val="00CC2A46"/>
    <w:rsid w:val="00CC3000"/>
    <w:rsid w:val="00CC311B"/>
    <w:rsid w:val="00CC3538"/>
    <w:rsid w:val="00CC35B2"/>
    <w:rsid w:val="00CC3648"/>
    <w:rsid w:val="00CC3D09"/>
    <w:rsid w:val="00CC41A7"/>
    <w:rsid w:val="00CC42FB"/>
    <w:rsid w:val="00CC45F4"/>
    <w:rsid w:val="00CC4C69"/>
    <w:rsid w:val="00CC4CCF"/>
    <w:rsid w:val="00CC514D"/>
    <w:rsid w:val="00CC54A5"/>
    <w:rsid w:val="00CC54FC"/>
    <w:rsid w:val="00CC5507"/>
    <w:rsid w:val="00CC5B5E"/>
    <w:rsid w:val="00CC5B65"/>
    <w:rsid w:val="00CC5C19"/>
    <w:rsid w:val="00CC5E9D"/>
    <w:rsid w:val="00CC5F26"/>
    <w:rsid w:val="00CC5FA2"/>
    <w:rsid w:val="00CC6038"/>
    <w:rsid w:val="00CC615C"/>
    <w:rsid w:val="00CC6245"/>
    <w:rsid w:val="00CC6436"/>
    <w:rsid w:val="00CC6452"/>
    <w:rsid w:val="00CC6A81"/>
    <w:rsid w:val="00CC6B3F"/>
    <w:rsid w:val="00CC6C64"/>
    <w:rsid w:val="00CC6D9E"/>
    <w:rsid w:val="00CC6E73"/>
    <w:rsid w:val="00CC758C"/>
    <w:rsid w:val="00CC76AD"/>
    <w:rsid w:val="00CC770C"/>
    <w:rsid w:val="00CC786B"/>
    <w:rsid w:val="00CC78D2"/>
    <w:rsid w:val="00CC7C33"/>
    <w:rsid w:val="00CC7C75"/>
    <w:rsid w:val="00CC7EA2"/>
    <w:rsid w:val="00CD0A90"/>
    <w:rsid w:val="00CD0D86"/>
    <w:rsid w:val="00CD0D88"/>
    <w:rsid w:val="00CD0DEC"/>
    <w:rsid w:val="00CD119D"/>
    <w:rsid w:val="00CD19D6"/>
    <w:rsid w:val="00CD226D"/>
    <w:rsid w:val="00CD22F8"/>
    <w:rsid w:val="00CD2306"/>
    <w:rsid w:val="00CD2529"/>
    <w:rsid w:val="00CD264F"/>
    <w:rsid w:val="00CD29E1"/>
    <w:rsid w:val="00CD2D8A"/>
    <w:rsid w:val="00CD2E25"/>
    <w:rsid w:val="00CD2EF7"/>
    <w:rsid w:val="00CD2FC3"/>
    <w:rsid w:val="00CD3370"/>
    <w:rsid w:val="00CD352F"/>
    <w:rsid w:val="00CD3D48"/>
    <w:rsid w:val="00CD3DF0"/>
    <w:rsid w:val="00CD3F08"/>
    <w:rsid w:val="00CD3F19"/>
    <w:rsid w:val="00CD3F6B"/>
    <w:rsid w:val="00CD4192"/>
    <w:rsid w:val="00CD41C5"/>
    <w:rsid w:val="00CD48F6"/>
    <w:rsid w:val="00CD48F9"/>
    <w:rsid w:val="00CD499D"/>
    <w:rsid w:val="00CD4C9E"/>
    <w:rsid w:val="00CD4DAC"/>
    <w:rsid w:val="00CD4E11"/>
    <w:rsid w:val="00CD4E12"/>
    <w:rsid w:val="00CD5323"/>
    <w:rsid w:val="00CD590E"/>
    <w:rsid w:val="00CD5A33"/>
    <w:rsid w:val="00CD5DE7"/>
    <w:rsid w:val="00CD62DD"/>
    <w:rsid w:val="00CD6AA6"/>
    <w:rsid w:val="00CD6D78"/>
    <w:rsid w:val="00CD6EC8"/>
    <w:rsid w:val="00CD7233"/>
    <w:rsid w:val="00CD7389"/>
    <w:rsid w:val="00CD7637"/>
    <w:rsid w:val="00CD76DA"/>
    <w:rsid w:val="00CD7713"/>
    <w:rsid w:val="00CD7A83"/>
    <w:rsid w:val="00CD7BF9"/>
    <w:rsid w:val="00CD7E8B"/>
    <w:rsid w:val="00CE0271"/>
    <w:rsid w:val="00CE0299"/>
    <w:rsid w:val="00CE0A3E"/>
    <w:rsid w:val="00CE0AC8"/>
    <w:rsid w:val="00CE0CEC"/>
    <w:rsid w:val="00CE1110"/>
    <w:rsid w:val="00CE1164"/>
    <w:rsid w:val="00CE1320"/>
    <w:rsid w:val="00CE1758"/>
    <w:rsid w:val="00CE18C3"/>
    <w:rsid w:val="00CE1CBF"/>
    <w:rsid w:val="00CE1DA7"/>
    <w:rsid w:val="00CE21B1"/>
    <w:rsid w:val="00CE220C"/>
    <w:rsid w:val="00CE230B"/>
    <w:rsid w:val="00CE250C"/>
    <w:rsid w:val="00CE253E"/>
    <w:rsid w:val="00CE25EE"/>
    <w:rsid w:val="00CE2847"/>
    <w:rsid w:val="00CE2BBD"/>
    <w:rsid w:val="00CE2EAF"/>
    <w:rsid w:val="00CE2FC1"/>
    <w:rsid w:val="00CE3182"/>
    <w:rsid w:val="00CE322E"/>
    <w:rsid w:val="00CE338B"/>
    <w:rsid w:val="00CE367C"/>
    <w:rsid w:val="00CE4089"/>
    <w:rsid w:val="00CE4234"/>
    <w:rsid w:val="00CE459C"/>
    <w:rsid w:val="00CE45B5"/>
    <w:rsid w:val="00CE4736"/>
    <w:rsid w:val="00CE4A1C"/>
    <w:rsid w:val="00CE55A0"/>
    <w:rsid w:val="00CE5A99"/>
    <w:rsid w:val="00CE5C9B"/>
    <w:rsid w:val="00CE5DAA"/>
    <w:rsid w:val="00CE5F96"/>
    <w:rsid w:val="00CE637F"/>
    <w:rsid w:val="00CE64B3"/>
    <w:rsid w:val="00CE6683"/>
    <w:rsid w:val="00CE6775"/>
    <w:rsid w:val="00CE6F64"/>
    <w:rsid w:val="00CE71E0"/>
    <w:rsid w:val="00CE72CA"/>
    <w:rsid w:val="00CE757E"/>
    <w:rsid w:val="00CE7826"/>
    <w:rsid w:val="00CE7A3A"/>
    <w:rsid w:val="00CE7AE5"/>
    <w:rsid w:val="00CE7C06"/>
    <w:rsid w:val="00CE7D0F"/>
    <w:rsid w:val="00CE7D87"/>
    <w:rsid w:val="00CF014C"/>
    <w:rsid w:val="00CF021C"/>
    <w:rsid w:val="00CF06B8"/>
    <w:rsid w:val="00CF0773"/>
    <w:rsid w:val="00CF100C"/>
    <w:rsid w:val="00CF108E"/>
    <w:rsid w:val="00CF14FF"/>
    <w:rsid w:val="00CF1539"/>
    <w:rsid w:val="00CF15A2"/>
    <w:rsid w:val="00CF1714"/>
    <w:rsid w:val="00CF19B6"/>
    <w:rsid w:val="00CF1C38"/>
    <w:rsid w:val="00CF1DE9"/>
    <w:rsid w:val="00CF1EB4"/>
    <w:rsid w:val="00CF205F"/>
    <w:rsid w:val="00CF22B6"/>
    <w:rsid w:val="00CF22FC"/>
    <w:rsid w:val="00CF23C7"/>
    <w:rsid w:val="00CF2507"/>
    <w:rsid w:val="00CF250A"/>
    <w:rsid w:val="00CF28DC"/>
    <w:rsid w:val="00CF2BDB"/>
    <w:rsid w:val="00CF32B8"/>
    <w:rsid w:val="00CF3C30"/>
    <w:rsid w:val="00CF3F47"/>
    <w:rsid w:val="00CF3F74"/>
    <w:rsid w:val="00CF4115"/>
    <w:rsid w:val="00CF4166"/>
    <w:rsid w:val="00CF4688"/>
    <w:rsid w:val="00CF47E9"/>
    <w:rsid w:val="00CF4849"/>
    <w:rsid w:val="00CF499C"/>
    <w:rsid w:val="00CF4C3D"/>
    <w:rsid w:val="00CF4DD5"/>
    <w:rsid w:val="00CF4F75"/>
    <w:rsid w:val="00CF5095"/>
    <w:rsid w:val="00CF561A"/>
    <w:rsid w:val="00CF58D0"/>
    <w:rsid w:val="00CF5E25"/>
    <w:rsid w:val="00CF6109"/>
    <w:rsid w:val="00CF647D"/>
    <w:rsid w:val="00CF6506"/>
    <w:rsid w:val="00CF6630"/>
    <w:rsid w:val="00CF67F2"/>
    <w:rsid w:val="00CF692C"/>
    <w:rsid w:val="00CF6A58"/>
    <w:rsid w:val="00CF6A68"/>
    <w:rsid w:val="00CF6B01"/>
    <w:rsid w:val="00CF6F55"/>
    <w:rsid w:val="00CF6FCE"/>
    <w:rsid w:val="00CF7344"/>
    <w:rsid w:val="00CF770D"/>
    <w:rsid w:val="00CF7A81"/>
    <w:rsid w:val="00D000F3"/>
    <w:rsid w:val="00D00628"/>
    <w:rsid w:val="00D0072D"/>
    <w:rsid w:val="00D00A2D"/>
    <w:rsid w:val="00D00D3B"/>
    <w:rsid w:val="00D00F2C"/>
    <w:rsid w:val="00D01288"/>
    <w:rsid w:val="00D01297"/>
    <w:rsid w:val="00D0197B"/>
    <w:rsid w:val="00D01A97"/>
    <w:rsid w:val="00D01B27"/>
    <w:rsid w:val="00D01B95"/>
    <w:rsid w:val="00D01D7D"/>
    <w:rsid w:val="00D020A2"/>
    <w:rsid w:val="00D020D9"/>
    <w:rsid w:val="00D026C3"/>
    <w:rsid w:val="00D029E9"/>
    <w:rsid w:val="00D0306F"/>
    <w:rsid w:val="00D0379F"/>
    <w:rsid w:val="00D038B5"/>
    <w:rsid w:val="00D039C5"/>
    <w:rsid w:val="00D03AEB"/>
    <w:rsid w:val="00D03D82"/>
    <w:rsid w:val="00D03EBE"/>
    <w:rsid w:val="00D040DC"/>
    <w:rsid w:val="00D0413A"/>
    <w:rsid w:val="00D041B4"/>
    <w:rsid w:val="00D04284"/>
    <w:rsid w:val="00D04296"/>
    <w:rsid w:val="00D0431B"/>
    <w:rsid w:val="00D0457D"/>
    <w:rsid w:val="00D045C8"/>
    <w:rsid w:val="00D04653"/>
    <w:rsid w:val="00D04A01"/>
    <w:rsid w:val="00D04B3D"/>
    <w:rsid w:val="00D04CED"/>
    <w:rsid w:val="00D04DC6"/>
    <w:rsid w:val="00D0509C"/>
    <w:rsid w:val="00D05576"/>
    <w:rsid w:val="00D055E4"/>
    <w:rsid w:val="00D05767"/>
    <w:rsid w:val="00D05963"/>
    <w:rsid w:val="00D05C94"/>
    <w:rsid w:val="00D05CDC"/>
    <w:rsid w:val="00D05E12"/>
    <w:rsid w:val="00D0613B"/>
    <w:rsid w:val="00D0640C"/>
    <w:rsid w:val="00D06786"/>
    <w:rsid w:val="00D06B0E"/>
    <w:rsid w:val="00D06DE9"/>
    <w:rsid w:val="00D06FB1"/>
    <w:rsid w:val="00D07A27"/>
    <w:rsid w:val="00D07ADD"/>
    <w:rsid w:val="00D07C79"/>
    <w:rsid w:val="00D07CC6"/>
    <w:rsid w:val="00D1096A"/>
    <w:rsid w:val="00D10BE4"/>
    <w:rsid w:val="00D10C48"/>
    <w:rsid w:val="00D10CB7"/>
    <w:rsid w:val="00D110F7"/>
    <w:rsid w:val="00D1142D"/>
    <w:rsid w:val="00D11892"/>
    <w:rsid w:val="00D11C4F"/>
    <w:rsid w:val="00D12257"/>
    <w:rsid w:val="00D12578"/>
    <w:rsid w:val="00D12705"/>
    <w:rsid w:val="00D12AA1"/>
    <w:rsid w:val="00D12CDC"/>
    <w:rsid w:val="00D1300A"/>
    <w:rsid w:val="00D135B2"/>
    <w:rsid w:val="00D13BA3"/>
    <w:rsid w:val="00D14180"/>
    <w:rsid w:val="00D145C8"/>
    <w:rsid w:val="00D147C4"/>
    <w:rsid w:val="00D1487F"/>
    <w:rsid w:val="00D14A08"/>
    <w:rsid w:val="00D14E15"/>
    <w:rsid w:val="00D150BC"/>
    <w:rsid w:val="00D15294"/>
    <w:rsid w:val="00D157AF"/>
    <w:rsid w:val="00D157B7"/>
    <w:rsid w:val="00D15A82"/>
    <w:rsid w:val="00D15D33"/>
    <w:rsid w:val="00D15D78"/>
    <w:rsid w:val="00D1601D"/>
    <w:rsid w:val="00D16115"/>
    <w:rsid w:val="00D1629C"/>
    <w:rsid w:val="00D162B7"/>
    <w:rsid w:val="00D165DE"/>
    <w:rsid w:val="00D1670D"/>
    <w:rsid w:val="00D16A60"/>
    <w:rsid w:val="00D16B02"/>
    <w:rsid w:val="00D16E0C"/>
    <w:rsid w:val="00D170C9"/>
    <w:rsid w:val="00D17729"/>
    <w:rsid w:val="00D177B4"/>
    <w:rsid w:val="00D17934"/>
    <w:rsid w:val="00D179D6"/>
    <w:rsid w:val="00D17AC8"/>
    <w:rsid w:val="00D17CA0"/>
    <w:rsid w:val="00D17D73"/>
    <w:rsid w:val="00D17F0F"/>
    <w:rsid w:val="00D17F44"/>
    <w:rsid w:val="00D20104"/>
    <w:rsid w:val="00D20216"/>
    <w:rsid w:val="00D2049E"/>
    <w:rsid w:val="00D20667"/>
    <w:rsid w:val="00D20704"/>
    <w:rsid w:val="00D20820"/>
    <w:rsid w:val="00D208CC"/>
    <w:rsid w:val="00D20B05"/>
    <w:rsid w:val="00D20CFE"/>
    <w:rsid w:val="00D20D14"/>
    <w:rsid w:val="00D20E73"/>
    <w:rsid w:val="00D20E89"/>
    <w:rsid w:val="00D210C2"/>
    <w:rsid w:val="00D21362"/>
    <w:rsid w:val="00D21546"/>
    <w:rsid w:val="00D21569"/>
    <w:rsid w:val="00D2157D"/>
    <w:rsid w:val="00D2165E"/>
    <w:rsid w:val="00D217DC"/>
    <w:rsid w:val="00D21855"/>
    <w:rsid w:val="00D21C1A"/>
    <w:rsid w:val="00D21C7B"/>
    <w:rsid w:val="00D21F5B"/>
    <w:rsid w:val="00D2212E"/>
    <w:rsid w:val="00D22166"/>
    <w:rsid w:val="00D225FF"/>
    <w:rsid w:val="00D2271A"/>
    <w:rsid w:val="00D22788"/>
    <w:rsid w:val="00D22845"/>
    <w:rsid w:val="00D22A0A"/>
    <w:rsid w:val="00D22AA8"/>
    <w:rsid w:val="00D22AF7"/>
    <w:rsid w:val="00D22AFE"/>
    <w:rsid w:val="00D22DFD"/>
    <w:rsid w:val="00D22EBF"/>
    <w:rsid w:val="00D230AD"/>
    <w:rsid w:val="00D23743"/>
    <w:rsid w:val="00D24153"/>
    <w:rsid w:val="00D243FA"/>
    <w:rsid w:val="00D246E1"/>
    <w:rsid w:val="00D24A22"/>
    <w:rsid w:val="00D24B82"/>
    <w:rsid w:val="00D24FB3"/>
    <w:rsid w:val="00D2541E"/>
    <w:rsid w:val="00D25B97"/>
    <w:rsid w:val="00D25BB4"/>
    <w:rsid w:val="00D25D17"/>
    <w:rsid w:val="00D25E4D"/>
    <w:rsid w:val="00D25EF6"/>
    <w:rsid w:val="00D25FAB"/>
    <w:rsid w:val="00D260BB"/>
    <w:rsid w:val="00D261B0"/>
    <w:rsid w:val="00D2634A"/>
    <w:rsid w:val="00D263EA"/>
    <w:rsid w:val="00D26451"/>
    <w:rsid w:val="00D26745"/>
    <w:rsid w:val="00D269C6"/>
    <w:rsid w:val="00D26A21"/>
    <w:rsid w:val="00D26CA2"/>
    <w:rsid w:val="00D27465"/>
    <w:rsid w:val="00D27A26"/>
    <w:rsid w:val="00D305BB"/>
    <w:rsid w:val="00D3062C"/>
    <w:rsid w:val="00D306AB"/>
    <w:rsid w:val="00D30A02"/>
    <w:rsid w:val="00D30B15"/>
    <w:rsid w:val="00D30B6E"/>
    <w:rsid w:val="00D30CAF"/>
    <w:rsid w:val="00D30F84"/>
    <w:rsid w:val="00D310FB"/>
    <w:rsid w:val="00D319F4"/>
    <w:rsid w:val="00D31BBE"/>
    <w:rsid w:val="00D31C11"/>
    <w:rsid w:val="00D31D35"/>
    <w:rsid w:val="00D31D74"/>
    <w:rsid w:val="00D31F2C"/>
    <w:rsid w:val="00D320A0"/>
    <w:rsid w:val="00D3236E"/>
    <w:rsid w:val="00D3292F"/>
    <w:rsid w:val="00D32AEB"/>
    <w:rsid w:val="00D32F3C"/>
    <w:rsid w:val="00D33596"/>
    <w:rsid w:val="00D33B48"/>
    <w:rsid w:val="00D33EBD"/>
    <w:rsid w:val="00D34239"/>
    <w:rsid w:val="00D34564"/>
    <w:rsid w:val="00D347A9"/>
    <w:rsid w:val="00D3480E"/>
    <w:rsid w:val="00D348F0"/>
    <w:rsid w:val="00D3491F"/>
    <w:rsid w:val="00D34A09"/>
    <w:rsid w:val="00D34A90"/>
    <w:rsid w:val="00D34AAB"/>
    <w:rsid w:val="00D34F2C"/>
    <w:rsid w:val="00D35433"/>
    <w:rsid w:val="00D356A5"/>
    <w:rsid w:val="00D356B1"/>
    <w:rsid w:val="00D35B09"/>
    <w:rsid w:val="00D36111"/>
    <w:rsid w:val="00D365D6"/>
    <w:rsid w:val="00D36DC1"/>
    <w:rsid w:val="00D36FA9"/>
    <w:rsid w:val="00D37096"/>
    <w:rsid w:val="00D37178"/>
    <w:rsid w:val="00D374BF"/>
    <w:rsid w:val="00D37594"/>
    <w:rsid w:val="00D37659"/>
    <w:rsid w:val="00D37ABA"/>
    <w:rsid w:val="00D37BD4"/>
    <w:rsid w:val="00D37C07"/>
    <w:rsid w:val="00D37D0B"/>
    <w:rsid w:val="00D37F47"/>
    <w:rsid w:val="00D37FD7"/>
    <w:rsid w:val="00D37FFB"/>
    <w:rsid w:val="00D401F8"/>
    <w:rsid w:val="00D40AC2"/>
    <w:rsid w:val="00D40B96"/>
    <w:rsid w:val="00D40BC0"/>
    <w:rsid w:val="00D40C94"/>
    <w:rsid w:val="00D4106C"/>
    <w:rsid w:val="00D41550"/>
    <w:rsid w:val="00D4162D"/>
    <w:rsid w:val="00D41637"/>
    <w:rsid w:val="00D416E1"/>
    <w:rsid w:val="00D418FE"/>
    <w:rsid w:val="00D41B82"/>
    <w:rsid w:val="00D41BD3"/>
    <w:rsid w:val="00D42147"/>
    <w:rsid w:val="00D4219E"/>
    <w:rsid w:val="00D4229A"/>
    <w:rsid w:val="00D42362"/>
    <w:rsid w:val="00D425BC"/>
    <w:rsid w:val="00D42C06"/>
    <w:rsid w:val="00D42E71"/>
    <w:rsid w:val="00D430EA"/>
    <w:rsid w:val="00D4315B"/>
    <w:rsid w:val="00D43305"/>
    <w:rsid w:val="00D43685"/>
    <w:rsid w:val="00D43A7E"/>
    <w:rsid w:val="00D43F2E"/>
    <w:rsid w:val="00D4428E"/>
    <w:rsid w:val="00D443CE"/>
    <w:rsid w:val="00D4471E"/>
    <w:rsid w:val="00D44C68"/>
    <w:rsid w:val="00D44CEB"/>
    <w:rsid w:val="00D44D3E"/>
    <w:rsid w:val="00D450BF"/>
    <w:rsid w:val="00D45586"/>
    <w:rsid w:val="00D45632"/>
    <w:rsid w:val="00D456CD"/>
    <w:rsid w:val="00D45A9F"/>
    <w:rsid w:val="00D45B3E"/>
    <w:rsid w:val="00D45B82"/>
    <w:rsid w:val="00D46585"/>
    <w:rsid w:val="00D46692"/>
    <w:rsid w:val="00D467AF"/>
    <w:rsid w:val="00D469A2"/>
    <w:rsid w:val="00D46B69"/>
    <w:rsid w:val="00D47242"/>
    <w:rsid w:val="00D473CC"/>
    <w:rsid w:val="00D474BA"/>
    <w:rsid w:val="00D47684"/>
    <w:rsid w:val="00D4776F"/>
    <w:rsid w:val="00D4790D"/>
    <w:rsid w:val="00D47F46"/>
    <w:rsid w:val="00D47F4E"/>
    <w:rsid w:val="00D5005A"/>
    <w:rsid w:val="00D5044F"/>
    <w:rsid w:val="00D50657"/>
    <w:rsid w:val="00D5098B"/>
    <w:rsid w:val="00D50B34"/>
    <w:rsid w:val="00D50B4A"/>
    <w:rsid w:val="00D51920"/>
    <w:rsid w:val="00D51957"/>
    <w:rsid w:val="00D51FDF"/>
    <w:rsid w:val="00D5254E"/>
    <w:rsid w:val="00D525F1"/>
    <w:rsid w:val="00D528CD"/>
    <w:rsid w:val="00D52B1E"/>
    <w:rsid w:val="00D52CD7"/>
    <w:rsid w:val="00D52F49"/>
    <w:rsid w:val="00D5305E"/>
    <w:rsid w:val="00D532AA"/>
    <w:rsid w:val="00D5346A"/>
    <w:rsid w:val="00D534A8"/>
    <w:rsid w:val="00D535D9"/>
    <w:rsid w:val="00D5388A"/>
    <w:rsid w:val="00D53A61"/>
    <w:rsid w:val="00D53DBD"/>
    <w:rsid w:val="00D5411A"/>
    <w:rsid w:val="00D544E0"/>
    <w:rsid w:val="00D54900"/>
    <w:rsid w:val="00D54993"/>
    <w:rsid w:val="00D549EA"/>
    <w:rsid w:val="00D5547F"/>
    <w:rsid w:val="00D55595"/>
    <w:rsid w:val="00D557B6"/>
    <w:rsid w:val="00D55E2E"/>
    <w:rsid w:val="00D5669C"/>
    <w:rsid w:val="00D568AD"/>
    <w:rsid w:val="00D5698C"/>
    <w:rsid w:val="00D56A98"/>
    <w:rsid w:val="00D56E92"/>
    <w:rsid w:val="00D573C7"/>
    <w:rsid w:val="00D576AF"/>
    <w:rsid w:val="00D576F9"/>
    <w:rsid w:val="00D5789F"/>
    <w:rsid w:val="00D57927"/>
    <w:rsid w:val="00D57BCD"/>
    <w:rsid w:val="00D57C07"/>
    <w:rsid w:val="00D57D71"/>
    <w:rsid w:val="00D6062D"/>
    <w:rsid w:val="00D606EB"/>
    <w:rsid w:val="00D60750"/>
    <w:rsid w:val="00D607D0"/>
    <w:rsid w:val="00D60AE4"/>
    <w:rsid w:val="00D60B64"/>
    <w:rsid w:val="00D61B44"/>
    <w:rsid w:val="00D61D15"/>
    <w:rsid w:val="00D61F9D"/>
    <w:rsid w:val="00D6230D"/>
    <w:rsid w:val="00D626F3"/>
    <w:rsid w:val="00D62964"/>
    <w:rsid w:val="00D62C81"/>
    <w:rsid w:val="00D63169"/>
    <w:rsid w:val="00D6360F"/>
    <w:rsid w:val="00D63737"/>
    <w:rsid w:val="00D63994"/>
    <w:rsid w:val="00D639BE"/>
    <w:rsid w:val="00D63A7F"/>
    <w:rsid w:val="00D63B27"/>
    <w:rsid w:val="00D63BC8"/>
    <w:rsid w:val="00D63BDA"/>
    <w:rsid w:val="00D63D0D"/>
    <w:rsid w:val="00D63DF1"/>
    <w:rsid w:val="00D64070"/>
    <w:rsid w:val="00D64451"/>
    <w:rsid w:val="00D649DE"/>
    <w:rsid w:val="00D65012"/>
    <w:rsid w:val="00D6572C"/>
    <w:rsid w:val="00D65745"/>
    <w:rsid w:val="00D658AE"/>
    <w:rsid w:val="00D65CCA"/>
    <w:rsid w:val="00D66369"/>
    <w:rsid w:val="00D66548"/>
    <w:rsid w:val="00D66635"/>
    <w:rsid w:val="00D666EC"/>
    <w:rsid w:val="00D66BD4"/>
    <w:rsid w:val="00D670B4"/>
    <w:rsid w:val="00D670EA"/>
    <w:rsid w:val="00D6710E"/>
    <w:rsid w:val="00D671C2"/>
    <w:rsid w:val="00D674EB"/>
    <w:rsid w:val="00D677BA"/>
    <w:rsid w:val="00D67FA5"/>
    <w:rsid w:val="00D7054B"/>
    <w:rsid w:val="00D7058C"/>
    <w:rsid w:val="00D707FE"/>
    <w:rsid w:val="00D70C71"/>
    <w:rsid w:val="00D70D23"/>
    <w:rsid w:val="00D70D9E"/>
    <w:rsid w:val="00D70DE5"/>
    <w:rsid w:val="00D70F05"/>
    <w:rsid w:val="00D71198"/>
    <w:rsid w:val="00D714A0"/>
    <w:rsid w:val="00D71743"/>
    <w:rsid w:val="00D71C90"/>
    <w:rsid w:val="00D71FA6"/>
    <w:rsid w:val="00D7239A"/>
    <w:rsid w:val="00D7243C"/>
    <w:rsid w:val="00D72762"/>
    <w:rsid w:val="00D729A9"/>
    <w:rsid w:val="00D729F2"/>
    <w:rsid w:val="00D72AA4"/>
    <w:rsid w:val="00D73255"/>
    <w:rsid w:val="00D73416"/>
    <w:rsid w:val="00D73625"/>
    <w:rsid w:val="00D7378E"/>
    <w:rsid w:val="00D73A06"/>
    <w:rsid w:val="00D73E16"/>
    <w:rsid w:val="00D74964"/>
    <w:rsid w:val="00D74BBC"/>
    <w:rsid w:val="00D7578C"/>
    <w:rsid w:val="00D757BB"/>
    <w:rsid w:val="00D75B8C"/>
    <w:rsid w:val="00D75D2B"/>
    <w:rsid w:val="00D75D78"/>
    <w:rsid w:val="00D76062"/>
    <w:rsid w:val="00D7648B"/>
    <w:rsid w:val="00D76973"/>
    <w:rsid w:val="00D76DB2"/>
    <w:rsid w:val="00D772B7"/>
    <w:rsid w:val="00D7730C"/>
    <w:rsid w:val="00D77608"/>
    <w:rsid w:val="00D7793C"/>
    <w:rsid w:val="00D77B42"/>
    <w:rsid w:val="00D804ED"/>
    <w:rsid w:val="00D807E8"/>
    <w:rsid w:val="00D8082E"/>
    <w:rsid w:val="00D80A1F"/>
    <w:rsid w:val="00D80B82"/>
    <w:rsid w:val="00D80E7B"/>
    <w:rsid w:val="00D8140F"/>
    <w:rsid w:val="00D814C6"/>
    <w:rsid w:val="00D81807"/>
    <w:rsid w:val="00D81897"/>
    <w:rsid w:val="00D81C0C"/>
    <w:rsid w:val="00D81DB5"/>
    <w:rsid w:val="00D81F74"/>
    <w:rsid w:val="00D828DD"/>
    <w:rsid w:val="00D828EE"/>
    <w:rsid w:val="00D82C6B"/>
    <w:rsid w:val="00D82FD4"/>
    <w:rsid w:val="00D835BA"/>
    <w:rsid w:val="00D8376C"/>
    <w:rsid w:val="00D838CE"/>
    <w:rsid w:val="00D83A1B"/>
    <w:rsid w:val="00D83AF1"/>
    <w:rsid w:val="00D83B38"/>
    <w:rsid w:val="00D842A7"/>
    <w:rsid w:val="00D845AF"/>
    <w:rsid w:val="00D84846"/>
    <w:rsid w:val="00D84923"/>
    <w:rsid w:val="00D84927"/>
    <w:rsid w:val="00D84955"/>
    <w:rsid w:val="00D84986"/>
    <w:rsid w:val="00D84A08"/>
    <w:rsid w:val="00D84BCF"/>
    <w:rsid w:val="00D84ED0"/>
    <w:rsid w:val="00D850C4"/>
    <w:rsid w:val="00D853D9"/>
    <w:rsid w:val="00D854F2"/>
    <w:rsid w:val="00D85632"/>
    <w:rsid w:val="00D8588C"/>
    <w:rsid w:val="00D858C7"/>
    <w:rsid w:val="00D85C82"/>
    <w:rsid w:val="00D85C98"/>
    <w:rsid w:val="00D865BD"/>
    <w:rsid w:val="00D86B22"/>
    <w:rsid w:val="00D86B5F"/>
    <w:rsid w:val="00D86B73"/>
    <w:rsid w:val="00D86DEE"/>
    <w:rsid w:val="00D87202"/>
    <w:rsid w:val="00D87231"/>
    <w:rsid w:val="00D872B6"/>
    <w:rsid w:val="00D875A3"/>
    <w:rsid w:val="00D87872"/>
    <w:rsid w:val="00D900A1"/>
    <w:rsid w:val="00D900AD"/>
    <w:rsid w:val="00D904F4"/>
    <w:rsid w:val="00D90575"/>
    <w:rsid w:val="00D9066E"/>
    <w:rsid w:val="00D9075D"/>
    <w:rsid w:val="00D9075E"/>
    <w:rsid w:val="00D908BA"/>
    <w:rsid w:val="00D908D5"/>
    <w:rsid w:val="00D90F2E"/>
    <w:rsid w:val="00D91110"/>
    <w:rsid w:val="00D91287"/>
    <w:rsid w:val="00D91413"/>
    <w:rsid w:val="00D915FD"/>
    <w:rsid w:val="00D915FF"/>
    <w:rsid w:val="00D9188E"/>
    <w:rsid w:val="00D91B6C"/>
    <w:rsid w:val="00D91C63"/>
    <w:rsid w:val="00D91DD5"/>
    <w:rsid w:val="00D91E5C"/>
    <w:rsid w:val="00D91F41"/>
    <w:rsid w:val="00D921CA"/>
    <w:rsid w:val="00D9224D"/>
    <w:rsid w:val="00D9253F"/>
    <w:rsid w:val="00D926DE"/>
    <w:rsid w:val="00D92EDF"/>
    <w:rsid w:val="00D933F7"/>
    <w:rsid w:val="00D93698"/>
    <w:rsid w:val="00D938A0"/>
    <w:rsid w:val="00D93F10"/>
    <w:rsid w:val="00D93F35"/>
    <w:rsid w:val="00D93F64"/>
    <w:rsid w:val="00D942D1"/>
    <w:rsid w:val="00D94C08"/>
    <w:rsid w:val="00D95232"/>
    <w:rsid w:val="00D9636F"/>
    <w:rsid w:val="00D96B8C"/>
    <w:rsid w:val="00D96E42"/>
    <w:rsid w:val="00D96FA2"/>
    <w:rsid w:val="00D970D8"/>
    <w:rsid w:val="00D971FA"/>
    <w:rsid w:val="00D972F5"/>
    <w:rsid w:val="00D97DEF"/>
    <w:rsid w:val="00DA01A7"/>
    <w:rsid w:val="00DA068B"/>
    <w:rsid w:val="00DA08A0"/>
    <w:rsid w:val="00DA0933"/>
    <w:rsid w:val="00DA0DC0"/>
    <w:rsid w:val="00DA1218"/>
    <w:rsid w:val="00DA12C1"/>
    <w:rsid w:val="00DA12EB"/>
    <w:rsid w:val="00DA1988"/>
    <w:rsid w:val="00DA1B12"/>
    <w:rsid w:val="00DA1C3B"/>
    <w:rsid w:val="00DA1DC6"/>
    <w:rsid w:val="00DA2522"/>
    <w:rsid w:val="00DA274B"/>
    <w:rsid w:val="00DA2849"/>
    <w:rsid w:val="00DA28DE"/>
    <w:rsid w:val="00DA2ABD"/>
    <w:rsid w:val="00DA2B06"/>
    <w:rsid w:val="00DA2B19"/>
    <w:rsid w:val="00DA2EB1"/>
    <w:rsid w:val="00DA3142"/>
    <w:rsid w:val="00DA3270"/>
    <w:rsid w:val="00DA345E"/>
    <w:rsid w:val="00DA3527"/>
    <w:rsid w:val="00DA3533"/>
    <w:rsid w:val="00DA3662"/>
    <w:rsid w:val="00DA37FA"/>
    <w:rsid w:val="00DA3B62"/>
    <w:rsid w:val="00DA3D2C"/>
    <w:rsid w:val="00DA4030"/>
    <w:rsid w:val="00DA4048"/>
    <w:rsid w:val="00DA409F"/>
    <w:rsid w:val="00DA434B"/>
    <w:rsid w:val="00DA44BD"/>
    <w:rsid w:val="00DA44E8"/>
    <w:rsid w:val="00DA4648"/>
    <w:rsid w:val="00DA475D"/>
    <w:rsid w:val="00DA4973"/>
    <w:rsid w:val="00DA4A28"/>
    <w:rsid w:val="00DA4C8D"/>
    <w:rsid w:val="00DA545D"/>
    <w:rsid w:val="00DA5883"/>
    <w:rsid w:val="00DA5A71"/>
    <w:rsid w:val="00DA5B94"/>
    <w:rsid w:val="00DA5F5F"/>
    <w:rsid w:val="00DA62CC"/>
    <w:rsid w:val="00DA63C8"/>
    <w:rsid w:val="00DA6573"/>
    <w:rsid w:val="00DA6929"/>
    <w:rsid w:val="00DA6B60"/>
    <w:rsid w:val="00DA6E7E"/>
    <w:rsid w:val="00DA7002"/>
    <w:rsid w:val="00DA70ED"/>
    <w:rsid w:val="00DA75AD"/>
    <w:rsid w:val="00DA773A"/>
    <w:rsid w:val="00DA7B94"/>
    <w:rsid w:val="00DA7E3E"/>
    <w:rsid w:val="00DA7F08"/>
    <w:rsid w:val="00DA7F69"/>
    <w:rsid w:val="00DB02AB"/>
    <w:rsid w:val="00DB0738"/>
    <w:rsid w:val="00DB0B9E"/>
    <w:rsid w:val="00DB0CF1"/>
    <w:rsid w:val="00DB0DBA"/>
    <w:rsid w:val="00DB1430"/>
    <w:rsid w:val="00DB1619"/>
    <w:rsid w:val="00DB164D"/>
    <w:rsid w:val="00DB1C58"/>
    <w:rsid w:val="00DB1D32"/>
    <w:rsid w:val="00DB2027"/>
    <w:rsid w:val="00DB2588"/>
    <w:rsid w:val="00DB2AB1"/>
    <w:rsid w:val="00DB2BE2"/>
    <w:rsid w:val="00DB2D48"/>
    <w:rsid w:val="00DB398E"/>
    <w:rsid w:val="00DB39E2"/>
    <w:rsid w:val="00DB39FA"/>
    <w:rsid w:val="00DB3A53"/>
    <w:rsid w:val="00DB3CF1"/>
    <w:rsid w:val="00DB48A8"/>
    <w:rsid w:val="00DB4908"/>
    <w:rsid w:val="00DB4918"/>
    <w:rsid w:val="00DB4B0B"/>
    <w:rsid w:val="00DB4C15"/>
    <w:rsid w:val="00DB4E0E"/>
    <w:rsid w:val="00DB4E40"/>
    <w:rsid w:val="00DB4ED9"/>
    <w:rsid w:val="00DB5124"/>
    <w:rsid w:val="00DB58C2"/>
    <w:rsid w:val="00DB593C"/>
    <w:rsid w:val="00DB59B3"/>
    <w:rsid w:val="00DB5A34"/>
    <w:rsid w:val="00DB5A3D"/>
    <w:rsid w:val="00DB5D22"/>
    <w:rsid w:val="00DB6433"/>
    <w:rsid w:val="00DB66A0"/>
    <w:rsid w:val="00DB6C0C"/>
    <w:rsid w:val="00DB7380"/>
    <w:rsid w:val="00DB73DE"/>
    <w:rsid w:val="00DB73F6"/>
    <w:rsid w:val="00DB752E"/>
    <w:rsid w:val="00DB767B"/>
    <w:rsid w:val="00DB78BF"/>
    <w:rsid w:val="00DB7CDA"/>
    <w:rsid w:val="00DC0026"/>
    <w:rsid w:val="00DC006E"/>
    <w:rsid w:val="00DC009D"/>
    <w:rsid w:val="00DC05A9"/>
    <w:rsid w:val="00DC05B6"/>
    <w:rsid w:val="00DC12C6"/>
    <w:rsid w:val="00DC12CD"/>
    <w:rsid w:val="00DC1580"/>
    <w:rsid w:val="00DC161D"/>
    <w:rsid w:val="00DC172C"/>
    <w:rsid w:val="00DC1815"/>
    <w:rsid w:val="00DC2196"/>
    <w:rsid w:val="00DC2723"/>
    <w:rsid w:val="00DC2978"/>
    <w:rsid w:val="00DC2B61"/>
    <w:rsid w:val="00DC2C37"/>
    <w:rsid w:val="00DC2C4F"/>
    <w:rsid w:val="00DC2E0E"/>
    <w:rsid w:val="00DC2EE2"/>
    <w:rsid w:val="00DC2F6F"/>
    <w:rsid w:val="00DC341D"/>
    <w:rsid w:val="00DC3858"/>
    <w:rsid w:val="00DC3876"/>
    <w:rsid w:val="00DC3972"/>
    <w:rsid w:val="00DC398A"/>
    <w:rsid w:val="00DC3AB7"/>
    <w:rsid w:val="00DC3C12"/>
    <w:rsid w:val="00DC3D08"/>
    <w:rsid w:val="00DC3E8E"/>
    <w:rsid w:val="00DC3F80"/>
    <w:rsid w:val="00DC4149"/>
    <w:rsid w:val="00DC4178"/>
    <w:rsid w:val="00DC442A"/>
    <w:rsid w:val="00DC4650"/>
    <w:rsid w:val="00DC47A8"/>
    <w:rsid w:val="00DC47DC"/>
    <w:rsid w:val="00DC4D16"/>
    <w:rsid w:val="00DC4FD3"/>
    <w:rsid w:val="00DC517C"/>
    <w:rsid w:val="00DC51F4"/>
    <w:rsid w:val="00DC530F"/>
    <w:rsid w:val="00DC5448"/>
    <w:rsid w:val="00DC5645"/>
    <w:rsid w:val="00DC5A14"/>
    <w:rsid w:val="00DC656F"/>
    <w:rsid w:val="00DC68E5"/>
    <w:rsid w:val="00DC694B"/>
    <w:rsid w:val="00DC6B29"/>
    <w:rsid w:val="00DC6BF8"/>
    <w:rsid w:val="00DC6C94"/>
    <w:rsid w:val="00DC6D1B"/>
    <w:rsid w:val="00DC6D5E"/>
    <w:rsid w:val="00DC7086"/>
    <w:rsid w:val="00DC70C5"/>
    <w:rsid w:val="00DC71C9"/>
    <w:rsid w:val="00DC7245"/>
    <w:rsid w:val="00DC7515"/>
    <w:rsid w:val="00DC75FE"/>
    <w:rsid w:val="00DC76A9"/>
    <w:rsid w:val="00DC7A60"/>
    <w:rsid w:val="00DC7CF9"/>
    <w:rsid w:val="00DD0138"/>
    <w:rsid w:val="00DD03D1"/>
    <w:rsid w:val="00DD04ED"/>
    <w:rsid w:val="00DD0733"/>
    <w:rsid w:val="00DD0BD5"/>
    <w:rsid w:val="00DD0D40"/>
    <w:rsid w:val="00DD0D53"/>
    <w:rsid w:val="00DD0E0C"/>
    <w:rsid w:val="00DD1544"/>
    <w:rsid w:val="00DD178A"/>
    <w:rsid w:val="00DD1837"/>
    <w:rsid w:val="00DD1AB2"/>
    <w:rsid w:val="00DD1FA1"/>
    <w:rsid w:val="00DD20D0"/>
    <w:rsid w:val="00DD21A1"/>
    <w:rsid w:val="00DD21C9"/>
    <w:rsid w:val="00DD2537"/>
    <w:rsid w:val="00DD2599"/>
    <w:rsid w:val="00DD277A"/>
    <w:rsid w:val="00DD290E"/>
    <w:rsid w:val="00DD2A02"/>
    <w:rsid w:val="00DD2B48"/>
    <w:rsid w:val="00DD2CC9"/>
    <w:rsid w:val="00DD3013"/>
    <w:rsid w:val="00DD304B"/>
    <w:rsid w:val="00DD30B7"/>
    <w:rsid w:val="00DD31CA"/>
    <w:rsid w:val="00DD322C"/>
    <w:rsid w:val="00DD342B"/>
    <w:rsid w:val="00DD3936"/>
    <w:rsid w:val="00DD3C79"/>
    <w:rsid w:val="00DD3D22"/>
    <w:rsid w:val="00DD3D71"/>
    <w:rsid w:val="00DD3E1B"/>
    <w:rsid w:val="00DD3FA9"/>
    <w:rsid w:val="00DD427C"/>
    <w:rsid w:val="00DD42A2"/>
    <w:rsid w:val="00DD44A9"/>
    <w:rsid w:val="00DD4626"/>
    <w:rsid w:val="00DD482E"/>
    <w:rsid w:val="00DD4D09"/>
    <w:rsid w:val="00DD506A"/>
    <w:rsid w:val="00DD51E8"/>
    <w:rsid w:val="00DD522D"/>
    <w:rsid w:val="00DD526E"/>
    <w:rsid w:val="00DD558C"/>
    <w:rsid w:val="00DD57DE"/>
    <w:rsid w:val="00DD5B6E"/>
    <w:rsid w:val="00DD5BD4"/>
    <w:rsid w:val="00DD61E9"/>
    <w:rsid w:val="00DD63AA"/>
    <w:rsid w:val="00DD667B"/>
    <w:rsid w:val="00DD6692"/>
    <w:rsid w:val="00DD68C4"/>
    <w:rsid w:val="00DD69C6"/>
    <w:rsid w:val="00DD6A25"/>
    <w:rsid w:val="00DD6B2D"/>
    <w:rsid w:val="00DD6C40"/>
    <w:rsid w:val="00DD6D9A"/>
    <w:rsid w:val="00DD6E76"/>
    <w:rsid w:val="00DD7BA3"/>
    <w:rsid w:val="00DD7D1C"/>
    <w:rsid w:val="00DD7DA2"/>
    <w:rsid w:val="00DD7E70"/>
    <w:rsid w:val="00DD7F1E"/>
    <w:rsid w:val="00DE0128"/>
    <w:rsid w:val="00DE017F"/>
    <w:rsid w:val="00DE01D7"/>
    <w:rsid w:val="00DE0272"/>
    <w:rsid w:val="00DE0324"/>
    <w:rsid w:val="00DE038C"/>
    <w:rsid w:val="00DE0ACA"/>
    <w:rsid w:val="00DE0BB3"/>
    <w:rsid w:val="00DE0C9C"/>
    <w:rsid w:val="00DE0D2A"/>
    <w:rsid w:val="00DE0D86"/>
    <w:rsid w:val="00DE1116"/>
    <w:rsid w:val="00DE11A9"/>
    <w:rsid w:val="00DE1260"/>
    <w:rsid w:val="00DE13A0"/>
    <w:rsid w:val="00DE14DB"/>
    <w:rsid w:val="00DE156F"/>
    <w:rsid w:val="00DE15A1"/>
    <w:rsid w:val="00DE1622"/>
    <w:rsid w:val="00DE1A11"/>
    <w:rsid w:val="00DE1A17"/>
    <w:rsid w:val="00DE1B07"/>
    <w:rsid w:val="00DE1EBE"/>
    <w:rsid w:val="00DE2178"/>
    <w:rsid w:val="00DE2460"/>
    <w:rsid w:val="00DE265F"/>
    <w:rsid w:val="00DE267B"/>
    <w:rsid w:val="00DE2AA7"/>
    <w:rsid w:val="00DE2F41"/>
    <w:rsid w:val="00DE30A3"/>
    <w:rsid w:val="00DE3376"/>
    <w:rsid w:val="00DE34C2"/>
    <w:rsid w:val="00DE3651"/>
    <w:rsid w:val="00DE39E3"/>
    <w:rsid w:val="00DE3FDC"/>
    <w:rsid w:val="00DE417E"/>
    <w:rsid w:val="00DE4408"/>
    <w:rsid w:val="00DE4433"/>
    <w:rsid w:val="00DE449C"/>
    <w:rsid w:val="00DE4512"/>
    <w:rsid w:val="00DE46C6"/>
    <w:rsid w:val="00DE4C30"/>
    <w:rsid w:val="00DE4D67"/>
    <w:rsid w:val="00DE4E13"/>
    <w:rsid w:val="00DE4EB9"/>
    <w:rsid w:val="00DE50D4"/>
    <w:rsid w:val="00DE55DF"/>
    <w:rsid w:val="00DE5D68"/>
    <w:rsid w:val="00DE5F37"/>
    <w:rsid w:val="00DE6116"/>
    <w:rsid w:val="00DE62E7"/>
    <w:rsid w:val="00DE6369"/>
    <w:rsid w:val="00DE637F"/>
    <w:rsid w:val="00DE66A2"/>
    <w:rsid w:val="00DE6895"/>
    <w:rsid w:val="00DE6A2F"/>
    <w:rsid w:val="00DE6B47"/>
    <w:rsid w:val="00DE6F1A"/>
    <w:rsid w:val="00DE7012"/>
    <w:rsid w:val="00DE72A5"/>
    <w:rsid w:val="00DE72B7"/>
    <w:rsid w:val="00DE73F6"/>
    <w:rsid w:val="00DE765C"/>
    <w:rsid w:val="00DE7BFB"/>
    <w:rsid w:val="00DE7D10"/>
    <w:rsid w:val="00DF0069"/>
    <w:rsid w:val="00DF0080"/>
    <w:rsid w:val="00DF06D0"/>
    <w:rsid w:val="00DF0B14"/>
    <w:rsid w:val="00DF0D23"/>
    <w:rsid w:val="00DF138B"/>
    <w:rsid w:val="00DF172D"/>
    <w:rsid w:val="00DF18B7"/>
    <w:rsid w:val="00DF196A"/>
    <w:rsid w:val="00DF197A"/>
    <w:rsid w:val="00DF1D97"/>
    <w:rsid w:val="00DF1F29"/>
    <w:rsid w:val="00DF1FEC"/>
    <w:rsid w:val="00DF1FF9"/>
    <w:rsid w:val="00DF21D4"/>
    <w:rsid w:val="00DF240A"/>
    <w:rsid w:val="00DF248D"/>
    <w:rsid w:val="00DF257F"/>
    <w:rsid w:val="00DF28DD"/>
    <w:rsid w:val="00DF2BE1"/>
    <w:rsid w:val="00DF2D68"/>
    <w:rsid w:val="00DF2E2C"/>
    <w:rsid w:val="00DF321E"/>
    <w:rsid w:val="00DF34E4"/>
    <w:rsid w:val="00DF3D06"/>
    <w:rsid w:val="00DF3D30"/>
    <w:rsid w:val="00DF45A3"/>
    <w:rsid w:val="00DF45C6"/>
    <w:rsid w:val="00DF4885"/>
    <w:rsid w:val="00DF4A1D"/>
    <w:rsid w:val="00DF4A26"/>
    <w:rsid w:val="00DF4BEC"/>
    <w:rsid w:val="00DF4BFF"/>
    <w:rsid w:val="00DF4CB7"/>
    <w:rsid w:val="00DF51D3"/>
    <w:rsid w:val="00DF5274"/>
    <w:rsid w:val="00DF5599"/>
    <w:rsid w:val="00DF560E"/>
    <w:rsid w:val="00DF57E1"/>
    <w:rsid w:val="00DF5AA3"/>
    <w:rsid w:val="00DF5AE7"/>
    <w:rsid w:val="00DF631A"/>
    <w:rsid w:val="00DF672E"/>
    <w:rsid w:val="00DF6792"/>
    <w:rsid w:val="00DF684B"/>
    <w:rsid w:val="00DF6932"/>
    <w:rsid w:val="00DF6AD9"/>
    <w:rsid w:val="00DF6CA3"/>
    <w:rsid w:val="00DF6E23"/>
    <w:rsid w:val="00DF702C"/>
    <w:rsid w:val="00DF77A5"/>
    <w:rsid w:val="00DF79FB"/>
    <w:rsid w:val="00DF7E8E"/>
    <w:rsid w:val="00E000DA"/>
    <w:rsid w:val="00E00200"/>
    <w:rsid w:val="00E00450"/>
    <w:rsid w:val="00E004CF"/>
    <w:rsid w:val="00E006C9"/>
    <w:rsid w:val="00E00B8C"/>
    <w:rsid w:val="00E00E2D"/>
    <w:rsid w:val="00E00EBC"/>
    <w:rsid w:val="00E00F99"/>
    <w:rsid w:val="00E01449"/>
    <w:rsid w:val="00E015FB"/>
    <w:rsid w:val="00E01644"/>
    <w:rsid w:val="00E0181E"/>
    <w:rsid w:val="00E01C20"/>
    <w:rsid w:val="00E02464"/>
    <w:rsid w:val="00E02574"/>
    <w:rsid w:val="00E025CA"/>
    <w:rsid w:val="00E028A0"/>
    <w:rsid w:val="00E0299D"/>
    <w:rsid w:val="00E02C91"/>
    <w:rsid w:val="00E02CE3"/>
    <w:rsid w:val="00E02E03"/>
    <w:rsid w:val="00E02E37"/>
    <w:rsid w:val="00E0306A"/>
    <w:rsid w:val="00E030A0"/>
    <w:rsid w:val="00E0340C"/>
    <w:rsid w:val="00E0369C"/>
    <w:rsid w:val="00E037A4"/>
    <w:rsid w:val="00E03A43"/>
    <w:rsid w:val="00E040F7"/>
    <w:rsid w:val="00E042B5"/>
    <w:rsid w:val="00E043FD"/>
    <w:rsid w:val="00E0450A"/>
    <w:rsid w:val="00E046A0"/>
    <w:rsid w:val="00E0482E"/>
    <w:rsid w:val="00E0496E"/>
    <w:rsid w:val="00E05670"/>
    <w:rsid w:val="00E05AC7"/>
    <w:rsid w:val="00E05C0A"/>
    <w:rsid w:val="00E05D51"/>
    <w:rsid w:val="00E05E32"/>
    <w:rsid w:val="00E05FBD"/>
    <w:rsid w:val="00E06040"/>
    <w:rsid w:val="00E061EA"/>
    <w:rsid w:val="00E063FB"/>
    <w:rsid w:val="00E06490"/>
    <w:rsid w:val="00E064FD"/>
    <w:rsid w:val="00E06500"/>
    <w:rsid w:val="00E06505"/>
    <w:rsid w:val="00E06AD5"/>
    <w:rsid w:val="00E06C99"/>
    <w:rsid w:val="00E06CBE"/>
    <w:rsid w:val="00E06EEF"/>
    <w:rsid w:val="00E07085"/>
    <w:rsid w:val="00E070C0"/>
    <w:rsid w:val="00E071CB"/>
    <w:rsid w:val="00E0725F"/>
    <w:rsid w:val="00E072A8"/>
    <w:rsid w:val="00E073B0"/>
    <w:rsid w:val="00E0765D"/>
    <w:rsid w:val="00E07989"/>
    <w:rsid w:val="00E079EB"/>
    <w:rsid w:val="00E079FE"/>
    <w:rsid w:val="00E07BBA"/>
    <w:rsid w:val="00E07E9F"/>
    <w:rsid w:val="00E07FCD"/>
    <w:rsid w:val="00E102C2"/>
    <w:rsid w:val="00E103BD"/>
    <w:rsid w:val="00E10552"/>
    <w:rsid w:val="00E1058B"/>
    <w:rsid w:val="00E1067C"/>
    <w:rsid w:val="00E108C8"/>
    <w:rsid w:val="00E10C37"/>
    <w:rsid w:val="00E111F5"/>
    <w:rsid w:val="00E11226"/>
    <w:rsid w:val="00E112BC"/>
    <w:rsid w:val="00E11502"/>
    <w:rsid w:val="00E11613"/>
    <w:rsid w:val="00E11873"/>
    <w:rsid w:val="00E118D4"/>
    <w:rsid w:val="00E119E1"/>
    <w:rsid w:val="00E123EE"/>
    <w:rsid w:val="00E12413"/>
    <w:rsid w:val="00E12F74"/>
    <w:rsid w:val="00E1305B"/>
    <w:rsid w:val="00E13187"/>
    <w:rsid w:val="00E136A5"/>
    <w:rsid w:val="00E13813"/>
    <w:rsid w:val="00E13834"/>
    <w:rsid w:val="00E13CB9"/>
    <w:rsid w:val="00E13E1E"/>
    <w:rsid w:val="00E13F18"/>
    <w:rsid w:val="00E145D8"/>
    <w:rsid w:val="00E14773"/>
    <w:rsid w:val="00E14B14"/>
    <w:rsid w:val="00E14F0E"/>
    <w:rsid w:val="00E1554C"/>
    <w:rsid w:val="00E15652"/>
    <w:rsid w:val="00E1593B"/>
    <w:rsid w:val="00E15942"/>
    <w:rsid w:val="00E15C47"/>
    <w:rsid w:val="00E15C61"/>
    <w:rsid w:val="00E15C9C"/>
    <w:rsid w:val="00E162C6"/>
    <w:rsid w:val="00E1635A"/>
    <w:rsid w:val="00E165EC"/>
    <w:rsid w:val="00E166DF"/>
    <w:rsid w:val="00E166E8"/>
    <w:rsid w:val="00E1671A"/>
    <w:rsid w:val="00E16A30"/>
    <w:rsid w:val="00E16BAA"/>
    <w:rsid w:val="00E16BBE"/>
    <w:rsid w:val="00E17389"/>
    <w:rsid w:val="00E1776F"/>
    <w:rsid w:val="00E17AAB"/>
    <w:rsid w:val="00E17B0B"/>
    <w:rsid w:val="00E17D22"/>
    <w:rsid w:val="00E17D47"/>
    <w:rsid w:val="00E17D49"/>
    <w:rsid w:val="00E20457"/>
    <w:rsid w:val="00E2056B"/>
    <w:rsid w:val="00E205FA"/>
    <w:rsid w:val="00E207D2"/>
    <w:rsid w:val="00E2130B"/>
    <w:rsid w:val="00E21739"/>
    <w:rsid w:val="00E217E1"/>
    <w:rsid w:val="00E2185F"/>
    <w:rsid w:val="00E219FE"/>
    <w:rsid w:val="00E22266"/>
    <w:rsid w:val="00E22614"/>
    <w:rsid w:val="00E2278E"/>
    <w:rsid w:val="00E23201"/>
    <w:rsid w:val="00E233B9"/>
    <w:rsid w:val="00E234FF"/>
    <w:rsid w:val="00E23719"/>
    <w:rsid w:val="00E23940"/>
    <w:rsid w:val="00E23D2C"/>
    <w:rsid w:val="00E23F6D"/>
    <w:rsid w:val="00E23FFC"/>
    <w:rsid w:val="00E2458E"/>
    <w:rsid w:val="00E248A4"/>
    <w:rsid w:val="00E24DA0"/>
    <w:rsid w:val="00E25088"/>
    <w:rsid w:val="00E25D26"/>
    <w:rsid w:val="00E25E93"/>
    <w:rsid w:val="00E25F56"/>
    <w:rsid w:val="00E25FED"/>
    <w:rsid w:val="00E261ED"/>
    <w:rsid w:val="00E2652A"/>
    <w:rsid w:val="00E271EA"/>
    <w:rsid w:val="00E274FE"/>
    <w:rsid w:val="00E27937"/>
    <w:rsid w:val="00E27BB8"/>
    <w:rsid w:val="00E27F3B"/>
    <w:rsid w:val="00E27FAF"/>
    <w:rsid w:val="00E301C3"/>
    <w:rsid w:val="00E3024E"/>
    <w:rsid w:val="00E30477"/>
    <w:rsid w:val="00E3056F"/>
    <w:rsid w:val="00E305DD"/>
    <w:rsid w:val="00E30803"/>
    <w:rsid w:val="00E3090B"/>
    <w:rsid w:val="00E30A18"/>
    <w:rsid w:val="00E3175E"/>
    <w:rsid w:val="00E31DCC"/>
    <w:rsid w:val="00E31FA0"/>
    <w:rsid w:val="00E327FE"/>
    <w:rsid w:val="00E32AEC"/>
    <w:rsid w:val="00E32C09"/>
    <w:rsid w:val="00E32E27"/>
    <w:rsid w:val="00E32FF2"/>
    <w:rsid w:val="00E332EA"/>
    <w:rsid w:val="00E3333E"/>
    <w:rsid w:val="00E33663"/>
    <w:rsid w:val="00E33786"/>
    <w:rsid w:val="00E337A7"/>
    <w:rsid w:val="00E3385F"/>
    <w:rsid w:val="00E33928"/>
    <w:rsid w:val="00E33985"/>
    <w:rsid w:val="00E33A1E"/>
    <w:rsid w:val="00E33AFD"/>
    <w:rsid w:val="00E34351"/>
    <w:rsid w:val="00E34372"/>
    <w:rsid w:val="00E3455C"/>
    <w:rsid w:val="00E3456D"/>
    <w:rsid w:val="00E3458F"/>
    <w:rsid w:val="00E347A8"/>
    <w:rsid w:val="00E34834"/>
    <w:rsid w:val="00E34AB4"/>
    <w:rsid w:val="00E34B6A"/>
    <w:rsid w:val="00E34F76"/>
    <w:rsid w:val="00E35099"/>
    <w:rsid w:val="00E35292"/>
    <w:rsid w:val="00E353AC"/>
    <w:rsid w:val="00E353DB"/>
    <w:rsid w:val="00E35CBE"/>
    <w:rsid w:val="00E35F41"/>
    <w:rsid w:val="00E35F66"/>
    <w:rsid w:val="00E35FBB"/>
    <w:rsid w:val="00E3639C"/>
    <w:rsid w:val="00E3660C"/>
    <w:rsid w:val="00E36B2A"/>
    <w:rsid w:val="00E36F43"/>
    <w:rsid w:val="00E372F7"/>
    <w:rsid w:val="00E37349"/>
    <w:rsid w:val="00E373BD"/>
    <w:rsid w:val="00E37526"/>
    <w:rsid w:val="00E37865"/>
    <w:rsid w:val="00E37901"/>
    <w:rsid w:val="00E37942"/>
    <w:rsid w:val="00E37EE1"/>
    <w:rsid w:val="00E401B3"/>
    <w:rsid w:val="00E402A6"/>
    <w:rsid w:val="00E404B7"/>
    <w:rsid w:val="00E40F6E"/>
    <w:rsid w:val="00E414A1"/>
    <w:rsid w:val="00E415CC"/>
    <w:rsid w:val="00E41848"/>
    <w:rsid w:val="00E4192F"/>
    <w:rsid w:val="00E41AA6"/>
    <w:rsid w:val="00E41E2F"/>
    <w:rsid w:val="00E41FBA"/>
    <w:rsid w:val="00E4291A"/>
    <w:rsid w:val="00E42C47"/>
    <w:rsid w:val="00E42E12"/>
    <w:rsid w:val="00E4304C"/>
    <w:rsid w:val="00E43158"/>
    <w:rsid w:val="00E434C8"/>
    <w:rsid w:val="00E43580"/>
    <w:rsid w:val="00E436FB"/>
    <w:rsid w:val="00E437F9"/>
    <w:rsid w:val="00E43909"/>
    <w:rsid w:val="00E43C46"/>
    <w:rsid w:val="00E43CC4"/>
    <w:rsid w:val="00E43D3E"/>
    <w:rsid w:val="00E43DCD"/>
    <w:rsid w:val="00E4408F"/>
    <w:rsid w:val="00E441A3"/>
    <w:rsid w:val="00E443E1"/>
    <w:rsid w:val="00E445F0"/>
    <w:rsid w:val="00E446BA"/>
    <w:rsid w:val="00E446E3"/>
    <w:rsid w:val="00E44A81"/>
    <w:rsid w:val="00E450C8"/>
    <w:rsid w:val="00E4539D"/>
    <w:rsid w:val="00E45911"/>
    <w:rsid w:val="00E45AE2"/>
    <w:rsid w:val="00E45BAD"/>
    <w:rsid w:val="00E45D5D"/>
    <w:rsid w:val="00E45DD8"/>
    <w:rsid w:val="00E46004"/>
    <w:rsid w:val="00E46563"/>
    <w:rsid w:val="00E46666"/>
    <w:rsid w:val="00E46671"/>
    <w:rsid w:val="00E46833"/>
    <w:rsid w:val="00E46916"/>
    <w:rsid w:val="00E4691D"/>
    <w:rsid w:val="00E46F1F"/>
    <w:rsid w:val="00E47120"/>
    <w:rsid w:val="00E4730A"/>
    <w:rsid w:val="00E478C4"/>
    <w:rsid w:val="00E47B39"/>
    <w:rsid w:val="00E50035"/>
    <w:rsid w:val="00E500B8"/>
    <w:rsid w:val="00E50267"/>
    <w:rsid w:val="00E50CEF"/>
    <w:rsid w:val="00E51D43"/>
    <w:rsid w:val="00E51FD3"/>
    <w:rsid w:val="00E52201"/>
    <w:rsid w:val="00E52218"/>
    <w:rsid w:val="00E52C02"/>
    <w:rsid w:val="00E53447"/>
    <w:rsid w:val="00E534FE"/>
    <w:rsid w:val="00E53614"/>
    <w:rsid w:val="00E5371C"/>
    <w:rsid w:val="00E53733"/>
    <w:rsid w:val="00E538A9"/>
    <w:rsid w:val="00E538B1"/>
    <w:rsid w:val="00E5390D"/>
    <w:rsid w:val="00E53A3A"/>
    <w:rsid w:val="00E53E87"/>
    <w:rsid w:val="00E53EC8"/>
    <w:rsid w:val="00E53F16"/>
    <w:rsid w:val="00E54215"/>
    <w:rsid w:val="00E5483F"/>
    <w:rsid w:val="00E54F0A"/>
    <w:rsid w:val="00E5506C"/>
    <w:rsid w:val="00E55725"/>
    <w:rsid w:val="00E55856"/>
    <w:rsid w:val="00E55A82"/>
    <w:rsid w:val="00E55A93"/>
    <w:rsid w:val="00E55BBC"/>
    <w:rsid w:val="00E55CBD"/>
    <w:rsid w:val="00E55D57"/>
    <w:rsid w:val="00E55E0B"/>
    <w:rsid w:val="00E55F7B"/>
    <w:rsid w:val="00E56162"/>
    <w:rsid w:val="00E562C0"/>
    <w:rsid w:val="00E563A5"/>
    <w:rsid w:val="00E563AE"/>
    <w:rsid w:val="00E56471"/>
    <w:rsid w:val="00E5650C"/>
    <w:rsid w:val="00E565E8"/>
    <w:rsid w:val="00E5682B"/>
    <w:rsid w:val="00E56863"/>
    <w:rsid w:val="00E56915"/>
    <w:rsid w:val="00E56A80"/>
    <w:rsid w:val="00E56ACB"/>
    <w:rsid w:val="00E56C97"/>
    <w:rsid w:val="00E56CEB"/>
    <w:rsid w:val="00E56D26"/>
    <w:rsid w:val="00E56E41"/>
    <w:rsid w:val="00E56FD9"/>
    <w:rsid w:val="00E57292"/>
    <w:rsid w:val="00E5742D"/>
    <w:rsid w:val="00E57494"/>
    <w:rsid w:val="00E57497"/>
    <w:rsid w:val="00E57874"/>
    <w:rsid w:val="00E57A91"/>
    <w:rsid w:val="00E57E2F"/>
    <w:rsid w:val="00E600D8"/>
    <w:rsid w:val="00E602CB"/>
    <w:rsid w:val="00E6034C"/>
    <w:rsid w:val="00E6051F"/>
    <w:rsid w:val="00E60842"/>
    <w:rsid w:val="00E60939"/>
    <w:rsid w:val="00E60C56"/>
    <w:rsid w:val="00E6139B"/>
    <w:rsid w:val="00E613B6"/>
    <w:rsid w:val="00E6145E"/>
    <w:rsid w:val="00E619DB"/>
    <w:rsid w:val="00E61BE9"/>
    <w:rsid w:val="00E61EFE"/>
    <w:rsid w:val="00E620EF"/>
    <w:rsid w:val="00E623DD"/>
    <w:rsid w:val="00E6240B"/>
    <w:rsid w:val="00E6241D"/>
    <w:rsid w:val="00E6243E"/>
    <w:rsid w:val="00E62672"/>
    <w:rsid w:val="00E62774"/>
    <w:rsid w:val="00E62CA6"/>
    <w:rsid w:val="00E62E7D"/>
    <w:rsid w:val="00E632E6"/>
    <w:rsid w:val="00E63368"/>
    <w:rsid w:val="00E633DF"/>
    <w:rsid w:val="00E639E9"/>
    <w:rsid w:val="00E63C9E"/>
    <w:rsid w:val="00E63F9C"/>
    <w:rsid w:val="00E64016"/>
    <w:rsid w:val="00E64835"/>
    <w:rsid w:val="00E64ED0"/>
    <w:rsid w:val="00E65615"/>
    <w:rsid w:val="00E65852"/>
    <w:rsid w:val="00E65BEB"/>
    <w:rsid w:val="00E65CD3"/>
    <w:rsid w:val="00E6648B"/>
    <w:rsid w:val="00E665A2"/>
    <w:rsid w:val="00E665A6"/>
    <w:rsid w:val="00E665AD"/>
    <w:rsid w:val="00E665FF"/>
    <w:rsid w:val="00E6662E"/>
    <w:rsid w:val="00E66936"/>
    <w:rsid w:val="00E6698B"/>
    <w:rsid w:val="00E669ED"/>
    <w:rsid w:val="00E673B2"/>
    <w:rsid w:val="00E67663"/>
    <w:rsid w:val="00E7046F"/>
    <w:rsid w:val="00E70527"/>
    <w:rsid w:val="00E70591"/>
    <w:rsid w:val="00E7063E"/>
    <w:rsid w:val="00E70872"/>
    <w:rsid w:val="00E70C0F"/>
    <w:rsid w:val="00E70C9C"/>
    <w:rsid w:val="00E70CC1"/>
    <w:rsid w:val="00E70DF9"/>
    <w:rsid w:val="00E70EFA"/>
    <w:rsid w:val="00E710D4"/>
    <w:rsid w:val="00E71479"/>
    <w:rsid w:val="00E7150A"/>
    <w:rsid w:val="00E7160E"/>
    <w:rsid w:val="00E71A74"/>
    <w:rsid w:val="00E71DD2"/>
    <w:rsid w:val="00E72158"/>
    <w:rsid w:val="00E7229B"/>
    <w:rsid w:val="00E72311"/>
    <w:rsid w:val="00E72916"/>
    <w:rsid w:val="00E72B40"/>
    <w:rsid w:val="00E7305C"/>
    <w:rsid w:val="00E731FB"/>
    <w:rsid w:val="00E73566"/>
    <w:rsid w:val="00E736D7"/>
    <w:rsid w:val="00E737B6"/>
    <w:rsid w:val="00E73C7D"/>
    <w:rsid w:val="00E73E00"/>
    <w:rsid w:val="00E74222"/>
    <w:rsid w:val="00E746C3"/>
    <w:rsid w:val="00E74DBD"/>
    <w:rsid w:val="00E752A5"/>
    <w:rsid w:val="00E752D9"/>
    <w:rsid w:val="00E752DC"/>
    <w:rsid w:val="00E75347"/>
    <w:rsid w:val="00E753E5"/>
    <w:rsid w:val="00E7546C"/>
    <w:rsid w:val="00E7566C"/>
    <w:rsid w:val="00E757A0"/>
    <w:rsid w:val="00E75960"/>
    <w:rsid w:val="00E75AF4"/>
    <w:rsid w:val="00E75B08"/>
    <w:rsid w:val="00E75B28"/>
    <w:rsid w:val="00E75BEA"/>
    <w:rsid w:val="00E75C43"/>
    <w:rsid w:val="00E75D27"/>
    <w:rsid w:val="00E760A0"/>
    <w:rsid w:val="00E760EA"/>
    <w:rsid w:val="00E762B2"/>
    <w:rsid w:val="00E76396"/>
    <w:rsid w:val="00E7679F"/>
    <w:rsid w:val="00E76D57"/>
    <w:rsid w:val="00E7703B"/>
    <w:rsid w:val="00E772CE"/>
    <w:rsid w:val="00E772F0"/>
    <w:rsid w:val="00E77621"/>
    <w:rsid w:val="00E77894"/>
    <w:rsid w:val="00E7793F"/>
    <w:rsid w:val="00E77CAA"/>
    <w:rsid w:val="00E77E86"/>
    <w:rsid w:val="00E77EA0"/>
    <w:rsid w:val="00E77EA7"/>
    <w:rsid w:val="00E80126"/>
    <w:rsid w:val="00E80334"/>
    <w:rsid w:val="00E80482"/>
    <w:rsid w:val="00E8060A"/>
    <w:rsid w:val="00E8064F"/>
    <w:rsid w:val="00E806FD"/>
    <w:rsid w:val="00E8083A"/>
    <w:rsid w:val="00E80AF9"/>
    <w:rsid w:val="00E80B97"/>
    <w:rsid w:val="00E80F6A"/>
    <w:rsid w:val="00E811BF"/>
    <w:rsid w:val="00E8129D"/>
    <w:rsid w:val="00E81408"/>
    <w:rsid w:val="00E81AA1"/>
    <w:rsid w:val="00E81C91"/>
    <w:rsid w:val="00E81D07"/>
    <w:rsid w:val="00E81F1F"/>
    <w:rsid w:val="00E81FE1"/>
    <w:rsid w:val="00E8234F"/>
    <w:rsid w:val="00E823D4"/>
    <w:rsid w:val="00E824B1"/>
    <w:rsid w:val="00E82666"/>
    <w:rsid w:val="00E82919"/>
    <w:rsid w:val="00E8297B"/>
    <w:rsid w:val="00E82BF7"/>
    <w:rsid w:val="00E82E76"/>
    <w:rsid w:val="00E8304E"/>
    <w:rsid w:val="00E834D7"/>
    <w:rsid w:val="00E835FF"/>
    <w:rsid w:val="00E839EA"/>
    <w:rsid w:val="00E83A13"/>
    <w:rsid w:val="00E83A86"/>
    <w:rsid w:val="00E83ABC"/>
    <w:rsid w:val="00E83E9A"/>
    <w:rsid w:val="00E83ED7"/>
    <w:rsid w:val="00E8470A"/>
    <w:rsid w:val="00E84901"/>
    <w:rsid w:val="00E8494D"/>
    <w:rsid w:val="00E84BC7"/>
    <w:rsid w:val="00E84F89"/>
    <w:rsid w:val="00E852C1"/>
    <w:rsid w:val="00E852D8"/>
    <w:rsid w:val="00E8531B"/>
    <w:rsid w:val="00E853E7"/>
    <w:rsid w:val="00E85949"/>
    <w:rsid w:val="00E85D3B"/>
    <w:rsid w:val="00E85D7E"/>
    <w:rsid w:val="00E85E5C"/>
    <w:rsid w:val="00E86245"/>
    <w:rsid w:val="00E8628A"/>
    <w:rsid w:val="00E8646F"/>
    <w:rsid w:val="00E86684"/>
    <w:rsid w:val="00E86751"/>
    <w:rsid w:val="00E86B25"/>
    <w:rsid w:val="00E86F7F"/>
    <w:rsid w:val="00E8729F"/>
    <w:rsid w:val="00E875B3"/>
    <w:rsid w:val="00E875E2"/>
    <w:rsid w:val="00E879F3"/>
    <w:rsid w:val="00E87AF0"/>
    <w:rsid w:val="00E87B93"/>
    <w:rsid w:val="00E9001E"/>
    <w:rsid w:val="00E900A9"/>
    <w:rsid w:val="00E905E0"/>
    <w:rsid w:val="00E90A87"/>
    <w:rsid w:val="00E90F29"/>
    <w:rsid w:val="00E911C0"/>
    <w:rsid w:val="00E914AF"/>
    <w:rsid w:val="00E917C6"/>
    <w:rsid w:val="00E9186F"/>
    <w:rsid w:val="00E91A26"/>
    <w:rsid w:val="00E91A58"/>
    <w:rsid w:val="00E924AD"/>
    <w:rsid w:val="00E92695"/>
    <w:rsid w:val="00E937A3"/>
    <w:rsid w:val="00E93A1E"/>
    <w:rsid w:val="00E93F57"/>
    <w:rsid w:val="00E943E4"/>
    <w:rsid w:val="00E94455"/>
    <w:rsid w:val="00E944C2"/>
    <w:rsid w:val="00E94659"/>
    <w:rsid w:val="00E946AB"/>
    <w:rsid w:val="00E949B1"/>
    <w:rsid w:val="00E949BE"/>
    <w:rsid w:val="00E94A9A"/>
    <w:rsid w:val="00E94EF4"/>
    <w:rsid w:val="00E94F06"/>
    <w:rsid w:val="00E94F6F"/>
    <w:rsid w:val="00E9518B"/>
    <w:rsid w:val="00E9544E"/>
    <w:rsid w:val="00E958C3"/>
    <w:rsid w:val="00E96126"/>
    <w:rsid w:val="00E96366"/>
    <w:rsid w:val="00E96665"/>
    <w:rsid w:val="00E96889"/>
    <w:rsid w:val="00E9689E"/>
    <w:rsid w:val="00E96902"/>
    <w:rsid w:val="00E96AE8"/>
    <w:rsid w:val="00E96B23"/>
    <w:rsid w:val="00E96D8F"/>
    <w:rsid w:val="00E96DE5"/>
    <w:rsid w:val="00E96FAC"/>
    <w:rsid w:val="00E97324"/>
    <w:rsid w:val="00E976C9"/>
    <w:rsid w:val="00E976ED"/>
    <w:rsid w:val="00E97768"/>
    <w:rsid w:val="00E97905"/>
    <w:rsid w:val="00E9799C"/>
    <w:rsid w:val="00E979D9"/>
    <w:rsid w:val="00E97F7D"/>
    <w:rsid w:val="00E97FA0"/>
    <w:rsid w:val="00EA01BF"/>
    <w:rsid w:val="00EA0233"/>
    <w:rsid w:val="00EA072C"/>
    <w:rsid w:val="00EA09A5"/>
    <w:rsid w:val="00EA0F30"/>
    <w:rsid w:val="00EA10F0"/>
    <w:rsid w:val="00EA1184"/>
    <w:rsid w:val="00EA13D0"/>
    <w:rsid w:val="00EA14C0"/>
    <w:rsid w:val="00EA15AC"/>
    <w:rsid w:val="00EA186B"/>
    <w:rsid w:val="00EA191A"/>
    <w:rsid w:val="00EA1AC4"/>
    <w:rsid w:val="00EA1DC2"/>
    <w:rsid w:val="00EA1DEB"/>
    <w:rsid w:val="00EA1EC2"/>
    <w:rsid w:val="00EA213D"/>
    <w:rsid w:val="00EA2256"/>
    <w:rsid w:val="00EA296D"/>
    <w:rsid w:val="00EA2BE6"/>
    <w:rsid w:val="00EA2FA0"/>
    <w:rsid w:val="00EA2FB2"/>
    <w:rsid w:val="00EA30C6"/>
    <w:rsid w:val="00EA30FE"/>
    <w:rsid w:val="00EA31D4"/>
    <w:rsid w:val="00EA32A0"/>
    <w:rsid w:val="00EA33FC"/>
    <w:rsid w:val="00EA3458"/>
    <w:rsid w:val="00EA361B"/>
    <w:rsid w:val="00EA3C55"/>
    <w:rsid w:val="00EA3CCB"/>
    <w:rsid w:val="00EA3D1C"/>
    <w:rsid w:val="00EA3F26"/>
    <w:rsid w:val="00EA4557"/>
    <w:rsid w:val="00EA4A40"/>
    <w:rsid w:val="00EA56DB"/>
    <w:rsid w:val="00EA5CAC"/>
    <w:rsid w:val="00EA5DCF"/>
    <w:rsid w:val="00EA6BE8"/>
    <w:rsid w:val="00EA6DA6"/>
    <w:rsid w:val="00EA701A"/>
    <w:rsid w:val="00EA70BA"/>
    <w:rsid w:val="00EA726B"/>
    <w:rsid w:val="00EA72F3"/>
    <w:rsid w:val="00EA749B"/>
    <w:rsid w:val="00EA753A"/>
    <w:rsid w:val="00EA7581"/>
    <w:rsid w:val="00EA77E8"/>
    <w:rsid w:val="00EA786E"/>
    <w:rsid w:val="00EB00D2"/>
    <w:rsid w:val="00EB0116"/>
    <w:rsid w:val="00EB027C"/>
    <w:rsid w:val="00EB0405"/>
    <w:rsid w:val="00EB04FF"/>
    <w:rsid w:val="00EB05EE"/>
    <w:rsid w:val="00EB0B1A"/>
    <w:rsid w:val="00EB0D5B"/>
    <w:rsid w:val="00EB0E1A"/>
    <w:rsid w:val="00EB0EE0"/>
    <w:rsid w:val="00EB10C7"/>
    <w:rsid w:val="00EB1309"/>
    <w:rsid w:val="00EB159F"/>
    <w:rsid w:val="00EB15AB"/>
    <w:rsid w:val="00EB172C"/>
    <w:rsid w:val="00EB1733"/>
    <w:rsid w:val="00EB188C"/>
    <w:rsid w:val="00EB192E"/>
    <w:rsid w:val="00EB1AAB"/>
    <w:rsid w:val="00EB1B18"/>
    <w:rsid w:val="00EB1E55"/>
    <w:rsid w:val="00EB21EC"/>
    <w:rsid w:val="00EB22CB"/>
    <w:rsid w:val="00EB2384"/>
    <w:rsid w:val="00EB2497"/>
    <w:rsid w:val="00EB270F"/>
    <w:rsid w:val="00EB277F"/>
    <w:rsid w:val="00EB285D"/>
    <w:rsid w:val="00EB2981"/>
    <w:rsid w:val="00EB351C"/>
    <w:rsid w:val="00EB35B6"/>
    <w:rsid w:val="00EB3973"/>
    <w:rsid w:val="00EB3C98"/>
    <w:rsid w:val="00EB4146"/>
    <w:rsid w:val="00EB41FF"/>
    <w:rsid w:val="00EB4446"/>
    <w:rsid w:val="00EB47CD"/>
    <w:rsid w:val="00EB4952"/>
    <w:rsid w:val="00EB4997"/>
    <w:rsid w:val="00EB4C47"/>
    <w:rsid w:val="00EB5195"/>
    <w:rsid w:val="00EB5334"/>
    <w:rsid w:val="00EB5627"/>
    <w:rsid w:val="00EB57B3"/>
    <w:rsid w:val="00EB593E"/>
    <w:rsid w:val="00EB598A"/>
    <w:rsid w:val="00EB5BD6"/>
    <w:rsid w:val="00EB5D1D"/>
    <w:rsid w:val="00EB6087"/>
    <w:rsid w:val="00EB62C7"/>
    <w:rsid w:val="00EB6561"/>
    <w:rsid w:val="00EB6679"/>
    <w:rsid w:val="00EB6A27"/>
    <w:rsid w:val="00EB6BFB"/>
    <w:rsid w:val="00EB7090"/>
    <w:rsid w:val="00EB7681"/>
    <w:rsid w:val="00EB76ED"/>
    <w:rsid w:val="00EB7963"/>
    <w:rsid w:val="00EB799C"/>
    <w:rsid w:val="00EB7A57"/>
    <w:rsid w:val="00EB7CD7"/>
    <w:rsid w:val="00EB7D34"/>
    <w:rsid w:val="00EB7F24"/>
    <w:rsid w:val="00EB7F47"/>
    <w:rsid w:val="00EC02F4"/>
    <w:rsid w:val="00EC0483"/>
    <w:rsid w:val="00EC04FB"/>
    <w:rsid w:val="00EC05CA"/>
    <w:rsid w:val="00EC05DD"/>
    <w:rsid w:val="00EC0689"/>
    <w:rsid w:val="00EC0898"/>
    <w:rsid w:val="00EC0945"/>
    <w:rsid w:val="00EC10ED"/>
    <w:rsid w:val="00EC13C5"/>
    <w:rsid w:val="00EC1623"/>
    <w:rsid w:val="00EC1721"/>
    <w:rsid w:val="00EC18B7"/>
    <w:rsid w:val="00EC1D9C"/>
    <w:rsid w:val="00EC2197"/>
    <w:rsid w:val="00EC27B6"/>
    <w:rsid w:val="00EC286C"/>
    <w:rsid w:val="00EC29FF"/>
    <w:rsid w:val="00EC2B64"/>
    <w:rsid w:val="00EC2CC8"/>
    <w:rsid w:val="00EC30B2"/>
    <w:rsid w:val="00EC3130"/>
    <w:rsid w:val="00EC3604"/>
    <w:rsid w:val="00EC391F"/>
    <w:rsid w:val="00EC3B17"/>
    <w:rsid w:val="00EC3CAB"/>
    <w:rsid w:val="00EC402A"/>
    <w:rsid w:val="00EC4653"/>
    <w:rsid w:val="00EC474C"/>
    <w:rsid w:val="00EC497E"/>
    <w:rsid w:val="00EC4989"/>
    <w:rsid w:val="00EC49B5"/>
    <w:rsid w:val="00EC4A5B"/>
    <w:rsid w:val="00EC4B83"/>
    <w:rsid w:val="00EC4D2D"/>
    <w:rsid w:val="00EC4DAB"/>
    <w:rsid w:val="00EC5181"/>
    <w:rsid w:val="00EC5652"/>
    <w:rsid w:val="00EC56FB"/>
    <w:rsid w:val="00EC585D"/>
    <w:rsid w:val="00EC5BFA"/>
    <w:rsid w:val="00EC5C4E"/>
    <w:rsid w:val="00EC5E79"/>
    <w:rsid w:val="00EC5E7B"/>
    <w:rsid w:val="00EC6586"/>
    <w:rsid w:val="00EC670F"/>
    <w:rsid w:val="00EC6733"/>
    <w:rsid w:val="00EC6F6F"/>
    <w:rsid w:val="00EC708C"/>
    <w:rsid w:val="00EC73B6"/>
    <w:rsid w:val="00EC752D"/>
    <w:rsid w:val="00EC79C5"/>
    <w:rsid w:val="00EC7EEC"/>
    <w:rsid w:val="00ED0201"/>
    <w:rsid w:val="00ED05CC"/>
    <w:rsid w:val="00ED09F7"/>
    <w:rsid w:val="00ED0A41"/>
    <w:rsid w:val="00ED0BE5"/>
    <w:rsid w:val="00ED12DD"/>
    <w:rsid w:val="00ED135D"/>
    <w:rsid w:val="00ED15B2"/>
    <w:rsid w:val="00ED1823"/>
    <w:rsid w:val="00ED1C30"/>
    <w:rsid w:val="00ED1E21"/>
    <w:rsid w:val="00ED26EE"/>
    <w:rsid w:val="00ED2C19"/>
    <w:rsid w:val="00ED2C3C"/>
    <w:rsid w:val="00ED2F67"/>
    <w:rsid w:val="00ED2FA9"/>
    <w:rsid w:val="00ED3302"/>
    <w:rsid w:val="00ED33B0"/>
    <w:rsid w:val="00ED3545"/>
    <w:rsid w:val="00ED3670"/>
    <w:rsid w:val="00ED39D3"/>
    <w:rsid w:val="00ED4094"/>
    <w:rsid w:val="00ED4253"/>
    <w:rsid w:val="00ED439B"/>
    <w:rsid w:val="00ED49A6"/>
    <w:rsid w:val="00ED4CBF"/>
    <w:rsid w:val="00ED4E80"/>
    <w:rsid w:val="00ED4F54"/>
    <w:rsid w:val="00ED50CB"/>
    <w:rsid w:val="00ED5112"/>
    <w:rsid w:val="00ED5202"/>
    <w:rsid w:val="00ED5686"/>
    <w:rsid w:val="00ED57B7"/>
    <w:rsid w:val="00ED5B26"/>
    <w:rsid w:val="00ED6650"/>
    <w:rsid w:val="00ED6735"/>
    <w:rsid w:val="00ED6859"/>
    <w:rsid w:val="00ED6B4D"/>
    <w:rsid w:val="00ED6F8C"/>
    <w:rsid w:val="00ED715E"/>
    <w:rsid w:val="00ED770C"/>
    <w:rsid w:val="00ED79E0"/>
    <w:rsid w:val="00ED7FC3"/>
    <w:rsid w:val="00EE01B6"/>
    <w:rsid w:val="00EE0371"/>
    <w:rsid w:val="00EE0D49"/>
    <w:rsid w:val="00EE0D4A"/>
    <w:rsid w:val="00EE0EDF"/>
    <w:rsid w:val="00EE101F"/>
    <w:rsid w:val="00EE142C"/>
    <w:rsid w:val="00EE1594"/>
    <w:rsid w:val="00EE1731"/>
    <w:rsid w:val="00EE17AE"/>
    <w:rsid w:val="00EE18D7"/>
    <w:rsid w:val="00EE1A97"/>
    <w:rsid w:val="00EE1C4C"/>
    <w:rsid w:val="00EE1EA1"/>
    <w:rsid w:val="00EE2247"/>
    <w:rsid w:val="00EE2280"/>
    <w:rsid w:val="00EE2389"/>
    <w:rsid w:val="00EE2ED8"/>
    <w:rsid w:val="00EE2FD3"/>
    <w:rsid w:val="00EE34B6"/>
    <w:rsid w:val="00EE3646"/>
    <w:rsid w:val="00EE3C7F"/>
    <w:rsid w:val="00EE3E2B"/>
    <w:rsid w:val="00EE3E71"/>
    <w:rsid w:val="00EE4049"/>
    <w:rsid w:val="00EE406D"/>
    <w:rsid w:val="00EE4082"/>
    <w:rsid w:val="00EE4200"/>
    <w:rsid w:val="00EE4460"/>
    <w:rsid w:val="00EE44A0"/>
    <w:rsid w:val="00EE451A"/>
    <w:rsid w:val="00EE470E"/>
    <w:rsid w:val="00EE4793"/>
    <w:rsid w:val="00EE49F9"/>
    <w:rsid w:val="00EE4A4A"/>
    <w:rsid w:val="00EE4A85"/>
    <w:rsid w:val="00EE4E46"/>
    <w:rsid w:val="00EE4FD4"/>
    <w:rsid w:val="00EE502D"/>
    <w:rsid w:val="00EE5164"/>
    <w:rsid w:val="00EE5968"/>
    <w:rsid w:val="00EE5C51"/>
    <w:rsid w:val="00EE5EAE"/>
    <w:rsid w:val="00EE5EB0"/>
    <w:rsid w:val="00EE5FC2"/>
    <w:rsid w:val="00EE609D"/>
    <w:rsid w:val="00EE66FA"/>
    <w:rsid w:val="00EE682A"/>
    <w:rsid w:val="00EE69BF"/>
    <w:rsid w:val="00EE6B2B"/>
    <w:rsid w:val="00EE6C00"/>
    <w:rsid w:val="00EE70CB"/>
    <w:rsid w:val="00EE7278"/>
    <w:rsid w:val="00EE72E6"/>
    <w:rsid w:val="00EE7383"/>
    <w:rsid w:val="00EE77B3"/>
    <w:rsid w:val="00EE79D0"/>
    <w:rsid w:val="00EE7A08"/>
    <w:rsid w:val="00EE7B7D"/>
    <w:rsid w:val="00EE7DC7"/>
    <w:rsid w:val="00EF082B"/>
    <w:rsid w:val="00EF08DA"/>
    <w:rsid w:val="00EF0943"/>
    <w:rsid w:val="00EF0C89"/>
    <w:rsid w:val="00EF0E0E"/>
    <w:rsid w:val="00EF12C4"/>
    <w:rsid w:val="00EF172A"/>
    <w:rsid w:val="00EF18AA"/>
    <w:rsid w:val="00EF1E2B"/>
    <w:rsid w:val="00EF27DA"/>
    <w:rsid w:val="00EF2A5A"/>
    <w:rsid w:val="00EF2AA6"/>
    <w:rsid w:val="00EF2D96"/>
    <w:rsid w:val="00EF2DCA"/>
    <w:rsid w:val="00EF2E51"/>
    <w:rsid w:val="00EF3151"/>
    <w:rsid w:val="00EF354D"/>
    <w:rsid w:val="00EF376E"/>
    <w:rsid w:val="00EF377D"/>
    <w:rsid w:val="00EF39E6"/>
    <w:rsid w:val="00EF409D"/>
    <w:rsid w:val="00EF428B"/>
    <w:rsid w:val="00EF428D"/>
    <w:rsid w:val="00EF4367"/>
    <w:rsid w:val="00EF45C3"/>
    <w:rsid w:val="00EF47A8"/>
    <w:rsid w:val="00EF4832"/>
    <w:rsid w:val="00EF488E"/>
    <w:rsid w:val="00EF4B1D"/>
    <w:rsid w:val="00EF4D50"/>
    <w:rsid w:val="00EF4FF4"/>
    <w:rsid w:val="00EF5225"/>
    <w:rsid w:val="00EF527A"/>
    <w:rsid w:val="00EF579A"/>
    <w:rsid w:val="00EF584C"/>
    <w:rsid w:val="00EF586E"/>
    <w:rsid w:val="00EF5E8A"/>
    <w:rsid w:val="00EF5ED4"/>
    <w:rsid w:val="00EF6024"/>
    <w:rsid w:val="00EF6089"/>
    <w:rsid w:val="00EF61FC"/>
    <w:rsid w:val="00EF6364"/>
    <w:rsid w:val="00EF665F"/>
    <w:rsid w:val="00EF6813"/>
    <w:rsid w:val="00EF684A"/>
    <w:rsid w:val="00EF6AE2"/>
    <w:rsid w:val="00EF7056"/>
    <w:rsid w:val="00EF710B"/>
    <w:rsid w:val="00EF78C3"/>
    <w:rsid w:val="00EF7B8D"/>
    <w:rsid w:val="00EF7EFE"/>
    <w:rsid w:val="00F002A9"/>
    <w:rsid w:val="00F0040F"/>
    <w:rsid w:val="00F0073E"/>
    <w:rsid w:val="00F007B9"/>
    <w:rsid w:val="00F00958"/>
    <w:rsid w:val="00F00B5C"/>
    <w:rsid w:val="00F00C23"/>
    <w:rsid w:val="00F00F2F"/>
    <w:rsid w:val="00F00F6C"/>
    <w:rsid w:val="00F0102C"/>
    <w:rsid w:val="00F0152E"/>
    <w:rsid w:val="00F01544"/>
    <w:rsid w:val="00F01B62"/>
    <w:rsid w:val="00F01D5E"/>
    <w:rsid w:val="00F01F40"/>
    <w:rsid w:val="00F01FDD"/>
    <w:rsid w:val="00F022D0"/>
    <w:rsid w:val="00F026A7"/>
    <w:rsid w:val="00F02847"/>
    <w:rsid w:val="00F02BBE"/>
    <w:rsid w:val="00F02BCA"/>
    <w:rsid w:val="00F02C3D"/>
    <w:rsid w:val="00F031B1"/>
    <w:rsid w:val="00F033A4"/>
    <w:rsid w:val="00F0387E"/>
    <w:rsid w:val="00F03A57"/>
    <w:rsid w:val="00F03B6A"/>
    <w:rsid w:val="00F03BE8"/>
    <w:rsid w:val="00F03C1D"/>
    <w:rsid w:val="00F03DD9"/>
    <w:rsid w:val="00F03EF1"/>
    <w:rsid w:val="00F0406A"/>
    <w:rsid w:val="00F041C3"/>
    <w:rsid w:val="00F04219"/>
    <w:rsid w:val="00F044F2"/>
    <w:rsid w:val="00F0496E"/>
    <w:rsid w:val="00F04B0B"/>
    <w:rsid w:val="00F05137"/>
    <w:rsid w:val="00F0549D"/>
    <w:rsid w:val="00F0581C"/>
    <w:rsid w:val="00F058D2"/>
    <w:rsid w:val="00F05B26"/>
    <w:rsid w:val="00F05B83"/>
    <w:rsid w:val="00F05DD7"/>
    <w:rsid w:val="00F060CA"/>
    <w:rsid w:val="00F0683F"/>
    <w:rsid w:val="00F06D83"/>
    <w:rsid w:val="00F06DA5"/>
    <w:rsid w:val="00F06E26"/>
    <w:rsid w:val="00F0718C"/>
    <w:rsid w:val="00F0728D"/>
    <w:rsid w:val="00F072AD"/>
    <w:rsid w:val="00F07706"/>
    <w:rsid w:val="00F07B40"/>
    <w:rsid w:val="00F07CEC"/>
    <w:rsid w:val="00F07EF3"/>
    <w:rsid w:val="00F07FDB"/>
    <w:rsid w:val="00F102DD"/>
    <w:rsid w:val="00F10684"/>
    <w:rsid w:val="00F10718"/>
    <w:rsid w:val="00F10BF4"/>
    <w:rsid w:val="00F10DC0"/>
    <w:rsid w:val="00F110DC"/>
    <w:rsid w:val="00F1112C"/>
    <w:rsid w:val="00F1122B"/>
    <w:rsid w:val="00F113A1"/>
    <w:rsid w:val="00F11485"/>
    <w:rsid w:val="00F11511"/>
    <w:rsid w:val="00F11682"/>
    <w:rsid w:val="00F1189A"/>
    <w:rsid w:val="00F11BD6"/>
    <w:rsid w:val="00F11BFF"/>
    <w:rsid w:val="00F11C6D"/>
    <w:rsid w:val="00F1204B"/>
    <w:rsid w:val="00F12241"/>
    <w:rsid w:val="00F12259"/>
    <w:rsid w:val="00F12AEC"/>
    <w:rsid w:val="00F12F87"/>
    <w:rsid w:val="00F1343D"/>
    <w:rsid w:val="00F135C7"/>
    <w:rsid w:val="00F13965"/>
    <w:rsid w:val="00F13FCE"/>
    <w:rsid w:val="00F14440"/>
    <w:rsid w:val="00F14456"/>
    <w:rsid w:val="00F147AC"/>
    <w:rsid w:val="00F14933"/>
    <w:rsid w:val="00F149C5"/>
    <w:rsid w:val="00F14CFB"/>
    <w:rsid w:val="00F14E25"/>
    <w:rsid w:val="00F15242"/>
    <w:rsid w:val="00F1562F"/>
    <w:rsid w:val="00F15748"/>
    <w:rsid w:val="00F158DB"/>
    <w:rsid w:val="00F15952"/>
    <w:rsid w:val="00F159A8"/>
    <w:rsid w:val="00F15D35"/>
    <w:rsid w:val="00F161C8"/>
    <w:rsid w:val="00F1635D"/>
    <w:rsid w:val="00F16643"/>
    <w:rsid w:val="00F16F0A"/>
    <w:rsid w:val="00F1700E"/>
    <w:rsid w:val="00F1710C"/>
    <w:rsid w:val="00F17450"/>
    <w:rsid w:val="00F177BE"/>
    <w:rsid w:val="00F17B99"/>
    <w:rsid w:val="00F17BB1"/>
    <w:rsid w:val="00F17D7F"/>
    <w:rsid w:val="00F2020A"/>
    <w:rsid w:val="00F205AE"/>
    <w:rsid w:val="00F206A5"/>
    <w:rsid w:val="00F208F5"/>
    <w:rsid w:val="00F20B44"/>
    <w:rsid w:val="00F20B8C"/>
    <w:rsid w:val="00F20F13"/>
    <w:rsid w:val="00F2102A"/>
    <w:rsid w:val="00F210F1"/>
    <w:rsid w:val="00F210F2"/>
    <w:rsid w:val="00F211D6"/>
    <w:rsid w:val="00F219CA"/>
    <w:rsid w:val="00F21A3C"/>
    <w:rsid w:val="00F21A8C"/>
    <w:rsid w:val="00F21B53"/>
    <w:rsid w:val="00F21E76"/>
    <w:rsid w:val="00F21FB0"/>
    <w:rsid w:val="00F22245"/>
    <w:rsid w:val="00F227F7"/>
    <w:rsid w:val="00F228D6"/>
    <w:rsid w:val="00F22A2F"/>
    <w:rsid w:val="00F2383D"/>
    <w:rsid w:val="00F2399D"/>
    <w:rsid w:val="00F23F16"/>
    <w:rsid w:val="00F24B42"/>
    <w:rsid w:val="00F24C26"/>
    <w:rsid w:val="00F251A1"/>
    <w:rsid w:val="00F25380"/>
    <w:rsid w:val="00F25463"/>
    <w:rsid w:val="00F2564C"/>
    <w:rsid w:val="00F256B1"/>
    <w:rsid w:val="00F256D0"/>
    <w:rsid w:val="00F257D3"/>
    <w:rsid w:val="00F259CF"/>
    <w:rsid w:val="00F25AA0"/>
    <w:rsid w:val="00F25B62"/>
    <w:rsid w:val="00F25BE1"/>
    <w:rsid w:val="00F25EB0"/>
    <w:rsid w:val="00F25F98"/>
    <w:rsid w:val="00F26487"/>
    <w:rsid w:val="00F26521"/>
    <w:rsid w:val="00F26744"/>
    <w:rsid w:val="00F2761D"/>
    <w:rsid w:val="00F27796"/>
    <w:rsid w:val="00F27B9F"/>
    <w:rsid w:val="00F27C90"/>
    <w:rsid w:val="00F27D41"/>
    <w:rsid w:val="00F301DA"/>
    <w:rsid w:val="00F304DB"/>
    <w:rsid w:val="00F305DE"/>
    <w:rsid w:val="00F30885"/>
    <w:rsid w:val="00F308EC"/>
    <w:rsid w:val="00F30ACA"/>
    <w:rsid w:val="00F30B74"/>
    <w:rsid w:val="00F30D6D"/>
    <w:rsid w:val="00F30FCC"/>
    <w:rsid w:val="00F31141"/>
    <w:rsid w:val="00F311BF"/>
    <w:rsid w:val="00F31368"/>
    <w:rsid w:val="00F31459"/>
    <w:rsid w:val="00F3160C"/>
    <w:rsid w:val="00F316B3"/>
    <w:rsid w:val="00F316CF"/>
    <w:rsid w:val="00F319A2"/>
    <w:rsid w:val="00F31DF1"/>
    <w:rsid w:val="00F31F9C"/>
    <w:rsid w:val="00F3213B"/>
    <w:rsid w:val="00F328A6"/>
    <w:rsid w:val="00F328FA"/>
    <w:rsid w:val="00F32B42"/>
    <w:rsid w:val="00F32BBE"/>
    <w:rsid w:val="00F32E16"/>
    <w:rsid w:val="00F3345E"/>
    <w:rsid w:val="00F33462"/>
    <w:rsid w:val="00F336C3"/>
    <w:rsid w:val="00F337E6"/>
    <w:rsid w:val="00F33BA3"/>
    <w:rsid w:val="00F33CD6"/>
    <w:rsid w:val="00F33CE5"/>
    <w:rsid w:val="00F33F83"/>
    <w:rsid w:val="00F33FF8"/>
    <w:rsid w:val="00F343A3"/>
    <w:rsid w:val="00F3456E"/>
    <w:rsid w:val="00F345C5"/>
    <w:rsid w:val="00F345D3"/>
    <w:rsid w:val="00F3463C"/>
    <w:rsid w:val="00F34718"/>
    <w:rsid w:val="00F34D78"/>
    <w:rsid w:val="00F34ED7"/>
    <w:rsid w:val="00F34F59"/>
    <w:rsid w:val="00F3619A"/>
    <w:rsid w:val="00F36257"/>
    <w:rsid w:val="00F362FB"/>
    <w:rsid w:val="00F3643E"/>
    <w:rsid w:val="00F3681C"/>
    <w:rsid w:val="00F3708D"/>
    <w:rsid w:val="00F371EC"/>
    <w:rsid w:val="00F372C7"/>
    <w:rsid w:val="00F372ED"/>
    <w:rsid w:val="00F37563"/>
    <w:rsid w:val="00F37A8A"/>
    <w:rsid w:val="00F37B3A"/>
    <w:rsid w:val="00F37D6E"/>
    <w:rsid w:val="00F37F19"/>
    <w:rsid w:val="00F37FD2"/>
    <w:rsid w:val="00F40063"/>
    <w:rsid w:val="00F400DC"/>
    <w:rsid w:val="00F40205"/>
    <w:rsid w:val="00F40670"/>
    <w:rsid w:val="00F41033"/>
    <w:rsid w:val="00F412DC"/>
    <w:rsid w:val="00F413A0"/>
    <w:rsid w:val="00F41B01"/>
    <w:rsid w:val="00F41C81"/>
    <w:rsid w:val="00F41EF2"/>
    <w:rsid w:val="00F421F2"/>
    <w:rsid w:val="00F4244D"/>
    <w:rsid w:val="00F4274A"/>
    <w:rsid w:val="00F4279F"/>
    <w:rsid w:val="00F42E8C"/>
    <w:rsid w:val="00F42FB4"/>
    <w:rsid w:val="00F43243"/>
    <w:rsid w:val="00F4333E"/>
    <w:rsid w:val="00F43A82"/>
    <w:rsid w:val="00F43C83"/>
    <w:rsid w:val="00F43CC2"/>
    <w:rsid w:val="00F43E2A"/>
    <w:rsid w:val="00F4422D"/>
    <w:rsid w:val="00F44847"/>
    <w:rsid w:val="00F44861"/>
    <w:rsid w:val="00F44884"/>
    <w:rsid w:val="00F44AAF"/>
    <w:rsid w:val="00F44CF1"/>
    <w:rsid w:val="00F45082"/>
    <w:rsid w:val="00F450A7"/>
    <w:rsid w:val="00F45387"/>
    <w:rsid w:val="00F456E1"/>
    <w:rsid w:val="00F457D8"/>
    <w:rsid w:val="00F45887"/>
    <w:rsid w:val="00F459A0"/>
    <w:rsid w:val="00F45A32"/>
    <w:rsid w:val="00F45B0D"/>
    <w:rsid w:val="00F45B15"/>
    <w:rsid w:val="00F45C06"/>
    <w:rsid w:val="00F45D29"/>
    <w:rsid w:val="00F45E46"/>
    <w:rsid w:val="00F46077"/>
    <w:rsid w:val="00F4616A"/>
    <w:rsid w:val="00F46492"/>
    <w:rsid w:val="00F465C7"/>
    <w:rsid w:val="00F466F5"/>
    <w:rsid w:val="00F46999"/>
    <w:rsid w:val="00F46D54"/>
    <w:rsid w:val="00F470B8"/>
    <w:rsid w:val="00F470ED"/>
    <w:rsid w:val="00F47116"/>
    <w:rsid w:val="00F473D7"/>
    <w:rsid w:val="00F4752B"/>
    <w:rsid w:val="00F47946"/>
    <w:rsid w:val="00F47B76"/>
    <w:rsid w:val="00F47D88"/>
    <w:rsid w:val="00F47F68"/>
    <w:rsid w:val="00F50222"/>
    <w:rsid w:val="00F503A7"/>
    <w:rsid w:val="00F504D3"/>
    <w:rsid w:val="00F50509"/>
    <w:rsid w:val="00F5090D"/>
    <w:rsid w:val="00F5097E"/>
    <w:rsid w:val="00F5099E"/>
    <w:rsid w:val="00F50A6D"/>
    <w:rsid w:val="00F50BAE"/>
    <w:rsid w:val="00F50BCF"/>
    <w:rsid w:val="00F512AC"/>
    <w:rsid w:val="00F512AE"/>
    <w:rsid w:val="00F515E8"/>
    <w:rsid w:val="00F51866"/>
    <w:rsid w:val="00F5286E"/>
    <w:rsid w:val="00F529C8"/>
    <w:rsid w:val="00F53279"/>
    <w:rsid w:val="00F53584"/>
    <w:rsid w:val="00F535C4"/>
    <w:rsid w:val="00F53981"/>
    <w:rsid w:val="00F53A77"/>
    <w:rsid w:val="00F53B0E"/>
    <w:rsid w:val="00F53FE1"/>
    <w:rsid w:val="00F53FFD"/>
    <w:rsid w:val="00F54238"/>
    <w:rsid w:val="00F544D6"/>
    <w:rsid w:val="00F54805"/>
    <w:rsid w:val="00F549B0"/>
    <w:rsid w:val="00F54DCF"/>
    <w:rsid w:val="00F54FC5"/>
    <w:rsid w:val="00F5513C"/>
    <w:rsid w:val="00F552B3"/>
    <w:rsid w:val="00F5561D"/>
    <w:rsid w:val="00F55962"/>
    <w:rsid w:val="00F55968"/>
    <w:rsid w:val="00F55C28"/>
    <w:rsid w:val="00F55CED"/>
    <w:rsid w:val="00F55D64"/>
    <w:rsid w:val="00F55EB4"/>
    <w:rsid w:val="00F55F4F"/>
    <w:rsid w:val="00F55F89"/>
    <w:rsid w:val="00F56370"/>
    <w:rsid w:val="00F5650E"/>
    <w:rsid w:val="00F56785"/>
    <w:rsid w:val="00F568AE"/>
    <w:rsid w:val="00F569CD"/>
    <w:rsid w:val="00F56FBB"/>
    <w:rsid w:val="00F5705D"/>
    <w:rsid w:val="00F57253"/>
    <w:rsid w:val="00F576E6"/>
    <w:rsid w:val="00F57897"/>
    <w:rsid w:val="00F57BBD"/>
    <w:rsid w:val="00F60984"/>
    <w:rsid w:val="00F60AF7"/>
    <w:rsid w:val="00F60B65"/>
    <w:rsid w:val="00F60BD9"/>
    <w:rsid w:val="00F6111B"/>
    <w:rsid w:val="00F611D5"/>
    <w:rsid w:val="00F61A9F"/>
    <w:rsid w:val="00F61B3F"/>
    <w:rsid w:val="00F61E5D"/>
    <w:rsid w:val="00F620F3"/>
    <w:rsid w:val="00F62178"/>
    <w:rsid w:val="00F6279A"/>
    <w:rsid w:val="00F62AB1"/>
    <w:rsid w:val="00F62EAA"/>
    <w:rsid w:val="00F630BC"/>
    <w:rsid w:val="00F630C6"/>
    <w:rsid w:val="00F63288"/>
    <w:rsid w:val="00F637F9"/>
    <w:rsid w:val="00F63903"/>
    <w:rsid w:val="00F6395E"/>
    <w:rsid w:val="00F63A34"/>
    <w:rsid w:val="00F63A6C"/>
    <w:rsid w:val="00F63B31"/>
    <w:rsid w:val="00F63B3F"/>
    <w:rsid w:val="00F63DF8"/>
    <w:rsid w:val="00F63F2B"/>
    <w:rsid w:val="00F643B2"/>
    <w:rsid w:val="00F64452"/>
    <w:rsid w:val="00F6447E"/>
    <w:rsid w:val="00F64499"/>
    <w:rsid w:val="00F64DDC"/>
    <w:rsid w:val="00F64ED1"/>
    <w:rsid w:val="00F651AC"/>
    <w:rsid w:val="00F655DD"/>
    <w:rsid w:val="00F6579B"/>
    <w:rsid w:val="00F657F7"/>
    <w:rsid w:val="00F658A4"/>
    <w:rsid w:val="00F65B1D"/>
    <w:rsid w:val="00F65EDE"/>
    <w:rsid w:val="00F65F5C"/>
    <w:rsid w:val="00F65F93"/>
    <w:rsid w:val="00F661B4"/>
    <w:rsid w:val="00F664CF"/>
    <w:rsid w:val="00F66657"/>
    <w:rsid w:val="00F66878"/>
    <w:rsid w:val="00F66A14"/>
    <w:rsid w:val="00F66EB7"/>
    <w:rsid w:val="00F66ED9"/>
    <w:rsid w:val="00F670EB"/>
    <w:rsid w:val="00F6721F"/>
    <w:rsid w:val="00F672AC"/>
    <w:rsid w:val="00F67392"/>
    <w:rsid w:val="00F67444"/>
    <w:rsid w:val="00F67740"/>
    <w:rsid w:val="00F67742"/>
    <w:rsid w:val="00F67946"/>
    <w:rsid w:val="00F6795C"/>
    <w:rsid w:val="00F67B45"/>
    <w:rsid w:val="00F70050"/>
    <w:rsid w:val="00F70235"/>
    <w:rsid w:val="00F7077B"/>
    <w:rsid w:val="00F707C7"/>
    <w:rsid w:val="00F70918"/>
    <w:rsid w:val="00F70AC3"/>
    <w:rsid w:val="00F71031"/>
    <w:rsid w:val="00F71083"/>
    <w:rsid w:val="00F7155C"/>
    <w:rsid w:val="00F7164D"/>
    <w:rsid w:val="00F716CF"/>
    <w:rsid w:val="00F71735"/>
    <w:rsid w:val="00F718A4"/>
    <w:rsid w:val="00F718B9"/>
    <w:rsid w:val="00F71D49"/>
    <w:rsid w:val="00F71F99"/>
    <w:rsid w:val="00F72391"/>
    <w:rsid w:val="00F7277D"/>
    <w:rsid w:val="00F7280D"/>
    <w:rsid w:val="00F72A24"/>
    <w:rsid w:val="00F72A82"/>
    <w:rsid w:val="00F72AD1"/>
    <w:rsid w:val="00F72ECD"/>
    <w:rsid w:val="00F730C8"/>
    <w:rsid w:val="00F730F2"/>
    <w:rsid w:val="00F73478"/>
    <w:rsid w:val="00F734B1"/>
    <w:rsid w:val="00F734E3"/>
    <w:rsid w:val="00F7359E"/>
    <w:rsid w:val="00F73792"/>
    <w:rsid w:val="00F7381D"/>
    <w:rsid w:val="00F739B9"/>
    <w:rsid w:val="00F73D88"/>
    <w:rsid w:val="00F74242"/>
    <w:rsid w:val="00F74337"/>
    <w:rsid w:val="00F7470D"/>
    <w:rsid w:val="00F747BF"/>
    <w:rsid w:val="00F74A33"/>
    <w:rsid w:val="00F757D7"/>
    <w:rsid w:val="00F75905"/>
    <w:rsid w:val="00F75971"/>
    <w:rsid w:val="00F75E9B"/>
    <w:rsid w:val="00F76240"/>
    <w:rsid w:val="00F762FD"/>
    <w:rsid w:val="00F768CD"/>
    <w:rsid w:val="00F76932"/>
    <w:rsid w:val="00F76F4D"/>
    <w:rsid w:val="00F770CD"/>
    <w:rsid w:val="00F772F3"/>
    <w:rsid w:val="00F7739A"/>
    <w:rsid w:val="00F77446"/>
    <w:rsid w:val="00F77524"/>
    <w:rsid w:val="00F77687"/>
    <w:rsid w:val="00F77856"/>
    <w:rsid w:val="00F80495"/>
    <w:rsid w:val="00F80513"/>
    <w:rsid w:val="00F80658"/>
    <w:rsid w:val="00F8066F"/>
    <w:rsid w:val="00F80766"/>
    <w:rsid w:val="00F814B6"/>
    <w:rsid w:val="00F8159C"/>
    <w:rsid w:val="00F818E4"/>
    <w:rsid w:val="00F81C37"/>
    <w:rsid w:val="00F81E20"/>
    <w:rsid w:val="00F81E7E"/>
    <w:rsid w:val="00F81F75"/>
    <w:rsid w:val="00F81FC7"/>
    <w:rsid w:val="00F8206B"/>
    <w:rsid w:val="00F820C3"/>
    <w:rsid w:val="00F82221"/>
    <w:rsid w:val="00F82705"/>
    <w:rsid w:val="00F82B9F"/>
    <w:rsid w:val="00F82C92"/>
    <w:rsid w:val="00F82D44"/>
    <w:rsid w:val="00F83078"/>
    <w:rsid w:val="00F8312A"/>
    <w:rsid w:val="00F83ABC"/>
    <w:rsid w:val="00F83B16"/>
    <w:rsid w:val="00F83BA7"/>
    <w:rsid w:val="00F83FB8"/>
    <w:rsid w:val="00F8411D"/>
    <w:rsid w:val="00F84206"/>
    <w:rsid w:val="00F842F5"/>
    <w:rsid w:val="00F8441E"/>
    <w:rsid w:val="00F84C9F"/>
    <w:rsid w:val="00F85188"/>
    <w:rsid w:val="00F853F4"/>
    <w:rsid w:val="00F8545C"/>
    <w:rsid w:val="00F85760"/>
    <w:rsid w:val="00F8599A"/>
    <w:rsid w:val="00F859E6"/>
    <w:rsid w:val="00F859F8"/>
    <w:rsid w:val="00F85AF3"/>
    <w:rsid w:val="00F85B82"/>
    <w:rsid w:val="00F85CE9"/>
    <w:rsid w:val="00F85EC8"/>
    <w:rsid w:val="00F8670B"/>
    <w:rsid w:val="00F8688F"/>
    <w:rsid w:val="00F86BB1"/>
    <w:rsid w:val="00F86EDD"/>
    <w:rsid w:val="00F86F31"/>
    <w:rsid w:val="00F8714F"/>
    <w:rsid w:val="00F871C9"/>
    <w:rsid w:val="00F873B9"/>
    <w:rsid w:val="00F874CD"/>
    <w:rsid w:val="00F87559"/>
    <w:rsid w:val="00F876D0"/>
    <w:rsid w:val="00F87D96"/>
    <w:rsid w:val="00F87DDA"/>
    <w:rsid w:val="00F87F59"/>
    <w:rsid w:val="00F900F0"/>
    <w:rsid w:val="00F90300"/>
    <w:rsid w:val="00F9071F"/>
    <w:rsid w:val="00F9072F"/>
    <w:rsid w:val="00F909A3"/>
    <w:rsid w:val="00F90E19"/>
    <w:rsid w:val="00F90F09"/>
    <w:rsid w:val="00F910E5"/>
    <w:rsid w:val="00F91620"/>
    <w:rsid w:val="00F9191C"/>
    <w:rsid w:val="00F9191E"/>
    <w:rsid w:val="00F9195A"/>
    <w:rsid w:val="00F91B39"/>
    <w:rsid w:val="00F91C25"/>
    <w:rsid w:val="00F923CB"/>
    <w:rsid w:val="00F92C2E"/>
    <w:rsid w:val="00F92F5E"/>
    <w:rsid w:val="00F930C0"/>
    <w:rsid w:val="00F9357E"/>
    <w:rsid w:val="00F9369D"/>
    <w:rsid w:val="00F936AB"/>
    <w:rsid w:val="00F936B2"/>
    <w:rsid w:val="00F93943"/>
    <w:rsid w:val="00F93A33"/>
    <w:rsid w:val="00F93BA4"/>
    <w:rsid w:val="00F93BC8"/>
    <w:rsid w:val="00F93E4C"/>
    <w:rsid w:val="00F940B1"/>
    <w:rsid w:val="00F946BE"/>
    <w:rsid w:val="00F94708"/>
    <w:rsid w:val="00F94882"/>
    <w:rsid w:val="00F94B9F"/>
    <w:rsid w:val="00F94CDF"/>
    <w:rsid w:val="00F953EE"/>
    <w:rsid w:val="00F954E0"/>
    <w:rsid w:val="00F95ABD"/>
    <w:rsid w:val="00F95BFC"/>
    <w:rsid w:val="00F96163"/>
    <w:rsid w:val="00F962CE"/>
    <w:rsid w:val="00F96535"/>
    <w:rsid w:val="00F9659D"/>
    <w:rsid w:val="00F9672F"/>
    <w:rsid w:val="00F96849"/>
    <w:rsid w:val="00F969F0"/>
    <w:rsid w:val="00F96BDA"/>
    <w:rsid w:val="00F96DC5"/>
    <w:rsid w:val="00F970FE"/>
    <w:rsid w:val="00F97340"/>
    <w:rsid w:val="00F97880"/>
    <w:rsid w:val="00F97894"/>
    <w:rsid w:val="00F97C0E"/>
    <w:rsid w:val="00F97C7D"/>
    <w:rsid w:val="00F97DFF"/>
    <w:rsid w:val="00FA0614"/>
    <w:rsid w:val="00FA0880"/>
    <w:rsid w:val="00FA0898"/>
    <w:rsid w:val="00FA0949"/>
    <w:rsid w:val="00FA09C0"/>
    <w:rsid w:val="00FA0FF1"/>
    <w:rsid w:val="00FA13A4"/>
    <w:rsid w:val="00FA14B2"/>
    <w:rsid w:val="00FA166F"/>
    <w:rsid w:val="00FA1939"/>
    <w:rsid w:val="00FA1B6D"/>
    <w:rsid w:val="00FA1D61"/>
    <w:rsid w:val="00FA1F36"/>
    <w:rsid w:val="00FA2215"/>
    <w:rsid w:val="00FA2249"/>
    <w:rsid w:val="00FA2378"/>
    <w:rsid w:val="00FA23A9"/>
    <w:rsid w:val="00FA274E"/>
    <w:rsid w:val="00FA2A5D"/>
    <w:rsid w:val="00FA2DA7"/>
    <w:rsid w:val="00FA2E3D"/>
    <w:rsid w:val="00FA379B"/>
    <w:rsid w:val="00FA3B3C"/>
    <w:rsid w:val="00FA4070"/>
    <w:rsid w:val="00FA41E3"/>
    <w:rsid w:val="00FA451A"/>
    <w:rsid w:val="00FA46FB"/>
    <w:rsid w:val="00FA4820"/>
    <w:rsid w:val="00FA4CC9"/>
    <w:rsid w:val="00FA4F1C"/>
    <w:rsid w:val="00FA5109"/>
    <w:rsid w:val="00FA555F"/>
    <w:rsid w:val="00FA58F4"/>
    <w:rsid w:val="00FA5B00"/>
    <w:rsid w:val="00FA5FB1"/>
    <w:rsid w:val="00FA5FF8"/>
    <w:rsid w:val="00FA6199"/>
    <w:rsid w:val="00FA64FD"/>
    <w:rsid w:val="00FA6504"/>
    <w:rsid w:val="00FA66F0"/>
    <w:rsid w:val="00FA6AFD"/>
    <w:rsid w:val="00FA6B57"/>
    <w:rsid w:val="00FA6B93"/>
    <w:rsid w:val="00FA6C66"/>
    <w:rsid w:val="00FA6D8D"/>
    <w:rsid w:val="00FA6E55"/>
    <w:rsid w:val="00FA70A6"/>
    <w:rsid w:val="00FA76F7"/>
    <w:rsid w:val="00FA7706"/>
    <w:rsid w:val="00FA77B4"/>
    <w:rsid w:val="00FA77B9"/>
    <w:rsid w:val="00FA77E7"/>
    <w:rsid w:val="00FA7989"/>
    <w:rsid w:val="00FA799A"/>
    <w:rsid w:val="00FA7E04"/>
    <w:rsid w:val="00FA7EF1"/>
    <w:rsid w:val="00FB0270"/>
    <w:rsid w:val="00FB0417"/>
    <w:rsid w:val="00FB0616"/>
    <w:rsid w:val="00FB07BB"/>
    <w:rsid w:val="00FB0917"/>
    <w:rsid w:val="00FB0DED"/>
    <w:rsid w:val="00FB0E01"/>
    <w:rsid w:val="00FB1412"/>
    <w:rsid w:val="00FB145E"/>
    <w:rsid w:val="00FB1759"/>
    <w:rsid w:val="00FB17FF"/>
    <w:rsid w:val="00FB1F2D"/>
    <w:rsid w:val="00FB1F78"/>
    <w:rsid w:val="00FB20C6"/>
    <w:rsid w:val="00FB233C"/>
    <w:rsid w:val="00FB23BB"/>
    <w:rsid w:val="00FB2569"/>
    <w:rsid w:val="00FB263A"/>
    <w:rsid w:val="00FB26D8"/>
    <w:rsid w:val="00FB28C1"/>
    <w:rsid w:val="00FB2903"/>
    <w:rsid w:val="00FB292F"/>
    <w:rsid w:val="00FB2954"/>
    <w:rsid w:val="00FB29BF"/>
    <w:rsid w:val="00FB2CEE"/>
    <w:rsid w:val="00FB3520"/>
    <w:rsid w:val="00FB36E2"/>
    <w:rsid w:val="00FB39A8"/>
    <w:rsid w:val="00FB4070"/>
    <w:rsid w:val="00FB413E"/>
    <w:rsid w:val="00FB42A9"/>
    <w:rsid w:val="00FB4421"/>
    <w:rsid w:val="00FB4491"/>
    <w:rsid w:val="00FB45F6"/>
    <w:rsid w:val="00FB4929"/>
    <w:rsid w:val="00FB4D49"/>
    <w:rsid w:val="00FB5016"/>
    <w:rsid w:val="00FB516D"/>
    <w:rsid w:val="00FB536D"/>
    <w:rsid w:val="00FB56F7"/>
    <w:rsid w:val="00FB5952"/>
    <w:rsid w:val="00FB59EE"/>
    <w:rsid w:val="00FB5B05"/>
    <w:rsid w:val="00FB602A"/>
    <w:rsid w:val="00FB60CE"/>
    <w:rsid w:val="00FB620A"/>
    <w:rsid w:val="00FB6801"/>
    <w:rsid w:val="00FB69D0"/>
    <w:rsid w:val="00FB6D00"/>
    <w:rsid w:val="00FB6F03"/>
    <w:rsid w:val="00FB74A6"/>
    <w:rsid w:val="00FB78D3"/>
    <w:rsid w:val="00FB7BAE"/>
    <w:rsid w:val="00FB7BBB"/>
    <w:rsid w:val="00FC01B7"/>
    <w:rsid w:val="00FC04DD"/>
    <w:rsid w:val="00FC0634"/>
    <w:rsid w:val="00FC06F2"/>
    <w:rsid w:val="00FC07CC"/>
    <w:rsid w:val="00FC0E0F"/>
    <w:rsid w:val="00FC0F7C"/>
    <w:rsid w:val="00FC0FBF"/>
    <w:rsid w:val="00FC1001"/>
    <w:rsid w:val="00FC112E"/>
    <w:rsid w:val="00FC12D3"/>
    <w:rsid w:val="00FC1390"/>
    <w:rsid w:val="00FC1671"/>
    <w:rsid w:val="00FC1AE8"/>
    <w:rsid w:val="00FC1EEC"/>
    <w:rsid w:val="00FC237A"/>
    <w:rsid w:val="00FC23B0"/>
    <w:rsid w:val="00FC29B0"/>
    <w:rsid w:val="00FC2BF2"/>
    <w:rsid w:val="00FC2F76"/>
    <w:rsid w:val="00FC3194"/>
    <w:rsid w:val="00FC3410"/>
    <w:rsid w:val="00FC34EE"/>
    <w:rsid w:val="00FC3590"/>
    <w:rsid w:val="00FC35B9"/>
    <w:rsid w:val="00FC3698"/>
    <w:rsid w:val="00FC3803"/>
    <w:rsid w:val="00FC3AE9"/>
    <w:rsid w:val="00FC3E49"/>
    <w:rsid w:val="00FC447C"/>
    <w:rsid w:val="00FC4874"/>
    <w:rsid w:val="00FC497D"/>
    <w:rsid w:val="00FC4B5C"/>
    <w:rsid w:val="00FC4CFC"/>
    <w:rsid w:val="00FC4D2D"/>
    <w:rsid w:val="00FC4FEA"/>
    <w:rsid w:val="00FC5247"/>
    <w:rsid w:val="00FC550D"/>
    <w:rsid w:val="00FC55D4"/>
    <w:rsid w:val="00FC59DA"/>
    <w:rsid w:val="00FC5B0C"/>
    <w:rsid w:val="00FC5D67"/>
    <w:rsid w:val="00FC5E28"/>
    <w:rsid w:val="00FC5EBE"/>
    <w:rsid w:val="00FC5FE5"/>
    <w:rsid w:val="00FC6561"/>
    <w:rsid w:val="00FC69BC"/>
    <w:rsid w:val="00FC6BD8"/>
    <w:rsid w:val="00FC6D3B"/>
    <w:rsid w:val="00FC6D5B"/>
    <w:rsid w:val="00FC6D6D"/>
    <w:rsid w:val="00FC6F16"/>
    <w:rsid w:val="00FC6F19"/>
    <w:rsid w:val="00FC7042"/>
    <w:rsid w:val="00FC7207"/>
    <w:rsid w:val="00FC750C"/>
    <w:rsid w:val="00FC7754"/>
    <w:rsid w:val="00FC7C97"/>
    <w:rsid w:val="00FD04E6"/>
    <w:rsid w:val="00FD06E5"/>
    <w:rsid w:val="00FD08B3"/>
    <w:rsid w:val="00FD0971"/>
    <w:rsid w:val="00FD0AB4"/>
    <w:rsid w:val="00FD0F0B"/>
    <w:rsid w:val="00FD0FFC"/>
    <w:rsid w:val="00FD1E81"/>
    <w:rsid w:val="00FD1ED4"/>
    <w:rsid w:val="00FD1F81"/>
    <w:rsid w:val="00FD1FEB"/>
    <w:rsid w:val="00FD2309"/>
    <w:rsid w:val="00FD23BE"/>
    <w:rsid w:val="00FD23F2"/>
    <w:rsid w:val="00FD2844"/>
    <w:rsid w:val="00FD2A3B"/>
    <w:rsid w:val="00FD2D06"/>
    <w:rsid w:val="00FD2D40"/>
    <w:rsid w:val="00FD3054"/>
    <w:rsid w:val="00FD3289"/>
    <w:rsid w:val="00FD3656"/>
    <w:rsid w:val="00FD36E1"/>
    <w:rsid w:val="00FD3797"/>
    <w:rsid w:val="00FD38A1"/>
    <w:rsid w:val="00FD3C45"/>
    <w:rsid w:val="00FD3DC0"/>
    <w:rsid w:val="00FD3FEE"/>
    <w:rsid w:val="00FD3FF5"/>
    <w:rsid w:val="00FD4095"/>
    <w:rsid w:val="00FD43D2"/>
    <w:rsid w:val="00FD4536"/>
    <w:rsid w:val="00FD4891"/>
    <w:rsid w:val="00FD509C"/>
    <w:rsid w:val="00FD5349"/>
    <w:rsid w:val="00FD566E"/>
    <w:rsid w:val="00FD56F2"/>
    <w:rsid w:val="00FD57AF"/>
    <w:rsid w:val="00FD59D0"/>
    <w:rsid w:val="00FD5BF0"/>
    <w:rsid w:val="00FD5D7D"/>
    <w:rsid w:val="00FD5D9D"/>
    <w:rsid w:val="00FD5DF0"/>
    <w:rsid w:val="00FD5EE9"/>
    <w:rsid w:val="00FD6079"/>
    <w:rsid w:val="00FD6116"/>
    <w:rsid w:val="00FD611B"/>
    <w:rsid w:val="00FD6302"/>
    <w:rsid w:val="00FD64F6"/>
    <w:rsid w:val="00FD6980"/>
    <w:rsid w:val="00FD6D42"/>
    <w:rsid w:val="00FD6E0A"/>
    <w:rsid w:val="00FD70B4"/>
    <w:rsid w:val="00FD75E7"/>
    <w:rsid w:val="00FD7B03"/>
    <w:rsid w:val="00FD7B9F"/>
    <w:rsid w:val="00FD7F84"/>
    <w:rsid w:val="00FD7FDA"/>
    <w:rsid w:val="00FE0483"/>
    <w:rsid w:val="00FE06F4"/>
    <w:rsid w:val="00FE075E"/>
    <w:rsid w:val="00FE0C67"/>
    <w:rsid w:val="00FE0C96"/>
    <w:rsid w:val="00FE0F0A"/>
    <w:rsid w:val="00FE0F5E"/>
    <w:rsid w:val="00FE125A"/>
    <w:rsid w:val="00FE134B"/>
    <w:rsid w:val="00FE14E4"/>
    <w:rsid w:val="00FE170D"/>
    <w:rsid w:val="00FE17B2"/>
    <w:rsid w:val="00FE1C68"/>
    <w:rsid w:val="00FE1ECE"/>
    <w:rsid w:val="00FE1F8F"/>
    <w:rsid w:val="00FE2099"/>
    <w:rsid w:val="00FE25E2"/>
    <w:rsid w:val="00FE2752"/>
    <w:rsid w:val="00FE2935"/>
    <w:rsid w:val="00FE2C0C"/>
    <w:rsid w:val="00FE2E67"/>
    <w:rsid w:val="00FE2F36"/>
    <w:rsid w:val="00FE3122"/>
    <w:rsid w:val="00FE31A0"/>
    <w:rsid w:val="00FE3257"/>
    <w:rsid w:val="00FE33B7"/>
    <w:rsid w:val="00FE3506"/>
    <w:rsid w:val="00FE353D"/>
    <w:rsid w:val="00FE375A"/>
    <w:rsid w:val="00FE390C"/>
    <w:rsid w:val="00FE3961"/>
    <w:rsid w:val="00FE3D92"/>
    <w:rsid w:val="00FE3EDA"/>
    <w:rsid w:val="00FE4364"/>
    <w:rsid w:val="00FE4401"/>
    <w:rsid w:val="00FE441F"/>
    <w:rsid w:val="00FE446F"/>
    <w:rsid w:val="00FE4727"/>
    <w:rsid w:val="00FE47A3"/>
    <w:rsid w:val="00FE4C60"/>
    <w:rsid w:val="00FE4D15"/>
    <w:rsid w:val="00FE4D8A"/>
    <w:rsid w:val="00FE4FFA"/>
    <w:rsid w:val="00FE531A"/>
    <w:rsid w:val="00FE5419"/>
    <w:rsid w:val="00FE5438"/>
    <w:rsid w:val="00FE551C"/>
    <w:rsid w:val="00FE56A6"/>
    <w:rsid w:val="00FE594D"/>
    <w:rsid w:val="00FE59DF"/>
    <w:rsid w:val="00FE5CDB"/>
    <w:rsid w:val="00FE5DAC"/>
    <w:rsid w:val="00FE6182"/>
    <w:rsid w:val="00FE6489"/>
    <w:rsid w:val="00FE6775"/>
    <w:rsid w:val="00FE6CFF"/>
    <w:rsid w:val="00FE7020"/>
    <w:rsid w:val="00FE71BB"/>
    <w:rsid w:val="00FE7397"/>
    <w:rsid w:val="00FE740A"/>
    <w:rsid w:val="00FE7889"/>
    <w:rsid w:val="00FE7AD8"/>
    <w:rsid w:val="00FF03BF"/>
    <w:rsid w:val="00FF0486"/>
    <w:rsid w:val="00FF04D6"/>
    <w:rsid w:val="00FF0900"/>
    <w:rsid w:val="00FF1485"/>
    <w:rsid w:val="00FF14CF"/>
    <w:rsid w:val="00FF1530"/>
    <w:rsid w:val="00FF15F0"/>
    <w:rsid w:val="00FF1782"/>
    <w:rsid w:val="00FF1854"/>
    <w:rsid w:val="00FF1E39"/>
    <w:rsid w:val="00FF1E8F"/>
    <w:rsid w:val="00FF2084"/>
    <w:rsid w:val="00FF237A"/>
    <w:rsid w:val="00FF2558"/>
    <w:rsid w:val="00FF2A0A"/>
    <w:rsid w:val="00FF2B37"/>
    <w:rsid w:val="00FF32AA"/>
    <w:rsid w:val="00FF36D8"/>
    <w:rsid w:val="00FF3A78"/>
    <w:rsid w:val="00FF3AB9"/>
    <w:rsid w:val="00FF3D21"/>
    <w:rsid w:val="00FF3DE3"/>
    <w:rsid w:val="00FF3E59"/>
    <w:rsid w:val="00FF3E82"/>
    <w:rsid w:val="00FF42CE"/>
    <w:rsid w:val="00FF456A"/>
    <w:rsid w:val="00FF471F"/>
    <w:rsid w:val="00FF4724"/>
    <w:rsid w:val="00FF4BD8"/>
    <w:rsid w:val="00FF4D3E"/>
    <w:rsid w:val="00FF4F9C"/>
    <w:rsid w:val="00FF51C4"/>
    <w:rsid w:val="00FF5293"/>
    <w:rsid w:val="00FF537E"/>
    <w:rsid w:val="00FF557C"/>
    <w:rsid w:val="00FF57A5"/>
    <w:rsid w:val="00FF59B7"/>
    <w:rsid w:val="00FF5A8B"/>
    <w:rsid w:val="00FF5F5D"/>
    <w:rsid w:val="00FF627B"/>
    <w:rsid w:val="00FF63CC"/>
    <w:rsid w:val="00FF6436"/>
    <w:rsid w:val="00FF654E"/>
    <w:rsid w:val="00FF6AAF"/>
    <w:rsid w:val="00FF6B17"/>
    <w:rsid w:val="00FF6C45"/>
    <w:rsid w:val="00FF6E83"/>
    <w:rsid w:val="00FF6F87"/>
    <w:rsid w:val="00FF6FB6"/>
    <w:rsid w:val="00FF6FB8"/>
    <w:rsid w:val="00FF738D"/>
    <w:rsid w:val="00FF7686"/>
    <w:rsid w:val="00FF76EC"/>
    <w:rsid w:val="00FF7886"/>
    <w:rsid w:val="00FF7B1C"/>
    <w:rsid w:val="00FF7C16"/>
    <w:rsid w:val="00FF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42E9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imes New Roman"/>
        <w:sz w:val="26"/>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F0D"/>
    <w:pPr>
      <w:spacing w:line="240" w:lineRule="auto"/>
    </w:pPr>
  </w:style>
  <w:style w:type="paragraph" w:styleId="Heading1">
    <w:name w:val="heading 1"/>
    <w:basedOn w:val="Normal"/>
    <w:next w:val="Normal"/>
    <w:link w:val="Heading1Char"/>
    <w:uiPriority w:val="9"/>
    <w:qFormat/>
    <w:rsid w:val="00C62F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86FA9"/>
    <w:pPr>
      <w:keepNext/>
      <w:keepLines/>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E94F06"/>
    <w:pPr>
      <w:keepNext/>
      <w:keepLines/>
      <w:ind w:left="144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C62FC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B34C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F40A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BF40A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8E"/>
    <w:pPr>
      <w:tabs>
        <w:tab w:val="center" w:pos="4680"/>
        <w:tab w:val="right" w:pos="9360"/>
      </w:tabs>
    </w:pPr>
  </w:style>
  <w:style w:type="character" w:customStyle="1" w:styleId="HeaderChar">
    <w:name w:val="Header Char"/>
    <w:basedOn w:val="DefaultParagraphFont"/>
    <w:link w:val="Header"/>
    <w:uiPriority w:val="99"/>
    <w:rsid w:val="001A328E"/>
  </w:style>
  <w:style w:type="paragraph" w:styleId="Footer">
    <w:name w:val="footer"/>
    <w:basedOn w:val="Normal"/>
    <w:link w:val="FooterChar"/>
    <w:uiPriority w:val="99"/>
    <w:unhideWhenUsed/>
    <w:rsid w:val="001A328E"/>
    <w:pPr>
      <w:tabs>
        <w:tab w:val="center" w:pos="4680"/>
        <w:tab w:val="right" w:pos="9360"/>
      </w:tabs>
    </w:pPr>
  </w:style>
  <w:style w:type="character" w:customStyle="1" w:styleId="FooterChar">
    <w:name w:val="Footer Char"/>
    <w:basedOn w:val="DefaultParagraphFont"/>
    <w:link w:val="Footer"/>
    <w:uiPriority w:val="99"/>
    <w:rsid w:val="001A328E"/>
  </w:style>
  <w:style w:type="character" w:styleId="FootnoteReference">
    <w:name w:val="footnote reference"/>
    <w:basedOn w:val="DefaultParagraphFont"/>
    <w:uiPriority w:val="99"/>
    <w:unhideWhenUsed/>
    <w:rsid w:val="008A0FCE"/>
    <w:rPr>
      <w:rFonts w:ascii="Century Schoolbook" w:hAnsi="Century Schoolbook"/>
      <w:position w:val="6"/>
      <w:sz w:val="26"/>
      <w:vertAlign w:val="baseline"/>
    </w:rPr>
  </w:style>
  <w:style w:type="paragraph" w:styleId="FootnoteText">
    <w:name w:val="footnote text"/>
    <w:link w:val="FootnoteTextChar"/>
    <w:uiPriority w:val="99"/>
    <w:unhideWhenUsed/>
    <w:rsid w:val="001A328E"/>
    <w:pPr>
      <w:spacing w:line="240" w:lineRule="auto"/>
    </w:pPr>
  </w:style>
  <w:style w:type="character" w:customStyle="1" w:styleId="FootnoteTextChar">
    <w:name w:val="Footnote Text Char"/>
    <w:basedOn w:val="DefaultParagraphFont"/>
    <w:link w:val="FootnoteText"/>
    <w:uiPriority w:val="99"/>
    <w:rsid w:val="001A328E"/>
    <w:rPr>
      <w:szCs w:val="20"/>
    </w:rPr>
  </w:style>
  <w:style w:type="character" w:customStyle="1" w:styleId="Heading2Char">
    <w:name w:val="Heading 2 Char"/>
    <w:basedOn w:val="DefaultParagraphFont"/>
    <w:link w:val="Heading2"/>
    <w:uiPriority w:val="9"/>
    <w:rsid w:val="00886FA9"/>
    <w:rPr>
      <w:rFonts w:eastAsiaTheme="majorEastAsia" w:cstheme="majorBidi"/>
      <w:szCs w:val="26"/>
    </w:rPr>
  </w:style>
  <w:style w:type="character" w:customStyle="1" w:styleId="Heading3Char">
    <w:name w:val="Heading 3 Char"/>
    <w:basedOn w:val="DefaultParagraphFont"/>
    <w:link w:val="Heading3"/>
    <w:uiPriority w:val="9"/>
    <w:rsid w:val="00E94F06"/>
    <w:rPr>
      <w:rFonts w:eastAsiaTheme="majorEastAsia" w:cstheme="majorBidi"/>
      <w:szCs w:val="24"/>
    </w:rPr>
  </w:style>
  <w:style w:type="character" w:customStyle="1" w:styleId="Heading1Char">
    <w:name w:val="Heading 1 Char"/>
    <w:basedOn w:val="DefaultParagraphFont"/>
    <w:link w:val="Heading1"/>
    <w:uiPriority w:val="9"/>
    <w:rsid w:val="00C62FC6"/>
    <w:rPr>
      <w:rFonts w:asciiTheme="majorHAnsi" w:eastAsiaTheme="majorEastAsia" w:hAnsiTheme="majorHAnsi" w:cstheme="majorBidi"/>
      <w:color w:val="365F91" w:themeColor="accent1" w:themeShade="BF"/>
      <w:sz w:val="32"/>
      <w:szCs w:val="32"/>
    </w:rPr>
  </w:style>
  <w:style w:type="paragraph" w:customStyle="1" w:styleId="Header1">
    <w:name w:val="Header1"/>
    <w:basedOn w:val="Normal"/>
    <w:link w:val="Header1Char"/>
    <w:qFormat/>
    <w:rsid w:val="00C62FC6"/>
    <w:pPr>
      <w:widowControl w:val="0"/>
      <w:adjustRightInd w:val="0"/>
      <w:jc w:val="center"/>
      <w:textAlignment w:val="baseline"/>
    </w:pPr>
    <w:rPr>
      <w:rFonts w:eastAsia="Times New Roman"/>
      <w:szCs w:val="26"/>
    </w:rPr>
  </w:style>
  <w:style w:type="character" w:customStyle="1" w:styleId="Header1Char">
    <w:name w:val="Header1 Char"/>
    <w:basedOn w:val="DefaultParagraphFont"/>
    <w:link w:val="Header1"/>
    <w:rsid w:val="00C62FC6"/>
    <w:rPr>
      <w:rFonts w:eastAsia="Times New Roman"/>
      <w:szCs w:val="26"/>
    </w:rPr>
  </w:style>
  <w:style w:type="character" w:customStyle="1" w:styleId="Heading4Char">
    <w:name w:val="Heading 4 Char"/>
    <w:basedOn w:val="DefaultParagraphFont"/>
    <w:link w:val="Heading4"/>
    <w:uiPriority w:val="9"/>
    <w:rsid w:val="00C62FC6"/>
    <w:rPr>
      <w:rFonts w:asciiTheme="majorHAnsi" w:eastAsiaTheme="majorEastAsia" w:hAnsiTheme="majorHAnsi" w:cstheme="majorBidi"/>
      <w:i/>
      <w:iCs/>
      <w:color w:val="365F91" w:themeColor="accent1" w:themeShade="BF"/>
    </w:rPr>
  </w:style>
  <w:style w:type="character" w:customStyle="1" w:styleId="chapeau">
    <w:name w:val="chapeau"/>
    <w:basedOn w:val="DefaultParagraphFont"/>
    <w:rsid w:val="00410081"/>
  </w:style>
  <w:style w:type="character" w:customStyle="1" w:styleId="num">
    <w:name w:val="num"/>
    <w:basedOn w:val="DefaultParagraphFont"/>
    <w:rsid w:val="00410081"/>
  </w:style>
  <w:style w:type="character" w:customStyle="1" w:styleId="apple-converted-space">
    <w:name w:val="apple-converted-space"/>
    <w:basedOn w:val="DefaultParagraphFont"/>
    <w:rsid w:val="00410081"/>
  </w:style>
  <w:style w:type="character" w:styleId="Hyperlink">
    <w:name w:val="Hyperlink"/>
    <w:basedOn w:val="DefaultParagraphFont"/>
    <w:uiPriority w:val="99"/>
    <w:unhideWhenUsed/>
    <w:rsid w:val="00410081"/>
    <w:rPr>
      <w:color w:val="0000FF"/>
      <w:u w:val="single"/>
    </w:rPr>
  </w:style>
  <w:style w:type="character" w:customStyle="1" w:styleId="cosearchterm">
    <w:name w:val="co_searchterm"/>
    <w:basedOn w:val="DefaultParagraphFont"/>
    <w:rsid w:val="00A65F2F"/>
  </w:style>
  <w:style w:type="character" w:customStyle="1" w:styleId="costarpage">
    <w:name w:val="co_starpage"/>
    <w:basedOn w:val="DefaultParagraphFont"/>
    <w:rsid w:val="00A65F2F"/>
  </w:style>
  <w:style w:type="character" w:styleId="Emphasis">
    <w:name w:val="Emphasis"/>
    <w:basedOn w:val="DefaultParagraphFont"/>
    <w:uiPriority w:val="20"/>
    <w:qFormat/>
    <w:rsid w:val="00A65F2F"/>
    <w:rPr>
      <w:i/>
      <w:iCs/>
    </w:rPr>
  </w:style>
  <w:style w:type="character" w:styleId="Strong">
    <w:name w:val="Strong"/>
    <w:basedOn w:val="DefaultParagraphFont"/>
    <w:uiPriority w:val="22"/>
    <w:qFormat/>
    <w:rsid w:val="00076A61"/>
    <w:rPr>
      <w:b/>
      <w:bCs/>
    </w:rPr>
  </w:style>
  <w:style w:type="character" w:customStyle="1" w:styleId="Heading5Char">
    <w:name w:val="Heading 5 Char"/>
    <w:basedOn w:val="DefaultParagraphFont"/>
    <w:link w:val="Heading5"/>
    <w:uiPriority w:val="9"/>
    <w:rsid w:val="009B34C1"/>
    <w:rPr>
      <w:rFonts w:asciiTheme="majorHAnsi" w:eastAsiaTheme="majorEastAsia" w:hAnsiTheme="majorHAnsi" w:cstheme="majorBidi"/>
      <w:color w:val="365F91" w:themeColor="accent1" w:themeShade="BF"/>
    </w:rPr>
  </w:style>
  <w:style w:type="paragraph" w:styleId="EndnoteText">
    <w:name w:val="endnote text"/>
    <w:basedOn w:val="Normal"/>
    <w:link w:val="EndnoteTextChar"/>
    <w:uiPriority w:val="99"/>
    <w:semiHidden/>
    <w:unhideWhenUsed/>
    <w:rsid w:val="00F71735"/>
    <w:rPr>
      <w:sz w:val="20"/>
    </w:rPr>
  </w:style>
  <w:style w:type="character" w:customStyle="1" w:styleId="EndnoteTextChar">
    <w:name w:val="Endnote Text Char"/>
    <w:basedOn w:val="DefaultParagraphFont"/>
    <w:link w:val="EndnoteText"/>
    <w:uiPriority w:val="99"/>
    <w:semiHidden/>
    <w:rsid w:val="00F71735"/>
    <w:rPr>
      <w:sz w:val="20"/>
    </w:rPr>
  </w:style>
  <w:style w:type="character" w:styleId="EndnoteReference">
    <w:name w:val="endnote reference"/>
    <w:basedOn w:val="DefaultParagraphFont"/>
    <w:uiPriority w:val="99"/>
    <w:semiHidden/>
    <w:unhideWhenUsed/>
    <w:rsid w:val="00F71735"/>
    <w:rPr>
      <w:vertAlign w:val="superscript"/>
    </w:rPr>
  </w:style>
  <w:style w:type="character" w:customStyle="1" w:styleId="cosmallcaps">
    <w:name w:val="co_smallcaps"/>
    <w:basedOn w:val="DefaultParagraphFont"/>
    <w:rsid w:val="00C4560D"/>
  </w:style>
  <w:style w:type="character" w:customStyle="1" w:styleId="copinpointicon">
    <w:name w:val="co_pinpointicon"/>
    <w:basedOn w:val="DefaultParagraphFont"/>
    <w:rsid w:val="00365D1C"/>
  </w:style>
  <w:style w:type="character" w:customStyle="1" w:styleId="Heading6Char">
    <w:name w:val="Heading 6 Char"/>
    <w:basedOn w:val="DefaultParagraphFont"/>
    <w:link w:val="Heading6"/>
    <w:uiPriority w:val="9"/>
    <w:rsid w:val="00BF40A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BF40A2"/>
    <w:rPr>
      <w:rFonts w:asciiTheme="majorHAnsi" w:eastAsiaTheme="majorEastAsia" w:hAnsiTheme="majorHAnsi" w:cstheme="majorBidi"/>
      <w:i/>
      <w:iCs/>
      <w:color w:val="243F60" w:themeColor="accent1" w:themeShade="7F"/>
    </w:rPr>
  </w:style>
  <w:style w:type="character" w:customStyle="1" w:styleId="cohovertext">
    <w:name w:val="co_hovertext"/>
    <w:basedOn w:val="DefaultParagraphFont"/>
    <w:rsid w:val="00C97DA1"/>
  </w:style>
  <w:style w:type="paragraph" w:styleId="BodyText">
    <w:name w:val="Body Text"/>
    <w:basedOn w:val="Normal"/>
    <w:link w:val="BodyTextChar"/>
    <w:uiPriority w:val="1"/>
    <w:unhideWhenUsed/>
    <w:qFormat/>
    <w:rsid w:val="00301730"/>
    <w:pPr>
      <w:widowControl w:val="0"/>
      <w:spacing w:before="53"/>
      <w:ind w:left="440" w:firstLine="720"/>
    </w:pPr>
    <w:rPr>
      <w:rFonts w:eastAsia="Times New Roman" w:cstheme="minorBidi"/>
      <w:sz w:val="28"/>
      <w:szCs w:val="28"/>
    </w:rPr>
  </w:style>
  <w:style w:type="character" w:customStyle="1" w:styleId="BodyTextChar">
    <w:name w:val="Body Text Char"/>
    <w:basedOn w:val="DefaultParagraphFont"/>
    <w:link w:val="BodyText"/>
    <w:uiPriority w:val="1"/>
    <w:rsid w:val="00301730"/>
    <w:rPr>
      <w:rFonts w:eastAsia="Times New Roman" w:cstheme="minorBidi"/>
      <w:sz w:val="28"/>
      <w:szCs w:val="28"/>
    </w:rPr>
  </w:style>
  <w:style w:type="character" w:customStyle="1" w:styleId="cohighlightpoints">
    <w:name w:val="co_highlightpoints"/>
    <w:basedOn w:val="DefaultParagraphFont"/>
    <w:rsid w:val="00C87756"/>
  </w:style>
  <w:style w:type="paragraph" w:styleId="ListParagraph">
    <w:name w:val="List Paragraph"/>
    <w:basedOn w:val="Normal"/>
    <w:uiPriority w:val="34"/>
    <w:qFormat/>
    <w:rsid w:val="0028610C"/>
    <w:pPr>
      <w:ind w:left="720"/>
      <w:contextualSpacing/>
    </w:pPr>
  </w:style>
  <w:style w:type="paragraph" w:styleId="NormalWeb">
    <w:name w:val="Normal (Web)"/>
    <w:basedOn w:val="Normal"/>
    <w:uiPriority w:val="99"/>
    <w:semiHidden/>
    <w:unhideWhenUsed/>
    <w:rsid w:val="0024364A"/>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E06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1EA"/>
    <w:rPr>
      <w:rFonts w:ascii="Segoe UI" w:hAnsi="Segoe UI" w:cs="Segoe UI"/>
      <w:sz w:val="18"/>
      <w:szCs w:val="18"/>
    </w:rPr>
  </w:style>
  <w:style w:type="paragraph" w:styleId="TOCHeading">
    <w:name w:val="TOC Heading"/>
    <w:basedOn w:val="Heading1"/>
    <w:next w:val="Normal"/>
    <w:uiPriority w:val="39"/>
    <w:unhideWhenUsed/>
    <w:qFormat/>
    <w:rsid w:val="00325645"/>
    <w:pPr>
      <w:spacing w:line="259" w:lineRule="auto"/>
      <w:outlineLvl w:val="9"/>
    </w:pPr>
  </w:style>
  <w:style w:type="paragraph" w:styleId="TOC1">
    <w:name w:val="toc 1"/>
    <w:basedOn w:val="Normal"/>
    <w:next w:val="Normal"/>
    <w:autoRedefine/>
    <w:uiPriority w:val="39"/>
    <w:unhideWhenUsed/>
    <w:rsid w:val="00325645"/>
    <w:pPr>
      <w:spacing w:after="100"/>
    </w:pPr>
  </w:style>
  <w:style w:type="paragraph" w:styleId="TOC2">
    <w:name w:val="toc 2"/>
    <w:basedOn w:val="Normal"/>
    <w:next w:val="Normal"/>
    <w:autoRedefine/>
    <w:uiPriority w:val="39"/>
    <w:unhideWhenUsed/>
    <w:rsid w:val="00325645"/>
    <w:pPr>
      <w:spacing w:after="100"/>
      <w:ind w:left="260"/>
    </w:pPr>
  </w:style>
  <w:style w:type="paragraph" w:styleId="TOC3">
    <w:name w:val="toc 3"/>
    <w:basedOn w:val="Normal"/>
    <w:next w:val="Normal"/>
    <w:autoRedefine/>
    <w:uiPriority w:val="39"/>
    <w:unhideWhenUsed/>
    <w:rsid w:val="00325645"/>
    <w:pPr>
      <w:spacing w:after="100"/>
      <w:ind w:left="520"/>
    </w:pPr>
  </w:style>
  <w:style w:type="paragraph" w:styleId="TOC4">
    <w:name w:val="toc 4"/>
    <w:basedOn w:val="Normal"/>
    <w:next w:val="Normal"/>
    <w:autoRedefine/>
    <w:uiPriority w:val="39"/>
    <w:unhideWhenUsed/>
    <w:rsid w:val="00F734B1"/>
    <w:pPr>
      <w:spacing w:after="100"/>
      <w:ind w:left="780"/>
    </w:pPr>
  </w:style>
  <w:style w:type="paragraph" w:styleId="TOC5">
    <w:name w:val="toc 5"/>
    <w:basedOn w:val="Normal"/>
    <w:next w:val="Normal"/>
    <w:autoRedefine/>
    <w:uiPriority w:val="39"/>
    <w:unhideWhenUsed/>
    <w:rsid w:val="00F734B1"/>
    <w:pPr>
      <w:spacing w:after="100"/>
      <w:ind w:left="1040"/>
    </w:pPr>
  </w:style>
  <w:style w:type="paragraph" w:styleId="TOC6">
    <w:name w:val="toc 6"/>
    <w:basedOn w:val="Normal"/>
    <w:next w:val="Normal"/>
    <w:autoRedefine/>
    <w:uiPriority w:val="39"/>
    <w:unhideWhenUsed/>
    <w:rsid w:val="00F734B1"/>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734B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734B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734B1"/>
    <w:pPr>
      <w:spacing w:after="100" w:line="259" w:lineRule="auto"/>
      <w:ind w:left="1760"/>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C64FA6"/>
    <w:rPr>
      <w:sz w:val="16"/>
      <w:szCs w:val="16"/>
    </w:rPr>
  </w:style>
  <w:style w:type="paragraph" w:styleId="CommentText">
    <w:name w:val="annotation text"/>
    <w:basedOn w:val="Normal"/>
    <w:link w:val="CommentTextChar"/>
    <w:uiPriority w:val="99"/>
    <w:unhideWhenUsed/>
    <w:rsid w:val="00C64FA6"/>
    <w:rPr>
      <w:sz w:val="20"/>
    </w:rPr>
  </w:style>
  <w:style w:type="character" w:customStyle="1" w:styleId="CommentTextChar">
    <w:name w:val="Comment Text Char"/>
    <w:basedOn w:val="DefaultParagraphFont"/>
    <w:link w:val="CommentText"/>
    <w:uiPriority w:val="99"/>
    <w:rsid w:val="00C64FA6"/>
    <w:rPr>
      <w:sz w:val="20"/>
    </w:rPr>
  </w:style>
  <w:style w:type="paragraph" w:styleId="CommentSubject">
    <w:name w:val="annotation subject"/>
    <w:basedOn w:val="CommentText"/>
    <w:next w:val="CommentText"/>
    <w:link w:val="CommentSubjectChar"/>
    <w:uiPriority w:val="99"/>
    <w:semiHidden/>
    <w:unhideWhenUsed/>
    <w:rsid w:val="00C64FA6"/>
    <w:rPr>
      <w:b/>
      <w:bCs/>
    </w:rPr>
  </w:style>
  <w:style w:type="character" w:customStyle="1" w:styleId="CommentSubjectChar">
    <w:name w:val="Comment Subject Char"/>
    <w:basedOn w:val="CommentTextChar"/>
    <w:link w:val="CommentSubject"/>
    <w:uiPriority w:val="99"/>
    <w:semiHidden/>
    <w:rsid w:val="00C64FA6"/>
    <w:rPr>
      <w:b/>
      <w:bCs/>
      <w:sz w:val="20"/>
    </w:rPr>
  </w:style>
  <w:style w:type="character" w:styleId="FollowedHyperlink">
    <w:name w:val="FollowedHyperlink"/>
    <w:basedOn w:val="DefaultParagraphFont"/>
    <w:uiPriority w:val="99"/>
    <w:semiHidden/>
    <w:unhideWhenUsed/>
    <w:rsid w:val="006E1385"/>
    <w:rPr>
      <w:color w:val="800080" w:themeColor="followedHyperlink"/>
      <w:u w:val="single"/>
    </w:rPr>
  </w:style>
  <w:style w:type="paragraph" w:styleId="Revision">
    <w:name w:val="Revision"/>
    <w:hidden/>
    <w:uiPriority w:val="99"/>
    <w:semiHidden/>
    <w:rsid w:val="00886720"/>
    <w:pPr>
      <w:spacing w:line="240" w:lineRule="auto"/>
    </w:pPr>
  </w:style>
  <w:style w:type="character" w:styleId="UnresolvedMention">
    <w:name w:val="Unresolved Mention"/>
    <w:basedOn w:val="DefaultParagraphFont"/>
    <w:uiPriority w:val="99"/>
    <w:semiHidden/>
    <w:unhideWhenUsed/>
    <w:rsid w:val="00BF2D77"/>
    <w:rPr>
      <w:color w:val="808080"/>
      <w:shd w:val="clear" w:color="auto" w:fill="E6E6E6"/>
    </w:rPr>
  </w:style>
  <w:style w:type="character" w:customStyle="1" w:styleId="coinlinekeyciteflag">
    <w:name w:val="co_inlinekeyciteflag"/>
    <w:basedOn w:val="DefaultParagraphFont"/>
    <w:rsid w:val="00D729F2"/>
  </w:style>
  <w:style w:type="paragraph" w:styleId="PlainText">
    <w:name w:val="Plain Text"/>
    <w:basedOn w:val="Normal"/>
    <w:link w:val="PlainTextChar"/>
    <w:uiPriority w:val="99"/>
    <w:semiHidden/>
    <w:unhideWhenUsed/>
    <w:rsid w:val="00B70EDB"/>
    <w:rPr>
      <w:rFonts w:ascii="Calibri" w:hAnsi="Calibri" w:cstheme="minorBidi"/>
      <w:sz w:val="22"/>
      <w:szCs w:val="21"/>
    </w:rPr>
  </w:style>
  <w:style w:type="character" w:customStyle="1" w:styleId="PlainTextChar">
    <w:name w:val="Plain Text Char"/>
    <w:basedOn w:val="DefaultParagraphFont"/>
    <w:link w:val="PlainText"/>
    <w:uiPriority w:val="99"/>
    <w:semiHidden/>
    <w:rsid w:val="00B70EDB"/>
    <w:rPr>
      <w:rFonts w:ascii="Calibri" w:hAnsi="Calibri" w:cstheme="minorBidi"/>
      <w:sz w:val="22"/>
      <w:szCs w:val="21"/>
    </w:rPr>
  </w:style>
  <w:style w:type="paragraph" w:customStyle="1" w:styleId="Default">
    <w:name w:val="Default"/>
    <w:rsid w:val="00483983"/>
    <w:pPr>
      <w:autoSpaceDE w:val="0"/>
      <w:autoSpaceDN w:val="0"/>
      <w:adjustRightInd w:val="0"/>
      <w:spacing w:line="240" w:lineRule="auto"/>
    </w:pPr>
    <w:rPr>
      <w:rFonts w:cs="Century Schoolbook"/>
      <w:color w:val="000000"/>
      <w:sz w:val="24"/>
      <w:szCs w:val="24"/>
    </w:rPr>
  </w:style>
  <w:style w:type="paragraph" w:customStyle="1" w:styleId="IndentedQuote">
    <w:name w:val="IndentedQuote"/>
    <w:basedOn w:val="Normal"/>
    <w:link w:val="IndentedQuoteChar"/>
    <w:rsid w:val="00A076C7"/>
    <w:pPr>
      <w:ind w:left="1080" w:right="1080"/>
    </w:pPr>
  </w:style>
  <w:style w:type="character" w:customStyle="1" w:styleId="IndentedQuoteChar">
    <w:name w:val="IndentedQuote Char"/>
    <w:basedOn w:val="DefaultParagraphFont"/>
    <w:link w:val="IndentedQuote"/>
    <w:rsid w:val="00A0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158">
      <w:bodyDiv w:val="1"/>
      <w:marLeft w:val="0"/>
      <w:marRight w:val="0"/>
      <w:marTop w:val="0"/>
      <w:marBottom w:val="0"/>
      <w:divBdr>
        <w:top w:val="none" w:sz="0" w:space="0" w:color="auto"/>
        <w:left w:val="none" w:sz="0" w:space="0" w:color="auto"/>
        <w:bottom w:val="none" w:sz="0" w:space="0" w:color="auto"/>
        <w:right w:val="none" w:sz="0" w:space="0" w:color="auto"/>
      </w:divBdr>
      <w:divsChild>
        <w:div w:id="176887463">
          <w:marLeft w:val="0"/>
          <w:marRight w:val="0"/>
          <w:marTop w:val="240"/>
          <w:marBottom w:val="0"/>
          <w:divBdr>
            <w:top w:val="none" w:sz="0" w:space="0" w:color="auto"/>
            <w:left w:val="none" w:sz="0" w:space="0" w:color="auto"/>
            <w:bottom w:val="none" w:sz="0" w:space="0" w:color="auto"/>
            <w:right w:val="none" w:sz="0" w:space="0" w:color="auto"/>
          </w:divBdr>
          <w:divsChild>
            <w:div w:id="1907839075">
              <w:marLeft w:val="0"/>
              <w:marRight w:val="0"/>
              <w:marTop w:val="0"/>
              <w:marBottom w:val="0"/>
              <w:divBdr>
                <w:top w:val="none" w:sz="0" w:space="0" w:color="auto"/>
                <w:left w:val="none" w:sz="0" w:space="0" w:color="auto"/>
                <w:bottom w:val="none" w:sz="0" w:space="0" w:color="auto"/>
                <w:right w:val="none" w:sz="0" w:space="0" w:color="auto"/>
              </w:divBdr>
            </w:div>
          </w:divsChild>
        </w:div>
        <w:div w:id="1859276932">
          <w:marLeft w:val="0"/>
          <w:marRight w:val="0"/>
          <w:marTop w:val="240"/>
          <w:marBottom w:val="0"/>
          <w:divBdr>
            <w:top w:val="none" w:sz="0" w:space="0" w:color="auto"/>
            <w:left w:val="none" w:sz="0" w:space="0" w:color="auto"/>
            <w:bottom w:val="none" w:sz="0" w:space="0" w:color="auto"/>
            <w:right w:val="none" w:sz="0" w:space="0" w:color="auto"/>
          </w:divBdr>
          <w:divsChild>
            <w:div w:id="3196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4488">
      <w:bodyDiv w:val="1"/>
      <w:marLeft w:val="0"/>
      <w:marRight w:val="0"/>
      <w:marTop w:val="0"/>
      <w:marBottom w:val="0"/>
      <w:divBdr>
        <w:top w:val="none" w:sz="0" w:space="0" w:color="auto"/>
        <w:left w:val="none" w:sz="0" w:space="0" w:color="auto"/>
        <w:bottom w:val="none" w:sz="0" w:space="0" w:color="auto"/>
        <w:right w:val="none" w:sz="0" w:space="0" w:color="auto"/>
      </w:divBdr>
      <w:divsChild>
        <w:div w:id="1756129344">
          <w:marLeft w:val="0"/>
          <w:marRight w:val="0"/>
          <w:marTop w:val="240"/>
          <w:marBottom w:val="0"/>
          <w:divBdr>
            <w:top w:val="none" w:sz="0" w:space="0" w:color="auto"/>
            <w:left w:val="none" w:sz="0" w:space="0" w:color="auto"/>
            <w:bottom w:val="none" w:sz="0" w:space="0" w:color="auto"/>
            <w:right w:val="none" w:sz="0" w:space="0" w:color="auto"/>
          </w:divBdr>
          <w:divsChild>
            <w:div w:id="1731727380">
              <w:marLeft w:val="0"/>
              <w:marRight w:val="0"/>
              <w:marTop w:val="0"/>
              <w:marBottom w:val="0"/>
              <w:divBdr>
                <w:top w:val="none" w:sz="0" w:space="0" w:color="auto"/>
                <w:left w:val="none" w:sz="0" w:space="0" w:color="auto"/>
                <w:bottom w:val="none" w:sz="0" w:space="0" w:color="auto"/>
                <w:right w:val="none" w:sz="0" w:space="0" w:color="auto"/>
              </w:divBdr>
            </w:div>
          </w:divsChild>
        </w:div>
        <w:div w:id="1852379403">
          <w:marLeft w:val="0"/>
          <w:marRight w:val="0"/>
          <w:marTop w:val="240"/>
          <w:marBottom w:val="0"/>
          <w:divBdr>
            <w:top w:val="none" w:sz="0" w:space="0" w:color="auto"/>
            <w:left w:val="none" w:sz="0" w:space="0" w:color="auto"/>
            <w:bottom w:val="none" w:sz="0" w:space="0" w:color="auto"/>
            <w:right w:val="none" w:sz="0" w:space="0" w:color="auto"/>
          </w:divBdr>
          <w:divsChild>
            <w:div w:id="10351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3691">
      <w:bodyDiv w:val="1"/>
      <w:marLeft w:val="0"/>
      <w:marRight w:val="0"/>
      <w:marTop w:val="0"/>
      <w:marBottom w:val="0"/>
      <w:divBdr>
        <w:top w:val="none" w:sz="0" w:space="0" w:color="auto"/>
        <w:left w:val="none" w:sz="0" w:space="0" w:color="auto"/>
        <w:bottom w:val="none" w:sz="0" w:space="0" w:color="auto"/>
        <w:right w:val="none" w:sz="0" w:space="0" w:color="auto"/>
      </w:divBdr>
      <w:divsChild>
        <w:div w:id="267659304">
          <w:marLeft w:val="0"/>
          <w:marRight w:val="0"/>
          <w:marTop w:val="0"/>
          <w:marBottom w:val="0"/>
          <w:divBdr>
            <w:top w:val="none" w:sz="0" w:space="0" w:color="auto"/>
            <w:left w:val="none" w:sz="0" w:space="0" w:color="auto"/>
            <w:bottom w:val="none" w:sz="0" w:space="0" w:color="auto"/>
            <w:right w:val="none" w:sz="0" w:space="0" w:color="auto"/>
          </w:divBdr>
          <w:divsChild>
            <w:div w:id="25757764">
              <w:marLeft w:val="0"/>
              <w:marRight w:val="0"/>
              <w:marTop w:val="0"/>
              <w:marBottom w:val="0"/>
              <w:divBdr>
                <w:top w:val="none" w:sz="0" w:space="0" w:color="auto"/>
                <w:left w:val="none" w:sz="0" w:space="0" w:color="auto"/>
                <w:bottom w:val="none" w:sz="0" w:space="0" w:color="auto"/>
                <w:right w:val="none" w:sz="0" w:space="0" w:color="auto"/>
              </w:divBdr>
            </w:div>
          </w:divsChild>
        </w:div>
        <w:div w:id="760031632">
          <w:marLeft w:val="0"/>
          <w:marRight w:val="0"/>
          <w:marTop w:val="0"/>
          <w:marBottom w:val="0"/>
          <w:divBdr>
            <w:top w:val="none" w:sz="0" w:space="0" w:color="auto"/>
            <w:left w:val="none" w:sz="0" w:space="0" w:color="auto"/>
            <w:bottom w:val="none" w:sz="0" w:space="0" w:color="auto"/>
            <w:right w:val="none" w:sz="0" w:space="0" w:color="auto"/>
          </w:divBdr>
          <w:divsChild>
            <w:div w:id="3890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9797">
      <w:bodyDiv w:val="1"/>
      <w:marLeft w:val="0"/>
      <w:marRight w:val="0"/>
      <w:marTop w:val="0"/>
      <w:marBottom w:val="0"/>
      <w:divBdr>
        <w:top w:val="none" w:sz="0" w:space="0" w:color="auto"/>
        <w:left w:val="none" w:sz="0" w:space="0" w:color="auto"/>
        <w:bottom w:val="none" w:sz="0" w:space="0" w:color="auto"/>
        <w:right w:val="none" w:sz="0" w:space="0" w:color="auto"/>
      </w:divBdr>
    </w:div>
    <w:div w:id="38211274">
      <w:bodyDiv w:val="1"/>
      <w:marLeft w:val="0"/>
      <w:marRight w:val="0"/>
      <w:marTop w:val="0"/>
      <w:marBottom w:val="0"/>
      <w:divBdr>
        <w:top w:val="none" w:sz="0" w:space="0" w:color="auto"/>
        <w:left w:val="none" w:sz="0" w:space="0" w:color="auto"/>
        <w:bottom w:val="none" w:sz="0" w:space="0" w:color="auto"/>
        <w:right w:val="none" w:sz="0" w:space="0" w:color="auto"/>
      </w:divBdr>
      <w:divsChild>
        <w:div w:id="1508867383">
          <w:marLeft w:val="0"/>
          <w:marRight w:val="0"/>
          <w:marTop w:val="240"/>
          <w:marBottom w:val="0"/>
          <w:divBdr>
            <w:top w:val="none" w:sz="0" w:space="0" w:color="auto"/>
            <w:left w:val="none" w:sz="0" w:space="0" w:color="auto"/>
            <w:bottom w:val="none" w:sz="0" w:space="0" w:color="auto"/>
            <w:right w:val="none" w:sz="0" w:space="0" w:color="auto"/>
          </w:divBdr>
          <w:divsChild>
            <w:div w:id="354041636">
              <w:marLeft w:val="0"/>
              <w:marRight w:val="0"/>
              <w:marTop w:val="0"/>
              <w:marBottom w:val="0"/>
              <w:divBdr>
                <w:top w:val="none" w:sz="0" w:space="0" w:color="auto"/>
                <w:left w:val="none" w:sz="0" w:space="0" w:color="auto"/>
                <w:bottom w:val="none" w:sz="0" w:space="0" w:color="auto"/>
                <w:right w:val="none" w:sz="0" w:space="0" w:color="auto"/>
              </w:divBdr>
            </w:div>
          </w:divsChild>
        </w:div>
        <w:div w:id="1811749777">
          <w:marLeft w:val="0"/>
          <w:marRight w:val="0"/>
          <w:marTop w:val="240"/>
          <w:marBottom w:val="0"/>
          <w:divBdr>
            <w:top w:val="none" w:sz="0" w:space="0" w:color="auto"/>
            <w:left w:val="none" w:sz="0" w:space="0" w:color="auto"/>
            <w:bottom w:val="none" w:sz="0" w:space="0" w:color="auto"/>
            <w:right w:val="none" w:sz="0" w:space="0" w:color="auto"/>
          </w:divBdr>
          <w:divsChild>
            <w:div w:id="262036729">
              <w:marLeft w:val="0"/>
              <w:marRight w:val="0"/>
              <w:marTop w:val="0"/>
              <w:marBottom w:val="0"/>
              <w:divBdr>
                <w:top w:val="none" w:sz="0" w:space="0" w:color="auto"/>
                <w:left w:val="none" w:sz="0" w:space="0" w:color="auto"/>
                <w:bottom w:val="none" w:sz="0" w:space="0" w:color="auto"/>
                <w:right w:val="none" w:sz="0" w:space="0" w:color="auto"/>
              </w:divBdr>
            </w:div>
          </w:divsChild>
        </w:div>
        <w:div w:id="2027555634">
          <w:marLeft w:val="0"/>
          <w:marRight w:val="0"/>
          <w:marTop w:val="240"/>
          <w:marBottom w:val="0"/>
          <w:divBdr>
            <w:top w:val="none" w:sz="0" w:space="0" w:color="auto"/>
            <w:left w:val="none" w:sz="0" w:space="0" w:color="auto"/>
            <w:bottom w:val="none" w:sz="0" w:space="0" w:color="auto"/>
            <w:right w:val="none" w:sz="0" w:space="0" w:color="auto"/>
          </w:divBdr>
          <w:divsChild>
            <w:div w:id="11986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608">
      <w:bodyDiv w:val="1"/>
      <w:marLeft w:val="0"/>
      <w:marRight w:val="0"/>
      <w:marTop w:val="0"/>
      <w:marBottom w:val="0"/>
      <w:divBdr>
        <w:top w:val="none" w:sz="0" w:space="0" w:color="auto"/>
        <w:left w:val="none" w:sz="0" w:space="0" w:color="auto"/>
        <w:bottom w:val="none" w:sz="0" w:space="0" w:color="auto"/>
        <w:right w:val="none" w:sz="0" w:space="0" w:color="auto"/>
      </w:divBdr>
    </w:div>
    <w:div w:id="92865954">
      <w:bodyDiv w:val="1"/>
      <w:marLeft w:val="0"/>
      <w:marRight w:val="0"/>
      <w:marTop w:val="0"/>
      <w:marBottom w:val="0"/>
      <w:divBdr>
        <w:top w:val="none" w:sz="0" w:space="0" w:color="auto"/>
        <w:left w:val="none" w:sz="0" w:space="0" w:color="auto"/>
        <w:bottom w:val="none" w:sz="0" w:space="0" w:color="auto"/>
        <w:right w:val="none" w:sz="0" w:space="0" w:color="auto"/>
      </w:divBdr>
      <w:divsChild>
        <w:div w:id="615646969">
          <w:marLeft w:val="0"/>
          <w:marRight w:val="0"/>
          <w:marTop w:val="240"/>
          <w:marBottom w:val="0"/>
          <w:divBdr>
            <w:top w:val="none" w:sz="0" w:space="0" w:color="auto"/>
            <w:left w:val="none" w:sz="0" w:space="0" w:color="auto"/>
            <w:bottom w:val="none" w:sz="0" w:space="0" w:color="auto"/>
            <w:right w:val="none" w:sz="0" w:space="0" w:color="auto"/>
          </w:divBdr>
          <w:divsChild>
            <w:div w:id="1976523089">
              <w:marLeft w:val="0"/>
              <w:marRight w:val="0"/>
              <w:marTop w:val="0"/>
              <w:marBottom w:val="0"/>
              <w:divBdr>
                <w:top w:val="none" w:sz="0" w:space="0" w:color="auto"/>
                <w:left w:val="none" w:sz="0" w:space="0" w:color="auto"/>
                <w:bottom w:val="none" w:sz="0" w:space="0" w:color="auto"/>
                <w:right w:val="none" w:sz="0" w:space="0" w:color="auto"/>
              </w:divBdr>
            </w:div>
          </w:divsChild>
        </w:div>
        <w:div w:id="1475441772">
          <w:marLeft w:val="0"/>
          <w:marRight w:val="0"/>
          <w:marTop w:val="0"/>
          <w:marBottom w:val="0"/>
          <w:divBdr>
            <w:top w:val="none" w:sz="0" w:space="0" w:color="auto"/>
            <w:left w:val="none" w:sz="0" w:space="0" w:color="auto"/>
            <w:bottom w:val="none" w:sz="0" w:space="0" w:color="auto"/>
            <w:right w:val="none" w:sz="0" w:space="0" w:color="auto"/>
          </w:divBdr>
        </w:div>
      </w:divsChild>
    </w:div>
    <w:div w:id="93479421">
      <w:bodyDiv w:val="1"/>
      <w:marLeft w:val="0"/>
      <w:marRight w:val="0"/>
      <w:marTop w:val="0"/>
      <w:marBottom w:val="0"/>
      <w:divBdr>
        <w:top w:val="none" w:sz="0" w:space="0" w:color="auto"/>
        <w:left w:val="none" w:sz="0" w:space="0" w:color="auto"/>
        <w:bottom w:val="none" w:sz="0" w:space="0" w:color="auto"/>
        <w:right w:val="none" w:sz="0" w:space="0" w:color="auto"/>
      </w:divBdr>
      <w:divsChild>
        <w:div w:id="118644511">
          <w:marLeft w:val="0"/>
          <w:marRight w:val="0"/>
          <w:marTop w:val="240"/>
          <w:marBottom w:val="0"/>
          <w:divBdr>
            <w:top w:val="none" w:sz="0" w:space="0" w:color="auto"/>
            <w:left w:val="none" w:sz="0" w:space="0" w:color="auto"/>
            <w:bottom w:val="none" w:sz="0" w:space="0" w:color="auto"/>
            <w:right w:val="none" w:sz="0" w:space="0" w:color="auto"/>
          </w:divBdr>
          <w:divsChild>
            <w:div w:id="1829977132">
              <w:marLeft w:val="0"/>
              <w:marRight w:val="0"/>
              <w:marTop w:val="0"/>
              <w:marBottom w:val="0"/>
              <w:divBdr>
                <w:top w:val="none" w:sz="0" w:space="0" w:color="auto"/>
                <w:left w:val="none" w:sz="0" w:space="0" w:color="auto"/>
                <w:bottom w:val="none" w:sz="0" w:space="0" w:color="auto"/>
                <w:right w:val="none" w:sz="0" w:space="0" w:color="auto"/>
              </w:divBdr>
              <w:divsChild>
                <w:div w:id="335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0434">
          <w:marLeft w:val="0"/>
          <w:marRight w:val="0"/>
          <w:marTop w:val="240"/>
          <w:marBottom w:val="0"/>
          <w:divBdr>
            <w:top w:val="none" w:sz="0" w:space="0" w:color="auto"/>
            <w:left w:val="none" w:sz="0" w:space="0" w:color="auto"/>
            <w:bottom w:val="none" w:sz="0" w:space="0" w:color="auto"/>
            <w:right w:val="none" w:sz="0" w:space="0" w:color="auto"/>
          </w:divBdr>
          <w:divsChild>
            <w:div w:id="1084493828">
              <w:marLeft w:val="0"/>
              <w:marRight w:val="0"/>
              <w:marTop w:val="0"/>
              <w:marBottom w:val="0"/>
              <w:divBdr>
                <w:top w:val="none" w:sz="0" w:space="0" w:color="auto"/>
                <w:left w:val="none" w:sz="0" w:space="0" w:color="auto"/>
                <w:bottom w:val="none" w:sz="0" w:space="0" w:color="auto"/>
                <w:right w:val="none" w:sz="0" w:space="0" w:color="auto"/>
              </w:divBdr>
              <w:divsChild>
                <w:div w:id="12558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0807">
          <w:marLeft w:val="0"/>
          <w:marRight w:val="0"/>
          <w:marTop w:val="240"/>
          <w:marBottom w:val="0"/>
          <w:divBdr>
            <w:top w:val="none" w:sz="0" w:space="0" w:color="auto"/>
            <w:left w:val="none" w:sz="0" w:space="0" w:color="auto"/>
            <w:bottom w:val="none" w:sz="0" w:space="0" w:color="auto"/>
            <w:right w:val="none" w:sz="0" w:space="0" w:color="auto"/>
          </w:divBdr>
          <w:divsChild>
            <w:div w:id="196889871">
              <w:marLeft w:val="0"/>
              <w:marRight w:val="0"/>
              <w:marTop w:val="0"/>
              <w:marBottom w:val="0"/>
              <w:divBdr>
                <w:top w:val="none" w:sz="0" w:space="0" w:color="auto"/>
                <w:left w:val="none" w:sz="0" w:space="0" w:color="auto"/>
                <w:bottom w:val="none" w:sz="0" w:space="0" w:color="auto"/>
                <w:right w:val="none" w:sz="0" w:space="0" w:color="auto"/>
              </w:divBdr>
              <w:divsChild>
                <w:div w:id="3114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9746">
      <w:bodyDiv w:val="1"/>
      <w:marLeft w:val="0"/>
      <w:marRight w:val="0"/>
      <w:marTop w:val="0"/>
      <w:marBottom w:val="0"/>
      <w:divBdr>
        <w:top w:val="none" w:sz="0" w:space="0" w:color="auto"/>
        <w:left w:val="none" w:sz="0" w:space="0" w:color="auto"/>
        <w:bottom w:val="none" w:sz="0" w:space="0" w:color="auto"/>
        <w:right w:val="none" w:sz="0" w:space="0" w:color="auto"/>
      </w:divBdr>
    </w:div>
    <w:div w:id="97916861">
      <w:bodyDiv w:val="1"/>
      <w:marLeft w:val="0"/>
      <w:marRight w:val="0"/>
      <w:marTop w:val="0"/>
      <w:marBottom w:val="0"/>
      <w:divBdr>
        <w:top w:val="none" w:sz="0" w:space="0" w:color="auto"/>
        <w:left w:val="none" w:sz="0" w:space="0" w:color="auto"/>
        <w:bottom w:val="none" w:sz="0" w:space="0" w:color="auto"/>
        <w:right w:val="none" w:sz="0" w:space="0" w:color="auto"/>
      </w:divBdr>
    </w:div>
    <w:div w:id="116489807">
      <w:bodyDiv w:val="1"/>
      <w:marLeft w:val="0"/>
      <w:marRight w:val="0"/>
      <w:marTop w:val="0"/>
      <w:marBottom w:val="0"/>
      <w:divBdr>
        <w:top w:val="none" w:sz="0" w:space="0" w:color="auto"/>
        <w:left w:val="none" w:sz="0" w:space="0" w:color="auto"/>
        <w:bottom w:val="none" w:sz="0" w:space="0" w:color="auto"/>
        <w:right w:val="none" w:sz="0" w:space="0" w:color="auto"/>
      </w:divBdr>
    </w:div>
    <w:div w:id="138308350">
      <w:bodyDiv w:val="1"/>
      <w:marLeft w:val="0"/>
      <w:marRight w:val="0"/>
      <w:marTop w:val="0"/>
      <w:marBottom w:val="0"/>
      <w:divBdr>
        <w:top w:val="none" w:sz="0" w:space="0" w:color="auto"/>
        <w:left w:val="none" w:sz="0" w:space="0" w:color="auto"/>
        <w:bottom w:val="none" w:sz="0" w:space="0" w:color="auto"/>
        <w:right w:val="none" w:sz="0" w:space="0" w:color="auto"/>
      </w:divBdr>
      <w:divsChild>
        <w:div w:id="1642151991">
          <w:marLeft w:val="0"/>
          <w:marRight w:val="0"/>
          <w:marTop w:val="0"/>
          <w:marBottom w:val="0"/>
          <w:divBdr>
            <w:top w:val="none" w:sz="0" w:space="0" w:color="auto"/>
            <w:left w:val="none" w:sz="0" w:space="0" w:color="auto"/>
            <w:bottom w:val="none" w:sz="0" w:space="0" w:color="auto"/>
            <w:right w:val="none" w:sz="0" w:space="0" w:color="auto"/>
          </w:divBdr>
          <w:divsChild>
            <w:div w:id="1108894606">
              <w:marLeft w:val="0"/>
              <w:marRight w:val="0"/>
              <w:marTop w:val="0"/>
              <w:marBottom w:val="0"/>
              <w:divBdr>
                <w:top w:val="none" w:sz="0" w:space="0" w:color="auto"/>
                <w:left w:val="none" w:sz="0" w:space="0" w:color="auto"/>
                <w:bottom w:val="none" w:sz="0" w:space="0" w:color="auto"/>
                <w:right w:val="none" w:sz="0" w:space="0" w:color="auto"/>
              </w:divBdr>
            </w:div>
          </w:divsChild>
        </w:div>
        <w:div w:id="1117061349">
          <w:marLeft w:val="0"/>
          <w:marRight w:val="0"/>
          <w:marTop w:val="0"/>
          <w:marBottom w:val="0"/>
          <w:divBdr>
            <w:top w:val="none" w:sz="0" w:space="0" w:color="auto"/>
            <w:left w:val="none" w:sz="0" w:space="0" w:color="auto"/>
            <w:bottom w:val="none" w:sz="0" w:space="0" w:color="auto"/>
            <w:right w:val="none" w:sz="0" w:space="0" w:color="auto"/>
          </w:divBdr>
          <w:divsChild>
            <w:div w:id="715350902">
              <w:marLeft w:val="0"/>
              <w:marRight w:val="0"/>
              <w:marTop w:val="0"/>
              <w:marBottom w:val="0"/>
              <w:divBdr>
                <w:top w:val="none" w:sz="0" w:space="0" w:color="auto"/>
                <w:left w:val="none" w:sz="0" w:space="0" w:color="auto"/>
                <w:bottom w:val="none" w:sz="0" w:space="0" w:color="auto"/>
                <w:right w:val="none" w:sz="0" w:space="0" w:color="auto"/>
              </w:divBdr>
            </w:div>
          </w:divsChild>
        </w:div>
        <w:div w:id="2112122654">
          <w:marLeft w:val="0"/>
          <w:marRight w:val="0"/>
          <w:marTop w:val="0"/>
          <w:marBottom w:val="0"/>
          <w:divBdr>
            <w:top w:val="none" w:sz="0" w:space="0" w:color="auto"/>
            <w:left w:val="none" w:sz="0" w:space="0" w:color="auto"/>
            <w:bottom w:val="none" w:sz="0" w:space="0" w:color="auto"/>
            <w:right w:val="none" w:sz="0" w:space="0" w:color="auto"/>
          </w:divBdr>
          <w:divsChild>
            <w:div w:id="15887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902">
      <w:bodyDiv w:val="1"/>
      <w:marLeft w:val="0"/>
      <w:marRight w:val="0"/>
      <w:marTop w:val="0"/>
      <w:marBottom w:val="0"/>
      <w:divBdr>
        <w:top w:val="none" w:sz="0" w:space="0" w:color="auto"/>
        <w:left w:val="none" w:sz="0" w:space="0" w:color="auto"/>
        <w:bottom w:val="none" w:sz="0" w:space="0" w:color="auto"/>
        <w:right w:val="none" w:sz="0" w:space="0" w:color="auto"/>
      </w:divBdr>
      <w:divsChild>
        <w:div w:id="1960650304">
          <w:marLeft w:val="0"/>
          <w:marRight w:val="0"/>
          <w:marTop w:val="240"/>
          <w:marBottom w:val="0"/>
          <w:divBdr>
            <w:top w:val="none" w:sz="0" w:space="0" w:color="auto"/>
            <w:left w:val="none" w:sz="0" w:space="0" w:color="auto"/>
            <w:bottom w:val="none" w:sz="0" w:space="0" w:color="auto"/>
            <w:right w:val="none" w:sz="0" w:space="0" w:color="auto"/>
          </w:divBdr>
          <w:divsChild>
            <w:div w:id="1264998065">
              <w:marLeft w:val="0"/>
              <w:marRight w:val="0"/>
              <w:marTop w:val="0"/>
              <w:marBottom w:val="0"/>
              <w:divBdr>
                <w:top w:val="none" w:sz="0" w:space="0" w:color="auto"/>
                <w:left w:val="none" w:sz="0" w:space="0" w:color="auto"/>
                <w:bottom w:val="none" w:sz="0" w:space="0" w:color="auto"/>
                <w:right w:val="none" w:sz="0" w:space="0" w:color="auto"/>
              </w:divBdr>
            </w:div>
          </w:divsChild>
        </w:div>
        <w:div w:id="2030065784">
          <w:marLeft w:val="0"/>
          <w:marRight w:val="0"/>
          <w:marTop w:val="240"/>
          <w:marBottom w:val="0"/>
          <w:divBdr>
            <w:top w:val="none" w:sz="0" w:space="0" w:color="auto"/>
            <w:left w:val="none" w:sz="0" w:space="0" w:color="auto"/>
            <w:bottom w:val="none" w:sz="0" w:space="0" w:color="auto"/>
            <w:right w:val="none" w:sz="0" w:space="0" w:color="auto"/>
          </w:divBdr>
          <w:divsChild>
            <w:div w:id="19280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8999">
      <w:bodyDiv w:val="1"/>
      <w:marLeft w:val="0"/>
      <w:marRight w:val="0"/>
      <w:marTop w:val="0"/>
      <w:marBottom w:val="0"/>
      <w:divBdr>
        <w:top w:val="none" w:sz="0" w:space="0" w:color="auto"/>
        <w:left w:val="none" w:sz="0" w:space="0" w:color="auto"/>
        <w:bottom w:val="none" w:sz="0" w:space="0" w:color="auto"/>
        <w:right w:val="none" w:sz="0" w:space="0" w:color="auto"/>
      </w:divBdr>
    </w:div>
    <w:div w:id="170724824">
      <w:bodyDiv w:val="1"/>
      <w:marLeft w:val="0"/>
      <w:marRight w:val="0"/>
      <w:marTop w:val="0"/>
      <w:marBottom w:val="0"/>
      <w:divBdr>
        <w:top w:val="none" w:sz="0" w:space="0" w:color="auto"/>
        <w:left w:val="none" w:sz="0" w:space="0" w:color="auto"/>
        <w:bottom w:val="none" w:sz="0" w:space="0" w:color="auto"/>
        <w:right w:val="none" w:sz="0" w:space="0" w:color="auto"/>
      </w:divBdr>
    </w:div>
    <w:div w:id="176965527">
      <w:bodyDiv w:val="1"/>
      <w:marLeft w:val="0"/>
      <w:marRight w:val="0"/>
      <w:marTop w:val="0"/>
      <w:marBottom w:val="0"/>
      <w:divBdr>
        <w:top w:val="none" w:sz="0" w:space="0" w:color="auto"/>
        <w:left w:val="none" w:sz="0" w:space="0" w:color="auto"/>
        <w:bottom w:val="none" w:sz="0" w:space="0" w:color="auto"/>
        <w:right w:val="none" w:sz="0" w:space="0" w:color="auto"/>
      </w:divBdr>
      <w:divsChild>
        <w:div w:id="1123887519">
          <w:marLeft w:val="0"/>
          <w:marRight w:val="0"/>
          <w:marTop w:val="0"/>
          <w:marBottom w:val="0"/>
          <w:divBdr>
            <w:top w:val="none" w:sz="0" w:space="0" w:color="auto"/>
            <w:left w:val="none" w:sz="0" w:space="0" w:color="auto"/>
            <w:bottom w:val="none" w:sz="0" w:space="0" w:color="auto"/>
            <w:right w:val="none" w:sz="0" w:space="0" w:color="auto"/>
          </w:divBdr>
          <w:divsChild>
            <w:div w:id="1929927304">
              <w:marLeft w:val="0"/>
              <w:marRight w:val="0"/>
              <w:marTop w:val="0"/>
              <w:marBottom w:val="0"/>
              <w:divBdr>
                <w:top w:val="none" w:sz="0" w:space="0" w:color="auto"/>
                <w:left w:val="none" w:sz="0" w:space="0" w:color="auto"/>
                <w:bottom w:val="none" w:sz="0" w:space="0" w:color="auto"/>
                <w:right w:val="none" w:sz="0" w:space="0" w:color="auto"/>
              </w:divBdr>
            </w:div>
          </w:divsChild>
        </w:div>
        <w:div w:id="1419323047">
          <w:marLeft w:val="0"/>
          <w:marRight w:val="0"/>
          <w:marTop w:val="0"/>
          <w:marBottom w:val="0"/>
          <w:divBdr>
            <w:top w:val="none" w:sz="0" w:space="0" w:color="auto"/>
            <w:left w:val="none" w:sz="0" w:space="0" w:color="auto"/>
            <w:bottom w:val="none" w:sz="0" w:space="0" w:color="auto"/>
            <w:right w:val="none" w:sz="0" w:space="0" w:color="auto"/>
          </w:divBdr>
          <w:divsChild>
            <w:div w:id="1317414790">
              <w:marLeft w:val="0"/>
              <w:marRight w:val="0"/>
              <w:marTop w:val="0"/>
              <w:marBottom w:val="0"/>
              <w:divBdr>
                <w:top w:val="none" w:sz="0" w:space="0" w:color="auto"/>
                <w:left w:val="none" w:sz="0" w:space="0" w:color="auto"/>
                <w:bottom w:val="none" w:sz="0" w:space="0" w:color="auto"/>
                <w:right w:val="none" w:sz="0" w:space="0" w:color="auto"/>
              </w:divBdr>
            </w:div>
          </w:divsChild>
        </w:div>
        <w:div w:id="1877738659">
          <w:marLeft w:val="0"/>
          <w:marRight w:val="0"/>
          <w:marTop w:val="0"/>
          <w:marBottom w:val="0"/>
          <w:divBdr>
            <w:top w:val="none" w:sz="0" w:space="0" w:color="auto"/>
            <w:left w:val="none" w:sz="0" w:space="0" w:color="auto"/>
            <w:bottom w:val="none" w:sz="0" w:space="0" w:color="auto"/>
            <w:right w:val="none" w:sz="0" w:space="0" w:color="auto"/>
          </w:divBdr>
          <w:divsChild>
            <w:div w:id="1716541496">
              <w:marLeft w:val="0"/>
              <w:marRight w:val="0"/>
              <w:marTop w:val="0"/>
              <w:marBottom w:val="0"/>
              <w:divBdr>
                <w:top w:val="none" w:sz="0" w:space="0" w:color="auto"/>
                <w:left w:val="none" w:sz="0" w:space="0" w:color="auto"/>
                <w:bottom w:val="none" w:sz="0" w:space="0" w:color="auto"/>
                <w:right w:val="none" w:sz="0" w:space="0" w:color="auto"/>
              </w:divBdr>
            </w:div>
          </w:divsChild>
        </w:div>
        <w:div w:id="1369455267">
          <w:marLeft w:val="0"/>
          <w:marRight w:val="0"/>
          <w:marTop w:val="0"/>
          <w:marBottom w:val="0"/>
          <w:divBdr>
            <w:top w:val="none" w:sz="0" w:space="0" w:color="auto"/>
            <w:left w:val="none" w:sz="0" w:space="0" w:color="auto"/>
            <w:bottom w:val="none" w:sz="0" w:space="0" w:color="auto"/>
            <w:right w:val="none" w:sz="0" w:space="0" w:color="auto"/>
          </w:divBdr>
          <w:divsChild>
            <w:div w:id="20102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5513">
      <w:bodyDiv w:val="1"/>
      <w:marLeft w:val="0"/>
      <w:marRight w:val="0"/>
      <w:marTop w:val="0"/>
      <w:marBottom w:val="0"/>
      <w:divBdr>
        <w:top w:val="none" w:sz="0" w:space="0" w:color="auto"/>
        <w:left w:val="none" w:sz="0" w:space="0" w:color="auto"/>
        <w:bottom w:val="none" w:sz="0" w:space="0" w:color="auto"/>
        <w:right w:val="none" w:sz="0" w:space="0" w:color="auto"/>
      </w:divBdr>
      <w:divsChild>
        <w:div w:id="276565723">
          <w:marLeft w:val="0"/>
          <w:marRight w:val="0"/>
          <w:marTop w:val="0"/>
          <w:marBottom w:val="0"/>
          <w:divBdr>
            <w:top w:val="none" w:sz="0" w:space="0" w:color="auto"/>
            <w:left w:val="none" w:sz="0" w:space="0" w:color="auto"/>
            <w:bottom w:val="none" w:sz="0" w:space="0" w:color="auto"/>
            <w:right w:val="none" w:sz="0" w:space="0" w:color="auto"/>
          </w:divBdr>
        </w:div>
        <w:div w:id="913928020">
          <w:marLeft w:val="0"/>
          <w:marRight w:val="0"/>
          <w:marTop w:val="240"/>
          <w:marBottom w:val="0"/>
          <w:divBdr>
            <w:top w:val="none" w:sz="0" w:space="0" w:color="auto"/>
            <w:left w:val="none" w:sz="0" w:space="0" w:color="auto"/>
            <w:bottom w:val="none" w:sz="0" w:space="0" w:color="auto"/>
            <w:right w:val="none" w:sz="0" w:space="0" w:color="auto"/>
          </w:divBdr>
          <w:divsChild>
            <w:div w:id="17894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3442">
      <w:bodyDiv w:val="1"/>
      <w:marLeft w:val="0"/>
      <w:marRight w:val="0"/>
      <w:marTop w:val="0"/>
      <w:marBottom w:val="0"/>
      <w:divBdr>
        <w:top w:val="none" w:sz="0" w:space="0" w:color="auto"/>
        <w:left w:val="none" w:sz="0" w:space="0" w:color="auto"/>
        <w:bottom w:val="none" w:sz="0" w:space="0" w:color="auto"/>
        <w:right w:val="none" w:sz="0" w:space="0" w:color="auto"/>
      </w:divBdr>
      <w:divsChild>
        <w:div w:id="275987183">
          <w:marLeft w:val="0"/>
          <w:marRight w:val="0"/>
          <w:marTop w:val="240"/>
          <w:marBottom w:val="0"/>
          <w:divBdr>
            <w:top w:val="none" w:sz="0" w:space="0" w:color="auto"/>
            <w:left w:val="none" w:sz="0" w:space="0" w:color="auto"/>
            <w:bottom w:val="none" w:sz="0" w:space="0" w:color="auto"/>
            <w:right w:val="none" w:sz="0" w:space="0" w:color="auto"/>
          </w:divBdr>
          <w:divsChild>
            <w:div w:id="1645348261">
              <w:marLeft w:val="0"/>
              <w:marRight w:val="0"/>
              <w:marTop w:val="0"/>
              <w:marBottom w:val="0"/>
              <w:divBdr>
                <w:top w:val="none" w:sz="0" w:space="0" w:color="auto"/>
                <w:left w:val="none" w:sz="0" w:space="0" w:color="auto"/>
                <w:bottom w:val="none" w:sz="0" w:space="0" w:color="auto"/>
                <w:right w:val="none" w:sz="0" w:space="0" w:color="auto"/>
              </w:divBdr>
            </w:div>
          </w:divsChild>
        </w:div>
        <w:div w:id="478616098">
          <w:marLeft w:val="0"/>
          <w:marRight w:val="0"/>
          <w:marTop w:val="240"/>
          <w:marBottom w:val="0"/>
          <w:divBdr>
            <w:top w:val="none" w:sz="0" w:space="0" w:color="auto"/>
            <w:left w:val="none" w:sz="0" w:space="0" w:color="auto"/>
            <w:bottom w:val="none" w:sz="0" w:space="0" w:color="auto"/>
            <w:right w:val="none" w:sz="0" w:space="0" w:color="auto"/>
          </w:divBdr>
          <w:divsChild>
            <w:div w:id="1501889023">
              <w:marLeft w:val="0"/>
              <w:marRight w:val="0"/>
              <w:marTop w:val="0"/>
              <w:marBottom w:val="0"/>
              <w:divBdr>
                <w:top w:val="none" w:sz="0" w:space="0" w:color="auto"/>
                <w:left w:val="none" w:sz="0" w:space="0" w:color="auto"/>
                <w:bottom w:val="none" w:sz="0" w:space="0" w:color="auto"/>
                <w:right w:val="none" w:sz="0" w:space="0" w:color="auto"/>
              </w:divBdr>
            </w:div>
          </w:divsChild>
        </w:div>
        <w:div w:id="613514177">
          <w:marLeft w:val="0"/>
          <w:marRight w:val="0"/>
          <w:marTop w:val="240"/>
          <w:marBottom w:val="0"/>
          <w:divBdr>
            <w:top w:val="none" w:sz="0" w:space="0" w:color="auto"/>
            <w:left w:val="none" w:sz="0" w:space="0" w:color="auto"/>
            <w:bottom w:val="none" w:sz="0" w:space="0" w:color="auto"/>
            <w:right w:val="none" w:sz="0" w:space="0" w:color="auto"/>
          </w:divBdr>
          <w:divsChild>
            <w:div w:id="20779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7554">
      <w:bodyDiv w:val="1"/>
      <w:marLeft w:val="0"/>
      <w:marRight w:val="0"/>
      <w:marTop w:val="0"/>
      <w:marBottom w:val="0"/>
      <w:divBdr>
        <w:top w:val="none" w:sz="0" w:space="0" w:color="auto"/>
        <w:left w:val="none" w:sz="0" w:space="0" w:color="auto"/>
        <w:bottom w:val="none" w:sz="0" w:space="0" w:color="auto"/>
        <w:right w:val="none" w:sz="0" w:space="0" w:color="auto"/>
      </w:divBdr>
      <w:divsChild>
        <w:div w:id="359283238">
          <w:marLeft w:val="0"/>
          <w:marRight w:val="0"/>
          <w:marTop w:val="240"/>
          <w:marBottom w:val="0"/>
          <w:divBdr>
            <w:top w:val="none" w:sz="0" w:space="0" w:color="auto"/>
            <w:left w:val="none" w:sz="0" w:space="0" w:color="auto"/>
            <w:bottom w:val="none" w:sz="0" w:space="0" w:color="auto"/>
            <w:right w:val="none" w:sz="0" w:space="0" w:color="auto"/>
          </w:divBdr>
          <w:divsChild>
            <w:div w:id="1479879360">
              <w:marLeft w:val="0"/>
              <w:marRight w:val="0"/>
              <w:marTop w:val="0"/>
              <w:marBottom w:val="0"/>
              <w:divBdr>
                <w:top w:val="none" w:sz="0" w:space="0" w:color="auto"/>
                <w:left w:val="none" w:sz="0" w:space="0" w:color="auto"/>
                <w:bottom w:val="none" w:sz="0" w:space="0" w:color="auto"/>
                <w:right w:val="none" w:sz="0" w:space="0" w:color="auto"/>
              </w:divBdr>
            </w:div>
          </w:divsChild>
        </w:div>
        <w:div w:id="814491291">
          <w:marLeft w:val="0"/>
          <w:marRight w:val="0"/>
          <w:marTop w:val="240"/>
          <w:marBottom w:val="0"/>
          <w:divBdr>
            <w:top w:val="none" w:sz="0" w:space="0" w:color="auto"/>
            <w:left w:val="none" w:sz="0" w:space="0" w:color="auto"/>
            <w:bottom w:val="none" w:sz="0" w:space="0" w:color="auto"/>
            <w:right w:val="none" w:sz="0" w:space="0" w:color="auto"/>
          </w:divBdr>
          <w:divsChild>
            <w:div w:id="14192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742">
      <w:bodyDiv w:val="1"/>
      <w:marLeft w:val="0"/>
      <w:marRight w:val="0"/>
      <w:marTop w:val="0"/>
      <w:marBottom w:val="0"/>
      <w:divBdr>
        <w:top w:val="none" w:sz="0" w:space="0" w:color="auto"/>
        <w:left w:val="none" w:sz="0" w:space="0" w:color="auto"/>
        <w:bottom w:val="none" w:sz="0" w:space="0" w:color="auto"/>
        <w:right w:val="none" w:sz="0" w:space="0" w:color="auto"/>
      </w:divBdr>
    </w:div>
    <w:div w:id="222374153">
      <w:bodyDiv w:val="1"/>
      <w:marLeft w:val="0"/>
      <w:marRight w:val="0"/>
      <w:marTop w:val="0"/>
      <w:marBottom w:val="0"/>
      <w:divBdr>
        <w:top w:val="none" w:sz="0" w:space="0" w:color="auto"/>
        <w:left w:val="none" w:sz="0" w:space="0" w:color="auto"/>
        <w:bottom w:val="none" w:sz="0" w:space="0" w:color="auto"/>
        <w:right w:val="none" w:sz="0" w:space="0" w:color="auto"/>
      </w:divBdr>
      <w:divsChild>
        <w:div w:id="1336881817">
          <w:marLeft w:val="0"/>
          <w:marRight w:val="0"/>
          <w:marTop w:val="240"/>
          <w:marBottom w:val="0"/>
          <w:divBdr>
            <w:top w:val="none" w:sz="0" w:space="0" w:color="auto"/>
            <w:left w:val="none" w:sz="0" w:space="0" w:color="auto"/>
            <w:bottom w:val="none" w:sz="0" w:space="0" w:color="auto"/>
            <w:right w:val="none" w:sz="0" w:space="0" w:color="auto"/>
          </w:divBdr>
          <w:divsChild>
            <w:div w:id="1719627976">
              <w:marLeft w:val="0"/>
              <w:marRight w:val="0"/>
              <w:marTop w:val="0"/>
              <w:marBottom w:val="0"/>
              <w:divBdr>
                <w:top w:val="none" w:sz="0" w:space="0" w:color="auto"/>
                <w:left w:val="none" w:sz="0" w:space="0" w:color="auto"/>
                <w:bottom w:val="none" w:sz="0" w:space="0" w:color="auto"/>
                <w:right w:val="none" w:sz="0" w:space="0" w:color="auto"/>
              </w:divBdr>
            </w:div>
          </w:divsChild>
        </w:div>
        <w:div w:id="1682781177">
          <w:marLeft w:val="0"/>
          <w:marRight w:val="0"/>
          <w:marTop w:val="240"/>
          <w:marBottom w:val="0"/>
          <w:divBdr>
            <w:top w:val="none" w:sz="0" w:space="0" w:color="auto"/>
            <w:left w:val="none" w:sz="0" w:space="0" w:color="auto"/>
            <w:bottom w:val="none" w:sz="0" w:space="0" w:color="auto"/>
            <w:right w:val="none" w:sz="0" w:space="0" w:color="auto"/>
          </w:divBdr>
          <w:divsChild>
            <w:div w:id="755858627">
              <w:marLeft w:val="0"/>
              <w:marRight w:val="0"/>
              <w:marTop w:val="0"/>
              <w:marBottom w:val="0"/>
              <w:divBdr>
                <w:top w:val="none" w:sz="0" w:space="0" w:color="auto"/>
                <w:left w:val="none" w:sz="0" w:space="0" w:color="auto"/>
                <w:bottom w:val="none" w:sz="0" w:space="0" w:color="auto"/>
                <w:right w:val="none" w:sz="0" w:space="0" w:color="auto"/>
              </w:divBdr>
            </w:div>
          </w:divsChild>
        </w:div>
        <w:div w:id="1887833202">
          <w:marLeft w:val="0"/>
          <w:marRight w:val="0"/>
          <w:marTop w:val="240"/>
          <w:marBottom w:val="0"/>
          <w:divBdr>
            <w:top w:val="none" w:sz="0" w:space="0" w:color="auto"/>
            <w:left w:val="none" w:sz="0" w:space="0" w:color="auto"/>
            <w:bottom w:val="none" w:sz="0" w:space="0" w:color="auto"/>
            <w:right w:val="none" w:sz="0" w:space="0" w:color="auto"/>
          </w:divBdr>
          <w:divsChild>
            <w:div w:id="6260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6839">
      <w:bodyDiv w:val="1"/>
      <w:marLeft w:val="0"/>
      <w:marRight w:val="0"/>
      <w:marTop w:val="0"/>
      <w:marBottom w:val="0"/>
      <w:divBdr>
        <w:top w:val="none" w:sz="0" w:space="0" w:color="auto"/>
        <w:left w:val="none" w:sz="0" w:space="0" w:color="auto"/>
        <w:bottom w:val="none" w:sz="0" w:space="0" w:color="auto"/>
        <w:right w:val="none" w:sz="0" w:space="0" w:color="auto"/>
      </w:divBdr>
      <w:divsChild>
        <w:div w:id="324090901">
          <w:marLeft w:val="0"/>
          <w:marRight w:val="0"/>
          <w:marTop w:val="0"/>
          <w:marBottom w:val="0"/>
          <w:divBdr>
            <w:top w:val="none" w:sz="0" w:space="0" w:color="auto"/>
            <w:left w:val="none" w:sz="0" w:space="0" w:color="auto"/>
            <w:bottom w:val="none" w:sz="0" w:space="0" w:color="auto"/>
            <w:right w:val="none" w:sz="0" w:space="0" w:color="auto"/>
          </w:divBdr>
        </w:div>
      </w:divsChild>
    </w:div>
    <w:div w:id="264309965">
      <w:bodyDiv w:val="1"/>
      <w:marLeft w:val="0"/>
      <w:marRight w:val="0"/>
      <w:marTop w:val="0"/>
      <w:marBottom w:val="0"/>
      <w:divBdr>
        <w:top w:val="none" w:sz="0" w:space="0" w:color="auto"/>
        <w:left w:val="none" w:sz="0" w:space="0" w:color="auto"/>
        <w:bottom w:val="none" w:sz="0" w:space="0" w:color="auto"/>
        <w:right w:val="none" w:sz="0" w:space="0" w:color="auto"/>
      </w:divBdr>
      <w:divsChild>
        <w:div w:id="197011773">
          <w:marLeft w:val="0"/>
          <w:marRight w:val="0"/>
          <w:marTop w:val="240"/>
          <w:marBottom w:val="240"/>
          <w:divBdr>
            <w:top w:val="none" w:sz="0" w:space="0" w:color="auto"/>
            <w:left w:val="none" w:sz="0" w:space="0" w:color="auto"/>
            <w:bottom w:val="none" w:sz="0" w:space="0" w:color="auto"/>
            <w:right w:val="none" w:sz="0" w:space="0" w:color="auto"/>
          </w:divBdr>
          <w:divsChild>
            <w:div w:id="268198815">
              <w:marLeft w:val="0"/>
              <w:marRight w:val="0"/>
              <w:marTop w:val="0"/>
              <w:marBottom w:val="0"/>
              <w:divBdr>
                <w:top w:val="none" w:sz="0" w:space="0" w:color="auto"/>
                <w:left w:val="none" w:sz="0" w:space="0" w:color="auto"/>
                <w:bottom w:val="none" w:sz="0" w:space="0" w:color="auto"/>
                <w:right w:val="none" w:sz="0" w:space="0" w:color="auto"/>
              </w:divBdr>
            </w:div>
            <w:div w:id="672604978">
              <w:marLeft w:val="0"/>
              <w:marRight w:val="0"/>
              <w:marTop w:val="240"/>
              <w:marBottom w:val="240"/>
              <w:divBdr>
                <w:top w:val="none" w:sz="0" w:space="0" w:color="auto"/>
                <w:left w:val="none" w:sz="0" w:space="0" w:color="auto"/>
                <w:bottom w:val="none" w:sz="0" w:space="0" w:color="auto"/>
                <w:right w:val="none" w:sz="0" w:space="0" w:color="auto"/>
              </w:divBdr>
            </w:div>
            <w:div w:id="881284535">
              <w:marLeft w:val="0"/>
              <w:marRight w:val="0"/>
              <w:marTop w:val="0"/>
              <w:marBottom w:val="0"/>
              <w:divBdr>
                <w:top w:val="none" w:sz="0" w:space="0" w:color="auto"/>
                <w:left w:val="none" w:sz="0" w:space="0" w:color="auto"/>
                <w:bottom w:val="none" w:sz="0" w:space="0" w:color="auto"/>
                <w:right w:val="none" w:sz="0" w:space="0" w:color="auto"/>
              </w:divBdr>
            </w:div>
            <w:div w:id="1580478688">
              <w:marLeft w:val="0"/>
              <w:marRight w:val="0"/>
              <w:marTop w:val="0"/>
              <w:marBottom w:val="0"/>
              <w:divBdr>
                <w:top w:val="none" w:sz="0" w:space="0" w:color="auto"/>
                <w:left w:val="none" w:sz="0" w:space="0" w:color="auto"/>
                <w:bottom w:val="none" w:sz="0" w:space="0" w:color="auto"/>
                <w:right w:val="none" w:sz="0" w:space="0" w:color="auto"/>
              </w:divBdr>
            </w:div>
            <w:div w:id="1737587447">
              <w:marLeft w:val="0"/>
              <w:marRight w:val="0"/>
              <w:marTop w:val="0"/>
              <w:marBottom w:val="0"/>
              <w:divBdr>
                <w:top w:val="none" w:sz="0" w:space="0" w:color="auto"/>
                <w:left w:val="none" w:sz="0" w:space="0" w:color="auto"/>
                <w:bottom w:val="none" w:sz="0" w:space="0" w:color="auto"/>
                <w:right w:val="none" w:sz="0" w:space="0" w:color="auto"/>
              </w:divBdr>
            </w:div>
            <w:div w:id="1970164589">
              <w:marLeft w:val="0"/>
              <w:marRight w:val="0"/>
              <w:marTop w:val="0"/>
              <w:marBottom w:val="0"/>
              <w:divBdr>
                <w:top w:val="none" w:sz="0" w:space="0" w:color="auto"/>
                <w:left w:val="none" w:sz="0" w:space="0" w:color="auto"/>
                <w:bottom w:val="none" w:sz="0" w:space="0" w:color="auto"/>
                <w:right w:val="none" w:sz="0" w:space="0" w:color="auto"/>
              </w:divBdr>
              <w:divsChild>
                <w:div w:id="1734815600">
                  <w:marLeft w:val="0"/>
                  <w:marRight w:val="0"/>
                  <w:marTop w:val="0"/>
                  <w:marBottom w:val="0"/>
                  <w:divBdr>
                    <w:top w:val="none" w:sz="0" w:space="0" w:color="auto"/>
                    <w:left w:val="none" w:sz="0" w:space="0" w:color="auto"/>
                    <w:bottom w:val="none" w:sz="0" w:space="0" w:color="auto"/>
                    <w:right w:val="none" w:sz="0" w:space="0" w:color="auto"/>
                  </w:divBdr>
                </w:div>
                <w:div w:id="20750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1974">
      <w:bodyDiv w:val="1"/>
      <w:marLeft w:val="0"/>
      <w:marRight w:val="0"/>
      <w:marTop w:val="0"/>
      <w:marBottom w:val="0"/>
      <w:divBdr>
        <w:top w:val="none" w:sz="0" w:space="0" w:color="auto"/>
        <w:left w:val="none" w:sz="0" w:space="0" w:color="auto"/>
        <w:bottom w:val="none" w:sz="0" w:space="0" w:color="auto"/>
        <w:right w:val="none" w:sz="0" w:space="0" w:color="auto"/>
      </w:divBdr>
      <w:divsChild>
        <w:div w:id="2057581855">
          <w:marLeft w:val="0"/>
          <w:marRight w:val="0"/>
          <w:marTop w:val="240"/>
          <w:marBottom w:val="0"/>
          <w:divBdr>
            <w:top w:val="none" w:sz="0" w:space="0" w:color="auto"/>
            <w:left w:val="none" w:sz="0" w:space="0" w:color="auto"/>
            <w:bottom w:val="none" w:sz="0" w:space="0" w:color="auto"/>
            <w:right w:val="none" w:sz="0" w:space="0" w:color="auto"/>
          </w:divBdr>
          <w:divsChild>
            <w:div w:id="785655978">
              <w:marLeft w:val="0"/>
              <w:marRight w:val="0"/>
              <w:marTop w:val="0"/>
              <w:marBottom w:val="0"/>
              <w:divBdr>
                <w:top w:val="none" w:sz="0" w:space="0" w:color="auto"/>
                <w:left w:val="none" w:sz="0" w:space="0" w:color="auto"/>
                <w:bottom w:val="none" w:sz="0" w:space="0" w:color="auto"/>
                <w:right w:val="none" w:sz="0" w:space="0" w:color="auto"/>
              </w:divBdr>
              <w:divsChild>
                <w:div w:id="1835219947">
                  <w:marLeft w:val="0"/>
                  <w:marRight w:val="0"/>
                  <w:marTop w:val="0"/>
                  <w:marBottom w:val="0"/>
                  <w:divBdr>
                    <w:top w:val="none" w:sz="0" w:space="0" w:color="auto"/>
                    <w:left w:val="none" w:sz="0" w:space="0" w:color="auto"/>
                    <w:bottom w:val="none" w:sz="0" w:space="0" w:color="auto"/>
                    <w:right w:val="none" w:sz="0" w:space="0" w:color="auto"/>
                  </w:divBdr>
                </w:div>
              </w:divsChild>
            </w:div>
            <w:div w:id="1282569317">
              <w:marLeft w:val="0"/>
              <w:marRight w:val="0"/>
              <w:marTop w:val="240"/>
              <w:marBottom w:val="0"/>
              <w:divBdr>
                <w:top w:val="none" w:sz="0" w:space="0" w:color="auto"/>
                <w:left w:val="none" w:sz="0" w:space="0" w:color="auto"/>
                <w:bottom w:val="none" w:sz="0" w:space="0" w:color="auto"/>
                <w:right w:val="none" w:sz="0" w:space="0" w:color="auto"/>
              </w:divBdr>
              <w:divsChild>
                <w:div w:id="1851292469">
                  <w:marLeft w:val="0"/>
                  <w:marRight w:val="0"/>
                  <w:marTop w:val="0"/>
                  <w:marBottom w:val="0"/>
                  <w:divBdr>
                    <w:top w:val="none" w:sz="0" w:space="0" w:color="auto"/>
                    <w:left w:val="none" w:sz="0" w:space="0" w:color="auto"/>
                    <w:bottom w:val="none" w:sz="0" w:space="0" w:color="auto"/>
                    <w:right w:val="none" w:sz="0" w:space="0" w:color="auto"/>
                  </w:divBdr>
                  <w:divsChild>
                    <w:div w:id="4922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164">
          <w:marLeft w:val="0"/>
          <w:marRight w:val="0"/>
          <w:marTop w:val="240"/>
          <w:marBottom w:val="0"/>
          <w:divBdr>
            <w:top w:val="none" w:sz="0" w:space="0" w:color="auto"/>
            <w:left w:val="none" w:sz="0" w:space="0" w:color="auto"/>
            <w:bottom w:val="none" w:sz="0" w:space="0" w:color="auto"/>
            <w:right w:val="none" w:sz="0" w:space="0" w:color="auto"/>
          </w:divBdr>
          <w:divsChild>
            <w:div w:id="146019627">
              <w:marLeft w:val="0"/>
              <w:marRight w:val="0"/>
              <w:marTop w:val="240"/>
              <w:marBottom w:val="0"/>
              <w:divBdr>
                <w:top w:val="none" w:sz="0" w:space="0" w:color="auto"/>
                <w:left w:val="none" w:sz="0" w:space="0" w:color="auto"/>
                <w:bottom w:val="none" w:sz="0" w:space="0" w:color="auto"/>
                <w:right w:val="none" w:sz="0" w:space="0" w:color="auto"/>
              </w:divBdr>
              <w:divsChild>
                <w:div w:id="1166439082">
                  <w:marLeft w:val="0"/>
                  <w:marRight w:val="0"/>
                  <w:marTop w:val="0"/>
                  <w:marBottom w:val="0"/>
                  <w:divBdr>
                    <w:top w:val="none" w:sz="0" w:space="0" w:color="auto"/>
                    <w:left w:val="none" w:sz="0" w:space="0" w:color="auto"/>
                    <w:bottom w:val="none" w:sz="0" w:space="0" w:color="auto"/>
                    <w:right w:val="none" w:sz="0" w:space="0" w:color="auto"/>
                  </w:divBdr>
                  <w:divsChild>
                    <w:div w:id="20004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5070">
              <w:marLeft w:val="0"/>
              <w:marRight w:val="0"/>
              <w:marTop w:val="240"/>
              <w:marBottom w:val="0"/>
              <w:divBdr>
                <w:top w:val="none" w:sz="0" w:space="0" w:color="auto"/>
                <w:left w:val="none" w:sz="0" w:space="0" w:color="auto"/>
                <w:bottom w:val="none" w:sz="0" w:space="0" w:color="auto"/>
                <w:right w:val="none" w:sz="0" w:space="0" w:color="auto"/>
              </w:divBdr>
              <w:divsChild>
                <w:div w:id="688799265">
                  <w:marLeft w:val="0"/>
                  <w:marRight w:val="0"/>
                  <w:marTop w:val="0"/>
                  <w:marBottom w:val="0"/>
                  <w:divBdr>
                    <w:top w:val="none" w:sz="0" w:space="0" w:color="auto"/>
                    <w:left w:val="none" w:sz="0" w:space="0" w:color="auto"/>
                    <w:bottom w:val="none" w:sz="0" w:space="0" w:color="auto"/>
                    <w:right w:val="none" w:sz="0" w:space="0" w:color="auto"/>
                  </w:divBdr>
                  <w:divsChild>
                    <w:div w:id="11917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08263">
              <w:marLeft w:val="0"/>
              <w:marRight w:val="0"/>
              <w:marTop w:val="0"/>
              <w:marBottom w:val="0"/>
              <w:divBdr>
                <w:top w:val="none" w:sz="0" w:space="0" w:color="auto"/>
                <w:left w:val="none" w:sz="0" w:space="0" w:color="auto"/>
                <w:bottom w:val="none" w:sz="0" w:space="0" w:color="auto"/>
                <w:right w:val="none" w:sz="0" w:space="0" w:color="auto"/>
              </w:divBdr>
              <w:divsChild>
                <w:div w:id="2117481587">
                  <w:marLeft w:val="0"/>
                  <w:marRight w:val="0"/>
                  <w:marTop w:val="0"/>
                  <w:marBottom w:val="0"/>
                  <w:divBdr>
                    <w:top w:val="none" w:sz="0" w:space="0" w:color="auto"/>
                    <w:left w:val="none" w:sz="0" w:space="0" w:color="auto"/>
                    <w:bottom w:val="none" w:sz="0" w:space="0" w:color="auto"/>
                    <w:right w:val="none" w:sz="0" w:space="0" w:color="auto"/>
                  </w:divBdr>
                </w:div>
              </w:divsChild>
            </w:div>
            <w:div w:id="867520948">
              <w:marLeft w:val="0"/>
              <w:marRight w:val="0"/>
              <w:marTop w:val="240"/>
              <w:marBottom w:val="0"/>
              <w:divBdr>
                <w:top w:val="none" w:sz="0" w:space="0" w:color="auto"/>
                <w:left w:val="none" w:sz="0" w:space="0" w:color="auto"/>
                <w:bottom w:val="none" w:sz="0" w:space="0" w:color="auto"/>
                <w:right w:val="none" w:sz="0" w:space="0" w:color="auto"/>
              </w:divBdr>
              <w:divsChild>
                <w:div w:id="2074085398">
                  <w:marLeft w:val="0"/>
                  <w:marRight w:val="0"/>
                  <w:marTop w:val="0"/>
                  <w:marBottom w:val="0"/>
                  <w:divBdr>
                    <w:top w:val="none" w:sz="0" w:space="0" w:color="auto"/>
                    <w:left w:val="none" w:sz="0" w:space="0" w:color="auto"/>
                    <w:bottom w:val="none" w:sz="0" w:space="0" w:color="auto"/>
                    <w:right w:val="none" w:sz="0" w:space="0" w:color="auto"/>
                  </w:divBdr>
                  <w:divsChild>
                    <w:div w:id="4796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29644">
      <w:bodyDiv w:val="1"/>
      <w:marLeft w:val="0"/>
      <w:marRight w:val="0"/>
      <w:marTop w:val="0"/>
      <w:marBottom w:val="0"/>
      <w:divBdr>
        <w:top w:val="none" w:sz="0" w:space="0" w:color="auto"/>
        <w:left w:val="none" w:sz="0" w:space="0" w:color="auto"/>
        <w:bottom w:val="none" w:sz="0" w:space="0" w:color="auto"/>
        <w:right w:val="none" w:sz="0" w:space="0" w:color="auto"/>
      </w:divBdr>
      <w:divsChild>
        <w:div w:id="1866668626">
          <w:marLeft w:val="0"/>
          <w:marRight w:val="0"/>
          <w:marTop w:val="0"/>
          <w:marBottom w:val="0"/>
          <w:divBdr>
            <w:top w:val="none" w:sz="0" w:space="0" w:color="auto"/>
            <w:left w:val="none" w:sz="0" w:space="0" w:color="auto"/>
            <w:bottom w:val="none" w:sz="0" w:space="0" w:color="auto"/>
            <w:right w:val="none" w:sz="0" w:space="0" w:color="auto"/>
          </w:divBdr>
          <w:divsChild>
            <w:div w:id="1992565125">
              <w:marLeft w:val="0"/>
              <w:marRight w:val="0"/>
              <w:marTop w:val="0"/>
              <w:marBottom w:val="0"/>
              <w:divBdr>
                <w:top w:val="none" w:sz="0" w:space="0" w:color="auto"/>
                <w:left w:val="none" w:sz="0" w:space="0" w:color="auto"/>
                <w:bottom w:val="none" w:sz="0" w:space="0" w:color="auto"/>
                <w:right w:val="none" w:sz="0" w:space="0" w:color="auto"/>
              </w:divBdr>
            </w:div>
          </w:divsChild>
        </w:div>
        <w:div w:id="2109956891">
          <w:marLeft w:val="0"/>
          <w:marRight w:val="0"/>
          <w:marTop w:val="0"/>
          <w:marBottom w:val="0"/>
          <w:divBdr>
            <w:top w:val="none" w:sz="0" w:space="0" w:color="auto"/>
            <w:left w:val="none" w:sz="0" w:space="0" w:color="auto"/>
            <w:bottom w:val="none" w:sz="0" w:space="0" w:color="auto"/>
            <w:right w:val="none" w:sz="0" w:space="0" w:color="auto"/>
          </w:divBdr>
          <w:divsChild>
            <w:div w:id="1359503740">
              <w:marLeft w:val="0"/>
              <w:marRight w:val="0"/>
              <w:marTop w:val="0"/>
              <w:marBottom w:val="0"/>
              <w:divBdr>
                <w:top w:val="none" w:sz="0" w:space="0" w:color="auto"/>
                <w:left w:val="none" w:sz="0" w:space="0" w:color="auto"/>
                <w:bottom w:val="none" w:sz="0" w:space="0" w:color="auto"/>
                <w:right w:val="none" w:sz="0" w:space="0" w:color="auto"/>
              </w:divBdr>
            </w:div>
          </w:divsChild>
        </w:div>
        <w:div w:id="383262869">
          <w:marLeft w:val="0"/>
          <w:marRight w:val="0"/>
          <w:marTop w:val="0"/>
          <w:marBottom w:val="0"/>
          <w:divBdr>
            <w:top w:val="none" w:sz="0" w:space="0" w:color="auto"/>
            <w:left w:val="none" w:sz="0" w:space="0" w:color="auto"/>
            <w:bottom w:val="none" w:sz="0" w:space="0" w:color="auto"/>
            <w:right w:val="none" w:sz="0" w:space="0" w:color="auto"/>
          </w:divBdr>
          <w:divsChild>
            <w:div w:id="8533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63302">
      <w:bodyDiv w:val="1"/>
      <w:marLeft w:val="0"/>
      <w:marRight w:val="0"/>
      <w:marTop w:val="0"/>
      <w:marBottom w:val="0"/>
      <w:divBdr>
        <w:top w:val="none" w:sz="0" w:space="0" w:color="auto"/>
        <w:left w:val="none" w:sz="0" w:space="0" w:color="auto"/>
        <w:bottom w:val="none" w:sz="0" w:space="0" w:color="auto"/>
        <w:right w:val="none" w:sz="0" w:space="0" w:color="auto"/>
      </w:divBdr>
      <w:divsChild>
        <w:div w:id="365374357">
          <w:marLeft w:val="0"/>
          <w:marRight w:val="0"/>
          <w:marTop w:val="240"/>
          <w:marBottom w:val="0"/>
          <w:divBdr>
            <w:top w:val="none" w:sz="0" w:space="0" w:color="auto"/>
            <w:left w:val="none" w:sz="0" w:space="0" w:color="auto"/>
            <w:bottom w:val="none" w:sz="0" w:space="0" w:color="auto"/>
            <w:right w:val="none" w:sz="0" w:space="0" w:color="auto"/>
          </w:divBdr>
          <w:divsChild>
            <w:div w:id="66804976">
              <w:marLeft w:val="0"/>
              <w:marRight w:val="0"/>
              <w:marTop w:val="0"/>
              <w:marBottom w:val="0"/>
              <w:divBdr>
                <w:top w:val="none" w:sz="0" w:space="0" w:color="auto"/>
                <w:left w:val="none" w:sz="0" w:space="0" w:color="auto"/>
                <w:bottom w:val="none" w:sz="0" w:space="0" w:color="auto"/>
                <w:right w:val="none" w:sz="0" w:space="0" w:color="auto"/>
              </w:divBdr>
            </w:div>
          </w:divsChild>
        </w:div>
        <w:div w:id="1279993999">
          <w:marLeft w:val="0"/>
          <w:marRight w:val="0"/>
          <w:marTop w:val="240"/>
          <w:marBottom w:val="0"/>
          <w:divBdr>
            <w:top w:val="none" w:sz="0" w:space="0" w:color="auto"/>
            <w:left w:val="none" w:sz="0" w:space="0" w:color="auto"/>
            <w:bottom w:val="none" w:sz="0" w:space="0" w:color="auto"/>
            <w:right w:val="none" w:sz="0" w:space="0" w:color="auto"/>
          </w:divBdr>
          <w:divsChild>
            <w:div w:id="11458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74966">
      <w:bodyDiv w:val="1"/>
      <w:marLeft w:val="0"/>
      <w:marRight w:val="0"/>
      <w:marTop w:val="0"/>
      <w:marBottom w:val="0"/>
      <w:divBdr>
        <w:top w:val="none" w:sz="0" w:space="0" w:color="auto"/>
        <w:left w:val="none" w:sz="0" w:space="0" w:color="auto"/>
        <w:bottom w:val="none" w:sz="0" w:space="0" w:color="auto"/>
        <w:right w:val="none" w:sz="0" w:space="0" w:color="auto"/>
      </w:divBdr>
    </w:div>
    <w:div w:id="317345088">
      <w:bodyDiv w:val="1"/>
      <w:marLeft w:val="0"/>
      <w:marRight w:val="0"/>
      <w:marTop w:val="0"/>
      <w:marBottom w:val="0"/>
      <w:divBdr>
        <w:top w:val="none" w:sz="0" w:space="0" w:color="auto"/>
        <w:left w:val="none" w:sz="0" w:space="0" w:color="auto"/>
        <w:bottom w:val="none" w:sz="0" w:space="0" w:color="auto"/>
        <w:right w:val="none" w:sz="0" w:space="0" w:color="auto"/>
      </w:divBdr>
      <w:divsChild>
        <w:div w:id="84233434">
          <w:marLeft w:val="0"/>
          <w:marRight w:val="0"/>
          <w:marTop w:val="0"/>
          <w:marBottom w:val="0"/>
          <w:divBdr>
            <w:top w:val="none" w:sz="0" w:space="0" w:color="auto"/>
            <w:left w:val="none" w:sz="0" w:space="0" w:color="auto"/>
            <w:bottom w:val="none" w:sz="0" w:space="0" w:color="auto"/>
            <w:right w:val="none" w:sz="0" w:space="0" w:color="auto"/>
          </w:divBdr>
          <w:divsChild>
            <w:div w:id="297303879">
              <w:marLeft w:val="0"/>
              <w:marRight w:val="0"/>
              <w:marTop w:val="0"/>
              <w:marBottom w:val="0"/>
              <w:divBdr>
                <w:top w:val="none" w:sz="0" w:space="0" w:color="auto"/>
                <w:left w:val="none" w:sz="0" w:space="0" w:color="auto"/>
                <w:bottom w:val="none" w:sz="0" w:space="0" w:color="auto"/>
                <w:right w:val="none" w:sz="0" w:space="0" w:color="auto"/>
              </w:divBdr>
              <w:divsChild>
                <w:div w:id="5950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7910">
          <w:marLeft w:val="0"/>
          <w:marRight w:val="0"/>
          <w:marTop w:val="0"/>
          <w:marBottom w:val="0"/>
          <w:divBdr>
            <w:top w:val="none" w:sz="0" w:space="0" w:color="auto"/>
            <w:left w:val="none" w:sz="0" w:space="0" w:color="auto"/>
            <w:bottom w:val="none" w:sz="0" w:space="0" w:color="auto"/>
            <w:right w:val="none" w:sz="0" w:space="0" w:color="auto"/>
          </w:divBdr>
          <w:divsChild>
            <w:div w:id="1560359386">
              <w:marLeft w:val="0"/>
              <w:marRight w:val="0"/>
              <w:marTop w:val="0"/>
              <w:marBottom w:val="0"/>
              <w:divBdr>
                <w:top w:val="none" w:sz="0" w:space="0" w:color="auto"/>
                <w:left w:val="none" w:sz="0" w:space="0" w:color="auto"/>
                <w:bottom w:val="none" w:sz="0" w:space="0" w:color="auto"/>
                <w:right w:val="none" w:sz="0" w:space="0" w:color="auto"/>
              </w:divBdr>
              <w:divsChild>
                <w:div w:id="15942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944">
          <w:marLeft w:val="0"/>
          <w:marRight w:val="0"/>
          <w:marTop w:val="0"/>
          <w:marBottom w:val="0"/>
          <w:divBdr>
            <w:top w:val="none" w:sz="0" w:space="0" w:color="auto"/>
            <w:left w:val="none" w:sz="0" w:space="0" w:color="auto"/>
            <w:bottom w:val="none" w:sz="0" w:space="0" w:color="auto"/>
            <w:right w:val="none" w:sz="0" w:space="0" w:color="auto"/>
          </w:divBdr>
          <w:divsChild>
            <w:div w:id="1108888538">
              <w:marLeft w:val="0"/>
              <w:marRight w:val="0"/>
              <w:marTop w:val="0"/>
              <w:marBottom w:val="0"/>
              <w:divBdr>
                <w:top w:val="none" w:sz="0" w:space="0" w:color="auto"/>
                <w:left w:val="none" w:sz="0" w:space="0" w:color="auto"/>
                <w:bottom w:val="none" w:sz="0" w:space="0" w:color="auto"/>
                <w:right w:val="none" w:sz="0" w:space="0" w:color="auto"/>
              </w:divBdr>
              <w:divsChild>
                <w:div w:id="55077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48635">
      <w:bodyDiv w:val="1"/>
      <w:marLeft w:val="0"/>
      <w:marRight w:val="0"/>
      <w:marTop w:val="0"/>
      <w:marBottom w:val="0"/>
      <w:divBdr>
        <w:top w:val="none" w:sz="0" w:space="0" w:color="auto"/>
        <w:left w:val="none" w:sz="0" w:space="0" w:color="auto"/>
        <w:bottom w:val="none" w:sz="0" w:space="0" w:color="auto"/>
        <w:right w:val="none" w:sz="0" w:space="0" w:color="auto"/>
      </w:divBdr>
    </w:div>
    <w:div w:id="381291073">
      <w:bodyDiv w:val="1"/>
      <w:marLeft w:val="0"/>
      <w:marRight w:val="0"/>
      <w:marTop w:val="0"/>
      <w:marBottom w:val="0"/>
      <w:divBdr>
        <w:top w:val="none" w:sz="0" w:space="0" w:color="auto"/>
        <w:left w:val="none" w:sz="0" w:space="0" w:color="auto"/>
        <w:bottom w:val="none" w:sz="0" w:space="0" w:color="auto"/>
        <w:right w:val="none" w:sz="0" w:space="0" w:color="auto"/>
      </w:divBdr>
      <w:divsChild>
        <w:div w:id="1530875131">
          <w:marLeft w:val="0"/>
          <w:marRight w:val="0"/>
          <w:marTop w:val="0"/>
          <w:marBottom w:val="0"/>
          <w:divBdr>
            <w:top w:val="none" w:sz="0" w:space="0" w:color="auto"/>
            <w:left w:val="none" w:sz="0" w:space="0" w:color="auto"/>
            <w:bottom w:val="none" w:sz="0" w:space="0" w:color="auto"/>
            <w:right w:val="none" w:sz="0" w:space="0" w:color="auto"/>
          </w:divBdr>
        </w:div>
        <w:div w:id="1708482927">
          <w:marLeft w:val="0"/>
          <w:marRight w:val="0"/>
          <w:marTop w:val="0"/>
          <w:marBottom w:val="0"/>
          <w:divBdr>
            <w:top w:val="none" w:sz="0" w:space="0" w:color="auto"/>
            <w:left w:val="none" w:sz="0" w:space="0" w:color="auto"/>
            <w:bottom w:val="none" w:sz="0" w:space="0" w:color="auto"/>
            <w:right w:val="none" w:sz="0" w:space="0" w:color="auto"/>
          </w:divBdr>
        </w:div>
      </w:divsChild>
    </w:div>
    <w:div w:id="383676316">
      <w:bodyDiv w:val="1"/>
      <w:marLeft w:val="0"/>
      <w:marRight w:val="0"/>
      <w:marTop w:val="0"/>
      <w:marBottom w:val="0"/>
      <w:divBdr>
        <w:top w:val="none" w:sz="0" w:space="0" w:color="auto"/>
        <w:left w:val="none" w:sz="0" w:space="0" w:color="auto"/>
        <w:bottom w:val="none" w:sz="0" w:space="0" w:color="auto"/>
        <w:right w:val="none" w:sz="0" w:space="0" w:color="auto"/>
      </w:divBdr>
      <w:divsChild>
        <w:div w:id="46027248">
          <w:marLeft w:val="0"/>
          <w:marRight w:val="0"/>
          <w:marTop w:val="0"/>
          <w:marBottom w:val="0"/>
          <w:divBdr>
            <w:top w:val="none" w:sz="0" w:space="0" w:color="auto"/>
            <w:left w:val="none" w:sz="0" w:space="0" w:color="auto"/>
            <w:bottom w:val="none" w:sz="0" w:space="0" w:color="auto"/>
            <w:right w:val="none" w:sz="0" w:space="0" w:color="auto"/>
          </w:divBdr>
          <w:divsChild>
            <w:div w:id="1146163531">
              <w:marLeft w:val="0"/>
              <w:marRight w:val="0"/>
              <w:marTop w:val="0"/>
              <w:marBottom w:val="0"/>
              <w:divBdr>
                <w:top w:val="none" w:sz="0" w:space="0" w:color="auto"/>
                <w:left w:val="none" w:sz="0" w:space="0" w:color="auto"/>
                <w:bottom w:val="none" w:sz="0" w:space="0" w:color="auto"/>
                <w:right w:val="none" w:sz="0" w:space="0" w:color="auto"/>
              </w:divBdr>
            </w:div>
          </w:divsChild>
        </w:div>
        <w:div w:id="1772043936">
          <w:marLeft w:val="0"/>
          <w:marRight w:val="0"/>
          <w:marTop w:val="240"/>
          <w:marBottom w:val="0"/>
          <w:divBdr>
            <w:top w:val="none" w:sz="0" w:space="0" w:color="auto"/>
            <w:left w:val="none" w:sz="0" w:space="0" w:color="auto"/>
            <w:bottom w:val="none" w:sz="0" w:space="0" w:color="auto"/>
            <w:right w:val="none" w:sz="0" w:space="0" w:color="auto"/>
          </w:divBdr>
          <w:divsChild>
            <w:div w:id="382951343">
              <w:marLeft w:val="0"/>
              <w:marRight w:val="0"/>
              <w:marTop w:val="0"/>
              <w:marBottom w:val="0"/>
              <w:divBdr>
                <w:top w:val="none" w:sz="0" w:space="0" w:color="auto"/>
                <w:left w:val="none" w:sz="0" w:space="0" w:color="auto"/>
                <w:bottom w:val="none" w:sz="0" w:space="0" w:color="auto"/>
                <w:right w:val="none" w:sz="0" w:space="0" w:color="auto"/>
              </w:divBdr>
            </w:div>
          </w:divsChild>
        </w:div>
        <w:div w:id="1826318427">
          <w:marLeft w:val="0"/>
          <w:marRight w:val="0"/>
          <w:marTop w:val="240"/>
          <w:marBottom w:val="0"/>
          <w:divBdr>
            <w:top w:val="none" w:sz="0" w:space="0" w:color="auto"/>
            <w:left w:val="none" w:sz="0" w:space="0" w:color="auto"/>
            <w:bottom w:val="none" w:sz="0" w:space="0" w:color="auto"/>
            <w:right w:val="none" w:sz="0" w:space="0" w:color="auto"/>
          </w:divBdr>
          <w:divsChild>
            <w:div w:id="47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4985">
      <w:bodyDiv w:val="1"/>
      <w:marLeft w:val="0"/>
      <w:marRight w:val="0"/>
      <w:marTop w:val="0"/>
      <w:marBottom w:val="0"/>
      <w:divBdr>
        <w:top w:val="none" w:sz="0" w:space="0" w:color="auto"/>
        <w:left w:val="none" w:sz="0" w:space="0" w:color="auto"/>
        <w:bottom w:val="none" w:sz="0" w:space="0" w:color="auto"/>
        <w:right w:val="none" w:sz="0" w:space="0" w:color="auto"/>
      </w:divBdr>
    </w:div>
    <w:div w:id="460655949">
      <w:bodyDiv w:val="1"/>
      <w:marLeft w:val="0"/>
      <w:marRight w:val="0"/>
      <w:marTop w:val="0"/>
      <w:marBottom w:val="0"/>
      <w:divBdr>
        <w:top w:val="none" w:sz="0" w:space="0" w:color="auto"/>
        <w:left w:val="none" w:sz="0" w:space="0" w:color="auto"/>
        <w:bottom w:val="none" w:sz="0" w:space="0" w:color="auto"/>
        <w:right w:val="none" w:sz="0" w:space="0" w:color="auto"/>
      </w:divBdr>
    </w:div>
    <w:div w:id="486483279">
      <w:bodyDiv w:val="1"/>
      <w:marLeft w:val="0"/>
      <w:marRight w:val="0"/>
      <w:marTop w:val="0"/>
      <w:marBottom w:val="0"/>
      <w:divBdr>
        <w:top w:val="none" w:sz="0" w:space="0" w:color="auto"/>
        <w:left w:val="none" w:sz="0" w:space="0" w:color="auto"/>
        <w:bottom w:val="none" w:sz="0" w:space="0" w:color="auto"/>
        <w:right w:val="none" w:sz="0" w:space="0" w:color="auto"/>
      </w:divBdr>
    </w:div>
    <w:div w:id="491020039">
      <w:bodyDiv w:val="1"/>
      <w:marLeft w:val="0"/>
      <w:marRight w:val="0"/>
      <w:marTop w:val="0"/>
      <w:marBottom w:val="0"/>
      <w:divBdr>
        <w:top w:val="none" w:sz="0" w:space="0" w:color="auto"/>
        <w:left w:val="none" w:sz="0" w:space="0" w:color="auto"/>
        <w:bottom w:val="none" w:sz="0" w:space="0" w:color="auto"/>
        <w:right w:val="none" w:sz="0" w:space="0" w:color="auto"/>
      </w:divBdr>
      <w:divsChild>
        <w:div w:id="1134904628">
          <w:marLeft w:val="0"/>
          <w:marRight w:val="0"/>
          <w:marTop w:val="240"/>
          <w:marBottom w:val="0"/>
          <w:divBdr>
            <w:top w:val="none" w:sz="0" w:space="0" w:color="auto"/>
            <w:left w:val="none" w:sz="0" w:space="0" w:color="auto"/>
            <w:bottom w:val="none" w:sz="0" w:space="0" w:color="auto"/>
            <w:right w:val="none" w:sz="0" w:space="0" w:color="auto"/>
          </w:divBdr>
          <w:divsChild>
            <w:div w:id="1619139791">
              <w:marLeft w:val="0"/>
              <w:marRight w:val="0"/>
              <w:marTop w:val="0"/>
              <w:marBottom w:val="0"/>
              <w:divBdr>
                <w:top w:val="none" w:sz="0" w:space="0" w:color="auto"/>
                <w:left w:val="none" w:sz="0" w:space="0" w:color="auto"/>
                <w:bottom w:val="none" w:sz="0" w:space="0" w:color="auto"/>
                <w:right w:val="none" w:sz="0" w:space="0" w:color="auto"/>
              </w:divBdr>
            </w:div>
          </w:divsChild>
        </w:div>
        <w:div w:id="2072388634">
          <w:marLeft w:val="0"/>
          <w:marRight w:val="0"/>
          <w:marTop w:val="240"/>
          <w:marBottom w:val="0"/>
          <w:divBdr>
            <w:top w:val="none" w:sz="0" w:space="0" w:color="auto"/>
            <w:left w:val="none" w:sz="0" w:space="0" w:color="auto"/>
            <w:bottom w:val="none" w:sz="0" w:space="0" w:color="auto"/>
            <w:right w:val="none" w:sz="0" w:space="0" w:color="auto"/>
          </w:divBdr>
          <w:divsChild>
            <w:div w:id="18965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3588">
      <w:bodyDiv w:val="1"/>
      <w:marLeft w:val="0"/>
      <w:marRight w:val="0"/>
      <w:marTop w:val="0"/>
      <w:marBottom w:val="0"/>
      <w:divBdr>
        <w:top w:val="none" w:sz="0" w:space="0" w:color="auto"/>
        <w:left w:val="none" w:sz="0" w:space="0" w:color="auto"/>
        <w:bottom w:val="none" w:sz="0" w:space="0" w:color="auto"/>
        <w:right w:val="none" w:sz="0" w:space="0" w:color="auto"/>
      </w:divBdr>
      <w:divsChild>
        <w:div w:id="906569516">
          <w:marLeft w:val="0"/>
          <w:marRight w:val="0"/>
          <w:marTop w:val="240"/>
          <w:marBottom w:val="0"/>
          <w:divBdr>
            <w:top w:val="none" w:sz="0" w:space="0" w:color="auto"/>
            <w:left w:val="none" w:sz="0" w:space="0" w:color="auto"/>
            <w:bottom w:val="none" w:sz="0" w:space="0" w:color="auto"/>
            <w:right w:val="none" w:sz="0" w:space="0" w:color="auto"/>
          </w:divBdr>
          <w:divsChild>
            <w:div w:id="833764281">
              <w:marLeft w:val="0"/>
              <w:marRight w:val="0"/>
              <w:marTop w:val="0"/>
              <w:marBottom w:val="0"/>
              <w:divBdr>
                <w:top w:val="none" w:sz="0" w:space="0" w:color="auto"/>
                <w:left w:val="none" w:sz="0" w:space="0" w:color="auto"/>
                <w:bottom w:val="none" w:sz="0" w:space="0" w:color="auto"/>
                <w:right w:val="none" w:sz="0" w:space="0" w:color="auto"/>
              </w:divBdr>
              <w:divsChild>
                <w:div w:id="1848057916">
                  <w:blockQuote w:val="1"/>
                  <w:marLeft w:val="600"/>
                  <w:marRight w:val="600"/>
                  <w:marTop w:val="60"/>
                  <w:marBottom w:val="60"/>
                  <w:divBdr>
                    <w:top w:val="none" w:sz="0" w:space="0" w:color="auto"/>
                    <w:left w:val="none" w:sz="0" w:space="0" w:color="auto"/>
                    <w:bottom w:val="none" w:sz="0" w:space="0" w:color="auto"/>
                    <w:right w:val="none" w:sz="0" w:space="0" w:color="auto"/>
                  </w:divBdr>
                  <w:divsChild>
                    <w:div w:id="11166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36822">
          <w:marLeft w:val="0"/>
          <w:marRight w:val="0"/>
          <w:marTop w:val="240"/>
          <w:marBottom w:val="0"/>
          <w:divBdr>
            <w:top w:val="none" w:sz="0" w:space="0" w:color="auto"/>
            <w:left w:val="none" w:sz="0" w:space="0" w:color="auto"/>
            <w:bottom w:val="none" w:sz="0" w:space="0" w:color="auto"/>
            <w:right w:val="none" w:sz="0" w:space="0" w:color="auto"/>
          </w:divBdr>
        </w:div>
      </w:divsChild>
    </w:div>
    <w:div w:id="509026005">
      <w:bodyDiv w:val="1"/>
      <w:marLeft w:val="0"/>
      <w:marRight w:val="0"/>
      <w:marTop w:val="0"/>
      <w:marBottom w:val="0"/>
      <w:divBdr>
        <w:top w:val="none" w:sz="0" w:space="0" w:color="auto"/>
        <w:left w:val="none" w:sz="0" w:space="0" w:color="auto"/>
        <w:bottom w:val="none" w:sz="0" w:space="0" w:color="auto"/>
        <w:right w:val="none" w:sz="0" w:space="0" w:color="auto"/>
      </w:divBdr>
      <w:divsChild>
        <w:div w:id="1006447510">
          <w:marLeft w:val="0"/>
          <w:marRight w:val="0"/>
          <w:marTop w:val="0"/>
          <w:marBottom w:val="0"/>
          <w:divBdr>
            <w:top w:val="none" w:sz="0" w:space="0" w:color="auto"/>
            <w:left w:val="none" w:sz="0" w:space="0" w:color="auto"/>
            <w:bottom w:val="none" w:sz="0" w:space="0" w:color="auto"/>
            <w:right w:val="none" w:sz="0" w:space="0" w:color="auto"/>
          </w:divBdr>
        </w:div>
        <w:div w:id="1692682489">
          <w:marLeft w:val="0"/>
          <w:marRight w:val="0"/>
          <w:marTop w:val="240"/>
          <w:marBottom w:val="0"/>
          <w:divBdr>
            <w:top w:val="none" w:sz="0" w:space="0" w:color="auto"/>
            <w:left w:val="none" w:sz="0" w:space="0" w:color="auto"/>
            <w:bottom w:val="none" w:sz="0" w:space="0" w:color="auto"/>
            <w:right w:val="none" w:sz="0" w:space="0" w:color="auto"/>
          </w:divBdr>
          <w:divsChild>
            <w:div w:id="10445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0627">
      <w:bodyDiv w:val="1"/>
      <w:marLeft w:val="0"/>
      <w:marRight w:val="0"/>
      <w:marTop w:val="0"/>
      <w:marBottom w:val="0"/>
      <w:divBdr>
        <w:top w:val="none" w:sz="0" w:space="0" w:color="auto"/>
        <w:left w:val="none" w:sz="0" w:space="0" w:color="auto"/>
        <w:bottom w:val="none" w:sz="0" w:space="0" w:color="auto"/>
        <w:right w:val="none" w:sz="0" w:space="0" w:color="auto"/>
      </w:divBdr>
      <w:divsChild>
        <w:div w:id="603924287">
          <w:marLeft w:val="0"/>
          <w:marRight w:val="0"/>
          <w:marTop w:val="240"/>
          <w:marBottom w:val="0"/>
          <w:divBdr>
            <w:top w:val="none" w:sz="0" w:space="0" w:color="auto"/>
            <w:left w:val="none" w:sz="0" w:space="0" w:color="auto"/>
            <w:bottom w:val="none" w:sz="0" w:space="0" w:color="auto"/>
            <w:right w:val="none" w:sz="0" w:space="0" w:color="auto"/>
          </w:divBdr>
          <w:divsChild>
            <w:div w:id="1377008543">
              <w:marLeft w:val="0"/>
              <w:marRight w:val="0"/>
              <w:marTop w:val="240"/>
              <w:marBottom w:val="0"/>
              <w:divBdr>
                <w:top w:val="none" w:sz="0" w:space="0" w:color="auto"/>
                <w:left w:val="none" w:sz="0" w:space="0" w:color="auto"/>
                <w:bottom w:val="none" w:sz="0" w:space="0" w:color="auto"/>
                <w:right w:val="none" w:sz="0" w:space="0" w:color="auto"/>
              </w:divBdr>
              <w:divsChild>
                <w:div w:id="151410664">
                  <w:marLeft w:val="0"/>
                  <w:marRight w:val="0"/>
                  <w:marTop w:val="0"/>
                  <w:marBottom w:val="0"/>
                  <w:divBdr>
                    <w:top w:val="none" w:sz="0" w:space="0" w:color="auto"/>
                    <w:left w:val="none" w:sz="0" w:space="0" w:color="auto"/>
                    <w:bottom w:val="none" w:sz="0" w:space="0" w:color="auto"/>
                    <w:right w:val="none" w:sz="0" w:space="0" w:color="auto"/>
                  </w:divBdr>
                  <w:divsChild>
                    <w:div w:id="608314571">
                      <w:marLeft w:val="0"/>
                      <w:marRight w:val="0"/>
                      <w:marTop w:val="0"/>
                      <w:marBottom w:val="0"/>
                      <w:divBdr>
                        <w:top w:val="none" w:sz="0" w:space="0" w:color="auto"/>
                        <w:left w:val="none" w:sz="0" w:space="0" w:color="auto"/>
                        <w:bottom w:val="none" w:sz="0" w:space="0" w:color="auto"/>
                        <w:right w:val="none" w:sz="0" w:space="0" w:color="auto"/>
                      </w:divBdr>
                    </w:div>
                  </w:divsChild>
                </w:div>
                <w:div w:id="842822516">
                  <w:marLeft w:val="0"/>
                  <w:marRight w:val="0"/>
                  <w:marTop w:val="240"/>
                  <w:marBottom w:val="0"/>
                  <w:divBdr>
                    <w:top w:val="none" w:sz="0" w:space="0" w:color="auto"/>
                    <w:left w:val="none" w:sz="0" w:space="0" w:color="auto"/>
                    <w:bottom w:val="none" w:sz="0" w:space="0" w:color="auto"/>
                    <w:right w:val="none" w:sz="0" w:space="0" w:color="auto"/>
                  </w:divBdr>
                  <w:divsChild>
                    <w:div w:id="718675544">
                      <w:marLeft w:val="0"/>
                      <w:marRight w:val="0"/>
                      <w:marTop w:val="0"/>
                      <w:marBottom w:val="0"/>
                      <w:divBdr>
                        <w:top w:val="none" w:sz="0" w:space="0" w:color="auto"/>
                        <w:left w:val="none" w:sz="0" w:space="0" w:color="auto"/>
                        <w:bottom w:val="none" w:sz="0" w:space="0" w:color="auto"/>
                        <w:right w:val="none" w:sz="0" w:space="0" w:color="auto"/>
                      </w:divBdr>
                      <w:divsChild>
                        <w:div w:id="16667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7">
                  <w:marLeft w:val="0"/>
                  <w:marRight w:val="0"/>
                  <w:marTop w:val="240"/>
                  <w:marBottom w:val="0"/>
                  <w:divBdr>
                    <w:top w:val="none" w:sz="0" w:space="0" w:color="auto"/>
                    <w:left w:val="none" w:sz="0" w:space="0" w:color="auto"/>
                    <w:bottom w:val="none" w:sz="0" w:space="0" w:color="auto"/>
                    <w:right w:val="none" w:sz="0" w:space="0" w:color="auto"/>
                  </w:divBdr>
                  <w:divsChild>
                    <w:div w:id="1186556113">
                      <w:marLeft w:val="0"/>
                      <w:marRight w:val="0"/>
                      <w:marTop w:val="0"/>
                      <w:marBottom w:val="0"/>
                      <w:divBdr>
                        <w:top w:val="none" w:sz="0" w:space="0" w:color="auto"/>
                        <w:left w:val="none" w:sz="0" w:space="0" w:color="auto"/>
                        <w:bottom w:val="none" w:sz="0" w:space="0" w:color="auto"/>
                        <w:right w:val="none" w:sz="0" w:space="0" w:color="auto"/>
                      </w:divBdr>
                      <w:divsChild>
                        <w:div w:id="14764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1743">
                  <w:marLeft w:val="0"/>
                  <w:marRight w:val="0"/>
                  <w:marTop w:val="240"/>
                  <w:marBottom w:val="0"/>
                  <w:divBdr>
                    <w:top w:val="none" w:sz="0" w:space="0" w:color="auto"/>
                    <w:left w:val="none" w:sz="0" w:space="0" w:color="auto"/>
                    <w:bottom w:val="none" w:sz="0" w:space="0" w:color="auto"/>
                    <w:right w:val="none" w:sz="0" w:space="0" w:color="auto"/>
                  </w:divBdr>
                  <w:divsChild>
                    <w:div w:id="1612934154">
                      <w:marLeft w:val="0"/>
                      <w:marRight w:val="0"/>
                      <w:marTop w:val="0"/>
                      <w:marBottom w:val="0"/>
                      <w:divBdr>
                        <w:top w:val="none" w:sz="0" w:space="0" w:color="auto"/>
                        <w:left w:val="none" w:sz="0" w:space="0" w:color="auto"/>
                        <w:bottom w:val="none" w:sz="0" w:space="0" w:color="auto"/>
                        <w:right w:val="none" w:sz="0" w:space="0" w:color="auto"/>
                      </w:divBdr>
                      <w:divsChild>
                        <w:div w:id="3262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10907">
                  <w:marLeft w:val="0"/>
                  <w:marRight w:val="0"/>
                  <w:marTop w:val="240"/>
                  <w:marBottom w:val="0"/>
                  <w:divBdr>
                    <w:top w:val="none" w:sz="0" w:space="0" w:color="auto"/>
                    <w:left w:val="none" w:sz="0" w:space="0" w:color="auto"/>
                    <w:bottom w:val="none" w:sz="0" w:space="0" w:color="auto"/>
                    <w:right w:val="none" w:sz="0" w:space="0" w:color="auto"/>
                  </w:divBdr>
                  <w:divsChild>
                    <w:div w:id="1557005862">
                      <w:marLeft w:val="0"/>
                      <w:marRight w:val="0"/>
                      <w:marTop w:val="0"/>
                      <w:marBottom w:val="0"/>
                      <w:divBdr>
                        <w:top w:val="none" w:sz="0" w:space="0" w:color="auto"/>
                        <w:left w:val="none" w:sz="0" w:space="0" w:color="auto"/>
                        <w:bottom w:val="none" w:sz="0" w:space="0" w:color="auto"/>
                        <w:right w:val="none" w:sz="0" w:space="0" w:color="auto"/>
                      </w:divBdr>
                      <w:divsChild>
                        <w:div w:id="21142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80418">
          <w:marLeft w:val="0"/>
          <w:marRight w:val="0"/>
          <w:marTop w:val="240"/>
          <w:marBottom w:val="0"/>
          <w:divBdr>
            <w:top w:val="none" w:sz="0" w:space="0" w:color="auto"/>
            <w:left w:val="none" w:sz="0" w:space="0" w:color="auto"/>
            <w:bottom w:val="none" w:sz="0" w:space="0" w:color="auto"/>
            <w:right w:val="none" w:sz="0" w:space="0" w:color="auto"/>
          </w:divBdr>
          <w:divsChild>
            <w:div w:id="1309937288">
              <w:marLeft w:val="0"/>
              <w:marRight w:val="0"/>
              <w:marTop w:val="0"/>
              <w:marBottom w:val="0"/>
              <w:divBdr>
                <w:top w:val="none" w:sz="0" w:space="0" w:color="auto"/>
                <w:left w:val="none" w:sz="0" w:space="0" w:color="auto"/>
                <w:bottom w:val="none" w:sz="0" w:space="0" w:color="auto"/>
                <w:right w:val="none" w:sz="0" w:space="0" w:color="auto"/>
              </w:divBdr>
              <w:divsChild>
                <w:div w:id="6924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20545">
      <w:bodyDiv w:val="1"/>
      <w:marLeft w:val="0"/>
      <w:marRight w:val="0"/>
      <w:marTop w:val="0"/>
      <w:marBottom w:val="0"/>
      <w:divBdr>
        <w:top w:val="none" w:sz="0" w:space="0" w:color="auto"/>
        <w:left w:val="none" w:sz="0" w:space="0" w:color="auto"/>
        <w:bottom w:val="none" w:sz="0" w:space="0" w:color="auto"/>
        <w:right w:val="none" w:sz="0" w:space="0" w:color="auto"/>
      </w:divBdr>
    </w:div>
    <w:div w:id="537426492">
      <w:bodyDiv w:val="1"/>
      <w:marLeft w:val="0"/>
      <w:marRight w:val="0"/>
      <w:marTop w:val="0"/>
      <w:marBottom w:val="0"/>
      <w:divBdr>
        <w:top w:val="none" w:sz="0" w:space="0" w:color="auto"/>
        <w:left w:val="none" w:sz="0" w:space="0" w:color="auto"/>
        <w:bottom w:val="none" w:sz="0" w:space="0" w:color="auto"/>
        <w:right w:val="none" w:sz="0" w:space="0" w:color="auto"/>
      </w:divBdr>
      <w:divsChild>
        <w:div w:id="1892494911">
          <w:marLeft w:val="0"/>
          <w:marRight w:val="0"/>
          <w:marTop w:val="0"/>
          <w:marBottom w:val="0"/>
          <w:divBdr>
            <w:top w:val="none" w:sz="0" w:space="0" w:color="auto"/>
            <w:left w:val="none" w:sz="0" w:space="0" w:color="auto"/>
            <w:bottom w:val="none" w:sz="0" w:space="0" w:color="auto"/>
            <w:right w:val="none" w:sz="0" w:space="0" w:color="auto"/>
          </w:divBdr>
        </w:div>
        <w:div w:id="1461806387">
          <w:marLeft w:val="0"/>
          <w:marRight w:val="0"/>
          <w:marTop w:val="0"/>
          <w:marBottom w:val="0"/>
          <w:divBdr>
            <w:top w:val="none" w:sz="0" w:space="0" w:color="auto"/>
            <w:left w:val="none" w:sz="0" w:space="0" w:color="auto"/>
            <w:bottom w:val="none" w:sz="0" w:space="0" w:color="auto"/>
            <w:right w:val="none" w:sz="0" w:space="0" w:color="auto"/>
          </w:divBdr>
          <w:divsChild>
            <w:div w:id="1146051649">
              <w:marLeft w:val="0"/>
              <w:marRight w:val="0"/>
              <w:marTop w:val="0"/>
              <w:marBottom w:val="0"/>
              <w:divBdr>
                <w:top w:val="none" w:sz="0" w:space="0" w:color="auto"/>
                <w:left w:val="none" w:sz="0" w:space="0" w:color="auto"/>
                <w:bottom w:val="none" w:sz="0" w:space="0" w:color="auto"/>
                <w:right w:val="none" w:sz="0" w:space="0" w:color="auto"/>
              </w:divBdr>
            </w:div>
          </w:divsChild>
        </w:div>
        <w:div w:id="788352533">
          <w:marLeft w:val="0"/>
          <w:marRight w:val="0"/>
          <w:marTop w:val="0"/>
          <w:marBottom w:val="0"/>
          <w:divBdr>
            <w:top w:val="none" w:sz="0" w:space="0" w:color="auto"/>
            <w:left w:val="none" w:sz="0" w:space="0" w:color="auto"/>
            <w:bottom w:val="none" w:sz="0" w:space="0" w:color="auto"/>
            <w:right w:val="none" w:sz="0" w:space="0" w:color="auto"/>
          </w:divBdr>
          <w:divsChild>
            <w:div w:id="17801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38186">
      <w:bodyDiv w:val="1"/>
      <w:marLeft w:val="0"/>
      <w:marRight w:val="0"/>
      <w:marTop w:val="0"/>
      <w:marBottom w:val="0"/>
      <w:divBdr>
        <w:top w:val="none" w:sz="0" w:space="0" w:color="auto"/>
        <w:left w:val="none" w:sz="0" w:space="0" w:color="auto"/>
        <w:bottom w:val="none" w:sz="0" w:space="0" w:color="auto"/>
        <w:right w:val="none" w:sz="0" w:space="0" w:color="auto"/>
      </w:divBdr>
      <w:divsChild>
        <w:div w:id="1763262885">
          <w:marLeft w:val="0"/>
          <w:marRight w:val="0"/>
          <w:marTop w:val="0"/>
          <w:marBottom w:val="0"/>
          <w:divBdr>
            <w:top w:val="none" w:sz="0" w:space="0" w:color="auto"/>
            <w:left w:val="none" w:sz="0" w:space="0" w:color="auto"/>
            <w:bottom w:val="none" w:sz="0" w:space="0" w:color="auto"/>
            <w:right w:val="none" w:sz="0" w:space="0" w:color="auto"/>
          </w:divBdr>
          <w:divsChild>
            <w:div w:id="771824471">
              <w:marLeft w:val="0"/>
              <w:marRight w:val="0"/>
              <w:marTop w:val="0"/>
              <w:marBottom w:val="0"/>
              <w:divBdr>
                <w:top w:val="none" w:sz="0" w:space="0" w:color="auto"/>
                <w:left w:val="none" w:sz="0" w:space="0" w:color="auto"/>
                <w:bottom w:val="none" w:sz="0" w:space="0" w:color="auto"/>
                <w:right w:val="none" w:sz="0" w:space="0" w:color="auto"/>
              </w:divBdr>
            </w:div>
          </w:divsChild>
        </w:div>
        <w:div w:id="1557475786">
          <w:marLeft w:val="0"/>
          <w:marRight w:val="0"/>
          <w:marTop w:val="0"/>
          <w:marBottom w:val="0"/>
          <w:divBdr>
            <w:top w:val="none" w:sz="0" w:space="0" w:color="auto"/>
            <w:left w:val="none" w:sz="0" w:space="0" w:color="auto"/>
            <w:bottom w:val="none" w:sz="0" w:space="0" w:color="auto"/>
            <w:right w:val="none" w:sz="0" w:space="0" w:color="auto"/>
          </w:divBdr>
          <w:divsChild>
            <w:div w:id="17424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50746">
      <w:bodyDiv w:val="1"/>
      <w:marLeft w:val="0"/>
      <w:marRight w:val="0"/>
      <w:marTop w:val="0"/>
      <w:marBottom w:val="0"/>
      <w:divBdr>
        <w:top w:val="none" w:sz="0" w:space="0" w:color="auto"/>
        <w:left w:val="none" w:sz="0" w:space="0" w:color="auto"/>
        <w:bottom w:val="none" w:sz="0" w:space="0" w:color="auto"/>
        <w:right w:val="none" w:sz="0" w:space="0" w:color="auto"/>
      </w:divBdr>
      <w:divsChild>
        <w:div w:id="1698777808">
          <w:marLeft w:val="0"/>
          <w:marRight w:val="0"/>
          <w:marTop w:val="240"/>
          <w:marBottom w:val="0"/>
          <w:divBdr>
            <w:top w:val="none" w:sz="0" w:space="0" w:color="auto"/>
            <w:left w:val="none" w:sz="0" w:space="0" w:color="auto"/>
            <w:bottom w:val="none" w:sz="0" w:space="0" w:color="auto"/>
            <w:right w:val="none" w:sz="0" w:space="0" w:color="auto"/>
          </w:divBdr>
          <w:divsChild>
            <w:div w:id="1641688430">
              <w:marLeft w:val="0"/>
              <w:marRight w:val="0"/>
              <w:marTop w:val="0"/>
              <w:marBottom w:val="0"/>
              <w:divBdr>
                <w:top w:val="none" w:sz="0" w:space="0" w:color="auto"/>
                <w:left w:val="none" w:sz="0" w:space="0" w:color="auto"/>
                <w:bottom w:val="none" w:sz="0" w:space="0" w:color="auto"/>
                <w:right w:val="none" w:sz="0" w:space="0" w:color="auto"/>
              </w:divBdr>
            </w:div>
          </w:divsChild>
        </w:div>
        <w:div w:id="2105490362">
          <w:marLeft w:val="0"/>
          <w:marRight w:val="0"/>
          <w:marTop w:val="240"/>
          <w:marBottom w:val="0"/>
          <w:divBdr>
            <w:top w:val="none" w:sz="0" w:space="0" w:color="auto"/>
            <w:left w:val="none" w:sz="0" w:space="0" w:color="auto"/>
            <w:bottom w:val="none" w:sz="0" w:space="0" w:color="auto"/>
            <w:right w:val="none" w:sz="0" w:space="0" w:color="auto"/>
          </w:divBdr>
          <w:divsChild>
            <w:div w:id="1364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08469">
      <w:bodyDiv w:val="1"/>
      <w:marLeft w:val="0"/>
      <w:marRight w:val="0"/>
      <w:marTop w:val="0"/>
      <w:marBottom w:val="0"/>
      <w:divBdr>
        <w:top w:val="none" w:sz="0" w:space="0" w:color="auto"/>
        <w:left w:val="none" w:sz="0" w:space="0" w:color="auto"/>
        <w:bottom w:val="none" w:sz="0" w:space="0" w:color="auto"/>
        <w:right w:val="none" w:sz="0" w:space="0" w:color="auto"/>
      </w:divBdr>
      <w:divsChild>
        <w:div w:id="1810785761">
          <w:marLeft w:val="0"/>
          <w:marRight w:val="0"/>
          <w:marTop w:val="0"/>
          <w:marBottom w:val="0"/>
          <w:divBdr>
            <w:top w:val="none" w:sz="0" w:space="0" w:color="auto"/>
            <w:left w:val="none" w:sz="0" w:space="0" w:color="auto"/>
            <w:bottom w:val="none" w:sz="0" w:space="0" w:color="auto"/>
            <w:right w:val="none" w:sz="0" w:space="0" w:color="auto"/>
          </w:divBdr>
        </w:div>
        <w:div w:id="772045106">
          <w:marLeft w:val="0"/>
          <w:marRight w:val="0"/>
          <w:marTop w:val="240"/>
          <w:marBottom w:val="0"/>
          <w:divBdr>
            <w:top w:val="none" w:sz="0" w:space="0" w:color="auto"/>
            <w:left w:val="none" w:sz="0" w:space="0" w:color="auto"/>
            <w:bottom w:val="none" w:sz="0" w:space="0" w:color="auto"/>
            <w:right w:val="none" w:sz="0" w:space="0" w:color="auto"/>
          </w:divBdr>
          <w:divsChild>
            <w:div w:id="1879509708">
              <w:marLeft w:val="0"/>
              <w:marRight w:val="0"/>
              <w:marTop w:val="0"/>
              <w:marBottom w:val="0"/>
              <w:divBdr>
                <w:top w:val="none" w:sz="0" w:space="0" w:color="auto"/>
                <w:left w:val="none" w:sz="0" w:space="0" w:color="auto"/>
                <w:bottom w:val="none" w:sz="0" w:space="0" w:color="auto"/>
                <w:right w:val="none" w:sz="0" w:space="0" w:color="auto"/>
              </w:divBdr>
              <w:divsChild>
                <w:div w:id="1681737130">
                  <w:marLeft w:val="0"/>
                  <w:marRight w:val="0"/>
                  <w:marTop w:val="0"/>
                  <w:marBottom w:val="0"/>
                  <w:divBdr>
                    <w:top w:val="none" w:sz="0" w:space="0" w:color="auto"/>
                    <w:left w:val="none" w:sz="0" w:space="0" w:color="auto"/>
                    <w:bottom w:val="none" w:sz="0" w:space="0" w:color="auto"/>
                    <w:right w:val="none" w:sz="0" w:space="0" w:color="auto"/>
                  </w:divBdr>
                  <w:divsChild>
                    <w:div w:id="157621466">
                      <w:marLeft w:val="0"/>
                      <w:marRight w:val="0"/>
                      <w:marTop w:val="0"/>
                      <w:marBottom w:val="0"/>
                      <w:divBdr>
                        <w:top w:val="none" w:sz="0" w:space="0" w:color="auto"/>
                        <w:left w:val="none" w:sz="0" w:space="0" w:color="auto"/>
                        <w:bottom w:val="none" w:sz="0" w:space="0" w:color="auto"/>
                        <w:right w:val="none" w:sz="0" w:space="0" w:color="auto"/>
                      </w:divBdr>
                    </w:div>
                  </w:divsChild>
                </w:div>
                <w:div w:id="976492302">
                  <w:marLeft w:val="0"/>
                  <w:marRight w:val="0"/>
                  <w:marTop w:val="0"/>
                  <w:marBottom w:val="0"/>
                  <w:divBdr>
                    <w:top w:val="none" w:sz="0" w:space="0" w:color="auto"/>
                    <w:left w:val="none" w:sz="0" w:space="0" w:color="auto"/>
                    <w:bottom w:val="none" w:sz="0" w:space="0" w:color="auto"/>
                    <w:right w:val="none" w:sz="0" w:space="0" w:color="auto"/>
                  </w:divBdr>
                  <w:divsChild>
                    <w:div w:id="9638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32048">
      <w:bodyDiv w:val="1"/>
      <w:marLeft w:val="0"/>
      <w:marRight w:val="0"/>
      <w:marTop w:val="0"/>
      <w:marBottom w:val="0"/>
      <w:divBdr>
        <w:top w:val="none" w:sz="0" w:space="0" w:color="auto"/>
        <w:left w:val="none" w:sz="0" w:space="0" w:color="auto"/>
        <w:bottom w:val="none" w:sz="0" w:space="0" w:color="auto"/>
        <w:right w:val="none" w:sz="0" w:space="0" w:color="auto"/>
      </w:divBdr>
      <w:divsChild>
        <w:div w:id="66999436">
          <w:marLeft w:val="240"/>
          <w:marRight w:val="0"/>
          <w:marTop w:val="60"/>
          <w:marBottom w:val="60"/>
          <w:divBdr>
            <w:top w:val="none" w:sz="0" w:space="0" w:color="auto"/>
            <w:left w:val="none" w:sz="0" w:space="0" w:color="auto"/>
            <w:bottom w:val="none" w:sz="0" w:space="0" w:color="auto"/>
            <w:right w:val="none" w:sz="0" w:space="0" w:color="auto"/>
          </w:divBdr>
          <w:divsChild>
            <w:div w:id="364253522">
              <w:marLeft w:val="0"/>
              <w:marRight w:val="0"/>
              <w:marTop w:val="0"/>
              <w:marBottom w:val="0"/>
              <w:divBdr>
                <w:top w:val="none" w:sz="0" w:space="0" w:color="auto"/>
                <w:left w:val="none" w:sz="0" w:space="0" w:color="auto"/>
                <w:bottom w:val="none" w:sz="0" w:space="0" w:color="auto"/>
                <w:right w:val="none" w:sz="0" w:space="0" w:color="auto"/>
              </w:divBdr>
            </w:div>
          </w:divsChild>
        </w:div>
        <w:div w:id="999424861">
          <w:marLeft w:val="240"/>
          <w:marRight w:val="0"/>
          <w:marTop w:val="60"/>
          <w:marBottom w:val="60"/>
          <w:divBdr>
            <w:top w:val="none" w:sz="0" w:space="0" w:color="auto"/>
            <w:left w:val="none" w:sz="0" w:space="0" w:color="auto"/>
            <w:bottom w:val="none" w:sz="0" w:space="0" w:color="auto"/>
            <w:right w:val="none" w:sz="0" w:space="0" w:color="auto"/>
          </w:divBdr>
          <w:divsChild>
            <w:div w:id="364255732">
              <w:marLeft w:val="0"/>
              <w:marRight w:val="0"/>
              <w:marTop w:val="0"/>
              <w:marBottom w:val="0"/>
              <w:divBdr>
                <w:top w:val="none" w:sz="0" w:space="0" w:color="auto"/>
                <w:left w:val="none" w:sz="0" w:space="0" w:color="auto"/>
                <w:bottom w:val="none" w:sz="0" w:space="0" w:color="auto"/>
                <w:right w:val="none" w:sz="0" w:space="0" w:color="auto"/>
              </w:divBdr>
            </w:div>
          </w:divsChild>
        </w:div>
        <w:div w:id="1215586421">
          <w:marLeft w:val="240"/>
          <w:marRight w:val="0"/>
          <w:marTop w:val="60"/>
          <w:marBottom w:val="60"/>
          <w:divBdr>
            <w:top w:val="none" w:sz="0" w:space="0" w:color="auto"/>
            <w:left w:val="none" w:sz="0" w:space="0" w:color="auto"/>
            <w:bottom w:val="none" w:sz="0" w:space="0" w:color="auto"/>
            <w:right w:val="none" w:sz="0" w:space="0" w:color="auto"/>
          </w:divBdr>
          <w:divsChild>
            <w:div w:id="400181759">
              <w:marLeft w:val="0"/>
              <w:marRight w:val="0"/>
              <w:marTop w:val="0"/>
              <w:marBottom w:val="0"/>
              <w:divBdr>
                <w:top w:val="none" w:sz="0" w:space="0" w:color="auto"/>
                <w:left w:val="none" w:sz="0" w:space="0" w:color="auto"/>
                <w:bottom w:val="none" w:sz="0" w:space="0" w:color="auto"/>
                <w:right w:val="none" w:sz="0" w:space="0" w:color="auto"/>
              </w:divBdr>
            </w:div>
          </w:divsChild>
        </w:div>
        <w:div w:id="1607688053">
          <w:marLeft w:val="240"/>
          <w:marRight w:val="0"/>
          <w:marTop w:val="60"/>
          <w:marBottom w:val="60"/>
          <w:divBdr>
            <w:top w:val="none" w:sz="0" w:space="0" w:color="auto"/>
            <w:left w:val="none" w:sz="0" w:space="0" w:color="auto"/>
            <w:bottom w:val="none" w:sz="0" w:space="0" w:color="auto"/>
            <w:right w:val="none" w:sz="0" w:space="0" w:color="auto"/>
          </w:divBdr>
          <w:divsChild>
            <w:div w:id="100103275">
              <w:marLeft w:val="240"/>
              <w:marRight w:val="0"/>
              <w:marTop w:val="60"/>
              <w:marBottom w:val="60"/>
              <w:divBdr>
                <w:top w:val="none" w:sz="0" w:space="0" w:color="auto"/>
                <w:left w:val="none" w:sz="0" w:space="0" w:color="auto"/>
                <w:bottom w:val="none" w:sz="0" w:space="0" w:color="auto"/>
                <w:right w:val="none" w:sz="0" w:space="0" w:color="auto"/>
              </w:divBdr>
              <w:divsChild>
                <w:div w:id="1200822287">
                  <w:marLeft w:val="0"/>
                  <w:marRight w:val="0"/>
                  <w:marTop w:val="0"/>
                  <w:marBottom w:val="0"/>
                  <w:divBdr>
                    <w:top w:val="none" w:sz="0" w:space="0" w:color="auto"/>
                    <w:left w:val="none" w:sz="0" w:space="0" w:color="auto"/>
                    <w:bottom w:val="none" w:sz="0" w:space="0" w:color="auto"/>
                    <w:right w:val="none" w:sz="0" w:space="0" w:color="auto"/>
                  </w:divBdr>
                </w:div>
              </w:divsChild>
            </w:div>
            <w:div w:id="944069583">
              <w:marLeft w:val="240"/>
              <w:marRight w:val="0"/>
              <w:marTop w:val="60"/>
              <w:marBottom w:val="60"/>
              <w:divBdr>
                <w:top w:val="none" w:sz="0" w:space="0" w:color="auto"/>
                <w:left w:val="none" w:sz="0" w:space="0" w:color="auto"/>
                <w:bottom w:val="none" w:sz="0" w:space="0" w:color="auto"/>
                <w:right w:val="none" w:sz="0" w:space="0" w:color="auto"/>
              </w:divBdr>
              <w:divsChild>
                <w:div w:id="4393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13191">
      <w:bodyDiv w:val="1"/>
      <w:marLeft w:val="0"/>
      <w:marRight w:val="0"/>
      <w:marTop w:val="0"/>
      <w:marBottom w:val="0"/>
      <w:divBdr>
        <w:top w:val="none" w:sz="0" w:space="0" w:color="auto"/>
        <w:left w:val="none" w:sz="0" w:space="0" w:color="auto"/>
        <w:bottom w:val="none" w:sz="0" w:space="0" w:color="auto"/>
        <w:right w:val="none" w:sz="0" w:space="0" w:color="auto"/>
      </w:divBdr>
    </w:div>
    <w:div w:id="614020018">
      <w:bodyDiv w:val="1"/>
      <w:marLeft w:val="0"/>
      <w:marRight w:val="0"/>
      <w:marTop w:val="0"/>
      <w:marBottom w:val="0"/>
      <w:divBdr>
        <w:top w:val="none" w:sz="0" w:space="0" w:color="auto"/>
        <w:left w:val="none" w:sz="0" w:space="0" w:color="auto"/>
        <w:bottom w:val="none" w:sz="0" w:space="0" w:color="auto"/>
        <w:right w:val="none" w:sz="0" w:space="0" w:color="auto"/>
      </w:divBdr>
      <w:divsChild>
        <w:div w:id="1262568700">
          <w:marLeft w:val="0"/>
          <w:marRight w:val="0"/>
          <w:marTop w:val="0"/>
          <w:marBottom w:val="0"/>
          <w:divBdr>
            <w:top w:val="none" w:sz="0" w:space="0" w:color="auto"/>
            <w:left w:val="none" w:sz="0" w:space="0" w:color="auto"/>
            <w:bottom w:val="none" w:sz="0" w:space="0" w:color="auto"/>
            <w:right w:val="none" w:sz="0" w:space="0" w:color="auto"/>
          </w:divBdr>
          <w:divsChild>
            <w:div w:id="826822824">
              <w:marLeft w:val="0"/>
              <w:marRight w:val="0"/>
              <w:marTop w:val="0"/>
              <w:marBottom w:val="0"/>
              <w:divBdr>
                <w:top w:val="none" w:sz="0" w:space="0" w:color="auto"/>
                <w:left w:val="none" w:sz="0" w:space="0" w:color="auto"/>
                <w:bottom w:val="none" w:sz="0" w:space="0" w:color="auto"/>
                <w:right w:val="none" w:sz="0" w:space="0" w:color="auto"/>
              </w:divBdr>
            </w:div>
          </w:divsChild>
        </w:div>
        <w:div w:id="314258944">
          <w:marLeft w:val="0"/>
          <w:marRight w:val="0"/>
          <w:marTop w:val="0"/>
          <w:marBottom w:val="0"/>
          <w:divBdr>
            <w:top w:val="none" w:sz="0" w:space="0" w:color="auto"/>
            <w:left w:val="none" w:sz="0" w:space="0" w:color="auto"/>
            <w:bottom w:val="none" w:sz="0" w:space="0" w:color="auto"/>
            <w:right w:val="none" w:sz="0" w:space="0" w:color="auto"/>
          </w:divBdr>
          <w:divsChild>
            <w:div w:id="3071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29719">
      <w:bodyDiv w:val="1"/>
      <w:marLeft w:val="0"/>
      <w:marRight w:val="0"/>
      <w:marTop w:val="0"/>
      <w:marBottom w:val="0"/>
      <w:divBdr>
        <w:top w:val="none" w:sz="0" w:space="0" w:color="auto"/>
        <w:left w:val="none" w:sz="0" w:space="0" w:color="auto"/>
        <w:bottom w:val="none" w:sz="0" w:space="0" w:color="auto"/>
        <w:right w:val="none" w:sz="0" w:space="0" w:color="auto"/>
      </w:divBdr>
      <w:divsChild>
        <w:div w:id="528101765">
          <w:marLeft w:val="0"/>
          <w:marRight w:val="0"/>
          <w:marTop w:val="240"/>
          <w:marBottom w:val="0"/>
          <w:divBdr>
            <w:top w:val="none" w:sz="0" w:space="0" w:color="auto"/>
            <w:left w:val="none" w:sz="0" w:space="0" w:color="auto"/>
            <w:bottom w:val="none" w:sz="0" w:space="0" w:color="auto"/>
            <w:right w:val="none" w:sz="0" w:space="0" w:color="auto"/>
          </w:divBdr>
          <w:divsChild>
            <w:div w:id="1094131842">
              <w:marLeft w:val="0"/>
              <w:marRight w:val="0"/>
              <w:marTop w:val="0"/>
              <w:marBottom w:val="0"/>
              <w:divBdr>
                <w:top w:val="none" w:sz="0" w:space="0" w:color="auto"/>
                <w:left w:val="none" w:sz="0" w:space="0" w:color="auto"/>
                <w:bottom w:val="none" w:sz="0" w:space="0" w:color="auto"/>
                <w:right w:val="none" w:sz="0" w:space="0" w:color="auto"/>
              </w:divBdr>
            </w:div>
          </w:divsChild>
        </w:div>
        <w:div w:id="1812281542">
          <w:marLeft w:val="0"/>
          <w:marRight w:val="0"/>
          <w:marTop w:val="240"/>
          <w:marBottom w:val="0"/>
          <w:divBdr>
            <w:top w:val="none" w:sz="0" w:space="0" w:color="auto"/>
            <w:left w:val="none" w:sz="0" w:space="0" w:color="auto"/>
            <w:bottom w:val="none" w:sz="0" w:space="0" w:color="auto"/>
            <w:right w:val="none" w:sz="0" w:space="0" w:color="auto"/>
          </w:divBdr>
          <w:divsChild>
            <w:div w:id="103817565">
              <w:marLeft w:val="0"/>
              <w:marRight w:val="0"/>
              <w:marTop w:val="0"/>
              <w:marBottom w:val="0"/>
              <w:divBdr>
                <w:top w:val="none" w:sz="0" w:space="0" w:color="auto"/>
                <w:left w:val="none" w:sz="0" w:space="0" w:color="auto"/>
                <w:bottom w:val="none" w:sz="0" w:space="0" w:color="auto"/>
                <w:right w:val="none" w:sz="0" w:space="0" w:color="auto"/>
              </w:divBdr>
            </w:div>
          </w:divsChild>
        </w:div>
        <w:div w:id="2043285091">
          <w:marLeft w:val="0"/>
          <w:marRight w:val="0"/>
          <w:marTop w:val="240"/>
          <w:marBottom w:val="0"/>
          <w:divBdr>
            <w:top w:val="none" w:sz="0" w:space="0" w:color="auto"/>
            <w:left w:val="none" w:sz="0" w:space="0" w:color="auto"/>
            <w:bottom w:val="none" w:sz="0" w:space="0" w:color="auto"/>
            <w:right w:val="none" w:sz="0" w:space="0" w:color="auto"/>
          </w:divBdr>
          <w:divsChild>
            <w:div w:id="14463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4425">
      <w:bodyDiv w:val="1"/>
      <w:marLeft w:val="0"/>
      <w:marRight w:val="0"/>
      <w:marTop w:val="0"/>
      <w:marBottom w:val="0"/>
      <w:divBdr>
        <w:top w:val="none" w:sz="0" w:space="0" w:color="auto"/>
        <w:left w:val="none" w:sz="0" w:space="0" w:color="auto"/>
        <w:bottom w:val="none" w:sz="0" w:space="0" w:color="auto"/>
        <w:right w:val="none" w:sz="0" w:space="0" w:color="auto"/>
      </w:divBdr>
      <w:divsChild>
        <w:div w:id="628391405">
          <w:marLeft w:val="0"/>
          <w:marRight w:val="0"/>
          <w:marTop w:val="0"/>
          <w:marBottom w:val="0"/>
          <w:divBdr>
            <w:top w:val="none" w:sz="0" w:space="0" w:color="auto"/>
            <w:left w:val="none" w:sz="0" w:space="0" w:color="auto"/>
            <w:bottom w:val="none" w:sz="0" w:space="0" w:color="auto"/>
            <w:right w:val="none" w:sz="0" w:space="0" w:color="auto"/>
          </w:divBdr>
          <w:divsChild>
            <w:div w:id="1017851871">
              <w:marLeft w:val="0"/>
              <w:marRight w:val="0"/>
              <w:marTop w:val="0"/>
              <w:marBottom w:val="0"/>
              <w:divBdr>
                <w:top w:val="none" w:sz="0" w:space="0" w:color="auto"/>
                <w:left w:val="none" w:sz="0" w:space="0" w:color="auto"/>
                <w:bottom w:val="none" w:sz="0" w:space="0" w:color="auto"/>
                <w:right w:val="none" w:sz="0" w:space="0" w:color="auto"/>
              </w:divBdr>
            </w:div>
          </w:divsChild>
        </w:div>
        <w:div w:id="1623222390">
          <w:marLeft w:val="0"/>
          <w:marRight w:val="0"/>
          <w:marTop w:val="0"/>
          <w:marBottom w:val="0"/>
          <w:divBdr>
            <w:top w:val="none" w:sz="0" w:space="0" w:color="auto"/>
            <w:left w:val="none" w:sz="0" w:space="0" w:color="auto"/>
            <w:bottom w:val="none" w:sz="0" w:space="0" w:color="auto"/>
            <w:right w:val="none" w:sz="0" w:space="0" w:color="auto"/>
          </w:divBdr>
          <w:divsChild>
            <w:div w:id="247926053">
              <w:marLeft w:val="0"/>
              <w:marRight w:val="0"/>
              <w:marTop w:val="0"/>
              <w:marBottom w:val="0"/>
              <w:divBdr>
                <w:top w:val="none" w:sz="0" w:space="0" w:color="auto"/>
                <w:left w:val="none" w:sz="0" w:space="0" w:color="auto"/>
                <w:bottom w:val="none" w:sz="0" w:space="0" w:color="auto"/>
                <w:right w:val="none" w:sz="0" w:space="0" w:color="auto"/>
              </w:divBdr>
            </w:div>
          </w:divsChild>
        </w:div>
        <w:div w:id="1520460995">
          <w:marLeft w:val="0"/>
          <w:marRight w:val="0"/>
          <w:marTop w:val="0"/>
          <w:marBottom w:val="0"/>
          <w:divBdr>
            <w:top w:val="none" w:sz="0" w:space="0" w:color="auto"/>
            <w:left w:val="none" w:sz="0" w:space="0" w:color="auto"/>
            <w:bottom w:val="none" w:sz="0" w:space="0" w:color="auto"/>
            <w:right w:val="none" w:sz="0" w:space="0" w:color="auto"/>
          </w:divBdr>
          <w:divsChild>
            <w:div w:id="740105177">
              <w:marLeft w:val="0"/>
              <w:marRight w:val="0"/>
              <w:marTop w:val="0"/>
              <w:marBottom w:val="0"/>
              <w:divBdr>
                <w:top w:val="none" w:sz="0" w:space="0" w:color="auto"/>
                <w:left w:val="none" w:sz="0" w:space="0" w:color="auto"/>
                <w:bottom w:val="none" w:sz="0" w:space="0" w:color="auto"/>
                <w:right w:val="none" w:sz="0" w:space="0" w:color="auto"/>
              </w:divBdr>
            </w:div>
          </w:divsChild>
        </w:div>
        <w:div w:id="699629564">
          <w:marLeft w:val="0"/>
          <w:marRight w:val="0"/>
          <w:marTop w:val="0"/>
          <w:marBottom w:val="0"/>
          <w:divBdr>
            <w:top w:val="none" w:sz="0" w:space="0" w:color="auto"/>
            <w:left w:val="none" w:sz="0" w:space="0" w:color="auto"/>
            <w:bottom w:val="none" w:sz="0" w:space="0" w:color="auto"/>
            <w:right w:val="none" w:sz="0" w:space="0" w:color="auto"/>
          </w:divBdr>
          <w:divsChild>
            <w:div w:id="9385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5827">
      <w:bodyDiv w:val="1"/>
      <w:marLeft w:val="0"/>
      <w:marRight w:val="0"/>
      <w:marTop w:val="0"/>
      <w:marBottom w:val="0"/>
      <w:divBdr>
        <w:top w:val="none" w:sz="0" w:space="0" w:color="auto"/>
        <w:left w:val="none" w:sz="0" w:space="0" w:color="auto"/>
        <w:bottom w:val="none" w:sz="0" w:space="0" w:color="auto"/>
        <w:right w:val="none" w:sz="0" w:space="0" w:color="auto"/>
      </w:divBdr>
      <w:divsChild>
        <w:div w:id="1523006290">
          <w:marLeft w:val="0"/>
          <w:marRight w:val="0"/>
          <w:marTop w:val="240"/>
          <w:marBottom w:val="0"/>
          <w:divBdr>
            <w:top w:val="none" w:sz="0" w:space="0" w:color="auto"/>
            <w:left w:val="none" w:sz="0" w:space="0" w:color="auto"/>
            <w:bottom w:val="none" w:sz="0" w:space="0" w:color="auto"/>
            <w:right w:val="none" w:sz="0" w:space="0" w:color="auto"/>
          </w:divBdr>
          <w:divsChild>
            <w:div w:id="2075538842">
              <w:marLeft w:val="0"/>
              <w:marRight w:val="0"/>
              <w:marTop w:val="0"/>
              <w:marBottom w:val="0"/>
              <w:divBdr>
                <w:top w:val="none" w:sz="0" w:space="0" w:color="auto"/>
                <w:left w:val="none" w:sz="0" w:space="0" w:color="auto"/>
                <w:bottom w:val="none" w:sz="0" w:space="0" w:color="auto"/>
                <w:right w:val="none" w:sz="0" w:space="0" w:color="auto"/>
              </w:divBdr>
            </w:div>
          </w:divsChild>
        </w:div>
        <w:div w:id="1729381360">
          <w:marLeft w:val="0"/>
          <w:marRight w:val="0"/>
          <w:marTop w:val="240"/>
          <w:marBottom w:val="0"/>
          <w:divBdr>
            <w:top w:val="none" w:sz="0" w:space="0" w:color="auto"/>
            <w:left w:val="none" w:sz="0" w:space="0" w:color="auto"/>
            <w:bottom w:val="none" w:sz="0" w:space="0" w:color="auto"/>
            <w:right w:val="none" w:sz="0" w:space="0" w:color="auto"/>
          </w:divBdr>
          <w:divsChild>
            <w:div w:id="1838690166">
              <w:marLeft w:val="0"/>
              <w:marRight w:val="0"/>
              <w:marTop w:val="0"/>
              <w:marBottom w:val="0"/>
              <w:divBdr>
                <w:top w:val="none" w:sz="0" w:space="0" w:color="auto"/>
                <w:left w:val="none" w:sz="0" w:space="0" w:color="auto"/>
                <w:bottom w:val="none" w:sz="0" w:space="0" w:color="auto"/>
                <w:right w:val="none" w:sz="0" w:space="0" w:color="auto"/>
              </w:divBdr>
            </w:div>
          </w:divsChild>
        </w:div>
        <w:div w:id="1895385167">
          <w:marLeft w:val="0"/>
          <w:marRight w:val="0"/>
          <w:marTop w:val="240"/>
          <w:marBottom w:val="0"/>
          <w:divBdr>
            <w:top w:val="none" w:sz="0" w:space="0" w:color="auto"/>
            <w:left w:val="none" w:sz="0" w:space="0" w:color="auto"/>
            <w:bottom w:val="none" w:sz="0" w:space="0" w:color="auto"/>
            <w:right w:val="none" w:sz="0" w:space="0" w:color="auto"/>
          </w:divBdr>
          <w:divsChild>
            <w:div w:id="17030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6584">
      <w:bodyDiv w:val="1"/>
      <w:marLeft w:val="0"/>
      <w:marRight w:val="0"/>
      <w:marTop w:val="0"/>
      <w:marBottom w:val="0"/>
      <w:divBdr>
        <w:top w:val="none" w:sz="0" w:space="0" w:color="auto"/>
        <w:left w:val="none" w:sz="0" w:space="0" w:color="auto"/>
        <w:bottom w:val="none" w:sz="0" w:space="0" w:color="auto"/>
        <w:right w:val="none" w:sz="0" w:space="0" w:color="auto"/>
      </w:divBdr>
    </w:div>
    <w:div w:id="660081980">
      <w:bodyDiv w:val="1"/>
      <w:marLeft w:val="0"/>
      <w:marRight w:val="0"/>
      <w:marTop w:val="0"/>
      <w:marBottom w:val="0"/>
      <w:divBdr>
        <w:top w:val="none" w:sz="0" w:space="0" w:color="auto"/>
        <w:left w:val="none" w:sz="0" w:space="0" w:color="auto"/>
        <w:bottom w:val="none" w:sz="0" w:space="0" w:color="auto"/>
        <w:right w:val="none" w:sz="0" w:space="0" w:color="auto"/>
      </w:divBdr>
    </w:div>
    <w:div w:id="668752459">
      <w:bodyDiv w:val="1"/>
      <w:marLeft w:val="0"/>
      <w:marRight w:val="0"/>
      <w:marTop w:val="0"/>
      <w:marBottom w:val="0"/>
      <w:divBdr>
        <w:top w:val="none" w:sz="0" w:space="0" w:color="auto"/>
        <w:left w:val="none" w:sz="0" w:space="0" w:color="auto"/>
        <w:bottom w:val="none" w:sz="0" w:space="0" w:color="auto"/>
        <w:right w:val="none" w:sz="0" w:space="0" w:color="auto"/>
      </w:divBdr>
      <w:divsChild>
        <w:div w:id="1008213556">
          <w:marLeft w:val="0"/>
          <w:marRight w:val="0"/>
          <w:marTop w:val="240"/>
          <w:marBottom w:val="0"/>
          <w:divBdr>
            <w:top w:val="none" w:sz="0" w:space="0" w:color="auto"/>
            <w:left w:val="none" w:sz="0" w:space="0" w:color="auto"/>
            <w:bottom w:val="none" w:sz="0" w:space="0" w:color="auto"/>
            <w:right w:val="none" w:sz="0" w:space="0" w:color="auto"/>
          </w:divBdr>
          <w:divsChild>
            <w:div w:id="1751780057">
              <w:marLeft w:val="0"/>
              <w:marRight w:val="0"/>
              <w:marTop w:val="0"/>
              <w:marBottom w:val="0"/>
              <w:divBdr>
                <w:top w:val="none" w:sz="0" w:space="0" w:color="auto"/>
                <w:left w:val="none" w:sz="0" w:space="0" w:color="auto"/>
                <w:bottom w:val="none" w:sz="0" w:space="0" w:color="auto"/>
                <w:right w:val="none" w:sz="0" w:space="0" w:color="auto"/>
              </w:divBdr>
              <w:divsChild>
                <w:div w:id="1135100138">
                  <w:blockQuote w:val="1"/>
                  <w:marLeft w:val="600"/>
                  <w:marRight w:val="600"/>
                  <w:marTop w:val="60"/>
                  <w:marBottom w:val="60"/>
                  <w:divBdr>
                    <w:top w:val="none" w:sz="0" w:space="0" w:color="auto"/>
                    <w:left w:val="none" w:sz="0" w:space="0" w:color="auto"/>
                    <w:bottom w:val="none" w:sz="0" w:space="0" w:color="auto"/>
                    <w:right w:val="none" w:sz="0" w:space="0" w:color="auto"/>
                  </w:divBdr>
                  <w:divsChild>
                    <w:div w:id="190599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6128">
          <w:marLeft w:val="0"/>
          <w:marRight w:val="0"/>
          <w:marTop w:val="240"/>
          <w:marBottom w:val="0"/>
          <w:divBdr>
            <w:top w:val="none" w:sz="0" w:space="0" w:color="auto"/>
            <w:left w:val="none" w:sz="0" w:space="0" w:color="auto"/>
            <w:bottom w:val="none" w:sz="0" w:space="0" w:color="auto"/>
            <w:right w:val="none" w:sz="0" w:space="0" w:color="auto"/>
          </w:divBdr>
        </w:div>
      </w:divsChild>
    </w:div>
    <w:div w:id="679739496">
      <w:bodyDiv w:val="1"/>
      <w:marLeft w:val="0"/>
      <w:marRight w:val="0"/>
      <w:marTop w:val="0"/>
      <w:marBottom w:val="0"/>
      <w:divBdr>
        <w:top w:val="none" w:sz="0" w:space="0" w:color="auto"/>
        <w:left w:val="none" w:sz="0" w:space="0" w:color="auto"/>
        <w:bottom w:val="none" w:sz="0" w:space="0" w:color="auto"/>
        <w:right w:val="none" w:sz="0" w:space="0" w:color="auto"/>
      </w:divBdr>
      <w:divsChild>
        <w:div w:id="514654516">
          <w:marLeft w:val="0"/>
          <w:marRight w:val="0"/>
          <w:marTop w:val="0"/>
          <w:marBottom w:val="0"/>
          <w:divBdr>
            <w:top w:val="none" w:sz="0" w:space="0" w:color="auto"/>
            <w:left w:val="none" w:sz="0" w:space="0" w:color="auto"/>
            <w:bottom w:val="none" w:sz="0" w:space="0" w:color="auto"/>
            <w:right w:val="none" w:sz="0" w:space="0" w:color="auto"/>
          </w:divBdr>
          <w:divsChild>
            <w:div w:id="9939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0517">
      <w:bodyDiv w:val="1"/>
      <w:marLeft w:val="0"/>
      <w:marRight w:val="0"/>
      <w:marTop w:val="0"/>
      <w:marBottom w:val="0"/>
      <w:divBdr>
        <w:top w:val="none" w:sz="0" w:space="0" w:color="auto"/>
        <w:left w:val="none" w:sz="0" w:space="0" w:color="auto"/>
        <w:bottom w:val="none" w:sz="0" w:space="0" w:color="auto"/>
        <w:right w:val="none" w:sz="0" w:space="0" w:color="auto"/>
      </w:divBdr>
      <w:divsChild>
        <w:div w:id="972173742">
          <w:marLeft w:val="0"/>
          <w:marRight w:val="0"/>
          <w:marTop w:val="0"/>
          <w:marBottom w:val="0"/>
          <w:divBdr>
            <w:top w:val="none" w:sz="0" w:space="0" w:color="auto"/>
            <w:left w:val="none" w:sz="0" w:space="0" w:color="auto"/>
            <w:bottom w:val="none" w:sz="0" w:space="0" w:color="auto"/>
            <w:right w:val="none" w:sz="0" w:space="0" w:color="auto"/>
          </w:divBdr>
          <w:divsChild>
            <w:div w:id="1613244343">
              <w:marLeft w:val="0"/>
              <w:marRight w:val="0"/>
              <w:marTop w:val="0"/>
              <w:marBottom w:val="0"/>
              <w:divBdr>
                <w:top w:val="none" w:sz="0" w:space="0" w:color="auto"/>
                <w:left w:val="none" w:sz="0" w:space="0" w:color="auto"/>
                <w:bottom w:val="none" w:sz="0" w:space="0" w:color="auto"/>
                <w:right w:val="none" w:sz="0" w:space="0" w:color="auto"/>
              </w:divBdr>
            </w:div>
          </w:divsChild>
        </w:div>
        <w:div w:id="1837111215">
          <w:marLeft w:val="0"/>
          <w:marRight w:val="0"/>
          <w:marTop w:val="0"/>
          <w:marBottom w:val="0"/>
          <w:divBdr>
            <w:top w:val="none" w:sz="0" w:space="0" w:color="auto"/>
            <w:left w:val="none" w:sz="0" w:space="0" w:color="auto"/>
            <w:bottom w:val="none" w:sz="0" w:space="0" w:color="auto"/>
            <w:right w:val="none" w:sz="0" w:space="0" w:color="auto"/>
          </w:divBdr>
          <w:divsChild>
            <w:div w:id="17216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8097">
      <w:bodyDiv w:val="1"/>
      <w:marLeft w:val="0"/>
      <w:marRight w:val="0"/>
      <w:marTop w:val="0"/>
      <w:marBottom w:val="0"/>
      <w:divBdr>
        <w:top w:val="none" w:sz="0" w:space="0" w:color="auto"/>
        <w:left w:val="none" w:sz="0" w:space="0" w:color="auto"/>
        <w:bottom w:val="none" w:sz="0" w:space="0" w:color="auto"/>
        <w:right w:val="none" w:sz="0" w:space="0" w:color="auto"/>
      </w:divBdr>
      <w:divsChild>
        <w:div w:id="20859498">
          <w:marLeft w:val="0"/>
          <w:marRight w:val="0"/>
          <w:marTop w:val="0"/>
          <w:marBottom w:val="0"/>
          <w:divBdr>
            <w:top w:val="none" w:sz="0" w:space="0" w:color="auto"/>
            <w:left w:val="none" w:sz="0" w:space="0" w:color="auto"/>
            <w:bottom w:val="none" w:sz="0" w:space="0" w:color="auto"/>
            <w:right w:val="none" w:sz="0" w:space="0" w:color="auto"/>
          </w:divBdr>
          <w:divsChild>
            <w:div w:id="2015763898">
              <w:marLeft w:val="0"/>
              <w:marRight w:val="0"/>
              <w:marTop w:val="0"/>
              <w:marBottom w:val="0"/>
              <w:divBdr>
                <w:top w:val="none" w:sz="0" w:space="0" w:color="auto"/>
                <w:left w:val="none" w:sz="0" w:space="0" w:color="auto"/>
                <w:bottom w:val="none" w:sz="0" w:space="0" w:color="auto"/>
                <w:right w:val="none" w:sz="0" w:space="0" w:color="auto"/>
              </w:divBdr>
            </w:div>
          </w:divsChild>
        </w:div>
        <w:div w:id="1613900812">
          <w:marLeft w:val="0"/>
          <w:marRight w:val="0"/>
          <w:marTop w:val="0"/>
          <w:marBottom w:val="0"/>
          <w:divBdr>
            <w:top w:val="none" w:sz="0" w:space="0" w:color="auto"/>
            <w:left w:val="none" w:sz="0" w:space="0" w:color="auto"/>
            <w:bottom w:val="none" w:sz="0" w:space="0" w:color="auto"/>
            <w:right w:val="none" w:sz="0" w:space="0" w:color="auto"/>
          </w:divBdr>
          <w:divsChild>
            <w:div w:id="1694072737">
              <w:marLeft w:val="0"/>
              <w:marRight w:val="0"/>
              <w:marTop w:val="0"/>
              <w:marBottom w:val="0"/>
              <w:divBdr>
                <w:top w:val="none" w:sz="0" w:space="0" w:color="auto"/>
                <w:left w:val="none" w:sz="0" w:space="0" w:color="auto"/>
                <w:bottom w:val="none" w:sz="0" w:space="0" w:color="auto"/>
                <w:right w:val="none" w:sz="0" w:space="0" w:color="auto"/>
              </w:divBdr>
            </w:div>
          </w:divsChild>
        </w:div>
        <w:div w:id="1216820749">
          <w:marLeft w:val="0"/>
          <w:marRight w:val="0"/>
          <w:marTop w:val="0"/>
          <w:marBottom w:val="0"/>
          <w:divBdr>
            <w:top w:val="none" w:sz="0" w:space="0" w:color="auto"/>
            <w:left w:val="none" w:sz="0" w:space="0" w:color="auto"/>
            <w:bottom w:val="none" w:sz="0" w:space="0" w:color="auto"/>
            <w:right w:val="none" w:sz="0" w:space="0" w:color="auto"/>
          </w:divBdr>
          <w:divsChild>
            <w:div w:id="17510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0089">
      <w:bodyDiv w:val="1"/>
      <w:marLeft w:val="0"/>
      <w:marRight w:val="0"/>
      <w:marTop w:val="0"/>
      <w:marBottom w:val="0"/>
      <w:divBdr>
        <w:top w:val="none" w:sz="0" w:space="0" w:color="auto"/>
        <w:left w:val="none" w:sz="0" w:space="0" w:color="auto"/>
        <w:bottom w:val="none" w:sz="0" w:space="0" w:color="auto"/>
        <w:right w:val="none" w:sz="0" w:space="0" w:color="auto"/>
      </w:divBdr>
      <w:divsChild>
        <w:div w:id="590551790">
          <w:marLeft w:val="0"/>
          <w:marRight w:val="0"/>
          <w:marTop w:val="240"/>
          <w:marBottom w:val="0"/>
          <w:divBdr>
            <w:top w:val="none" w:sz="0" w:space="0" w:color="auto"/>
            <w:left w:val="none" w:sz="0" w:space="0" w:color="auto"/>
            <w:bottom w:val="none" w:sz="0" w:space="0" w:color="auto"/>
            <w:right w:val="none" w:sz="0" w:space="0" w:color="auto"/>
          </w:divBdr>
          <w:divsChild>
            <w:div w:id="171337860">
              <w:marLeft w:val="0"/>
              <w:marRight w:val="0"/>
              <w:marTop w:val="0"/>
              <w:marBottom w:val="0"/>
              <w:divBdr>
                <w:top w:val="none" w:sz="0" w:space="0" w:color="auto"/>
                <w:left w:val="none" w:sz="0" w:space="0" w:color="auto"/>
                <w:bottom w:val="none" w:sz="0" w:space="0" w:color="auto"/>
                <w:right w:val="none" w:sz="0" w:space="0" w:color="auto"/>
              </w:divBdr>
              <w:divsChild>
                <w:div w:id="228733602">
                  <w:marLeft w:val="0"/>
                  <w:marRight w:val="0"/>
                  <w:marTop w:val="0"/>
                  <w:marBottom w:val="0"/>
                  <w:divBdr>
                    <w:top w:val="none" w:sz="0" w:space="0" w:color="auto"/>
                    <w:left w:val="none" w:sz="0" w:space="0" w:color="auto"/>
                    <w:bottom w:val="none" w:sz="0" w:space="0" w:color="auto"/>
                    <w:right w:val="none" w:sz="0" w:space="0" w:color="auto"/>
                  </w:divBdr>
                </w:div>
              </w:divsChild>
            </w:div>
            <w:div w:id="131022752">
              <w:marLeft w:val="0"/>
              <w:marRight w:val="0"/>
              <w:marTop w:val="240"/>
              <w:marBottom w:val="0"/>
              <w:divBdr>
                <w:top w:val="none" w:sz="0" w:space="0" w:color="auto"/>
                <w:left w:val="none" w:sz="0" w:space="0" w:color="auto"/>
                <w:bottom w:val="none" w:sz="0" w:space="0" w:color="auto"/>
                <w:right w:val="none" w:sz="0" w:space="0" w:color="auto"/>
              </w:divBdr>
              <w:divsChild>
                <w:div w:id="222444742">
                  <w:marLeft w:val="0"/>
                  <w:marRight w:val="0"/>
                  <w:marTop w:val="0"/>
                  <w:marBottom w:val="0"/>
                  <w:divBdr>
                    <w:top w:val="none" w:sz="0" w:space="0" w:color="auto"/>
                    <w:left w:val="none" w:sz="0" w:space="0" w:color="auto"/>
                    <w:bottom w:val="none" w:sz="0" w:space="0" w:color="auto"/>
                    <w:right w:val="none" w:sz="0" w:space="0" w:color="auto"/>
                  </w:divBdr>
                  <w:divsChild>
                    <w:div w:id="6898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80516">
              <w:marLeft w:val="0"/>
              <w:marRight w:val="0"/>
              <w:marTop w:val="240"/>
              <w:marBottom w:val="0"/>
              <w:divBdr>
                <w:top w:val="none" w:sz="0" w:space="0" w:color="auto"/>
                <w:left w:val="none" w:sz="0" w:space="0" w:color="auto"/>
                <w:bottom w:val="none" w:sz="0" w:space="0" w:color="auto"/>
                <w:right w:val="none" w:sz="0" w:space="0" w:color="auto"/>
              </w:divBdr>
              <w:divsChild>
                <w:div w:id="1953588320">
                  <w:marLeft w:val="0"/>
                  <w:marRight w:val="0"/>
                  <w:marTop w:val="0"/>
                  <w:marBottom w:val="0"/>
                  <w:divBdr>
                    <w:top w:val="none" w:sz="0" w:space="0" w:color="auto"/>
                    <w:left w:val="none" w:sz="0" w:space="0" w:color="auto"/>
                    <w:bottom w:val="none" w:sz="0" w:space="0" w:color="auto"/>
                    <w:right w:val="none" w:sz="0" w:space="0" w:color="auto"/>
                  </w:divBdr>
                  <w:divsChild>
                    <w:div w:id="21241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4726">
              <w:marLeft w:val="0"/>
              <w:marRight w:val="0"/>
              <w:marTop w:val="240"/>
              <w:marBottom w:val="0"/>
              <w:divBdr>
                <w:top w:val="none" w:sz="0" w:space="0" w:color="auto"/>
                <w:left w:val="none" w:sz="0" w:space="0" w:color="auto"/>
                <w:bottom w:val="none" w:sz="0" w:space="0" w:color="auto"/>
                <w:right w:val="none" w:sz="0" w:space="0" w:color="auto"/>
              </w:divBdr>
              <w:divsChild>
                <w:div w:id="1109272965">
                  <w:marLeft w:val="0"/>
                  <w:marRight w:val="0"/>
                  <w:marTop w:val="0"/>
                  <w:marBottom w:val="0"/>
                  <w:divBdr>
                    <w:top w:val="none" w:sz="0" w:space="0" w:color="auto"/>
                    <w:left w:val="none" w:sz="0" w:space="0" w:color="auto"/>
                    <w:bottom w:val="none" w:sz="0" w:space="0" w:color="auto"/>
                    <w:right w:val="none" w:sz="0" w:space="0" w:color="auto"/>
                  </w:divBdr>
                  <w:divsChild>
                    <w:div w:id="1094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7518">
              <w:marLeft w:val="0"/>
              <w:marRight w:val="0"/>
              <w:marTop w:val="240"/>
              <w:marBottom w:val="0"/>
              <w:divBdr>
                <w:top w:val="none" w:sz="0" w:space="0" w:color="auto"/>
                <w:left w:val="none" w:sz="0" w:space="0" w:color="auto"/>
                <w:bottom w:val="none" w:sz="0" w:space="0" w:color="auto"/>
                <w:right w:val="none" w:sz="0" w:space="0" w:color="auto"/>
              </w:divBdr>
              <w:divsChild>
                <w:div w:id="412095512">
                  <w:marLeft w:val="0"/>
                  <w:marRight w:val="0"/>
                  <w:marTop w:val="0"/>
                  <w:marBottom w:val="0"/>
                  <w:divBdr>
                    <w:top w:val="none" w:sz="0" w:space="0" w:color="auto"/>
                    <w:left w:val="none" w:sz="0" w:space="0" w:color="auto"/>
                    <w:bottom w:val="none" w:sz="0" w:space="0" w:color="auto"/>
                    <w:right w:val="none" w:sz="0" w:space="0" w:color="auto"/>
                  </w:divBdr>
                  <w:divsChild>
                    <w:div w:id="11886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9548">
              <w:marLeft w:val="0"/>
              <w:marRight w:val="0"/>
              <w:marTop w:val="240"/>
              <w:marBottom w:val="0"/>
              <w:divBdr>
                <w:top w:val="none" w:sz="0" w:space="0" w:color="auto"/>
                <w:left w:val="none" w:sz="0" w:space="0" w:color="auto"/>
                <w:bottom w:val="none" w:sz="0" w:space="0" w:color="auto"/>
                <w:right w:val="none" w:sz="0" w:space="0" w:color="auto"/>
              </w:divBdr>
              <w:divsChild>
                <w:div w:id="335964462">
                  <w:marLeft w:val="0"/>
                  <w:marRight w:val="0"/>
                  <w:marTop w:val="0"/>
                  <w:marBottom w:val="0"/>
                  <w:divBdr>
                    <w:top w:val="none" w:sz="0" w:space="0" w:color="auto"/>
                    <w:left w:val="none" w:sz="0" w:space="0" w:color="auto"/>
                    <w:bottom w:val="none" w:sz="0" w:space="0" w:color="auto"/>
                    <w:right w:val="none" w:sz="0" w:space="0" w:color="auto"/>
                  </w:divBdr>
                  <w:divsChild>
                    <w:div w:id="19971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3070">
              <w:marLeft w:val="0"/>
              <w:marRight w:val="0"/>
              <w:marTop w:val="240"/>
              <w:marBottom w:val="0"/>
              <w:divBdr>
                <w:top w:val="none" w:sz="0" w:space="0" w:color="auto"/>
                <w:left w:val="none" w:sz="0" w:space="0" w:color="auto"/>
                <w:bottom w:val="none" w:sz="0" w:space="0" w:color="auto"/>
                <w:right w:val="none" w:sz="0" w:space="0" w:color="auto"/>
              </w:divBdr>
              <w:divsChild>
                <w:div w:id="11079309">
                  <w:marLeft w:val="0"/>
                  <w:marRight w:val="0"/>
                  <w:marTop w:val="0"/>
                  <w:marBottom w:val="0"/>
                  <w:divBdr>
                    <w:top w:val="none" w:sz="0" w:space="0" w:color="auto"/>
                    <w:left w:val="none" w:sz="0" w:space="0" w:color="auto"/>
                    <w:bottom w:val="none" w:sz="0" w:space="0" w:color="auto"/>
                    <w:right w:val="none" w:sz="0" w:space="0" w:color="auto"/>
                  </w:divBdr>
                  <w:divsChild>
                    <w:div w:id="822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419">
              <w:marLeft w:val="0"/>
              <w:marRight w:val="0"/>
              <w:marTop w:val="240"/>
              <w:marBottom w:val="0"/>
              <w:divBdr>
                <w:top w:val="none" w:sz="0" w:space="0" w:color="auto"/>
                <w:left w:val="none" w:sz="0" w:space="0" w:color="auto"/>
                <w:bottom w:val="none" w:sz="0" w:space="0" w:color="auto"/>
                <w:right w:val="none" w:sz="0" w:space="0" w:color="auto"/>
              </w:divBdr>
              <w:divsChild>
                <w:div w:id="433865742">
                  <w:marLeft w:val="0"/>
                  <w:marRight w:val="0"/>
                  <w:marTop w:val="0"/>
                  <w:marBottom w:val="0"/>
                  <w:divBdr>
                    <w:top w:val="none" w:sz="0" w:space="0" w:color="auto"/>
                    <w:left w:val="none" w:sz="0" w:space="0" w:color="auto"/>
                    <w:bottom w:val="none" w:sz="0" w:space="0" w:color="auto"/>
                    <w:right w:val="none" w:sz="0" w:space="0" w:color="auto"/>
                  </w:divBdr>
                  <w:divsChild>
                    <w:div w:id="3685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3487">
              <w:marLeft w:val="0"/>
              <w:marRight w:val="0"/>
              <w:marTop w:val="240"/>
              <w:marBottom w:val="0"/>
              <w:divBdr>
                <w:top w:val="none" w:sz="0" w:space="0" w:color="auto"/>
                <w:left w:val="none" w:sz="0" w:space="0" w:color="auto"/>
                <w:bottom w:val="none" w:sz="0" w:space="0" w:color="auto"/>
                <w:right w:val="none" w:sz="0" w:space="0" w:color="auto"/>
              </w:divBdr>
              <w:divsChild>
                <w:div w:id="1908417280">
                  <w:marLeft w:val="0"/>
                  <w:marRight w:val="0"/>
                  <w:marTop w:val="0"/>
                  <w:marBottom w:val="0"/>
                  <w:divBdr>
                    <w:top w:val="none" w:sz="0" w:space="0" w:color="auto"/>
                    <w:left w:val="none" w:sz="0" w:space="0" w:color="auto"/>
                    <w:bottom w:val="none" w:sz="0" w:space="0" w:color="auto"/>
                    <w:right w:val="none" w:sz="0" w:space="0" w:color="auto"/>
                  </w:divBdr>
                  <w:divsChild>
                    <w:div w:id="17498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14015">
          <w:marLeft w:val="0"/>
          <w:marRight w:val="0"/>
          <w:marTop w:val="240"/>
          <w:marBottom w:val="0"/>
          <w:divBdr>
            <w:top w:val="none" w:sz="0" w:space="0" w:color="auto"/>
            <w:left w:val="none" w:sz="0" w:space="0" w:color="auto"/>
            <w:bottom w:val="none" w:sz="0" w:space="0" w:color="auto"/>
            <w:right w:val="none" w:sz="0" w:space="0" w:color="auto"/>
          </w:divBdr>
          <w:divsChild>
            <w:div w:id="1401564177">
              <w:marLeft w:val="0"/>
              <w:marRight w:val="0"/>
              <w:marTop w:val="0"/>
              <w:marBottom w:val="0"/>
              <w:divBdr>
                <w:top w:val="none" w:sz="0" w:space="0" w:color="auto"/>
                <w:left w:val="none" w:sz="0" w:space="0" w:color="auto"/>
                <w:bottom w:val="none" w:sz="0" w:space="0" w:color="auto"/>
                <w:right w:val="none" w:sz="0" w:space="0" w:color="auto"/>
              </w:divBdr>
              <w:divsChild>
                <w:div w:id="8244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27787">
      <w:bodyDiv w:val="1"/>
      <w:marLeft w:val="0"/>
      <w:marRight w:val="0"/>
      <w:marTop w:val="0"/>
      <w:marBottom w:val="0"/>
      <w:divBdr>
        <w:top w:val="none" w:sz="0" w:space="0" w:color="auto"/>
        <w:left w:val="none" w:sz="0" w:space="0" w:color="auto"/>
        <w:bottom w:val="none" w:sz="0" w:space="0" w:color="auto"/>
        <w:right w:val="none" w:sz="0" w:space="0" w:color="auto"/>
      </w:divBdr>
      <w:divsChild>
        <w:div w:id="640157533">
          <w:marLeft w:val="0"/>
          <w:marRight w:val="0"/>
          <w:marTop w:val="0"/>
          <w:marBottom w:val="0"/>
          <w:divBdr>
            <w:top w:val="none" w:sz="0" w:space="0" w:color="auto"/>
            <w:left w:val="none" w:sz="0" w:space="0" w:color="auto"/>
            <w:bottom w:val="none" w:sz="0" w:space="0" w:color="auto"/>
            <w:right w:val="none" w:sz="0" w:space="0" w:color="auto"/>
          </w:divBdr>
          <w:divsChild>
            <w:div w:id="572159355">
              <w:marLeft w:val="0"/>
              <w:marRight w:val="0"/>
              <w:marTop w:val="0"/>
              <w:marBottom w:val="0"/>
              <w:divBdr>
                <w:top w:val="none" w:sz="0" w:space="0" w:color="auto"/>
                <w:left w:val="none" w:sz="0" w:space="0" w:color="auto"/>
                <w:bottom w:val="none" w:sz="0" w:space="0" w:color="auto"/>
                <w:right w:val="none" w:sz="0" w:space="0" w:color="auto"/>
              </w:divBdr>
              <w:divsChild>
                <w:div w:id="17038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86758">
      <w:bodyDiv w:val="1"/>
      <w:marLeft w:val="0"/>
      <w:marRight w:val="0"/>
      <w:marTop w:val="0"/>
      <w:marBottom w:val="0"/>
      <w:divBdr>
        <w:top w:val="none" w:sz="0" w:space="0" w:color="auto"/>
        <w:left w:val="none" w:sz="0" w:space="0" w:color="auto"/>
        <w:bottom w:val="none" w:sz="0" w:space="0" w:color="auto"/>
        <w:right w:val="none" w:sz="0" w:space="0" w:color="auto"/>
      </w:divBdr>
    </w:div>
    <w:div w:id="726221992">
      <w:bodyDiv w:val="1"/>
      <w:marLeft w:val="0"/>
      <w:marRight w:val="0"/>
      <w:marTop w:val="0"/>
      <w:marBottom w:val="0"/>
      <w:divBdr>
        <w:top w:val="none" w:sz="0" w:space="0" w:color="auto"/>
        <w:left w:val="none" w:sz="0" w:space="0" w:color="auto"/>
        <w:bottom w:val="none" w:sz="0" w:space="0" w:color="auto"/>
        <w:right w:val="none" w:sz="0" w:space="0" w:color="auto"/>
      </w:divBdr>
      <w:divsChild>
        <w:div w:id="1937403476">
          <w:marLeft w:val="0"/>
          <w:marRight w:val="0"/>
          <w:marTop w:val="0"/>
          <w:marBottom w:val="0"/>
          <w:divBdr>
            <w:top w:val="none" w:sz="0" w:space="0" w:color="auto"/>
            <w:left w:val="none" w:sz="0" w:space="0" w:color="auto"/>
            <w:bottom w:val="none" w:sz="0" w:space="0" w:color="auto"/>
            <w:right w:val="none" w:sz="0" w:space="0" w:color="auto"/>
          </w:divBdr>
        </w:div>
      </w:divsChild>
    </w:div>
    <w:div w:id="726690259">
      <w:bodyDiv w:val="1"/>
      <w:marLeft w:val="0"/>
      <w:marRight w:val="0"/>
      <w:marTop w:val="0"/>
      <w:marBottom w:val="0"/>
      <w:divBdr>
        <w:top w:val="none" w:sz="0" w:space="0" w:color="auto"/>
        <w:left w:val="none" w:sz="0" w:space="0" w:color="auto"/>
        <w:bottom w:val="none" w:sz="0" w:space="0" w:color="auto"/>
        <w:right w:val="none" w:sz="0" w:space="0" w:color="auto"/>
      </w:divBdr>
    </w:div>
    <w:div w:id="731391691">
      <w:bodyDiv w:val="1"/>
      <w:marLeft w:val="0"/>
      <w:marRight w:val="0"/>
      <w:marTop w:val="0"/>
      <w:marBottom w:val="0"/>
      <w:divBdr>
        <w:top w:val="none" w:sz="0" w:space="0" w:color="auto"/>
        <w:left w:val="none" w:sz="0" w:space="0" w:color="auto"/>
        <w:bottom w:val="none" w:sz="0" w:space="0" w:color="auto"/>
        <w:right w:val="none" w:sz="0" w:space="0" w:color="auto"/>
      </w:divBdr>
      <w:divsChild>
        <w:div w:id="142704457">
          <w:marLeft w:val="0"/>
          <w:marRight w:val="0"/>
          <w:marTop w:val="0"/>
          <w:marBottom w:val="0"/>
          <w:divBdr>
            <w:top w:val="none" w:sz="0" w:space="0" w:color="auto"/>
            <w:left w:val="none" w:sz="0" w:space="0" w:color="auto"/>
            <w:bottom w:val="none" w:sz="0" w:space="0" w:color="auto"/>
            <w:right w:val="none" w:sz="0" w:space="0" w:color="auto"/>
          </w:divBdr>
        </w:div>
        <w:div w:id="1048411039">
          <w:marLeft w:val="0"/>
          <w:marRight w:val="0"/>
          <w:marTop w:val="240"/>
          <w:marBottom w:val="0"/>
          <w:divBdr>
            <w:top w:val="none" w:sz="0" w:space="0" w:color="auto"/>
            <w:left w:val="none" w:sz="0" w:space="0" w:color="auto"/>
            <w:bottom w:val="none" w:sz="0" w:space="0" w:color="auto"/>
            <w:right w:val="none" w:sz="0" w:space="0" w:color="auto"/>
          </w:divBdr>
          <w:divsChild>
            <w:div w:id="1718316688">
              <w:marLeft w:val="0"/>
              <w:marRight w:val="0"/>
              <w:marTop w:val="0"/>
              <w:marBottom w:val="0"/>
              <w:divBdr>
                <w:top w:val="none" w:sz="0" w:space="0" w:color="auto"/>
                <w:left w:val="none" w:sz="0" w:space="0" w:color="auto"/>
                <w:bottom w:val="none" w:sz="0" w:space="0" w:color="auto"/>
                <w:right w:val="none" w:sz="0" w:space="0" w:color="auto"/>
              </w:divBdr>
              <w:divsChild>
                <w:div w:id="12018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4828">
          <w:marLeft w:val="0"/>
          <w:marRight w:val="0"/>
          <w:marTop w:val="240"/>
          <w:marBottom w:val="0"/>
          <w:divBdr>
            <w:top w:val="none" w:sz="0" w:space="0" w:color="auto"/>
            <w:left w:val="none" w:sz="0" w:space="0" w:color="auto"/>
            <w:bottom w:val="none" w:sz="0" w:space="0" w:color="auto"/>
            <w:right w:val="none" w:sz="0" w:space="0" w:color="auto"/>
          </w:divBdr>
          <w:divsChild>
            <w:div w:id="2080712222">
              <w:marLeft w:val="0"/>
              <w:marRight w:val="0"/>
              <w:marTop w:val="0"/>
              <w:marBottom w:val="0"/>
              <w:divBdr>
                <w:top w:val="none" w:sz="0" w:space="0" w:color="auto"/>
                <w:left w:val="none" w:sz="0" w:space="0" w:color="auto"/>
                <w:bottom w:val="none" w:sz="0" w:space="0" w:color="auto"/>
                <w:right w:val="none" w:sz="0" w:space="0" w:color="auto"/>
              </w:divBdr>
              <w:divsChild>
                <w:div w:id="9627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1537">
          <w:marLeft w:val="0"/>
          <w:marRight w:val="0"/>
          <w:marTop w:val="240"/>
          <w:marBottom w:val="0"/>
          <w:divBdr>
            <w:top w:val="none" w:sz="0" w:space="0" w:color="auto"/>
            <w:left w:val="none" w:sz="0" w:space="0" w:color="auto"/>
            <w:bottom w:val="none" w:sz="0" w:space="0" w:color="auto"/>
            <w:right w:val="none" w:sz="0" w:space="0" w:color="auto"/>
          </w:divBdr>
          <w:divsChild>
            <w:div w:id="1098912628">
              <w:marLeft w:val="0"/>
              <w:marRight w:val="0"/>
              <w:marTop w:val="0"/>
              <w:marBottom w:val="0"/>
              <w:divBdr>
                <w:top w:val="none" w:sz="0" w:space="0" w:color="auto"/>
                <w:left w:val="none" w:sz="0" w:space="0" w:color="auto"/>
                <w:bottom w:val="none" w:sz="0" w:space="0" w:color="auto"/>
                <w:right w:val="none" w:sz="0" w:space="0" w:color="auto"/>
              </w:divBdr>
              <w:divsChild>
                <w:div w:id="8411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70997">
      <w:bodyDiv w:val="1"/>
      <w:marLeft w:val="0"/>
      <w:marRight w:val="0"/>
      <w:marTop w:val="0"/>
      <w:marBottom w:val="0"/>
      <w:divBdr>
        <w:top w:val="none" w:sz="0" w:space="0" w:color="auto"/>
        <w:left w:val="none" w:sz="0" w:space="0" w:color="auto"/>
        <w:bottom w:val="none" w:sz="0" w:space="0" w:color="auto"/>
        <w:right w:val="none" w:sz="0" w:space="0" w:color="auto"/>
      </w:divBdr>
    </w:div>
    <w:div w:id="748230332">
      <w:bodyDiv w:val="1"/>
      <w:marLeft w:val="0"/>
      <w:marRight w:val="0"/>
      <w:marTop w:val="0"/>
      <w:marBottom w:val="0"/>
      <w:divBdr>
        <w:top w:val="none" w:sz="0" w:space="0" w:color="auto"/>
        <w:left w:val="none" w:sz="0" w:space="0" w:color="auto"/>
        <w:bottom w:val="none" w:sz="0" w:space="0" w:color="auto"/>
        <w:right w:val="none" w:sz="0" w:space="0" w:color="auto"/>
      </w:divBdr>
      <w:divsChild>
        <w:div w:id="1349526990">
          <w:marLeft w:val="0"/>
          <w:marRight w:val="0"/>
          <w:marTop w:val="0"/>
          <w:marBottom w:val="0"/>
          <w:divBdr>
            <w:top w:val="none" w:sz="0" w:space="0" w:color="auto"/>
            <w:left w:val="none" w:sz="0" w:space="0" w:color="auto"/>
            <w:bottom w:val="none" w:sz="0" w:space="0" w:color="auto"/>
            <w:right w:val="none" w:sz="0" w:space="0" w:color="auto"/>
          </w:divBdr>
        </w:div>
        <w:div w:id="2057240782">
          <w:marLeft w:val="0"/>
          <w:marRight w:val="0"/>
          <w:marTop w:val="240"/>
          <w:marBottom w:val="0"/>
          <w:divBdr>
            <w:top w:val="none" w:sz="0" w:space="0" w:color="auto"/>
            <w:left w:val="none" w:sz="0" w:space="0" w:color="auto"/>
            <w:bottom w:val="none" w:sz="0" w:space="0" w:color="auto"/>
            <w:right w:val="none" w:sz="0" w:space="0" w:color="auto"/>
          </w:divBdr>
          <w:divsChild>
            <w:div w:id="1962758720">
              <w:marLeft w:val="0"/>
              <w:marRight w:val="0"/>
              <w:marTop w:val="0"/>
              <w:marBottom w:val="0"/>
              <w:divBdr>
                <w:top w:val="none" w:sz="0" w:space="0" w:color="auto"/>
                <w:left w:val="none" w:sz="0" w:space="0" w:color="auto"/>
                <w:bottom w:val="none" w:sz="0" w:space="0" w:color="auto"/>
                <w:right w:val="none" w:sz="0" w:space="0" w:color="auto"/>
              </w:divBdr>
            </w:div>
          </w:divsChild>
        </w:div>
        <w:div w:id="105004452">
          <w:marLeft w:val="0"/>
          <w:marRight w:val="0"/>
          <w:marTop w:val="240"/>
          <w:marBottom w:val="0"/>
          <w:divBdr>
            <w:top w:val="none" w:sz="0" w:space="0" w:color="auto"/>
            <w:left w:val="none" w:sz="0" w:space="0" w:color="auto"/>
            <w:bottom w:val="none" w:sz="0" w:space="0" w:color="auto"/>
            <w:right w:val="none" w:sz="0" w:space="0" w:color="auto"/>
          </w:divBdr>
          <w:divsChild>
            <w:div w:id="1505441382">
              <w:marLeft w:val="0"/>
              <w:marRight w:val="0"/>
              <w:marTop w:val="0"/>
              <w:marBottom w:val="0"/>
              <w:divBdr>
                <w:top w:val="none" w:sz="0" w:space="0" w:color="auto"/>
                <w:left w:val="none" w:sz="0" w:space="0" w:color="auto"/>
                <w:bottom w:val="none" w:sz="0" w:space="0" w:color="auto"/>
                <w:right w:val="none" w:sz="0" w:space="0" w:color="auto"/>
              </w:divBdr>
            </w:div>
          </w:divsChild>
        </w:div>
        <w:div w:id="1189639496">
          <w:marLeft w:val="0"/>
          <w:marRight w:val="0"/>
          <w:marTop w:val="240"/>
          <w:marBottom w:val="0"/>
          <w:divBdr>
            <w:top w:val="none" w:sz="0" w:space="0" w:color="auto"/>
            <w:left w:val="none" w:sz="0" w:space="0" w:color="auto"/>
            <w:bottom w:val="none" w:sz="0" w:space="0" w:color="auto"/>
            <w:right w:val="none" w:sz="0" w:space="0" w:color="auto"/>
          </w:divBdr>
          <w:divsChild>
            <w:div w:id="1314022896">
              <w:marLeft w:val="0"/>
              <w:marRight w:val="0"/>
              <w:marTop w:val="0"/>
              <w:marBottom w:val="0"/>
              <w:divBdr>
                <w:top w:val="none" w:sz="0" w:space="0" w:color="auto"/>
                <w:left w:val="none" w:sz="0" w:space="0" w:color="auto"/>
                <w:bottom w:val="none" w:sz="0" w:space="0" w:color="auto"/>
                <w:right w:val="none" w:sz="0" w:space="0" w:color="auto"/>
              </w:divBdr>
            </w:div>
          </w:divsChild>
        </w:div>
        <w:div w:id="817694232">
          <w:marLeft w:val="0"/>
          <w:marRight w:val="0"/>
          <w:marTop w:val="240"/>
          <w:marBottom w:val="0"/>
          <w:divBdr>
            <w:top w:val="none" w:sz="0" w:space="0" w:color="auto"/>
            <w:left w:val="none" w:sz="0" w:space="0" w:color="auto"/>
            <w:bottom w:val="none" w:sz="0" w:space="0" w:color="auto"/>
            <w:right w:val="none" w:sz="0" w:space="0" w:color="auto"/>
          </w:divBdr>
          <w:divsChild>
            <w:div w:id="1863282460">
              <w:marLeft w:val="0"/>
              <w:marRight w:val="0"/>
              <w:marTop w:val="0"/>
              <w:marBottom w:val="0"/>
              <w:divBdr>
                <w:top w:val="none" w:sz="0" w:space="0" w:color="auto"/>
                <w:left w:val="none" w:sz="0" w:space="0" w:color="auto"/>
                <w:bottom w:val="none" w:sz="0" w:space="0" w:color="auto"/>
                <w:right w:val="none" w:sz="0" w:space="0" w:color="auto"/>
              </w:divBdr>
            </w:div>
          </w:divsChild>
        </w:div>
        <w:div w:id="696124121">
          <w:marLeft w:val="0"/>
          <w:marRight w:val="0"/>
          <w:marTop w:val="240"/>
          <w:marBottom w:val="0"/>
          <w:divBdr>
            <w:top w:val="none" w:sz="0" w:space="0" w:color="auto"/>
            <w:left w:val="none" w:sz="0" w:space="0" w:color="auto"/>
            <w:bottom w:val="none" w:sz="0" w:space="0" w:color="auto"/>
            <w:right w:val="none" w:sz="0" w:space="0" w:color="auto"/>
          </w:divBdr>
          <w:divsChild>
            <w:div w:id="1503861796">
              <w:marLeft w:val="0"/>
              <w:marRight w:val="0"/>
              <w:marTop w:val="0"/>
              <w:marBottom w:val="0"/>
              <w:divBdr>
                <w:top w:val="none" w:sz="0" w:space="0" w:color="auto"/>
                <w:left w:val="none" w:sz="0" w:space="0" w:color="auto"/>
                <w:bottom w:val="none" w:sz="0" w:space="0" w:color="auto"/>
                <w:right w:val="none" w:sz="0" w:space="0" w:color="auto"/>
              </w:divBdr>
            </w:div>
          </w:divsChild>
        </w:div>
        <w:div w:id="1439791993">
          <w:marLeft w:val="0"/>
          <w:marRight w:val="0"/>
          <w:marTop w:val="240"/>
          <w:marBottom w:val="0"/>
          <w:divBdr>
            <w:top w:val="none" w:sz="0" w:space="0" w:color="auto"/>
            <w:left w:val="none" w:sz="0" w:space="0" w:color="auto"/>
            <w:bottom w:val="none" w:sz="0" w:space="0" w:color="auto"/>
            <w:right w:val="none" w:sz="0" w:space="0" w:color="auto"/>
          </w:divBdr>
          <w:divsChild>
            <w:div w:id="1217668024">
              <w:marLeft w:val="0"/>
              <w:marRight w:val="0"/>
              <w:marTop w:val="0"/>
              <w:marBottom w:val="0"/>
              <w:divBdr>
                <w:top w:val="none" w:sz="0" w:space="0" w:color="auto"/>
                <w:left w:val="none" w:sz="0" w:space="0" w:color="auto"/>
                <w:bottom w:val="none" w:sz="0" w:space="0" w:color="auto"/>
                <w:right w:val="none" w:sz="0" w:space="0" w:color="auto"/>
              </w:divBdr>
            </w:div>
          </w:divsChild>
        </w:div>
        <w:div w:id="723136580">
          <w:marLeft w:val="0"/>
          <w:marRight w:val="0"/>
          <w:marTop w:val="240"/>
          <w:marBottom w:val="0"/>
          <w:divBdr>
            <w:top w:val="none" w:sz="0" w:space="0" w:color="auto"/>
            <w:left w:val="none" w:sz="0" w:space="0" w:color="auto"/>
            <w:bottom w:val="none" w:sz="0" w:space="0" w:color="auto"/>
            <w:right w:val="none" w:sz="0" w:space="0" w:color="auto"/>
          </w:divBdr>
          <w:divsChild>
            <w:div w:id="20745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7599">
      <w:bodyDiv w:val="1"/>
      <w:marLeft w:val="0"/>
      <w:marRight w:val="0"/>
      <w:marTop w:val="0"/>
      <w:marBottom w:val="0"/>
      <w:divBdr>
        <w:top w:val="none" w:sz="0" w:space="0" w:color="auto"/>
        <w:left w:val="none" w:sz="0" w:space="0" w:color="auto"/>
        <w:bottom w:val="none" w:sz="0" w:space="0" w:color="auto"/>
        <w:right w:val="none" w:sz="0" w:space="0" w:color="auto"/>
      </w:divBdr>
      <w:divsChild>
        <w:div w:id="2124768194">
          <w:marLeft w:val="0"/>
          <w:marRight w:val="0"/>
          <w:marTop w:val="240"/>
          <w:marBottom w:val="0"/>
          <w:divBdr>
            <w:top w:val="none" w:sz="0" w:space="0" w:color="auto"/>
            <w:left w:val="none" w:sz="0" w:space="0" w:color="auto"/>
            <w:bottom w:val="none" w:sz="0" w:space="0" w:color="auto"/>
            <w:right w:val="none" w:sz="0" w:space="0" w:color="auto"/>
          </w:divBdr>
          <w:divsChild>
            <w:div w:id="823470967">
              <w:marLeft w:val="0"/>
              <w:marRight w:val="0"/>
              <w:marTop w:val="0"/>
              <w:marBottom w:val="0"/>
              <w:divBdr>
                <w:top w:val="none" w:sz="0" w:space="0" w:color="auto"/>
                <w:left w:val="none" w:sz="0" w:space="0" w:color="auto"/>
                <w:bottom w:val="none" w:sz="0" w:space="0" w:color="auto"/>
                <w:right w:val="none" w:sz="0" w:space="0" w:color="auto"/>
              </w:divBdr>
              <w:divsChild>
                <w:div w:id="1779980606">
                  <w:blockQuote w:val="1"/>
                  <w:marLeft w:val="600"/>
                  <w:marRight w:val="600"/>
                  <w:marTop w:val="60"/>
                  <w:marBottom w:val="60"/>
                  <w:divBdr>
                    <w:top w:val="none" w:sz="0" w:space="0" w:color="auto"/>
                    <w:left w:val="none" w:sz="0" w:space="0" w:color="auto"/>
                    <w:bottom w:val="none" w:sz="0" w:space="0" w:color="auto"/>
                    <w:right w:val="none" w:sz="0" w:space="0" w:color="auto"/>
                  </w:divBdr>
                  <w:divsChild>
                    <w:div w:id="12267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552248">
      <w:bodyDiv w:val="1"/>
      <w:marLeft w:val="0"/>
      <w:marRight w:val="0"/>
      <w:marTop w:val="0"/>
      <w:marBottom w:val="0"/>
      <w:divBdr>
        <w:top w:val="none" w:sz="0" w:space="0" w:color="auto"/>
        <w:left w:val="none" w:sz="0" w:space="0" w:color="auto"/>
        <w:bottom w:val="none" w:sz="0" w:space="0" w:color="auto"/>
        <w:right w:val="none" w:sz="0" w:space="0" w:color="auto"/>
      </w:divBdr>
    </w:div>
    <w:div w:id="851068378">
      <w:bodyDiv w:val="1"/>
      <w:marLeft w:val="0"/>
      <w:marRight w:val="0"/>
      <w:marTop w:val="0"/>
      <w:marBottom w:val="0"/>
      <w:divBdr>
        <w:top w:val="none" w:sz="0" w:space="0" w:color="auto"/>
        <w:left w:val="none" w:sz="0" w:space="0" w:color="auto"/>
        <w:bottom w:val="none" w:sz="0" w:space="0" w:color="auto"/>
        <w:right w:val="none" w:sz="0" w:space="0" w:color="auto"/>
      </w:divBdr>
      <w:divsChild>
        <w:div w:id="403798718">
          <w:marLeft w:val="0"/>
          <w:marRight w:val="0"/>
          <w:marTop w:val="240"/>
          <w:marBottom w:val="0"/>
          <w:divBdr>
            <w:top w:val="none" w:sz="0" w:space="0" w:color="auto"/>
            <w:left w:val="none" w:sz="0" w:space="0" w:color="auto"/>
            <w:bottom w:val="none" w:sz="0" w:space="0" w:color="auto"/>
            <w:right w:val="none" w:sz="0" w:space="0" w:color="auto"/>
          </w:divBdr>
          <w:divsChild>
            <w:div w:id="1474710815">
              <w:marLeft w:val="0"/>
              <w:marRight w:val="0"/>
              <w:marTop w:val="240"/>
              <w:marBottom w:val="0"/>
              <w:divBdr>
                <w:top w:val="none" w:sz="0" w:space="0" w:color="auto"/>
                <w:left w:val="none" w:sz="0" w:space="0" w:color="auto"/>
                <w:bottom w:val="none" w:sz="0" w:space="0" w:color="auto"/>
                <w:right w:val="none" w:sz="0" w:space="0" w:color="auto"/>
              </w:divBdr>
              <w:divsChild>
                <w:div w:id="411008107">
                  <w:marLeft w:val="0"/>
                  <w:marRight w:val="0"/>
                  <w:marTop w:val="240"/>
                  <w:marBottom w:val="0"/>
                  <w:divBdr>
                    <w:top w:val="none" w:sz="0" w:space="0" w:color="auto"/>
                    <w:left w:val="none" w:sz="0" w:space="0" w:color="auto"/>
                    <w:bottom w:val="none" w:sz="0" w:space="0" w:color="auto"/>
                    <w:right w:val="none" w:sz="0" w:space="0" w:color="auto"/>
                  </w:divBdr>
                  <w:divsChild>
                    <w:div w:id="342512022">
                      <w:marLeft w:val="0"/>
                      <w:marRight w:val="0"/>
                      <w:marTop w:val="0"/>
                      <w:marBottom w:val="0"/>
                      <w:divBdr>
                        <w:top w:val="none" w:sz="0" w:space="0" w:color="auto"/>
                        <w:left w:val="none" w:sz="0" w:space="0" w:color="auto"/>
                        <w:bottom w:val="none" w:sz="0" w:space="0" w:color="auto"/>
                        <w:right w:val="none" w:sz="0" w:space="0" w:color="auto"/>
                      </w:divBdr>
                      <w:divsChild>
                        <w:div w:id="9667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6660">
                  <w:marLeft w:val="0"/>
                  <w:marRight w:val="0"/>
                  <w:marTop w:val="240"/>
                  <w:marBottom w:val="0"/>
                  <w:divBdr>
                    <w:top w:val="none" w:sz="0" w:space="0" w:color="auto"/>
                    <w:left w:val="none" w:sz="0" w:space="0" w:color="auto"/>
                    <w:bottom w:val="none" w:sz="0" w:space="0" w:color="auto"/>
                    <w:right w:val="none" w:sz="0" w:space="0" w:color="auto"/>
                  </w:divBdr>
                  <w:divsChild>
                    <w:div w:id="715079457">
                      <w:marLeft w:val="0"/>
                      <w:marRight w:val="0"/>
                      <w:marTop w:val="0"/>
                      <w:marBottom w:val="0"/>
                      <w:divBdr>
                        <w:top w:val="none" w:sz="0" w:space="0" w:color="auto"/>
                        <w:left w:val="none" w:sz="0" w:space="0" w:color="auto"/>
                        <w:bottom w:val="none" w:sz="0" w:space="0" w:color="auto"/>
                        <w:right w:val="none" w:sz="0" w:space="0" w:color="auto"/>
                      </w:divBdr>
                      <w:divsChild>
                        <w:div w:id="12216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79876">
              <w:marLeft w:val="0"/>
              <w:marRight w:val="0"/>
              <w:marTop w:val="240"/>
              <w:marBottom w:val="0"/>
              <w:divBdr>
                <w:top w:val="none" w:sz="0" w:space="0" w:color="auto"/>
                <w:left w:val="none" w:sz="0" w:space="0" w:color="auto"/>
                <w:bottom w:val="none" w:sz="0" w:space="0" w:color="auto"/>
                <w:right w:val="none" w:sz="0" w:space="0" w:color="auto"/>
              </w:divBdr>
              <w:divsChild>
                <w:div w:id="1794903677">
                  <w:marLeft w:val="0"/>
                  <w:marRight w:val="0"/>
                  <w:marTop w:val="0"/>
                  <w:marBottom w:val="0"/>
                  <w:divBdr>
                    <w:top w:val="none" w:sz="0" w:space="0" w:color="auto"/>
                    <w:left w:val="none" w:sz="0" w:space="0" w:color="auto"/>
                    <w:bottom w:val="none" w:sz="0" w:space="0" w:color="auto"/>
                    <w:right w:val="none" w:sz="0" w:space="0" w:color="auto"/>
                  </w:divBdr>
                  <w:divsChild>
                    <w:div w:id="12022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71796">
          <w:marLeft w:val="0"/>
          <w:marRight w:val="0"/>
          <w:marTop w:val="240"/>
          <w:marBottom w:val="0"/>
          <w:divBdr>
            <w:top w:val="none" w:sz="0" w:space="0" w:color="auto"/>
            <w:left w:val="none" w:sz="0" w:space="0" w:color="auto"/>
            <w:bottom w:val="none" w:sz="0" w:space="0" w:color="auto"/>
            <w:right w:val="none" w:sz="0" w:space="0" w:color="auto"/>
          </w:divBdr>
          <w:divsChild>
            <w:div w:id="1028528031">
              <w:marLeft w:val="0"/>
              <w:marRight w:val="0"/>
              <w:marTop w:val="0"/>
              <w:marBottom w:val="0"/>
              <w:divBdr>
                <w:top w:val="none" w:sz="0" w:space="0" w:color="auto"/>
                <w:left w:val="none" w:sz="0" w:space="0" w:color="auto"/>
                <w:bottom w:val="none" w:sz="0" w:space="0" w:color="auto"/>
                <w:right w:val="none" w:sz="0" w:space="0" w:color="auto"/>
              </w:divBdr>
              <w:divsChild>
                <w:div w:id="17890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3400">
          <w:marLeft w:val="0"/>
          <w:marRight w:val="0"/>
          <w:marTop w:val="240"/>
          <w:marBottom w:val="0"/>
          <w:divBdr>
            <w:top w:val="none" w:sz="0" w:space="0" w:color="auto"/>
            <w:left w:val="none" w:sz="0" w:space="0" w:color="auto"/>
            <w:bottom w:val="none" w:sz="0" w:space="0" w:color="auto"/>
            <w:right w:val="none" w:sz="0" w:space="0" w:color="auto"/>
          </w:divBdr>
          <w:divsChild>
            <w:div w:id="1666667237">
              <w:marLeft w:val="0"/>
              <w:marRight w:val="0"/>
              <w:marTop w:val="0"/>
              <w:marBottom w:val="0"/>
              <w:divBdr>
                <w:top w:val="none" w:sz="0" w:space="0" w:color="auto"/>
                <w:left w:val="none" w:sz="0" w:space="0" w:color="auto"/>
                <w:bottom w:val="none" w:sz="0" w:space="0" w:color="auto"/>
                <w:right w:val="none" w:sz="0" w:space="0" w:color="auto"/>
              </w:divBdr>
              <w:divsChild>
                <w:div w:id="11441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762375">
      <w:bodyDiv w:val="1"/>
      <w:marLeft w:val="0"/>
      <w:marRight w:val="0"/>
      <w:marTop w:val="0"/>
      <w:marBottom w:val="0"/>
      <w:divBdr>
        <w:top w:val="none" w:sz="0" w:space="0" w:color="auto"/>
        <w:left w:val="none" w:sz="0" w:space="0" w:color="auto"/>
        <w:bottom w:val="none" w:sz="0" w:space="0" w:color="auto"/>
        <w:right w:val="none" w:sz="0" w:space="0" w:color="auto"/>
      </w:divBdr>
      <w:divsChild>
        <w:div w:id="550308853">
          <w:marLeft w:val="0"/>
          <w:marRight w:val="0"/>
          <w:marTop w:val="240"/>
          <w:marBottom w:val="0"/>
          <w:divBdr>
            <w:top w:val="none" w:sz="0" w:space="0" w:color="auto"/>
            <w:left w:val="none" w:sz="0" w:space="0" w:color="auto"/>
            <w:bottom w:val="none" w:sz="0" w:space="0" w:color="auto"/>
            <w:right w:val="none" w:sz="0" w:space="0" w:color="auto"/>
          </w:divBdr>
          <w:divsChild>
            <w:div w:id="416561307">
              <w:marLeft w:val="0"/>
              <w:marRight w:val="0"/>
              <w:marTop w:val="0"/>
              <w:marBottom w:val="0"/>
              <w:divBdr>
                <w:top w:val="none" w:sz="0" w:space="0" w:color="auto"/>
                <w:left w:val="none" w:sz="0" w:space="0" w:color="auto"/>
                <w:bottom w:val="none" w:sz="0" w:space="0" w:color="auto"/>
                <w:right w:val="none" w:sz="0" w:space="0" w:color="auto"/>
              </w:divBdr>
              <w:divsChild>
                <w:div w:id="11684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9088">
          <w:marLeft w:val="0"/>
          <w:marRight w:val="0"/>
          <w:marTop w:val="240"/>
          <w:marBottom w:val="0"/>
          <w:divBdr>
            <w:top w:val="none" w:sz="0" w:space="0" w:color="auto"/>
            <w:left w:val="none" w:sz="0" w:space="0" w:color="auto"/>
            <w:bottom w:val="none" w:sz="0" w:space="0" w:color="auto"/>
            <w:right w:val="none" w:sz="0" w:space="0" w:color="auto"/>
          </w:divBdr>
          <w:divsChild>
            <w:div w:id="1452358535">
              <w:marLeft w:val="0"/>
              <w:marRight w:val="0"/>
              <w:marTop w:val="0"/>
              <w:marBottom w:val="0"/>
              <w:divBdr>
                <w:top w:val="none" w:sz="0" w:space="0" w:color="auto"/>
                <w:left w:val="none" w:sz="0" w:space="0" w:color="auto"/>
                <w:bottom w:val="none" w:sz="0" w:space="0" w:color="auto"/>
                <w:right w:val="none" w:sz="0" w:space="0" w:color="auto"/>
              </w:divBdr>
              <w:divsChild>
                <w:div w:id="15483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6626">
          <w:marLeft w:val="0"/>
          <w:marRight w:val="0"/>
          <w:marTop w:val="240"/>
          <w:marBottom w:val="0"/>
          <w:divBdr>
            <w:top w:val="none" w:sz="0" w:space="0" w:color="auto"/>
            <w:left w:val="none" w:sz="0" w:space="0" w:color="auto"/>
            <w:bottom w:val="none" w:sz="0" w:space="0" w:color="auto"/>
            <w:right w:val="none" w:sz="0" w:space="0" w:color="auto"/>
          </w:divBdr>
          <w:divsChild>
            <w:div w:id="1706708989">
              <w:marLeft w:val="0"/>
              <w:marRight w:val="0"/>
              <w:marTop w:val="0"/>
              <w:marBottom w:val="0"/>
              <w:divBdr>
                <w:top w:val="none" w:sz="0" w:space="0" w:color="auto"/>
                <w:left w:val="none" w:sz="0" w:space="0" w:color="auto"/>
                <w:bottom w:val="none" w:sz="0" w:space="0" w:color="auto"/>
                <w:right w:val="none" w:sz="0" w:space="0" w:color="auto"/>
              </w:divBdr>
              <w:divsChild>
                <w:div w:id="4815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30112">
          <w:marLeft w:val="0"/>
          <w:marRight w:val="0"/>
          <w:marTop w:val="240"/>
          <w:marBottom w:val="0"/>
          <w:divBdr>
            <w:top w:val="none" w:sz="0" w:space="0" w:color="auto"/>
            <w:left w:val="none" w:sz="0" w:space="0" w:color="auto"/>
            <w:bottom w:val="none" w:sz="0" w:space="0" w:color="auto"/>
            <w:right w:val="none" w:sz="0" w:space="0" w:color="auto"/>
          </w:divBdr>
          <w:divsChild>
            <w:div w:id="856694171">
              <w:marLeft w:val="0"/>
              <w:marRight w:val="0"/>
              <w:marTop w:val="0"/>
              <w:marBottom w:val="0"/>
              <w:divBdr>
                <w:top w:val="none" w:sz="0" w:space="0" w:color="auto"/>
                <w:left w:val="none" w:sz="0" w:space="0" w:color="auto"/>
                <w:bottom w:val="none" w:sz="0" w:space="0" w:color="auto"/>
                <w:right w:val="none" w:sz="0" w:space="0" w:color="auto"/>
              </w:divBdr>
              <w:divsChild>
                <w:div w:id="20571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8197">
          <w:marLeft w:val="0"/>
          <w:marRight w:val="0"/>
          <w:marTop w:val="0"/>
          <w:marBottom w:val="0"/>
          <w:divBdr>
            <w:top w:val="none" w:sz="0" w:space="0" w:color="auto"/>
            <w:left w:val="none" w:sz="0" w:space="0" w:color="auto"/>
            <w:bottom w:val="none" w:sz="0" w:space="0" w:color="auto"/>
            <w:right w:val="none" w:sz="0" w:space="0" w:color="auto"/>
          </w:divBdr>
        </w:div>
      </w:divsChild>
    </w:div>
    <w:div w:id="884946793">
      <w:bodyDiv w:val="1"/>
      <w:marLeft w:val="0"/>
      <w:marRight w:val="0"/>
      <w:marTop w:val="0"/>
      <w:marBottom w:val="0"/>
      <w:divBdr>
        <w:top w:val="none" w:sz="0" w:space="0" w:color="auto"/>
        <w:left w:val="none" w:sz="0" w:space="0" w:color="auto"/>
        <w:bottom w:val="none" w:sz="0" w:space="0" w:color="auto"/>
        <w:right w:val="none" w:sz="0" w:space="0" w:color="auto"/>
      </w:divBdr>
      <w:divsChild>
        <w:div w:id="303119778">
          <w:marLeft w:val="0"/>
          <w:marRight w:val="0"/>
          <w:marTop w:val="240"/>
          <w:marBottom w:val="0"/>
          <w:divBdr>
            <w:top w:val="none" w:sz="0" w:space="0" w:color="auto"/>
            <w:left w:val="none" w:sz="0" w:space="0" w:color="auto"/>
            <w:bottom w:val="none" w:sz="0" w:space="0" w:color="auto"/>
            <w:right w:val="none" w:sz="0" w:space="0" w:color="auto"/>
          </w:divBdr>
          <w:divsChild>
            <w:div w:id="1426658452">
              <w:marLeft w:val="0"/>
              <w:marRight w:val="0"/>
              <w:marTop w:val="0"/>
              <w:marBottom w:val="0"/>
              <w:divBdr>
                <w:top w:val="none" w:sz="0" w:space="0" w:color="auto"/>
                <w:left w:val="none" w:sz="0" w:space="0" w:color="auto"/>
                <w:bottom w:val="none" w:sz="0" w:space="0" w:color="auto"/>
                <w:right w:val="none" w:sz="0" w:space="0" w:color="auto"/>
              </w:divBdr>
            </w:div>
          </w:divsChild>
        </w:div>
        <w:div w:id="1267422215">
          <w:marLeft w:val="0"/>
          <w:marRight w:val="0"/>
          <w:marTop w:val="240"/>
          <w:marBottom w:val="0"/>
          <w:divBdr>
            <w:top w:val="none" w:sz="0" w:space="0" w:color="auto"/>
            <w:left w:val="none" w:sz="0" w:space="0" w:color="auto"/>
            <w:bottom w:val="none" w:sz="0" w:space="0" w:color="auto"/>
            <w:right w:val="none" w:sz="0" w:space="0" w:color="auto"/>
          </w:divBdr>
          <w:divsChild>
            <w:div w:id="2132093934">
              <w:marLeft w:val="0"/>
              <w:marRight w:val="0"/>
              <w:marTop w:val="0"/>
              <w:marBottom w:val="0"/>
              <w:divBdr>
                <w:top w:val="none" w:sz="0" w:space="0" w:color="auto"/>
                <w:left w:val="none" w:sz="0" w:space="0" w:color="auto"/>
                <w:bottom w:val="none" w:sz="0" w:space="0" w:color="auto"/>
                <w:right w:val="none" w:sz="0" w:space="0" w:color="auto"/>
              </w:divBdr>
            </w:div>
          </w:divsChild>
        </w:div>
        <w:div w:id="1885602381">
          <w:marLeft w:val="0"/>
          <w:marRight w:val="0"/>
          <w:marTop w:val="240"/>
          <w:marBottom w:val="0"/>
          <w:divBdr>
            <w:top w:val="none" w:sz="0" w:space="0" w:color="auto"/>
            <w:left w:val="none" w:sz="0" w:space="0" w:color="auto"/>
            <w:bottom w:val="none" w:sz="0" w:space="0" w:color="auto"/>
            <w:right w:val="none" w:sz="0" w:space="0" w:color="auto"/>
          </w:divBdr>
          <w:divsChild>
            <w:div w:id="8244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9212">
      <w:bodyDiv w:val="1"/>
      <w:marLeft w:val="0"/>
      <w:marRight w:val="0"/>
      <w:marTop w:val="0"/>
      <w:marBottom w:val="0"/>
      <w:divBdr>
        <w:top w:val="none" w:sz="0" w:space="0" w:color="auto"/>
        <w:left w:val="none" w:sz="0" w:space="0" w:color="auto"/>
        <w:bottom w:val="none" w:sz="0" w:space="0" w:color="auto"/>
        <w:right w:val="none" w:sz="0" w:space="0" w:color="auto"/>
      </w:divBdr>
    </w:div>
    <w:div w:id="924220962">
      <w:bodyDiv w:val="1"/>
      <w:marLeft w:val="0"/>
      <w:marRight w:val="0"/>
      <w:marTop w:val="0"/>
      <w:marBottom w:val="0"/>
      <w:divBdr>
        <w:top w:val="none" w:sz="0" w:space="0" w:color="auto"/>
        <w:left w:val="none" w:sz="0" w:space="0" w:color="auto"/>
        <w:bottom w:val="none" w:sz="0" w:space="0" w:color="auto"/>
        <w:right w:val="none" w:sz="0" w:space="0" w:color="auto"/>
      </w:divBdr>
      <w:divsChild>
        <w:div w:id="1709642711">
          <w:marLeft w:val="0"/>
          <w:marRight w:val="0"/>
          <w:marTop w:val="0"/>
          <w:marBottom w:val="0"/>
          <w:divBdr>
            <w:top w:val="none" w:sz="0" w:space="0" w:color="auto"/>
            <w:left w:val="none" w:sz="0" w:space="0" w:color="auto"/>
            <w:bottom w:val="none" w:sz="0" w:space="0" w:color="auto"/>
            <w:right w:val="none" w:sz="0" w:space="0" w:color="auto"/>
          </w:divBdr>
          <w:divsChild>
            <w:div w:id="1058481147">
              <w:marLeft w:val="0"/>
              <w:marRight w:val="0"/>
              <w:marTop w:val="0"/>
              <w:marBottom w:val="0"/>
              <w:divBdr>
                <w:top w:val="none" w:sz="0" w:space="0" w:color="auto"/>
                <w:left w:val="none" w:sz="0" w:space="0" w:color="auto"/>
                <w:bottom w:val="none" w:sz="0" w:space="0" w:color="auto"/>
                <w:right w:val="none" w:sz="0" w:space="0" w:color="auto"/>
              </w:divBdr>
            </w:div>
          </w:divsChild>
        </w:div>
        <w:div w:id="2000694571">
          <w:marLeft w:val="0"/>
          <w:marRight w:val="0"/>
          <w:marTop w:val="0"/>
          <w:marBottom w:val="0"/>
          <w:divBdr>
            <w:top w:val="none" w:sz="0" w:space="0" w:color="auto"/>
            <w:left w:val="none" w:sz="0" w:space="0" w:color="auto"/>
            <w:bottom w:val="none" w:sz="0" w:space="0" w:color="auto"/>
            <w:right w:val="none" w:sz="0" w:space="0" w:color="auto"/>
          </w:divBdr>
          <w:divsChild>
            <w:div w:id="738787531">
              <w:marLeft w:val="0"/>
              <w:marRight w:val="0"/>
              <w:marTop w:val="0"/>
              <w:marBottom w:val="0"/>
              <w:divBdr>
                <w:top w:val="none" w:sz="0" w:space="0" w:color="auto"/>
                <w:left w:val="none" w:sz="0" w:space="0" w:color="auto"/>
                <w:bottom w:val="none" w:sz="0" w:space="0" w:color="auto"/>
                <w:right w:val="none" w:sz="0" w:space="0" w:color="auto"/>
              </w:divBdr>
            </w:div>
          </w:divsChild>
        </w:div>
        <w:div w:id="328364934">
          <w:marLeft w:val="0"/>
          <w:marRight w:val="0"/>
          <w:marTop w:val="0"/>
          <w:marBottom w:val="0"/>
          <w:divBdr>
            <w:top w:val="none" w:sz="0" w:space="0" w:color="auto"/>
            <w:left w:val="none" w:sz="0" w:space="0" w:color="auto"/>
            <w:bottom w:val="none" w:sz="0" w:space="0" w:color="auto"/>
            <w:right w:val="none" w:sz="0" w:space="0" w:color="auto"/>
          </w:divBdr>
          <w:divsChild>
            <w:div w:id="1834947479">
              <w:marLeft w:val="0"/>
              <w:marRight w:val="0"/>
              <w:marTop w:val="0"/>
              <w:marBottom w:val="0"/>
              <w:divBdr>
                <w:top w:val="none" w:sz="0" w:space="0" w:color="auto"/>
                <w:left w:val="none" w:sz="0" w:space="0" w:color="auto"/>
                <w:bottom w:val="none" w:sz="0" w:space="0" w:color="auto"/>
                <w:right w:val="none" w:sz="0" w:space="0" w:color="auto"/>
              </w:divBdr>
            </w:div>
          </w:divsChild>
        </w:div>
        <w:div w:id="42026744">
          <w:marLeft w:val="0"/>
          <w:marRight w:val="0"/>
          <w:marTop w:val="0"/>
          <w:marBottom w:val="0"/>
          <w:divBdr>
            <w:top w:val="none" w:sz="0" w:space="0" w:color="auto"/>
            <w:left w:val="none" w:sz="0" w:space="0" w:color="auto"/>
            <w:bottom w:val="none" w:sz="0" w:space="0" w:color="auto"/>
            <w:right w:val="none" w:sz="0" w:space="0" w:color="auto"/>
          </w:divBdr>
          <w:divsChild>
            <w:div w:id="20762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5953">
      <w:bodyDiv w:val="1"/>
      <w:marLeft w:val="0"/>
      <w:marRight w:val="0"/>
      <w:marTop w:val="0"/>
      <w:marBottom w:val="0"/>
      <w:divBdr>
        <w:top w:val="none" w:sz="0" w:space="0" w:color="auto"/>
        <w:left w:val="none" w:sz="0" w:space="0" w:color="auto"/>
        <w:bottom w:val="none" w:sz="0" w:space="0" w:color="auto"/>
        <w:right w:val="none" w:sz="0" w:space="0" w:color="auto"/>
      </w:divBdr>
      <w:divsChild>
        <w:div w:id="1469127009">
          <w:marLeft w:val="0"/>
          <w:marRight w:val="0"/>
          <w:marTop w:val="240"/>
          <w:marBottom w:val="0"/>
          <w:divBdr>
            <w:top w:val="none" w:sz="0" w:space="0" w:color="auto"/>
            <w:left w:val="none" w:sz="0" w:space="0" w:color="auto"/>
            <w:bottom w:val="none" w:sz="0" w:space="0" w:color="auto"/>
            <w:right w:val="none" w:sz="0" w:space="0" w:color="auto"/>
          </w:divBdr>
          <w:divsChild>
            <w:div w:id="163009644">
              <w:marLeft w:val="0"/>
              <w:marRight w:val="0"/>
              <w:marTop w:val="240"/>
              <w:marBottom w:val="0"/>
              <w:divBdr>
                <w:top w:val="none" w:sz="0" w:space="0" w:color="auto"/>
                <w:left w:val="none" w:sz="0" w:space="0" w:color="auto"/>
                <w:bottom w:val="none" w:sz="0" w:space="0" w:color="auto"/>
                <w:right w:val="none" w:sz="0" w:space="0" w:color="auto"/>
              </w:divBdr>
              <w:divsChild>
                <w:div w:id="1722244012">
                  <w:marLeft w:val="0"/>
                  <w:marRight w:val="0"/>
                  <w:marTop w:val="0"/>
                  <w:marBottom w:val="0"/>
                  <w:divBdr>
                    <w:top w:val="none" w:sz="0" w:space="0" w:color="auto"/>
                    <w:left w:val="none" w:sz="0" w:space="0" w:color="auto"/>
                    <w:bottom w:val="none" w:sz="0" w:space="0" w:color="auto"/>
                    <w:right w:val="none" w:sz="0" w:space="0" w:color="auto"/>
                  </w:divBdr>
                  <w:divsChild>
                    <w:div w:id="18111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6618">
              <w:marLeft w:val="0"/>
              <w:marRight w:val="0"/>
              <w:marTop w:val="240"/>
              <w:marBottom w:val="0"/>
              <w:divBdr>
                <w:top w:val="none" w:sz="0" w:space="0" w:color="auto"/>
                <w:left w:val="none" w:sz="0" w:space="0" w:color="auto"/>
                <w:bottom w:val="none" w:sz="0" w:space="0" w:color="auto"/>
                <w:right w:val="none" w:sz="0" w:space="0" w:color="auto"/>
              </w:divBdr>
              <w:divsChild>
                <w:div w:id="620264631">
                  <w:marLeft w:val="0"/>
                  <w:marRight w:val="0"/>
                  <w:marTop w:val="0"/>
                  <w:marBottom w:val="0"/>
                  <w:divBdr>
                    <w:top w:val="none" w:sz="0" w:space="0" w:color="auto"/>
                    <w:left w:val="none" w:sz="0" w:space="0" w:color="auto"/>
                    <w:bottom w:val="none" w:sz="0" w:space="0" w:color="auto"/>
                    <w:right w:val="none" w:sz="0" w:space="0" w:color="auto"/>
                  </w:divBdr>
                  <w:divsChild>
                    <w:div w:id="17760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6557">
              <w:marLeft w:val="0"/>
              <w:marRight w:val="0"/>
              <w:marTop w:val="240"/>
              <w:marBottom w:val="0"/>
              <w:divBdr>
                <w:top w:val="none" w:sz="0" w:space="0" w:color="auto"/>
                <w:left w:val="none" w:sz="0" w:space="0" w:color="auto"/>
                <w:bottom w:val="none" w:sz="0" w:space="0" w:color="auto"/>
                <w:right w:val="none" w:sz="0" w:space="0" w:color="auto"/>
              </w:divBdr>
              <w:divsChild>
                <w:div w:id="781189471">
                  <w:marLeft w:val="0"/>
                  <w:marRight w:val="0"/>
                  <w:marTop w:val="0"/>
                  <w:marBottom w:val="0"/>
                  <w:divBdr>
                    <w:top w:val="none" w:sz="0" w:space="0" w:color="auto"/>
                    <w:left w:val="none" w:sz="0" w:space="0" w:color="auto"/>
                    <w:bottom w:val="none" w:sz="0" w:space="0" w:color="auto"/>
                    <w:right w:val="none" w:sz="0" w:space="0" w:color="auto"/>
                  </w:divBdr>
                  <w:divsChild>
                    <w:div w:id="16701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86733">
              <w:marLeft w:val="0"/>
              <w:marRight w:val="0"/>
              <w:marTop w:val="240"/>
              <w:marBottom w:val="0"/>
              <w:divBdr>
                <w:top w:val="none" w:sz="0" w:space="0" w:color="auto"/>
                <w:left w:val="none" w:sz="0" w:space="0" w:color="auto"/>
                <w:bottom w:val="none" w:sz="0" w:space="0" w:color="auto"/>
                <w:right w:val="none" w:sz="0" w:space="0" w:color="auto"/>
              </w:divBdr>
              <w:divsChild>
                <w:div w:id="1218471657">
                  <w:marLeft w:val="0"/>
                  <w:marRight w:val="0"/>
                  <w:marTop w:val="0"/>
                  <w:marBottom w:val="0"/>
                  <w:divBdr>
                    <w:top w:val="none" w:sz="0" w:space="0" w:color="auto"/>
                    <w:left w:val="none" w:sz="0" w:space="0" w:color="auto"/>
                    <w:bottom w:val="none" w:sz="0" w:space="0" w:color="auto"/>
                    <w:right w:val="none" w:sz="0" w:space="0" w:color="auto"/>
                  </w:divBdr>
                  <w:divsChild>
                    <w:div w:id="9274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6273">
              <w:marLeft w:val="0"/>
              <w:marRight w:val="0"/>
              <w:marTop w:val="240"/>
              <w:marBottom w:val="0"/>
              <w:divBdr>
                <w:top w:val="none" w:sz="0" w:space="0" w:color="auto"/>
                <w:left w:val="none" w:sz="0" w:space="0" w:color="auto"/>
                <w:bottom w:val="none" w:sz="0" w:space="0" w:color="auto"/>
                <w:right w:val="none" w:sz="0" w:space="0" w:color="auto"/>
              </w:divBdr>
              <w:divsChild>
                <w:div w:id="398598384">
                  <w:marLeft w:val="0"/>
                  <w:marRight w:val="0"/>
                  <w:marTop w:val="0"/>
                  <w:marBottom w:val="0"/>
                  <w:divBdr>
                    <w:top w:val="none" w:sz="0" w:space="0" w:color="auto"/>
                    <w:left w:val="none" w:sz="0" w:space="0" w:color="auto"/>
                    <w:bottom w:val="none" w:sz="0" w:space="0" w:color="auto"/>
                    <w:right w:val="none" w:sz="0" w:space="0" w:color="auto"/>
                  </w:divBdr>
                  <w:divsChild>
                    <w:div w:id="5118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7790">
              <w:marLeft w:val="0"/>
              <w:marRight w:val="0"/>
              <w:marTop w:val="240"/>
              <w:marBottom w:val="0"/>
              <w:divBdr>
                <w:top w:val="none" w:sz="0" w:space="0" w:color="auto"/>
                <w:left w:val="none" w:sz="0" w:space="0" w:color="auto"/>
                <w:bottom w:val="none" w:sz="0" w:space="0" w:color="auto"/>
                <w:right w:val="none" w:sz="0" w:space="0" w:color="auto"/>
              </w:divBdr>
              <w:divsChild>
                <w:div w:id="596836634">
                  <w:marLeft w:val="0"/>
                  <w:marRight w:val="0"/>
                  <w:marTop w:val="0"/>
                  <w:marBottom w:val="0"/>
                  <w:divBdr>
                    <w:top w:val="none" w:sz="0" w:space="0" w:color="auto"/>
                    <w:left w:val="none" w:sz="0" w:space="0" w:color="auto"/>
                    <w:bottom w:val="none" w:sz="0" w:space="0" w:color="auto"/>
                    <w:right w:val="none" w:sz="0" w:space="0" w:color="auto"/>
                  </w:divBdr>
                  <w:divsChild>
                    <w:div w:id="15686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85">
              <w:marLeft w:val="0"/>
              <w:marRight w:val="0"/>
              <w:marTop w:val="240"/>
              <w:marBottom w:val="0"/>
              <w:divBdr>
                <w:top w:val="none" w:sz="0" w:space="0" w:color="auto"/>
                <w:left w:val="none" w:sz="0" w:space="0" w:color="auto"/>
                <w:bottom w:val="none" w:sz="0" w:space="0" w:color="auto"/>
                <w:right w:val="none" w:sz="0" w:space="0" w:color="auto"/>
              </w:divBdr>
              <w:divsChild>
                <w:div w:id="1263102722">
                  <w:marLeft w:val="0"/>
                  <w:marRight w:val="0"/>
                  <w:marTop w:val="0"/>
                  <w:marBottom w:val="0"/>
                  <w:divBdr>
                    <w:top w:val="none" w:sz="0" w:space="0" w:color="auto"/>
                    <w:left w:val="none" w:sz="0" w:space="0" w:color="auto"/>
                    <w:bottom w:val="none" w:sz="0" w:space="0" w:color="auto"/>
                    <w:right w:val="none" w:sz="0" w:space="0" w:color="auto"/>
                  </w:divBdr>
                  <w:divsChild>
                    <w:div w:id="5770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8920">
              <w:marLeft w:val="0"/>
              <w:marRight w:val="0"/>
              <w:marTop w:val="0"/>
              <w:marBottom w:val="0"/>
              <w:divBdr>
                <w:top w:val="none" w:sz="0" w:space="0" w:color="auto"/>
                <w:left w:val="none" w:sz="0" w:space="0" w:color="auto"/>
                <w:bottom w:val="none" w:sz="0" w:space="0" w:color="auto"/>
                <w:right w:val="none" w:sz="0" w:space="0" w:color="auto"/>
              </w:divBdr>
              <w:divsChild>
                <w:div w:id="1086655111">
                  <w:marLeft w:val="0"/>
                  <w:marRight w:val="0"/>
                  <w:marTop w:val="0"/>
                  <w:marBottom w:val="0"/>
                  <w:divBdr>
                    <w:top w:val="none" w:sz="0" w:space="0" w:color="auto"/>
                    <w:left w:val="none" w:sz="0" w:space="0" w:color="auto"/>
                    <w:bottom w:val="none" w:sz="0" w:space="0" w:color="auto"/>
                    <w:right w:val="none" w:sz="0" w:space="0" w:color="auto"/>
                  </w:divBdr>
                </w:div>
              </w:divsChild>
            </w:div>
            <w:div w:id="1599479644">
              <w:marLeft w:val="0"/>
              <w:marRight w:val="0"/>
              <w:marTop w:val="240"/>
              <w:marBottom w:val="0"/>
              <w:divBdr>
                <w:top w:val="none" w:sz="0" w:space="0" w:color="auto"/>
                <w:left w:val="none" w:sz="0" w:space="0" w:color="auto"/>
                <w:bottom w:val="none" w:sz="0" w:space="0" w:color="auto"/>
                <w:right w:val="none" w:sz="0" w:space="0" w:color="auto"/>
              </w:divBdr>
              <w:divsChild>
                <w:div w:id="1642493743">
                  <w:marLeft w:val="0"/>
                  <w:marRight w:val="0"/>
                  <w:marTop w:val="0"/>
                  <w:marBottom w:val="0"/>
                  <w:divBdr>
                    <w:top w:val="none" w:sz="0" w:space="0" w:color="auto"/>
                    <w:left w:val="none" w:sz="0" w:space="0" w:color="auto"/>
                    <w:bottom w:val="none" w:sz="0" w:space="0" w:color="auto"/>
                    <w:right w:val="none" w:sz="0" w:space="0" w:color="auto"/>
                  </w:divBdr>
                  <w:divsChild>
                    <w:div w:id="11257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05709">
              <w:marLeft w:val="0"/>
              <w:marRight w:val="0"/>
              <w:marTop w:val="240"/>
              <w:marBottom w:val="0"/>
              <w:divBdr>
                <w:top w:val="none" w:sz="0" w:space="0" w:color="auto"/>
                <w:left w:val="none" w:sz="0" w:space="0" w:color="auto"/>
                <w:bottom w:val="none" w:sz="0" w:space="0" w:color="auto"/>
                <w:right w:val="none" w:sz="0" w:space="0" w:color="auto"/>
              </w:divBdr>
              <w:divsChild>
                <w:div w:id="433986094">
                  <w:marLeft w:val="0"/>
                  <w:marRight w:val="0"/>
                  <w:marTop w:val="0"/>
                  <w:marBottom w:val="0"/>
                  <w:divBdr>
                    <w:top w:val="none" w:sz="0" w:space="0" w:color="auto"/>
                    <w:left w:val="none" w:sz="0" w:space="0" w:color="auto"/>
                    <w:bottom w:val="none" w:sz="0" w:space="0" w:color="auto"/>
                    <w:right w:val="none" w:sz="0" w:space="0" w:color="auto"/>
                  </w:divBdr>
                  <w:divsChild>
                    <w:div w:id="7690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5310">
              <w:marLeft w:val="0"/>
              <w:marRight w:val="0"/>
              <w:marTop w:val="240"/>
              <w:marBottom w:val="0"/>
              <w:divBdr>
                <w:top w:val="none" w:sz="0" w:space="0" w:color="auto"/>
                <w:left w:val="none" w:sz="0" w:space="0" w:color="auto"/>
                <w:bottom w:val="none" w:sz="0" w:space="0" w:color="auto"/>
                <w:right w:val="none" w:sz="0" w:space="0" w:color="auto"/>
              </w:divBdr>
              <w:divsChild>
                <w:div w:id="4603289">
                  <w:marLeft w:val="0"/>
                  <w:marRight w:val="0"/>
                  <w:marTop w:val="0"/>
                  <w:marBottom w:val="0"/>
                  <w:divBdr>
                    <w:top w:val="none" w:sz="0" w:space="0" w:color="auto"/>
                    <w:left w:val="none" w:sz="0" w:space="0" w:color="auto"/>
                    <w:bottom w:val="none" w:sz="0" w:space="0" w:color="auto"/>
                    <w:right w:val="none" w:sz="0" w:space="0" w:color="auto"/>
                  </w:divBdr>
                  <w:divsChild>
                    <w:div w:id="441074022">
                      <w:marLeft w:val="0"/>
                      <w:marRight w:val="0"/>
                      <w:marTop w:val="0"/>
                      <w:marBottom w:val="0"/>
                      <w:divBdr>
                        <w:top w:val="none" w:sz="0" w:space="0" w:color="auto"/>
                        <w:left w:val="none" w:sz="0" w:space="0" w:color="auto"/>
                        <w:bottom w:val="none" w:sz="0" w:space="0" w:color="auto"/>
                        <w:right w:val="none" w:sz="0" w:space="0" w:color="auto"/>
                      </w:divBdr>
                    </w:div>
                  </w:divsChild>
                </w:div>
                <w:div w:id="741756023">
                  <w:marLeft w:val="0"/>
                  <w:marRight w:val="0"/>
                  <w:marTop w:val="240"/>
                  <w:marBottom w:val="0"/>
                  <w:divBdr>
                    <w:top w:val="none" w:sz="0" w:space="0" w:color="auto"/>
                    <w:left w:val="none" w:sz="0" w:space="0" w:color="auto"/>
                    <w:bottom w:val="none" w:sz="0" w:space="0" w:color="auto"/>
                    <w:right w:val="none" w:sz="0" w:space="0" w:color="auto"/>
                  </w:divBdr>
                  <w:divsChild>
                    <w:div w:id="1050224710">
                      <w:marLeft w:val="0"/>
                      <w:marRight w:val="0"/>
                      <w:marTop w:val="0"/>
                      <w:marBottom w:val="0"/>
                      <w:divBdr>
                        <w:top w:val="none" w:sz="0" w:space="0" w:color="auto"/>
                        <w:left w:val="none" w:sz="0" w:space="0" w:color="auto"/>
                        <w:bottom w:val="none" w:sz="0" w:space="0" w:color="auto"/>
                        <w:right w:val="none" w:sz="0" w:space="0" w:color="auto"/>
                      </w:divBdr>
                      <w:divsChild>
                        <w:div w:id="19361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082">
                  <w:marLeft w:val="0"/>
                  <w:marRight w:val="0"/>
                  <w:marTop w:val="240"/>
                  <w:marBottom w:val="0"/>
                  <w:divBdr>
                    <w:top w:val="none" w:sz="0" w:space="0" w:color="auto"/>
                    <w:left w:val="none" w:sz="0" w:space="0" w:color="auto"/>
                    <w:bottom w:val="none" w:sz="0" w:space="0" w:color="auto"/>
                    <w:right w:val="none" w:sz="0" w:space="0" w:color="auto"/>
                  </w:divBdr>
                  <w:divsChild>
                    <w:div w:id="433862858">
                      <w:marLeft w:val="0"/>
                      <w:marRight w:val="0"/>
                      <w:marTop w:val="0"/>
                      <w:marBottom w:val="0"/>
                      <w:divBdr>
                        <w:top w:val="none" w:sz="0" w:space="0" w:color="auto"/>
                        <w:left w:val="none" w:sz="0" w:space="0" w:color="auto"/>
                        <w:bottom w:val="none" w:sz="0" w:space="0" w:color="auto"/>
                        <w:right w:val="none" w:sz="0" w:space="0" w:color="auto"/>
                      </w:divBdr>
                      <w:divsChild>
                        <w:div w:id="11020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682">
                  <w:marLeft w:val="0"/>
                  <w:marRight w:val="0"/>
                  <w:marTop w:val="240"/>
                  <w:marBottom w:val="0"/>
                  <w:divBdr>
                    <w:top w:val="none" w:sz="0" w:space="0" w:color="auto"/>
                    <w:left w:val="none" w:sz="0" w:space="0" w:color="auto"/>
                    <w:bottom w:val="none" w:sz="0" w:space="0" w:color="auto"/>
                    <w:right w:val="none" w:sz="0" w:space="0" w:color="auto"/>
                  </w:divBdr>
                  <w:divsChild>
                    <w:div w:id="45178842">
                      <w:marLeft w:val="0"/>
                      <w:marRight w:val="0"/>
                      <w:marTop w:val="0"/>
                      <w:marBottom w:val="0"/>
                      <w:divBdr>
                        <w:top w:val="none" w:sz="0" w:space="0" w:color="auto"/>
                        <w:left w:val="none" w:sz="0" w:space="0" w:color="auto"/>
                        <w:bottom w:val="none" w:sz="0" w:space="0" w:color="auto"/>
                        <w:right w:val="none" w:sz="0" w:space="0" w:color="auto"/>
                      </w:divBdr>
                      <w:divsChild>
                        <w:div w:id="17338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9871">
                  <w:marLeft w:val="0"/>
                  <w:marRight w:val="0"/>
                  <w:marTop w:val="240"/>
                  <w:marBottom w:val="0"/>
                  <w:divBdr>
                    <w:top w:val="none" w:sz="0" w:space="0" w:color="auto"/>
                    <w:left w:val="none" w:sz="0" w:space="0" w:color="auto"/>
                    <w:bottom w:val="none" w:sz="0" w:space="0" w:color="auto"/>
                    <w:right w:val="none" w:sz="0" w:space="0" w:color="auto"/>
                  </w:divBdr>
                  <w:divsChild>
                    <w:div w:id="122506945">
                      <w:marLeft w:val="0"/>
                      <w:marRight w:val="0"/>
                      <w:marTop w:val="0"/>
                      <w:marBottom w:val="0"/>
                      <w:divBdr>
                        <w:top w:val="none" w:sz="0" w:space="0" w:color="auto"/>
                        <w:left w:val="none" w:sz="0" w:space="0" w:color="auto"/>
                        <w:bottom w:val="none" w:sz="0" w:space="0" w:color="auto"/>
                        <w:right w:val="none" w:sz="0" w:space="0" w:color="auto"/>
                      </w:divBdr>
                      <w:divsChild>
                        <w:div w:id="3972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51852">
                  <w:marLeft w:val="0"/>
                  <w:marRight w:val="0"/>
                  <w:marTop w:val="240"/>
                  <w:marBottom w:val="0"/>
                  <w:divBdr>
                    <w:top w:val="none" w:sz="0" w:space="0" w:color="auto"/>
                    <w:left w:val="none" w:sz="0" w:space="0" w:color="auto"/>
                    <w:bottom w:val="none" w:sz="0" w:space="0" w:color="auto"/>
                    <w:right w:val="none" w:sz="0" w:space="0" w:color="auto"/>
                  </w:divBdr>
                  <w:divsChild>
                    <w:div w:id="1628851548">
                      <w:marLeft w:val="0"/>
                      <w:marRight w:val="0"/>
                      <w:marTop w:val="0"/>
                      <w:marBottom w:val="0"/>
                      <w:divBdr>
                        <w:top w:val="none" w:sz="0" w:space="0" w:color="auto"/>
                        <w:left w:val="none" w:sz="0" w:space="0" w:color="auto"/>
                        <w:bottom w:val="none" w:sz="0" w:space="0" w:color="auto"/>
                        <w:right w:val="none" w:sz="0" w:space="0" w:color="auto"/>
                      </w:divBdr>
                      <w:divsChild>
                        <w:div w:id="4366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9085">
                  <w:marLeft w:val="0"/>
                  <w:marRight w:val="0"/>
                  <w:marTop w:val="240"/>
                  <w:marBottom w:val="0"/>
                  <w:divBdr>
                    <w:top w:val="none" w:sz="0" w:space="0" w:color="auto"/>
                    <w:left w:val="none" w:sz="0" w:space="0" w:color="auto"/>
                    <w:bottom w:val="none" w:sz="0" w:space="0" w:color="auto"/>
                    <w:right w:val="none" w:sz="0" w:space="0" w:color="auto"/>
                  </w:divBdr>
                  <w:divsChild>
                    <w:div w:id="298653390">
                      <w:marLeft w:val="0"/>
                      <w:marRight w:val="0"/>
                      <w:marTop w:val="0"/>
                      <w:marBottom w:val="0"/>
                      <w:divBdr>
                        <w:top w:val="none" w:sz="0" w:space="0" w:color="auto"/>
                        <w:left w:val="none" w:sz="0" w:space="0" w:color="auto"/>
                        <w:bottom w:val="none" w:sz="0" w:space="0" w:color="auto"/>
                        <w:right w:val="none" w:sz="0" w:space="0" w:color="auto"/>
                      </w:divBdr>
                      <w:divsChild>
                        <w:div w:id="6427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62970">
              <w:marLeft w:val="0"/>
              <w:marRight w:val="0"/>
              <w:marTop w:val="240"/>
              <w:marBottom w:val="0"/>
              <w:divBdr>
                <w:top w:val="none" w:sz="0" w:space="0" w:color="auto"/>
                <w:left w:val="none" w:sz="0" w:space="0" w:color="auto"/>
                <w:bottom w:val="none" w:sz="0" w:space="0" w:color="auto"/>
                <w:right w:val="none" w:sz="0" w:space="0" w:color="auto"/>
              </w:divBdr>
              <w:divsChild>
                <w:div w:id="586111192">
                  <w:marLeft w:val="0"/>
                  <w:marRight w:val="0"/>
                  <w:marTop w:val="0"/>
                  <w:marBottom w:val="0"/>
                  <w:divBdr>
                    <w:top w:val="none" w:sz="0" w:space="0" w:color="auto"/>
                    <w:left w:val="none" w:sz="0" w:space="0" w:color="auto"/>
                    <w:bottom w:val="none" w:sz="0" w:space="0" w:color="auto"/>
                    <w:right w:val="none" w:sz="0" w:space="0" w:color="auto"/>
                  </w:divBdr>
                  <w:divsChild>
                    <w:div w:id="14969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3924">
              <w:marLeft w:val="0"/>
              <w:marRight w:val="0"/>
              <w:marTop w:val="240"/>
              <w:marBottom w:val="0"/>
              <w:divBdr>
                <w:top w:val="none" w:sz="0" w:space="0" w:color="auto"/>
                <w:left w:val="none" w:sz="0" w:space="0" w:color="auto"/>
                <w:bottom w:val="none" w:sz="0" w:space="0" w:color="auto"/>
                <w:right w:val="none" w:sz="0" w:space="0" w:color="auto"/>
              </w:divBdr>
              <w:divsChild>
                <w:div w:id="868223419">
                  <w:marLeft w:val="0"/>
                  <w:marRight w:val="0"/>
                  <w:marTop w:val="0"/>
                  <w:marBottom w:val="0"/>
                  <w:divBdr>
                    <w:top w:val="none" w:sz="0" w:space="0" w:color="auto"/>
                    <w:left w:val="none" w:sz="0" w:space="0" w:color="auto"/>
                    <w:bottom w:val="none" w:sz="0" w:space="0" w:color="auto"/>
                    <w:right w:val="none" w:sz="0" w:space="0" w:color="auto"/>
                  </w:divBdr>
                  <w:divsChild>
                    <w:div w:id="18279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3126">
              <w:marLeft w:val="0"/>
              <w:marRight w:val="0"/>
              <w:marTop w:val="240"/>
              <w:marBottom w:val="0"/>
              <w:divBdr>
                <w:top w:val="none" w:sz="0" w:space="0" w:color="auto"/>
                <w:left w:val="none" w:sz="0" w:space="0" w:color="auto"/>
                <w:bottom w:val="none" w:sz="0" w:space="0" w:color="auto"/>
                <w:right w:val="none" w:sz="0" w:space="0" w:color="auto"/>
              </w:divBdr>
              <w:divsChild>
                <w:div w:id="516313924">
                  <w:marLeft w:val="0"/>
                  <w:marRight w:val="0"/>
                  <w:marTop w:val="0"/>
                  <w:marBottom w:val="0"/>
                  <w:divBdr>
                    <w:top w:val="none" w:sz="0" w:space="0" w:color="auto"/>
                    <w:left w:val="none" w:sz="0" w:space="0" w:color="auto"/>
                    <w:bottom w:val="none" w:sz="0" w:space="0" w:color="auto"/>
                    <w:right w:val="none" w:sz="0" w:space="0" w:color="auto"/>
                  </w:divBdr>
                  <w:divsChild>
                    <w:div w:id="15958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89196">
          <w:marLeft w:val="0"/>
          <w:marRight w:val="0"/>
          <w:marTop w:val="240"/>
          <w:marBottom w:val="0"/>
          <w:divBdr>
            <w:top w:val="none" w:sz="0" w:space="0" w:color="auto"/>
            <w:left w:val="none" w:sz="0" w:space="0" w:color="auto"/>
            <w:bottom w:val="none" w:sz="0" w:space="0" w:color="auto"/>
            <w:right w:val="none" w:sz="0" w:space="0" w:color="auto"/>
          </w:divBdr>
          <w:divsChild>
            <w:div w:id="726729714">
              <w:marLeft w:val="0"/>
              <w:marRight w:val="0"/>
              <w:marTop w:val="0"/>
              <w:marBottom w:val="0"/>
              <w:divBdr>
                <w:top w:val="none" w:sz="0" w:space="0" w:color="auto"/>
                <w:left w:val="none" w:sz="0" w:space="0" w:color="auto"/>
                <w:bottom w:val="none" w:sz="0" w:space="0" w:color="auto"/>
                <w:right w:val="none" w:sz="0" w:space="0" w:color="auto"/>
              </w:divBdr>
              <w:divsChild>
                <w:div w:id="5229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3531">
      <w:bodyDiv w:val="1"/>
      <w:marLeft w:val="0"/>
      <w:marRight w:val="0"/>
      <w:marTop w:val="0"/>
      <w:marBottom w:val="0"/>
      <w:divBdr>
        <w:top w:val="none" w:sz="0" w:space="0" w:color="auto"/>
        <w:left w:val="none" w:sz="0" w:space="0" w:color="auto"/>
        <w:bottom w:val="none" w:sz="0" w:space="0" w:color="auto"/>
        <w:right w:val="none" w:sz="0" w:space="0" w:color="auto"/>
      </w:divBdr>
      <w:divsChild>
        <w:div w:id="1595939508">
          <w:marLeft w:val="0"/>
          <w:marRight w:val="0"/>
          <w:marTop w:val="0"/>
          <w:marBottom w:val="0"/>
          <w:divBdr>
            <w:top w:val="none" w:sz="0" w:space="0" w:color="auto"/>
            <w:left w:val="none" w:sz="0" w:space="0" w:color="auto"/>
            <w:bottom w:val="none" w:sz="0" w:space="0" w:color="auto"/>
            <w:right w:val="none" w:sz="0" w:space="0" w:color="auto"/>
          </w:divBdr>
          <w:divsChild>
            <w:div w:id="1073089756">
              <w:marLeft w:val="0"/>
              <w:marRight w:val="0"/>
              <w:marTop w:val="0"/>
              <w:marBottom w:val="0"/>
              <w:divBdr>
                <w:top w:val="none" w:sz="0" w:space="0" w:color="auto"/>
                <w:left w:val="none" w:sz="0" w:space="0" w:color="auto"/>
                <w:bottom w:val="none" w:sz="0" w:space="0" w:color="auto"/>
                <w:right w:val="none" w:sz="0" w:space="0" w:color="auto"/>
              </w:divBdr>
            </w:div>
          </w:divsChild>
        </w:div>
        <w:div w:id="504325235">
          <w:marLeft w:val="0"/>
          <w:marRight w:val="0"/>
          <w:marTop w:val="0"/>
          <w:marBottom w:val="0"/>
          <w:divBdr>
            <w:top w:val="none" w:sz="0" w:space="0" w:color="auto"/>
            <w:left w:val="none" w:sz="0" w:space="0" w:color="auto"/>
            <w:bottom w:val="none" w:sz="0" w:space="0" w:color="auto"/>
            <w:right w:val="none" w:sz="0" w:space="0" w:color="auto"/>
          </w:divBdr>
          <w:divsChild>
            <w:div w:id="21075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79203">
      <w:bodyDiv w:val="1"/>
      <w:marLeft w:val="0"/>
      <w:marRight w:val="0"/>
      <w:marTop w:val="0"/>
      <w:marBottom w:val="0"/>
      <w:divBdr>
        <w:top w:val="none" w:sz="0" w:space="0" w:color="auto"/>
        <w:left w:val="none" w:sz="0" w:space="0" w:color="auto"/>
        <w:bottom w:val="none" w:sz="0" w:space="0" w:color="auto"/>
        <w:right w:val="none" w:sz="0" w:space="0" w:color="auto"/>
      </w:divBdr>
    </w:div>
    <w:div w:id="943195201">
      <w:bodyDiv w:val="1"/>
      <w:marLeft w:val="0"/>
      <w:marRight w:val="0"/>
      <w:marTop w:val="0"/>
      <w:marBottom w:val="0"/>
      <w:divBdr>
        <w:top w:val="none" w:sz="0" w:space="0" w:color="auto"/>
        <w:left w:val="none" w:sz="0" w:space="0" w:color="auto"/>
        <w:bottom w:val="none" w:sz="0" w:space="0" w:color="auto"/>
        <w:right w:val="none" w:sz="0" w:space="0" w:color="auto"/>
      </w:divBdr>
      <w:divsChild>
        <w:div w:id="92095305">
          <w:marLeft w:val="0"/>
          <w:marRight w:val="0"/>
          <w:marTop w:val="0"/>
          <w:marBottom w:val="0"/>
          <w:divBdr>
            <w:top w:val="none" w:sz="0" w:space="0" w:color="auto"/>
            <w:left w:val="none" w:sz="0" w:space="0" w:color="auto"/>
            <w:bottom w:val="none" w:sz="0" w:space="0" w:color="auto"/>
            <w:right w:val="none" w:sz="0" w:space="0" w:color="auto"/>
          </w:divBdr>
          <w:divsChild>
            <w:div w:id="535313032">
              <w:marLeft w:val="0"/>
              <w:marRight w:val="0"/>
              <w:marTop w:val="0"/>
              <w:marBottom w:val="0"/>
              <w:divBdr>
                <w:top w:val="none" w:sz="0" w:space="0" w:color="auto"/>
                <w:left w:val="none" w:sz="0" w:space="0" w:color="auto"/>
                <w:bottom w:val="none" w:sz="0" w:space="0" w:color="auto"/>
                <w:right w:val="none" w:sz="0" w:space="0" w:color="auto"/>
              </w:divBdr>
            </w:div>
          </w:divsChild>
        </w:div>
        <w:div w:id="1912500922">
          <w:marLeft w:val="0"/>
          <w:marRight w:val="0"/>
          <w:marTop w:val="0"/>
          <w:marBottom w:val="0"/>
          <w:divBdr>
            <w:top w:val="none" w:sz="0" w:space="0" w:color="auto"/>
            <w:left w:val="none" w:sz="0" w:space="0" w:color="auto"/>
            <w:bottom w:val="none" w:sz="0" w:space="0" w:color="auto"/>
            <w:right w:val="none" w:sz="0" w:space="0" w:color="auto"/>
          </w:divBdr>
          <w:divsChild>
            <w:div w:id="1731728919">
              <w:marLeft w:val="0"/>
              <w:marRight w:val="0"/>
              <w:marTop w:val="0"/>
              <w:marBottom w:val="0"/>
              <w:divBdr>
                <w:top w:val="none" w:sz="0" w:space="0" w:color="auto"/>
                <w:left w:val="none" w:sz="0" w:space="0" w:color="auto"/>
                <w:bottom w:val="none" w:sz="0" w:space="0" w:color="auto"/>
                <w:right w:val="none" w:sz="0" w:space="0" w:color="auto"/>
              </w:divBdr>
            </w:div>
          </w:divsChild>
        </w:div>
        <w:div w:id="1070006363">
          <w:marLeft w:val="0"/>
          <w:marRight w:val="0"/>
          <w:marTop w:val="0"/>
          <w:marBottom w:val="0"/>
          <w:divBdr>
            <w:top w:val="none" w:sz="0" w:space="0" w:color="auto"/>
            <w:left w:val="none" w:sz="0" w:space="0" w:color="auto"/>
            <w:bottom w:val="none" w:sz="0" w:space="0" w:color="auto"/>
            <w:right w:val="none" w:sz="0" w:space="0" w:color="auto"/>
          </w:divBdr>
          <w:divsChild>
            <w:div w:id="21294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60842">
      <w:bodyDiv w:val="1"/>
      <w:marLeft w:val="0"/>
      <w:marRight w:val="0"/>
      <w:marTop w:val="0"/>
      <w:marBottom w:val="0"/>
      <w:divBdr>
        <w:top w:val="none" w:sz="0" w:space="0" w:color="auto"/>
        <w:left w:val="none" w:sz="0" w:space="0" w:color="auto"/>
        <w:bottom w:val="none" w:sz="0" w:space="0" w:color="auto"/>
        <w:right w:val="none" w:sz="0" w:space="0" w:color="auto"/>
      </w:divBdr>
      <w:divsChild>
        <w:div w:id="1247492018">
          <w:marLeft w:val="0"/>
          <w:marRight w:val="0"/>
          <w:marTop w:val="240"/>
          <w:marBottom w:val="0"/>
          <w:divBdr>
            <w:top w:val="none" w:sz="0" w:space="0" w:color="auto"/>
            <w:left w:val="none" w:sz="0" w:space="0" w:color="auto"/>
            <w:bottom w:val="none" w:sz="0" w:space="0" w:color="auto"/>
            <w:right w:val="none" w:sz="0" w:space="0" w:color="auto"/>
          </w:divBdr>
          <w:divsChild>
            <w:div w:id="368577682">
              <w:marLeft w:val="0"/>
              <w:marRight w:val="0"/>
              <w:marTop w:val="0"/>
              <w:marBottom w:val="0"/>
              <w:divBdr>
                <w:top w:val="none" w:sz="0" w:space="0" w:color="auto"/>
                <w:left w:val="none" w:sz="0" w:space="0" w:color="auto"/>
                <w:bottom w:val="none" w:sz="0" w:space="0" w:color="auto"/>
                <w:right w:val="none" w:sz="0" w:space="0" w:color="auto"/>
              </w:divBdr>
              <w:divsChild>
                <w:div w:id="489910981">
                  <w:marLeft w:val="0"/>
                  <w:marRight w:val="0"/>
                  <w:marTop w:val="0"/>
                  <w:marBottom w:val="0"/>
                  <w:divBdr>
                    <w:top w:val="none" w:sz="0" w:space="0" w:color="auto"/>
                    <w:left w:val="none" w:sz="0" w:space="0" w:color="auto"/>
                    <w:bottom w:val="none" w:sz="0" w:space="0" w:color="auto"/>
                    <w:right w:val="none" w:sz="0" w:space="0" w:color="auto"/>
                  </w:divBdr>
                  <w:divsChild>
                    <w:div w:id="12184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395429">
      <w:bodyDiv w:val="1"/>
      <w:marLeft w:val="0"/>
      <w:marRight w:val="0"/>
      <w:marTop w:val="0"/>
      <w:marBottom w:val="0"/>
      <w:divBdr>
        <w:top w:val="none" w:sz="0" w:space="0" w:color="auto"/>
        <w:left w:val="none" w:sz="0" w:space="0" w:color="auto"/>
        <w:bottom w:val="none" w:sz="0" w:space="0" w:color="auto"/>
        <w:right w:val="none" w:sz="0" w:space="0" w:color="auto"/>
      </w:divBdr>
      <w:divsChild>
        <w:div w:id="783772026">
          <w:marLeft w:val="0"/>
          <w:marRight w:val="0"/>
          <w:marTop w:val="0"/>
          <w:marBottom w:val="0"/>
          <w:divBdr>
            <w:top w:val="none" w:sz="0" w:space="0" w:color="auto"/>
            <w:left w:val="none" w:sz="0" w:space="0" w:color="auto"/>
            <w:bottom w:val="none" w:sz="0" w:space="0" w:color="auto"/>
            <w:right w:val="none" w:sz="0" w:space="0" w:color="auto"/>
          </w:divBdr>
        </w:div>
        <w:div w:id="2018143862">
          <w:marLeft w:val="0"/>
          <w:marRight w:val="0"/>
          <w:marTop w:val="240"/>
          <w:marBottom w:val="0"/>
          <w:divBdr>
            <w:top w:val="none" w:sz="0" w:space="0" w:color="auto"/>
            <w:left w:val="none" w:sz="0" w:space="0" w:color="auto"/>
            <w:bottom w:val="none" w:sz="0" w:space="0" w:color="auto"/>
            <w:right w:val="none" w:sz="0" w:space="0" w:color="auto"/>
          </w:divBdr>
          <w:divsChild>
            <w:div w:id="5758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9617">
      <w:bodyDiv w:val="1"/>
      <w:marLeft w:val="0"/>
      <w:marRight w:val="0"/>
      <w:marTop w:val="0"/>
      <w:marBottom w:val="0"/>
      <w:divBdr>
        <w:top w:val="none" w:sz="0" w:space="0" w:color="auto"/>
        <w:left w:val="none" w:sz="0" w:space="0" w:color="auto"/>
        <w:bottom w:val="none" w:sz="0" w:space="0" w:color="auto"/>
        <w:right w:val="none" w:sz="0" w:space="0" w:color="auto"/>
      </w:divBdr>
      <w:divsChild>
        <w:div w:id="909584361">
          <w:marLeft w:val="0"/>
          <w:marRight w:val="0"/>
          <w:marTop w:val="0"/>
          <w:marBottom w:val="0"/>
          <w:divBdr>
            <w:top w:val="none" w:sz="0" w:space="0" w:color="auto"/>
            <w:left w:val="none" w:sz="0" w:space="0" w:color="auto"/>
            <w:bottom w:val="none" w:sz="0" w:space="0" w:color="auto"/>
            <w:right w:val="none" w:sz="0" w:space="0" w:color="auto"/>
          </w:divBdr>
        </w:div>
      </w:divsChild>
    </w:div>
    <w:div w:id="1012561931">
      <w:bodyDiv w:val="1"/>
      <w:marLeft w:val="0"/>
      <w:marRight w:val="0"/>
      <w:marTop w:val="0"/>
      <w:marBottom w:val="0"/>
      <w:divBdr>
        <w:top w:val="none" w:sz="0" w:space="0" w:color="auto"/>
        <w:left w:val="none" w:sz="0" w:space="0" w:color="auto"/>
        <w:bottom w:val="none" w:sz="0" w:space="0" w:color="auto"/>
        <w:right w:val="none" w:sz="0" w:space="0" w:color="auto"/>
      </w:divBdr>
    </w:div>
    <w:div w:id="1062218434">
      <w:bodyDiv w:val="1"/>
      <w:marLeft w:val="0"/>
      <w:marRight w:val="0"/>
      <w:marTop w:val="0"/>
      <w:marBottom w:val="0"/>
      <w:divBdr>
        <w:top w:val="none" w:sz="0" w:space="0" w:color="auto"/>
        <w:left w:val="none" w:sz="0" w:space="0" w:color="auto"/>
        <w:bottom w:val="none" w:sz="0" w:space="0" w:color="auto"/>
        <w:right w:val="none" w:sz="0" w:space="0" w:color="auto"/>
      </w:divBdr>
    </w:div>
    <w:div w:id="1104030383">
      <w:bodyDiv w:val="1"/>
      <w:marLeft w:val="0"/>
      <w:marRight w:val="0"/>
      <w:marTop w:val="0"/>
      <w:marBottom w:val="0"/>
      <w:divBdr>
        <w:top w:val="none" w:sz="0" w:space="0" w:color="auto"/>
        <w:left w:val="none" w:sz="0" w:space="0" w:color="auto"/>
        <w:bottom w:val="none" w:sz="0" w:space="0" w:color="auto"/>
        <w:right w:val="none" w:sz="0" w:space="0" w:color="auto"/>
      </w:divBdr>
      <w:divsChild>
        <w:div w:id="351299800">
          <w:marLeft w:val="0"/>
          <w:marRight w:val="0"/>
          <w:marTop w:val="240"/>
          <w:marBottom w:val="0"/>
          <w:divBdr>
            <w:top w:val="none" w:sz="0" w:space="0" w:color="auto"/>
            <w:left w:val="none" w:sz="0" w:space="0" w:color="auto"/>
            <w:bottom w:val="none" w:sz="0" w:space="0" w:color="auto"/>
            <w:right w:val="none" w:sz="0" w:space="0" w:color="auto"/>
          </w:divBdr>
          <w:divsChild>
            <w:div w:id="319771678">
              <w:marLeft w:val="0"/>
              <w:marRight w:val="0"/>
              <w:marTop w:val="240"/>
              <w:marBottom w:val="0"/>
              <w:divBdr>
                <w:top w:val="none" w:sz="0" w:space="0" w:color="auto"/>
                <w:left w:val="none" w:sz="0" w:space="0" w:color="auto"/>
                <w:bottom w:val="none" w:sz="0" w:space="0" w:color="auto"/>
                <w:right w:val="none" w:sz="0" w:space="0" w:color="auto"/>
              </w:divBdr>
              <w:divsChild>
                <w:div w:id="1516729336">
                  <w:marLeft w:val="0"/>
                  <w:marRight w:val="0"/>
                  <w:marTop w:val="0"/>
                  <w:marBottom w:val="0"/>
                  <w:divBdr>
                    <w:top w:val="none" w:sz="0" w:space="0" w:color="auto"/>
                    <w:left w:val="none" w:sz="0" w:space="0" w:color="auto"/>
                    <w:bottom w:val="none" w:sz="0" w:space="0" w:color="auto"/>
                    <w:right w:val="none" w:sz="0" w:space="0" w:color="auto"/>
                  </w:divBdr>
                  <w:divsChild>
                    <w:div w:id="1259022081">
                      <w:blockQuote w:val="1"/>
                      <w:marLeft w:val="600"/>
                      <w:marRight w:val="600"/>
                      <w:marTop w:val="60"/>
                      <w:marBottom w:val="60"/>
                      <w:divBdr>
                        <w:top w:val="none" w:sz="0" w:space="0" w:color="auto"/>
                        <w:left w:val="none" w:sz="0" w:space="0" w:color="auto"/>
                        <w:bottom w:val="none" w:sz="0" w:space="0" w:color="auto"/>
                        <w:right w:val="none" w:sz="0" w:space="0" w:color="auto"/>
                      </w:divBdr>
                      <w:divsChild>
                        <w:div w:id="1736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72270">
              <w:marLeft w:val="0"/>
              <w:marRight w:val="0"/>
              <w:marTop w:val="240"/>
              <w:marBottom w:val="0"/>
              <w:divBdr>
                <w:top w:val="none" w:sz="0" w:space="0" w:color="auto"/>
                <w:left w:val="none" w:sz="0" w:space="0" w:color="auto"/>
                <w:bottom w:val="none" w:sz="0" w:space="0" w:color="auto"/>
                <w:right w:val="none" w:sz="0" w:space="0" w:color="auto"/>
              </w:divBdr>
              <w:divsChild>
                <w:div w:id="1158184919">
                  <w:marLeft w:val="0"/>
                  <w:marRight w:val="0"/>
                  <w:marTop w:val="0"/>
                  <w:marBottom w:val="0"/>
                  <w:divBdr>
                    <w:top w:val="none" w:sz="0" w:space="0" w:color="auto"/>
                    <w:left w:val="none" w:sz="0" w:space="0" w:color="auto"/>
                    <w:bottom w:val="none" w:sz="0" w:space="0" w:color="auto"/>
                    <w:right w:val="none" w:sz="0" w:space="0" w:color="auto"/>
                  </w:divBdr>
                  <w:divsChild>
                    <w:div w:id="1692024785">
                      <w:blockQuote w:val="1"/>
                      <w:marLeft w:val="600"/>
                      <w:marRight w:val="600"/>
                      <w:marTop w:val="60"/>
                      <w:marBottom w:val="60"/>
                      <w:divBdr>
                        <w:top w:val="none" w:sz="0" w:space="0" w:color="auto"/>
                        <w:left w:val="none" w:sz="0" w:space="0" w:color="auto"/>
                        <w:bottom w:val="none" w:sz="0" w:space="0" w:color="auto"/>
                        <w:right w:val="none" w:sz="0" w:space="0" w:color="auto"/>
                      </w:divBdr>
                      <w:divsChild>
                        <w:div w:id="13967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08420">
              <w:marLeft w:val="0"/>
              <w:marRight w:val="0"/>
              <w:marTop w:val="240"/>
              <w:marBottom w:val="0"/>
              <w:divBdr>
                <w:top w:val="none" w:sz="0" w:space="0" w:color="auto"/>
                <w:left w:val="none" w:sz="0" w:space="0" w:color="auto"/>
                <w:bottom w:val="none" w:sz="0" w:space="0" w:color="auto"/>
                <w:right w:val="none" w:sz="0" w:space="0" w:color="auto"/>
              </w:divBdr>
            </w:div>
            <w:div w:id="2011247969">
              <w:marLeft w:val="0"/>
              <w:marRight w:val="0"/>
              <w:marTop w:val="0"/>
              <w:marBottom w:val="0"/>
              <w:divBdr>
                <w:top w:val="none" w:sz="0" w:space="0" w:color="auto"/>
                <w:left w:val="none" w:sz="0" w:space="0" w:color="auto"/>
                <w:bottom w:val="none" w:sz="0" w:space="0" w:color="auto"/>
                <w:right w:val="none" w:sz="0" w:space="0" w:color="auto"/>
              </w:divBdr>
            </w:div>
            <w:div w:id="2057578903">
              <w:marLeft w:val="0"/>
              <w:marRight w:val="0"/>
              <w:marTop w:val="240"/>
              <w:marBottom w:val="0"/>
              <w:divBdr>
                <w:top w:val="none" w:sz="0" w:space="0" w:color="auto"/>
                <w:left w:val="none" w:sz="0" w:space="0" w:color="auto"/>
                <w:bottom w:val="none" w:sz="0" w:space="0" w:color="auto"/>
                <w:right w:val="none" w:sz="0" w:space="0" w:color="auto"/>
              </w:divBdr>
            </w:div>
          </w:divsChild>
        </w:div>
        <w:div w:id="1383138082">
          <w:marLeft w:val="0"/>
          <w:marRight w:val="0"/>
          <w:marTop w:val="240"/>
          <w:marBottom w:val="0"/>
          <w:divBdr>
            <w:top w:val="none" w:sz="0" w:space="0" w:color="auto"/>
            <w:left w:val="none" w:sz="0" w:space="0" w:color="auto"/>
            <w:bottom w:val="none" w:sz="0" w:space="0" w:color="auto"/>
            <w:right w:val="none" w:sz="0" w:space="0" w:color="auto"/>
          </w:divBdr>
          <w:divsChild>
            <w:div w:id="347676349">
              <w:marLeft w:val="0"/>
              <w:marRight w:val="0"/>
              <w:marTop w:val="240"/>
              <w:marBottom w:val="0"/>
              <w:divBdr>
                <w:top w:val="none" w:sz="0" w:space="0" w:color="auto"/>
                <w:left w:val="none" w:sz="0" w:space="0" w:color="auto"/>
                <w:bottom w:val="none" w:sz="0" w:space="0" w:color="auto"/>
                <w:right w:val="none" w:sz="0" w:space="0" w:color="auto"/>
              </w:divBdr>
              <w:divsChild>
                <w:div w:id="1102381477">
                  <w:marLeft w:val="0"/>
                  <w:marRight w:val="0"/>
                  <w:marTop w:val="0"/>
                  <w:marBottom w:val="0"/>
                  <w:divBdr>
                    <w:top w:val="none" w:sz="0" w:space="0" w:color="auto"/>
                    <w:left w:val="none" w:sz="0" w:space="0" w:color="auto"/>
                    <w:bottom w:val="none" w:sz="0" w:space="0" w:color="auto"/>
                    <w:right w:val="none" w:sz="0" w:space="0" w:color="auto"/>
                  </w:divBdr>
                  <w:divsChild>
                    <w:div w:id="162471189">
                      <w:blockQuote w:val="1"/>
                      <w:marLeft w:val="600"/>
                      <w:marRight w:val="600"/>
                      <w:marTop w:val="60"/>
                      <w:marBottom w:val="60"/>
                      <w:divBdr>
                        <w:top w:val="none" w:sz="0" w:space="0" w:color="auto"/>
                        <w:left w:val="none" w:sz="0" w:space="0" w:color="auto"/>
                        <w:bottom w:val="none" w:sz="0" w:space="0" w:color="auto"/>
                        <w:right w:val="none" w:sz="0" w:space="0" w:color="auto"/>
                      </w:divBdr>
                      <w:divsChild>
                        <w:div w:id="14229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54359">
              <w:marLeft w:val="0"/>
              <w:marRight w:val="0"/>
              <w:marTop w:val="0"/>
              <w:marBottom w:val="0"/>
              <w:divBdr>
                <w:top w:val="none" w:sz="0" w:space="0" w:color="auto"/>
                <w:left w:val="none" w:sz="0" w:space="0" w:color="auto"/>
                <w:bottom w:val="none" w:sz="0" w:space="0" w:color="auto"/>
                <w:right w:val="none" w:sz="0" w:space="0" w:color="auto"/>
              </w:divBdr>
            </w:div>
            <w:div w:id="12140759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14636307">
      <w:bodyDiv w:val="1"/>
      <w:marLeft w:val="0"/>
      <w:marRight w:val="0"/>
      <w:marTop w:val="0"/>
      <w:marBottom w:val="0"/>
      <w:divBdr>
        <w:top w:val="none" w:sz="0" w:space="0" w:color="auto"/>
        <w:left w:val="none" w:sz="0" w:space="0" w:color="auto"/>
        <w:bottom w:val="none" w:sz="0" w:space="0" w:color="auto"/>
        <w:right w:val="none" w:sz="0" w:space="0" w:color="auto"/>
      </w:divBdr>
    </w:div>
    <w:div w:id="1131359066">
      <w:bodyDiv w:val="1"/>
      <w:marLeft w:val="0"/>
      <w:marRight w:val="0"/>
      <w:marTop w:val="0"/>
      <w:marBottom w:val="0"/>
      <w:divBdr>
        <w:top w:val="none" w:sz="0" w:space="0" w:color="auto"/>
        <w:left w:val="none" w:sz="0" w:space="0" w:color="auto"/>
        <w:bottom w:val="none" w:sz="0" w:space="0" w:color="auto"/>
        <w:right w:val="none" w:sz="0" w:space="0" w:color="auto"/>
      </w:divBdr>
    </w:div>
    <w:div w:id="1138380159">
      <w:bodyDiv w:val="1"/>
      <w:marLeft w:val="0"/>
      <w:marRight w:val="0"/>
      <w:marTop w:val="0"/>
      <w:marBottom w:val="0"/>
      <w:divBdr>
        <w:top w:val="none" w:sz="0" w:space="0" w:color="auto"/>
        <w:left w:val="none" w:sz="0" w:space="0" w:color="auto"/>
        <w:bottom w:val="none" w:sz="0" w:space="0" w:color="auto"/>
        <w:right w:val="none" w:sz="0" w:space="0" w:color="auto"/>
      </w:divBdr>
      <w:divsChild>
        <w:div w:id="2144686670">
          <w:marLeft w:val="0"/>
          <w:marRight w:val="0"/>
          <w:marTop w:val="0"/>
          <w:marBottom w:val="0"/>
          <w:divBdr>
            <w:top w:val="none" w:sz="0" w:space="0" w:color="auto"/>
            <w:left w:val="none" w:sz="0" w:space="0" w:color="auto"/>
            <w:bottom w:val="none" w:sz="0" w:space="0" w:color="auto"/>
            <w:right w:val="none" w:sz="0" w:space="0" w:color="auto"/>
          </w:divBdr>
          <w:divsChild>
            <w:div w:id="1130047879">
              <w:marLeft w:val="0"/>
              <w:marRight w:val="0"/>
              <w:marTop w:val="0"/>
              <w:marBottom w:val="0"/>
              <w:divBdr>
                <w:top w:val="none" w:sz="0" w:space="0" w:color="auto"/>
                <w:left w:val="none" w:sz="0" w:space="0" w:color="auto"/>
                <w:bottom w:val="none" w:sz="0" w:space="0" w:color="auto"/>
                <w:right w:val="none" w:sz="0" w:space="0" w:color="auto"/>
              </w:divBdr>
            </w:div>
            <w:div w:id="1345210878">
              <w:marLeft w:val="0"/>
              <w:marRight w:val="0"/>
              <w:marTop w:val="0"/>
              <w:marBottom w:val="0"/>
              <w:divBdr>
                <w:top w:val="none" w:sz="0" w:space="0" w:color="auto"/>
                <w:left w:val="none" w:sz="0" w:space="0" w:color="auto"/>
                <w:bottom w:val="none" w:sz="0" w:space="0" w:color="auto"/>
                <w:right w:val="none" w:sz="0" w:space="0" w:color="auto"/>
              </w:divBdr>
              <w:divsChild>
                <w:div w:id="971137910">
                  <w:marLeft w:val="0"/>
                  <w:marRight w:val="0"/>
                  <w:marTop w:val="0"/>
                  <w:marBottom w:val="0"/>
                  <w:divBdr>
                    <w:top w:val="none" w:sz="0" w:space="0" w:color="auto"/>
                    <w:left w:val="none" w:sz="0" w:space="0" w:color="auto"/>
                    <w:bottom w:val="none" w:sz="0" w:space="0" w:color="auto"/>
                    <w:right w:val="none" w:sz="0" w:space="0" w:color="auto"/>
                  </w:divBdr>
                </w:div>
              </w:divsChild>
            </w:div>
            <w:div w:id="1723288197">
              <w:marLeft w:val="0"/>
              <w:marRight w:val="0"/>
              <w:marTop w:val="0"/>
              <w:marBottom w:val="0"/>
              <w:divBdr>
                <w:top w:val="none" w:sz="0" w:space="0" w:color="auto"/>
                <w:left w:val="none" w:sz="0" w:space="0" w:color="auto"/>
                <w:bottom w:val="none" w:sz="0" w:space="0" w:color="auto"/>
                <w:right w:val="none" w:sz="0" w:space="0" w:color="auto"/>
              </w:divBdr>
              <w:divsChild>
                <w:div w:id="1070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0509">
          <w:marLeft w:val="0"/>
          <w:marRight w:val="0"/>
          <w:marTop w:val="0"/>
          <w:marBottom w:val="0"/>
          <w:divBdr>
            <w:top w:val="none" w:sz="0" w:space="0" w:color="auto"/>
            <w:left w:val="none" w:sz="0" w:space="0" w:color="auto"/>
            <w:bottom w:val="none" w:sz="0" w:space="0" w:color="auto"/>
            <w:right w:val="none" w:sz="0" w:space="0" w:color="auto"/>
          </w:divBdr>
          <w:divsChild>
            <w:div w:id="6222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0565">
      <w:bodyDiv w:val="1"/>
      <w:marLeft w:val="0"/>
      <w:marRight w:val="0"/>
      <w:marTop w:val="0"/>
      <w:marBottom w:val="0"/>
      <w:divBdr>
        <w:top w:val="none" w:sz="0" w:space="0" w:color="auto"/>
        <w:left w:val="none" w:sz="0" w:space="0" w:color="auto"/>
        <w:bottom w:val="none" w:sz="0" w:space="0" w:color="auto"/>
        <w:right w:val="none" w:sz="0" w:space="0" w:color="auto"/>
      </w:divBdr>
      <w:divsChild>
        <w:div w:id="1217739201">
          <w:marLeft w:val="0"/>
          <w:marRight w:val="0"/>
          <w:marTop w:val="240"/>
          <w:marBottom w:val="0"/>
          <w:divBdr>
            <w:top w:val="none" w:sz="0" w:space="0" w:color="auto"/>
            <w:left w:val="none" w:sz="0" w:space="0" w:color="auto"/>
            <w:bottom w:val="none" w:sz="0" w:space="0" w:color="auto"/>
            <w:right w:val="none" w:sz="0" w:space="0" w:color="auto"/>
          </w:divBdr>
          <w:divsChild>
            <w:div w:id="1115175892">
              <w:marLeft w:val="0"/>
              <w:marRight w:val="0"/>
              <w:marTop w:val="0"/>
              <w:marBottom w:val="0"/>
              <w:divBdr>
                <w:top w:val="none" w:sz="0" w:space="0" w:color="auto"/>
                <w:left w:val="none" w:sz="0" w:space="0" w:color="auto"/>
                <w:bottom w:val="none" w:sz="0" w:space="0" w:color="auto"/>
                <w:right w:val="none" w:sz="0" w:space="0" w:color="auto"/>
              </w:divBdr>
              <w:divsChild>
                <w:div w:id="9837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5565">
          <w:marLeft w:val="0"/>
          <w:marRight w:val="0"/>
          <w:marTop w:val="240"/>
          <w:marBottom w:val="0"/>
          <w:divBdr>
            <w:top w:val="none" w:sz="0" w:space="0" w:color="auto"/>
            <w:left w:val="none" w:sz="0" w:space="0" w:color="auto"/>
            <w:bottom w:val="none" w:sz="0" w:space="0" w:color="auto"/>
            <w:right w:val="none" w:sz="0" w:space="0" w:color="auto"/>
          </w:divBdr>
          <w:divsChild>
            <w:div w:id="582379874">
              <w:marLeft w:val="0"/>
              <w:marRight w:val="0"/>
              <w:marTop w:val="0"/>
              <w:marBottom w:val="0"/>
              <w:divBdr>
                <w:top w:val="none" w:sz="0" w:space="0" w:color="auto"/>
                <w:left w:val="none" w:sz="0" w:space="0" w:color="auto"/>
                <w:bottom w:val="none" w:sz="0" w:space="0" w:color="auto"/>
                <w:right w:val="none" w:sz="0" w:space="0" w:color="auto"/>
              </w:divBdr>
              <w:divsChild>
                <w:div w:id="7456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37920">
      <w:bodyDiv w:val="1"/>
      <w:marLeft w:val="0"/>
      <w:marRight w:val="0"/>
      <w:marTop w:val="0"/>
      <w:marBottom w:val="0"/>
      <w:divBdr>
        <w:top w:val="none" w:sz="0" w:space="0" w:color="auto"/>
        <w:left w:val="none" w:sz="0" w:space="0" w:color="auto"/>
        <w:bottom w:val="none" w:sz="0" w:space="0" w:color="auto"/>
        <w:right w:val="none" w:sz="0" w:space="0" w:color="auto"/>
      </w:divBdr>
      <w:divsChild>
        <w:div w:id="111171286">
          <w:marLeft w:val="0"/>
          <w:marRight w:val="0"/>
          <w:marTop w:val="0"/>
          <w:marBottom w:val="0"/>
          <w:divBdr>
            <w:top w:val="none" w:sz="0" w:space="0" w:color="auto"/>
            <w:left w:val="none" w:sz="0" w:space="0" w:color="auto"/>
            <w:bottom w:val="none" w:sz="0" w:space="0" w:color="auto"/>
            <w:right w:val="none" w:sz="0" w:space="0" w:color="auto"/>
          </w:divBdr>
          <w:divsChild>
            <w:div w:id="1693140910">
              <w:marLeft w:val="0"/>
              <w:marRight w:val="0"/>
              <w:marTop w:val="0"/>
              <w:marBottom w:val="0"/>
              <w:divBdr>
                <w:top w:val="none" w:sz="0" w:space="0" w:color="auto"/>
                <w:left w:val="none" w:sz="0" w:space="0" w:color="auto"/>
                <w:bottom w:val="none" w:sz="0" w:space="0" w:color="auto"/>
                <w:right w:val="none" w:sz="0" w:space="0" w:color="auto"/>
              </w:divBdr>
            </w:div>
          </w:divsChild>
        </w:div>
        <w:div w:id="1965426673">
          <w:marLeft w:val="0"/>
          <w:marRight w:val="0"/>
          <w:marTop w:val="0"/>
          <w:marBottom w:val="0"/>
          <w:divBdr>
            <w:top w:val="none" w:sz="0" w:space="0" w:color="auto"/>
            <w:left w:val="none" w:sz="0" w:space="0" w:color="auto"/>
            <w:bottom w:val="none" w:sz="0" w:space="0" w:color="auto"/>
            <w:right w:val="none" w:sz="0" w:space="0" w:color="auto"/>
          </w:divBdr>
          <w:divsChild>
            <w:div w:id="16940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7982">
      <w:bodyDiv w:val="1"/>
      <w:marLeft w:val="0"/>
      <w:marRight w:val="0"/>
      <w:marTop w:val="0"/>
      <w:marBottom w:val="0"/>
      <w:divBdr>
        <w:top w:val="none" w:sz="0" w:space="0" w:color="auto"/>
        <w:left w:val="none" w:sz="0" w:space="0" w:color="auto"/>
        <w:bottom w:val="none" w:sz="0" w:space="0" w:color="auto"/>
        <w:right w:val="none" w:sz="0" w:space="0" w:color="auto"/>
      </w:divBdr>
    </w:div>
    <w:div w:id="1172574077">
      <w:bodyDiv w:val="1"/>
      <w:marLeft w:val="0"/>
      <w:marRight w:val="0"/>
      <w:marTop w:val="0"/>
      <w:marBottom w:val="0"/>
      <w:divBdr>
        <w:top w:val="none" w:sz="0" w:space="0" w:color="auto"/>
        <w:left w:val="none" w:sz="0" w:space="0" w:color="auto"/>
        <w:bottom w:val="none" w:sz="0" w:space="0" w:color="auto"/>
        <w:right w:val="none" w:sz="0" w:space="0" w:color="auto"/>
      </w:divBdr>
      <w:divsChild>
        <w:div w:id="186068512">
          <w:marLeft w:val="0"/>
          <w:marRight w:val="0"/>
          <w:marTop w:val="240"/>
          <w:marBottom w:val="0"/>
          <w:divBdr>
            <w:top w:val="none" w:sz="0" w:space="0" w:color="auto"/>
            <w:left w:val="none" w:sz="0" w:space="0" w:color="auto"/>
            <w:bottom w:val="none" w:sz="0" w:space="0" w:color="auto"/>
            <w:right w:val="none" w:sz="0" w:space="0" w:color="auto"/>
          </w:divBdr>
          <w:divsChild>
            <w:div w:id="724529797">
              <w:marLeft w:val="0"/>
              <w:marRight w:val="0"/>
              <w:marTop w:val="0"/>
              <w:marBottom w:val="0"/>
              <w:divBdr>
                <w:top w:val="none" w:sz="0" w:space="0" w:color="auto"/>
                <w:left w:val="none" w:sz="0" w:space="0" w:color="auto"/>
                <w:bottom w:val="none" w:sz="0" w:space="0" w:color="auto"/>
                <w:right w:val="none" w:sz="0" w:space="0" w:color="auto"/>
              </w:divBdr>
            </w:div>
          </w:divsChild>
        </w:div>
        <w:div w:id="2003509260">
          <w:marLeft w:val="0"/>
          <w:marRight w:val="0"/>
          <w:marTop w:val="240"/>
          <w:marBottom w:val="0"/>
          <w:divBdr>
            <w:top w:val="none" w:sz="0" w:space="0" w:color="auto"/>
            <w:left w:val="none" w:sz="0" w:space="0" w:color="auto"/>
            <w:bottom w:val="none" w:sz="0" w:space="0" w:color="auto"/>
            <w:right w:val="none" w:sz="0" w:space="0" w:color="auto"/>
          </w:divBdr>
          <w:divsChild>
            <w:div w:id="79913143">
              <w:marLeft w:val="0"/>
              <w:marRight w:val="0"/>
              <w:marTop w:val="0"/>
              <w:marBottom w:val="0"/>
              <w:divBdr>
                <w:top w:val="none" w:sz="0" w:space="0" w:color="auto"/>
                <w:left w:val="none" w:sz="0" w:space="0" w:color="auto"/>
                <w:bottom w:val="none" w:sz="0" w:space="0" w:color="auto"/>
                <w:right w:val="none" w:sz="0" w:space="0" w:color="auto"/>
              </w:divBdr>
            </w:div>
          </w:divsChild>
        </w:div>
        <w:div w:id="1281719493">
          <w:marLeft w:val="0"/>
          <w:marRight w:val="0"/>
          <w:marTop w:val="240"/>
          <w:marBottom w:val="0"/>
          <w:divBdr>
            <w:top w:val="none" w:sz="0" w:space="0" w:color="auto"/>
            <w:left w:val="none" w:sz="0" w:space="0" w:color="auto"/>
            <w:bottom w:val="none" w:sz="0" w:space="0" w:color="auto"/>
            <w:right w:val="none" w:sz="0" w:space="0" w:color="auto"/>
          </w:divBdr>
          <w:divsChild>
            <w:div w:id="2433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5630">
      <w:bodyDiv w:val="1"/>
      <w:marLeft w:val="0"/>
      <w:marRight w:val="0"/>
      <w:marTop w:val="0"/>
      <w:marBottom w:val="0"/>
      <w:divBdr>
        <w:top w:val="none" w:sz="0" w:space="0" w:color="auto"/>
        <w:left w:val="none" w:sz="0" w:space="0" w:color="auto"/>
        <w:bottom w:val="none" w:sz="0" w:space="0" w:color="auto"/>
        <w:right w:val="none" w:sz="0" w:space="0" w:color="auto"/>
      </w:divBdr>
      <w:divsChild>
        <w:div w:id="155651421">
          <w:marLeft w:val="1275"/>
          <w:marRight w:val="0"/>
          <w:marTop w:val="0"/>
          <w:marBottom w:val="0"/>
          <w:divBdr>
            <w:top w:val="none" w:sz="0" w:space="0" w:color="auto"/>
            <w:left w:val="none" w:sz="0" w:space="0" w:color="auto"/>
            <w:bottom w:val="none" w:sz="0" w:space="0" w:color="auto"/>
            <w:right w:val="none" w:sz="0" w:space="0" w:color="auto"/>
          </w:divBdr>
          <w:divsChild>
            <w:div w:id="848639627">
              <w:marLeft w:val="0"/>
              <w:marRight w:val="0"/>
              <w:marTop w:val="0"/>
              <w:marBottom w:val="0"/>
              <w:divBdr>
                <w:top w:val="none" w:sz="0" w:space="0" w:color="auto"/>
                <w:left w:val="none" w:sz="0" w:space="0" w:color="auto"/>
                <w:bottom w:val="none" w:sz="0" w:space="0" w:color="auto"/>
                <w:right w:val="none" w:sz="0" w:space="0" w:color="auto"/>
              </w:divBdr>
              <w:divsChild>
                <w:div w:id="17238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1837">
          <w:marLeft w:val="1275"/>
          <w:marRight w:val="0"/>
          <w:marTop w:val="0"/>
          <w:marBottom w:val="0"/>
          <w:divBdr>
            <w:top w:val="none" w:sz="0" w:space="0" w:color="auto"/>
            <w:left w:val="none" w:sz="0" w:space="0" w:color="auto"/>
            <w:bottom w:val="none" w:sz="0" w:space="0" w:color="auto"/>
            <w:right w:val="none" w:sz="0" w:space="0" w:color="auto"/>
          </w:divBdr>
          <w:divsChild>
            <w:div w:id="390273911">
              <w:marLeft w:val="0"/>
              <w:marRight w:val="0"/>
              <w:marTop w:val="0"/>
              <w:marBottom w:val="0"/>
              <w:divBdr>
                <w:top w:val="none" w:sz="0" w:space="0" w:color="auto"/>
                <w:left w:val="none" w:sz="0" w:space="0" w:color="auto"/>
                <w:bottom w:val="none" w:sz="0" w:space="0" w:color="auto"/>
                <w:right w:val="none" w:sz="0" w:space="0" w:color="auto"/>
              </w:divBdr>
              <w:divsChild>
                <w:div w:id="7197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7660">
          <w:marLeft w:val="0"/>
          <w:marRight w:val="0"/>
          <w:marTop w:val="0"/>
          <w:marBottom w:val="0"/>
          <w:divBdr>
            <w:top w:val="none" w:sz="0" w:space="0" w:color="auto"/>
            <w:left w:val="none" w:sz="0" w:space="0" w:color="auto"/>
            <w:bottom w:val="none" w:sz="0" w:space="0" w:color="auto"/>
            <w:right w:val="none" w:sz="0" w:space="0" w:color="auto"/>
          </w:divBdr>
        </w:div>
        <w:div w:id="1086725471">
          <w:marLeft w:val="0"/>
          <w:marRight w:val="0"/>
          <w:marTop w:val="0"/>
          <w:marBottom w:val="0"/>
          <w:divBdr>
            <w:top w:val="none" w:sz="0" w:space="0" w:color="auto"/>
            <w:left w:val="none" w:sz="0" w:space="0" w:color="auto"/>
            <w:bottom w:val="none" w:sz="0" w:space="0" w:color="auto"/>
            <w:right w:val="none" w:sz="0" w:space="0" w:color="auto"/>
          </w:divBdr>
        </w:div>
      </w:divsChild>
    </w:div>
    <w:div w:id="1195583765">
      <w:bodyDiv w:val="1"/>
      <w:marLeft w:val="0"/>
      <w:marRight w:val="0"/>
      <w:marTop w:val="0"/>
      <w:marBottom w:val="0"/>
      <w:divBdr>
        <w:top w:val="none" w:sz="0" w:space="0" w:color="auto"/>
        <w:left w:val="none" w:sz="0" w:space="0" w:color="auto"/>
        <w:bottom w:val="none" w:sz="0" w:space="0" w:color="auto"/>
        <w:right w:val="none" w:sz="0" w:space="0" w:color="auto"/>
      </w:divBdr>
    </w:div>
    <w:div w:id="1197889383">
      <w:bodyDiv w:val="1"/>
      <w:marLeft w:val="0"/>
      <w:marRight w:val="0"/>
      <w:marTop w:val="0"/>
      <w:marBottom w:val="0"/>
      <w:divBdr>
        <w:top w:val="none" w:sz="0" w:space="0" w:color="auto"/>
        <w:left w:val="none" w:sz="0" w:space="0" w:color="auto"/>
        <w:bottom w:val="none" w:sz="0" w:space="0" w:color="auto"/>
        <w:right w:val="none" w:sz="0" w:space="0" w:color="auto"/>
      </w:divBdr>
      <w:divsChild>
        <w:div w:id="1254825130">
          <w:marLeft w:val="0"/>
          <w:marRight w:val="0"/>
          <w:marTop w:val="240"/>
          <w:marBottom w:val="0"/>
          <w:divBdr>
            <w:top w:val="none" w:sz="0" w:space="0" w:color="auto"/>
            <w:left w:val="none" w:sz="0" w:space="0" w:color="auto"/>
            <w:bottom w:val="none" w:sz="0" w:space="0" w:color="auto"/>
            <w:right w:val="none" w:sz="0" w:space="0" w:color="auto"/>
          </w:divBdr>
          <w:divsChild>
            <w:div w:id="617182895">
              <w:marLeft w:val="0"/>
              <w:marRight w:val="0"/>
              <w:marTop w:val="0"/>
              <w:marBottom w:val="0"/>
              <w:divBdr>
                <w:top w:val="none" w:sz="0" w:space="0" w:color="auto"/>
                <w:left w:val="none" w:sz="0" w:space="0" w:color="auto"/>
                <w:bottom w:val="none" w:sz="0" w:space="0" w:color="auto"/>
                <w:right w:val="none" w:sz="0" w:space="0" w:color="auto"/>
              </w:divBdr>
            </w:div>
          </w:divsChild>
        </w:div>
        <w:div w:id="1673491667">
          <w:marLeft w:val="0"/>
          <w:marRight w:val="0"/>
          <w:marTop w:val="240"/>
          <w:marBottom w:val="0"/>
          <w:divBdr>
            <w:top w:val="none" w:sz="0" w:space="0" w:color="auto"/>
            <w:left w:val="none" w:sz="0" w:space="0" w:color="auto"/>
            <w:bottom w:val="none" w:sz="0" w:space="0" w:color="auto"/>
            <w:right w:val="none" w:sz="0" w:space="0" w:color="auto"/>
          </w:divBdr>
        </w:div>
        <w:div w:id="1754549841">
          <w:marLeft w:val="0"/>
          <w:marRight w:val="0"/>
          <w:marTop w:val="0"/>
          <w:marBottom w:val="0"/>
          <w:divBdr>
            <w:top w:val="none" w:sz="0" w:space="0" w:color="auto"/>
            <w:left w:val="none" w:sz="0" w:space="0" w:color="auto"/>
            <w:bottom w:val="none" w:sz="0" w:space="0" w:color="auto"/>
            <w:right w:val="none" w:sz="0" w:space="0" w:color="auto"/>
          </w:divBdr>
        </w:div>
      </w:divsChild>
    </w:div>
    <w:div w:id="1222668619">
      <w:bodyDiv w:val="1"/>
      <w:marLeft w:val="0"/>
      <w:marRight w:val="0"/>
      <w:marTop w:val="0"/>
      <w:marBottom w:val="0"/>
      <w:divBdr>
        <w:top w:val="none" w:sz="0" w:space="0" w:color="auto"/>
        <w:left w:val="none" w:sz="0" w:space="0" w:color="auto"/>
        <w:bottom w:val="none" w:sz="0" w:space="0" w:color="auto"/>
        <w:right w:val="none" w:sz="0" w:space="0" w:color="auto"/>
      </w:divBdr>
      <w:divsChild>
        <w:div w:id="1969702076">
          <w:marLeft w:val="0"/>
          <w:marRight w:val="0"/>
          <w:marTop w:val="0"/>
          <w:marBottom w:val="0"/>
          <w:divBdr>
            <w:top w:val="none" w:sz="0" w:space="0" w:color="auto"/>
            <w:left w:val="none" w:sz="0" w:space="0" w:color="auto"/>
            <w:bottom w:val="none" w:sz="0" w:space="0" w:color="auto"/>
            <w:right w:val="none" w:sz="0" w:space="0" w:color="auto"/>
          </w:divBdr>
          <w:divsChild>
            <w:div w:id="18329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95084">
      <w:bodyDiv w:val="1"/>
      <w:marLeft w:val="0"/>
      <w:marRight w:val="0"/>
      <w:marTop w:val="0"/>
      <w:marBottom w:val="0"/>
      <w:divBdr>
        <w:top w:val="none" w:sz="0" w:space="0" w:color="auto"/>
        <w:left w:val="none" w:sz="0" w:space="0" w:color="auto"/>
        <w:bottom w:val="none" w:sz="0" w:space="0" w:color="auto"/>
        <w:right w:val="none" w:sz="0" w:space="0" w:color="auto"/>
      </w:divBdr>
      <w:divsChild>
        <w:div w:id="1460689769">
          <w:marLeft w:val="0"/>
          <w:marRight w:val="0"/>
          <w:marTop w:val="0"/>
          <w:marBottom w:val="0"/>
          <w:divBdr>
            <w:top w:val="none" w:sz="0" w:space="0" w:color="auto"/>
            <w:left w:val="none" w:sz="0" w:space="0" w:color="auto"/>
            <w:bottom w:val="none" w:sz="0" w:space="0" w:color="auto"/>
            <w:right w:val="none" w:sz="0" w:space="0" w:color="auto"/>
          </w:divBdr>
          <w:divsChild>
            <w:div w:id="297222518">
              <w:marLeft w:val="0"/>
              <w:marRight w:val="0"/>
              <w:marTop w:val="0"/>
              <w:marBottom w:val="0"/>
              <w:divBdr>
                <w:top w:val="none" w:sz="0" w:space="0" w:color="auto"/>
                <w:left w:val="none" w:sz="0" w:space="0" w:color="auto"/>
                <w:bottom w:val="none" w:sz="0" w:space="0" w:color="auto"/>
                <w:right w:val="none" w:sz="0" w:space="0" w:color="auto"/>
              </w:divBdr>
            </w:div>
          </w:divsChild>
        </w:div>
        <w:div w:id="2011980413">
          <w:marLeft w:val="0"/>
          <w:marRight w:val="0"/>
          <w:marTop w:val="0"/>
          <w:marBottom w:val="0"/>
          <w:divBdr>
            <w:top w:val="none" w:sz="0" w:space="0" w:color="auto"/>
            <w:left w:val="none" w:sz="0" w:space="0" w:color="auto"/>
            <w:bottom w:val="none" w:sz="0" w:space="0" w:color="auto"/>
            <w:right w:val="none" w:sz="0" w:space="0" w:color="auto"/>
          </w:divBdr>
          <w:divsChild>
            <w:div w:id="1758820780">
              <w:marLeft w:val="0"/>
              <w:marRight w:val="0"/>
              <w:marTop w:val="0"/>
              <w:marBottom w:val="0"/>
              <w:divBdr>
                <w:top w:val="none" w:sz="0" w:space="0" w:color="auto"/>
                <w:left w:val="none" w:sz="0" w:space="0" w:color="auto"/>
                <w:bottom w:val="none" w:sz="0" w:space="0" w:color="auto"/>
                <w:right w:val="none" w:sz="0" w:space="0" w:color="auto"/>
              </w:divBdr>
            </w:div>
          </w:divsChild>
        </w:div>
        <w:div w:id="1939557903">
          <w:marLeft w:val="0"/>
          <w:marRight w:val="0"/>
          <w:marTop w:val="0"/>
          <w:marBottom w:val="0"/>
          <w:divBdr>
            <w:top w:val="none" w:sz="0" w:space="0" w:color="auto"/>
            <w:left w:val="none" w:sz="0" w:space="0" w:color="auto"/>
            <w:bottom w:val="none" w:sz="0" w:space="0" w:color="auto"/>
            <w:right w:val="none" w:sz="0" w:space="0" w:color="auto"/>
          </w:divBdr>
          <w:divsChild>
            <w:div w:id="16005614">
              <w:marLeft w:val="0"/>
              <w:marRight w:val="0"/>
              <w:marTop w:val="0"/>
              <w:marBottom w:val="0"/>
              <w:divBdr>
                <w:top w:val="none" w:sz="0" w:space="0" w:color="auto"/>
                <w:left w:val="none" w:sz="0" w:space="0" w:color="auto"/>
                <w:bottom w:val="none" w:sz="0" w:space="0" w:color="auto"/>
                <w:right w:val="none" w:sz="0" w:space="0" w:color="auto"/>
              </w:divBdr>
            </w:div>
          </w:divsChild>
        </w:div>
        <w:div w:id="1856385089">
          <w:marLeft w:val="0"/>
          <w:marRight w:val="0"/>
          <w:marTop w:val="0"/>
          <w:marBottom w:val="0"/>
          <w:divBdr>
            <w:top w:val="none" w:sz="0" w:space="0" w:color="auto"/>
            <w:left w:val="none" w:sz="0" w:space="0" w:color="auto"/>
            <w:bottom w:val="none" w:sz="0" w:space="0" w:color="auto"/>
            <w:right w:val="none" w:sz="0" w:space="0" w:color="auto"/>
          </w:divBdr>
          <w:divsChild>
            <w:div w:id="6408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285">
      <w:bodyDiv w:val="1"/>
      <w:marLeft w:val="0"/>
      <w:marRight w:val="0"/>
      <w:marTop w:val="0"/>
      <w:marBottom w:val="0"/>
      <w:divBdr>
        <w:top w:val="none" w:sz="0" w:space="0" w:color="auto"/>
        <w:left w:val="none" w:sz="0" w:space="0" w:color="auto"/>
        <w:bottom w:val="none" w:sz="0" w:space="0" w:color="auto"/>
        <w:right w:val="none" w:sz="0" w:space="0" w:color="auto"/>
      </w:divBdr>
      <w:divsChild>
        <w:div w:id="258762658">
          <w:marLeft w:val="0"/>
          <w:marRight w:val="0"/>
          <w:marTop w:val="240"/>
          <w:marBottom w:val="0"/>
          <w:divBdr>
            <w:top w:val="none" w:sz="0" w:space="0" w:color="auto"/>
            <w:left w:val="none" w:sz="0" w:space="0" w:color="auto"/>
            <w:bottom w:val="none" w:sz="0" w:space="0" w:color="auto"/>
            <w:right w:val="none" w:sz="0" w:space="0" w:color="auto"/>
          </w:divBdr>
          <w:divsChild>
            <w:div w:id="761485542">
              <w:marLeft w:val="0"/>
              <w:marRight w:val="0"/>
              <w:marTop w:val="0"/>
              <w:marBottom w:val="0"/>
              <w:divBdr>
                <w:top w:val="none" w:sz="0" w:space="0" w:color="auto"/>
                <w:left w:val="none" w:sz="0" w:space="0" w:color="auto"/>
                <w:bottom w:val="none" w:sz="0" w:space="0" w:color="auto"/>
                <w:right w:val="none" w:sz="0" w:space="0" w:color="auto"/>
              </w:divBdr>
            </w:div>
          </w:divsChild>
        </w:div>
        <w:div w:id="1188371095">
          <w:marLeft w:val="0"/>
          <w:marRight w:val="0"/>
          <w:marTop w:val="240"/>
          <w:marBottom w:val="0"/>
          <w:divBdr>
            <w:top w:val="none" w:sz="0" w:space="0" w:color="auto"/>
            <w:left w:val="none" w:sz="0" w:space="0" w:color="auto"/>
            <w:bottom w:val="none" w:sz="0" w:space="0" w:color="auto"/>
            <w:right w:val="none" w:sz="0" w:space="0" w:color="auto"/>
          </w:divBdr>
          <w:divsChild>
            <w:div w:id="1749574708">
              <w:marLeft w:val="0"/>
              <w:marRight w:val="0"/>
              <w:marTop w:val="0"/>
              <w:marBottom w:val="0"/>
              <w:divBdr>
                <w:top w:val="none" w:sz="0" w:space="0" w:color="auto"/>
                <w:left w:val="none" w:sz="0" w:space="0" w:color="auto"/>
                <w:bottom w:val="none" w:sz="0" w:space="0" w:color="auto"/>
                <w:right w:val="none" w:sz="0" w:space="0" w:color="auto"/>
              </w:divBdr>
            </w:div>
          </w:divsChild>
        </w:div>
        <w:div w:id="1656257941">
          <w:marLeft w:val="0"/>
          <w:marRight w:val="0"/>
          <w:marTop w:val="240"/>
          <w:marBottom w:val="0"/>
          <w:divBdr>
            <w:top w:val="none" w:sz="0" w:space="0" w:color="auto"/>
            <w:left w:val="none" w:sz="0" w:space="0" w:color="auto"/>
            <w:bottom w:val="none" w:sz="0" w:space="0" w:color="auto"/>
            <w:right w:val="none" w:sz="0" w:space="0" w:color="auto"/>
          </w:divBdr>
          <w:divsChild>
            <w:div w:id="20187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69073">
      <w:bodyDiv w:val="1"/>
      <w:marLeft w:val="0"/>
      <w:marRight w:val="0"/>
      <w:marTop w:val="0"/>
      <w:marBottom w:val="0"/>
      <w:divBdr>
        <w:top w:val="none" w:sz="0" w:space="0" w:color="auto"/>
        <w:left w:val="none" w:sz="0" w:space="0" w:color="auto"/>
        <w:bottom w:val="none" w:sz="0" w:space="0" w:color="auto"/>
        <w:right w:val="none" w:sz="0" w:space="0" w:color="auto"/>
      </w:divBdr>
      <w:divsChild>
        <w:div w:id="685256336">
          <w:marLeft w:val="0"/>
          <w:marRight w:val="0"/>
          <w:marTop w:val="240"/>
          <w:marBottom w:val="0"/>
          <w:divBdr>
            <w:top w:val="none" w:sz="0" w:space="0" w:color="auto"/>
            <w:left w:val="none" w:sz="0" w:space="0" w:color="auto"/>
            <w:bottom w:val="none" w:sz="0" w:space="0" w:color="auto"/>
            <w:right w:val="none" w:sz="0" w:space="0" w:color="auto"/>
          </w:divBdr>
          <w:divsChild>
            <w:div w:id="26611167">
              <w:marLeft w:val="0"/>
              <w:marRight w:val="0"/>
              <w:marTop w:val="0"/>
              <w:marBottom w:val="0"/>
              <w:divBdr>
                <w:top w:val="none" w:sz="0" w:space="0" w:color="auto"/>
                <w:left w:val="none" w:sz="0" w:space="0" w:color="auto"/>
                <w:bottom w:val="none" w:sz="0" w:space="0" w:color="auto"/>
                <w:right w:val="none" w:sz="0" w:space="0" w:color="auto"/>
              </w:divBdr>
            </w:div>
          </w:divsChild>
        </w:div>
        <w:div w:id="864367965">
          <w:marLeft w:val="0"/>
          <w:marRight w:val="0"/>
          <w:marTop w:val="240"/>
          <w:marBottom w:val="0"/>
          <w:divBdr>
            <w:top w:val="none" w:sz="0" w:space="0" w:color="auto"/>
            <w:left w:val="none" w:sz="0" w:space="0" w:color="auto"/>
            <w:bottom w:val="none" w:sz="0" w:space="0" w:color="auto"/>
            <w:right w:val="none" w:sz="0" w:space="0" w:color="auto"/>
          </w:divBdr>
          <w:divsChild>
            <w:div w:id="1599289643">
              <w:marLeft w:val="0"/>
              <w:marRight w:val="0"/>
              <w:marTop w:val="0"/>
              <w:marBottom w:val="0"/>
              <w:divBdr>
                <w:top w:val="none" w:sz="0" w:space="0" w:color="auto"/>
                <w:left w:val="none" w:sz="0" w:space="0" w:color="auto"/>
                <w:bottom w:val="none" w:sz="0" w:space="0" w:color="auto"/>
                <w:right w:val="none" w:sz="0" w:space="0" w:color="auto"/>
              </w:divBdr>
            </w:div>
          </w:divsChild>
        </w:div>
        <w:div w:id="1303536352">
          <w:marLeft w:val="0"/>
          <w:marRight w:val="0"/>
          <w:marTop w:val="240"/>
          <w:marBottom w:val="0"/>
          <w:divBdr>
            <w:top w:val="none" w:sz="0" w:space="0" w:color="auto"/>
            <w:left w:val="none" w:sz="0" w:space="0" w:color="auto"/>
            <w:bottom w:val="none" w:sz="0" w:space="0" w:color="auto"/>
            <w:right w:val="none" w:sz="0" w:space="0" w:color="auto"/>
          </w:divBdr>
          <w:divsChild>
            <w:div w:id="1017732284">
              <w:marLeft w:val="0"/>
              <w:marRight w:val="0"/>
              <w:marTop w:val="0"/>
              <w:marBottom w:val="0"/>
              <w:divBdr>
                <w:top w:val="none" w:sz="0" w:space="0" w:color="auto"/>
                <w:left w:val="none" w:sz="0" w:space="0" w:color="auto"/>
                <w:bottom w:val="none" w:sz="0" w:space="0" w:color="auto"/>
                <w:right w:val="none" w:sz="0" w:space="0" w:color="auto"/>
              </w:divBdr>
            </w:div>
          </w:divsChild>
        </w:div>
        <w:div w:id="1479300128">
          <w:marLeft w:val="0"/>
          <w:marRight w:val="0"/>
          <w:marTop w:val="240"/>
          <w:marBottom w:val="0"/>
          <w:divBdr>
            <w:top w:val="none" w:sz="0" w:space="0" w:color="auto"/>
            <w:left w:val="none" w:sz="0" w:space="0" w:color="auto"/>
            <w:bottom w:val="none" w:sz="0" w:space="0" w:color="auto"/>
            <w:right w:val="none" w:sz="0" w:space="0" w:color="auto"/>
          </w:divBdr>
          <w:divsChild>
            <w:div w:id="13521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4836">
      <w:bodyDiv w:val="1"/>
      <w:marLeft w:val="0"/>
      <w:marRight w:val="0"/>
      <w:marTop w:val="0"/>
      <w:marBottom w:val="0"/>
      <w:divBdr>
        <w:top w:val="none" w:sz="0" w:space="0" w:color="auto"/>
        <w:left w:val="none" w:sz="0" w:space="0" w:color="auto"/>
        <w:bottom w:val="none" w:sz="0" w:space="0" w:color="auto"/>
        <w:right w:val="none" w:sz="0" w:space="0" w:color="auto"/>
      </w:divBdr>
      <w:divsChild>
        <w:div w:id="586036036">
          <w:marLeft w:val="0"/>
          <w:marRight w:val="0"/>
          <w:marTop w:val="240"/>
          <w:marBottom w:val="0"/>
          <w:divBdr>
            <w:top w:val="none" w:sz="0" w:space="0" w:color="auto"/>
            <w:left w:val="none" w:sz="0" w:space="0" w:color="auto"/>
            <w:bottom w:val="none" w:sz="0" w:space="0" w:color="auto"/>
            <w:right w:val="none" w:sz="0" w:space="0" w:color="auto"/>
          </w:divBdr>
          <w:divsChild>
            <w:div w:id="1521163260">
              <w:marLeft w:val="0"/>
              <w:marRight w:val="0"/>
              <w:marTop w:val="0"/>
              <w:marBottom w:val="0"/>
              <w:divBdr>
                <w:top w:val="none" w:sz="0" w:space="0" w:color="auto"/>
                <w:left w:val="none" w:sz="0" w:space="0" w:color="auto"/>
                <w:bottom w:val="none" w:sz="0" w:space="0" w:color="auto"/>
                <w:right w:val="none" w:sz="0" w:space="0" w:color="auto"/>
              </w:divBdr>
            </w:div>
          </w:divsChild>
        </w:div>
        <w:div w:id="918562654">
          <w:marLeft w:val="0"/>
          <w:marRight w:val="0"/>
          <w:marTop w:val="240"/>
          <w:marBottom w:val="0"/>
          <w:divBdr>
            <w:top w:val="none" w:sz="0" w:space="0" w:color="auto"/>
            <w:left w:val="none" w:sz="0" w:space="0" w:color="auto"/>
            <w:bottom w:val="none" w:sz="0" w:space="0" w:color="auto"/>
            <w:right w:val="none" w:sz="0" w:space="0" w:color="auto"/>
          </w:divBdr>
          <w:divsChild>
            <w:div w:id="17419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6822">
      <w:bodyDiv w:val="1"/>
      <w:marLeft w:val="0"/>
      <w:marRight w:val="0"/>
      <w:marTop w:val="0"/>
      <w:marBottom w:val="0"/>
      <w:divBdr>
        <w:top w:val="none" w:sz="0" w:space="0" w:color="auto"/>
        <w:left w:val="none" w:sz="0" w:space="0" w:color="auto"/>
        <w:bottom w:val="none" w:sz="0" w:space="0" w:color="auto"/>
        <w:right w:val="none" w:sz="0" w:space="0" w:color="auto"/>
      </w:divBdr>
      <w:divsChild>
        <w:div w:id="339041525">
          <w:marLeft w:val="0"/>
          <w:marRight w:val="0"/>
          <w:marTop w:val="240"/>
          <w:marBottom w:val="0"/>
          <w:divBdr>
            <w:top w:val="none" w:sz="0" w:space="0" w:color="auto"/>
            <w:left w:val="none" w:sz="0" w:space="0" w:color="auto"/>
            <w:bottom w:val="none" w:sz="0" w:space="0" w:color="auto"/>
            <w:right w:val="none" w:sz="0" w:space="0" w:color="auto"/>
          </w:divBdr>
          <w:divsChild>
            <w:div w:id="368338808">
              <w:marLeft w:val="0"/>
              <w:marRight w:val="0"/>
              <w:marTop w:val="0"/>
              <w:marBottom w:val="0"/>
              <w:divBdr>
                <w:top w:val="none" w:sz="0" w:space="0" w:color="auto"/>
                <w:left w:val="none" w:sz="0" w:space="0" w:color="auto"/>
                <w:bottom w:val="none" w:sz="0" w:space="0" w:color="auto"/>
                <w:right w:val="none" w:sz="0" w:space="0" w:color="auto"/>
              </w:divBdr>
              <w:divsChild>
                <w:div w:id="5850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756">
          <w:marLeft w:val="0"/>
          <w:marRight w:val="0"/>
          <w:marTop w:val="240"/>
          <w:marBottom w:val="0"/>
          <w:divBdr>
            <w:top w:val="none" w:sz="0" w:space="0" w:color="auto"/>
            <w:left w:val="none" w:sz="0" w:space="0" w:color="auto"/>
            <w:bottom w:val="none" w:sz="0" w:space="0" w:color="auto"/>
            <w:right w:val="none" w:sz="0" w:space="0" w:color="auto"/>
          </w:divBdr>
          <w:divsChild>
            <w:div w:id="1791822643">
              <w:marLeft w:val="0"/>
              <w:marRight w:val="0"/>
              <w:marTop w:val="0"/>
              <w:marBottom w:val="0"/>
              <w:divBdr>
                <w:top w:val="none" w:sz="0" w:space="0" w:color="auto"/>
                <w:left w:val="none" w:sz="0" w:space="0" w:color="auto"/>
                <w:bottom w:val="none" w:sz="0" w:space="0" w:color="auto"/>
                <w:right w:val="none" w:sz="0" w:space="0" w:color="auto"/>
              </w:divBdr>
              <w:divsChild>
                <w:div w:id="6985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9590">
          <w:marLeft w:val="0"/>
          <w:marRight w:val="0"/>
          <w:marTop w:val="240"/>
          <w:marBottom w:val="0"/>
          <w:divBdr>
            <w:top w:val="none" w:sz="0" w:space="0" w:color="auto"/>
            <w:left w:val="none" w:sz="0" w:space="0" w:color="auto"/>
            <w:bottom w:val="none" w:sz="0" w:space="0" w:color="auto"/>
            <w:right w:val="none" w:sz="0" w:space="0" w:color="auto"/>
          </w:divBdr>
          <w:divsChild>
            <w:div w:id="633870473">
              <w:marLeft w:val="0"/>
              <w:marRight w:val="0"/>
              <w:marTop w:val="0"/>
              <w:marBottom w:val="0"/>
              <w:divBdr>
                <w:top w:val="none" w:sz="0" w:space="0" w:color="auto"/>
                <w:left w:val="none" w:sz="0" w:space="0" w:color="auto"/>
                <w:bottom w:val="none" w:sz="0" w:space="0" w:color="auto"/>
                <w:right w:val="none" w:sz="0" w:space="0" w:color="auto"/>
              </w:divBdr>
              <w:divsChild>
                <w:div w:id="10339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2436">
      <w:bodyDiv w:val="1"/>
      <w:marLeft w:val="0"/>
      <w:marRight w:val="0"/>
      <w:marTop w:val="0"/>
      <w:marBottom w:val="0"/>
      <w:divBdr>
        <w:top w:val="none" w:sz="0" w:space="0" w:color="auto"/>
        <w:left w:val="none" w:sz="0" w:space="0" w:color="auto"/>
        <w:bottom w:val="none" w:sz="0" w:space="0" w:color="auto"/>
        <w:right w:val="none" w:sz="0" w:space="0" w:color="auto"/>
      </w:divBdr>
    </w:div>
    <w:div w:id="1315766530">
      <w:bodyDiv w:val="1"/>
      <w:marLeft w:val="0"/>
      <w:marRight w:val="0"/>
      <w:marTop w:val="0"/>
      <w:marBottom w:val="0"/>
      <w:divBdr>
        <w:top w:val="none" w:sz="0" w:space="0" w:color="auto"/>
        <w:left w:val="none" w:sz="0" w:space="0" w:color="auto"/>
        <w:bottom w:val="none" w:sz="0" w:space="0" w:color="auto"/>
        <w:right w:val="none" w:sz="0" w:space="0" w:color="auto"/>
      </w:divBdr>
    </w:div>
    <w:div w:id="1318997783">
      <w:bodyDiv w:val="1"/>
      <w:marLeft w:val="0"/>
      <w:marRight w:val="0"/>
      <w:marTop w:val="0"/>
      <w:marBottom w:val="0"/>
      <w:divBdr>
        <w:top w:val="none" w:sz="0" w:space="0" w:color="auto"/>
        <w:left w:val="none" w:sz="0" w:space="0" w:color="auto"/>
        <w:bottom w:val="none" w:sz="0" w:space="0" w:color="auto"/>
        <w:right w:val="none" w:sz="0" w:space="0" w:color="auto"/>
      </w:divBdr>
      <w:divsChild>
        <w:div w:id="1956133085">
          <w:marLeft w:val="0"/>
          <w:marRight w:val="0"/>
          <w:marTop w:val="0"/>
          <w:marBottom w:val="0"/>
          <w:divBdr>
            <w:top w:val="none" w:sz="0" w:space="0" w:color="auto"/>
            <w:left w:val="none" w:sz="0" w:space="0" w:color="auto"/>
            <w:bottom w:val="none" w:sz="0" w:space="0" w:color="auto"/>
            <w:right w:val="none" w:sz="0" w:space="0" w:color="auto"/>
          </w:divBdr>
          <w:divsChild>
            <w:div w:id="1615356464">
              <w:marLeft w:val="0"/>
              <w:marRight w:val="0"/>
              <w:marTop w:val="0"/>
              <w:marBottom w:val="0"/>
              <w:divBdr>
                <w:top w:val="none" w:sz="0" w:space="0" w:color="auto"/>
                <w:left w:val="none" w:sz="0" w:space="0" w:color="auto"/>
                <w:bottom w:val="none" w:sz="0" w:space="0" w:color="auto"/>
                <w:right w:val="none" w:sz="0" w:space="0" w:color="auto"/>
              </w:divBdr>
            </w:div>
          </w:divsChild>
        </w:div>
        <w:div w:id="1967154296">
          <w:marLeft w:val="0"/>
          <w:marRight w:val="0"/>
          <w:marTop w:val="0"/>
          <w:marBottom w:val="0"/>
          <w:divBdr>
            <w:top w:val="none" w:sz="0" w:space="0" w:color="auto"/>
            <w:left w:val="none" w:sz="0" w:space="0" w:color="auto"/>
            <w:bottom w:val="none" w:sz="0" w:space="0" w:color="auto"/>
            <w:right w:val="none" w:sz="0" w:space="0" w:color="auto"/>
          </w:divBdr>
          <w:divsChild>
            <w:div w:id="221646949">
              <w:marLeft w:val="0"/>
              <w:marRight w:val="0"/>
              <w:marTop w:val="0"/>
              <w:marBottom w:val="0"/>
              <w:divBdr>
                <w:top w:val="none" w:sz="0" w:space="0" w:color="auto"/>
                <w:left w:val="none" w:sz="0" w:space="0" w:color="auto"/>
                <w:bottom w:val="none" w:sz="0" w:space="0" w:color="auto"/>
                <w:right w:val="none" w:sz="0" w:space="0" w:color="auto"/>
              </w:divBdr>
            </w:div>
          </w:divsChild>
        </w:div>
        <w:div w:id="1538539709">
          <w:marLeft w:val="0"/>
          <w:marRight w:val="0"/>
          <w:marTop w:val="0"/>
          <w:marBottom w:val="0"/>
          <w:divBdr>
            <w:top w:val="none" w:sz="0" w:space="0" w:color="auto"/>
            <w:left w:val="none" w:sz="0" w:space="0" w:color="auto"/>
            <w:bottom w:val="none" w:sz="0" w:space="0" w:color="auto"/>
            <w:right w:val="none" w:sz="0" w:space="0" w:color="auto"/>
          </w:divBdr>
          <w:divsChild>
            <w:div w:id="1719275760">
              <w:marLeft w:val="0"/>
              <w:marRight w:val="0"/>
              <w:marTop w:val="0"/>
              <w:marBottom w:val="0"/>
              <w:divBdr>
                <w:top w:val="none" w:sz="0" w:space="0" w:color="auto"/>
                <w:left w:val="none" w:sz="0" w:space="0" w:color="auto"/>
                <w:bottom w:val="none" w:sz="0" w:space="0" w:color="auto"/>
                <w:right w:val="none" w:sz="0" w:space="0" w:color="auto"/>
              </w:divBdr>
            </w:div>
          </w:divsChild>
        </w:div>
        <w:div w:id="1581987640">
          <w:marLeft w:val="0"/>
          <w:marRight w:val="0"/>
          <w:marTop w:val="0"/>
          <w:marBottom w:val="0"/>
          <w:divBdr>
            <w:top w:val="none" w:sz="0" w:space="0" w:color="auto"/>
            <w:left w:val="none" w:sz="0" w:space="0" w:color="auto"/>
            <w:bottom w:val="none" w:sz="0" w:space="0" w:color="auto"/>
            <w:right w:val="none" w:sz="0" w:space="0" w:color="auto"/>
          </w:divBdr>
          <w:divsChild>
            <w:div w:id="531961563">
              <w:marLeft w:val="0"/>
              <w:marRight w:val="0"/>
              <w:marTop w:val="0"/>
              <w:marBottom w:val="0"/>
              <w:divBdr>
                <w:top w:val="none" w:sz="0" w:space="0" w:color="auto"/>
                <w:left w:val="none" w:sz="0" w:space="0" w:color="auto"/>
                <w:bottom w:val="none" w:sz="0" w:space="0" w:color="auto"/>
                <w:right w:val="none" w:sz="0" w:space="0" w:color="auto"/>
              </w:divBdr>
            </w:div>
          </w:divsChild>
        </w:div>
        <w:div w:id="1110507832">
          <w:marLeft w:val="0"/>
          <w:marRight w:val="0"/>
          <w:marTop w:val="0"/>
          <w:marBottom w:val="0"/>
          <w:divBdr>
            <w:top w:val="none" w:sz="0" w:space="0" w:color="auto"/>
            <w:left w:val="none" w:sz="0" w:space="0" w:color="auto"/>
            <w:bottom w:val="none" w:sz="0" w:space="0" w:color="auto"/>
            <w:right w:val="none" w:sz="0" w:space="0" w:color="auto"/>
          </w:divBdr>
          <w:divsChild>
            <w:div w:id="1409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2602">
      <w:bodyDiv w:val="1"/>
      <w:marLeft w:val="0"/>
      <w:marRight w:val="0"/>
      <w:marTop w:val="0"/>
      <w:marBottom w:val="0"/>
      <w:divBdr>
        <w:top w:val="none" w:sz="0" w:space="0" w:color="auto"/>
        <w:left w:val="none" w:sz="0" w:space="0" w:color="auto"/>
        <w:bottom w:val="none" w:sz="0" w:space="0" w:color="auto"/>
        <w:right w:val="none" w:sz="0" w:space="0" w:color="auto"/>
      </w:divBdr>
      <w:divsChild>
        <w:div w:id="1755742128">
          <w:marLeft w:val="0"/>
          <w:marRight w:val="0"/>
          <w:marTop w:val="0"/>
          <w:marBottom w:val="0"/>
          <w:divBdr>
            <w:top w:val="none" w:sz="0" w:space="0" w:color="auto"/>
            <w:left w:val="none" w:sz="0" w:space="0" w:color="auto"/>
            <w:bottom w:val="none" w:sz="0" w:space="0" w:color="auto"/>
            <w:right w:val="none" w:sz="0" w:space="0" w:color="auto"/>
          </w:divBdr>
          <w:divsChild>
            <w:div w:id="982386251">
              <w:marLeft w:val="0"/>
              <w:marRight w:val="0"/>
              <w:marTop w:val="0"/>
              <w:marBottom w:val="0"/>
              <w:divBdr>
                <w:top w:val="none" w:sz="0" w:space="0" w:color="auto"/>
                <w:left w:val="none" w:sz="0" w:space="0" w:color="auto"/>
                <w:bottom w:val="none" w:sz="0" w:space="0" w:color="auto"/>
                <w:right w:val="none" w:sz="0" w:space="0" w:color="auto"/>
              </w:divBdr>
            </w:div>
          </w:divsChild>
        </w:div>
        <w:div w:id="509292766">
          <w:marLeft w:val="0"/>
          <w:marRight w:val="0"/>
          <w:marTop w:val="0"/>
          <w:marBottom w:val="0"/>
          <w:divBdr>
            <w:top w:val="none" w:sz="0" w:space="0" w:color="auto"/>
            <w:left w:val="none" w:sz="0" w:space="0" w:color="auto"/>
            <w:bottom w:val="none" w:sz="0" w:space="0" w:color="auto"/>
            <w:right w:val="none" w:sz="0" w:space="0" w:color="auto"/>
          </w:divBdr>
          <w:divsChild>
            <w:div w:id="1764567944">
              <w:marLeft w:val="0"/>
              <w:marRight w:val="0"/>
              <w:marTop w:val="0"/>
              <w:marBottom w:val="0"/>
              <w:divBdr>
                <w:top w:val="none" w:sz="0" w:space="0" w:color="auto"/>
                <w:left w:val="none" w:sz="0" w:space="0" w:color="auto"/>
                <w:bottom w:val="none" w:sz="0" w:space="0" w:color="auto"/>
                <w:right w:val="none" w:sz="0" w:space="0" w:color="auto"/>
              </w:divBdr>
              <w:divsChild>
                <w:div w:id="1305622184">
                  <w:marLeft w:val="0"/>
                  <w:marRight w:val="0"/>
                  <w:marTop w:val="0"/>
                  <w:marBottom w:val="0"/>
                  <w:divBdr>
                    <w:top w:val="none" w:sz="0" w:space="0" w:color="auto"/>
                    <w:left w:val="none" w:sz="0" w:space="0" w:color="auto"/>
                    <w:bottom w:val="none" w:sz="0" w:space="0" w:color="auto"/>
                    <w:right w:val="none" w:sz="0" w:space="0" w:color="auto"/>
                  </w:divBdr>
                  <w:divsChild>
                    <w:div w:id="794563240">
                      <w:marLeft w:val="0"/>
                      <w:marRight w:val="0"/>
                      <w:marTop w:val="0"/>
                      <w:marBottom w:val="0"/>
                      <w:divBdr>
                        <w:top w:val="none" w:sz="0" w:space="0" w:color="auto"/>
                        <w:left w:val="none" w:sz="0" w:space="0" w:color="auto"/>
                        <w:bottom w:val="none" w:sz="0" w:space="0" w:color="auto"/>
                        <w:right w:val="none" w:sz="0" w:space="0" w:color="auto"/>
                      </w:divBdr>
                    </w:div>
                  </w:divsChild>
                </w:div>
                <w:div w:id="1462918408">
                  <w:marLeft w:val="0"/>
                  <w:marRight w:val="0"/>
                  <w:marTop w:val="0"/>
                  <w:marBottom w:val="0"/>
                  <w:divBdr>
                    <w:top w:val="none" w:sz="0" w:space="0" w:color="auto"/>
                    <w:left w:val="none" w:sz="0" w:space="0" w:color="auto"/>
                    <w:bottom w:val="none" w:sz="0" w:space="0" w:color="auto"/>
                    <w:right w:val="none" w:sz="0" w:space="0" w:color="auto"/>
                  </w:divBdr>
                  <w:divsChild>
                    <w:div w:id="1644967091">
                      <w:marLeft w:val="0"/>
                      <w:marRight w:val="0"/>
                      <w:marTop w:val="0"/>
                      <w:marBottom w:val="0"/>
                      <w:divBdr>
                        <w:top w:val="none" w:sz="0" w:space="0" w:color="auto"/>
                        <w:left w:val="none" w:sz="0" w:space="0" w:color="auto"/>
                        <w:bottom w:val="none" w:sz="0" w:space="0" w:color="auto"/>
                        <w:right w:val="none" w:sz="0" w:space="0" w:color="auto"/>
                      </w:divBdr>
                    </w:div>
                  </w:divsChild>
                </w:div>
                <w:div w:id="495994621">
                  <w:marLeft w:val="0"/>
                  <w:marRight w:val="0"/>
                  <w:marTop w:val="0"/>
                  <w:marBottom w:val="0"/>
                  <w:divBdr>
                    <w:top w:val="none" w:sz="0" w:space="0" w:color="auto"/>
                    <w:left w:val="none" w:sz="0" w:space="0" w:color="auto"/>
                    <w:bottom w:val="none" w:sz="0" w:space="0" w:color="auto"/>
                    <w:right w:val="none" w:sz="0" w:space="0" w:color="auto"/>
                  </w:divBdr>
                  <w:divsChild>
                    <w:div w:id="6088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30342">
      <w:bodyDiv w:val="1"/>
      <w:marLeft w:val="0"/>
      <w:marRight w:val="0"/>
      <w:marTop w:val="0"/>
      <w:marBottom w:val="0"/>
      <w:divBdr>
        <w:top w:val="none" w:sz="0" w:space="0" w:color="auto"/>
        <w:left w:val="none" w:sz="0" w:space="0" w:color="auto"/>
        <w:bottom w:val="none" w:sz="0" w:space="0" w:color="auto"/>
        <w:right w:val="none" w:sz="0" w:space="0" w:color="auto"/>
      </w:divBdr>
    </w:div>
    <w:div w:id="1334993463">
      <w:bodyDiv w:val="1"/>
      <w:marLeft w:val="0"/>
      <w:marRight w:val="0"/>
      <w:marTop w:val="0"/>
      <w:marBottom w:val="0"/>
      <w:divBdr>
        <w:top w:val="none" w:sz="0" w:space="0" w:color="auto"/>
        <w:left w:val="none" w:sz="0" w:space="0" w:color="auto"/>
        <w:bottom w:val="none" w:sz="0" w:space="0" w:color="auto"/>
        <w:right w:val="none" w:sz="0" w:space="0" w:color="auto"/>
      </w:divBdr>
      <w:divsChild>
        <w:div w:id="868494746">
          <w:marLeft w:val="0"/>
          <w:marRight w:val="0"/>
          <w:marTop w:val="0"/>
          <w:marBottom w:val="0"/>
          <w:divBdr>
            <w:top w:val="none" w:sz="0" w:space="0" w:color="auto"/>
            <w:left w:val="none" w:sz="0" w:space="0" w:color="auto"/>
            <w:bottom w:val="none" w:sz="0" w:space="0" w:color="auto"/>
            <w:right w:val="none" w:sz="0" w:space="0" w:color="auto"/>
          </w:divBdr>
          <w:divsChild>
            <w:div w:id="723023905">
              <w:marLeft w:val="0"/>
              <w:marRight w:val="0"/>
              <w:marTop w:val="0"/>
              <w:marBottom w:val="0"/>
              <w:divBdr>
                <w:top w:val="none" w:sz="0" w:space="0" w:color="auto"/>
                <w:left w:val="none" w:sz="0" w:space="0" w:color="auto"/>
                <w:bottom w:val="none" w:sz="0" w:space="0" w:color="auto"/>
                <w:right w:val="none" w:sz="0" w:space="0" w:color="auto"/>
              </w:divBdr>
            </w:div>
          </w:divsChild>
        </w:div>
        <w:div w:id="1487552418">
          <w:marLeft w:val="0"/>
          <w:marRight w:val="0"/>
          <w:marTop w:val="0"/>
          <w:marBottom w:val="0"/>
          <w:divBdr>
            <w:top w:val="none" w:sz="0" w:space="0" w:color="auto"/>
            <w:left w:val="none" w:sz="0" w:space="0" w:color="auto"/>
            <w:bottom w:val="none" w:sz="0" w:space="0" w:color="auto"/>
            <w:right w:val="none" w:sz="0" w:space="0" w:color="auto"/>
          </w:divBdr>
          <w:divsChild>
            <w:div w:id="18733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0444">
      <w:bodyDiv w:val="1"/>
      <w:marLeft w:val="0"/>
      <w:marRight w:val="0"/>
      <w:marTop w:val="0"/>
      <w:marBottom w:val="0"/>
      <w:divBdr>
        <w:top w:val="none" w:sz="0" w:space="0" w:color="auto"/>
        <w:left w:val="none" w:sz="0" w:space="0" w:color="auto"/>
        <w:bottom w:val="none" w:sz="0" w:space="0" w:color="auto"/>
        <w:right w:val="none" w:sz="0" w:space="0" w:color="auto"/>
      </w:divBdr>
    </w:div>
    <w:div w:id="1360007183">
      <w:bodyDiv w:val="1"/>
      <w:marLeft w:val="0"/>
      <w:marRight w:val="0"/>
      <w:marTop w:val="0"/>
      <w:marBottom w:val="0"/>
      <w:divBdr>
        <w:top w:val="none" w:sz="0" w:space="0" w:color="auto"/>
        <w:left w:val="none" w:sz="0" w:space="0" w:color="auto"/>
        <w:bottom w:val="none" w:sz="0" w:space="0" w:color="auto"/>
        <w:right w:val="none" w:sz="0" w:space="0" w:color="auto"/>
      </w:divBdr>
    </w:div>
    <w:div w:id="1380474444">
      <w:bodyDiv w:val="1"/>
      <w:marLeft w:val="0"/>
      <w:marRight w:val="0"/>
      <w:marTop w:val="0"/>
      <w:marBottom w:val="0"/>
      <w:divBdr>
        <w:top w:val="none" w:sz="0" w:space="0" w:color="auto"/>
        <w:left w:val="none" w:sz="0" w:space="0" w:color="auto"/>
        <w:bottom w:val="none" w:sz="0" w:space="0" w:color="auto"/>
        <w:right w:val="none" w:sz="0" w:space="0" w:color="auto"/>
      </w:divBdr>
    </w:div>
    <w:div w:id="1398436202">
      <w:bodyDiv w:val="1"/>
      <w:marLeft w:val="0"/>
      <w:marRight w:val="0"/>
      <w:marTop w:val="0"/>
      <w:marBottom w:val="0"/>
      <w:divBdr>
        <w:top w:val="none" w:sz="0" w:space="0" w:color="auto"/>
        <w:left w:val="none" w:sz="0" w:space="0" w:color="auto"/>
        <w:bottom w:val="none" w:sz="0" w:space="0" w:color="auto"/>
        <w:right w:val="none" w:sz="0" w:space="0" w:color="auto"/>
      </w:divBdr>
    </w:div>
    <w:div w:id="1425154060">
      <w:bodyDiv w:val="1"/>
      <w:marLeft w:val="0"/>
      <w:marRight w:val="0"/>
      <w:marTop w:val="0"/>
      <w:marBottom w:val="0"/>
      <w:divBdr>
        <w:top w:val="none" w:sz="0" w:space="0" w:color="auto"/>
        <w:left w:val="none" w:sz="0" w:space="0" w:color="auto"/>
        <w:bottom w:val="none" w:sz="0" w:space="0" w:color="auto"/>
        <w:right w:val="none" w:sz="0" w:space="0" w:color="auto"/>
      </w:divBdr>
    </w:div>
    <w:div w:id="1443913422">
      <w:bodyDiv w:val="1"/>
      <w:marLeft w:val="0"/>
      <w:marRight w:val="0"/>
      <w:marTop w:val="0"/>
      <w:marBottom w:val="0"/>
      <w:divBdr>
        <w:top w:val="none" w:sz="0" w:space="0" w:color="auto"/>
        <w:left w:val="none" w:sz="0" w:space="0" w:color="auto"/>
        <w:bottom w:val="none" w:sz="0" w:space="0" w:color="auto"/>
        <w:right w:val="none" w:sz="0" w:space="0" w:color="auto"/>
      </w:divBdr>
    </w:div>
    <w:div w:id="1455446174">
      <w:bodyDiv w:val="1"/>
      <w:marLeft w:val="0"/>
      <w:marRight w:val="0"/>
      <w:marTop w:val="0"/>
      <w:marBottom w:val="0"/>
      <w:divBdr>
        <w:top w:val="none" w:sz="0" w:space="0" w:color="auto"/>
        <w:left w:val="none" w:sz="0" w:space="0" w:color="auto"/>
        <w:bottom w:val="none" w:sz="0" w:space="0" w:color="auto"/>
        <w:right w:val="none" w:sz="0" w:space="0" w:color="auto"/>
      </w:divBdr>
      <w:divsChild>
        <w:div w:id="772550631">
          <w:marLeft w:val="0"/>
          <w:marRight w:val="0"/>
          <w:marTop w:val="240"/>
          <w:marBottom w:val="0"/>
          <w:divBdr>
            <w:top w:val="none" w:sz="0" w:space="0" w:color="auto"/>
            <w:left w:val="none" w:sz="0" w:space="0" w:color="auto"/>
            <w:bottom w:val="none" w:sz="0" w:space="0" w:color="auto"/>
            <w:right w:val="none" w:sz="0" w:space="0" w:color="auto"/>
          </w:divBdr>
          <w:divsChild>
            <w:div w:id="974681367">
              <w:marLeft w:val="0"/>
              <w:marRight w:val="0"/>
              <w:marTop w:val="0"/>
              <w:marBottom w:val="0"/>
              <w:divBdr>
                <w:top w:val="none" w:sz="0" w:space="0" w:color="auto"/>
                <w:left w:val="none" w:sz="0" w:space="0" w:color="auto"/>
                <w:bottom w:val="none" w:sz="0" w:space="0" w:color="auto"/>
                <w:right w:val="none" w:sz="0" w:space="0" w:color="auto"/>
              </w:divBdr>
            </w:div>
          </w:divsChild>
        </w:div>
        <w:div w:id="1129274867">
          <w:marLeft w:val="0"/>
          <w:marRight w:val="0"/>
          <w:marTop w:val="240"/>
          <w:marBottom w:val="0"/>
          <w:divBdr>
            <w:top w:val="none" w:sz="0" w:space="0" w:color="auto"/>
            <w:left w:val="none" w:sz="0" w:space="0" w:color="auto"/>
            <w:bottom w:val="none" w:sz="0" w:space="0" w:color="auto"/>
            <w:right w:val="none" w:sz="0" w:space="0" w:color="auto"/>
          </w:divBdr>
          <w:divsChild>
            <w:div w:id="1214467760">
              <w:marLeft w:val="0"/>
              <w:marRight w:val="0"/>
              <w:marTop w:val="0"/>
              <w:marBottom w:val="0"/>
              <w:divBdr>
                <w:top w:val="none" w:sz="0" w:space="0" w:color="auto"/>
                <w:left w:val="none" w:sz="0" w:space="0" w:color="auto"/>
                <w:bottom w:val="none" w:sz="0" w:space="0" w:color="auto"/>
                <w:right w:val="none" w:sz="0" w:space="0" w:color="auto"/>
              </w:divBdr>
            </w:div>
          </w:divsChild>
        </w:div>
        <w:div w:id="1785884191">
          <w:marLeft w:val="0"/>
          <w:marRight w:val="0"/>
          <w:marTop w:val="240"/>
          <w:marBottom w:val="0"/>
          <w:divBdr>
            <w:top w:val="none" w:sz="0" w:space="0" w:color="auto"/>
            <w:left w:val="none" w:sz="0" w:space="0" w:color="auto"/>
            <w:bottom w:val="none" w:sz="0" w:space="0" w:color="auto"/>
            <w:right w:val="none" w:sz="0" w:space="0" w:color="auto"/>
          </w:divBdr>
          <w:divsChild>
            <w:div w:id="1174347003">
              <w:marLeft w:val="0"/>
              <w:marRight w:val="0"/>
              <w:marTop w:val="0"/>
              <w:marBottom w:val="0"/>
              <w:divBdr>
                <w:top w:val="none" w:sz="0" w:space="0" w:color="auto"/>
                <w:left w:val="none" w:sz="0" w:space="0" w:color="auto"/>
                <w:bottom w:val="none" w:sz="0" w:space="0" w:color="auto"/>
                <w:right w:val="none" w:sz="0" w:space="0" w:color="auto"/>
              </w:divBdr>
            </w:div>
          </w:divsChild>
        </w:div>
        <w:div w:id="1791851367">
          <w:marLeft w:val="0"/>
          <w:marRight w:val="0"/>
          <w:marTop w:val="240"/>
          <w:marBottom w:val="0"/>
          <w:divBdr>
            <w:top w:val="none" w:sz="0" w:space="0" w:color="auto"/>
            <w:left w:val="none" w:sz="0" w:space="0" w:color="auto"/>
            <w:bottom w:val="none" w:sz="0" w:space="0" w:color="auto"/>
            <w:right w:val="none" w:sz="0" w:space="0" w:color="auto"/>
          </w:divBdr>
          <w:divsChild>
            <w:div w:id="1728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83874">
      <w:bodyDiv w:val="1"/>
      <w:marLeft w:val="0"/>
      <w:marRight w:val="0"/>
      <w:marTop w:val="0"/>
      <w:marBottom w:val="0"/>
      <w:divBdr>
        <w:top w:val="none" w:sz="0" w:space="0" w:color="auto"/>
        <w:left w:val="none" w:sz="0" w:space="0" w:color="auto"/>
        <w:bottom w:val="none" w:sz="0" w:space="0" w:color="auto"/>
        <w:right w:val="none" w:sz="0" w:space="0" w:color="auto"/>
      </w:divBdr>
    </w:div>
    <w:div w:id="1457943400">
      <w:bodyDiv w:val="1"/>
      <w:marLeft w:val="0"/>
      <w:marRight w:val="0"/>
      <w:marTop w:val="0"/>
      <w:marBottom w:val="0"/>
      <w:divBdr>
        <w:top w:val="none" w:sz="0" w:space="0" w:color="auto"/>
        <w:left w:val="none" w:sz="0" w:space="0" w:color="auto"/>
        <w:bottom w:val="none" w:sz="0" w:space="0" w:color="auto"/>
        <w:right w:val="none" w:sz="0" w:space="0" w:color="auto"/>
      </w:divBdr>
      <w:divsChild>
        <w:div w:id="318927441">
          <w:marLeft w:val="0"/>
          <w:marRight w:val="0"/>
          <w:marTop w:val="240"/>
          <w:marBottom w:val="0"/>
          <w:divBdr>
            <w:top w:val="none" w:sz="0" w:space="0" w:color="auto"/>
            <w:left w:val="none" w:sz="0" w:space="0" w:color="auto"/>
            <w:bottom w:val="none" w:sz="0" w:space="0" w:color="auto"/>
            <w:right w:val="none" w:sz="0" w:space="0" w:color="auto"/>
          </w:divBdr>
          <w:divsChild>
            <w:div w:id="2019497062">
              <w:marLeft w:val="0"/>
              <w:marRight w:val="0"/>
              <w:marTop w:val="0"/>
              <w:marBottom w:val="0"/>
              <w:divBdr>
                <w:top w:val="none" w:sz="0" w:space="0" w:color="auto"/>
                <w:left w:val="none" w:sz="0" w:space="0" w:color="auto"/>
                <w:bottom w:val="none" w:sz="0" w:space="0" w:color="auto"/>
                <w:right w:val="none" w:sz="0" w:space="0" w:color="auto"/>
              </w:divBdr>
            </w:div>
          </w:divsChild>
        </w:div>
        <w:div w:id="1134520827">
          <w:marLeft w:val="0"/>
          <w:marRight w:val="0"/>
          <w:marTop w:val="240"/>
          <w:marBottom w:val="0"/>
          <w:divBdr>
            <w:top w:val="none" w:sz="0" w:space="0" w:color="auto"/>
            <w:left w:val="none" w:sz="0" w:space="0" w:color="auto"/>
            <w:bottom w:val="none" w:sz="0" w:space="0" w:color="auto"/>
            <w:right w:val="none" w:sz="0" w:space="0" w:color="auto"/>
          </w:divBdr>
          <w:divsChild>
            <w:div w:id="7528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6676">
      <w:bodyDiv w:val="1"/>
      <w:marLeft w:val="0"/>
      <w:marRight w:val="0"/>
      <w:marTop w:val="0"/>
      <w:marBottom w:val="0"/>
      <w:divBdr>
        <w:top w:val="none" w:sz="0" w:space="0" w:color="auto"/>
        <w:left w:val="none" w:sz="0" w:space="0" w:color="auto"/>
        <w:bottom w:val="none" w:sz="0" w:space="0" w:color="auto"/>
        <w:right w:val="none" w:sz="0" w:space="0" w:color="auto"/>
      </w:divBdr>
      <w:divsChild>
        <w:div w:id="441609706">
          <w:marLeft w:val="0"/>
          <w:marRight w:val="0"/>
          <w:marTop w:val="240"/>
          <w:marBottom w:val="0"/>
          <w:divBdr>
            <w:top w:val="none" w:sz="0" w:space="0" w:color="auto"/>
            <w:left w:val="none" w:sz="0" w:space="0" w:color="auto"/>
            <w:bottom w:val="none" w:sz="0" w:space="0" w:color="auto"/>
            <w:right w:val="none" w:sz="0" w:space="0" w:color="auto"/>
          </w:divBdr>
          <w:divsChild>
            <w:div w:id="894661621">
              <w:marLeft w:val="0"/>
              <w:marRight w:val="0"/>
              <w:marTop w:val="0"/>
              <w:marBottom w:val="0"/>
              <w:divBdr>
                <w:top w:val="none" w:sz="0" w:space="0" w:color="auto"/>
                <w:left w:val="none" w:sz="0" w:space="0" w:color="auto"/>
                <w:bottom w:val="none" w:sz="0" w:space="0" w:color="auto"/>
                <w:right w:val="none" w:sz="0" w:space="0" w:color="auto"/>
              </w:divBdr>
            </w:div>
          </w:divsChild>
        </w:div>
        <w:div w:id="1404597734">
          <w:marLeft w:val="0"/>
          <w:marRight w:val="0"/>
          <w:marTop w:val="0"/>
          <w:marBottom w:val="0"/>
          <w:divBdr>
            <w:top w:val="none" w:sz="0" w:space="0" w:color="auto"/>
            <w:left w:val="none" w:sz="0" w:space="0" w:color="auto"/>
            <w:bottom w:val="none" w:sz="0" w:space="0" w:color="auto"/>
            <w:right w:val="none" w:sz="0" w:space="0" w:color="auto"/>
          </w:divBdr>
        </w:div>
      </w:divsChild>
    </w:div>
    <w:div w:id="1466508234">
      <w:bodyDiv w:val="1"/>
      <w:marLeft w:val="0"/>
      <w:marRight w:val="0"/>
      <w:marTop w:val="0"/>
      <w:marBottom w:val="0"/>
      <w:divBdr>
        <w:top w:val="none" w:sz="0" w:space="0" w:color="auto"/>
        <w:left w:val="none" w:sz="0" w:space="0" w:color="auto"/>
        <w:bottom w:val="none" w:sz="0" w:space="0" w:color="auto"/>
        <w:right w:val="none" w:sz="0" w:space="0" w:color="auto"/>
      </w:divBdr>
    </w:div>
    <w:div w:id="1486823868">
      <w:bodyDiv w:val="1"/>
      <w:marLeft w:val="0"/>
      <w:marRight w:val="0"/>
      <w:marTop w:val="0"/>
      <w:marBottom w:val="0"/>
      <w:divBdr>
        <w:top w:val="none" w:sz="0" w:space="0" w:color="auto"/>
        <w:left w:val="none" w:sz="0" w:space="0" w:color="auto"/>
        <w:bottom w:val="none" w:sz="0" w:space="0" w:color="auto"/>
        <w:right w:val="none" w:sz="0" w:space="0" w:color="auto"/>
      </w:divBdr>
      <w:divsChild>
        <w:div w:id="1402170341">
          <w:marLeft w:val="0"/>
          <w:marRight w:val="0"/>
          <w:marTop w:val="0"/>
          <w:marBottom w:val="0"/>
          <w:divBdr>
            <w:top w:val="none" w:sz="0" w:space="0" w:color="auto"/>
            <w:left w:val="none" w:sz="0" w:space="0" w:color="auto"/>
            <w:bottom w:val="none" w:sz="0" w:space="0" w:color="auto"/>
            <w:right w:val="none" w:sz="0" w:space="0" w:color="auto"/>
          </w:divBdr>
          <w:divsChild>
            <w:div w:id="639312854">
              <w:marLeft w:val="0"/>
              <w:marRight w:val="0"/>
              <w:marTop w:val="0"/>
              <w:marBottom w:val="0"/>
              <w:divBdr>
                <w:top w:val="none" w:sz="0" w:space="0" w:color="auto"/>
                <w:left w:val="none" w:sz="0" w:space="0" w:color="auto"/>
                <w:bottom w:val="none" w:sz="0" w:space="0" w:color="auto"/>
                <w:right w:val="none" w:sz="0" w:space="0" w:color="auto"/>
              </w:divBdr>
            </w:div>
          </w:divsChild>
        </w:div>
        <w:div w:id="2082018107">
          <w:marLeft w:val="0"/>
          <w:marRight w:val="0"/>
          <w:marTop w:val="0"/>
          <w:marBottom w:val="0"/>
          <w:divBdr>
            <w:top w:val="none" w:sz="0" w:space="0" w:color="auto"/>
            <w:left w:val="none" w:sz="0" w:space="0" w:color="auto"/>
            <w:bottom w:val="none" w:sz="0" w:space="0" w:color="auto"/>
            <w:right w:val="none" w:sz="0" w:space="0" w:color="auto"/>
          </w:divBdr>
          <w:divsChild>
            <w:div w:id="11953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2559">
      <w:bodyDiv w:val="1"/>
      <w:marLeft w:val="0"/>
      <w:marRight w:val="0"/>
      <w:marTop w:val="0"/>
      <w:marBottom w:val="0"/>
      <w:divBdr>
        <w:top w:val="none" w:sz="0" w:space="0" w:color="auto"/>
        <w:left w:val="none" w:sz="0" w:space="0" w:color="auto"/>
        <w:bottom w:val="none" w:sz="0" w:space="0" w:color="auto"/>
        <w:right w:val="none" w:sz="0" w:space="0" w:color="auto"/>
      </w:divBdr>
      <w:divsChild>
        <w:div w:id="1617102041">
          <w:marLeft w:val="0"/>
          <w:marRight w:val="0"/>
          <w:marTop w:val="0"/>
          <w:marBottom w:val="0"/>
          <w:divBdr>
            <w:top w:val="none" w:sz="0" w:space="0" w:color="auto"/>
            <w:left w:val="none" w:sz="0" w:space="0" w:color="auto"/>
            <w:bottom w:val="none" w:sz="0" w:space="0" w:color="auto"/>
            <w:right w:val="none" w:sz="0" w:space="0" w:color="auto"/>
          </w:divBdr>
          <w:divsChild>
            <w:div w:id="333383307">
              <w:marLeft w:val="0"/>
              <w:marRight w:val="0"/>
              <w:marTop w:val="0"/>
              <w:marBottom w:val="0"/>
              <w:divBdr>
                <w:top w:val="none" w:sz="0" w:space="0" w:color="auto"/>
                <w:left w:val="none" w:sz="0" w:space="0" w:color="auto"/>
                <w:bottom w:val="none" w:sz="0" w:space="0" w:color="auto"/>
                <w:right w:val="none" w:sz="0" w:space="0" w:color="auto"/>
              </w:divBdr>
              <w:divsChild>
                <w:div w:id="375356422">
                  <w:marLeft w:val="0"/>
                  <w:marRight w:val="0"/>
                  <w:marTop w:val="0"/>
                  <w:marBottom w:val="0"/>
                  <w:divBdr>
                    <w:top w:val="none" w:sz="0" w:space="0" w:color="auto"/>
                    <w:left w:val="none" w:sz="0" w:space="0" w:color="auto"/>
                    <w:bottom w:val="none" w:sz="0" w:space="0" w:color="auto"/>
                    <w:right w:val="none" w:sz="0" w:space="0" w:color="auto"/>
                  </w:divBdr>
                  <w:divsChild>
                    <w:div w:id="833377934">
                      <w:marLeft w:val="0"/>
                      <w:marRight w:val="0"/>
                      <w:marTop w:val="0"/>
                      <w:marBottom w:val="0"/>
                      <w:divBdr>
                        <w:top w:val="none" w:sz="0" w:space="0" w:color="auto"/>
                        <w:left w:val="none" w:sz="0" w:space="0" w:color="auto"/>
                        <w:bottom w:val="none" w:sz="0" w:space="0" w:color="auto"/>
                        <w:right w:val="none" w:sz="0" w:space="0" w:color="auto"/>
                      </w:divBdr>
                      <w:divsChild>
                        <w:div w:id="788932682">
                          <w:marLeft w:val="0"/>
                          <w:marRight w:val="0"/>
                          <w:marTop w:val="0"/>
                          <w:marBottom w:val="0"/>
                          <w:divBdr>
                            <w:top w:val="none" w:sz="0" w:space="0" w:color="auto"/>
                            <w:left w:val="none" w:sz="0" w:space="0" w:color="auto"/>
                            <w:bottom w:val="none" w:sz="0" w:space="0" w:color="auto"/>
                            <w:right w:val="none" w:sz="0" w:space="0" w:color="auto"/>
                          </w:divBdr>
                          <w:divsChild>
                            <w:div w:id="1912617994">
                              <w:marLeft w:val="0"/>
                              <w:marRight w:val="0"/>
                              <w:marTop w:val="0"/>
                              <w:marBottom w:val="0"/>
                              <w:divBdr>
                                <w:top w:val="none" w:sz="0" w:space="0" w:color="auto"/>
                                <w:left w:val="none" w:sz="0" w:space="0" w:color="auto"/>
                                <w:bottom w:val="none" w:sz="0" w:space="0" w:color="auto"/>
                                <w:right w:val="none" w:sz="0" w:space="0" w:color="auto"/>
                              </w:divBdr>
                              <w:divsChild>
                                <w:div w:id="1781291149">
                                  <w:marLeft w:val="0"/>
                                  <w:marRight w:val="0"/>
                                  <w:marTop w:val="0"/>
                                  <w:marBottom w:val="0"/>
                                  <w:divBdr>
                                    <w:top w:val="none" w:sz="0" w:space="0" w:color="auto"/>
                                    <w:left w:val="none" w:sz="0" w:space="0" w:color="auto"/>
                                    <w:bottom w:val="none" w:sz="0" w:space="0" w:color="auto"/>
                                    <w:right w:val="none" w:sz="0" w:space="0" w:color="auto"/>
                                  </w:divBdr>
                                  <w:divsChild>
                                    <w:div w:id="1353796192">
                                      <w:marLeft w:val="0"/>
                                      <w:marRight w:val="0"/>
                                      <w:marTop w:val="0"/>
                                      <w:marBottom w:val="0"/>
                                      <w:divBdr>
                                        <w:top w:val="none" w:sz="0" w:space="0" w:color="auto"/>
                                        <w:left w:val="none" w:sz="0" w:space="0" w:color="auto"/>
                                        <w:bottom w:val="none" w:sz="0" w:space="0" w:color="auto"/>
                                        <w:right w:val="none" w:sz="0" w:space="0" w:color="auto"/>
                                      </w:divBdr>
                                    </w:div>
                                  </w:divsChild>
                                </w:div>
                                <w:div w:id="1138571564">
                                  <w:marLeft w:val="0"/>
                                  <w:marRight w:val="0"/>
                                  <w:marTop w:val="0"/>
                                  <w:marBottom w:val="0"/>
                                  <w:divBdr>
                                    <w:top w:val="none" w:sz="0" w:space="0" w:color="auto"/>
                                    <w:left w:val="none" w:sz="0" w:space="0" w:color="auto"/>
                                    <w:bottom w:val="none" w:sz="0" w:space="0" w:color="auto"/>
                                    <w:right w:val="none" w:sz="0" w:space="0" w:color="auto"/>
                                  </w:divBdr>
                                  <w:divsChild>
                                    <w:div w:id="783227040">
                                      <w:marLeft w:val="0"/>
                                      <w:marRight w:val="0"/>
                                      <w:marTop w:val="0"/>
                                      <w:marBottom w:val="0"/>
                                      <w:divBdr>
                                        <w:top w:val="none" w:sz="0" w:space="0" w:color="auto"/>
                                        <w:left w:val="none" w:sz="0" w:space="0" w:color="auto"/>
                                        <w:bottom w:val="none" w:sz="0" w:space="0" w:color="auto"/>
                                        <w:right w:val="none" w:sz="0" w:space="0" w:color="auto"/>
                                      </w:divBdr>
                                    </w:div>
                                  </w:divsChild>
                                </w:div>
                                <w:div w:id="221797502">
                                  <w:marLeft w:val="0"/>
                                  <w:marRight w:val="0"/>
                                  <w:marTop w:val="0"/>
                                  <w:marBottom w:val="0"/>
                                  <w:divBdr>
                                    <w:top w:val="none" w:sz="0" w:space="0" w:color="auto"/>
                                    <w:left w:val="none" w:sz="0" w:space="0" w:color="auto"/>
                                    <w:bottom w:val="none" w:sz="0" w:space="0" w:color="auto"/>
                                    <w:right w:val="none" w:sz="0" w:space="0" w:color="auto"/>
                                  </w:divBdr>
                                  <w:divsChild>
                                    <w:div w:id="1856963711">
                                      <w:marLeft w:val="0"/>
                                      <w:marRight w:val="0"/>
                                      <w:marTop w:val="0"/>
                                      <w:marBottom w:val="0"/>
                                      <w:divBdr>
                                        <w:top w:val="none" w:sz="0" w:space="0" w:color="auto"/>
                                        <w:left w:val="none" w:sz="0" w:space="0" w:color="auto"/>
                                        <w:bottom w:val="none" w:sz="0" w:space="0" w:color="auto"/>
                                        <w:right w:val="none" w:sz="0" w:space="0" w:color="auto"/>
                                      </w:divBdr>
                                    </w:div>
                                  </w:divsChild>
                                </w:div>
                                <w:div w:id="773861364">
                                  <w:marLeft w:val="0"/>
                                  <w:marRight w:val="0"/>
                                  <w:marTop w:val="0"/>
                                  <w:marBottom w:val="0"/>
                                  <w:divBdr>
                                    <w:top w:val="none" w:sz="0" w:space="0" w:color="auto"/>
                                    <w:left w:val="none" w:sz="0" w:space="0" w:color="auto"/>
                                    <w:bottom w:val="none" w:sz="0" w:space="0" w:color="auto"/>
                                    <w:right w:val="none" w:sz="0" w:space="0" w:color="auto"/>
                                  </w:divBdr>
                                  <w:divsChild>
                                    <w:div w:id="1584139860">
                                      <w:marLeft w:val="0"/>
                                      <w:marRight w:val="0"/>
                                      <w:marTop w:val="0"/>
                                      <w:marBottom w:val="0"/>
                                      <w:divBdr>
                                        <w:top w:val="none" w:sz="0" w:space="0" w:color="auto"/>
                                        <w:left w:val="none" w:sz="0" w:space="0" w:color="auto"/>
                                        <w:bottom w:val="none" w:sz="0" w:space="0" w:color="auto"/>
                                        <w:right w:val="none" w:sz="0" w:space="0" w:color="auto"/>
                                      </w:divBdr>
                                    </w:div>
                                  </w:divsChild>
                                </w:div>
                                <w:div w:id="2018120491">
                                  <w:marLeft w:val="0"/>
                                  <w:marRight w:val="0"/>
                                  <w:marTop w:val="0"/>
                                  <w:marBottom w:val="0"/>
                                  <w:divBdr>
                                    <w:top w:val="none" w:sz="0" w:space="0" w:color="auto"/>
                                    <w:left w:val="none" w:sz="0" w:space="0" w:color="auto"/>
                                    <w:bottom w:val="none" w:sz="0" w:space="0" w:color="auto"/>
                                    <w:right w:val="none" w:sz="0" w:space="0" w:color="auto"/>
                                  </w:divBdr>
                                  <w:divsChild>
                                    <w:div w:id="828517566">
                                      <w:marLeft w:val="0"/>
                                      <w:marRight w:val="0"/>
                                      <w:marTop w:val="0"/>
                                      <w:marBottom w:val="0"/>
                                      <w:divBdr>
                                        <w:top w:val="none" w:sz="0" w:space="0" w:color="auto"/>
                                        <w:left w:val="none" w:sz="0" w:space="0" w:color="auto"/>
                                        <w:bottom w:val="none" w:sz="0" w:space="0" w:color="auto"/>
                                        <w:right w:val="none" w:sz="0" w:space="0" w:color="auto"/>
                                      </w:divBdr>
                                    </w:div>
                                  </w:divsChild>
                                </w:div>
                                <w:div w:id="132333714">
                                  <w:marLeft w:val="0"/>
                                  <w:marRight w:val="0"/>
                                  <w:marTop w:val="0"/>
                                  <w:marBottom w:val="0"/>
                                  <w:divBdr>
                                    <w:top w:val="none" w:sz="0" w:space="0" w:color="auto"/>
                                    <w:left w:val="none" w:sz="0" w:space="0" w:color="auto"/>
                                    <w:bottom w:val="none" w:sz="0" w:space="0" w:color="auto"/>
                                    <w:right w:val="none" w:sz="0" w:space="0" w:color="auto"/>
                                  </w:divBdr>
                                  <w:divsChild>
                                    <w:div w:id="1878468918">
                                      <w:marLeft w:val="0"/>
                                      <w:marRight w:val="0"/>
                                      <w:marTop w:val="0"/>
                                      <w:marBottom w:val="0"/>
                                      <w:divBdr>
                                        <w:top w:val="none" w:sz="0" w:space="0" w:color="auto"/>
                                        <w:left w:val="none" w:sz="0" w:space="0" w:color="auto"/>
                                        <w:bottom w:val="none" w:sz="0" w:space="0" w:color="auto"/>
                                        <w:right w:val="none" w:sz="0" w:space="0" w:color="auto"/>
                                      </w:divBdr>
                                    </w:div>
                                  </w:divsChild>
                                </w:div>
                                <w:div w:id="475802390">
                                  <w:marLeft w:val="0"/>
                                  <w:marRight w:val="0"/>
                                  <w:marTop w:val="0"/>
                                  <w:marBottom w:val="0"/>
                                  <w:divBdr>
                                    <w:top w:val="none" w:sz="0" w:space="0" w:color="auto"/>
                                    <w:left w:val="none" w:sz="0" w:space="0" w:color="auto"/>
                                    <w:bottom w:val="none" w:sz="0" w:space="0" w:color="auto"/>
                                    <w:right w:val="none" w:sz="0" w:space="0" w:color="auto"/>
                                  </w:divBdr>
                                  <w:divsChild>
                                    <w:div w:id="7775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6840">
                              <w:marLeft w:val="0"/>
                              <w:marRight w:val="0"/>
                              <w:marTop w:val="0"/>
                              <w:marBottom w:val="0"/>
                              <w:divBdr>
                                <w:top w:val="none" w:sz="0" w:space="0" w:color="auto"/>
                                <w:left w:val="none" w:sz="0" w:space="0" w:color="auto"/>
                                <w:bottom w:val="none" w:sz="0" w:space="0" w:color="auto"/>
                                <w:right w:val="none" w:sz="0" w:space="0" w:color="auto"/>
                              </w:divBdr>
                              <w:divsChild>
                                <w:div w:id="126092275">
                                  <w:marLeft w:val="0"/>
                                  <w:marRight w:val="0"/>
                                  <w:marTop w:val="0"/>
                                  <w:marBottom w:val="0"/>
                                  <w:divBdr>
                                    <w:top w:val="none" w:sz="0" w:space="0" w:color="auto"/>
                                    <w:left w:val="none" w:sz="0" w:space="0" w:color="auto"/>
                                    <w:bottom w:val="none" w:sz="0" w:space="0" w:color="auto"/>
                                    <w:right w:val="none" w:sz="0" w:space="0" w:color="auto"/>
                                  </w:divBdr>
                                  <w:divsChild>
                                    <w:div w:id="1382174896">
                                      <w:marLeft w:val="0"/>
                                      <w:marRight w:val="0"/>
                                      <w:marTop w:val="0"/>
                                      <w:marBottom w:val="0"/>
                                      <w:divBdr>
                                        <w:top w:val="none" w:sz="0" w:space="0" w:color="auto"/>
                                        <w:left w:val="none" w:sz="0" w:space="0" w:color="auto"/>
                                        <w:bottom w:val="none" w:sz="0" w:space="0" w:color="auto"/>
                                        <w:right w:val="none" w:sz="0" w:space="0" w:color="auto"/>
                                      </w:divBdr>
                                    </w:div>
                                  </w:divsChild>
                                </w:div>
                                <w:div w:id="1888179870">
                                  <w:marLeft w:val="0"/>
                                  <w:marRight w:val="0"/>
                                  <w:marTop w:val="0"/>
                                  <w:marBottom w:val="0"/>
                                  <w:divBdr>
                                    <w:top w:val="none" w:sz="0" w:space="0" w:color="auto"/>
                                    <w:left w:val="none" w:sz="0" w:space="0" w:color="auto"/>
                                    <w:bottom w:val="none" w:sz="0" w:space="0" w:color="auto"/>
                                    <w:right w:val="none" w:sz="0" w:space="0" w:color="auto"/>
                                  </w:divBdr>
                                  <w:divsChild>
                                    <w:div w:id="337122115">
                                      <w:marLeft w:val="0"/>
                                      <w:marRight w:val="0"/>
                                      <w:marTop w:val="0"/>
                                      <w:marBottom w:val="0"/>
                                      <w:divBdr>
                                        <w:top w:val="none" w:sz="0" w:space="0" w:color="auto"/>
                                        <w:left w:val="none" w:sz="0" w:space="0" w:color="auto"/>
                                        <w:bottom w:val="none" w:sz="0" w:space="0" w:color="auto"/>
                                        <w:right w:val="none" w:sz="0" w:space="0" w:color="auto"/>
                                      </w:divBdr>
                                    </w:div>
                                  </w:divsChild>
                                </w:div>
                                <w:div w:id="686440812">
                                  <w:marLeft w:val="0"/>
                                  <w:marRight w:val="0"/>
                                  <w:marTop w:val="0"/>
                                  <w:marBottom w:val="0"/>
                                  <w:divBdr>
                                    <w:top w:val="none" w:sz="0" w:space="0" w:color="auto"/>
                                    <w:left w:val="none" w:sz="0" w:space="0" w:color="auto"/>
                                    <w:bottom w:val="none" w:sz="0" w:space="0" w:color="auto"/>
                                    <w:right w:val="none" w:sz="0" w:space="0" w:color="auto"/>
                                  </w:divBdr>
                                  <w:divsChild>
                                    <w:div w:id="111943353">
                                      <w:marLeft w:val="0"/>
                                      <w:marRight w:val="0"/>
                                      <w:marTop w:val="0"/>
                                      <w:marBottom w:val="0"/>
                                      <w:divBdr>
                                        <w:top w:val="none" w:sz="0" w:space="0" w:color="auto"/>
                                        <w:left w:val="none" w:sz="0" w:space="0" w:color="auto"/>
                                        <w:bottom w:val="none" w:sz="0" w:space="0" w:color="auto"/>
                                        <w:right w:val="none" w:sz="0" w:space="0" w:color="auto"/>
                                      </w:divBdr>
                                    </w:div>
                                  </w:divsChild>
                                </w:div>
                                <w:div w:id="1597060064">
                                  <w:marLeft w:val="0"/>
                                  <w:marRight w:val="0"/>
                                  <w:marTop w:val="0"/>
                                  <w:marBottom w:val="0"/>
                                  <w:divBdr>
                                    <w:top w:val="none" w:sz="0" w:space="0" w:color="auto"/>
                                    <w:left w:val="none" w:sz="0" w:space="0" w:color="auto"/>
                                    <w:bottom w:val="none" w:sz="0" w:space="0" w:color="auto"/>
                                    <w:right w:val="none" w:sz="0" w:space="0" w:color="auto"/>
                                  </w:divBdr>
                                  <w:divsChild>
                                    <w:div w:id="1849171332">
                                      <w:marLeft w:val="0"/>
                                      <w:marRight w:val="0"/>
                                      <w:marTop w:val="0"/>
                                      <w:marBottom w:val="0"/>
                                      <w:divBdr>
                                        <w:top w:val="none" w:sz="0" w:space="0" w:color="auto"/>
                                        <w:left w:val="none" w:sz="0" w:space="0" w:color="auto"/>
                                        <w:bottom w:val="none" w:sz="0" w:space="0" w:color="auto"/>
                                        <w:right w:val="none" w:sz="0" w:space="0" w:color="auto"/>
                                      </w:divBdr>
                                    </w:div>
                                  </w:divsChild>
                                </w:div>
                                <w:div w:id="661859552">
                                  <w:marLeft w:val="0"/>
                                  <w:marRight w:val="0"/>
                                  <w:marTop w:val="0"/>
                                  <w:marBottom w:val="0"/>
                                  <w:divBdr>
                                    <w:top w:val="none" w:sz="0" w:space="0" w:color="auto"/>
                                    <w:left w:val="none" w:sz="0" w:space="0" w:color="auto"/>
                                    <w:bottom w:val="none" w:sz="0" w:space="0" w:color="auto"/>
                                    <w:right w:val="none" w:sz="0" w:space="0" w:color="auto"/>
                                  </w:divBdr>
                                  <w:divsChild>
                                    <w:div w:id="9187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9980">
                              <w:marLeft w:val="0"/>
                              <w:marRight w:val="0"/>
                              <w:marTop w:val="0"/>
                              <w:marBottom w:val="0"/>
                              <w:divBdr>
                                <w:top w:val="none" w:sz="0" w:space="0" w:color="auto"/>
                                <w:left w:val="none" w:sz="0" w:space="0" w:color="auto"/>
                                <w:bottom w:val="none" w:sz="0" w:space="0" w:color="auto"/>
                                <w:right w:val="none" w:sz="0" w:space="0" w:color="auto"/>
                              </w:divBdr>
                              <w:divsChild>
                                <w:div w:id="268121442">
                                  <w:marLeft w:val="0"/>
                                  <w:marRight w:val="0"/>
                                  <w:marTop w:val="0"/>
                                  <w:marBottom w:val="0"/>
                                  <w:divBdr>
                                    <w:top w:val="none" w:sz="0" w:space="0" w:color="auto"/>
                                    <w:left w:val="none" w:sz="0" w:space="0" w:color="auto"/>
                                    <w:bottom w:val="none" w:sz="0" w:space="0" w:color="auto"/>
                                    <w:right w:val="none" w:sz="0" w:space="0" w:color="auto"/>
                                  </w:divBdr>
                                  <w:divsChild>
                                    <w:div w:id="806551722">
                                      <w:marLeft w:val="0"/>
                                      <w:marRight w:val="0"/>
                                      <w:marTop w:val="0"/>
                                      <w:marBottom w:val="0"/>
                                      <w:divBdr>
                                        <w:top w:val="none" w:sz="0" w:space="0" w:color="auto"/>
                                        <w:left w:val="none" w:sz="0" w:space="0" w:color="auto"/>
                                        <w:bottom w:val="none" w:sz="0" w:space="0" w:color="auto"/>
                                        <w:right w:val="none" w:sz="0" w:space="0" w:color="auto"/>
                                      </w:divBdr>
                                    </w:div>
                                  </w:divsChild>
                                </w:div>
                                <w:div w:id="617641615">
                                  <w:marLeft w:val="0"/>
                                  <w:marRight w:val="0"/>
                                  <w:marTop w:val="0"/>
                                  <w:marBottom w:val="0"/>
                                  <w:divBdr>
                                    <w:top w:val="none" w:sz="0" w:space="0" w:color="auto"/>
                                    <w:left w:val="none" w:sz="0" w:space="0" w:color="auto"/>
                                    <w:bottom w:val="none" w:sz="0" w:space="0" w:color="auto"/>
                                    <w:right w:val="none" w:sz="0" w:space="0" w:color="auto"/>
                                  </w:divBdr>
                                  <w:divsChild>
                                    <w:div w:id="2092924357">
                                      <w:marLeft w:val="0"/>
                                      <w:marRight w:val="0"/>
                                      <w:marTop w:val="0"/>
                                      <w:marBottom w:val="0"/>
                                      <w:divBdr>
                                        <w:top w:val="none" w:sz="0" w:space="0" w:color="auto"/>
                                        <w:left w:val="none" w:sz="0" w:space="0" w:color="auto"/>
                                        <w:bottom w:val="none" w:sz="0" w:space="0" w:color="auto"/>
                                        <w:right w:val="none" w:sz="0" w:space="0" w:color="auto"/>
                                      </w:divBdr>
                                    </w:div>
                                  </w:divsChild>
                                </w:div>
                                <w:div w:id="286277165">
                                  <w:marLeft w:val="0"/>
                                  <w:marRight w:val="0"/>
                                  <w:marTop w:val="0"/>
                                  <w:marBottom w:val="0"/>
                                  <w:divBdr>
                                    <w:top w:val="none" w:sz="0" w:space="0" w:color="auto"/>
                                    <w:left w:val="none" w:sz="0" w:space="0" w:color="auto"/>
                                    <w:bottom w:val="none" w:sz="0" w:space="0" w:color="auto"/>
                                    <w:right w:val="none" w:sz="0" w:space="0" w:color="auto"/>
                                  </w:divBdr>
                                  <w:divsChild>
                                    <w:div w:id="48042883">
                                      <w:marLeft w:val="0"/>
                                      <w:marRight w:val="0"/>
                                      <w:marTop w:val="0"/>
                                      <w:marBottom w:val="0"/>
                                      <w:divBdr>
                                        <w:top w:val="none" w:sz="0" w:space="0" w:color="auto"/>
                                        <w:left w:val="none" w:sz="0" w:space="0" w:color="auto"/>
                                        <w:bottom w:val="none" w:sz="0" w:space="0" w:color="auto"/>
                                        <w:right w:val="none" w:sz="0" w:space="0" w:color="auto"/>
                                      </w:divBdr>
                                    </w:div>
                                  </w:divsChild>
                                </w:div>
                                <w:div w:id="791901662">
                                  <w:marLeft w:val="0"/>
                                  <w:marRight w:val="0"/>
                                  <w:marTop w:val="0"/>
                                  <w:marBottom w:val="0"/>
                                  <w:divBdr>
                                    <w:top w:val="none" w:sz="0" w:space="0" w:color="auto"/>
                                    <w:left w:val="none" w:sz="0" w:space="0" w:color="auto"/>
                                    <w:bottom w:val="none" w:sz="0" w:space="0" w:color="auto"/>
                                    <w:right w:val="none" w:sz="0" w:space="0" w:color="auto"/>
                                  </w:divBdr>
                                  <w:divsChild>
                                    <w:div w:id="1875579673">
                                      <w:marLeft w:val="0"/>
                                      <w:marRight w:val="0"/>
                                      <w:marTop w:val="0"/>
                                      <w:marBottom w:val="0"/>
                                      <w:divBdr>
                                        <w:top w:val="none" w:sz="0" w:space="0" w:color="auto"/>
                                        <w:left w:val="none" w:sz="0" w:space="0" w:color="auto"/>
                                        <w:bottom w:val="none" w:sz="0" w:space="0" w:color="auto"/>
                                        <w:right w:val="none" w:sz="0" w:space="0" w:color="auto"/>
                                      </w:divBdr>
                                    </w:div>
                                  </w:divsChild>
                                </w:div>
                                <w:div w:id="1909880897">
                                  <w:marLeft w:val="0"/>
                                  <w:marRight w:val="0"/>
                                  <w:marTop w:val="0"/>
                                  <w:marBottom w:val="0"/>
                                  <w:divBdr>
                                    <w:top w:val="none" w:sz="0" w:space="0" w:color="auto"/>
                                    <w:left w:val="none" w:sz="0" w:space="0" w:color="auto"/>
                                    <w:bottom w:val="none" w:sz="0" w:space="0" w:color="auto"/>
                                    <w:right w:val="none" w:sz="0" w:space="0" w:color="auto"/>
                                  </w:divBdr>
                                  <w:divsChild>
                                    <w:div w:id="16671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293">
                              <w:marLeft w:val="0"/>
                              <w:marRight w:val="0"/>
                              <w:marTop w:val="0"/>
                              <w:marBottom w:val="0"/>
                              <w:divBdr>
                                <w:top w:val="none" w:sz="0" w:space="0" w:color="auto"/>
                                <w:left w:val="none" w:sz="0" w:space="0" w:color="auto"/>
                                <w:bottom w:val="none" w:sz="0" w:space="0" w:color="auto"/>
                                <w:right w:val="none" w:sz="0" w:space="0" w:color="auto"/>
                              </w:divBdr>
                              <w:divsChild>
                                <w:div w:id="179048566">
                                  <w:marLeft w:val="0"/>
                                  <w:marRight w:val="0"/>
                                  <w:marTop w:val="0"/>
                                  <w:marBottom w:val="0"/>
                                  <w:divBdr>
                                    <w:top w:val="none" w:sz="0" w:space="0" w:color="auto"/>
                                    <w:left w:val="none" w:sz="0" w:space="0" w:color="auto"/>
                                    <w:bottom w:val="none" w:sz="0" w:space="0" w:color="auto"/>
                                    <w:right w:val="none" w:sz="0" w:space="0" w:color="auto"/>
                                  </w:divBdr>
                                  <w:divsChild>
                                    <w:div w:id="1801650937">
                                      <w:marLeft w:val="0"/>
                                      <w:marRight w:val="0"/>
                                      <w:marTop w:val="0"/>
                                      <w:marBottom w:val="0"/>
                                      <w:divBdr>
                                        <w:top w:val="none" w:sz="0" w:space="0" w:color="auto"/>
                                        <w:left w:val="none" w:sz="0" w:space="0" w:color="auto"/>
                                        <w:bottom w:val="none" w:sz="0" w:space="0" w:color="auto"/>
                                        <w:right w:val="none" w:sz="0" w:space="0" w:color="auto"/>
                                      </w:divBdr>
                                    </w:div>
                                  </w:divsChild>
                                </w:div>
                                <w:div w:id="1426028868">
                                  <w:marLeft w:val="0"/>
                                  <w:marRight w:val="0"/>
                                  <w:marTop w:val="0"/>
                                  <w:marBottom w:val="0"/>
                                  <w:divBdr>
                                    <w:top w:val="none" w:sz="0" w:space="0" w:color="auto"/>
                                    <w:left w:val="none" w:sz="0" w:space="0" w:color="auto"/>
                                    <w:bottom w:val="none" w:sz="0" w:space="0" w:color="auto"/>
                                    <w:right w:val="none" w:sz="0" w:space="0" w:color="auto"/>
                                  </w:divBdr>
                                  <w:divsChild>
                                    <w:div w:id="1897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83501">
                          <w:marLeft w:val="0"/>
                          <w:marRight w:val="0"/>
                          <w:marTop w:val="0"/>
                          <w:marBottom w:val="0"/>
                          <w:divBdr>
                            <w:top w:val="none" w:sz="0" w:space="0" w:color="auto"/>
                            <w:left w:val="none" w:sz="0" w:space="0" w:color="auto"/>
                            <w:bottom w:val="none" w:sz="0" w:space="0" w:color="auto"/>
                            <w:right w:val="none" w:sz="0" w:space="0" w:color="auto"/>
                          </w:divBdr>
                          <w:divsChild>
                            <w:div w:id="7059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98070">
              <w:marLeft w:val="0"/>
              <w:marRight w:val="0"/>
              <w:marTop w:val="0"/>
              <w:marBottom w:val="0"/>
              <w:divBdr>
                <w:top w:val="none" w:sz="0" w:space="0" w:color="auto"/>
                <w:left w:val="none" w:sz="0" w:space="0" w:color="auto"/>
                <w:bottom w:val="none" w:sz="0" w:space="0" w:color="auto"/>
                <w:right w:val="none" w:sz="0" w:space="0" w:color="auto"/>
              </w:divBdr>
              <w:divsChild>
                <w:div w:id="1163009488">
                  <w:marLeft w:val="0"/>
                  <w:marRight w:val="0"/>
                  <w:marTop w:val="0"/>
                  <w:marBottom w:val="0"/>
                  <w:divBdr>
                    <w:top w:val="none" w:sz="0" w:space="0" w:color="auto"/>
                    <w:left w:val="none" w:sz="0" w:space="0" w:color="auto"/>
                    <w:bottom w:val="none" w:sz="0" w:space="0" w:color="auto"/>
                    <w:right w:val="none" w:sz="0" w:space="0" w:color="auto"/>
                  </w:divBdr>
                  <w:divsChild>
                    <w:div w:id="64883127">
                      <w:marLeft w:val="0"/>
                      <w:marRight w:val="0"/>
                      <w:marTop w:val="0"/>
                      <w:marBottom w:val="0"/>
                      <w:divBdr>
                        <w:top w:val="none" w:sz="0" w:space="0" w:color="auto"/>
                        <w:left w:val="single" w:sz="24" w:space="0" w:color="5B678C"/>
                        <w:bottom w:val="single" w:sz="24" w:space="0" w:color="5B678C"/>
                        <w:right w:val="single" w:sz="24" w:space="0" w:color="5B678C"/>
                      </w:divBdr>
                      <w:divsChild>
                        <w:div w:id="230042080">
                          <w:marLeft w:val="0"/>
                          <w:marRight w:val="0"/>
                          <w:marTop w:val="0"/>
                          <w:marBottom w:val="0"/>
                          <w:divBdr>
                            <w:top w:val="none" w:sz="0" w:space="0" w:color="auto"/>
                            <w:left w:val="none" w:sz="0" w:space="0" w:color="auto"/>
                            <w:bottom w:val="none" w:sz="0" w:space="0" w:color="auto"/>
                            <w:right w:val="none" w:sz="0" w:space="0" w:color="auto"/>
                          </w:divBdr>
                          <w:divsChild>
                            <w:div w:id="474375742">
                              <w:marLeft w:val="0"/>
                              <w:marRight w:val="0"/>
                              <w:marTop w:val="0"/>
                              <w:marBottom w:val="0"/>
                              <w:divBdr>
                                <w:top w:val="none" w:sz="0" w:space="0" w:color="auto"/>
                                <w:left w:val="none" w:sz="0" w:space="0" w:color="auto"/>
                                <w:bottom w:val="none" w:sz="0" w:space="0" w:color="auto"/>
                                <w:right w:val="none" w:sz="0" w:space="0" w:color="auto"/>
                              </w:divBdr>
                              <w:divsChild>
                                <w:div w:id="1423992227">
                                  <w:marLeft w:val="0"/>
                                  <w:marRight w:val="0"/>
                                  <w:marTop w:val="0"/>
                                  <w:marBottom w:val="0"/>
                                  <w:divBdr>
                                    <w:top w:val="none" w:sz="0" w:space="0" w:color="auto"/>
                                    <w:left w:val="none" w:sz="0" w:space="0" w:color="auto"/>
                                    <w:bottom w:val="none" w:sz="0" w:space="0" w:color="auto"/>
                                    <w:right w:val="none" w:sz="0" w:space="0" w:color="auto"/>
                                  </w:divBdr>
                                  <w:divsChild>
                                    <w:div w:id="109596693">
                                      <w:marLeft w:val="0"/>
                                      <w:marRight w:val="0"/>
                                      <w:marTop w:val="0"/>
                                      <w:marBottom w:val="0"/>
                                      <w:divBdr>
                                        <w:top w:val="none" w:sz="0" w:space="0" w:color="auto"/>
                                        <w:left w:val="none" w:sz="0" w:space="0" w:color="auto"/>
                                        <w:bottom w:val="none" w:sz="0" w:space="0" w:color="auto"/>
                                        <w:right w:val="none" w:sz="0" w:space="0" w:color="auto"/>
                                      </w:divBdr>
                                    </w:div>
                                  </w:divsChild>
                                </w:div>
                                <w:div w:id="1100687921">
                                  <w:marLeft w:val="0"/>
                                  <w:marRight w:val="0"/>
                                  <w:marTop w:val="0"/>
                                  <w:marBottom w:val="0"/>
                                  <w:divBdr>
                                    <w:top w:val="none" w:sz="0" w:space="0" w:color="auto"/>
                                    <w:left w:val="none" w:sz="0" w:space="0" w:color="auto"/>
                                    <w:bottom w:val="none" w:sz="0" w:space="0" w:color="auto"/>
                                    <w:right w:val="none" w:sz="0" w:space="0" w:color="auto"/>
                                  </w:divBdr>
                                  <w:divsChild>
                                    <w:div w:id="748425879">
                                      <w:marLeft w:val="0"/>
                                      <w:marRight w:val="0"/>
                                      <w:marTop w:val="0"/>
                                      <w:marBottom w:val="0"/>
                                      <w:divBdr>
                                        <w:top w:val="none" w:sz="0" w:space="0" w:color="auto"/>
                                        <w:left w:val="none" w:sz="0" w:space="0" w:color="auto"/>
                                        <w:bottom w:val="none" w:sz="0" w:space="0" w:color="auto"/>
                                        <w:right w:val="none" w:sz="0" w:space="0" w:color="auto"/>
                                      </w:divBdr>
                                      <w:divsChild>
                                        <w:div w:id="174273038">
                                          <w:marLeft w:val="0"/>
                                          <w:marRight w:val="0"/>
                                          <w:marTop w:val="0"/>
                                          <w:marBottom w:val="0"/>
                                          <w:divBdr>
                                            <w:top w:val="none" w:sz="0" w:space="0" w:color="auto"/>
                                            <w:left w:val="none" w:sz="0" w:space="0" w:color="auto"/>
                                            <w:bottom w:val="none" w:sz="0" w:space="0" w:color="auto"/>
                                            <w:right w:val="none" w:sz="0" w:space="0" w:color="auto"/>
                                          </w:divBdr>
                                          <w:divsChild>
                                            <w:div w:id="880243650">
                                              <w:marLeft w:val="0"/>
                                              <w:marRight w:val="0"/>
                                              <w:marTop w:val="0"/>
                                              <w:marBottom w:val="0"/>
                                              <w:divBdr>
                                                <w:top w:val="none" w:sz="0" w:space="0" w:color="auto"/>
                                                <w:left w:val="none" w:sz="0" w:space="0" w:color="auto"/>
                                                <w:bottom w:val="none" w:sz="0" w:space="0" w:color="auto"/>
                                                <w:right w:val="none" w:sz="0" w:space="0" w:color="auto"/>
                                              </w:divBdr>
                                            </w:div>
                                          </w:divsChild>
                                        </w:div>
                                        <w:div w:id="2013070424">
                                          <w:marLeft w:val="0"/>
                                          <w:marRight w:val="0"/>
                                          <w:marTop w:val="0"/>
                                          <w:marBottom w:val="0"/>
                                          <w:divBdr>
                                            <w:top w:val="none" w:sz="0" w:space="0" w:color="auto"/>
                                            <w:left w:val="none" w:sz="0" w:space="0" w:color="auto"/>
                                            <w:bottom w:val="none" w:sz="0" w:space="0" w:color="auto"/>
                                            <w:right w:val="none" w:sz="0" w:space="0" w:color="auto"/>
                                          </w:divBdr>
                                          <w:divsChild>
                                            <w:div w:id="1207136517">
                                              <w:marLeft w:val="0"/>
                                              <w:marRight w:val="0"/>
                                              <w:marTop w:val="0"/>
                                              <w:marBottom w:val="0"/>
                                              <w:divBdr>
                                                <w:top w:val="none" w:sz="0" w:space="0" w:color="auto"/>
                                                <w:left w:val="none" w:sz="0" w:space="0" w:color="auto"/>
                                                <w:bottom w:val="none" w:sz="0" w:space="0" w:color="auto"/>
                                                <w:right w:val="none" w:sz="0" w:space="0" w:color="auto"/>
                                              </w:divBdr>
                                            </w:div>
                                          </w:divsChild>
                                        </w:div>
                                        <w:div w:id="1660647323">
                                          <w:marLeft w:val="0"/>
                                          <w:marRight w:val="0"/>
                                          <w:marTop w:val="0"/>
                                          <w:marBottom w:val="0"/>
                                          <w:divBdr>
                                            <w:top w:val="none" w:sz="0" w:space="0" w:color="auto"/>
                                            <w:left w:val="none" w:sz="0" w:space="0" w:color="auto"/>
                                            <w:bottom w:val="none" w:sz="0" w:space="0" w:color="auto"/>
                                            <w:right w:val="none" w:sz="0" w:space="0" w:color="auto"/>
                                          </w:divBdr>
                                          <w:divsChild>
                                            <w:div w:id="882600837">
                                              <w:marLeft w:val="0"/>
                                              <w:marRight w:val="0"/>
                                              <w:marTop w:val="0"/>
                                              <w:marBottom w:val="0"/>
                                              <w:divBdr>
                                                <w:top w:val="none" w:sz="0" w:space="0" w:color="auto"/>
                                                <w:left w:val="none" w:sz="0" w:space="0" w:color="auto"/>
                                                <w:bottom w:val="none" w:sz="0" w:space="0" w:color="auto"/>
                                                <w:right w:val="none" w:sz="0" w:space="0" w:color="auto"/>
                                              </w:divBdr>
                                            </w:div>
                                          </w:divsChild>
                                        </w:div>
                                        <w:div w:id="182789631">
                                          <w:marLeft w:val="0"/>
                                          <w:marRight w:val="0"/>
                                          <w:marTop w:val="0"/>
                                          <w:marBottom w:val="0"/>
                                          <w:divBdr>
                                            <w:top w:val="none" w:sz="0" w:space="0" w:color="auto"/>
                                            <w:left w:val="none" w:sz="0" w:space="0" w:color="auto"/>
                                            <w:bottom w:val="none" w:sz="0" w:space="0" w:color="auto"/>
                                            <w:right w:val="none" w:sz="0" w:space="0" w:color="auto"/>
                                          </w:divBdr>
                                          <w:divsChild>
                                            <w:div w:id="808131760">
                                              <w:marLeft w:val="0"/>
                                              <w:marRight w:val="0"/>
                                              <w:marTop w:val="0"/>
                                              <w:marBottom w:val="0"/>
                                              <w:divBdr>
                                                <w:top w:val="none" w:sz="0" w:space="0" w:color="auto"/>
                                                <w:left w:val="none" w:sz="0" w:space="0" w:color="auto"/>
                                                <w:bottom w:val="none" w:sz="0" w:space="0" w:color="auto"/>
                                                <w:right w:val="none" w:sz="0" w:space="0" w:color="auto"/>
                                              </w:divBdr>
                                            </w:div>
                                          </w:divsChild>
                                        </w:div>
                                        <w:div w:id="544025895">
                                          <w:marLeft w:val="0"/>
                                          <w:marRight w:val="0"/>
                                          <w:marTop w:val="0"/>
                                          <w:marBottom w:val="0"/>
                                          <w:divBdr>
                                            <w:top w:val="none" w:sz="0" w:space="0" w:color="auto"/>
                                            <w:left w:val="none" w:sz="0" w:space="0" w:color="auto"/>
                                            <w:bottom w:val="none" w:sz="0" w:space="0" w:color="auto"/>
                                            <w:right w:val="none" w:sz="0" w:space="0" w:color="auto"/>
                                          </w:divBdr>
                                          <w:divsChild>
                                            <w:div w:id="814755517">
                                              <w:marLeft w:val="0"/>
                                              <w:marRight w:val="0"/>
                                              <w:marTop w:val="0"/>
                                              <w:marBottom w:val="0"/>
                                              <w:divBdr>
                                                <w:top w:val="none" w:sz="0" w:space="0" w:color="auto"/>
                                                <w:left w:val="none" w:sz="0" w:space="0" w:color="auto"/>
                                                <w:bottom w:val="none" w:sz="0" w:space="0" w:color="auto"/>
                                                <w:right w:val="none" w:sz="0" w:space="0" w:color="auto"/>
                                              </w:divBdr>
                                            </w:div>
                                          </w:divsChild>
                                        </w:div>
                                        <w:div w:id="1485851943">
                                          <w:marLeft w:val="0"/>
                                          <w:marRight w:val="0"/>
                                          <w:marTop w:val="0"/>
                                          <w:marBottom w:val="0"/>
                                          <w:divBdr>
                                            <w:top w:val="none" w:sz="0" w:space="0" w:color="auto"/>
                                            <w:left w:val="none" w:sz="0" w:space="0" w:color="auto"/>
                                            <w:bottom w:val="none" w:sz="0" w:space="0" w:color="auto"/>
                                            <w:right w:val="none" w:sz="0" w:space="0" w:color="auto"/>
                                          </w:divBdr>
                                          <w:divsChild>
                                            <w:div w:id="1289972549">
                                              <w:marLeft w:val="0"/>
                                              <w:marRight w:val="0"/>
                                              <w:marTop w:val="0"/>
                                              <w:marBottom w:val="0"/>
                                              <w:divBdr>
                                                <w:top w:val="none" w:sz="0" w:space="0" w:color="auto"/>
                                                <w:left w:val="none" w:sz="0" w:space="0" w:color="auto"/>
                                                <w:bottom w:val="none" w:sz="0" w:space="0" w:color="auto"/>
                                                <w:right w:val="none" w:sz="0" w:space="0" w:color="auto"/>
                                              </w:divBdr>
                                            </w:div>
                                          </w:divsChild>
                                        </w:div>
                                        <w:div w:id="390005610">
                                          <w:marLeft w:val="0"/>
                                          <w:marRight w:val="0"/>
                                          <w:marTop w:val="0"/>
                                          <w:marBottom w:val="0"/>
                                          <w:divBdr>
                                            <w:top w:val="none" w:sz="0" w:space="0" w:color="auto"/>
                                            <w:left w:val="none" w:sz="0" w:space="0" w:color="auto"/>
                                            <w:bottom w:val="none" w:sz="0" w:space="0" w:color="auto"/>
                                            <w:right w:val="none" w:sz="0" w:space="0" w:color="auto"/>
                                          </w:divBdr>
                                          <w:divsChild>
                                            <w:div w:id="1681198625">
                                              <w:marLeft w:val="0"/>
                                              <w:marRight w:val="0"/>
                                              <w:marTop w:val="0"/>
                                              <w:marBottom w:val="0"/>
                                              <w:divBdr>
                                                <w:top w:val="none" w:sz="0" w:space="0" w:color="auto"/>
                                                <w:left w:val="none" w:sz="0" w:space="0" w:color="auto"/>
                                                <w:bottom w:val="none" w:sz="0" w:space="0" w:color="auto"/>
                                                <w:right w:val="none" w:sz="0" w:space="0" w:color="auto"/>
                                              </w:divBdr>
                                            </w:div>
                                          </w:divsChild>
                                        </w:div>
                                        <w:div w:id="1561595104">
                                          <w:marLeft w:val="0"/>
                                          <w:marRight w:val="0"/>
                                          <w:marTop w:val="0"/>
                                          <w:marBottom w:val="0"/>
                                          <w:divBdr>
                                            <w:top w:val="none" w:sz="0" w:space="0" w:color="auto"/>
                                            <w:left w:val="none" w:sz="0" w:space="0" w:color="auto"/>
                                            <w:bottom w:val="none" w:sz="0" w:space="0" w:color="auto"/>
                                            <w:right w:val="none" w:sz="0" w:space="0" w:color="auto"/>
                                          </w:divBdr>
                                          <w:divsChild>
                                            <w:div w:id="336202251">
                                              <w:marLeft w:val="0"/>
                                              <w:marRight w:val="0"/>
                                              <w:marTop w:val="0"/>
                                              <w:marBottom w:val="0"/>
                                              <w:divBdr>
                                                <w:top w:val="none" w:sz="0" w:space="0" w:color="auto"/>
                                                <w:left w:val="none" w:sz="0" w:space="0" w:color="auto"/>
                                                <w:bottom w:val="none" w:sz="0" w:space="0" w:color="auto"/>
                                                <w:right w:val="none" w:sz="0" w:space="0" w:color="auto"/>
                                              </w:divBdr>
                                            </w:div>
                                          </w:divsChild>
                                        </w:div>
                                        <w:div w:id="164367762">
                                          <w:marLeft w:val="0"/>
                                          <w:marRight w:val="0"/>
                                          <w:marTop w:val="0"/>
                                          <w:marBottom w:val="0"/>
                                          <w:divBdr>
                                            <w:top w:val="none" w:sz="0" w:space="0" w:color="auto"/>
                                            <w:left w:val="none" w:sz="0" w:space="0" w:color="auto"/>
                                            <w:bottom w:val="none" w:sz="0" w:space="0" w:color="auto"/>
                                            <w:right w:val="none" w:sz="0" w:space="0" w:color="auto"/>
                                          </w:divBdr>
                                          <w:divsChild>
                                            <w:div w:id="1927762343">
                                              <w:marLeft w:val="0"/>
                                              <w:marRight w:val="0"/>
                                              <w:marTop w:val="0"/>
                                              <w:marBottom w:val="0"/>
                                              <w:divBdr>
                                                <w:top w:val="none" w:sz="0" w:space="0" w:color="auto"/>
                                                <w:left w:val="none" w:sz="0" w:space="0" w:color="auto"/>
                                                <w:bottom w:val="none" w:sz="0" w:space="0" w:color="auto"/>
                                                <w:right w:val="none" w:sz="0" w:space="0" w:color="auto"/>
                                              </w:divBdr>
                                            </w:div>
                                          </w:divsChild>
                                        </w:div>
                                        <w:div w:id="88473644">
                                          <w:marLeft w:val="0"/>
                                          <w:marRight w:val="0"/>
                                          <w:marTop w:val="0"/>
                                          <w:marBottom w:val="0"/>
                                          <w:divBdr>
                                            <w:top w:val="none" w:sz="0" w:space="0" w:color="auto"/>
                                            <w:left w:val="none" w:sz="0" w:space="0" w:color="auto"/>
                                            <w:bottom w:val="none" w:sz="0" w:space="0" w:color="auto"/>
                                            <w:right w:val="none" w:sz="0" w:space="0" w:color="auto"/>
                                          </w:divBdr>
                                          <w:divsChild>
                                            <w:div w:id="815877446">
                                              <w:marLeft w:val="0"/>
                                              <w:marRight w:val="0"/>
                                              <w:marTop w:val="0"/>
                                              <w:marBottom w:val="0"/>
                                              <w:divBdr>
                                                <w:top w:val="none" w:sz="0" w:space="0" w:color="auto"/>
                                                <w:left w:val="none" w:sz="0" w:space="0" w:color="auto"/>
                                                <w:bottom w:val="none" w:sz="0" w:space="0" w:color="auto"/>
                                                <w:right w:val="none" w:sz="0" w:space="0" w:color="auto"/>
                                              </w:divBdr>
                                            </w:div>
                                          </w:divsChild>
                                        </w:div>
                                        <w:div w:id="882640912">
                                          <w:marLeft w:val="0"/>
                                          <w:marRight w:val="0"/>
                                          <w:marTop w:val="0"/>
                                          <w:marBottom w:val="0"/>
                                          <w:divBdr>
                                            <w:top w:val="none" w:sz="0" w:space="0" w:color="auto"/>
                                            <w:left w:val="none" w:sz="0" w:space="0" w:color="auto"/>
                                            <w:bottom w:val="none" w:sz="0" w:space="0" w:color="auto"/>
                                            <w:right w:val="none" w:sz="0" w:space="0" w:color="auto"/>
                                          </w:divBdr>
                                          <w:divsChild>
                                            <w:div w:id="584192069">
                                              <w:marLeft w:val="0"/>
                                              <w:marRight w:val="0"/>
                                              <w:marTop w:val="0"/>
                                              <w:marBottom w:val="0"/>
                                              <w:divBdr>
                                                <w:top w:val="none" w:sz="0" w:space="0" w:color="auto"/>
                                                <w:left w:val="none" w:sz="0" w:space="0" w:color="auto"/>
                                                <w:bottom w:val="none" w:sz="0" w:space="0" w:color="auto"/>
                                                <w:right w:val="none" w:sz="0" w:space="0" w:color="auto"/>
                                              </w:divBdr>
                                            </w:div>
                                          </w:divsChild>
                                        </w:div>
                                        <w:div w:id="1870072253">
                                          <w:marLeft w:val="0"/>
                                          <w:marRight w:val="0"/>
                                          <w:marTop w:val="0"/>
                                          <w:marBottom w:val="0"/>
                                          <w:divBdr>
                                            <w:top w:val="none" w:sz="0" w:space="0" w:color="auto"/>
                                            <w:left w:val="none" w:sz="0" w:space="0" w:color="auto"/>
                                            <w:bottom w:val="none" w:sz="0" w:space="0" w:color="auto"/>
                                            <w:right w:val="none" w:sz="0" w:space="0" w:color="auto"/>
                                          </w:divBdr>
                                          <w:divsChild>
                                            <w:div w:id="1784809655">
                                              <w:marLeft w:val="0"/>
                                              <w:marRight w:val="0"/>
                                              <w:marTop w:val="0"/>
                                              <w:marBottom w:val="0"/>
                                              <w:divBdr>
                                                <w:top w:val="none" w:sz="0" w:space="0" w:color="auto"/>
                                                <w:left w:val="none" w:sz="0" w:space="0" w:color="auto"/>
                                                <w:bottom w:val="none" w:sz="0" w:space="0" w:color="auto"/>
                                                <w:right w:val="none" w:sz="0" w:space="0" w:color="auto"/>
                                              </w:divBdr>
                                            </w:div>
                                          </w:divsChild>
                                        </w:div>
                                        <w:div w:id="1936551377">
                                          <w:marLeft w:val="0"/>
                                          <w:marRight w:val="0"/>
                                          <w:marTop w:val="0"/>
                                          <w:marBottom w:val="0"/>
                                          <w:divBdr>
                                            <w:top w:val="none" w:sz="0" w:space="0" w:color="auto"/>
                                            <w:left w:val="none" w:sz="0" w:space="0" w:color="auto"/>
                                            <w:bottom w:val="none" w:sz="0" w:space="0" w:color="auto"/>
                                            <w:right w:val="none" w:sz="0" w:space="0" w:color="auto"/>
                                          </w:divBdr>
                                          <w:divsChild>
                                            <w:div w:id="873227354">
                                              <w:marLeft w:val="0"/>
                                              <w:marRight w:val="0"/>
                                              <w:marTop w:val="0"/>
                                              <w:marBottom w:val="0"/>
                                              <w:divBdr>
                                                <w:top w:val="none" w:sz="0" w:space="0" w:color="auto"/>
                                                <w:left w:val="none" w:sz="0" w:space="0" w:color="auto"/>
                                                <w:bottom w:val="none" w:sz="0" w:space="0" w:color="auto"/>
                                                <w:right w:val="none" w:sz="0" w:space="0" w:color="auto"/>
                                              </w:divBdr>
                                            </w:div>
                                          </w:divsChild>
                                        </w:div>
                                        <w:div w:id="267543979">
                                          <w:marLeft w:val="0"/>
                                          <w:marRight w:val="0"/>
                                          <w:marTop w:val="0"/>
                                          <w:marBottom w:val="0"/>
                                          <w:divBdr>
                                            <w:top w:val="none" w:sz="0" w:space="0" w:color="auto"/>
                                            <w:left w:val="none" w:sz="0" w:space="0" w:color="auto"/>
                                            <w:bottom w:val="none" w:sz="0" w:space="0" w:color="auto"/>
                                            <w:right w:val="none" w:sz="0" w:space="0" w:color="auto"/>
                                          </w:divBdr>
                                          <w:divsChild>
                                            <w:div w:id="498617269">
                                              <w:marLeft w:val="0"/>
                                              <w:marRight w:val="0"/>
                                              <w:marTop w:val="0"/>
                                              <w:marBottom w:val="0"/>
                                              <w:divBdr>
                                                <w:top w:val="none" w:sz="0" w:space="0" w:color="auto"/>
                                                <w:left w:val="none" w:sz="0" w:space="0" w:color="auto"/>
                                                <w:bottom w:val="none" w:sz="0" w:space="0" w:color="auto"/>
                                                <w:right w:val="none" w:sz="0" w:space="0" w:color="auto"/>
                                              </w:divBdr>
                                            </w:div>
                                          </w:divsChild>
                                        </w:div>
                                        <w:div w:id="1967857870">
                                          <w:marLeft w:val="0"/>
                                          <w:marRight w:val="0"/>
                                          <w:marTop w:val="0"/>
                                          <w:marBottom w:val="0"/>
                                          <w:divBdr>
                                            <w:top w:val="none" w:sz="0" w:space="0" w:color="auto"/>
                                            <w:left w:val="none" w:sz="0" w:space="0" w:color="auto"/>
                                            <w:bottom w:val="none" w:sz="0" w:space="0" w:color="auto"/>
                                            <w:right w:val="none" w:sz="0" w:space="0" w:color="auto"/>
                                          </w:divBdr>
                                          <w:divsChild>
                                            <w:div w:id="2078553969">
                                              <w:marLeft w:val="0"/>
                                              <w:marRight w:val="0"/>
                                              <w:marTop w:val="0"/>
                                              <w:marBottom w:val="0"/>
                                              <w:divBdr>
                                                <w:top w:val="none" w:sz="0" w:space="0" w:color="auto"/>
                                                <w:left w:val="none" w:sz="0" w:space="0" w:color="auto"/>
                                                <w:bottom w:val="none" w:sz="0" w:space="0" w:color="auto"/>
                                                <w:right w:val="none" w:sz="0" w:space="0" w:color="auto"/>
                                              </w:divBdr>
                                            </w:div>
                                          </w:divsChild>
                                        </w:div>
                                        <w:div w:id="1181242165">
                                          <w:marLeft w:val="0"/>
                                          <w:marRight w:val="0"/>
                                          <w:marTop w:val="0"/>
                                          <w:marBottom w:val="0"/>
                                          <w:divBdr>
                                            <w:top w:val="none" w:sz="0" w:space="0" w:color="auto"/>
                                            <w:left w:val="none" w:sz="0" w:space="0" w:color="auto"/>
                                            <w:bottom w:val="none" w:sz="0" w:space="0" w:color="auto"/>
                                            <w:right w:val="none" w:sz="0" w:space="0" w:color="auto"/>
                                          </w:divBdr>
                                          <w:divsChild>
                                            <w:div w:id="111680953">
                                              <w:marLeft w:val="0"/>
                                              <w:marRight w:val="0"/>
                                              <w:marTop w:val="0"/>
                                              <w:marBottom w:val="0"/>
                                              <w:divBdr>
                                                <w:top w:val="none" w:sz="0" w:space="0" w:color="auto"/>
                                                <w:left w:val="none" w:sz="0" w:space="0" w:color="auto"/>
                                                <w:bottom w:val="none" w:sz="0" w:space="0" w:color="auto"/>
                                                <w:right w:val="none" w:sz="0" w:space="0" w:color="auto"/>
                                              </w:divBdr>
                                            </w:div>
                                          </w:divsChild>
                                        </w:div>
                                        <w:div w:id="1523590458">
                                          <w:marLeft w:val="0"/>
                                          <w:marRight w:val="0"/>
                                          <w:marTop w:val="0"/>
                                          <w:marBottom w:val="0"/>
                                          <w:divBdr>
                                            <w:top w:val="none" w:sz="0" w:space="0" w:color="auto"/>
                                            <w:left w:val="none" w:sz="0" w:space="0" w:color="auto"/>
                                            <w:bottom w:val="none" w:sz="0" w:space="0" w:color="auto"/>
                                            <w:right w:val="none" w:sz="0" w:space="0" w:color="auto"/>
                                          </w:divBdr>
                                          <w:divsChild>
                                            <w:div w:id="1233351981">
                                              <w:marLeft w:val="0"/>
                                              <w:marRight w:val="0"/>
                                              <w:marTop w:val="0"/>
                                              <w:marBottom w:val="0"/>
                                              <w:divBdr>
                                                <w:top w:val="none" w:sz="0" w:space="0" w:color="auto"/>
                                                <w:left w:val="none" w:sz="0" w:space="0" w:color="auto"/>
                                                <w:bottom w:val="none" w:sz="0" w:space="0" w:color="auto"/>
                                                <w:right w:val="none" w:sz="0" w:space="0" w:color="auto"/>
                                              </w:divBdr>
                                            </w:div>
                                          </w:divsChild>
                                        </w:div>
                                        <w:div w:id="971911583">
                                          <w:marLeft w:val="0"/>
                                          <w:marRight w:val="0"/>
                                          <w:marTop w:val="0"/>
                                          <w:marBottom w:val="0"/>
                                          <w:divBdr>
                                            <w:top w:val="none" w:sz="0" w:space="0" w:color="auto"/>
                                            <w:left w:val="none" w:sz="0" w:space="0" w:color="auto"/>
                                            <w:bottom w:val="none" w:sz="0" w:space="0" w:color="auto"/>
                                            <w:right w:val="none" w:sz="0" w:space="0" w:color="auto"/>
                                          </w:divBdr>
                                          <w:divsChild>
                                            <w:div w:id="639647840">
                                              <w:marLeft w:val="0"/>
                                              <w:marRight w:val="0"/>
                                              <w:marTop w:val="0"/>
                                              <w:marBottom w:val="0"/>
                                              <w:divBdr>
                                                <w:top w:val="none" w:sz="0" w:space="0" w:color="auto"/>
                                                <w:left w:val="none" w:sz="0" w:space="0" w:color="auto"/>
                                                <w:bottom w:val="none" w:sz="0" w:space="0" w:color="auto"/>
                                                <w:right w:val="none" w:sz="0" w:space="0" w:color="auto"/>
                                              </w:divBdr>
                                            </w:div>
                                          </w:divsChild>
                                        </w:div>
                                        <w:div w:id="793182402">
                                          <w:marLeft w:val="0"/>
                                          <w:marRight w:val="0"/>
                                          <w:marTop w:val="0"/>
                                          <w:marBottom w:val="0"/>
                                          <w:divBdr>
                                            <w:top w:val="none" w:sz="0" w:space="0" w:color="auto"/>
                                            <w:left w:val="none" w:sz="0" w:space="0" w:color="auto"/>
                                            <w:bottom w:val="none" w:sz="0" w:space="0" w:color="auto"/>
                                            <w:right w:val="none" w:sz="0" w:space="0" w:color="auto"/>
                                          </w:divBdr>
                                          <w:divsChild>
                                            <w:div w:id="6506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941806">
              <w:marLeft w:val="0"/>
              <w:marRight w:val="0"/>
              <w:marTop w:val="0"/>
              <w:marBottom w:val="0"/>
              <w:divBdr>
                <w:top w:val="none" w:sz="0" w:space="0" w:color="auto"/>
                <w:left w:val="none" w:sz="0" w:space="0" w:color="auto"/>
                <w:bottom w:val="none" w:sz="0" w:space="0" w:color="auto"/>
                <w:right w:val="none" w:sz="0" w:space="0" w:color="auto"/>
              </w:divBdr>
              <w:divsChild>
                <w:div w:id="1376538151">
                  <w:marLeft w:val="0"/>
                  <w:marRight w:val="0"/>
                  <w:marTop w:val="0"/>
                  <w:marBottom w:val="0"/>
                  <w:divBdr>
                    <w:top w:val="none" w:sz="0" w:space="0" w:color="auto"/>
                    <w:left w:val="none" w:sz="0" w:space="0" w:color="auto"/>
                    <w:bottom w:val="none" w:sz="0" w:space="0" w:color="auto"/>
                    <w:right w:val="none" w:sz="0" w:space="0" w:color="auto"/>
                  </w:divBdr>
                  <w:divsChild>
                    <w:div w:id="2093694759">
                      <w:marLeft w:val="0"/>
                      <w:marRight w:val="0"/>
                      <w:marTop w:val="0"/>
                      <w:marBottom w:val="0"/>
                      <w:divBdr>
                        <w:top w:val="none" w:sz="0" w:space="0" w:color="auto"/>
                        <w:left w:val="single" w:sz="24" w:space="0" w:color="5B678C"/>
                        <w:bottom w:val="single" w:sz="24" w:space="0" w:color="5B678C"/>
                        <w:right w:val="single" w:sz="24" w:space="0" w:color="5B678C"/>
                      </w:divBdr>
                      <w:divsChild>
                        <w:div w:id="1332367028">
                          <w:marLeft w:val="0"/>
                          <w:marRight w:val="0"/>
                          <w:marTop w:val="0"/>
                          <w:marBottom w:val="0"/>
                          <w:divBdr>
                            <w:top w:val="none" w:sz="0" w:space="0" w:color="auto"/>
                            <w:left w:val="none" w:sz="0" w:space="0" w:color="auto"/>
                            <w:bottom w:val="none" w:sz="0" w:space="0" w:color="auto"/>
                            <w:right w:val="none" w:sz="0" w:space="0" w:color="auto"/>
                          </w:divBdr>
                          <w:divsChild>
                            <w:div w:id="2004505114">
                              <w:marLeft w:val="0"/>
                              <w:marRight w:val="0"/>
                              <w:marTop w:val="0"/>
                              <w:marBottom w:val="0"/>
                              <w:divBdr>
                                <w:top w:val="none" w:sz="0" w:space="0" w:color="auto"/>
                                <w:left w:val="none" w:sz="0" w:space="0" w:color="auto"/>
                                <w:bottom w:val="none" w:sz="0" w:space="0" w:color="auto"/>
                                <w:right w:val="none" w:sz="0" w:space="0" w:color="auto"/>
                              </w:divBdr>
                              <w:divsChild>
                                <w:div w:id="261839323">
                                  <w:marLeft w:val="0"/>
                                  <w:marRight w:val="0"/>
                                  <w:marTop w:val="0"/>
                                  <w:marBottom w:val="0"/>
                                  <w:divBdr>
                                    <w:top w:val="none" w:sz="0" w:space="0" w:color="auto"/>
                                    <w:left w:val="none" w:sz="0" w:space="0" w:color="auto"/>
                                    <w:bottom w:val="none" w:sz="0" w:space="0" w:color="auto"/>
                                    <w:right w:val="none" w:sz="0" w:space="0" w:color="auto"/>
                                  </w:divBdr>
                                </w:div>
                                <w:div w:id="1093281283">
                                  <w:marLeft w:val="0"/>
                                  <w:marRight w:val="0"/>
                                  <w:marTop w:val="0"/>
                                  <w:marBottom w:val="0"/>
                                  <w:divBdr>
                                    <w:top w:val="none" w:sz="0" w:space="0" w:color="auto"/>
                                    <w:left w:val="none" w:sz="0" w:space="0" w:color="auto"/>
                                    <w:bottom w:val="none" w:sz="0" w:space="0" w:color="auto"/>
                                    <w:right w:val="none" w:sz="0" w:space="0" w:color="auto"/>
                                  </w:divBdr>
                                  <w:divsChild>
                                    <w:div w:id="104354500">
                                      <w:marLeft w:val="0"/>
                                      <w:marRight w:val="0"/>
                                      <w:marTop w:val="0"/>
                                      <w:marBottom w:val="0"/>
                                      <w:divBdr>
                                        <w:top w:val="none" w:sz="0" w:space="0" w:color="auto"/>
                                        <w:left w:val="none" w:sz="0" w:space="0" w:color="auto"/>
                                        <w:bottom w:val="none" w:sz="0" w:space="0" w:color="auto"/>
                                        <w:right w:val="none" w:sz="0" w:space="0" w:color="auto"/>
                                      </w:divBdr>
                                      <w:divsChild>
                                        <w:div w:id="191309199">
                                          <w:marLeft w:val="0"/>
                                          <w:marRight w:val="0"/>
                                          <w:marTop w:val="0"/>
                                          <w:marBottom w:val="0"/>
                                          <w:divBdr>
                                            <w:top w:val="none" w:sz="0" w:space="0" w:color="auto"/>
                                            <w:left w:val="none" w:sz="0" w:space="0" w:color="auto"/>
                                            <w:bottom w:val="none" w:sz="0" w:space="0" w:color="auto"/>
                                            <w:right w:val="none" w:sz="0" w:space="0" w:color="auto"/>
                                          </w:divBdr>
                                          <w:divsChild>
                                            <w:div w:id="1296177371">
                                              <w:marLeft w:val="0"/>
                                              <w:marRight w:val="0"/>
                                              <w:marTop w:val="0"/>
                                              <w:marBottom w:val="0"/>
                                              <w:divBdr>
                                                <w:top w:val="none" w:sz="0" w:space="0" w:color="auto"/>
                                                <w:left w:val="none" w:sz="0" w:space="0" w:color="auto"/>
                                                <w:bottom w:val="none" w:sz="0" w:space="0" w:color="auto"/>
                                                <w:right w:val="none" w:sz="0" w:space="0" w:color="auto"/>
                                              </w:divBdr>
                                            </w:div>
                                          </w:divsChild>
                                        </w:div>
                                        <w:div w:id="1655065424">
                                          <w:marLeft w:val="0"/>
                                          <w:marRight w:val="0"/>
                                          <w:marTop w:val="0"/>
                                          <w:marBottom w:val="0"/>
                                          <w:divBdr>
                                            <w:top w:val="none" w:sz="0" w:space="0" w:color="auto"/>
                                            <w:left w:val="none" w:sz="0" w:space="0" w:color="auto"/>
                                            <w:bottom w:val="none" w:sz="0" w:space="0" w:color="auto"/>
                                            <w:right w:val="none" w:sz="0" w:space="0" w:color="auto"/>
                                          </w:divBdr>
                                          <w:divsChild>
                                            <w:div w:id="2092971014">
                                              <w:marLeft w:val="0"/>
                                              <w:marRight w:val="0"/>
                                              <w:marTop w:val="0"/>
                                              <w:marBottom w:val="0"/>
                                              <w:divBdr>
                                                <w:top w:val="none" w:sz="0" w:space="0" w:color="auto"/>
                                                <w:left w:val="none" w:sz="0" w:space="0" w:color="auto"/>
                                                <w:bottom w:val="none" w:sz="0" w:space="0" w:color="auto"/>
                                                <w:right w:val="none" w:sz="0" w:space="0" w:color="auto"/>
                                              </w:divBdr>
                                            </w:div>
                                          </w:divsChild>
                                        </w:div>
                                        <w:div w:id="670908667">
                                          <w:marLeft w:val="0"/>
                                          <w:marRight w:val="0"/>
                                          <w:marTop w:val="0"/>
                                          <w:marBottom w:val="0"/>
                                          <w:divBdr>
                                            <w:top w:val="none" w:sz="0" w:space="0" w:color="auto"/>
                                            <w:left w:val="none" w:sz="0" w:space="0" w:color="auto"/>
                                            <w:bottom w:val="none" w:sz="0" w:space="0" w:color="auto"/>
                                            <w:right w:val="none" w:sz="0" w:space="0" w:color="auto"/>
                                          </w:divBdr>
                                          <w:divsChild>
                                            <w:div w:id="1666208471">
                                              <w:marLeft w:val="0"/>
                                              <w:marRight w:val="0"/>
                                              <w:marTop w:val="0"/>
                                              <w:marBottom w:val="0"/>
                                              <w:divBdr>
                                                <w:top w:val="none" w:sz="0" w:space="0" w:color="auto"/>
                                                <w:left w:val="none" w:sz="0" w:space="0" w:color="auto"/>
                                                <w:bottom w:val="none" w:sz="0" w:space="0" w:color="auto"/>
                                                <w:right w:val="none" w:sz="0" w:space="0" w:color="auto"/>
                                              </w:divBdr>
                                            </w:div>
                                          </w:divsChild>
                                        </w:div>
                                        <w:div w:id="464351571">
                                          <w:marLeft w:val="0"/>
                                          <w:marRight w:val="0"/>
                                          <w:marTop w:val="0"/>
                                          <w:marBottom w:val="0"/>
                                          <w:divBdr>
                                            <w:top w:val="none" w:sz="0" w:space="0" w:color="auto"/>
                                            <w:left w:val="none" w:sz="0" w:space="0" w:color="auto"/>
                                            <w:bottom w:val="none" w:sz="0" w:space="0" w:color="auto"/>
                                            <w:right w:val="none" w:sz="0" w:space="0" w:color="auto"/>
                                          </w:divBdr>
                                          <w:divsChild>
                                            <w:div w:id="134950262">
                                              <w:marLeft w:val="0"/>
                                              <w:marRight w:val="0"/>
                                              <w:marTop w:val="0"/>
                                              <w:marBottom w:val="0"/>
                                              <w:divBdr>
                                                <w:top w:val="none" w:sz="0" w:space="0" w:color="auto"/>
                                                <w:left w:val="none" w:sz="0" w:space="0" w:color="auto"/>
                                                <w:bottom w:val="none" w:sz="0" w:space="0" w:color="auto"/>
                                                <w:right w:val="none" w:sz="0" w:space="0" w:color="auto"/>
                                              </w:divBdr>
                                            </w:div>
                                          </w:divsChild>
                                        </w:div>
                                        <w:div w:id="2126927268">
                                          <w:marLeft w:val="0"/>
                                          <w:marRight w:val="0"/>
                                          <w:marTop w:val="0"/>
                                          <w:marBottom w:val="0"/>
                                          <w:divBdr>
                                            <w:top w:val="none" w:sz="0" w:space="0" w:color="auto"/>
                                            <w:left w:val="none" w:sz="0" w:space="0" w:color="auto"/>
                                            <w:bottom w:val="none" w:sz="0" w:space="0" w:color="auto"/>
                                            <w:right w:val="none" w:sz="0" w:space="0" w:color="auto"/>
                                          </w:divBdr>
                                          <w:divsChild>
                                            <w:div w:id="836728947">
                                              <w:marLeft w:val="0"/>
                                              <w:marRight w:val="0"/>
                                              <w:marTop w:val="0"/>
                                              <w:marBottom w:val="0"/>
                                              <w:divBdr>
                                                <w:top w:val="none" w:sz="0" w:space="0" w:color="auto"/>
                                                <w:left w:val="none" w:sz="0" w:space="0" w:color="auto"/>
                                                <w:bottom w:val="none" w:sz="0" w:space="0" w:color="auto"/>
                                                <w:right w:val="none" w:sz="0" w:space="0" w:color="auto"/>
                                              </w:divBdr>
                                            </w:div>
                                          </w:divsChild>
                                        </w:div>
                                        <w:div w:id="682172229">
                                          <w:marLeft w:val="0"/>
                                          <w:marRight w:val="0"/>
                                          <w:marTop w:val="0"/>
                                          <w:marBottom w:val="0"/>
                                          <w:divBdr>
                                            <w:top w:val="none" w:sz="0" w:space="0" w:color="auto"/>
                                            <w:left w:val="none" w:sz="0" w:space="0" w:color="auto"/>
                                            <w:bottom w:val="none" w:sz="0" w:space="0" w:color="auto"/>
                                            <w:right w:val="none" w:sz="0" w:space="0" w:color="auto"/>
                                          </w:divBdr>
                                          <w:divsChild>
                                            <w:div w:id="234242727">
                                              <w:marLeft w:val="0"/>
                                              <w:marRight w:val="0"/>
                                              <w:marTop w:val="0"/>
                                              <w:marBottom w:val="0"/>
                                              <w:divBdr>
                                                <w:top w:val="none" w:sz="0" w:space="0" w:color="auto"/>
                                                <w:left w:val="none" w:sz="0" w:space="0" w:color="auto"/>
                                                <w:bottom w:val="none" w:sz="0" w:space="0" w:color="auto"/>
                                                <w:right w:val="none" w:sz="0" w:space="0" w:color="auto"/>
                                              </w:divBdr>
                                            </w:div>
                                          </w:divsChild>
                                        </w:div>
                                        <w:div w:id="415327713">
                                          <w:marLeft w:val="0"/>
                                          <w:marRight w:val="0"/>
                                          <w:marTop w:val="0"/>
                                          <w:marBottom w:val="0"/>
                                          <w:divBdr>
                                            <w:top w:val="none" w:sz="0" w:space="0" w:color="auto"/>
                                            <w:left w:val="none" w:sz="0" w:space="0" w:color="auto"/>
                                            <w:bottom w:val="none" w:sz="0" w:space="0" w:color="auto"/>
                                            <w:right w:val="none" w:sz="0" w:space="0" w:color="auto"/>
                                          </w:divBdr>
                                          <w:divsChild>
                                            <w:div w:id="764837834">
                                              <w:marLeft w:val="0"/>
                                              <w:marRight w:val="0"/>
                                              <w:marTop w:val="0"/>
                                              <w:marBottom w:val="0"/>
                                              <w:divBdr>
                                                <w:top w:val="none" w:sz="0" w:space="0" w:color="auto"/>
                                                <w:left w:val="none" w:sz="0" w:space="0" w:color="auto"/>
                                                <w:bottom w:val="none" w:sz="0" w:space="0" w:color="auto"/>
                                                <w:right w:val="none" w:sz="0" w:space="0" w:color="auto"/>
                                              </w:divBdr>
                                            </w:div>
                                          </w:divsChild>
                                        </w:div>
                                        <w:div w:id="2065636336">
                                          <w:marLeft w:val="0"/>
                                          <w:marRight w:val="0"/>
                                          <w:marTop w:val="0"/>
                                          <w:marBottom w:val="0"/>
                                          <w:divBdr>
                                            <w:top w:val="none" w:sz="0" w:space="0" w:color="auto"/>
                                            <w:left w:val="none" w:sz="0" w:space="0" w:color="auto"/>
                                            <w:bottom w:val="none" w:sz="0" w:space="0" w:color="auto"/>
                                            <w:right w:val="none" w:sz="0" w:space="0" w:color="auto"/>
                                          </w:divBdr>
                                          <w:divsChild>
                                            <w:div w:id="152988115">
                                              <w:marLeft w:val="0"/>
                                              <w:marRight w:val="0"/>
                                              <w:marTop w:val="0"/>
                                              <w:marBottom w:val="0"/>
                                              <w:divBdr>
                                                <w:top w:val="none" w:sz="0" w:space="0" w:color="auto"/>
                                                <w:left w:val="none" w:sz="0" w:space="0" w:color="auto"/>
                                                <w:bottom w:val="none" w:sz="0" w:space="0" w:color="auto"/>
                                                <w:right w:val="none" w:sz="0" w:space="0" w:color="auto"/>
                                              </w:divBdr>
                                            </w:div>
                                          </w:divsChild>
                                        </w:div>
                                        <w:div w:id="1188326563">
                                          <w:marLeft w:val="0"/>
                                          <w:marRight w:val="0"/>
                                          <w:marTop w:val="0"/>
                                          <w:marBottom w:val="0"/>
                                          <w:divBdr>
                                            <w:top w:val="none" w:sz="0" w:space="0" w:color="auto"/>
                                            <w:left w:val="none" w:sz="0" w:space="0" w:color="auto"/>
                                            <w:bottom w:val="none" w:sz="0" w:space="0" w:color="auto"/>
                                            <w:right w:val="none" w:sz="0" w:space="0" w:color="auto"/>
                                          </w:divBdr>
                                          <w:divsChild>
                                            <w:div w:id="1383095811">
                                              <w:marLeft w:val="0"/>
                                              <w:marRight w:val="0"/>
                                              <w:marTop w:val="0"/>
                                              <w:marBottom w:val="0"/>
                                              <w:divBdr>
                                                <w:top w:val="none" w:sz="0" w:space="0" w:color="auto"/>
                                                <w:left w:val="none" w:sz="0" w:space="0" w:color="auto"/>
                                                <w:bottom w:val="none" w:sz="0" w:space="0" w:color="auto"/>
                                                <w:right w:val="none" w:sz="0" w:space="0" w:color="auto"/>
                                              </w:divBdr>
                                            </w:div>
                                          </w:divsChild>
                                        </w:div>
                                        <w:div w:id="274946331">
                                          <w:marLeft w:val="0"/>
                                          <w:marRight w:val="0"/>
                                          <w:marTop w:val="0"/>
                                          <w:marBottom w:val="0"/>
                                          <w:divBdr>
                                            <w:top w:val="none" w:sz="0" w:space="0" w:color="auto"/>
                                            <w:left w:val="none" w:sz="0" w:space="0" w:color="auto"/>
                                            <w:bottom w:val="none" w:sz="0" w:space="0" w:color="auto"/>
                                            <w:right w:val="none" w:sz="0" w:space="0" w:color="auto"/>
                                          </w:divBdr>
                                          <w:divsChild>
                                            <w:div w:id="1194079830">
                                              <w:marLeft w:val="0"/>
                                              <w:marRight w:val="0"/>
                                              <w:marTop w:val="0"/>
                                              <w:marBottom w:val="0"/>
                                              <w:divBdr>
                                                <w:top w:val="none" w:sz="0" w:space="0" w:color="auto"/>
                                                <w:left w:val="none" w:sz="0" w:space="0" w:color="auto"/>
                                                <w:bottom w:val="none" w:sz="0" w:space="0" w:color="auto"/>
                                                <w:right w:val="none" w:sz="0" w:space="0" w:color="auto"/>
                                              </w:divBdr>
                                            </w:div>
                                          </w:divsChild>
                                        </w:div>
                                        <w:div w:id="21058335">
                                          <w:marLeft w:val="0"/>
                                          <w:marRight w:val="0"/>
                                          <w:marTop w:val="0"/>
                                          <w:marBottom w:val="0"/>
                                          <w:divBdr>
                                            <w:top w:val="none" w:sz="0" w:space="0" w:color="auto"/>
                                            <w:left w:val="none" w:sz="0" w:space="0" w:color="auto"/>
                                            <w:bottom w:val="none" w:sz="0" w:space="0" w:color="auto"/>
                                            <w:right w:val="none" w:sz="0" w:space="0" w:color="auto"/>
                                          </w:divBdr>
                                          <w:divsChild>
                                            <w:div w:id="83504084">
                                              <w:marLeft w:val="0"/>
                                              <w:marRight w:val="0"/>
                                              <w:marTop w:val="0"/>
                                              <w:marBottom w:val="0"/>
                                              <w:divBdr>
                                                <w:top w:val="none" w:sz="0" w:space="0" w:color="auto"/>
                                                <w:left w:val="none" w:sz="0" w:space="0" w:color="auto"/>
                                                <w:bottom w:val="none" w:sz="0" w:space="0" w:color="auto"/>
                                                <w:right w:val="none" w:sz="0" w:space="0" w:color="auto"/>
                                              </w:divBdr>
                                            </w:div>
                                          </w:divsChild>
                                        </w:div>
                                        <w:div w:id="618296539">
                                          <w:marLeft w:val="0"/>
                                          <w:marRight w:val="0"/>
                                          <w:marTop w:val="0"/>
                                          <w:marBottom w:val="0"/>
                                          <w:divBdr>
                                            <w:top w:val="none" w:sz="0" w:space="0" w:color="auto"/>
                                            <w:left w:val="none" w:sz="0" w:space="0" w:color="auto"/>
                                            <w:bottom w:val="none" w:sz="0" w:space="0" w:color="auto"/>
                                            <w:right w:val="none" w:sz="0" w:space="0" w:color="auto"/>
                                          </w:divBdr>
                                          <w:divsChild>
                                            <w:div w:id="1800951828">
                                              <w:marLeft w:val="0"/>
                                              <w:marRight w:val="0"/>
                                              <w:marTop w:val="0"/>
                                              <w:marBottom w:val="0"/>
                                              <w:divBdr>
                                                <w:top w:val="none" w:sz="0" w:space="0" w:color="auto"/>
                                                <w:left w:val="none" w:sz="0" w:space="0" w:color="auto"/>
                                                <w:bottom w:val="none" w:sz="0" w:space="0" w:color="auto"/>
                                                <w:right w:val="none" w:sz="0" w:space="0" w:color="auto"/>
                                              </w:divBdr>
                                            </w:div>
                                          </w:divsChild>
                                        </w:div>
                                        <w:div w:id="1796480288">
                                          <w:marLeft w:val="0"/>
                                          <w:marRight w:val="0"/>
                                          <w:marTop w:val="0"/>
                                          <w:marBottom w:val="0"/>
                                          <w:divBdr>
                                            <w:top w:val="none" w:sz="0" w:space="0" w:color="auto"/>
                                            <w:left w:val="none" w:sz="0" w:space="0" w:color="auto"/>
                                            <w:bottom w:val="none" w:sz="0" w:space="0" w:color="auto"/>
                                            <w:right w:val="none" w:sz="0" w:space="0" w:color="auto"/>
                                          </w:divBdr>
                                          <w:divsChild>
                                            <w:div w:id="644088631">
                                              <w:marLeft w:val="0"/>
                                              <w:marRight w:val="0"/>
                                              <w:marTop w:val="0"/>
                                              <w:marBottom w:val="0"/>
                                              <w:divBdr>
                                                <w:top w:val="none" w:sz="0" w:space="0" w:color="auto"/>
                                                <w:left w:val="none" w:sz="0" w:space="0" w:color="auto"/>
                                                <w:bottom w:val="none" w:sz="0" w:space="0" w:color="auto"/>
                                                <w:right w:val="none" w:sz="0" w:space="0" w:color="auto"/>
                                              </w:divBdr>
                                            </w:div>
                                          </w:divsChild>
                                        </w:div>
                                        <w:div w:id="285820966">
                                          <w:marLeft w:val="0"/>
                                          <w:marRight w:val="0"/>
                                          <w:marTop w:val="0"/>
                                          <w:marBottom w:val="0"/>
                                          <w:divBdr>
                                            <w:top w:val="none" w:sz="0" w:space="0" w:color="auto"/>
                                            <w:left w:val="none" w:sz="0" w:space="0" w:color="auto"/>
                                            <w:bottom w:val="none" w:sz="0" w:space="0" w:color="auto"/>
                                            <w:right w:val="none" w:sz="0" w:space="0" w:color="auto"/>
                                          </w:divBdr>
                                          <w:divsChild>
                                            <w:div w:id="1512453971">
                                              <w:marLeft w:val="0"/>
                                              <w:marRight w:val="0"/>
                                              <w:marTop w:val="0"/>
                                              <w:marBottom w:val="0"/>
                                              <w:divBdr>
                                                <w:top w:val="none" w:sz="0" w:space="0" w:color="auto"/>
                                                <w:left w:val="none" w:sz="0" w:space="0" w:color="auto"/>
                                                <w:bottom w:val="none" w:sz="0" w:space="0" w:color="auto"/>
                                                <w:right w:val="none" w:sz="0" w:space="0" w:color="auto"/>
                                              </w:divBdr>
                                            </w:div>
                                          </w:divsChild>
                                        </w:div>
                                        <w:div w:id="2056927535">
                                          <w:marLeft w:val="0"/>
                                          <w:marRight w:val="0"/>
                                          <w:marTop w:val="0"/>
                                          <w:marBottom w:val="0"/>
                                          <w:divBdr>
                                            <w:top w:val="none" w:sz="0" w:space="0" w:color="auto"/>
                                            <w:left w:val="none" w:sz="0" w:space="0" w:color="auto"/>
                                            <w:bottom w:val="none" w:sz="0" w:space="0" w:color="auto"/>
                                            <w:right w:val="none" w:sz="0" w:space="0" w:color="auto"/>
                                          </w:divBdr>
                                          <w:divsChild>
                                            <w:div w:id="1755127706">
                                              <w:marLeft w:val="0"/>
                                              <w:marRight w:val="0"/>
                                              <w:marTop w:val="0"/>
                                              <w:marBottom w:val="0"/>
                                              <w:divBdr>
                                                <w:top w:val="none" w:sz="0" w:space="0" w:color="auto"/>
                                                <w:left w:val="none" w:sz="0" w:space="0" w:color="auto"/>
                                                <w:bottom w:val="none" w:sz="0" w:space="0" w:color="auto"/>
                                                <w:right w:val="none" w:sz="0" w:space="0" w:color="auto"/>
                                              </w:divBdr>
                                            </w:div>
                                          </w:divsChild>
                                        </w:div>
                                        <w:div w:id="1553227315">
                                          <w:marLeft w:val="0"/>
                                          <w:marRight w:val="0"/>
                                          <w:marTop w:val="0"/>
                                          <w:marBottom w:val="0"/>
                                          <w:divBdr>
                                            <w:top w:val="none" w:sz="0" w:space="0" w:color="auto"/>
                                            <w:left w:val="none" w:sz="0" w:space="0" w:color="auto"/>
                                            <w:bottom w:val="none" w:sz="0" w:space="0" w:color="auto"/>
                                            <w:right w:val="none" w:sz="0" w:space="0" w:color="auto"/>
                                          </w:divBdr>
                                          <w:divsChild>
                                            <w:div w:id="1668559711">
                                              <w:marLeft w:val="0"/>
                                              <w:marRight w:val="0"/>
                                              <w:marTop w:val="0"/>
                                              <w:marBottom w:val="0"/>
                                              <w:divBdr>
                                                <w:top w:val="none" w:sz="0" w:space="0" w:color="auto"/>
                                                <w:left w:val="none" w:sz="0" w:space="0" w:color="auto"/>
                                                <w:bottom w:val="none" w:sz="0" w:space="0" w:color="auto"/>
                                                <w:right w:val="none" w:sz="0" w:space="0" w:color="auto"/>
                                              </w:divBdr>
                                            </w:div>
                                          </w:divsChild>
                                        </w:div>
                                        <w:div w:id="269553202">
                                          <w:marLeft w:val="0"/>
                                          <w:marRight w:val="0"/>
                                          <w:marTop w:val="0"/>
                                          <w:marBottom w:val="0"/>
                                          <w:divBdr>
                                            <w:top w:val="none" w:sz="0" w:space="0" w:color="auto"/>
                                            <w:left w:val="none" w:sz="0" w:space="0" w:color="auto"/>
                                            <w:bottom w:val="none" w:sz="0" w:space="0" w:color="auto"/>
                                            <w:right w:val="none" w:sz="0" w:space="0" w:color="auto"/>
                                          </w:divBdr>
                                          <w:divsChild>
                                            <w:div w:id="1901476812">
                                              <w:marLeft w:val="0"/>
                                              <w:marRight w:val="0"/>
                                              <w:marTop w:val="0"/>
                                              <w:marBottom w:val="0"/>
                                              <w:divBdr>
                                                <w:top w:val="none" w:sz="0" w:space="0" w:color="auto"/>
                                                <w:left w:val="none" w:sz="0" w:space="0" w:color="auto"/>
                                                <w:bottom w:val="none" w:sz="0" w:space="0" w:color="auto"/>
                                                <w:right w:val="none" w:sz="0" w:space="0" w:color="auto"/>
                                              </w:divBdr>
                                            </w:div>
                                          </w:divsChild>
                                        </w:div>
                                        <w:div w:id="1973052856">
                                          <w:marLeft w:val="0"/>
                                          <w:marRight w:val="0"/>
                                          <w:marTop w:val="0"/>
                                          <w:marBottom w:val="0"/>
                                          <w:divBdr>
                                            <w:top w:val="none" w:sz="0" w:space="0" w:color="auto"/>
                                            <w:left w:val="none" w:sz="0" w:space="0" w:color="auto"/>
                                            <w:bottom w:val="none" w:sz="0" w:space="0" w:color="auto"/>
                                            <w:right w:val="none" w:sz="0" w:space="0" w:color="auto"/>
                                          </w:divBdr>
                                          <w:divsChild>
                                            <w:div w:id="316539660">
                                              <w:marLeft w:val="0"/>
                                              <w:marRight w:val="0"/>
                                              <w:marTop w:val="0"/>
                                              <w:marBottom w:val="0"/>
                                              <w:divBdr>
                                                <w:top w:val="none" w:sz="0" w:space="0" w:color="auto"/>
                                                <w:left w:val="none" w:sz="0" w:space="0" w:color="auto"/>
                                                <w:bottom w:val="none" w:sz="0" w:space="0" w:color="auto"/>
                                                <w:right w:val="none" w:sz="0" w:space="0" w:color="auto"/>
                                              </w:divBdr>
                                            </w:div>
                                          </w:divsChild>
                                        </w:div>
                                        <w:div w:id="1454785822">
                                          <w:marLeft w:val="0"/>
                                          <w:marRight w:val="0"/>
                                          <w:marTop w:val="0"/>
                                          <w:marBottom w:val="0"/>
                                          <w:divBdr>
                                            <w:top w:val="none" w:sz="0" w:space="0" w:color="auto"/>
                                            <w:left w:val="none" w:sz="0" w:space="0" w:color="auto"/>
                                            <w:bottom w:val="none" w:sz="0" w:space="0" w:color="auto"/>
                                            <w:right w:val="none" w:sz="0" w:space="0" w:color="auto"/>
                                          </w:divBdr>
                                          <w:divsChild>
                                            <w:div w:id="1473138612">
                                              <w:marLeft w:val="0"/>
                                              <w:marRight w:val="0"/>
                                              <w:marTop w:val="0"/>
                                              <w:marBottom w:val="0"/>
                                              <w:divBdr>
                                                <w:top w:val="none" w:sz="0" w:space="0" w:color="auto"/>
                                                <w:left w:val="none" w:sz="0" w:space="0" w:color="auto"/>
                                                <w:bottom w:val="none" w:sz="0" w:space="0" w:color="auto"/>
                                                <w:right w:val="none" w:sz="0" w:space="0" w:color="auto"/>
                                              </w:divBdr>
                                            </w:div>
                                          </w:divsChild>
                                        </w:div>
                                        <w:div w:id="1283615911">
                                          <w:marLeft w:val="0"/>
                                          <w:marRight w:val="0"/>
                                          <w:marTop w:val="0"/>
                                          <w:marBottom w:val="0"/>
                                          <w:divBdr>
                                            <w:top w:val="none" w:sz="0" w:space="0" w:color="auto"/>
                                            <w:left w:val="none" w:sz="0" w:space="0" w:color="auto"/>
                                            <w:bottom w:val="none" w:sz="0" w:space="0" w:color="auto"/>
                                            <w:right w:val="none" w:sz="0" w:space="0" w:color="auto"/>
                                          </w:divBdr>
                                          <w:divsChild>
                                            <w:div w:id="1035735266">
                                              <w:marLeft w:val="0"/>
                                              <w:marRight w:val="0"/>
                                              <w:marTop w:val="0"/>
                                              <w:marBottom w:val="0"/>
                                              <w:divBdr>
                                                <w:top w:val="none" w:sz="0" w:space="0" w:color="auto"/>
                                                <w:left w:val="none" w:sz="0" w:space="0" w:color="auto"/>
                                                <w:bottom w:val="none" w:sz="0" w:space="0" w:color="auto"/>
                                                <w:right w:val="none" w:sz="0" w:space="0" w:color="auto"/>
                                              </w:divBdr>
                                            </w:div>
                                          </w:divsChild>
                                        </w:div>
                                        <w:div w:id="932470360">
                                          <w:marLeft w:val="0"/>
                                          <w:marRight w:val="0"/>
                                          <w:marTop w:val="0"/>
                                          <w:marBottom w:val="0"/>
                                          <w:divBdr>
                                            <w:top w:val="none" w:sz="0" w:space="0" w:color="auto"/>
                                            <w:left w:val="none" w:sz="0" w:space="0" w:color="auto"/>
                                            <w:bottom w:val="none" w:sz="0" w:space="0" w:color="auto"/>
                                            <w:right w:val="none" w:sz="0" w:space="0" w:color="auto"/>
                                          </w:divBdr>
                                          <w:divsChild>
                                            <w:div w:id="1801726493">
                                              <w:marLeft w:val="0"/>
                                              <w:marRight w:val="0"/>
                                              <w:marTop w:val="0"/>
                                              <w:marBottom w:val="0"/>
                                              <w:divBdr>
                                                <w:top w:val="none" w:sz="0" w:space="0" w:color="auto"/>
                                                <w:left w:val="none" w:sz="0" w:space="0" w:color="auto"/>
                                                <w:bottom w:val="none" w:sz="0" w:space="0" w:color="auto"/>
                                                <w:right w:val="none" w:sz="0" w:space="0" w:color="auto"/>
                                              </w:divBdr>
                                            </w:div>
                                          </w:divsChild>
                                        </w:div>
                                        <w:div w:id="1352032810">
                                          <w:marLeft w:val="0"/>
                                          <w:marRight w:val="0"/>
                                          <w:marTop w:val="0"/>
                                          <w:marBottom w:val="0"/>
                                          <w:divBdr>
                                            <w:top w:val="none" w:sz="0" w:space="0" w:color="auto"/>
                                            <w:left w:val="none" w:sz="0" w:space="0" w:color="auto"/>
                                            <w:bottom w:val="none" w:sz="0" w:space="0" w:color="auto"/>
                                            <w:right w:val="none" w:sz="0" w:space="0" w:color="auto"/>
                                          </w:divBdr>
                                          <w:divsChild>
                                            <w:div w:id="1839340968">
                                              <w:marLeft w:val="0"/>
                                              <w:marRight w:val="0"/>
                                              <w:marTop w:val="0"/>
                                              <w:marBottom w:val="0"/>
                                              <w:divBdr>
                                                <w:top w:val="none" w:sz="0" w:space="0" w:color="auto"/>
                                                <w:left w:val="none" w:sz="0" w:space="0" w:color="auto"/>
                                                <w:bottom w:val="none" w:sz="0" w:space="0" w:color="auto"/>
                                                <w:right w:val="none" w:sz="0" w:space="0" w:color="auto"/>
                                              </w:divBdr>
                                            </w:div>
                                          </w:divsChild>
                                        </w:div>
                                        <w:div w:id="1507331219">
                                          <w:marLeft w:val="0"/>
                                          <w:marRight w:val="0"/>
                                          <w:marTop w:val="0"/>
                                          <w:marBottom w:val="0"/>
                                          <w:divBdr>
                                            <w:top w:val="none" w:sz="0" w:space="0" w:color="auto"/>
                                            <w:left w:val="none" w:sz="0" w:space="0" w:color="auto"/>
                                            <w:bottom w:val="none" w:sz="0" w:space="0" w:color="auto"/>
                                            <w:right w:val="none" w:sz="0" w:space="0" w:color="auto"/>
                                          </w:divBdr>
                                          <w:divsChild>
                                            <w:div w:id="61100977">
                                              <w:marLeft w:val="0"/>
                                              <w:marRight w:val="0"/>
                                              <w:marTop w:val="0"/>
                                              <w:marBottom w:val="0"/>
                                              <w:divBdr>
                                                <w:top w:val="none" w:sz="0" w:space="0" w:color="auto"/>
                                                <w:left w:val="none" w:sz="0" w:space="0" w:color="auto"/>
                                                <w:bottom w:val="none" w:sz="0" w:space="0" w:color="auto"/>
                                                <w:right w:val="none" w:sz="0" w:space="0" w:color="auto"/>
                                              </w:divBdr>
                                            </w:div>
                                          </w:divsChild>
                                        </w:div>
                                        <w:div w:id="393359136">
                                          <w:marLeft w:val="0"/>
                                          <w:marRight w:val="0"/>
                                          <w:marTop w:val="0"/>
                                          <w:marBottom w:val="0"/>
                                          <w:divBdr>
                                            <w:top w:val="none" w:sz="0" w:space="0" w:color="auto"/>
                                            <w:left w:val="none" w:sz="0" w:space="0" w:color="auto"/>
                                            <w:bottom w:val="none" w:sz="0" w:space="0" w:color="auto"/>
                                            <w:right w:val="none" w:sz="0" w:space="0" w:color="auto"/>
                                          </w:divBdr>
                                          <w:divsChild>
                                            <w:div w:id="1679969005">
                                              <w:marLeft w:val="0"/>
                                              <w:marRight w:val="0"/>
                                              <w:marTop w:val="0"/>
                                              <w:marBottom w:val="0"/>
                                              <w:divBdr>
                                                <w:top w:val="none" w:sz="0" w:space="0" w:color="auto"/>
                                                <w:left w:val="none" w:sz="0" w:space="0" w:color="auto"/>
                                                <w:bottom w:val="none" w:sz="0" w:space="0" w:color="auto"/>
                                                <w:right w:val="none" w:sz="0" w:space="0" w:color="auto"/>
                                              </w:divBdr>
                                            </w:div>
                                          </w:divsChild>
                                        </w:div>
                                        <w:div w:id="520973433">
                                          <w:marLeft w:val="0"/>
                                          <w:marRight w:val="0"/>
                                          <w:marTop w:val="0"/>
                                          <w:marBottom w:val="0"/>
                                          <w:divBdr>
                                            <w:top w:val="none" w:sz="0" w:space="0" w:color="auto"/>
                                            <w:left w:val="none" w:sz="0" w:space="0" w:color="auto"/>
                                            <w:bottom w:val="none" w:sz="0" w:space="0" w:color="auto"/>
                                            <w:right w:val="none" w:sz="0" w:space="0" w:color="auto"/>
                                          </w:divBdr>
                                          <w:divsChild>
                                            <w:div w:id="2058819106">
                                              <w:marLeft w:val="0"/>
                                              <w:marRight w:val="0"/>
                                              <w:marTop w:val="0"/>
                                              <w:marBottom w:val="0"/>
                                              <w:divBdr>
                                                <w:top w:val="none" w:sz="0" w:space="0" w:color="auto"/>
                                                <w:left w:val="none" w:sz="0" w:space="0" w:color="auto"/>
                                                <w:bottom w:val="none" w:sz="0" w:space="0" w:color="auto"/>
                                                <w:right w:val="none" w:sz="0" w:space="0" w:color="auto"/>
                                              </w:divBdr>
                                            </w:div>
                                          </w:divsChild>
                                        </w:div>
                                        <w:div w:id="1980839345">
                                          <w:marLeft w:val="0"/>
                                          <w:marRight w:val="0"/>
                                          <w:marTop w:val="0"/>
                                          <w:marBottom w:val="0"/>
                                          <w:divBdr>
                                            <w:top w:val="none" w:sz="0" w:space="0" w:color="auto"/>
                                            <w:left w:val="none" w:sz="0" w:space="0" w:color="auto"/>
                                            <w:bottom w:val="none" w:sz="0" w:space="0" w:color="auto"/>
                                            <w:right w:val="none" w:sz="0" w:space="0" w:color="auto"/>
                                          </w:divBdr>
                                          <w:divsChild>
                                            <w:div w:id="264076003">
                                              <w:marLeft w:val="0"/>
                                              <w:marRight w:val="0"/>
                                              <w:marTop w:val="0"/>
                                              <w:marBottom w:val="0"/>
                                              <w:divBdr>
                                                <w:top w:val="none" w:sz="0" w:space="0" w:color="auto"/>
                                                <w:left w:val="none" w:sz="0" w:space="0" w:color="auto"/>
                                                <w:bottom w:val="none" w:sz="0" w:space="0" w:color="auto"/>
                                                <w:right w:val="none" w:sz="0" w:space="0" w:color="auto"/>
                                              </w:divBdr>
                                            </w:div>
                                          </w:divsChild>
                                        </w:div>
                                        <w:div w:id="1958248066">
                                          <w:marLeft w:val="0"/>
                                          <w:marRight w:val="0"/>
                                          <w:marTop w:val="0"/>
                                          <w:marBottom w:val="0"/>
                                          <w:divBdr>
                                            <w:top w:val="none" w:sz="0" w:space="0" w:color="auto"/>
                                            <w:left w:val="none" w:sz="0" w:space="0" w:color="auto"/>
                                            <w:bottom w:val="none" w:sz="0" w:space="0" w:color="auto"/>
                                            <w:right w:val="none" w:sz="0" w:space="0" w:color="auto"/>
                                          </w:divBdr>
                                          <w:divsChild>
                                            <w:div w:id="1664703501">
                                              <w:marLeft w:val="0"/>
                                              <w:marRight w:val="0"/>
                                              <w:marTop w:val="0"/>
                                              <w:marBottom w:val="0"/>
                                              <w:divBdr>
                                                <w:top w:val="none" w:sz="0" w:space="0" w:color="auto"/>
                                                <w:left w:val="none" w:sz="0" w:space="0" w:color="auto"/>
                                                <w:bottom w:val="none" w:sz="0" w:space="0" w:color="auto"/>
                                                <w:right w:val="none" w:sz="0" w:space="0" w:color="auto"/>
                                              </w:divBdr>
                                            </w:div>
                                          </w:divsChild>
                                        </w:div>
                                        <w:div w:id="134296500">
                                          <w:marLeft w:val="0"/>
                                          <w:marRight w:val="0"/>
                                          <w:marTop w:val="0"/>
                                          <w:marBottom w:val="0"/>
                                          <w:divBdr>
                                            <w:top w:val="none" w:sz="0" w:space="0" w:color="auto"/>
                                            <w:left w:val="none" w:sz="0" w:space="0" w:color="auto"/>
                                            <w:bottom w:val="none" w:sz="0" w:space="0" w:color="auto"/>
                                            <w:right w:val="none" w:sz="0" w:space="0" w:color="auto"/>
                                          </w:divBdr>
                                          <w:divsChild>
                                            <w:div w:id="2058813667">
                                              <w:marLeft w:val="0"/>
                                              <w:marRight w:val="0"/>
                                              <w:marTop w:val="0"/>
                                              <w:marBottom w:val="0"/>
                                              <w:divBdr>
                                                <w:top w:val="none" w:sz="0" w:space="0" w:color="auto"/>
                                                <w:left w:val="none" w:sz="0" w:space="0" w:color="auto"/>
                                                <w:bottom w:val="none" w:sz="0" w:space="0" w:color="auto"/>
                                                <w:right w:val="none" w:sz="0" w:space="0" w:color="auto"/>
                                              </w:divBdr>
                                            </w:div>
                                          </w:divsChild>
                                        </w:div>
                                        <w:div w:id="148327355">
                                          <w:marLeft w:val="0"/>
                                          <w:marRight w:val="0"/>
                                          <w:marTop w:val="0"/>
                                          <w:marBottom w:val="0"/>
                                          <w:divBdr>
                                            <w:top w:val="none" w:sz="0" w:space="0" w:color="auto"/>
                                            <w:left w:val="none" w:sz="0" w:space="0" w:color="auto"/>
                                            <w:bottom w:val="none" w:sz="0" w:space="0" w:color="auto"/>
                                            <w:right w:val="none" w:sz="0" w:space="0" w:color="auto"/>
                                          </w:divBdr>
                                          <w:divsChild>
                                            <w:div w:id="84423393">
                                              <w:marLeft w:val="0"/>
                                              <w:marRight w:val="0"/>
                                              <w:marTop w:val="0"/>
                                              <w:marBottom w:val="0"/>
                                              <w:divBdr>
                                                <w:top w:val="none" w:sz="0" w:space="0" w:color="auto"/>
                                                <w:left w:val="none" w:sz="0" w:space="0" w:color="auto"/>
                                                <w:bottom w:val="none" w:sz="0" w:space="0" w:color="auto"/>
                                                <w:right w:val="none" w:sz="0" w:space="0" w:color="auto"/>
                                              </w:divBdr>
                                            </w:div>
                                          </w:divsChild>
                                        </w:div>
                                        <w:div w:id="1696033776">
                                          <w:marLeft w:val="0"/>
                                          <w:marRight w:val="0"/>
                                          <w:marTop w:val="0"/>
                                          <w:marBottom w:val="0"/>
                                          <w:divBdr>
                                            <w:top w:val="none" w:sz="0" w:space="0" w:color="auto"/>
                                            <w:left w:val="none" w:sz="0" w:space="0" w:color="auto"/>
                                            <w:bottom w:val="none" w:sz="0" w:space="0" w:color="auto"/>
                                            <w:right w:val="none" w:sz="0" w:space="0" w:color="auto"/>
                                          </w:divBdr>
                                          <w:divsChild>
                                            <w:div w:id="1600065897">
                                              <w:marLeft w:val="0"/>
                                              <w:marRight w:val="0"/>
                                              <w:marTop w:val="0"/>
                                              <w:marBottom w:val="0"/>
                                              <w:divBdr>
                                                <w:top w:val="none" w:sz="0" w:space="0" w:color="auto"/>
                                                <w:left w:val="none" w:sz="0" w:space="0" w:color="auto"/>
                                                <w:bottom w:val="none" w:sz="0" w:space="0" w:color="auto"/>
                                                <w:right w:val="none" w:sz="0" w:space="0" w:color="auto"/>
                                              </w:divBdr>
                                            </w:div>
                                          </w:divsChild>
                                        </w:div>
                                        <w:div w:id="1166287743">
                                          <w:marLeft w:val="0"/>
                                          <w:marRight w:val="0"/>
                                          <w:marTop w:val="0"/>
                                          <w:marBottom w:val="0"/>
                                          <w:divBdr>
                                            <w:top w:val="none" w:sz="0" w:space="0" w:color="auto"/>
                                            <w:left w:val="none" w:sz="0" w:space="0" w:color="auto"/>
                                            <w:bottom w:val="none" w:sz="0" w:space="0" w:color="auto"/>
                                            <w:right w:val="none" w:sz="0" w:space="0" w:color="auto"/>
                                          </w:divBdr>
                                          <w:divsChild>
                                            <w:div w:id="180321928">
                                              <w:marLeft w:val="0"/>
                                              <w:marRight w:val="0"/>
                                              <w:marTop w:val="0"/>
                                              <w:marBottom w:val="0"/>
                                              <w:divBdr>
                                                <w:top w:val="none" w:sz="0" w:space="0" w:color="auto"/>
                                                <w:left w:val="none" w:sz="0" w:space="0" w:color="auto"/>
                                                <w:bottom w:val="none" w:sz="0" w:space="0" w:color="auto"/>
                                                <w:right w:val="none" w:sz="0" w:space="0" w:color="auto"/>
                                              </w:divBdr>
                                            </w:div>
                                          </w:divsChild>
                                        </w:div>
                                        <w:div w:id="1901944326">
                                          <w:marLeft w:val="0"/>
                                          <w:marRight w:val="0"/>
                                          <w:marTop w:val="0"/>
                                          <w:marBottom w:val="0"/>
                                          <w:divBdr>
                                            <w:top w:val="none" w:sz="0" w:space="0" w:color="auto"/>
                                            <w:left w:val="none" w:sz="0" w:space="0" w:color="auto"/>
                                            <w:bottom w:val="none" w:sz="0" w:space="0" w:color="auto"/>
                                            <w:right w:val="none" w:sz="0" w:space="0" w:color="auto"/>
                                          </w:divBdr>
                                          <w:divsChild>
                                            <w:div w:id="1446655450">
                                              <w:marLeft w:val="0"/>
                                              <w:marRight w:val="0"/>
                                              <w:marTop w:val="0"/>
                                              <w:marBottom w:val="0"/>
                                              <w:divBdr>
                                                <w:top w:val="none" w:sz="0" w:space="0" w:color="auto"/>
                                                <w:left w:val="none" w:sz="0" w:space="0" w:color="auto"/>
                                                <w:bottom w:val="none" w:sz="0" w:space="0" w:color="auto"/>
                                                <w:right w:val="none" w:sz="0" w:space="0" w:color="auto"/>
                                              </w:divBdr>
                                            </w:div>
                                          </w:divsChild>
                                        </w:div>
                                        <w:div w:id="1874684208">
                                          <w:marLeft w:val="0"/>
                                          <w:marRight w:val="0"/>
                                          <w:marTop w:val="0"/>
                                          <w:marBottom w:val="0"/>
                                          <w:divBdr>
                                            <w:top w:val="none" w:sz="0" w:space="0" w:color="auto"/>
                                            <w:left w:val="none" w:sz="0" w:space="0" w:color="auto"/>
                                            <w:bottom w:val="none" w:sz="0" w:space="0" w:color="auto"/>
                                            <w:right w:val="none" w:sz="0" w:space="0" w:color="auto"/>
                                          </w:divBdr>
                                          <w:divsChild>
                                            <w:div w:id="565380376">
                                              <w:marLeft w:val="0"/>
                                              <w:marRight w:val="0"/>
                                              <w:marTop w:val="0"/>
                                              <w:marBottom w:val="0"/>
                                              <w:divBdr>
                                                <w:top w:val="none" w:sz="0" w:space="0" w:color="auto"/>
                                                <w:left w:val="none" w:sz="0" w:space="0" w:color="auto"/>
                                                <w:bottom w:val="none" w:sz="0" w:space="0" w:color="auto"/>
                                                <w:right w:val="none" w:sz="0" w:space="0" w:color="auto"/>
                                              </w:divBdr>
                                            </w:div>
                                          </w:divsChild>
                                        </w:div>
                                        <w:div w:id="217595447">
                                          <w:marLeft w:val="0"/>
                                          <w:marRight w:val="0"/>
                                          <w:marTop w:val="0"/>
                                          <w:marBottom w:val="0"/>
                                          <w:divBdr>
                                            <w:top w:val="none" w:sz="0" w:space="0" w:color="auto"/>
                                            <w:left w:val="none" w:sz="0" w:space="0" w:color="auto"/>
                                            <w:bottom w:val="none" w:sz="0" w:space="0" w:color="auto"/>
                                            <w:right w:val="none" w:sz="0" w:space="0" w:color="auto"/>
                                          </w:divBdr>
                                          <w:divsChild>
                                            <w:div w:id="2097363092">
                                              <w:marLeft w:val="0"/>
                                              <w:marRight w:val="0"/>
                                              <w:marTop w:val="0"/>
                                              <w:marBottom w:val="0"/>
                                              <w:divBdr>
                                                <w:top w:val="none" w:sz="0" w:space="0" w:color="auto"/>
                                                <w:left w:val="none" w:sz="0" w:space="0" w:color="auto"/>
                                                <w:bottom w:val="none" w:sz="0" w:space="0" w:color="auto"/>
                                                <w:right w:val="none" w:sz="0" w:space="0" w:color="auto"/>
                                              </w:divBdr>
                                            </w:div>
                                          </w:divsChild>
                                        </w:div>
                                        <w:div w:id="1631091400">
                                          <w:marLeft w:val="0"/>
                                          <w:marRight w:val="0"/>
                                          <w:marTop w:val="0"/>
                                          <w:marBottom w:val="0"/>
                                          <w:divBdr>
                                            <w:top w:val="none" w:sz="0" w:space="0" w:color="auto"/>
                                            <w:left w:val="none" w:sz="0" w:space="0" w:color="auto"/>
                                            <w:bottom w:val="none" w:sz="0" w:space="0" w:color="auto"/>
                                            <w:right w:val="none" w:sz="0" w:space="0" w:color="auto"/>
                                          </w:divBdr>
                                          <w:divsChild>
                                            <w:div w:id="1650401475">
                                              <w:marLeft w:val="0"/>
                                              <w:marRight w:val="0"/>
                                              <w:marTop w:val="0"/>
                                              <w:marBottom w:val="0"/>
                                              <w:divBdr>
                                                <w:top w:val="none" w:sz="0" w:space="0" w:color="auto"/>
                                                <w:left w:val="none" w:sz="0" w:space="0" w:color="auto"/>
                                                <w:bottom w:val="none" w:sz="0" w:space="0" w:color="auto"/>
                                                <w:right w:val="none" w:sz="0" w:space="0" w:color="auto"/>
                                              </w:divBdr>
                                            </w:div>
                                          </w:divsChild>
                                        </w:div>
                                        <w:div w:id="680933551">
                                          <w:marLeft w:val="0"/>
                                          <w:marRight w:val="0"/>
                                          <w:marTop w:val="0"/>
                                          <w:marBottom w:val="0"/>
                                          <w:divBdr>
                                            <w:top w:val="none" w:sz="0" w:space="0" w:color="auto"/>
                                            <w:left w:val="none" w:sz="0" w:space="0" w:color="auto"/>
                                            <w:bottom w:val="none" w:sz="0" w:space="0" w:color="auto"/>
                                            <w:right w:val="none" w:sz="0" w:space="0" w:color="auto"/>
                                          </w:divBdr>
                                          <w:divsChild>
                                            <w:div w:id="2068995199">
                                              <w:marLeft w:val="0"/>
                                              <w:marRight w:val="0"/>
                                              <w:marTop w:val="0"/>
                                              <w:marBottom w:val="0"/>
                                              <w:divBdr>
                                                <w:top w:val="none" w:sz="0" w:space="0" w:color="auto"/>
                                                <w:left w:val="none" w:sz="0" w:space="0" w:color="auto"/>
                                                <w:bottom w:val="none" w:sz="0" w:space="0" w:color="auto"/>
                                                <w:right w:val="none" w:sz="0" w:space="0" w:color="auto"/>
                                              </w:divBdr>
                                            </w:div>
                                          </w:divsChild>
                                        </w:div>
                                        <w:div w:id="359088059">
                                          <w:marLeft w:val="0"/>
                                          <w:marRight w:val="0"/>
                                          <w:marTop w:val="0"/>
                                          <w:marBottom w:val="0"/>
                                          <w:divBdr>
                                            <w:top w:val="none" w:sz="0" w:space="0" w:color="auto"/>
                                            <w:left w:val="none" w:sz="0" w:space="0" w:color="auto"/>
                                            <w:bottom w:val="none" w:sz="0" w:space="0" w:color="auto"/>
                                            <w:right w:val="none" w:sz="0" w:space="0" w:color="auto"/>
                                          </w:divBdr>
                                          <w:divsChild>
                                            <w:div w:id="890384595">
                                              <w:marLeft w:val="0"/>
                                              <w:marRight w:val="0"/>
                                              <w:marTop w:val="0"/>
                                              <w:marBottom w:val="0"/>
                                              <w:divBdr>
                                                <w:top w:val="none" w:sz="0" w:space="0" w:color="auto"/>
                                                <w:left w:val="none" w:sz="0" w:space="0" w:color="auto"/>
                                                <w:bottom w:val="none" w:sz="0" w:space="0" w:color="auto"/>
                                                <w:right w:val="none" w:sz="0" w:space="0" w:color="auto"/>
                                              </w:divBdr>
                                            </w:div>
                                          </w:divsChild>
                                        </w:div>
                                        <w:div w:id="415831042">
                                          <w:marLeft w:val="0"/>
                                          <w:marRight w:val="0"/>
                                          <w:marTop w:val="0"/>
                                          <w:marBottom w:val="0"/>
                                          <w:divBdr>
                                            <w:top w:val="none" w:sz="0" w:space="0" w:color="auto"/>
                                            <w:left w:val="none" w:sz="0" w:space="0" w:color="auto"/>
                                            <w:bottom w:val="none" w:sz="0" w:space="0" w:color="auto"/>
                                            <w:right w:val="none" w:sz="0" w:space="0" w:color="auto"/>
                                          </w:divBdr>
                                          <w:divsChild>
                                            <w:div w:id="355735854">
                                              <w:marLeft w:val="0"/>
                                              <w:marRight w:val="0"/>
                                              <w:marTop w:val="0"/>
                                              <w:marBottom w:val="0"/>
                                              <w:divBdr>
                                                <w:top w:val="none" w:sz="0" w:space="0" w:color="auto"/>
                                                <w:left w:val="none" w:sz="0" w:space="0" w:color="auto"/>
                                                <w:bottom w:val="none" w:sz="0" w:space="0" w:color="auto"/>
                                                <w:right w:val="none" w:sz="0" w:space="0" w:color="auto"/>
                                              </w:divBdr>
                                            </w:div>
                                          </w:divsChild>
                                        </w:div>
                                        <w:div w:id="1333603595">
                                          <w:marLeft w:val="0"/>
                                          <w:marRight w:val="0"/>
                                          <w:marTop w:val="0"/>
                                          <w:marBottom w:val="0"/>
                                          <w:divBdr>
                                            <w:top w:val="none" w:sz="0" w:space="0" w:color="auto"/>
                                            <w:left w:val="none" w:sz="0" w:space="0" w:color="auto"/>
                                            <w:bottom w:val="none" w:sz="0" w:space="0" w:color="auto"/>
                                            <w:right w:val="none" w:sz="0" w:space="0" w:color="auto"/>
                                          </w:divBdr>
                                          <w:divsChild>
                                            <w:div w:id="451827236">
                                              <w:marLeft w:val="0"/>
                                              <w:marRight w:val="0"/>
                                              <w:marTop w:val="0"/>
                                              <w:marBottom w:val="0"/>
                                              <w:divBdr>
                                                <w:top w:val="none" w:sz="0" w:space="0" w:color="auto"/>
                                                <w:left w:val="none" w:sz="0" w:space="0" w:color="auto"/>
                                                <w:bottom w:val="none" w:sz="0" w:space="0" w:color="auto"/>
                                                <w:right w:val="none" w:sz="0" w:space="0" w:color="auto"/>
                                              </w:divBdr>
                                            </w:div>
                                          </w:divsChild>
                                        </w:div>
                                        <w:div w:id="304749503">
                                          <w:marLeft w:val="0"/>
                                          <w:marRight w:val="0"/>
                                          <w:marTop w:val="0"/>
                                          <w:marBottom w:val="0"/>
                                          <w:divBdr>
                                            <w:top w:val="none" w:sz="0" w:space="0" w:color="auto"/>
                                            <w:left w:val="none" w:sz="0" w:space="0" w:color="auto"/>
                                            <w:bottom w:val="none" w:sz="0" w:space="0" w:color="auto"/>
                                            <w:right w:val="none" w:sz="0" w:space="0" w:color="auto"/>
                                          </w:divBdr>
                                          <w:divsChild>
                                            <w:div w:id="75832973">
                                              <w:marLeft w:val="0"/>
                                              <w:marRight w:val="0"/>
                                              <w:marTop w:val="0"/>
                                              <w:marBottom w:val="0"/>
                                              <w:divBdr>
                                                <w:top w:val="none" w:sz="0" w:space="0" w:color="auto"/>
                                                <w:left w:val="none" w:sz="0" w:space="0" w:color="auto"/>
                                                <w:bottom w:val="none" w:sz="0" w:space="0" w:color="auto"/>
                                                <w:right w:val="none" w:sz="0" w:space="0" w:color="auto"/>
                                              </w:divBdr>
                                            </w:div>
                                          </w:divsChild>
                                        </w:div>
                                        <w:div w:id="667248379">
                                          <w:marLeft w:val="0"/>
                                          <w:marRight w:val="0"/>
                                          <w:marTop w:val="0"/>
                                          <w:marBottom w:val="0"/>
                                          <w:divBdr>
                                            <w:top w:val="none" w:sz="0" w:space="0" w:color="auto"/>
                                            <w:left w:val="none" w:sz="0" w:space="0" w:color="auto"/>
                                            <w:bottom w:val="none" w:sz="0" w:space="0" w:color="auto"/>
                                            <w:right w:val="none" w:sz="0" w:space="0" w:color="auto"/>
                                          </w:divBdr>
                                          <w:divsChild>
                                            <w:div w:id="102502676">
                                              <w:marLeft w:val="0"/>
                                              <w:marRight w:val="0"/>
                                              <w:marTop w:val="0"/>
                                              <w:marBottom w:val="0"/>
                                              <w:divBdr>
                                                <w:top w:val="none" w:sz="0" w:space="0" w:color="auto"/>
                                                <w:left w:val="none" w:sz="0" w:space="0" w:color="auto"/>
                                                <w:bottom w:val="none" w:sz="0" w:space="0" w:color="auto"/>
                                                <w:right w:val="none" w:sz="0" w:space="0" w:color="auto"/>
                                              </w:divBdr>
                                            </w:div>
                                          </w:divsChild>
                                        </w:div>
                                        <w:div w:id="2013215050">
                                          <w:marLeft w:val="0"/>
                                          <w:marRight w:val="0"/>
                                          <w:marTop w:val="0"/>
                                          <w:marBottom w:val="0"/>
                                          <w:divBdr>
                                            <w:top w:val="none" w:sz="0" w:space="0" w:color="auto"/>
                                            <w:left w:val="none" w:sz="0" w:space="0" w:color="auto"/>
                                            <w:bottom w:val="none" w:sz="0" w:space="0" w:color="auto"/>
                                            <w:right w:val="none" w:sz="0" w:space="0" w:color="auto"/>
                                          </w:divBdr>
                                          <w:divsChild>
                                            <w:div w:id="1352026374">
                                              <w:marLeft w:val="0"/>
                                              <w:marRight w:val="0"/>
                                              <w:marTop w:val="0"/>
                                              <w:marBottom w:val="0"/>
                                              <w:divBdr>
                                                <w:top w:val="none" w:sz="0" w:space="0" w:color="auto"/>
                                                <w:left w:val="none" w:sz="0" w:space="0" w:color="auto"/>
                                                <w:bottom w:val="none" w:sz="0" w:space="0" w:color="auto"/>
                                                <w:right w:val="none" w:sz="0" w:space="0" w:color="auto"/>
                                              </w:divBdr>
                                            </w:div>
                                          </w:divsChild>
                                        </w:div>
                                        <w:div w:id="679625056">
                                          <w:marLeft w:val="0"/>
                                          <w:marRight w:val="0"/>
                                          <w:marTop w:val="0"/>
                                          <w:marBottom w:val="0"/>
                                          <w:divBdr>
                                            <w:top w:val="none" w:sz="0" w:space="0" w:color="auto"/>
                                            <w:left w:val="none" w:sz="0" w:space="0" w:color="auto"/>
                                            <w:bottom w:val="none" w:sz="0" w:space="0" w:color="auto"/>
                                            <w:right w:val="none" w:sz="0" w:space="0" w:color="auto"/>
                                          </w:divBdr>
                                          <w:divsChild>
                                            <w:div w:id="1973439578">
                                              <w:marLeft w:val="0"/>
                                              <w:marRight w:val="0"/>
                                              <w:marTop w:val="0"/>
                                              <w:marBottom w:val="0"/>
                                              <w:divBdr>
                                                <w:top w:val="none" w:sz="0" w:space="0" w:color="auto"/>
                                                <w:left w:val="none" w:sz="0" w:space="0" w:color="auto"/>
                                                <w:bottom w:val="none" w:sz="0" w:space="0" w:color="auto"/>
                                                <w:right w:val="none" w:sz="0" w:space="0" w:color="auto"/>
                                              </w:divBdr>
                                            </w:div>
                                          </w:divsChild>
                                        </w:div>
                                        <w:div w:id="704986154">
                                          <w:marLeft w:val="0"/>
                                          <w:marRight w:val="0"/>
                                          <w:marTop w:val="0"/>
                                          <w:marBottom w:val="0"/>
                                          <w:divBdr>
                                            <w:top w:val="none" w:sz="0" w:space="0" w:color="auto"/>
                                            <w:left w:val="none" w:sz="0" w:space="0" w:color="auto"/>
                                            <w:bottom w:val="none" w:sz="0" w:space="0" w:color="auto"/>
                                            <w:right w:val="none" w:sz="0" w:space="0" w:color="auto"/>
                                          </w:divBdr>
                                          <w:divsChild>
                                            <w:div w:id="594820909">
                                              <w:marLeft w:val="0"/>
                                              <w:marRight w:val="0"/>
                                              <w:marTop w:val="0"/>
                                              <w:marBottom w:val="0"/>
                                              <w:divBdr>
                                                <w:top w:val="none" w:sz="0" w:space="0" w:color="auto"/>
                                                <w:left w:val="none" w:sz="0" w:space="0" w:color="auto"/>
                                                <w:bottom w:val="none" w:sz="0" w:space="0" w:color="auto"/>
                                                <w:right w:val="none" w:sz="0" w:space="0" w:color="auto"/>
                                              </w:divBdr>
                                            </w:div>
                                          </w:divsChild>
                                        </w:div>
                                        <w:div w:id="405997535">
                                          <w:marLeft w:val="0"/>
                                          <w:marRight w:val="0"/>
                                          <w:marTop w:val="0"/>
                                          <w:marBottom w:val="0"/>
                                          <w:divBdr>
                                            <w:top w:val="none" w:sz="0" w:space="0" w:color="auto"/>
                                            <w:left w:val="none" w:sz="0" w:space="0" w:color="auto"/>
                                            <w:bottom w:val="none" w:sz="0" w:space="0" w:color="auto"/>
                                            <w:right w:val="none" w:sz="0" w:space="0" w:color="auto"/>
                                          </w:divBdr>
                                          <w:divsChild>
                                            <w:div w:id="852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1729">
                                  <w:marLeft w:val="0"/>
                                  <w:marRight w:val="0"/>
                                  <w:marTop w:val="0"/>
                                  <w:marBottom w:val="0"/>
                                  <w:divBdr>
                                    <w:top w:val="none" w:sz="0" w:space="0" w:color="auto"/>
                                    <w:left w:val="none" w:sz="0" w:space="0" w:color="auto"/>
                                    <w:bottom w:val="none" w:sz="0" w:space="0" w:color="auto"/>
                                    <w:right w:val="none" w:sz="0" w:space="0" w:color="auto"/>
                                  </w:divBdr>
                                  <w:divsChild>
                                    <w:div w:id="13455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864827">
              <w:marLeft w:val="0"/>
              <w:marRight w:val="0"/>
              <w:marTop w:val="0"/>
              <w:marBottom w:val="0"/>
              <w:divBdr>
                <w:top w:val="none" w:sz="0" w:space="0" w:color="auto"/>
                <w:left w:val="none" w:sz="0" w:space="0" w:color="auto"/>
                <w:bottom w:val="none" w:sz="0" w:space="0" w:color="auto"/>
                <w:right w:val="none" w:sz="0" w:space="0" w:color="auto"/>
              </w:divBdr>
            </w:div>
            <w:div w:id="1252544447">
              <w:marLeft w:val="0"/>
              <w:marRight w:val="0"/>
              <w:marTop w:val="0"/>
              <w:marBottom w:val="0"/>
              <w:divBdr>
                <w:top w:val="single" w:sz="18" w:space="0" w:color="DADADA"/>
                <w:left w:val="none" w:sz="0" w:space="0" w:color="auto"/>
                <w:bottom w:val="none" w:sz="0" w:space="0" w:color="auto"/>
                <w:right w:val="none" w:sz="0" w:space="0" w:color="auto"/>
              </w:divBdr>
              <w:divsChild>
                <w:div w:id="1844054066">
                  <w:marLeft w:val="0"/>
                  <w:marRight w:val="0"/>
                  <w:marTop w:val="0"/>
                  <w:marBottom w:val="0"/>
                  <w:divBdr>
                    <w:top w:val="none" w:sz="0" w:space="0" w:color="auto"/>
                    <w:left w:val="none" w:sz="0" w:space="0" w:color="auto"/>
                    <w:bottom w:val="none" w:sz="0" w:space="0" w:color="auto"/>
                    <w:right w:val="none" w:sz="0" w:space="0" w:color="auto"/>
                  </w:divBdr>
                  <w:divsChild>
                    <w:div w:id="1247303924">
                      <w:marLeft w:val="0"/>
                      <w:marRight w:val="0"/>
                      <w:marTop w:val="0"/>
                      <w:marBottom w:val="0"/>
                      <w:divBdr>
                        <w:top w:val="none" w:sz="0" w:space="0" w:color="auto"/>
                        <w:left w:val="none" w:sz="0" w:space="0" w:color="auto"/>
                        <w:bottom w:val="none" w:sz="0" w:space="0" w:color="auto"/>
                        <w:right w:val="none" w:sz="0" w:space="0" w:color="auto"/>
                      </w:divBdr>
                    </w:div>
                    <w:div w:id="948393342">
                      <w:marLeft w:val="0"/>
                      <w:marRight w:val="0"/>
                      <w:marTop w:val="0"/>
                      <w:marBottom w:val="0"/>
                      <w:divBdr>
                        <w:top w:val="none" w:sz="0" w:space="0" w:color="auto"/>
                        <w:left w:val="none" w:sz="0" w:space="0" w:color="auto"/>
                        <w:bottom w:val="none" w:sz="0" w:space="0" w:color="auto"/>
                        <w:right w:val="none" w:sz="0" w:space="0" w:color="auto"/>
                      </w:divBdr>
                      <w:divsChild>
                        <w:div w:id="120269541">
                          <w:marLeft w:val="0"/>
                          <w:marRight w:val="0"/>
                          <w:marTop w:val="0"/>
                          <w:marBottom w:val="0"/>
                          <w:divBdr>
                            <w:top w:val="none" w:sz="0" w:space="0" w:color="auto"/>
                            <w:left w:val="none" w:sz="0" w:space="0" w:color="auto"/>
                            <w:bottom w:val="none" w:sz="0" w:space="0" w:color="auto"/>
                            <w:right w:val="none" w:sz="0" w:space="0" w:color="auto"/>
                          </w:divBdr>
                          <w:divsChild>
                            <w:div w:id="6727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1283">
                  <w:marLeft w:val="0"/>
                  <w:marRight w:val="0"/>
                  <w:marTop w:val="0"/>
                  <w:marBottom w:val="0"/>
                  <w:divBdr>
                    <w:top w:val="none" w:sz="0" w:space="0" w:color="auto"/>
                    <w:left w:val="none" w:sz="0" w:space="0" w:color="auto"/>
                    <w:bottom w:val="none" w:sz="0" w:space="0" w:color="auto"/>
                    <w:right w:val="none" w:sz="0" w:space="0" w:color="auto"/>
                  </w:divBdr>
                  <w:divsChild>
                    <w:div w:id="1583878216">
                      <w:marLeft w:val="0"/>
                      <w:marRight w:val="0"/>
                      <w:marTop w:val="0"/>
                      <w:marBottom w:val="0"/>
                      <w:divBdr>
                        <w:top w:val="none" w:sz="0" w:space="0" w:color="auto"/>
                        <w:left w:val="none" w:sz="0" w:space="0" w:color="auto"/>
                        <w:bottom w:val="none" w:sz="0" w:space="0" w:color="auto"/>
                        <w:right w:val="none" w:sz="0" w:space="0" w:color="auto"/>
                      </w:divBdr>
                    </w:div>
                    <w:div w:id="667027683">
                      <w:marLeft w:val="0"/>
                      <w:marRight w:val="0"/>
                      <w:marTop w:val="0"/>
                      <w:marBottom w:val="0"/>
                      <w:divBdr>
                        <w:top w:val="none" w:sz="0" w:space="0" w:color="auto"/>
                        <w:left w:val="none" w:sz="0" w:space="0" w:color="auto"/>
                        <w:bottom w:val="none" w:sz="0" w:space="0" w:color="auto"/>
                        <w:right w:val="none" w:sz="0" w:space="0" w:color="auto"/>
                      </w:divBdr>
                      <w:divsChild>
                        <w:div w:id="411970060">
                          <w:marLeft w:val="0"/>
                          <w:marRight w:val="0"/>
                          <w:marTop w:val="0"/>
                          <w:marBottom w:val="0"/>
                          <w:divBdr>
                            <w:top w:val="none" w:sz="0" w:space="0" w:color="auto"/>
                            <w:left w:val="none" w:sz="0" w:space="0" w:color="auto"/>
                            <w:bottom w:val="none" w:sz="0" w:space="0" w:color="auto"/>
                            <w:right w:val="none" w:sz="0" w:space="0" w:color="auto"/>
                          </w:divBdr>
                          <w:divsChild>
                            <w:div w:id="8105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2234">
                  <w:marLeft w:val="0"/>
                  <w:marRight w:val="0"/>
                  <w:marTop w:val="0"/>
                  <w:marBottom w:val="0"/>
                  <w:divBdr>
                    <w:top w:val="none" w:sz="0" w:space="0" w:color="auto"/>
                    <w:left w:val="none" w:sz="0" w:space="0" w:color="auto"/>
                    <w:bottom w:val="none" w:sz="0" w:space="0" w:color="auto"/>
                    <w:right w:val="none" w:sz="0" w:space="0" w:color="auto"/>
                  </w:divBdr>
                  <w:divsChild>
                    <w:div w:id="1302467653">
                      <w:marLeft w:val="0"/>
                      <w:marRight w:val="0"/>
                      <w:marTop w:val="0"/>
                      <w:marBottom w:val="0"/>
                      <w:divBdr>
                        <w:top w:val="none" w:sz="0" w:space="0" w:color="auto"/>
                        <w:left w:val="none" w:sz="0" w:space="0" w:color="auto"/>
                        <w:bottom w:val="none" w:sz="0" w:space="0" w:color="auto"/>
                        <w:right w:val="none" w:sz="0" w:space="0" w:color="auto"/>
                      </w:divBdr>
                    </w:div>
                    <w:div w:id="1947810778">
                      <w:marLeft w:val="0"/>
                      <w:marRight w:val="0"/>
                      <w:marTop w:val="0"/>
                      <w:marBottom w:val="0"/>
                      <w:divBdr>
                        <w:top w:val="none" w:sz="0" w:space="0" w:color="auto"/>
                        <w:left w:val="none" w:sz="0" w:space="0" w:color="auto"/>
                        <w:bottom w:val="none" w:sz="0" w:space="0" w:color="auto"/>
                        <w:right w:val="none" w:sz="0" w:space="0" w:color="auto"/>
                      </w:divBdr>
                      <w:divsChild>
                        <w:div w:id="1781491325">
                          <w:marLeft w:val="0"/>
                          <w:marRight w:val="0"/>
                          <w:marTop w:val="0"/>
                          <w:marBottom w:val="0"/>
                          <w:divBdr>
                            <w:top w:val="none" w:sz="0" w:space="0" w:color="auto"/>
                            <w:left w:val="none" w:sz="0" w:space="0" w:color="auto"/>
                            <w:bottom w:val="none" w:sz="0" w:space="0" w:color="auto"/>
                            <w:right w:val="none" w:sz="0" w:space="0" w:color="auto"/>
                          </w:divBdr>
                          <w:divsChild>
                            <w:div w:id="5411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49503">
                  <w:marLeft w:val="0"/>
                  <w:marRight w:val="0"/>
                  <w:marTop w:val="0"/>
                  <w:marBottom w:val="0"/>
                  <w:divBdr>
                    <w:top w:val="none" w:sz="0" w:space="0" w:color="auto"/>
                    <w:left w:val="none" w:sz="0" w:space="0" w:color="auto"/>
                    <w:bottom w:val="none" w:sz="0" w:space="0" w:color="auto"/>
                    <w:right w:val="none" w:sz="0" w:space="0" w:color="auto"/>
                  </w:divBdr>
                  <w:divsChild>
                    <w:div w:id="593367373">
                      <w:marLeft w:val="0"/>
                      <w:marRight w:val="0"/>
                      <w:marTop w:val="0"/>
                      <w:marBottom w:val="0"/>
                      <w:divBdr>
                        <w:top w:val="none" w:sz="0" w:space="0" w:color="auto"/>
                        <w:left w:val="none" w:sz="0" w:space="0" w:color="auto"/>
                        <w:bottom w:val="none" w:sz="0" w:space="0" w:color="auto"/>
                        <w:right w:val="none" w:sz="0" w:space="0" w:color="auto"/>
                      </w:divBdr>
                    </w:div>
                    <w:div w:id="1063065628">
                      <w:marLeft w:val="0"/>
                      <w:marRight w:val="0"/>
                      <w:marTop w:val="0"/>
                      <w:marBottom w:val="0"/>
                      <w:divBdr>
                        <w:top w:val="none" w:sz="0" w:space="0" w:color="auto"/>
                        <w:left w:val="none" w:sz="0" w:space="0" w:color="auto"/>
                        <w:bottom w:val="none" w:sz="0" w:space="0" w:color="auto"/>
                        <w:right w:val="none" w:sz="0" w:space="0" w:color="auto"/>
                      </w:divBdr>
                      <w:divsChild>
                        <w:div w:id="570695570">
                          <w:marLeft w:val="0"/>
                          <w:marRight w:val="0"/>
                          <w:marTop w:val="0"/>
                          <w:marBottom w:val="0"/>
                          <w:divBdr>
                            <w:top w:val="none" w:sz="0" w:space="0" w:color="auto"/>
                            <w:left w:val="none" w:sz="0" w:space="0" w:color="auto"/>
                            <w:bottom w:val="none" w:sz="0" w:space="0" w:color="auto"/>
                            <w:right w:val="none" w:sz="0" w:space="0" w:color="auto"/>
                          </w:divBdr>
                          <w:divsChild>
                            <w:div w:id="8453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94634">
                  <w:marLeft w:val="0"/>
                  <w:marRight w:val="0"/>
                  <w:marTop w:val="0"/>
                  <w:marBottom w:val="0"/>
                  <w:divBdr>
                    <w:top w:val="none" w:sz="0" w:space="0" w:color="auto"/>
                    <w:left w:val="none" w:sz="0" w:space="0" w:color="auto"/>
                    <w:bottom w:val="none" w:sz="0" w:space="0" w:color="auto"/>
                    <w:right w:val="none" w:sz="0" w:space="0" w:color="auto"/>
                  </w:divBdr>
                  <w:divsChild>
                    <w:div w:id="494956334">
                      <w:marLeft w:val="0"/>
                      <w:marRight w:val="0"/>
                      <w:marTop w:val="0"/>
                      <w:marBottom w:val="0"/>
                      <w:divBdr>
                        <w:top w:val="none" w:sz="0" w:space="0" w:color="auto"/>
                        <w:left w:val="none" w:sz="0" w:space="0" w:color="auto"/>
                        <w:bottom w:val="none" w:sz="0" w:space="0" w:color="auto"/>
                        <w:right w:val="none" w:sz="0" w:space="0" w:color="auto"/>
                      </w:divBdr>
                    </w:div>
                    <w:div w:id="757168790">
                      <w:marLeft w:val="0"/>
                      <w:marRight w:val="0"/>
                      <w:marTop w:val="0"/>
                      <w:marBottom w:val="0"/>
                      <w:divBdr>
                        <w:top w:val="none" w:sz="0" w:space="0" w:color="auto"/>
                        <w:left w:val="none" w:sz="0" w:space="0" w:color="auto"/>
                        <w:bottom w:val="none" w:sz="0" w:space="0" w:color="auto"/>
                        <w:right w:val="none" w:sz="0" w:space="0" w:color="auto"/>
                      </w:divBdr>
                      <w:divsChild>
                        <w:div w:id="232931937">
                          <w:marLeft w:val="0"/>
                          <w:marRight w:val="0"/>
                          <w:marTop w:val="0"/>
                          <w:marBottom w:val="0"/>
                          <w:divBdr>
                            <w:top w:val="none" w:sz="0" w:space="0" w:color="auto"/>
                            <w:left w:val="none" w:sz="0" w:space="0" w:color="auto"/>
                            <w:bottom w:val="none" w:sz="0" w:space="0" w:color="auto"/>
                            <w:right w:val="none" w:sz="0" w:space="0" w:color="auto"/>
                          </w:divBdr>
                          <w:divsChild>
                            <w:div w:id="1593003186">
                              <w:marLeft w:val="0"/>
                              <w:marRight w:val="0"/>
                              <w:marTop w:val="0"/>
                              <w:marBottom w:val="0"/>
                              <w:divBdr>
                                <w:top w:val="none" w:sz="0" w:space="0" w:color="auto"/>
                                <w:left w:val="none" w:sz="0" w:space="0" w:color="auto"/>
                                <w:bottom w:val="none" w:sz="0" w:space="0" w:color="auto"/>
                                <w:right w:val="none" w:sz="0" w:space="0" w:color="auto"/>
                              </w:divBdr>
                            </w:div>
                            <w:div w:id="694116346">
                              <w:marLeft w:val="0"/>
                              <w:marRight w:val="0"/>
                              <w:marTop w:val="0"/>
                              <w:marBottom w:val="0"/>
                              <w:divBdr>
                                <w:top w:val="none" w:sz="0" w:space="0" w:color="auto"/>
                                <w:left w:val="none" w:sz="0" w:space="0" w:color="auto"/>
                                <w:bottom w:val="none" w:sz="0" w:space="0" w:color="auto"/>
                                <w:right w:val="none" w:sz="0" w:space="0" w:color="auto"/>
                              </w:divBdr>
                              <w:divsChild>
                                <w:div w:id="1516261326">
                                  <w:marLeft w:val="0"/>
                                  <w:marRight w:val="0"/>
                                  <w:marTop w:val="0"/>
                                  <w:marBottom w:val="0"/>
                                  <w:divBdr>
                                    <w:top w:val="none" w:sz="0" w:space="0" w:color="auto"/>
                                    <w:left w:val="none" w:sz="0" w:space="0" w:color="auto"/>
                                    <w:bottom w:val="none" w:sz="0" w:space="0" w:color="auto"/>
                                    <w:right w:val="none" w:sz="0" w:space="0" w:color="auto"/>
                                  </w:divBdr>
                                </w:div>
                              </w:divsChild>
                            </w:div>
                            <w:div w:id="576791309">
                              <w:marLeft w:val="0"/>
                              <w:marRight w:val="0"/>
                              <w:marTop w:val="0"/>
                              <w:marBottom w:val="0"/>
                              <w:divBdr>
                                <w:top w:val="none" w:sz="0" w:space="0" w:color="auto"/>
                                <w:left w:val="none" w:sz="0" w:space="0" w:color="auto"/>
                                <w:bottom w:val="none" w:sz="0" w:space="0" w:color="auto"/>
                                <w:right w:val="none" w:sz="0" w:space="0" w:color="auto"/>
                              </w:divBdr>
                              <w:divsChild>
                                <w:div w:id="376123910">
                                  <w:marLeft w:val="0"/>
                                  <w:marRight w:val="0"/>
                                  <w:marTop w:val="0"/>
                                  <w:marBottom w:val="0"/>
                                  <w:divBdr>
                                    <w:top w:val="none" w:sz="0" w:space="0" w:color="auto"/>
                                    <w:left w:val="none" w:sz="0" w:space="0" w:color="auto"/>
                                    <w:bottom w:val="none" w:sz="0" w:space="0" w:color="auto"/>
                                    <w:right w:val="none" w:sz="0" w:space="0" w:color="auto"/>
                                  </w:divBdr>
                                </w:div>
                              </w:divsChild>
                            </w:div>
                            <w:div w:id="265886641">
                              <w:marLeft w:val="0"/>
                              <w:marRight w:val="0"/>
                              <w:marTop w:val="0"/>
                              <w:marBottom w:val="0"/>
                              <w:divBdr>
                                <w:top w:val="none" w:sz="0" w:space="0" w:color="auto"/>
                                <w:left w:val="none" w:sz="0" w:space="0" w:color="auto"/>
                                <w:bottom w:val="none" w:sz="0" w:space="0" w:color="auto"/>
                                <w:right w:val="none" w:sz="0" w:space="0" w:color="auto"/>
                              </w:divBdr>
                              <w:divsChild>
                                <w:div w:id="1275598790">
                                  <w:marLeft w:val="0"/>
                                  <w:marRight w:val="0"/>
                                  <w:marTop w:val="0"/>
                                  <w:marBottom w:val="0"/>
                                  <w:divBdr>
                                    <w:top w:val="none" w:sz="0" w:space="0" w:color="auto"/>
                                    <w:left w:val="none" w:sz="0" w:space="0" w:color="auto"/>
                                    <w:bottom w:val="none" w:sz="0" w:space="0" w:color="auto"/>
                                    <w:right w:val="none" w:sz="0" w:space="0" w:color="auto"/>
                                  </w:divBdr>
                                </w:div>
                              </w:divsChild>
                            </w:div>
                            <w:div w:id="897471624">
                              <w:marLeft w:val="0"/>
                              <w:marRight w:val="0"/>
                              <w:marTop w:val="0"/>
                              <w:marBottom w:val="0"/>
                              <w:divBdr>
                                <w:top w:val="none" w:sz="0" w:space="0" w:color="auto"/>
                                <w:left w:val="none" w:sz="0" w:space="0" w:color="auto"/>
                                <w:bottom w:val="none" w:sz="0" w:space="0" w:color="auto"/>
                                <w:right w:val="none" w:sz="0" w:space="0" w:color="auto"/>
                              </w:divBdr>
                              <w:divsChild>
                                <w:div w:id="18281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036110">
                  <w:marLeft w:val="0"/>
                  <w:marRight w:val="0"/>
                  <w:marTop w:val="0"/>
                  <w:marBottom w:val="0"/>
                  <w:divBdr>
                    <w:top w:val="none" w:sz="0" w:space="0" w:color="auto"/>
                    <w:left w:val="none" w:sz="0" w:space="0" w:color="auto"/>
                    <w:bottom w:val="none" w:sz="0" w:space="0" w:color="auto"/>
                    <w:right w:val="none" w:sz="0" w:space="0" w:color="auto"/>
                  </w:divBdr>
                  <w:divsChild>
                    <w:div w:id="377897937">
                      <w:marLeft w:val="0"/>
                      <w:marRight w:val="0"/>
                      <w:marTop w:val="0"/>
                      <w:marBottom w:val="0"/>
                      <w:divBdr>
                        <w:top w:val="none" w:sz="0" w:space="0" w:color="auto"/>
                        <w:left w:val="none" w:sz="0" w:space="0" w:color="auto"/>
                        <w:bottom w:val="none" w:sz="0" w:space="0" w:color="auto"/>
                        <w:right w:val="none" w:sz="0" w:space="0" w:color="auto"/>
                      </w:divBdr>
                    </w:div>
                    <w:div w:id="397750321">
                      <w:marLeft w:val="0"/>
                      <w:marRight w:val="0"/>
                      <w:marTop w:val="0"/>
                      <w:marBottom w:val="0"/>
                      <w:divBdr>
                        <w:top w:val="none" w:sz="0" w:space="0" w:color="auto"/>
                        <w:left w:val="none" w:sz="0" w:space="0" w:color="auto"/>
                        <w:bottom w:val="none" w:sz="0" w:space="0" w:color="auto"/>
                        <w:right w:val="none" w:sz="0" w:space="0" w:color="auto"/>
                      </w:divBdr>
                      <w:divsChild>
                        <w:div w:id="1369337681">
                          <w:marLeft w:val="0"/>
                          <w:marRight w:val="0"/>
                          <w:marTop w:val="0"/>
                          <w:marBottom w:val="0"/>
                          <w:divBdr>
                            <w:top w:val="none" w:sz="0" w:space="0" w:color="auto"/>
                            <w:left w:val="none" w:sz="0" w:space="0" w:color="auto"/>
                            <w:bottom w:val="none" w:sz="0" w:space="0" w:color="auto"/>
                            <w:right w:val="none" w:sz="0" w:space="0" w:color="auto"/>
                          </w:divBdr>
                          <w:divsChild>
                            <w:div w:id="12613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4904">
                  <w:marLeft w:val="0"/>
                  <w:marRight w:val="0"/>
                  <w:marTop w:val="0"/>
                  <w:marBottom w:val="0"/>
                  <w:divBdr>
                    <w:top w:val="none" w:sz="0" w:space="0" w:color="auto"/>
                    <w:left w:val="none" w:sz="0" w:space="0" w:color="auto"/>
                    <w:bottom w:val="none" w:sz="0" w:space="0" w:color="auto"/>
                    <w:right w:val="none" w:sz="0" w:space="0" w:color="auto"/>
                  </w:divBdr>
                  <w:divsChild>
                    <w:div w:id="1011758122">
                      <w:marLeft w:val="0"/>
                      <w:marRight w:val="0"/>
                      <w:marTop w:val="0"/>
                      <w:marBottom w:val="0"/>
                      <w:divBdr>
                        <w:top w:val="none" w:sz="0" w:space="0" w:color="auto"/>
                        <w:left w:val="none" w:sz="0" w:space="0" w:color="auto"/>
                        <w:bottom w:val="none" w:sz="0" w:space="0" w:color="auto"/>
                        <w:right w:val="none" w:sz="0" w:space="0" w:color="auto"/>
                      </w:divBdr>
                    </w:div>
                    <w:div w:id="416942675">
                      <w:marLeft w:val="0"/>
                      <w:marRight w:val="0"/>
                      <w:marTop w:val="0"/>
                      <w:marBottom w:val="0"/>
                      <w:divBdr>
                        <w:top w:val="none" w:sz="0" w:space="0" w:color="auto"/>
                        <w:left w:val="none" w:sz="0" w:space="0" w:color="auto"/>
                        <w:bottom w:val="none" w:sz="0" w:space="0" w:color="auto"/>
                        <w:right w:val="none" w:sz="0" w:space="0" w:color="auto"/>
                      </w:divBdr>
                      <w:divsChild>
                        <w:div w:id="1455098704">
                          <w:marLeft w:val="0"/>
                          <w:marRight w:val="0"/>
                          <w:marTop w:val="0"/>
                          <w:marBottom w:val="0"/>
                          <w:divBdr>
                            <w:top w:val="none" w:sz="0" w:space="0" w:color="auto"/>
                            <w:left w:val="none" w:sz="0" w:space="0" w:color="auto"/>
                            <w:bottom w:val="none" w:sz="0" w:space="0" w:color="auto"/>
                            <w:right w:val="none" w:sz="0" w:space="0" w:color="auto"/>
                          </w:divBdr>
                          <w:divsChild>
                            <w:div w:id="9732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52743">
                  <w:marLeft w:val="0"/>
                  <w:marRight w:val="0"/>
                  <w:marTop w:val="0"/>
                  <w:marBottom w:val="0"/>
                  <w:divBdr>
                    <w:top w:val="none" w:sz="0" w:space="0" w:color="auto"/>
                    <w:left w:val="none" w:sz="0" w:space="0" w:color="auto"/>
                    <w:bottom w:val="none" w:sz="0" w:space="0" w:color="auto"/>
                    <w:right w:val="none" w:sz="0" w:space="0" w:color="auto"/>
                  </w:divBdr>
                  <w:divsChild>
                    <w:div w:id="1795364530">
                      <w:marLeft w:val="0"/>
                      <w:marRight w:val="0"/>
                      <w:marTop w:val="0"/>
                      <w:marBottom w:val="0"/>
                      <w:divBdr>
                        <w:top w:val="none" w:sz="0" w:space="0" w:color="auto"/>
                        <w:left w:val="none" w:sz="0" w:space="0" w:color="auto"/>
                        <w:bottom w:val="none" w:sz="0" w:space="0" w:color="auto"/>
                        <w:right w:val="none" w:sz="0" w:space="0" w:color="auto"/>
                      </w:divBdr>
                    </w:div>
                    <w:div w:id="881598503">
                      <w:marLeft w:val="0"/>
                      <w:marRight w:val="0"/>
                      <w:marTop w:val="0"/>
                      <w:marBottom w:val="0"/>
                      <w:divBdr>
                        <w:top w:val="none" w:sz="0" w:space="0" w:color="auto"/>
                        <w:left w:val="none" w:sz="0" w:space="0" w:color="auto"/>
                        <w:bottom w:val="none" w:sz="0" w:space="0" w:color="auto"/>
                        <w:right w:val="none" w:sz="0" w:space="0" w:color="auto"/>
                      </w:divBdr>
                      <w:divsChild>
                        <w:div w:id="933974974">
                          <w:marLeft w:val="0"/>
                          <w:marRight w:val="0"/>
                          <w:marTop w:val="0"/>
                          <w:marBottom w:val="0"/>
                          <w:divBdr>
                            <w:top w:val="none" w:sz="0" w:space="0" w:color="auto"/>
                            <w:left w:val="none" w:sz="0" w:space="0" w:color="auto"/>
                            <w:bottom w:val="none" w:sz="0" w:space="0" w:color="auto"/>
                            <w:right w:val="none" w:sz="0" w:space="0" w:color="auto"/>
                          </w:divBdr>
                          <w:divsChild>
                            <w:div w:id="11053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3929">
                  <w:marLeft w:val="0"/>
                  <w:marRight w:val="0"/>
                  <w:marTop w:val="0"/>
                  <w:marBottom w:val="0"/>
                  <w:divBdr>
                    <w:top w:val="none" w:sz="0" w:space="0" w:color="auto"/>
                    <w:left w:val="none" w:sz="0" w:space="0" w:color="auto"/>
                    <w:bottom w:val="none" w:sz="0" w:space="0" w:color="auto"/>
                    <w:right w:val="none" w:sz="0" w:space="0" w:color="auto"/>
                  </w:divBdr>
                  <w:divsChild>
                    <w:div w:id="215315764">
                      <w:marLeft w:val="0"/>
                      <w:marRight w:val="0"/>
                      <w:marTop w:val="0"/>
                      <w:marBottom w:val="0"/>
                      <w:divBdr>
                        <w:top w:val="none" w:sz="0" w:space="0" w:color="auto"/>
                        <w:left w:val="none" w:sz="0" w:space="0" w:color="auto"/>
                        <w:bottom w:val="none" w:sz="0" w:space="0" w:color="auto"/>
                        <w:right w:val="none" w:sz="0" w:space="0" w:color="auto"/>
                      </w:divBdr>
                    </w:div>
                    <w:div w:id="777913780">
                      <w:marLeft w:val="0"/>
                      <w:marRight w:val="0"/>
                      <w:marTop w:val="0"/>
                      <w:marBottom w:val="0"/>
                      <w:divBdr>
                        <w:top w:val="none" w:sz="0" w:space="0" w:color="auto"/>
                        <w:left w:val="none" w:sz="0" w:space="0" w:color="auto"/>
                        <w:bottom w:val="none" w:sz="0" w:space="0" w:color="auto"/>
                        <w:right w:val="none" w:sz="0" w:space="0" w:color="auto"/>
                      </w:divBdr>
                      <w:divsChild>
                        <w:div w:id="1368531207">
                          <w:marLeft w:val="0"/>
                          <w:marRight w:val="0"/>
                          <w:marTop w:val="0"/>
                          <w:marBottom w:val="0"/>
                          <w:divBdr>
                            <w:top w:val="none" w:sz="0" w:space="0" w:color="auto"/>
                            <w:left w:val="none" w:sz="0" w:space="0" w:color="auto"/>
                            <w:bottom w:val="none" w:sz="0" w:space="0" w:color="auto"/>
                            <w:right w:val="none" w:sz="0" w:space="0" w:color="auto"/>
                          </w:divBdr>
                          <w:divsChild>
                            <w:div w:id="20427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7250">
                  <w:marLeft w:val="0"/>
                  <w:marRight w:val="0"/>
                  <w:marTop w:val="0"/>
                  <w:marBottom w:val="0"/>
                  <w:divBdr>
                    <w:top w:val="none" w:sz="0" w:space="0" w:color="auto"/>
                    <w:left w:val="none" w:sz="0" w:space="0" w:color="auto"/>
                    <w:bottom w:val="none" w:sz="0" w:space="0" w:color="auto"/>
                    <w:right w:val="none" w:sz="0" w:space="0" w:color="auto"/>
                  </w:divBdr>
                  <w:divsChild>
                    <w:div w:id="856580511">
                      <w:marLeft w:val="0"/>
                      <w:marRight w:val="0"/>
                      <w:marTop w:val="0"/>
                      <w:marBottom w:val="0"/>
                      <w:divBdr>
                        <w:top w:val="none" w:sz="0" w:space="0" w:color="auto"/>
                        <w:left w:val="none" w:sz="0" w:space="0" w:color="auto"/>
                        <w:bottom w:val="none" w:sz="0" w:space="0" w:color="auto"/>
                        <w:right w:val="none" w:sz="0" w:space="0" w:color="auto"/>
                      </w:divBdr>
                    </w:div>
                    <w:div w:id="1550067208">
                      <w:marLeft w:val="0"/>
                      <w:marRight w:val="0"/>
                      <w:marTop w:val="0"/>
                      <w:marBottom w:val="0"/>
                      <w:divBdr>
                        <w:top w:val="none" w:sz="0" w:space="0" w:color="auto"/>
                        <w:left w:val="none" w:sz="0" w:space="0" w:color="auto"/>
                        <w:bottom w:val="none" w:sz="0" w:space="0" w:color="auto"/>
                        <w:right w:val="none" w:sz="0" w:space="0" w:color="auto"/>
                      </w:divBdr>
                      <w:divsChild>
                        <w:div w:id="998845856">
                          <w:marLeft w:val="0"/>
                          <w:marRight w:val="0"/>
                          <w:marTop w:val="0"/>
                          <w:marBottom w:val="0"/>
                          <w:divBdr>
                            <w:top w:val="none" w:sz="0" w:space="0" w:color="auto"/>
                            <w:left w:val="none" w:sz="0" w:space="0" w:color="auto"/>
                            <w:bottom w:val="none" w:sz="0" w:space="0" w:color="auto"/>
                            <w:right w:val="none" w:sz="0" w:space="0" w:color="auto"/>
                          </w:divBdr>
                          <w:divsChild>
                            <w:div w:id="612784437">
                              <w:marLeft w:val="0"/>
                              <w:marRight w:val="0"/>
                              <w:marTop w:val="0"/>
                              <w:marBottom w:val="0"/>
                              <w:divBdr>
                                <w:top w:val="none" w:sz="0" w:space="0" w:color="auto"/>
                                <w:left w:val="none" w:sz="0" w:space="0" w:color="auto"/>
                                <w:bottom w:val="none" w:sz="0" w:space="0" w:color="auto"/>
                                <w:right w:val="none" w:sz="0" w:space="0" w:color="auto"/>
                              </w:divBdr>
                            </w:div>
                            <w:div w:id="1888101846">
                              <w:marLeft w:val="0"/>
                              <w:marRight w:val="0"/>
                              <w:marTop w:val="0"/>
                              <w:marBottom w:val="0"/>
                              <w:divBdr>
                                <w:top w:val="none" w:sz="0" w:space="0" w:color="auto"/>
                                <w:left w:val="none" w:sz="0" w:space="0" w:color="auto"/>
                                <w:bottom w:val="none" w:sz="0" w:space="0" w:color="auto"/>
                                <w:right w:val="none" w:sz="0" w:space="0" w:color="auto"/>
                              </w:divBdr>
                              <w:divsChild>
                                <w:div w:id="2021010358">
                                  <w:marLeft w:val="0"/>
                                  <w:marRight w:val="0"/>
                                  <w:marTop w:val="0"/>
                                  <w:marBottom w:val="0"/>
                                  <w:divBdr>
                                    <w:top w:val="none" w:sz="0" w:space="0" w:color="auto"/>
                                    <w:left w:val="none" w:sz="0" w:space="0" w:color="auto"/>
                                    <w:bottom w:val="none" w:sz="0" w:space="0" w:color="auto"/>
                                    <w:right w:val="none" w:sz="0" w:space="0" w:color="auto"/>
                                  </w:divBdr>
                                </w:div>
                              </w:divsChild>
                            </w:div>
                            <w:div w:id="1734893293">
                              <w:marLeft w:val="0"/>
                              <w:marRight w:val="0"/>
                              <w:marTop w:val="0"/>
                              <w:marBottom w:val="0"/>
                              <w:divBdr>
                                <w:top w:val="none" w:sz="0" w:space="0" w:color="auto"/>
                                <w:left w:val="none" w:sz="0" w:space="0" w:color="auto"/>
                                <w:bottom w:val="none" w:sz="0" w:space="0" w:color="auto"/>
                                <w:right w:val="none" w:sz="0" w:space="0" w:color="auto"/>
                              </w:divBdr>
                              <w:divsChild>
                                <w:div w:id="3783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14681">
                  <w:marLeft w:val="0"/>
                  <w:marRight w:val="0"/>
                  <w:marTop w:val="0"/>
                  <w:marBottom w:val="0"/>
                  <w:divBdr>
                    <w:top w:val="none" w:sz="0" w:space="0" w:color="auto"/>
                    <w:left w:val="none" w:sz="0" w:space="0" w:color="auto"/>
                    <w:bottom w:val="none" w:sz="0" w:space="0" w:color="auto"/>
                    <w:right w:val="none" w:sz="0" w:space="0" w:color="auto"/>
                  </w:divBdr>
                  <w:divsChild>
                    <w:div w:id="940064891">
                      <w:marLeft w:val="0"/>
                      <w:marRight w:val="0"/>
                      <w:marTop w:val="0"/>
                      <w:marBottom w:val="0"/>
                      <w:divBdr>
                        <w:top w:val="none" w:sz="0" w:space="0" w:color="auto"/>
                        <w:left w:val="none" w:sz="0" w:space="0" w:color="auto"/>
                        <w:bottom w:val="none" w:sz="0" w:space="0" w:color="auto"/>
                        <w:right w:val="none" w:sz="0" w:space="0" w:color="auto"/>
                      </w:divBdr>
                    </w:div>
                    <w:div w:id="563417231">
                      <w:marLeft w:val="0"/>
                      <w:marRight w:val="0"/>
                      <w:marTop w:val="0"/>
                      <w:marBottom w:val="0"/>
                      <w:divBdr>
                        <w:top w:val="none" w:sz="0" w:space="0" w:color="auto"/>
                        <w:left w:val="none" w:sz="0" w:space="0" w:color="auto"/>
                        <w:bottom w:val="none" w:sz="0" w:space="0" w:color="auto"/>
                        <w:right w:val="none" w:sz="0" w:space="0" w:color="auto"/>
                      </w:divBdr>
                      <w:divsChild>
                        <w:div w:id="355624237">
                          <w:marLeft w:val="0"/>
                          <w:marRight w:val="0"/>
                          <w:marTop w:val="0"/>
                          <w:marBottom w:val="0"/>
                          <w:divBdr>
                            <w:top w:val="none" w:sz="0" w:space="0" w:color="auto"/>
                            <w:left w:val="none" w:sz="0" w:space="0" w:color="auto"/>
                            <w:bottom w:val="none" w:sz="0" w:space="0" w:color="auto"/>
                            <w:right w:val="none" w:sz="0" w:space="0" w:color="auto"/>
                          </w:divBdr>
                          <w:divsChild>
                            <w:div w:id="10010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27321">
                  <w:marLeft w:val="0"/>
                  <w:marRight w:val="0"/>
                  <w:marTop w:val="0"/>
                  <w:marBottom w:val="0"/>
                  <w:divBdr>
                    <w:top w:val="none" w:sz="0" w:space="0" w:color="auto"/>
                    <w:left w:val="none" w:sz="0" w:space="0" w:color="auto"/>
                    <w:bottom w:val="none" w:sz="0" w:space="0" w:color="auto"/>
                    <w:right w:val="none" w:sz="0" w:space="0" w:color="auto"/>
                  </w:divBdr>
                  <w:divsChild>
                    <w:div w:id="1664894324">
                      <w:marLeft w:val="0"/>
                      <w:marRight w:val="0"/>
                      <w:marTop w:val="0"/>
                      <w:marBottom w:val="0"/>
                      <w:divBdr>
                        <w:top w:val="none" w:sz="0" w:space="0" w:color="auto"/>
                        <w:left w:val="none" w:sz="0" w:space="0" w:color="auto"/>
                        <w:bottom w:val="none" w:sz="0" w:space="0" w:color="auto"/>
                        <w:right w:val="none" w:sz="0" w:space="0" w:color="auto"/>
                      </w:divBdr>
                    </w:div>
                    <w:div w:id="1359504987">
                      <w:marLeft w:val="0"/>
                      <w:marRight w:val="0"/>
                      <w:marTop w:val="0"/>
                      <w:marBottom w:val="0"/>
                      <w:divBdr>
                        <w:top w:val="none" w:sz="0" w:space="0" w:color="auto"/>
                        <w:left w:val="none" w:sz="0" w:space="0" w:color="auto"/>
                        <w:bottom w:val="none" w:sz="0" w:space="0" w:color="auto"/>
                        <w:right w:val="none" w:sz="0" w:space="0" w:color="auto"/>
                      </w:divBdr>
                      <w:divsChild>
                        <w:div w:id="1036195997">
                          <w:marLeft w:val="0"/>
                          <w:marRight w:val="0"/>
                          <w:marTop w:val="0"/>
                          <w:marBottom w:val="0"/>
                          <w:divBdr>
                            <w:top w:val="none" w:sz="0" w:space="0" w:color="auto"/>
                            <w:left w:val="none" w:sz="0" w:space="0" w:color="auto"/>
                            <w:bottom w:val="none" w:sz="0" w:space="0" w:color="auto"/>
                            <w:right w:val="none" w:sz="0" w:space="0" w:color="auto"/>
                          </w:divBdr>
                          <w:divsChild>
                            <w:div w:id="21042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70792">
                  <w:marLeft w:val="0"/>
                  <w:marRight w:val="0"/>
                  <w:marTop w:val="0"/>
                  <w:marBottom w:val="0"/>
                  <w:divBdr>
                    <w:top w:val="none" w:sz="0" w:space="0" w:color="auto"/>
                    <w:left w:val="none" w:sz="0" w:space="0" w:color="auto"/>
                    <w:bottom w:val="none" w:sz="0" w:space="0" w:color="auto"/>
                    <w:right w:val="none" w:sz="0" w:space="0" w:color="auto"/>
                  </w:divBdr>
                  <w:divsChild>
                    <w:div w:id="968557450">
                      <w:marLeft w:val="0"/>
                      <w:marRight w:val="0"/>
                      <w:marTop w:val="0"/>
                      <w:marBottom w:val="0"/>
                      <w:divBdr>
                        <w:top w:val="none" w:sz="0" w:space="0" w:color="auto"/>
                        <w:left w:val="none" w:sz="0" w:space="0" w:color="auto"/>
                        <w:bottom w:val="none" w:sz="0" w:space="0" w:color="auto"/>
                        <w:right w:val="none" w:sz="0" w:space="0" w:color="auto"/>
                      </w:divBdr>
                    </w:div>
                    <w:div w:id="1577284217">
                      <w:marLeft w:val="0"/>
                      <w:marRight w:val="0"/>
                      <w:marTop w:val="0"/>
                      <w:marBottom w:val="0"/>
                      <w:divBdr>
                        <w:top w:val="none" w:sz="0" w:space="0" w:color="auto"/>
                        <w:left w:val="none" w:sz="0" w:space="0" w:color="auto"/>
                        <w:bottom w:val="none" w:sz="0" w:space="0" w:color="auto"/>
                        <w:right w:val="none" w:sz="0" w:space="0" w:color="auto"/>
                      </w:divBdr>
                      <w:divsChild>
                        <w:div w:id="136067876">
                          <w:marLeft w:val="0"/>
                          <w:marRight w:val="0"/>
                          <w:marTop w:val="0"/>
                          <w:marBottom w:val="0"/>
                          <w:divBdr>
                            <w:top w:val="none" w:sz="0" w:space="0" w:color="auto"/>
                            <w:left w:val="none" w:sz="0" w:space="0" w:color="auto"/>
                            <w:bottom w:val="none" w:sz="0" w:space="0" w:color="auto"/>
                            <w:right w:val="none" w:sz="0" w:space="0" w:color="auto"/>
                          </w:divBdr>
                          <w:divsChild>
                            <w:div w:id="1332417217">
                              <w:marLeft w:val="0"/>
                              <w:marRight w:val="0"/>
                              <w:marTop w:val="0"/>
                              <w:marBottom w:val="0"/>
                              <w:divBdr>
                                <w:top w:val="none" w:sz="0" w:space="0" w:color="auto"/>
                                <w:left w:val="none" w:sz="0" w:space="0" w:color="auto"/>
                                <w:bottom w:val="none" w:sz="0" w:space="0" w:color="auto"/>
                                <w:right w:val="none" w:sz="0" w:space="0" w:color="auto"/>
                              </w:divBdr>
                            </w:div>
                            <w:div w:id="736243245">
                              <w:marLeft w:val="0"/>
                              <w:marRight w:val="0"/>
                              <w:marTop w:val="0"/>
                              <w:marBottom w:val="0"/>
                              <w:divBdr>
                                <w:top w:val="none" w:sz="0" w:space="0" w:color="auto"/>
                                <w:left w:val="none" w:sz="0" w:space="0" w:color="auto"/>
                                <w:bottom w:val="none" w:sz="0" w:space="0" w:color="auto"/>
                                <w:right w:val="none" w:sz="0" w:space="0" w:color="auto"/>
                              </w:divBdr>
                              <w:divsChild>
                                <w:div w:id="19642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87716">
                  <w:marLeft w:val="0"/>
                  <w:marRight w:val="0"/>
                  <w:marTop w:val="0"/>
                  <w:marBottom w:val="0"/>
                  <w:divBdr>
                    <w:top w:val="none" w:sz="0" w:space="0" w:color="auto"/>
                    <w:left w:val="none" w:sz="0" w:space="0" w:color="auto"/>
                    <w:bottom w:val="none" w:sz="0" w:space="0" w:color="auto"/>
                    <w:right w:val="none" w:sz="0" w:space="0" w:color="auto"/>
                  </w:divBdr>
                  <w:divsChild>
                    <w:div w:id="1968192638">
                      <w:marLeft w:val="0"/>
                      <w:marRight w:val="0"/>
                      <w:marTop w:val="0"/>
                      <w:marBottom w:val="0"/>
                      <w:divBdr>
                        <w:top w:val="none" w:sz="0" w:space="0" w:color="auto"/>
                        <w:left w:val="none" w:sz="0" w:space="0" w:color="auto"/>
                        <w:bottom w:val="none" w:sz="0" w:space="0" w:color="auto"/>
                        <w:right w:val="none" w:sz="0" w:space="0" w:color="auto"/>
                      </w:divBdr>
                    </w:div>
                    <w:div w:id="1010529924">
                      <w:marLeft w:val="0"/>
                      <w:marRight w:val="0"/>
                      <w:marTop w:val="0"/>
                      <w:marBottom w:val="0"/>
                      <w:divBdr>
                        <w:top w:val="none" w:sz="0" w:space="0" w:color="auto"/>
                        <w:left w:val="none" w:sz="0" w:space="0" w:color="auto"/>
                        <w:bottom w:val="none" w:sz="0" w:space="0" w:color="auto"/>
                        <w:right w:val="none" w:sz="0" w:space="0" w:color="auto"/>
                      </w:divBdr>
                      <w:divsChild>
                        <w:div w:id="1747648814">
                          <w:marLeft w:val="0"/>
                          <w:marRight w:val="0"/>
                          <w:marTop w:val="0"/>
                          <w:marBottom w:val="0"/>
                          <w:divBdr>
                            <w:top w:val="none" w:sz="0" w:space="0" w:color="auto"/>
                            <w:left w:val="none" w:sz="0" w:space="0" w:color="auto"/>
                            <w:bottom w:val="none" w:sz="0" w:space="0" w:color="auto"/>
                            <w:right w:val="none" w:sz="0" w:space="0" w:color="auto"/>
                          </w:divBdr>
                          <w:divsChild>
                            <w:div w:id="1263032936">
                              <w:marLeft w:val="0"/>
                              <w:marRight w:val="0"/>
                              <w:marTop w:val="0"/>
                              <w:marBottom w:val="0"/>
                              <w:divBdr>
                                <w:top w:val="none" w:sz="0" w:space="0" w:color="auto"/>
                                <w:left w:val="none" w:sz="0" w:space="0" w:color="auto"/>
                                <w:bottom w:val="none" w:sz="0" w:space="0" w:color="auto"/>
                                <w:right w:val="none" w:sz="0" w:space="0" w:color="auto"/>
                              </w:divBdr>
                            </w:div>
                            <w:div w:id="1385906203">
                              <w:marLeft w:val="0"/>
                              <w:marRight w:val="0"/>
                              <w:marTop w:val="0"/>
                              <w:marBottom w:val="0"/>
                              <w:divBdr>
                                <w:top w:val="none" w:sz="0" w:space="0" w:color="auto"/>
                                <w:left w:val="none" w:sz="0" w:space="0" w:color="auto"/>
                                <w:bottom w:val="none" w:sz="0" w:space="0" w:color="auto"/>
                                <w:right w:val="none" w:sz="0" w:space="0" w:color="auto"/>
                              </w:divBdr>
                              <w:divsChild>
                                <w:div w:id="18339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07111">
                  <w:marLeft w:val="0"/>
                  <w:marRight w:val="0"/>
                  <w:marTop w:val="0"/>
                  <w:marBottom w:val="0"/>
                  <w:divBdr>
                    <w:top w:val="none" w:sz="0" w:space="0" w:color="auto"/>
                    <w:left w:val="none" w:sz="0" w:space="0" w:color="auto"/>
                    <w:bottom w:val="none" w:sz="0" w:space="0" w:color="auto"/>
                    <w:right w:val="none" w:sz="0" w:space="0" w:color="auto"/>
                  </w:divBdr>
                  <w:divsChild>
                    <w:div w:id="6567400">
                      <w:marLeft w:val="0"/>
                      <w:marRight w:val="0"/>
                      <w:marTop w:val="0"/>
                      <w:marBottom w:val="0"/>
                      <w:divBdr>
                        <w:top w:val="none" w:sz="0" w:space="0" w:color="auto"/>
                        <w:left w:val="none" w:sz="0" w:space="0" w:color="auto"/>
                        <w:bottom w:val="none" w:sz="0" w:space="0" w:color="auto"/>
                        <w:right w:val="none" w:sz="0" w:space="0" w:color="auto"/>
                      </w:divBdr>
                    </w:div>
                    <w:div w:id="600454464">
                      <w:marLeft w:val="0"/>
                      <w:marRight w:val="0"/>
                      <w:marTop w:val="0"/>
                      <w:marBottom w:val="0"/>
                      <w:divBdr>
                        <w:top w:val="none" w:sz="0" w:space="0" w:color="auto"/>
                        <w:left w:val="none" w:sz="0" w:space="0" w:color="auto"/>
                        <w:bottom w:val="none" w:sz="0" w:space="0" w:color="auto"/>
                        <w:right w:val="none" w:sz="0" w:space="0" w:color="auto"/>
                      </w:divBdr>
                      <w:divsChild>
                        <w:div w:id="2092194596">
                          <w:marLeft w:val="0"/>
                          <w:marRight w:val="0"/>
                          <w:marTop w:val="0"/>
                          <w:marBottom w:val="0"/>
                          <w:divBdr>
                            <w:top w:val="none" w:sz="0" w:space="0" w:color="auto"/>
                            <w:left w:val="none" w:sz="0" w:space="0" w:color="auto"/>
                            <w:bottom w:val="none" w:sz="0" w:space="0" w:color="auto"/>
                            <w:right w:val="none" w:sz="0" w:space="0" w:color="auto"/>
                          </w:divBdr>
                          <w:divsChild>
                            <w:div w:id="313880049">
                              <w:marLeft w:val="0"/>
                              <w:marRight w:val="0"/>
                              <w:marTop w:val="0"/>
                              <w:marBottom w:val="0"/>
                              <w:divBdr>
                                <w:top w:val="none" w:sz="0" w:space="0" w:color="auto"/>
                                <w:left w:val="none" w:sz="0" w:space="0" w:color="auto"/>
                                <w:bottom w:val="none" w:sz="0" w:space="0" w:color="auto"/>
                                <w:right w:val="none" w:sz="0" w:space="0" w:color="auto"/>
                              </w:divBdr>
                            </w:div>
                            <w:div w:id="1897935862">
                              <w:marLeft w:val="0"/>
                              <w:marRight w:val="0"/>
                              <w:marTop w:val="0"/>
                              <w:marBottom w:val="0"/>
                              <w:divBdr>
                                <w:top w:val="none" w:sz="0" w:space="0" w:color="auto"/>
                                <w:left w:val="none" w:sz="0" w:space="0" w:color="auto"/>
                                <w:bottom w:val="none" w:sz="0" w:space="0" w:color="auto"/>
                                <w:right w:val="none" w:sz="0" w:space="0" w:color="auto"/>
                              </w:divBdr>
                              <w:divsChild>
                                <w:div w:id="15073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92231">
                  <w:marLeft w:val="0"/>
                  <w:marRight w:val="0"/>
                  <w:marTop w:val="0"/>
                  <w:marBottom w:val="0"/>
                  <w:divBdr>
                    <w:top w:val="none" w:sz="0" w:space="0" w:color="auto"/>
                    <w:left w:val="none" w:sz="0" w:space="0" w:color="auto"/>
                    <w:bottom w:val="none" w:sz="0" w:space="0" w:color="auto"/>
                    <w:right w:val="none" w:sz="0" w:space="0" w:color="auto"/>
                  </w:divBdr>
                  <w:divsChild>
                    <w:div w:id="340278027">
                      <w:marLeft w:val="0"/>
                      <w:marRight w:val="0"/>
                      <w:marTop w:val="0"/>
                      <w:marBottom w:val="0"/>
                      <w:divBdr>
                        <w:top w:val="none" w:sz="0" w:space="0" w:color="auto"/>
                        <w:left w:val="none" w:sz="0" w:space="0" w:color="auto"/>
                        <w:bottom w:val="none" w:sz="0" w:space="0" w:color="auto"/>
                        <w:right w:val="none" w:sz="0" w:space="0" w:color="auto"/>
                      </w:divBdr>
                    </w:div>
                    <w:div w:id="2139838442">
                      <w:marLeft w:val="0"/>
                      <w:marRight w:val="0"/>
                      <w:marTop w:val="0"/>
                      <w:marBottom w:val="0"/>
                      <w:divBdr>
                        <w:top w:val="none" w:sz="0" w:space="0" w:color="auto"/>
                        <w:left w:val="none" w:sz="0" w:space="0" w:color="auto"/>
                        <w:bottom w:val="none" w:sz="0" w:space="0" w:color="auto"/>
                        <w:right w:val="none" w:sz="0" w:space="0" w:color="auto"/>
                      </w:divBdr>
                      <w:divsChild>
                        <w:div w:id="1864172177">
                          <w:marLeft w:val="0"/>
                          <w:marRight w:val="0"/>
                          <w:marTop w:val="0"/>
                          <w:marBottom w:val="0"/>
                          <w:divBdr>
                            <w:top w:val="none" w:sz="0" w:space="0" w:color="auto"/>
                            <w:left w:val="none" w:sz="0" w:space="0" w:color="auto"/>
                            <w:bottom w:val="none" w:sz="0" w:space="0" w:color="auto"/>
                            <w:right w:val="none" w:sz="0" w:space="0" w:color="auto"/>
                          </w:divBdr>
                          <w:divsChild>
                            <w:div w:id="6946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8096">
                  <w:marLeft w:val="0"/>
                  <w:marRight w:val="0"/>
                  <w:marTop w:val="0"/>
                  <w:marBottom w:val="0"/>
                  <w:divBdr>
                    <w:top w:val="none" w:sz="0" w:space="0" w:color="auto"/>
                    <w:left w:val="none" w:sz="0" w:space="0" w:color="auto"/>
                    <w:bottom w:val="none" w:sz="0" w:space="0" w:color="auto"/>
                    <w:right w:val="none" w:sz="0" w:space="0" w:color="auto"/>
                  </w:divBdr>
                  <w:divsChild>
                    <w:div w:id="1639072433">
                      <w:marLeft w:val="0"/>
                      <w:marRight w:val="0"/>
                      <w:marTop w:val="0"/>
                      <w:marBottom w:val="0"/>
                      <w:divBdr>
                        <w:top w:val="none" w:sz="0" w:space="0" w:color="auto"/>
                        <w:left w:val="none" w:sz="0" w:space="0" w:color="auto"/>
                        <w:bottom w:val="none" w:sz="0" w:space="0" w:color="auto"/>
                        <w:right w:val="none" w:sz="0" w:space="0" w:color="auto"/>
                      </w:divBdr>
                    </w:div>
                    <w:div w:id="380136743">
                      <w:marLeft w:val="0"/>
                      <w:marRight w:val="0"/>
                      <w:marTop w:val="0"/>
                      <w:marBottom w:val="0"/>
                      <w:divBdr>
                        <w:top w:val="none" w:sz="0" w:space="0" w:color="auto"/>
                        <w:left w:val="none" w:sz="0" w:space="0" w:color="auto"/>
                        <w:bottom w:val="none" w:sz="0" w:space="0" w:color="auto"/>
                        <w:right w:val="none" w:sz="0" w:space="0" w:color="auto"/>
                      </w:divBdr>
                      <w:divsChild>
                        <w:div w:id="878475003">
                          <w:marLeft w:val="0"/>
                          <w:marRight w:val="0"/>
                          <w:marTop w:val="0"/>
                          <w:marBottom w:val="0"/>
                          <w:divBdr>
                            <w:top w:val="none" w:sz="0" w:space="0" w:color="auto"/>
                            <w:left w:val="none" w:sz="0" w:space="0" w:color="auto"/>
                            <w:bottom w:val="none" w:sz="0" w:space="0" w:color="auto"/>
                            <w:right w:val="none" w:sz="0" w:space="0" w:color="auto"/>
                          </w:divBdr>
                          <w:divsChild>
                            <w:div w:id="7678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74197">
                  <w:marLeft w:val="0"/>
                  <w:marRight w:val="0"/>
                  <w:marTop w:val="0"/>
                  <w:marBottom w:val="0"/>
                  <w:divBdr>
                    <w:top w:val="none" w:sz="0" w:space="0" w:color="auto"/>
                    <w:left w:val="none" w:sz="0" w:space="0" w:color="auto"/>
                    <w:bottom w:val="none" w:sz="0" w:space="0" w:color="auto"/>
                    <w:right w:val="none" w:sz="0" w:space="0" w:color="auto"/>
                  </w:divBdr>
                  <w:divsChild>
                    <w:div w:id="1425687373">
                      <w:marLeft w:val="0"/>
                      <w:marRight w:val="0"/>
                      <w:marTop w:val="0"/>
                      <w:marBottom w:val="0"/>
                      <w:divBdr>
                        <w:top w:val="none" w:sz="0" w:space="0" w:color="auto"/>
                        <w:left w:val="none" w:sz="0" w:space="0" w:color="auto"/>
                        <w:bottom w:val="none" w:sz="0" w:space="0" w:color="auto"/>
                        <w:right w:val="none" w:sz="0" w:space="0" w:color="auto"/>
                      </w:divBdr>
                    </w:div>
                    <w:div w:id="755636680">
                      <w:marLeft w:val="0"/>
                      <w:marRight w:val="0"/>
                      <w:marTop w:val="0"/>
                      <w:marBottom w:val="0"/>
                      <w:divBdr>
                        <w:top w:val="none" w:sz="0" w:space="0" w:color="auto"/>
                        <w:left w:val="none" w:sz="0" w:space="0" w:color="auto"/>
                        <w:bottom w:val="none" w:sz="0" w:space="0" w:color="auto"/>
                        <w:right w:val="none" w:sz="0" w:space="0" w:color="auto"/>
                      </w:divBdr>
                      <w:divsChild>
                        <w:div w:id="1032345524">
                          <w:marLeft w:val="0"/>
                          <w:marRight w:val="0"/>
                          <w:marTop w:val="0"/>
                          <w:marBottom w:val="0"/>
                          <w:divBdr>
                            <w:top w:val="none" w:sz="0" w:space="0" w:color="auto"/>
                            <w:left w:val="none" w:sz="0" w:space="0" w:color="auto"/>
                            <w:bottom w:val="none" w:sz="0" w:space="0" w:color="auto"/>
                            <w:right w:val="none" w:sz="0" w:space="0" w:color="auto"/>
                          </w:divBdr>
                          <w:divsChild>
                            <w:div w:id="2110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9223">
                  <w:marLeft w:val="0"/>
                  <w:marRight w:val="0"/>
                  <w:marTop w:val="0"/>
                  <w:marBottom w:val="0"/>
                  <w:divBdr>
                    <w:top w:val="none" w:sz="0" w:space="0" w:color="auto"/>
                    <w:left w:val="none" w:sz="0" w:space="0" w:color="auto"/>
                    <w:bottom w:val="none" w:sz="0" w:space="0" w:color="auto"/>
                    <w:right w:val="none" w:sz="0" w:space="0" w:color="auto"/>
                  </w:divBdr>
                  <w:divsChild>
                    <w:div w:id="575282438">
                      <w:marLeft w:val="0"/>
                      <w:marRight w:val="0"/>
                      <w:marTop w:val="0"/>
                      <w:marBottom w:val="0"/>
                      <w:divBdr>
                        <w:top w:val="none" w:sz="0" w:space="0" w:color="auto"/>
                        <w:left w:val="none" w:sz="0" w:space="0" w:color="auto"/>
                        <w:bottom w:val="none" w:sz="0" w:space="0" w:color="auto"/>
                        <w:right w:val="none" w:sz="0" w:space="0" w:color="auto"/>
                      </w:divBdr>
                    </w:div>
                    <w:div w:id="190344660">
                      <w:marLeft w:val="0"/>
                      <w:marRight w:val="0"/>
                      <w:marTop w:val="0"/>
                      <w:marBottom w:val="0"/>
                      <w:divBdr>
                        <w:top w:val="none" w:sz="0" w:space="0" w:color="auto"/>
                        <w:left w:val="none" w:sz="0" w:space="0" w:color="auto"/>
                        <w:bottom w:val="none" w:sz="0" w:space="0" w:color="auto"/>
                        <w:right w:val="none" w:sz="0" w:space="0" w:color="auto"/>
                      </w:divBdr>
                      <w:divsChild>
                        <w:div w:id="1187524805">
                          <w:marLeft w:val="0"/>
                          <w:marRight w:val="0"/>
                          <w:marTop w:val="0"/>
                          <w:marBottom w:val="0"/>
                          <w:divBdr>
                            <w:top w:val="none" w:sz="0" w:space="0" w:color="auto"/>
                            <w:left w:val="none" w:sz="0" w:space="0" w:color="auto"/>
                            <w:bottom w:val="none" w:sz="0" w:space="0" w:color="auto"/>
                            <w:right w:val="none" w:sz="0" w:space="0" w:color="auto"/>
                          </w:divBdr>
                          <w:divsChild>
                            <w:div w:id="19634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5538">
                  <w:marLeft w:val="0"/>
                  <w:marRight w:val="0"/>
                  <w:marTop w:val="0"/>
                  <w:marBottom w:val="0"/>
                  <w:divBdr>
                    <w:top w:val="none" w:sz="0" w:space="0" w:color="auto"/>
                    <w:left w:val="none" w:sz="0" w:space="0" w:color="auto"/>
                    <w:bottom w:val="none" w:sz="0" w:space="0" w:color="auto"/>
                    <w:right w:val="none" w:sz="0" w:space="0" w:color="auto"/>
                  </w:divBdr>
                  <w:divsChild>
                    <w:div w:id="1807819806">
                      <w:marLeft w:val="0"/>
                      <w:marRight w:val="0"/>
                      <w:marTop w:val="0"/>
                      <w:marBottom w:val="0"/>
                      <w:divBdr>
                        <w:top w:val="none" w:sz="0" w:space="0" w:color="auto"/>
                        <w:left w:val="none" w:sz="0" w:space="0" w:color="auto"/>
                        <w:bottom w:val="none" w:sz="0" w:space="0" w:color="auto"/>
                        <w:right w:val="none" w:sz="0" w:space="0" w:color="auto"/>
                      </w:divBdr>
                    </w:div>
                    <w:div w:id="1759904489">
                      <w:marLeft w:val="0"/>
                      <w:marRight w:val="0"/>
                      <w:marTop w:val="0"/>
                      <w:marBottom w:val="0"/>
                      <w:divBdr>
                        <w:top w:val="none" w:sz="0" w:space="0" w:color="auto"/>
                        <w:left w:val="none" w:sz="0" w:space="0" w:color="auto"/>
                        <w:bottom w:val="none" w:sz="0" w:space="0" w:color="auto"/>
                        <w:right w:val="none" w:sz="0" w:space="0" w:color="auto"/>
                      </w:divBdr>
                      <w:divsChild>
                        <w:div w:id="81530884">
                          <w:marLeft w:val="0"/>
                          <w:marRight w:val="0"/>
                          <w:marTop w:val="0"/>
                          <w:marBottom w:val="0"/>
                          <w:divBdr>
                            <w:top w:val="none" w:sz="0" w:space="0" w:color="auto"/>
                            <w:left w:val="none" w:sz="0" w:space="0" w:color="auto"/>
                            <w:bottom w:val="none" w:sz="0" w:space="0" w:color="auto"/>
                            <w:right w:val="none" w:sz="0" w:space="0" w:color="auto"/>
                          </w:divBdr>
                          <w:divsChild>
                            <w:div w:id="6363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7216">
                  <w:marLeft w:val="0"/>
                  <w:marRight w:val="0"/>
                  <w:marTop w:val="0"/>
                  <w:marBottom w:val="0"/>
                  <w:divBdr>
                    <w:top w:val="none" w:sz="0" w:space="0" w:color="auto"/>
                    <w:left w:val="none" w:sz="0" w:space="0" w:color="auto"/>
                    <w:bottom w:val="none" w:sz="0" w:space="0" w:color="auto"/>
                    <w:right w:val="none" w:sz="0" w:space="0" w:color="auto"/>
                  </w:divBdr>
                  <w:divsChild>
                    <w:div w:id="1990479694">
                      <w:marLeft w:val="0"/>
                      <w:marRight w:val="0"/>
                      <w:marTop w:val="0"/>
                      <w:marBottom w:val="0"/>
                      <w:divBdr>
                        <w:top w:val="none" w:sz="0" w:space="0" w:color="auto"/>
                        <w:left w:val="none" w:sz="0" w:space="0" w:color="auto"/>
                        <w:bottom w:val="none" w:sz="0" w:space="0" w:color="auto"/>
                        <w:right w:val="none" w:sz="0" w:space="0" w:color="auto"/>
                      </w:divBdr>
                    </w:div>
                    <w:div w:id="870069868">
                      <w:marLeft w:val="0"/>
                      <w:marRight w:val="0"/>
                      <w:marTop w:val="0"/>
                      <w:marBottom w:val="0"/>
                      <w:divBdr>
                        <w:top w:val="none" w:sz="0" w:space="0" w:color="auto"/>
                        <w:left w:val="none" w:sz="0" w:space="0" w:color="auto"/>
                        <w:bottom w:val="none" w:sz="0" w:space="0" w:color="auto"/>
                        <w:right w:val="none" w:sz="0" w:space="0" w:color="auto"/>
                      </w:divBdr>
                      <w:divsChild>
                        <w:div w:id="1513563880">
                          <w:marLeft w:val="0"/>
                          <w:marRight w:val="0"/>
                          <w:marTop w:val="0"/>
                          <w:marBottom w:val="0"/>
                          <w:divBdr>
                            <w:top w:val="none" w:sz="0" w:space="0" w:color="auto"/>
                            <w:left w:val="none" w:sz="0" w:space="0" w:color="auto"/>
                            <w:bottom w:val="none" w:sz="0" w:space="0" w:color="auto"/>
                            <w:right w:val="none" w:sz="0" w:space="0" w:color="auto"/>
                          </w:divBdr>
                          <w:divsChild>
                            <w:div w:id="861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57048">
                  <w:marLeft w:val="0"/>
                  <w:marRight w:val="0"/>
                  <w:marTop w:val="0"/>
                  <w:marBottom w:val="0"/>
                  <w:divBdr>
                    <w:top w:val="none" w:sz="0" w:space="0" w:color="auto"/>
                    <w:left w:val="none" w:sz="0" w:space="0" w:color="auto"/>
                    <w:bottom w:val="none" w:sz="0" w:space="0" w:color="auto"/>
                    <w:right w:val="none" w:sz="0" w:space="0" w:color="auto"/>
                  </w:divBdr>
                  <w:divsChild>
                    <w:div w:id="1847865131">
                      <w:marLeft w:val="0"/>
                      <w:marRight w:val="0"/>
                      <w:marTop w:val="0"/>
                      <w:marBottom w:val="0"/>
                      <w:divBdr>
                        <w:top w:val="none" w:sz="0" w:space="0" w:color="auto"/>
                        <w:left w:val="none" w:sz="0" w:space="0" w:color="auto"/>
                        <w:bottom w:val="none" w:sz="0" w:space="0" w:color="auto"/>
                        <w:right w:val="none" w:sz="0" w:space="0" w:color="auto"/>
                      </w:divBdr>
                    </w:div>
                    <w:div w:id="616327937">
                      <w:marLeft w:val="0"/>
                      <w:marRight w:val="0"/>
                      <w:marTop w:val="0"/>
                      <w:marBottom w:val="0"/>
                      <w:divBdr>
                        <w:top w:val="none" w:sz="0" w:space="0" w:color="auto"/>
                        <w:left w:val="none" w:sz="0" w:space="0" w:color="auto"/>
                        <w:bottom w:val="none" w:sz="0" w:space="0" w:color="auto"/>
                        <w:right w:val="none" w:sz="0" w:space="0" w:color="auto"/>
                      </w:divBdr>
                      <w:divsChild>
                        <w:div w:id="1487164846">
                          <w:marLeft w:val="0"/>
                          <w:marRight w:val="0"/>
                          <w:marTop w:val="0"/>
                          <w:marBottom w:val="0"/>
                          <w:divBdr>
                            <w:top w:val="none" w:sz="0" w:space="0" w:color="auto"/>
                            <w:left w:val="none" w:sz="0" w:space="0" w:color="auto"/>
                            <w:bottom w:val="none" w:sz="0" w:space="0" w:color="auto"/>
                            <w:right w:val="none" w:sz="0" w:space="0" w:color="auto"/>
                          </w:divBdr>
                          <w:divsChild>
                            <w:div w:id="560216047">
                              <w:marLeft w:val="0"/>
                              <w:marRight w:val="0"/>
                              <w:marTop w:val="0"/>
                              <w:marBottom w:val="0"/>
                              <w:divBdr>
                                <w:top w:val="none" w:sz="0" w:space="0" w:color="auto"/>
                                <w:left w:val="none" w:sz="0" w:space="0" w:color="auto"/>
                                <w:bottom w:val="none" w:sz="0" w:space="0" w:color="auto"/>
                                <w:right w:val="none" w:sz="0" w:space="0" w:color="auto"/>
                              </w:divBdr>
                            </w:div>
                            <w:div w:id="1165828711">
                              <w:marLeft w:val="0"/>
                              <w:marRight w:val="0"/>
                              <w:marTop w:val="0"/>
                              <w:marBottom w:val="0"/>
                              <w:divBdr>
                                <w:top w:val="none" w:sz="0" w:space="0" w:color="auto"/>
                                <w:left w:val="none" w:sz="0" w:space="0" w:color="auto"/>
                                <w:bottom w:val="none" w:sz="0" w:space="0" w:color="auto"/>
                                <w:right w:val="none" w:sz="0" w:space="0" w:color="auto"/>
                              </w:divBdr>
                              <w:divsChild>
                                <w:div w:id="17743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8707">
                  <w:marLeft w:val="0"/>
                  <w:marRight w:val="0"/>
                  <w:marTop w:val="0"/>
                  <w:marBottom w:val="0"/>
                  <w:divBdr>
                    <w:top w:val="none" w:sz="0" w:space="0" w:color="auto"/>
                    <w:left w:val="none" w:sz="0" w:space="0" w:color="auto"/>
                    <w:bottom w:val="none" w:sz="0" w:space="0" w:color="auto"/>
                    <w:right w:val="none" w:sz="0" w:space="0" w:color="auto"/>
                  </w:divBdr>
                  <w:divsChild>
                    <w:div w:id="1129131365">
                      <w:marLeft w:val="0"/>
                      <w:marRight w:val="0"/>
                      <w:marTop w:val="0"/>
                      <w:marBottom w:val="0"/>
                      <w:divBdr>
                        <w:top w:val="none" w:sz="0" w:space="0" w:color="auto"/>
                        <w:left w:val="none" w:sz="0" w:space="0" w:color="auto"/>
                        <w:bottom w:val="none" w:sz="0" w:space="0" w:color="auto"/>
                        <w:right w:val="none" w:sz="0" w:space="0" w:color="auto"/>
                      </w:divBdr>
                    </w:div>
                    <w:div w:id="2082410751">
                      <w:marLeft w:val="0"/>
                      <w:marRight w:val="0"/>
                      <w:marTop w:val="0"/>
                      <w:marBottom w:val="0"/>
                      <w:divBdr>
                        <w:top w:val="none" w:sz="0" w:space="0" w:color="auto"/>
                        <w:left w:val="none" w:sz="0" w:space="0" w:color="auto"/>
                        <w:bottom w:val="none" w:sz="0" w:space="0" w:color="auto"/>
                        <w:right w:val="none" w:sz="0" w:space="0" w:color="auto"/>
                      </w:divBdr>
                      <w:divsChild>
                        <w:div w:id="909384906">
                          <w:marLeft w:val="0"/>
                          <w:marRight w:val="0"/>
                          <w:marTop w:val="0"/>
                          <w:marBottom w:val="0"/>
                          <w:divBdr>
                            <w:top w:val="none" w:sz="0" w:space="0" w:color="auto"/>
                            <w:left w:val="none" w:sz="0" w:space="0" w:color="auto"/>
                            <w:bottom w:val="none" w:sz="0" w:space="0" w:color="auto"/>
                            <w:right w:val="none" w:sz="0" w:space="0" w:color="auto"/>
                          </w:divBdr>
                          <w:divsChild>
                            <w:div w:id="490564929">
                              <w:marLeft w:val="0"/>
                              <w:marRight w:val="0"/>
                              <w:marTop w:val="0"/>
                              <w:marBottom w:val="0"/>
                              <w:divBdr>
                                <w:top w:val="none" w:sz="0" w:space="0" w:color="auto"/>
                                <w:left w:val="none" w:sz="0" w:space="0" w:color="auto"/>
                                <w:bottom w:val="none" w:sz="0" w:space="0" w:color="auto"/>
                                <w:right w:val="none" w:sz="0" w:space="0" w:color="auto"/>
                              </w:divBdr>
                            </w:div>
                            <w:div w:id="1580168438">
                              <w:marLeft w:val="0"/>
                              <w:marRight w:val="0"/>
                              <w:marTop w:val="0"/>
                              <w:marBottom w:val="0"/>
                              <w:divBdr>
                                <w:top w:val="none" w:sz="0" w:space="0" w:color="auto"/>
                                <w:left w:val="none" w:sz="0" w:space="0" w:color="auto"/>
                                <w:bottom w:val="none" w:sz="0" w:space="0" w:color="auto"/>
                                <w:right w:val="none" w:sz="0" w:space="0" w:color="auto"/>
                              </w:divBdr>
                              <w:divsChild>
                                <w:div w:id="2363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1296">
                  <w:marLeft w:val="0"/>
                  <w:marRight w:val="0"/>
                  <w:marTop w:val="0"/>
                  <w:marBottom w:val="0"/>
                  <w:divBdr>
                    <w:top w:val="none" w:sz="0" w:space="0" w:color="auto"/>
                    <w:left w:val="none" w:sz="0" w:space="0" w:color="auto"/>
                    <w:bottom w:val="none" w:sz="0" w:space="0" w:color="auto"/>
                    <w:right w:val="none" w:sz="0" w:space="0" w:color="auto"/>
                  </w:divBdr>
                  <w:divsChild>
                    <w:div w:id="1940791102">
                      <w:marLeft w:val="0"/>
                      <w:marRight w:val="0"/>
                      <w:marTop w:val="0"/>
                      <w:marBottom w:val="0"/>
                      <w:divBdr>
                        <w:top w:val="none" w:sz="0" w:space="0" w:color="auto"/>
                        <w:left w:val="none" w:sz="0" w:space="0" w:color="auto"/>
                        <w:bottom w:val="none" w:sz="0" w:space="0" w:color="auto"/>
                        <w:right w:val="none" w:sz="0" w:space="0" w:color="auto"/>
                      </w:divBdr>
                    </w:div>
                    <w:div w:id="1071579775">
                      <w:marLeft w:val="0"/>
                      <w:marRight w:val="0"/>
                      <w:marTop w:val="0"/>
                      <w:marBottom w:val="0"/>
                      <w:divBdr>
                        <w:top w:val="none" w:sz="0" w:space="0" w:color="auto"/>
                        <w:left w:val="none" w:sz="0" w:space="0" w:color="auto"/>
                        <w:bottom w:val="none" w:sz="0" w:space="0" w:color="auto"/>
                        <w:right w:val="none" w:sz="0" w:space="0" w:color="auto"/>
                      </w:divBdr>
                      <w:divsChild>
                        <w:div w:id="1553031837">
                          <w:marLeft w:val="0"/>
                          <w:marRight w:val="0"/>
                          <w:marTop w:val="0"/>
                          <w:marBottom w:val="0"/>
                          <w:divBdr>
                            <w:top w:val="none" w:sz="0" w:space="0" w:color="auto"/>
                            <w:left w:val="none" w:sz="0" w:space="0" w:color="auto"/>
                            <w:bottom w:val="none" w:sz="0" w:space="0" w:color="auto"/>
                            <w:right w:val="none" w:sz="0" w:space="0" w:color="auto"/>
                          </w:divBdr>
                          <w:divsChild>
                            <w:div w:id="2281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6284">
                  <w:marLeft w:val="0"/>
                  <w:marRight w:val="0"/>
                  <w:marTop w:val="0"/>
                  <w:marBottom w:val="0"/>
                  <w:divBdr>
                    <w:top w:val="none" w:sz="0" w:space="0" w:color="auto"/>
                    <w:left w:val="none" w:sz="0" w:space="0" w:color="auto"/>
                    <w:bottom w:val="none" w:sz="0" w:space="0" w:color="auto"/>
                    <w:right w:val="none" w:sz="0" w:space="0" w:color="auto"/>
                  </w:divBdr>
                  <w:divsChild>
                    <w:div w:id="144513437">
                      <w:marLeft w:val="0"/>
                      <w:marRight w:val="0"/>
                      <w:marTop w:val="0"/>
                      <w:marBottom w:val="0"/>
                      <w:divBdr>
                        <w:top w:val="none" w:sz="0" w:space="0" w:color="auto"/>
                        <w:left w:val="none" w:sz="0" w:space="0" w:color="auto"/>
                        <w:bottom w:val="none" w:sz="0" w:space="0" w:color="auto"/>
                        <w:right w:val="none" w:sz="0" w:space="0" w:color="auto"/>
                      </w:divBdr>
                    </w:div>
                    <w:div w:id="1767774342">
                      <w:marLeft w:val="0"/>
                      <w:marRight w:val="0"/>
                      <w:marTop w:val="0"/>
                      <w:marBottom w:val="0"/>
                      <w:divBdr>
                        <w:top w:val="none" w:sz="0" w:space="0" w:color="auto"/>
                        <w:left w:val="none" w:sz="0" w:space="0" w:color="auto"/>
                        <w:bottom w:val="none" w:sz="0" w:space="0" w:color="auto"/>
                        <w:right w:val="none" w:sz="0" w:space="0" w:color="auto"/>
                      </w:divBdr>
                      <w:divsChild>
                        <w:div w:id="408382691">
                          <w:marLeft w:val="0"/>
                          <w:marRight w:val="0"/>
                          <w:marTop w:val="0"/>
                          <w:marBottom w:val="0"/>
                          <w:divBdr>
                            <w:top w:val="none" w:sz="0" w:space="0" w:color="auto"/>
                            <w:left w:val="none" w:sz="0" w:space="0" w:color="auto"/>
                            <w:bottom w:val="none" w:sz="0" w:space="0" w:color="auto"/>
                            <w:right w:val="none" w:sz="0" w:space="0" w:color="auto"/>
                          </w:divBdr>
                          <w:divsChild>
                            <w:div w:id="6939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1096">
                  <w:marLeft w:val="0"/>
                  <w:marRight w:val="0"/>
                  <w:marTop w:val="0"/>
                  <w:marBottom w:val="0"/>
                  <w:divBdr>
                    <w:top w:val="none" w:sz="0" w:space="0" w:color="auto"/>
                    <w:left w:val="none" w:sz="0" w:space="0" w:color="auto"/>
                    <w:bottom w:val="none" w:sz="0" w:space="0" w:color="auto"/>
                    <w:right w:val="none" w:sz="0" w:space="0" w:color="auto"/>
                  </w:divBdr>
                  <w:divsChild>
                    <w:div w:id="633099514">
                      <w:marLeft w:val="0"/>
                      <w:marRight w:val="0"/>
                      <w:marTop w:val="0"/>
                      <w:marBottom w:val="0"/>
                      <w:divBdr>
                        <w:top w:val="none" w:sz="0" w:space="0" w:color="auto"/>
                        <w:left w:val="none" w:sz="0" w:space="0" w:color="auto"/>
                        <w:bottom w:val="none" w:sz="0" w:space="0" w:color="auto"/>
                        <w:right w:val="none" w:sz="0" w:space="0" w:color="auto"/>
                      </w:divBdr>
                    </w:div>
                    <w:div w:id="1226993604">
                      <w:marLeft w:val="0"/>
                      <w:marRight w:val="0"/>
                      <w:marTop w:val="0"/>
                      <w:marBottom w:val="0"/>
                      <w:divBdr>
                        <w:top w:val="none" w:sz="0" w:space="0" w:color="auto"/>
                        <w:left w:val="none" w:sz="0" w:space="0" w:color="auto"/>
                        <w:bottom w:val="none" w:sz="0" w:space="0" w:color="auto"/>
                        <w:right w:val="none" w:sz="0" w:space="0" w:color="auto"/>
                      </w:divBdr>
                      <w:divsChild>
                        <w:div w:id="740758077">
                          <w:marLeft w:val="0"/>
                          <w:marRight w:val="0"/>
                          <w:marTop w:val="0"/>
                          <w:marBottom w:val="0"/>
                          <w:divBdr>
                            <w:top w:val="none" w:sz="0" w:space="0" w:color="auto"/>
                            <w:left w:val="none" w:sz="0" w:space="0" w:color="auto"/>
                            <w:bottom w:val="none" w:sz="0" w:space="0" w:color="auto"/>
                            <w:right w:val="none" w:sz="0" w:space="0" w:color="auto"/>
                          </w:divBdr>
                          <w:divsChild>
                            <w:div w:id="7096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876">
                  <w:marLeft w:val="0"/>
                  <w:marRight w:val="0"/>
                  <w:marTop w:val="0"/>
                  <w:marBottom w:val="0"/>
                  <w:divBdr>
                    <w:top w:val="none" w:sz="0" w:space="0" w:color="auto"/>
                    <w:left w:val="none" w:sz="0" w:space="0" w:color="auto"/>
                    <w:bottom w:val="none" w:sz="0" w:space="0" w:color="auto"/>
                    <w:right w:val="none" w:sz="0" w:space="0" w:color="auto"/>
                  </w:divBdr>
                  <w:divsChild>
                    <w:div w:id="2082751196">
                      <w:marLeft w:val="0"/>
                      <w:marRight w:val="0"/>
                      <w:marTop w:val="0"/>
                      <w:marBottom w:val="0"/>
                      <w:divBdr>
                        <w:top w:val="none" w:sz="0" w:space="0" w:color="auto"/>
                        <w:left w:val="none" w:sz="0" w:space="0" w:color="auto"/>
                        <w:bottom w:val="none" w:sz="0" w:space="0" w:color="auto"/>
                        <w:right w:val="none" w:sz="0" w:space="0" w:color="auto"/>
                      </w:divBdr>
                    </w:div>
                    <w:div w:id="122120305">
                      <w:marLeft w:val="0"/>
                      <w:marRight w:val="0"/>
                      <w:marTop w:val="0"/>
                      <w:marBottom w:val="0"/>
                      <w:divBdr>
                        <w:top w:val="none" w:sz="0" w:space="0" w:color="auto"/>
                        <w:left w:val="none" w:sz="0" w:space="0" w:color="auto"/>
                        <w:bottom w:val="none" w:sz="0" w:space="0" w:color="auto"/>
                        <w:right w:val="none" w:sz="0" w:space="0" w:color="auto"/>
                      </w:divBdr>
                      <w:divsChild>
                        <w:div w:id="1933276882">
                          <w:marLeft w:val="0"/>
                          <w:marRight w:val="0"/>
                          <w:marTop w:val="0"/>
                          <w:marBottom w:val="0"/>
                          <w:divBdr>
                            <w:top w:val="none" w:sz="0" w:space="0" w:color="auto"/>
                            <w:left w:val="none" w:sz="0" w:space="0" w:color="auto"/>
                            <w:bottom w:val="none" w:sz="0" w:space="0" w:color="auto"/>
                            <w:right w:val="none" w:sz="0" w:space="0" w:color="auto"/>
                          </w:divBdr>
                          <w:divsChild>
                            <w:div w:id="154954673">
                              <w:marLeft w:val="0"/>
                              <w:marRight w:val="0"/>
                              <w:marTop w:val="0"/>
                              <w:marBottom w:val="0"/>
                              <w:divBdr>
                                <w:top w:val="none" w:sz="0" w:space="0" w:color="auto"/>
                                <w:left w:val="none" w:sz="0" w:space="0" w:color="auto"/>
                                <w:bottom w:val="none" w:sz="0" w:space="0" w:color="auto"/>
                                <w:right w:val="none" w:sz="0" w:space="0" w:color="auto"/>
                              </w:divBdr>
                            </w:div>
                            <w:div w:id="1630352744">
                              <w:marLeft w:val="0"/>
                              <w:marRight w:val="0"/>
                              <w:marTop w:val="0"/>
                              <w:marBottom w:val="0"/>
                              <w:divBdr>
                                <w:top w:val="none" w:sz="0" w:space="0" w:color="auto"/>
                                <w:left w:val="none" w:sz="0" w:space="0" w:color="auto"/>
                                <w:bottom w:val="none" w:sz="0" w:space="0" w:color="auto"/>
                                <w:right w:val="none" w:sz="0" w:space="0" w:color="auto"/>
                              </w:divBdr>
                              <w:divsChild>
                                <w:div w:id="49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424248">
          <w:marLeft w:val="0"/>
          <w:marRight w:val="0"/>
          <w:marTop w:val="0"/>
          <w:marBottom w:val="0"/>
          <w:divBdr>
            <w:top w:val="single" w:sz="12" w:space="0" w:color="DADADA"/>
            <w:left w:val="single" w:sz="12" w:space="0" w:color="DADADA"/>
            <w:bottom w:val="single" w:sz="12" w:space="0" w:color="DADADA"/>
            <w:right w:val="single" w:sz="12" w:space="0" w:color="DADADA"/>
          </w:divBdr>
          <w:divsChild>
            <w:div w:id="2027512313">
              <w:marLeft w:val="0"/>
              <w:marRight w:val="0"/>
              <w:marTop w:val="0"/>
              <w:marBottom w:val="0"/>
              <w:divBdr>
                <w:top w:val="none" w:sz="0" w:space="0" w:color="auto"/>
                <w:left w:val="none" w:sz="0" w:space="0" w:color="auto"/>
                <w:bottom w:val="single" w:sz="6" w:space="0" w:color="DADADA"/>
                <w:right w:val="none" w:sz="0" w:space="0" w:color="auto"/>
              </w:divBdr>
            </w:div>
            <w:div w:id="1875775645">
              <w:marLeft w:val="0"/>
              <w:marRight w:val="0"/>
              <w:marTop w:val="0"/>
              <w:marBottom w:val="0"/>
              <w:divBdr>
                <w:top w:val="none" w:sz="0" w:space="0" w:color="auto"/>
                <w:left w:val="none" w:sz="0" w:space="0" w:color="auto"/>
                <w:bottom w:val="none" w:sz="0" w:space="0" w:color="auto"/>
                <w:right w:val="none" w:sz="0" w:space="0" w:color="auto"/>
              </w:divBdr>
              <w:divsChild>
                <w:div w:id="1491209323">
                  <w:marLeft w:val="0"/>
                  <w:marRight w:val="0"/>
                  <w:marTop w:val="0"/>
                  <w:marBottom w:val="0"/>
                  <w:divBdr>
                    <w:top w:val="none" w:sz="0" w:space="0" w:color="auto"/>
                    <w:left w:val="none" w:sz="0" w:space="0" w:color="auto"/>
                    <w:bottom w:val="none" w:sz="0" w:space="0" w:color="auto"/>
                    <w:right w:val="none" w:sz="0" w:space="0" w:color="auto"/>
                  </w:divBdr>
                  <w:divsChild>
                    <w:div w:id="71850730">
                      <w:marLeft w:val="0"/>
                      <w:marRight w:val="0"/>
                      <w:marTop w:val="0"/>
                      <w:marBottom w:val="0"/>
                      <w:divBdr>
                        <w:top w:val="none" w:sz="0" w:space="0" w:color="auto"/>
                        <w:left w:val="none" w:sz="0" w:space="0" w:color="auto"/>
                        <w:bottom w:val="none" w:sz="0" w:space="0" w:color="auto"/>
                        <w:right w:val="none" w:sz="0" w:space="0" w:color="auto"/>
                      </w:divBdr>
                      <w:divsChild>
                        <w:div w:id="9742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2726">
      <w:bodyDiv w:val="1"/>
      <w:marLeft w:val="0"/>
      <w:marRight w:val="0"/>
      <w:marTop w:val="0"/>
      <w:marBottom w:val="0"/>
      <w:divBdr>
        <w:top w:val="none" w:sz="0" w:space="0" w:color="auto"/>
        <w:left w:val="none" w:sz="0" w:space="0" w:color="auto"/>
        <w:bottom w:val="none" w:sz="0" w:space="0" w:color="auto"/>
        <w:right w:val="none" w:sz="0" w:space="0" w:color="auto"/>
      </w:divBdr>
    </w:div>
    <w:div w:id="1504011244">
      <w:bodyDiv w:val="1"/>
      <w:marLeft w:val="0"/>
      <w:marRight w:val="0"/>
      <w:marTop w:val="0"/>
      <w:marBottom w:val="0"/>
      <w:divBdr>
        <w:top w:val="none" w:sz="0" w:space="0" w:color="auto"/>
        <w:left w:val="none" w:sz="0" w:space="0" w:color="auto"/>
        <w:bottom w:val="none" w:sz="0" w:space="0" w:color="auto"/>
        <w:right w:val="none" w:sz="0" w:space="0" w:color="auto"/>
      </w:divBdr>
      <w:divsChild>
        <w:div w:id="390421670">
          <w:marLeft w:val="0"/>
          <w:marRight w:val="0"/>
          <w:marTop w:val="0"/>
          <w:marBottom w:val="0"/>
          <w:divBdr>
            <w:top w:val="none" w:sz="0" w:space="0" w:color="auto"/>
            <w:left w:val="none" w:sz="0" w:space="0" w:color="auto"/>
            <w:bottom w:val="none" w:sz="0" w:space="0" w:color="auto"/>
            <w:right w:val="none" w:sz="0" w:space="0" w:color="auto"/>
          </w:divBdr>
          <w:divsChild>
            <w:div w:id="1944343675">
              <w:marLeft w:val="0"/>
              <w:marRight w:val="0"/>
              <w:marTop w:val="0"/>
              <w:marBottom w:val="0"/>
              <w:divBdr>
                <w:top w:val="none" w:sz="0" w:space="0" w:color="auto"/>
                <w:left w:val="none" w:sz="0" w:space="0" w:color="auto"/>
                <w:bottom w:val="none" w:sz="0" w:space="0" w:color="auto"/>
                <w:right w:val="none" w:sz="0" w:space="0" w:color="auto"/>
              </w:divBdr>
            </w:div>
          </w:divsChild>
        </w:div>
        <w:div w:id="1424641829">
          <w:marLeft w:val="0"/>
          <w:marRight w:val="0"/>
          <w:marTop w:val="0"/>
          <w:marBottom w:val="0"/>
          <w:divBdr>
            <w:top w:val="none" w:sz="0" w:space="0" w:color="auto"/>
            <w:left w:val="none" w:sz="0" w:space="0" w:color="auto"/>
            <w:bottom w:val="none" w:sz="0" w:space="0" w:color="auto"/>
            <w:right w:val="none" w:sz="0" w:space="0" w:color="auto"/>
          </w:divBdr>
          <w:divsChild>
            <w:div w:id="17401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7173">
      <w:bodyDiv w:val="1"/>
      <w:marLeft w:val="0"/>
      <w:marRight w:val="0"/>
      <w:marTop w:val="0"/>
      <w:marBottom w:val="0"/>
      <w:divBdr>
        <w:top w:val="none" w:sz="0" w:space="0" w:color="auto"/>
        <w:left w:val="none" w:sz="0" w:space="0" w:color="auto"/>
        <w:bottom w:val="none" w:sz="0" w:space="0" w:color="auto"/>
        <w:right w:val="none" w:sz="0" w:space="0" w:color="auto"/>
      </w:divBdr>
      <w:divsChild>
        <w:div w:id="1158380318">
          <w:marLeft w:val="0"/>
          <w:marRight w:val="0"/>
          <w:marTop w:val="0"/>
          <w:marBottom w:val="0"/>
          <w:divBdr>
            <w:top w:val="none" w:sz="0" w:space="0" w:color="auto"/>
            <w:left w:val="none" w:sz="0" w:space="0" w:color="auto"/>
            <w:bottom w:val="none" w:sz="0" w:space="0" w:color="auto"/>
            <w:right w:val="none" w:sz="0" w:space="0" w:color="auto"/>
          </w:divBdr>
        </w:div>
        <w:div w:id="1444811202">
          <w:marLeft w:val="0"/>
          <w:marRight w:val="0"/>
          <w:marTop w:val="0"/>
          <w:marBottom w:val="0"/>
          <w:divBdr>
            <w:top w:val="none" w:sz="0" w:space="0" w:color="auto"/>
            <w:left w:val="none" w:sz="0" w:space="0" w:color="auto"/>
            <w:bottom w:val="none" w:sz="0" w:space="0" w:color="auto"/>
            <w:right w:val="none" w:sz="0" w:space="0" w:color="auto"/>
          </w:divBdr>
          <w:divsChild>
            <w:div w:id="14569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7502">
      <w:bodyDiv w:val="1"/>
      <w:marLeft w:val="0"/>
      <w:marRight w:val="0"/>
      <w:marTop w:val="0"/>
      <w:marBottom w:val="0"/>
      <w:divBdr>
        <w:top w:val="none" w:sz="0" w:space="0" w:color="auto"/>
        <w:left w:val="none" w:sz="0" w:space="0" w:color="auto"/>
        <w:bottom w:val="none" w:sz="0" w:space="0" w:color="auto"/>
        <w:right w:val="none" w:sz="0" w:space="0" w:color="auto"/>
      </w:divBdr>
    </w:div>
    <w:div w:id="1531802805">
      <w:bodyDiv w:val="1"/>
      <w:marLeft w:val="0"/>
      <w:marRight w:val="0"/>
      <w:marTop w:val="0"/>
      <w:marBottom w:val="0"/>
      <w:divBdr>
        <w:top w:val="none" w:sz="0" w:space="0" w:color="auto"/>
        <w:left w:val="none" w:sz="0" w:space="0" w:color="auto"/>
        <w:bottom w:val="none" w:sz="0" w:space="0" w:color="auto"/>
        <w:right w:val="none" w:sz="0" w:space="0" w:color="auto"/>
      </w:divBdr>
    </w:div>
    <w:div w:id="1538156164">
      <w:bodyDiv w:val="1"/>
      <w:marLeft w:val="0"/>
      <w:marRight w:val="0"/>
      <w:marTop w:val="0"/>
      <w:marBottom w:val="0"/>
      <w:divBdr>
        <w:top w:val="none" w:sz="0" w:space="0" w:color="auto"/>
        <w:left w:val="none" w:sz="0" w:space="0" w:color="auto"/>
        <w:bottom w:val="none" w:sz="0" w:space="0" w:color="auto"/>
        <w:right w:val="none" w:sz="0" w:space="0" w:color="auto"/>
      </w:divBdr>
    </w:div>
    <w:div w:id="1544632695">
      <w:bodyDiv w:val="1"/>
      <w:marLeft w:val="0"/>
      <w:marRight w:val="0"/>
      <w:marTop w:val="0"/>
      <w:marBottom w:val="0"/>
      <w:divBdr>
        <w:top w:val="none" w:sz="0" w:space="0" w:color="auto"/>
        <w:left w:val="none" w:sz="0" w:space="0" w:color="auto"/>
        <w:bottom w:val="none" w:sz="0" w:space="0" w:color="auto"/>
        <w:right w:val="none" w:sz="0" w:space="0" w:color="auto"/>
      </w:divBdr>
      <w:divsChild>
        <w:div w:id="214004996">
          <w:marLeft w:val="0"/>
          <w:marRight w:val="0"/>
          <w:marTop w:val="0"/>
          <w:marBottom w:val="0"/>
          <w:divBdr>
            <w:top w:val="none" w:sz="0" w:space="0" w:color="auto"/>
            <w:left w:val="none" w:sz="0" w:space="0" w:color="auto"/>
            <w:bottom w:val="none" w:sz="0" w:space="0" w:color="auto"/>
            <w:right w:val="none" w:sz="0" w:space="0" w:color="auto"/>
          </w:divBdr>
          <w:divsChild>
            <w:div w:id="251012829">
              <w:marLeft w:val="0"/>
              <w:marRight w:val="0"/>
              <w:marTop w:val="0"/>
              <w:marBottom w:val="0"/>
              <w:divBdr>
                <w:top w:val="none" w:sz="0" w:space="0" w:color="auto"/>
                <w:left w:val="none" w:sz="0" w:space="0" w:color="auto"/>
                <w:bottom w:val="none" w:sz="0" w:space="0" w:color="auto"/>
                <w:right w:val="none" w:sz="0" w:space="0" w:color="auto"/>
              </w:divBdr>
            </w:div>
          </w:divsChild>
        </w:div>
        <w:div w:id="1072124721">
          <w:marLeft w:val="0"/>
          <w:marRight w:val="0"/>
          <w:marTop w:val="0"/>
          <w:marBottom w:val="0"/>
          <w:divBdr>
            <w:top w:val="none" w:sz="0" w:space="0" w:color="auto"/>
            <w:left w:val="none" w:sz="0" w:space="0" w:color="auto"/>
            <w:bottom w:val="none" w:sz="0" w:space="0" w:color="auto"/>
            <w:right w:val="none" w:sz="0" w:space="0" w:color="auto"/>
          </w:divBdr>
          <w:divsChild>
            <w:div w:id="1125544189">
              <w:marLeft w:val="0"/>
              <w:marRight w:val="0"/>
              <w:marTop w:val="0"/>
              <w:marBottom w:val="0"/>
              <w:divBdr>
                <w:top w:val="none" w:sz="0" w:space="0" w:color="auto"/>
                <w:left w:val="none" w:sz="0" w:space="0" w:color="auto"/>
                <w:bottom w:val="none" w:sz="0" w:space="0" w:color="auto"/>
                <w:right w:val="none" w:sz="0" w:space="0" w:color="auto"/>
              </w:divBdr>
            </w:div>
          </w:divsChild>
        </w:div>
        <w:div w:id="1900703791">
          <w:marLeft w:val="0"/>
          <w:marRight w:val="0"/>
          <w:marTop w:val="0"/>
          <w:marBottom w:val="0"/>
          <w:divBdr>
            <w:top w:val="none" w:sz="0" w:space="0" w:color="auto"/>
            <w:left w:val="none" w:sz="0" w:space="0" w:color="auto"/>
            <w:bottom w:val="none" w:sz="0" w:space="0" w:color="auto"/>
            <w:right w:val="none" w:sz="0" w:space="0" w:color="auto"/>
          </w:divBdr>
          <w:divsChild>
            <w:div w:id="4275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561">
      <w:bodyDiv w:val="1"/>
      <w:marLeft w:val="0"/>
      <w:marRight w:val="0"/>
      <w:marTop w:val="0"/>
      <w:marBottom w:val="0"/>
      <w:divBdr>
        <w:top w:val="none" w:sz="0" w:space="0" w:color="auto"/>
        <w:left w:val="none" w:sz="0" w:space="0" w:color="auto"/>
        <w:bottom w:val="none" w:sz="0" w:space="0" w:color="auto"/>
        <w:right w:val="none" w:sz="0" w:space="0" w:color="auto"/>
      </w:divBdr>
      <w:divsChild>
        <w:div w:id="144858944">
          <w:marLeft w:val="0"/>
          <w:marRight w:val="0"/>
          <w:marTop w:val="0"/>
          <w:marBottom w:val="0"/>
          <w:divBdr>
            <w:top w:val="none" w:sz="0" w:space="0" w:color="auto"/>
            <w:left w:val="none" w:sz="0" w:space="0" w:color="auto"/>
            <w:bottom w:val="none" w:sz="0" w:space="0" w:color="auto"/>
            <w:right w:val="none" w:sz="0" w:space="0" w:color="auto"/>
          </w:divBdr>
        </w:div>
        <w:div w:id="1677029611">
          <w:marLeft w:val="0"/>
          <w:marRight w:val="0"/>
          <w:marTop w:val="240"/>
          <w:marBottom w:val="0"/>
          <w:divBdr>
            <w:top w:val="none" w:sz="0" w:space="0" w:color="auto"/>
            <w:left w:val="none" w:sz="0" w:space="0" w:color="auto"/>
            <w:bottom w:val="none" w:sz="0" w:space="0" w:color="auto"/>
            <w:right w:val="none" w:sz="0" w:space="0" w:color="auto"/>
          </w:divBdr>
          <w:divsChild>
            <w:div w:id="32392590">
              <w:marLeft w:val="0"/>
              <w:marRight w:val="0"/>
              <w:marTop w:val="0"/>
              <w:marBottom w:val="0"/>
              <w:divBdr>
                <w:top w:val="none" w:sz="0" w:space="0" w:color="auto"/>
                <w:left w:val="none" w:sz="0" w:space="0" w:color="auto"/>
                <w:bottom w:val="none" w:sz="0" w:space="0" w:color="auto"/>
                <w:right w:val="none" w:sz="0" w:space="0" w:color="auto"/>
              </w:divBdr>
              <w:divsChild>
                <w:div w:id="10872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0951">
          <w:marLeft w:val="0"/>
          <w:marRight w:val="0"/>
          <w:marTop w:val="240"/>
          <w:marBottom w:val="0"/>
          <w:divBdr>
            <w:top w:val="none" w:sz="0" w:space="0" w:color="auto"/>
            <w:left w:val="none" w:sz="0" w:space="0" w:color="auto"/>
            <w:bottom w:val="none" w:sz="0" w:space="0" w:color="auto"/>
            <w:right w:val="none" w:sz="0" w:space="0" w:color="auto"/>
          </w:divBdr>
          <w:divsChild>
            <w:div w:id="46228823">
              <w:marLeft w:val="0"/>
              <w:marRight w:val="0"/>
              <w:marTop w:val="0"/>
              <w:marBottom w:val="0"/>
              <w:divBdr>
                <w:top w:val="none" w:sz="0" w:space="0" w:color="auto"/>
                <w:left w:val="none" w:sz="0" w:space="0" w:color="auto"/>
                <w:bottom w:val="none" w:sz="0" w:space="0" w:color="auto"/>
                <w:right w:val="none" w:sz="0" w:space="0" w:color="auto"/>
              </w:divBdr>
              <w:divsChild>
                <w:div w:id="5583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11255">
      <w:bodyDiv w:val="1"/>
      <w:marLeft w:val="0"/>
      <w:marRight w:val="0"/>
      <w:marTop w:val="0"/>
      <w:marBottom w:val="0"/>
      <w:divBdr>
        <w:top w:val="none" w:sz="0" w:space="0" w:color="auto"/>
        <w:left w:val="none" w:sz="0" w:space="0" w:color="auto"/>
        <w:bottom w:val="none" w:sz="0" w:space="0" w:color="auto"/>
        <w:right w:val="none" w:sz="0" w:space="0" w:color="auto"/>
      </w:divBdr>
      <w:divsChild>
        <w:div w:id="1916741151">
          <w:marLeft w:val="0"/>
          <w:marRight w:val="0"/>
          <w:marTop w:val="0"/>
          <w:marBottom w:val="0"/>
          <w:divBdr>
            <w:top w:val="none" w:sz="0" w:space="0" w:color="auto"/>
            <w:left w:val="none" w:sz="0" w:space="0" w:color="auto"/>
            <w:bottom w:val="none" w:sz="0" w:space="0" w:color="auto"/>
            <w:right w:val="none" w:sz="0" w:space="0" w:color="auto"/>
          </w:divBdr>
          <w:divsChild>
            <w:div w:id="1993752730">
              <w:marLeft w:val="0"/>
              <w:marRight w:val="0"/>
              <w:marTop w:val="0"/>
              <w:marBottom w:val="0"/>
              <w:divBdr>
                <w:top w:val="none" w:sz="0" w:space="0" w:color="auto"/>
                <w:left w:val="none" w:sz="0" w:space="0" w:color="auto"/>
                <w:bottom w:val="none" w:sz="0" w:space="0" w:color="auto"/>
                <w:right w:val="none" w:sz="0" w:space="0" w:color="auto"/>
              </w:divBdr>
            </w:div>
          </w:divsChild>
        </w:div>
        <w:div w:id="1758667693">
          <w:marLeft w:val="0"/>
          <w:marRight w:val="0"/>
          <w:marTop w:val="0"/>
          <w:marBottom w:val="0"/>
          <w:divBdr>
            <w:top w:val="none" w:sz="0" w:space="0" w:color="auto"/>
            <w:left w:val="none" w:sz="0" w:space="0" w:color="auto"/>
            <w:bottom w:val="none" w:sz="0" w:space="0" w:color="auto"/>
            <w:right w:val="none" w:sz="0" w:space="0" w:color="auto"/>
          </w:divBdr>
          <w:divsChild>
            <w:div w:id="186646954">
              <w:marLeft w:val="0"/>
              <w:marRight w:val="0"/>
              <w:marTop w:val="0"/>
              <w:marBottom w:val="0"/>
              <w:divBdr>
                <w:top w:val="none" w:sz="0" w:space="0" w:color="auto"/>
                <w:left w:val="none" w:sz="0" w:space="0" w:color="auto"/>
                <w:bottom w:val="none" w:sz="0" w:space="0" w:color="auto"/>
                <w:right w:val="none" w:sz="0" w:space="0" w:color="auto"/>
              </w:divBdr>
            </w:div>
          </w:divsChild>
        </w:div>
        <w:div w:id="1133866">
          <w:marLeft w:val="0"/>
          <w:marRight w:val="0"/>
          <w:marTop w:val="0"/>
          <w:marBottom w:val="0"/>
          <w:divBdr>
            <w:top w:val="none" w:sz="0" w:space="0" w:color="auto"/>
            <w:left w:val="none" w:sz="0" w:space="0" w:color="auto"/>
            <w:bottom w:val="none" w:sz="0" w:space="0" w:color="auto"/>
            <w:right w:val="none" w:sz="0" w:space="0" w:color="auto"/>
          </w:divBdr>
          <w:divsChild>
            <w:div w:id="8130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3398">
      <w:bodyDiv w:val="1"/>
      <w:marLeft w:val="0"/>
      <w:marRight w:val="0"/>
      <w:marTop w:val="0"/>
      <w:marBottom w:val="0"/>
      <w:divBdr>
        <w:top w:val="none" w:sz="0" w:space="0" w:color="auto"/>
        <w:left w:val="none" w:sz="0" w:space="0" w:color="auto"/>
        <w:bottom w:val="none" w:sz="0" w:space="0" w:color="auto"/>
        <w:right w:val="none" w:sz="0" w:space="0" w:color="auto"/>
      </w:divBdr>
    </w:div>
    <w:div w:id="1582065061">
      <w:bodyDiv w:val="1"/>
      <w:marLeft w:val="0"/>
      <w:marRight w:val="0"/>
      <w:marTop w:val="0"/>
      <w:marBottom w:val="0"/>
      <w:divBdr>
        <w:top w:val="none" w:sz="0" w:space="0" w:color="auto"/>
        <w:left w:val="none" w:sz="0" w:space="0" w:color="auto"/>
        <w:bottom w:val="none" w:sz="0" w:space="0" w:color="auto"/>
        <w:right w:val="none" w:sz="0" w:space="0" w:color="auto"/>
      </w:divBdr>
      <w:divsChild>
        <w:div w:id="818617130">
          <w:marLeft w:val="0"/>
          <w:marRight w:val="0"/>
          <w:marTop w:val="0"/>
          <w:marBottom w:val="0"/>
          <w:divBdr>
            <w:top w:val="none" w:sz="0" w:space="0" w:color="auto"/>
            <w:left w:val="none" w:sz="0" w:space="0" w:color="auto"/>
            <w:bottom w:val="none" w:sz="0" w:space="0" w:color="auto"/>
            <w:right w:val="none" w:sz="0" w:space="0" w:color="auto"/>
          </w:divBdr>
        </w:div>
        <w:div w:id="1602756858">
          <w:marLeft w:val="0"/>
          <w:marRight w:val="0"/>
          <w:marTop w:val="240"/>
          <w:marBottom w:val="0"/>
          <w:divBdr>
            <w:top w:val="none" w:sz="0" w:space="0" w:color="auto"/>
            <w:left w:val="none" w:sz="0" w:space="0" w:color="auto"/>
            <w:bottom w:val="none" w:sz="0" w:space="0" w:color="auto"/>
            <w:right w:val="none" w:sz="0" w:space="0" w:color="auto"/>
          </w:divBdr>
          <w:divsChild>
            <w:div w:id="710346465">
              <w:marLeft w:val="0"/>
              <w:marRight w:val="0"/>
              <w:marTop w:val="0"/>
              <w:marBottom w:val="0"/>
              <w:divBdr>
                <w:top w:val="none" w:sz="0" w:space="0" w:color="auto"/>
                <w:left w:val="none" w:sz="0" w:space="0" w:color="auto"/>
                <w:bottom w:val="none" w:sz="0" w:space="0" w:color="auto"/>
                <w:right w:val="none" w:sz="0" w:space="0" w:color="auto"/>
              </w:divBdr>
            </w:div>
          </w:divsChild>
        </w:div>
        <w:div w:id="2052610662">
          <w:marLeft w:val="0"/>
          <w:marRight w:val="0"/>
          <w:marTop w:val="240"/>
          <w:marBottom w:val="0"/>
          <w:divBdr>
            <w:top w:val="none" w:sz="0" w:space="0" w:color="auto"/>
            <w:left w:val="none" w:sz="0" w:space="0" w:color="auto"/>
            <w:bottom w:val="none" w:sz="0" w:space="0" w:color="auto"/>
            <w:right w:val="none" w:sz="0" w:space="0" w:color="auto"/>
          </w:divBdr>
          <w:divsChild>
            <w:div w:id="82262857">
              <w:marLeft w:val="0"/>
              <w:marRight w:val="0"/>
              <w:marTop w:val="0"/>
              <w:marBottom w:val="0"/>
              <w:divBdr>
                <w:top w:val="none" w:sz="0" w:space="0" w:color="auto"/>
                <w:left w:val="none" w:sz="0" w:space="0" w:color="auto"/>
                <w:bottom w:val="none" w:sz="0" w:space="0" w:color="auto"/>
                <w:right w:val="none" w:sz="0" w:space="0" w:color="auto"/>
              </w:divBdr>
              <w:divsChild>
                <w:div w:id="4209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50103">
          <w:marLeft w:val="0"/>
          <w:marRight w:val="0"/>
          <w:marTop w:val="240"/>
          <w:marBottom w:val="0"/>
          <w:divBdr>
            <w:top w:val="none" w:sz="0" w:space="0" w:color="auto"/>
            <w:left w:val="none" w:sz="0" w:space="0" w:color="auto"/>
            <w:bottom w:val="none" w:sz="0" w:space="0" w:color="auto"/>
            <w:right w:val="none" w:sz="0" w:space="0" w:color="auto"/>
          </w:divBdr>
          <w:divsChild>
            <w:div w:id="238952980">
              <w:marLeft w:val="0"/>
              <w:marRight w:val="0"/>
              <w:marTop w:val="0"/>
              <w:marBottom w:val="0"/>
              <w:divBdr>
                <w:top w:val="none" w:sz="0" w:space="0" w:color="auto"/>
                <w:left w:val="none" w:sz="0" w:space="0" w:color="auto"/>
                <w:bottom w:val="none" w:sz="0" w:space="0" w:color="auto"/>
                <w:right w:val="none" w:sz="0" w:space="0" w:color="auto"/>
              </w:divBdr>
              <w:divsChild>
                <w:div w:id="5858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6082">
      <w:bodyDiv w:val="1"/>
      <w:marLeft w:val="0"/>
      <w:marRight w:val="0"/>
      <w:marTop w:val="0"/>
      <w:marBottom w:val="0"/>
      <w:divBdr>
        <w:top w:val="none" w:sz="0" w:space="0" w:color="auto"/>
        <w:left w:val="none" w:sz="0" w:space="0" w:color="auto"/>
        <w:bottom w:val="none" w:sz="0" w:space="0" w:color="auto"/>
        <w:right w:val="none" w:sz="0" w:space="0" w:color="auto"/>
      </w:divBdr>
    </w:div>
    <w:div w:id="1586912672">
      <w:bodyDiv w:val="1"/>
      <w:marLeft w:val="0"/>
      <w:marRight w:val="0"/>
      <w:marTop w:val="0"/>
      <w:marBottom w:val="0"/>
      <w:divBdr>
        <w:top w:val="none" w:sz="0" w:space="0" w:color="auto"/>
        <w:left w:val="none" w:sz="0" w:space="0" w:color="auto"/>
        <w:bottom w:val="none" w:sz="0" w:space="0" w:color="auto"/>
        <w:right w:val="none" w:sz="0" w:space="0" w:color="auto"/>
      </w:divBdr>
      <w:divsChild>
        <w:div w:id="475027938">
          <w:marLeft w:val="0"/>
          <w:marRight w:val="0"/>
          <w:marTop w:val="240"/>
          <w:marBottom w:val="0"/>
          <w:divBdr>
            <w:top w:val="none" w:sz="0" w:space="0" w:color="auto"/>
            <w:left w:val="none" w:sz="0" w:space="0" w:color="auto"/>
            <w:bottom w:val="none" w:sz="0" w:space="0" w:color="auto"/>
            <w:right w:val="none" w:sz="0" w:space="0" w:color="auto"/>
          </w:divBdr>
          <w:divsChild>
            <w:div w:id="1765760791">
              <w:marLeft w:val="0"/>
              <w:marRight w:val="0"/>
              <w:marTop w:val="0"/>
              <w:marBottom w:val="0"/>
              <w:divBdr>
                <w:top w:val="none" w:sz="0" w:space="0" w:color="auto"/>
                <w:left w:val="none" w:sz="0" w:space="0" w:color="auto"/>
                <w:bottom w:val="none" w:sz="0" w:space="0" w:color="auto"/>
                <w:right w:val="none" w:sz="0" w:space="0" w:color="auto"/>
              </w:divBdr>
            </w:div>
          </w:divsChild>
        </w:div>
        <w:div w:id="1300384475">
          <w:marLeft w:val="0"/>
          <w:marRight w:val="0"/>
          <w:marTop w:val="240"/>
          <w:marBottom w:val="0"/>
          <w:divBdr>
            <w:top w:val="none" w:sz="0" w:space="0" w:color="auto"/>
            <w:left w:val="none" w:sz="0" w:space="0" w:color="auto"/>
            <w:bottom w:val="none" w:sz="0" w:space="0" w:color="auto"/>
            <w:right w:val="none" w:sz="0" w:space="0" w:color="auto"/>
          </w:divBdr>
          <w:divsChild>
            <w:div w:id="1875381414">
              <w:marLeft w:val="0"/>
              <w:marRight w:val="0"/>
              <w:marTop w:val="0"/>
              <w:marBottom w:val="0"/>
              <w:divBdr>
                <w:top w:val="none" w:sz="0" w:space="0" w:color="auto"/>
                <w:left w:val="none" w:sz="0" w:space="0" w:color="auto"/>
                <w:bottom w:val="none" w:sz="0" w:space="0" w:color="auto"/>
                <w:right w:val="none" w:sz="0" w:space="0" w:color="auto"/>
              </w:divBdr>
            </w:div>
          </w:divsChild>
        </w:div>
        <w:div w:id="1618608561">
          <w:marLeft w:val="0"/>
          <w:marRight w:val="0"/>
          <w:marTop w:val="240"/>
          <w:marBottom w:val="0"/>
          <w:divBdr>
            <w:top w:val="none" w:sz="0" w:space="0" w:color="auto"/>
            <w:left w:val="none" w:sz="0" w:space="0" w:color="auto"/>
            <w:bottom w:val="none" w:sz="0" w:space="0" w:color="auto"/>
            <w:right w:val="none" w:sz="0" w:space="0" w:color="auto"/>
          </w:divBdr>
          <w:divsChild>
            <w:div w:id="1343126272">
              <w:marLeft w:val="0"/>
              <w:marRight w:val="0"/>
              <w:marTop w:val="0"/>
              <w:marBottom w:val="0"/>
              <w:divBdr>
                <w:top w:val="none" w:sz="0" w:space="0" w:color="auto"/>
                <w:left w:val="none" w:sz="0" w:space="0" w:color="auto"/>
                <w:bottom w:val="none" w:sz="0" w:space="0" w:color="auto"/>
                <w:right w:val="none" w:sz="0" w:space="0" w:color="auto"/>
              </w:divBdr>
            </w:div>
          </w:divsChild>
        </w:div>
        <w:div w:id="1851021708">
          <w:marLeft w:val="0"/>
          <w:marRight w:val="0"/>
          <w:marTop w:val="240"/>
          <w:marBottom w:val="0"/>
          <w:divBdr>
            <w:top w:val="none" w:sz="0" w:space="0" w:color="auto"/>
            <w:left w:val="none" w:sz="0" w:space="0" w:color="auto"/>
            <w:bottom w:val="none" w:sz="0" w:space="0" w:color="auto"/>
            <w:right w:val="none" w:sz="0" w:space="0" w:color="auto"/>
          </w:divBdr>
          <w:divsChild>
            <w:div w:id="18264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0548">
      <w:bodyDiv w:val="1"/>
      <w:marLeft w:val="0"/>
      <w:marRight w:val="0"/>
      <w:marTop w:val="0"/>
      <w:marBottom w:val="0"/>
      <w:divBdr>
        <w:top w:val="none" w:sz="0" w:space="0" w:color="auto"/>
        <w:left w:val="none" w:sz="0" w:space="0" w:color="auto"/>
        <w:bottom w:val="none" w:sz="0" w:space="0" w:color="auto"/>
        <w:right w:val="none" w:sz="0" w:space="0" w:color="auto"/>
      </w:divBdr>
      <w:divsChild>
        <w:div w:id="713307607">
          <w:marLeft w:val="0"/>
          <w:marRight w:val="0"/>
          <w:marTop w:val="0"/>
          <w:marBottom w:val="0"/>
          <w:divBdr>
            <w:top w:val="none" w:sz="0" w:space="0" w:color="auto"/>
            <w:left w:val="none" w:sz="0" w:space="0" w:color="auto"/>
            <w:bottom w:val="none" w:sz="0" w:space="0" w:color="auto"/>
            <w:right w:val="none" w:sz="0" w:space="0" w:color="auto"/>
          </w:divBdr>
        </w:div>
        <w:div w:id="801772765">
          <w:marLeft w:val="0"/>
          <w:marRight w:val="0"/>
          <w:marTop w:val="240"/>
          <w:marBottom w:val="0"/>
          <w:divBdr>
            <w:top w:val="none" w:sz="0" w:space="0" w:color="auto"/>
            <w:left w:val="none" w:sz="0" w:space="0" w:color="auto"/>
            <w:bottom w:val="none" w:sz="0" w:space="0" w:color="auto"/>
            <w:right w:val="none" w:sz="0" w:space="0" w:color="auto"/>
          </w:divBdr>
          <w:divsChild>
            <w:div w:id="1001197533">
              <w:marLeft w:val="0"/>
              <w:marRight w:val="0"/>
              <w:marTop w:val="0"/>
              <w:marBottom w:val="0"/>
              <w:divBdr>
                <w:top w:val="none" w:sz="0" w:space="0" w:color="auto"/>
                <w:left w:val="none" w:sz="0" w:space="0" w:color="auto"/>
                <w:bottom w:val="none" w:sz="0" w:space="0" w:color="auto"/>
                <w:right w:val="none" w:sz="0" w:space="0" w:color="auto"/>
              </w:divBdr>
              <w:divsChild>
                <w:div w:id="2675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69834">
      <w:bodyDiv w:val="1"/>
      <w:marLeft w:val="0"/>
      <w:marRight w:val="0"/>
      <w:marTop w:val="0"/>
      <w:marBottom w:val="0"/>
      <w:divBdr>
        <w:top w:val="none" w:sz="0" w:space="0" w:color="auto"/>
        <w:left w:val="none" w:sz="0" w:space="0" w:color="auto"/>
        <w:bottom w:val="none" w:sz="0" w:space="0" w:color="auto"/>
        <w:right w:val="none" w:sz="0" w:space="0" w:color="auto"/>
      </w:divBdr>
      <w:divsChild>
        <w:div w:id="237787134">
          <w:marLeft w:val="0"/>
          <w:marRight w:val="0"/>
          <w:marTop w:val="240"/>
          <w:marBottom w:val="0"/>
          <w:divBdr>
            <w:top w:val="none" w:sz="0" w:space="0" w:color="auto"/>
            <w:left w:val="none" w:sz="0" w:space="0" w:color="auto"/>
            <w:bottom w:val="none" w:sz="0" w:space="0" w:color="auto"/>
            <w:right w:val="none" w:sz="0" w:space="0" w:color="auto"/>
          </w:divBdr>
          <w:divsChild>
            <w:div w:id="129709737">
              <w:marLeft w:val="0"/>
              <w:marRight w:val="0"/>
              <w:marTop w:val="0"/>
              <w:marBottom w:val="0"/>
              <w:divBdr>
                <w:top w:val="none" w:sz="0" w:space="0" w:color="auto"/>
                <w:left w:val="none" w:sz="0" w:space="0" w:color="auto"/>
                <w:bottom w:val="none" w:sz="0" w:space="0" w:color="auto"/>
                <w:right w:val="none" w:sz="0" w:space="0" w:color="auto"/>
              </w:divBdr>
            </w:div>
          </w:divsChild>
        </w:div>
        <w:div w:id="619335844">
          <w:marLeft w:val="0"/>
          <w:marRight w:val="0"/>
          <w:marTop w:val="0"/>
          <w:marBottom w:val="0"/>
          <w:divBdr>
            <w:top w:val="none" w:sz="0" w:space="0" w:color="auto"/>
            <w:left w:val="none" w:sz="0" w:space="0" w:color="auto"/>
            <w:bottom w:val="none" w:sz="0" w:space="0" w:color="auto"/>
            <w:right w:val="none" w:sz="0" w:space="0" w:color="auto"/>
          </w:divBdr>
        </w:div>
        <w:div w:id="790592521">
          <w:marLeft w:val="0"/>
          <w:marRight w:val="0"/>
          <w:marTop w:val="240"/>
          <w:marBottom w:val="0"/>
          <w:divBdr>
            <w:top w:val="none" w:sz="0" w:space="0" w:color="auto"/>
            <w:left w:val="none" w:sz="0" w:space="0" w:color="auto"/>
            <w:bottom w:val="none" w:sz="0" w:space="0" w:color="auto"/>
            <w:right w:val="none" w:sz="0" w:space="0" w:color="auto"/>
          </w:divBdr>
          <w:divsChild>
            <w:div w:id="1083525393">
              <w:marLeft w:val="0"/>
              <w:marRight w:val="0"/>
              <w:marTop w:val="0"/>
              <w:marBottom w:val="0"/>
              <w:divBdr>
                <w:top w:val="none" w:sz="0" w:space="0" w:color="auto"/>
                <w:left w:val="none" w:sz="0" w:space="0" w:color="auto"/>
                <w:bottom w:val="none" w:sz="0" w:space="0" w:color="auto"/>
                <w:right w:val="none" w:sz="0" w:space="0" w:color="auto"/>
              </w:divBdr>
            </w:div>
          </w:divsChild>
        </w:div>
        <w:div w:id="1276210551">
          <w:marLeft w:val="0"/>
          <w:marRight w:val="0"/>
          <w:marTop w:val="240"/>
          <w:marBottom w:val="0"/>
          <w:divBdr>
            <w:top w:val="none" w:sz="0" w:space="0" w:color="auto"/>
            <w:left w:val="none" w:sz="0" w:space="0" w:color="auto"/>
            <w:bottom w:val="none" w:sz="0" w:space="0" w:color="auto"/>
            <w:right w:val="none" w:sz="0" w:space="0" w:color="auto"/>
          </w:divBdr>
        </w:div>
      </w:divsChild>
    </w:div>
    <w:div w:id="1621835445">
      <w:bodyDiv w:val="1"/>
      <w:marLeft w:val="0"/>
      <w:marRight w:val="0"/>
      <w:marTop w:val="0"/>
      <w:marBottom w:val="0"/>
      <w:divBdr>
        <w:top w:val="none" w:sz="0" w:space="0" w:color="auto"/>
        <w:left w:val="none" w:sz="0" w:space="0" w:color="auto"/>
        <w:bottom w:val="none" w:sz="0" w:space="0" w:color="auto"/>
        <w:right w:val="none" w:sz="0" w:space="0" w:color="auto"/>
      </w:divBdr>
    </w:div>
    <w:div w:id="1625231303">
      <w:bodyDiv w:val="1"/>
      <w:marLeft w:val="0"/>
      <w:marRight w:val="0"/>
      <w:marTop w:val="0"/>
      <w:marBottom w:val="0"/>
      <w:divBdr>
        <w:top w:val="none" w:sz="0" w:space="0" w:color="auto"/>
        <w:left w:val="none" w:sz="0" w:space="0" w:color="auto"/>
        <w:bottom w:val="none" w:sz="0" w:space="0" w:color="auto"/>
        <w:right w:val="none" w:sz="0" w:space="0" w:color="auto"/>
      </w:divBdr>
      <w:divsChild>
        <w:div w:id="903373703">
          <w:marLeft w:val="0"/>
          <w:marRight w:val="0"/>
          <w:marTop w:val="0"/>
          <w:marBottom w:val="0"/>
          <w:divBdr>
            <w:top w:val="none" w:sz="0" w:space="0" w:color="auto"/>
            <w:left w:val="none" w:sz="0" w:space="0" w:color="auto"/>
            <w:bottom w:val="none" w:sz="0" w:space="0" w:color="auto"/>
            <w:right w:val="none" w:sz="0" w:space="0" w:color="auto"/>
          </w:divBdr>
        </w:div>
        <w:div w:id="1578586342">
          <w:marLeft w:val="0"/>
          <w:marRight w:val="0"/>
          <w:marTop w:val="240"/>
          <w:marBottom w:val="0"/>
          <w:divBdr>
            <w:top w:val="none" w:sz="0" w:space="0" w:color="auto"/>
            <w:left w:val="none" w:sz="0" w:space="0" w:color="auto"/>
            <w:bottom w:val="none" w:sz="0" w:space="0" w:color="auto"/>
            <w:right w:val="none" w:sz="0" w:space="0" w:color="auto"/>
          </w:divBdr>
          <w:divsChild>
            <w:div w:id="1736508946">
              <w:marLeft w:val="0"/>
              <w:marRight w:val="0"/>
              <w:marTop w:val="0"/>
              <w:marBottom w:val="0"/>
              <w:divBdr>
                <w:top w:val="none" w:sz="0" w:space="0" w:color="auto"/>
                <w:left w:val="none" w:sz="0" w:space="0" w:color="auto"/>
                <w:bottom w:val="none" w:sz="0" w:space="0" w:color="auto"/>
                <w:right w:val="none" w:sz="0" w:space="0" w:color="auto"/>
              </w:divBdr>
              <w:divsChild>
                <w:div w:id="11793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50464">
          <w:marLeft w:val="0"/>
          <w:marRight w:val="0"/>
          <w:marTop w:val="240"/>
          <w:marBottom w:val="0"/>
          <w:divBdr>
            <w:top w:val="none" w:sz="0" w:space="0" w:color="auto"/>
            <w:left w:val="none" w:sz="0" w:space="0" w:color="auto"/>
            <w:bottom w:val="none" w:sz="0" w:space="0" w:color="auto"/>
            <w:right w:val="none" w:sz="0" w:space="0" w:color="auto"/>
          </w:divBdr>
          <w:divsChild>
            <w:div w:id="707534743">
              <w:marLeft w:val="0"/>
              <w:marRight w:val="0"/>
              <w:marTop w:val="0"/>
              <w:marBottom w:val="0"/>
              <w:divBdr>
                <w:top w:val="none" w:sz="0" w:space="0" w:color="auto"/>
                <w:left w:val="none" w:sz="0" w:space="0" w:color="auto"/>
                <w:bottom w:val="none" w:sz="0" w:space="0" w:color="auto"/>
                <w:right w:val="none" w:sz="0" w:space="0" w:color="auto"/>
              </w:divBdr>
              <w:divsChild>
                <w:div w:id="421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891">
          <w:marLeft w:val="0"/>
          <w:marRight w:val="0"/>
          <w:marTop w:val="240"/>
          <w:marBottom w:val="0"/>
          <w:divBdr>
            <w:top w:val="none" w:sz="0" w:space="0" w:color="auto"/>
            <w:left w:val="none" w:sz="0" w:space="0" w:color="auto"/>
            <w:bottom w:val="none" w:sz="0" w:space="0" w:color="auto"/>
            <w:right w:val="none" w:sz="0" w:space="0" w:color="auto"/>
          </w:divBdr>
          <w:divsChild>
            <w:div w:id="740100059">
              <w:marLeft w:val="0"/>
              <w:marRight w:val="0"/>
              <w:marTop w:val="0"/>
              <w:marBottom w:val="0"/>
              <w:divBdr>
                <w:top w:val="none" w:sz="0" w:space="0" w:color="auto"/>
                <w:left w:val="none" w:sz="0" w:space="0" w:color="auto"/>
                <w:bottom w:val="none" w:sz="0" w:space="0" w:color="auto"/>
                <w:right w:val="none" w:sz="0" w:space="0" w:color="auto"/>
              </w:divBdr>
              <w:divsChild>
                <w:div w:id="16003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598">
          <w:marLeft w:val="0"/>
          <w:marRight w:val="0"/>
          <w:marTop w:val="240"/>
          <w:marBottom w:val="0"/>
          <w:divBdr>
            <w:top w:val="none" w:sz="0" w:space="0" w:color="auto"/>
            <w:left w:val="none" w:sz="0" w:space="0" w:color="auto"/>
            <w:bottom w:val="none" w:sz="0" w:space="0" w:color="auto"/>
            <w:right w:val="none" w:sz="0" w:space="0" w:color="auto"/>
          </w:divBdr>
          <w:divsChild>
            <w:div w:id="655650593">
              <w:marLeft w:val="0"/>
              <w:marRight w:val="0"/>
              <w:marTop w:val="0"/>
              <w:marBottom w:val="0"/>
              <w:divBdr>
                <w:top w:val="none" w:sz="0" w:space="0" w:color="auto"/>
                <w:left w:val="none" w:sz="0" w:space="0" w:color="auto"/>
                <w:bottom w:val="none" w:sz="0" w:space="0" w:color="auto"/>
                <w:right w:val="none" w:sz="0" w:space="0" w:color="auto"/>
              </w:divBdr>
              <w:divsChild>
                <w:div w:id="7224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6548">
          <w:marLeft w:val="0"/>
          <w:marRight w:val="0"/>
          <w:marTop w:val="240"/>
          <w:marBottom w:val="0"/>
          <w:divBdr>
            <w:top w:val="none" w:sz="0" w:space="0" w:color="auto"/>
            <w:left w:val="none" w:sz="0" w:space="0" w:color="auto"/>
            <w:bottom w:val="none" w:sz="0" w:space="0" w:color="auto"/>
            <w:right w:val="none" w:sz="0" w:space="0" w:color="auto"/>
          </w:divBdr>
          <w:divsChild>
            <w:div w:id="720397944">
              <w:marLeft w:val="0"/>
              <w:marRight w:val="0"/>
              <w:marTop w:val="0"/>
              <w:marBottom w:val="0"/>
              <w:divBdr>
                <w:top w:val="none" w:sz="0" w:space="0" w:color="auto"/>
                <w:left w:val="none" w:sz="0" w:space="0" w:color="auto"/>
                <w:bottom w:val="none" w:sz="0" w:space="0" w:color="auto"/>
                <w:right w:val="none" w:sz="0" w:space="0" w:color="auto"/>
              </w:divBdr>
              <w:divsChild>
                <w:div w:id="1500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3176">
      <w:bodyDiv w:val="1"/>
      <w:marLeft w:val="0"/>
      <w:marRight w:val="0"/>
      <w:marTop w:val="0"/>
      <w:marBottom w:val="0"/>
      <w:divBdr>
        <w:top w:val="none" w:sz="0" w:space="0" w:color="auto"/>
        <w:left w:val="none" w:sz="0" w:space="0" w:color="auto"/>
        <w:bottom w:val="none" w:sz="0" w:space="0" w:color="auto"/>
        <w:right w:val="none" w:sz="0" w:space="0" w:color="auto"/>
      </w:divBdr>
    </w:div>
    <w:div w:id="1698382397">
      <w:bodyDiv w:val="1"/>
      <w:marLeft w:val="0"/>
      <w:marRight w:val="0"/>
      <w:marTop w:val="0"/>
      <w:marBottom w:val="0"/>
      <w:divBdr>
        <w:top w:val="none" w:sz="0" w:space="0" w:color="auto"/>
        <w:left w:val="none" w:sz="0" w:space="0" w:color="auto"/>
        <w:bottom w:val="none" w:sz="0" w:space="0" w:color="auto"/>
        <w:right w:val="none" w:sz="0" w:space="0" w:color="auto"/>
      </w:divBdr>
    </w:div>
    <w:div w:id="1740399644">
      <w:bodyDiv w:val="1"/>
      <w:marLeft w:val="0"/>
      <w:marRight w:val="0"/>
      <w:marTop w:val="0"/>
      <w:marBottom w:val="0"/>
      <w:divBdr>
        <w:top w:val="none" w:sz="0" w:space="0" w:color="auto"/>
        <w:left w:val="none" w:sz="0" w:space="0" w:color="auto"/>
        <w:bottom w:val="none" w:sz="0" w:space="0" w:color="auto"/>
        <w:right w:val="none" w:sz="0" w:space="0" w:color="auto"/>
      </w:divBdr>
    </w:div>
    <w:div w:id="1752191267">
      <w:bodyDiv w:val="1"/>
      <w:marLeft w:val="0"/>
      <w:marRight w:val="0"/>
      <w:marTop w:val="0"/>
      <w:marBottom w:val="0"/>
      <w:divBdr>
        <w:top w:val="none" w:sz="0" w:space="0" w:color="auto"/>
        <w:left w:val="none" w:sz="0" w:space="0" w:color="auto"/>
        <w:bottom w:val="none" w:sz="0" w:space="0" w:color="auto"/>
        <w:right w:val="none" w:sz="0" w:space="0" w:color="auto"/>
      </w:divBdr>
    </w:div>
    <w:div w:id="1765763099">
      <w:bodyDiv w:val="1"/>
      <w:marLeft w:val="0"/>
      <w:marRight w:val="0"/>
      <w:marTop w:val="0"/>
      <w:marBottom w:val="0"/>
      <w:divBdr>
        <w:top w:val="none" w:sz="0" w:space="0" w:color="auto"/>
        <w:left w:val="none" w:sz="0" w:space="0" w:color="auto"/>
        <w:bottom w:val="none" w:sz="0" w:space="0" w:color="auto"/>
        <w:right w:val="none" w:sz="0" w:space="0" w:color="auto"/>
      </w:divBdr>
    </w:div>
    <w:div w:id="1780759043">
      <w:bodyDiv w:val="1"/>
      <w:marLeft w:val="0"/>
      <w:marRight w:val="0"/>
      <w:marTop w:val="0"/>
      <w:marBottom w:val="0"/>
      <w:divBdr>
        <w:top w:val="none" w:sz="0" w:space="0" w:color="auto"/>
        <w:left w:val="none" w:sz="0" w:space="0" w:color="auto"/>
        <w:bottom w:val="none" w:sz="0" w:space="0" w:color="auto"/>
        <w:right w:val="none" w:sz="0" w:space="0" w:color="auto"/>
      </w:divBdr>
    </w:div>
    <w:div w:id="1784153069">
      <w:bodyDiv w:val="1"/>
      <w:marLeft w:val="0"/>
      <w:marRight w:val="0"/>
      <w:marTop w:val="0"/>
      <w:marBottom w:val="0"/>
      <w:divBdr>
        <w:top w:val="none" w:sz="0" w:space="0" w:color="auto"/>
        <w:left w:val="none" w:sz="0" w:space="0" w:color="auto"/>
        <w:bottom w:val="none" w:sz="0" w:space="0" w:color="auto"/>
        <w:right w:val="none" w:sz="0" w:space="0" w:color="auto"/>
      </w:divBdr>
      <w:divsChild>
        <w:div w:id="1343432465">
          <w:marLeft w:val="0"/>
          <w:marRight w:val="0"/>
          <w:marTop w:val="0"/>
          <w:marBottom w:val="0"/>
          <w:divBdr>
            <w:top w:val="none" w:sz="0" w:space="0" w:color="auto"/>
            <w:left w:val="none" w:sz="0" w:space="0" w:color="auto"/>
            <w:bottom w:val="none" w:sz="0" w:space="0" w:color="auto"/>
            <w:right w:val="none" w:sz="0" w:space="0" w:color="auto"/>
          </w:divBdr>
          <w:divsChild>
            <w:div w:id="1844658880">
              <w:marLeft w:val="0"/>
              <w:marRight w:val="0"/>
              <w:marTop w:val="0"/>
              <w:marBottom w:val="0"/>
              <w:divBdr>
                <w:top w:val="none" w:sz="0" w:space="0" w:color="auto"/>
                <w:left w:val="none" w:sz="0" w:space="0" w:color="auto"/>
                <w:bottom w:val="none" w:sz="0" w:space="0" w:color="auto"/>
                <w:right w:val="none" w:sz="0" w:space="0" w:color="auto"/>
              </w:divBdr>
            </w:div>
          </w:divsChild>
        </w:div>
        <w:div w:id="877547551">
          <w:marLeft w:val="0"/>
          <w:marRight w:val="0"/>
          <w:marTop w:val="0"/>
          <w:marBottom w:val="0"/>
          <w:divBdr>
            <w:top w:val="none" w:sz="0" w:space="0" w:color="auto"/>
            <w:left w:val="none" w:sz="0" w:space="0" w:color="auto"/>
            <w:bottom w:val="none" w:sz="0" w:space="0" w:color="auto"/>
            <w:right w:val="none" w:sz="0" w:space="0" w:color="auto"/>
          </w:divBdr>
          <w:divsChild>
            <w:div w:id="1454254161">
              <w:marLeft w:val="0"/>
              <w:marRight w:val="0"/>
              <w:marTop w:val="0"/>
              <w:marBottom w:val="0"/>
              <w:divBdr>
                <w:top w:val="none" w:sz="0" w:space="0" w:color="auto"/>
                <w:left w:val="none" w:sz="0" w:space="0" w:color="auto"/>
                <w:bottom w:val="none" w:sz="0" w:space="0" w:color="auto"/>
                <w:right w:val="none" w:sz="0" w:space="0" w:color="auto"/>
              </w:divBdr>
            </w:div>
          </w:divsChild>
        </w:div>
        <w:div w:id="688262514">
          <w:marLeft w:val="0"/>
          <w:marRight w:val="0"/>
          <w:marTop w:val="0"/>
          <w:marBottom w:val="0"/>
          <w:divBdr>
            <w:top w:val="none" w:sz="0" w:space="0" w:color="auto"/>
            <w:left w:val="none" w:sz="0" w:space="0" w:color="auto"/>
            <w:bottom w:val="none" w:sz="0" w:space="0" w:color="auto"/>
            <w:right w:val="none" w:sz="0" w:space="0" w:color="auto"/>
          </w:divBdr>
          <w:divsChild>
            <w:div w:id="16500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6512">
      <w:bodyDiv w:val="1"/>
      <w:marLeft w:val="0"/>
      <w:marRight w:val="0"/>
      <w:marTop w:val="0"/>
      <w:marBottom w:val="0"/>
      <w:divBdr>
        <w:top w:val="none" w:sz="0" w:space="0" w:color="auto"/>
        <w:left w:val="none" w:sz="0" w:space="0" w:color="auto"/>
        <w:bottom w:val="none" w:sz="0" w:space="0" w:color="auto"/>
        <w:right w:val="none" w:sz="0" w:space="0" w:color="auto"/>
      </w:divBdr>
    </w:div>
    <w:div w:id="1916012271">
      <w:bodyDiv w:val="1"/>
      <w:marLeft w:val="0"/>
      <w:marRight w:val="0"/>
      <w:marTop w:val="0"/>
      <w:marBottom w:val="0"/>
      <w:divBdr>
        <w:top w:val="none" w:sz="0" w:space="0" w:color="auto"/>
        <w:left w:val="none" w:sz="0" w:space="0" w:color="auto"/>
        <w:bottom w:val="none" w:sz="0" w:space="0" w:color="auto"/>
        <w:right w:val="none" w:sz="0" w:space="0" w:color="auto"/>
      </w:divBdr>
    </w:div>
    <w:div w:id="1924029974">
      <w:bodyDiv w:val="1"/>
      <w:marLeft w:val="0"/>
      <w:marRight w:val="0"/>
      <w:marTop w:val="0"/>
      <w:marBottom w:val="0"/>
      <w:divBdr>
        <w:top w:val="none" w:sz="0" w:space="0" w:color="auto"/>
        <w:left w:val="none" w:sz="0" w:space="0" w:color="auto"/>
        <w:bottom w:val="none" w:sz="0" w:space="0" w:color="auto"/>
        <w:right w:val="none" w:sz="0" w:space="0" w:color="auto"/>
      </w:divBdr>
    </w:div>
    <w:div w:id="1932348883">
      <w:bodyDiv w:val="1"/>
      <w:marLeft w:val="0"/>
      <w:marRight w:val="0"/>
      <w:marTop w:val="0"/>
      <w:marBottom w:val="0"/>
      <w:divBdr>
        <w:top w:val="none" w:sz="0" w:space="0" w:color="auto"/>
        <w:left w:val="none" w:sz="0" w:space="0" w:color="auto"/>
        <w:bottom w:val="none" w:sz="0" w:space="0" w:color="auto"/>
        <w:right w:val="none" w:sz="0" w:space="0" w:color="auto"/>
      </w:divBdr>
      <w:divsChild>
        <w:div w:id="132525523">
          <w:marLeft w:val="0"/>
          <w:marRight w:val="0"/>
          <w:marTop w:val="0"/>
          <w:marBottom w:val="0"/>
          <w:divBdr>
            <w:top w:val="none" w:sz="0" w:space="0" w:color="auto"/>
            <w:left w:val="none" w:sz="0" w:space="0" w:color="auto"/>
            <w:bottom w:val="none" w:sz="0" w:space="0" w:color="auto"/>
            <w:right w:val="none" w:sz="0" w:space="0" w:color="auto"/>
          </w:divBdr>
        </w:div>
        <w:div w:id="1064328899">
          <w:marLeft w:val="0"/>
          <w:marRight w:val="0"/>
          <w:marTop w:val="240"/>
          <w:marBottom w:val="0"/>
          <w:divBdr>
            <w:top w:val="none" w:sz="0" w:space="0" w:color="auto"/>
            <w:left w:val="none" w:sz="0" w:space="0" w:color="auto"/>
            <w:bottom w:val="none" w:sz="0" w:space="0" w:color="auto"/>
            <w:right w:val="none" w:sz="0" w:space="0" w:color="auto"/>
          </w:divBdr>
          <w:divsChild>
            <w:div w:id="310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4349">
      <w:bodyDiv w:val="1"/>
      <w:marLeft w:val="0"/>
      <w:marRight w:val="0"/>
      <w:marTop w:val="0"/>
      <w:marBottom w:val="0"/>
      <w:divBdr>
        <w:top w:val="none" w:sz="0" w:space="0" w:color="auto"/>
        <w:left w:val="none" w:sz="0" w:space="0" w:color="auto"/>
        <w:bottom w:val="none" w:sz="0" w:space="0" w:color="auto"/>
        <w:right w:val="none" w:sz="0" w:space="0" w:color="auto"/>
      </w:divBdr>
      <w:divsChild>
        <w:div w:id="1631125867">
          <w:marLeft w:val="0"/>
          <w:marRight w:val="0"/>
          <w:marTop w:val="0"/>
          <w:marBottom w:val="0"/>
          <w:divBdr>
            <w:top w:val="none" w:sz="0" w:space="0" w:color="auto"/>
            <w:left w:val="none" w:sz="0" w:space="0" w:color="auto"/>
            <w:bottom w:val="none" w:sz="0" w:space="0" w:color="auto"/>
            <w:right w:val="none" w:sz="0" w:space="0" w:color="auto"/>
          </w:divBdr>
          <w:divsChild>
            <w:div w:id="1718552439">
              <w:marLeft w:val="0"/>
              <w:marRight w:val="0"/>
              <w:marTop w:val="0"/>
              <w:marBottom w:val="0"/>
              <w:divBdr>
                <w:top w:val="none" w:sz="0" w:space="0" w:color="auto"/>
                <w:left w:val="none" w:sz="0" w:space="0" w:color="auto"/>
                <w:bottom w:val="none" w:sz="0" w:space="0" w:color="auto"/>
                <w:right w:val="none" w:sz="0" w:space="0" w:color="auto"/>
              </w:divBdr>
            </w:div>
          </w:divsChild>
        </w:div>
        <w:div w:id="493228426">
          <w:marLeft w:val="0"/>
          <w:marRight w:val="0"/>
          <w:marTop w:val="0"/>
          <w:marBottom w:val="0"/>
          <w:divBdr>
            <w:top w:val="none" w:sz="0" w:space="0" w:color="auto"/>
            <w:left w:val="none" w:sz="0" w:space="0" w:color="auto"/>
            <w:bottom w:val="none" w:sz="0" w:space="0" w:color="auto"/>
            <w:right w:val="none" w:sz="0" w:space="0" w:color="auto"/>
          </w:divBdr>
          <w:divsChild>
            <w:div w:id="21456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3748">
      <w:bodyDiv w:val="1"/>
      <w:marLeft w:val="0"/>
      <w:marRight w:val="0"/>
      <w:marTop w:val="0"/>
      <w:marBottom w:val="0"/>
      <w:divBdr>
        <w:top w:val="none" w:sz="0" w:space="0" w:color="auto"/>
        <w:left w:val="none" w:sz="0" w:space="0" w:color="auto"/>
        <w:bottom w:val="none" w:sz="0" w:space="0" w:color="auto"/>
        <w:right w:val="none" w:sz="0" w:space="0" w:color="auto"/>
      </w:divBdr>
      <w:divsChild>
        <w:div w:id="173806547">
          <w:marLeft w:val="0"/>
          <w:marRight w:val="0"/>
          <w:marTop w:val="0"/>
          <w:marBottom w:val="0"/>
          <w:divBdr>
            <w:top w:val="none" w:sz="0" w:space="0" w:color="auto"/>
            <w:left w:val="none" w:sz="0" w:space="0" w:color="auto"/>
            <w:bottom w:val="none" w:sz="0" w:space="0" w:color="auto"/>
            <w:right w:val="none" w:sz="0" w:space="0" w:color="auto"/>
          </w:divBdr>
        </w:div>
        <w:div w:id="2018581919">
          <w:marLeft w:val="0"/>
          <w:marRight w:val="0"/>
          <w:marTop w:val="240"/>
          <w:marBottom w:val="0"/>
          <w:divBdr>
            <w:top w:val="none" w:sz="0" w:space="0" w:color="auto"/>
            <w:left w:val="none" w:sz="0" w:space="0" w:color="auto"/>
            <w:bottom w:val="none" w:sz="0" w:space="0" w:color="auto"/>
            <w:right w:val="none" w:sz="0" w:space="0" w:color="auto"/>
          </w:divBdr>
          <w:divsChild>
            <w:div w:id="427044166">
              <w:marLeft w:val="0"/>
              <w:marRight w:val="0"/>
              <w:marTop w:val="0"/>
              <w:marBottom w:val="0"/>
              <w:divBdr>
                <w:top w:val="none" w:sz="0" w:space="0" w:color="auto"/>
                <w:left w:val="none" w:sz="0" w:space="0" w:color="auto"/>
                <w:bottom w:val="none" w:sz="0" w:space="0" w:color="auto"/>
                <w:right w:val="none" w:sz="0" w:space="0" w:color="auto"/>
              </w:divBdr>
              <w:divsChild>
                <w:div w:id="2389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93379">
      <w:bodyDiv w:val="1"/>
      <w:marLeft w:val="0"/>
      <w:marRight w:val="0"/>
      <w:marTop w:val="0"/>
      <w:marBottom w:val="0"/>
      <w:divBdr>
        <w:top w:val="none" w:sz="0" w:space="0" w:color="auto"/>
        <w:left w:val="none" w:sz="0" w:space="0" w:color="auto"/>
        <w:bottom w:val="none" w:sz="0" w:space="0" w:color="auto"/>
        <w:right w:val="none" w:sz="0" w:space="0" w:color="auto"/>
      </w:divBdr>
      <w:divsChild>
        <w:div w:id="662011672">
          <w:marLeft w:val="0"/>
          <w:marRight w:val="0"/>
          <w:marTop w:val="240"/>
          <w:marBottom w:val="0"/>
          <w:divBdr>
            <w:top w:val="none" w:sz="0" w:space="0" w:color="auto"/>
            <w:left w:val="none" w:sz="0" w:space="0" w:color="auto"/>
            <w:bottom w:val="none" w:sz="0" w:space="0" w:color="auto"/>
            <w:right w:val="none" w:sz="0" w:space="0" w:color="auto"/>
          </w:divBdr>
          <w:divsChild>
            <w:div w:id="36398048">
              <w:marLeft w:val="0"/>
              <w:marRight w:val="0"/>
              <w:marTop w:val="0"/>
              <w:marBottom w:val="0"/>
              <w:divBdr>
                <w:top w:val="none" w:sz="0" w:space="0" w:color="auto"/>
                <w:left w:val="none" w:sz="0" w:space="0" w:color="auto"/>
                <w:bottom w:val="none" w:sz="0" w:space="0" w:color="auto"/>
                <w:right w:val="none" w:sz="0" w:space="0" w:color="auto"/>
              </w:divBdr>
            </w:div>
          </w:divsChild>
        </w:div>
        <w:div w:id="1780027647">
          <w:marLeft w:val="0"/>
          <w:marRight w:val="0"/>
          <w:marTop w:val="0"/>
          <w:marBottom w:val="0"/>
          <w:divBdr>
            <w:top w:val="none" w:sz="0" w:space="0" w:color="auto"/>
            <w:left w:val="none" w:sz="0" w:space="0" w:color="auto"/>
            <w:bottom w:val="none" w:sz="0" w:space="0" w:color="auto"/>
            <w:right w:val="none" w:sz="0" w:space="0" w:color="auto"/>
          </w:divBdr>
        </w:div>
      </w:divsChild>
    </w:div>
    <w:div w:id="1979261169">
      <w:bodyDiv w:val="1"/>
      <w:marLeft w:val="0"/>
      <w:marRight w:val="0"/>
      <w:marTop w:val="0"/>
      <w:marBottom w:val="0"/>
      <w:divBdr>
        <w:top w:val="none" w:sz="0" w:space="0" w:color="auto"/>
        <w:left w:val="none" w:sz="0" w:space="0" w:color="auto"/>
        <w:bottom w:val="none" w:sz="0" w:space="0" w:color="auto"/>
        <w:right w:val="none" w:sz="0" w:space="0" w:color="auto"/>
      </w:divBdr>
      <w:divsChild>
        <w:div w:id="1181776144">
          <w:marLeft w:val="0"/>
          <w:marRight w:val="0"/>
          <w:marTop w:val="240"/>
          <w:marBottom w:val="0"/>
          <w:divBdr>
            <w:top w:val="none" w:sz="0" w:space="0" w:color="auto"/>
            <w:left w:val="none" w:sz="0" w:space="0" w:color="auto"/>
            <w:bottom w:val="none" w:sz="0" w:space="0" w:color="auto"/>
            <w:right w:val="none" w:sz="0" w:space="0" w:color="auto"/>
          </w:divBdr>
          <w:divsChild>
            <w:div w:id="1008602198">
              <w:marLeft w:val="0"/>
              <w:marRight w:val="0"/>
              <w:marTop w:val="240"/>
              <w:marBottom w:val="0"/>
              <w:divBdr>
                <w:top w:val="none" w:sz="0" w:space="0" w:color="auto"/>
                <w:left w:val="none" w:sz="0" w:space="0" w:color="auto"/>
                <w:bottom w:val="none" w:sz="0" w:space="0" w:color="auto"/>
                <w:right w:val="none" w:sz="0" w:space="0" w:color="auto"/>
              </w:divBdr>
            </w:div>
            <w:div w:id="1664813699">
              <w:marLeft w:val="0"/>
              <w:marRight w:val="0"/>
              <w:marTop w:val="240"/>
              <w:marBottom w:val="0"/>
              <w:divBdr>
                <w:top w:val="none" w:sz="0" w:space="0" w:color="auto"/>
                <w:left w:val="none" w:sz="0" w:space="0" w:color="auto"/>
                <w:bottom w:val="none" w:sz="0" w:space="0" w:color="auto"/>
                <w:right w:val="none" w:sz="0" w:space="0" w:color="auto"/>
              </w:divBdr>
              <w:divsChild>
                <w:div w:id="1144663172">
                  <w:marLeft w:val="0"/>
                  <w:marRight w:val="0"/>
                  <w:marTop w:val="0"/>
                  <w:marBottom w:val="0"/>
                  <w:divBdr>
                    <w:top w:val="none" w:sz="0" w:space="0" w:color="auto"/>
                    <w:left w:val="none" w:sz="0" w:space="0" w:color="auto"/>
                    <w:bottom w:val="none" w:sz="0" w:space="0" w:color="auto"/>
                    <w:right w:val="none" w:sz="0" w:space="0" w:color="auto"/>
                  </w:divBdr>
                </w:div>
              </w:divsChild>
            </w:div>
            <w:div w:id="2096708861">
              <w:marLeft w:val="0"/>
              <w:marRight w:val="0"/>
              <w:marTop w:val="0"/>
              <w:marBottom w:val="0"/>
              <w:divBdr>
                <w:top w:val="none" w:sz="0" w:space="0" w:color="auto"/>
                <w:left w:val="none" w:sz="0" w:space="0" w:color="auto"/>
                <w:bottom w:val="none" w:sz="0" w:space="0" w:color="auto"/>
                <w:right w:val="none" w:sz="0" w:space="0" w:color="auto"/>
              </w:divBdr>
            </w:div>
          </w:divsChild>
        </w:div>
        <w:div w:id="1788159585">
          <w:marLeft w:val="0"/>
          <w:marRight w:val="0"/>
          <w:marTop w:val="240"/>
          <w:marBottom w:val="0"/>
          <w:divBdr>
            <w:top w:val="none" w:sz="0" w:space="0" w:color="auto"/>
            <w:left w:val="none" w:sz="0" w:space="0" w:color="auto"/>
            <w:bottom w:val="none" w:sz="0" w:space="0" w:color="auto"/>
            <w:right w:val="none" w:sz="0" w:space="0" w:color="auto"/>
          </w:divBdr>
          <w:divsChild>
            <w:div w:id="689258977">
              <w:marLeft w:val="0"/>
              <w:marRight w:val="0"/>
              <w:marTop w:val="240"/>
              <w:marBottom w:val="0"/>
              <w:divBdr>
                <w:top w:val="none" w:sz="0" w:space="0" w:color="auto"/>
                <w:left w:val="none" w:sz="0" w:space="0" w:color="auto"/>
                <w:bottom w:val="none" w:sz="0" w:space="0" w:color="auto"/>
                <w:right w:val="none" w:sz="0" w:space="0" w:color="auto"/>
              </w:divBdr>
            </w:div>
            <w:div w:id="1777629424">
              <w:marLeft w:val="0"/>
              <w:marRight w:val="0"/>
              <w:marTop w:val="240"/>
              <w:marBottom w:val="0"/>
              <w:divBdr>
                <w:top w:val="none" w:sz="0" w:space="0" w:color="auto"/>
                <w:left w:val="none" w:sz="0" w:space="0" w:color="auto"/>
                <w:bottom w:val="none" w:sz="0" w:space="0" w:color="auto"/>
                <w:right w:val="none" w:sz="0" w:space="0" w:color="auto"/>
              </w:divBdr>
              <w:divsChild>
                <w:div w:id="476150328">
                  <w:marLeft w:val="0"/>
                  <w:marRight w:val="0"/>
                  <w:marTop w:val="0"/>
                  <w:marBottom w:val="0"/>
                  <w:divBdr>
                    <w:top w:val="none" w:sz="0" w:space="0" w:color="auto"/>
                    <w:left w:val="none" w:sz="0" w:space="0" w:color="auto"/>
                    <w:bottom w:val="none" w:sz="0" w:space="0" w:color="auto"/>
                    <w:right w:val="none" w:sz="0" w:space="0" w:color="auto"/>
                  </w:divBdr>
                </w:div>
              </w:divsChild>
            </w:div>
            <w:div w:id="20274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0956">
      <w:bodyDiv w:val="1"/>
      <w:marLeft w:val="0"/>
      <w:marRight w:val="0"/>
      <w:marTop w:val="0"/>
      <w:marBottom w:val="0"/>
      <w:divBdr>
        <w:top w:val="none" w:sz="0" w:space="0" w:color="auto"/>
        <w:left w:val="none" w:sz="0" w:space="0" w:color="auto"/>
        <w:bottom w:val="none" w:sz="0" w:space="0" w:color="auto"/>
        <w:right w:val="none" w:sz="0" w:space="0" w:color="auto"/>
      </w:divBdr>
      <w:divsChild>
        <w:div w:id="1493522592">
          <w:marLeft w:val="0"/>
          <w:marRight w:val="0"/>
          <w:marTop w:val="0"/>
          <w:marBottom w:val="0"/>
          <w:divBdr>
            <w:top w:val="none" w:sz="0" w:space="0" w:color="auto"/>
            <w:left w:val="none" w:sz="0" w:space="0" w:color="auto"/>
            <w:bottom w:val="none" w:sz="0" w:space="0" w:color="auto"/>
            <w:right w:val="none" w:sz="0" w:space="0" w:color="auto"/>
          </w:divBdr>
          <w:divsChild>
            <w:div w:id="1198810038">
              <w:marLeft w:val="0"/>
              <w:marRight w:val="0"/>
              <w:marTop w:val="0"/>
              <w:marBottom w:val="0"/>
              <w:divBdr>
                <w:top w:val="none" w:sz="0" w:space="0" w:color="auto"/>
                <w:left w:val="none" w:sz="0" w:space="0" w:color="auto"/>
                <w:bottom w:val="none" w:sz="0" w:space="0" w:color="auto"/>
                <w:right w:val="none" w:sz="0" w:space="0" w:color="auto"/>
              </w:divBdr>
            </w:div>
          </w:divsChild>
        </w:div>
        <w:div w:id="2069575094">
          <w:marLeft w:val="0"/>
          <w:marRight w:val="0"/>
          <w:marTop w:val="0"/>
          <w:marBottom w:val="0"/>
          <w:divBdr>
            <w:top w:val="none" w:sz="0" w:space="0" w:color="auto"/>
            <w:left w:val="none" w:sz="0" w:space="0" w:color="auto"/>
            <w:bottom w:val="none" w:sz="0" w:space="0" w:color="auto"/>
            <w:right w:val="none" w:sz="0" w:space="0" w:color="auto"/>
          </w:divBdr>
          <w:divsChild>
            <w:div w:id="67969763">
              <w:marLeft w:val="0"/>
              <w:marRight w:val="0"/>
              <w:marTop w:val="0"/>
              <w:marBottom w:val="0"/>
              <w:divBdr>
                <w:top w:val="none" w:sz="0" w:space="0" w:color="auto"/>
                <w:left w:val="none" w:sz="0" w:space="0" w:color="auto"/>
                <w:bottom w:val="none" w:sz="0" w:space="0" w:color="auto"/>
                <w:right w:val="none" w:sz="0" w:space="0" w:color="auto"/>
              </w:divBdr>
            </w:div>
          </w:divsChild>
        </w:div>
        <w:div w:id="1149127122">
          <w:marLeft w:val="0"/>
          <w:marRight w:val="0"/>
          <w:marTop w:val="0"/>
          <w:marBottom w:val="0"/>
          <w:divBdr>
            <w:top w:val="none" w:sz="0" w:space="0" w:color="auto"/>
            <w:left w:val="none" w:sz="0" w:space="0" w:color="auto"/>
            <w:bottom w:val="none" w:sz="0" w:space="0" w:color="auto"/>
            <w:right w:val="none" w:sz="0" w:space="0" w:color="auto"/>
          </w:divBdr>
          <w:divsChild>
            <w:div w:id="671487907">
              <w:marLeft w:val="0"/>
              <w:marRight w:val="0"/>
              <w:marTop w:val="0"/>
              <w:marBottom w:val="0"/>
              <w:divBdr>
                <w:top w:val="none" w:sz="0" w:space="0" w:color="auto"/>
                <w:left w:val="none" w:sz="0" w:space="0" w:color="auto"/>
                <w:bottom w:val="none" w:sz="0" w:space="0" w:color="auto"/>
                <w:right w:val="none" w:sz="0" w:space="0" w:color="auto"/>
              </w:divBdr>
            </w:div>
          </w:divsChild>
        </w:div>
        <w:div w:id="89156964">
          <w:marLeft w:val="0"/>
          <w:marRight w:val="0"/>
          <w:marTop w:val="0"/>
          <w:marBottom w:val="0"/>
          <w:divBdr>
            <w:top w:val="none" w:sz="0" w:space="0" w:color="auto"/>
            <w:left w:val="none" w:sz="0" w:space="0" w:color="auto"/>
            <w:bottom w:val="none" w:sz="0" w:space="0" w:color="auto"/>
            <w:right w:val="none" w:sz="0" w:space="0" w:color="auto"/>
          </w:divBdr>
          <w:divsChild>
            <w:div w:id="491603412">
              <w:marLeft w:val="0"/>
              <w:marRight w:val="0"/>
              <w:marTop w:val="0"/>
              <w:marBottom w:val="0"/>
              <w:divBdr>
                <w:top w:val="none" w:sz="0" w:space="0" w:color="auto"/>
                <w:left w:val="none" w:sz="0" w:space="0" w:color="auto"/>
                <w:bottom w:val="none" w:sz="0" w:space="0" w:color="auto"/>
                <w:right w:val="none" w:sz="0" w:space="0" w:color="auto"/>
              </w:divBdr>
            </w:div>
          </w:divsChild>
        </w:div>
        <w:div w:id="1146707015">
          <w:marLeft w:val="0"/>
          <w:marRight w:val="0"/>
          <w:marTop w:val="0"/>
          <w:marBottom w:val="0"/>
          <w:divBdr>
            <w:top w:val="none" w:sz="0" w:space="0" w:color="auto"/>
            <w:left w:val="none" w:sz="0" w:space="0" w:color="auto"/>
            <w:bottom w:val="none" w:sz="0" w:space="0" w:color="auto"/>
            <w:right w:val="none" w:sz="0" w:space="0" w:color="auto"/>
          </w:divBdr>
          <w:divsChild>
            <w:div w:id="1028264513">
              <w:marLeft w:val="0"/>
              <w:marRight w:val="0"/>
              <w:marTop w:val="0"/>
              <w:marBottom w:val="0"/>
              <w:divBdr>
                <w:top w:val="none" w:sz="0" w:space="0" w:color="auto"/>
                <w:left w:val="none" w:sz="0" w:space="0" w:color="auto"/>
                <w:bottom w:val="none" w:sz="0" w:space="0" w:color="auto"/>
                <w:right w:val="none" w:sz="0" w:space="0" w:color="auto"/>
              </w:divBdr>
            </w:div>
          </w:divsChild>
        </w:div>
        <w:div w:id="153032419">
          <w:marLeft w:val="0"/>
          <w:marRight w:val="0"/>
          <w:marTop w:val="0"/>
          <w:marBottom w:val="0"/>
          <w:divBdr>
            <w:top w:val="none" w:sz="0" w:space="0" w:color="auto"/>
            <w:left w:val="none" w:sz="0" w:space="0" w:color="auto"/>
            <w:bottom w:val="none" w:sz="0" w:space="0" w:color="auto"/>
            <w:right w:val="none" w:sz="0" w:space="0" w:color="auto"/>
          </w:divBdr>
          <w:divsChild>
            <w:div w:id="858928709">
              <w:marLeft w:val="0"/>
              <w:marRight w:val="0"/>
              <w:marTop w:val="0"/>
              <w:marBottom w:val="0"/>
              <w:divBdr>
                <w:top w:val="none" w:sz="0" w:space="0" w:color="auto"/>
                <w:left w:val="none" w:sz="0" w:space="0" w:color="auto"/>
                <w:bottom w:val="none" w:sz="0" w:space="0" w:color="auto"/>
                <w:right w:val="none" w:sz="0" w:space="0" w:color="auto"/>
              </w:divBdr>
            </w:div>
          </w:divsChild>
        </w:div>
        <w:div w:id="1303729095">
          <w:marLeft w:val="0"/>
          <w:marRight w:val="0"/>
          <w:marTop w:val="0"/>
          <w:marBottom w:val="0"/>
          <w:divBdr>
            <w:top w:val="none" w:sz="0" w:space="0" w:color="auto"/>
            <w:left w:val="none" w:sz="0" w:space="0" w:color="auto"/>
            <w:bottom w:val="none" w:sz="0" w:space="0" w:color="auto"/>
            <w:right w:val="none" w:sz="0" w:space="0" w:color="auto"/>
          </w:divBdr>
          <w:divsChild>
            <w:div w:id="2130859730">
              <w:marLeft w:val="0"/>
              <w:marRight w:val="0"/>
              <w:marTop w:val="0"/>
              <w:marBottom w:val="0"/>
              <w:divBdr>
                <w:top w:val="none" w:sz="0" w:space="0" w:color="auto"/>
                <w:left w:val="none" w:sz="0" w:space="0" w:color="auto"/>
                <w:bottom w:val="none" w:sz="0" w:space="0" w:color="auto"/>
                <w:right w:val="none" w:sz="0" w:space="0" w:color="auto"/>
              </w:divBdr>
            </w:div>
            <w:div w:id="1562710951">
              <w:marLeft w:val="0"/>
              <w:marRight w:val="0"/>
              <w:marTop w:val="0"/>
              <w:marBottom w:val="0"/>
              <w:divBdr>
                <w:top w:val="none" w:sz="0" w:space="0" w:color="auto"/>
                <w:left w:val="none" w:sz="0" w:space="0" w:color="auto"/>
                <w:bottom w:val="none" w:sz="0" w:space="0" w:color="auto"/>
                <w:right w:val="none" w:sz="0" w:space="0" w:color="auto"/>
              </w:divBdr>
              <w:divsChild>
                <w:div w:id="1422532159">
                  <w:marLeft w:val="0"/>
                  <w:marRight w:val="0"/>
                  <w:marTop w:val="0"/>
                  <w:marBottom w:val="0"/>
                  <w:divBdr>
                    <w:top w:val="none" w:sz="0" w:space="0" w:color="auto"/>
                    <w:left w:val="none" w:sz="0" w:space="0" w:color="auto"/>
                    <w:bottom w:val="none" w:sz="0" w:space="0" w:color="auto"/>
                    <w:right w:val="none" w:sz="0" w:space="0" w:color="auto"/>
                  </w:divBdr>
                </w:div>
              </w:divsChild>
            </w:div>
            <w:div w:id="792092047">
              <w:marLeft w:val="0"/>
              <w:marRight w:val="0"/>
              <w:marTop w:val="0"/>
              <w:marBottom w:val="0"/>
              <w:divBdr>
                <w:top w:val="none" w:sz="0" w:space="0" w:color="auto"/>
                <w:left w:val="none" w:sz="0" w:space="0" w:color="auto"/>
                <w:bottom w:val="none" w:sz="0" w:space="0" w:color="auto"/>
                <w:right w:val="none" w:sz="0" w:space="0" w:color="auto"/>
              </w:divBdr>
              <w:divsChild>
                <w:div w:id="21064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41323">
          <w:marLeft w:val="0"/>
          <w:marRight w:val="0"/>
          <w:marTop w:val="0"/>
          <w:marBottom w:val="0"/>
          <w:divBdr>
            <w:top w:val="none" w:sz="0" w:space="0" w:color="auto"/>
            <w:left w:val="none" w:sz="0" w:space="0" w:color="auto"/>
            <w:bottom w:val="none" w:sz="0" w:space="0" w:color="auto"/>
            <w:right w:val="none" w:sz="0" w:space="0" w:color="auto"/>
          </w:divBdr>
          <w:divsChild>
            <w:div w:id="2887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8150">
      <w:bodyDiv w:val="1"/>
      <w:marLeft w:val="0"/>
      <w:marRight w:val="0"/>
      <w:marTop w:val="0"/>
      <w:marBottom w:val="0"/>
      <w:divBdr>
        <w:top w:val="none" w:sz="0" w:space="0" w:color="auto"/>
        <w:left w:val="none" w:sz="0" w:space="0" w:color="auto"/>
        <w:bottom w:val="none" w:sz="0" w:space="0" w:color="auto"/>
        <w:right w:val="none" w:sz="0" w:space="0" w:color="auto"/>
      </w:divBdr>
    </w:div>
    <w:div w:id="2003658369">
      <w:bodyDiv w:val="1"/>
      <w:marLeft w:val="0"/>
      <w:marRight w:val="0"/>
      <w:marTop w:val="0"/>
      <w:marBottom w:val="0"/>
      <w:divBdr>
        <w:top w:val="none" w:sz="0" w:space="0" w:color="auto"/>
        <w:left w:val="none" w:sz="0" w:space="0" w:color="auto"/>
        <w:bottom w:val="none" w:sz="0" w:space="0" w:color="auto"/>
        <w:right w:val="none" w:sz="0" w:space="0" w:color="auto"/>
      </w:divBdr>
    </w:div>
    <w:div w:id="2008551433">
      <w:bodyDiv w:val="1"/>
      <w:marLeft w:val="0"/>
      <w:marRight w:val="0"/>
      <w:marTop w:val="0"/>
      <w:marBottom w:val="0"/>
      <w:divBdr>
        <w:top w:val="none" w:sz="0" w:space="0" w:color="auto"/>
        <w:left w:val="none" w:sz="0" w:space="0" w:color="auto"/>
        <w:bottom w:val="none" w:sz="0" w:space="0" w:color="auto"/>
        <w:right w:val="none" w:sz="0" w:space="0" w:color="auto"/>
      </w:divBdr>
    </w:div>
    <w:div w:id="2010403701">
      <w:bodyDiv w:val="1"/>
      <w:marLeft w:val="0"/>
      <w:marRight w:val="0"/>
      <w:marTop w:val="0"/>
      <w:marBottom w:val="0"/>
      <w:divBdr>
        <w:top w:val="none" w:sz="0" w:space="0" w:color="auto"/>
        <w:left w:val="none" w:sz="0" w:space="0" w:color="auto"/>
        <w:bottom w:val="none" w:sz="0" w:space="0" w:color="auto"/>
        <w:right w:val="none" w:sz="0" w:space="0" w:color="auto"/>
      </w:divBdr>
      <w:divsChild>
        <w:div w:id="159081162">
          <w:marLeft w:val="0"/>
          <w:marRight w:val="0"/>
          <w:marTop w:val="0"/>
          <w:marBottom w:val="0"/>
          <w:divBdr>
            <w:top w:val="none" w:sz="0" w:space="0" w:color="auto"/>
            <w:left w:val="none" w:sz="0" w:space="0" w:color="auto"/>
            <w:bottom w:val="none" w:sz="0" w:space="0" w:color="auto"/>
            <w:right w:val="none" w:sz="0" w:space="0" w:color="auto"/>
          </w:divBdr>
        </w:div>
      </w:divsChild>
    </w:div>
    <w:div w:id="2027824120">
      <w:bodyDiv w:val="1"/>
      <w:marLeft w:val="0"/>
      <w:marRight w:val="0"/>
      <w:marTop w:val="0"/>
      <w:marBottom w:val="0"/>
      <w:divBdr>
        <w:top w:val="none" w:sz="0" w:space="0" w:color="auto"/>
        <w:left w:val="none" w:sz="0" w:space="0" w:color="auto"/>
        <w:bottom w:val="none" w:sz="0" w:space="0" w:color="auto"/>
        <w:right w:val="none" w:sz="0" w:space="0" w:color="auto"/>
      </w:divBdr>
      <w:divsChild>
        <w:div w:id="1608583428">
          <w:marLeft w:val="0"/>
          <w:marRight w:val="0"/>
          <w:marTop w:val="0"/>
          <w:marBottom w:val="0"/>
          <w:divBdr>
            <w:top w:val="none" w:sz="0" w:space="0" w:color="auto"/>
            <w:left w:val="none" w:sz="0" w:space="0" w:color="auto"/>
            <w:bottom w:val="none" w:sz="0" w:space="0" w:color="auto"/>
            <w:right w:val="none" w:sz="0" w:space="0" w:color="auto"/>
          </w:divBdr>
          <w:divsChild>
            <w:div w:id="1552886923">
              <w:marLeft w:val="0"/>
              <w:marRight w:val="0"/>
              <w:marTop w:val="0"/>
              <w:marBottom w:val="0"/>
              <w:divBdr>
                <w:top w:val="none" w:sz="0" w:space="0" w:color="auto"/>
                <w:left w:val="none" w:sz="0" w:space="0" w:color="auto"/>
                <w:bottom w:val="none" w:sz="0" w:space="0" w:color="auto"/>
                <w:right w:val="none" w:sz="0" w:space="0" w:color="auto"/>
              </w:divBdr>
            </w:div>
          </w:divsChild>
        </w:div>
        <w:div w:id="390664119">
          <w:marLeft w:val="0"/>
          <w:marRight w:val="0"/>
          <w:marTop w:val="0"/>
          <w:marBottom w:val="0"/>
          <w:divBdr>
            <w:top w:val="none" w:sz="0" w:space="0" w:color="auto"/>
            <w:left w:val="none" w:sz="0" w:space="0" w:color="auto"/>
            <w:bottom w:val="none" w:sz="0" w:space="0" w:color="auto"/>
            <w:right w:val="none" w:sz="0" w:space="0" w:color="auto"/>
          </w:divBdr>
          <w:divsChild>
            <w:div w:id="14632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7211">
      <w:bodyDiv w:val="1"/>
      <w:marLeft w:val="0"/>
      <w:marRight w:val="0"/>
      <w:marTop w:val="0"/>
      <w:marBottom w:val="0"/>
      <w:divBdr>
        <w:top w:val="none" w:sz="0" w:space="0" w:color="auto"/>
        <w:left w:val="none" w:sz="0" w:space="0" w:color="auto"/>
        <w:bottom w:val="none" w:sz="0" w:space="0" w:color="auto"/>
        <w:right w:val="none" w:sz="0" w:space="0" w:color="auto"/>
      </w:divBdr>
      <w:divsChild>
        <w:div w:id="93868790">
          <w:marLeft w:val="0"/>
          <w:marRight w:val="0"/>
          <w:marTop w:val="240"/>
          <w:marBottom w:val="0"/>
          <w:divBdr>
            <w:top w:val="none" w:sz="0" w:space="0" w:color="auto"/>
            <w:left w:val="none" w:sz="0" w:space="0" w:color="auto"/>
            <w:bottom w:val="none" w:sz="0" w:space="0" w:color="auto"/>
            <w:right w:val="none" w:sz="0" w:space="0" w:color="auto"/>
          </w:divBdr>
          <w:divsChild>
            <w:div w:id="1746997266">
              <w:marLeft w:val="0"/>
              <w:marRight w:val="0"/>
              <w:marTop w:val="0"/>
              <w:marBottom w:val="0"/>
              <w:divBdr>
                <w:top w:val="none" w:sz="0" w:space="0" w:color="auto"/>
                <w:left w:val="none" w:sz="0" w:space="0" w:color="auto"/>
                <w:bottom w:val="none" w:sz="0" w:space="0" w:color="auto"/>
                <w:right w:val="none" w:sz="0" w:space="0" w:color="auto"/>
              </w:divBdr>
              <w:divsChild>
                <w:div w:id="21361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89823">
          <w:marLeft w:val="0"/>
          <w:marRight w:val="0"/>
          <w:marTop w:val="0"/>
          <w:marBottom w:val="0"/>
          <w:divBdr>
            <w:top w:val="none" w:sz="0" w:space="0" w:color="auto"/>
            <w:left w:val="none" w:sz="0" w:space="0" w:color="auto"/>
            <w:bottom w:val="none" w:sz="0" w:space="0" w:color="auto"/>
            <w:right w:val="none" w:sz="0" w:space="0" w:color="auto"/>
          </w:divBdr>
        </w:div>
        <w:div w:id="388847278">
          <w:marLeft w:val="0"/>
          <w:marRight w:val="0"/>
          <w:marTop w:val="240"/>
          <w:marBottom w:val="0"/>
          <w:divBdr>
            <w:top w:val="none" w:sz="0" w:space="0" w:color="auto"/>
            <w:left w:val="none" w:sz="0" w:space="0" w:color="auto"/>
            <w:bottom w:val="none" w:sz="0" w:space="0" w:color="auto"/>
            <w:right w:val="none" w:sz="0" w:space="0" w:color="auto"/>
          </w:divBdr>
          <w:divsChild>
            <w:div w:id="2072800955">
              <w:marLeft w:val="0"/>
              <w:marRight w:val="0"/>
              <w:marTop w:val="0"/>
              <w:marBottom w:val="0"/>
              <w:divBdr>
                <w:top w:val="none" w:sz="0" w:space="0" w:color="auto"/>
                <w:left w:val="none" w:sz="0" w:space="0" w:color="auto"/>
                <w:bottom w:val="none" w:sz="0" w:space="0" w:color="auto"/>
                <w:right w:val="none" w:sz="0" w:space="0" w:color="auto"/>
              </w:divBdr>
              <w:divsChild>
                <w:div w:id="361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01009">
          <w:marLeft w:val="0"/>
          <w:marRight w:val="0"/>
          <w:marTop w:val="240"/>
          <w:marBottom w:val="0"/>
          <w:divBdr>
            <w:top w:val="none" w:sz="0" w:space="0" w:color="auto"/>
            <w:left w:val="none" w:sz="0" w:space="0" w:color="auto"/>
            <w:bottom w:val="none" w:sz="0" w:space="0" w:color="auto"/>
            <w:right w:val="none" w:sz="0" w:space="0" w:color="auto"/>
          </w:divBdr>
          <w:divsChild>
            <w:div w:id="1764305223">
              <w:marLeft w:val="0"/>
              <w:marRight w:val="0"/>
              <w:marTop w:val="0"/>
              <w:marBottom w:val="0"/>
              <w:divBdr>
                <w:top w:val="none" w:sz="0" w:space="0" w:color="auto"/>
                <w:left w:val="none" w:sz="0" w:space="0" w:color="auto"/>
                <w:bottom w:val="none" w:sz="0" w:space="0" w:color="auto"/>
                <w:right w:val="none" w:sz="0" w:space="0" w:color="auto"/>
              </w:divBdr>
              <w:divsChild>
                <w:div w:id="14666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61154">
          <w:marLeft w:val="0"/>
          <w:marRight w:val="0"/>
          <w:marTop w:val="240"/>
          <w:marBottom w:val="0"/>
          <w:divBdr>
            <w:top w:val="none" w:sz="0" w:space="0" w:color="auto"/>
            <w:left w:val="none" w:sz="0" w:space="0" w:color="auto"/>
            <w:bottom w:val="none" w:sz="0" w:space="0" w:color="auto"/>
            <w:right w:val="none" w:sz="0" w:space="0" w:color="auto"/>
          </w:divBdr>
          <w:divsChild>
            <w:div w:id="618805216">
              <w:marLeft w:val="0"/>
              <w:marRight w:val="0"/>
              <w:marTop w:val="0"/>
              <w:marBottom w:val="0"/>
              <w:divBdr>
                <w:top w:val="none" w:sz="0" w:space="0" w:color="auto"/>
                <w:left w:val="none" w:sz="0" w:space="0" w:color="auto"/>
                <w:bottom w:val="none" w:sz="0" w:space="0" w:color="auto"/>
                <w:right w:val="none" w:sz="0" w:space="0" w:color="auto"/>
              </w:divBdr>
              <w:divsChild>
                <w:div w:id="20192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3083">
          <w:marLeft w:val="0"/>
          <w:marRight w:val="0"/>
          <w:marTop w:val="240"/>
          <w:marBottom w:val="0"/>
          <w:divBdr>
            <w:top w:val="none" w:sz="0" w:space="0" w:color="auto"/>
            <w:left w:val="none" w:sz="0" w:space="0" w:color="auto"/>
            <w:bottom w:val="none" w:sz="0" w:space="0" w:color="auto"/>
            <w:right w:val="none" w:sz="0" w:space="0" w:color="auto"/>
          </w:divBdr>
          <w:divsChild>
            <w:div w:id="1405373850">
              <w:marLeft w:val="0"/>
              <w:marRight w:val="0"/>
              <w:marTop w:val="0"/>
              <w:marBottom w:val="0"/>
              <w:divBdr>
                <w:top w:val="none" w:sz="0" w:space="0" w:color="auto"/>
                <w:left w:val="none" w:sz="0" w:space="0" w:color="auto"/>
                <w:bottom w:val="none" w:sz="0" w:space="0" w:color="auto"/>
                <w:right w:val="none" w:sz="0" w:space="0" w:color="auto"/>
              </w:divBdr>
              <w:divsChild>
                <w:div w:id="4623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3224">
          <w:marLeft w:val="0"/>
          <w:marRight w:val="0"/>
          <w:marTop w:val="240"/>
          <w:marBottom w:val="0"/>
          <w:divBdr>
            <w:top w:val="none" w:sz="0" w:space="0" w:color="auto"/>
            <w:left w:val="none" w:sz="0" w:space="0" w:color="auto"/>
            <w:bottom w:val="none" w:sz="0" w:space="0" w:color="auto"/>
            <w:right w:val="none" w:sz="0" w:space="0" w:color="auto"/>
          </w:divBdr>
          <w:divsChild>
            <w:div w:id="161970443">
              <w:marLeft w:val="0"/>
              <w:marRight w:val="0"/>
              <w:marTop w:val="0"/>
              <w:marBottom w:val="0"/>
              <w:divBdr>
                <w:top w:val="none" w:sz="0" w:space="0" w:color="auto"/>
                <w:left w:val="none" w:sz="0" w:space="0" w:color="auto"/>
                <w:bottom w:val="none" w:sz="0" w:space="0" w:color="auto"/>
                <w:right w:val="none" w:sz="0" w:space="0" w:color="auto"/>
              </w:divBdr>
              <w:divsChild>
                <w:div w:id="17567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4847">
          <w:marLeft w:val="0"/>
          <w:marRight w:val="0"/>
          <w:marTop w:val="240"/>
          <w:marBottom w:val="0"/>
          <w:divBdr>
            <w:top w:val="none" w:sz="0" w:space="0" w:color="auto"/>
            <w:left w:val="none" w:sz="0" w:space="0" w:color="auto"/>
            <w:bottom w:val="none" w:sz="0" w:space="0" w:color="auto"/>
            <w:right w:val="none" w:sz="0" w:space="0" w:color="auto"/>
          </w:divBdr>
          <w:divsChild>
            <w:div w:id="388261037">
              <w:marLeft w:val="0"/>
              <w:marRight w:val="0"/>
              <w:marTop w:val="0"/>
              <w:marBottom w:val="0"/>
              <w:divBdr>
                <w:top w:val="none" w:sz="0" w:space="0" w:color="auto"/>
                <w:left w:val="none" w:sz="0" w:space="0" w:color="auto"/>
                <w:bottom w:val="none" w:sz="0" w:space="0" w:color="auto"/>
                <w:right w:val="none" w:sz="0" w:space="0" w:color="auto"/>
              </w:divBdr>
              <w:divsChild>
                <w:div w:id="14207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92110">
      <w:bodyDiv w:val="1"/>
      <w:marLeft w:val="0"/>
      <w:marRight w:val="0"/>
      <w:marTop w:val="0"/>
      <w:marBottom w:val="0"/>
      <w:divBdr>
        <w:top w:val="none" w:sz="0" w:space="0" w:color="auto"/>
        <w:left w:val="none" w:sz="0" w:space="0" w:color="auto"/>
        <w:bottom w:val="none" w:sz="0" w:space="0" w:color="auto"/>
        <w:right w:val="none" w:sz="0" w:space="0" w:color="auto"/>
      </w:divBdr>
      <w:divsChild>
        <w:div w:id="1366103927">
          <w:marLeft w:val="0"/>
          <w:marRight w:val="0"/>
          <w:marTop w:val="0"/>
          <w:marBottom w:val="0"/>
          <w:divBdr>
            <w:top w:val="none" w:sz="0" w:space="0" w:color="auto"/>
            <w:left w:val="none" w:sz="0" w:space="0" w:color="auto"/>
            <w:bottom w:val="none" w:sz="0" w:space="0" w:color="auto"/>
            <w:right w:val="none" w:sz="0" w:space="0" w:color="auto"/>
          </w:divBdr>
          <w:divsChild>
            <w:div w:id="509805166">
              <w:marLeft w:val="0"/>
              <w:marRight w:val="0"/>
              <w:marTop w:val="0"/>
              <w:marBottom w:val="0"/>
              <w:divBdr>
                <w:top w:val="none" w:sz="0" w:space="0" w:color="auto"/>
                <w:left w:val="none" w:sz="0" w:space="0" w:color="auto"/>
                <w:bottom w:val="none" w:sz="0" w:space="0" w:color="auto"/>
                <w:right w:val="none" w:sz="0" w:space="0" w:color="auto"/>
              </w:divBdr>
              <w:divsChild>
                <w:div w:id="6268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308">
          <w:marLeft w:val="0"/>
          <w:marRight w:val="0"/>
          <w:marTop w:val="0"/>
          <w:marBottom w:val="0"/>
          <w:divBdr>
            <w:top w:val="none" w:sz="0" w:space="0" w:color="auto"/>
            <w:left w:val="none" w:sz="0" w:space="0" w:color="auto"/>
            <w:bottom w:val="none" w:sz="0" w:space="0" w:color="auto"/>
            <w:right w:val="none" w:sz="0" w:space="0" w:color="auto"/>
          </w:divBdr>
          <w:divsChild>
            <w:div w:id="1763528862">
              <w:marLeft w:val="0"/>
              <w:marRight w:val="0"/>
              <w:marTop w:val="0"/>
              <w:marBottom w:val="0"/>
              <w:divBdr>
                <w:top w:val="none" w:sz="0" w:space="0" w:color="auto"/>
                <w:left w:val="none" w:sz="0" w:space="0" w:color="auto"/>
                <w:bottom w:val="none" w:sz="0" w:space="0" w:color="auto"/>
                <w:right w:val="none" w:sz="0" w:space="0" w:color="auto"/>
              </w:divBdr>
              <w:divsChild>
                <w:div w:id="11382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2933">
      <w:bodyDiv w:val="1"/>
      <w:marLeft w:val="0"/>
      <w:marRight w:val="0"/>
      <w:marTop w:val="0"/>
      <w:marBottom w:val="0"/>
      <w:divBdr>
        <w:top w:val="none" w:sz="0" w:space="0" w:color="auto"/>
        <w:left w:val="none" w:sz="0" w:space="0" w:color="auto"/>
        <w:bottom w:val="none" w:sz="0" w:space="0" w:color="auto"/>
        <w:right w:val="none" w:sz="0" w:space="0" w:color="auto"/>
      </w:divBdr>
    </w:div>
    <w:div w:id="2084640022">
      <w:bodyDiv w:val="1"/>
      <w:marLeft w:val="0"/>
      <w:marRight w:val="0"/>
      <w:marTop w:val="0"/>
      <w:marBottom w:val="0"/>
      <w:divBdr>
        <w:top w:val="none" w:sz="0" w:space="0" w:color="auto"/>
        <w:left w:val="none" w:sz="0" w:space="0" w:color="auto"/>
        <w:bottom w:val="none" w:sz="0" w:space="0" w:color="auto"/>
        <w:right w:val="none" w:sz="0" w:space="0" w:color="auto"/>
      </w:divBdr>
      <w:divsChild>
        <w:div w:id="889651546">
          <w:marLeft w:val="0"/>
          <w:marRight w:val="0"/>
          <w:marTop w:val="240"/>
          <w:marBottom w:val="0"/>
          <w:divBdr>
            <w:top w:val="none" w:sz="0" w:space="0" w:color="auto"/>
            <w:left w:val="none" w:sz="0" w:space="0" w:color="auto"/>
            <w:bottom w:val="none" w:sz="0" w:space="0" w:color="auto"/>
            <w:right w:val="none" w:sz="0" w:space="0" w:color="auto"/>
          </w:divBdr>
          <w:divsChild>
            <w:div w:id="1413626435">
              <w:marLeft w:val="0"/>
              <w:marRight w:val="0"/>
              <w:marTop w:val="0"/>
              <w:marBottom w:val="0"/>
              <w:divBdr>
                <w:top w:val="none" w:sz="0" w:space="0" w:color="auto"/>
                <w:left w:val="none" w:sz="0" w:space="0" w:color="auto"/>
                <w:bottom w:val="none" w:sz="0" w:space="0" w:color="auto"/>
                <w:right w:val="none" w:sz="0" w:space="0" w:color="auto"/>
              </w:divBdr>
              <w:divsChild>
                <w:div w:id="13903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66585">
          <w:marLeft w:val="0"/>
          <w:marRight w:val="0"/>
          <w:marTop w:val="240"/>
          <w:marBottom w:val="0"/>
          <w:divBdr>
            <w:top w:val="none" w:sz="0" w:space="0" w:color="auto"/>
            <w:left w:val="none" w:sz="0" w:space="0" w:color="auto"/>
            <w:bottom w:val="none" w:sz="0" w:space="0" w:color="auto"/>
            <w:right w:val="none" w:sz="0" w:space="0" w:color="auto"/>
          </w:divBdr>
          <w:divsChild>
            <w:div w:id="1078752272">
              <w:marLeft w:val="0"/>
              <w:marRight w:val="0"/>
              <w:marTop w:val="0"/>
              <w:marBottom w:val="0"/>
              <w:divBdr>
                <w:top w:val="none" w:sz="0" w:space="0" w:color="auto"/>
                <w:left w:val="none" w:sz="0" w:space="0" w:color="auto"/>
                <w:bottom w:val="none" w:sz="0" w:space="0" w:color="auto"/>
                <w:right w:val="none" w:sz="0" w:space="0" w:color="auto"/>
              </w:divBdr>
              <w:divsChild>
                <w:div w:id="18628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467">
          <w:marLeft w:val="0"/>
          <w:marRight w:val="0"/>
          <w:marTop w:val="240"/>
          <w:marBottom w:val="0"/>
          <w:divBdr>
            <w:top w:val="none" w:sz="0" w:space="0" w:color="auto"/>
            <w:left w:val="none" w:sz="0" w:space="0" w:color="auto"/>
            <w:bottom w:val="none" w:sz="0" w:space="0" w:color="auto"/>
            <w:right w:val="none" w:sz="0" w:space="0" w:color="auto"/>
          </w:divBdr>
          <w:divsChild>
            <w:div w:id="1715034415">
              <w:marLeft w:val="0"/>
              <w:marRight w:val="0"/>
              <w:marTop w:val="0"/>
              <w:marBottom w:val="0"/>
              <w:divBdr>
                <w:top w:val="none" w:sz="0" w:space="0" w:color="auto"/>
                <w:left w:val="none" w:sz="0" w:space="0" w:color="auto"/>
                <w:bottom w:val="none" w:sz="0" w:space="0" w:color="auto"/>
                <w:right w:val="none" w:sz="0" w:space="0" w:color="auto"/>
              </w:divBdr>
              <w:divsChild>
                <w:div w:id="10923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7465">
      <w:bodyDiv w:val="1"/>
      <w:marLeft w:val="0"/>
      <w:marRight w:val="0"/>
      <w:marTop w:val="0"/>
      <w:marBottom w:val="0"/>
      <w:divBdr>
        <w:top w:val="none" w:sz="0" w:space="0" w:color="auto"/>
        <w:left w:val="none" w:sz="0" w:space="0" w:color="auto"/>
        <w:bottom w:val="none" w:sz="0" w:space="0" w:color="auto"/>
        <w:right w:val="none" w:sz="0" w:space="0" w:color="auto"/>
      </w:divBdr>
    </w:div>
    <w:div w:id="2119830089">
      <w:bodyDiv w:val="1"/>
      <w:marLeft w:val="0"/>
      <w:marRight w:val="0"/>
      <w:marTop w:val="0"/>
      <w:marBottom w:val="0"/>
      <w:divBdr>
        <w:top w:val="none" w:sz="0" w:space="0" w:color="auto"/>
        <w:left w:val="none" w:sz="0" w:space="0" w:color="auto"/>
        <w:bottom w:val="none" w:sz="0" w:space="0" w:color="auto"/>
        <w:right w:val="none" w:sz="0" w:space="0" w:color="auto"/>
      </w:divBdr>
    </w:div>
    <w:div w:id="2138327109">
      <w:bodyDiv w:val="1"/>
      <w:marLeft w:val="0"/>
      <w:marRight w:val="0"/>
      <w:marTop w:val="0"/>
      <w:marBottom w:val="0"/>
      <w:divBdr>
        <w:top w:val="none" w:sz="0" w:space="0" w:color="auto"/>
        <w:left w:val="none" w:sz="0" w:space="0" w:color="auto"/>
        <w:bottom w:val="none" w:sz="0" w:space="0" w:color="auto"/>
        <w:right w:val="none" w:sz="0" w:space="0" w:color="auto"/>
      </w:divBdr>
      <w:divsChild>
        <w:div w:id="1327855044">
          <w:marLeft w:val="0"/>
          <w:marRight w:val="0"/>
          <w:marTop w:val="240"/>
          <w:marBottom w:val="0"/>
          <w:divBdr>
            <w:top w:val="none" w:sz="0" w:space="0" w:color="auto"/>
            <w:left w:val="none" w:sz="0" w:space="0" w:color="auto"/>
            <w:bottom w:val="none" w:sz="0" w:space="0" w:color="auto"/>
            <w:right w:val="none" w:sz="0" w:space="0" w:color="auto"/>
          </w:divBdr>
          <w:divsChild>
            <w:div w:id="1861893136">
              <w:marLeft w:val="0"/>
              <w:marRight w:val="0"/>
              <w:marTop w:val="0"/>
              <w:marBottom w:val="0"/>
              <w:divBdr>
                <w:top w:val="none" w:sz="0" w:space="0" w:color="auto"/>
                <w:left w:val="none" w:sz="0" w:space="0" w:color="auto"/>
                <w:bottom w:val="none" w:sz="0" w:space="0" w:color="auto"/>
                <w:right w:val="none" w:sz="0" w:space="0" w:color="auto"/>
              </w:divBdr>
            </w:div>
          </w:divsChild>
        </w:div>
        <w:div w:id="1401562139">
          <w:marLeft w:val="0"/>
          <w:marRight w:val="0"/>
          <w:marTop w:val="0"/>
          <w:marBottom w:val="0"/>
          <w:divBdr>
            <w:top w:val="none" w:sz="0" w:space="0" w:color="auto"/>
            <w:left w:val="none" w:sz="0" w:space="0" w:color="auto"/>
            <w:bottom w:val="none" w:sz="0" w:space="0" w:color="auto"/>
            <w:right w:val="none" w:sz="0" w:space="0" w:color="auto"/>
          </w:divBdr>
        </w:div>
        <w:div w:id="1669208936">
          <w:marLeft w:val="0"/>
          <w:marRight w:val="0"/>
          <w:marTop w:val="240"/>
          <w:marBottom w:val="0"/>
          <w:divBdr>
            <w:top w:val="none" w:sz="0" w:space="0" w:color="auto"/>
            <w:left w:val="none" w:sz="0" w:space="0" w:color="auto"/>
            <w:bottom w:val="none" w:sz="0" w:space="0" w:color="auto"/>
            <w:right w:val="none" w:sz="0" w:space="0" w:color="auto"/>
          </w:divBdr>
          <w:divsChild>
            <w:div w:id="9810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6898">
      <w:bodyDiv w:val="1"/>
      <w:marLeft w:val="0"/>
      <w:marRight w:val="0"/>
      <w:marTop w:val="0"/>
      <w:marBottom w:val="0"/>
      <w:divBdr>
        <w:top w:val="none" w:sz="0" w:space="0" w:color="auto"/>
        <w:left w:val="none" w:sz="0" w:space="0" w:color="auto"/>
        <w:bottom w:val="none" w:sz="0" w:space="0" w:color="auto"/>
        <w:right w:val="none" w:sz="0" w:space="0" w:color="auto"/>
      </w:divBdr>
      <w:divsChild>
        <w:div w:id="1279608003">
          <w:marLeft w:val="0"/>
          <w:marRight w:val="0"/>
          <w:marTop w:val="0"/>
          <w:marBottom w:val="0"/>
          <w:divBdr>
            <w:top w:val="none" w:sz="0" w:space="0" w:color="auto"/>
            <w:left w:val="none" w:sz="0" w:space="0" w:color="auto"/>
            <w:bottom w:val="none" w:sz="0" w:space="0" w:color="auto"/>
            <w:right w:val="none" w:sz="0" w:space="0" w:color="auto"/>
          </w:divBdr>
        </w:div>
        <w:div w:id="1073236817">
          <w:marLeft w:val="0"/>
          <w:marRight w:val="0"/>
          <w:marTop w:val="240"/>
          <w:marBottom w:val="0"/>
          <w:divBdr>
            <w:top w:val="none" w:sz="0" w:space="0" w:color="auto"/>
            <w:left w:val="none" w:sz="0" w:space="0" w:color="auto"/>
            <w:bottom w:val="none" w:sz="0" w:space="0" w:color="auto"/>
            <w:right w:val="none" w:sz="0" w:space="0" w:color="auto"/>
          </w:divBdr>
          <w:divsChild>
            <w:div w:id="1234664625">
              <w:marLeft w:val="0"/>
              <w:marRight w:val="0"/>
              <w:marTop w:val="0"/>
              <w:marBottom w:val="0"/>
              <w:divBdr>
                <w:top w:val="none" w:sz="0" w:space="0" w:color="auto"/>
                <w:left w:val="none" w:sz="0" w:space="0" w:color="auto"/>
                <w:bottom w:val="none" w:sz="0" w:space="0" w:color="auto"/>
                <w:right w:val="none" w:sz="0" w:space="0" w:color="auto"/>
              </w:divBdr>
              <w:divsChild>
                <w:div w:id="1380589582">
                  <w:marLeft w:val="0"/>
                  <w:marRight w:val="0"/>
                  <w:marTop w:val="0"/>
                  <w:marBottom w:val="0"/>
                  <w:divBdr>
                    <w:top w:val="none" w:sz="0" w:space="0" w:color="auto"/>
                    <w:left w:val="none" w:sz="0" w:space="0" w:color="auto"/>
                    <w:bottom w:val="none" w:sz="0" w:space="0" w:color="auto"/>
                    <w:right w:val="none" w:sz="0" w:space="0" w:color="auto"/>
                  </w:divBdr>
                  <w:divsChild>
                    <w:div w:id="3739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32AFA-5B02-4B1B-8E29-F7895918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14953</Words>
  <Characters>83244</Characters>
  <Application>Microsoft Office Word</Application>
  <DocSecurity>0</DocSecurity>
  <Lines>1463</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2021-10-28T14:13:00Z</cp:lastPrinted>
  <dcterms:created xsi:type="dcterms:W3CDTF">2021-10-29T23:18:00Z</dcterms:created>
  <dcterms:modified xsi:type="dcterms:W3CDTF">2021-10-29T23:18:00Z</dcterms:modified>
  <cp:category/>
</cp:coreProperties>
</file>