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8B025" w14:textId="77777777" w:rsidR="00502ADD" w:rsidRPr="0054150B" w:rsidRDefault="00502ADD" w:rsidP="00206224">
      <w:pPr>
        <w:spacing w:line="240" w:lineRule="atLeast"/>
        <w:rPr>
          <w:sz w:val="20"/>
          <w:szCs w:val="22"/>
        </w:rPr>
      </w:pPr>
      <w:r w:rsidRPr="0054150B">
        <w:rPr>
          <w:sz w:val="20"/>
          <w:szCs w:val="22"/>
        </w:rPr>
        <w:t>Filed 7/12/24</w:t>
      </w:r>
    </w:p>
    <w:p w14:paraId="372A823D" w14:textId="77777777" w:rsidR="00502ADD" w:rsidRDefault="00502ADD" w:rsidP="003C63C0">
      <w:pPr>
        <w:spacing w:line="240" w:lineRule="atLeast"/>
        <w:jc w:val="center"/>
        <w:rPr>
          <w:u w:val="words"/>
        </w:rPr>
      </w:pPr>
      <w:r w:rsidRPr="003C63C0">
        <w:rPr>
          <w:u w:val="words"/>
        </w:rPr>
        <w:t>CERTIFIED FOR PUBLICATION</w:t>
      </w:r>
    </w:p>
    <w:p w14:paraId="74D32F4E" w14:textId="77777777" w:rsidR="00502ADD" w:rsidRDefault="00502ADD" w:rsidP="003C63C0">
      <w:pPr>
        <w:spacing w:line="240" w:lineRule="atLeast"/>
        <w:jc w:val="center"/>
        <w:rPr>
          <w:u w:val="words"/>
        </w:rPr>
      </w:pPr>
    </w:p>
    <w:p w14:paraId="64CAB8AC" w14:textId="77777777" w:rsidR="00502ADD" w:rsidRDefault="00502ADD" w:rsidP="003C63C0">
      <w:pPr>
        <w:spacing w:line="240" w:lineRule="atLeast"/>
        <w:jc w:val="center"/>
        <w:rPr>
          <w:u w:val="words"/>
        </w:rPr>
      </w:pPr>
    </w:p>
    <w:p w14:paraId="501B89B5" w14:textId="77777777" w:rsidR="00502ADD" w:rsidRDefault="00502ADD" w:rsidP="003C63C0">
      <w:pPr>
        <w:spacing w:line="240" w:lineRule="atLeast"/>
        <w:jc w:val="center"/>
        <w:rPr>
          <w:u w:val="words"/>
        </w:rPr>
      </w:pPr>
    </w:p>
    <w:p w14:paraId="4B7EBBD2" w14:textId="77777777" w:rsidR="00502ADD" w:rsidRDefault="00502ADD" w:rsidP="003C63C0">
      <w:pPr>
        <w:spacing w:line="240" w:lineRule="atLeast"/>
        <w:jc w:val="center"/>
        <w:rPr>
          <w:u w:val="words"/>
        </w:rPr>
      </w:pPr>
    </w:p>
    <w:p w14:paraId="57F843AD" w14:textId="77777777" w:rsidR="00502ADD" w:rsidRDefault="00502ADD" w:rsidP="003C63C0">
      <w:pPr>
        <w:spacing w:line="240" w:lineRule="atLeast"/>
        <w:jc w:val="center"/>
        <w:rPr>
          <w:u w:val="words"/>
        </w:rPr>
      </w:pPr>
    </w:p>
    <w:p w14:paraId="6A491C43" w14:textId="77777777" w:rsidR="00502ADD" w:rsidRDefault="00502ADD" w:rsidP="003C63C0">
      <w:pPr>
        <w:jc w:val="center"/>
      </w:pPr>
      <w:r>
        <w:t>IN THE COURT OF APPEAL OF THE STATE OF CALIFORNIA</w:t>
      </w:r>
    </w:p>
    <w:p w14:paraId="11CE1D12" w14:textId="77777777" w:rsidR="00502ADD" w:rsidRDefault="00502ADD" w:rsidP="003C63C0">
      <w:pPr>
        <w:jc w:val="center"/>
      </w:pPr>
      <w:r>
        <w:t>THIRD APPELLATE DISTRICT</w:t>
      </w:r>
    </w:p>
    <w:p w14:paraId="2B3DF024" w14:textId="77777777" w:rsidR="00502ADD" w:rsidRDefault="00502ADD" w:rsidP="003C63C0">
      <w:pPr>
        <w:jc w:val="center"/>
      </w:pPr>
      <w:r>
        <w:t>(Sacramento)</w:t>
      </w:r>
    </w:p>
    <w:p w14:paraId="02325C30" w14:textId="77777777" w:rsidR="00502ADD" w:rsidRDefault="00502ADD" w:rsidP="003C63C0">
      <w:pPr>
        <w:jc w:val="center"/>
      </w:pPr>
      <w:r>
        <w:t>----</w:t>
      </w:r>
    </w:p>
    <w:p w14:paraId="61075F5F" w14:textId="77777777" w:rsidR="00502ADD" w:rsidRDefault="00502ADD" w:rsidP="003C63C0">
      <w:pPr>
        <w:jc w:val="center"/>
      </w:pPr>
    </w:p>
    <w:p w14:paraId="72E2B9B8" w14:textId="77777777" w:rsidR="00502ADD" w:rsidRDefault="00502ADD" w:rsidP="003C63C0">
      <w:pPr>
        <w:spacing w:line="240" w:lineRule="atLeast"/>
      </w:pPr>
    </w:p>
    <w:p w14:paraId="7EFBC27F" w14:textId="77777777" w:rsidR="00502ADD" w:rsidRDefault="00502ADD" w:rsidP="003C63C0">
      <w:pPr>
        <w:spacing w:line="240" w:lineRule="atLeast"/>
      </w:pPr>
    </w:p>
    <w:p w14:paraId="1B618FAE" w14:textId="77777777" w:rsidR="00502ADD" w:rsidRDefault="00502ADD" w:rsidP="003C63C0">
      <w:pPr>
        <w:spacing w:line="240" w:lineRule="atLeast"/>
      </w:pPr>
    </w:p>
    <w:tbl>
      <w:tblPr>
        <w:tblW w:w="0" w:type="auto"/>
        <w:tblBorders>
          <w:insideV w:val="single" w:sz="4" w:space="0" w:color="auto"/>
        </w:tblBorders>
        <w:tblLayout w:type="fixed"/>
        <w:tblLook w:val="0000" w:firstRow="0" w:lastRow="0" w:firstColumn="0" w:lastColumn="0" w:noHBand="0" w:noVBand="0"/>
      </w:tblPr>
      <w:tblGrid>
        <w:gridCol w:w="5904"/>
        <w:gridCol w:w="3456"/>
      </w:tblGrid>
      <w:tr w:rsidR="00ED38AC" w14:paraId="73E2C8AE" w14:textId="77777777" w:rsidTr="003C63C0">
        <w:tc>
          <w:tcPr>
            <w:tcW w:w="5904" w:type="dxa"/>
            <w:tcBorders>
              <w:bottom w:val="single" w:sz="4" w:space="0" w:color="auto"/>
              <w:right w:val="single" w:sz="4" w:space="0" w:color="auto"/>
            </w:tcBorders>
            <w:shd w:val="clear" w:color="auto" w:fill="auto"/>
          </w:tcPr>
          <w:p w14:paraId="08D1BE56" w14:textId="77777777" w:rsidR="00502ADD" w:rsidRDefault="00502ADD" w:rsidP="003C63C0">
            <w:pPr>
              <w:spacing w:line="240" w:lineRule="atLeast"/>
            </w:pPr>
            <w:r>
              <w:t>In re J.M., a Person Coming Under the Juvenile Court Law.</w:t>
            </w:r>
          </w:p>
        </w:tc>
        <w:tc>
          <w:tcPr>
            <w:tcW w:w="3456" w:type="dxa"/>
            <w:tcBorders>
              <w:left w:val="single" w:sz="4" w:space="0" w:color="auto"/>
            </w:tcBorders>
            <w:shd w:val="clear" w:color="auto" w:fill="auto"/>
          </w:tcPr>
          <w:p w14:paraId="717F9E97" w14:textId="77777777" w:rsidR="00502ADD" w:rsidRDefault="00502ADD" w:rsidP="003C63C0">
            <w:pPr>
              <w:spacing w:line="240" w:lineRule="atLeast"/>
              <w:jc w:val="center"/>
            </w:pPr>
            <w:r>
              <w:t>C099085</w:t>
            </w:r>
          </w:p>
          <w:p w14:paraId="47F3ED48" w14:textId="77777777" w:rsidR="00502ADD" w:rsidRDefault="00502ADD" w:rsidP="003C63C0">
            <w:pPr>
              <w:spacing w:line="240" w:lineRule="atLeast"/>
              <w:jc w:val="center"/>
            </w:pPr>
          </w:p>
        </w:tc>
      </w:tr>
      <w:tr w:rsidR="00ED38AC" w14:paraId="1C8BD565" w14:textId="77777777" w:rsidTr="003C63C0">
        <w:tc>
          <w:tcPr>
            <w:tcW w:w="5904" w:type="dxa"/>
            <w:tcBorders>
              <w:top w:val="single" w:sz="4" w:space="0" w:color="auto"/>
            </w:tcBorders>
            <w:shd w:val="clear" w:color="auto" w:fill="auto"/>
          </w:tcPr>
          <w:p w14:paraId="5E39C022" w14:textId="77777777" w:rsidR="00502ADD" w:rsidRDefault="00502ADD" w:rsidP="003C63C0">
            <w:pPr>
              <w:spacing w:line="240" w:lineRule="atLeast"/>
            </w:pPr>
          </w:p>
          <w:p w14:paraId="688CBB2E" w14:textId="77777777" w:rsidR="00502ADD" w:rsidRDefault="00502ADD" w:rsidP="003C63C0">
            <w:pPr>
              <w:spacing w:line="240" w:lineRule="atLeast"/>
            </w:pPr>
            <w:r>
              <w:t>THE PEOPLE,</w:t>
            </w:r>
          </w:p>
          <w:p w14:paraId="79F5C3F3" w14:textId="77777777" w:rsidR="00502ADD" w:rsidRDefault="00502ADD" w:rsidP="003C63C0">
            <w:pPr>
              <w:spacing w:line="240" w:lineRule="atLeast"/>
            </w:pPr>
          </w:p>
          <w:p w14:paraId="646B4539" w14:textId="77777777" w:rsidR="00502ADD" w:rsidRDefault="00502ADD" w:rsidP="003C63C0">
            <w:pPr>
              <w:spacing w:line="240" w:lineRule="atLeast"/>
            </w:pPr>
            <w:r>
              <w:tab/>
            </w:r>
            <w:r>
              <w:tab/>
              <w:t xml:space="preserve">Plaintiff and </w:t>
            </w:r>
            <w:r>
              <w:t>Respondent,</w:t>
            </w:r>
          </w:p>
          <w:p w14:paraId="024B96F8" w14:textId="77777777" w:rsidR="00502ADD" w:rsidRDefault="00502ADD" w:rsidP="003C63C0">
            <w:pPr>
              <w:spacing w:line="240" w:lineRule="atLeast"/>
            </w:pPr>
          </w:p>
          <w:p w14:paraId="28EB53DB" w14:textId="77777777" w:rsidR="00502ADD" w:rsidRDefault="00502ADD" w:rsidP="003C63C0">
            <w:pPr>
              <w:spacing w:line="240" w:lineRule="atLeast"/>
            </w:pPr>
            <w:r>
              <w:tab/>
              <w:t>v.</w:t>
            </w:r>
          </w:p>
          <w:p w14:paraId="66FCAF08" w14:textId="77777777" w:rsidR="00502ADD" w:rsidRDefault="00502ADD" w:rsidP="003C63C0">
            <w:pPr>
              <w:spacing w:line="240" w:lineRule="atLeast"/>
            </w:pPr>
          </w:p>
          <w:p w14:paraId="06D3B8C6" w14:textId="77777777" w:rsidR="00502ADD" w:rsidRDefault="00502ADD" w:rsidP="003C63C0">
            <w:pPr>
              <w:spacing w:line="240" w:lineRule="atLeast"/>
            </w:pPr>
            <w:r>
              <w:t>J.M.,</w:t>
            </w:r>
          </w:p>
          <w:p w14:paraId="036448DE" w14:textId="77777777" w:rsidR="00502ADD" w:rsidRDefault="00502ADD" w:rsidP="003C63C0">
            <w:pPr>
              <w:spacing w:line="240" w:lineRule="atLeast"/>
            </w:pPr>
          </w:p>
          <w:p w14:paraId="394C2452" w14:textId="77777777" w:rsidR="00502ADD" w:rsidRDefault="00502ADD" w:rsidP="003C63C0">
            <w:pPr>
              <w:spacing w:line="240" w:lineRule="atLeast"/>
            </w:pPr>
            <w:r>
              <w:tab/>
            </w:r>
            <w:r>
              <w:tab/>
              <w:t>Defendant and Appellant.</w:t>
            </w:r>
          </w:p>
          <w:p w14:paraId="391A360E" w14:textId="77777777" w:rsidR="00502ADD" w:rsidRDefault="00502ADD" w:rsidP="003C63C0">
            <w:pPr>
              <w:spacing w:line="240" w:lineRule="atLeast"/>
            </w:pPr>
          </w:p>
        </w:tc>
        <w:tc>
          <w:tcPr>
            <w:tcW w:w="3456" w:type="dxa"/>
            <w:shd w:val="clear" w:color="auto" w:fill="auto"/>
          </w:tcPr>
          <w:p w14:paraId="3D988FE0" w14:textId="77777777" w:rsidR="00502ADD" w:rsidRDefault="00502ADD" w:rsidP="003C63C0">
            <w:pPr>
              <w:spacing w:line="240" w:lineRule="atLeast"/>
            </w:pPr>
          </w:p>
          <w:p w14:paraId="20D46795" w14:textId="77777777" w:rsidR="00502ADD" w:rsidRDefault="00502ADD" w:rsidP="003C63C0">
            <w:pPr>
              <w:spacing w:line="240" w:lineRule="atLeast"/>
              <w:jc w:val="center"/>
            </w:pPr>
            <w:r>
              <w:t>(Super. Ct. No</w:t>
            </w:r>
            <w:r>
              <w:t>s</w:t>
            </w:r>
            <w:r>
              <w:t>. JV137240 &amp; 22HC00217)</w:t>
            </w:r>
          </w:p>
          <w:p w14:paraId="0F96857D" w14:textId="77777777" w:rsidR="00502ADD" w:rsidRDefault="00502ADD" w:rsidP="003C63C0">
            <w:pPr>
              <w:spacing w:line="240" w:lineRule="atLeast"/>
              <w:jc w:val="center"/>
            </w:pPr>
          </w:p>
        </w:tc>
      </w:tr>
    </w:tbl>
    <w:p w14:paraId="3B863405" w14:textId="77777777" w:rsidR="00502ADD" w:rsidRDefault="00502ADD" w:rsidP="003C63C0">
      <w:pPr>
        <w:spacing w:line="240" w:lineRule="atLeast"/>
      </w:pPr>
    </w:p>
    <w:p w14:paraId="268683BA" w14:textId="77777777" w:rsidR="00502ADD" w:rsidRDefault="00502ADD" w:rsidP="003C63C0">
      <w:pPr>
        <w:spacing w:line="240" w:lineRule="atLeast"/>
      </w:pPr>
      <w:r>
        <w:tab/>
        <w:t>APPEAL from a judgment of the Superior Court of Sacramento County, Dena M. Coggins, Judge.  Reversed with directions.</w:t>
      </w:r>
    </w:p>
    <w:p w14:paraId="11783D3B" w14:textId="77777777" w:rsidR="00502ADD" w:rsidRDefault="00502ADD" w:rsidP="003C63C0">
      <w:pPr>
        <w:spacing w:line="240" w:lineRule="atLeast"/>
      </w:pPr>
    </w:p>
    <w:p w14:paraId="4CD1BEEC" w14:textId="77777777" w:rsidR="00502ADD" w:rsidRDefault="00502ADD" w:rsidP="003C63C0">
      <w:pPr>
        <w:spacing w:line="240" w:lineRule="atLeast"/>
      </w:pPr>
      <w:r>
        <w:tab/>
        <w:t xml:space="preserve">William Safford, under </w:t>
      </w:r>
      <w:r>
        <w:t>appointment by the Court of Appeal, for Defendant and Appellant.</w:t>
      </w:r>
    </w:p>
    <w:p w14:paraId="2596504F" w14:textId="77777777" w:rsidR="00502ADD" w:rsidRDefault="00502ADD" w:rsidP="003C63C0">
      <w:pPr>
        <w:spacing w:line="240" w:lineRule="atLeast"/>
      </w:pPr>
    </w:p>
    <w:p w14:paraId="1293A1BF" w14:textId="77777777" w:rsidR="00502ADD" w:rsidRDefault="00502ADD" w:rsidP="003C63C0">
      <w:pPr>
        <w:spacing w:line="240" w:lineRule="atLeast"/>
      </w:pPr>
      <w:r>
        <w:tab/>
        <w:t xml:space="preserve">Rob Bonta, Attorney General, Lance E. Winters, Chief Assistant Attorney General, Michael P. Farrell, Assistant Attorney General, </w:t>
      </w:r>
      <w:r w:rsidRPr="00BE5B84">
        <w:t>Ivan P. Marrs</w:t>
      </w:r>
      <w:r>
        <w:t xml:space="preserve"> and </w:t>
      </w:r>
      <w:r w:rsidRPr="00BE5B84">
        <w:t>Edrina Anderson, Deputy Attorney</w:t>
      </w:r>
      <w:r w:rsidRPr="00BE5B84">
        <w:t>s</w:t>
      </w:r>
      <w:r w:rsidRPr="00BE5B84">
        <w:t xml:space="preserve"> General, for</w:t>
      </w:r>
      <w:r>
        <w:t xml:space="preserve"> Plaintiff and Respondent.</w:t>
      </w:r>
    </w:p>
    <w:p w14:paraId="44B0D4F5" w14:textId="77777777" w:rsidR="00502ADD" w:rsidRDefault="00502ADD" w:rsidP="00E61CD9">
      <w:pPr>
        <w:ind w:firstLine="720"/>
      </w:pPr>
      <w:r>
        <w:lastRenderedPageBreak/>
        <w:t>J.M. appeals</w:t>
      </w:r>
      <w:r>
        <w:t xml:space="preserve"> from a</w:t>
      </w:r>
      <w:r>
        <w:t xml:space="preserve">n </w:t>
      </w:r>
      <w:r>
        <w:t xml:space="preserve">order transferring his case </w:t>
      </w:r>
      <w:r>
        <w:t xml:space="preserve">from juvenile court </w:t>
      </w:r>
      <w:r>
        <w:t>to adult criminal court</w:t>
      </w:r>
      <w:r>
        <w:t xml:space="preserve"> pursuant to </w:t>
      </w:r>
      <w:bookmarkStart w:id="0" w:name="dabmci_5d340776c8f04fe496820d24cde4799a"/>
      <w:r>
        <w:t>Welfare and Institutions Code section 707</w:t>
      </w:r>
      <w:bookmarkEnd w:id="0"/>
      <w:r>
        <w:t>.</w:t>
      </w:r>
      <w:r>
        <w:rPr>
          <w:rStyle w:val="FootnoteReference"/>
        </w:rPr>
        <w:footnoteReference w:id="1"/>
      </w:r>
      <w:r>
        <w:t xml:space="preserve">  </w:t>
      </w:r>
      <w:r>
        <w:t xml:space="preserve">He contends </w:t>
      </w:r>
      <w:r>
        <w:t xml:space="preserve">that </w:t>
      </w:r>
      <w:r>
        <w:t xml:space="preserve">we should </w:t>
      </w:r>
      <w:r>
        <w:t xml:space="preserve">conditionally </w:t>
      </w:r>
      <w:r>
        <w:t xml:space="preserve">reverse the order and remand </w:t>
      </w:r>
      <w:r>
        <w:t xml:space="preserve">the matter </w:t>
      </w:r>
      <w:r>
        <w:t xml:space="preserve">to juvenile court </w:t>
      </w:r>
      <w:r>
        <w:t xml:space="preserve">for </w:t>
      </w:r>
      <w:r>
        <w:t xml:space="preserve">a new transfer/amenability hearing </w:t>
      </w:r>
      <w:proofErr w:type="gramStart"/>
      <w:r>
        <w:t>in light of</w:t>
      </w:r>
      <w:proofErr w:type="gramEnd"/>
      <w:r>
        <w:t xml:space="preserve"> recent amendments to </w:t>
      </w:r>
      <w:bookmarkStart w:id="1" w:name="dabmci_f5ad261c902c43e1b3870a0664a2507a"/>
      <w:r w:rsidRPr="000B68EE">
        <w:t>section 707</w:t>
      </w:r>
      <w:bookmarkEnd w:id="1"/>
      <w:r w:rsidRPr="000B68EE">
        <w:t xml:space="preserve"> enacted by </w:t>
      </w:r>
      <w:bookmarkStart w:id="2" w:name="dabmci_26629ee4227046bab580feb44fa08157"/>
      <w:r w:rsidRPr="000B68EE">
        <w:t>Assembly Bill No. 2361</w:t>
      </w:r>
      <w:bookmarkEnd w:id="2"/>
      <w:r w:rsidRPr="000B68EE">
        <w:t xml:space="preserve"> (2021-2022 Reg. Sess.) </w:t>
      </w:r>
      <w:r>
        <w:t>(</w:t>
      </w:r>
      <w:bookmarkStart w:id="3" w:name="dabmci_ea4fd05604cb410392a8aec34fca9cb3"/>
      <w:r>
        <w:t>Assembly Bill No. 2361</w:t>
      </w:r>
      <w:bookmarkEnd w:id="3"/>
      <w:r>
        <w:t xml:space="preserve">) (Stats. 2022, </w:t>
      </w:r>
      <w:proofErr w:type="spellStart"/>
      <w:r>
        <w:t>ch.</w:t>
      </w:r>
      <w:proofErr w:type="spellEnd"/>
      <w:r>
        <w:t xml:space="preserve"> 330, § 1) </w:t>
      </w:r>
      <w:r w:rsidRPr="000B68EE">
        <w:t xml:space="preserve">and </w:t>
      </w:r>
      <w:bookmarkStart w:id="4" w:name="dabmci_56c51446259b4ae58874a10bde9e390a"/>
      <w:r w:rsidRPr="000B68EE">
        <w:t>Senate Bill No. 545</w:t>
      </w:r>
      <w:bookmarkEnd w:id="4"/>
      <w:r w:rsidRPr="000B68EE">
        <w:t xml:space="preserve"> (202</w:t>
      </w:r>
      <w:r w:rsidRPr="000B68EE">
        <w:t>3</w:t>
      </w:r>
      <w:r w:rsidRPr="000B68EE">
        <w:t>-202</w:t>
      </w:r>
      <w:r w:rsidRPr="000B68EE">
        <w:t>4</w:t>
      </w:r>
      <w:r w:rsidRPr="000B68EE">
        <w:t xml:space="preserve"> Reg. Sess.)</w:t>
      </w:r>
      <w:r>
        <w:t xml:space="preserve"> (</w:t>
      </w:r>
      <w:bookmarkStart w:id="5" w:name="dabmci_712a0101b88e4088bf43dc968b4aabc0"/>
      <w:r>
        <w:t>Senate Bill No. 545</w:t>
      </w:r>
      <w:bookmarkEnd w:id="5"/>
      <w:r>
        <w:t xml:space="preserve">) (Stats. 2023, </w:t>
      </w:r>
      <w:proofErr w:type="spellStart"/>
      <w:r>
        <w:t>ch.</w:t>
      </w:r>
      <w:proofErr w:type="spellEnd"/>
      <w:r>
        <w:t xml:space="preserve"> 716, § 1)</w:t>
      </w:r>
      <w:r w:rsidRPr="000B68EE">
        <w:t>.</w:t>
      </w:r>
      <w:r>
        <w:t xml:space="preserve">  </w:t>
      </w:r>
      <w:r>
        <w:t>He further contends</w:t>
      </w:r>
      <w:r>
        <w:t xml:space="preserve"> tha</w:t>
      </w:r>
      <w:r>
        <w:t xml:space="preserve">t </w:t>
      </w:r>
      <w:r w:rsidRPr="00965898">
        <w:t>if</w:t>
      </w:r>
      <w:r>
        <w:t xml:space="preserve"> he is again transferred to adult</w:t>
      </w:r>
      <w:r w:rsidRPr="00E61CD9">
        <w:t xml:space="preserve"> criminal </w:t>
      </w:r>
      <w:r>
        <w:t>court</w:t>
      </w:r>
      <w:r w:rsidRPr="00E61CD9">
        <w:t>,</w:t>
      </w:r>
      <w:r>
        <w:t xml:space="preserve"> the </w:t>
      </w:r>
      <w:r w:rsidRPr="00E61CD9">
        <w:t xml:space="preserve">court </w:t>
      </w:r>
      <w:r>
        <w:t>should be</w:t>
      </w:r>
      <w:r w:rsidRPr="00E61CD9">
        <w:t xml:space="preserve"> </w:t>
      </w:r>
      <w:r>
        <w:t>required</w:t>
      </w:r>
      <w:r w:rsidRPr="00E61CD9">
        <w:t xml:space="preserve"> to conduct a </w:t>
      </w:r>
      <w:r>
        <w:t>new sentencing</w:t>
      </w:r>
      <w:r w:rsidRPr="00E61CD9">
        <w:t xml:space="preserve"> hearing</w:t>
      </w:r>
      <w:r>
        <w:t xml:space="preserve"> </w:t>
      </w:r>
      <w:r w:rsidRPr="00965898">
        <w:t xml:space="preserve">to consider </w:t>
      </w:r>
      <w:r>
        <w:t>certain</w:t>
      </w:r>
      <w:r>
        <w:t xml:space="preserve"> </w:t>
      </w:r>
      <w:r w:rsidRPr="00965898">
        <w:t xml:space="preserve">ameliorative changes </w:t>
      </w:r>
      <w:r>
        <w:t xml:space="preserve">in the </w:t>
      </w:r>
      <w:r w:rsidRPr="00965898">
        <w:t xml:space="preserve">sentencing laws </w:t>
      </w:r>
      <w:r w:rsidRPr="00965898">
        <w:t>that took effect after his sentence</w:t>
      </w:r>
      <w:r>
        <w:t xml:space="preserve"> was imposed.</w:t>
      </w:r>
    </w:p>
    <w:p w14:paraId="4EE69A2A" w14:textId="77777777" w:rsidR="00502ADD" w:rsidRDefault="00502ADD" w:rsidP="00617196">
      <w:pPr>
        <w:ind w:firstLine="720"/>
      </w:pPr>
      <w:r>
        <w:t xml:space="preserve">The People concede that recent amendments to </w:t>
      </w:r>
      <w:bookmarkStart w:id="6" w:name="dabmci_46f33f7da9fe4ee9af7d0a90a0ed1f8f"/>
      <w:r>
        <w:t>section 707</w:t>
      </w:r>
      <w:bookmarkEnd w:id="6"/>
      <w:r>
        <w:t xml:space="preserve"> apply retroactively </w:t>
      </w:r>
      <w:r>
        <w:t xml:space="preserve">to J.M.’s case </w:t>
      </w:r>
      <w:r>
        <w:t xml:space="preserve">and that we should remand this matter for a new transfer/amenability hearing.  But the People oppose </w:t>
      </w:r>
      <w:r>
        <w:t>J.M.’s</w:t>
      </w:r>
      <w:r>
        <w:t xml:space="preserve"> request for resentencing </w:t>
      </w:r>
      <w:r>
        <w:t>should</w:t>
      </w:r>
      <w:r>
        <w:t xml:space="preserve"> </w:t>
      </w:r>
      <w:r>
        <w:t>his</w:t>
      </w:r>
      <w:r>
        <w:t xml:space="preserve"> case ultimately </w:t>
      </w:r>
      <w:r>
        <w:t xml:space="preserve">be </w:t>
      </w:r>
      <w:r>
        <w:t xml:space="preserve">transferred to </w:t>
      </w:r>
      <w:r>
        <w:t xml:space="preserve">adult </w:t>
      </w:r>
      <w:r>
        <w:t xml:space="preserve">criminal court, contending that </w:t>
      </w:r>
      <w:r>
        <w:t xml:space="preserve">the original </w:t>
      </w:r>
      <w:r>
        <w:t xml:space="preserve">judgment and </w:t>
      </w:r>
      <w:r>
        <w:t xml:space="preserve">sentence </w:t>
      </w:r>
      <w:r>
        <w:t>are</w:t>
      </w:r>
      <w:r>
        <w:t xml:space="preserve"> now final.</w:t>
      </w:r>
    </w:p>
    <w:p w14:paraId="7FB50AF4" w14:textId="77777777" w:rsidR="00502ADD" w:rsidRDefault="00502ADD" w:rsidP="00617196">
      <w:pPr>
        <w:ind w:firstLine="720"/>
      </w:pPr>
      <w:r>
        <w:t>We conclude that b</w:t>
      </w:r>
      <w:r>
        <w:t xml:space="preserve">ecause </w:t>
      </w:r>
      <w:r>
        <w:t>J.M.’s</w:t>
      </w:r>
      <w:r>
        <w:t xml:space="preserve"> case is </w:t>
      </w:r>
      <w:r>
        <w:t xml:space="preserve">on direct appeal and not </w:t>
      </w:r>
      <w:r>
        <w:t xml:space="preserve">final, J.M. is entitled to the retroactive benefit of </w:t>
      </w:r>
      <w:r w:rsidRPr="00B6014F">
        <w:rPr>
          <w:i/>
          <w:iCs/>
        </w:rPr>
        <w:t>all</w:t>
      </w:r>
      <w:r>
        <w:t xml:space="preserve"> the ameliorative changes </w:t>
      </w:r>
      <w:r>
        <w:t xml:space="preserve">made to </w:t>
      </w:r>
      <w:r>
        <w:t xml:space="preserve">the </w:t>
      </w:r>
      <w:r>
        <w:t xml:space="preserve">state’s </w:t>
      </w:r>
      <w:r>
        <w:t>criminal law</w:t>
      </w:r>
      <w:r>
        <w:t>s</w:t>
      </w:r>
      <w:r>
        <w:t xml:space="preserve">.  Accordingly, we </w:t>
      </w:r>
      <w:r>
        <w:t xml:space="preserve">shall </w:t>
      </w:r>
      <w:r>
        <w:t xml:space="preserve">conditionally </w:t>
      </w:r>
      <w:r w:rsidRPr="00D25589">
        <w:t xml:space="preserve">reverse the transfer order and remand </w:t>
      </w:r>
      <w:r>
        <w:t xml:space="preserve">with directions </w:t>
      </w:r>
      <w:r w:rsidRPr="000A7872">
        <w:t xml:space="preserve">to refer the case to the juvenile court for a </w:t>
      </w:r>
      <w:r>
        <w:t>transfer/amenability hearing</w:t>
      </w:r>
      <w:r w:rsidRPr="00D25589">
        <w:t xml:space="preserve"> </w:t>
      </w:r>
      <w:r>
        <w:t>consistent with current law.  If</w:t>
      </w:r>
      <w:r w:rsidRPr="00507965">
        <w:t xml:space="preserve">, after conducting the hearing, the juvenile court determines that </w:t>
      </w:r>
      <w:r>
        <w:t>J.M.’s</w:t>
      </w:r>
      <w:r w:rsidRPr="00507965">
        <w:t xml:space="preserve"> case should be transferred to a court of criminal jurisdiction,</w:t>
      </w:r>
      <w:r>
        <w:t xml:space="preserve"> then the criminal court is direct</w:t>
      </w:r>
      <w:r>
        <w:t xml:space="preserve">ed to conduct a </w:t>
      </w:r>
      <w:r w:rsidRPr="00962935">
        <w:t xml:space="preserve">new sentencing hearing to consider the </w:t>
      </w:r>
      <w:r w:rsidRPr="00962935">
        <w:t xml:space="preserve">potentially </w:t>
      </w:r>
      <w:r w:rsidRPr="00962935">
        <w:t>ameliorative changes in the sentencing laws</w:t>
      </w:r>
      <w:r w:rsidRPr="00962935">
        <w:t xml:space="preserve"> effected by </w:t>
      </w:r>
      <w:bookmarkStart w:id="7" w:name="dabmci_bdefe366a8b7423ca549a7df46d46435"/>
      <w:r w:rsidRPr="00962935">
        <w:t>Senate Bill No. 567</w:t>
      </w:r>
      <w:bookmarkEnd w:id="7"/>
      <w:r w:rsidRPr="00962935">
        <w:t xml:space="preserve"> (2021-2022 Reg. Sess.)</w:t>
      </w:r>
      <w:r>
        <w:t xml:space="preserve"> (</w:t>
      </w:r>
      <w:bookmarkStart w:id="8" w:name="dabmci_678e5d8e28f24034a1df00be53696371"/>
      <w:r>
        <w:t>Senate Bill No. 567</w:t>
      </w:r>
      <w:bookmarkEnd w:id="8"/>
      <w:r>
        <w:t>)</w:t>
      </w:r>
      <w:r w:rsidRPr="00962935">
        <w:t xml:space="preserve"> and </w:t>
      </w:r>
      <w:bookmarkStart w:id="9" w:name="dabmci_4cbe309362144ee7a35799619b7889ac"/>
      <w:r w:rsidRPr="00962935">
        <w:t>Assembly Bill No. 518</w:t>
      </w:r>
      <w:bookmarkEnd w:id="9"/>
      <w:r w:rsidRPr="00962935">
        <w:t xml:space="preserve"> (2021-2022 Reg. Sess.)</w:t>
      </w:r>
      <w:r>
        <w:t xml:space="preserve"> (</w:t>
      </w:r>
      <w:bookmarkStart w:id="10" w:name="dabmci_00e5de323b1644f6ad446fc24690de88"/>
      <w:r>
        <w:t>Assembly Bill No. 518</w:t>
      </w:r>
      <w:bookmarkEnd w:id="10"/>
      <w:r>
        <w:t>)</w:t>
      </w:r>
      <w:r w:rsidRPr="00962935">
        <w:t>.</w:t>
      </w:r>
    </w:p>
    <w:p w14:paraId="5F7240B4" w14:textId="77777777" w:rsidR="00502ADD" w:rsidRDefault="00502ADD" w:rsidP="008F5EC4">
      <w:pPr>
        <w:keepNext/>
        <w:jc w:val="center"/>
      </w:pPr>
      <w:r>
        <w:lastRenderedPageBreak/>
        <w:t>FACTUAL AND PROCEDURAL BACKGROUND</w:t>
      </w:r>
    </w:p>
    <w:p w14:paraId="3D292237" w14:textId="77777777" w:rsidR="00502ADD" w:rsidRDefault="00502ADD" w:rsidP="008F5EC4">
      <w:pPr>
        <w:ind w:firstLine="720"/>
      </w:pPr>
      <w:r>
        <w:t xml:space="preserve">In 2015, </w:t>
      </w:r>
      <w:r>
        <w:t xml:space="preserve">when </w:t>
      </w:r>
      <w:r>
        <w:t>J.M.</w:t>
      </w:r>
      <w:r>
        <w:t xml:space="preserve"> was 17 years old, he </w:t>
      </w:r>
      <w:r>
        <w:t xml:space="preserve">broke into </w:t>
      </w:r>
      <w:r>
        <w:t>the</w:t>
      </w:r>
      <w:r>
        <w:t xml:space="preserve"> home of a 72-year-old woman, assaulted her</w:t>
      </w:r>
      <w:r>
        <w:t xml:space="preserve"> with the intent to commit rape, and stole about $900 in cash.</w:t>
      </w:r>
      <w:r>
        <w:rPr>
          <w:rStyle w:val="FootnoteReference"/>
        </w:rPr>
        <w:footnoteReference w:id="2"/>
      </w:r>
      <w:r>
        <w:t xml:space="preserve">  </w:t>
      </w:r>
      <w:r>
        <w:t xml:space="preserve">Although </w:t>
      </w:r>
      <w:r>
        <w:t>J.M.</w:t>
      </w:r>
      <w:r>
        <w:t xml:space="preserve"> was a minor at the time </w:t>
      </w:r>
      <w:r>
        <w:t>of</w:t>
      </w:r>
      <w:r>
        <w:t xml:space="preserve"> his crimes, the People elected to </w:t>
      </w:r>
      <w:r>
        <w:t xml:space="preserve">file charges against </w:t>
      </w:r>
      <w:r>
        <w:t>J.M.</w:t>
      </w:r>
      <w:r>
        <w:t xml:space="preserve"> directly in adult criminal court, </w:t>
      </w:r>
      <w:r>
        <w:t xml:space="preserve">as permitted </w:t>
      </w:r>
      <w:r>
        <w:t xml:space="preserve">under former </w:t>
      </w:r>
      <w:bookmarkStart w:id="11" w:name="dabmci_576003f05e39469d9eebb5ecac341906"/>
      <w:r>
        <w:t xml:space="preserve">section </w:t>
      </w:r>
      <w:r w:rsidRPr="00C948A8">
        <w:t>707</w:t>
      </w:r>
      <w:bookmarkEnd w:id="11"/>
      <w:r w:rsidRPr="00C948A8">
        <w:t>.</w:t>
      </w:r>
    </w:p>
    <w:p w14:paraId="6E12763D" w14:textId="77777777" w:rsidR="00502ADD" w:rsidRDefault="00502ADD" w:rsidP="000C00A1">
      <w:pPr>
        <w:ind w:firstLine="720"/>
      </w:pPr>
      <w:r>
        <w:t>After</w:t>
      </w:r>
      <w:r>
        <w:t xml:space="preserve"> a jury trial, </w:t>
      </w:r>
      <w:r>
        <w:t>J.M.</w:t>
      </w:r>
      <w:r>
        <w:t xml:space="preserve"> was </w:t>
      </w:r>
      <w:r>
        <w:t>found guilty</w:t>
      </w:r>
      <w:r>
        <w:t xml:space="preserve"> </w:t>
      </w:r>
      <w:r>
        <w:t>of assault with the intent to commit rape during the commission of a burglary (</w:t>
      </w:r>
      <w:bookmarkStart w:id="12" w:name="dabmci_d8b55f81b8e645029dcb6eadd6b6eaaf"/>
      <w:r>
        <w:t>Pen. Code, § 220, subd. (b)</w:t>
      </w:r>
      <w:bookmarkEnd w:id="12"/>
      <w:r>
        <w:t>), attempted rape (</w:t>
      </w:r>
      <w:r>
        <w:t xml:space="preserve">Pen. Code, </w:t>
      </w:r>
      <w:r>
        <w:t>§§ 664/261, subd. (a)(2)</w:t>
      </w:r>
      <w:r>
        <w:t xml:space="preserve">), and </w:t>
      </w:r>
      <w:proofErr w:type="gramStart"/>
      <w:r>
        <w:t>first degree</w:t>
      </w:r>
      <w:proofErr w:type="gramEnd"/>
      <w:r>
        <w:t xml:space="preserve"> robbery (</w:t>
      </w:r>
      <w:bookmarkStart w:id="13" w:name="dabmci_c668e489e3ee4dd883085e4c67ca1200"/>
      <w:r>
        <w:t xml:space="preserve">Pen. Code, </w:t>
      </w:r>
      <w:r>
        <w:t>§ 211</w:t>
      </w:r>
      <w:bookmarkEnd w:id="13"/>
      <w:r>
        <w:t>)</w:t>
      </w:r>
      <w:r>
        <w:t>.</w:t>
      </w:r>
      <w:r w:rsidRPr="00873082">
        <w:t xml:space="preserve"> </w:t>
      </w:r>
      <w:r>
        <w:t xml:space="preserve"> The jury also found true an </w:t>
      </w:r>
      <w:r w:rsidRPr="00873082">
        <w:t xml:space="preserve">elder </w:t>
      </w:r>
      <w:r>
        <w:t>abuse</w:t>
      </w:r>
      <w:r>
        <w:t xml:space="preserve"> </w:t>
      </w:r>
      <w:r w:rsidRPr="00873082">
        <w:t>enhancement</w:t>
      </w:r>
      <w:r>
        <w:t xml:space="preserve"> </w:t>
      </w:r>
      <w:r>
        <w:t xml:space="preserve">allegation </w:t>
      </w:r>
      <w:r w:rsidRPr="00873082">
        <w:t xml:space="preserve">under </w:t>
      </w:r>
      <w:bookmarkStart w:id="14" w:name="dabmci_65b57b4efec4459ca0bf13a3693f19cc"/>
      <w:r>
        <w:t xml:space="preserve">Penal Code </w:t>
      </w:r>
      <w:r w:rsidRPr="00873082">
        <w:t>section 667.9, subdivision (</w:t>
      </w:r>
      <w:r>
        <w:t>a</w:t>
      </w:r>
      <w:r w:rsidRPr="00873082">
        <w:t>)</w:t>
      </w:r>
      <w:bookmarkEnd w:id="14"/>
      <w:r>
        <w:t xml:space="preserve">. </w:t>
      </w:r>
      <w:r>
        <w:t xml:space="preserve"> </w:t>
      </w:r>
      <w:r>
        <w:t>T</w:t>
      </w:r>
      <w:r>
        <w:t xml:space="preserve">he trial court sentenced defendant to an aggregate term of </w:t>
      </w:r>
      <w:r>
        <w:t>14 years to life, consisting of an indeterminate</w:t>
      </w:r>
      <w:r>
        <w:t xml:space="preserve"> </w:t>
      </w:r>
      <w:r>
        <w:t>term</w:t>
      </w:r>
      <w:r>
        <w:t xml:space="preserve"> </w:t>
      </w:r>
      <w:r>
        <w:t xml:space="preserve">of seven years to life for the assault </w:t>
      </w:r>
      <w:r>
        <w:t>with intent to commit rape, plus</w:t>
      </w:r>
      <w:r>
        <w:t xml:space="preserve"> a consecutive term of seven years for the robbery (upper term of six years) and elderly victim enhancement (one year). </w:t>
      </w:r>
      <w:r>
        <w:t xml:space="preserve"> The court imposed, but stayed, </w:t>
      </w:r>
      <w:r>
        <w:t>an upper term of four years for the attempted rape offense.</w:t>
      </w:r>
    </w:p>
    <w:p w14:paraId="554EEF54" w14:textId="77777777" w:rsidR="00502ADD" w:rsidRDefault="00502ADD" w:rsidP="00C948A8">
      <w:pPr>
        <w:ind w:firstLine="720"/>
      </w:pPr>
      <w:r>
        <w:t>In November 2016, s</w:t>
      </w:r>
      <w:r>
        <w:t xml:space="preserve">hortly after J.M.’s conviction, </w:t>
      </w:r>
      <w:r w:rsidRPr="000C00A1">
        <w:t>the electorate passed</w:t>
      </w:r>
      <w:r>
        <w:t xml:space="preserve"> </w:t>
      </w:r>
      <w:r w:rsidRPr="00C848A7">
        <w:t>the Public Safety and Rehabilitation Act of 2016 (Proposition 57)</w:t>
      </w:r>
      <w:r>
        <w:t xml:space="preserve">, which </w:t>
      </w:r>
      <w:r w:rsidRPr="0011466F">
        <w:t>eliminated direct charging of juveniles in adult criminal court.</w:t>
      </w:r>
      <w:r>
        <w:t xml:space="preserve">  </w:t>
      </w:r>
      <w:r w:rsidRPr="00C848A7">
        <w:t>(</w:t>
      </w:r>
      <w:bookmarkStart w:id="15" w:name="dabmci_63260476376a4bbd9cc84311cfeb114c"/>
      <w:r w:rsidRPr="00C848A7">
        <w:rPr>
          <w:i/>
          <w:iCs/>
        </w:rPr>
        <w:t>People v. Superior Court (Lara)</w:t>
      </w:r>
      <w:r>
        <w:t xml:space="preserve"> </w:t>
      </w:r>
      <w:r w:rsidRPr="00C848A7">
        <w:t xml:space="preserve">(2018) 4 Cal.5th </w:t>
      </w:r>
      <w:r w:rsidRPr="00C848A7">
        <w:t>299, 304</w:t>
      </w:r>
      <w:r>
        <w:t>-305</w:t>
      </w:r>
      <w:r>
        <w:t xml:space="preserve"> (</w:t>
      </w:r>
      <w:r w:rsidRPr="005B7602">
        <w:rPr>
          <w:i/>
          <w:iCs/>
        </w:rPr>
        <w:t>Lara</w:t>
      </w:r>
      <w:r>
        <w:t>)</w:t>
      </w:r>
      <w:bookmarkEnd w:id="15"/>
      <w:r>
        <w:t xml:space="preserve">.)  </w:t>
      </w:r>
      <w:r>
        <w:t>U</w:t>
      </w:r>
      <w:r>
        <w:t xml:space="preserve">nder Proposition 57, </w:t>
      </w:r>
      <w:r>
        <w:t>minors</w:t>
      </w:r>
      <w:r>
        <w:t xml:space="preserve"> still </w:t>
      </w:r>
      <w:r>
        <w:t>could</w:t>
      </w:r>
      <w:r>
        <w:t xml:space="preserve"> be tried in criminal court, but only after a juvenile </w:t>
      </w:r>
      <w:r w:rsidRPr="00C948A8">
        <w:t xml:space="preserve">court judge conducts a “transfer hearing” </w:t>
      </w:r>
      <w:r w:rsidRPr="00C948A8">
        <w:t xml:space="preserve">to consider </w:t>
      </w:r>
      <w:r w:rsidRPr="00C948A8">
        <w:t>various</w:t>
      </w:r>
      <w:r w:rsidRPr="00C948A8">
        <w:t xml:space="preserve"> </w:t>
      </w:r>
      <w:r w:rsidRPr="00C948A8">
        <w:t>factors</w:t>
      </w:r>
      <w:r w:rsidRPr="00C948A8">
        <w:t xml:space="preserve"> such as the minor’s degree of criminal sophistication and previous delinquent</w:t>
      </w:r>
      <w:r w:rsidRPr="00C25B3C">
        <w:t xml:space="preserve"> history</w:t>
      </w:r>
      <w:r w:rsidRPr="00C25B3C">
        <w:t xml:space="preserve">. </w:t>
      </w:r>
      <w:r>
        <w:t xml:space="preserve"> (</w:t>
      </w:r>
      <w:bookmarkStart w:id="16" w:name="dabmci_4e479b14759a46adb144c270d7a46baa"/>
      <w:r w:rsidRPr="00C848A7">
        <w:rPr>
          <w:i/>
          <w:iCs/>
        </w:rPr>
        <w:t>Lara</w:t>
      </w:r>
      <w:r w:rsidRPr="00321A7B">
        <w:rPr>
          <w:i/>
          <w:iCs/>
        </w:rPr>
        <w:t xml:space="preserve">, </w:t>
      </w:r>
      <w:r w:rsidRPr="005B7602">
        <w:rPr>
          <w:i/>
          <w:iCs/>
        </w:rPr>
        <w:t>supra</w:t>
      </w:r>
      <w:r>
        <w:t xml:space="preserve">, </w:t>
      </w:r>
      <w:r w:rsidRPr="00C848A7">
        <w:t>4 Cal.5th</w:t>
      </w:r>
      <w:r w:rsidRPr="00B64F29">
        <w:rPr>
          <w:i/>
          <w:iCs/>
        </w:rPr>
        <w:t xml:space="preserve"> </w:t>
      </w:r>
      <w:r>
        <w:t>at p. 305</w:t>
      </w:r>
      <w:bookmarkEnd w:id="16"/>
      <w:r>
        <w:t xml:space="preserve">; former </w:t>
      </w:r>
      <w:bookmarkStart w:id="17" w:name="dabmci_a701373b944241c5bd1c269d78fac62e"/>
      <w:r>
        <w:t xml:space="preserve">§ </w:t>
      </w:r>
      <w:r>
        <w:t>707, subd. (a)(2)</w:t>
      </w:r>
      <w:bookmarkEnd w:id="17"/>
      <w:r>
        <w:t>, as amended by Prop. 57, Gen. Elec. (Nov. 8, 2016) § 4.2, eff. Nov. 9, 2016.)</w:t>
      </w:r>
    </w:p>
    <w:p w14:paraId="50405C61" w14:textId="77777777" w:rsidR="00502ADD" w:rsidRDefault="00502ADD" w:rsidP="005A299E">
      <w:pPr>
        <w:ind w:firstLine="720"/>
      </w:pPr>
      <w:r>
        <w:t>On</w:t>
      </w:r>
      <w:r>
        <w:t xml:space="preserve"> appeal </w:t>
      </w:r>
      <w:proofErr w:type="gramStart"/>
      <w:r>
        <w:t>from</w:t>
      </w:r>
      <w:proofErr w:type="gramEnd"/>
      <w:r>
        <w:t xml:space="preserve"> </w:t>
      </w:r>
      <w:r>
        <w:t>his</w:t>
      </w:r>
      <w:r>
        <w:t xml:space="preserve"> </w:t>
      </w:r>
      <w:r>
        <w:t>conviction</w:t>
      </w:r>
      <w:r>
        <w:t xml:space="preserve">, J.M. argued that the provisions of </w:t>
      </w:r>
      <w:r w:rsidRPr="002001B3">
        <w:t xml:space="preserve">Proposition 57 </w:t>
      </w:r>
      <w:r>
        <w:t>applied retroactively</w:t>
      </w:r>
      <w:r>
        <w:t xml:space="preserve"> to his case</w:t>
      </w:r>
      <w:r>
        <w:t xml:space="preserve"> under </w:t>
      </w:r>
      <w:bookmarkStart w:id="18" w:name="dabmci_9af4192bc0324b02bba48fe87a803843"/>
      <w:proofErr w:type="gramStart"/>
      <w:r w:rsidRPr="00E6183A">
        <w:rPr>
          <w:i/>
          <w:iCs/>
        </w:rPr>
        <w:t>In</w:t>
      </w:r>
      <w:proofErr w:type="gramEnd"/>
      <w:r w:rsidRPr="00E6183A">
        <w:rPr>
          <w:i/>
          <w:iCs/>
        </w:rPr>
        <w:t xml:space="preserve"> re Estrada</w:t>
      </w:r>
      <w:r>
        <w:t xml:space="preserve"> </w:t>
      </w:r>
      <w:r w:rsidRPr="00E6183A">
        <w:t>(1965) 63 Cal.2d 740</w:t>
      </w:r>
      <w:r>
        <w:t xml:space="preserve"> (</w:t>
      </w:r>
      <w:r w:rsidRPr="009C07C0">
        <w:rPr>
          <w:i/>
          <w:iCs/>
        </w:rPr>
        <w:t>Estrada</w:t>
      </w:r>
      <w:r>
        <w:t>)</w:t>
      </w:r>
      <w:bookmarkEnd w:id="18"/>
      <w:r>
        <w:t xml:space="preserve">.  </w:t>
      </w:r>
      <w:r>
        <w:lastRenderedPageBreak/>
        <w:t>(</w:t>
      </w:r>
      <w:r w:rsidRPr="00321A7B">
        <w:rPr>
          <w:i/>
          <w:iCs/>
        </w:rPr>
        <w:t>McKeever, supra</w:t>
      </w:r>
      <w:r>
        <w:t>, C083997.)</w:t>
      </w:r>
      <w:r>
        <w:t xml:space="preserve">  </w:t>
      </w:r>
      <w:r>
        <w:t xml:space="preserve">He argued that we should conditionally reverse the judgment and remand the matter to the </w:t>
      </w:r>
      <w:r>
        <w:t xml:space="preserve">criminal </w:t>
      </w:r>
      <w:r>
        <w:t xml:space="preserve">court for </w:t>
      </w:r>
      <w:r>
        <w:t>a</w:t>
      </w:r>
      <w:r>
        <w:t xml:space="preserve"> transfer hearing.</w:t>
      </w:r>
      <w:r>
        <w:t xml:space="preserve">  (</w:t>
      </w:r>
      <w:bookmarkStart w:id="19" w:name="dabmci_00f68cee84a34a3ca6d8f59239d1476b"/>
      <w:r w:rsidRPr="00321A7B">
        <w:rPr>
          <w:i/>
          <w:iCs/>
        </w:rPr>
        <w:t>Ibid</w:t>
      </w:r>
      <w:r>
        <w:t>.</w:t>
      </w:r>
      <w:bookmarkEnd w:id="19"/>
      <w:r>
        <w:t>)</w:t>
      </w:r>
    </w:p>
    <w:p w14:paraId="5024E089" w14:textId="77777777" w:rsidR="00502ADD" w:rsidRDefault="00502ADD" w:rsidP="001A2390">
      <w:pPr>
        <w:ind w:firstLine="720"/>
      </w:pPr>
      <w:r>
        <w:t xml:space="preserve">While </w:t>
      </w:r>
      <w:r>
        <w:t xml:space="preserve">J.M.’s appeal was pending, our Supreme Court held that Proposition </w:t>
      </w:r>
      <w:r>
        <w:t>57</w:t>
      </w:r>
      <w:r>
        <w:t xml:space="preserve"> </w:t>
      </w:r>
      <w:r>
        <w:t xml:space="preserve">is an ameliorative change </w:t>
      </w:r>
      <w:r>
        <w:t xml:space="preserve">in the law that applies retroactively to all defendants </w:t>
      </w:r>
      <w:r w:rsidRPr="006D11DA">
        <w:t xml:space="preserve">whose judgments </w:t>
      </w:r>
      <w:r>
        <w:t>a</w:t>
      </w:r>
      <w:r w:rsidRPr="006D11DA">
        <w:t>re not yet final</w:t>
      </w:r>
      <w:r>
        <w:t>.  (</w:t>
      </w:r>
      <w:bookmarkStart w:id="20" w:name="dabmci_2036c3ae62f7461d8427a3be8d165aa5"/>
      <w:r w:rsidRPr="006D11DA">
        <w:rPr>
          <w:i/>
          <w:iCs/>
        </w:rPr>
        <w:t>Lara</w:t>
      </w:r>
      <w:r w:rsidRPr="00321A7B">
        <w:rPr>
          <w:i/>
          <w:iCs/>
        </w:rPr>
        <w:t>,</w:t>
      </w:r>
      <w:r>
        <w:t xml:space="preserve"> </w:t>
      </w:r>
      <w:r w:rsidRPr="006D11DA">
        <w:rPr>
          <w:i/>
          <w:iCs/>
        </w:rPr>
        <w:t>supra</w:t>
      </w:r>
      <w:r>
        <w:t>, 4 Cal.5th at pp. 303-304</w:t>
      </w:r>
      <w:bookmarkEnd w:id="20"/>
      <w:r>
        <w:t xml:space="preserve">.)  The court reasoned that </w:t>
      </w:r>
      <w:r>
        <w:t xml:space="preserve">while new legislation is generally presumed to apply prospectively, </w:t>
      </w:r>
      <w:r>
        <w:t>there is an established exceptio</w:t>
      </w:r>
      <w:r>
        <w:t xml:space="preserve">n under </w:t>
      </w:r>
      <w:bookmarkStart w:id="21" w:name="dabmci_249209b088d540c79667dfd4bb982807"/>
      <w:r w:rsidRPr="00E6183A">
        <w:rPr>
          <w:i/>
          <w:iCs/>
        </w:rPr>
        <w:t>Estrada</w:t>
      </w:r>
      <w:r w:rsidRPr="00970C86">
        <w:t>,</w:t>
      </w:r>
      <w:r>
        <w:t xml:space="preserve"> </w:t>
      </w:r>
      <w:r w:rsidRPr="001A2390">
        <w:rPr>
          <w:i/>
          <w:iCs/>
        </w:rPr>
        <w:t>supra</w:t>
      </w:r>
      <w:r>
        <w:t xml:space="preserve">, </w:t>
      </w:r>
      <w:r w:rsidRPr="00E6183A">
        <w:t>63 Cal.2d 74</w:t>
      </w:r>
      <w:r>
        <w:t>0</w:t>
      </w:r>
      <w:bookmarkEnd w:id="21"/>
      <w:r>
        <w:t xml:space="preserve">, </w:t>
      </w:r>
      <w:r>
        <w:t>w</w:t>
      </w:r>
      <w:r>
        <w:t xml:space="preserve">hen the Legislature amends a statute to </w:t>
      </w:r>
      <w:r>
        <w:t>lessen</w:t>
      </w:r>
      <w:r>
        <w:t xml:space="preserve"> the punishment for a criminal offense.  (</w:t>
      </w:r>
      <w:bookmarkStart w:id="22" w:name="dabmci_fe681529a9a246a5b4e302ec12654a84"/>
      <w:r w:rsidRPr="00273A9E">
        <w:rPr>
          <w:i/>
          <w:iCs/>
        </w:rPr>
        <w:t>Lara</w:t>
      </w:r>
      <w:r w:rsidRPr="00321A7B">
        <w:rPr>
          <w:i/>
        </w:rPr>
        <w:t>,</w:t>
      </w:r>
      <w:r>
        <w:t xml:space="preserve"> </w:t>
      </w:r>
      <w:r w:rsidRPr="00273A9E">
        <w:rPr>
          <w:i/>
          <w:iCs/>
        </w:rPr>
        <w:t>supra</w:t>
      </w:r>
      <w:r>
        <w:t>, at p. 307</w:t>
      </w:r>
      <w:bookmarkEnd w:id="22"/>
      <w:r>
        <w:t>.</w:t>
      </w:r>
      <w:r>
        <w:t xml:space="preserve">)  </w:t>
      </w:r>
      <w:r>
        <w:t xml:space="preserve">The court noted that </w:t>
      </w:r>
      <w:proofErr w:type="gramStart"/>
      <w:r>
        <w:t>“ ‘</w:t>
      </w:r>
      <w:proofErr w:type="gramEnd"/>
      <w:r>
        <w:t>[t]</w:t>
      </w:r>
      <w:r w:rsidRPr="001A2390">
        <w:t>he </w:t>
      </w:r>
      <w:r w:rsidRPr="001A2390">
        <w:rPr>
          <w:i/>
          <w:iCs/>
        </w:rPr>
        <w:t>Estrada</w:t>
      </w:r>
      <w:r w:rsidRPr="001A2390">
        <w:t> rule rests on an inference that, in the absence of contrary indications, a legislative body ordinarily intends for ameliorative changes to the criminal law to extend as broadly as possible, distinguishing only as necessary between sentences that are final and sentences that are not.</w:t>
      </w:r>
      <w:r>
        <w:t>’  [Citations.]</w:t>
      </w:r>
      <w:r w:rsidRPr="001A2390">
        <w:t>”</w:t>
      </w:r>
      <w:r>
        <w:t xml:space="preserve">  (</w:t>
      </w:r>
      <w:bookmarkStart w:id="23" w:name="dabmci_024c244870a6498b848a6599adfababc"/>
      <w:r w:rsidRPr="001A2390">
        <w:rPr>
          <w:i/>
          <w:iCs/>
        </w:rPr>
        <w:t>Id</w:t>
      </w:r>
      <w:r>
        <w:t>. at p. 308, f</w:t>
      </w:r>
      <w:r>
        <w:t>n.</w:t>
      </w:r>
      <w:r>
        <w:t xml:space="preserve"> </w:t>
      </w:r>
      <w:bookmarkEnd w:id="23"/>
      <w:r>
        <w:t>omitted.)</w:t>
      </w:r>
    </w:p>
    <w:p w14:paraId="31C6C5CE" w14:textId="77777777" w:rsidR="00502ADD" w:rsidRDefault="00502ADD" w:rsidP="001A2390">
      <w:pPr>
        <w:ind w:firstLine="720"/>
      </w:pPr>
      <w:r>
        <w:t>Although</w:t>
      </w:r>
      <w:r>
        <w:t xml:space="preserve"> Proposition 57 did not reduce the punishment for a crime</w:t>
      </w:r>
      <w:r>
        <w:t xml:space="preserve">, the court held that </w:t>
      </w:r>
      <w:r w:rsidRPr="00F30C78">
        <w:rPr>
          <w:i/>
          <w:iCs/>
        </w:rPr>
        <w:t>Estrada</w:t>
      </w:r>
      <w:r>
        <w:t>’</w:t>
      </w:r>
      <w:r w:rsidRPr="00F30C78">
        <w:t>s inference of retroactivity</w:t>
      </w:r>
      <w:r>
        <w:t xml:space="preserve"> </w:t>
      </w:r>
      <w:r>
        <w:t>still applied</w:t>
      </w:r>
      <w:r w:rsidRPr="00F30C78">
        <w:t xml:space="preserve"> </w:t>
      </w:r>
      <w:r>
        <w:t xml:space="preserve">because </w:t>
      </w:r>
      <w:r>
        <w:t>it</w:t>
      </w:r>
      <w:r>
        <w:t xml:space="preserve"> </w:t>
      </w:r>
      <w:r w:rsidRPr="001A2390">
        <w:t xml:space="preserve">ameliorated the </w:t>
      </w:r>
      <w:r w:rsidRPr="001A2390">
        <w:rPr>
          <w:i/>
          <w:iCs/>
        </w:rPr>
        <w:t>possible</w:t>
      </w:r>
      <w:r w:rsidRPr="001A2390">
        <w:t xml:space="preserve"> punishment for </w:t>
      </w:r>
      <w:r>
        <w:t xml:space="preserve">a class of persons, namely juveniles, </w:t>
      </w:r>
      <w:r w:rsidRPr="001A2390">
        <w:t xml:space="preserve">by providing an opportunity </w:t>
      </w:r>
      <w:r>
        <w:t xml:space="preserve">for them </w:t>
      </w:r>
      <w:r w:rsidRPr="001A2390">
        <w:t>to remain in the juvenile system</w:t>
      </w:r>
      <w:r>
        <w:t xml:space="preserve">.  </w:t>
      </w:r>
      <w:r>
        <w:t>(</w:t>
      </w:r>
      <w:bookmarkStart w:id="24" w:name="dabmci_c5e662a4544741dab62ecd65dec64ae0"/>
      <w:r w:rsidRPr="006D11DA">
        <w:rPr>
          <w:i/>
          <w:iCs/>
        </w:rPr>
        <w:t>Lara</w:t>
      </w:r>
      <w:r w:rsidRPr="00321A7B">
        <w:rPr>
          <w:i/>
          <w:iCs/>
        </w:rPr>
        <w:t>,</w:t>
      </w:r>
      <w:r>
        <w:t xml:space="preserve"> </w:t>
      </w:r>
      <w:r w:rsidRPr="006D11DA">
        <w:rPr>
          <w:i/>
          <w:iCs/>
        </w:rPr>
        <w:t>supra</w:t>
      </w:r>
      <w:r>
        <w:t xml:space="preserve">, 4 Cal.5th at </w:t>
      </w:r>
      <w:r>
        <w:t>pp. 303, 308</w:t>
      </w:r>
      <w:bookmarkEnd w:id="24"/>
      <w:r>
        <w:t>.)</w:t>
      </w:r>
      <w:r>
        <w:t xml:space="preserve">  </w:t>
      </w:r>
      <w:r>
        <w:t xml:space="preserve">And since </w:t>
      </w:r>
      <w:r>
        <w:t xml:space="preserve">nothing in Proposition 57’s text or ballot materials rebutted this inference, the court concluded that </w:t>
      </w:r>
      <w:r>
        <w:t xml:space="preserve">the law applies retroactively to all </w:t>
      </w:r>
      <w:r>
        <w:t xml:space="preserve">nonfinal </w:t>
      </w:r>
      <w:r>
        <w:t>cases</w:t>
      </w:r>
      <w:r w:rsidRPr="00BE13C6">
        <w:t>.</w:t>
      </w:r>
      <w:r>
        <w:t xml:space="preserve"> </w:t>
      </w:r>
      <w:r>
        <w:t xml:space="preserve"> (</w:t>
      </w:r>
      <w:bookmarkStart w:id="25" w:name="dabmci_fa4775852b254154acd633bb77c8dde2"/>
      <w:r w:rsidRPr="006D11DA">
        <w:rPr>
          <w:i/>
          <w:iCs/>
        </w:rPr>
        <w:t>Lara</w:t>
      </w:r>
      <w:r w:rsidRPr="00321A7B">
        <w:rPr>
          <w:i/>
          <w:iCs/>
        </w:rPr>
        <w:t>,</w:t>
      </w:r>
      <w:r>
        <w:t xml:space="preserve"> </w:t>
      </w:r>
      <w:r w:rsidRPr="006D11DA">
        <w:rPr>
          <w:i/>
          <w:iCs/>
        </w:rPr>
        <w:t>supra</w:t>
      </w:r>
      <w:r>
        <w:t xml:space="preserve">, </w:t>
      </w:r>
      <w:r>
        <w:t>at pp.</w:t>
      </w:r>
      <w:r>
        <w:t> </w:t>
      </w:r>
      <w:r>
        <w:t>303-304</w:t>
      </w:r>
      <w:bookmarkEnd w:id="25"/>
      <w:r>
        <w:t>.)</w:t>
      </w:r>
      <w:r>
        <w:t xml:space="preserve">  The court </w:t>
      </w:r>
      <w:r>
        <w:t>further</w:t>
      </w:r>
      <w:r>
        <w:t xml:space="preserve"> held that </w:t>
      </w:r>
      <w:r>
        <w:t>t</w:t>
      </w:r>
      <w:r w:rsidRPr="00BD0E10">
        <w:t xml:space="preserve">he appropriate remedy for juveniles </w:t>
      </w:r>
      <w:r>
        <w:t xml:space="preserve">entitled to </w:t>
      </w:r>
      <w:r w:rsidRPr="00BD0E10">
        <w:t>a transfer hearing</w:t>
      </w:r>
      <w:r>
        <w:t xml:space="preserve"> </w:t>
      </w:r>
      <w:r w:rsidRPr="00BD0E10">
        <w:t>whose cases are already pending in adult court</w:t>
      </w:r>
      <w:r>
        <w:t xml:space="preserve"> </w:t>
      </w:r>
      <w:r>
        <w:t xml:space="preserve">is a conditional reversal and remand for a </w:t>
      </w:r>
      <w:r>
        <w:t xml:space="preserve">juvenile </w:t>
      </w:r>
      <w:r>
        <w:t>transfer hearing.  (</w:t>
      </w:r>
      <w:bookmarkStart w:id="26" w:name="dabmci_85987a4b0e134173b83730b27c889fce"/>
      <w:r w:rsidRPr="00934288">
        <w:rPr>
          <w:i/>
          <w:iCs/>
        </w:rPr>
        <w:t>Id</w:t>
      </w:r>
      <w:r>
        <w:t>. at pp. 309-310, 313</w:t>
      </w:r>
      <w:bookmarkEnd w:id="26"/>
      <w:r>
        <w:t>.)</w:t>
      </w:r>
    </w:p>
    <w:p w14:paraId="319F481A" w14:textId="77777777" w:rsidR="00502ADD" w:rsidRDefault="00502ADD" w:rsidP="00BD0E10">
      <w:pPr>
        <w:ind w:firstLine="720"/>
      </w:pPr>
      <w:r>
        <w:t>Pursuant to</w:t>
      </w:r>
      <w:r>
        <w:t xml:space="preserve"> </w:t>
      </w:r>
      <w:bookmarkStart w:id="27" w:name="dabmci_29b950a48efa4ca29bf6de2759ce9343"/>
      <w:r w:rsidRPr="00E22AD8">
        <w:rPr>
          <w:i/>
          <w:iCs/>
        </w:rPr>
        <w:t>Lara</w:t>
      </w:r>
      <w:r w:rsidRPr="00321A7B">
        <w:rPr>
          <w:i/>
          <w:iCs/>
        </w:rPr>
        <w:t>,</w:t>
      </w:r>
      <w:r>
        <w:t xml:space="preserve"> </w:t>
      </w:r>
      <w:r w:rsidRPr="00E22AD8">
        <w:rPr>
          <w:i/>
          <w:iCs/>
        </w:rPr>
        <w:t>supra</w:t>
      </w:r>
      <w:r>
        <w:t xml:space="preserve">, </w:t>
      </w:r>
      <w:r w:rsidRPr="00C848A7">
        <w:t>4 Cal.5th 299</w:t>
      </w:r>
      <w:bookmarkEnd w:id="27"/>
      <w:r>
        <w:t xml:space="preserve">, we conditionally reversed J.M.’s </w:t>
      </w:r>
      <w:r>
        <w:t>judgment</w:t>
      </w:r>
      <w:r>
        <w:t xml:space="preserve"> and remanded the </w:t>
      </w:r>
      <w:r>
        <w:t>case</w:t>
      </w:r>
      <w:r>
        <w:t xml:space="preserve"> </w:t>
      </w:r>
      <w:r>
        <w:t xml:space="preserve">to the juvenile court </w:t>
      </w:r>
      <w:r>
        <w:t xml:space="preserve">with directions to </w:t>
      </w:r>
      <w:r>
        <w:t xml:space="preserve">conduct a </w:t>
      </w:r>
      <w:r>
        <w:t>transfer hearing</w:t>
      </w:r>
      <w:r>
        <w:t xml:space="preserve"> consistent with our opinion</w:t>
      </w:r>
      <w:r>
        <w:t>.  (</w:t>
      </w:r>
      <w:r w:rsidRPr="00E22AD8">
        <w:rPr>
          <w:i/>
          <w:iCs/>
        </w:rPr>
        <w:t>McKeever</w:t>
      </w:r>
      <w:r>
        <w:rPr>
          <w:i/>
          <w:iCs/>
        </w:rPr>
        <w:t>, supra</w:t>
      </w:r>
      <w:r w:rsidRPr="00321A7B">
        <w:t>,</w:t>
      </w:r>
      <w:r>
        <w:rPr>
          <w:i/>
          <w:iCs/>
        </w:rPr>
        <w:t xml:space="preserve"> </w:t>
      </w:r>
      <w:r w:rsidRPr="00E22AD8">
        <w:t>C083997</w:t>
      </w:r>
      <w:r>
        <w:t>.</w:t>
      </w:r>
      <w:r w:rsidRPr="00E22AD8">
        <w:t xml:space="preserve">) </w:t>
      </w:r>
      <w:r>
        <w:t xml:space="preserve"> </w:t>
      </w:r>
      <w:r>
        <w:t>Our opinion</w:t>
      </w:r>
      <w:r>
        <w:t xml:space="preserve"> </w:t>
      </w:r>
      <w:r>
        <w:t>directed</w:t>
      </w:r>
      <w:proofErr w:type="gramStart"/>
      <w:r>
        <w:t>:  “</w:t>
      </w:r>
      <w:proofErr w:type="gramEnd"/>
      <w:r>
        <w:t>W</w:t>
      </w:r>
      <w:r w:rsidRPr="00914BF9">
        <w:t>hen conducting the transfer hearing, the juvenile court shall, to the extent possible, treat the matter as though the prosecutor had originally filed a juvenile petition in juvenile court and had then moved to transfer defendant</w:t>
      </w:r>
      <w:r>
        <w:t>’</w:t>
      </w:r>
      <w:r w:rsidRPr="00914BF9">
        <w:t xml:space="preserve">s case to a court of criminal jurisdiction. </w:t>
      </w:r>
      <w:r>
        <w:t xml:space="preserve"> </w:t>
      </w:r>
      <w:r>
        <w:lastRenderedPageBreak/>
        <w:t>[Citations.]  If, after conducting the juvenile transfer hearin</w:t>
      </w:r>
      <w:r>
        <w:t>g, the court determines that it would have transferred defendant to a court of criminal jurisdiction .</w:t>
      </w:r>
      <w:r>
        <w:t> </w:t>
      </w:r>
      <w:r>
        <w:t>.</w:t>
      </w:r>
      <w:r>
        <w:t> </w:t>
      </w:r>
      <w:r>
        <w:t>.</w:t>
      </w:r>
      <w:r>
        <w:t> </w:t>
      </w:r>
      <w:r>
        <w:t xml:space="preserve">then defendant’s convictions and sentence are to be reinstated.  [Citation.]  On the other hand, if the juvenile court finds that it would </w:t>
      </w:r>
      <w:r w:rsidRPr="00321A7B">
        <w:rPr>
          <w:i/>
          <w:iCs/>
        </w:rPr>
        <w:t xml:space="preserve">not </w:t>
      </w:r>
      <w:r>
        <w:t>have transferred defendant to a court of criminal jurisdiction, then it shall treat defendant’s convictions as juvenile adjudications and impose an appropriate disposition within its discretion.”  (</w:t>
      </w:r>
      <w:bookmarkStart w:id="28" w:name="dabmci_cfffad5453d44685800ca890c1d8910c"/>
      <w:r w:rsidRPr="00914BF9">
        <w:rPr>
          <w:i/>
          <w:iCs/>
        </w:rPr>
        <w:t>Ibid</w:t>
      </w:r>
      <w:r>
        <w:t>.</w:t>
      </w:r>
      <w:bookmarkEnd w:id="28"/>
      <w:r>
        <w:t>)</w:t>
      </w:r>
    </w:p>
    <w:p w14:paraId="469DE63C" w14:textId="77777777" w:rsidR="00502ADD" w:rsidRDefault="00502ADD" w:rsidP="0009561D">
      <w:pPr>
        <w:ind w:firstLine="720"/>
      </w:pPr>
      <w:r>
        <w:t>On</w:t>
      </w:r>
      <w:r>
        <w:t xml:space="preserve"> remand, </w:t>
      </w:r>
      <w:r>
        <w:t>the superior court (sitting as the juvenile court) held a transfer hearing</w:t>
      </w:r>
      <w:r>
        <w:t xml:space="preserve"> that </w:t>
      </w:r>
      <w:r>
        <w:t xml:space="preserve">spanned </w:t>
      </w:r>
      <w:r>
        <w:t>multiple</w:t>
      </w:r>
      <w:r>
        <w:t xml:space="preserve"> days</w:t>
      </w:r>
      <w:r>
        <w:t xml:space="preserve">, commencing on September 24, 2020.  In December 2020, at the conclusion of the hearing, </w:t>
      </w:r>
      <w:r>
        <w:t xml:space="preserve">the court </w:t>
      </w:r>
      <w:r w:rsidRPr="00543EA1">
        <w:t>ordered the case transferred to criminal court</w:t>
      </w:r>
      <w:r>
        <w:t xml:space="preserve"> </w:t>
      </w:r>
      <w:r>
        <w:t>and reinstated the prior criminal judgment.</w:t>
      </w:r>
    </w:p>
    <w:p w14:paraId="32966F01" w14:textId="77777777" w:rsidR="00502ADD" w:rsidRDefault="00502ADD" w:rsidP="00762572">
      <w:pPr>
        <w:ind w:firstLine="720"/>
      </w:pPr>
      <w:r>
        <w:t>At the time</w:t>
      </w:r>
      <w:r>
        <w:t xml:space="preserve"> the transfer order was entered, there was no statutory right to appeal th</w:t>
      </w:r>
      <w:r>
        <w:t>e</w:t>
      </w:r>
      <w:r>
        <w:t xml:space="preserve"> order; appellate review </w:t>
      </w:r>
      <w:r>
        <w:t xml:space="preserve">was </w:t>
      </w:r>
      <w:r>
        <w:t xml:space="preserve">limited to a </w:t>
      </w:r>
      <w:r>
        <w:t>petition for extraordinary writ.</w:t>
      </w:r>
      <w:r>
        <w:t xml:space="preserve">  </w:t>
      </w:r>
      <w:r>
        <w:t>(</w:t>
      </w:r>
      <w:bookmarkStart w:id="29" w:name="dabmci_89d7473f50a24fc89774b604765cf0f8"/>
      <w:r w:rsidRPr="00C90F80">
        <w:rPr>
          <w:i/>
          <w:iCs/>
        </w:rPr>
        <w:t>People v. Superior Court (S.L.)</w:t>
      </w:r>
      <w:r w:rsidRPr="00C90F80">
        <w:t> (2019) 40 Cal.App.5th 114, 120</w:t>
      </w:r>
      <w:bookmarkEnd w:id="29"/>
      <w:r>
        <w:t>.</w:t>
      </w:r>
      <w:r w:rsidRPr="00C90F80">
        <w:t>)</w:t>
      </w:r>
      <w:r>
        <w:t xml:space="preserve">  </w:t>
      </w:r>
      <w:r>
        <w:t xml:space="preserve">Although </w:t>
      </w:r>
      <w:r>
        <w:t xml:space="preserve">J.M. was advised of this </w:t>
      </w:r>
      <w:r>
        <w:t>fact</w:t>
      </w:r>
      <w:r>
        <w:t xml:space="preserve">, J.M.’s counsel </w:t>
      </w:r>
      <w:r>
        <w:t>nevertheless</w:t>
      </w:r>
      <w:r>
        <w:t xml:space="preserve"> filed a notice of appeal</w:t>
      </w:r>
      <w:r>
        <w:t xml:space="preserve"> instead of a writ petition</w:t>
      </w:r>
      <w:r>
        <w:t xml:space="preserve">.  </w:t>
      </w:r>
      <w:r>
        <w:t>On December 8, 2021, this court dismissed the appeal as taken from an unappealable order.</w:t>
      </w:r>
    </w:p>
    <w:p w14:paraId="502D3FB8" w14:textId="77777777" w:rsidR="00502ADD" w:rsidRDefault="00502ADD" w:rsidP="00BA0646">
      <w:pPr>
        <w:ind w:firstLine="720"/>
      </w:pPr>
      <w:r>
        <w:t xml:space="preserve">After </w:t>
      </w:r>
      <w:r>
        <w:t>the</w:t>
      </w:r>
      <w:r>
        <w:t xml:space="preserve"> appeal was dismissed, J.M. </w:t>
      </w:r>
      <w:r>
        <w:t>filed a petition for writ of habeas corpus</w:t>
      </w:r>
      <w:r>
        <w:t xml:space="preserve"> with the superior court (</w:t>
      </w:r>
      <w:r>
        <w:t>Sup</w:t>
      </w:r>
      <w:r>
        <w:t>er</w:t>
      </w:r>
      <w:r>
        <w:t xml:space="preserve">. Ct. </w:t>
      </w:r>
      <w:r>
        <w:t>Sacramento County, 202</w:t>
      </w:r>
      <w:r>
        <w:t>3</w:t>
      </w:r>
      <w:r>
        <w:t xml:space="preserve">, </w:t>
      </w:r>
      <w:r>
        <w:t>No. 22H</w:t>
      </w:r>
      <w:r>
        <w:t>C</w:t>
      </w:r>
      <w:r>
        <w:t>00217)</w:t>
      </w:r>
      <w:r>
        <w:t xml:space="preserve">, contending that his attorney provided ineffective assistance of counsel by filing a notice of appeal instead of a </w:t>
      </w:r>
      <w:r>
        <w:t xml:space="preserve">writ </w:t>
      </w:r>
      <w:r>
        <w:t xml:space="preserve">petition to contest the transfer order.  </w:t>
      </w:r>
      <w:r>
        <w:t>In June 2023, t</w:t>
      </w:r>
      <w:r>
        <w:t xml:space="preserve">he superior court granted the </w:t>
      </w:r>
      <w:r>
        <w:t xml:space="preserve">habeas </w:t>
      </w:r>
      <w:r>
        <w:t xml:space="preserve">petition.  </w:t>
      </w:r>
      <w:r>
        <w:t>In considering an appropriate remedy, the court noted that due to changes in the law (</w:t>
      </w:r>
      <w:r w:rsidRPr="00773FE5">
        <w:t xml:space="preserve">Stats. 2021, </w:t>
      </w:r>
      <w:proofErr w:type="spellStart"/>
      <w:r w:rsidRPr="00773FE5">
        <w:t>ch.</w:t>
      </w:r>
      <w:proofErr w:type="spellEnd"/>
      <w:r w:rsidRPr="00773FE5">
        <w:t xml:space="preserve"> 195, § 1</w:t>
      </w:r>
      <w:r>
        <w:t xml:space="preserve"> [</w:t>
      </w:r>
      <w:bookmarkStart w:id="30" w:name="dabmci_a5d1e3258eba4478b09e35b447169ced"/>
      <w:r w:rsidRPr="00773FE5">
        <w:t>Assem</w:t>
      </w:r>
      <w:r>
        <w:t xml:space="preserve">bly </w:t>
      </w:r>
      <w:r w:rsidRPr="00773FE5">
        <w:t xml:space="preserve">Bill </w:t>
      </w:r>
      <w:r>
        <w:t xml:space="preserve">No. </w:t>
      </w:r>
      <w:r w:rsidRPr="00773FE5">
        <w:t>624</w:t>
      </w:r>
      <w:bookmarkEnd w:id="30"/>
      <w:r>
        <w:t xml:space="preserve"> (20</w:t>
      </w:r>
      <w:r>
        <w:t>21-2022 Reg. Sess.)</w:t>
      </w:r>
      <w:r>
        <w:t>]) transfer orders entered after January 1, 2022</w:t>
      </w:r>
      <w:r>
        <w:t>,</w:t>
      </w:r>
      <w:r>
        <w:t xml:space="preserve"> are appealable. </w:t>
      </w:r>
      <w:r>
        <w:t xml:space="preserve"> (§ 801, subd. (a).)</w:t>
      </w:r>
      <w:r>
        <w:t xml:space="preserve"> </w:t>
      </w:r>
      <w:r>
        <w:t xml:space="preserve"> </w:t>
      </w:r>
      <w:r>
        <w:t xml:space="preserve">Thus, the court ordered the juvenile court to “vacate and reenter the order previously issued on December 2, 2020” to allow J.M. the opportunity to </w:t>
      </w:r>
      <w:r>
        <w:t xml:space="preserve">file a direct </w:t>
      </w:r>
      <w:r>
        <w:t>appeal.</w:t>
      </w:r>
    </w:p>
    <w:p w14:paraId="72F2652F" w14:textId="77777777" w:rsidR="00502ADD" w:rsidRDefault="00502ADD" w:rsidP="0077037E">
      <w:pPr>
        <w:ind w:firstLine="720"/>
      </w:pPr>
      <w:r>
        <w:lastRenderedPageBreak/>
        <w:t xml:space="preserve">The </w:t>
      </w:r>
      <w:r>
        <w:t xml:space="preserve">trial </w:t>
      </w:r>
      <w:r>
        <w:t>court</w:t>
      </w:r>
      <w:r>
        <w:t xml:space="preserve"> </w:t>
      </w:r>
      <w:r>
        <w:t xml:space="preserve">subsequently vacated </w:t>
      </w:r>
      <w:r>
        <w:t>the</w:t>
      </w:r>
      <w:r>
        <w:t xml:space="preserve"> transfer order and reentered it, effective July 12, 2023.  </w:t>
      </w:r>
      <w:r>
        <w:t>Shortly thereafter, o</w:t>
      </w:r>
      <w:r>
        <w:t xml:space="preserve">n July 18, 2023, J.M. filed </w:t>
      </w:r>
      <w:r>
        <w:t>this</w:t>
      </w:r>
      <w:r>
        <w:t xml:space="preserve"> appeal of the reentered order.</w:t>
      </w:r>
    </w:p>
    <w:p w14:paraId="5820B921" w14:textId="77777777" w:rsidR="00502ADD" w:rsidRDefault="00502ADD" w:rsidP="008F5EC4">
      <w:pPr>
        <w:keepNext/>
        <w:jc w:val="center"/>
      </w:pPr>
      <w:r>
        <w:t>DISCUSSION</w:t>
      </w:r>
    </w:p>
    <w:p w14:paraId="7A6B06F8" w14:textId="77777777" w:rsidR="00502ADD" w:rsidRDefault="00502ADD" w:rsidP="008F5EC4">
      <w:pPr>
        <w:keepNext/>
        <w:jc w:val="center"/>
      </w:pPr>
      <w:r>
        <w:t>I</w:t>
      </w:r>
    </w:p>
    <w:p w14:paraId="76F74C14" w14:textId="77777777" w:rsidR="00502ADD" w:rsidRPr="0099222F" w:rsidRDefault="00502ADD" w:rsidP="008F5EC4">
      <w:pPr>
        <w:keepNext/>
        <w:jc w:val="center"/>
        <w:rPr>
          <w:i/>
          <w:iCs/>
        </w:rPr>
      </w:pPr>
      <w:r>
        <w:rPr>
          <w:i/>
          <w:iCs/>
        </w:rPr>
        <w:t xml:space="preserve">Amendments to </w:t>
      </w:r>
      <w:bookmarkStart w:id="31" w:name="dabmci_154108ff35e1440caaa21d9678c8c1cb"/>
      <w:r>
        <w:rPr>
          <w:i/>
          <w:iCs/>
        </w:rPr>
        <w:t>Section 707</w:t>
      </w:r>
      <w:bookmarkEnd w:id="31"/>
    </w:p>
    <w:p w14:paraId="082EA25D" w14:textId="77777777" w:rsidR="00502ADD" w:rsidRDefault="00502ADD" w:rsidP="005A3F52">
      <w:pPr>
        <w:ind w:firstLine="720"/>
      </w:pPr>
      <w:bookmarkStart w:id="32" w:name="dabmci_54f613bb7188428795a9926ed824b371"/>
      <w:r>
        <w:t>S</w:t>
      </w:r>
      <w:r w:rsidRPr="009F715D">
        <w:t>ection 707</w:t>
      </w:r>
      <w:bookmarkEnd w:id="32"/>
      <w:r w:rsidRPr="009F715D">
        <w:t xml:space="preserve"> </w:t>
      </w:r>
      <w:r>
        <w:t>governs</w:t>
      </w:r>
      <w:r w:rsidRPr="009F715D">
        <w:t xml:space="preserve"> the procedure for transferring a minor from juvenile court to adult criminal court. </w:t>
      </w:r>
      <w:r>
        <w:t xml:space="preserve"> At the time of J.M.’s </w:t>
      </w:r>
      <w:r w:rsidRPr="009F715D">
        <w:t>transfer hearing</w:t>
      </w:r>
      <w:r>
        <w:t xml:space="preserve">, </w:t>
      </w:r>
      <w:bookmarkStart w:id="33" w:name="dabmci_1a9ae281fed4436485ca72f54d96654a"/>
      <w:r>
        <w:t>section 707</w:t>
      </w:r>
      <w:bookmarkEnd w:id="33"/>
      <w:r w:rsidRPr="004D3CF6">
        <w:t xml:space="preserve"> required the </w:t>
      </w:r>
      <w:r>
        <w:t>prosecution</w:t>
      </w:r>
      <w:r w:rsidRPr="004D3CF6">
        <w:t xml:space="preserve"> to </w:t>
      </w:r>
      <w:r>
        <w:t>prove</w:t>
      </w:r>
      <w:r w:rsidRPr="004D3CF6">
        <w:t xml:space="preserve"> by a preponderance of </w:t>
      </w:r>
      <w:proofErr w:type="gramStart"/>
      <w:r w:rsidRPr="004D3CF6">
        <w:t>the evidence</w:t>
      </w:r>
      <w:proofErr w:type="gramEnd"/>
      <w:r w:rsidRPr="004D3CF6">
        <w:t xml:space="preserve"> that the minor should be transferred to </w:t>
      </w:r>
      <w:r>
        <w:t xml:space="preserve">adult </w:t>
      </w:r>
      <w:r w:rsidRPr="004D3CF6">
        <w:t xml:space="preserve">criminal </w:t>
      </w:r>
      <w:r>
        <w:t xml:space="preserve">court.  </w:t>
      </w:r>
      <w:r w:rsidRPr="004D3CF6">
        <w:t>(</w:t>
      </w:r>
      <w:r>
        <w:t xml:space="preserve">Former </w:t>
      </w:r>
      <w:bookmarkStart w:id="34" w:name="dabmci_f9ddd9c9b3e1451981542a4a2437ce5b"/>
      <w:r>
        <w:t>§ 707, subd. (a)(3)</w:t>
      </w:r>
      <w:bookmarkEnd w:id="34"/>
      <w:r>
        <w:t xml:space="preserve">; </w:t>
      </w:r>
      <w:bookmarkStart w:id="35" w:name="dabmci_fce6ce1c72334cc89099a66a41e1106d"/>
      <w:r w:rsidRPr="004D3CF6">
        <w:rPr>
          <w:i/>
          <w:iCs/>
        </w:rPr>
        <w:t>In re S.S.</w:t>
      </w:r>
      <w:r>
        <w:t xml:space="preserve"> </w:t>
      </w:r>
      <w:r w:rsidRPr="004D3CF6">
        <w:t>(2023) 89</w:t>
      </w:r>
      <w:r>
        <w:t> </w:t>
      </w:r>
      <w:r w:rsidRPr="004D3CF6">
        <w:t>Cal.App.5th 1277, 1284</w:t>
      </w:r>
      <w:bookmarkEnd w:id="35"/>
      <w:r w:rsidRPr="004D3CF6">
        <w:t>.)</w:t>
      </w:r>
      <w:r>
        <w:t xml:space="preserve">  </w:t>
      </w:r>
      <w:r>
        <w:t xml:space="preserve">In making that decision, </w:t>
      </w:r>
      <w:r>
        <w:t xml:space="preserve">the </w:t>
      </w:r>
      <w:r>
        <w:t xml:space="preserve">juvenile court </w:t>
      </w:r>
      <w:r>
        <w:t xml:space="preserve">was required </w:t>
      </w:r>
      <w:r>
        <w:t>to consider five criteria</w:t>
      </w:r>
      <w:r>
        <w:t xml:space="preserve">:  </w:t>
      </w:r>
      <w:r w:rsidRPr="00364EB1">
        <w:t xml:space="preserve">(1) </w:t>
      </w:r>
      <w:r>
        <w:t>t</w:t>
      </w:r>
      <w:r w:rsidRPr="00364EB1">
        <w:t>he degree of criminal sophistication exhibited by the minor</w:t>
      </w:r>
      <w:r>
        <w:t xml:space="preserve">; (2) </w:t>
      </w:r>
      <w:r w:rsidRPr="00C25B3C">
        <w:t>whether the</w:t>
      </w:r>
      <w:r w:rsidRPr="00C25B3C">
        <w:t xml:space="preserve"> minor can be rehabilitated prior to the expiration of the juvenile court</w:t>
      </w:r>
      <w:r>
        <w:t>’</w:t>
      </w:r>
      <w:r w:rsidRPr="00C25B3C">
        <w:t>s jurisdiction;</w:t>
      </w:r>
      <w:r>
        <w:t xml:space="preserve"> (3)</w:t>
      </w:r>
      <w:r w:rsidRPr="00C25B3C">
        <w:t xml:space="preserve"> the minor</w:t>
      </w:r>
      <w:r>
        <w:t>’</w:t>
      </w:r>
      <w:r w:rsidRPr="00C25B3C">
        <w:t xml:space="preserve">s previous delinquent history; </w:t>
      </w:r>
      <w:r>
        <w:t xml:space="preserve">(4) </w:t>
      </w:r>
      <w:r w:rsidRPr="00C25B3C">
        <w:t xml:space="preserve">the success of previous attempts to rehabilitate </w:t>
      </w:r>
      <w:r w:rsidRPr="007276CF">
        <w:t xml:space="preserve">the minor; and (5) the circumstances and gravity of the offense committed by the minor.  (Former </w:t>
      </w:r>
      <w:bookmarkStart w:id="36" w:name="dabmci_380e00a64f6243678af12b1355da97c8"/>
      <w:r w:rsidRPr="007276CF">
        <w:t>§ 707, subd. (a)(3)(A)–(E)</w:t>
      </w:r>
      <w:bookmarkEnd w:id="36"/>
      <w:r w:rsidRPr="007276CF">
        <w:t xml:space="preserve">; </w:t>
      </w:r>
      <w:bookmarkStart w:id="37" w:name="dabmci_52508ba2004441179915f09c12f083d4"/>
      <w:r w:rsidRPr="007276CF">
        <w:rPr>
          <w:i/>
          <w:iCs/>
        </w:rPr>
        <w:t>In re E.P.</w:t>
      </w:r>
      <w:r w:rsidRPr="007276CF">
        <w:t xml:space="preserve"> (2023) 89</w:t>
      </w:r>
      <w:r>
        <w:t> </w:t>
      </w:r>
      <w:r w:rsidRPr="007276CF">
        <w:t>Cal.App.5th 409, 415</w:t>
      </w:r>
      <w:bookmarkEnd w:id="37"/>
      <w:r w:rsidRPr="007276CF">
        <w:t>.)</w:t>
      </w:r>
    </w:p>
    <w:p w14:paraId="00179072" w14:textId="77777777" w:rsidR="00502ADD" w:rsidRDefault="00502ADD" w:rsidP="00C8580A">
      <w:pPr>
        <w:ind w:firstLine="720"/>
      </w:pPr>
      <w:r>
        <w:t>Here</w:t>
      </w:r>
      <w:r>
        <w:t>, th</w:t>
      </w:r>
      <w:r>
        <w:t>e</w:t>
      </w:r>
      <w:r>
        <w:t xml:space="preserve"> </w:t>
      </w:r>
      <w:r>
        <w:t xml:space="preserve">adult criminal </w:t>
      </w:r>
      <w:r w:rsidRPr="00A119A7">
        <w:t xml:space="preserve">court considered </w:t>
      </w:r>
      <w:r w:rsidRPr="00A119A7">
        <w:t xml:space="preserve">each of </w:t>
      </w:r>
      <w:r w:rsidRPr="00A119A7">
        <w:t xml:space="preserve">the criteria specified in former </w:t>
      </w:r>
      <w:bookmarkStart w:id="38" w:name="dabmci_4dd3f2d21ec44cb48d8a296a207ba80c"/>
      <w:r w:rsidRPr="00A119A7">
        <w:t>section 707, subdivision (a)</w:t>
      </w:r>
      <w:bookmarkEnd w:id="38"/>
      <w:r w:rsidRPr="00A119A7">
        <w:t xml:space="preserve">, and found </w:t>
      </w:r>
      <w:r>
        <w:t xml:space="preserve">that </w:t>
      </w:r>
      <w:r w:rsidRPr="00A119A7">
        <w:t xml:space="preserve">the criteria </w:t>
      </w:r>
      <w:r w:rsidRPr="00A119A7">
        <w:t>relating to criminal sophistication, rehabilitation, and circumstances/gravity weighed</w:t>
      </w:r>
      <w:r>
        <w:t xml:space="preserve"> in favor of granting the motion, while the criteria relating to previous delinquent history and prior rehabilitative efforts weighed in favor of denying the motion.  Considering</w:t>
      </w:r>
      <w:r>
        <w:t xml:space="preserve"> all five criteria together</w:t>
      </w:r>
      <w:r>
        <w:t xml:space="preserve">, the court concluded that </w:t>
      </w:r>
      <w:r>
        <w:t xml:space="preserve">the prosecution met its burden of proof and granted the </w:t>
      </w:r>
      <w:r>
        <w:t xml:space="preserve">transfer </w:t>
      </w:r>
      <w:r>
        <w:t>motion.</w:t>
      </w:r>
    </w:p>
    <w:p w14:paraId="230D23E8" w14:textId="77777777" w:rsidR="00502ADD" w:rsidRDefault="00502ADD" w:rsidP="00C01910">
      <w:pPr>
        <w:ind w:firstLine="720"/>
      </w:pPr>
      <w:r>
        <w:t xml:space="preserve">Effective January 1, 2023, </w:t>
      </w:r>
      <w:bookmarkStart w:id="39" w:name="dabmci_d034a05c71c64270bc03ed638832a113"/>
      <w:r>
        <w:t>Assembly Bill No. 2361</w:t>
      </w:r>
      <w:bookmarkEnd w:id="39"/>
      <w:r>
        <w:t xml:space="preserve"> amended </w:t>
      </w:r>
      <w:bookmarkStart w:id="40" w:name="dabmci_354821ef929b4dad85c0438e3f829fd8"/>
      <w:r>
        <w:t>section 707</w:t>
      </w:r>
      <w:r>
        <w:t>, subdivision (a)(3)</w:t>
      </w:r>
      <w:bookmarkEnd w:id="40"/>
      <w:r>
        <w:t>, to include the following language</w:t>
      </w:r>
      <w:proofErr w:type="gramStart"/>
      <w:r>
        <w:t xml:space="preserve">:  </w:t>
      </w:r>
      <w:r w:rsidRPr="004C3129">
        <w:t>“</w:t>
      </w:r>
      <w:proofErr w:type="gramEnd"/>
      <w:r w:rsidRPr="004C3129">
        <w:t xml:space="preserve">In order to find that the minor should be transferred to a court of criminal jurisdiction, the court shall find by clear and convincing evidence that the minor is not amenable to rehabilitation while under the </w:t>
      </w:r>
      <w:r w:rsidRPr="004C3129">
        <w:lastRenderedPageBreak/>
        <w:t xml:space="preserve">jurisdiction of the juvenile court.  In making its decision, the court shall consider the criteria specified in </w:t>
      </w:r>
      <w:r>
        <w:t>[</w:t>
      </w:r>
      <w:bookmarkStart w:id="41" w:name="dabmci_a3a0d71310e34d17bce66314dea3bbfb"/>
      <w:r>
        <w:t>section 707, subdivision (a)(3)</w:t>
      </w:r>
      <w:bookmarkEnd w:id="41"/>
      <w:r>
        <w:t xml:space="preserve">,] </w:t>
      </w:r>
      <w:r w:rsidRPr="004C3129">
        <w:t>subparagraphs (A) to (E), inclusive.  If the court ord</w:t>
      </w:r>
      <w:r w:rsidRPr="004C3129">
        <w:t>ers a transfer of jurisdiction, the court shall recite the basis for its decision in an order entered upon the minutes, which shall include the reasons supporting the court’s finding that the minor is not amenable to rehabilitation while under the jurisdiction of the juvenile court</w:t>
      </w:r>
      <w:proofErr w:type="gramStart"/>
      <w:r w:rsidRPr="004C3129">
        <w:t>.</w:t>
      </w:r>
      <w:r>
        <w:t> </w:t>
      </w:r>
      <w:r w:rsidRPr="004C3129">
        <w:t>.</w:t>
      </w:r>
      <w:r>
        <w:t> </w:t>
      </w:r>
      <w:r w:rsidRPr="004C3129">
        <w:t>.</w:t>
      </w:r>
      <w:r>
        <w:t> </w:t>
      </w:r>
      <w:r w:rsidRPr="004C3129">
        <w:t>.</w:t>
      </w:r>
      <w:proofErr w:type="gramEnd"/>
      <w:r w:rsidRPr="004C3129">
        <w:t>”  (</w:t>
      </w:r>
      <w:bookmarkStart w:id="42" w:name="dabmci_991d0afd8c7c4017bbd752f306163e6d"/>
      <w:r w:rsidRPr="004C3129">
        <w:t>§ 707, subd. (a)(3)</w:t>
      </w:r>
      <w:bookmarkEnd w:id="42"/>
      <w:r w:rsidRPr="004C3129">
        <w:t>; Stats</w:t>
      </w:r>
      <w:r>
        <w:t>.</w:t>
      </w:r>
      <w:r w:rsidRPr="004C3129">
        <w:t xml:space="preserve"> 2022, </w:t>
      </w:r>
      <w:proofErr w:type="spellStart"/>
      <w:r w:rsidRPr="004C3129">
        <w:t>ch.</w:t>
      </w:r>
      <w:proofErr w:type="spellEnd"/>
      <w:r w:rsidRPr="004C3129">
        <w:t xml:space="preserve"> 330, § 1.)</w:t>
      </w:r>
      <w:r>
        <w:t xml:space="preserve">  </w:t>
      </w:r>
      <w:r>
        <w:t>Th</w:t>
      </w:r>
      <w:r>
        <w:t>is</w:t>
      </w:r>
      <w:r>
        <w:t xml:space="preserve"> </w:t>
      </w:r>
      <w:r>
        <w:t xml:space="preserve">amendment </w:t>
      </w:r>
      <w:r>
        <w:t xml:space="preserve">changed the procedure for ordering a </w:t>
      </w:r>
      <w:r>
        <w:t xml:space="preserve">juvenile </w:t>
      </w:r>
      <w:r>
        <w:t xml:space="preserve">transfer in three </w:t>
      </w:r>
      <w:r>
        <w:t xml:space="preserve">material </w:t>
      </w:r>
      <w:r>
        <w:t>ways, by (1) raising the prosecution’s burden of proof</w:t>
      </w:r>
      <w:r>
        <w:t xml:space="preserve">, </w:t>
      </w:r>
      <w:r>
        <w:t xml:space="preserve">(2) requiring a new </w:t>
      </w:r>
      <w:r>
        <w:t>speci</w:t>
      </w:r>
      <w:r>
        <w:t>fic</w:t>
      </w:r>
      <w:r>
        <w:t xml:space="preserve"> finding </w:t>
      </w:r>
      <w:r>
        <w:t xml:space="preserve">regarding amenability to rehabilitation, and (3) requiring the court to </w:t>
      </w:r>
      <w:r w:rsidRPr="00B82834">
        <w:t xml:space="preserve">state </w:t>
      </w:r>
      <w:r>
        <w:t>the reasons supporting a finding that the minor is not amenable to rehabilitation.  (</w:t>
      </w:r>
      <w:bookmarkStart w:id="43" w:name="dabmci_a6bd2d8c082c4552a1df5ad244cabc6b"/>
      <w:r w:rsidRPr="00364EB1">
        <w:rPr>
          <w:i/>
          <w:iCs/>
        </w:rPr>
        <w:t>In re E.P.</w:t>
      </w:r>
      <w:r w:rsidRPr="00321A7B">
        <w:rPr>
          <w:i/>
          <w:iCs/>
        </w:rPr>
        <w:t>,</w:t>
      </w:r>
      <w:r>
        <w:t xml:space="preserve"> </w:t>
      </w:r>
      <w:r w:rsidRPr="0098281B">
        <w:rPr>
          <w:i/>
          <w:iCs/>
        </w:rPr>
        <w:t>supra</w:t>
      </w:r>
      <w:r>
        <w:t xml:space="preserve">, </w:t>
      </w:r>
      <w:r w:rsidRPr="00364EB1">
        <w:t xml:space="preserve">89 Cal.App.5th </w:t>
      </w:r>
      <w:r>
        <w:t>at p.</w:t>
      </w:r>
      <w:r w:rsidRPr="00364EB1">
        <w:t xml:space="preserve"> 41</w:t>
      </w:r>
      <w:r>
        <w:t>6</w:t>
      </w:r>
      <w:bookmarkEnd w:id="43"/>
      <w:r>
        <w:t xml:space="preserve">; </w:t>
      </w:r>
      <w:bookmarkStart w:id="44" w:name="dabmci_31fe4735210f4e58b919db9d70ea467c"/>
      <w:r w:rsidRPr="004D3CF6">
        <w:rPr>
          <w:i/>
          <w:iCs/>
        </w:rPr>
        <w:t>In re S.S.</w:t>
      </w:r>
      <w:r w:rsidRPr="00321A7B">
        <w:rPr>
          <w:i/>
        </w:rPr>
        <w:t>,</w:t>
      </w:r>
      <w:r>
        <w:t xml:space="preserve"> </w:t>
      </w:r>
      <w:r w:rsidRPr="00264219">
        <w:rPr>
          <w:i/>
          <w:iCs/>
        </w:rPr>
        <w:t>supra</w:t>
      </w:r>
      <w:r>
        <w:t xml:space="preserve">, </w:t>
      </w:r>
      <w:r w:rsidRPr="004D3CF6">
        <w:t xml:space="preserve">89 Cal.App.5th </w:t>
      </w:r>
      <w:r>
        <w:t xml:space="preserve">at p. </w:t>
      </w:r>
      <w:r w:rsidRPr="004D3CF6">
        <w:t>1284</w:t>
      </w:r>
      <w:bookmarkEnd w:id="44"/>
      <w:r>
        <w:t>.)</w:t>
      </w:r>
    </w:p>
    <w:p w14:paraId="4A27417D" w14:textId="77777777" w:rsidR="00502ADD" w:rsidRDefault="00502ADD" w:rsidP="00516FC3">
      <w:pPr>
        <w:ind w:firstLine="720"/>
      </w:pPr>
      <w:r w:rsidRPr="00CE0223">
        <w:t xml:space="preserve">Effective January 1, 2024, </w:t>
      </w:r>
      <w:bookmarkStart w:id="45" w:name="dabmci_5c6dca744c194cabaca6c18378a2720f"/>
      <w:r w:rsidRPr="00CE0223">
        <w:t>Senate Bill No. 545</w:t>
      </w:r>
      <w:bookmarkEnd w:id="45"/>
      <w:r w:rsidRPr="00CE0223">
        <w:t xml:space="preserve"> further amended </w:t>
      </w:r>
      <w:bookmarkStart w:id="46" w:name="dabmci_b14ca3161844471fbb6d513f423d1150"/>
      <w:r w:rsidRPr="00CE0223">
        <w:t xml:space="preserve">section 707, </w:t>
      </w:r>
      <w:r w:rsidRPr="00CE0223">
        <w:t>subdivision (a)(3)(A) through (E)</w:t>
      </w:r>
      <w:bookmarkEnd w:id="46"/>
      <w:r>
        <w:t xml:space="preserve"> to require the court to </w:t>
      </w:r>
      <w:r>
        <w:t>give weight to</w:t>
      </w:r>
      <w:r>
        <w:t xml:space="preserve"> factors that previously were discretionary</w:t>
      </w:r>
      <w:r>
        <w:t xml:space="preserve"> </w:t>
      </w:r>
      <w:r w:rsidRPr="004D635C">
        <w:t xml:space="preserve">and to </w:t>
      </w:r>
      <w:r w:rsidRPr="00F60FE7">
        <w:t>specif</w:t>
      </w:r>
      <w:r w:rsidRPr="004D635C">
        <w:t>y</w:t>
      </w:r>
      <w:r w:rsidRPr="00F60FE7">
        <w:t xml:space="preserve"> additional factors </w:t>
      </w:r>
      <w:r w:rsidRPr="004D635C">
        <w:t>that</w:t>
      </w:r>
      <w:r w:rsidRPr="00F60FE7">
        <w:t xml:space="preserve"> must </w:t>
      </w:r>
      <w:r w:rsidRPr="004D635C">
        <w:t xml:space="preserve">be </w:t>
      </w:r>
      <w:r w:rsidRPr="00F60FE7">
        <w:t>consider</w:t>
      </w:r>
      <w:r w:rsidRPr="004D635C">
        <w:t xml:space="preserve">ed in determining whether the prosecution has carried its burden of proof </w:t>
      </w:r>
      <w:r w:rsidRPr="00690448">
        <w:t>to transfer a juvenile to criminal court</w:t>
      </w:r>
      <w:r w:rsidRPr="004D635C">
        <w:t>.</w:t>
      </w:r>
      <w:r>
        <w:t xml:space="preserve">  (</w:t>
      </w:r>
      <w:r w:rsidRPr="004D635C">
        <w:t>Stats</w:t>
      </w:r>
      <w:r>
        <w:t>.</w:t>
      </w:r>
      <w:r w:rsidRPr="00E870CC">
        <w:t xml:space="preserve"> 2023</w:t>
      </w:r>
      <w:r>
        <w:t>,</w:t>
      </w:r>
      <w:r w:rsidRPr="00E870CC">
        <w:t xml:space="preserve"> </w:t>
      </w:r>
      <w:proofErr w:type="spellStart"/>
      <w:r w:rsidRPr="00E870CC">
        <w:t>ch</w:t>
      </w:r>
      <w:r>
        <w:t>.</w:t>
      </w:r>
      <w:proofErr w:type="spellEnd"/>
      <w:r w:rsidRPr="00E870CC">
        <w:t xml:space="preserve"> 716 § 1</w:t>
      </w:r>
      <w:r>
        <w:t>.)</w:t>
      </w:r>
      <w:r>
        <w:t xml:space="preserve">  </w:t>
      </w:r>
      <w:r w:rsidRPr="00C01910">
        <w:t xml:space="preserve">Specifically, </w:t>
      </w:r>
      <w:bookmarkStart w:id="47" w:name="dabmci_9db0a17e95614af5a2f67a3b7b00e8fa"/>
      <w:r w:rsidRPr="00C01910">
        <w:t>Senate Bill No. 545</w:t>
      </w:r>
      <w:bookmarkEnd w:id="47"/>
      <w:r w:rsidRPr="00C01910">
        <w:t xml:space="preserve"> amended the factors the court must weigh in evaluating a minor’s criminal sophistication to include “the existence of childhood trauma; the minor’s involvement i</w:t>
      </w:r>
      <w:r w:rsidRPr="00C01910">
        <w:t>n the child welfare or foster care system; and the status of the minor as a victim of human trafficking, sexual abuse, or sexual battery.”  (</w:t>
      </w:r>
      <w:bookmarkStart w:id="48" w:name="dabmci_0a452995229849059c582fcb5881052a"/>
      <w:r w:rsidRPr="00C01910">
        <w:t>§ 707, subd. (a)(3)(A)(ii)</w:t>
      </w:r>
      <w:bookmarkEnd w:id="48"/>
      <w:r w:rsidRPr="00C01910">
        <w:t xml:space="preserve">.)  It also amended the factors the court must weigh in evaluating the circumstances and gravity of the offense to include “evidence </w:t>
      </w:r>
      <w:r>
        <w:t xml:space="preserve">offered </w:t>
      </w:r>
      <w:r>
        <w:t xml:space="preserve">that </w:t>
      </w:r>
      <w:r w:rsidRPr="00C01910">
        <w:t>indicat</w:t>
      </w:r>
      <w:r>
        <w:t>es</w:t>
      </w:r>
      <w:r w:rsidRPr="00C01910">
        <w:t xml:space="preserve"> that the person against whom the minor is accused of committing an offense trafficked, sexually abused, or sexually battered the minor.”  (</w:t>
      </w:r>
      <w:bookmarkStart w:id="49" w:name="dabmci_d819fbefbb9044c0864abe8c06b9619e"/>
      <w:r w:rsidRPr="00C01910">
        <w:t>§</w:t>
      </w:r>
      <w:r>
        <w:t> </w:t>
      </w:r>
      <w:r w:rsidRPr="00C01910">
        <w:t>707, subd. (a)(3)(E)(iii)</w:t>
      </w:r>
      <w:bookmarkEnd w:id="49"/>
      <w:r w:rsidRPr="00C01910">
        <w:t>.)</w:t>
      </w:r>
    </w:p>
    <w:p w14:paraId="5F084774" w14:textId="77777777" w:rsidR="00502ADD" w:rsidRDefault="00502ADD" w:rsidP="00C01910">
      <w:pPr>
        <w:ind w:firstLine="720"/>
      </w:pPr>
      <w:r>
        <w:t xml:space="preserve">J.M. </w:t>
      </w:r>
      <w:r>
        <w:t>argues</w:t>
      </w:r>
      <w:r>
        <w:t xml:space="preserve"> the</w:t>
      </w:r>
      <w:r>
        <w:t>se</w:t>
      </w:r>
      <w:r>
        <w:t xml:space="preserve"> recent amendments to section 707, subdivision (a)(3) are ameliorative changes that apply retroactively to him under </w:t>
      </w:r>
      <w:bookmarkStart w:id="50" w:name="dabmci_295eae4645a344be9ea33f7c592bdfb5"/>
      <w:r w:rsidRPr="00516FC3">
        <w:rPr>
          <w:i/>
          <w:iCs/>
        </w:rPr>
        <w:t>Estrada</w:t>
      </w:r>
      <w:r w:rsidRPr="00321A7B">
        <w:rPr>
          <w:i/>
        </w:rPr>
        <w:t>,</w:t>
      </w:r>
      <w:r>
        <w:t xml:space="preserve"> </w:t>
      </w:r>
      <w:r w:rsidRPr="00516FC3">
        <w:rPr>
          <w:i/>
          <w:iCs/>
        </w:rPr>
        <w:t>supra</w:t>
      </w:r>
      <w:r>
        <w:t xml:space="preserve">, </w:t>
      </w:r>
      <w:r w:rsidRPr="00E6183A">
        <w:t>63 Cal.2d 740</w:t>
      </w:r>
      <w:bookmarkEnd w:id="50"/>
      <w:r>
        <w:t xml:space="preserve">, </w:t>
      </w:r>
      <w:r>
        <w:lastRenderedPageBreak/>
        <w:t xml:space="preserve">requiring </w:t>
      </w:r>
      <w:r>
        <w:t>a</w:t>
      </w:r>
      <w:r w:rsidRPr="00516FC3">
        <w:t xml:space="preserve"> </w:t>
      </w:r>
      <w:r>
        <w:t>remand for a new transfer</w:t>
      </w:r>
      <w:r>
        <w:t>/amenability</w:t>
      </w:r>
      <w:r>
        <w:t xml:space="preserve"> hearing.  </w:t>
      </w:r>
      <w:r>
        <w:t xml:space="preserve">The People concede the </w:t>
      </w:r>
      <w:proofErr w:type="gramStart"/>
      <w:r>
        <w:t>point</w:t>
      </w:r>
      <w:proofErr w:type="gramEnd"/>
      <w:r>
        <w:t xml:space="preserve"> and we agree</w:t>
      </w:r>
      <w:r>
        <w:t>.</w:t>
      </w:r>
    </w:p>
    <w:p w14:paraId="5BAA0E52" w14:textId="77777777" w:rsidR="00502ADD" w:rsidRDefault="00502ADD" w:rsidP="007B7CB3">
      <w:pPr>
        <w:ind w:firstLine="720"/>
      </w:pPr>
      <w:r w:rsidRPr="004E4A1D">
        <w:rPr>
          <w:i/>
          <w:iCs/>
        </w:rPr>
        <w:t>Estrada</w:t>
      </w:r>
      <w:r>
        <w:t xml:space="preserve"> “</w:t>
      </w:r>
      <w:r w:rsidRPr="004E4A1D">
        <w:t>stand</w:t>
      </w:r>
      <w:r>
        <w:t>[s]</w:t>
      </w:r>
      <w:r w:rsidRPr="004E4A1D">
        <w:t xml:space="preserve"> for the proposition that (</w:t>
      </w:r>
      <w:proofErr w:type="spellStart"/>
      <w:r w:rsidRPr="004E4A1D">
        <w:t>i</w:t>
      </w:r>
      <w:proofErr w:type="spellEnd"/>
      <w:r w:rsidRPr="004E4A1D">
        <w:t>) in the absence of a contrary indication of legislative intent, (ii) legislation that ameliorates punishment (iii) applies to all cases that are not yet final as of the legislation</w:t>
      </w:r>
      <w:r>
        <w:t>’</w:t>
      </w:r>
      <w:r w:rsidRPr="004E4A1D">
        <w:t>s effective date.</w:t>
      </w:r>
      <w:r>
        <w:t xml:space="preserve">”  </w:t>
      </w:r>
      <w:r w:rsidRPr="004E4A1D">
        <w:t>(</w:t>
      </w:r>
      <w:bookmarkStart w:id="51" w:name="dabmci_68e62f97a34a45849aef36edd6ba15ed"/>
      <w:r w:rsidRPr="004E4A1D">
        <w:rPr>
          <w:i/>
          <w:iCs/>
        </w:rPr>
        <w:t>People v. Esquivel</w:t>
      </w:r>
      <w:r>
        <w:t xml:space="preserve"> </w:t>
      </w:r>
      <w:r w:rsidRPr="004E4A1D">
        <w:t>(2021) 11</w:t>
      </w:r>
      <w:r>
        <w:t> </w:t>
      </w:r>
      <w:r w:rsidRPr="004E4A1D">
        <w:t>Cal.5th 671, 675</w:t>
      </w:r>
      <w:r>
        <w:t xml:space="preserve"> (</w:t>
      </w:r>
      <w:r w:rsidRPr="005A6D39">
        <w:rPr>
          <w:i/>
          <w:iCs/>
        </w:rPr>
        <w:t>Esquivel</w:t>
      </w:r>
      <w:r>
        <w:t>)</w:t>
      </w:r>
      <w:bookmarkEnd w:id="51"/>
      <w:r w:rsidRPr="004E4A1D">
        <w:t>.)</w:t>
      </w:r>
      <w:r>
        <w:t xml:space="preserve">  </w:t>
      </w:r>
      <w:r>
        <w:t xml:space="preserve">As the parties’ note, the recent amendments to section 707 have </w:t>
      </w:r>
      <w:r>
        <w:t xml:space="preserve">similar </w:t>
      </w:r>
      <w:r>
        <w:t>ameliorative effects to the amendments made by Proposition 57 in that they “make it more difficult to transfer [minors] from juvenile court</w:t>
      </w:r>
      <w:r>
        <w:t>,” which can result in more lenient treatment.  (</w:t>
      </w:r>
      <w:bookmarkStart w:id="52" w:name="dabmci_b872f01c97ee424e9ca32c9d21ed2d93"/>
      <w:r w:rsidRPr="004D3CF6">
        <w:rPr>
          <w:i/>
          <w:iCs/>
        </w:rPr>
        <w:t>In re S.S.</w:t>
      </w:r>
      <w:r w:rsidRPr="00321A7B">
        <w:rPr>
          <w:i/>
        </w:rPr>
        <w:t>,</w:t>
      </w:r>
      <w:r>
        <w:t xml:space="preserve"> </w:t>
      </w:r>
      <w:r w:rsidRPr="0098281B">
        <w:rPr>
          <w:i/>
          <w:iCs/>
        </w:rPr>
        <w:t>supra</w:t>
      </w:r>
      <w:r>
        <w:t xml:space="preserve">, </w:t>
      </w:r>
      <w:r w:rsidRPr="004D3CF6">
        <w:t>89 Cal.App.5th</w:t>
      </w:r>
      <w:r>
        <w:t xml:space="preserve"> at pp. 1288-1289</w:t>
      </w:r>
      <w:bookmarkEnd w:id="52"/>
      <w:r>
        <w:t xml:space="preserve">; </w:t>
      </w:r>
      <w:bookmarkStart w:id="53" w:name="dabmci_377db88cb221437a95bf80d192704f5e"/>
      <w:r w:rsidRPr="00364EB1">
        <w:rPr>
          <w:i/>
          <w:iCs/>
        </w:rPr>
        <w:t>In re E.P.</w:t>
      </w:r>
      <w:r w:rsidRPr="00321A7B">
        <w:rPr>
          <w:i/>
        </w:rPr>
        <w:t>,</w:t>
      </w:r>
      <w:r>
        <w:t xml:space="preserve"> </w:t>
      </w:r>
      <w:r w:rsidRPr="0098281B">
        <w:rPr>
          <w:i/>
          <w:iCs/>
        </w:rPr>
        <w:t>supra</w:t>
      </w:r>
      <w:r>
        <w:t xml:space="preserve">, </w:t>
      </w:r>
      <w:r w:rsidRPr="00364EB1">
        <w:t xml:space="preserve">89 Cal.App.5th </w:t>
      </w:r>
      <w:r>
        <w:t>at p.</w:t>
      </w:r>
      <w:r w:rsidRPr="00364EB1">
        <w:t xml:space="preserve"> </w:t>
      </w:r>
      <w:r>
        <w:t>416</w:t>
      </w:r>
      <w:bookmarkEnd w:id="53"/>
      <w:r>
        <w:t xml:space="preserve">; </w:t>
      </w:r>
      <w:bookmarkStart w:id="54" w:name="dabmci_aa93092aca2b4adb9558c87bb8d9514e"/>
      <w:r w:rsidRPr="00533391">
        <w:rPr>
          <w:i/>
          <w:iCs/>
        </w:rPr>
        <w:t>In re Miguel R.</w:t>
      </w:r>
      <w:r w:rsidRPr="00533391">
        <w:t> (2024) 100 Cal.App.5th 152, 169</w:t>
      </w:r>
      <w:r>
        <w:t>-170</w:t>
      </w:r>
      <w:bookmarkEnd w:id="54"/>
      <w:r>
        <w:t xml:space="preserve">.) </w:t>
      </w:r>
      <w:r>
        <w:t xml:space="preserve"> </w:t>
      </w:r>
      <w:r>
        <w:t xml:space="preserve">Since there is nothing to indicate the Legislature intended the amendments to apply only prospectively, we </w:t>
      </w:r>
      <w:r>
        <w:t xml:space="preserve">presume under </w:t>
      </w:r>
      <w:r w:rsidRPr="004B4438">
        <w:rPr>
          <w:i/>
          <w:iCs/>
        </w:rPr>
        <w:t>Estrada</w:t>
      </w:r>
      <w:r>
        <w:t xml:space="preserve"> that they apply retroactively to all cases not yet final.  </w:t>
      </w:r>
      <w:r w:rsidRPr="004B4438">
        <w:t>(</w:t>
      </w:r>
      <w:bookmarkStart w:id="55" w:name="dabmci_53c6856b24b64058823c38a2a19b008a"/>
      <w:r w:rsidRPr="004D3CF6">
        <w:rPr>
          <w:i/>
          <w:iCs/>
        </w:rPr>
        <w:t>In re S.S.</w:t>
      </w:r>
      <w:r w:rsidRPr="00321A7B">
        <w:rPr>
          <w:i/>
        </w:rPr>
        <w:t>,</w:t>
      </w:r>
      <w:r>
        <w:t xml:space="preserve"> </w:t>
      </w:r>
      <w:r w:rsidRPr="0098281B">
        <w:rPr>
          <w:i/>
          <w:iCs/>
        </w:rPr>
        <w:t>supra</w:t>
      </w:r>
      <w:r>
        <w:t>, at p. 1288</w:t>
      </w:r>
      <w:bookmarkEnd w:id="55"/>
      <w:r>
        <w:t xml:space="preserve">; </w:t>
      </w:r>
      <w:bookmarkStart w:id="56" w:name="dabmci_958b894375384df4a70f0475bd6ab5db"/>
      <w:r w:rsidRPr="007B7CB3">
        <w:rPr>
          <w:i/>
          <w:iCs/>
        </w:rPr>
        <w:t>In re E.P.</w:t>
      </w:r>
      <w:r w:rsidRPr="00321A7B">
        <w:rPr>
          <w:i/>
        </w:rPr>
        <w:t>,</w:t>
      </w:r>
      <w:r>
        <w:t xml:space="preserve"> </w:t>
      </w:r>
      <w:r w:rsidRPr="007B7CB3">
        <w:rPr>
          <w:i/>
          <w:iCs/>
        </w:rPr>
        <w:t>supra</w:t>
      </w:r>
      <w:r>
        <w:t>, at p.</w:t>
      </w:r>
      <w:r>
        <w:t> </w:t>
      </w:r>
      <w:r>
        <w:t>416</w:t>
      </w:r>
      <w:bookmarkEnd w:id="56"/>
      <w:r>
        <w:t>.</w:t>
      </w:r>
      <w:r w:rsidRPr="004B4438">
        <w:t>)</w:t>
      </w:r>
    </w:p>
    <w:p w14:paraId="25F4502F" w14:textId="77777777" w:rsidR="00502ADD" w:rsidRDefault="00502ADD" w:rsidP="00A04C96">
      <w:pPr>
        <w:ind w:firstLine="720"/>
      </w:pPr>
      <w:r>
        <w:t>T</w:t>
      </w:r>
      <w:r>
        <w:t>his matter</w:t>
      </w:r>
      <w:r>
        <w:t xml:space="preserve"> is not </w:t>
      </w:r>
      <w:r>
        <w:t>“</w:t>
      </w:r>
      <w:r>
        <w:t>final</w:t>
      </w:r>
      <w:r>
        <w:t xml:space="preserve">” </w:t>
      </w:r>
      <w:r>
        <w:t xml:space="preserve">because </w:t>
      </w:r>
      <w:r w:rsidRPr="004B4438">
        <w:t xml:space="preserve">it is pending on </w:t>
      </w:r>
      <w:r>
        <w:t xml:space="preserve">direct </w:t>
      </w:r>
      <w:r w:rsidRPr="004B4438">
        <w:t>appeal</w:t>
      </w:r>
      <w:r>
        <w:t xml:space="preserve"> from the reentered transfer order.  (</w:t>
      </w:r>
      <w:r>
        <w:t xml:space="preserve">§ 801, subd. (a); </w:t>
      </w:r>
      <w:bookmarkStart w:id="57" w:name="dabmci_4b13e178a6cf452f9373b23df3a26da8"/>
      <w:r w:rsidRPr="006753E6">
        <w:rPr>
          <w:i/>
          <w:iCs/>
        </w:rPr>
        <w:t>People v. Vieira</w:t>
      </w:r>
      <w:r w:rsidRPr="006753E6">
        <w:t> (2005) 35 Cal.4th 264, 305</w:t>
      </w:r>
      <w:bookmarkEnd w:id="57"/>
      <w:r w:rsidRPr="006753E6">
        <w:t xml:space="preserve"> </w:t>
      </w:r>
      <w:r>
        <w:t>[</w:t>
      </w:r>
      <w:r>
        <w:t xml:space="preserve">a judgment generally </w:t>
      </w:r>
      <w:r>
        <w:t xml:space="preserve">becomes final </w:t>
      </w:r>
      <w:r w:rsidRPr="00EE1A0A">
        <w:t xml:space="preserve">when all direct appeals have been exhausted and </w:t>
      </w:r>
      <w:r>
        <w:t>the time for filing a</w:t>
      </w:r>
      <w:r w:rsidRPr="00EE1A0A">
        <w:t xml:space="preserve"> petition for certiorari</w:t>
      </w:r>
      <w:r>
        <w:t xml:space="preserve"> has expired]</w:t>
      </w:r>
      <w:r>
        <w:t>;</w:t>
      </w:r>
      <w:r>
        <w:t xml:space="preserve"> </w:t>
      </w:r>
      <w:bookmarkStart w:id="58" w:name="dabmci_b79ae4837d524f2fb8ebdbaf0c4a13f3"/>
      <w:r w:rsidRPr="00717E80">
        <w:rPr>
          <w:i/>
          <w:iCs/>
        </w:rPr>
        <w:t>People v. Padilla</w:t>
      </w:r>
      <w:r>
        <w:t xml:space="preserve"> (2022) 13 Cal.5th 152, 161-162 </w:t>
      </w:r>
      <w:r>
        <w:t>(</w:t>
      </w:r>
      <w:r w:rsidRPr="005A6D39">
        <w:rPr>
          <w:i/>
          <w:iCs/>
        </w:rPr>
        <w:t>Padilla</w:t>
      </w:r>
      <w:r>
        <w:t>)</w:t>
      </w:r>
      <w:bookmarkEnd w:id="58"/>
      <w:r>
        <w:t xml:space="preserve"> </w:t>
      </w:r>
      <w:r>
        <w:t>[</w:t>
      </w:r>
      <w:r>
        <w:t xml:space="preserve">a successful collateral attack may reopen finality for purposes of </w:t>
      </w:r>
      <w:r w:rsidRPr="00BC267C">
        <w:rPr>
          <w:i/>
          <w:iCs/>
        </w:rPr>
        <w:t>Estrada</w:t>
      </w:r>
      <w:r>
        <w:t>]</w:t>
      </w:r>
      <w:r>
        <w:t>.)</w:t>
      </w:r>
      <w:r>
        <w:t xml:space="preserve">  </w:t>
      </w:r>
      <w:r w:rsidRPr="00F07EA1">
        <w:t xml:space="preserve">As such, </w:t>
      </w:r>
      <w:r>
        <w:t xml:space="preserve">J.M. is entitled to retroactive application of the ameliorative changes </w:t>
      </w:r>
      <w:r>
        <w:t xml:space="preserve">in the law. </w:t>
      </w:r>
      <w:r>
        <w:t xml:space="preserve"> </w:t>
      </w:r>
      <w:r>
        <w:t xml:space="preserve">Because </w:t>
      </w:r>
      <w:r w:rsidRPr="00A04C96">
        <w:t xml:space="preserve">the record </w:t>
      </w:r>
      <w:r>
        <w:t xml:space="preserve">does not </w:t>
      </w:r>
      <w:r w:rsidRPr="00A04C96">
        <w:t>clearly indicate</w:t>
      </w:r>
      <w:r>
        <w:t xml:space="preserve"> </w:t>
      </w:r>
      <w:r w:rsidRPr="00A04C96">
        <w:t xml:space="preserve">that the trial court would have reached the same conclusion even if it had been </w:t>
      </w:r>
      <w:r>
        <w:t>a</w:t>
      </w:r>
      <w:r w:rsidRPr="00A04C96">
        <w:t>ware of the full scope of its powers</w:t>
      </w:r>
      <w:r>
        <w:t xml:space="preserve">, we </w:t>
      </w:r>
      <w:r w:rsidRPr="00D03EC2">
        <w:t xml:space="preserve">conditionally reverse </w:t>
      </w:r>
      <w:r w:rsidRPr="007B7CB3">
        <w:t xml:space="preserve">the </w:t>
      </w:r>
      <w:r w:rsidRPr="007B7CB3">
        <w:t>transfer order</w:t>
      </w:r>
      <w:r w:rsidRPr="007B7CB3">
        <w:t xml:space="preserve"> and remand</w:t>
      </w:r>
      <w:r w:rsidRPr="00D03EC2">
        <w:t xml:space="preserve"> </w:t>
      </w:r>
      <w:r>
        <w:t>with directions to conduct a new</w:t>
      </w:r>
      <w:r w:rsidRPr="00D03EC2">
        <w:t xml:space="preserve"> transfer</w:t>
      </w:r>
      <w:r>
        <w:t>/amenability</w:t>
      </w:r>
      <w:r w:rsidRPr="00D03EC2">
        <w:t xml:space="preserve"> hearing</w:t>
      </w:r>
      <w:r>
        <w:t xml:space="preserve"> </w:t>
      </w:r>
      <w:r w:rsidRPr="007276CF">
        <w:t xml:space="preserve">under the </w:t>
      </w:r>
      <w:r>
        <w:t>amended</w:t>
      </w:r>
      <w:r w:rsidRPr="007276CF">
        <w:t xml:space="preserve"> version of section 707</w:t>
      </w:r>
      <w:r w:rsidRPr="00D03EC2">
        <w:t>.</w:t>
      </w:r>
      <w:r>
        <w:t xml:space="preserve"> </w:t>
      </w:r>
      <w:r>
        <w:t xml:space="preserve"> (</w:t>
      </w:r>
      <w:bookmarkStart w:id="59" w:name="dabmci_a2ecf7e196c44692bd55fd279cdb1c19"/>
      <w:r w:rsidRPr="00A04C96">
        <w:rPr>
          <w:i/>
          <w:iCs/>
        </w:rPr>
        <w:t>People v. Salazar</w:t>
      </w:r>
      <w:r w:rsidRPr="00A04C96">
        <w:t xml:space="preserve"> (2023) </w:t>
      </w:r>
      <w:bookmarkStart w:id="60" w:name="_Hlk171427653"/>
      <w:r w:rsidRPr="00A04C96">
        <w:t>15 Cal.5th 416</w:t>
      </w:r>
      <w:bookmarkEnd w:id="60"/>
      <w:r w:rsidRPr="00A04C96">
        <w:t>, 419</w:t>
      </w:r>
      <w:r>
        <w:t>, 425</w:t>
      </w:r>
      <w:bookmarkEnd w:id="59"/>
      <w:r>
        <w:t xml:space="preserve">; </w:t>
      </w:r>
      <w:bookmarkStart w:id="61" w:name="dabmci_8591aab8772f4f5787d9c4d1f8183c82"/>
      <w:r w:rsidRPr="00A04C96">
        <w:rPr>
          <w:i/>
          <w:iCs/>
        </w:rPr>
        <w:t>In re F.M.</w:t>
      </w:r>
      <w:r>
        <w:t xml:space="preserve"> </w:t>
      </w:r>
      <w:r w:rsidRPr="00A04C96">
        <w:t>(2023) 14</w:t>
      </w:r>
      <w:r>
        <w:t> </w:t>
      </w:r>
      <w:r w:rsidRPr="00A04C96">
        <w:t xml:space="preserve">Cal.5th 701, </w:t>
      </w:r>
      <w:r>
        <w:t>714-</w:t>
      </w:r>
      <w:r w:rsidRPr="00A04C96">
        <w:t>716</w:t>
      </w:r>
      <w:bookmarkEnd w:id="61"/>
      <w:r w:rsidRPr="00A04C96">
        <w:t>.)</w:t>
      </w:r>
      <w:r>
        <w:t xml:space="preserve">  We exp</w:t>
      </w:r>
      <w:r>
        <w:t xml:space="preserve">ress no opinion </w:t>
      </w:r>
      <w:r>
        <w:t xml:space="preserve">on </w:t>
      </w:r>
      <w:r>
        <w:t xml:space="preserve">how the juvenile court should rule </w:t>
      </w:r>
      <w:r>
        <w:t xml:space="preserve">on </w:t>
      </w:r>
      <w:r>
        <w:t>the merits</w:t>
      </w:r>
      <w:r>
        <w:t>.</w:t>
      </w:r>
    </w:p>
    <w:p w14:paraId="28B4E03C" w14:textId="77777777" w:rsidR="00502ADD" w:rsidRDefault="00502ADD" w:rsidP="008F5EC4">
      <w:pPr>
        <w:keepNext/>
        <w:jc w:val="center"/>
      </w:pPr>
      <w:r>
        <w:lastRenderedPageBreak/>
        <w:t>II</w:t>
      </w:r>
    </w:p>
    <w:p w14:paraId="3E0B2A60" w14:textId="77777777" w:rsidR="00502ADD" w:rsidRPr="00AD42FA" w:rsidRDefault="00502ADD" w:rsidP="008F5EC4">
      <w:pPr>
        <w:keepNext/>
        <w:jc w:val="center"/>
        <w:rPr>
          <w:i/>
          <w:iCs/>
        </w:rPr>
      </w:pPr>
      <w:bookmarkStart w:id="62" w:name="dabmci_111f12a9db734abfa8a2d8c9c53b171e"/>
      <w:r>
        <w:rPr>
          <w:i/>
          <w:iCs/>
        </w:rPr>
        <w:t>Senate Bill No. 567</w:t>
      </w:r>
      <w:bookmarkEnd w:id="62"/>
      <w:r>
        <w:rPr>
          <w:i/>
          <w:iCs/>
        </w:rPr>
        <w:t xml:space="preserve"> and </w:t>
      </w:r>
      <w:bookmarkStart w:id="63" w:name="dabmci_06661bdda708496d99839faed9d50403"/>
      <w:r>
        <w:rPr>
          <w:i/>
          <w:iCs/>
        </w:rPr>
        <w:t>Assembly Bill No. 518</w:t>
      </w:r>
      <w:bookmarkEnd w:id="63"/>
    </w:p>
    <w:p w14:paraId="4D6570C7" w14:textId="77777777" w:rsidR="00502ADD" w:rsidRDefault="00502ADD" w:rsidP="00EF6C80">
      <w:pPr>
        <w:ind w:firstLine="720"/>
      </w:pPr>
      <w:r>
        <w:t>We next consider whether, if defendant is again transferred to adult</w:t>
      </w:r>
      <w:r w:rsidRPr="00E61CD9">
        <w:t xml:space="preserve"> criminal </w:t>
      </w:r>
      <w:r>
        <w:t>court</w:t>
      </w:r>
      <w:r w:rsidRPr="00E61CD9">
        <w:t>,</w:t>
      </w:r>
      <w:r>
        <w:t xml:space="preserve"> the trial </w:t>
      </w:r>
      <w:r w:rsidRPr="00E61CD9">
        <w:t xml:space="preserve">court </w:t>
      </w:r>
      <w:r>
        <w:t xml:space="preserve">must </w:t>
      </w:r>
      <w:r w:rsidRPr="00E61CD9">
        <w:t xml:space="preserve">conduct a </w:t>
      </w:r>
      <w:r>
        <w:t xml:space="preserve">new </w:t>
      </w:r>
      <w:r>
        <w:t>sentencing</w:t>
      </w:r>
      <w:r w:rsidRPr="00E61CD9">
        <w:t xml:space="preserve"> hearing</w:t>
      </w:r>
      <w:r>
        <w:t xml:space="preserve"> applying ameliorative changes in the law, or whether the sentence that defendant is attempting to appeal became final.</w:t>
      </w:r>
    </w:p>
    <w:p w14:paraId="47A45C35" w14:textId="77777777" w:rsidR="00502ADD" w:rsidRDefault="00502ADD" w:rsidP="00B4509E">
      <w:pPr>
        <w:ind w:firstLine="720"/>
      </w:pPr>
      <w:r>
        <w:t>When</w:t>
      </w:r>
      <w:r>
        <w:t xml:space="preserve"> J.M. was sentenced in 2016, former </w:t>
      </w:r>
      <w:bookmarkStart w:id="64" w:name="dabmci_390e30a7946343b1a253eceff94ea2a9"/>
      <w:r>
        <w:t>Penal Code section 1170, subdivision (b)</w:t>
      </w:r>
      <w:bookmarkEnd w:id="64"/>
      <w:r>
        <w:t xml:space="preserve"> provided that </w:t>
      </w:r>
      <w:r>
        <w:t>“[</w:t>
      </w:r>
      <w:r>
        <w:t>w</w:t>
      </w:r>
      <w:r>
        <w:t>]</w:t>
      </w:r>
      <w:r>
        <w:t xml:space="preserve">hen </w:t>
      </w:r>
      <w:r>
        <w:t xml:space="preserve">a judgment of </w:t>
      </w:r>
      <w:r w:rsidRPr="000B114E">
        <w:t>imprisonment is to be imposed and the statute specifies three possible terms, the choice of the appropriate term shall rest within the sound discretion of the court.</w:t>
      </w:r>
      <w:r>
        <w:t xml:space="preserve">”  </w:t>
      </w:r>
      <w:r>
        <w:t>In addition, f</w:t>
      </w:r>
      <w:r>
        <w:t xml:space="preserve">ormer </w:t>
      </w:r>
      <w:bookmarkStart w:id="65" w:name="dabmci_f8f15a2fc5834a0cb134816b1eed444b"/>
      <w:r>
        <w:t>Penal Code section 654</w:t>
      </w:r>
      <w:bookmarkEnd w:id="65"/>
      <w:r>
        <w:t xml:space="preserve"> provided that “[a]</w:t>
      </w:r>
      <w:r w:rsidRPr="000B114E">
        <w:t>n act or omission that is punishable in different ways by different provisions of law shall be punished under the provision that provides for the longest potential term o</w:t>
      </w:r>
      <w:r w:rsidRPr="000B114E">
        <w:t>f imprisonment</w:t>
      </w:r>
      <w:r>
        <w:t xml:space="preserve"> </w:t>
      </w:r>
      <w:proofErr w:type="gramStart"/>
      <w:r>
        <w:t>.</w:t>
      </w:r>
      <w:r>
        <w:t> </w:t>
      </w:r>
      <w:r>
        <w:t>.</w:t>
      </w:r>
      <w:r>
        <w:t> </w:t>
      </w:r>
      <w:r>
        <w:t>.</w:t>
      </w:r>
      <w:r>
        <w:t> </w:t>
      </w:r>
      <w:r>
        <w:t>.</w:t>
      </w:r>
      <w:proofErr w:type="gramEnd"/>
      <w:r>
        <w:t>”</w:t>
      </w:r>
    </w:p>
    <w:p w14:paraId="077235E6" w14:textId="77777777" w:rsidR="00502ADD" w:rsidRDefault="00502ADD" w:rsidP="008F5EC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t xml:space="preserve">Effective January 1, 2022, </w:t>
      </w:r>
      <w:bookmarkStart w:id="66" w:name="dabmci_2e56b97202864f4e94f82c9aa02c22c2"/>
      <w:r>
        <w:t>Senate Bill No. 567</w:t>
      </w:r>
      <w:bookmarkEnd w:id="66"/>
      <w:r>
        <w:t xml:space="preserve"> amended </w:t>
      </w:r>
      <w:bookmarkStart w:id="67" w:name="dabmci_1b1d1100688f4a95853c8f6f2be51880"/>
      <w:r>
        <w:t xml:space="preserve">Penal Code </w:t>
      </w:r>
      <w:r>
        <w:t>section 1170</w:t>
      </w:r>
      <w:bookmarkEnd w:id="67"/>
      <w:r>
        <w:t xml:space="preserve"> to </w:t>
      </w:r>
      <w:r>
        <w:t>make the middle term the presumptive maximum unless “</w:t>
      </w:r>
      <w:r w:rsidRPr="007A1D80">
        <w:t>there are circumstances in aggravation of the crime that justify the imposition of a term of imprisonment exceeding the middle term and the facts underlying those circumstances have been stipulated to by the defendant or have been found true beyond a reasonable doubt at trial by the jury or by the judge in a court trial.</w:t>
      </w:r>
      <w:r>
        <w:t>”</w:t>
      </w:r>
      <w:r>
        <w:t xml:space="preserve"> </w:t>
      </w:r>
      <w:r>
        <w:t xml:space="preserve"> (</w:t>
      </w:r>
      <w:bookmarkStart w:id="68" w:name="dabmci_0a7ce7f082484494ba973e91988b33ec"/>
      <w:r>
        <w:t>Pen. Code, § 1170, subd. (b)(1)-(2)</w:t>
      </w:r>
      <w:bookmarkEnd w:id="68"/>
      <w:r>
        <w:t xml:space="preserve">; </w:t>
      </w:r>
      <w:r w:rsidRPr="007A1D80">
        <w:t xml:space="preserve">Stats. 2021, </w:t>
      </w:r>
      <w:proofErr w:type="spellStart"/>
      <w:r w:rsidRPr="007A1D80">
        <w:t>ch.</w:t>
      </w:r>
      <w:proofErr w:type="spellEnd"/>
      <w:r w:rsidRPr="007A1D80">
        <w:t xml:space="preserve"> 731, §</w:t>
      </w:r>
      <w:r>
        <w:t> </w:t>
      </w:r>
      <w:r w:rsidRPr="007A1D80">
        <w:t>1.3</w:t>
      </w:r>
      <w:r>
        <w:t>.)  The bill a</w:t>
      </w:r>
      <w:r>
        <w:t xml:space="preserve">lso created a presumption in favor of the low term </w:t>
      </w:r>
      <w:r w:rsidRPr="00035985">
        <w:t>when a defendant</w:t>
      </w:r>
      <w:r>
        <w:t>’</w:t>
      </w:r>
      <w:r w:rsidRPr="00035985">
        <w:t xml:space="preserve">s youth or </w:t>
      </w:r>
      <w:r>
        <w:t>“</w:t>
      </w:r>
      <w:r w:rsidRPr="00035985">
        <w:t>psychological, physical, or childhood trauma</w:t>
      </w:r>
      <w:r>
        <w:t xml:space="preserve">” </w:t>
      </w:r>
      <w:r w:rsidRPr="00035985">
        <w:t>was a contributing factor in the commission of the offense</w:t>
      </w:r>
      <w:r>
        <w:t>.  (</w:t>
      </w:r>
      <w:bookmarkStart w:id="69" w:name="dabmci_36e6d9eff6b24b91b600d8494e8256c0"/>
      <w:r>
        <w:t>Pen. Code, § 1170, subd. (b)(6)</w:t>
      </w:r>
      <w:r>
        <w:t>(A)</w:t>
      </w:r>
      <w:bookmarkEnd w:id="69"/>
      <w:r>
        <w:t xml:space="preserve">; </w:t>
      </w:r>
      <w:r w:rsidRPr="007A1D80">
        <w:t xml:space="preserve">Stats. 2021, </w:t>
      </w:r>
      <w:proofErr w:type="spellStart"/>
      <w:r w:rsidRPr="007A1D80">
        <w:t>ch.</w:t>
      </w:r>
      <w:proofErr w:type="spellEnd"/>
      <w:r w:rsidRPr="007A1D80">
        <w:t xml:space="preserve"> 731, §</w:t>
      </w:r>
      <w:r>
        <w:t> </w:t>
      </w:r>
      <w:r w:rsidRPr="007A1D80">
        <w:t>1.3</w:t>
      </w:r>
      <w:r>
        <w:t>.)</w:t>
      </w:r>
    </w:p>
    <w:p w14:paraId="438A6776" w14:textId="77777777" w:rsidR="00502ADD" w:rsidRDefault="00502ADD" w:rsidP="008F5EC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t>E</w:t>
      </w:r>
      <w:r w:rsidRPr="003C4552">
        <w:t>ffective January 1, 2022,</w:t>
      </w:r>
      <w:r>
        <w:t xml:space="preserve"> </w:t>
      </w:r>
      <w:bookmarkStart w:id="70" w:name="dabmci_ffb29a82260e44b3b81f3ace4822a081"/>
      <w:r w:rsidRPr="006809ED">
        <w:t>Assembly Bill</w:t>
      </w:r>
      <w:r>
        <w:t xml:space="preserve"> No.</w:t>
      </w:r>
      <w:r w:rsidRPr="006809ED">
        <w:t xml:space="preserve"> 518</w:t>
      </w:r>
      <w:bookmarkEnd w:id="70"/>
      <w:r w:rsidRPr="006809ED">
        <w:t xml:space="preserve"> amended </w:t>
      </w:r>
      <w:bookmarkStart w:id="71" w:name="dabmci_ae1185b35d53446b83a2d3c5bf037d1c"/>
      <w:r>
        <w:t xml:space="preserve">Penal Code </w:t>
      </w:r>
      <w:r w:rsidRPr="006809ED">
        <w:t>section 654, subdivision (a)</w:t>
      </w:r>
      <w:bookmarkEnd w:id="71"/>
      <w:r>
        <w:t>,</w:t>
      </w:r>
      <w:r w:rsidRPr="006809ED">
        <w:t xml:space="preserve"> to permit an act or omission punishable under two or more provisions of law to “be punished under either of such provisions.” (</w:t>
      </w:r>
      <w:bookmarkStart w:id="72" w:name="dabmci_1eb8b511bf8b42dbb7a26f1e5082cadc"/>
      <w:r w:rsidRPr="006809ED">
        <w:t>§ 654, subd. (a)</w:t>
      </w:r>
      <w:bookmarkEnd w:id="72"/>
      <w:r w:rsidRPr="006809ED">
        <w:t xml:space="preserve">; Stats. 2021, </w:t>
      </w:r>
      <w:proofErr w:type="spellStart"/>
      <w:r w:rsidRPr="006809ED">
        <w:t>ch.</w:t>
      </w:r>
      <w:proofErr w:type="spellEnd"/>
      <w:r w:rsidRPr="006809ED">
        <w:t xml:space="preserve"> 441, § 1.)</w:t>
      </w:r>
      <w:r>
        <w:t xml:space="preserve">  As a result</w:t>
      </w:r>
      <w:r w:rsidRPr="006809ED">
        <w:t xml:space="preserve">, </w:t>
      </w:r>
      <w:r>
        <w:t>“</w:t>
      </w:r>
      <w:r w:rsidRPr="006809ED">
        <w:t xml:space="preserve">a trial court is no longer required to punish under </w:t>
      </w:r>
      <w:r w:rsidRPr="006809ED">
        <w:lastRenderedPageBreak/>
        <w:t>the longest possible term of imprisonment when multiple offenses are based on the same act or omission.</w:t>
      </w:r>
      <w:r>
        <w:t>”  (</w:t>
      </w:r>
      <w:bookmarkStart w:id="73" w:name="dabmci_ec77d7ba595043b5b7f8f80e594f380c"/>
      <w:r w:rsidRPr="006809ED">
        <w:rPr>
          <w:i/>
          <w:iCs/>
        </w:rPr>
        <w:t>People v. White</w:t>
      </w:r>
      <w:r>
        <w:t xml:space="preserve"> </w:t>
      </w:r>
      <w:r w:rsidRPr="006809ED">
        <w:t>(2022) 86 Cal.App.5th 1229, 1236</w:t>
      </w:r>
      <w:bookmarkEnd w:id="73"/>
      <w:r w:rsidRPr="006809ED">
        <w:t>.)</w:t>
      </w:r>
    </w:p>
    <w:p w14:paraId="2FAFE878" w14:textId="77777777" w:rsidR="00502ADD" w:rsidRDefault="00502ADD" w:rsidP="008F5EC4">
      <w:pPr>
        <w:ind w:firstLine="720"/>
      </w:pPr>
      <w:r>
        <w:t xml:space="preserve">J.M. argues that because </w:t>
      </w:r>
      <w:r>
        <w:t>his</w:t>
      </w:r>
      <w:r>
        <w:t xml:space="preserve"> case </w:t>
      </w:r>
      <w:r>
        <w:t xml:space="preserve">remains </w:t>
      </w:r>
      <w:r>
        <w:t xml:space="preserve">on direct appeal and </w:t>
      </w:r>
      <w:r>
        <w:t xml:space="preserve">not </w:t>
      </w:r>
      <w:r>
        <w:t xml:space="preserve">yet </w:t>
      </w:r>
      <w:r>
        <w:t xml:space="preserve">final, he is entitled </w:t>
      </w:r>
      <w:r>
        <w:t xml:space="preserve">to the benefit of the </w:t>
      </w:r>
      <w:r>
        <w:t>ameliorative</w:t>
      </w:r>
      <w:r w:rsidRPr="006D0158">
        <w:t xml:space="preserve"> changes in the law effected by</w:t>
      </w:r>
      <w:r>
        <w:t xml:space="preserve"> </w:t>
      </w:r>
      <w:bookmarkStart w:id="74" w:name="dabmci_09567e548acf478a910f37f9b8dd8f45"/>
      <w:r>
        <w:t>Senate Bill No. 567</w:t>
      </w:r>
      <w:bookmarkEnd w:id="74"/>
      <w:r>
        <w:t xml:space="preserve"> and </w:t>
      </w:r>
      <w:bookmarkStart w:id="75" w:name="dabmci_06ceed5f46a84538bc5a1c383a66ace3"/>
      <w:r>
        <w:t>Assembly Bill No. 518</w:t>
      </w:r>
      <w:bookmarkEnd w:id="75"/>
      <w:r>
        <w:t xml:space="preserve">.  </w:t>
      </w:r>
      <w:r>
        <w:t>Thus</w:t>
      </w:r>
      <w:r w:rsidRPr="00E7389D">
        <w:t>, if</w:t>
      </w:r>
      <w:r w:rsidRPr="00E7389D">
        <w:t xml:space="preserve"> </w:t>
      </w:r>
      <w:r>
        <w:t>the</w:t>
      </w:r>
      <w:r w:rsidRPr="00E7389D">
        <w:t xml:space="preserve"> current transfer order is affirmed</w:t>
      </w:r>
      <w:r w:rsidRPr="00E7389D">
        <w:t xml:space="preserve"> or he is again transferred to adult criminal court</w:t>
      </w:r>
      <w:r w:rsidRPr="00E7389D">
        <w:t xml:space="preserve"> on remand</w:t>
      </w:r>
      <w:r w:rsidRPr="00E7389D">
        <w:t xml:space="preserve">, J.M. contends </w:t>
      </w:r>
      <w:r w:rsidRPr="00E7389D">
        <w:t xml:space="preserve">he </w:t>
      </w:r>
      <w:r w:rsidRPr="00E7389D">
        <w:t>must</w:t>
      </w:r>
      <w:r w:rsidRPr="00E7389D">
        <w:t xml:space="preserve"> receive a </w:t>
      </w:r>
      <w:r w:rsidRPr="00E7389D">
        <w:t>new sentencing hearing</w:t>
      </w:r>
      <w:r w:rsidRPr="00E7389D">
        <w:t xml:space="preserve"> at which the court</w:t>
      </w:r>
      <w:r>
        <w:t xml:space="preserve"> may exercise its discretion </w:t>
      </w:r>
      <w:r w:rsidRPr="00E31C91">
        <w:t xml:space="preserve">under the </w:t>
      </w:r>
      <w:r>
        <w:t>current</w:t>
      </w:r>
      <w:r w:rsidRPr="00E31C91">
        <w:t xml:space="preserve"> sentencing </w:t>
      </w:r>
      <w:r>
        <w:t>scheme</w:t>
      </w:r>
      <w:r>
        <w:t>.</w:t>
      </w:r>
      <w:r>
        <w:rPr>
          <w:rStyle w:val="FootnoteReference"/>
        </w:rPr>
        <w:footnoteReference w:id="3"/>
      </w:r>
    </w:p>
    <w:p w14:paraId="0A760BD4" w14:textId="77777777" w:rsidR="00502ADD" w:rsidRDefault="00502ADD" w:rsidP="008F5EC4">
      <w:pPr>
        <w:ind w:firstLine="720"/>
      </w:pPr>
      <w:r>
        <w:t xml:space="preserve">The People </w:t>
      </w:r>
      <w:r>
        <w:t>do not</w:t>
      </w:r>
      <w:r>
        <w:t xml:space="preserve"> dispute that </w:t>
      </w:r>
      <w:bookmarkStart w:id="77" w:name="dabmci_62b5ce189eb8431f86296fad720f18ca"/>
      <w:r>
        <w:t>Senate Bill No. 567</w:t>
      </w:r>
      <w:bookmarkEnd w:id="77"/>
      <w:r>
        <w:t xml:space="preserve"> and </w:t>
      </w:r>
      <w:bookmarkStart w:id="78" w:name="dabmci_885e249f3c284d23a684e61655a8dc6a"/>
      <w:r w:rsidRPr="006809ED">
        <w:t>Assembly Bill</w:t>
      </w:r>
      <w:r>
        <w:t xml:space="preserve"> No.</w:t>
      </w:r>
      <w:r w:rsidRPr="006809ED">
        <w:t xml:space="preserve"> 518</w:t>
      </w:r>
      <w:bookmarkEnd w:id="78"/>
      <w:r>
        <w:t xml:space="preserve"> are ameliorative </w:t>
      </w:r>
      <w:r>
        <w:t xml:space="preserve">changes in </w:t>
      </w:r>
      <w:r>
        <w:t>the law</w:t>
      </w:r>
      <w:r>
        <w:t xml:space="preserve"> that </w:t>
      </w:r>
      <w:r>
        <w:t xml:space="preserve">apply retroactively </w:t>
      </w:r>
      <w:r>
        <w:t xml:space="preserve">to nonfinal cases </w:t>
      </w:r>
      <w:r>
        <w:t xml:space="preserve">under </w:t>
      </w:r>
      <w:r w:rsidRPr="00047CAF">
        <w:rPr>
          <w:i/>
          <w:iCs/>
        </w:rPr>
        <w:t>Estrada</w:t>
      </w:r>
      <w:r>
        <w:t>.  (</w:t>
      </w:r>
      <w:bookmarkStart w:id="79" w:name="dabmci_5414a8b31ebe414ebeacb86a2abc3e2b"/>
      <w:r w:rsidRPr="006809ED">
        <w:rPr>
          <w:i/>
          <w:iCs/>
        </w:rPr>
        <w:t>People v. White</w:t>
      </w:r>
      <w:r w:rsidRPr="00321A7B">
        <w:rPr>
          <w:i/>
          <w:iCs/>
        </w:rPr>
        <w:t>,</w:t>
      </w:r>
      <w:r>
        <w:t xml:space="preserve"> </w:t>
      </w:r>
      <w:r w:rsidRPr="006D0158">
        <w:rPr>
          <w:i/>
          <w:iCs/>
        </w:rPr>
        <w:t>supra</w:t>
      </w:r>
      <w:r w:rsidRPr="00621FD9">
        <w:rPr>
          <w:iCs/>
        </w:rPr>
        <w:t>,</w:t>
      </w:r>
      <w:r>
        <w:t xml:space="preserve"> </w:t>
      </w:r>
      <w:r w:rsidRPr="006809ED">
        <w:t xml:space="preserve">86 Cal.App.5th </w:t>
      </w:r>
      <w:r>
        <w:t>at p.</w:t>
      </w:r>
      <w:r w:rsidRPr="006809ED">
        <w:t xml:space="preserve"> 1236</w:t>
      </w:r>
      <w:bookmarkEnd w:id="79"/>
      <w:r>
        <w:t xml:space="preserve">; </w:t>
      </w:r>
      <w:bookmarkStart w:id="80" w:name="dabmci_e0e31973a91849e9a717fd2048fc4d77"/>
      <w:r w:rsidRPr="006D0158">
        <w:rPr>
          <w:i/>
          <w:iCs/>
        </w:rPr>
        <w:t>People v. Jones</w:t>
      </w:r>
      <w:r>
        <w:t xml:space="preserve"> </w:t>
      </w:r>
      <w:r w:rsidRPr="006D0158">
        <w:t>(2022) 79</w:t>
      </w:r>
      <w:r>
        <w:t> </w:t>
      </w:r>
      <w:r w:rsidRPr="006D0158">
        <w:t>Cal.App.5th 37, 45</w:t>
      </w:r>
      <w:bookmarkEnd w:id="80"/>
      <w:r>
        <w:t xml:space="preserve">.)  </w:t>
      </w:r>
      <w:r>
        <w:t xml:space="preserve">They instead </w:t>
      </w:r>
      <w:r>
        <w:t xml:space="preserve">contend </w:t>
      </w:r>
      <w:r>
        <w:t xml:space="preserve">that </w:t>
      </w:r>
      <w:r>
        <w:t>these ameliorative changes</w:t>
      </w:r>
      <w:r>
        <w:t xml:space="preserve"> </w:t>
      </w:r>
      <w:r>
        <w:t xml:space="preserve">do not apply to J.M. because </w:t>
      </w:r>
      <w:r>
        <w:t>his sentence</w:t>
      </w:r>
      <w:r>
        <w:t xml:space="preserve">, having been </w:t>
      </w:r>
      <w:r w:rsidRPr="00D900F0">
        <w:t>conditionally</w:t>
      </w:r>
      <w:r>
        <w:t xml:space="preserve"> reversed and </w:t>
      </w:r>
      <w:r>
        <w:t>subsequently</w:t>
      </w:r>
      <w:r>
        <w:t xml:space="preserve"> reinstated, is now “</w:t>
      </w:r>
      <w:r>
        <w:t xml:space="preserve">affirmed and </w:t>
      </w:r>
      <w:r>
        <w:t>final.”</w:t>
      </w:r>
    </w:p>
    <w:p w14:paraId="6DB07B63" w14:textId="77777777" w:rsidR="00502ADD" w:rsidRDefault="00502ADD" w:rsidP="008F5EC4">
      <w:pPr>
        <w:ind w:firstLine="720"/>
      </w:pPr>
      <w:r>
        <w:t xml:space="preserve">The People’s argument has </w:t>
      </w:r>
      <w:r>
        <w:t>surface</w:t>
      </w:r>
      <w:r>
        <w:t xml:space="preserve"> appeal</w:t>
      </w:r>
      <w:r>
        <w:t xml:space="preserve">.  In general, when a judgment is reversed and remanded with directions, </w:t>
      </w:r>
      <w:proofErr w:type="gramStart"/>
      <w:r>
        <w:t>“</w:t>
      </w:r>
      <w:r>
        <w:t> </w:t>
      </w:r>
      <w:r>
        <w:t>‘</w:t>
      </w:r>
      <w:proofErr w:type="gramEnd"/>
      <w:r w:rsidRPr="00530215">
        <w:t>those directions are binding on the trial court and </w:t>
      </w:r>
      <w:r w:rsidRPr="00530215">
        <w:rPr>
          <w:i/>
          <w:iCs/>
        </w:rPr>
        <w:t>must</w:t>
      </w:r>
      <w:r w:rsidRPr="00530215">
        <w:t> be followed.</w:t>
      </w:r>
      <w:r>
        <w:t>’</w:t>
      </w:r>
      <w:r>
        <w:t> </w:t>
      </w:r>
      <w:r>
        <w:t xml:space="preserve">” </w:t>
      </w:r>
      <w:r>
        <w:t xml:space="preserve"> </w:t>
      </w:r>
      <w:r w:rsidRPr="00530215">
        <w:t>(</w:t>
      </w:r>
      <w:bookmarkStart w:id="81" w:name="dabmci_67fd1d84daeb4c5ea102a07deb62a1e2"/>
      <w:r w:rsidRPr="00530215">
        <w:rPr>
          <w:i/>
          <w:iCs/>
        </w:rPr>
        <w:t>Ayyad v. Sprint Spectrum</w:t>
      </w:r>
      <w:r w:rsidRPr="00621FD9">
        <w:rPr>
          <w:iCs/>
        </w:rPr>
        <w:t>,</w:t>
      </w:r>
      <w:r w:rsidRPr="00530215">
        <w:rPr>
          <w:i/>
          <w:iCs/>
        </w:rPr>
        <w:t xml:space="preserve"> L.P.</w:t>
      </w:r>
      <w:r w:rsidRPr="00530215">
        <w:t> (2012) 210 Cal.App.4th 851, 860</w:t>
      </w:r>
      <w:r>
        <w:t xml:space="preserve"> (</w:t>
      </w:r>
      <w:r w:rsidRPr="007123F9">
        <w:rPr>
          <w:i/>
          <w:iCs/>
        </w:rPr>
        <w:t>Ayyad</w:t>
      </w:r>
      <w:r>
        <w:t>)</w:t>
      </w:r>
      <w:bookmarkEnd w:id="81"/>
      <w:r>
        <w:t xml:space="preserve">; </w:t>
      </w:r>
      <w:r>
        <w:t xml:space="preserve">accord, </w:t>
      </w:r>
      <w:bookmarkStart w:id="82" w:name="dabmci_a234723e78e54909813dbd8803024f6e"/>
      <w:r w:rsidRPr="00890C35">
        <w:rPr>
          <w:i/>
          <w:iCs/>
        </w:rPr>
        <w:t>Butler v. Superior Court</w:t>
      </w:r>
      <w:r w:rsidRPr="00890C35">
        <w:t> </w:t>
      </w:r>
      <w:r w:rsidRPr="00321A7B">
        <w:rPr>
          <w:i/>
          <w:iCs/>
        </w:rPr>
        <w:t>of Los Angeles County</w:t>
      </w:r>
      <w:r>
        <w:t xml:space="preserve"> </w:t>
      </w:r>
      <w:r w:rsidRPr="00890C35">
        <w:t>(2002) 104</w:t>
      </w:r>
      <w:r>
        <w:t> </w:t>
      </w:r>
      <w:r w:rsidRPr="00890C35">
        <w:t>Cal.App.4th 979, 982</w:t>
      </w:r>
      <w:bookmarkEnd w:id="82"/>
      <w:r>
        <w:t xml:space="preserve">.)  </w:t>
      </w:r>
      <w:r w:rsidRPr="00890C35">
        <w:t>The order of the appellate court</w:t>
      </w:r>
      <w:r>
        <w:t xml:space="preserve">, as stated in the remittitur, </w:t>
      </w:r>
      <w:r>
        <w:t>defines the scope of the trial court’s jurisdiction to act</w:t>
      </w:r>
      <w:r>
        <w:t xml:space="preserve">, and action which does not conform to the reviewing court’s directions is unauthorized and void.  </w:t>
      </w:r>
      <w:r w:rsidRPr="007123F9">
        <w:t>(</w:t>
      </w:r>
      <w:bookmarkStart w:id="83" w:name="dabmci_f4cd7780e45e4277aa30ee4ee1a85117"/>
      <w:r w:rsidRPr="007123F9">
        <w:rPr>
          <w:i/>
          <w:iCs/>
        </w:rPr>
        <w:t>Griset v. Fair Political Practices Com.</w:t>
      </w:r>
      <w:r>
        <w:t xml:space="preserve"> </w:t>
      </w:r>
      <w:r w:rsidRPr="007123F9">
        <w:t>(2001) 25</w:t>
      </w:r>
      <w:r>
        <w:t> </w:t>
      </w:r>
      <w:r w:rsidRPr="007123F9">
        <w:t>Cal.4th 688, 701</w:t>
      </w:r>
      <w:bookmarkEnd w:id="83"/>
      <w:r>
        <w:t xml:space="preserve">; </w:t>
      </w:r>
      <w:bookmarkStart w:id="84" w:name="dabmci_88967f2050334119b9903d39af41187d"/>
      <w:r w:rsidRPr="007123F9">
        <w:rPr>
          <w:i/>
          <w:iCs/>
        </w:rPr>
        <w:t>Ayyad</w:t>
      </w:r>
      <w:r w:rsidRPr="00321A7B">
        <w:rPr>
          <w:i/>
        </w:rPr>
        <w:t>,</w:t>
      </w:r>
      <w:r>
        <w:rPr>
          <w:i/>
          <w:iCs/>
        </w:rPr>
        <w:t xml:space="preserve"> supra</w:t>
      </w:r>
      <w:r w:rsidRPr="007123F9">
        <w:t>,</w:t>
      </w:r>
      <w:r>
        <w:rPr>
          <w:i/>
          <w:iCs/>
        </w:rPr>
        <w:t xml:space="preserve"> </w:t>
      </w:r>
      <w:r>
        <w:t>at p.</w:t>
      </w:r>
      <w:r w:rsidRPr="007123F9">
        <w:t xml:space="preserve"> 860</w:t>
      </w:r>
      <w:bookmarkEnd w:id="84"/>
      <w:r>
        <w:t>.)</w:t>
      </w:r>
    </w:p>
    <w:p w14:paraId="267A67B9" w14:textId="77777777" w:rsidR="00502ADD" w:rsidRDefault="00502ADD" w:rsidP="00063283">
      <w:pPr>
        <w:ind w:firstLine="720"/>
      </w:pPr>
      <w:r>
        <w:lastRenderedPageBreak/>
        <w:t xml:space="preserve">Here, </w:t>
      </w:r>
      <w:r>
        <w:t>J.M.’s judgment was conditionally reversed and remanded with directions</w:t>
      </w:r>
      <w:r>
        <w:t xml:space="preserve"> </w:t>
      </w:r>
      <w:r>
        <w:t>to conduct a transfer hearing consistent with our opinion.  (</w:t>
      </w:r>
      <w:r w:rsidRPr="00E22AD8">
        <w:rPr>
          <w:i/>
          <w:iCs/>
        </w:rPr>
        <w:t>McKeever</w:t>
      </w:r>
      <w:r>
        <w:rPr>
          <w:i/>
          <w:iCs/>
        </w:rPr>
        <w:t xml:space="preserve">, supra, </w:t>
      </w:r>
      <w:r w:rsidRPr="00E22AD8">
        <w:t>C083997</w:t>
      </w:r>
      <w:r>
        <w:t>.</w:t>
      </w:r>
      <w:r w:rsidRPr="00E22AD8">
        <w:t>)</w:t>
      </w:r>
      <w:r>
        <w:t xml:space="preserve">  </w:t>
      </w:r>
      <w:r>
        <w:t xml:space="preserve">Our opinion </w:t>
      </w:r>
      <w:r w:rsidRPr="007E2381">
        <w:t>directed</w:t>
      </w:r>
      <w:r>
        <w:t xml:space="preserve"> that </w:t>
      </w:r>
      <w:r>
        <w:t>“[</w:t>
      </w:r>
      <w:proofErr w:type="spellStart"/>
      <w:r>
        <w:t>i</w:t>
      </w:r>
      <w:proofErr w:type="spellEnd"/>
      <w:r>
        <w:t xml:space="preserve">]f, after conducting the </w:t>
      </w:r>
      <w:r>
        <w:t>juvenile transfer hearing, the court determines that it would have transferred defendant to a court of criminal jurisdiction .</w:t>
      </w:r>
      <w:r>
        <w:t> </w:t>
      </w:r>
      <w:r>
        <w:t>.</w:t>
      </w:r>
      <w:r>
        <w:t> </w:t>
      </w:r>
      <w:r>
        <w:t>.</w:t>
      </w:r>
      <w:r>
        <w:t> </w:t>
      </w:r>
      <w:r>
        <w:t xml:space="preserve">then defendant’s convictions and sentence are to be reinstated.”  </w:t>
      </w:r>
      <w:r>
        <w:t>(</w:t>
      </w:r>
      <w:bookmarkStart w:id="85" w:name="dabmci_39ba78c9dbb040be9b10eb619cd2f94a"/>
      <w:r w:rsidRPr="002F6A41">
        <w:rPr>
          <w:i/>
          <w:iCs/>
        </w:rPr>
        <w:t>Ibid</w:t>
      </w:r>
      <w:r>
        <w:t>.</w:t>
      </w:r>
      <w:bookmarkEnd w:id="85"/>
      <w:r>
        <w:t xml:space="preserve">)  </w:t>
      </w:r>
      <w:r>
        <w:t xml:space="preserve">Consistent with </w:t>
      </w:r>
      <w:r>
        <w:t>our</w:t>
      </w:r>
      <w:r>
        <w:t xml:space="preserve"> directions, the court conducted </w:t>
      </w:r>
      <w:r>
        <w:t>a</w:t>
      </w:r>
      <w:r>
        <w:t xml:space="preserve"> juvenile transfer hearing</w:t>
      </w:r>
      <w:r>
        <w:t xml:space="preserve"> and </w:t>
      </w:r>
      <w:r>
        <w:t xml:space="preserve">determined </w:t>
      </w:r>
      <w:r w:rsidRPr="009A079F">
        <w:t xml:space="preserve">that it would have transferred </w:t>
      </w:r>
      <w:r>
        <w:t xml:space="preserve">J.M. to adult </w:t>
      </w:r>
      <w:r>
        <w:t xml:space="preserve">criminal </w:t>
      </w:r>
      <w:r>
        <w:t xml:space="preserve">court.  </w:t>
      </w:r>
      <w:r>
        <w:t>Thus</w:t>
      </w:r>
      <w:r>
        <w:t xml:space="preserve">, </w:t>
      </w:r>
      <w:r>
        <w:t xml:space="preserve">the court arguably </w:t>
      </w:r>
      <w:r w:rsidRPr="000866C2">
        <w:t xml:space="preserve">did not have jurisdiction to </w:t>
      </w:r>
      <w:r w:rsidRPr="00E90EF1">
        <w:t xml:space="preserve">do anything other than reinstate the </w:t>
      </w:r>
      <w:r>
        <w:t>prior sentence</w:t>
      </w:r>
      <w:r w:rsidRPr="00E90EF1">
        <w:t xml:space="preserve">.  </w:t>
      </w:r>
      <w:r w:rsidRPr="00E90EF1">
        <w:t>(</w:t>
      </w:r>
      <w:r w:rsidRPr="00E90EF1">
        <w:t xml:space="preserve">See </w:t>
      </w:r>
      <w:bookmarkStart w:id="86" w:name="dabmci_6afd6bdb3d94457e92f4842465e5798b"/>
      <w:r w:rsidRPr="00E90EF1">
        <w:rPr>
          <w:i/>
          <w:iCs/>
        </w:rPr>
        <w:t>People v. Lopez</w:t>
      </w:r>
      <w:r w:rsidRPr="00E90EF1">
        <w:t xml:space="preserve"> (2023) 93 Cal.App.5t</w:t>
      </w:r>
      <w:r w:rsidRPr="00E90EF1">
        <w:t>h 1110, 1119-1120</w:t>
      </w:r>
      <w:bookmarkEnd w:id="86"/>
      <w:r w:rsidRPr="00E90EF1">
        <w:t>, review granted, Nov. 15, 2023, S281488</w:t>
      </w:r>
      <w:r>
        <w:t>, fully briefed</w:t>
      </w:r>
      <w:r w:rsidRPr="00E90EF1">
        <w:t>.</w:t>
      </w:r>
      <w:r w:rsidRPr="00E90EF1">
        <w:t>)</w:t>
      </w:r>
    </w:p>
    <w:p w14:paraId="40E9E745" w14:textId="77777777" w:rsidR="00502ADD" w:rsidRDefault="00502ADD" w:rsidP="00374506">
      <w:pPr>
        <w:ind w:firstLine="720"/>
      </w:pPr>
      <w:r>
        <w:t xml:space="preserve">However, </w:t>
      </w:r>
      <w:r>
        <w:t xml:space="preserve">even if there were constraints on the trial court’s jurisdiction, </w:t>
      </w:r>
      <w:r w:rsidRPr="005A6D39">
        <w:t>the California Supreme Court</w:t>
      </w:r>
      <w:r>
        <w:t>’s</w:t>
      </w:r>
      <w:r w:rsidRPr="005A6D39">
        <w:t xml:space="preserve"> </w:t>
      </w:r>
      <w:r>
        <w:t xml:space="preserve">decisions in </w:t>
      </w:r>
      <w:bookmarkStart w:id="87" w:name="dabmci_99019f11e7ce4faab31585bf7b81ad33"/>
      <w:r w:rsidRPr="004E4A1D">
        <w:rPr>
          <w:i/>
          <w:iCs/>
        </w:rPr>
        <w:t>Esquivel</w:t>
      </w:r>
      <w:r w:rsidRPr="00321A7B">
        <w:rPr>
          <w:i/>
        </w:rPr>
        <w:t>,</w:t>
      </w:r>
      <w:r>
        <w:t xml:space="preserve"> </w:t>
      </w:r>
      <w:r w:rsidRPr="005A6D39">
        <w:rPr>
          <w:i/>
          <w:iCs/>
        </w:rPr>
        <w:t>supra</w:t>
      </w:r>
      <w:r>
        <w:t xml:space="preserve">, </w:t>
      </w:r>
      <w:r w:rsidRPr="004E4A1D">
        <w:t>11 Cal.5th 671</w:t>
      </w:r>
      <w:bookmarkEnd w:id="87"/>
      <w:r w:rsidRPr="004E4A1D">
        <w:t xml:space="preserve">, </w:t>
      </w:r>
      <w:r>
        <w:t xml:space="preserve">and </w:t>
      </w:r>
      <w:bookmarkStart w:id="88" w:name="dabmci_d15c22e5e68b498aa53a657cc9872b34"/>
      <w:r w:rsidRPr="00717E80">
        <w:rPr>
          <w:i/>
          <w:iCs/>
        </w:rPr>
        <w:t>Padilla</w:t>
      </w:r>
      <w:r w:rsidRPr="00321A7B">
        <w:rPr>
          <w:i/>
          <w:iCs/>
        </w:rPr>
        <w:t>,</w:t>
      </w:r>
      <w:r>
        <w:t xml:space="preserve"> </w:t>
      </w:r>
      <w:r w:rsidRPr="005A6D39">
        <w:rPr>
          <w:i/>
          <w:iCs/>
        </w:rPr>
        <w:t>supra</w:t>
      </w:r>
      <w:r>
        <w:t xml:space="preserve">, 13 </w:t>
      </w:r>
      <w:r>
        <w:t>Cal.5th 152</w:t>
      </w:r>
      <w:bookmarkEnd w:id="88"/>
      <w:r>
        <w:t xml:space="preserve">, make clear that the </w:t>
      </w:r>
      <w:r>
        <w:t xml:space="preserve">guiding principle of </w:t>
      </w:r>
      <w:r w:rsidRPr="00200B4E">
        <w:rPr>
          <w:i/>
          <w:iCs/>
        </w:rPr>
        <w:t>Estrada</w:t>
      </w:r>
      <w:r>
        <w:t xml:space="preserve"> is that a law lessening punishment for a crime is presumed to apply to every case to which it </w:t>
      </w:r>
      <w:r w:rsidRPr="008C0885">
        <w:rPr>
          <w:i/>
          <w:iCs/>
        </w:rPr>
        <w:t>constitutionally</w:t>
      </w:r>
      <w:r>
        <w:t xml:space="preserve"> could apply—d</w:t>
      </w:r>
      <w:r w:rsidRPr="008C0885">
        <w:t>istinguishing only between cases that are final and those that are not</w:t>
      </w:r>
      <w:r w:rsidRPr="00680B25">
        <w:t>.</w:t>
      </w:r>
      <w:r>
        <w:t xml:space="preserve">  (</w:t>
      </w:r>
      <w:bookmarkStart w:id="89" w:name="dabmci_b47d8cbeeec54c1084b35eb694f8b05d"/>
      <w:r w:rsidRPr="00680B25">
        <w:rPr>
          <w:i/>
          <w:iCs/>
        </w:rPr>
        <w:t>Esquivel</w:t>
      </w:r>
      <w:r w:rsidRPr="00321A7B">
        <w:rPr>
          <w:i/>
        </w:rPr>
        <w:t>,</w:t>
      </w:r>
      <w:r>
        <w:t xml:space="preserve"> </w:t>
      </w:r>
      <w:r w:rsidRPr="00680B25">
        <w:rPr>
          <w:i/>
          <w:iCs/>
        </w:rPr>
        <w:t>supra</w:t>
      </w:r>
      <w:r>
        <w:t>, at pp. 674, 677-679</w:t>
      </w:r>
      <w:bookmarkEnd w:id="89"/>
      <w:r>
        <w:t xml:space="preserve">; </w:t>
      </w:r>
      <w:bookmarkStart w:id="90" w:name="dabmci_fbacae9f8052461e9b3e984fde3dee04"/>
      <w:r w:rsidRPr="00855398">
        <w:rPr>
          <w:i/>
          <w:iCs/>
        </w:rPr>
        <w:t>Padilla</w:t>
      </w:r>
      <w:r w:rsidRPr="00621FD9">
        <w:rPr>
          <w:iCs/>
        </w:rPr>
        <w:t>,</w:t>
      </w:r>
      <w:r>
        <w:t xml:space="preserve"> </w:t>
      </w:r>
      <w:r w:rsidRPr="00855398">
        <w:rPr>
          <w:i/>
          <w:iCs/>
        </w:rPr>
        <w:t>supra</w:t>
      </w:r>
      <w:r w:rsidRPr="00321A7B">
        <w:rPr>
          <w:i/>
          <w:iCs/>
        </w:rPr>
        <w:t>,</w:t>
      </w:r>
      <w:r>
        <w:t xml:space="preserve"> at pp. 160-162</w:t>
      </w:r>
      <w:bookmarkEnd w:id="90"/>
      <w:r>
        <w:t xml:space="preserve">; see </w:t>
      </w:r>
      <w:bookmarkStart w:id="91" w:name="dabmci_1c47aaa11bb849448a4ca2d9ceb0d1fb"/>
      <w:r w:rsidRPr="008C0885">
        <w:rPr>
          <w:i/>
          <w:iCs/>
        </w:rPr>
        <w:t>Lara</w:t>
      </w:r>
      <w:r w:rsidRPr="00321A7B">
        <w:rPr>
          <w:i/>
        </w:rPr>
        <w:t>,</w:t>
      </w:r>
      <w:r w:rsidRPr="008C0885">
        <w:t xml:space="preserve"> </w:t>
      </w:r>
      <w:r w:rsidRPr="008C0885">
        <w:rPr>
          <w:i/>
          <w:iCs/>
        </w:rPr>
        <w:t>supra</w:t>
      </w:r>
      <w:r w:rsidRPr="008C0885">
        <w:t>, 4 Cal.5th at p. 308</w:t>
      </w:r>
      <w:bookmarkEnd w:id="91"/>
      <w:r>
        <w:t xml:space="preserve">.)  Further, the cutoff point for “finality” is the date when the </w:t>
      </w:r>
      <w:r w:rsidRPr="00A9634E">
        <w:t xml:space="preserve">criminal prosecution or proceeding </w:t>
      </w:r>
      <w:proofErr w:type="gramStart"/>
      <w:r w:rsidRPr="00A9634E">
        <w:t>as a whole is</w:t>
      </w:r>
      <w:proofErr w:type="gramEnd"/>
      <w:r w:rsidRPr="00A9634E">
        <w:t xml:space="preserve"> complete</w:t>
      </w:r>
      <w:r>
        <w:t>.  (</w:t>
      </w:r>
      <w:bookmarkStart w:id="92" w:name="dabmci_9a84b16ccb07490e95f1f5f6c336f2cf"/>
      <w:r w:rsidRPr="00937328">
        <w:rPr>
          <w:i/>
          <w:iCs/>
        </w:rPr>
        <w:t>Esquivel</w:t>
      </w:r>
      <w:r w:rsidRPr="00621FD9">
        <w:rPr>
          <w:iCs/>
        </w:rPr>
        <w:t>,</w:t>
      </w:r>
      <w:r>
        <w:t xml:space="preserve"> </w:t>
      </w:r>
      <w:r w:rsidRPr="00937328">
        <w:rPr>
          <w:i/>
          <w:iCs/>
        </w:rPr>
        <w:t>supra</w:t>
      </w:r>
      <w:r>
        <w:t>, at</w:t>
      </w:r>
      <w:r>
        <w:t xml:space="preserve"> p.</w:t>
      </w:r>
      <w:r>
        <w:t> </w:t>
      </w:r>
      <w:r>
        <w:t>679</w:t>
      </w:r>
      <w:bookmarkEnd w:id="92"/>
      <w:r>
        <w:t xml:space="preserve">; </w:t>
      </w:r>
      <w:bookmarkStart w:id="93" w:name="dabmci_27691a6f9a624293ab5a2dd5a620193b"/>
      <w:r w:rsidRPr="00937328">
        <w:rPr>
          <w:i/>
          <w:iCs/>
        </w:rPr>
        <w:t>Padilla</w:t>
      </w:r>
      <w:r w:rsidRPr="00621FD9">
        <w:rPr>
          <w:iCs/>
        </w:rPr>
        <w:t>,</w:t>
      </w:r>
      <w:r>
        <w:t xml:space="preserve"> </w:t>
      </w:r>
      <w:r w:rsidRPr="00937328">
        <w:rPr>
          <w:i/>
          <w:iCs/>
        </w:rPr>
        <w:t>supra</w:t>
      </w:r>
      <w:r>
        <w:t>, at p. 161</w:t>
      </w:r>
      <w:bookmarkEnd w:id="93"/>
      <w:r>
        <w:t xml:space="preserve">; accord, </w:t>
      </w:r>
      <w:bookmarkStart w:id="94" w:name="dabmci_0a259fabdb434986ba33740c00c3ae08"/>
      <w:r w:rsidRPr="00A9634E">
        <w:rPr>
          <w:i/>
          <w:iCs/>
        </w:rPr>
        <w:t>People v. Mitchell</w:t>
      </w:r>
      <w:r w:rsidRPr="00A9634E">
        <w:t> (2023) 97 Cal.App.5th 1127, 1139</w:t>
      </w:r>
      <w:bookmarkEnd w:id="94"/>
      <w:r>
        <w:t xml:space="preserve">, review granted, </w:t>
      </w:r>
      <w:r w:rsidRPr="00A9634E">
        <w:t>Feb. 21, 2024, S283474</w:t>
      </w:r>
      <w:r>
        <w:t>, briefing deferred</w:t>
      </w:r>
      <w:r w:rsidRPr="00A9634E">
        <w:t>.</w:t>
      </w:r>
      <w:r>
        <w:t>)</w:t>
      </w:r>
    </w:p>
    <w:p w14:paraId="685A0B58" w14:textId="77777777" w:rsidR="00502ADD" w:rsidRDefault="00502ADD" w:rsidP="00873F71">
      <w:pPr>
        <w:ind w:firstLine="720"/>
      </w:pPr>
      <w:r>
        <w:t xml:space="preserve">In </w:t>
      </w:r>
      <w:bookmarkStart w:id="95" w:name="dabmci_21ceea9d8e0b49ed83e39e120013cec6"/>
      <w:r w:rsidRPr="00271A6B">
        <w:rPr>
          <w:i/>
          <w:iCs/>
        </w:rPr>
        <w:t>Esquivel</w:t>
      </w:r>
      <w:bookmarkEnd w:id="95"/>
      <w:r>
        <w:t xml:space="preserve">, the defendant appealed from an order revoking probation and </w:t>
      </w:r>
      <w:r w:rsidRPr="00271A6B">
        <w:t>causing a previously imposed</w:t>
      </w:r>
      <w:r>
        <w:t xml:space="preserve"> </w:t>
      </w:r>
      <w:r>
        <w:t xml:space="preserve">but suspended </w:t>
      </w:r>
      <w:r w:rsidRPr="00271A6B">
        <w:t>sentence to take effect</w:t>
      </w:r>
      <w:r>
        <w:t xml:space="preserve">.  </w:t>
      </w:r>
      <w:r>
        <w:t>(</w:t>
      </w:r>
      <w:bookmarkStart w:id="96" w:name="dabmci_f693e3024bc04bfa8ec3aac98f16f86b"/>
      <w:r w:rsidRPr="004E4A1D">
        <w:rPr>
          <w:i/>
          <w:iCs/>
        </w:rPr>
        <w:t>Esquivel</w:t>
      </w:r>
      <w:r w:rsidRPr="00321A7B">
        <w:rPr>
          <w:i/>
        </w:rPr>
        <w:t>,</w:t>
      </w:r>
      <w:r>
        <w:t xml:space="preserve"> </w:t>
      </w:r>
      <w:r w:rsidRPr="005A6D39">
        <w:rPr>
          <w:i/>
          <w:iCs/>
        </w:rPr>
        <w:t>supra</w:t>
      </w:r>
      <w:r>
        <w:t xml:space="preserve">, </w:t>
      </w:r>
      <w:r w:rsidRPr="004E4A1D">
        <w:t xml:space="preserve">11 Cal.5th </w:t>
      </w:r>
      <w:r>
        <w:t>at p. 673</w:t>
      </w:r>
      <w:bookmarkEnd w:id="96"/>
      <w:r>
        <w:t xml:space="preserve">.)  </w:t>
      </w:r>
      <w:r w:rsidRPr="00C222A3">
        <w:t xml:space="preserve">During the pendency of his appeal, the Legislature amended the </w:t>
      </w:r>
      <w:r>
        <w:t>law</w:t>
      </w:r>
      <w:r w:rsidRPr="00C222A3">
        <w:t xml:space="preserve"> under which the trial court had imposed two enhancements</w:t>
      </w:r>
      <w:r>
        <w:t>.  (</w:t>
      </w:r>
      <w:bookmarkStart w:id="97" w:name="dabmci_5aa19cdb3c814e64b65d4ca5a3769512"/>
      <w:r w:rsidRPr="00C222A3">
        <w:rPr>
          <w:i/>
          <w:iCs/>
        </w:rPr>
        <w:t>Ibid</w:t>
      </w:r>
      <w:r>
        <w:t>.</w:t>
      </w:r>
      <w:bookmarkEnd w:id="97"/>
      <w:r>
        <w:t xml:space="preserve">)  </w:t>
      </w:r>
      <w:r w:rsidRPr="00C222A3">
        <w:t>The parties agreed that the amendment applie</w:t>
      </w:r>
      <w:r>
        <w:t>d</w:t>
      </w:r>
      <w:r w:rsidRPr="00C222A3">
        <w:t xml:space="preserve"> to all </w:t>
      </w:r>
      <w:r>
        <w:t xml:space="preserve">nonfinal </w:t>
      </w:r>
      <w:r w:rsidRPr="00C222A3">
        <w:t>cases</w:t>
      </w:r>
      <w:r>
        <w:t xml:space="preserve">, but </w:t>
      </w:r>
      <w:r w:rsidRPr="00C222A3">
        <w:t>disagreed</w:t>
      </w:r>
      <w:r>
        <w:t xml:space="preserve"> </w:t>
      </w:r>
      <w:r w:rsidRPr="00C222A3">
        <w:t>whether defendant</w:t>
      </w:r>
      <w:r>
        <w:t>’s</w:t>
      </w:r>
      <w:r w:rsidRPr="00C222A3">
        <w:t xml:space="preserve"> case was final</w:t>
      </w:r>
      <w:r>
        <w:t xml:space="preserve"> when the legislation took effect.  (</w:t>
      </w:r>
      <w:bookmarkStart w:id="98" w:name="dabmci_9b84f2d55695486f84459b61e211b6ae"/>
      <w:r w:rsidRPr="00C222A3">
        <w:rPr>
          <w:i/>
          <w:iCs/>
        </w:rPr>
        <w:t>Ibid</w:t>
      </w:r>
      <w:r>
        <w:t>.</w:t>
      </w:r>
      <w:bookmarkEnd w:id="98"/>
      <w:r>
        <w:t xml:space="preserve">)  The People argued that because </w:t>
      </w:r>
      <w:r>
        <w:t xml:space="preserve">the court </w:t>
      </w:r>
      <w:r w:rsidRPr="0081792A">
        <w:t>p</w:t>
      </w:r>
      <w:r w:rsidRPr="0081792A">
        <w:t>reviously had imposed a suspended</w:t>
      </w:r>
      <w:r>
        <w:t xml:space="preserve"> </w:t>
      </w:r>
      <w:r w:rsidRPr="0081792A">
        <w:t>execution sentence</w:t>
      </w:r>
      <w:r>
        <w:t xml:space="preserve">, and the defendant </w:t>
      </w:r>
      <w:r w:rsidRPr="0081792A">
        <w:t xml:space="preserve">did not </w:t>
      </w:r>
      <w:r w:rsidRPr="0081792A">
        <w:lastRenderedPageBreak/>
        <w:t>appeal</w:t>
      </w:r>
      <w:r>
        <w:t xml:space="preserve"> that order</w:t>
      </w:r>
      <w:r>
        <w:t xml:space="preserve">, </w:t>
      </w:r>
      <w:r w:rsidRPr="0081792A">
        <w:t>the defendant</w:t>
      </w:r>
      <w:r>
        <w:t>’</w:t>
      </w:r>
      <w:r w:rsidRPr="0081792A">
        <w:t>s underlying conviction became final</w:t>
      </w:r>
      <w:r>
        <w:t xml:space="preserve"> before the ameliorative legislation took effect.  (</w:t>
      </w:r>
      <w:bookmarkStart w:id="99" w:name="dabmci_dacdcd74c0ec429fbe2345c9a2339f8c"/>
      <w:r w:rsidRPr="0081792A">
        <w:rPr>
          <w:i/>
          <w:iCs/>
        </w:rPr>
        <w:t>Id</w:t>
      </w:r>
      <w:r>
        <w:t>. at p. 678</w:t>
      </w:r>
      <w:bookmarkEnd w:id="99"/>
      <w:r>
        <w:t xml:space="preserve">; see </w:t>
      </w:r>
      <w:r>
        <w:t xml:space="preserve">also </w:t>
      </w:r>
      <w:bookmarkStart w:id="100" w:name="dabmci_e7e48e867f7242bf8600304afe5e1111"/>
      <w:r w:rsidRPr="009F0F86">
        <w:rPr>
          <w:i/>
          <w:iCs/>
        </w:rPr>
        <w:t>People v. Howard</w:t>
      </w:r>
      <w:r>
        <w:t xml:space="preserve"> </w:t>
      </w:r>
      <w:r w:rsidRPr="009F0F86">
        <w:t>(1997) 16</w:t>
      </w:r>
      <w:r>
        <w:t> </w:t>
      </w:r>
      <w:r w:rsidRPr="009F0F86">
        <w:t>Cal.4th 1081, 1087-1088</w:t>
      </w:r>
      <w:bookmarkEnd w:id="100"/>
      <w:r w:rsidRPr="009F0F86">
        <w:t xml:space="preserve"> [where</w:t>
      </w:r>
      <w:r>
        <w:t xml:space="preserve"> a defendant is</w:t>
      </w:r>
      <w:r w:rsidRPr="009F0F86">
        <w:t xml:space="preserve"> </w:t>
      </w:r>
      <w:r w:rsidRPr="00F230AD">
        <w:t>placed on probation with</w:t>
      </w:r>
      <w:r>
        <w:t xml:space="preserve"> </w:t>
      </w:r>
      <w:r w:rsidRPr="0081792A">
        <w:t>a suspended</w:t>
      </w:r>
      <w:r>
        <w:t>-</w:t>
      </w:r>
      <w:r w:rsidRPr="0081792A">
        <w:t>execution sentence</w:t>
      </w:r>
      <w:r w:rsidRPr="009F0F86">
        <w:t>, revocation brings the former judgment into full force and effect</w:t>
      </w:r>
      <w:r>
        <w:t xml:space="preserve">].)  </w:t>
      </w:r>
      <w:r>
        <w:t>The court disagreed, noting “</w:t>
      </w:r>
      <w:r w:rsidRPr="0081792A">
        <w:t>the mere fact that a court has already addressed an issue in a case poses no insuperable constitutional bar to legislative activity affecting resolution of that issue</w:t>
      </w:r>
      <w:r>
        <w:t>.”  (</w:t>
      </w:r>
      <w:bookmarkStart w:id="101" w:name="dabmci_c0c40d27bfc94b33bb589a190afd193d"/>
      <w:r>
        <w:rPr>
          <w:i/>
          <w:iCs/>
        </w:rPr>
        <w:t>Esquivel</w:t>
      </w:r>
      <w:r w:rsidRPr="00621FD9">
        <w:rPr>
          <w:iCs/>
        </w:rPr>
        <w:t>,</w:t>
      </w:r>
      <w:r>
        <w:rPr>
          <w:i/>
          <w:iCs/>
        </w:rPr>
        <w:t xml:space="preserve"> supra</w:t>
      </w:r>
      <w:r w:rsidRPr="00450C4D">
        <w:t>,</w:t>
      </w:r>
      <w:r w:rsidRPr="00450C4D">
        <w:t xml:space="preserve"> </w:t>
      </w:r>
      <w:r>
        <w:t>at pp. 678-679</w:t>
      </w:r>
      <w:bookmarkEnd w:id="101"/>
      <w:r>
        <w:t xml:space="preserve">.)  </w:t>
      </w:r>
      <w:r>
        <w:t>Thus, even though there were</w:t>
      </w:r>
      <w:r>
        <w:t xml:space="preserve"> </w:t>
      </w:r>
      <w:r>
        <w:t>“constraints”</w:t>
      </w:r>
      <w:r>
        <w:t xml:space="preserve"> </w:t>
      </w:r>
      <w:r w:rsidRPr="00F230AD">
        <w:t xml:space="preserve">on </w:t>
      </w:r>
      <w:r>
        <w:t xml:space="preserve">the </w:t>
      </w:r>
      <w:r w:rsidRPr="00F230AD">
        <w:t>trial court</w:t>
      </w:r>
      <w:r>
        <w:t>’</w:t>
      </w:r>
      <w:r w:rsidRPr="00F230AD">
        <w:t xml:space="preserve">s discretion to modify </w:t>
      </w:r>
      <w:r w:rsidRPr="003B655F">
        <w:t xml:space="preserve">the </w:t>
      </w:r>
      <w:r>
        <w:t>previously</w:t>
      </w:r>
      <w:r>
        <w:t xml:space="preserve"> </w:t>
      </w:r>
      <w:r>
        <w:t>impos</w:t>
      </w:r>
      <w:r>
        <w:t xml:space="preserve">ed </w:t>
      </w:r>
      <w:r w:rsidRPr="003B655F">
        <w:t>sentence</w:t>
      </w:r>
      <w:r>
        <w:t xml:space="preserve">, </w:t>
      </w:r>
      <w:r>
        <w:t xml:space="preserve">the </w:t>
      </w:r>
      <w:r w:rsidRPr="005B7506">
        <w:t>case was not final</w:t>
      </w:r>
      <w:r>
        <w:t xml:space="preserve"> </w:t>
      </w:r>
      <w:r w:rsidRPr="005B7506">
        <w:t xml:space="preserve">for purposes of </w:t>
      </w:r>
      <w:r w:rsidRPr="005B7506">
        <w:rPr>
          <w:i/>
          <w:iCs/>
        </w:rPr>
        <w:t>Estrada</w:t>
      </w:r>
      <w:r w:rsidRPr="005B7506">
        <w:t xml:space="preserve"> because</w:t>
      </w:r>
      <w:r>
        <w:t xml:space="preserve"> </w:t>
      </w:r>
      <w:r w:rsidRPr="003B655F">
        <w:t xml:space="preserve">the </w:t>
      </w:r>
      <w:r>
        <w:t xml:space="preserve">defendant </w:t>
      </w:r>
      <w:r w:rsidRPr="003B655F">
        <w:t xml:space="preserve">still </w:t>
      </w:r>
      <w:r>
        <w:t xml:space="preserve">could </w:t>
      </w:r>
      <w:r w:rsidRPr="003B655F">
        <w:t xml:space="preserve">obtain direct review of </w:t>
      </w:r>
      <w:r>
        <w:t xml:space="preserve">the </w:t>
      </w:r>
      <w:r w:rsidRPr="003B655F">
        <w:t>order revoking probation</w:t>
      </w:r>
      <w:r>
        <w:t xml:space="preserve"> and causing that sentence to take effect</w:t>
      </w:r>
      <w:r>
        <w:t>.  (</w:t>
      </w:r>
      <w:bookmarkStart w:id="102" w:name="dabmci_68721b23dd5f450cbbb705b475e2641c"/>
      <w:r w:rsidRPr="003B655F">
        <w:rPr>
          <w:i/>
          <w:iCs/>
        </w:rPr>
        <w:t>Id</w:t>
      </w:r>
      <w:r>
        <w:t>. at pp. 673, 678-6</w:t>
      </w:r>
      <w:r>
        <w:t>80</w:t>
      </w:r>
      <w:bookmarkEnd w:id="102"/>
      <w:r>
        <w:t>.)</w:t>
      </w:r>
    </w:p>
    <w:p w14:paraId="61722188" w14:textId="77777777" w:rsidR="00502ADD" w:rsidRDefault="00502ADD" w:rsidP="00063283">
      <w:pPr>
        <w:ind w:firstLine="720"/>
      </w:pPr>
      <w:r>
        <w:t xml:space="preserve">In </w:t>
      </w:r>
      <w:bookmarkStart w:id="103" w:name="dabmci_d9b61f1dc4e941c4958f812c0b4d35d9"/>
      <w:r w:rsidRPr="00450C4D">
        <w:rPr>
          <w:i/>
          <w:iCs/>
        </w:rPr>
        <w:t>Padilla</w:t>
      </w:r>
      <w:bookmarkEnd w:id="103"/>
      <w:r>
        <w:t xml:space="preserve">, </w:t>
      </w:r>
      <w:r>
        <w:t xml:space="preserve">our </w:t>
      </w:r>
      <w:r>
        <w:t xml:space="preserve">Supreme Court held </w:t>
      </w:r>
      <w:r>
        <w:t>that even after a judgment has become final, its finality may be “reopened” as the result of a successful collateral attack.  (</w:t>
      </w:r>
      <w:bookmarkStart w:id="104" w:name="dabmci_07c8e9c42ce648b488aa242c3af45b45"/>
      <w:r w:rsidRPr="00717E80">
        <w:rPr>
          <w:i/>
          <w:iCs/>
        </w:rPr>
        <w:t>Padilla</w:t>
      </w:r>
      <w:r w:rsidRPr="00321A7B">
        <w:rPr>
          <w:i/>
        </w:rPr>
        <w:t>,</w:t>
      </w:r>
      <w:r>
        <w:t xml:space="preserve"> </w:t>
      </w:r>
      <w:r w:rsidRPr="005A6D39">
        <w:rPr>
          <w:i/>
          <w:iCs/>
        </w:rPr>
        <w:t>supra</w:t>
      </w:r>
      <w:r>
        <w:t>, 13 Cal.5th at p</w:t>
      </w:r>
      <w:r>
        <w:t>p. 158, 161-162</w:t>
      </w:r>
      <w:bookmarkEnd w:id="104"/>
      <w:r>
        <w:t xml:space="preserve">.)  The defendant in </w:t>
      </w:r>
      <w:bookmarkStart w:id="105" w:name="dabmci_7937bc6d77cb4c2586729bb233bce1fb"/>
      <w:r w:rsidRPr="009948CB">
        <w:rPr>
          <w:i/>
          <w:iCs/>
        </w:rPr>
        <w:t>Padilla</w:t>
      </w:r>
      <w:bookmarkEnd w:id="105"/>
      <w:r>
        <w:t xml:space="preserve"> </w:t>
      </w:r>
      <w:r>
        <w:t>was a juvenile</w:t>
      </w:r>
      <w:r>
        <w:t xml:space="preserve"> who stabbed his mother to death and conspired with a cousin to kill his stepfather.  (</w:t>
      </w:r>
      <w:bookmarkStart w:id="106" w:name="dabmci_e019ba3d7d6e4ff0a37cb0c3a346dce0"/>
      <w:r w:rsidRPr="001B7073">
        <w:rPr>
          <w:i/>
          <w:iCs/>
        </w:rPr>
        <w:t>Id</w:t>
      </w:r>
      <w:r>
        <w:t>. at p.</w:t>
      </w:r>
      <w:r>
        <w:t> </w:t>
      </w:r>
      <w:r>
        <w:t>159</w:t>
      </w:r>
      <w:bookmarkEnd w:id="106"/>
      <w:r>
        <w:t xml:space="preserve">.)  Following a transfer hearing at which he was determined not fit to be dealt with under juvenile court law, the defendant was </w:t>
      </w:r>
      <w:r>
        <w:t>convicted in adult criminal court and sentenced to life without the</w:t>
      </w:r>
      <w:r>
        <w:t xml:space="preserve"> possibility of parole.  (</w:t>
      </w:r>
      <w:bookmarkStart w:id="107" w:name="dabmci_9650cb189a0b4f53acfafb380bab1179"/>
      <w:r w:rsidRPr="00F230AD">
        <w:rPr>
          <w:i/>
          <w:iCs/>
        </w:rPr>
        <w:t>I</w:t>
      </w:r>
      <w:r>
        <w:rPr>
          <w:i/>
          <w:iCs/>
        </w:rPr>
        <w:t>bid</w:t>
      </w:r>
      <w:r>
        <w:t>.</w:t>
      </w:r>
      <w:bookmarkEnd w:id="107"/>
      <w:r>
        <w:t xml:space="preserve">)  After his judgment was final, the defendant successfully obtained </w:t>
      </w:r>
      <w:proofErr w:type="gramStart"/>
      <w:r>
        <w:t>resentencing</w:t>
      </w:r>
      <w:proofErr w:type="gramEnd"/>
      <w:r>
        <w:t xml:space="preserve"> </w:t>
      </w:r>
      <w:r>
        <w:t>on</w:t>
      </w:r>
      <w:r>
        <w:t xml:space="preserve"> a petition for habeas corpus related to changes in the law affecting juvenile sentencing.  (</w:t>
      </w:r>
      <w:bookmarkStart w:id="108" w:name="dabmci_ae44ea105ac14fb382d1b70c3d31200a"/>
      <w:r w:rsidRPr="009948CB">
        <w:rPr>
          <w:i/>
          <w:iCs/>
        </w:rPr>
        <w:t>Ibid</w:t>
      </w:r>
      <w:r>
        <w:t>.</w:t>
      </w:r>
      <w:bookmarkEnd w:id="108"/>
      <w:r>
        <w:t xml:space="preserve">)  While </w:t>
      </w:r>
      <w:r>
        <w:t xml:space="preserve">awaiting resentencing, California voters approved Proposition 57, </w:t>
      </w:r>
      <w:r w:rsidRPr="00450C4D">
        <w:t>provid</w:t>
      </w:r>
      <w:r>
        <w:t>ing that</w:t>
      </w:r>
      <w:r w:rsidRPr="00450C4D">
        <w:t xml:space="preserve"> a juvenile could be tried in adult court only after a transfer hearing</w:t>
      </w:r>
      <w:r>
        <w:t>.  (</w:t>
      </w:r>
      <w:bookmarkStart w:id="109" w:name="dabmci_c6ab1f9d25a44c7fb6d0881d7260d56a"/>
      <w:r w:rsidRPr="00A2289B">
        <w:rPr>
          <w:i/>
          <w:iCs/>
        </w:rPr>
        <w:t>Ibid</w:t>
      </w:r>
      <w:r>
        <w:t>.</w:t>
      </w:r>
      <w:bookmarkEnd w:id="109"/>
      <w:r>
        <w:t xml:space="preserve">)  </w:t>
      </w:r>
      <w:r>
        <w:t>T</w:t>
      </w:r>
      <w:r w:rsidRPr="00450C4D">
        <w:t xml:space="preserve">he trial court </w:t>
      </w:r>
      <w:r>
        <w:t>did not</w:t>
      </w:r>
      <w:r w:rsidRPr="00450C4D">
        <w:t xml:space="preserve"> hold a transfer hearing and again imposed</w:t>
      </w:r>
      <w:r>
        <w:t xml:space="preserve"> life imprisonment without the possibility of parole.  (</w:t>
      </w:r>
      <w:bookmarkStart w:id="110" w:name="dabmci_398d4928ab7649018d9bd90a6554d571"/>
      <w:r w:rsidRPr="00A2289B">
        <w:rPr>
          <w:i/>
          <w:iCs/>
        </w:rPr>
        <w:t>Ibid</w:t>
      </w:r>
      <w:r>
        <w:t>.</w:t>
      </w:r>
      <w:bookmarkEnd w:id="110"/>
      <w:r>
        <w:t>)</w:t>
      </w:r>
    </w:p>
    <w:p w14:paraId="727D5431" w14:textId="77777777" w:rsidR="00502ADD" w:rsidRDefault="00502ADD" w:rsidP="00063283">
      <w:pPr>
        <w:ind w:firstLine="720"/>
      </w:pPr>
      <w:r>
        <w:t xml:space="preserve">The question on appeal was whether the defendant </w:t>
      </w:r>
      <w:r>
        <w:t xml:space="preserve">was entitled </w:t>
      </w:r>
      <w:r>
        <w:t xml:space="preserve">to a transfer hearing under </w:t>
      </w:r>
      <w:r>
        <w:t xml:space="preserve">Proposition </w:t>
      </w:r>
      <w:r w:rsidRPr="009379F8">
        <w:t xml:space="preserve">57 </w:t>
      </w:r>
      <w:r>
        <w:t>because</w:t>
      </w:r>
      <w:r w:rsidRPr="009379F8">
        <w:t xml:space="preserve"> his </w:t>
      </w:r>
      <w:r>
        <w:t xml:space="preserve">case became nonfinal once his sentence was vacated in the </w:t>
      </w:r>
      <w:r w:rsidRPr="009379F8">
        <w:t>habeas</w:t>
      </w:r>
      <w:r>
        <w:t xml:space="preserve"> corpus proceeding</w:t>
      </w:r>
      <w:r>
        <w:t>.  (</w:t>
      </w:r>
      <w:bookmarkStart w:id="111" w:name="dabmci_5dd9ccc6732f4dce9edf03ab3a9cedaf"/>
      <w:r w:rsidRPr="00717E80">
        <w:rPr>
          <w:i/>
          <w:iCs/>
        </w:rPr>
        <w:t>Padilla</w:t>
      </w:r>
      <w:r w:rsidRPr="00321A7B">
        <w:rPr>
          <w:i/>
        </w:rPr>
        <w:t>,</w:t>
      </w:r>
      <w:r>
        <w:t xml:space="preserve"> </w:t>
      </w:r>
      <w:r w:rsidRPr="005A6D39">
        <w:rPr>
          <w:i/>
          <w:iCs/>
        </w:rPr>
        <w:t>supra</w:t>
      </w:r>
      <w:r>
        <w:t>, 13 Cal.5th at p</w:t>
      </w:r>
      <w:r>
        <w:t>p</w:t>
      </w:r>
      <w:r>
        <w:t xml:space="preserve">. </w:t>
      </w:r>
      <w:r>
        <w:t>158</w:t>
      </w:r>
      <w:r>
        <w:t>-159</w:t>
      </w:r>
      <w:bookmarkEnd w:id="111"/>
      <w:r>
        <w:t xml:space="preserve">.)  Finding no meaningful distinction between </w:t>
      </w:r>
      <w:r w:rsidRPr="003B42F4">
        <w:t>sentence</w:t>
      </w:r>
      <w:r>
        <w:t>s</w:t>
      </w:r>
      <w:r w:rsidRPr="003B42F4">
        <w:t xml:space="preserve"> </w:t>
      </w:r>
      <w:r>
        <w:t xml:space="preserve">rendered “nonfinal” because the </w:t>
      </w:r>
      <w:r>
        <w:lastRenderedPageBreak/>
        <w:t xml:space="preserve">defendant is undergoing retrial or resentencing and those </w:t>
      </w:r>
      <w:proofErr w:type="gramStart"/>
      <w:r>
        <w:t>“</w:t>
      </w:r>
      <w:r>
        <w:t> </w:t>
      </w:r>
      <w:r>
        <w:t>‘</w:t>
      </w:r>
      <w:proofErr w:type="gramEnd"/>
      <w:r>
        <w:t>not yet final on initial review,’</w:t>
      </w:r>
      <w:r>
        <w:t> </w:t>
      </w:r>
      <w:r>
        <w:t xml:space="preserve">” the Supreme Court held </w:t>
      </w:r>
      <w:r w:rsidRPr="003A6CE3">
        <w:t xml:space="preserve">that </w:t>
      </w:r>
      <w:r w:rsidRPr="003A6CE3">
        <w:t xml:space="preserve">Proposition 57 retroactively </w:t>
      </w:r>
      <w:r w:rsidRPr="003A6CE3">
        <w:t>applied</w:t>
      </w:r>
      <w:r>
        <w:t xml:space="preserve"> to the defendant’s </w:t>
      </w:r>
      <w:r>
        <w:t>case</w:t>
      </w:r>
      <w:r>
        <w:t>.  (</w:t>
      </w:r>
      <w:bookmarkStart w:id="112" w:name="dabmci_34766ae627f6401285c8dc42dbd5fb11"/>
      <w:r w:rsidRPr="00717E80">
        <w:rPr>
          <w:i/>
          <w:iCs/>
        </w:rPr>
        <w:t>Padilla</w:t>
      </w:r>
      <w:r w:rsidRPr="00621FD9">
        <w:rPr>
          <w:iCs/>
        </w:rPr>
        <w:t>,</w:t>
      </w:r>
      <w:r>
        <w:t xml:space="preserve"> </w:t>
      </w:r>
      <w:r w:rsidRPr="005A6D39">
        <w:rPr>
          <w:i/>
          <w:iCs/>
        </w:rPr>
        <w:t>supra</w:t>
      </w:r>
      <w:r>
        <w:t xml:space="preserve">, </w:t>
      </w:r>
      <w:r>
        <w:t>at p. 158</w:t>
      </w:r>
      <w:bookmarkEnd w:id="112"/>
      <w:r>
        <w:t>.)  The court r</w:t>
      </w:r>
      <w:r>
        <w:t xml:space="preserve">easoned that </w:t>
      </w:r>
      <w:r>
        <w:t xml:space="preserve">when a new trial or new sentencing hearing is conducted after a collateral attack, </w:t>
      </w:r>
      <w:r>
        <w:t xml:space="preserve">the prior judgment is no longer final and </w:t>
      </w:r>
      <w:r>
        <w:t>an</w:t>
      </w:r>
      <w:r>
        <w:t xml:space="preserve"> appeal from that new proceeding is part of</w:t>
      </w:r>
      <w:r>
        <w:t xml:space="preserve"> a </w:t>
      </w:r>
      <w:r>
        <w:t xml:space="preserve">direct review of </w:t>
      </w:r>
      <w:r>
        <w:t>a</w:t>
      </w:r>
      <w:r>
        <w:t xml:space="preserve"> nonfinal judgment</w:t>
      </w:r>
      <w:r>
        <w:t>.</w:t>
      </w:r>
      <w:r>
        <w:t xml:space="preserve">  (</w:t>
      </w:r>
      <w:bookmarkStart w:id="113" w:name="dabmci_128212820ff7477b93fb698fef4b3633"/>
      <w:r w:rsidRPr="00F71923">
        <w:rPr>
          <w:i/>
          <w:iCs/>
        </w:rPr>
        <w:t>Id</w:t>
      </w:r>
      <w:r>
        <w:t>. at pp. 163-164</w:t>
      </w:r>
      <w:bookmarkEnd w:id="113"/>
      <w:r>
        <w:t>.)</w:t>
      </w:r>
      <w:r>
        <w:t xml:space="preserve">  Thus, </w:t>
      </w:r>
      <w:r>
        <w:t>when</w:t>
      </w:r>
      <w:r>
        <w:t xml:space="preserve"> the defendant’s sentence was vacated, </w:t>
      </w:r>
      <w:r>
        <w:t>the finality of his judgment</w:t>
      </w:r>
      <w:r w:rsidRPr="003A6CE3">
        <w:t xml:space="preserve"> </w:t>
      </w:r>
      <w:r>
        <w:t>became nonfinal</w:t>
      </w:r>
      <w:r w:rsidRPr="003A6CE3">
        <w:t xml:space="preserve"> for purposes of </w:t>
      </w:r>
      <w:r w:rsidRPr="00366373">
        <w:rPr>
          <w:i/>
          <w:iCs/>
        </w:rPr>
        <w:t>Estrada</w:t>
      </w:r>
      <w:r>
        <w:t>.</w:t>
      </w:r>
      <w:r>
        <w:t xml:space="preserve">  (</w:t>
      </w:r>
      <w:bookmarkStart w:id="114" w:name="dabmci_a4f21edb9cd045a09a28675f6942d0f6"/>
      <w:r w:rsidRPr="00366373">
        <w:rPr>
          <w:i/>
          <w:iCs/>
        </w:rPr>
        <w:t>Id</w:t>
      </w:r>
      <w:r>
        <w:t>. at pp.</w:t>
      </w:r>
      <w:r>
        <w:t> </w:t>
      </w:r>
      <w:r>
        <w:t>161-162, 170</w:t>
      </w:r>
      <w:bookmarkEnd w:id="114"/>
      <w:r>
        <w:t>.)</w:t>
      </w:r>
      <w:r>
        <w:t xml:space="preserve">  And because the judgment was nonfinal, the provisions of Proposition 57 applied to his </w:t>
      </w:r>
      <w:proofErr w:type="gramStart"/>
      <w:r>
        <w:t>resentencing</w:t>
      </w:r>
      <w:proofErr w:type="gramEnd"/>
      <w:r>
        <w:t>.  (</w:t>
      </w:r>
      <w:bookmarkStart w:id="115" w:name="dabmci_a39f24c89e6e467dab97047ad9b8eab0"/>
      <w:r w:rsidRPr="00717E80">
        <w:rPr>
          <w:i/>
          <w:iCs/>
        </w:rPr>
        <w:t>Padilla</w:t>
      </w:r>
      <w:r w:rsidRPr="00321A7B">
        <w:rPr>
          <w:i/>
        </w:rPr>
        <w:t>,</w:t>
      </w:r>
      <w:r>
        <w:t xml:space="preserve"> </w:t>
      </w:r>
      <w:r w:rsidRPr="005A6D39">
        <w:rPr>
          <w:i/>
          <w:iCs/>
        </w:rPr>
        <w:t>supra</w:t>
      </w:r>
      <w:r>
        <w:t xml:space="preserve">, </w:t>
      </w:r>
      <w:r>
        <w:t>at p. 170</w:t>
      </w:r>
      <w:bookmarkEnd w:id="115"/>
      <w:r>
        <w:t>.</w:t>
      </w:r>
      <w:r>
        <w:t>)  Notably, the court reached this conclusion even though the juvenile fitness question was not an issue raised by the collateral attack</w:t>
      </w:r>
      <w:r>
        <w:t xml:space="preserve"> and the sentencing court ultimately re-imposed the same sentence</w:t>
      </w:r>
      <w:r>
        <w:t>.  (</w:t>
      </w:r>
      <w:bookmarkStart w:id="116" w:name="dabmci_b2862f5e678746b2bbf8b43e1dfc4f57"/>
      <w:r w:rsidRPr="00BC353A">
        <w:rPr>
          <w:i/>
          <w:iCs/>
        </w:rPr>
        <w:t>Id</w:t>
      </w:r>
      <w:r>
        <w:t xml:space="preserve">. at </w:t>
      </w:r>
      <w:r>
        <w:t>p</w:t>
      </w:r>
      <w:r>
        <w:t>p. 184</w:t>
      </w:r>
      <w:r>
        <w:t>-185</w:t>
      </w:r>
      <w:bookmarkEnd w:id="116"/>
      <w:r>
        <w:t xml:space="preserve"> [dis. </w:t>
      </w:r>
      <w:proofErr w:type="spellStart"/>
      <w:r>
        <w:t>opn</w:t>
      </w:r>
      <w:proofErr w:type="spellEnd"/>
      <w:r>
        <w:t>. of Corrigan, J.].)</w:t>
      </w:r>
    </w:p>
    <w:p w14:paraId="4D13CA52" w14:textId="77777777" w:rsidR="00502ADD" w:rsidRDefault="00502ADD" w:rsidP="00063283">
      <w:pPr>
        <w:ind w:firstLine="720"/>
      </w:pPr>
      <w:r>
        <w:t xml:space="preserve">Like </w:t>
      </w:r>
      <w:r w:rsidRPr="00FF5BF4">
        <w:rPr>
          <w:i/>
          <w:iCs/>
        </w:rPr>
        <w:t>Esquivel</w:t>
      </w:r>
      <w:r>
        <w:t xml:space="preserve"> and </w:t>
      </w:r>
      <w:r w:rsidRPr="0051557F">
        <w:rPr>
          <w:i/>
          <w:iCs/>
        </w:rPr>
        <w:t>Padilla</w:t>
      </w:r>
      <w:r>
        <w:t xml:space="preserve">, </w:t>
      </w:r>
      <w:r>
        <w:t>this</w:t>
      </w:r>
      <w:r>
        <w:t xml:space="preserve"> </w:t>
      </w:r>
      <w:r>
        <w:t>case</w:t>
      </w:r>
      <w:r>
        <w:t xml:space="preserve"> </w:t>
      </w:r>
      <w:r>
        <w:t>is</w:t>
      </w:r>
      <w:r>
        <w:t xml:space="preserve"> not final because </w:t>
      </w:r>
      <w:r>
        <w:t xml:space="preserve">it is </w:t>
      </w:r>
      <w:r>
        <w:t xml:space="preserve">an </w:t>
      </w:r>
      <w:r>
        <w:t xml:space="preserve">appeal from </w:t>
      </w:r>
      <w:r>
        <w:t>a</w:t>
      </w:r>
      <w:r>
        <w:t xml:space="preserve"> </w:t>
      </w:r>
      <w:r>
        <w:t xml:space="preserve">juvenile </w:t>
      </w:r>
      <w:r>
        <w:t xml:space="preserve">transfer order.  Even if </w:t>
      </w:r>
      <w:r>
        <w:t>that order previously</w:t>
      </w:r>
      <w:r>
        <w:t xml:space="preserve"> </w:t>
      </w:r>
      <w:r w:rsidRPr="003D5BEE">
        <w:t>bec</w:t>
      </w:r>
      <w:r>
        <w:t>a</w:t>
      </w:r>
      <w:r w:rsidRPr="003D5BEE">
        <w:t>me</w:t>
      </w:r>
      <w:r>
        <w:t xml:space="preserve"> final, its finality was reopened when </w:t>
      </w:r>
      <w:r>
        <w:t>the order</w:t>
      </w:r>
      <w:r>
        <w:t xml:space="preserve"> was </w:t>
      </w:r>
      <w:r>
        <w:t>vacated and reentered</w:t>
      </w:r>
      <w:r>
        <w:t xml:space="preserve"> </w:t>
      </w:r>
      <w:r>
        <w:t xml:space="preserve">in July 2023, after the effective date of </w:t>
      </w:r>
      <w:bookmarkStart w:id="117" w:name="dabmci_1afb07525f894d9da6c438315ea7435a"/>
      <w:r w:rsidRPr="00773FE5">
        <w:t>Assem</w:t>
      </w:r>
      <w:r>
        <w:t>bly</w:t>
      </w:r>
      <w:r w:rsidRPr="00773FE5">
        <w:t xml:space="preserve"> Bill </w:t>
      </w:r>
      <w:r>
        <w:t xml:space="preserve">No. </w:t>
      </w:r>
      <w:r w:rsidRPr="00773FE5">
        <w:t>624</w:t>
      </w:r>
      <w:bookmarkEnd w:id="117"/>
      <w:r w:rsidRPr="00D0620A">
        <w:t>.</w:t>
      </w:r>
      <w:r>
        <w:t xml:space="preserve">  This </w:t>
      </w:r>
      <w:r>
        <w:t>appeal</w:t>
      </w:r>
      <w:r>
        <w:t xml:space="preserve"> is part of the direct </w:t>
      </w:r>
      <w:r>
        <w:t>review</w:t>
      </w:r>
      <w:r>
        <w:t xml:space="preserve"> of that order</w:t>
      </w:r>
      <w:r>
        <w:t xml:space="preserve">, which </w:t>
      </w:r>
      <w:r>
        <w:t>relates to</w:t>
      </w:r>
      <w:r>
        <w:t xml:space="preserve"> J.M.’s potential sentence.</w:t>
      </w:r>
    </w:p>
    <w:p w14:paraId="0B4582A2" w14:textId="77777777" w:rsidR="00502ADD" w:rsidRDefault="00502ADD" w:rsidP="00063283">
      <w:pPr>
        <w:ind w:firstLine="720"/>
      </w:pPr>
      <w:r>
        <w:t xml:space="preserve">We acknowledge </w:t>
      </w:r>
      <w:r>
        <w:t xml:space="preserve">that </w:t>
      </w:r>
      <w:r>
        <w:t xml:space="preserve">neither </w:t>
      </w:r>
      <w:r w:rsidRPr="00350A38">
        <w:rPr>
          <w:i/>
          <w:iCs/>
        </w:rPr>
        <w:t>Esquivel</w:t>
      </w:r>
      <w:r>
        <w:t xml:space="preserve"> nor </w:t>
      </w:r>
      <w:r w:rsidRPr="0096485E">
        <w:rPr>
          <w:i/>
          <w:iCs/>
        </w:rPr>
        <w:t>Padilla</w:t>
      </w:r>
      <w:r>
        <w:t xml:space="preserve"> is directly on point</w:t>
      </w:r>
      <w:r>
        <w:t xml:space="preserve">.  </w:t>
      </w:r>
      <w:r w:rsidRPr="00744CD5">
        <w:rPr>
          <w:i/>
          <w:iCs/>
        </w:rPr>
        <w:t>Esquivel</w:t>
      </w:r>
      <w:r>
        <w:t xml:space="preserve"> involved a</w:t>
      </w:r>
      <w:r>
        <w:t xml:space="preserve">n appeal from an order revoking probation and imposing a </w:t>
      </w:r>
      <w:proofErr w:type="gramStart"/>
      <w:r>
        <w:t>previously-imposed</w:t>
      </w:r>
      <w:proofErr w:type="gramEnd"/>
      <w:r>
        <w:t xml:space="preserve"> sentence, rather than an appeal from a juvenile transfer decision.  (</w:t>
      </w:r>
      <w:bookmarkStart w:id="118" w:name="dabmci_90bf0bcbeaaf4ad7830a2e4299eb78c2"/>
      <w:r w:rsidRPr="00744CD5">
        <w:rPr>
          <w:i/>
          <w:iCs/>
        </w:rPr>
        <w:t>Esquivel</w:t>
      </w:r>
      <w:r w:rsidRPr="00321A7B">
        <w:rPr>
          <w:i/>
        </w:rPr>
        <w:t>,</w:t>
      </w:r>
      <w:r w:rsidRPr="005B7602">
        <w:rPr>
          <w:i/>
          <w:iCs/>
        </w:rPr>
        <w:t xml:space="preserve"> </w:t>
      </w:r>
      <w:r w:rsidRPr="00744CD5">
        <w:rPr>
          <w:i/>
          <w:iCs/>
        </w:rPr>
        <w:t>supra</w:t>
      </w:r>
      <w:r>
        <w:t>, 11</w:t>
      </w:r>
      <w:r>
        <w:t> </w:t>
      </w:r>
      <w:r>
        <w:t>Cal.5th at p. 673</w:t>
      </w:r>
      <w:bookmarkEnd w:id="118"/>
      <w:r>
        <w:t xml:space="preserve">.)  </w:t>
      </w:r>
      <w:r>
        <w:t>And i</w:t>
      </w:r>
      <w:r>
        <w:t xml:space="preserve">n </w:t>
      </w:r>
      <w:bookmarkStart w:id="119" w:name="dabmci_e84b7b90e60647f787ecd8397b1d362e"/>
      <w:r w:rsidRPr="006A22F0">
        <w:rPr>
          <w:i/>
          <w:iCs/>
        </w:rPr>
        <w:t>Padilla</w:t>
      </w:r>
      <w:bookmarkEnd w:id="119"/>
      <w:r>
        <w:t xml:space="preserve">, </w:t>
      </w:r>
      <w:r>
        <w:t xml:space="preserve">unlike this case, the defendant’s original sentence was </w:t>
      </w:r>
      <w:proofErr w:type="gramStart"/>
      <w:r>
        <w:t>vacated</w:t>
      </w:r>
      <w:proofErr w:type="gramEnd"/>
      <w:r>
        <w:t xml:space="preserve"> and a </w:t>
      </w:r>
      <w:r>
        <w:t xml:space="preserve">new sentence </w:t>
      </w:r>
      <w:r>
        <w:t xml:space="preserve">was </w:t>
      </w:r>
      <w:r>
        <w:t>imposed.  (</w:t>
      </w:r>
      <w:bookmarkStart w:id="120" w:name="dabmci_9462dfc8665446b78072de8d3a35d779"/>
      <w:r w:rsidRPr="00717E80">
        <w:rPr>
          <w:i/>
          <w:iCs/>
        </w:rPr>
        <w:t>Padilla</w:t>
      </w:r>
      <w:r w:rsidRPr="00700478">
        <w:t>,</w:t>
      </w:r>
      <w:r>
        <w:t xml:space="preserve"> </w:t>
      </w:r>
      <w:r w:rsidRPr="005A6D39">
        <w:rPr>
          <w:i/>
          <w:iCs/>
        </w:rPr>
        <w:t>supra</w:t>
      </w:r>
      <w:r>
        <w:t>, 13 Cal.5th at pp. 162-164</w:t>
      </w:r>
      <w:bookmarkEnd w:id="120"/>
      <w:r>
        <w:t xml:space="preserve">.)  Nevertheless, </w:t>
      </w:r>
      <w:r>
        <w:t xml:space="preserve">the cases </w:t>
      </w:r>
      <w:r>
        <w:t>are instructive</w:t>
      </w:r>
      <w:r>
        <w:t xml:space="preserve"> because the</w:t>
      </w:r>
      <w:r>
        <w:t xml:space="preserve"> rule they articulate is t</w:t>
      </w:r>
      <w:r>
        <w:t xml:space="preserve">hat finality </w:t>
      </w:r>
      <w:r>
        <w:t xml:space="preserve">for purposes of </w:t>
      </w:r>
      <w:r w:rsidRPr="005B64E8">
        <w:rPr>
          <w:i/>
          <w:iCs/>
        </w:rPr>
        <w:t>Estrada</w:t>
      </w:r>
      <w:r>
        <w:t xml:space="preserve"> </w:t>
      </w:r>
      <w:r>
        <w:t>does not attach until</w:t>
      </w:r>
      <w:r>
        <w:t xml:space="preserve"> </w:t>
      </w:r>
      <w:r w:rsidRPr="0069521E">
        <w:t xml:space="preserve">the criminal proceeding </w:t>
      </w:r>
      <w:proofErr w:type="gramStart"/>
      <w:r w:rsidRPr="0069521E">
        <w:t>as a wh</w:t>
      </w:r>
      <w:r w:rsidRPr="0069521E">
        <w:t>ole has</w:t>
      </w:r>
      <w:proofErr w:type="gramEnd"/>
      <w:r w:rsidRPr="0069521E">
        <w:t xml:space="preserve"> ended</w:t>
      </w:r>
      <w:r>
        <w:t xml:space="preserve">, </w:t>
      </w:r>
      <w:r>
        <w:t xml:space="preserve">when </w:t>
      </w:r>
      <w:r w:rsidRPr="00A9634E">
        <w:t xml:space="preserve">courts can no longer </w:t>
      </w:r>
      <w:r w:rsidRPr="005B64E8">
        <w:t>provide a remedy on direct review</w:t>
      </w:r>
      <w:r w:rsidRPr="005B64E8">
        <w:t xml:space="preserve">.  </w:t>
      </w:r>
      <w:r w:rsidRPr="005B64E8">
        <w:t>(</w:t>
      </w:r>
      <w:bookmarkStart w:id="121" w:name="dabmci_28e69fd65c3b44388375ef484dbb0ab2"/>
      <w:r w:rsidRPr="005B64E8">
        <w:rPr>
          <w:i/>
          <w:iCs/>
        </w:rPr>
        <w:t>Padilla</w:t>
      </w:r>
      <w:r w:rsidRPr="00321A7B">
        <w:rPr>
          <w:i/>
        </w:rPr>
        <w:t>,</w:t>
      </w:r>
      <w:r w:rsidRPr="005B64E8">
        <w:t xml:space="preserve"> </w:t>
      </w:r>
      <w:r w:rsidRPr="005B64E8">
        <w:rPr>
          <w:i/>
          <w:iCs/>
        </w:rPr>
        <w:t>supra</w:t>
      </w:r>
      <w:r w:rsidRPr="005B64E8">
        <w:t>, at p. 161</w:t>
      </w:r>
      <w:bookmarkEnd w:id="121"/>
      <w:r w:rsidRPr="005B64E8">
        <w:t xml:space="preserve">; </w:t>
      </w:r>
      <w:bookmarkStart w:id="122" w:name="dabmci_c104910438eb473a8822d8d83e8296a5"/>
      <w:r w:rsidRPr="005B64E8">
        <w:rPr>
          <w:i/>
          <w:iCs/>
        </w:rPr>
        <w:t>Esquivel</w:t>
      </w:r>
      <w:r w:rsidRPr="00321A7B">
        <w:rPr>
          <w:i/>
          <w:iCs/>
        </w:rPr>
        <w:t>,</w:t>
      </w:r>
      <w:r w:rsidRPr="005B64E8">
        <w:t xml:space="preserve"> </w:t>
      </w:r>
      <w:r w:rsidRPr="005B64E8">
        <w:rPr>
          <w:i/>
          <w:iCs/>
        </w:rPr>
        <w:t>supra</w:t>
      </w:r>
      <w:r w:rsidRPr="005B64E8">
        <w:t>, at pp. 678-679</w:t>
      </w:r>
      <w:bookmarkEnd w:id="122"/>
      <w:r w:rsidRPr="00E300A2">
        <w:t>.</w:t>
      </w:r>
      <w:r>
        <w:t>)</w:t>
      </w:r>
    </w:p>
    <w:p w14:paraId="04B14856" w14:textId="77777777" w:rsidR="00502ADD" w:rsidRDefault="00502ADD" w:rsidP="00606B12">
      <w:pPr>
        <w:ind w:firstLine="720"/>
      </w:pPr>
      <w:r>
        <w:lastRenderedPageBreak/>
        <w:t xml:space="preserve">Because </w:t>
      </w:r>
      <w:r>
        <w:t>his</w:t>
      </w:r>
      <w:r>
        <w:t xml:space="preserve"> case is not final, J.M. is entitled to the retroactive </w:t>
      </w:r>
      <w:r>
        <w:t xml:space="preserve">application </w:t>
      </w:r>
      <w:r>
        <w:t xml:space="preserve">of the ameliorative changes effected by </w:t>
      </w:r>
      <w:bookmarkStart w:id="123" w:name="dabmci_7655847f820244f48ad8f9f7785c80a8"/>
      <w:r w:rsidRPr="003D5BEE">
        <w:t>Senate Bill No. 567</w:t>
      </w:r>
      <w:bookmarkEnd w:id="123"/>
      <w:r w:rsidRPr="003D5BEE">
        <w:t xml:space="preserve"> and </w:t>
      </w:r>
      <w:bookmarkStart w:id="124" w:name="dabmci_c08814803cae4e02b1b408f36f2d155d"/>
      <w:r w:rsidRPr="003D5BEE">
        <w:t>Assembly Bill No. 518</w:t>
      </w:r>
      <w:bookmarkEnd w:id="124"/>
      <w:r>
        <w:t xml:space="preserve">.  </w:t>
      </w:r>
      <w:r>
        <w:t>(</w:t>
      </w:r>
      <w:bookmarkStart w:id="125" w:name="dabmci_fe5de30343124ab2851c763ae4320614"/>
      <w:r w:rsidRPr="005B64E8">
        <w:rPr>
          <w:i/>
          <w:iCs/>
        </w:rPr>
        <w:t>In re A.M</w:t>
      </w:r>
      <w:r w:rsidRPr="002E190D">
        <w:rPr>
          <w:i/>
          <w:iCs/>
        </w:rPr>
        <w:t>.</w:t>
      </w:r>
      <w:r>
        <w:t xml:space="preserve"> (2024)</w:t>
      </w:r>
      <w:r>
        <w:rPr>
          <w:i/>
          <w:iCs/>
        </w:rPr>
        <w:t xml:space="preserve"> </w:t>
      </w:r>
      <w:r w:rsidRPr="00321A7B">
        <w:t>102 C</w:t>
      </w:r>
      <w:r>
        <w:t>a</w:t>
      </w:r>
      <w:r w:rsidRPr="00321A7B">
        <w:t>l.App.</w:t>
      </w:r>
      <w:r>
        <w:t>5th</w:t>
      </w:r>
      <w:r w:rsidRPr="002E190D">
        <w:t xml:space="preserve"> </w:t>
      </w:r>
      <w:r>
        <w:t>557, 568-</w:t>
      </w:r>
      <w:r>
        <w:t>5</w:t>
      </w:r>
      <w:r>
        <w:t>69</w:t>
      </w:r>
      <w:bookmarkEnd w:id="125"/>
      <w:r>
        <w:t>)</w:t>
      </w:r>
      <w:r w:rsidRPr="002E190D">
        <w:t xml:space="preserve"> [</w:t>
      </w:r>
      <w:r w:rsidRPr="002E190D">
        <w:t>retroactively</w:t>
      </w:r>
      <w:r>
        <w:t xml:space="preserve"> </w:t>
      </w:r>
      <w:r>
        <w:t>applying legislation</w:t>
      </w:r>
      <w:r w:rsidRPr="00FC7AA7">
        <w:t> </w:t>
      </w:r>
      <w:r>
        <w:t xml:space="preserve">to a case on </w:t>
      </w:r>
      <w:r>
        <w:t>direct appeal from a</w:t>
      </w:r>
      <w:r>
        <w:t xml:space="preserve">n </w:t>
      </w:r>
      <w:r>
        <w:t>order denying</w:t>
      </w:r>
      <w:r>
        <w:t xml:space="preserve"> a</w:t>
      </w:r>
      <w:r>
        <w:t xml:space="preserve"> </w:t>
      </w:r>
      <w:r w:rsidRPr="00D31546">
        <w:t>transfer to criminal court</w:t>
      </w:r>
      <w:r>
        <w:t xml:space="preserve"> following a post-judgment transfer hearing]</w:t>
      </w:r>
      <w:r>
        <w:t xml:space="preserve">; </w:t>
      </w:r>
      <w:bookmarkStart w:id="126" w:name="dabmci_64758722b9ab4c14a804fbf3f90d5c77"/>
      <w:r w:rsidRPr="005B64E8">
        <w:rPr>
          <w:i/>
          <w:iCs/>
        </w:rPr>
        <w:t>People v. Trent</w:t>
      </w:r>
      <w:r w:rsidRPr="005B64E8">
        <w:t xml:space="preserve"> (2023) 96 Cal.App.5th 33, 41</w:t>
      </w:r>
      <w:bookmarkEnd w:id="126"/>
      <w:r w:rsidRPr="005B64E8">
        <w:t>, review granted, Dec. 20, 2023, S282644</w:t>
      </w:r>
      <w:r>
        <w:t xml:space="preserve">, </w:t>
      </w:r>
      <w:r>
        <w:t>briefing deferred</w:t>
      </w:r>
      <w:r>
        <w:t xml:space="preserve"> [retroactively applying </w:t>
      </w:r>
      <w:r w:rsidRPr="00D31546">
        <w:t xml:space="preserve">legislation to reverse a gang conviction following a successful petition for resentencing under </w:t>
      </w:r>
      <w:bookmarkStart w:id="127" w:name="dabmci_1fa8d2656e7b4676a90c3f21f3ee88bb"/>
      <w:r w:rsidRPr="00D31546">
        <w:t>Penal Code section 1172.6</w:t>
      </w:r>
      <w:bookmarkEnd w:id="127"/>
      <w:r w:rsidRPr="00D31546">
        <w:t xml:space="preserve">]; </w:t>
      </w:r>
      <w:r w:rsidRPr="00D31546">
        <w:t>see also</w:t>
      </w:r>
      <w:r w:rsidRPr="00D31546">
        <w:rPr>
          <w:i/>
          <w:iCs/>
        </w:rPr>
        <w:t xml:space="preserve"> </w:t>
      </w:r>
      <w:bookmarkStart w:id="128" w:name="dabmci_2db6ccb39ea74d0787a6f848aba948c0"/>
      <w:r>
        <w:rPr>
          <w:i/>
          <w:iCs/>
        </w:rPr>
        <w:t xml:space="preserve">People v. </w:t>
      </w:r>
      <w:r w:rsidRPr="00D31546">
        <w:rPr>
          <w:i/>
          <w:iCs/>
        </w:rPr>
        <w:t>Lopez</w:t>
      </w:r>
      <w:r w:rsidRPr="00321A7B">
        <w:rPr>
          <w:i/>
        </w:rPr>
        <w:t>,</w:t>
      </w:r>
      <w:r w:rsidRPr="00321A7B">
        <w:rPr>
          <w:i/>
        </w:rPr>
        <w:t xml:space="preserve"> </w:t>
      </w:r>
      <w:r w:rsidRPr="00D31546">
        <w:rPr>
          <w:i/>
          <w:iCs/>
        </w:rPr>
        <w:t>supra</w:t>
      </w:r>
      <w:r w:rsidRPr="00D31546">
        <w:t>, 93</w:t>
      </w:r>
      <w:r>
        <w:t> </w:t>
      </w:r>
      <w:r w:rsidRPr="00D31546">
        <w:t>Cal.App.5th at pp. 1121-1125</w:t>
      </w:r>
      <w:bookmarkEnd w:id="128"/>
      <w:r w:rsidRPr="00D31546">
        <w:t>, rev</w:t>
      </w:r>
      <w:r>
        <w:t>iew granted</w:t>
      </w:r>
      <w:r w:rsidRPr="00D31546">
        <w:t xml:space="preserve"> [dis. </w:t>
      </w:r>
      <w:proofErr w:type="spellStart"/>
      <w:r w:rsidRPr="00D31546">
        <w:t>opn</w:t>
      </w:r>
      <w:proofErr w:type="spellEnd"/>
      <w:r w:rsidRPr="00D31546">
        <w:t>. of Raph</w:t>
      </w:r>
      <w:r>
        <w:t>ae</w:t>
      </w:r>
      <w:r w:rsidRPr="00D31546">
        <w:t>l, J.]</w:t>
      </w:r>
      <w:r w:rsidRPr="00D31546">
        <w:t>.</w:t>
      </w:r>
      <w:r w:rsidRPr="00D31546">
        <w:t>)</w:t>
      </w:r>
      <w:r>
        <w:t xml:space="preserve">  </w:t>
      </w:r>
      <w:r>
        <w:t>Thus, if</w:t>
      </w:r>
      <w:r>
        <w:t xml:space="preserve"> on remand J.M. is again transf</w:t>
      </w:r>
      <w:r>
        <w:t xml:space="preserve">erred to adult criminal court, </w:t>
      </w:r>
      <w:r>
        <w:t xml:space="preserve">he </w:t>
      </w:r>
      <w:r>
        <w:t>must</w:t>
      </w:r>
      <w:r>
        <w:t xml:space="preserve"> be provided a new sentencing hearing at which the court reconsider</w:t>
      </w:r>
      <w:r>
        <w:t xml:space="preserve">s </w:t>
      </w:r>
      <w:r>
        <w:t xml:space="preserve">his sentence </w:t>
      </w:r>
      <w:proofErr w:type="gramStart"/>
      <w:r>
        <w:t>in light of</w:t>
      </w:r>
      <w:proofErr w:type="gramEnd"/>
      <w:r>
        <w:t xml:space="preserve"> the</w:t>
      </w:r>
      <w:r>
        <w:t>se</w:t>
      </w:r>
      <w:r>
        <w:t xml:space="preserve"> </w:t>
      </w:r>
      <w:r w:rsidRPr="00F83D6F">
        <w:t xml:space="preserve">ameliorative </w:t>
      </w:r>
      <w:r>
        <w:t>changes in the law.</w:t>
      </w:r>
    </w:p>
    <w:p w14:paraId="2030C9A9" w14:textId="77777777" w:rsidR="00502ADD" w:rsidRDefault="00502ADD">
      <w:pPr>
        <w:spacing w:after="160" w:line="259" w:lineRule="auto"/>
      </w:pPr>
      <w:r>
        <w:br w:type="page"/>
      </w:r>
    </w:p>
    <w:p w14:paraId="0AB517A3" w14:textId="77777777" w:rsidR="00502ADD" w:rsidRDefault="00502ADD" w:rsidP="00063283">
      <w:pPr>
        <w:keepNext/>
        <w:jc w:val="center"/>
      </w:pPr>
      <w:r>
        <w:lastRenderedPageBreak/>
        <w:t>DISPOSITION</w:t>
      </w:r>
    </w:p>
    <w:p w14:paraId="60588761" w14:textId="77777777" w:rsidR="00502ADD" w:rsidRDefault="00502ADD" w:rsidP="00063283">
      <w:pPr>
        <w:ind w:firstLine="720"/>
      </w:pPr>
      <w:r>
        <w:t>The transfer order is conditionally reversed</w:t>
      </w:r>
      <w:r>
        <w:t>,</w:t>
      </w:r>
      <w:r>
        <w:t xml:space="preserve"> and the matter is remanded to the juvenile court for a new transfer/amenability hearing to be conducted pursuant to section 707, as amended.  </w:t>
      </w:r>
      <w:r w:rsidRPr="00E322E7">
        <w:t xml:space="preserve">If the juvenile court determines it would not have transferred the case to the criminal court applying current law, it shall treat </w:t>
      </w:r>
      <w:r>
        <w:t>J.M.’s</w:t>
      </w:r>
      <w:r w:rsidRPr="00E322E7">
        <w:t xml:space="preserve"> convictions as juvenile adjudications and order an appropriate disposition. </w:t>
      </w:r>
      <w:r>
        <w:t xml:space="preserve"> </w:t>
      </w:r>
      <w:r w:rsidRPr="00E322E7">
        <w:t>If</w:t>
      </w:r>
      <w:r>
        <w:t xml:space="preserve"> </w:t>
      </w:r>
      <w:r w:rsidRPr="00E322E7">
        <w:t xml:space="preserve">the juvenile court determines it would have transferred </w:t>
      </w:r>
      <w:r>
        <w:t>J.M.</w:t>
      </w:r>
      <w:r w:rsidRPr="00E322E7">
        <w:t xml:space="preserve"> to adult criminal court, </w:t>
      </w:r>
      <w:r w:rsidRPr="00671149">
        <w:t xml:space="preserve">then the case shall be transferred to the criminal court </w:t>
      </w:r>
      <w:r>
        <w:t>and J.W.</w:t>
      </w:r>
      <w:r>
        <w:t xml:space="preserve">’s convictions and sentence shall be automatically reinstated as of that date.  The trial court is then directed to </w:t>
      </w:r>
      <w:r w:rsidRPr="00097BB3">
        <w:t xml:space="preserve">conduct a </w:t>
      </w:r>
      <w:proofErr w:type="gramStart"/>
      <w:r w:rsidRPr="00097BB3">
        <w:t>resentencing</w:t>
      </w:r>
      <w:proofErr w:type="gramEnd"/>
      <w:r w:rsidRPr="00097BB3">
        <w:t xml:space="preserve"> hearing consistent with this opinion.  </w:t>
      </w:r>
      <w:r w:rsidRPr="00097BB3">
        <w:t>If the criminal court modifies the sentence, the clerk</w:t>
      </w:r>
      <w:r w:rsidRPr="00633008">
        <w:t xml:space="preserve"> of the criminal court is directed to amend the abstract of judgment reflecting th</w:t>
      </w:r>
      <w:r>
        <w:t>e</w:t>
      </w:r>
      <w:r w:rsidRPr="00633008">
        <w:t xml:space="preserve"> modification and forward a certified copy of the amended abstract of judgment to the Department of Corrections and Rehabilitation.</w:t>
      </w:r>
    </w:p>
    <w:p w14:paraId="3F4E72CC" w14:textId="77777777" w:rsidR="00502ADD" w:rsidRDefault="00502ADD" w:rsidP="003C63C0">
      <w:pPr>
        <w:spacing w:line="240" w:lineRule="auto"/>
        <w:ind w:firstLine="720"/>
      </w:pPr>
    </w:p>
    <w:p w14:paraId="3F96DECA" w14:textId="77777777" w:rsidR="00502ADD" w:rsidRDefault="00502ADD" w:rsidP="003C63C0">
      <w:pPr>
        <w:spacing w:line="240" w:lineRule="auto"/>
        <w:ind w:firstLine="720"/>
      </w:pPr>
    </w:p>
    <w:p w14:paraId="19EDCDB1" w14:textId="77777777" w:rsidR="00502ADD" w:rsidRDefault="00502ADD" w:rsidP="003C63C0">
      <w:pPr>
        <w:spacing w:line="240" w:lineRule="auto"/>
        <w:ind w:firstLine="720"/>
      </w:pPr>
    </w:p>
    <w:p w14:paraId="52F8BEC4" w14:textId="77777777" w:rsidR="00502ADD" w:rsidRDefault="00502ADD" w:rsidP="003C63C0">
      <w:pPr>
        <w:tabs>
          <w:tab w:val="left" w:pos="5040"/>
          <w:tab w:val="left" w:pos="7920"/>
        </w:tabs>
        <w:spacing w:line="240" w:lineRule="auto"/>
        <w:ind w:firstLine="720"/>
      </w:pPr>
      <w:r>
        <w:tab/>
      </w:r>
      <w:r w:rsidRPr="003C63C0">
        <w:rPr>
          <w:u w:val="single"/>
        </w:rPr>
        <w:t xml:space="preserve">          </w:t>
      </w:r>
      <w:r>
        <w:rPr>
          <w:u w:val="single"/>
        </w:rPr>
        <w:t>\s\</w:t>
      </w:r>
      <w:r w:rsidRPr="003C63C0">
        <w:rPr>
          <w:u w:val="single"/>
        </w:rPr>
        <w:tab/>
      </w:r>
      <w:r>
        <w:t>,</w:t>
      </w:r>
    </w:p>
    <w:p w14:paraId="2BBB3946" w14:textId="77777777" w:rsidR="00502ADD" w:rsidRDefault="00502ADD" w:rsidP="003C63C0">
      <w:pPr>
        <w:tabs>
          <w:tab w:val="left" w:pos="5040"/>
          <w:tab w:val="left" w:pos="7920"/>
        </w:tabs>
        <w:spacing w:line="240" w:lineRule="auto"/>
        <w:ind w:firstLine="720"/>
      </w:pPr>
      <w:r>
        <w:tab/>
        <w:t>Krause, J.</w:t>
      </w:r>
    </w:p>
    <w:p w14:paraId="489104A0" w14:textId="77777777" w:rsidR="00502ADD" w:rsidRDefault="00502ADD" w:rsidP="003C63C0">
      <w:pPr>
        <w:tabs>
          <w:tab w:val="left" w:pos="5040"/>
          <w:tab w:val="left" w:pos="7920"/>
        </w:tabs>
        <w:spacing w:line="240" w:lineRule="auto"/>
        <w:ind w:firstLine="720"/>
      </w:pPr>
    </w:p>
    <w:p w14:paraId="7E6B51ED" w14:textId="77777777" w:rsidR="00502ADD" w:rsidRDefault="00502ADD" w:rsidP="003C63C0">
      <w:pPr>
        <w:tabs>
          <w:tab w:val="left" w:pos="5040"/>
          <w:tab w:val="left" w:pos="7920"/>
        </w:tabs>
        <w:spacing w:line="240" w:lineRule="auto"/>
        <w:ind w:firstLine="720"/>
      </w:pPr>
    </w:p>
    <w:p w14:paraId="7632EF33" w14:textId="77777777" w:rsidR="00502ADD" w:rsidRDefault="00502ADD" w:rsidP="003C63C0">
      <w:pPr>
        <w:tabs>
          <w:tab w:val="left" w:pos="5040"/>
          <w:tab w:val="left" w:pos="7920"/>
        </w:tabs>
        <w:spacing w:line="240" w:lineRule="auto"/>
        <w:ind w:firstLine="720"/>
      </w:pPr>
    </w:p>
    <w:p w14:paraId="1B0F6C58" w14:textId="77777777" w:rsidR="00502ADD" w:rsidRDefault="00502ADD" w:rsidP="0090605C">
      <w:pPr>
        <w:spacing w:line="240" w:lineRule="auto"/>
      </w:pPr>
      <w:r>
        <w:t>We concur:</w:t>
      </w:r>
    </w:p>
    <w:p w14:paraId="39BC2657" w14:textId="77777777" w:rsidR="00502ADD" w:rsidRDefault="00502ADD" w:rsidP="0090605C">
      <w:pPr>
        <w:spacing w:line="240" w:lineRule="auto"/>
      </w:pPr>
    </w:p>
    <w:p w14:paraId="02179E31" w14:textId="77777777" w:rsidR="00502ADD" w:rsidRDefault="00502ADD" w:rsidP="0090605C">
      <w:pPr>
        <w:spacing w:line="240" w:lineRule="auto"/>
      </w:pPr>
    </w:p>
    <w:p w14:paraId="5F1C7552" w14:textId="77777777" w:rsidR="00502ADD" w:rsidRDefault="00502ADD" w:rsidP="0090605C">
      <w:pPr>
        <w:spacing w:line="240" w:lineRule="auto"/>
      </w:pPr>
    </w:p>
    <w:p w14:paraId="61CDBB7B" w14:textId="77777777" w:rsidR="00502ADD" w:rsidRDefault="00502ADD" w:rsidP="0090605C">
      <w:pPr>
        <w:tabs>
          <w:tab w:val="left" w:pos="2880"/>
        </w:tabs>
        <w:spacing w:line="240" w:lineRule="auto"/>
      </w:pPr>
      <w:r w:rsidRPr="003C63C0">
        <w:rPr>
          <w:u w:val="single"/>
        </w:rPr>
        <w:t xml:space="preserve">          </w:t>
      </w:r>
      <w:r>
        <w:rPr>
          <w:u w:val="single"/>
        </w:rPr>
        <w:t>\s\</w:t>
      </w:r>
      <w:r w:rsidRPr="003C63C0">
        <w:rPr>
          <w:u w:val="single"/>
        </w:rPr>
        <w:tab/>
      </w:r>
      <w:r>
        <w:t>,</w:t>
      </w:r>
    </w:p>
    <w:p w14:paraId="2C9E55B8" w14:textId="77777777" w:rsidR="00502ADD" w:rsidRDefault="00502ADD" w:rsidP="0090605C">
      <w:pPr>
        <w:tabs>
          <w:tab w:val="left" w:pos="2880"/>
        </w:tabs>
        <w:spacing w:line="240" w:lineRule="auto"/>
      </w:pPr>
      <w:r>
        <w:t>Hull, Acting P. J.</w:t>
      </w:r>
    </w:p>
    <w:p w14:paraId="514B4D3C" w14:textId="77777777" w:rsidR="00502ADD" w:rsidRDefault="00502ADD" w:rsidP="0090605C">
      <w:pPr>
        <w:tabs>
          <w:tab w:val="left" w:pos="2880"/>
        </w:tabs>
        <w:spacing w:line="240" w:lineRule="auto"/>
      </w:pPr>
    </w:p>
    <w:p w14:paraId="50DEC505" w14:textId="77777777" w:rsidR="00502ADD" w:rsidRDefault="00502ADD" w:rsidP="0090605C">
      <w:pPr>
        <w:tabs>
          <w:tab w:val="left" w:pos="2880"/>
        </w:tabs>
        <w:spacing w:line="240" w:lineRule="auto"/>
      </w:pPr>
    </w:p>
    <w:p w14:paraId="0D3942F0" w14:textId="77777777" w:rsidR="00502ADD" w:rsidRDefault="00502ADD" w:rsidP="0090605C">
      <w:pPr>
        <w:tabs>
          <w:tab w:val="left" w:pos="2880"/>
        </w:tabs>
        <w:spacing w:line="240" w:lineRule="auto"/>
      </w:pPr>
    </w:p>
    <w:p w14:paraId="68C996CD" w14:textId="77777777" w:rsidR="00502ADD" w:rsidRDefault="00502ADD" w:rsidP="0090605C">
      <w:pPr>
        <w:tabs>
          <w:tab w:val="left" w:pos="2880"/>
        </w:tabs>
        <w:spacing w:line="240" w:lineRule="auto"/>
      </w:pPr>
      <w:r w:rsidRPr="003C63C0">
        <w:rPr>
          <w:u w:val="single"/>
        </w:rPr>
        <w:t xml:space="preserve">          </w:t>
      </w:r>
      <w:r>
        <w:rPr>
          <w:u w:val="single"/>
        </w:rPr>
        <w:t>\s\</w:t>
      </w:r>
      <w:r w:rsidRPr="003C63C0">
        <w:rPr>
          <w:u w:val="single"/>
        </w:rPr>
        <w:tab/>
      </w:r>
      <w:r>
        <w:t>,</w:t>
      </w:r>
    </w:p>
    <w:p w14:paraId="18AB175C" w14:textId="77777777" w:rsidR="00502ADD" w:rsidRDefault="00502ADD" w:rsidP="0090605C">
      <w:pPr>
        <w:tabs>
          <w:tab w:val="left" w:pos="2880"/>
        </w:tabs>
        <w:spacing w:line="240" w:lineRule="auto"/>
      </w:pPr>
      <w:r>
        <w:t>Feinberg, J.</w:t>
      </w:r>
    </w:p>
    <w:sectPr w:rsidR="003C63C0" w:rsidSect="003C63C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62AA4" w14:textId="77777777" w:rsidR="00502ADD" w:rsidRDefault="00502ADD">
      <w:pPr>
        <w:spacing w:line="240" w:lineRule="auto"/>
      </w:pPr>
      <w:r>
        <w:separator/>
      </w:r>
    </w:p>
  </w:endnote>
  <w:endnote w:type="continuationSeparator" w:id="0">
    <w:p w14:paraId="6CDB2E51" w14:textId="77777777" w:rsidR="00502ADD" w:rsidRDefault="0050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5F8C" w14:textId="77777777" w:rsidR="00502ADD" w:rsidRPr="003C63C0" w:rsidRDefault="00502ADD" w:rsidP="003C63C0">
    <w:pPr>
      <w:pStyle w:val="Footer"/>
      <w:rPr>
        <w:b w:val="0"/>
        <w:bCs/>
      </w:rPr>
    </w:pPr>
    <w:r w:rsidRPr="003C63C0">
      <w:rPr>
        <w:b w:val="0"/>
        <w:bCs/>
      </w:rPr>
      <w:fldChar w:fldCharType="begin"/>
    </w:r>
    <w:r w:rsidRPr="003C63C0">
      <w:rPr>
        <w:b w:val="0"/>
        <w:bCs/>
      </w:rPr>
      <w:instrText xml:space="preserve"> PAGE  \* MERGEFORMAT </w:instrText>
    </w:r>
    <w:r w:rsidRPr="003C63C0">
      <w:rPr>
        <w:b w:val="0"/>
        <w:bCs/>
      </w:rPr>
      <w:fldChar w:fldCharType="separate"/>
    </w:r>
    <w:r w:rsidRPr="003C63C0">
      <w:rPr>
        <w:b w:val="0"/>
        <w:bCs/>
        <w:noProof/>
      </w:rPr>
      <w:t>1</w:t>
    </w:r>
    <w:r w:rsidRPr="003C63C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C491" w14:textId="77777777" w:rsidR="00502ADD" w:rsidRDefault="00502ADD" w:rsidP="003655AF">
      <w:pPr>
        <w:spacing w:line="240" w:lineRule="auto"/>
      </w:pPr>
      <w:r>
        <w:separator/>
      </w:r>
    </w:p>
  </w:footnote>
  <w:footnote w:type="continuationSeparator" w:id="0">
    <w:p w14:paraId="00437EC9" w14:textId="77777777" w:rsidR="00502ADD" w:rsidRDefault="00502ADD" w:rsidP="003655AF">
      <w:pPr>
        <w:spacing w:line="240" w:lineRule="auto"/>
      </w:pPr>
      <w:r>
        <w:continuationSeparator/>
      </w:r>
    </w:p>
  </w:footnote>
  <w:footnote w:id="1">
    <w:p w14:paraId="5FAFE8F8" w14:textId="77777777" w:rsidR="00502ADD" w:rsidRDefault="00502ADD" w:rsidP="000C77ED">
      <w:pPr>
        <w:pStyle w:val="FootnoteText"/>
      </w:pPr>
      <w:r>
        <w:rPr>
          <w:rStyle w:val="FootnoteReference"/>
        </w:rPr>
        <w:footnoteRef/>
      </w:r>
      <w:r>
        <w:tab/>
        <w:t>Undesignated section references are to the Welfare and Institutions Code.</w:t>
      </w:r>
    </w:p>
  </w:footnote>
  <w:footnote w:id="2">
    <w:p w14:paraId="7A896003" w14:textId="77777777" w:rsidR="00502ADD" w:rsidRPr="00FD044F" w:rsidRDefault="00502ADD">
      <w:pPr>
        <w:pStyle w:val="FootnoteText"/>
      </w:pPr>
      <w:r>
        <w:rPr>
          <w:rStyle w:val="FootnoteReference"/>
        </w:rPr>
        <w:footnoteRef/>
      </w:r>
      <w:r>
        <w:tab/>
        <w:t xml:space="preserve">This court granted appellant’s motion to </w:t>
      </w:r>
      <w:r>
        <w:t>incorporate the record from his previous appeal</w:t>
      </w:r>
      <w:r>
        <w:t>.  (</w:t>
      </w:r>
      <w:r w:rsidRPr="00321A7B">
        <w:rPr>
          <w:i/>
          <w:iCs/>
        </w:rPr>
        <w:t>People v. McKeever</w:t>
      </w:r>
      <w:r>
        <w:rPr>
          <w:i/>
          <w:iCs/>
        </w:rPr>
        <w:t xml:space="preserve"> </w:t>
      </w:r>
      <w:r>
        <w:t>(Mar. 21, 2018, C083997) [</w:t>
      </w:r>
      <w:proofErr w:type="spellStart"/>
      <w:r>
        <w:t>nonpub</w:t>
      </w:r>
      <w:proofErr w:type="spellEnd"/>
      <w:r>
        <w:t xml:space="preserve">. </w:t>
      </w:r>
      <w:proofErr w:type="spellStart"/>
      <w:r>
        <w:t>opn</w:t>
      </w:r>
      <w:proofErr w:type="spellEnd"/>
      <w:r>
        <w:t>.]</w:t>
      </w:r>
      <w:r>
        <w:t xml:space="preserve"> (</w:t>
      </w:r>
      <w:r w:rsidRPr="00321A7B">
        <w:rPr>
          <w:i/>
          <w:iCs/>
        </w:rPr>
        <w:t>McKeever</w:t>
      </w:r>
      <w:r>
        <w:t>).</w:t>
      </w:r>
      <w:r>
        <w:t>)</w:t>
      </w:r>
    </w:p>
  </w:footnote>
  <w:footnote w:id="3">
    <w:p w14:paraId="03353ED7" w14:textId="77777777" w:rsidR="00502ADD" w:rsidRDefault="00502ADD" w:rsidP="00F9727D">
      <w:pPr>
        <w:pStyle w:val="FootnoteText"/>
      </w:pPr>
      <w:r>
        <w:rPr>
          <w:rStyle w:val="FootnoteReference"/>
        </w:rPr>
        <w:footnoteRef/>
      </w:r>
      <w:r>
        <w:tab/>
        <w:t xml:space="preserve">Although the scope of our review is limited to the </w:t>
      </w:r>
      <w:r>
        <w:t xml:space="preserve">notice of appeal and </w:t>
      </w:r>
      <w:r w:rsidRPr="00AD2BAF">
        <w:t xml:space="preserve">order </w:t>
      </w:r>
      <w:r>
        <w:t xml:space="preserve">appealed </w:t>
      </w:r>
      <w:r>
        <w:t>from</w:t>
      </w:r>
      <w:r>
        <w:t xml:space="preserve"> </w:t>
      </w:r>
      <w:r w:rsidRPr="00F9727D">
        <w:t>(</w:t>
      </w:r>
      <w:bookmarkStart w:id="76" w:name="dabmci_93b6d2b817fa4181975dff23b384cfd0"/>
      <w:r w:rsidRPr="00F9727D">
        <w:rPr>
          <w:i/>
          <w:iCs/>
        </w:rPr>
        <w:t>Faunce v. Cate</w:t>
      </w:r>
      <w:r w:rsidRPr="00F9727D">
        <w:t> (2013) 222 Cal.App.4th 166, 170</w:t>
      </w:r>
      <w:bookmarkEnd w:id="76"/>
      <w:r w:rsidRPr="00F9727D">
        <w:t>)</w:t>
      </w:r>
      <w:r w:rsidRPr="00AD2BAF">
        <w:t xml:space="preserve">, </w:t>
      </w:r>
      <w:r>
        <w:t xml:space="preserve">we </w:t>
      </w:r>
      <w:r>
        <w:t xml:space="preserve">find </w:t>
      </w:r>
      <w:r w:rsidRPr="00AD2BAF">
        <w:t>jurisdiction to consider the</w:t>
      </w:r>
      <w:r>
        <w:t xml:space="preserve">se </w:t>
      </w:r>
      <w:r w:rsidRPr="00AD2BAF">
        <w:t xml:space="preserve">challenges </w:t>
      </w:r>
      <w:r>
        <w:t xml:space="preserve">to J.M.’s sentence </w:t>
      </w:r>
      <w:r w:rsidRPr="00AD2BAF">
        <w:t>because th</w:t>
      </w:r>
      <w:r>
        <w:t>e</w:t>
      </w:r>
      <w:r w:rsidRPr="00AD2BAF">
        <w:t xml:space="preserve"> </w:t>
      </w:r>
      <w:r>
        <w:t xml:space="preserve">transfer </w:t>
      </w:r>
      <w:r w:rsidRPr="00AD2BAF">
        <w:t xml:space="preserve">order reinstated </w:t>
      </w:r>
      <w:r>
        <w:t>J.M.’s</w:t>
      </w:r>
      <w:r w:rsidRPr="00AD2BAF">
        <w:t xml:space="preserve"> </w:t>
      </w:r>
      <w:r>
        <w:t>convictions and sentence</w:t>
      </w:r>
      <w:r w:rsidRPr="00AD2BA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AC"/>
    <w:rsid w:val="0039787F"/>
    <w:rsid w:val="00502ADD"/>
    <w:rsid w:val="0054150B"/>
    <w:rsid w:val="00D15C82"/>
    <w:rsid w:val="00ED38AC"/>
    <w:rsid w:val="00F2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AF"/>
    <w:pPr>
      <w:spacing w:after="0" w:line="480" w:lineRule="atLeast"/>
    </w:pPr>
    <w:rPr>
      <w:rFonts w:ascii="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655AF"/>
    <w:pPr>
      <w:spacing w:before="240" w:line="240" w:lineRule="atLeast"/>
    </w:pPr>
  </w:style>
  <w:style w:type="character" w:customStyle="1" w:styleId="FootnoteTextChar">
    <w:name w:val="Footnote Text Char"/>
    <w:basedOn w:val="DefaultParagraphFont"/>
    <w:link w:val="FootnoteText"/>
    <w:rsid w:val="003655AF"/>
    <w:rPr>
      <w:rFonts w:ascii="Times New Roman" w:hAnsi="Times New Roman" w:cs="Times New Roman"/>
      <w:sz w:val="26"/>
      <w:szCs w:val="24"/>
    </w:rPr>
  </w:style>
  <w:style w:type="character" w:styleId="FootnoteReference">
    <w:name w:val="footnote reference"/>
    <w:basedOn w:val="FootnoteTextChar"/>
    <w:semiHidden/>
    <w:qFormat/>
    <w:rsid w:val="003655AF"/>
    <w:rPr>
      <w:rFonts w:ascii="Times New Roman" w:hAnsi="Times New Roman" w:cs="Times New Roman"/>
      <w:b/>
      <w:caps w:val="0"/>
      <w:smallCaps w:val="0"/>
      <w:strike w:val="0"/>
      <w:dstrike w:val="0"/>
      <w:vanish w:val="0"/>
      <w:kern w:val="0"/>
      <w:position w:val="8"/>
      <w:sz w:val="20"/>
      <w:szCs w:val="24"/>
      <w:u w:val="none"/>
      <w:vertAlign w:val="baseline"/>
      <w14:cntxtAlts w14:val="0"/>
    </w:rPr>
  </w:style>
  <w:style w:type="paragraph" w:styleId="Footer">
    <w:name w:val="footer"/>
    <w:basedOn w:val="Normal"/>
    <w:next w:val="NoSpacing"/>
    <w:link w:val="FooterChar"/>
    <w:uiPriority w:val="99"/>
    <w:rsid w:val="003655AF"/>
    <w:pPr>
      <w:tabs>
        <w:tab w:val="center" w:pos="4680"/>
        <w:tab w:val="right" w:pos="9360"/>
      </w:tabs>
      <w:jc w:val="center"/>
    </w:pPr>
    <w:rPr>
      <w:b/>
      <w:szCs w:val="20"/>
    </w:rPr>
  </w:style>
  <w:style w:type="character" w:customStyle="1" w:styleId="FooterChar">
    <w:name w:val="Footer Char"/>
    <w:basedOn w:val="DefaultParagraphFont"/>
    <w:link w:val="Footer"/>
    <w:uiPriority w:val="99"/>
    <w:rsid w:val="003655AF"/>
    <w:rPr>
      <w:rFonts w:ascii="Times New Roman" w:hAnsi="Times New Roman" w:cs="Times New Roman"/>
      <w:b/>
      <w:sz w:val="26"/>
      <w:szCs w:val="20"/>
    </w:rPr>
  </w:style>
  <w:style w:type="paragraph" w:styleId="NoSpacing">
    <w:name w:val="No Spacing"/>
    <w:uiPriority w:val="1"/>
    <w:qFormat/>
    <w:rsid w:val="003655AF"/>
    <w:pPr>
      <w:spacing w:after="0" w:line="240" w:lineRule="auto"/>
    </w:pPr>
    <w:rPr>
      <w:rFonts w:ascii="Times New Roman" w:hAnsi="Times New Roman" w:cs="Times New Roman"/>
      <w:position w:val="8"/>
      <w:sz w:val="26"/>
      <w:szCs w:val="26"/>
    </w:rPr>
  </w:style>
  <w:style w:type="character" w:styleId="PageNumber">
    <w:name w:val="page number"/>
    <w:basedOn w:val="DefaultParagraphFont"/>
    <w:rsid w:val="003655AF"/>
  </w:style>
  <w:style w:type="paragraph" w:styleId="Header">
    <w:name w:val="header"/>
    <w:basedOn w:val="Normal"/>
    <w:link w:val="HeaderChar"/>
    <w:rsid w:val="003655AF"/>
    <w:pPr>
      <w:tabs>
        <w:tab w:val="center" w:pos="4680"/>
        <w:tab w:val="right" w:pos="9360"/>
      </w:tabs>
    </w:pPr>
  </w:style>
  <w:style w:type="character" w:customStyle="1" w:styleId="HeaderChar">
    <w:name w:val="Header Char"/>
    <w:basedOn w:val="DefaultParagraphFont"/>
    <w:link w:val="Header"/>
    <w:rsid w:val="003655AF"/>
    <w:rPr>
      <w:rFonts w:ascii="Times New Roman" w:hAnsi="Times New Roman" w:cs="Times New Roman"/>
      <w:sz w:val="26"/>
      <w:szCs w:val="24"/>
    </w:rPr>
  </w:style>
  <w:style w:type="character" w:styleId="Hyperlink">
    <w:name w:val="Hyperlink"/>
    <w:basedOn w:val="DefaultParagraphFont"/>
    <w:unhideWhenUsed/>
    <w:rsid w:val="003655AF"/>
    <w:rPr>
      <w:color w:val="0563C1" w:themeColor="hyperlink"/>
      <w:u w:val="single"/>
    </w:rPr>
  </w:style>
  <w:style w:type="character" w:styleId="CommentReference">
    <w:name w:val="annotation reference"/>
    <w:basedOn w:val="DefaultParagraphFont"/>
    <w:uiPriority w:val="99"/>
    <w:semiHidden/>
    <w:unhideWhenUsed/>
    <w:rsid w:val="003655AF"/>
    <w:rPr>
      <w:sz w:val="16"/>
      <w:szCs w:val="16"/>
    </w:rPr>
  </w:style>
  <w:style w:type="paragraph" w:styleId="CommentText">
    <w:name w:val="annotation text"/>
    <w:basedOn w:val="Normal"/>
    <w:link w:val="CommentTextChar"/>
    <w:uiPriority w:val="99"/>
    <w:semiHidden/>
    <w:unhideWhenUsed/>
    <w:rsid w:val="003655AF"/>
    <w:pPr>
      <w:spacing w:line="240" w:lineRule="auto"/>
    </w:pPr>
    <w:rPr>
      <w:sz w:val="20"/>
      <w:szCs w:val="20"/>
    </w:rPr>
  </w:style>
  <w:style w:type="character" w:customStyle="1" w:styleId="CommentTextChar">
    <w:name w:val="Comment Text Char"/>
    <w:basedOn w:val="DefaultParagraphFont"/>
    <w:link w:val="CommentText"/>
    <w:uiPriority w:val="99"/>
    <w:semiHidden/>
    <w:rsid w:val="003655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5AF"/>
    <w:rPr>
      <w:b/>
      <w:bCs/>
    </w:rPr>
  </w:style>
  <w:style w:type="character" w:customStyle="1" w:styleId="CommentSubjectChar">
    <w:name w:val="Comment Subject Char"/>
    <w:basedOn w:val="CommentTextChar"/>
    <w:link w:val="CommentSubject"/>
    <w:uiPriority w:val="99"/>
    <w:semiHidden/>
    <w:rsid w:val="003655AF"/>
    <w:rPr>
      <w:rFonts w:ascii="Times New Roman" w:hAnsi="Times New Roman" w:cs="Times New Roman"/>
      <w:b/>
      <w:bCs/>
      <w:sz w:val="20"/>
      <w:szCs w:val="20"/>
    </w:rPr>
  </w:style>
  <w:style w:type="paragraph" w:styleId="NormalWeb">
    <w:name w:val="Normal (Web)"/>
    <w:basedOn w:val="Normal"/>
    <w:uiPriority w:val="99"/>
    <w:semiHidden/>
    <w:unhideWhenUsed/>
    <w:rsid w:val="003655AF"/>
    <w:rPr>
      <w:sz w:val="24"/>
    </w:rPr>
  </w:style>
  <w:style w:type="character" w:customStyle="1" w:styleId="UnresolvedMention1">
    <w:name w:val="Unresolved Mention1"/>
    <w:basedOn w:val="DefaultParagraphFont"/>
    <w:uiPriority w:val="99"/>
    <w:semiHidden/>
    <w:unhideWhenUsed/>
    <w:rsid w:val="003655AF"/>
    <w:rPr>
      <w:color w:val="605E5C"/>
      <w:shd w:val="clear" w:color="auto" w:fill="E1DFDD"/>
    </w:rPr>
  </w:style>
  <w:style w:type="paragraph" w:styleId="Revision">
    <w:name w:val="Revision"/>
    <w:hidden/>
    <w:uiPriority w:val="99"/>
    <w:semiHidden/>
    <w:rsid w:val="008F5EC4"/>
    <w:pPr>
      <w:spacing w:after="0" w:line="240" w:lineRule="auto"/>
    </w:pPr>
    <w:rPr>
      <w:rFonts w:ascii="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4424</Words>
  <Characters>23295</Characters>
  <Application>Microsoft Office Word</Application>
  <DocSecurity>0</DocSecurity>
  <Lines>396</Lines>
  <Paragraphs>68</Paragraphs>
  <ScaleCrop>false</ScaleCrop>
  <Manager/>
  <Company/>
  <LinksUpToDate>false</LinksUpToDate>
  <CharactersWithSpaces>27830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2024-07-12T18:23:00Z</dcterms:created>
  <dcterms:modified xsi:type="dcterms:W3CDTF">2024-07-12T18:23:00Z</dcterms:modified>
  <cp:category/>
</cp:coreProperties>
</file>