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94FF" w14:textId="2B95CCD1" w:rsidR="00EC1571" w:rsidRPr="00746B9E" w:rsidRDefault="001D501C" w:rsidP="00746B9E">
      <w:pPr>
        <w:spacing w:line="240" w:lineRule="atLeast"/>
        <w:rPr>
          <w:sz w:val="20"/>
          <w:szCs w:val="20"/>
        </w:rPr>
      </w:pPr>
      <w:r>
        <w:rPr>
          <w:sz w:val="20"/>
          <w:szCs w:val="20"/>
        </w:rPr>
        <w:t>Filed 12/20/23</w:t>
      </w:r>
    </w:p>
    <w:p w14:paraId="5ADA3C9F" w14:textId="21BB4FC2" w:rsidR="00EC1571" w:rsidRDefault="00EC1571" w:rsidP="00746B9E">
      <w:pPr>
        <w:spacing w:line="240" w:lineRule="atLeast"/>
        <w:jc w:val="center"/>
        <w:rPr>
          <w:u w:val="words"/>
        </w:rPr>
      </w:pPr>
      <w:r w:rsidRPr="00EC1571">
        <w:rPr>
          <w:u w:val="words"/>
        </w:rPr>
        <w:t>CERTIFIED FOR PUBLICATION</w:t>
      </w:r>
    </w:p>
    <w:p w14:paraId="29EF779B" w14:textId="62CC4824" w:rsidR="00EC1571" w:rsidRDefault="00EC1571" w:rsidP="00746B9E">
      <w:pPr>
        <w:spacing w:line="240" w:lineRule="atLeast"/>
        <w:jc w:val="center"/>
        <w:rPr>
          <w:u w:val="words"/>
        </w:rPr>
      </w:pPr>
    </w:p>
    <w:p w14:paraId="0624B3D9" w14:textId="77777777" w:rsidR="00746B9E" w:rsidRDefault="00746B9E" w:rsidP="00746B9E">
      <w:pPr>
        <w:spacing w:line="240" w:lineRule="atLeast"/>
        <w:rPr>
          <w:u w:val="words"/>
        </w:rPr>
      </w:pPr>
    </w:p>
    <w:p w14:paraId="20C1DBB0" w14:textId="48159FF1" w:rsidR="00EC1571" w:rsidRDefault="00EC1571" w:rsidP="00746B9E">
      <w:pPr>
        <w:spacing w:line="240" w:lineRule="atLeast"/>
        <w:jc w:val="center"/>
        <w:rPr>
          <w:u w:val="words"/>
        </w:rPr>
      </w:pPr>
    </w:p>
    <w:p w14:paraId="00A5B274" w14:textId="6FBBADB5" w:rsidR="00EC1571" w:rsidRDefault="00EC1571" w:rsidP="00746B9E">
      <w:pPr>
        <w:spacing w:line="240" w:lineRule="atLeast"/>
        <w:jc w:val="center"/>
        <w:rPr>
          <w:u w:val="words"/>
        </w:rPr>
      </w:pPr>
    </w:p>
    <w:p w14:paraId="0E03E0FC" w14:textId="7744152D" w:rsidR="00EC1571" w:rsidRDefault="00EC1571" w:rsidP="00746B9E">
      <w:pPr>
        <w:spacing w:line="240" w:lineRule="atLeast"/>
        <w:jc w:val="center"/>
      </w:pPr>
      <w:r>
        <w:t>IN THE COURT OF APPEAL OF THE STATE OF CALIFORNIA</w:t>
      </w:r>
    </w:p>
    <w:p w14:paraId="09ED5C8E" w14:textId="72047B24" w:rsidR="00EC1571" w:rsidRDefault="00EC1571" w:rsidP="00746B9E">
      <w:pPr>
        <w:spacing w:line="240" w:lineRule="atLeast"/>
        <w:jc w:val="center"/>
      </w:pPr>
    </w:p>
    <w:p w14:paraId="30F4FFD4" w14:textId="26E174FF" w:rsidR="00EC1571" w:rsidRDefault="00EC1571" w:rsidP="00746B9E">
      <w:pPr>
        <w:spacing w:line="240" w:lineRule="atLeast"/>
        <w:jc w:val="center"/>
      </w:pPr>
      <w:r>
        <w:t>THIRD APPELLATE DISTRICT</w:t>
      </w:r>
    </w:p>
    <w:p w14:paraId="32522D6F" w14:textId="15A5CA27" w:rsidR="00EC1571" w:rsidRDefault="00EC1571" w:rsidP="00746B9E">
      <w:pPr>
        <w:spacing w:line="240" w:lineRule="atLeast"/>
        <w:jc w:val="center"/>
      </w:pPr>
    </w:p>
    <w:p w14:paraId="1448F0F2" w14:textId="15BF279E" w:rsidR="00EC1571" w:rsidRDefault="00EC1571" w:rsidP="00746B9E">
      <w:pPr>
        <w:spacing w:line="240" w:lineRule="atLeast"/>
        <w:jc w:val="center"/>
      </w:pPr>
      <w:r>
        <w:t>(Sacramento)</w:t>
      </w:r>
    </w:p>
    <w:p w14:paraId="615F90BE" w14:textId="101EA2A5" w:rsidR="00EC1571" w:rsidRDefault="00EC1571" w:rsidP="00746B9E">
      <w:pPr>
        <w:spacing w:line="240" w:lineRule="atLeast"/>
        <w:jc w:val="center"/>
      </w:pPr>
      <w:r>
        <w:t>----</w:t>
      </w:r>
    </w:p>
    <w:p w14:paraId="02525429" w14:textId="2B734F8F" w:rsidR="00EC1571" w:rsidRDefault="00EC1571" w:rsidP="00746B9E">
      <w:pPr>
        <w:spacing w:line="240" w:lineRule="atLeast"/>
        <w:jc w:val="center"/>
      </w:pPr>
    </w:p>
    <w:p w14:paraId="355E2715" w14:textId="780E2897" w:rsidR="00EC1571" w:rsidRDefault="00EC1571" w:rsidP="00746B9E">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EC1571" w14:paraId="19A8C179" w14:textId="77777777" w:rsidTr="00EC1571">
        <w:tc>
          <w:tcPr>
            <w:tcW w:w="5904" w:type="dxa"/>
            <w:shd w:val="clear" w:color="auto" w:fill="auto"/>
          </w:tcPr>
          <w:p w14:paraId="4883091A" w14:textId="77777777" w:rsidR="00EC1571" w:rsidRDefault="00EC1571" w:rsidP="00746B9E">
            <w:pPr>
              <w:spacing w:line="240" w:lineRule="atLeast"/>
            </w:pPr>
          </w:p>
          <w:p w14:paraId="5BF56421" w14:textId="77777777" w:rsidR="00EC1571" w:rsidRDefault="00EC1571" w:rsidP="00746B9E">
            <w:pPr>
              <w:spacing w:line="240" w:lineRule="atLeast"/>
            </w:pPr>
            <w:r>
              <w:t>ADAM WALSWORTH,</w:t>
            </w:r>
          </w:p>
          <w:p w14:paraId="0F19BBA1" w14:textId="77777777" w:rsidR="00EC1571" w:rsidRDefault="00EC1571" w:rsidP="00746B9E">
            <w:pPr>
              <w:spacing w:line="240" w:lineRule="atLeast"/>
            </w:pPr>
          </w:p>
          <w:p w14:paraId="722280E0" w14:textId="77777777" w:rsidR="00EC1571" w:rsidRDefault="00EC1571" w:rsidP="00746B9E">
            <w:pPr>
              <w:spacing w:line="240" w:lineRule="atLeast"/>
            </w:pPr>
            <w:r>
              <w:tab/>
            </w:r>
            <w:r>
              <w:tab/>
              <w:t>Petitioner,</w:t>
            </w:r>
          </w:p>
          <w:p w14:paraId="767B6DDB" w14:textId="77777777" w:rsidR="00EC1571" w:rsidRDefault="00EC1571" w:rsidP="00746B9E">
            <w:pPr>
              <w:spacing w:line="240" w:lineRule="atLeast"/>
            </w:pPr>
          </w:p>
          <w:p w14:paraId="60CC71D1" w14:textId="77777777" w:rsidR="00EC1571" w:rsidRDefault="00EC1571" w:rsidP="00746B9E">
            <w:pPr>
              <w:spacing w:line="240" w:lineRule="atLeast"/>
            </w:pPr>
            <w:r>
              <w:tab/>
              <w:t>v.</w:t>
            </w:r>
          </w:p>
          <w:p w14:paraId="4C327334" w14:textId="77777777" w:rsidR="00EC1571" w:rsidRDefault="00EC1571" w:rsidP="00746B9E">
            <w:pPr>
              <w:spacing w:line="240" w:lineRule="atLeast"/>
            </w:pPr>
          </w:p>
          <w:p w14:paraId="1C7DA4D9" w14:textId="77777777" w:rsidR="00EC1571" w:rsidRDefault="00EC1571" w:rsidP="00746B9E">
            <w:pPr>
              <w:spacing w:line="240" w:lineRule="atLeast"/>
            </w:pPr>
            <w:r>
              <w:t>THE SUPERIOR COURT OF SACRAMENTO COUNTY,</w:t>
            </w:r>
          </w:p>
          <w:p w14:paraId="31CE537D" w14:textId="77777777" w:rsidR="00EC1571" w:rsidRDefault="00EC1571" w:rsidP="00746B9E">
            <w:pPr>
              <w:spacing w:line="240" w:lineRule="atLeast"/>
            </w:pPr>
          </w:p>
          <w:p w14:paraId="08C8E8DB" w14:textId="77777777" w:rsidR="00EC1571" w:rsidRDefault="00EC1571" w:rsidP="00746B9E">
            <w:pPr>
              <w:spacing w:line="240" w:lineRule="atLeast"/>
            </w:pPr>
            <w:r>
              <w:tab/>
            </w:r>
            <w:r>
              <w:tab/>
              <w:t>Respondent;</w:t>
            </w:r>
          </w:p>
          <w:p w14:paraId="0C561B37" w14:textId="77777777" w:rsidR="00EC1571" w:rsidRDefault="00EC1571" w:rsidP="00746B9E">
            <w:pPr>
              <w:spacing w:line="240" w:lineRule="atLeast"/>
            </w:pPr>
          </w:p>
          <w:p w14:paraId="5A18DAA1" w14:textId="77777777" w:rsidR="00EC1571" w:rsidRDefault="00EC1571" w:rsidP="00746B9E">
            <w:pPr>
              <w:spacing w:line="240" w:lineRule="atLeast"/>
            </w:pPr>
            <w:r>
              <w:t>THE PEOPLE,</w:t>
            </w:r>
          </w:p>
          <w:p w14:paraId="31306327" w14:textId="77777777" w:rsidR="00EC1571" w:rsidRDefault="00EC1571" w:rsidP="00746B9E">
            <w:pPr>
              <w:spacing w:line="240" w:lineRule="atLeast"/>
            </w:pPr>
          </w:p>
          <w:p w14:paraId="2244C619" w14:textId="77777777" w:rsidR="00EC1571" w:rsidRDefault="00EC1571" w:rsidP="00746B9E">
            <w:pPr>
              <w:spacing w:line="240" w:lineRule="atLeast"/>
            </w:pPr>
            <w:r>
              <w:tab/>
            </w:r>
            <w:r>
              <w:tab/>
              <w:t>Real Party in Interest.</w:t>
            </w:r>
          </w:p>
          <w:p w14:paraId="6A8CA454" w14:textId="08DD063B" w:rsidR="00EC1571" w:rsidRDefault="00EC1571" w:rsidP="00746B9E">
            <w:pPr>
              <w:spacing w:line="240" w:lineRule="atLeast"/>
            </w:pPr>
          </w:p>
        </w:tc>
        <w:tc>
          <w:tcPr>
            <w:tcW w:w="3456" w:type="dxa"/>
            <w:shd w:val="clear" w:color="auto" w:fill="auto"/>
          </w:tcPr>
          <w:p w14:paraId="4D8D8D92" w14:textId="77777777" w:rsidR="00EC1571" w:rsidRDefault="00EC1571" w:rsidP="00746B9E">
            <w:pPr>
              <w:spacing w:line="240" w:lineRule="atLeast"/>
              <w:jc w:val="center"/>
            </w:pPr>
          </w:p>
          <w:p w14:paraId="2C72403F" w14:textId="77777777" w:rsidR="00EC1571" w:rsidRDefault="00EC1571" w:rsidP="00746B9E">
            <w:pPr>
              <w:spacing w:line="240" w:lineRule="atLeast"/>
              <w:jc w:val="center"/>
            </w:pPr>
            <w:r>
              <w:t>C098517</w:t>
            </w:r>
          </w:p>
          <w:p w14:paraId="3EEA21FC" w14:textId="77777777" w:rsidR="00EC1571" w:rsidRDefault="00EC1571" w:rsidP="00746B9E">
            <w:pPr>
              <w:spacing w:line="240" w:lineRule="atLeast"/>
              <w:jc w:val="center"/>
            </w:pPr>
          </w:p>
          <w:p w14:paraId="72FD7E7B" w14:textId="77777777" w:rsidR="00EC1571" w:rsidRDefault="00EC1571" w:rsidP="00746B9E">
            <w:pPr>
              <w:spacing w:line="240" w:lineRule="atLeast"/>
              <w:jc w:val="center"/>
            </w:pPr>
            <w:r>
              <w:t>(Super. Ct. No. 20FE014424)</w:t>
            </w:r>
          </w:p>
          <w:p w14:paraId="30892DA4" w14:textId="60568A1E" w:rsidR="00EC1571" w:rsidRDefault="00EC1571" w:rsidP="00746B9E">
            <w:pPr>
              <w:spacing w:line="240" w:lineRule="atLeast"/>
              <w:jc w:val="center"/>
            </w:pPr>
          </w:p>
        </w:tc>
      </w:tr>
    </w:tbl>
    <w:p w14:paraId="52139779" w14:textId="77777777" w:rsidR="005644E0" w:rsidRDefault="005644E0" w:rsidP="00EC1571">
      <w:pPr>
        <w:spacing w:line="240" w:lineRule="atLeast"/>
      </w:pPr>
    </w:p>
    <w:p w14:paraId="103B22CE" w14:textId="06359EA3" w:rsidR="00EC1571" w:rsidRPr="00EF1A0A" w:rsidRDefault="00EC1571" w:rsidP="00EC1571">
      <w:pPr>
        <w:spacing w:line="240" w:lineRule="atLeast"/>
      </w:pPr>
      <w:r>
        <w:tab/>
      </w:r>
      <w:r w:rsidRPr="00EF1A0A">
        <w:t>ORIGINAL PROCEEDING in mandate.  Petition granted.  James P. Arguelles, Judge.</w:t>
      </w:r>
    </w:p>
    <w:p w14:paraId="42AF8650" w14:textId="62C09576" w:rsidR="00EC1571" w:rsidRPr="00EF1A0A" w:rsidRDefault="00EC1571" w:rsidP="00EC1571">
      <w:pPr>
        <w:spacing w:line="240" w:lineRule="atLeast"/>
      </w:pPr>
    </w:p>
    <w:p w14:paraId="1132BE04" w14:textId="5EB5F36F" w:rsidR="00EC1571" w:rsidRPr="00EF1A0A" w:rsidRDefault="00EC1571" w:rsidP="00EC1571">
      <w:pPr>
        <w:spacing w:line="240" w:lineRule="atLeast"/>
      </w:pPr>
      <w:r w:rsidRPr="00EF1A0A">
        <w:tab/>
      </w:r>
      <w:r w:rsidR="00BB404C" w:rsidRPr="00EF1A0A">
        <w:t>Adam Walsworth, in p</w:t>
      </w:r>
      <w:r w:rsidRPr="00EF1A0A">
        <w:t>ro</w:t>
      </w:r>
      <w:r w:rsidR="00BB404C" w:rsidRPr="00EF1A0A">
        <w:t>.</w:t>
      </w:r>
      <w:r w:rsidRPr="00EF1A0A">
        <w:t xml:space="preserve"> </w:t>
      </w:r>
      <w:r w:rsidR="00BB404C" w:rsidRPr="00EF1A0A">
        <w:t>p</w:t>
      </w:r>
      <w:r w:rsidRPr="00EF1A0A">
        <w:t>er</w:t>
      </w:r>
      <w:r w:rsidR="00BB404C" w:rsidRPr="00EF1A0A">
        <w:t>.,</w:t>
      </w:r>
      <w:r w:rsidRPr="00EF1A0A">
        <w:t xml:space="preserve"> for Petitioner.</w:t>
      </w:r>
    </w:p>
    <w:p w14:paraId="1AB7DB16" w14:textId="1A5CAB78" w:rsidR="00EC1571" w:rsidRPr="00EF1A0A" w:rsidRDefault="00EC1571" w:rsidP="00EC1571">
      <w:pPr>
        <w:spacing w:line="240" w:lineRule="atLeast"/>
      </w:pPr>
    </w:p>
    <w:p w14:paraId="702AD137" w14:textId="3DB2305C" w:rsidR="00EC1571" w:rsidRPr="00EF1A0A" w:rsidRDefault="00EC1571" w:rsidP="00EC1571">
      <w:pPr>
        <w:spacing w:line="240" w:lineRule="atLeast"/>
      </w:pPr>
      <w:r w:rsidRPr="00EF1A0A">
        <w:tab/>
      </w:r>
      <w:r w:rsidR="00BB404C" w:rsidRPr="00EF1A0A">
        <w:t xml:space="preserve">Law Office of </w:t>
      </w:r>
      <w:r w:rsidRPr="00EF1A0A">
        <w:t>Jarvis Fay LLP</w:t>
      </w:r>
      <w:r w:rsidR="00BB404C" w:rsidRPr="00EF1A0A">
        <w:t xml:space="preserve"> and </w:t>
      </w:r>
      <w:r w:rsidRPr="00EF1A0A">
        <w:t>Rick W. Jarvis</w:t>
      </w:r>
      <w:r w:rsidR="00E10EE1" w:rsidRPr="00EF1A0A">
        <w:t>,</w:t>
      </w:r>
      <w:r w:rsidRPr="00EF1A0A">
        <w:t xml:space="preserve"> for Respondent.</w:t>
      </w:r>
    </w:p>
    <w:p w14:paraId="335C7A78" w14:textId="7DD31EE3" w:rsidR="00EC1571" w:rsidRPr="00EF1A0A" w:rsidRDefault="00EC1571" w:rsidP="00EC1571">
      <w:pPr>
        <w:spacing w:line="240" w:lineRule="atLeast"/>
      </w:pPr>
    </w:p>
    <w:p w14:paraId="2754EDBE" w14:textId="19ED3F23" w:rsidR="00EC1571" w:rsidRPr="00EF1A0A" w:rsidRDefault="00EC1571" w:rsidP="00EC1571">
      <w:pPr>
        <w:spacing w:line="240" w:lineRule="atLeast"/>
      </w:pPr>
      <w:r w:rsidRPr="00EF1A0A">
        <w:tab/>
        <w:t>Rob Bonta</w:t>
      </w:r>
      <w:r w:rsidR="00E10EE1" w:rsidRPr="00EF1A0A">
        <w:t>, Attorney General</w:t>
      </w:r>
      <w:r w:rsidRPr="00EF1A0A">
        <w:t>, Michael P. Farrell</w:t>
      </w:r>
      <w:r w:rsidR="00E10EE1" w:rsidRPr="00EF1A0A">
        <w:t>, Assistant Attorney General</w:t>
      </w:r>
      <w:r w:rsidRPr="00EF1A0A">
        <w:t>, Julie Hokans</w:t>
      </w:r>
      <w:r w:rsidR="00E10EE1" w:rsidRPr="00EF1A0A">
        <w:t xml:space="preserve"> and</w:t>
      </w:r>
      <w:r w:rsidRPr="00EF1A0A">
        <w:t xml:space="preserve"> Jessica C. Leal</w:t>
      </w:r>
      <w:r w:rsidR="00E10EE1" w:rsidRPr="00EF1A0A">
        <w:t>, Deputy Attorneys General,</w:t>
      </w:r>
      <w:r w:rsidRPr="00EF1A0A">
        <w:t xml:space="preserve"> for Real Party in Interest.</w:t>
      </w:r>
    </w:p>
    <w:p w14:paraId="29144785" w14:textId="77777777" w:rsidR="00EC1571" w:rsidRDefault="00EC1571" w:rsidP="00EC1571"/>
    <w:p w14:paraId="02C9EAA9" w14:textId="11A72CC1" w:rsidR="007F7FE2" w:rsidRDefault="00F40AD8" w:rsidP="002A3327">
      <w:pPr>
        <w:spacing w:line="480" w:lineRule="exact"/>
      </w:pPr>
      <w:r>
        <w:lastRenderedPageBreak/>
        <w:tab/>
      </w:r>
      <w:r w:rsidR="009F3E2C">
        <w:t xml:space="preserve">Here </w:t>
      </w:r>
      <w:r w:rsidR="00D81A3A" w:rsidRPr="00D81A3A">
        <w:t xml:space="preserve">we direct respondent court to issue an order granting </w:t>
      </w:r>
      <w:r w:rsidR="007F7FE2">
        <w:t>petitioner Adam Walsworth’s motion to dismiss his case</w:t>
      </w:r>
      <w:r w:rsidR="009F3E2C">
        <w:t>.  He w</w:t>
      </w:r>
      <w:r w:rsidR="00D81A3A" w:rsidRPr="00D81A3A">
        <w:t xml:space="preserve">as denied </w:t>
      </w:r>
      <w:r w:rsidR="009F3E2C">
        <w:t>the</w:t>
      </w:r>
      <w:r w:rsidR="00D81A3A" w:rsidRPr="00D81A3A">
        <w:t xml:space="preserve"> </w:t>
      </w:r>
      <w:r w:rsidR="007F7FE2">
        <w:t xml:space="preserve">statutory </w:t>
      </w:r>
      <w:r w:rsidR="00D81A3A" w:rsidRPr="00D81A3A">
        <w:t>right to a speedy trial</w:t>
      </w:r>
      <w:r w:rsidR="009F3E2C">
        <w:t>,</w:t>
      </w:r>
      <w:r w:rsidR="00D81A3A" w:rsidRPr="00D81A3A">
        <w:t xml:space="preserve"> and there was no good cause for the undue delay.  </w:t>
      </w:r>
    </w:p>
    <w:p w14:paraId="22C9BBCC" w14:textId="6EA90657" w:rsidR="007F7FE2" w:rsidRDefault="00D81A3A" w:rsidP="007F7FE2">
      <w:pPr>
        <w:spacing w:line="480" w:lineRule="exact"/>
        <w:ind w:firstLine="720"/>
      </w:pPr>
      <w:r w:rsidRPr="00D81A3A">
        <w:t xml:space="preserve">We had reversed petitioner’s conviction and remanded for a new trial, issuing the remittitur on October 27, 2022.  Five days later (November 1, 2022), </w:t>
      </w:r>
      <w:r w:rsidR="007F7FE2">
        <w:t>respondent</w:t>
      </w:r>
      <w:r w:rsidRPr="00D81A3A">
        <w:t xml:space="preserve"> court clerk received </w:t>
      </w:r>
      <w:r w:rsidR="007F7FE2">
        <w:t>the remittitur</w:t>
      </w:r>
      <w:r w:rsidR="00307B3D">
        <w:t xml:space="preserve"> in the mail</w:t>
      </w:r>
      <w:r w:rsidRPr="00D81A3A">
        <w:t xml:space="preserve">.  We hold this is the date the remittitur </w:t>
      </w:r>
      <w:r w:rsidR="008E1C15">
        <w:t xml:space="preserve">at issue here </w:t>
      </w:r>
      <w:r w:rsidRPr="00D81A3A">
        <w:t xml:space="preserve">was deemed filed pursuant to the California Rules of Court.  But nothing substantive was done in </w:t>
      </w:r>
      <w:r w:rsidR="007F7FE2">
        <w:t>respondent</w:t>
      </w:r>
      <w:r w:rsidRPr="00D81A3A">
        <w:t xml:space="preserve"> court.  </w:t>
      </w:r>
      <w:r w:rsidR="0096741F">
        <w:t>Thirty-two</w:t>
      </w:r>
      <w:r w:rsidRPr="00D81A3A">
        <w:t xml:space="preserve"> days after we issued the remittitur (November 28, 2022), petitioner filed an appeal with the California Department of Corrections (CDCR), claiming his sentence was reversed and he should be released to county custody.  CDCR denied the claim because respondent court told CDCR no changes had been made to petitioner’s conviction.  Petitioner’s appellate counsel then sent a letter to respondent court inquiring about the status of petitioner’s new trial and attaching the remittitur.  The sentencing judge received this letter 97 days after we issued the remittitur (on February 1, 2023).  The sentencing judge ordered filing of the remittitur on the same day and scheduled an expedited hearing.  </w:t>
      </w:r>
    </w:p>
    <w:p w14:paraId="2CBE330C" w14:textId="087EB55E" w:rsidR="007F7FE2" w:rsidRDefault="00D81A3A" w:rsidP="007F7FE2">
      <w:pPr>
        <w:spacing w:line="480" w:lineRule="exact"/>
        <w:ind w:firstLine="720"/>
      </w:pPr>
      <w:r w:rsidRPr="00D81A3A">
        <w:t>Petitioner filed a motion to dismiss</w:t>
      </w:r>
      <w:r w:rsidR="007F7FE2">
        <w:t>.  The</w:t>
      </w:r>
      <w:r w:rsidRPr="00D81A3A">
        <w:t xml:space="preserve"> sentencing judge denied </w:t>
      </w:r>
      <w:r w:rsidR="007F7FE2">
        <w:t xml:space="preserve">the motion, finding </w:t>
      </w:r>
      <w:r w:rsidR="005477E4">
        <w:t xml:space="preserve">no speedy trial violation because </w:t>
      </w:r>
      <w:r w:rsidRPr="00D81A3A">
        <w:t xml:space="preserve">the remittitur was filed </w:t>
      </w:r>
      <w:r w:rsidR="008E1C15">
        <w:t xml:space="preserve">by the sentencing court </w:t>
      </w:r>
      <w:r w:rsidRPr="00D81A3A">
        <w:t>on February 1, 2023</w:t>
      </w:r>
      <w:r w:rsidR="0096741F">
        <w:t>,</w:t>
      </w:r>
      <w:r w:rsidRPr="00D81A3A">
        <w:t xml:space="preserve"> and </w:t>
      </w:r>
      <w:r w:rsidR="005477E4">
        <w:t>because</w:t>
      </w:r>
      <w:r w:rsidRPr="00D81A3A">
        <w:t xml:space="preserve"> petitioner failed to demonstrate actual prejudice.  </w:t>
      </w:r>
    </w:p>
    <w:p w14:paraId="281097CA" w14:textId="7DC9408C" w:rsidR="00D81A3A" w:rsidRDefault="00D81A3A" w:rsidP="009D566E">
      <w:pPr>
        <w:spacing w:line="480" w:lineRule="exact"/>
        <w:ind w:firstLine="720"/>
      </w:pPr>
      <w:r w:rsidRPr="00D81A3A">
        <w:t>Petitioner here seeks a writ of mandate to compel respondent court to dismiss his case on the ground that he was not brought to trial within 60 days of the filing of the remittitur.  We agree.</w:t>
      </w:r>
    </w:p>
    <w:p w14:paraId="30AB2048" w14:textId="71BDB061" w:rsidR="002A3327" w:rsidRDefault="002A3327" w:rsidP="001B02B2">
      <w:pPr>
        <w:keepNext/>
        <w:spacing w:line="480" w:lineRule="exact"/>
        <w:jc w:val="center"/>
      </w:pPr>
      <w:r>
        <w:t>FACTUAL AND PROCEDURAL BACKGROUND</w:t>
      </w:r>
    </w:p>
    <w:p w14:paraId="055627C0" w14:textId="345601C1" w:rsidR="00E41793" w:rsidRDefault="003957FD" w:rsidP="00E41793">
      <w:pPr>
        <w:spacing w:line="480" w:lineRule="exact"/>
      </w:pPr>
      <w:r>
        <w:tab/>
        <w:t xml:space="preserve">In a previous appeal, we reversed petitioner’s conviction and remanded </w:t>
      </w:r>
      <w:r w:rsidR="00375156">
        <w:t xml:space="preserve">the case </w:t>
      </w:r>
      <w:r>
        <w:t>for a new trial.  (</w:t>
      </w:r>
      <w:r>
        <w:rPr>
          <w:i/>
          <w:iCs/>
        </w:rPr>
        <w:t>People v. Walsworth</w:t>
      </w:r>
      <w:r w:rsidR="009A5597">
        <w:t xml:space="preserve"> (Aug. 24, 2022, C094272) [nonpub. opn.].)  </w:t>
      </w:r>
      <w:r w:rsidR="00E41793">
        <w:t>We issued the remittitur</w:t>
      </w:r>
      <w:r w:rsidR="009A5597">
        <w:t xml:space="preserve"> on October 27, 2022.  </w:t>
      </w:r>
    </w:p>
    <w:p w14:paraId="799C87D1" w14:textId="326EE39C" w:rsidR="00816489" w:rsidRDefault="00E41793" w:rsidP="00E41793">
      <w:pPr>
        <w:spacing w:line="480" w:lineRule="exact"/>
      </w:pPr>
      <w:bookmarkStart w:id="0" w:name="ElPgBr2"/>
      <w:bookmarkEnd w:id="0"/>
      <w:r>
        <w:lastRenderedPageBreak/>
        <w:tab/>
      </w:r>
      <w:r w:rsidR="002F12E6">
        <w:t>According to respondent court’s internal procedures</w:t>
      </w:r>
      <w:r>
        <w:t xml:space="preserve">, </w:t>
      </w:r>
      <w:r w:rsidR="00F61003">
        <w:t xml:space="preserve">once </w:t>
      </w:r>
      <w:r w:rsidR="002F12E6">
        <w:t>it receives a remittitur</w:t>
      </w:r>
      <w:r w:rsidR="00F61003">
        <w:t xml:space="preserve"> in the mail, </w:t>
      </w:r>
      <w:r w:rsidR="002F12E6">
        <w:t>the remittitur</w:t>
      </w:r>
      <w:r w:rsidR="00816489">
        <w:t xml:space="preserve"> </w:t>
      </w:r>
      <w:r w:rsidR="002F12E6">
        <w:t>is</w:t>
      </w:r>
      <w:r w:rsidR="00816489">
        <w:t xml:space="preserve"> assigned to an appeals clerk</w:t>
      </w:r>
      <w:r w:rsidR="00AC0EC3">
        <w:t xml:space="preserve"> at the appeals unit of the clerk’s office</w:t>
      </w:r>
      <w:r w:rsidR="00816489">
        <w:t xml:space="preserve">, who </w:t>
      </w:r>
      <w:r w:rsidR="002F12E6">
        <w:t xml:space="preserve">then enters </w:t>
      </w:r>
      <w:r w:rsidR="0063228C">
        <w:t xml:space="preserve">in two different databases </w:t>
      </w:r>
      <w:r w:rsidR="00816489">
        <w:t>the date the remittitur was received and the outcome of the matter.  The appeals clerk then place</w:t>
      </w:r>
      <w:r w:rsidR="002F12E6">
        <w:t>s</w:t>
      </w:r>
      <w:r w:rsidR="00816489">
        <w:t xml:space="preserve"> the remittitur in the mailbox for the sentencing judge’s department for </w:t>
      </w:r>
      <w:r w:rsidR="003F043C">
        <w:t>“</w:t>
      </w:r>
      <w:r w:rsidR="00816489" w:rsidRPr="00A30526">
        <w:t>filing</w:t>
      </w:r>
      <w:r w:rsidR="00816489">
        <w:t>.</w:t>
      </w:r>
      <w:r w:rsidR="003F043C">
        <w:t>”</w:t>
      </w:r>
      <w:r w:rsidR="00816489">
        <w:t xml:space="preserve">  A copy of the remittitur </w:t>
      </w:r>
      <w:r w:rsidR="002F12E6">
        <w:t>is also</w:t>
      </w:r>
      <w:r w:rsidR="00816489">
        <w:t xml:space="preserve"> delivered to an exhibits clerk</w:t>
      </w:r>
      <w:r w:rsidR="00B951D2">
        <w:t xml:space="preserve"> for record keeping</w:t>
      </w:r>
      <w:r w:rsidR="00816489">
        <w:t xml:space="preserve">.  </w:t>
      </w:r>
    </w:p>
    <w:p w14:paraId="0D7CEB64" w14:textId="08E49AEC" w:rsidR="00E41793" w:rsidRDefault="00375156" w:rsidP="00E41793">
      <w:pPr>
        <w:spacing w:line="480" w:lineRule="exact"/>
      </w:pPr>
      <w:r>
        <w:tab/>
      </w:r>
      <w:r w:rsidR="001448A0">
        <w:t>Here</w:t>
      </w:r>
      <w:r>
        <w:t xml:space="preserve">, an appeals clerk </w:t>
      </w:r>
      <w:r w:rsidR="00307B3D">
        <w:t xml:space="preserve">received, signed, and dated the remittitur on November 1, 2022.  The appeals clerk </w:t>
      </w:r>
      <w:r>
        <w:t xml:space="preserve">recorded </w:t>
      </w:r>
      <w:r w:rsidR="00307B3D">
        <w:t>the</w:t>
      </w:r>
      <w:r w:rsidR="004A4318">
        <w:t xml:space="preserve"> signed</w:t>
      </w:r>
      <w:r w:rsidR="00307B3D">
        <w:t xml:space="preserve"> remittitur in </w:t>
      </w:r>
      <w:r w:rsidR="00AC0EC3">
        <w:t>both</w:t>
      </w:r>
      <w:r w:rsidR="00F61003">
        <w:t xml:space="preserve"> databases</w:t>
      </w:r>
      <w:r w:rsidR="00307B3D">
        <w:t>, noting</w:t>
      </w:r>
      <w:r>
        <w:t xml:space="preserve"> </w:t>
      </w:r>
      <w:r w:rsidR="004A4318">
        <w:t>the judgment was reversed and the sentencing judge’s department number</w:t>
      </w:r>
      <w:r>
        <w:t xml:space="preserve">.  A copy of the remittitur was </w:t>
      </w:r>
      <w:r w:rsidR="00B951D2">
        <w:t xml:space="preserve">also </w:t>
      </w:r>
      <w:r>
        <w:t>delivered to a</w:t>
      </w:r>
      <w:r w:rsidR="00816489">
        <w:t>n exhibits clerk</w:t>
      </w:r>
      <w:r w:rsidR="00EF7A7A">
        <w:t>, and an acknowledgement of receipt was returned to our court</w:t>
      </w:r>
      <w:r w:rsidR="00816489">
        <w:t>.</w:t>
      </w:r>
      <w:r>
        <w:t xml:space="preserve">  However, </w:t>
      </w:r>
      <w:r w:rsidR="002F12E6">
        <w:t>the appeals clerk never</w:t>
      </w:r>
      <w:r>
        <w:t xml:space="preserve"> delivered </w:t>
      </w:r>
      <w:r w:rsidR="002F12E6">
        <w:t xml:space="preserve">the remittitur </w:t>
      </w:r>
      <w:r>
        <w:t>to the judge’s department.</w:t>
      </w:r>
      <w:r w:rsidR="00C61318">
        <w:t xml:space="preserve"> </w:t>
      </w:r>
      <w:r>
        <w:t xml:space="preserve"> </w:t>
      </w:r>
    </w:p>
    <w:p w14:paraId="61226692" w14:textId="3CDECBAD" w:rsidR="00375156" w:rsidRDefault="00375156" w:rsidP="00E41793">
      <w:pPr>
        <w:spacing w:line="480" w:lineRule="exact"/>
      </w:pPr>
      <w:r>
        <w:tab/>
        <w:t xml:space="preserve">On </w:t>
      </w:r>
      <w:r w:rsidR="00790493">
        <w:t>November 28, 2022</w:t>
      </w:r>
      <w:r>
        <w:t>, petitioner filed a</w:t>
      </w:r>
      <w:r w:rsidR="00790493">
        <w:t xml:space="preserve">n appeal with CDCR claiming that his sentence was reversed, that his matter was remanded for a new trial, and that he should be released to county custody.  </w:t>
      </w:r>
      <w:r w:rsidR="00AC732F">
        <w:t>C</w:t>
      </w:r>
      <w:r w:rsidR="00790493">
        <w:t xml:space="preserve">DCR denied petitioner’s claim on January 10, 2023, stating: </w:t>
      </w:r>
      <w:r w:rsidR="009D566E">
        <w:t xml:space="preserve"> </w:t>
      </w:r>
      <w:r w:rsidR="00790493">
        <w:t xml:space="preserve">“We contacted </w:t>
      </w:r>
      <w:r w:rsidR="004E6F9D">
        <w:t>[respondent court]</w:t>
      </w:r>
      <w:r w:rsidR="00790493">
        <w:t xml:space="preserve"> and they stated no changes have been made to your conviction since June 11, 2021.  We then contacted the District Attorney’s [] office in which they said there is currently no future court dates pending.  It appears you filed your appeal and they agreed, but the court determines your sentence.  We have not received any legal documents from the court to change your current sentence.”  </w:t>
      </w:r>
    </w:p>
    <w:p w14:paraId="3D7A6429" w14:textId="4518105C" w:rsidR="00CA7A55" w:rsidRDefault="00375156" w:rsidP="00E41793">
      <w:pPr>
        <w:spacing w:line="480" w:lineRule="exact"/>
      </w:pPr>
      <w:r>
        <w:tab/>
      </w:r>
      <w:r w:rsidR="006C141B">
        <w:t>The</w:t>
      </w:r>
      <w:r w:rsidR="00B92984">
        <w:t xml:space="preserve"> sentencing judge </w:t>
      </w:r>
      <w:r w:rsidR="006C141B">
        <w:t xml:space="preserve">received a letter from petitioner’s appellate counsel </w:t>
      </w:r>
      <w:r w:rsidR="00B92984">
        <w:t>on February 1, 2023,</w:t>
      </w:r>
      <w:r>
        <w:t xml:space="preserve"> inquiring about the status of petitioner’s new trial and attaching the remittitur.  </w:t>
      </w:r>
      <w:r w:rsidR="008E41E1">
        <w:t xml:space="preserve">The judge ordered filing of the remittitur and scheduled an expedited hearing.  </w:t>
      </w:r>
    </w:p>
    <w:p w14:paraId="3E0F7929" w14:textId="3684906C" w:rsidR="00140835" w:rsidRDefault="00CA7A55" w:rsidP="00E41793">
      <w:pPr>
        <w:spacing w:line="480" w:lineRule="exact"/>
      </w:pPr>
      <w:r>
        <w:tab/>
      </w:r>
      <w:r w:rsidR="00140835">
        <w:t xml:space="preserve">Petitioner filed a motion to dismiss for violation of </w:t>
      </w:r>
      <w:r w:rsidR="0063228C">
        <w:t xml:space="preserve">Penal Code </w:t>
      </w:r>
      <w:r w:rsidR="00140835">
        <w:t>section 1382</w:t>
      </w:r>
      <w:r w:rsidR="0063228C">
        <w:t xml:space="preserve"> (further undesignated statutory references are to the Penal Code)</w:t>
      </w:r>
      <w:r w:rsidR="00E33894">
        <w:t xml:space="preserve"> </w:t>
      </w:r>
      <w:r w:rsidR="00842E15">
        <w:t>in early March 2022</w:t>
      </w:r>
      <w:r w:rsidR="00140835">
        <w:t xml:space="preserve">.  </w:t>
      </w:r>
      <w:r w:rsidR="004E6F9D">
        <w:t>Respondent</w:t>
      </w:r>
      <w:r w:rsidR="00140835">
        <w:t xml:space="preserve"> court denied the motion</w:t>
      </w:r>
      <w:r w:rsidR="008E41E1">
        <w:t>, finding</w:t>
      </w:r>
      <w:r w:rsidR="00140835">
        <w:t xml:space="preserve"> that the 60-day speedy trial period</w:t>
      </w:r>
      <w:r w:rsidR="00DD5882">
        <w:t xml:space="preserve"> under section 1382</w:t>
      </w:r>
      <w:r w:rsidR="00140835">
        <w:t xml:space="preserve"> had not passed because the remittitur was filed on February 1, 2023.  </w:t>
      </w:r>
      <w:r w:rsidR="004E6F9D">
        <w:t>It</w:t>
      </w:r>
      <w:r w:rsidR="00274CBA">
        <w:t xml:space="preserve"> </w:t>
      </w:r>
      <w:r w:rsidR="004E6F9D">
        <w:t>also</w:t>
      </w:r>
      <w:r w:rsidR="00274CBA">
        <w:t xml:space="preserve"> </w:t>
      </w:r>
      <w:bookmarkStart w:id="1" w:name="ElPgBr3"/>
      <w:bookmarkEnd w:id="1"/>
      <w:r w:rsidR="00274CBA">
        <w:lastRenderedPageBreak/>
        <w:t xml:space="preserve">found no violation of petitioner’s constitutional right to a speedy trial because he failed to demonstrate actual prejudice.  </w:t>
      </w:r>
    </w:p>
    <w:p w14:paraId="40275A53" w14:textId="0E6D913A" w:rsidR="00274CBA" w:rsidRDefault="00274CBA" w:rsidP="00E41793">
      <w:pPr>
        <w:spacing w:line="480" w:lineRule="exact"/>
      </w:pPr>
      <w:r>
        <w:tab/>
        <w:t xml:space="preserve">Petitioner filed a petition for writ of mandate.  </w:t>
      </w:r>
    </w:p>
    <w:p w14:paraId="17A42444" w14:textId="2289189B" w:rsidR="002A3327" w:rsidRDefault="002A3327" w:rsidP="00842E15">
      <w:pPr>
        <w:keepNext/>
        <w:spacing w:line="480" w:lineRule="exact"/>
        <w:jc w:val="center"/>
      </w:pPr>
      <w:r>
        <w:t>DISCUSSION</w:t>
      </w:r>
    </w:p>
    <w:p w14:paraId="0567D25F" w14:textId="2A06E6EF" w:rsidR="009D5F95" w:rsidRDefault="00D95BAD" w:rsidP="00D95BAD">
      <w:pPr>
        <w:spacing w:line="480" w:lineRule="exact"/>
      </w:pPr>
      <w:r>
        <w:tab/>
      </w:r>
      <w:r w:rsidR="009D5F95">
        <w:t>The People contend that there was no violation of section 1382 because the remittitur was not filed until February 1, 2023</w:t>
      </w:r>
      <w:r w:rsidR="0058613E">
        <w:t xml:space="preserve">.  </w:t>
      </w:r>
      <w:r w:rsidR="00EE6578">
        <w:t xml:space="preserve">We disagree and conclude that the remittitur was filed </w:t>
      </w:r>
      <w:r w:rsidR="008E1C15">
        <w:t xml:space="preserve">as relevant here </w:t>
      </w:r>
      <w:r w:rsidR="00EE6578">
        <w:t xml:space="preserve">on </w:t>
      </w:r>
      <w:r w:rsidR="003224A8">
        <w:t>November 1, 2022</w:t>
      </w:r>
      <w:r w:rsidR="00464E70">
        <w:t>,</w:t>
      </w:r>
      <w:r w:rsidR="003224A8">
        <w:t xml:space="preserve"> when it was received by the appeals clerk</w:t>
      </w:r>
      <w:r w:rsidR="00EE6578">
        <w:t>.</w:t>
      </w:r>
      <w:r w:rsidR="003224A8">
        <w:t xml:space="preserve">  </w:t>
      </w:r>
      <w:r w:rsidR="00164344">
        <w:t>Because</w:t>
      </w:r>
      <w:r w:rsidR="003224A8">
        <w:t xml:space="preserve"> petitioner was not brought to trial before December 31, 2022</w:t>
      </w:r>
      <w:r w:rsidR="009D566E">
        <w:t>,</w:t>
      </w:r>
      <w:r w:rsidR="003224A8">
        <w:t xml:space="preserve"> and no good cause is shown, dismissal is required under section 1382.  </w:t>
      </w:r>
    </w:p>
    <w:p w14:paraId="0E08E4E9" w14:textId="65D61C30" w:rsidR="007F0415" w:rsidRPr="004E6F9D" w:rsidRDefault="005F7F96" w:rsidP="009D5F95">
      <w:pPr>
        <w:spacing w:line="480" w:lineRule="exact"/>
        <w:ind w:firstLine="720"/>
      </w:pPr>
      <w:r>
        <w:t>S</w:t>
      </w:r>
      <w:r w:rsidR="007F0415">
        <w:t>ection 1382, subdivision (a)(2)</w:t>
      </w:r>
      <w:r>
        <w:t xml:space="preserve"> </w:t>
      </w:r>
      <w:r w:rsidR="00164344">
        <w:t>provides in pertinent part</w:t>
      </w:r>
      <w:r w:rsidR="007F0415">
        <w:t xml:space="preserve">:  “The court, unless good cause to the contrary is shown, shall order the action </w:t>
      </w:r>
      <w:r w:rsidR="0071005B">
        <w:t xml:space="preserve">to </w:t>
      </w:r>
      <w:r w:rsidR="007F0415">
        <w:t>be dismissed .</w:t>
      </w:r>
      <w:r w:rsidR="003D4E10">
        <w:t> </w:t>
      </w:r>
      <w:r w:rsidR="007F0415">
        <w:t>.</w:t>
      </w:r>
      <w:r w:rsidR="003D4E10">
        <w:t> </w:t>
      </w:r>
      <w:r w:rsidR="007F0415">
        <w:t xml:space="preserve">. [i]n a felony case, when a defendant is not brought to trial within 60 days </w:t>
      </w:r>
      <w:r w:rsidR="003224A8">
        <w:t>.</w:t>
      </w:r>
      <w:r w:rsidR="003D4E10">
        <w:t> </w:t>
      </w:r>
      <w:r w:rsidR="003224A8">
        <w:t>.</w:t>
      </w:r>
      <w:r w:rsidR="003D4E10">
        <w:t> </w:t>
      </w:r>
      <w:r w:rsidR="003224A8">
        <w:t xml:space="preserve">. </w:t>
      </w:r>
      <w:r w:rsidR="007F0415">
        <w:t xml:space="preserve">after the filing of the remittitur in the trial court.”  </w:t>
      </w:r>
      <w:r w:rsidR="00A43A84">
        <w:t xml:space="preserve">“In these circumstances the defendant is not required to make any further showing, and in particular he is not required to make an affirmative showing that he has been prejudiced by the delay.”  </w:t>
      </w:r>
      <w:r w:rsidR="004E6F9D">
        <w:t>(</w:t>
      </w:r>
      <w:r w:rsidR="004E6F9D">
        <w:rPr>
          <w:i/>
          <w:iCs/>
        </w:rPr>
        <w:t>Sykes v. Superior Court</w:t>
      </w:r>
      <w:r w:rsidR="0071005B">
        <w:rPr>
          <w:i/>
          <w:iCs/>
        </w:rPr>
        <w:t xml:space="preserve"> of Orange County</w:t>
      </w:r>
      <w:r w:rsidR="004E6F9D">
        <w:rPr>
          <w:i/>
          <w:iCs/>
        </w:rPr>
        <w:t xml:space="preserve"> </w:t>
      </w:r>
      <w:r w:rsidR="004E6F9D">
        <w:t>(1973) 9</w:t>
      </w:r>
      <w:r w:rsidR="00E618B7">
        <w:t> </w:t>
      </w:r>
      <w:r w:rsidR="004E6F9D">
        <w:t xml:space="preserve">Cal.3d 83, 89.)  </w:t>
      </w:r>
    </w:p>
    <w:p w14:paraId="16146141" w14:textId="47387998" w:rsidR="00A20E33" w:rsidRDefault="00765756" w:rsidP="00B82385">
      <w:pPr>
        <w:spacing w:line="480" w:lineRule="exact"/>
      </w:pPr>
      <w:r>
        <w:tab/>
        <w:t>The statute does not define “filing</w:t>
      </w:r>
      <w:r w:rsidR="00A43A84">
        <w:t>.</w:t>
      </w:r>
      <w:r>
        <w:t>”</w:t>
      </w:r>
      <w:r w:rsidR="00164344">
        <w:t xml:space="preserve">  </w:t>
      </w:r>
      <w:r w:rsidR="003224A8">
        <w:t xml:space="preserve">But California Rules of Court, rule 1.20 deems a document filed “on the date it is received by the court clerk” “[u]nless otherwise provided.”  It is also </w:t>
      </w:r>
      <w:r w:rsidR="00C67C82">
        <w:t xml:space="preserve">a long standing </w:t>
      </w:r>
      <w:r w:rsidR="004E6F9D">
        <w:t>principle</w:t>
      </w:r>
      <w:r w:rsidR="00C67C82">
        <w:t xml:space="preserve"> of California law that </w:t>
      </w:r>
      <w:r w:rsidR="00D95BAD">
        <w:t>“</w:t>
      </w:r>
      <w:r w:rsidR="003D4E10">
        <w:t> </w:t>
      </w:r>
      <w:r w:rsidR="00D95BAD">
        <w:t>‘</w:t>
      </w:r>
      <w:r w:rsidR="00C67C82">
        <w:t>[a]</w:t>
      </w:r>
      <w:r w:rsidR="00D95BAD">
        <w:t xml:space="preserve"> filing of papers is accomplished by depositing with the proper officer at his</w:t>
      </w:r>
      <w:r w:rsidR="00F30BED">
        <w:t xml:space="preserve"> [or her] </w:t>
      </w:r>
      <w:r w:rsidR="00D95BAD">
        <w:t>office or at any place at which he</w:t>
      </w:r>
      <w:r w:rsidR="00F30BED">
        <w:t xml:space="preserve"> [or she]</w:t>
      </w:r>
      <w:r w:rsidR="00D95BAD">
        <w:t xml:space="preserve"> is called upon to perform his</w:t>
      </w:r>
      <w:r w:rsidR="00F30BED">
        <w:t xml:space="preserve"> [or her]</w:t>
      </w:r>
      <w:r w:rsidR="00D95BAD">
        <w:t xml:space="preserve"> duties</w:t>
      </w:r>
      <w:r w:rsidR="00CE2509">
        <w:t>,</w:t>
      </w:r>
      <w:r w:rsidR="00D95BAD">
        <w:t xml:space="preserve"> the paper which is to be filed.’</w:t>
      </w:r>
      <w:r w:rsidR="003D4E10">
        <w:t> </w:t>
      </w:r>
      <w:r w:rsidR="00D95BAD">
        <w:t>”  (</w:t>
      </w:r>
      <w:r w:rsidR="00D95BAD">
        <w:rPr>
          <w:i/>
          <w:iCs/>
        </w:rPr>
        <w:t xml:space="preserve">People v. Maldonado </w:t>
      </w:r>
      <w:r w:rsidR="00D95BAD">
        <w:t>(2009) 172</w:t>
      </w:r>
      <w:r w:rsidR="003D4E10">
        <w:t> </w:t>
      </w:r>
      <w:r w:rsidR="00D95BAD">
        <w:t>Cal.App.4th 89, 96</w:t>
      </w:r>
      <w:r w:rsidR="00105D7A">
        <w:t xml:space="preserve">, </w:t>
      </w:r>
      <w:r w:rsidR="002809CA">
        <w:t>quoting</w:t>
      </w:r>
      <w:r w:rsidR="00105D7A">
        <w:t xml:space="preserve"> </w:t>
      </w:r>
      <w:r w:rsidR="00105D7A">
        <w:rPr>
          <w:i/>
          <w:iCs/>
        </w:rPr>
        <w:t xml:space="preserve">People v. Ramirez </w:t>
      </w:r>
      <w:r w:rsidR="00105D7A">
        <w:t>(1931) 112 Cal.App. 507, 510</w:t>
      </w:r>
      <w:r w:rsidR="00C67C82">
        <w:t xml:space="preserve">; </w:t>
      </w:r>
      <w:r w:rsidR="002809CA">
        <w:t xml:space="preserve">see </w:t>
      </w:r>
      <w:r w:rsidR="002809CA">
        <w:rPr>
          <w:i/>
          <w:iCs/>
        </w:rPr>
        <w:t xml:space="preserve">People v. Boggess </w:t>
      </w:r>
      <w:r w:rsidR="002809CA">
        <w:t>(1924) 194</w:t>
      </w:r>
      <w:r w:rsidR="003D4E10">
        <w:t> </w:t>
      </w:r>
      <w:r w:rsidR="002809CA">
        <w:t>Cal. 212, 219 [“A final filing may consist of the mere physical act of the person leaving a paper at the proper office with the person in charge thereof to be filed”].</w:t>
      </w:r>
      <w:r w:rsidR="00D95BAD">
        <w:t xml:space="preserve">)  </w:t>
      </w:r>
      <w:r w:rsidR="00A20E33">
        <w:t xml:space="preserve">We presume </w:t>
      </w:r>
      <w:r w:rsidR="002809CA">
        <w:t xml:space="preserve">that, when the Legislature last amended section 1382 in 2009, </w:t>
      </w:r>
      <w:r w:rsidR="001448A0">
        <w:t>it</w:t>
      </w:r>
      <w:r w:rsidR="002809CA">
        <w:t xml:space="preserve"> </w:t>
      </w:r>
      <w:r w:rsidR="00EE4977">
        <w:t xml:space="preserve">chose to employ the word “filing” </w:t>
      </w:r>
      <w:r w:rsidR="00EE4977">
        <w:lastRenderedPageBreak/>
        <w:t xml:space="preserve">knowing </w:t>
      </w:r>
      <w:r w:rsidR="00A20E33">
        <w:t xml:space="preserve">judicial </w:t>
      </w:r>
      <w:bookmarkStart w:id="2" w:name="ElPgBr4"/>
      <w:bookmarkEnd w:id="2"/>
      <w:r w:rsidR="00A20E33">
        <w:t>decision</w:t>
      </w:r>
      <w:r w:rsidR="002809CA">
        <w:t>s</w:t>
      </w:r>
      <w:r w:rsidR="00A20E33">
        <w:t xml:space="preserve"> interpreting </w:t>
      </w:r>
      <w:r w:rsidR="00EE4977">
        <w:t>that word.</w:t>
      </w:r>
      <w:r w:rsidR="00A20E33">
        <w:t xml:space="preserve">  (</w:t>
      </w:r>
      <w:r w:rsidR="00A20E33">
        <w:rPr>
          <w:i/>
          <w:iCs/>
        </w:rPr>
        <w:t xml:space="preserve">People v. Cruz </w:t>
      </w:r>
      <w:r w:rsidR="00A20E33">
        <w:t>(1996) 13</w:t>
      </w:r>
      <w:r w:rsidR="003D4E10">
        <w:t> </w:t>
      </w:r>
      <w:r w:rsidR="00A20E33">
        <w:t>Cal.4th 764, 775</w:t>
      </w:r>
      <w:r w:rsidR="002809CA">
        <w:t>; Stats. 2009, ch. 424, §</w:t>
      </w:r>
      <w:r w:rsidR="003D4E10">
        <w:t> </w:t>
      </w:r>
      <w:r w:rsidR="002809CA">
        <w:t>1</w:t>
      </w:r>
      <w:r w:rsidR="00A20E33">
        <w:t xml:space="preserve">.)  </w:t>
      </w:r>
    </w:p>
    <w:p w14:paraId="389362FF" w14:textId="05BC4D88" w:rsidR="00D95BAD" w:rsidRDefault="00A20E33" w:rsidP="00A20E33">
      <w:pPr>
        <w:spacing w:line="480" w:lineRule="exact"/>
        <w:ind w:firstLine="720"/>
      </w:pPr>
      <w:r>
        <w:t xml:space="preserve">Moreover, </w:t>
      </w:r>
      <w:r w:rsidR="008B57F2">
        <w:t>“</w:t>
      </w:r>
      <w:r w:rsidR="003D4E10">
        <w:t> </w:t>
      </w:r>
      <w:r w:rsidR="008B57F2">
        <w:t>‘</w:t>
      </w:r>
      <w:r>
        <w:t>[w]</w:t>
      </w:r>
      <w:r w:rsidR="008B57F2">
        <w:t xml:space="preserve">here a statute or rule requires that papers be filed with the </w:t>
      </w:r>
      <w:r w:rsidR="008B57F2">
        <w:rPr>
          <w:i/>
          <w:iCs/>
        </w:rPr>
        <w:t>clerk</w:t>
      </w:r>
      <w:r w:rsidR="008B57F2">
        <w:t>, it is not necessary that they be delivered to the clerk’s main office; it is sufficient if they are deposited with the courtroom clerk in the courtroom or chambers.’</w:t>
      </w:r>
      <w:r w:rsidR="003D4E10">
        <w:t> </w:t>
      </w:r>
      <w:r w:rsidR="008B57F2">
        <w:t>”  (</w:t>
      </w:r>
      <w:r w:rsidR="008B57F2">
        <w:rPr>
          <w:i/>
          <w:iCs/>
        </w:rPr>
        <w:t xml:space="preserve">In re Gray </w:t>
      </w:r>
      <w:r w:rsidR="008B57F2">
        <w:t>(2009) 179</w:t>
      </w:r>
      <w:r w:rsidR="003D4E10">
        <w:t> </w:t>
      </w:r>
      <w:r w:rsidR="008B57F2">
        <w:t xml:space="preserve">Cal.App.4th 1189, 1200-1201.)  </w:t>
      </w:r>
      <w:r w:rsidR="008F602B">
        <w:t xml:space="preserve">In </w:t>
      </w:r>
      <w:r w:rsidR="008F602B">
        <w:rPr>
          <w:i/>
          <w:iCs/>
        </w:rPr>
        <w:t>Gray</w:t>
      </w:r>
      <w:r w:rsidR="008F602B">
        <w:t xml:space="preserve">, the trial judge denied the defendant’s request to file his notice of appeal with her courtroom clerk, apparently relying </w:t>
      </w:r>
      <w:r w:rsidR="00A43A84">
        <w:t xml:space="preserve">on </w:t>
      </w:r>
      <w:r w:rsidR="008F602B">
        <w:t>a statement on the trial court’s website requiring a notice of appeal be filed with the appeals unit.  (</w:t>
      </w:r>
      <w:r w:rsidR="008F602B">
        <w:rPr>
          <w:i/>
          <w:iCs/>
        </w:rPr>
        <w:t>Id.</w:t>
      </w:r>
      <w:r w:rsidR="008F602B">
        <w:t xml:space="preserve"> at pp. 1199-1200.)  We concluded the trial judge erred, noting that “</w:t>
      </w:r>
      <w:r w:rsidR="00234E14">
        <w:t> </w:t>
      </w:r>
      <w:r w:rsidR="008F602B">
        <w:t>‘</w:t>
      </w:r>
      <w:r w:rsidR="00234E14">
        <w:t> </w:t>
      </w:r>
      <w:r w:rsidR="008F602B">
        <w:t>“as a matter of common practice, papers are filed with the clerk in the courtroom or in the judge’s chambers</w:t>
      </w:r>
      <w:r w:rsidR="00EE4977">
        <w:t>, as well as at the principal office of the county clerk.</w:t>
      </w:r>
      <w:r w:rsidR="008F602B">
        <w:t>”</w:t>
      </w:r>
      <w:r w:rsidR="00234E14">
        <w:t> </w:t>
      </w:r>
      <w:r w:rsidR="008F602B">
        <w:t>’</w:t>
      </w:r>
      <w:r w:rsidR="00234E14">
        <w:t> </w:t>
      </w:r>
      <w:r w:rsidR="008F602B">
        <w:t>”  (</w:t>
      </w:r>
      <w:r w:rsidR="008F602B">
        <w:rPr>
          <w:i/>
          <w:iCs/>
        </w:rPr>
        <w:t>Id.</w:t>
      </w:r>
      <w:r w:rsidR="008F602B">
        <w:t xml:space="preserve"> at p.</w:t>
      </w:r>
      <w:r w:rsidR="00234E14">
        <w:t> </w:t>
      </w:r>
      <w:r w:rsidR="008F602B">
        <w:t xml:space="preserve">1200.)  </w:t>
      </w:r>
      <w:r w:rsidR="00164344">
        <w:t xml:space="preserve">If a </w:t>
      </w:r>
      <w:r w:rsidR="008F602B">
        <w:t>trial</w:t>
      </w:r>
      <w:r w:rsidR="00164344">
        <w:t xml:space="preserve"> court wishes to require filing with </w:t>
      </w:r>
      <w:r w:rsidR="002809CA">
        <w:t xml:space="preserve">only </w:t>
      </w:r>
      <w:r w:rsidR="00164344">
        <w:t>the judge’s department</w:t>
      </w:r>
      <w:r w:rsidR="00EE4977">
        <w:t xml:space="preserve"> or the appeals unit</w:t>
      </w:r>
      <w:r w:rsidR="00164344">
        <w:t xml:space="preserve">, it must </w:t>
      </w:r>
      <w:r>
        <w:t>state the requirement</w:t>
      </w:r>
      <w:r w:rsidR="00164344">
        <w:t xml:space="preserve"> in properly promulgated local rule of court.  (</w:t>
      </w:r>
      <w:r w:rsidR="00164344">
        <w:rPr>
          <w:i/>
          <w:iCs/>
        </w:rPr>
        <w:t>I</w:t>
      </w:r>
      <w:r w:rsidR="004A5DB7">
        <w:rPr>
          <w:i/>
          <w:iCs/>
        </w:rPr>
        <w:t>bid</w:t>
      </w:r>
      <w:r w:rsidR="00164344">
        <w:t xml:space="preserve">.)  </w:t>
      </w:r>
    </w:p>
    <w:p w14:paraId="48D47246" w14:textId="48D32804" w:rsidR="008B57F2" w:rsidRDefault="008B57F2" w:rsidP="008B57F2">
      <w:pPr>
        <w:spacing w:line="480" w:lineRule="exact"/>
        <w:ind w:firstLine="720"/>
      </w:pPr>
      <w:r>
        <w:t>Here, section 1382 requires the remittitur be filed with the trial court</w:t>
      </w:r>
      <w:r w:rsidR="005930D8">
        <w:t xml:space="preserve">, </w:t>
      </w:r>
      <w:r w:rsidR="003F043C">
        <w:t xml:space="preserve">meaning the court in the county in which the trial was conducted, </w:t>
      </w:r>
      <w:r w:rsidR="005930D8">
        <w:t>and the California Rules of Court deem a filing effective when it is received by the court clerk</w:t>
      </w:r>
      <w:r>
        <w:t xml:space="preserve">.  </w:t>
      </w:r>
      <w:r w:rsidR="005930D8">
        <w:t>R</w:t>
      </w:r>
      <w:r w:rsidR="00A20E33">
        <w:t xml:space="preserve">espondent court’s local rules </w:t>
      </w:r>
      <w:r w:rsidR="005930D8">
        <w:t>have no specific filing requirements for a remittitur</w:t>
      </w:r>
      <w:r>
        <w:t xml:space="preserve">.  </w:t>
      </w:r>
      <w:r w:rsidR="00164344">
        <w:t xml:space="preserve">Although respondent court’s internal procedures direct the sentencing judge’s </w:t>
      </w:r>
      <w:r w:rsidR="005930D8">
        <w:t>department</w:t>
      </w:r>
      <w:r w:rsidR="00164344">
        <w:t xml:space="preserve"> to file the remittitur, such procedures are not properly promulgated local rules</w:t>
      </w:r>
      <w:r w:rsidR="00C47E54">
        <w:t xml:space="preserve"> and are not known to the public</w:t>
      </w:r>
      <w:r w:rsidR="00A20E33">
        <w:t xml:space="preserve">.  Thus, </w:t>
      </w:r>
      <w:r w:rsidR="005930D8">
        <w:t>respondent court lacks authority to require filing of the remittitur with the judge’s department</w:t>
      </w:r>
      <w:r w:rsidR="00164344">
        <w:t xml:space="preserve">.  </w:t>
      </w:r>
      <w:r w:rsidR="00B82385">
        <w:t>(</w:t>
      </w:r>
      <w:r w:rsidR="00B82385">
        <w:rPr>
          <w:i/>
          <w:iCs/>
        </w:rPr>
        <w:t xml:space="preserve">In re Gray, supra, </w:t>
      </w:r>
      <w:r w:rsidR="00B82385">
        <w:t>179</w:t>
      </w:r>
      <w:r w:rsidR="00234E14">
        <w:t> </w:t>
      </w:r>
      <w:r w:rsidR="00B82385">
        <w:t>Cal.App.4th at p.</w:t>
      </w:r>
      <w:r w:rsidR="00E618B7">
        <w:t> </w:t>
      </w:r>
      <w:r w:rsidR="00B82385">
        <w:t xml:space="preserve">1201.) </w:t>
      </w:r>
      <w:r>
        <w:t xml:space="preserve"> </w:t>
      </w:r>
      <w:r w:rsidR="00A20E33">
        <w:t>Accordingly</w:t>
      </w:r>
      <w:r>
        <w:t xml:space="preserve">, the filing of the remittitur </w:t>
      </w:r>
      <w:r w:rsidR="008F602B">
        <w:t>occurred</w:t>
      </w:r>
      <w:r>
        <w:t xml:space="preserve"> on November 1, 2022</w:t>
      </w:r>
      <w:r w:rsidR="00916AAB">
        <w:t>,</w:t>
      </w:r>
      <w:r>
        <w:t xml:space="preserve"> when it was received by the appeals clerk.</w:t>
      </w:r>
      <w:r w:rsidR="00B82385">
        <w:t xml:space="preserve">  </w:t>
      </w:r>
      <w:r w:rsidR="00B82385">
        <w:lastRenderedPageBreak/>
        <w:t>(Cal. Rules of C</w:t>
      </w:r>
      <w:r w:rsidR="007820ED">
        <w:t>ourt</w:t>
      </w:r>
      <w:r w:rsidR="00B82385">
        <w:t>, rule</w:t>
      </w:r>
      <w:r w:rsidR="00234E14">
        <w:t> </w:t>
      </w:r>
      <w:r w:rsidR="00B82385">
        <w:t xml:space="preserve">1.20.)  </w:t>
      </w:r>
      <w:r w:rsidR="005930D8">
        <w:t>Section 1382 was violated when p</w:t>
      </w:r>
      <w:r w:rsidR="00C47E54">
        <w:t xml:space="preserve">etitioner was not brought to trial before December 31, 2022, </w:t>
      </w:r>
      <w:r w:rsidR="008F602B">
        <w:t>the 60th day after</w:t>
      </w:r>
      <w:r w:rsidR="00C47E54">
        <w:t xml:space="preserve"> the filing of the remittitur.</w:t>
      </w:r>
      <w:r w:rsidR="004A4318">
        <w:rPr>
          <w:rStyle w:val="FootnoteReference"/>
        </w:rPr>
        <w:footnoteReference w:id="1"/>
      </w:r>
    </w:p>
    <w:p w14:paraId="2D364186" w14:textId="78854744" w:rsidR="0095526E" w:rsidRDefault="00B82385" w:rsidP="004D3E78">
      <w:pPr>
        <w:spacing w:line="480" w:lineRule="exact"/>
        <w:ind w:firstLine="720"/>
      </w:pPr>
      <w:r>
        <w:t>The</w:t>
      </w:r>
      <w:r w:rsidR="004E6F9D">
        <w:t xml:space="preserve"> People’s </w:t>
      </w:r>
      <w:r>
        <w:t xml:space="preserve">reliance on </w:t>
      </w:r>
      <w:r>
        <w:rPr>
          <w:i/>
          <w:iCs/>
        </w:rPr>
        <w:t xml:space="preserve">Gallenkamp v. Superior Court </w:t>
      </w:r>
      <w:r>
        <w:t>(1990) 221</w:t>
      </w:r>
      <w:r w:rsidR="00234E14">
        <w:t> </w:t>
      </w:r>
      <w:r>
        <w:t xml:space="preserve">Cal.App.3d 1 </w:t>
      </w:r>
      <w:r w:rsidRPr="00B82385">
        <w:t>is</w:t>
      </w:r>
      <w:r>
        <w:t xml:space="preserve"> misplaced</w:t>
      </w:r>
      <w:r w:rsidR="004E6F9D">
        <w:t xml:space="preserve">.  </w:t>
      </w:r>
      <w:r>
        <w:rPr>
          <w:i/>
          <w:iCs/>
        </w:rPr>
        <w:t>Gallenkamp</w:t>
      </w:r>
      <w:r>
        <w:t xml:space="preserve"> considered a number of consolidated cases where the superior </w:t>
      </w:r>
      <w:bookmarkStart w:id="3" w:name="ElPgBr5"/>
      <w:bookmarkEnd w:id="3"/>
      <w:r>
        <w:t xml:space="preserve">court delayed </w:t>
      </w:r>
      <w:r w:rsidR="005719D7">
        <w:t xml:space="preserve">either </w:t>
      </w:r>
      <w:r>
        <w:t>issuing a remittitur or transmitting the remittitur to the municipal court</w:t>
      </w:r>
      <w:r w:rsidR="005719D7">
        <w:t>.  (</w:t>
      </w:r>
      <w:r w:rsidR="005719D7">
        <w:rPr>
          <w:i/>
          <w:iCs/>
        </w:rPr>
        <w:t>Id.</w:t>
      </w:r>
      <w:r w:rsidR="005719D7">
        <w:t xml:space="preserve"> at pp.</w:t>
      </w:r>
      <w:r w:rsidR="00234E14">
        <w:t> </w:t>
      </w:r>
      <w:r w:rsidR="005719D7">
        <w:t>6-7</w:t>
      </w:r>
      <w:r w:rsidR="007820ED">
        <w:t>, 11</w:t>
      </w:r>
      <w:r w:rsidR="005719D7">
        <w:t xml:space="preserve">.)  None </w:t>
      </w:r>
      <w:r w:rsidR="00164344">
        <w:t xml:space="preserve">of the cases </w:t>
      </w:r>
      <w:r w:rsidR="005719D7">
        <w:t xml:space="preserve">disputed when the filing </w:t>
      </w:r>
      <w:r w:rsidR="008F602B">
        <w:t>occurred</w:t>
      </w:r>
      <w:r w:rsidR="005719D7">
        <w:t xml:space="preserve"> in the municipal court.  (</w:t>
      </w:r>
      <w:r w:rsidR="005719D7">
        <w:rPr>
          <w:i/>
          <w:iCs/>
        </w:rPr>
        <w:t>Ibid.</w:t>
      </w:r>
      <w:r w:rsidR="005719D7">
        <w:t xml:space="preserve">)  We agree with </w:t>
      </w:r>
      <w:r w:rsidR="005719D7">
        <w:rPr>
          <w:i/>
          <w:iCs/>
        </w:rPr>
        <w:t xml:space="preserve">Gallenkamp </w:t>
      </w:r>
      <w:r w:rsidR="005719D7">
        <w:t xml:space="preserve">that </w:t>
      </w:r>
      <w:r w:rsidR="008F6DF4">
        <w:t>section 1382 “directs us to mark time from the filing of the remittitur in the trial court, not from when the remittitur should have been filed.”  (</w:t>
      </w:r>
      <w:r w:rsidR="008F6DF4">
        <w:rPr>
          <w:i/>
          <w:iCs/>
        </w:rPr>
        <w:t>Gallenkamp</w:t>
      </w:r>
      <w:r w:rsidR="008F6DF4">
        <w:t>, at p.</w:t>
      </w:r>
      <w:r w:rsidR="00234E14">
        <w:t> </w:t>
      </w:r>
      <w:r w:rsidR="008F6DF4">
        <w:t xml:space="preserve">16.)  </w:t>
      </w:r>
      <w:r w:rsidR="005719D7">
        <w:t xml:space="preserve">But </w:t>
      </w:r>
      <w:r w:rsidR="00F75841">
        <w:t>we must still decide when a filing becomes effective under section 1382</w:t>
      </w:r>
      <w:r w:rsidR="005719D7">
        <w:t xml:space="preserve">.  </w:t>
      </w:r>
    </w:p>
    <w:p w14:paraId="64516F8B" w14:textId="7EEA38A2" w:rsidR="00EF1A0A" w:rsidRDefault="00F75841" w:rsidP="00EF1A0A">
      <w:pPr>
        <w:spacing w:line="480" w:lineRule="exact"/>
        <w:ind w:firstLine="720"/>
      </w:pPr>
      <w:r>
        <w:t>The People provide no explanation of good cause for the delay, and we find none.  “We can attribute the failure to take timely action in the instant case only to carelessness or negligence on the part of those officially concerned.  Good cause for the undue delay has thus not been established.”  (</w:t>
      </w:r>
      <w:r>
        <w:rPr>
          <w:i/>
          <w:iCs/>
        </w:rPr>
        <w:t>Sykes v. Superior Court</w:t>
      </w:r>
      <w:r w:rsidR="002D032B">
        <w:rPr>
          <w:i/>
          <w:iCs/>
        </w:rPr>
        <w:t xml:space="preserve"> of Orange County</w:t>
      </w:r>
      <w:r>
        <w:rPr>
          <w:i/>
          <w:iCs/>
        </w:rPr>
        <w:t>, supra</w:t>
      </w:r>
      <w:r>
        <w:t>, 9</w:t>
      </w:r>
      <w:r w:rsidR="00234E14">
        <w:t> </w:t>
      </w:r>
      <w:r>
        <w:t>Cal.3d at p.</w:t>
      </w:r>
      <w:r w:rsidR="00E618B7">
        <w:t> </w:t>
      </w:r>
      <w:r>
        <w:t>94.)  “The risk of clerical error or neglect on the part of those charged with official action must rest with the People, not the defendant in a criminal action.”  (</w:t>
      </w:r>
      <w:r>
        <w:rPr>
          <w:i/>
          <w:iCs/>
        </w:rPr>
        <w:t>Ibid.</w:t>
      </w:r>
      <w:r>
        <w:t xml:space="preserve">)  </w:t>
      </w:r>
      <w:r w:rsidR="00B305B0">
        <w:t>We cannot</w:t>
      </w:r>
      <w:r w:rsidR="00C47E54">
        <w:t xml:space="preserve"> deny petitioner’s statutory right based on an internal procedural technicality undisclosed to him or the public.  </w:t>
      </w:r>
      <w:r w:rsidR="00123C7A">
        <w:t xml:space="preserve">Absent good cause, petitioner’s case must be dismissed due to </w:t>
      </w:r>
      <w:r w:rsidR="00C47E54">
        <w:t xml:space="preserve">violation of </w:t>
      </w:r>
      <w:r w:rsidR="00123C7A">
        <w:t xml:space="preserve">section 1382.  </w:t>
      </w:r>
      <w:r w:rsidR="008C0A2B">
        <w:t>(</w:t>
      </w:r>
      <w:r w:rsidR="008C0A2B">
        <w:rPr>
          <w:i/>
          <w:iCs/>
        </w:rPr>
        <w:t xml:space="preserve">Plezbert v. Superior Court </w:t>
      </w:r>
      <w:r w:rsidR="008C0A2B">
        <w:t>(1971) 22</w:t>
      </w:r>
      <w:r w:rsidR="00234E14">
        <w:t> </w:t>
      </w:r>
      <w:r w:rsidR="008C0A2B">
        <w:t xml:space="preserve">Cal.App.3d 169, 171-172.)  </w:t>
      </w:r>
    </w:p>
    <w:p w14:paraId="742D3A0C" w14:textId="24358D5F" w:rsidR="002A3327" w:rsidRDefault="002A3327" w:rsidP="00BB404C">
      <w:pPr>
        <w:keepNext/>
        <w:spacing w:line="480" w:lineRule="exact"/>
        <w:jc w:val="center"/>
      </w:pPr>
      <w:r>
        <w:lastRenderedPageBreak/>
        <w:t>DISPOSITION</w:t>
      </w:r>
    </w:p>
    <w:p w14:paraId="357D2B03" w14:textId="0A087E2E" w:rsidR="00123C7A" w:rsidRDefault="00123C7A" w:rsidP="00123C7A">
      <w:pPr>
        <w:spacing w:line="480" w:lineRule="exact"/>
      </w:pPr>
      <w:r>
        <w:tab/>
        <w:t xml:space="preserve">Let a peremptory writ of mandate issue, vacating respondent court’s order denying petitioner’s motion to dismiss and directing respondent court to issue a new order granting the motion.  </w:t>
      </w:r>
    </w:p>
    <w:p w14:paraId="02DD5B6B" w14:textId="0108CDE6" w:rsidR="00EC1571" w:rsidRDefault="00EC1571" w:rsidP="00123C7A">
      <w:pPr>
        <w:spacing w:line="480" w:lineRule="exact"/>
      </w:pPr>
    </w:p>
    <w:p w14:paraId="27F71DDB" w14:textId="77777777" w:rsidR="00BB404C" w:rsidRDefault="00BB404C" w:rsidP="00D3476A">
      <w:pPr>
        <w:keepNext/>
        <w:spacing w:line="240" w:lineRule="auto"/>
      </w:pPr>
    </w:p>
    <w:p w14:paraId="4E412BC8" w14:textId="77777777" w:rsidR="00BB404C" w:rsidRDefault="00BB404C" w:rsidP="00D3476A">
      <w:pPr>
        <w:keepNext/>
        <w:spacing w:line="240" w:lineRule="auto"/>
      </w:pPr>
    </w:p>
    <w:p w14:paraId="35396D9A" w14:textId="77777777" w:rsidR="00BB404C" w:rsidRDefault="00BB404C" w:rsidP="00D3476A">
      <w:pPr>
        <w:keepNext/>
        <w:spacing w:line="240" w:lineRule="auto"/>
      </w:pPr>
    </w:p>
    <w:p w14:paraId="772E6D88" w14:textId="6A645658" w:rsidR="00BB404C" w:rsidRPr="00296660" w:rsidRDefault="00BB404C" w:rsidP="00D3476A">
      <w:pPr>
        <w:keepNext/>
        <w:tabs>
          <w:tab w:val="left" w:pos="5040"/>
          <w:tab w:val="left" w:pos="7920"/>
        </w:tabs>
        <w:spacing w:line="240" w:lineRule="auto"/>
      </w:pPr>
      <w:r w:rsidRPr="00296660">
        <w:tab/>
      </w:r>
      <w:r w:rsidRPr="00296660">
        <w:rPr>
          <w:u w:val="single"/>
        </w:rPr>
        <w:t xml:space="preserve">  </w:t>
      </w:r>
      <w:r w:rsidR="001D501C">
        <w:rPr>
          <w:u w:val="single"/>
        </w:rPr>
        <w:t>/s/</w:t>
      </w:r>
      <w:r w:rsidRPr="00296660">
        <w:rPr>
          <w:u w:val="single"/>
        </w:rPr>
        <w:tab/>
      </w:r>
    </w:p>
    <w:p w14:paraId="4B2CEA46" w14:textId="77777777" w:rsidR="00BB404C" w:rsidRPr="00296660" w:rsidRDefault="00BB404C" w:rsidP="00D3476A">
      <w:pPr>
        <w:keepNext/>
        <w:tabs>
          <w:tab w:val="left" w:pos="5040"/>
          <w:tab w:val="left" w:pos="7920"/>
        </w:tabs>
        <w:spacing w:line="240" w:lineRule="auto"/>
      </w:pPr>
      <w:r w:rsidRPr="00296660">
        <w:tab/>
      </w:r>
      <w:r>
        <w:t>MESIWALA</w:t>
      </w:r>
      <w:r w:rsidRPr="00296660">
        <w:t>,</w:t>
      </w:r>
      <w:r>
        <w:t xml:space="preserve"> </w:t>
      </w:r>
      <w:r w:rsidRPr="00296660">
        <w:t>J.</w:t>
      </w:r>
    </w:p>
    <w:p w14:paraId="1524609D" w14:textId="77777777" w:rsidR="00BB404C" w:rsidRPr="00296660" w:rsidRDefault="00BB404C" w:rsidP="00D3476A">
      <w:pPr>
        <w:keepNext/>
        <w:tabs>
          <w:tab w:val="left" w:pos="5040"/>
          <w:tab w:val="left" w:pos="7920"/>
        </w:tabs>
        <w:spacing w:line="240" w:lineRule="auto"/>
      </w:pPr>
    </w:p>
    <w:p w14:paraId="2F9B3111" w14:textId="77777777" w:rsidR="00BB404C" w:rsidRPr="00296660" w:rsidRDefault="00BB404C" w:rsidP="00D3476A">
      <w:pPr>
        <w:keepNext/>
        <w:tabs>
          <w:tab w:val="left" w:pos="5040"/>
          <w:tab w:val="left" w:pos="7920"/>
        </w:tabs>
        <w:spacing w:line="240" w:lineRule="auto"/>
      </w:pPr>
    </w:p>
    <w:p w14:paraId="6FB61E55" w14:textId="77777777" w:rsidR="00BB404C" w:rsidRPr="00296660" w:rsidRDefault="00BB404C" w:rsidP="00D3476A">
      <w:pPr>
        <w:keepNext/>
        <w:tabs>
          <w:tab w:val="left" w:pos="5040"/>
          <w:tab w:val="left" w:pos="7920"/>
        </w:tabs>
        <w:spacing w:line="240" w:lineRule="auto"/>
      </w:pPr>
    </w:p>
    <w:p w14:paraId="38B695D2" w14:textId="77777777" w:rsidR="00BB404C" w:rsidRPr="00296660" w:rsidRDefault="00BB404C" w:rsidP="00D3476A">
      <w:pPr>
        <w:keepNext/>
        <w:tabs>
          <w:tab w:val="left" w:pos="5040"/>
          <w:tab w:val="left" w:pos="7920"/>
        </w:tabs>
        <w:spacing w:line="240" w:lineRule="auto"/>
      </w:pPr>
      <w:r w:rsidRPr="00296660">
        <w:t>We concur:</w:t>
      </w:r>
    </w:p>
    <w:p w14:paraId="4F9E6557" w14:textId="77777777" w:rsidR="00BB404C" w:rsidRPr="00296660" w:rsidRDefault="00BB404C" w:rsidP="00D3476A">
      <w:pPr>
        <w:keepNext/>
        <w:tabs>
          <w:tab w:val="left" w:pos="3600"/>
          <w:tab w:val="left" w:pos="7920"/>
        </w:tabs>
        <w:spacing w:line="240" w:lineRule="auto"/>
      </w:pPr>
    </w:p>
    <w:p w14:paraId="0AA2A276" w14:textId="77777777" w:rsidR="00BB404C" w:rsidRPr="00296660" w:rsidRDefault="00BB404C" w:rsidP="00D3476A">
      <w:pPr>
        <w:keepNext/>
        <w:tabs>
          <w:tab w:val="left" w:pos="3600"/>
          <w:tab w:val="left" w:pos="7920"/>
        </w:tabs>
        <w:spacing w:line="240" w:lineRule="auto"/>
      </w:pPr>
    </w:p>
    <w:p w14:paraId="1C3F32E8" w14:textId="77777777" w:rsidR="00BB404C" w:rsidRPr="00296660" w:rsidRDefault="00BB404C" w:rsidP="00D3476A">
      <w:pPr>
        <w:keepNext/>
        <w:tabs>
          <w:tab w:val="left" w:pos="3600"/>
          <w:tab w:val="left" w:pos="7920"/>
        </w:tabs>
        <w:spacing w:line="240" w:lineRule="auto"/>
      </w:pPr>
    </w:p>
    <w:p w14:paraId="3F909DF0" w14:textId="24F37357" w:rsidR="00BB404C" w:rsidRPr="00296660" w:rsidRDefault="00BB404C" w:rsidP="00D3476A">
      <w:pPr>
        <w:keepNext/>
        <w:tabs>
          <w:tab w:val="left" w:pos="2880"/>
          <w:tab w:val="left" w:pos="7920"/>
        </w:tabs>
        <w:spacing w:line="240" w:lineRule="auto"/>
      </w:pPr>
      <w:r w:rsidRPr="00296660">
        <w:rPr>
          <w:u w:val="single"/>
        </w:rPr>
        <w:t xml:space="preserve">  </w:t>
      </w:r>
      <w:r w:rsidR="001D501C">
        <w:rPr>
          <w:u w:val="single"/>
        </w:rPr>
        <w:t>/s/</w:t>
      </w:r>
      <w:r w:rsidRPr="00296660">
        <w:rPr>
          <w:u w:val="single"/>
        </w:rPr>
        <w:tab/>
      </w:r>
    </w:p>
    <w:p w14:paraId="2A07C7BF" w14:textId="77777777" w:rsidR="00BB404C" w:rsidRPr="00296660" w:rsidRDefault="00BB404C" w:rsidP="00D3476A">
      <w:pPr>
        <w:keepNext/>
        <w:tabs>
          <w:tab w:val="left" w:pos="3600"/>
          <w:tab w:val="left" w:pos="7920"/>
        </w:tabs>
        <w:spacing w:line="240" w:lineRule="auto"/>
      </w:pPr>
      <w:r>
        <w:t xml:space="preserve">MAURO, Acting P. </w:t>
      </w:r>
      <w:r w:rsidRPr="00296660">
        <w:t>J.</w:t>
      </w:r>
    </w:p>
    <w:p w14:paraId="0786AFC6" w14:textId="77777777" w:rsidR="00BB404C" w:rsidRPr="00296660" w:rsidRDefault="00BB404C" w:rsidP="00D3476A">
      <w:pPr>
        <w:keepNext/>
        <w:tabs>
          <w:tab w:val="left" w:pos="3600"/>
          <w:tab w:val="left" w:pos="7920"/>
        </w:tabs>
        <w:spacing w:line="240" w:lineRule="auto"/>
      </w:pPr>
    </w:p>
    <w:p w14:paraId="5511FA0C" w14:textId="77777777" w:rsidR="00BB404C" w:rsidRPr="00296660" w:rsidRDefault="00BB404C" w:rsidP="00D3476A">
      <w:pPr>
        <w:keepNext/>
        <w:tabs>
          <w:tab w:val="left" w:pos="3600"/>
          <w:tab w:val="left" w:pos="7920"/>
        </w:tabs>
        <w:spacing w:line="240" w:lineRule="auto"/>
      </w:pPr>
    </w:p>
    <w:p w14:paraId="2DB28443" w14:textId="77777777" w:rsidR="00BB404C" w:rsidRPr="00296660" w:rsidRDefault="00BB404C" w:rsidP="00D3476A">
      <w:pPr>
        <w:keepNext/>
        <w:tabs>
          <w:tab w:val="left" w:pos="3600"/>
          <w:tab w:val="left" w:pos="7920"/>
        </w:tabs>
        <w:spacing w:line="240" w:lineRule="auto"/>
      </w:pPr>
    </w:p>
    <w:p w14:paraId="3488D961" w14:textId="5E04C6EF" w:rsidR="00BB404C" w:rsidRPr="00296660" w:rsidRDefault="00BB404C" w:rsidP="00D3476A">
      <w:pPr>
        <w:keepNext/>
        <w:tabs>
          <w:tab w:val="left" w:pos="2880"/>
          <w:tab w:val="left" w:pos="7920"/>
        </w:tabs>
        <w:spacing w:line="240" w:lineRule="auto"/>
      </w:pPr>
      <w:r w:rsidRPr="00296660">
        <w:rPr>
          <w:u w:val="single"/>
        </w:rPr>
        <w:t xml:space="preserve">  </w:t>
      </w:r>
      <w:r w:rsidR="001D501C">
        <w:rPr>
          <w:u w:val="single"/>
        </w:rPr>
        <w:t>/s/</w:t>
      </w:r>
      <w:r w:rsidRPr="00296660">
        <w:rPr>
          <w:u w:val="single"/>
        </w:rPr>
        <w:tab/>
      </w:r>
    </w:p>
    <w:p w14:paraId="01082C51" w14:textId="6965315C" w:rsidR="00BB404C" w:rsidRPr="005D7E1B" w:rsidRDefault="00BB404C" w:rsidP="00D3476A">
      <w:pPr>
        <w:keepNext/>
        <w:tabs>
          <w:tab w:val="left" w:pos="3600"/>
          <w:tab w:val="left" w:pos="7920"/>
        </w:tabs>
        <w:spacing w:line="240" w:lineRule="auto"/>
      </w:pPr>
      <w:r>
        <w:t>DUARTE</w:t>
      </w:r>
      <w:r w:rsidRPr="00296660">
        <w:t>, J.</w:t>
      </w:r>
    </w:p>
    <w:p w14:paraId="4F47C324" w14:textId="77777777" w:rsidR="00EC1571" w:rsidRPr="00EC1571" w:rsidRDefault="00EC1571" w:rsidP="00EC1571"/>
    <w:sectPr w:rsidR="00EC1571" w:rsidRPr="00EC1571" w:rsidSect="00EC15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883B" w14:textId="77777777" w:rsidR="00763054" w:rsidRDefault="00763054">
      <w:r>
        <w:separator/>
      </w:r>
    </w:p>
  </w:endnote>
  <w:endnote w:type="continuationSeparator" w:id="0">
    <w:p w14:paraId="74520E0F" w14:textId="77777777" w:rsidR="00763054" w:rsidRDefault="0076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684D" w14:textId="77777777" w:rsidR="00391F20" w:rsidRDefault="00391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85A" w14:textId="350B36AA" w:rsidR="009A6C0B" w:rsidRPr="00EC1571" w:rsidRDefault="00EC1571" w:rsidP="00EC157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819C" w14:textId="77777777" w:rsidR="00391F20" w:rsidRDefault="0039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BE28" w14:textId="77777777" w:rsidR="00763054" w:rsidRDefault="00763054">
      <w:r>
        <w:separator/>
      </w:r>
    </w:p>
  </w:footnote>
  <w:footnote w:type="continuationSeparator" w:id="0">
    <w:p w14:paraId="3ED2CC09" w14:textId="77777777" w:rsidR="00763054" w:rsidRDefault="00763054">
      <w:r>
        <w:continuationSeparator/>
      </w:r>
    </w:p>
  </w:footnote>
  <w:footnote w:id="1">
    <w:p w14:paraId="67B2EB8E" w14:textId="1073BAF5" w:rsidR="004A4318" w:rsidRDefault="004A4318">
      <w:pPr>
        <w:pStyle w:val="FootnoteText"/>
      </w:pPr>
      <w:r>
        <w:rPr>
          <w:rStyle w:val="FootnoteReference"/>
        </w:rPr>
        <w:footnoteRef/>
      </w:r>
      <w:r>
        <w:t xml:space="preserve">  </w:t>
      </w:r>
      <w:r w:rsidR="00DE3A3E">
        <w:t>The People</w:t>
      </w:r>
      <w:r>
        <w:t xml:space="preserve"> contended during oral argument that the remittitur was not filed when it remained in the mailroom.  We need not address this argument because the remittitur here had been transferred out of the mailroom and received by respondent court’s appeals clerk and exhibits clerk.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1F6A" w14:textId="77777777" w:rsidR="00391F20" w:rsidRDefault="00391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B00D" w14:textId="77777777" w:rsidR="00391F20" w:rsidRDefault="00391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D540" w14:textId="77777777" w:rsidR="00391F20" w:rsidRDefault="00391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3D8E"/>
    <w:multiLevelType w:val="hybridMultilevel"/>
    <w:tmpl w:val="8D36F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00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CF"/>
    <w:rsid w:val="000060AE"/>
    <w:rsid w:val="00006E1D"/>
    <w:rsid w:val="000072A0"/>
    <w:rsid w:val="0001172D"/>
    <w:rsid w:val="00014E7A"/>
    <w:rsid w:val="000158BD"/>
    <w:rsid w:val="00016B93"/>
    <w:rsid w:val="000239C2"/>
    <w:rsid w:val="0002402A"/>
    <w:rsid w:val="000342AB"/>
    <w:rsid w:val="00051F5D"/>
    <w:rsid w:val="00060398"/>
    <w:rsid w:val="00061548"/>
    <w:rsid w:val="00066D95"/>
    <w:rsid w:val="000A0732"/>
    <w:rsid w:val="000B010F"/>
    <w:rsid w:val="000B23AE"/>
    <w:rsid w:val="000C2F3A"/>
    <w:rsid w:val="000D4126"/>
    <w:rsid w:val="000D61C1"/>
    <w:rsid w:val="000E0ECE"/>
    <w:rsid w:val="000E2BB3"/>
    <w:rsid w:val="000F51B0"/>
    <w:rsid w:val="001004D8"/>
    <w:rsid w:val="00101043"/>
    <w:rsid w:val="00105D7A"/>
    <w:rsid w:val="001106C0"/>
    <w:rsid w:val="00123C7A"/>
    <w:rsid w:val="00140835"/>
    <w:rsid w:val="001448A0"/>
    <w:rsid w:val="00145C68"/>
    <w:rsid w:val="00162498"/>
    <w:rsid w:val="00163208"/>
    <w:rsid w:val="00164344"/>
    <w:rsid w:val="0017689B"/>
    <w:rsid w:val="00185BE6"/>
    <w:rsid w:val="00190538"/>
    <w:rsid w:val="001928B5"/>
    <w:rsid w:val="0019450A"/>
    <w:rsid w:val="00196CF5"/>
    <w:rsid w:val="00197D77"/>
    <w:rsid w:val="001A3CB9"/>
    <w:rsid w:val="001A5EAA"/>
    <w:rsid w:val="001B02B2"/>
    <w:rsid w:val="001C4796"/>
    <w:rsid w:val="001D501C"/>
    <w:rsid w:val="001E062A"/>
    <w:rsid w:val="001F2091"/>
    <w:rsid w:val="001F755E"/>
    <w:rsid w:val="00204353"/>
    <w:rsid w:val="00221A45"/>
    <w:rsid w:val="00223AF7"/>
    <w:rsid w:val="002308EA"/>
    <w:rsid w:val="00234E14"/>
    <w:rsid w:val="002426F1"/>
    <w:rsid w:val="00246CB5"/>
    <w:rsid w:val="00252854"/>
    <w:rsid w:val="00252A6F"/>
    <w:rsid w:val="00271FFD"/>
    <w:rsid w:val="00272A36"/>
    <w:rsid w:val="00274CBA"/>
    <w:rsid w:val="00274D2B"/>
    <w:rsid w:val="002809CA"/>
    <w:rsid w:val="0029499A"/>
    <w:rsid w:val="002A3327"/>
    <w:rsid w:val="002C1A67"/>
    <w:rsid w:val="002D032B"/>
    <w:rsid w:val="002D2DDC"/>
    <w:rsid w:val="002D3751"/>
    <w:rsid w:val="002D5F36"/>
    <w:rsid w:val="002E0503"/>
    <w:rsid w:val="002E0CAA"/>
    <w:rsid w:val="002F12E6"/>
    <w:rsid w:val="002F1DA4"/>
    <w:rsid w:val="00307B3D"/>
    <w:rsid w:val="00321425"/>
    <w:rsid w:val="003224A8"/>
    <w:rsid w:val="00331269"/>
    <w:rsid w:val="00343526"/>
    <w:rsid w:val="00345AE2"/>
    <w:rsid w:val="00350912"/>
    <w:rsid w:val="003621A2"/>
    <w:rsid w:val="00365EB1"/>
    <w:rsid w:val="00375156"/>
    <w:rsid w:val="00375648"/>
    <w:rsid w:val="003810C3"/>
    <w:rsid w:val="0038642A"/>
    <w:rsid w:val="00390533"/>
    <w:rsid w:val="00391F20"/>
    <w:rsid w:val="003957FD"/>
    <w:rsid w:val="003C60FA"/>
    <w:rsid w:val="003D0665"/>
    <w:rsid w:val="003D37D3"/>
    <w:rsid w:val="003D497E"/>
    <w:rsid w:val="003D4E10"/>
    <w:rsid w:val="003D4E6D"/>
    <w:rsid w:val="003D6CD5"/>
    <w:rsid w:val="003D7460"/>
    <w:rsid w:val="003E1911"/>
    <w:rsid w:val="003E2EFF"/>
    <w:rsid w:val="003F043C"/>
    <w:rsid w:val="003F0AE5"/>
    <w:rsid w:val="00407535"/>
    <w:rsid w:val="00416E1E"/>
    <w:rsid w:val="004256B0"/>
    <w:rsid w:val="00425DD9"/>
    <w:rsid w:val="0043796B"/>
    <w:rsid w:val="00440E90"/>
    <w:rsid w:val="00444811"/>
    <w:rsid w:val="0044770B"/>
    <w:rsid w:val="004616F9"/>
    <w:rsid w:val="00464E70"/>
    <w:rsid w:val="00472D81"/>
    <w:rsid w:val="0048049E"/>
    <w:rsid w:val="004816C4"/>
    <w:rsid w:val="004907AE"/>
    <w:rsid w:val="00490D6E"/>
    <w:rsid w:val="00496109"/>
    <w:rsid w:val="004A4318"/>
    <w:rsid w:val="004A5DB7"/>
    <w:rsid w:val="004B7918"/>
    <w:rsid w:val="004C4010"/>
    <w:rsid w:val="004C6209"/>
    <w:rsid w:val="004D3E78"/>
    <w:rsid w:val="004E4927"/>
    <w:rsid w:val="004E6F9D"/>
    <w:rsid w:val="004F60F7"/>
    <w:rsid w:val="005016F8"/>
    <w:rsid w:val="005431DF"/>
    <w:rsid w:val="005477E4"/>
    <w:rsid w:val="0055567D"/>
    <w:rsid w:val="00561D40"/>
    <w:rsid w:val="005644E0"/>
    <w:rsid w:val="005719D7"/>
    <w:rsid w:val="0057315F"/>
    <w:rsid w:val="00583387"/>
    <w:rsid w:val="00583F6B"/>
    <w:rsid w:val="0058613E"/>
    <w:rsid w:val="005930D8"/>
    <w:rsid w:val="005A2C48"/>
    <w:rsid w:val="005B2A56"/>
    <w:rsid w:val="005C43E8"/>
    <w:rsid w:val="005C735D"/>
    <w:rsid w:val="005D1450"/>
    <w:rsid w:val="005F2B02"/>
    <w:rsid w:val="005F7F96"/>
    <w:rsid w:val="00603A27"/>
    <w:rsid w:val="00620625"/>
    <w:rsid w:val="00625DCB"/>
    <w:rsid w:val="0063228C"/>
    <w:rsid w:val="006370C7"/>
    <w:rsid w:val="00640E33"/>
    <w:rsid w:val="00644B19"/>
    <w:rsid w:val="00651C75"/>
    <w:rsid w:val="00652753"/>
    <w:rsid w:val="006617DA"/>
    <w:rsid w:val="00663410"/>
    <w:rsid w:val="0066351D"/>
    <w:rsid w:val="00674C63"/>
    <w:rsid w:val="006774DF"/>
    <w:rsid w:val="00685221"/>
    <w:rsid w:val="0068526F"/>
    <w:rsid w:val="006A32A6"/>
    <w:rsid w:val="006B0CF9"/>
    <w:rsid w:val="006B4BAF"/>
    <w:rsid w:val="006B5461"/>
    <w:rsid w:val="006C141B"/>
    <w:rsid w:val="006C500A"/>
    <w:rsid w:val="006D29AB"/>
    <w:rsid w:val="006E04EB"/>
    <w:rsid w:val="006E18C8"/>
    <w:rsid w:val="006E2D44"/>
    <w:rsid w:val="006E63D7"/>
    <w:rsid w:val="006F573B"/>
    <w:rsid w:val="0071005B"/>
    <w:rsid w:val="0072244C"/>
    <w:rsid w:val="00732B92"/>
    <w:rsid w:val="00745113"/>
    <w:rsid w:val="007451A4"/>
    <w:rsid w:val="00746B9E"/>
    <w:rsid w:val="00751869"/>
    <w:rsid w:val="00753316"/>
    <w:rsid w:val="00763054"/>
    <w:rsid w:val="00764112"/>
    <w:rsid w:val="00764122"/>
    <w:rsid w:val="00765173"/>
    <w:rsid w:val="00765756"/>
    <w:rsid w:val="007672CA"/>
    <w:rsid w:val="0077463A"/>
    <w:rsid w:val="007773C7"/>
    <w:rsid w:val="007820ED"/>
    <w:rsid w:val="00790493"/>
    <w:rsid w:val="007A61F5"/>
    <w:rsid w:val="007A7A29"/>
    <w:rsid w:val="007B60C3"/>
    <w:rsid w:val="007B7740"/>
    <w:rsid w:val="007C6058"/>
    <w:rsid w:val="007F0415"/>
    <w:rsid w:val="007F2B2F"/>
    <w:rsid w:val="007F7537"/>
    <w:rsid w:val="007F7FE2"/>
    <w:rsid w:val="00816489"/>
    <w:rsid w:val="00823AA7"/>
    <w:rsid w:val="00825C8A"/>
    <w:rsid w:val="00826F27"/>
    <w:rsid w:val="0083110D"/>
    <w:rsid w:val="00831334"/>
    <w:rsid w:val="00833D25"/>
    <w:rsid w:val="00841651"/>
    <w:rsid w:val="00842125"/>
    <w:rsid w:val="00842E15"/>
    <w:rsid w:val="0084746C"/>
    <w:rsid w:val="00860F57"/>
    <w:rsid w:val="00865A53"/>
    <w:rsid w:val="00874BEA"/>
    <w:rsid w:val="0088086B"/>
    <w:rsid w:val="0088426B"/>
    <w:rsid w:val="008907E2"/>
    <w:rsid w:val="008A760D"/>
    <w:rsid w:val="008A76AF"/>
    <w:rsid w:val="008B2E9E"/>
    <w:rsid w:val="008B3BCA"/>
    <w:rsid w:val="008B3CC3"/>
    <w:rsid w:val="008B57F2"/>
    <w:rsid w:val="008C0A2B"/>
    <w:rsid w:val="008C482C"/>
    <w:rsid w:val="008D013D"/>
    <w:rsid w:val="008E1C15"/>
    <w:rsid w:val="008E2018"/>
    <w:rsid w:val="008E38E0"/>
    <w:rsid w:val="008E41E1"/>
    <w:rsid w:val="008E6DB6"/>
    <w:rsid w:val="008F24EA"/>
    <w:rsid w:val="008F602B"/>
    <w:rsid w:val="008F6DF4"/>
    <w:rsid w:val="008F7991"/>
    <w:rsid w:val="0091509F"/>
    <w:rsid w:val="00916AAB"/>
    <w:rsid w:val="009200DF"/>
    <w:rsid w:val="00921BE3"/>
    <w:rsid w:val="00926ECB"/>
    <w:rsid w:val="00954546"/>
    <w:rsid w:val="0095526E"/>
    <w:rsid w:val="00962DFB"/>
    <w:rsid w:val="00965FCB"/>
    <w:rsid w:val="0096741F"/>
    <w:rsid w:val="00976242"/>
    <w:rsid w:val="009770D4"/>
    <w:rsid w:val="00980413"/>
    <w:rsid w:val="009824B4"/>
    <w:rsid w:val="00991887"/>
    <w:rsid w:val="009A1914"/>
    <w:rsid w:val="009A1B89"/>
    <w:rsid w:val="009A5597"/>
    <w:rsid w:val="009A6C0B"/>
    <w:rsid w:val="009D16A3"/>
    <w:rsid w:val="009D566E"/>
    <w:rsid w:val="009D5F95"/>
    <w:rsid w:val="009E32D8"/>
    <w:rsid w:val="009F23CA"/>
    <w:rsid w:val="009F3E2C"/>
    <w:rsid w:val="009F53EE"/>
    <w:rsid w:val="00A11E1F"/>
    <w:rsid w:val="00A146AA"/>
    <w:rsid w:val="00A20E33"/>
    <w:rsid w:val="00A22796"/>
    <w:rsid w:val="00A263A7"/>
    <w:rsid w:val="00A30526"/>
    <w:rsid w:val="00A34995"/>
    <w:rsid w:val="00A402BB"/>
    <w:rsid w:val="00A413EA"/>
    <w:rsid w:val="00A43A84"/>
    <w:rsid w:val="00A44591"/>
    <w:rsid w:val="00A626D2"/>
    <w:rsid w:val="00A726D2"/>
    <w:rsid w:val="00A73187"/>
    <w:rsid w:val="00A804AE"/>
    <w:rsid w:val="00A87765"/>
    <w:rsid w:val="00A9438F"/>
    <w:rsid w:val="00AA0BB9"/>
    <w:rsid w:val="00AA4CEA"/>
    <w:rsid w:val="00AA7A2B"/>
    <w:rsid w:val="00AB284E"/>
    <w:rsid w:val="00AC0EC3"/>
    <w:rsid w:val="00AC732F"/>
    <w:rsid w:val="00AC7E3F"/>
    <w:rsid w:val="00AD39C3"/>
    <w:rsid w:val="00AD4CB3"/>
    <w:rsid w:val="00AD7686"/>
    <w:rsid w:val="00AF0639"/>
    <w:rsid w:val="00AF5E44"/>
    <w:rsid w:val="00B11FCF"/>
    <w:rsid w:val="00B141F6"/>
    <w:rsid w:val="00B1459C"/>
    <w:rsid w:val="00B14C42"/>
    <w:rsid w:val="00B305B0"/>
    <w:rsid w:val="00B41077"/>
    <w:rsid w:val="00B44D5F"/>
    <w:rsid w:val="00B46D62"/>
    <w:rsid w:val="00B76970"/>
    <w:rsid w:val="00B82032"/>
    <w:rsid w:val="00B82385"/>
    <w:rsid w:val="00B83801"/>
    <w:rsid w:val="00B85EAF"/>
    <w:rsid w:val="00B92984"/>
    <w:rsid w:val="00B950C2"/>
    <w:rsid w:val="00B951D2"/>
    <w:rsid w:val="00B95DE5"/>
    <w:rsid w:val="00BA73E7"/>
    <w:rsid w:val="00BB08F3"/>
    <w:rsid w:val="00BB3C22"/>
    <w:rsid w:val="00BB404C"/>
    <w:rsid w:val="00BC05D6"/>
    <w:rsid w:val="00BC53C5"/>
    <w:rsid w:val="00BE0A5D"/>
    <w:rsid w:val="00BE30D9"/>
    <w:rsid w:val="00BF0CB5"/>
    <w:rsid w:val="00BF1981"/>
    <w:rsid w:val="00BF20AC"/>
    <w:rsid w:val="00BF3DC1"/>
    <w:rsid w:val="00BF6270"/>
    <w:rsid w:val="00C00419"/>
    <w:rsid w:val="00C0089B"/>
    <w:rsid w:val="00C049B3"/>
    <w:rsid w:val="00C110E9"/>
    <w:rsid w:val="00C151E5"/>
    <w:rsid w:val="00C23C71"/>
    <w:rsid w:val="00C306BA"/>
    <w:rsid w:val="00C3113C"/>
    <w:rsid w:val="00C3546D"/>
    <w:rsid w:val="00C401C1"/>
    <w:rsid w:val="00C4191F"/>
    <w:rsid w:val="00C433E4"/>
    <w:rsid w:val="00C4547C"/>
    <w:rsid w:val="00C47C5B"/>
    <w:rsid w:val="00C47E54"/>
    <w:rsid w:val="00C50CF5"/>
    <w:rsid w:val="00C54586"/>
    <w:rsid w:val="00C61318"/>
    <w:rsid w:val="00C6671D"/>
    <w:rsid w:val="00C67C82"/>
    <w:rsid w:val="00C712BB"/>
    <w:rsid w:val="00C737F8"/>
    <w:rsid w:val="00C8576D"/>
    <w:rsid w:val="00C97299"/>
    <w:rsid w:val="00CA58C3"/>
    <w:rsid w:val="00CA7A55"/>
    <w:rsid w:val="00CB02E9"/>
    <w:rsid w:val="00CB38D7"/>
    <w:rsid w:val="00CB5CE6"/>
    <w:rsid w:val="00CC7034"/>
    <w:rsid w:val="00CD32CB"/>
    <w:rsid w:val="00CD4333"/>
    <w:rsid w:val="00CD7226"/>
    <w:rsid w:val="00CE18ED"/>
    <w:rsid w:val="00CE1D04"/>
    <w:rsid w:val="00CE2509"/>
    <w:rsid w:val="00D07FD6"/>
    <w:rsid w:val="00D1521B"/>
    <w:rsid w:val="00D1641C"/>
    <w:rsid w:val="00D21F83"/>
    <w:rsid w:val="00D36C94"/>
    <w:rsid w:val="00D51D4B"/>
    <w:rsid w:val="00D550B6"/>
    <w:rsid w:val="00D60D76"/>
    <w:rsid w:val="00D635F2"/>
    <w:rsid w:val="00D655C7"/>
    <w:rsid w:val="00D811B9"/>
    <w:rsid w:val="00D81A3A"/>
    <w:rsid w:val="00D81BFF"/>
    <w:rsid w:val="00D95BAD"/>
    <w:rsid w:val="00DA5A16"/>
    <w:rsid w:val="00DA6165"/>
    <w:rsid w:val="00DB4A3D"/>
    <w:rsid w:val="00DD0A2A"/>
    <w:rsid w:val="00DD378D"/>
    <w:rsid w:val="00DD5882"/>
    <w:rsid w:val="00DE3A3E"/>
    <w:rsid w:val="00DF0E53"/>
    <w:rsid w:val="00DF5730"/>
    <w:rsid w:val="00E07935"/>
    <w:rsid w:val="00E10EE1"/>
    <w:rsid w:val="00E1455E"/>
    <w:rsid w:val="00E1533C"/>
    <w:rsid w:val="00E1690A"/>
    <w:rsid w:val="00E22E4C"/>
    <w:rsid w:val="00E33511"/>
    <w:rsid w:val="00E33894"/>
    <w:rsid w:val="00E41793"/>
    <w:rsid w:val="00E44E48"/>
    <w:rsid w:val="00E45533"/>
    <w:rsid w:val="00E54A9A"/>
    <w:rsid w:val="00E618B7"/>
    <w:rsid w:val="00E74285"/>
    <w:rsid w:val="00E743BF"/>
    <w:rsid w:val="00E77A67"/>
    <w:rsid w:val="00E90EEA"/>
    <w:rsid w:val="00E972DE"/>
    <w:rsid w:val="00EA3930"/>
    <w:rsid w:val="00EB5C33"/>
    <w:rsid w:val="00EB7AB9"/>
    <w:rsid w:val="00EC1571"/>
    <w:rsid w:val="00EC3CA0"/>
    <w:rsid w:val="00EC56A3"/>
    <w:rsid w:val="00ED159F"/>
    <w:rsid w:val="00ED6BD3"/>
    <w:rsid w:val="00EE4977"/>
    <w:rsid w:val="00EE5688"/>
    <w:rsid w:val="00EE6578"/>
    <w:rsid w:val="00EF1A0A"/>
    <w:rsid w:val="00EF7A7A"/>
    <w:rsid w:val="00F00EA6"/>
    <w:rsid w:val="00F0550F"/>
    <w:rsid w:val="00F07E45"/>
    <w:rsid w:val="00F10697"/>
    <w:rsid w:val="00F13F8C"/>
    <w:rsid w:val="00F16CD4"/>
    <w:rsid w:val="00F24BD1"/>
    <w:rsid w:val="00F27594"/>
    <w:rsid w:val="00F30BED"/>
    <w:rsid w:val="00F3219B"/>
    <w:rsid w:val="00F3686C"/>
    <w:rsid w:val="00F40AD8"/>
    <w:rsid w:val="00F50F26"/>
    <w:rsid w:val="00F559B0"/>
    <w:rsid w:val="00F61003"/>
    <w:rsid w:val="00F670DE"/>
    <w:rsid w:val="00F73579"/>
    <w:rsid w:val="00F75841"/>
    <w:rsid w:val="00F77829"/>
    <w:rsid w:val="00F8789F"/>
    <w:rsid w:val="00F90C8C"/>
    <w:rsid w:val="00F94B4A"/>
    <w:rsid w:val="00FA2F25"/>
    <w:rsid w:val="00FA5B20"/>
    <w:rsid w:val="00FA78C7"/>
    <w:rsid w:val="00FE17E9"/>
    <w:rsid w:val="00FE44A3"/>
    <w:rsid w:val="00FE59AB"/>
    <w:rsid w:val="00FE76BD"/>
    <w:rsid w:val="00FF403D"/>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E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73C7"/>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paragraph" w:styleId="ListParagraph">
    <w:name w:val="List Paragraph"/>
    <w:basedOn w:val="Normal"/>
    <w:uiPriority w:val="34"/>
    <w:qFormat/>
    <w:rsid w:val="00651C75"/>
    <w:pPr>
      <w:ind w:left="720"/>
      <w:contextualSpacing/>
    </w:pPr>
  </w:style>
  <w:style w:type="paragraph" w:styleId="Revision">
    <w:name w:val="Revision"/>
    <w:hidden/>
    <w:uiPriority w:val="99"/>
    <w:semiHidden/>
    <w:rsid w:val="00BE30D9"/>
  </w:style>
  <w:style w:type="character" w:styleId="CommentReference">
    <w:name w:val="annotation reference"/>
    <w:basedOn w:val="DefaultParagraphFont"/>
    <w:semiHidden/>
    <w:unhideWhenUsed/>
    <w:rsid w:val="008F7991"/>
    <w:rPr>
      <w:sz w:val="16"/>
      <w:szCs w:val="16"/>
    </w:rPr>
  </w:style>
  <w:style w:type="paragraph" w:styleId="CommentText">
    <w:name w:val="annotation text"/>
    <w:basedOn w:val="Normal"/>
    <w:link w:val="CommentTextChar"/>
    <w:unhideWhenUsed/>
    <w:rsid w:val="008F7991"/>
    <w:pPr>
      <w:spacing w:line="240" w:lineRule="auto"/>
    </w:pPr>
    <w:rPr>
      <w:sz w:val="20"/>
      <w:szCs w:val="20"/>
    </w:rPr>
  </w:style>
  <w:style w:type="character" w:customStyle="1" w:styleId="CommentTextChar">
    <w:name w:val="Comment Text Char"/>
    <w:basedOn w:val="DefaultParagraphFont"/>
    <w:link w:val="CommentText"/>
    <w:rsid w:val="008F7991"/>
    <w:rPr>
      <w:sz w:val="20"/>
      <w:szCs w:val="20"/>
    </w:rPr>
  </w:style>
  <w:style w:type="paragraph" w:styleId="CommentSubject">
    <w:name w:val="annotation subject"/>
    <w:basedOn w:val="CommentText"/>
    <w:next w:val="CommentText"/>
    <w:link w:val="CommentSubjectChar"/>
    <w:semiHidden/>
    <w:unhideWhenUsed/>
    <w:rsid w:val="008F7991"/>
    <w:rPr>
      <w:b/>
      <w:bCs/>
    </w:rPr>
  </w:style>
  <w:style w:type="character" w:customStyle="1" w:styleId="CommentSubjectChar">
    <w:name w:val="Comment Subject Char"/>
    <w:basedOn w:val="CommentTextChar"/>
    <w:link w:val="CommentSubject"/>
    <w:semiHidden/>
    <w:rsid w:val="008F7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3865">
      <w:bodyDiv w:val="1"/>
      <w:marLeft w:val="0"/>
      <w:marRight w:val="0"/>
      <w:marTop w:val="0"/>
      <w:marBottom w:val="0"/>
      <w:divBdr>
        <w:top w:val="none" w:sz="0" w:space="0" w:color="auto"/>
        <w:left w:val="none" w:sz="0" w:space="0" w:color="auto"/>
        <w:bottom w:val="none" w:sz="0" w:space="0" w:color="auto"/>
        <w:right w:val="none" w:sz="0" w:space="0" w:color="auto"/>
      </w:divBdr>
      <w:divsChild>
        <w:div w:id="326329635">
          <w:marLeft w:val="0"/>
          <w:marRight w:val="0"/>
          <w:marTop w:val="0"/>
          <w:marBottom w:val="0"/>
          <w:divBdr>
            <w:top w:val="none" w:sz="0" w:space="0" w:color="auto"/>
            <w:left w:val="none" w:sz="0" w:space="0" w:color="auto"/>
            <w:bottom w:val="none" w:sz="0" w:space="0" w:color="auto"/>
            <w:right w:val="none" w:sz="0" w:space="0" w:color="auto"/>
          </w:divBdr>
        </w:div>
      </w:divsChild>
    </w:div>
    <w:div w:id="1931086394">
      <w:bodyDiv w:val="1"/>
      <w:marLeft w:val="0"/>
      <w:marRight w:val="0"/>
      <w:marTop w:val="0"/>
      <w:marBottom w:val="0"/>
      <w:divBdr>
        <w:top w:val="none" w:sz="0" w:space="0" w:color="auto"/>
        <w:left w:val="none" w:sz="0" w:space="0" w:color="auto"/>
        <w:bottom w:val="none" w:sz="0" w:space="0" w:color="auto"/>
        <w:right w:val="none" w:sz="0" w:space="0" w:color="auto"/>
      </w:divBdr>
      <w:divsChild>
        <w:div w:id="50590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Words>
  <Characters>8903</Characters>
  <Application>Microsoft Office Word</Application>
  <DocSecurity>0</DocSecurity>
  <Lines>192</Lines>
  <Paragraphs>48</Paragraphs>
  <ScaleCrop>false</ScaleCrop>
  <Manager/>
  <Company/>
  <LinksUpToDate>false</LinksUpToDate>
  <CharactersWithSpaces>10743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2023-12-20T20:16:00Z</dcterms:created>
  <dcterms:modified xsi:type="dcterms:W3CDTF">2023-12-20T20:16:00Z</dcterms:modified>
  <cp:category/>
</cp:coreProperties>
</file>