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332A0" w:rsidRPr="001147BB" w:rsidP="004975C2" w14:paraId="31B4CCE9" w14:textId="17C6E3D4">
      <w:pPr>
        <w:spacing w:line="240" w:lineRule="atLeast"/>
        <w:rPr>
          <w:sz w:val="20"/>
          <w:szCs w:val="20"/>
        </w:rPr>
      </w:pPr>
      <w:r w:rsidRPr="001147BB">
        <w:rPr>
          <w:sz w:val="20"/>
          <w:szCs w:val="20"/>
        </w:rPr>
        <w:t>Filed 7/31/23</w:t>
      </w:r>
    </w:p>
    <w:p w:rsidR="005C3409" w:rsidP="005C3409" w14:paraId="3C08F4D9" w14:textId="01C43208">
      <w:pPr>
        <w:spacing w:line="240" w:lineRule="atLeast"/>
        <w:jc w:val="center"/>
        <w:rPr>
          <w:u w:val="words"/>
        </w:rPr>
      </w:pPr>
      <w:r w:rsidRPr="005C3409">
        <w:rPr>
          <w:u w:val="words"/>
        </w:rPr>
        <w:t>CERTIFIED FOR PUBLICATION</w:t>
      </w:r>
    </w:p>
    <w:p w:rsidR="005C3409" w:rsidP="005C3409" w14:paraId="5EC00BCF" w14:textId="0891F92B">
      <w:pPr>
        <w:spacing w:line="240" w:lineRule="atLeast"/>
        <w:jc w:val="center"/>
        <w:rPr>
          <w:u w:val="words"/>
        </w:rPr>
      </w:pPr>
    </w:p>
    <w:p w:rsidR="005C3409" w:rsidP="005C3409" w14:paraId="63109F7D" w14:textId="0FC37972">
      <w:pPr>
        <w:spacing w:line="240" w:lineRule="atLeast"/>
        <w:jc w:val="center"/>
        <w:rPr>
          <w:u w:val="words"/>
        </w:rPr>
      </w:pPr>
    </w:p>
    <w:p w:rsidR="005C3409" w:rsidP="005C3409" w14:paraId="5916C7A1" w14:textId="59F554B0">
      <w:pPr>
        <w:spacing w:line="240" w:lineRule="atLeast"/>
        <w:jc w:val="center"/>
        <w:rPr>
          <w:u w:val="words"/>
        </w:rPr>
      </w:pPr>
    </w:p>
    <w:p w:rsidR="005C3409" w:rsidP="005C3409" w14:paraId="33BEBEAD" w14:textId="37A5CB6A">
      <w:pPr>
        <w:spacing w:line="240" w:lineRule="atLeast"/>
        <w:jc w:val="center"/>
        <w:rPr>
          <w:u w:val="words"/>
        </w:rPr>
      </w:pPr>
    </w:p>
    <w:p w:rsidR="005C3409" w:rsidP="005C3409" w14:paraId="6E796FCE" w14:textId="43C32AEC">
      <w:pPr>
        <w:spacing w:line="240" w:lineRule="atLeast"/>
        <w:jc w:val="center"/>
        <w:rPr>
          <w:u w:val="words"/>
        </w:rPr>
      </w:pPr>
    </w:p>
    <w:p w:rsidR="005C3409" w:rsidP="005C3409" w14:paraId="31526798" w14:textId="25014289">
      <w:pPr>
        <w:jc w:val="center"/>
      </w:pPr>
      <w:r>
        <w:t>IN THE COURT OF APPEAL OF THE STATE OF CALIFORNIA</w:t>
      </w:r>
    </w:p>
    <w:p w:rsidR="005C3409" w:rsidP="005C3409" w14:paraId="3C6242CF" w14:textId="2D09BC8D">
      <w:pPr>
        <w:jc w:val="center"/>
      </w:pPr>
      <w:r>
        <w:t>THIRD APPELLATE DISTRICT</w:t>
      </w:r>
    </w:p>
    <w:p w:rsidR="005C3409" w:rsidP="005C3409" w14:paraId="69933287" w14:textId="4380D265">
      <w:pPr>
        <w:jc w:val="center"/>
      </w:pPr>
      <w:r>
        <w:t>(Sacramento)</w:t>
      </w:r>
    </w:p>
    <w:p w:rsidR="005C3409" w:rsidP="005C3409" w14:paraId="4014475B" w14:textId="2250E274">
      <w:pPr>
        <w:jc w:val="center"/>
      </w:pPr>
      <w:r>
        <w:t>----</w:t>
      </w:r>
    </w:p>
    <w:p w:rsidR="005C3409" w:rsidP="005C3409" w14:paraId="140C4E7D" w14:textId="372BDCCA">
      <w:pPr>
        <w:jc w:val="center"/>
      </w:pPr>
    </w:p>
    <w:p w:rsidR="005C3409" w:rsidP="005C3409" w14:paraId="28C200E2" w14:textId="35A8AD3A">
      <w:pPr>
        <w:spacing w:line="240" w:lineRule="atLeast"/>
      </w:pPr>
    </w:p>
    <w:p w:rsidR="005C3409" w:rsidP="005C3409" w14:paraId="230A5CB8" w14:textId="5F93BFBB">
      <w:pPr>
        <w:spacing w:line="240" w:lineRule="atLeast"/>
      </w:pPr>
    </w:p>
    <w:p w:rsidR="005C3409" w:rsidP="005C3409" w14:paraId="422F4E50" w14:textId="2BDC23B0">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1DD9C7CF" w14:textId="77777777" w:rsidTr="005C3409">
        <w:tblPrEx>
          <w:tblW w:w="0" w:type="auto"/>
          <w:tblBorders>
            <w:insideH w:val="single" w:sz="4" w:space="0" w:color="auto"/>
            <w:insideV w:val="single" w:sz="4" w:space="0" w:color="auto"/>
          </w:tblBorders>
          <w:tblLayout w:type="fixed"/>
          <w:tblLook w:val="0000"/>
        </w:tblPrEx>
        <w:tc>
          <w:tcPr>
            <w:tcW w:w="5904" w:type="dxa"/>
            <w:shd w:val="clear" w:color="auto" w:fill="auto"/>
          </w:tcPr>
          <w:p w:rsidR="005C3409" w:rsidP="005C3409" w14:paraId="22DB2AFF" w14:textId="77777777">
            <w:pPr>
              <w:spacing w:line="240" w:lineRule="atLeast"/>
            </w:pPr>
            <w:r>
              <w:t>THE PEOPLE,</w:t>
            </w:r>
          </w:p>
          <w:p w:rsidR="005C3409" w:rsidP="005C3409" w14:paraId="0EFD33B7" w14:textId="77777777">
            <w:pPr>
              <w:spacing w:line="240" w:lineRule="atLeast"/>
            </w:pPr>
          </w:p>
          <w:p w:rsidR="005C3409" w:rsidP="005C3409" w14:paraId="28C8777A" w14:textId="77777777">
            <w:pPr>
              <w:spacing w:line="240" w:lineRule="atLeast"/>
            </w:pPr>
            <w:r>
              <w:tab/>
            </w:r>
            <w:r>
              <w:tab/>
              <w:t>Plaintiff and Respondent,</w:t>
            </w:r>
          </w:p>
          <w:p w:rsidR="005C3409" w:rsidP="005C3409" w14:paraId="5DE356C9" w14:textId="77777777">
            <w:pPr>
              <w:spacing w:line="240" w:lineRule="atLeast"/>
            </w:pPr>
          </w:p>
          <w:p w:rsidR="005C3409" w:rsidP="005C3409" w14:paraId="49D0A1AF" w14:textId="77777777">
            <w:pPr>
              <w:spacing w:line="240" w:lineRule="atLeast"/>
            </w:pPr>
            <w:r>
              <w:tab/>
              <w:t>v.</w:t>
            </w:r>
          </w:p>
          <w:p w:rsidR="005C3409" w:rsidP="005C3409" w14:paraId="60C0592F" w14:textId="77777777">
            <w:pPr>
              <w:spacing w:line="240" w:lineRule="atLeast"/>
            </w:pPr>
          </w:p>
          <w:p w:rsidR="005C3409" w:rsidP="005C3409" w14:paraId="44135D9A" w14:textId="777F49A3">
            <w:pPr>
              <w:spacing w:line="240" w:lineRule="atLeast"/>
            </w:pPr>
            <w:r>
              <w:t xml:space="preserve">ANTERION </w:t>
            </w:r>
            <w:r w:rsidR="001434B0">
              <w:t xml:space="preserve">DANTELAMAR </w:t>
            </w:r>
            <w:r>
              <w:t>SUGGS,</w:t>
            </w:r>
          </w:p>
          <w:p w:rsidR="005C3409" w:rsidP="005C3409" w14:paraId="6E2C0FB9" w14:textId="77777777">
            <w:pPr>
              <w:spacing w:line="240" w:lineRule="atLeast"/>
            </w:pPr>
          </w:p>
          <w:p w:rsidR="005C3409" w:rsidP="005C3409" w14:paraId="65651BB9" w14:textId="77777777">
            <w:pPr>
              <w:spacing w:line="240" w:lineRule="atLeast"/>
            </w:pPr>
            <w:r>
              <w:tab/>
            </w:r>
            <w:r>
              <w:tab/>
              <w:t>Defendant and Appellant.</w:t>
            </w:r>
          </w:p>
          <w:p w:rsidR="005C3409" w:rsidP="005C3409" w14:paraId="0E3E6DE8" w14:textId="722A8CB6">
            <w:pPr>
              <w:spacing w:line="240" w:lineRule="atLeast"/>
            </w:pPr>
          </w:p>
        </w:tc>
        <w:tc>
          <w:tcPr>
            <w:tcW w:w="3456" w:type="dxa"/>
            <w:shd w:val="clear" w:color="auto" w:fill="auto"/>
          </w:tcPr>
          <w:p w:rsidR="005C3409" w:rsidP="005C3409" w14:paraId="4197CF66" w14:textId="77777777">
            <w:pPr>
              <w:spacing w:line="240" w:lineRule="atLeast"/>
              <w:jc w:val="center"/>
            </w:pPr>
            <w:r>
              <w:t>C096555</w:t>
            </w:r>
          </w:p>
          <w:p w:rsidR="005C3409" w:rsidP="005C3409" w14:paraId="26F39E4E" w14:textId="77777777">
            <w:pPr>
              <w:spacing w:line="240" w:lineRule="atLeast"/>
              <w:jc w:val="center"/>
            </w:pPr>
          </w:p>
          <w:p w:rsidR="005C3409" w:rsidP="005C3409" w14:paraId="4E502869" w14:textId="77777777">
            <w:pPr>
              <w:spacing w:line="240" w:lineRule="atLeast"/>
              <w:jc w:val="center"/>
            </w:pPr>
            <w:r>
              <w:t>(Super. Ct. No. 21FE008798)</w:t>
            </w:r>
          </w:p>
          <w:p w:rsidR="005C3409" w:rsidP="005C3409" w14:paraId="3857999F" w14:textId="77777777">
            <w:pPr>
              <w:spacing w:line="240" w:lineRule="atLeast"/>
              <w:jc w:val="center"/>
            </w:pPr>
          </w:p>
          <w:p w:rsidR="005C3409" w:rsidP="005C3409" w14:paraId="0C0B055F" w14:textId="742B332F">
            <w:pPr>
              <w:spacing w:line="240" w:lineRule="atLeast"/>
              <w:jc w:val="center"/>
            </w:pPr>
          </w:p>
        </w:tc>
      </w:tr>
    </w:tbl>
    <w:p w:rsidR="005C3409" w:rsidP="005C3409" w14:paraId="3751DB7F" w14:textId="68FD1621">
      <w:pPr>
        <w:spacing w:line="240" w:lineRule="atLeast"/>
      </w:pPr>
    </w:p>
    <w:p w:rsidR="005C3409" w:rsidP="005C3409" w14:paraId="5046CE66" w14:textId="77777777">
      <w:pPr>
        <w:spacing w:line="240" w:lineRule="atLeast"/>
      </w:pPr>
    </w:p>
    <w:p w:rsidR="005C3409" w:rsidP="005C3409" w14:paraId="76853AC6" w14:textId="361A644C">
      <w:pPr>
        <w:spacing w:line="240" w:lineRule="atLeast"/>
      </w:pPr>
      <w:r>
        <w:tab/>
        <w:t xml:space="preserve">APPEAL from a judgment of the Superior Court of Sacramento County, </w:t>
      </w:r>
      <w:r w:rsidR="00BD00BB">
        <w:t>Thadd A. Blizzard</w:t>
      </w:r>
      <w:r>
        <w:t>, Judge.  Reversed.</w:t>
      </w:r>
    </w:p>
    <w:p w:rsidR="005C3409" w:rsidP="005C3409" w14:paraId="06E5D8E2" w14:textId="3ABE1D0F">
      <w:pPr>
        <w:spacing w:line="240" w:lineRule="atLeast"/>
      </w:pPr>
    </w:p>
    <w:p w:rsidR="005C3409" w:rsidP="005C3409" w14:paraId="2A6DA2D0" w14:textId="21DC8036">
      <w:pPr>
        <w:spacing w:line="240" w:lineRule="atLeast"/>
      </w:pPr>
      <w:r>
        <w:tab/>
        <w:t>Joseph M. Ahart, under appointment by the Court of Appeal, for Defendant and Appellant.</w:t>
      </w:r>
    </w:p>
    <w:p w:rsidR="005C3409" w:rsidP="005C3409" w14:paraId="232F6878" w14:textId="6CC776B1">
      <w:pPr>
        <w:spacing w:line="240" w:lineRule="atLeast"/>
      </w:pPr>
    </w:p>
    <w:p w:rsidR="005C3409" w:rsidP="005C3409" w14:paraId="3B215FDC" w14:textId="434C5C4E">
      <w:pPr>
        <w:spacing w:line="240" w:lineRule="atLeast"/>
      </w:pPr>
      <w:r>
        <w:tab/>
        <w:t>Rob Bonta, Attorney General, Lance E. Winters, Chief Assistant Attorney General, Michael P. Farrell, Assistant Attorney General, Julie A. Hokans</w:t>
      </w:r>
      <w:r w:rsidR="00E1633B">
        <w:t xml:space="preserve"> and</w:t>
      </w:r>
      <w:r>
        <w:t xml:space="preserve"> Dina Petrushenko, Deputy Attorneys General, for Plaintiff and Respondent.</w:t>
      </w:r>
    </w:p>
    <w:p w:rsidR="005C3409" w:rsidP="003332A0" w14:paraId="1025BC97" w14:textId="12C0AD99">
      <w:pPr>
        <w:spacing w:line="240" w:lineRule="auto"/>
      </w:pPr>
    </w:p>
    <w:p w:rsidR="005C3409" w:rsidP="003332A0" w14:paraId="04D077AA" w14:textId="4C8B6742">
      <w:pPr>
        <w:spacing w:line="240" w:lineRule="auto"/>
      </w:pPr>
    </w:p>
    <w:p w:rsidR="005C3409" w:rsidRPr="005C3409" w:rsidP="003332A0" w14:paraId="1B053927" w14:textId="77777777">
      <w:pPr>
        <w:spacing w:line="240" w:lineRule="auto"/>
      </w:pPr>
    </w:p>
    <w:p w:rsidR="003332A0" w:rsidRPr="005C3409" w:rsidP="003332A0" w14:paraId="48302612" w14:textId="7A316BAF">
      <w:pPr>
        <w:spacing w:line="240" w:lineRule="auto"/>
      </w:pPr>
    </w:p>
    <w:p w:rsidR="00D90BB2" w:rsidRPr="005C3409" w:rsidP="00072B9A" w14:paraId="06F63B88" w14:textId="237BA73B">
      <w:r w:rsidRPr="005C3409">
        <w:tab/>
      </w:r>
      <w:r w:rsidRPr="005C3409" w:rsidR="007C672B">
        <w:t xml:space="preserve">Defendant Anterion Dantelamar Suggs appeals from a judgment following </w:t>
      </w:r>
      <w:r w:rsidRPr="005C3409" w:rsidR="004D57B4">
        <w:t>entry of a plea of no contest to</w:t>
      </w:r>
      <w:r w:rsidRPr="005C3409" w:rsidR="00146AFC">
        <w:t xml:space="preserve"> misdemeanor possession of a concealed firearm</w:t>
      </w:r>
      <w:r w:rsidRPr="005C3409" w:rsidR="004D57B4">
        <w:t xml:space="preserve"> </w:t>
      </w:r>
      <w:r w:rsidRPr="005C3409" w:rsidR="007C672B">
        <w:t xml:space="preserve">after </w:t>
      </w:r>
      <w:r w:rsidRPr="005C3409" w:rsidR="00277225">
        <w:t>the</w:t>
      </w:r>
      <w:r w:rsidRPr="005C3409" w:rsidR="001D6E81">
        <w:t xml:space="preserve"> trial court </w:t>
      </w:r>
      <w:r w:rsidRPr="005C3409" w:rsidR="00234B00">
        <w:t xml:space="preserve">denied </w:t>
      </w:r>
      <w:r w:rsidRPr="005C3409" w:rsidR="001D6E81">
        <w:t>his motion to suppress</w:t>
      </w:r>
      <w:r w:rsidRPr="005C3409" w:rsidR="002D3BFD">
        <w:t xml:space="preserve"> </w:t>
      </w:r>
      <w:r w:rsidRPr="005C3409" w:rsidR="007C672B">
        <w:t xml:space="preserve">evidence of </w:t>
      </w:r>
      <w:r w:rsidR="00E1633B">
        <w:t>the</w:t>
      </w:r>
      <w:r w:rsidRPr="005C3409" w:rsidR="004D548B">
        <w:t xml:space="preserve"> </w:t>
      </w:r>
      <w:r w:rsidRPr="005C3409" w:rsidR="007C672B">
        <w:t xml:space="preserve">firearm and </w:t>
      </w:r>
      <w:r w:rsidR="00E1633B">
        <w:t>methamphetamine found in his vehicle</w:t>
      </w:r>
      <w:r w:rsidRPr="005C3409" w:rsidR="002C73BE">
        <w:t xml:space="preserve">. </w:t>
      </w:r>
      <w:r w:rsidRPr="005C3409" w:rsidR="009251A9">
        <w:t xml:space="preserve"> </w:t>
      </w:r>
      <w:r w:rsidRPr="005C3409" w:rsidR="007C672B">
        <w:t xml:space="preserve">On appeal, defendant </w:t>
      </w:r>
      <w:r w:rsidRPr="005C3409" w:rsidR="002C73BE">
        <w:t xml:space="preserve">argues </w:t>
      </w:r>
      <w:r w:rsidRPr="005C3409" w:rsidR="00146AFC">
        <w:t>the</w:t>
      </w:r>
      <w:r w:rsidRPr="005C3409" w:rsidR="00F27732">
        <w:t xml:space="preserve"> detention </w:t>
      </w:r>
      <w:r w:rsidRPr="005C3409" w:rsidR="00EC046E">
        <w:t xml:space="preserve">that </w:t>
      </w:r>
      <w:r w:rsidRPr="005C3409" w:rsidR="00A578AB">
        <w:t>preceded the search</w:t>
      </w:r>
      <w:r w:rsidRPr="005C3409" w:rsidR="00F27732">
        <w:t xml:space="preserve"> of his vehicle </w:t>
      </w:r>
      <w:r w:rsidRPr="005C3409" w:rsidR="00EC046E">
        <w:t>was</w:t>
      </w:r>
      <w:r w:rsidRPr="005C3409" w:rsidR="00F27732">
        <w:t xml:space="preserve"> unlawful under the Fourth Amendment.</w:t>
      </w:r>
      <w:r w:rsidRPr="005C3409" w:rsidR="009251A9">
        <w:t xml:space="preserve"> </w:t>
      </w:r>
      <w:r w:rsidRPr="005C3409" w:rsidR="00F27732">
        <w:t xml:space="preserve"> </w:t>
      </w:r>
      <w:r w:rsidRPr="005C3409" w:rsidR="00E84B49">
        <w:t xml:space="preserve">We </w:t>
      </w:r>
      <w:r w:rsidRPr="005C3409" w:rsidR="009675A8">
        <w:t xml:space="preserve">will </w:t>
      </w:r>
      <w:r w:rsidRPr="005C3409" w:rsidR="00C22A91">
        <w:t xml:space="preserve">reverse </w:t>
      </w:r>
      <w:r w:rsidRPr="005C3409" w:rsidR="00E84B49">
        <w:t xml:space="preserve">the </w:t>
      </w:r>
      <w:r w:rsidRPr="005C3409" w:rsidR="009675A8">
        <w:t>judgment.</w:t>
      </w:r>
    </w:p>
    <w:p w:rsidR="009251A9" w:rsidRPr="005C3409" w:rsidP="00072B9A" w14:paraId="65BC49B8" w14:textId="6EEE5B21">
      <w:pPr>
        <w:jc w:val="center"/>
      </w:pPr>
      <w:r w:rsidRPr="005C3409">
        <w:t>FACTUAL AND PROCEDURAL BACKGROUND</w:t>
      </w:r>
      <w:r w:rsidRPr="005C3409" w:rsidR="00A14493">
        <w:t xml:space="preserve"> </w:t>
      </w:r>
    </w:p>
    <w:p w:rsidR="00BE2128" w:rsidRPr="005C3409" w:rsidP="009251A9" w14:paraId="6169509C" w14:textId="1C1ABBE0">
      <w:pPr>
        <w:ind w:firstLine="720"/>
      </w:pPr>
      <w:r w:rsidRPr="005C3409">
        <w:t xml:space="preserve">In May 2021, </w:t>
      </w:r>
      <w:r w:rsidRPr="005C3409" w:rsidR="00E65AF2">
        <w:t xml:space="preserve">Sacramento Police </w:t>
      </w:r>
      <w:r w:rsidRPr="005C3409" w:rsidR="003B02BB">
        <w:t xml:space="preserve">Officer </w:t>
      </w:r>
      <w:r w:rsidRPr="005C3409" w:rsidR="00072B9A">
        <w:t xml:space="preserve">Owen </w:t>
      </w:r>
      <w:r w:rsidRPr="005C3409" w:rsidR="003B02BB">
        <w:t>Anstess</w:t>
      </w:r>
      <w:r w:rsidRPr="005C3409">
        <w:t xml:space="preserve"> </w:t>
      </w:r>
      <w:r w:rsidRPr="005C3409" w:rsidR="00F724A8">
        <w:t>saw</w:t>
      </w:r>
      <w:r w:rsidRPr="005C3409">
        <w:t xml:space="preserve"> defendant driving a </w:t>
      </w:r>
      <w:r w:rsidRPr="005C3409" w:rsidR="00E65AF2">
        <w:t xml:space="preserve">car </w:t>
      </w:r>
      <w:r w:rsidRPr="005C3409">
        <w:t xml:space="preserve">that </w:t>
      </w:r>
      <w:r w:rsidRPr="005C3409" w:rsidR="00ED338A">
        <w:t xml:space="preserve">displayed </w:t>
      </w:r>
      <w:r w:rsidRPr="005C3409" w:rsidR="00277225">
        <w:t xml:space="preserve">only </w:t>
      </w:r>
      <w:r w:rsidRPr="005C3409" w:rsidR="00ED338A">
        <w:t>paper</w:t>
      </w:r>
      <w:r w:rsidRPr="005C3409">
        <w:t xml:space="preserve"> plates in violation of Vehicle Code section 5200</w:t>
      </w:r>
      <w:r w:rsidRPr="005C3409" w:rsidR="00277225">
        <w:t xml:space="preserve"> that</w:t>
      </w:r>
      <w:r w:rsidRPr="005C3409">
        <w:t xml:space="preserve"> requires a vehicle to attach license plates to both the front and back of the vehicle.  </w:t>
      </w:r>
      <w:r w:rsidRPr="005C3409" w:rsidR="00F82350">
        <w:t>Since</w:t>
      </w:r>
      <w:r w:rsidRPr="005C3409">
        <w:t xml:space="preserve"> </w:t>
      </w:r>
      <w:r w:rsidRPr="005C3409" w:rsidR="00F40CA3">
        <w:t>Officer Anstess</w:t>
      </w:r>
      <w:r w:rsidRPr="005C3409">
        <w:t xml:space="preserve"> did not see any registration or recent purchase documents displayed</w:t>
      </w:r>
      <w:r w:rsidRPr="005C3409" w:rsidR="00F82350">
        <w:t xml:space="preserve">, he </w:t>
      </w:r>
      <w:r w:rsidRPr="005C3409" w:rsidR="00CA5BAD">
        <w:t xml:space="preserve">initiated a traffic stop of </w:t>
      </w:r>
      <w:r w:rsidRPr="005C3409" w:rsidR="00F82350">
        <w:t>defendant</w:t>
      </w:r>
      <w:r w:rsidRPr="005C3409">
        <w:t xml:space="preserve">.  </w:t>
      </w:r>
      <w:r w:rsidRPr="005C3409" w:rsidR="00336E19">
        <w:t xml:space="preserve">Officer Anstess would not have stopped the car if he had seen the paperwork </w:t>
      </w:r>
      <w:r w:rsidRPr="005C3409" w:rsidR="00E15DCD">
        <w:t xml:space="preserve">displayed </w:t>
      </w:r>
      <w:r w:rsidRPr="005C3409" w:rsidR="00336E19">
        <w:t>in the window</w:t>
      </w:r>
      <w:r w:rsidRPr="005C3409" w:rsidR="00E15DCD">
        <w:t xml:space="preserve"> as required by law</w:t>
      </w:r>
      <w:r w:rsidRPr="005C3409" w:rsidR="00336E19">
        <w:t>.</w:t>
      </w:r>
    </w:p>
    <w:p w:rsidR="00BE2128" w:rsidRPr="005C3409" w:rsidP="00336E19" w14:paraId="20466004" w14:textId="18652568">
      <w:pPr>
        <w:ind w:firstLine="720"/>
      </w:pPr>
      <w:r w:rsidRPr="005C3409">
        <w:t xml:space="preserve">When </w:t>
      </w:r>
      <w:r w:rsidRPr="005C3409" w:rsidR="0001050B">
        <w:t>Officer Anstess</w:t>
      </w:r>
      <w:r w:rsidRPr="005C3409">
        <w:t xml:space="preserve"> </w:t>
      </w:r>
      <w:r w:rsidRPr="005C3409" w:rsidR="009251A9">
        <w:t xml:space="preserve">walked up to </w:t>
      </w:r>
      <w:r w:rsidRPr="005C3409">
        <w:t>the</w:t>
      </w:r>
      <w:r w:rsidRPr="005C3409" w:rsidR="009251A9">
        <w:t xml:space="preserve"> vehicle</w:t>
      </w:r>
      <w:r w:rsidRPr="005C3409">
        <w:t xml:space="preserve"> to speak with defendant, he </w:t>
      </w:r>
      <w:r w:rsidRPr="005C3409" w:rsidR="00E8295E">
        <w:t>saw</w:t>
      </w:r>
      <w:r w:rsidRPr="005C3409">
        <w:t xml:space="preserve"> temporary registration documents </w:t>
      </w:r>
      <w:r w:rsidRPr="005C3409" w:rsidR="009251A9">
        <w:t>attached</w:t>
      </w:r>
      <w:r w:rsidRPr="005C3409">
        <w:t xml:space="preserve"> to the </w:t>
      </w:r>
      <w:r w:rsidRPr="005C3409" w:rsidR="00146AFC">
        <w:t xml:space="preserve">darkly tinted </w:t>
      </w:r>
      <w:r w:rsidRPr="005C3409">
        <w:t xml:space="preserve">rear window. </w:t>
      </w:r>
      <w:r w:rsidRPr="005C3409" w:rsidR="009251A9">
        <w:t xml:space="preserve"> </w:t>
      </w:r>
      <w:r w:rsidRPr="005C3409" w:rsidR="00E15DCD">
        <w:t>Anstess testified that the display of these documents satisfied the legal requirement for vehicles with paper license plates.</w:t>
      </w:r>
      <w:r w:rsidRPr="005C3409" w:rsidR="009251A9">
        <w:t xml:space="preserve"> </w:t>
      </w:r>
      <w:r w:rsidRPr="005C3409" w:rsidR="00336E19">
        <w:t xml:space="preserve"> </w:t>
      </w:r>
      <w:r w:rsidRPr="005C3409" w:rsidR="00161834">
        <w:t xml:space="preserve">After seeing the temporary registration documents, </w:t>
      </w:r>
      <w:r w:rsidRPr="005C3409" w:rsidR="003B02BB">
        <w:t>Officer Anstess</w:t>
      </w:r>
      <w:r w:rsidRPr="005C3409" w:rsidR="001B2CC1">
        <w:t xml:space="preserve"> </w:t>
      </w:r>
      <w:r w:rsidRPr="005C3409" w:rsidR="00234B00">
        <w:t xml:space="preserve">questioned </w:t>
      </w:r>
      <w:r w:rsidRPr="005C3409" w:rsidR="001B2CC1">
        <w:t>defendant</w:t>
      </w:r>
      <w:r w:rsidRPr="005C3409">
        <w:t xml:space="preserve"> </w:t>
      </w:r>
      <w:r w:rsidRPr="005C3409" w:rsidR="00234B00">
        <w:t xml:space="preserve">about </w:t>
      </w:r>
      <w:r w:rsidRPr="005C3409" w:rsidR="007827F5">
        <w:t>the purchase of the vehicle</w:t>
      </w:r>
      <w:r w:rsidRPr="005C3409" w:rsidR="00F724A8">
        <w:t xml:space="preserve">, and defendant </w:t>
      </w:r>
      <w:r w:rsidRPr="005C3409" w:rsidR="00EA35F8">
        <w:t>provided</w:t>
      </w:r>
      <w:r w:rsidRPr="005C3409" w:rsidR="00234B00">
        <w:t xml:space="preserve"> the </w:t>
      </w:r>
      <w:r w:rsidRPr="005C3409" w:rsidR="00EB59C8">
        <w:t>out</w:t>
      </w:r>
      <w:r w:rsidRPr="005C3409" w:rsidR="005F6CEA">
        <w:t>-</w:t>
      </w:r>
      <w:r w:rsidRPr="005C3409" w:rsidR="00EB59C8">
        <w:t>of</w:t>
      </w:r>
      <w:r w:rsidRPr="005C3409" w:rsidR="005F6CEA">
        <w:t>-</w:t>
      </w:r>
      <w:r w:rsidRPr="005C3409" w:rsidR="00EB59C8">
        <w:t xml:space="preserve">state </w:t>
      </w:r>
      <w:r w:rsidRPr="005C3409" w:rsidR="00234B00">
        <w:t>purchase</w:t>
      </w:r>
      <w:r w:rsidRPr="005C3409" w:rsidR="00EA35F8">
        <w:t xml:space="preserve"> </w:t>
      </w:r>
      <w:r w:rsidRPr="005C3409" w:rsidR="001B2CC1">
        <w:t>paperwork</w:t>
      </w:r>
      <w:r w:rsidRPr="005C3409" w:rsidR="00A455B2">
        <w:t>.  As he review</w:t>
      </w:r>
      <w:r w:rsidRPr="005C3409" w:rsidR="004D548B">
        <w:t>ed</w:t>
      </w:r>
      <w:r w:rsidRPr="005C3409" w:rsidR="00A455B2">
        <w:t xml:space="preserve"> the paperwork, Officer Anstess ask</w:t>
      </w:r>
      <w:r w:rsidRPr="005C3409" w:rsidR="004D548B">
        <w:t>ed</w:t>
      </w:r>
      <w:r w:rsidRPr="005C3409" w:rsidR="00A455B2">
        <w:t xml:space="preserve"> questions about where </w:t>
      </w:r>
      <w:r w:rsidRPr="005C3409" w:rsidR="00E806FD">
        <w:t>defendant and his passenger were</w:t>
      </w:r>
      <w:r w:rsidRPr="005C3409" w:rsidR="00A455B2">
        <w:t xml:space="preserve"> headed</w:t>
      </w:r>
      <w:r w:rsidRPr="005C3409" w:rsidR="00020EE1">
        <w:t xml:space="preserve">, then </w:t>
      </w:r>
      <w:r w:rsidRPr="005C3409" w:rsidR="00A455B2">
        <w:t>return</w:t>
      </w:r>
      <w:r w:rsidRPr="005C3409" w:rsidR="004D548B">
        <w:t>ed</w:t>
      </w:r>
      <w:r w:rsidRPr="005C3409" w:rsidR="00A455B2">
        <w:t xml:space="preserve"> the </w:t>
      </w:r>
      <w:r w:rsidRPr="005C3409" w:rsidR="00B83146">
        <w:t>paperwork</w:t>
      </w:r>
      <w:r w:rsidRPr="005C3409" w:rsidR="00A455B2">
        <w:t xml:space="preserve"> to defendant, </w:t>
      </w:r>
      <w:r w:rsidRPr="005C3409" w:rsidR="00020EE1">
        <w:t>and ask</w:t>
      </w:r>
      <w:r w:rsidRPr="005C3409" w:rsidR="004D548B">
        <w:t>ed</w:t>
      </w:r>
      <w:r w:rsidRPr="005C3409" w:rsidR="00020EE1">
        <w:t xml:space="preserve"> defendant if he ha</w:t>
      </w:r>
      <w:r w:rsidRPr="005C3409" w:rsidR="004D548B">
        <w:t>d</w:t>
      </w:r>
      <w:r w:rsidRPr="005C3409" w:rsidR="00020EE1">
        <w:t xml:space="preserve"> id</w:t>
      </w:r>
      <w:r w:rsidRPr="005C3409" w:rsidR="00E806FD">
        <w:t>entification</w:t>
      </w:r>
      <w:r w:rsidRPr="005C3409" w:rsidR="00020EE1">
        <w:t xml:space="preserve"> on him.  Defendant provide</w:t>
      </w:r>
      <w:r w:rsidRPr="005C3409" w:rsidR="00B83146">
        <w:t>d</w:t>
      </w:r>
      <w:r w:rsidRPr="005C3409" w:rsidR="00020EE1">
        <w:t xml:space="preserve"> his </w:t>
      </w:r>
      <w:r w:rsidRPr="005C3409" w:rsidR="00B83146">
        <w:t xml:space="preserve">driver’s </w:t>
      </w:r>
      <w:r w:rsidRPr="005C3409" w:rsidR="00020EE1">
        <w:t xml:space="preserve">license to </w:t>
      </w:r>
      <w:r w:rsidR="00E1633B">
        <w:t>Office</w:t>
      </w:r>
      <w:r w:rsidR="00B04C44">
        <w:t>r</w:t>
      </w:r>
      <w:r w:rsidR="00E1633B">
        <w:t xml:space="preserve"> Anstess</w:t>
      </w:r>
      <w:r w:rsidRPr="005C3409" w:rsidR="00020EE1">
        <w:t>, who ask</w:t>
      </w:r>
      <w:r w:rsidRPr="005C3409" w:rsidR="00B83146">
        <w:t>ed</w:t>
      </w:r>
      <w:r w:rsidRPr="005C3409" w:rsidR="00020EE1">
        <w:t xml:space="preserve"> defendant</w:t>
      </w:r>
      <w:r w:rsidRPr="005C3409" w:rsidR="00B83146">
        <w:t xml:space="preserve"> for his </w:t>
      </w:r>
      <w:r w:rsidRPr="005C3409" w:rsidR="00020EE1">
        <w:t>current address</w:t>
      </w:r>
      <w:r w:rsidRPr="005C3409" w:rsidR="00B83146">
        <w:t>,</w:t>
      </w:r>
      <w:r w:rsidRPr="005C3409" w:rsidR="00020EE1">
        <w:t xml:space="preserve"> and then proceed</w:t>
      </w:r>
      <w:r w:rsidRPr="005C3409" w:rsidR="00B83146">
        <w:t>ed</w:t>
      </w:r>
      <w:r w:rsidRPr="005C3409" w:rsidR="00020EE1">
        <w:t xml:space="preserve"> to ask the passenger if he </w:t>
      </w:r>
      <w:r w:rsidRPr="005C3409" w:rsidR="00B83146">
        <w:t>had identification.</w:t>
      </w:r>
      <w:r w:rsidRPr="005C3409" w:rsidR="00020EE1">
        <w:t xml:space="preserve">  </w:t>
      </w:r>
      <w:r w:rsidRPr="005C3409">
        <w:t>Defendant’s</w:t>
      </w:r>
      <w:r w:rsidRPr="005C3409" w:rsidR="00F724A8">
        <w:t xml:space="preserve"> </w:t>
      </w:r>
      <w:r w:rsidRPr="005C3409">
        <w:t xml:space="preserve">passenger gave </w:t>
      </w:r>
      <w:r w:rsidRPr="005C3409" w:rsidR="00EA35F8">
        <w:t xml:space="preserve">his driver’s license </w:t>
      </w:r>
      <w:r w:rsidRPr="005C3409" w:rsidR="0009647D">
        <w:t xml:space="preserve">to </w:t>
      </w:r>
      <w:r w:rsidRPr="005C3409" w:rsidR="00F40CA3">
        <w:t>Officer Anstess</w:t>
      </w:r>
      <w:r w:rsidRPr="005C3409" w:rsidR="00020EE1">
        <w:t xml:space="preserve"> as defendant ask</w:t>
      </w:r>
      <w:r w:rsidRPr="005C3409" w:rsidR="00E17F84">
        <w:t>ed,</w:t>
      </w:r>
      <w:r w:rsidRPr="005C3409" w:rsidR="00020EE1">
        <w:t xml:space="preserve"> </w:t>
      </w:r>
      <w:r w:rsidRPr="005C3409" w:rsidR="00E17F84">
        <w:t>“</w:t>
      </w:r>
      <w:r w:rsidRPr="005C3409" w:rsidR="00020EE1">
        <w:t>is</w:t>
      </w:r>
      <w:r w:rsidRPr="005C3409" w:rsidR="00E17F84">
        <w:t xml:space="preserve"> this</w:t>
      </w:r>
      <w:r w:rsidRPr="005C3409" w:rsidR="00020EE1">
        <w:t xml:space="preserve"> necessary</w:t>
      </w:r>
      <w:r w:rsidRPr="005C3409" w:rsidR="00E17F84">
        <w:t>?</w:t>
      </w:r>
      <w:r w:rsidRPr="005C3409" w:rsidR="00020EE1">
        <w:t>”</w:t>
      </w:r>
      <w:r w:rsidRPr="005C3409" w:rsidR="00F724A8">
        <w:t xml:space="preserve"> </w:t>
      </w:r>
      <w:r w:rsidRPr="005C3409" w:rsidR="009251A9">
        <w:t xml:space="preserve"> </w:t>
      </w:r>
      <w:r w:rsidRPr="005C3409" w:rsidR="00ED338A">
        <w:t xml:space="preserve">Officer Anstess explained to defendant that he </w:t>
      </w:r>
      <w:r w:rsidRPr="005C3409" w:rsidR="00EB59C8">
        <w:t xml:space="preserve">was </w:t>
      </w:r>
      <w:r w:rsidRPr="005C3409" w:rsidR="00ED338A">
        <w:t xml:space="preserve">pulled over for having paper plates and because he could not see the paperwork in </w:t>
      </w:r>
      <w:r w:rsidR="00E1633B">
        <w:t>his vehicle’s</w:t>
      </w:r>
      <w:r w:rsidRPr="005C3409" w:rsidR="00ED338A">
        <w:t xml:space="preserve"> window.</w:t>
      </w:r>
    </w:p>
    <w:p w:rsidR="00BE2128" w:rsidRPr="005C3409" w:rsidP="00BE2128" w14:paraId="46DE5025" w14:textId="098EFA1A">
      <w:pPr>
        <w:ind w:firstLine="720"/>
      </w:pPr>
      <w:bookmarkStart w:id="0" w:name="_Hlk138878424"/>
      <w:r w:rsidRPr="005C3409">
        <w:t xml:space="preserve">Officer Anstess asked if there was anything “crazy in the car [he] </w:t>
      </w:r>
      <w:r w:rsidRPr="005C3409" w:rsidR="00E17F84">
        <w:t xml:space="preserve">needed to </w:t>
      </w:r>
      <w:r w:rsidRPr="005C3409">
        <w:t>know about</w:t>
      </w:r>
      <w:r w:rsidRPr="005C3409" w:rsidR="00A54D33">
        <w:t>,</w:t>
      </w:r>
      <w:r w:rsidRPr="005C3409">
        <w:t>”</w:t>
      </w:r>
      <w:r w:rsidRPr="005C3409" w:rsidR="00A54D33">
        <w:t xml:space="preserve"> whether defendant or his passenger were on parole or probation</w:t>
      </w:r>
      <w:r w:rsidRPr="005C3409" w:rsidR="00BE4B4D">
        <w:t>, and whether</w:t>
      </w:r>
      <w:r w:rsidRPr="005C3409">
        <w:t xml:space="preserve"> </w:t>
      </w:r>
      <w:r w:rsidRPr="005C3409" w:rsidR="00A54D33">
        <w:t>defendant</w:t>
      </w:r>
      <w:r w:rsidRPr="005C3409">
        <w:t xml:space="preserve"> or his passenger had been arrested previously</w:t>
      </w:r>
      <w:r w:rsidRPr="005C3409" w:rsidR="00EA35F8">
        <w:t>.</w:t>
      </w:r>
      <w:r w:rsidRPr="005C3409" w:rsidR="00234B00">
        <w:t xml:space="preserve"> </w:t>
      </w:r>
      <w:r w:rsidRPr="005C3409" w:rsidR="00F82350">
        <w:t xml:space="preserve"> </w:t>
      </w:r>
      <w:r w:rsidRPr="005C3409" w:rsidR="00EA35F8">
        <w:t>D</w:t>
      </w:r>
      <w:r w:rsidRPr="005C3409" w:rsidR="00F82350">
        <w:t>efendant voluntarily responded to these questions</w:t>
      </w:r>
      <w:r w:rsidRPr="005C3409" w:rsidR="00BE4B4D">
        <w:t>.</w:t>
      </w:r>
      <w:r w:rsidRPr="005C3409">
        <w:t xml:space="preserve"> </w:t>
      </w:r>
      <w:r w:rsidRPr="005C3409" w:rsidR="00F40CA3">
        <w:t xml:space="preserve"> </w:t>
      </w:r>
      <w:bookmarkEnd w:id="0"/>
      <w:r w:rsidRPr="005C3409">
        <w:t xml:space="preserve">Officer Anstess asked </w:t>
      </w:r>
      <w:r w:rsidRPr="005C3409" w:rsidR="00A54D33">
        <w:t>defendant</w:t>
      </w:r>
      <w:r w:rsidRPr="005C3409">
        <w:t xml:space="preserve"> if he could search his vehicle</w:t>
      </w:r>
      <w:r w:rsidRPr="005C3409" w:rsidR="00A54D33">
        <w:t xml:space="preserve">, and defendant </w:t>
      </w:r>
      <w:r w:rsidRPr="005C3409" w:rsidR="00146AFC">
        <w:t xml:space="preserve">declined because </w:t>
      </w:r>
      <w:r w:rsidRPr="005C3409" w:rsidR="00A54D33">
        <w:t>he was “</w:t>
      </w:r>
      <w:r w:rsidRPr="005C3409" w:rsidR="009A509E">
        <w:t xml:space="preserve">just </w:t>
      </w:r>
      <w:r w:rsidRPr="005C3409" w:rsidR="00A54D33">
        <w:t>trying to get on [his] way.”</w:t>
      </w:r>
    </w:p>
    <w:p w:rsidR="00BE2128" w:rsidRPr="005C3409" w:rsidP="00E8295E" w14:paraId="59AE9C95" w14:textId="41C686B2">
      <w:pPr>
        <w:ind w:firstLine="720"/>
      </w:pPr>
      <w:r w:rsidRPr="005C3409">
        <w:t xml:space="preserve">Officer Anstess </w:t>
      </w:r>
      <w:r w:rsidRPr="005C3409" w:rsidR="00A61136">
        <w:t>went back</w:t>
      </w:r>
      <w:r w:rsidRPr="005C3409">
        <w:t xml:space="preserve"> to his patrol vehicle</w:t>
      </w:r>
      <w:r w:rsidRPr="005C3409" w:rsidR="00CA4612">
        <w:t xml:space="preserve"> </w:t>
      </w:r>
      <w:r w:rsidRPr="005C3409" w:rsidR="008B6E6D">
        <w:t xml:space="preserve">then </w:t>
      </w:r>
      <w:r w:rsidRPr="005C3409" w:rsidR="0001050B">
        <w:t xml:space="preserve">returned to defendant’s vehicle and </w:t>
      </w:r>
      <w:r w:rsidRPr="005C3409" w:rsidR="00A319D3">
        <w:t>informed defendant and his passenger that</w:t>
      </w:r>
      <w:r w:rsidRPr="005C3409" w:rsidR="009208C8">
        <w:t xml:space="preserve"> they</w:t>
      </w:r>
      <w:r w:rsidRPr="005C3409" w:rsidR="00A319D3">
        <w:t xml:space="preserve"> </w:t>
      </w:r>
      <w:r w:rsidRPr="005C3409" w:rsidR="001D61B5">
        <w:t xml:space="preserve">both had suspended licenses, </w:t>
      </w:r>
      <w:r w:rsidRPr="005C3409" w:rsidR="00A319D3">
        <w:t xml:space="preserve">the passenger was on probation for “possession of firearms stuff and a couple other things,” </w:t>
      </w:r>
      <w:r w:rsidRPr="005C3409" w:rsidR="001D61B5">
        <w:t>and he was going to conduct a probation search</w:t>
      </w:r>
      <w:r w:rsidRPr="005C3409" w:rsidR="00A319D3">
        <w:t xml:space="preserve">.  </w:t>
      </w:r>
      <w:r w:rsidRPr="005C3409" w:rsidR="001D61B5">
        <w:t>During the probation search,</w:t>
      </w:r>
      <w:r w:rsidRPr="005C3409" w:rsidR="00146AFC">
        <w:t xml:space="preserve"> </w:t>
      </w:r>
      <w:r w:rsidRPr="005C3409" w:rsidR="001D61B5">
        <w:t>Officer Anstess</w:t>
      </w:r>
      <w:r w:rsidRPr="005C3409" w:rsidR="00146AFC">
        <w:t xml:space="preserve"> </w:t>
      </w:r>
      <w:r w:rsidRPr="005C3409">
        <w:t xml:space="preserve">discovered </w:t>
      </w:r>
      <w:r w:rsidRPr="005C3409" w:rsidR="00146AFC">
        <w:t xml:space="preserve">a concealed firearm and ammunition in </w:t>
      </w:r>
      <w:r w:rsidRPr="005C3409">
        <w:t xml:space="preserve">a satchel on the floor behind </w:t>
      </w:r>
      <w:r w:rsidRPr="005C3409" w:rsidR="00AC1AD6">
        <w:t>defendant’s</w:t>
      </w:r>
      <w:r w:rsidRPr="005C3409">
        <w:t xml:space="preserve"> seat that was within the passenger’s reach. </w:t>
      </w:r>
      <w:r w:rsidRPr="005C3409" w:rsidR="00F40CA3">
        <w:t xml:space="preserve"> </w:t>
      </w:r>
      <w:r w:rsidRPr="005C3409">
        <w:t xml:space="preserve">Based on that discovery, </w:t>
      </w:r>
      <w:r w:rsidRPr="005C3409" w:rsidR="0001050B">
        <w:t>Officer Anstess</w:t>
      </w:r>
      <w:r w:rsidRPr="005C3409">
        <w:t xml:space="preserve"> searched the entire vehicle and found a scale and a cigarette box holding </w:t>
      </w:r>
      <w:r w:rsidRPr="005C3409" w:rsidR="006A1D75">
        <w:t xml:space="preserve">30 </w:t>
      </w:r>
      <w:r w:rsidRPr="005C3409">
        <w:t xml:space="preserve">pills </w:t>
      </w:r>
      <w:r w:rsidRPr="005C3409" w:rsidR="009C0739">
        <w:t xml:space="preserve">of a controlled substance </w:t>
      </w:r>
      <w:r w:rsidRPr="005C3409">
        <w:t xml:space="preserve">in a compartment near the steering wheel. </w:t>
      </w:r>
    </w:p>
    <w:p w:rsidR="0093082F" w:rsidRPr="005C3409" w:rsidP="00F82350" w14:paraId="15000114" w14:textId="3883B1A4">
      <w:pPr>
        <w:ind w:firstLine="720"/>
      </w:pPr>
      <w:r w:rsidRPr="005C3409">
        <w:t xml:space="preserve">The People charged defendant with possession of a concealed firearm (Pen. Code, § 25400, subd. (a)(1); count </w:t>
      </w:r>
      <w:r w:rsidRPr="005C3409" w:rsidR="00722422">
        <w:t>one</w:t>
      </w:r>
      <w:r w:rsidRPr="005C3409">
        <w:t xml:space="preserve">), possession of methamphetamine with intent to sell (Health &amp; Saf. Code, § 11378; count </w:t>
      </w:r>
      <w:r w:rsidRPr="005C3409" w:rsidR="00722422">
        <w:t>two</w:t>
      </w:r>
      <w:r w:rsidRPr="005C3409">
        <w:t xml:space="preserve">), and possession of methamphetamine while armed with a firearm (Health </w:t>
      </w:r>
      <w:r w:rsidRPr="005C3409" w:rsidR="00E86817">
        <w:t xml:space="preserve">&amp; </w:t>
      </w:r>
      <w:r w:rsidRPr="005C3409">
        <w:t>Saf. Code</w:t>
      </w:r>
      <w:r w:rsidRPr="005C3409" w:rsidR="006A1D75">
        <w:t>,</w:t>
      </w:r>
      <w:r w:rsidRPr="005C3409">
        <w:t xml:space="preserve"> § 11370.1</w:t>
      </w:r>
      <w:r w:rsidRPr="005C3409" w:rsidR="002E130A">
        <w:t>, subd. (a)</w:t>
      </w:r>
      <w:r w:rsidRPr="005C3409">
        <w:t xml:space="preserve">; count </w:t>
      </w:r>
      <w:r w:rsidRPr="005C3409" w:rsidR="00722422">
        <w:t>three</w:t>
      </w:r>
      <w:r w:rsidRPr="005C3409">
        <w:t xml:space="preserve">).  Defendant moved to suppress the firearm and </w:t>
      </w:r>
      <w:r w:rsidR="00E1633B">
        <w:t>methamphetamine found in his vehicle</w:t>
      </w:r>
      <w:r w:rsidRPr="005C3409" w:rsidR="009208C8">
        <w:t xml:space="preserve">. </w:t>
      </w:r>
      <w:r w:rsidRPr="005C3409" w:rsidR="006A1D75">
        <w:t xml:space="preserve"> </w:t>
      </w:r>
      <w:r w:rsidRPr="005C3409" w:rsidR="009208C8">
        <w:t>T</w:t>
      </w:r>
      <w:r w:rsidRPr="005C3409" w:rsidR="00AA6518">
        <w:t xml:space="preserve">he trial court denied his motion.  </w:t>
      </w:r>
      <w:r w:rsidRPr="005C3409" w:rsidR="00002133">
        <w:t>In denying defendant’s motion to suppress</w:t>
      </w:r>
      <w:r w:rsidRPr="005C3409" w:rsidR="0052683A">
        <w:t xml:space="preserve"> in a written order</w:t>
      </w:r>
      <w:r w:rsidRPr="005C3409" w:rsidR="00002133">
        <w:t xml:space="preserve">, the trial court found </w:t>
      </w:r>
      <w:r w:rsidRPr="005C3409">
        <w:t>the passenger voluntarily provided his identification, the warrant check</w:t>
      </w:r>
      <w:r w:rsidRPr="005C3409" w:rsidR="00983173">
        <w:t>s</w:t>
      </w:r>
      <w:r w:rsidRPr="005C3409">
        <w:t xml:space="preserve"> of the passenger and defendant </w:t>
      </w:r>
      <w:r w:rsidRPr="005C3409" w:rsidR="007702C1">
        <w:t>were simultaneous</w:t>
      </w:r>
      <w:r w:rsidRPr="005C3409">
        <w:t xml:space="preserve">, and </w:t>
      </w:r>
      <w:bookmarkStart w:id="1" w:name="_Hlk138879408"/>
      <w:r w:rsidRPr="005C3409">
        <w:t>warrant checks are a permissible part of traffic stops</w:t>
      </w:r>
      <w:r w:rsidRPr="005C3409" w:rsidR="00E87391">
        <w:t xml:space="preserve"> as long as they “d[o] not unduly prolong the </w:t>
      </w:r>
      <w:r w:rsidRPr="005C3409" w:rsidR="001F098C">
        <w:t xml:space="preserve">traffic </w:t>
      </w:r>
      <w:r w:rsidRPr="005C3409" w:rsidR="00E87391">
        <w:t>investigation</w:t>
      </w:r>
      <w:bookmarkEnd w:id="1"/>
      <w:r w:rsidRPr="005C3409">
        <w:t>.</w:t>
      </w:r>
      <w:r w:rsidRPr="005C3409" w:rsidR="00E87391">
        <w:t>”</w:t>
      </w:r>
      <w:r w:rsidRPr="005C3409">
        <w:t xml:space="preserve">  </w:t>
      </w:r>
      <w:r w:rsidRPr="005C3409" w:rsidR="00FC7299">
        <w:t xml:space="preserve">As there was no specific evidence of how long it took to complete the warrant checks alone, and “nothing in the record indicate[d] any delay or unusual time spent on them,” </w:t>
      </w:r>
      <w:r w:rsidRPr="005C3409">
        <w:t xml:space="preserve">the trial court </w:t>
      </w:r>
      <w:r w:rsidRPr="005C3409" w:rsidR="00E665BE">
        <w:t xml:space="preserve">concluded </w:t>
      </w:r>
      <w:r w:rsidRPr="005C3409">
        <w:t xml:space="preserve">the stop </w:t>
      </w:r>
      <w:r w:rsidRPr="005C3409" w:rsidR="006D5360">
        <w:t>was lawful</w:t>
      </w:r>
      <w:r w:rsidRPr="005C3409">
        <w:t>.</w:t>
      </w:r>
    </w:p>
    <w:p w:rsidR="00A5129A" w:rsidRPr="005C3409" w:rsidP="00F82350" w14:paraId="55175A4F" w14:textId="51206628">
      <w:pPr>
        <w:ind w:firstLine="720"/>
      </w:pPr>
      <w:r w:rsidRPr="005C3409">
        <w:t>D</w:t>
      </w:r>
      <w:r w:rsidRPr="005C3409" w:rsidR="007C672B">
        <w:t xml:space="preserve">efendant </w:t>
      </w:r>
      <w:r w:rsidRPr="005C3409">
        <w:t>then ple</w:t>
      </w:r>
      <w:r w:rsidRPr="005C3409" w:rsidR="007C672B">
        <w:t>d</w:t>
      </w:r>
      <w:r w:rsidRPr="005C3409">
        <w:t xml:space="preserve"> no contest to misdemeanor</w:t>
      </w:r>
      <w:r w:rsidRPr="005C3409" w:rsidR="007C672B">
        <w:t xml:space="preserve"> possession of </w:t>
      </w:r>
      <w:r w:rsidRPr="005C3409" w:rsidR="004014F1">
        <w:t>the</w:t>
      </w:r>
      <w:r w:rsidRPr="005C3409" w:rsidR="007C672B">
        <w:t xml:space="preserve"> concealed firearm</w:t>
      </w:r>
      <w:r w:rsidRPr="005C3409">
        <w:t>.</w:t>
      </w:r>
      <w:r>
        <w:rPr>
          <w:rStyle w:val="FootnoteReference"/>
        </w:rPr>
        <w:footnoteReference w:id="2"/>
      </w:r>
      <w:r w:rsidRPr="005C3409">
        <w:t xml:space="preserve"> </w:t>
      </w:r>
      <w:r w:rsidRPr="005C3409" w:rsidR="00F82350">
        <w:t xml:space="preserve"> </w:t>
      </w:r>
      <w:r w:rsidRPr="005C3409">
        <w:t xml:space="preserve">The trial court sentenced </w:t>
      </w:r>
      <w:r w:rsidRPr="005C3409" w:rsidR="00F82350">
        <w:t>defendant</w:t>
      </w:r>
      <w:r w:rsidRPr="005C3409">
        <w:t xml:space="preserve"> to </w:t>
      </w:r>
      <w:r w:rsidRPr="005C3409" w:rsidR="001701DA">
        <w:t xml:space="preserve">90 </w:t>
      </w:r>
      <w:r w:rsidRPr="005C3409">
        <w:t xml:space="preserve">days in county jail and one year of informal probation. </w:t>
      </w:r>
      <w:r w:rsidRPr="005C3409" w:rsidR="00F82350">
        <w:t xml:space="preserve"> </w:t>
      </w:r>
      <w:r w:rsidRPr="005C3409" w:rsidR="00D21A39">
        <w:t>Defendant timely appealed.</w:t>
      </w:r>
      <w:r w:rsidRPr="005C3409" w:rsidR="00BE2128">
        <w:t xml:space="preserve"> </w:t>
      </w:r>
      <w:r w:rsidRPr="005C3409" w:rsidR="00CF2EA4">
        <w:t xml:space="preserve"> </w:t>
      </w:r>
      <w:bookmarkStart w:id="3" w:name="_Hlk134601080"/>
      <w:r w:rsidRPr="005C3409" w:rsidR="00894D4D">
        <w:t>After additional time to secure the augmented record, and multiple granted requests by the parties to continue the briefing schedule, the case was fully briefed on April 11, 2023, and assigned to this panel shortly thereafter.</w:t>
      </w:r>
    </w:p>
    <w:bookmarkEnd w:id="3"/>
    <w:p w:rsidR="006F14C2" w:rsidRPr="005C3409" w:rsidP="00BB0050" w14:paraId="08A94AB3" w14:textId="09953753">
      <w:pPr>
        <w:keepNext/>
        <w:jc w:val="center"/>
      </w:pPr>
      <w:r w:rsidRPr="005C3409">
        <w:t>DISCUSSION</w:t>
      </w:r>
    </w:p>
    <w:p w:rsidR="00EF1E4B" w:rsidRPr="005C3409" w:rsidP="00CA63DF" w14:paraId="369FFC1E" w14:textId="5CEE8358">
      <w:pPr>
        <w:ind w:firstLine="720"/>
      </w:pPr>
      <w:r w:rsidRPr="005C3409">
        <w:t xml:space="preserve">Defendant contends the trial court erred in denying his motion to suppress, because the detention was unlawfully prolonged. </w:t>
      </w:r>
      <w:r w:rsidRPr="005C3409" w:rsidR="001701DA">
        <w:t xml:space="preserve"> </w:t>
      </w:r>
      <w:r w:rsidRPr="005C3409">
        <w:t xml:space="preserve">Specifically, defendant claims </w:t>
      </w:r>
      <w:r w:rsidRPr="005C3409" w:rsidR="004D57B4">
        <w:t>that</w:t>
      </w:r>
      <w:r w:rsidRPr="005C3409" w:rsidR="00BE3DF3">
        <w:t xml:space="preserve"> </w:t>
      </w:r>
      <w:r w:rsidRPr="005C3409" w:rsidR="00A34672">
        <w:t>once Officer Anstess</w:t>
      </w:r>
      <w:r w:rsidRPr="005C3409" w:rsidR="004B47FA">
        <w:t xml:space="preserve"> </w:t>
      </w:r>
      <w:r w:rsidRPr="005C3409" w:rsidR="004D57B4">
        <w:t xml:space="preserve">noticed </w:t>
      </w:r>
      <w:r w:rsidRPr="005C3409" w:rsidR="00A34672">
        <w:t xml:space="preserve">the </w:t>
      </w:r>
      <w:r w:rsidRPr="005C3409" w:rsidR="004D57B4">
        <w:t xml:space="preserve">proper documentation </w:t>
      </w:r>
      <w:r w:rsidRPr="005C3409" w:rsidR="00F82350">
        <w:t>attached</w:t>
      </w:r>
      <w:r w:rsidRPr="005C3409" w:rsidR="004D57B4">
        <w:t xml:space="preserve"> to </w:t>
      </w:r>
      <w:r w:rsidRPr="005C3409" w:rsidR="004518F4">
        <w:t>his</w:t>
      </w:r>
      <w:r w:rsidRPr="005C3409" w:rsidR="004D57B4">
        <w:t xml:space="preserve"> </w:t>
      </w:r>
      <w:r w:rsidRPr="005C3409" w:rsidR="005B79EA">
        <w:t xml:space="preserve">vehicle’s </w:t>
      </w:r>
      <w:r w:rsidRPr="005C3409" w:rsidR="004D57B4">
        <w:t>rear window</w:t>
      </w:r>
      <w:r w:rsidRPr="005C3409" w:rsidR="00983173">
        <w:t xml:space="preserve"> and thus learned that the reason he had stopped defendant was invalid</w:t>
      </w:r>
      <w:r w:rsidRPr="005C3409" w:rsidR="00A34672">
        <w:t xml:space="preserve">, </w:t>
      </w:r>
      <w:r w:rsidRPr="005C3409" w:rsidR="004E0F9B">
        <w:t xml:space="preserve">any </w:t>
      </w:r>
      <w:r w:rsidRPr="005C3409" w:rsidR="00A34672">
        <w:t>further detention was unlawful</w:t>
      </w:r>
      <w:r w:rsidRPr="005C3409" w:rsidR="00E665BE">
        <w:t>.</w:t>
      </w:r>
      <w:r>
        <w:rPr>
          <w:rStyle w:val="FootnoteReference"/>
        </w:rPr>
        <w:footnoteReference w:id="3"/>
      </w:r>
      <w:r w:rsidRPr="005C3409" w:rsidR="001F098C">
        <w:rPr>
          <w:b/>
          <w:position w:val="8"/>
          <w:sz w:val="20"/>
        </w:rPr>
        <w:t>,</w:t>
      </w:r>
      <w:r>
        <w:rPr>
          <w:rStyle w:val="FootnoteReference"/>
        </w:rPr>
        <w:footnoteReference w:id="4"/>
      </w:r>
      <w:r w:rsidRPr="005C3409" w:rsidR="00A34672">
        <w:t xml:space="preserve">  We </w:t>
      </w:r>
      <w:r w:rsidRPr="005C3409" w:rsidR="00CF308F">
        <w:t>agree the detention became unlawful</w:t>
      </w:r>
      <w:r w:rsidRPr="005C3409" w:rsidR="00A34672">
        <w:t xml:space="preserve"> </w:t>
      </w:r>
      <w:r w:rsidRPr="005C3409" w:rsidR="00CF308F">
        <w:t xml:space="preserve">when (1) </w:t>
      </w:r>
      <w:r w:rsidRPr="005C3409" w:rsidR="00A34672">
        <w:t xml:space="preserve">the purpose of the stop completely dissipated </w:t>
      </w:r>
      <w:r w:rsidRPr="005C3409" w:rsidR="00CF308F">
        <w:t>(</w:t>
      </w:r>
      <w:r w:rsidRPr="005C3409" w:rsidR="00A34672">
        <w:t>when the officer saw the document</w:t>
      </w:r>
      <w:r w:rsidRPr="005C3409" w:rsidR="00CF308F">
        <w:t>s</w:t>
      </w:r>
      <w:r w:rsidRPr="005C3409" w:rsidR="00A34672">
        <w:t xml:space="preserve"> in the window</w:t>
      </w:r>
      <w:r w:rsidRPr="005C3409" w:rsidR="00983173">
        <w:t xml:space="preserve"> and thus realized that defendant had not committed the </w:t>
      </w:r>
      <w:r w:rsidRPr="005C3409" w:rsidR="001F098C">
        <w:t>V</w:t>
      </w:r>
      <w:r w:rsidRPr="005C3409" w:rsidR="00983173">
        <w:t xml:space="preserve">ehicle </w:t>
      </w:r>
      <w:r w:rsidRPr="005C3409" w:rsidR="0065562A">
        <w:t>C</w:t>
      </w:r>
      <w:r w:rsidRPr="005C3409" w:rsidR="00983173">
        <w:t>ode violation that was the purpose of the stop</w:t>
      </w:r>
      <w:r w:rsidRPr="005C3409" w:rsidR="00CF308F">
        <w:t>)</w:t>
      </w:r>
      <w:r w:rsidRPr="005C3409" w:rsidR="00A34672">
        <w:t xml:space="preserve">, </w:t>
      </w:r>
      <w:r w:rsidRPr="005C3409" w:rsidR="00CF308F">
        <w:t xml:space="preserve">and (2) </w:t>
      </w:r>
      <w:r w:rsidRPr="005C3409" w:rsidR="00A34672">
        <w:t>the officer</w:t>
      </w:r>
      <w:r w:rsidRPr="005C3409" w:rsidR="00CF308F">
        <w:t xml:space="preserve"> </w:t>
      </w:r>
      <w:r w:rsidRPr="005C3409" w:rsidR="004E0F9B">
        <w:t xml:space="preserve">then </w:t>
      </w:r>
      <w:r w:rsidRPr="005C3409" w:rsidR="00CF308F">
        <w:t>made</w:t>
      </w:r>
      <w:r w:rsidRPr="005C3409" w:rsidR="00A34672">
        <w:t xml:space="preserve"> inquiries</w:t>
      </w:r>
      <w:r w:rsidRPr="005C3409" w:rsidR="00CF308F">
        <w:t xml:space="preserve"> aimed at finding evidence of ordinary criminal wrongdoing.</w:t>
      </w:r>
    </w:p>
    <w:p w:rsidR="0097212D" w:rsidRPr="005C3409" w:rsidP="00CA63DF" w14:paraId="7DC277CB" w14:textId="5288BF5B">
      <w:pPr>
        <w:ind w:firstLine="720"/>
      </w:pPr>
      <w:r w:rsidRPr="005C3409">
        <w:t xml:space="preserve">When reviewing a trial court’s decision on a motion to suppress, the reviewing court must “defer to its factual findings if supported by substantial evidence” but </w:t>
      </w:r>
      <w:r w:rsidRPr="005C3409" w:rsidR="00894D4D">
        <w:t xml:space="preserve">must </w:t>
      </w:r>
      <w:r w:rsidRPr="005C3409">
        <w:t xml:space="preserve">“independently assess the legal question of whether the challenged search or seizure satisfies the Fourth Amendment.” </w:t>
      </w:r>
      <w:r w:rsidRPr="005C3409" w:rsidR="00F40CA3">
        <w:t xml:space="preserve"> </w:t>
      </w:r>
      <w:r w:rsidRPr="005C3409">
        <w:t>(</w:t>
      </w:r>
      <w:bookmarkStart w:id="4" w:name="dabmci_0f43533f54cc42f39a6a098824b7d608"/>
      <w:r w:rsidRPr="005C3409">
        <w:rPr>
          <w:i/>
          <w:iCs/>
        </w:rPr>
        <w:t>People v. Brown</w:t>
      </w:r>
      <w:r w:rsidRPr="005C3409">
        <w:t xml:space="preserve"> (2015) 61 Cal.4th 968, 975</w:t>
      </w:r>
      <w:bookmarkEnd w:id="4"/>
      <w:r w:rsidRPr="005C3409">
        <w:t>.)</w:t>
      </w:r>
    </w:p>
    <w:p w:rsidR="00CF308F" w:rsidRPr="005C3409" w:rsidP="00CF308F" w14:paraId="60762847" w14:textId="77777777">
      <w:pPr>
        <w:ind w:firstLine="720"/>
      </w:pPr>
      <w:r w:rsidRPr="005C3409">
        <w:t>“A lawful roadside stop begins when a vehicle is pulled over for investigation of a traffic violation.  The temporary seizure of driver and passengers ordinarily continues, and remains reasonable, for the duration of the stop.”  (</w:t>
      </w:r>
      <w:bookmarkStart w:id="5" w:name="dabmci_18a47563e7eb4ad4a9d559ae81459fef"/>
      <w:r w:rsidRPr="005C3409">
        <w:rPr>
          <w:i/>
          <w:iCs/>
        </w:rPr>
        <w:t>Arizona v. Johnson</w:t>
      </w:r>
      <w:r w:rsidRPr="005C3409">
        <w:t xml:space="preserve"> (2009) 555 U.S. 323, 333</w:t>
      </w:r>
      <w:bookmarkEnd w:id="5"/>
      <w:r w:rsidRPr="005C3409">
        <w:t>.)  When determining the lawful duration of a traffic stop, courts should “examine whether the police diligently pursued a means of investigation that was likely to confirm or dispel their suspicions quickly, during which time it was necessary to detain the defendant.”  (</w:t>
      </w:r>
      <w:bookmarkStart w:id="6" w:name="dabmci_9bff015244274cbc84b65e7bfe07b2dc"/>
      <w:r w:rsidRPr="005C3409">
        <w:rPr>
          <w:i/>
          <w:iCs/>
        </w:rPr>
        <w:t>United States v. Sharpe</w:t>
      </w:r>
      <w:r w:rsidRPr="005C3409">
        <w:t xml:space="preserve"> (1985) 470 U.S. 675, 686</w:t>
      </w:r>
      <w:bookmarkEnd w:id="6"/>
      <w:r w:rsidRPr="005C3409">
        <w:t xml:space="preserve">.)  </w:t>
      </w:r>
    </w:p>
    <w:p w:rsidR="00A351B0" w:rsidRPr="005C3409" w:rsidP="00A351B0" w14:paraId="2909ED4C" w14:textId="2E3B6971">
      <w:pPr>
        <w:ind w:firstLine="720"/>
      </w:pPr>
      <w:r w:rsidRPr="005C3409">
        <w:t>“A seizure for a traffic violation justifies a police investigation of that violation</w:t>
      </w:r>
      <w:r w:rsidRPr="005C3409" w:rsidR="002A55C1">
        <w:t>.</w:t>
      </w:r>
      <w:r w:rsidRPr="005C3409">
        <w:t>”  (</w:t>
      </w:r>
      <w:bookmarkStart w:id="7" w:name="dabmci_dbcc22b797f44509b2fbcb4d2aaba8a9"/>
      <w:r w:rsidRPr="005C3409">
        <w:rPr>
          <w:i/>
          <w:iCs/>
        </w:rPr>
        <w:t>Rodriguez v. United States</w:t>
      </w:r>
      <w:r w:rsidRPr="005C3409">
        <w:t xml:space="preserve"> (2015) 575 U.S. 348, 354</w:t>
      </w:r>
      <w:bookmarkEnd w:id="7"/>
      <w:r w:rsidRPr="005C3409">
        <w:t>.)  The “tolerable duration [of the traffic stop] is determined by the seizure’s ‘mission’</w:t>
      </w:r>
      <w:r w:rsidRPr="005C3409" w:rsidR="002A55C1">
        <w:t>—</w:t>
      </w:r>
      <w:r w:rsidRPr="005C3409">
        <w:t xml:space="preserve">to address the </w:t>
      </w:r>
      <w:r w:rsidRPr="005C3409" w:rsidR="00E47385">
        <w:t xml:space="preserve">traffic </w:t>
      </w:r>
      <w:r w:rsidRPr="005C3409">
        <w:t>violation that warranted the stop</w:t>
      </w:r>
      <w:r w:rsidRPr="005C3409" w:rsidR="004518F4">
        <w:t>.”</w:t>
      </w:r>
      <w:r w:rsidRPr="005C3409">
        <w:t xml:space="preserve">  (</w:t>
      </w:r>
      <w:bookmarkStart w:id="8" w:name="dabmci_eb71f32b57024d2c9f6e3744a0e2d8ed"/>
      <w:r w:rsidRPr="005C3409">
        <w:rPr>
          <w:i/>
          <w:iCs/>
        </w:rPr>
        <w:t>Ibid</w:t>
      </w:r>
      <w:r w:rsidRPr="005C3409">
        <w:t>.</w:t>
      </w:r>
      <w:bookmarkEnd w:id="8"/>
      <w:r w:rsidRPr="005C3409">
        <w:t>)  “Beyond determining whether to issue a traffic ticket, an officer’s mission includes ‘ordinary inquiries incident to [the traffic] stop</w:t>
      </w:r>
      <w:r w:rsidR="00E1633B">
        <w:t>.</w:t>
      </w:r>
      <w:r w:rsidRPr="005C3409">
        <w:t xml:space="preserve">’ </w:t>
      </w:r>
      <w:r w:rsidRPr="005C3409" w:rsidR="00B25243">
        <w:t xml:space="preserve"> </w:t>
      </w:r>
      <w:r w:rsidRPr="005C3409">
        <w:t>[Citation.]</w:t>
      </w:r>
      <w:r w:rsidRPr="005C3409" w:rsidR="00B25243">
        <w:t xml:space="preserve"> </w:t>
      </w:r>
      <w:r w:rsidRPr="005C3409">
        <w:t xml:space="preserve"> </w:t>
      </w:r>
      <w:r w:rsidRPr="005C3409" w:rsidR="006D5360">
        <w:t>Typically,</w:t>
      </w:r>
      <w:r w:rsidRPr="005C3409">
        <w:t xml:space="preserve"> such inquiries involve checking the driver’s license, determining whether there are outstanding warrants against the driver, and inspecting the automobile’s registration and proof of insurance.”  (</w:t>
      </w:r>
      <w:bookmarkStart w:id="9" w:name="dabmci_c9342ff42f3d4864953175fd0d770402"/>
      <w:r w:rsidRPr="005C3409">
        <w:rPr>
          <w:i/>
          <w:iCs/>
        </w:rPr>
        <w:t>Id</w:t>
      </w:r>
      <w:r w:rsidRPr="005C3409">
        <w:t>. at p. 355</w:t>
      </w:r>
      <w:bookmarkEnd w:id="9"/>
      <w:r w:rsidRPr="005C3409">
        <w:t>.)  Such checks are included in the scope of an officer’s mission in conducting a traffic stop because they “serve the same objective as enforcement of the traffic code: ensuring that vehicles on the road are operated safely and responsibly.”  (</w:t>
      </w:r>
      <w:bookmarkStart w:id="10" w:name="dabmci_77aad77725f042f385b291ab74c0f837"/>
      <w:r w:rsidRPr="005C3409" w:rsidR="00B25243">
        <w:rPr>
          <w:i/>
          <w:iCs/>
        </w:rPr>
        <w:t>Ibid</w:t>
      </w:r>
      <w:r w:rsidRPr="005C3409">
        <w:t>.</w:t>
      </w:r>
      <w:bookmarkEnd w:id="10"/>
      <w:r w:rsidRPr="005C3409">
        <w:t xml:space="preserve">) </w:t>
      </w:r>
      <w:r w:rsidRPr="005C3409" w:rsidR="00336E19">
        <w:t xml:space="preserve"> </w:t>
      </w:r>
      <w:r w:rsidRPr="005C3409" w:rsidR="004E0F9B">
        <w:t>Further, t</w:t>
      </w:r>
      <w:r w:rsidRPr="005C3409" w:rsidR="000A24E6">
        <w:t xml:space="preserve">o detect “ ‘evidence of ordinary criminal wrongdoing’ ” an officer also “may conduct certain unrelated checks during an otherwise lawful traffic stop.”  </w:t>
      </w:r>
      <w:r w:rsidRPr="005C3409" w:rsidR="00F12C8C">
        <w:t>(</w:t>
      </w:r>
      <w:bookmarkStart w:id="11" w:name="dabmci_19c1c06628ea4b638176f3ec154a3ba6"/>
      <w:r w:rsidRPr="005C3409" w:rsidR="00E47385">
        <w:rPr>
          <w:i/>
          <w:iCs/>
        </w:rPr>
        <w:t>Ibid</w:t>
      </w:r>
      <w:r w:rsidRPr="005C3409" w:rsidR="004E0F9B">
        <w:t>.</w:t>
      </w:r>
      <w:bookmarkEnd w:id="11"/>
      <w:r w:rsidRPr="005C3409" w:rsidR="00F12C8C">
        <w:t>)  But “not . . . in a way that prolongs the stop, absent the reasonable suspicion ordinarily demanded to justify detaining an individual.”  (</w:t>
      </w:r>
      <w:bookmarkStart w:id="12" w:name="dabmci_6070cfc827f3443d8b6540c4cfc709cb"/>
      <w:r w:rsidRPr="005C3409" w:rsidR="00F12C8C">
        <w:rPr>
          <w:i/>
          <w:iCs/>
        </w:rPr>
        <w:t>Ibid</w:t>
      </w:r>
      <w:r w:rsidRPr="005C3409">
        <w:t>.</w:t>
      </w:r>
      <w:bookmarkEnd w:id="12"/>
      <w:r w:rsidRPr="005C3409">
        <w:t>)</w:t>
      </w:r>
    </w:p>
    <w:p w:rsidR="00B314A1" w:rsidRPr="005C3409" w:rsidP="00B314A1" w14:paraId="0320FABC" w14:textId="47BF7CCC">
      <w:pPr>
        <w:ind w:firstLine="720"/>
      </w:pPr>
      <w:r w:rsidRPr="005C3409">
        <w:t xml:space="preserve">Officer Anstess saw the temporary registration documents when he walked up to the car to speak with defendant and would not have initiated the stop at all if he had seen the temporary registration.  At that point, </w:t>
      </w:r>
      <w:r w:rsidRPr="005C3409" w:rsidR="00B6736D">
        <w:t xml:space="preserve">as he acknowledged at the suppression hearing, </w:t>
      </w:r>
      <w:r w:rsidRPr="005C3409">
        <w:t xml:space="preserve">his initial reasonable suspicion of a Vehicle Code violation was completely dispelled and he had no basis for writing a citation.  Contrary to defendant’s claim, once Officer Anstess saw the temporary registration documents in the window, he was not required to simply walk away.  Rather, he was permitted to </w:t>
      </w:r>
      <w:r w:rsidRPr="005C3409" w:rsidR="00336E19">
        <w:t xml:space="preserve">approach the car and </w:t>
      </w:r>
      <w:r w:rsidRPr="005C3409" w:rsidR="00685797">
        <w:t xml:space="preserve">explain to defendant </w:t>
      </w:r>
      <w:r w:rsidRPr="005C3409">
        <w:t xml:space="preserve">why he stopped </w:t>
      </w:r>
      <w:r w:rsidRPr="005C3409" w:rsidR="00685797">
        <w:t>him.</w:t>
      </w:r>
      <w:r w:rsidRPr="005C3409" w:rsidR="00A351B0">
        <w:t xml:space="preserve">  (</w:t>
      </w:r>
      <w:bookmarkStart w:id="13" w:name="dabmci_32435c4f4c064e4eb048816c3fd67a9c"/>
      <w:r w:rsidRPr="005C3409" w:rsidR="00A351B0">
        <w:rPr>
          <w:i/>
          <w:iCs/>
        </w:rPr>
        <w:t xml:space="preserve">United States v. McSwain </w:t>
      </w:r>
      <w:r w:rsidRPr="005C3409" w:rsidR="00A351B0">
        <w:t>(10th Cir. 1994) 29 F.3d 558, 561-562</w:t>
      </w:r>
      <w:bookmarkEnd w:id="13"/>
      <w:r w:rsidRPr="005C3409" w:rsidR="00A351B0">
        <w:t>.)</w:t>
      </w:r>
      <w:r w:rsidRPr="005C3409">
        <w:t xml:space="preserve">  </w:t>
      </w:r>
    </w:p>
    <w:p w:rsidR="00A351B0" w:rsidRPr="005C3409" w:rsidP="00377181" w14:paraId="24F3F563" w14:textId="09EC8881">
      <w:pPr>
        <w:ind w:firstLine="720"/>
      </w:pPr>
      <w:r w:rsidRPr="005C3409">
        <w:t xml:space="preserve">What he was </w:t>
      </w:r>
      <w:r w:rsidRPr="005C3409">
        <w:rPr>
          <w:i/>
          <w:iCs/>
        </w:rPr>
        <w:t>not</w:t>
      </w:r>
      <w:r w:rsidRPr="005C3409">
        <w:t xml:space="preserve"> permitted to do, however, was </w:t>
      </w:r>
      <w:r w:rsidRPr="005C3409" w:rsidR="00DF4931">
        <w:t xml:space="preserve">prolong the stop by conducting inquiries </w:t>
      </w:r>
      <w:r w:rsidRPr="005C3409">
        <w:t>aimed at finding evidence of criminal wrongdoing</w:t>
      </w:r>
      <w:r w:rsidRPr="005C3409" w:rsidR="00377181">
        <w:t xml:space="preserve"> separate and apart from the perceived violation</w:t>
      </w:r>
      <w:r w:rsidRPr="005C3409" w:rsidR="00DF4931">
        <w:t xml:space="preserve">.  </w:t>
      </w:r>
      <w:r w:rsidRPr="005C3409" w:rsidR="005B3467">
        <w:t>(</w:t>
      </w:r>
      <w:bookmarkStart w:id="14" w:name="dabmci_50e5b5a39c7c47b09350e0601df0435c"/>
      <w:r w:rsidRPr="005C3409" w:rsidR="005B3467">
        <w:rPr>
          <w:i/>
          <w:iCs/>
        </w:rPr>
        <w:t>Rodriguez</w:t>
      </w:r>
      <w:r w:rsidRPr="005C3409" w:rsidR="00E47385">
        <w:rPr>
          <w:i/>
          <w:iCs/>
        </w:rPr>
        <w:t xml:space="preserve"> v. United States</w:t>
      </w:r>
      <w:r w:rsidRPr="005C3409" w:rsidR="005B3467">
        <w:t xml:space="preserve">, </w:t>
      </w:r>
      <w:r w:rsidRPr="005C3409" w:rsidR="005B3467">
        <w:rPr>
          <w:i/>
          <w:iCs/>
        </w:rPr>
        <w:t>supra</w:t>
      </w:r>
      <w:r w:rsidRPr="005C3409" w:rsidR="005B3467">
        <w:t xml:space="preserve">, 575 U.S. at </w:t>
      </w:r>
      <w:r w:rsidRPr="005C3409" w:rsidR="00E47385">
        <w:t xml:space="preserve">p. </w:t>
      </w:r>
      <w:r w:rsidRPr="005C3409" w:rsidR="00DF4931">
        <w:t>355</w:t>
      </w:r>
      <w:bookmarkEnd w:id="14"/>
      <w:r w:rsidRPr="005C3409" w:rsidR="00B87AE0">
        <w:t xml:space="preserve">; </w:t>
      </w:r>
      <w:bookmarkStart w:id="15" w:name="dabmci_d48527bcb73c434aa14fb74b2420bb2b"/>
      <w:r w:rsidRPr="005C3409" w:rsidR="00B87AE0">
        <w:rPr>
          <w:i/>
          <w:iCs/>
        </w:rPr>
        <w:t>id</w:t>
      </w:r>
      <w:r w:rsidRPr="005C3409" w:rsidR="00B87AE0">
        <w:t>. at p. 357</w:t>
      </w:r>
      <w:bookmarkEnd w:id="15"/>
      <w:r w:rsidRPr="005C3409" w:rsidR="00B87AE0">
        <w:t xml:space="preserve"> [“The critical question . . . is not whether” the </w:t>
      </w:r>
      <w:r w:rsidRPr="005C3409" w:rsidR="00BE58A3">
        <w:t xml:space="preserve">separate </w:t>
      </w:r>
      <w:r w:rsidRPr="005C3409" w:rsidR="00B87AE0">
        <w:t>inquiry “occurs before or after the officer issues a ticket . . . but whether conducting [it] ‘prolongs’—</w:t>
      </w:r>
      <w:r w:rsidRPr="005C3409" w:rsidR="00B87AE0">
        <w:rPr>
          <w:i/>
          <w:iCs/>
        </w:rPr>
        <w:t>i.e.</w:t>
      </w:r>
      <w:r w:rsidRPr="005C3409" w:rsidR="00B87AE0">
        <w:t>, adds time to—‘the stop’ ”].)</w:t>
      </w:r>
      <w:r w:rsidRPr="005C3409" w:rsidR="00377181">
        <w:t xml:space="preserve">  Because </w:t>
      </w:r>
      <w:r w:rsidRPr="005C3409" w:rsidR="00596EF0">
        <w:t>Officer Anstess</w:t>
      </w:r>
      <w:r w:rsidRPr="005C3409" w:rsidR="00377181">
        <w:t xml:space="preserve"> did </w:t>
      </w:r>
      <w:r w:rsidRPr="005C3409" w:rsidR="001E4BB8">
        <w:t>prolong the stop after he had discovered that he had no basis for writing a citation based on any observation he had made up until that time</w:t>
      </w:r>
      <w:r w:rsidRPr="005C3409" w:rsidR="00377181">
        <w:t xml:space="preserve">, </w:t>
      </w:r>
      <w:r w:rsidRPr="005C3409" w:rsidR="00596EF0">
        <w:t xml:space="preserve">Officer Anstess’s </w:t>
      </w:r>
      <w:r w:rsidRPr="005C3409" w:rsidR="00B314A1">
        <w:t xml:space="preserve">seizure </w:t>
      </w:r>
      <w:r w:rsidRPr="005C3409" w:rsidR="00596EF0">
        <w:t xml:space="preserve">of defendant </w:t>
      </w:r>
      <w:r w:rsidRPr="005C3409" w:rsidR="00B6736D">
        <w:t>became</w:t>
      </w:r>
      <w:r w:rsidRPr="005C3409" w:rsidR="00B314A1">
        <w:t xml:space="preserve"> unlawful</w:t>
      </w:r>
      <w:r w:rsidRPr="005C3409" w:rsidR="00B6736D">
        <w:t xml:space="preserve"> at that moment, a</w:t>
      </w:r>
      <w:r w:rsidRPr="005C3409" w:rsidR="00B314A1">
        <w:t xml:space="preserve">nd </w:t>
      </w:r>
      <w:r w:rsidRPr="005C3409" w:rsidR="00B6736D">
        <w:t>a</w:t>
      </w:r>
      <w:r w:rsidRPr="005C3409" w:rsidR="00B314A1">
        <w:t xml:space="preserve"> </w:t>
      </w:r>
      <w:r w:rsidRPr="005C3409" w:rsidR="00B314A1">
        <w:rPr>
          <w:i/>
          <w:iCs/>
        </w:rPr>
        <w:t>subsequent</w:t>
      </w:r>
      <w:r w:rsidRPr="005C3409" w:rsidR="00B314A1">
        <w:t xml:space="preserve"> check for outstanding warrants did not cure the constitutional infirmity.  (See </w:t>
      </w:r>
      <w:bookmarkStart w:id="16" w:name="dabmci_5c160359cd044dc7afed4215ac35669a"/>
      <w:r w:rsidRPr="005C3409" w:rsidR="00B314A1">
        <w:rPr>
          <w:i/>
          <w:iCs/>
        </w:rPr>
        <w:t>State v. Karst</w:t>
      </w:r>
      <w:r w:rsidRPr="005C3409" w:rsidR="00B314A1">
        <w:t xml:space="preserve"> (2022) 170 Idaho 219, 226-227</w:t>
      </w:r>
      <w:bookmarkEnd w:id="16"/>
      <w:r w:rsidRPr="005C3409" w:rsidR="00B314A1">
        <w:t xml:space="preserve"> [under </w:t>
      </w:r>
      <w:r w:rsidRPr="005C3409" w:rsidR="00B314A1">
        <w:rPr>
          <w:i/>
          <w:iCs/>
        </w:rPr>
        <w:t>Rodriguez</w:t>
      </w:r>
      <w:r w:rsidRPr="005C3409" w:rsidR="00B314A1">
        <w:t xml:space="preserve">, a stop remains a reasonable seizure while the officer diligently pursues the purpose of the stop to which that reasonable suspicion is related; but once the officer deviates from the original purpose of the stop, the Fourth Amendment is violated unless there is new reasonable suspicion or probable cause to justify the new purpose of the seizure].)  </w:t>
      </w:r>
    </w:p>
    <w:p w:rsidR="00B6736D" w:rsidRPr="005C3409" w:rsidP="00B6736D" w14:paraId="33424381" w14:textId="62D70E54">
      <w:pPr>
        <w:ind w:firstLine="720"/>
      </w:pPr>
      <w:r w:rsidRPr="005C3409">
        <w:t>In denying the suppression motion, t</w:t>
      </w:r>
      <w:r w:rsidRPr="005C3409" w:rsidR="00CA6796">
        <w:t xml:space="preserve">he trial court erred in </w:t>
      </w:r>
      <w:r w:rsidRPr="005C3409" w:rsidR="00C17363">
        <w:t>failing to appreciate the constitutional significance of Officer Anstess’s inquiries</w:t>
      </w:r>
      <w:r w:rsidRPr="005C3409" w:rsidR="00336E19">
        <w:t xml:space="preserve"> </w:t>
      </w:r>
      <w:r w:rsidRPr="005C3409" w:rsidR="000B3F3F">
        <w:t xml:space="preserve">unrelated to the purpose of the stop, particularly given the officer’s candid acknowledgment that </w:t>
      </w:r>
      <w:r w:rsidRPr="005C3409" w:rsidR="001E4BB8">
        <w:t xml:space="preserve">he became aware upon approaching the vehicle that </w:t>
      </w:r>
      <w:r w:rsidRPr="005C3409" w:rsidR="000B3F3F">
        <w:t xml:space="preserve">there </w:t>
      </w:r>
      <w:r w:rsidRPr="005C3409" w:rsidR="00336E19">
        <w:t>was no violation</w:t>
      </w:r>
      <w:r w:rsidRPr="005C3409" w:rsidR="00C17363">
        <w:t>.  (</w:t>
      </w:r>
      <w:bookmarkStart w:id="17" w:name="dabmci_f6595c3d85d54c9b85c7332cc4834ad1"/>
      <w:r w:rsidRPr="005C3409">
        <w:rPr>
          <w:i/>
          <w:iCs/>
        </w:rPr>
        <w:t>State v. Karst</w:t>
      </w:r>
      <w:r w:rsidRPr="005C3409">
        <w:t xml:space="preserve">, </w:t>
      </w:r>
      <w:r w:rsidRPr="005C3409">
        <w:rPr>
          <w:i/>
          <w:iCs/>
        </w:rPr>
        <w:t>supra</w:t>
      </w:r>
      <w:r w:rsidRPr="005C3409">
        <w:t>, 170 Idaho at p. 227</w:t>
      </w:r>
      <w:bookmarkEnd w:id="17"/>
      <w:r w:rsidRPr="005C3409">
        <w:t xml:space="preserve"> [“instead of continuing activities related to the traffic stop’s mission, [the officer] spent approximately nineteen seconds on his radio with dispatch to request a drug-dog unit”</w:t>
      </w:r>
      <w:r w:rsidRPr="005C3409" w:rsidR="005119CD">
        <w:t>—</w:t>
      </w:r>
      <w:r w:rsidRPr="005C3409">
        <w:t>a “detour” that impermissibly “added time to, or prolonged, completing the original purpose for the stop”].)</w:t>
      </w:r>
      <w:r w:rsidRPr="005C3409" w:rsidR="006023D1">
        <w:t xml:space="preserve"> </w:t>
      </w:r>
      <w:r w:rsidRPr="005C3409" w:rsidR="00B25243">
        <w:t xml:space="preserve"> </w:t>
      </w:r>
      <w:r w:rsidRPr="005C3409" w:rsidR="006023D1">
        <w:t>And because t</w:t>
      </w:r>
      <w:r w:rsidRPr="005C3409">
        <w:t>he probationary search providing lawful cause to search the vehicle and the subsequent discovery of the firearm and methamphetamine were the direct product of the unlawfully prolonged detention</w:t>
      </w:r>
      <w:r w:rsidRPr="005C3409" w:rsidR="006023D1">
        <w:t>, w</w:t>
      </w:r>
      <w:r w:rsidRPr="005C3409">
        <w:t>e thus reverse the trial court’s denial of defendant’s motion to suppress.</w:t>
      </w:r>
      <w:r w:rsidRPr="005C3409" w:rsidR="00377181">
        <w:t xml:space="preserve">  </w:t>
      </w:r>
      <w:r w:rsidRPr="005C3409" w:rsidR="006023D1">
        <w:t>B</w:t>
      </w:r>
      <w:r w:rsidRPr="005C3409">
        <w:t xml:space="preserve">ecause it is impossible to assess the impact of an erroneous denial of a motion to suppress evidence on a defendant’s decision to plead guilty, the harmless error rule is inapplicable in appeals taken pursuant to </w:t>
      </w:r>
      <w:r w:rsidRPr="005C3409" w:rsidR="005119CD">
        <w:t xml:space="preserve">Penal Code </w:t>
      </w:r>
      <w:r w:rsidRPr="005C3409">
        <w:t>section 1538.5, subdivision (m).  (</w:t>
      </w:r>
      <w:bookmarkStart w:id="18" w:name="dabmci_1478e1e21f714714a240fc688bea6c9a"/>
      <w:r w:rsidRPr="005C3409">
        <w:rPr>
          <w:i/>
          <w:iCs/>
        </w:rPr>
        <w:t xml:space="preserve">People v. Miller </w:t>
      </w:r>
      <w:r w:rsidRPr="005C3409">
        <w:t>(1983) 33 Cal.3d 545, 556</w:t>
      </w:r>
      <w:bookmarkEnd w:id="18"/>
      <w:r w:rsidRPr="005C3409">
        <w:t xml:space="preserve">; </w:t>
      </w:r>
      <w:bookmarkStart w:id="19" w:name="dabmci_4476bbf0c665412a9f50ae04b1d0fa6b"/>
      <w:r w:rsidRPr="005C3409">
        <w:rPr>
          <w:i/>
          <w:iCs/>
        </w:rPr>
        <w:t>People v. Hill</w:t>
      </w:r>
      <w:r w:rsidRPr="005C3409">
        <w:t xml:space="preserve"> (1974) 12 Cal.3d 731, 767-769</w:t>
      </w:r>
      <w:bookmarkEnd w:id="19"/>
      <w:r w:rsidRPr="005C3409">
        <w:t xml:space="preserve">, overruled on other grounds in </w:t>
      </w:r>
      <w:bookmarkStart w:id="20" w:name="dabmci_254fdcf0d9164b94a37d82ed2ef864c9"/>
      <w:r w:rsidRPr="005C3409">
        <w:rPr>
          <w:i/>
          <w:iCs/>
        </w:rPr>
        <w:t>People v. DeVaughn</w:t>
      </w:r>
      <w:r w:rsidRPr="005C3409">
        <w:t xml:space="preserve"> (1977) 18 Cal.3d 889, 896, fn. 5</w:t>
      </w:r>
      <w:bookmarkEnd w:id="20"/>
      <w:r w:rsidRPr="005C3409">
        <w:t>.)  Accordingly, the judgment must be reversed.</w:t>
      </w:r>
    </w:p>
    <w:p w:rsidR="00CA7410" w:rsidRPr="005C3409" w:rsidP="001701DA" w14:paraId="01A82E18" w14:textId="55FB325F">
      <w:pPr>
        <w:keepNext/>
        <w:jc w:val="center"/>
      </w:pPr>
      <w:r w:rsidRPr="005C3409">
        <w:t>DISPOSITION</w:t>
      </w:r>
    </w:p>
    <w:p w:rsidR="00211A8F" w:rsidP="00CA63DF" w14:paraId="3D8E2413" w14:textId="22DEA6CE">
      <w:pPr>
        <w:ind w:firstLine="720"/>
      </w:pPr>
      <w:r w:rsidRPr="005C3409">
        <w:t>The judgment is reversed, the conviction is vacated, and the matter is remanded. On remand, the trial court shall vacate its order denying defendant’s motion to suppress the evidence and shall enter a new order granting that motion.</w:t>
      </w:r>
      <w:r>
        <w:t xml:space="preserve"> </w:t>
      </w:r>
    </w:p>
    <w:p w:rsidR="005C3409" w:rsidP="005C3409" w14:paraId="60B80454" w14:textId="0E8AFDC2">
      <w:pPr>
        <w:spacing w:line="240" w:lineRule="auto"/>
      </w:pPr>
    </w:p>
    <w:p w:rsidR="005C3409" w:rsidP="005C3409" w14:paraId="0535BCE5" w14:textId="799C4041">
      <w:pPr>
        <w:spacing w:line="240" w:lineRule="auto"/>
      </w:pPr>
    </w:p>
    <w:p w:rsidR="005C3409" w:rsidP="005C3409" w14:paraId="7A59FE1D" w14:textId="69768C27">
      <w:pPr>
        <w:spacing w:line="240" w:lineRule="auto"/>
      </w:pPr>
    </w:p>
    <w:p w:rsidR="005C3409" w:rsidP="005C3409" w14:paraId="0D389F88" w14:textId="4AD4C6C5">
      <w:pPr>
        <w:tabs>
          <w:tab w:val="left" w:pos="5040"/>
          <w:tab w:val="left" w:pos="7920"/>
        </w:tabs>
        <w:spacing w:line="240" w:lineRule="auto"/>
        <w:rPr>
          <w:u w:val="single"/>
        </w:rPr>
      </w:pPr>
      <w:r>
        <w:tab/>
      </w:r>
      <w:r w:rsidRPr="005C3409">
        <w:rPr>
          <w:u w:val="single"/>
        </w:rPr>
        <w:t xml:space="preserve">          </w:t>
      </w:r>
      <w:r w:rsidR="004975C2">
        <w:rPr>
          <w:u w:val="single"/>
        </w:rPr>
        <w:t>/s/</w:t>
      </w:r>
      <w:r w:rsidRPr="005C3409">
        <w:rPr>
          <w:u w:val="single"/>
        </w:rPr>
        <w:tab/>
      </w:r>
    </w:p>
    <w:p w:rsidR="005C3409" w:rsidP="005C3409" w14:paraId="03EBAA7C" w14:textId="060A1B3E">
      <w:pPr>
        <w:tabs>
          <w:tab w:val="left" w:pos="5040"/>
          <w:tab w:val="left" w:pos="7920"/>
        </w:tabs>
        <w:spacing w:line="240" w:lineRule="auto"/>
      </w:pPr>
      <w:r>
        <w:tab/>
        <w:t>BOULWARE EURIE, J.</w:t>
      </w:r>
    </w:p>
    <w:p w:rsidR="005C3409" w:rsidP="005C3409" w14:paraId="61C5D3A0" w14:textId="7D548D8B">
      <w:pPr>
        <w:tabs>
          <w:tab w:val="left" w:pos="5040"/>
          <w:tab w:val="left" w:pos="7920"/>
        </w:tabs>
        <w:spacing w:line="240" w:lineRule="auto"/>
      </w:pPr>
    </w:p>
    <w:p w:rsidR="005C3409" w:rsidP="005C3409" w14:paraId="2FC70755" w14:textId="017108D9">
      <w:pPr>
        <w:tabs>
          <w:tab w:val="left" w:pos="5040"/>
          <w:tab w:val="left" w:pos="7920"/>
        </w:tabs>
        <w:spacing w:line="240" w:lineRule="auto"/>
      </w:pPr>
    </w:p>
    <w:p w:rsidR="005C3409" w:rsidP="005C3409" w14:paraId="686D0C73" w14:textId="3A838AA5">
      <w:pPr>
        <w:tabs>
          <w:tab w:val="left" w:pos="5040"/>
          <w:tab w:val="left" w:pos="7920"/>
        </w:tabs>
        <w:spacing w:line="240" w:lineRule="auto"/>
      </w:pPr>
    </w:p>
    <w:p w:rsidR="005C3409" w:rsidP="005C3409" w14:paraId="636AAC56" w14:textId="6E61D0AE">
      <w:pPr>
        <w:spacing w:line="240" w:lineRule="auto"/>
      </w:pPr>
      <w:r>
        <w:t>We concur:</w:t>
      </w:r>
    </w:p>
    <w:p w:rsidR="005C3409" w:rsidP="005C3409" w14:paraId="398F8EF5" w14:textId="536C2EA2">
      <w:pPr>
        <w:spacing w:line="240" w:lineRule="auto"/>
      </w:pPr>
    </w:p>
    <w:p w:rsidR="005C3409" w:rsidP="005C3409" w14:paraId="7845F0B0" w14:textId="2E2F8919">
      <w:pPr>
        <w:spacing w:line="240" w:lineRule="auto"/>
      </w:pPr>
    </w:p>
    <w:p w:rsidR="005C3409" w:rsidP="005C3409" w14:paraId="70AB52FB" w14:textId="779B4B49">
      <w:pPr>
        <w:spacing w:line="240" w:lineRule="auto"/>
      </w:pPr>
    </w:p>
    <w:p w:rsidR="005C3409" w:rsidP="005C3409" w14:paraId="0C3DC5F7" w14:textId="73D02A96">
      <w:pPr>
        <w:tabs>
          <w:tab w:val="left" w:pos="2880"/>
        </w:tabs>
        <w:spacing w:line="240" w:lineRule="auto"/>
        <w:rPr>
          <w:u w:val="single"/>
        </w:rPr>
      </w:pPr>
      <w:r w:rsidRPr="005C3409">
        <w:rPr>
          <w:u w:val="single"/>
        </w:rPr>
        <w:t xml:space="preserve">          </w:t>
      </w:r>
      <w:r w:rsidR="004975C2">
        <w:rPr>
          <w:u w:val="single"/>
        </w:rPr>
        <w:t>/s/</w:t>
      </w:r>
      <w:r w:rsidRPr="005C3409">
        <w:rPr>
          <w:u w:val="single"/>
        </w:rPr>
        <w:tab/>
      </w:r>
    </w:p>
    <w:p w:rsidR="005C3409" w:rsidP="005C3409" w14:paraId="1BA42323" w14:textId="345777A2">
      <w:pPr>
        <w:tabs>
          <w:tab w:val="left" w:pos="2880"/>
        </w:tabs>
        <w:spacing w:line="240" w:lineRule="auto"/>
      </w:pPr>
      <w:r>
        <w:t>DUARTE, Acting P. J.</w:t>
      </w:r>
    </w:p>
    <w:p w:rsidR="005C3409" w:rsidP="005C3409" w14:paraId="15F1C4F3" w14:textId="771D66BB">
      <w:pPr>
        <w:tabs>
          <w:tab w:val="left" w:pos="2880"/>
        </w:tabs>
        <w:spacing w:line="240" w:lineRule="auto"/>
      </w:pPr>
    </w:p>
    <w:p w:rsidR="005C3409" w:rsidP="005C3409" w14:paraId="3DFB0693" w14:textId="62380BF1">
      <w:pPr>
        <w:tabs>
          <w:tab w:val="left" w:pos="2880"/>
        </w:tabs>
        <w:spacing w:line="240" w:lineRule="auto"/>
      </w:pPr>
    </w:p>
    <w:p w:rsidR="005C3409" w:rsidP="005C3409" w14:paraId="1B2F14E3" w14:textId="7841175C">
      <w:pPr>
        <w:tabs>
          <w:tab w:val="left" w:pos="2880"/>
        </w:tabs>
        <w:spacing w:line="240" w:lineRule="auto"/>
      </w:pPr>
    </w:p>
    <w:p w:rsidR="005C3409" w:rsidP="005C3409" w14:paraId="6C47E55D" w14:textId="790CD4AD">
      <w:pPr>
        <w:tabs>
          <w:tab w:val="left" w:pos="2880"/>
        </w:tabs>
        <w:spacing w:line="240" w:lineRule="auto"/>
        <w:rPr>
          <w:u w:val="single"/>
        </w:rPr>
      </w:pPr>
      <w:r w:rsidRPr="005C3409">
        <w:rPr>
          <w:u w:val="single"/>
        </w:rPr>
        <w:t xml:space="preserve">          </w:t>
      </w:r>
      <w:r w:rsidR="004975C2">
        <w:rPr>
          <w:u w:val="single"/>
        </w:rPr>
        <w:t>/s/</w:t>
      </w:r>
      <w:r w:rsidRPr="005C3409">
        <w:rPr>
          <w:u w:val="single"/>
        </w:rPr>
        <w:tab/>
      </w:r>
    </w:p>
    <w:p w:rsidR="005C3409" w:rsidRPr="005C3409" w:rsidP="005C3409" w14:paraId="49D240C4" w14:textId="3E449B0D">
      <w:pPr>
        <w:tabs>
          <w:tab w:val="left" w:pos="2880"/>
        </w:tabs>
        <w:spacing w:line="240" w:lineRule="auto"/>
      </w:pPr>
      <w:r>
        <w:t>MESIWALA, J.</w:t>
      </w:r>
    </w:p>
    <w:sectPr w:rsidSect="005C3409">
      <w:footerReference w:type="default" r:id="rId6"/>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5C3409" w:rsidP="005C3409" w14:paraId="52C71E7E" w14:textId="7668F3C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54C4" w14:paraId="3426D30E" w14:textId="77777777">
      <w:r>
        <w:separator/>
      </w:r>
    </w:p>
  </w:footnote>
  <w:footnote w:type="continuationSeparator" w:id="1">
    <w:p w:rsidR="001754C4" w14:paraId="2D351428" w14:textId="77777777">
      <w:r>
        <w:continuationSeparator/>
      </w:r>
    </w:p>
  </w:footnote>
  <w:footnote w:id="2">
    <w:p w:rsidR="001701DA" w:rsidRPr="001434B0" w14:paraId="31DBFB4A" w14:textId="4E3250D2">
      <w:pPr>
        <w:pStyle w:val="FootnoteText"/>
      </w:pPr>
      <w:r w:rsidRPr="001434B0">
        <w:rPr>
          <w:rStyle w:val="FootnoteReference"/>
        </w:rPr>
        <w:footnoteRef/>
      </w:r>
      <w:r w:rsidRPr="001434B0">
        <w:t xml:space="preserve">  Because </w:t>
      </w:r>
      <w:r w:rsidRPr="001434B0" w:rsidR="008632EB">
        <w:t xml:space="preserve">defendant </w:t>
      </w:r>
      <w:r w:rsidRPr="001434B0">
        <w:t>was initially charged with felonies, we have jurisdiction over his appeal even though he was ultimately convicted only of a misdemeanor.  (</w:t>
      </w:r>
      <w:bookmarkStart w:id="2" w:name="dabmci_9090d454e7c94fc7abdc2aa77e8a6cca"/>
      <w:r w:rsidRPr="001434B0">
        <w:rPr>
          <w:i/>
          <w:iCs/>
        </w:rPr>
        <w:t>People v. Nickerson</w:t>
      </w:r>
      <w:r w:rsidRPr="001434B0">
        <w:t xml:space="preserve"> (2005) 128 Cal.App.4th 33, 36</w:t>
      </w:r>
      <w:bookmarkEnd w:id="2"/>
      <w:r w:rsidRPr="001434B0">
        <w:t xml:space="preserve">; </w:t>
      </w:r>
      <w:r w:rsidRPr="001434B0" w:rsidR="00F32E3A">
        <w:t xml:space="preserve">Pen. Code, </w:t>
      </w:r>
      <w:r w:rsidRPr="001434B0">
        <w:t>§ 691, subds. (f), (g).)</w:t>
      </w:r>
    </w:p>
  </w:footnote>
  <w:footnote w:id="3">
    <w:p w:rsidR="001701DA" w:rsidRPr="001434B0" w14:paraId="14B33CB0" w14:textId="3ACA36B0">
      <w:pPr>
        <w:pStyle w:val="FootnoteText"/>
      </w:pPr>
      <w:r w:rsidRPr="001434B0">
        <w:rPr>
          <w:rStyle w:val="FootnoteReference"/>
        </w:rPr>
        <w:footnoteRef/>
      </w:r>
      <w:r w:rsidRPr="001434B0">
        <w:t xml:space="preserve">  In a footnote, the </w:t>
      </w:r>
      <w:r w:rsidRPr="001434B0" w:rsidR="00F32E3A">
        <w:t>People</w:t>
      </w:r>
      <w:r w:rsidRPr="001434B0">
        <w:t xml:space="preserve"> claim</w:t>
      </w:r>
      <w:r w:rsidRPr="001434B0" w:rsidR="00F32E3A">
        <w:t xml:space="preserve"> </w:t>
      </w:r>
      <w:r w:rsidRPr="001434B0">
        <w:t>this argument is a departure from defendant’s argument in the trial court and thus this claim is forfeited</w:t>
      </w:r>
      <w:r w:rsidRPr="001434B0" w:rsidR="003F6379">
        <w:t>,</w:t>
      </w:r>
      <w:r w:rsidRPr="001434B0">
        <w:t xml:space="preserve"> but proceeds to address the claim on the merits.  We conclude the issue was adequately preserved in the trial court.</w:t>
      </w:r>
    </w:p>
  </w:footnote>
  <w:footnote w:id="4">
    <w:p w:rsidR="00E665BE" w14:paraId="58AD2A6F" w14:textId="05E75D9E">
      <w:pPr>
        <w:pStyle w:val="FootnoteText"/>
      </w:pPr>
      <w:r w:rsidRPr="001434B0">
        <w:rPr>
          <w:rStyle w:val="FootnoteReference"/>
        </w:rPr>
        <w:footnoteRef/>
      </w:r>
      <w:r w:rsidRPr="001434B0">
        <w:t xml:space="preserve">  Defendant also preemptively argues the odor of marijuana did not justify further detention. </w:t>
      </w:r>
      <w:r w:rsidRPr="001434B0" w:rsidR="00B25243">
        <w:t xml:space="preserve"> </w:t>
      </w:r>
      <w:r w:rsidRPr="001434B0">
        <w:t xml:space="preserve">Since the </w:t>
      </w:r>
      <w:r w:rsidRPr="001434B0" w:rsidR="00F32E3A">
        <w:t>People</w:t>
      </w:r>
      <w:r w:rsidRPr="001434B0">
        <w:t xml:space="preserve"> did not actually make this argument, and we conclude the detention should have ended before the records check,</w:t>
      </w:r>
      <w:r w:rsidRPr="001434B0" w:rsidR="00A34672">
        <w:t xml:space="preserve"> it is unnecessary to address this claim.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E02A35"/>
    <w:multiLevelType w:val="hybridMultilevel"/>
    <w:tmpl w:val="CAB6662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4E3736C"/>
    <w:multiLevelType w:val="hybridMultilevel"/>
    <w:tmpl w:val="A8AE9B5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16"/>
    <w:rsid w:val="00002133"/>
    <w:rsid w:val="0001050B"/>
    <w:rsid w:val="00013421"/>
    <w:rsid w:val="00017BC9"/>
    <w:rsid w:val="00020EE1"/>
    <w:rsid w:val="0002296F"/>
    <w:rsid w:val="00031DFA"/>
    <w:rsid w:val="000336B7"/>
    <w:rsid w:val="00035FB0"/>
    <w:rsid w:val="00037C1A"/>
    <w:rsid w:val="00041354"/>
    <w:rsid w:val="000432FF"/>
    <w:rsid w:val="00043553"/>
    <w:rsid w:val="00053440"/>
    <w:rsid w:val="0005472A"/>
    <w:rsid w:val="00054E32"/>
    <w:rsid w:val="00060287"/>
    <w:rsid w:val="00060978"/>
    <w:rsid w:val="00072B9A"/>
    <w:rsid w:val="00074738"/>
    <w:rsid w:val="00083F04"/>
    <w:rsid w:val="00086E3C"/>
    <w:rsid w:val="00090329"/>
    <w:rsid w:val="00094D67"/>
    <w:rsid w:val="0009647D"/>
    <w:rsid w:val="000A0CB3"/>
    <w:rsid w:val="000A24E6"/>
    <w:rsid w:val="000A2CCC"/>
    <w:rsid w:val="000B32DD"/>
    <w:rsid w:val="000B3A04"/>
    <w:rsid w:val="000B3F3F"/>
    <w:rsid w:val="000D4DAB"/>
    <w:rsid w:val="000E0078"/>
    <w:rsid w:val="000F18D2"/>
    <w:rsid w:val="000F1BB4"/>
    <w:rsid w:val="00100AE6"/>
    <w:rsid w:val="00101043"/>
    <w:rsid w:val="0010386B"/>
    <w:rsid w:val="0010593D"/>
    <w:rsid w:val="0011347A"/>
    <w:rsid w:val="001147BB"/>
    <w:rsid w:val="001178A2"/>
    <w:rsid w:val="001211DA"/>
    <w:rsid w:val="00125154"/>
    <w:rsid w:val="00127F53"/>
    <w:rsid w:val="00131697"/>
    <w:rsid w:val="001434B0"/>
    <w:rsid w:val="00144922"/>
    <w:rsid w:val="00145459"/>
    <w:rsid w:val="001459BA"/>
    <w:rsid w:val="00146AFC"/>
    <w:rsid w:val="001503A9"/>
    <w:rsid w:val="0015372B"/>
    <w:rsid w:val="00157269"/>
    <w:rsid w:val="00161834"/>
    <w:rsid w:val="00162498"/>
    <w:rsid w:val="00162EC2"/>
    <w:rsid w:val="001701DA"/>
    <w:rsid w:val="00171014"/>
    <w:rsid w:val="001754C4"/>
    <w:rsid w:val="00175F1F"/>
    <w:rsid w:val="001760E2"/>
    <w:rsid w:val="00192147"/>
    <w:rsid w:val="001A15A1"/>
    <w:rsid w:val="001A420E"/>
    <w:rsid w:val="001A4858"/>
    <w:rsid w:val="001B2CC1"/>
    <w:rsid w:val="001B3623"/>
    <w:rsid w:val="001B7DAC"/>
    <w:rsid w:val="001C6787"/>
    <w:rsid w:val="001D0E92"/>
    <w:rsid w:val="001D3492"/>
    <w:rsid w:val="001D61B5"/>
    <w:rsid w:val="001D6E81"/>
    <w:rsid w:val="001D6F07"/>
    <w:rsid w:val="001E3216"/>
    <w:rsid w:val="001E4835"/>
    <w:rsid w:val="001E4BB8"/>
    <w:rsid w:val="001E5A67"/>
    <w:rsid w:val="001F098C"/>
    <w:rsid w:val="0020398A"/>
    <w:rsid w:val="00211A8F"/>
    <w:rsid w:val="00215D73"/>
    <w:rsid w:val="002166FE"/>
    <w:rsid w:val="00222857"/>
    <w:rsid w:val="002240C7"/>
    <w:rsid w:val="002245C7"/>
    <w:rsid w:val="002249EC"/>
    <w:rsid w:val="00227DCD"/>
    <w:rsid w:val="00232914"/>
    <w:rsid w:val="0023359B"/>
    <w:rsid w:val="00234B00"/>
    <w:rsid w:val="00236A08"/>
    <w:rsid w:val="00243C36"/>
    <w:rsid w:val="0024601D"/>
    <w:rsid w:val="00250C6C"/>
    <w:rsid w:val="0025362D"/>
    <w:rsid w:val="00253BF6"/>
    <w:rsid w:val="0025456B"/>
    <w:rsid w:val="00277225"/>
    <w:rsid w:val="002826F5"/>
    <w:rsid w:val="0029239B"/>
    <w:rsid w:val="00297136"/>
    <w:rsid w:val="002A53CD"/>
    <w:rsid w:val="002A55C1"/>
    <w:rsid w:val="002C29C6"/>
    <w:rsid w:val="002C73BE"/>
    <w:rsid w:val="002D2D7F"/>
    <w:rsid w:val="002D36D8"/>
    <w:rsid w:val="002D3BFD"/>
    <w:rsid w:val="002E130A"/>
    <w:rsid w:val="002E1F4C"/>
    <w:rsid w:val="002E3374"/>
    <w:rsid w:val="002E4371"/>
    <w:rsid w:val="002E4ACC"/>
    <w:rsid w:val="002E6BE8"/>
    <w:rsid w:val="002E7DA4"/>
    <w:rsid w:val="002F0A18"/>
    <w:rsid w:val="002F462F"/>
    <w:rsid w:val="00304DC8"/>
    <w:rsid w:val="00304F1D"/>
    <w:rsid w:val="00307B70"/>
    <w:rsid w:val="003130ED"/>
    <w:rsid w:val="00315EB6"/>
    <w:rsid w:val="00321B48"/>
    <w:rsid w:val="003332A0"/>
    <w:rsid w:val="00336E19"/>
    <w:rsid w:val="00350395"/>
    <w:rsid w:val="003621A2"/>
    <w:rsid w:val="003631EF"/>
    <w:rsid w:val="00366516"/>
    <w:rsid w:val="003714CF"/>
    <w:rsid w:val="00373C59"/>
    <w:rsid w:val="00377181"/>
    <w:rsid w:val="003818E6"/>
    <w:rsid w:val="00382EE7"/>
    <w:rsid w:val="00385481"/>
    <w:rsid w:val="00386901"/>
    <w:rsid w:val="00386A41"/>
    <w:rsid w:val="0039007C"/>
    <w:rsid w:val="00393D1E"/>
    <w:rsid w:val="003B02BB"/>
    <w:rsid w:val="003B223D"/>
    <w:rsid w:val="003B6A13"/>
    <w:rsid w:val="003B6E19"/>
    <w:rsid w:val="003C2E4D"/>
    <w:rsid w:val="003C519D"/>
    <w:rsid w:val="003C779B"/>
    <w:rsid w:val="003C7A63"/>
    <w:rsid w:val="003D497E"/>
    <w:rsid w:val="003D7684"/>
    <w:rsid w:val="003E0070"/>
    <w:rsid w:val="003E03D7"/>
    <w:rsid w:val="003E123A"/>
    <w:rsid w:val="003E46F8"/>
    <w:rsid w:val="003F3789"/>
    <w:rsid w:val="003F425C"/>
    <w:rsid w:val="003F6379"/>
    <w:rsid w:val="004014F1"/>
    <w:rsid w:val="00402FC8"/>
    <w:rsid w:val="00406C06"/>
    <w:rsid w:val="00410845"/>
    <w:rsid w:val="00412670"/>
    <w:rsid w:val="00413467"/>
    <w:rsid w:val="0041360D"/>
    <w:rsid w:val="00414AB9"/>
    <w:rsid w:val="00424633"/>
    <w:rsid w:val="004378D8"/>
    <w:rsid w:val="00442D54"/>
    <w:rsid w:val="00445303"/>
    <w:rsid w:val="004518F4"/>
    <w:rsid w:val="00452DC1"/>
    <w:rsid w:val="004543A8"/>
    <w:rsid w:val="00456674"/>
    <w:rsid w:val="00475B8C"/>
    <w:rsid w:val="0048049E"/>
    <w:rsid w:val="0048292F"/>
    <w:rsid w:val="00491456"/>
    <w:rsid w:val="004975C2"/>
    <w:rsid w:val="004A18D2"/>
    <w:rsid w:val="004A30F4"/>
    <w:rsid w:val="004A315E"/>
    <w:rsid w:val="004A3491"/>
    <w:rsid w:val="004B1499"/>
    <w:rsid w:val="004B47FA"/>
    <w:rsid w:val="004C20BE"/>
    <w:rsid w:val="004C360A"/>
    <w:rsid w:val="004D116A"/>
    <w:rsid w:val="004D1A4E"/>
    <w:rsid w:val="004D23AE"/>
    <w:rsid w:val="004D53B1"/>
    <w:rsid w:val="004D548B"/>
    <w:rsid w:val="004D57B4"/>
    <w:rsid w:val="004E0F9B"/>
    <w:rsid w:val="004F0A06"/>
    <w:rsid w:val="004F4A16"/>
    <w:rsid w:val="004F6BB9"/>
    <w:rsid w:val="004F7326"/>
    <w:rsid w:val="004F7C5A"/>
    <w:rsid w:val="00504582"/>
    <w:rsid w:val="005119CD"/>
    <w:rsid w:val="00511D66"/>
    <w:rsid w:val="00512B30"/>
    <w:rsid w:val="0051531B"/>
    <w:rsid w:val="0052683A"/>
    <w:rsid w:val="00532626"/>
    <w:rsid w:val="005336A5"/>
    <w:rsid w:val="00534D12"/>
    <w:rsid w:val="0054169F"/>
    <w:rsid w:val="0054466A"/>
    <w:rsid w:val="005501FC"/>
    <w:rsid w:val="005522A5"/>
    <w:rsid w:val="00556476"/>
    <w:rsid w:val="0056278E"/>
    <w:rsid w:val="00565750"/>
    <w:rsid w:val="0057380F"/>
    <w:rsid w:val="00583AE4"/>
    <w:rsid w:val="00584E4C"/>
    <w:rsid w:val="00585F39"/>
    <w:rsid w:val="00595F7A"/>
    <w:rsid w:val="005967CA"/>
    <w:rsid w:val="00596EF0"/>
    <w:rsid w:val="005A0F5A"/>
    <w:rsid w:val="005B3467"/>
    <w:rsid w:val="005B79EA"/>
    <w:rsid w:val="005C3409"/>
    <w:rsid w:val="005C416D"/>
    <w:rsid w:val="005D290E"/>
    <w:rsid w:val="005F6CEA"/>
    <w:rsid w:val="006023D1"/>
    <w:rsid w:val="00605C1D"/>
    <w:rsid w:val="006130F2"/>
    <w:rsid w:val="00616AE8"/>
    <w:rsid w:val="006219EF"/>
    <w:rsid w:val="00627017"/>
    <w:rsid w:val="00627038"/>
    <w:rsid w:val="00650707"/>
    <w:rsid w:val="00653205"/>
    <w:rsid w:val="0065562A"/>
    <w:rsid w:val="006617B7"/>
    <w:rsid w:val="00670C29"/>
    <w:rsid w:val="00685797"/>
    <w:rsid w:val="00685A77"/>
    <w:rsid w:val="006A1D75"/>
    <w:rsid w:val="006B4946"/>
    <w:rsid w:val="006B5461"/>
    <w:rsid w:val="006B7588"/>
    <w:rsid w:val="006D2F6E"/>
    <w:rsid w:val="006D4013"/>
    <w:rsid w:val="006D40C7"/>
    <w:rsid w:val="006D4318"/>
    <w:rsid w:val="006D5360"/>
    <w:rsid w:val="006F14C2"/>
    <w:rsid w:val="006F549F"/>
    <w:rsid w:val="006F5B8A"/>
    <w:rsid w:val="00703BFA"/>
    <w:rsid w:val="00704F52"/>
    <w:rsid w:val="007062D7"/>
    <w:rsid w:val="007140C4"/>
    <w:rsid w:val="007214FD"/>
    <w:rsid w:val="00722422"/>
    <w:rsid w:val="00722AEB"/>
    <w:rsid w:val="00724242"/>
    <w:rsid w:val="0072565B"/>
    <w:rsid w:val="00726610"/>
    <w:rsid w:val="00730158"/>
    <w:rsid w:val="00740B16"/>
    <w:rsid w:val="00740E2D"/>
    <w:rsid w:val="00745EB1"/>
    <w:rsid w:val="00763A05"/>
    <w:rsid w:val="007678C7"/>
    <w:rsid w:val="007702C1"/>
    <w:rsid w:val="00781331"/>
    <w:rsid w:val="0078184A"/>
    <w:rsid w:val="007827F5"/>
    <w:rsid w:val="007B24A9"/>
    <w:rsid w:val="007B2D4E"/>
    <w:rsid w:val="007C672B"/>
    <w:rsid w:val="007D5266"/>
    <w:rsid w:val="007E7EE5"/>
    <w:rsid w:val="007F53D5"/>
    <w:rsid w:val="00804B89"/>
    <w:rsid w:val="00805FBD"/>
    <w:rsid w:val="00811B87"/>
    <w:rsid w:val="00814CD6"/>
    <w:rsid w:val="00823DF5"/>
    <w:rsid w:val="00826372"/>
    <w:rsid w:val="00830ECC"/>
    <w:rsid w:val="00835540"/>
    <w:rsid w:val="00840474"/>
    <w:rsid w:val="00841A33"/>
    <w:rsid w:val="008449BB"/>
    <w:rsid w:val="0085710E"/>
    <w:rsid w:val="00860571"/>
    <w:rsid w:val="00860CFF"/>
    <w:rsid w:val="008632EB"/>
    <w:rsid w:val="00866B7A"/>
    <w:rsid w:val="008742BC"/>
    <w:rsid w:val="00874BEA"/>
    <w:rsid w:val="00880619"/>
    <w:rsid w:val="00881112"/>
    <w:rsid w:val="008838A7"/>
    <w:rsid w:val="00892E8C"/>
    <w:rsid w:val="00894D4D"/>
    <w:rsid w:val="008A1E3B"/>
    <w:rsid w:val="008A69B9"/>
    <w:rsid w:val="008A713D"/>
    <w:rsid w:val="008A754B"/>
    <w:rsid w:val="008B0BD4"/>
    <w:rsid w:val="008B22CC"/>
    <w:rsid w:val="008B4E42"/>
    <w:rsid w:val="008B4F32"/>
    <w:rsid w:val="008B6E6D"/>
    <w:rsid w:val="008D1952"/>
    <w:rsid w:val="008D3156"/>
    <w:rsid w:val="008E3746"/>
    <w:rsid w:val="009024C3"/>
    <w:rsid w:val="009025E5"/>
    <w:rsid w:val="0090276F"/>
    <w:rsid w:val="009046AA"/>
    <w:rsid w:val="009077B9"/>
    <w:rsid w:val="009163E7"/>
    <w:rsid w:val="00920079"/>
    <w:rsid w:val="009208C8"/>
    <w:rsid w:val="00921979"/>
    <w:rsid w:val="009251A9"/>
    <w:rsid w:val="0093082F"/>
    <w:rsid w:val="009314C8"/>
    <w:rsid w:val="00942A08"/>
    <w:rsid w:val="009567DB"/>
    <w:rsid w:val="009666F0"/>
    <w:rsid w:val="00966E66"/>
    <w:rsid w:val="009675A8"/>
    <w:rsid w:val="0097212D"/>
    <w:rsid w:val="009762C9"/>
    <w:rsid w:val="0097725F"/>
    <w:rsid w:val="0098018F"/>
    <w:rsid w:val="00983173"/>
    <w:rsid w:val="009841CE"/>
    <w:rsid w:val="0098658A"/>
    <w:rsid w:val="00990482"/>
    <w:rsid w:val="00990AA3"/>
    <w:rsid w:val="00994100"/>
    <w:rsid w:val="0099467F"/>
    <w:rsid w:val="00994FA6"/>
    <w:rsid w:val="009A3061"/>
    <w:rsid w:val="009A509E"/>
    <w:rsid w:val="009A6C0B"/>
    <w:rsid w:val="009A79B9"/>
    <w:rsid w:val="009B23C4"/>
    <w:rsid w:val="009B46A3"/>
    <w:rsid w:val="009B7DA0"/>
    <w:rsid w:val="009C0739"/>
    <w:rsid w:val="009C48CF"/>
    <w:rsid w:val="009C515A"/>
    <w:rsid w:val="009C7AA3"/>
    <w:rsid w:val="009D159D"/>
    <w:rsid w:val="009E2D1A"/>
    <w:rsid w:val="009E4079"/>
    <w:rsid w:val="009E77E6"/>
    <w:rsid w:val="009F46EE"/>
    <w:rsid w:val="009F4CF8"/>
    <w:rsid w:val="009F53EE"/>
    <w:rsid w:val="00A03D22"/>
    <w:rsid w:val="00A03F2F"/>
    <w:rsid w:val="00A04088"/>
    <w:rsid w:val="00A06B66"/>
    <w:rsid w:val="00A11099"/>
    <w:rsid w:val="00A14493"/>
    <w:rsid w:val="00A17692"/>
    <w:rsid w:val="00A214CF"/>
    <w:rsid w:val="00A22356"/>
    <w:rsid w:val="00A319D3"/>
    <w:rsid w:val="00A31AE3"/>
    <w:rsid w:val="00A34672"/>
    <w:rsid w:val="00A351B0"/>
    <w:rsid w:val="00A3568D"/>
    <w:rsid w:val="00A35B58"/>
    <w:rsid w:val="00A455B2"/>
    <w:rsid w:val="00A45651"/>
    <w:rsid w:val="00A5129A"/>
    <w:rsid w:val="00A544B0"/>
    <w:rsid w:val="00A54BAA"/>
    <w:rsid w:val="00A54D33"/>
    <w:rsid w:val="00A575E8"/>
    <w:rsid w:val="00A578AB"/>
    <w:rsid w:val="00A61136"/>
    <w:rsid w:val="00A663C1"/>
    <w:rsid w:val="00A66D61"/>
    <w:rsid w:val="00A66E0B"/>
    <w:rsid w:val="00A67204"/>
    <w:rsid w:val="00A72188"/>
    <w:rsid w:val="00A75D43"/>
    <w:rsid w:val="00A75E0E"/>
    <w:rsid w:val="00A76A11"/>
    <w:rsid w:val="00A80BE9"/>
    <w:rsid w:val="00A832EB"/>
    <w:rsid w:val="00A8682D"/>
    <w:rsid w:val="00A869AD"/>
    <w:rsid w:val="00A90BCF"/>
    <w:rsid w:val="00A91684"/>
    <w:rsid w:val="00A91EEC"/>
    <w:rsid w:val="00A94130"/>
    <w:rsid w:val="00A94933"/>
    <w:rsid w:val="00AA5F6F"/>
    <w:rsid w:val="00AA6518"/>
    <w:rsid w:val="00AA7399"/>
    <w:rsid w:val="00AB1B7D"/>
    <w:rsid w:val="00AB615C"/>
    <w:rsid w:val="00AB78BF"/>
    <w:rsid w:val="00AC1AD6"/>
    <w:rsid w:val="00AD1D75"/>
    <w:rsid w:val="00AE7211"/>
    <w:rsid w:val="00AF1A70"/>
    <w:rsid w:val="00AF5F57"/>
    <w:rsid w:val="00AF75E2"/>
    <w:rsid w:val="00B02F9E"/>
    <w:rsid w:val="00B04C44"/>
    <w:rsid w:val="00B07F26"/>
    <w:rsid w:val="00B10086"/>
    <w:rsid w:val="00B1125B"/>
    <w:rsid w:val="00B14E98"/>
    <w:rsid w:val="00B2389F"/>
    <w:rsid w:val="00B25243"/>
    <w:rsid w:val="00B314A1"/>
    <w:rsid w:val="00B364E1"/>
    <w:rsid w:val="00B469FE"/>
    <w:rsid w:val="00B55E48"/>
    <w:rsid w:val="00B6736D"/>
    <w:rsid w:val="00B718FF"/>
    <w:rsid w:val="00B7296D"/>
    <w:rsid w:val="00B73719"/>
    <w:rsid w:val="00B76D32"/>
    <w:rsid w:val="00B7753E"/>
    <w:rsid w:val="00B812DF"/>
    <w:rsid w:val="00B82032"/>
    <w:rsid w:val="00B83146"/>
    <w:rsid w:val="00B8357A"/>
    <w:rsid w:val="00B86268"/>
    <w:rsid w:val="00B87AE0"/>
    <w:rsid w:val="00B970CB"/>
    <w:rsid w:val="00BA0CB7"/>
    <w:rsid w:val="00BA5B75"/>
    <w:rsid w:val="00BB0050"/>
    <w:rsid w:val="00BB0E68"/>
    <w:rsid w:val="00BB2A72"/>
    <w:rsid w:val="00BB4C62"/>
    <w:rsid w:val="00BB6E67"/>
    <w:rsid w:val="00BD00BB"/>
    <w:rsid w:val="00BD0F6D"/>
    <w:rsid w:val="00BD7A74"/>
    <w:rsid w:val="00BE2128"/>
    <w:rsid w:val="00BE3DF3"/>
    <w:rsid w:val="00BE4B4D"/>
    <w:rsid w:val="00BE58A3"/>
    <w:rsid w:val="00BE6E82"/>
    <w:rsid w:val="00BF0BC2"/>
    <w:rsid w:val="00BF0FBA"/>
    <w:rsid w:val="00C00419"/>
    <w:rsid w:val="00C01B4D"/>
    <w:rsid w:val="00C02F46"/>
    <w:rsid w:val="00C063B9"/>
    <w:rsid w:val="00C07DB7"/>
    <w:rsid w:val="00C13459"/>
    <w:rsid w:val="00C1661A"/>
    <w:rsid w:val="00C17363"/>
    <w:rsid w:val="00C22A91"/>
    <w:rsid w:val="00C25F15"/>
    <w:rsid w:val="00C25FB6"/>
    <w:rsid w:val="00C5502C"/>
    <w:rsid w:val="00C6073D"/>
    <w:rsid w:val="00C63CD3"/>
    <w:rsid w:val="00C65EFC"/>
    <w:rsid w:val="00C66130"/>
    <w:rsid w:val="00C7322C"/>
    <w:rsid w:val="00C73FCF"/>
    <w:rsid w:val="00C803C6"/>
    <w:rsid w:val="00C839D7"/>
    <w:rsid w:val="00C8514F"/>
    <w:rsid w:val="00C87FD8"/>
    <w:rsid w:val="00CA4612"/>
    <w:rsid w:val="00CA5BAD"/>
    <w:rsid w:val="00CA63DF"/>
    <w:rsid w:val="00CA6796"/>
    <w:rsid w:val="00CA7410"/>
    <w:rsid w:val="00CB2657"/>
    <w:rsid w:val="00CB277A"/>
    <w:rsid w:val="00CB52B8"/>
    <w:rsid w:val="00CB5C2C"/>
    <w:rsid w:val="00CB67C6"/>
    <w:rsid w:val="00CC5B53"/>
    <w:rsid w:val="00CD6DF8"/>
    <w:rsid w:val="00CE118A"/>
    <w:rsid w:val="00CE38B9"/>
    <w:rsid w:val="00CE3FF4"/>
    <w:rsid w:val="00CF036D"/>
    <w:rsid w:val="00CF2EA4"/>
    <w:rsid w:val="00CF308F"/>
    <w:rsid w:val="00D01E18"/>
    <w:rsid w:val="00D026C4"/>
    <w:rsid w:val="00D050A4"/>
    <w:rsid w:val="00D12DC6"/>
    <w:rsid w:val="00D13CA2"/>
    <w:rsid w:val="00D16451"/>
    <w:rsid w:val="00D213D9"/>
    <w:rsid w:val="00D21A39"/>
    <w:rsid w:val="00D34350"/>
    <w:rsid w:val="00D50C37"/>
    <w:rsid w:val="00D54EB7"/>
    <w:rsid w:val="00D635F2"/>
    <w:rsid w:val="00D66D51"/>
    <w:rsid w:val="00D70091"/>
    <w:rsid w:val="00D82553"/>
    <w:rsid w:val="00D82911"/>
    <w:rsid w:val="00D90BB2"/>
    <w:rsid w:val="00DB0937"/>
    <w:rsid w:val="00DB2BAB"/>
    <w:rsid w:val="00DC0790"/>
    <w:rsid w:val="00DC233C"/>
    <w:rsid w:val="00DC2DC1"/>
    <w:rsid w:val="00DC4D2B"/>
    <w:rsid w:val="00DC733F"/>
    <w:rsid w:val="00DC7F38"/>
    <w:rsid w:val="00DE0658"/>
    <w:rsid w:val="00DE10F7"/>
    <w:rsid w:val="00DE1353"/>
    <w:rsid w:val="00DE3BA4"/>
    <w:rsid w:val="00DE5933"/>
    <w:rsid w:val="00DF0808"/>
    <w:rsid w:val="00DF0891"/>
    <w:rsid w:val="00DF4931"/>
    <w:rsid w:val="00E05375"/>
    <w:rsid w:val="00E132A4"/>
    <w:rsid w:val="00E13A7A"/>
    <w:rsid w:val="00E15DCD"/>
    <w:rsid w:val="00E1633B"/>
    <w:rsid w:val="00E16CF2"/>
    <w:rsid w:val="00E17F84"/>
    <w:rsid w:val="00E27E35"/>
    <w:rsid w:val="00E30202"/>
    <w:rsid w:val="00E33454"/>
    <w:rsid w:val="00E43342"/>
    <w:rsid w:val="00E47385"/>
    <w:rsid w:val="00E476A8"/>
    <w:rsid w:val="00E5235D"/>
    <w:rsid w:val="00E54D90"/>
    <w:rsid w:val="00E65AF2"/>
    <w:rsid w:val="00E665BE"/>
    <w:rsid w:val="00E70C9C"/>
    <w:rsid w:val="00E72EA7"/>
    <w:rsid w:val="00E73DEC"/>
    <w:rsid w:val="00E80134"/>
    <w:rsid w:val="00E806FD"/>
    <w:rsid w:val="00E8295E"/>
    <w:rsid w:val="00E84B49"/>
    <w:rsid w:val="00E86817"/>
    <w:rsid w:val="00E87391"/>
    <w:rsid w:val="00E9048E"/>
    <w:rsid w:val="00E93CD3"/>
    <w:rsid w:val="00EA1BA5"/>
    <w:rsid w:val="00EA35F8"/>
    <w:rsid w:val="00EB1A94"/>
    <w:rsid w:val="00EB454A"/>
    <w:rsid w:val="00EB59C8"/>
    <w:rsid w:val="00EB6CE2"/>
    <w:rsid w:val="00EB7485"/>
    <w:rsid w:val="00EB7F8B"/>
    <w:rsid w:val="00EC046E"/>
    <w:rsid w:val="00EC1A77"/>
    <w:rsid w:val="00ED338A"/>
    <w:rsid w:val="00ED79F0"/>
    <w:rsid w:val="00EE39C5"/>
    <w:rsid w:val="00EE6EB5"/>
    <w:rsid w:val="00EF1E4B"/>
    <w:rsid w:val="00EF7790"/>
    <w:rsid w:val="00EF79A6"/>
    <w:rsid w:val="00F005ED"/>
    <w:rsid w:val="00F01E74"/>
    <w:rsid w:val="00F058E2"/>
    <w:rsid w:val="00F06906"/>
    <w:rsid w:val="00F12C8C"/>
    <w:rsid w:val="00F25A64"/>
    <w:rsid w:val="00F27732"/>
    <w:rsid w:val="00F309EC"/>
    <w:rsid w:val="00F31BFD"/>
    <w:rsid w:val="00F32E3A"/>
    <w:rsid w:val="00F33050"/>
    <w:rsid w:val="00F33FDE"/>
    <w:rsid w:val="00F37929"/>
    <w:rsid w:val="00F40CA3"/>
    <w:rsid w:val="00F56648"/>
    <w:rsid w:val="00F57869"/>
    <w:rsid w:val="00F60BA4"/>
    <w:rsid w:val="00F65E95"/>
    <w:rsid w:val="00F724A8"/>
    <w:rsid w:val="00F7281B"/>
    <w:rsid w:val="00F80F8B"/>
    <w:rsid w:val="00F81D53"/>
    <w:rsid w:val="00F82350"/>
    <w:rsid w:val="00F8315E"/>
    <w:rsid w:val="00F84E6D"/>
    <w:rsid w:val="00F8669D"/>
    <w:rsid w:val="00FA175D"/>
    <w:rsid w:val="00FA606D"/>
    <w:rsid w:val="00FB0E46"/>
    <w:rsid w:val="00FB3E43"/>
    <w:rsid w:val="00FB77D2"/>
    <w:rsid w:val="00FC2811"/>
    <w:rsid w:val="00FC3E64"/>
    <w:rsid w:val="00FC7299"/>
    <w:rsid w:val="00FE10AC"/>
    <w:rsid w:val="00FE3193"/>
    <w:rsid w:val="00FF3D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6F14C2"/>
    <w:pPr>
      <w:ind w:left="720"/>
      <w:contextualSpacing/>
    </w:pPr>
  </w:style>
  <w:style w:type="paragraph" w:styleId="Revision">
    <w:name w:val="Revision"/>
    <w:hidden/>
    <w:uiPriority w:val="99"/>
    <w:semiHidden/>
    <w:rsid w:val="007C672B"/>
  </w:style>
  <w:style w:type="character" w:styleId="CommentReference">
    <w:name w:val="annotation reference"/>
    <w:basedOn w:val="DefaultParagraphFont"/>
    <w:semiHidden/>
    <w:unhideWhenUsed/>
    <w:rsid w:val="007C672B"/>
    <w:rPr>
      <w:sz w:val="16"/>
      <w:szCs w:val="16"/>
    </w:rPr>
  </w:style>
  <w:style w:type="paragraph" w:styleId="CommentText">
    <w:name w:val="annotation text"/>
    <w:basedOn w:val="Normal"/>
    <w:link w:val="CommentTextChar"/>
    <w:semiHidden/>
    <w:unhideWhenUsed/>
    <w:rsid w:val="007C672B"/>
    <w:pPr>
      <w:spacing w:line="240" w:lineRule="auto"/>
    </w:pPr>
    <w:rPr>
      <w:sz w:val="20"/>
      <w:szCs w:val="20"/>
    </w:rPr>
  </w:style>
  <w:style w:type="character" w:customStyle="1" w:styleId="CommentTextChar">
    <w:name w:val="Comment Text Char"/>
    <w:basedOn w:val="DefaultParagraphFont"/>
    <w:link w:val="CommentText"/>
    <w:semiHidden/>
    <w:rsid w:val="007C672B"/>
    <w:rPr>
      <w:sz w:val="20"/>
      <w:szCs w:val="20"/>
    </w:rPr>
  </w:style>
  <w:style w:type="paragraph" w:styleId="CommentSubject">
    <w:name w:val="annotation subject"/>
    <w:basedOn w:val="CommentText"/>
    <w:next w:val="CommentText"/>
    <w:link w:val="CommentSubjectChar"/>
    <w:semiHidden/>
    <w:unhideWhenUsed/>
    <w:rsid w:val="007C672B"/>
    <w:rPr>
      <w:b/>
      <w:bCs/>
    </w:rPr>
  </w:style>
  <w:style w:type="character" w:customStyle="1" w:styleId="CommentSubjectChar">
    <w:name w:val="Comment Subject Char"/>
    <w:basedOn w:val="CommentTextChar"/>
    <w:link w:val="CommentSubject"/>
    <w:semiHidden/>
    <w:rsid w:val="007C672B"/>
    <w:rPr>
      <w:b/>
      <w:bCs/>
      <w:sz w:val="20"/>
      <w:szCs w:val="20"/>
    </w:rPr>
  </w:style>
  <w:style w:type="character" w:customStyle="1" w:styleId="FootnoteTextChar">
    <w:name w:val="Footnote Text Char"/>
    <w:basedOn w:val="DefaultParagraphFont"/>
    <w:link w:val="FootnoteText"/>
    <w:semiHidden/>
    <w:rsid w:val="003B02BB"/>
  </w:style>
  <w:style w:type="character" w:styleId="Emphasis">
    <w:name w:val="Emphasis"/>
    <w:basedOn w:val="DefaultParagraphFont"/>
    <w:uiPriority w:val="20"/>
    <w:qFormat/>
    <w:rsid w:val="0029239B"/>
    <w:rPr>
      <w:i/>
      <w:iCs/>
    </w:rPr>
  </w:style>
  <w:style w:type="character" w:styleId="Hyperlink">
    <w:name w:val="Hyperlink"/>
    <w:basedOn w:val="DefaultParagraphFont"/>
    <w:uiPriority w:val="99"/>
    <w:unhideWhenUsed/>
    <w:rsid w:val="0029239B"/>
    <w:rPr>
      <w:color w:val="0000FF"/>
      <w:u w:val="single"/>
    </w:rPr>
  </w:style>
  <w:style w:type="character" w:customStyle="1" w:styleId="UnresolvedMention1">
    <w:name w:val="Unresolved Mention1"/>
    <w:basedOn w:val="DefaultParagraphFont"/>
    <w:uiPriority w:val="99"/>
    <w:semiHidden/>
    <w:unhideWhenUsed/>
    <w:rsid w:val="004A1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1EA5-E8A6-403B-855F-14C6D998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2023-07-31T18:38:13Z</dcterms:created>
  <dcterms:modified xsi:type="dcterms:W3CDTF">2023-07-31T18:38:13Z</dcterms:modified>
</cp:coreProperties>
</file>