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2103" w14:textId="3BE8B428" w:rsidR="005759BB" w:rsidRPr="005759BB" w:rsidRDefault="00C531D7" w:rsidP="005759BB">
      <w:pPr>
        <w:spacing w:line="360" w:lineRule="auto"/>
        <w:rPr>
          <w:bCs/>
          <w:sz w:val="20"/>
          <w:szCs w:val="20"/>
        </w:rPr>
      </w:pPr>
      <w:r>
        <w:rPr>
          <w:bCs/>
          <w:sz w:val="20"/>
          <w:szCs w:val="20"/>
        </w:rPr>
        <w:t>Filed 11</w:t>
      </w:r>
      <w:r w:rsidR="00A97181">
        <w:rPr>
          <w:bCs/>
          <w:sz w:val="20"/>
          <w:szCs w:val="20"/>
        </w:rPr>
        <w:t>/</w:t>
      </w:r>
      <w:r>
        <w:rPr>
          <w:bCs/>
          <w:sz w:val="20"/>
          <w:szCs w:val="20"/>
        </w:rPr>
        <w:t>22</w:t>
      </w:r>
      <w:r w:rsidR="00A97181">
        <w:rPr>
          <w:bCs/>
          <w:sz w:val="20"/>
          <w:szCs w:val="20"/>
        </w:rPr>
        <w:t>/</w:t>
      </w:r>
      <w:r>
        <w:rPr>
          <w:bCs/>
          <w:sz w:val="20"/>
          <w:szCs w:val="20"/>
        </w:rPr>
        <w:t>23</w:t>
      </w:r>
    </w:p>
    <w:p w14:paraId="465EF1E6" w14:textId="0B4FB2DC" w:rsidR="006B51AE" w:rsidRDefault="00CF4A8B" w:rsidP="006B51AE">
      <w:pPr>
        <w:spacing w:line="240" w:lineRule="auto"/>
        <w:jc w:val="center"/>
        <w:rPr>
          <w:b/>
        </w:rPr>
      </w:pPr>
      <w:r>
        <w:rPr>
          <w:b/>
        </w:rPr>
        <w:t>CERTIFIED FOR PUBLICATION</w:t>
      </w:r>
    </w:p>
    <w:p w14:paraId="2B1C1CDD" w14:textId="77777777" w:rsidR="00CF4A8B" w:rsidRDefault="00CF4A8B" w:rsidP="0060106F">
      <w:pPr>
        <w:spacing w:line="240" w:lineRule="auto"/>
        <w:jc w:val="center"/>
      </w:pPr>
    </w:p>
    <w:p w14:paraId="755C35DE" w14:textId="4DC8CAE2" w:rsidR="0060106F" w:rsidRDefault="0060106F" w:rsidP="0060106F">
      <w:pPr>
        <w:spacing w:line="240" w:lineRule="auto"/>
        <w:jc w:val="center"/>
      </w:pPr>
      <w:r>
        <w:t>IN THE COURT OF APPEAL OF THE STATE OF CALIFORNIA</w:t>
      </w:r>
    </w:p>
    <w:p w14:paraId="6D8B6FAB" w14:textId="77777777" w:rsidR="0060106F" w:rsidRDefault="0060106F" w:rsidP="0060106F">
      <w:pPr>
        <w:spacing w:line="240" w:lineRule="auto"/>
        <w:jc w:val="center"/>
      </w:pPr>
    </w:p>
    <w:p w14:paraId="1947F43A" w14:textId="77777777" w:rsidR="0060106F" w:rsidRDefault="0060106F" w:rsidP="0060106F">
      <w:pPr>
        <w:spacing w:line="240" w:lineRule="auto"/>
        <w:jc w:val="center"/>
      </w:pPr>
      <w:r>
        <w:t>SECOND APPELLATE DISTRICT</w:t>
      </w:r>
    </w:p>
    <w:p w14:paraId="78710758" w14:textId="77777777" w:rsidR="0060106F" w:rsidRDefault="0060106F" w:rsidP="0060106F">
      <w:pPr>
        <w:spacing w:line="240" w:lineRule="auto"/>
        <w:jc w:val="center"/>
      </w:pPr>
    </w:p>
    <w:p w14:paraId="2333B69A" w14:textId="77777777" w:rsidR="006C7D8D" w:rsidRDefault="0060106F" w:rsidP="0060106F">
      <w:pPr>
        <w:spacing w:line="240" w:lineRule="auto"/>
        <w:jc w:val="center"/>
      </w:pPr>
      <w:r>
        <w:t>DIVISION SIX</w:t>
      </w:r>
    </w:p>
    <w:p w14:paraId="11F100B3" w14:textId="77777777" w:rsidR="006C7D8D" w:rsidRDefault="006C7D8D" w:rsidP="006C7D8D">
      <w:pPr>
        <w:spacing w:line="240" w:lineRule="auto"/>
        <w:jc w:val="center"/>
      </w:pPr>
    </w:p>
    <w:p w14:paraId="65B482D4" w14:textId="77777777" w:rsidR="006C7D8D" w:rsidRDefault="006C7D8D" w:rsidP="006C7D8D">
      <w:pPr>
        <w:spacing w:line="240" w:lineRule="auto"/>
        <w:jc w:val="center"/>
      </w:pPr>
    </w:p>
    <w:tbl>
      <w:tblPr>
        <w:tblW w:w="8136" w:type="dxa"/>
        <w:tblLayout w:type="fixed"/>
        <w:tblLook w:val="0000" w:firstRow="0" w:lastRow="0" w:firstColumn="0" w:lastColumn="0" w:noHBand="0" w:noVBand="0"/>
      </w:tblPr>
      <w:tblGrid>
        <w:gridCol w:w="4050"/>
        <w:gridCol w:w="4086"/>
      </w:tblGrid>
      <w:tr w:rsidR="006C7D8D" w14:paraId="14301914" w14:textId="77777777" w:rsidTr="005759BB">
        <w:tc>
          <w:tcPr>
            <w:tcW w:w="4050" w:type="dxa"/>
            <w:tcBorders>
              <w:bottom w:val="single" w:sz="4" w:space="0" w:color="auto"/>
              <w:right w:val="single" w:sz="4" w:space="0" w:color="auto"/>
            </w:tcBorders>
            <w:shd w:val="clear" w:color="auto" w:fill="auto"/>
          </w:tcPr>
          <w:p w14:paraId="1BB63C10" w14:textId="3E05C889" w:rsidR="006C408C" w:rsidRDefault="006C408C" w:rsidP="006C7D8D">
            <w:pPr>
              <w:spacing w:line="240" w:lineRule="auto"/>
            </w:pPr>
            <w:r>
              <w:t>STATE OF CALIFORNIA ex rel. EDGAR CISNEROS,</w:t>
            </w:r>
          </w:p>
          <w:p w14:paraId="6BEAB41C" w14:textId="77777777" w:rsidR="006C408C" w:rsidRDefault="006C408C" w:rsidP="006C7D8D">
            <w:pPr>
              <w:spacing w:line="240" w:lineRule="auto"/>
            </w:pPr>
          </w:p>
          <w:p w14:paraId="5C321DC7" w14:textId="77E3B44F" w:rsidR="006C408C" w:rsidRDefault="006C408C" w:rsidP="006C7D8D">
            <w:pPr>
              <w:spacing w:line="240" w:lineRule="auto"/>
            </w:pPr>
            <w:r>
              <w:t xml:space="preserve">    Plaintiff and Respondent,</w:t>
            </w:r>
          </w:p>
          <w:p w14:paraId="0DF653E7" w14:textId="77777777" w:rsidR="006C408C" w:rsidRDefault="006C408C" w:rsidP="006C7D8D">
            <w:pPr>
              <w:spacing w:line="240" w:lineRule="auto"/>
            </w:pPr>
          </w:p>
          <w:p w14:paraId="371D0EE8" w14:textId="2173526D" w:rsidR="006C408C" w:rsidRDefault="006C408C" w:rsidP="006C7D8D">
            <w:pPr>
              <w:spacing w:line="240" w:lineRule="auto"/>
            </w:pPr>
            <w:r>
              <w:t>v.</w:t>
            </w:r>
          </w:p>
          <w:p w14:paraId="7305F018" w14:textId="77777777" w:rsidR="006C408C" w:rsidRDefault="006C408C" w:rsidP="006C7D8D">
            <w:pPr>
              <w:spacing w:line="240" w:lineRule="auto"/>
            </w:pPr>
          </w:p>
          <w:p w14:paraId="2768CDF4" w14:textId="1289561A" w:rsidR="006C408C" w:rsidRDefault="006C408C" w:rsidP="006C7D8D">
            <w:pPr>
              <w:spacing w:line="240" w:lineRule="auto"/>
            </w:pPr>
            <w:r>
              <w:t>ALCO HARVEST, INC., et al.,</w:t>
            </w:r>
          </w:p>
          <w:p w14:paraId="790A5A68" w14:textId="77777777" w:rsidR="006C408C" w:rsidRDefault="006C408C" w:rsidP="006C7D8D">
            <w:pPr>
              <w:spacing w:line="240" w:lineRule="auto"/>
            </w:pPr>
          </w:p>
          <w:p w14:paraId="2AF904BA" w14:textId="2CA99529" w:rsidR="006C408C" w:rsidRDefault="006C408C" w:rsidP="006C7D8D">
            <w:pPr>
              <w:spacing w:line="240" w:lineRule="auto"/>
            </w:pPr>
            <w:r>
              <w:t xml:space="preserve">    Defendants and Appellants.</w:t>
            </w:r>
          </w:p>
          <w:p w14:paraId="18C5A0F5" w14:textId="4A275035" w:rsidR="006C408C" w:rsidRDefault="006C408C" w:rsidP="006C7D8D">
            <w:pPr>
              <w:spacing w:line="240" w:lineRule="auto"/>
            </w:pPr>
            <w:r>
              <w:t>_____________________________</w:t>
            </w:r>
          </w:p>
          <w:p w14:paraId="46B1C6F0" w14:textId="77777777" w:rsidR="006C408C" w:rsidRDefault="006C408C" w:rsidP="006C7D8D">
            <w:pPr>
              <w:spacing w:line="240" w:lineRule="auto"/>
            </w:pPr>
          </w:p>
          <w:p w14:paraId="7BACCD20" w14:textId="42AC5973" w:rsidR="006C408C" w:rsidRDefault="006C408C" w:rsidP="006C7D8D">
            <w:pPr>
              <w:spacing w:line="240" w:lineRule="auto"/>
            </w:pPr>
            <w:r>
              <w:t>JESUS GUZMAN,</w:t>
            </w:r>
          </w:p>
          <w:p w14:paraId="31022585" w14:textId="02E3F15F" w:rsidR="006C408C" w:rsidRDefault="006C408C" w:rsidP="006C7D8D">
            <w:pPr>
              <w:spacing w:line="240" w:lineRule="auto"/>
            </w:pPr>
            <w:r>
              <w:t xml:space="preserve">    </w:t>
            </w:r>
          </w:p>
          <w:p w14:paraId="19529173" w14:textId="32E54E85" w:rsidR="006C408C" w:rsidRDefault="006C408C" w:rsidP="006C7D8D">
            <w:pPr>
              <w:spacing w:line="240" w:lineRule="auto"/>
            </w:pPr>
            <w:r>
              <w:t xml:space="preserve">    Plaintiff and Respondent,</w:t>
            </w:r>
          </w:p>
          <w:p w14:paraId="76D243B0" w14:textId="77777777" w:rsidR="006C408C" w:rsidRDefault="006C408C" w:rsidP="006C7D8D">
            <w:pPr>
              <w:spacing w:line="240" w:lineRule="auto"/>
            </w:pPr>
          </w:p>
          <w:p w14:paraId="780D544D" w14:textId="4F36A856" w:rsidR="006C408C" w:rsidRDefault="006C408C" w:rsidP="006C7D8D">
            <w:pPr>
              <w:spacing w:line="240" w:lineRule="auto"/>
            </w:pPr>
            <w:r>
              <w:t>v.</w:t>
            </w:r>
          </w:p>
          <w:p w14:paraId="1A941AB3" w14:textId="77777777" w:rsidR="006C408C" w:rsidRDefault="006C408C" w:rsidP="006C7D8D">
            <w:pPr>
              <w:spacing w:line="240" w:lineRule="auto"/>
            </w:pPr>
          </w:p>
          <w:p w14:paraId="1851EA21" w14:textId="3D0D8D47" w:rsidR="006C408C" w:rsidRDefault="006C408C" w:rsidP="006C7D8D">
            <w:pPr>
              <w:spacing w:line="240" w:lineRule="auto"/>
            </w:pPr>
            <w:r>
              <w:t>ALCO HARVESTING LLC et al.,</w:t>
            </w:r>
          </w:p>
          <w:p w14:paraId="5CF9EC89" w14:textId="77777777" w:rsidR="006C408C" w:rsidRDefault="006C408C" w:rsidP="006C7D8D">
            <w:pPr>
              <w:spacing w:line="240" w:lineRule="auto"/>
            </w:pPr>
          </w:p>
          <w:p w14:paraId="604BC9AB" w14:textId="4D78120F" w:rsidR="00CF4A8B" w:rsidRDefault="006C408C" w:rsidP="00CF4A8B">
            <w:pPr>
              <w:pBdr>
                <w:bottom w:val="single" w:sz="12" w:space="1" w:color="auto"/>
              </w:pBdr>
              <w:spacing w:line="240" w:lineRule="auto"/>
            </w:pPr>
            <w:r>
              <w:t xml:space="preserve">    Defendants and Appellants.</w:t>
            </w:r>
          </w:p>
          <w:p w14:paraId="7D74F059" w14:textId="77777777" w:rsidR="00CF4A8B" w:rsidRDefault="00CF4A8B" w:rsidP="00CF4A8B">
            <w:pPr>
              <w:pBdr>
                <w:bottom w:val="single" w:sz="12" w:space="1" w:color="auto"/>
              </w:pBdr>
              <w:spacing w:line="240" w:lineRule="auto"/>
            </w:pPr>
          </w:p>
          <w:p w14:paraId="01B9BC43" w14:textId="77777777" w:rsidR="00CF4A8B" w:rsidRDefault="00CF4A8B" w:rsidP="006C7D8D">
            <w:pPr>
              <w:spacing w:line="240" w:lineRule="auto"/>
            </w:pPr>
          </w:p>
          <w:p w14:paraId="1CAEB24E" w14:textId="77777777" w:rsidR="00CF4A8B" w:rsidRDefault="00CF4A8B" w:rsidP="006C7D8D">
            <w:pPr>
              <w:spacing w:line="240" w:lineRule="auto"/>
            </w:pPr>
          </w:p>
          <w:p w14:paraId="5F3F2B5F" w14:textId="77777777" w:rsidR="00CF4A8B" w:rsidRDefault="00CF4A8B" w:rsidP="006C7D8D">
            <w:pPr>
              <w:spacing w:line="240" w:lineRule="auto"/>
            </w:pPr>
          </w:p>
          <w:p w14:paraId="590BFADF" w14:textId="29D1C56E" w:rsidR="006C7D8D" w:rsidRDefault="0048552C" w:rsidP="006C7D8D">
            <w:pPr>
              <w:spacing w:line="240" w:lineRule="auto"/>
            </w:pPr>
            <w:r>
              <w:lastRenderedPageBreak/>
              <w:t>LILIA GARCIA-BROWER</w:t>
            </w:r>
            <w:r w:rsidRPr="0007721A">
              <w:t>,</w:t>
            </w:r>
            <w:r w:rsidR="006C7D8D" w:rsidRPr="00B1728C">
              <w:t xml:space="preserve"> </w:t>
            </w:r>
            <w:r w:rsidRPr="00B1728C">
              <w:t>as Labor Commissioner,</w:t>
            </w:r>
            <w:r>
              <w:t xml:space="preserve"> </w:t>
            </w:r>
            <w:r w:rsidR="00A97181">
              <w:t xml:space="preserve">etc., </w:t>
            </w:r>
            <w:r>
              <w:t>et al</w:t>
            </w:r>
            <w:r w:rsidR="006C7D8D">
              <w:t>.,</w:t>
            </w:r>
          </w:p>
          <w:p w14:paraId="3BA42084" w14:textId="77777777" w:rsidR="006C7D8D" w:rsidRDefault="006C7D8D" w:rsidP="006C7D8D">
            <w:pPr>
              <w:spacing w:line="240" w:lineRule="auto"/>
            </w:pPr>
          </w:p>
          <w:p w14:paraId="22804A30" w14:textId="7D8C412A" w:rsidR="006C7D8D" w:rsidRDefault="006C7D8D" w:rsidP="006C7D8D">
            <w:pPr>
              <w:spacing w:line="240" w:lineRule="auto"/>
            </w:pPr>
            <w:r>
              <w:t xml:space="preserve">    Plaintiffs and </w:t>
            </w:r>
            <w:r w:rsidR="0048552C">
              <w:t>Responde</w:t>
            </w:r>
            <w:r>
              <w:t>nts,</w:t>
            </w:r>
          </w:p>
          <w:p w14:paraId="2EAACBEF" w14:textId="77777777" w:rsidR="006C7D8D" w:rsidRDefault="006C7D8D" w:rsidP="006C7D8D">
            <w:pPr>
              <w:spacing w:line="240" w:lineRule="auto"/>
            </w:pPr>
          </w:p>
          <w:p w14:paraId="695E6803" w14:textId="77777777" w:rsidR="006C7D8D" w:rsidRDefault="006C7D8D" w:rsidP="006C7D8D">
            <w:pPr>
              <w:spacing w:line="240" w:lineRule="auto"/>
            </w:pPr>
            <w:r>
              <w:t>v.</w:t>
            </w:r>
          </w:p>
          <w:p w14:paraId="65C93346" w14:textId="77777777" w:rsidR="006C7D8D" w:rsidRDefault="006C7D8D" w:rsidP="006C7D8D">
            <w:pPr>
              <w:spacing w:line="240" w:lineRule="auto"/>
            </w:pPr>
          </w:p>
          <w:p w14:paraId="72C0EBC1" w14:textId="5F8E7AD4" w:rsidR="006C7D8D" w:rsidRDefault="0048552C" w:rsidP="006C7D8D">
            <w:pPr>
              <w:spacing w:line="240" w:lineRule="auto"/>
            </w:pPr>
            <w:r>
              <w:t>ALCO HARVESTING LLC et al</w:t>
            </w:r>
            <w:r w:rsidR="006C7D8D">
              <w:t>.,</w:t>
            </w:r>
          </w:p>
          <w:p w14:paraId="6E213775" w14:textId="77777777" w:rsidR="006C7D8D" w:rsidRDefault="006C7D8D" w:rsidP="006C7D8D">
            <w:pPr>
              <w:spacing w:line="240" w:lineRule="auto"/>
            </w:pPr>
          </w:p>
          <w:p w14:paraId="0B597686" w14:textId="4A63093C" w:rsidR="006C7D8D" w:rsidRDefault="006C7D8D" w:rsidP="006C7D8D">
            <w:pPr>
              <w:spacing w:line="240" w:lineRule="auto"/>
            </w:pPr>
            <w:r>
              <w:t xml:space="preserve">    Defendants and </w:t>
            </w:r>
            <w:r w:rsidR="0048552C">
              <w:t>Appella</w:t>
            </w:r>
            <w:r>
              <w:t>nts.</w:t>
            </w:r>
          </w:p>
          <w:p w14:paraId="02249F44" w14:textId="77777777" w:rsidR="006C7D8D" w:rsidRDefault="006C7D8D" w:rsidP="006C7D8D">
            <w:pPr>
              <w:spacing w:line="240" w:lineRule="auto"/>
            </w:pPr>
          </w:p>
        </w:tc>
        <w:tc>
          <w:tcPr>
            <w:tcW w:w="4086" w:type="dxa"/>
            <w:tcBorders>
              <w:left w:val="single" w:sz="4" w:space="0" w:color="auto"/>
            </w:tcBorders>
            <w:shd w:val="clear" w:color="auto" w:fill="auto"/>
          </w:tcPr>
          <w:p w14:paraId="51FEAA1A" w14:textId="199E2B78" w:rsidR="006C7D8D" w:rsidRDefault="003D05DE" w:rsidP="006C7D8D">
            <w:pPr>
              <w:spacing w:line="240" w:lineRule="auto"/>
              <w:jc w:val="center"/>
            </w:pPr>
            <w:r>
              <w:lastRenderedPageBreak/>
              <w:t xml:space="preserve">2d Civil No. </w:t>
            </w:r>
            <w:r w:rsidR="006C7D8D">
              <w:t>B</w:t>
            </w:r>
            <w:r w:rsidR="0048552C">
              <w:t>327137</w:t>
            </w:r>
          </w:p>
          <w:p w14:paraId="31D07C58" w14:textId="22D28918" w:rsidR="006C7D8D" w:rsidRDefault="006C7D8D" w:rsidP="006C7D8D">
            <w:pPr>
              <w:spacing w:line="240" w:lineRule="auto"/>
              <w:jc w:val="center"/>
            </w:pPr>
            <w:r>
              <w:t>(Super. Ct. No.</w:t>
            </w:r>
            <w:r w:rsidR="00A66026">
              <w:t>, 20CV-0095</w:t>
            </w:r>
            <w:r>
              <w:t>)</w:t>
            </w:r>
          </w:p>
          <w:p w14:paraId="263EFEBB" w14:textId="01E22295" w:rsidR="006C7D8D" w:rsidRDefault="006C7D8D" w:rsidP="006C7D8D">
            <w:pPr>
              <w:spacing w:line="240" w:lineRule="auto"/>
              <w:jc w:val="center"/>
            </w:pPr>
            <w:r>
              <w:t>(</w:t>
            </w:r>
            <w:r w:rsidR="006C408C">
              <w:t>San Luis Obispo</w:t>
            </w:r>
            <w:r>
              <w:t xml:space="preserve"> County)</w:t>
            </w:r>
          </w:p>
          <w:p w14:paraId="6D453DA9" w14:textId="77777777" w:rsidR="006C7D8D" w:rsidRDefault="006C7D8D" w:rsidP="006C7D8D">
            <w:pPr>
              <w:spacing w:line="240" w:lineRule="auto"/>
              <w:jc w:val="center"/>
            </w:pPr>
          </w:p>
          <w:p w14:paraId="120152CE" w14:textId="77777777" w:rsidR="006C408C" w:rsidRDefault="006C408C" w:rsidP="006C7D8D">
            <w:pPr>
              <w:spacing w:line="240" w:lineRule="auto"/>
              <w:jc w:val="center"/>
            </w:pPr>
          </w:p>
          <w:p w14:paraId="51BB33B2" w14:textId="77777777" w:rsidR="006C408C" w:rsidRDefault="006C408C" w:rsidP="006C7D8D">
            <w:pPr>
              <w:spacing w:line="240" w:lineRule="auto"/>
              <w:jc w:val="center"/>
            </w:pPr>
          </w:p>
          <w:p w14:paraId="2A070D3C" w14:textId="77777777" w:rsidR="006C408C" w:rsidRDefault="006C408C" w:rsidP="006C7D8D">
            <w:pPr>
              <w:spacing w:line="240" w:lineRule="auto"/>
              <w:jc w:val="center"/>
            </w:pPr>
          </w:p>
          <w:p w14:paraId="6B67F8A7" w14:textId="77777777" w:rsidR="00FE7505" w:rsidRDefault="00FE7505" w:rsidP="006C7D8D">
            <w:pPr>
              <w:spacing w:line="240" w:lineRule="auto"/>
              <w:jc w:val="center"/>
            </w:pPr>
          </w:p>
          <w:p w14:paraId="3A12548D" w14:textId="77777777" w:rsidR="00FE7505" w:rsidRDefault="00FE7505" w:rsidP="006C7D8D">
            <w:pPr>
              <w:spacing w:line="240" w:lineRule="auto"/>
              <w:jc w:val="center"/>
            </w:pPr>
          </w:p>
          <w:p w14:paraId="349824AA" w14:textId="77777777" w:rsidR="006C408C" w:rsidRDefault="006C408C" w:rsidP="006C7D8D">
            <w:pPr>
              <w:spacing w:line="240" w:lineRule="auto"/>
              <w:jc w:val="center"/>
            </w:pPr>
          </w:p>
          <w:p w14:paraId="4E686A36" w14:textId="77777777" w:rsidR="006C408C" w:rsidRDefault="006C408C" w:rsidP="006C7D8D">
            <w:pPr>
              <w:spacing w:line="240" w:lineRule="auto"/>
              <w:jc w:val="center"/>
            </w:pPr>
          </w:p>
          <w:p w14:paraId="3C3F0195" w14:textId="77777777" w:rsidR="006C408C" w:rsidRDefault="006C408C" w:rsidP="006C7D8D">
            <w:pPr>
              <w:spacing w:line="240" w:lineRule="auto"/>
              <w:jc w:val="center"/>
            </w:pPr>
          </w:p>
          <w:p w14:paraId="205CB1D2" w14:textId="0364CC10" w:rsidR="006C408C" w:rsidRDefault="006C408C" w:rsidP="006C7D8D">
            <w:pPr>
              <w:spacing w:line="240" w:lineRule="auto"/>
              <w:jc w:val="center"/>
            </w:pPr>
            <w:r>
              <w:t>(Super. Ct. No. 21CV00299</w:t>
            </w:r>
            <w:r w:rsidR="00994D39">
              <w:t>)</w:t>
            </w:r>
          </w:p>
          <w:p w14:paraId="667A588B" w14:textId="77777777" w:rsidR="006C408C" w:rsidRDefault="006C408C" w:rsidP="006C7D8D">
            <w:pPr>
              <w:spacing w:line="240" w:lineRule="auto"/>
              <w:jc w:val="center"/>
            </w:pPr>
            <w:r>
              <w:t>(Santa Barbara County)</w:t>
            </w:r>
          </w:p>
          <w:p w14:paraId="3E1E40F7" w14:textId="77777777" w:rsidR="006C408C" w:rsidRDefault="006C408C" w:rsidP="006C7D8D">
            <w:pPr>
              <w:spacing w:line="240" w:lineRule="auto"/>
              <w:jc w:val="center"/>
            </w:pPr>
          </w:p>
          <w:p w14:paraId="18CE03CD" w14:textId="77777777" w:rsidR="006C408C" w:rsidRDefault="006C408C" w:rsidP="006C7D8D">
            <w:pPr>
              <w:spacing w:line="240" w:lineRule="auto"/>
              <w:jc w:val="center"/>
            </w:pPr>
          </w:p>
          <w:p w14:paraId="7A2D5553" w14:textId="77777777" w:rsidR="006C408C" w:rsidRDefault="006C408C" w:rsidP="006C7D8D">
            <w:pPr>
              <w:spacing w:line="240" w:lineRule="auto"/>
              <w:jc w:val="center"/>
            </w:pPr>
          </w:p>
          <w:p w14:paraId="5ADD845F" w14:textId="77777777" w:rsidR="006C408C" w:rsidRDefault="006C408C" w:rsidP="006C7D8D">
            <w:pPr>
              <w:spacing w:line="240" w:lineRule="auto"/>
              <w:jc w:val="center"/>
            </w:pPr>
          </w:p>
          <w:p w14:paraId="439D1866" w14:textId="77777777" w:rsidR="006C408C" w:rsidRDefault="006C408C" w:rsidP="006C7D8D">
            <w:pPr>
              <w:spacing w:line="240" w:lineRule="auto"/>
              <w:jc w:val="center"/>
            </w:pPr>
          </w:p>
          <w:p w14:paraId="2A8F1ED1" w14:textId="77777777" w:rsidR="006C408C" w:rsidRDefault="006C408C" w:rsidP="006C7D8D">
            <w:pPr>
              <w:spacing w:line="240" w:lineRule="auto"/>
              <w:jc w:val="center"/>
            </w:pPr>
          </w:p>
          <w:p w14:paraId="45C80A68" w14:textId="77777777" w:rsidR="006C408C" w:rsidRDefault="006C408C" w:rsidP="006C7D8D">
            <w:pPr>
              <w:spacing w:line="240" w:lineRule="auto"/>
              <w:jc w:val="center"/>
            </w:pPr>
          </w:p>
          <w:p w14:paraId="6106401F" w14:textId="77777777" w:rsidR="00851DAB" w:rsidRDefault="00851DAB" w:rsidP="00CF4A8B">
            <w:pPr>
              <w:spacing w:line="240" w:lineRule="auto"/>
            </w:pPr>
          </w:p>
          <w:p w14:paraId="385D031F" w14:textId="77777777" w:rsidR="00CF4A8B" w:rsidRDefault="00CF4A8B" w:rsidP="006C408C">
            <w:pPr>
              <w:spacing w:line="240" w:lineRule="auto"/>
              <w:jc w:val="center"/>
            </w:pPr>
          </w:p>
          <w:p w14:paraId="2FC6D4AD" w14:textId="77777777" w:rsidR="00CF4A8B" w:rsidRDefault="00CF4A8B" w:rsidP="006C408C">
            <w:pPr>
              <w:spacing w:line="240" w:lineRule="auto"/>
              <w:jc w:val="center"/>
            </w:pPr>
          </w:p>
          <w:p w14:paraId="795F116F" w14:textId="77777777" w:rsidR="00CF4A8B" w:rsidRDefault="00CF4A8B" w:rsidP="006C408C">
            <w:pPr>
              <w:spacing w:line="240" w:lineRule="auto"/>
              <w:jc w:val="center"/>
            </w:pPr>
          </w:p>
          <w:p w14:paraId="03731331" w14:textId="77777777" w:rsidR="00CF4A8B" w:rsidRDefault="00CF4A8B" w:rsidP="006C408C">
            <w:pPr>
              <w:spacing w:line="240" w:lineRule="auto"/>
              <w:jc w:val="center"/>
            </w:pPr>
          </w:p>
          <w:p w14:paraId="44032CB6" w14:textId="77777777" w:rsidR="00CF4A8B" w:rsidRDefault="00CF4A8B" w:rsidP="006C408C">
            <w:pPr>
              <w:spacing w:line="240" w:lineRule="auto"/>
              <w:jc w:val="center"/>
            </w:pPr>
          </w:p>
          <w:p w14:paraId="7681A810" w14:textId="70B3FD23" w:rsidR="006C408C" w:rsidRDefault="006C408C" w:rsidP="006C408C">
            <w:pPr>
              <w:spacing w:line="240" w:lineRule="auto"/>
              <w:jc w:val="center"/>
            </w:pPr>
            <w:r>
              <w:lastRenderedPageBreak/>
              <w:t>(Super. Ct. No. 21CV02855</w:t>
            </w:r>
            <w:r w:rsidR="00994D39">
              <w:t>)</w:t>
            </w:r>
          </w:p>
          <w:p w14:paraId="59BF1FB4" w14:textId="3D3D1C90" w:rsidR="00994D39" w:rsidRDefault="00994D39" w:rsidP="006C408C">
            <w:pPr>
              <w:spacing w:line="240" w:lineRule="auto"/>
              <w:jc w:val="center"/>
            </w:pPr>
            <w:r>
              <w:t>(Santa Barbara County)</w:t>
            </w:r>
          </w:p>
        </w:tc>
      </w:tr>
    </w:tbl>
    <w:p w14:paraId="143EE232" w14:textId="77777777" w:rsidR="006C7D8D" w:rsidRDefault="006C7D8D" w:rsidP="006C7D8D">
      <w:pPr>
        <w:tabs>
          <w:tab w:val="left" w:pos="1440"/>
          <w:tab w:val="left" w:pos="2880"/>
          <w:tab w:val="left" w:pos="4320"/>
          <w:tab w:val="left" w:pos="5760"/>
          <w:tab w:val="left" w:pos="7200"/>
        </w:tabs>
        <w:spacing w:line="360" w:lineRule="auto"/>
      </w:pPr>
    </w:p>
    <w:p w14:paraId="4B78480B" w14:textId="35A16EF3" w:rsidR="006C7D8D" w:rsidRDefault="00620E80" w:rsidP="004F3D39">
      <w:pPr>
        <w:tabs>
          <w:tab w:val="left" w:pos="1440"/>
          <w:tab w:val="left" w:pos="2880"/>
          <w:tab w:val="left" w:pos="4320"/>
          <w:tab w:val="left" w:pos="5760"/>
          <w:tab w:val="left" w:pos="7200"/>
        </w:tabs>
        <w:ind w:firstLine="720"/>
      </w:pPr>
      <w:r>
        <w:t>The H-2A Temporary Agricultural Program allows employer</w:t>
      </w:r>
      <w:r w:rsidR="00BF10E6">
        <w:t>s</w:t>
      </w:r>
      <w:r>
        <w:t xml:space="preserve"> to recruit foreign agricultural workers when the domestic </w:t>
      </w:r>
      <w:r w:rsidR="00551B75">
        <w:t xml:space="preserve">labor </w:t>
      </w:r>
      <w:r>
        <w:t>market cannot meet employers</w:t>
      </w:r>
      <w:r w:rsidR="00BF10E6">
        <w:t xml:space="preserve">’ </w:t>
      </w:r>
      <w:r>
        <w:t xml:space="preserve">needs.  </w:t>
      </w:r>
      <w:r w:rsidR="00BF10E6">
        <w:t>The United States Department of Labor (DOL) must certify an employer’s participation in the H-2A program.  This process requires the employer, among other things, to submit a “job order” describing “the material terms and conditions” of the jobs for which it seeks foreign workers.</w:t>
      </w:r>
    </w:p>
    <w:p w14:paraId="13BE377E" w14:textId="24A23C04" w:rsidR="00BF10E6" w:rsidRDefault="00BF10E6" w:rsidP="004F3D39">
      <w:pPr>
        <w:tabs>
          <w:tab w:val="left" w:pos="1440"/>
          <w:tab w:val="left" w:pos="2880"/>
          <w:tab w:val="left" w:pos="4320"/>
          <w:tab w:val="left" w:pos="5760"/>
          <w:tab w:val="left" w:pos="7200"/>
        </w:tabs>
        <w:ind w:firstLine="720"/>
      </w:pPr>
      <w:r>
        <w:t xml:space="preserve">Plaintiff and respondent Jesus Guzman </w:t>
      </w:r>
      <w:r w:rsidR="006D6321">
        <w:t>is a foreign worker hired by defendant and appellant Alco Harvesting LLC to work at farms owned by defendant and appellant Betteravia Farms.</w:t>
      </w:r>
      <w:r w:rsidR="006D6321">
        <w:rPr>
          <w:rStyle w:val="FootnoteReference"/>
        </w:rPr>
        <w:footnoteReference w:id="1"/>
      </w:r>
      <w:r w:rsidR="006D6321">
        <w:t xml:space="preserve">  He later brought employment claims against appellants.  Alco moved to compel arbitration pursuant to an arbitration agreement presented</w:t>
      </w:r>
      <w:r w:rsidR="0000613C" w:rsidRPr="00A52DD1">
        <w:t xml:space="preserve"> to</w:t>
      </w:r>
      <w:r w:rsidR="006D6321" w:rsidRPr="00A52DD1">
        <w:t xml:space="preserve"> </w:t>
      </w:r>
      <w:r w:rsidR="006D6321">
        <w:t xml:space="preserve">and signed by Guzman at his orientation.  The trial court found the </w:t>
      </w:r>
      <w:r w:rsidR="0067502D">
        <w:t>agreement void and denied the motion</w:t>
      </w:r>
      <w:r w:rsidR="006D6321">
        <w:t xml:space="preserve">.  </w:t>
      </w:r>
      <w:r w:rsidR="006D6321">
        <w:lastRenderedPageBreak/>
        <w:t xml:space="preserve">It </w:t>
      </w:r>
      <w:r w:rsidR="0067502D">
        <w:t>considered</w:t>
      </w:r>
      <w:r w:rsidR="006D6321">
        <w:t xml:space="preserve"> arbitration a “material term and condition” of Guzman’s employment, and as such, a job requirement that Alco should have disclosed during the H-2A certification process.</w:t>
      </w:r>
    </w:p>
    <w:p w14:paraId="2868D27C" w14:textId="73FB0A44" w:rsidR="0067502D" w:rsidRDefault="0067502D" w:rsidP="004F3D39">
      <w:pPr>
        <w:tabs>
          <w:tab w:val="left" w:pos="1440"/>
          <w:tab w:val="left" w:pos="2880"/>
          <w:tab w:val="left" w:pos="4320"/>
          <w:tab w:val="left" w:pos="5760"/>
          <w:tab w:val="left" w:pos="7200"/>
        </w:tabs>
        <w:ind w:firstLine="720"/>
      </w:pPr>
      <w:r>
        <w:t>We affirm.</w:t>
      </w:r>
    </w:p>
    <w:p w14:paraId="7B1DA044" w14:textId="3A4F7FA4" w:rsidR="0000191B" w:rsidRPr="00C50E21" w:rsidRDefault="0000191B" w:rsidP="00C50E21">
      <w:pPr>
        <w:tabs>
          <w:tab w:val="left" w:pos="1440"/>
          <w:tab w:val="left" w:pos="2880"/>
          <w:tab w:val="left" w:pos="4320"/>
          <w:tab w:val="left" w:pos="5760"/>
          <w:tab w:val="left" w:pos="7200"/>
        </w:tabs>
        <w:jc w:val="center"/>
      </w:pPr>
      <w:r>
        <w:t>FACTUAL AND PROCEDURAL BACKGROUND</w:t>
      </w:r>
    </w:p>
    <w:p w14:paraId="40E72CE4" w14:textId="4A1294BE" w:rsidR="001C13E6" w:rsidRPr="00BE3C5E" w:rsidRDefault="008B78F8" w:rsidP="00877181">
      <w:pPr>
        <w:tabs>
          <w:tab w:val="left" w:pos="1440"/>
          <w:tab w:val="left" w:pos="2880"/>
          <w:tab w:val="left" w:pos="4320"/>
          <w:tab w:val="left" w:pos="5760"/>
          <w:tab w:val="left" w:pos="7200"/>
        </w:tabs>
        <w:ind w:firstLine="720"/>
      </w:pPr>
      <w:r>
        <w:t xml:space="preserve">Betteravia </w:t>
      </w:r>
      <w:r w:rsidR="000D42BE">
        <w:t xml:space="preserve">contracted with </w:t>
      </w:r>
      <w:r>
        <w:t xml:space="preserve">Alco to provide </w:t>
      </w:r>
      <w:r w:rsidR="00CF1F58">
        <w:t>labor services</w:t>
      </w:r>
      <w:r>
        <w:t xml:space="preserve"> </w:t>
      </w:r>
      <w:r w:rsidR="00643B94">
        <w:t xml:space="preserve">for </w:t>
      </w:r>
      <w:r w:rsidR="00474FC2">
        <w:t xml:space="preserve">its </w:t>
      </w:r>
      <w:r w:rsidR="00643B94">
        <w:t>produce farms</w:t>
      </w:r>
      <w:r w:rsidR="00A93599">
        <w:t xml:space="preserve">. </w:t>
      </w:r>
      <w:r w:rsidR="00643B94">
        <w:t xml:space="preserve"> </w:t>
      </w:r>
      <w:r w:rsidR="00A93599">
        <w:t xml:space="preserve">Guzman </w:t>
      </w:r>
      <w:r w:rsidR="00643B94">
        <w:t xml:space="preserve">is a </w:t>
      </w:r>
      <w:r w:rsidR="00474FC2">
        <w:t>c</w:t>
      </w:r>
      <w:r w:rsidR="00643B94">
        <w:t xml:space="preserve">itizen of Mexico </w:t>
      </w:r>
      <w:r w:rsidR="00BE3C5E">
        <w:t>recruited</w:t>
      </w:r>
      <w:r w:rsidR="00CF1F58">
        <w:t xml:space="preserve"> </w:t>
      </w:r>
      <w:r w:rsidR="000D42BE">
        <w:t xml:space="preserve">and hired </w:t>
      </w:r>
      <w:r w:rsidR="00CF1F58">
        <w:t>by Alco</w:t>
      </w:r>
      <w:r w:rsidR="00620E80">
        <w:t xml:space="preserve"> under the H-2A program</w:t>
      </w:r>
      <w:r w:rsidR="00643B94">
        <w:t>.</w:t>
      </w:r>
      <w:r w:rsidR="00A52DD1">
        <w:t xml:space="preserve">  </w:t>
      </w:r>
      <w:r w:rsidR="00643B94">
        <w:t>He entered the United States under a</w:t>
      </w:r>
      <w:r w:rsidR="00F17BFD">
        <w:t>n</w:t>
      </w:r>
      <w:r w:rsidR="00643B94">
        <w:t xml:space="preserve"> H-2A work visa </w:t>
      </w:r>
      <w:r w:rsidR="00CF1F58">
        <w:t xml:space="preserve">in </w:t>
      </w:r>
      <w:r w:rsidR="000D42BE">
        <w:t xml:space="preserve">early 2020 and worked for two growing seasons </w:t>
      </w:r>
      <w:r w:rsidR="00551B75">
        <w:t xml:space="preserve">at Betteravia farms </w:t>
      </w:r>
      <w:r w:rsidR="00D17524">
        <w:t xml:space="preserve">in </w:t>
      </w:r>
      <w:r w:rsidR="00F328D0">
        <w:t>Yuma, Arizona and</w:t>
      </w:r>
      <w:r w:rsidR="000D42BE">
        <w:t xml:space="preserve"> Santa Maria, California.  Guzman </w:t>
      </w:r>
      <w:r w:rsidR="00643B94">
        <w:t xml:space="preserve">returned to Mexico </w:t>
      </w:r>
      <w:r w:rsidR="00BE3C5E">
        <w:t xml:space="preserve">in July </w:t>
      </w:r>
      <w:r w:rsidR="00D17524">
        <w:t>when</w:t>
      </w:r>
      <w:r w:rsidR="00BE3C5E">
        <w:t xml:space="preserve"> he contracted COVID-19</w:t>
      </w:r>
      <w:r w:rsidR="00CF1F58">
        <w:t>.</w:t>
      </w:r>
      <w:r w:rsidR="00A52DD1">
        <w:t xml:space="preserve">  </w:t>
      </w:r>
    </w:p>
    <w:p w14:paraId="23AEACCA" w14:textId="656442F6" w:rsidR="00643B94" w:rsidRPr="00A93B88" w:rsidRDefault="00643B94" w:rsidP="00877181">
      <w:pPr>
        <w:tabs>
          <w:tab w:val="left" w:pos="1440"/>
          <w:tab w:val="left" w:pos="2880"/>
          <w:tab w:val="left" w:pos="4320"/>
          <w:tab w:val="left" w:pos="5760"/>
          <w:tab w:val="left" w:pos="7200"/>
        </w:tabs>
        <w:ind w:firstLine="720"/>
      </w:pPr>
      <w:r>
        <w:t xml:space="preserve">Guzman filed this action </w:t>
      </w:r>
      <w:r w:rsidR="00F328D0">
        <w:t xml:space="preserve">asserting individual employment claims and </w:t>
      </w:r>
      <w:r w:rsidR="002F4F26">
        <w:t>a Private Attorney General Act (PAGA) claim</w:t>
      </w:r>
      <w:r>
        <w:t>.</w:t>
      </w:r>
      <w:r w:rsidR="00A52DD1">
        <w:t xml:space="preserve">  </w:t>
      </w:r>
      <w:r w:rsidR="00CD56FD">
        <w:t xml:space="preserve">The Labor Commissioner </w:t>
      </w:r>
      <w:r w:rsidR="00362859">
        <w:t xml:space="preserve">filed an </w:t>
      </w:r>
      <w:r w:rsidR="00CF1F58">
        <w:t xml:space="preserve">enforcement </w:t>
      </w:r>
      <w:r w:rsidR="00362859">
        <w:t xml:space="preserve">action </w:t>
      </w:r>
      <w:r w:rsidR="00474FC2">
        <w:t>arising from the same alleged violations</w:t>
      </w:r>
      <w:r w:rsidR="00362859">
        <w:t>.</w:t>
      </w:r>
      <w:r w:rsidR="00A52DD1">
        <w:t xml:space="preserve">  </w:t>
      </w:r>
      <w:r w:rsidR="00362859">
        <w:t xml:space="preserve">The trial court consolidated the cases for all purposes at the </w:t>
      </w:r>
      <w:r w:rsidR="00474FC2">
        <w:t xml:space="preserve">request of the </w:t>
      </w:r>
      <w:r w:rsidR="00362859">
        <w:t>Labor Commissioner.</w:t>
      </w:r>
      <w:r w:rsidR="00362859">
        <w:rPr>
          <w:rStyle w:val="FootnoteReference"/>
        </w:rPr>
        <w:footnoteReference w:id="2"/>
      </w:r>
      <w:r w:rsidR="00A93B88">
        <w:t xml:space="preserve"> </w:t>
      </w:r>
      <w:r w:rsidR="00A52DD1">
        <w:t xml:space="preserve"> </w:t>
      </w:r>
    </w:p>
    <w:p w14:paraId="250D9E51" w14:textId="5CB86859" w:rsidR="00474FC2" w:rsidRPr="00CF1439" w:rsidRDefault="00474FC2" w:rsidP="00877181">
      <w:pPr>
        <w:tabs>
          <w:tab w:val="left" w:pos="1440"/>
          <w:tab w:val="left" w:pos="2880"/>
          <w:tab w:val="left" w:pos="4320"/>
          <w:tab w:val="left" w:pos="5760"/>
          <w:tab w:val="left" w:pos="7200"/>
        </w:tabs>
        <w:ind w:firstLine="720"/>
      </w:pPr>
      <w:r>
        <w:t xml:space="preserve">Alco moved to compel </w:t>
      </w:r>
      <w:r w:rsidR="00CF1F58">
        <w:t>a</w:t>
      </w:r>
      <w:r>
        <w:t>rbitrat</w:t>
      </w:r>
      <w:r w:rsidR="00CF1F58">
        <w:t xml:space="preserve">ion of Guzman’s </w:t>
      </w:r>
      <w:r>
        <w:t xml:space="preserve">claims pursuant to a written agreement he </w:t>
      </w:r>
      <w:r w:rsidR="00CF1439">
        <w:t xml:space="preserve">and other workers </w:t>
      </w:r>
      <w:r>
        <w:t xml:space="preserve">signed </w:t>
      </w:r>
      <w:r w:rsidR="00CF1439">
        <w:t xml:space="preserve">in Mexico </w:t>
      </w:r>
      <w:r w:rsidR="00C43559">
        <w:t>during their orientation</w:t>
      </w:r>
      <w:r>
        <w:t>.</w:t>
      </w:r>
      <w:r w:rsidR="00A52DD1">
        <w:t xml:space="preserve">  </w:t>
      </w:r>
      <w:r>
        <w:t>The trial court denied the motio</w:t>
      </w:r>
      <w:r w:rsidR="00DF1930">
        <w:t xml:space="preserve">n. </w:t>
      </w:r>
      <w:r w:rsidR="00C43559">
        <w:t xml:space="preserve"> </w:t>
      </w:r>
      <w:r w:rsidR="00DF1930">
        <w:t xml:space="preserve">It </w:t>
      </w:r>
      <w:r w:rsidR="004661DB">
        <w:t xml:space="preserve">noted </w:t>
      </w:r>
      <w:r w:rsidR="00DF1930">
        <w:t xml:space="preserve">Alco </w:t>
      </w:r>
      <w:r w:rsidR="006D6864">
        <w:t xml:space="preserve">had not listed mandatory arbitration as one of the material terms of employment </w:t>
      </w:r>
      <w:r w:rsidR="00BF4B5F">
        <w:t>when i</w:t>
      </w:r>
      <w:r w:rsidR="00835BED">
        <w:t xml:space="preserve">t sought </w:t>
      </w:r>
      <w:r w:rsidR="00FE349B">
        <w:t xml:space="preserve">DOL </w:t>
      </w:r>
      <w:r w:rsidR="009D5568">
        <w:t>certification</w:t>
      </w:r>
      <w:r w:rsidR="00835BED">
        <w:t xml:space="preserve"> to hire Guzman and other temporary workers under the H-2A program.</w:t>
      </w:r>
      <w:r w:rsidR="00A52DD1">
        <w:t xml:space="preserve">  </w:t>
      </w:r>
      <w:r w:rsidR="006D6864">
        <w:t xml:space="preserve">This </w:t>
      </w:r>
      <w:r w:rsidR="00897CC4">
        <w:t xml:space="preserve">violated federal regulations requiring </w:t>
      </w:r>
      <w:r w:rsidR="00897CC4">
        <w:lastRenderedPageBreak/>
        <w:t xml:space="preserve">disclosure of such terms and </w:t>
      </w:r>
      <w:r w:rsidR="006D6864">
        <w:t xml:space="preserve">prevented </w:t>
      </w:r>
      <w:r w:rsidR="00BF4B5F">
        <w:t xml:space="preserve">Alco </w:t>
      </w:r>
      <w:r w:rsidR="0046306F">
        <w:t xml:space="preserve">and Betteravia </w:t>
      </w:r>
      <w:r w:rsidR="006D6864">
        <w:t>from</w:t>
      </w:r>
      <w:r w:rsidR="00BF4B5F">
        <w:t xml:space="preserve"> enforc</w:t>
      </w:r>
      <w:r w:rsidR="006D6864">
        <w:t>ing</w:t>
      </w:r>
      <w:r w:rsidR="00BF4B5F">
        <w:t xml:space="preserve"> </w:t>
      </w:r>
      <w:r w:rsidR="006D6864">
        <w:t xml:space="preserve">any subsequent </w:t>
      </w:r>
      <w:r w:rsidR="00F17BFD">
        <w:t xml:space="preserve">arbitration </w:t>
      </w:r>
      <w:r w:rsidR="006D6864">
        <w:t>agreement</w:t>
      </w:r>
      <w:r w:rsidR="00897CC4">
        <w:t xml:space="preserve"> imposed on the workers</w:t>
      </w:r>
      <w:r w:rsidR="00BF4B5F">
        <w:t xml:space="preserve">.  The trial court also denied </w:t>
      </w:r>
      <w:r w:rsidR="0046306F">
        <w:t>their</w:t>
      </w:r>
      <w:r w:rsidR="00182246">
        <w:t xml:space="preserve"> </w:t>
      </w:r>
      <w:r w:rsidR="00BF4B5F">
        <w:t xml:space="preserve">request to stay the Labor Commissioner’s </w:t>
      </w:r>
      <w:r w:rsidR="004661DB">
        <w:t>action pending arbitration.</w:t>
      </w:r>
      <w:r w:rsidR="004661DB">
        <w:rPr>
          <w:rStyle w:val="FootnoteReference"/>
        </w:rPr>
        <w:footnoteReference w:id="3"/>
      </w:r>
      <w:r w:rsidR="00CF1439">
        <w:t xml:space="preserve"> </w:t>
      </w:r>
      <w:r w:rsidR="00A52DD1">
        <w:t xml:space="preserve"> </w:t>
      </w:r>
      <w:r w:rsidR="00551B75">
        <w:t>Alco and Betteravia</w:t>
      </w:r>
      <w:r w:rsidR="0046306F">
        <w:t xml:space="preserve"> appeal both orders. </w:t>
      </w:r>
    </w:p>
    <w:p w14:paraId="7FB20C5A" w14:textId="77777777" w:rsidR="0000191B" w:rsidRDefault="0000191B" w:rsidP="004F3D39">
      <w:pPr>
        <w:tabs>
          <w:tab w:val="left" w:pos="1440"/>
          <w:tab w:val="left" w:pos="2880"/>
          <w:tab w:val="left" w:pos="4320"/>
          <w:tab w:val="left" w:pos="5760"/>
          <w:tab w:val="left" w:pos="7200"/>
        </w:tabs>
        <w:jc w:val="center"/>
      </w:pPr>
      <w:r>
        <w:t>DISCUSSION</w:t>
      </w:r>
    </w:p>
    <w:p w14:paraId="6C90DD9E" w14:textId="559D3775" w:rsidR="00151368" w:rsidRPr="00A66917" w:rsidRDefault="00151368" w:rsidP="004F3D39">
      <w:pPr>
        <w:tabs>
          <w:tab w:val="left" w:pos="1440"/>
          <w:tab w:val="left" w:pos="2880"/>
          <w:tab w:val="left" w:pos="4320"/>
          <w:tab w:val="left" w:pos="5760"/>
          <w:tab w:val="left" w:pos="7200"/>
        </w:tabs>
        <w:jc w:val="center"/>
        <w:rPr>
          <w:i/>
          <w:iCs/>
        </w:rPr>
      </w:pPr>
      <w:r>
        <w:rPr>
          <w:i/>
          <w:iCs/>
        </w:rPr>
        <w:t>Standard of Review</w:t>
      </w:r>
    </w:p>
    <w:p w14:paraId="0C92D93B" w14:textId="717B955B" w:rsidR="00151368" w:rsidRDefault="0046306F" w:rsidP="004F3D39">
      <w:pPr>
        <w:tabs>
          <w:tab w:val="left" w:pos="1440"/>
          <w:tab w:val="left" w:pos="2880"/>
          <w:tab w:val="left" w:pos="4320"/>
          <w:tab w:val="left" w:pos="5760"/>
          <w:tab w:val="left" w:pos="7200"/>
        </w:tabs>
        <w:ind w:firstLine="720"/>
      </w:pPr>
      <w:r w:rsidRPr="0046306F">
        <w:t xml:space="preserve">The trial court </w:t>
      </w:r>
      <w:r w:rsidR="00897CC4">
        <w:t xml:space="preserve">found </w:t>
      </w:r>
      <w:r w:rsidR="005F239D">
        <w:t xml:space="preserve">the arbitration agreement </w:t>
      </w:r>
      <w:r w:rsidR="00897CC4">
        <w:t xml:space="preserve">violated federal regulations </w:t>
      </w:r>
      <w:r w:rsidR="005F239D">
        <w:t xml:space="preserve">as a matter of law.  </w:t>
      </w:r>
      <w:r w:rsidR="00897CC4">
        <w:t xml:space="preserve">We review </w:t>
      </w:r>
      <w:r w:rsidR="006258EE">
        <w:t xml:space="preserve">de novo </w:t>
      </w:r>
      <w:r w:rsidR="00897CC4">
        <w:t xml:space="preserve">whether </w:t>
      </w:r>
      <w:r w:rsidR="005F239D">
        <w:t>Guzman</w:t>
      </w:r>
      <w:r w:rsidRPr="0046306F">
        <w:t xml:space="preserve"> must arbitrate </w:t>
      </w:r>
      <w:r w:rsidR="00897CC4">
        <w:t>his claims</w:t>
      </w:r>
      <w:r w:rsidRPr="0046306F">
        <w:t xml:space="preserve">.  (See </w:t>
      </w:r>
      <w:r w:rsidRPr="0046306F">
        <w:rPr>
          <w:i/>
          <w:iCs/>
        </w:rPr>
        <w:t>Mendez v. Mid-Wilshire Health Care Center</w:t>
      </w:r>
      <w:r w:rsidRPr="0046306F">
        <w:t xml:space="preserve"> (2013) 220 Cal.App.4th 534, 541 [“‘Ordinarily, we review a denial of a petition to compel arbitration for abuse of discretion.  [Citation.]  However, where the trial court’s denial of a petition to arbitrate presents a pure question of law, we review the order de novo</w:t>
      </w:r>
      <w:r w:rsidR="004D2D59">
        <w:t>.</w:t>
      </w:r>
      <w:r w:rsidRPr="0046306F">
        <w:t>’”].)</w:t>
      </w:r>
    </w:p>
    <w:p w14:paraId="78A47662" w14:textId="0C69B433" w:rsidR="00A66917" w:rsidRPr="00A66917" w:rsidRDefault="00871B72" w:rsidP="004F3D39">
      <w:pPr>
        <w:tabs>
          <w:tab w:val="left" w:pos="1440"/>
          <w:tab w:val="left" w:pos="2880"/>
          <w:tab w:val="left" w:pos="4320"/>
          <w:tab w:val="left" w:pos="5760"/>
          <w:tab w:val="left" w:pos="7200"/>
        </w:tabs>
        <w:jc w:val="center"/>
        <w:rPr>
          <w:i/>
          <w:iCs/>
        </w:rPr>
      </w:pPr>
      <w:r>
        <w:rPr>
          <w:i/>
          <w:iCs/>
        </w:rPr>
        <w:t>H-2A Temporary Agricultural Program</w:t>
      </w:r>
    </w:p>
    <w:p w14:paraId="411C9951" w14:textId="0181F536" w:rsidR="00566160" w:rsidRDefault="00397A6F" w:rsidP="00FB4F4D">
      <w:pPr>
        <w:tabs>
          <w:tab w:val="left" w:pos="1440"/>
          <w:tab w:val="left" w:pos="2880"/>
          <w:tab w:val="left" w:pos="4320"/>
          <w:tab w:val="left" w:pos="5760"/>
          <w:tab w:val="left" w:pos="7200"/>
        </w:tabs>
        <w:ind w:firstLine="720"/>
      </w:pPr>
      <w:r>
        <w:t xml:space="preserve">The H-2A program allows employers </w:t>
      </w:r>
      <w:r w:rsidR="00FB4F4D">
        <w:t>in the agricultural sect</w:t>
      </w:r>
      <w:r w:rsidR="007E42FD">
        <w:t>or</w:t>
      </w:r>
      <w:r w:rsidR="00FB4F4D">
        <w:t xml:space="preserve"> </w:t>
      </w:r>
      <w:r>
        <w:t xml:space="preserve">to </w:t>
      </w:r>
      <w:r w:rsidR="00FE349B">
        <w:t>hire</w:t>
      </w:r>
      <w:r>
        <w:t xml:space="preserve"> temporary foreign workers </w:t>
      </w:r>
      <w:r w:rsidR="00864090">
        <w:t xml:space="preserve">when </w:t>
      </w:r>
      <w:r>
        <w:t xml:space="preserve">“there are not </w:t>
      </w:r>
      <w:r w:rsidRPr="00397A6F">
        <w:t xml:space="preserve">sufficient </w:t>
      </w:r>
      <w:r w:rsidR="00864090">
        <w:t xml:space="preserve">[domestic] </w:t>
      </w:r>
      <w:r w:rsidRPr="00397A6F">
        <w:t>workers who are able, willing, and qualified, and who will be available at the time and place needed, to perform the labor or services</w:t>
      </w:r>
      <w:r w:rsidR="00FB4F4D">
        <w:t>.</w:t>
      </w:r>
      <w:r w:rsidR="00864090">
        <w:t>”</w:t>
      </w:r>
      <w:r w:rsidR="0065795E">
        <w:t xml:space="preserve"> </w:t>
      </w:r>
      <w:r w:rsidR="00FB4F4D">
        <w:t xml:space="preserve"> </w:t>
      </w:r>
      <w:r>
        <w:t xml:space="preserve">(8 U.S.C. </w:t>
      </w:r>
      <w:r w:rsidR="00FE349B">
        <w:t xml:space="preserve">§ 1188(a)(1)(A); 20 C.F.R. § 655.100(a)(1)(i).) </w:t>
      </w:r>
      <w:r w:rsidR="00864090">
        <w:t xml:space="preserve"> </w:t>
      </w:r>
      <w:r w:rsidR="00A31186">
        <w:t>An em</w:t>
      </w:r>
      <w:r w:rsidR="00FB4F4D">
        <w:t xml:space="preserve">ployer must </w:t>
      </w:r>
      <w:r w:rsidR="00566160">
        <w:t xml:space="preserve">seek certification from DOL before </w:t>
      </w:r>
      <w:r w:rsidR="002D5F00">
        <w:t xml:space="preserve">it </w:t>
      </w:r>
      <w:r w:rsidR="00566160">
        <w:t xml:space="preserve">can </w:t>
      </w:r>
      <w:r w:rsidR="0065795E">
        <w:t xml:space="preserve">recruit </w:t>
      </w:r>
      <w:r w:rsidR="001F5572">
        <w:t xml:space="preserve">H-2A </w:t>
      </w:r>
      <w:r w:rsidR="00CC1560">
        <w:t xml:space="preserve">foreign </w:t>
      </w:r>
      <w:r w:rsidR="001F5572">
        <w:t>workers</w:t>
      </w:r>
      <w:r w:rsidR="00CC1560">
        <w:t>.</w:t>
      </w:r>
    </w:p>
    <w:p w14:paraId="3BCBF324" w14:textId="2DAC36AA" w:rsidR="005434A1" w:rsidRDefault="00F24BE4" w:rsidP="00FB4F4D">
      <w:pPr>
        <w:tabs>
          <w:tab w:val="left" w:pos="1440"/>
          <w:tab w:val="left" w:pos="2880"/>
          <w:tab w:val="left" w:pos="4320"/>
          <w:tab w:val="left" w:pos="5760"/>
          <w:tab w:val="left" w:pos="7200"/>
        </w:tabs>
        <w:ind w:firstLine="720"/>
      </w:pPr>
      <w:r>
        <w:t xml:space="preserve">The </w:t>
      </w:r>
      <w:r w:rsidR="00FB4F4D">
        <w:t>employer</w:t>
      </w:r>
      <w:r w:rsidR="0058278D">
        <w:t xml:space="preserve"> </w:t>
      </w:r>
      <w:r>
        <w:t>first</w:t>
      </w:r>
      <w:r w:rsidR="0058278D">
        <w:t xml:space="preserve"> </w:t>
      </w:r>
      <w:r w:rsidR="00B23BEF">
        <w:t>s</w:t>
      </w:r>
      <w:r w:rsidR="00EE77DA">
        <w:t>ubmit</w:t>
      </w:r>
      <w:r>
        <w:t>s</w:t>
      </w:r>
      <w:r w:rsidR="00EE77DA">
        <w:t xml:space="preserve"> </w:t>
      </w:r>
      <w:r w:rsidR="00566160" w:rsidRPr="00566160">
        <w:t>Form ETA-790/790A, called a “Job Order</w:t>
      </w:r>
      <w:r w:rsidR="005434A1">
        <w:t>.</w:t>
      </w:r>
      <w:r w:rsidR="00566160">
        <w:t>”</w:t>
      </w:r>
      <w:r w:rsidR="006258EE">
        <w:t xml:space="preserve"> </w:t>
      </w:r>
      <w:r w:rsidR="003A3C37">
        <w:t xml:space="preserve"> (20 C.F.R. § 655.121(a).) </w:t>
      </w:r>
      <w:r w:rsidR="00F82665">
        <w:t xml:space="preserve"> </w:t>
      </w:r>
      <w:r w:rsidR="005434A1" w:rsidRPr="005434A1">
        <w:t xml:space="preserve">DOL’s implementing regulations define a “Job Order” as “[t]he document containing </w:t>
      </w:r>
      <w:r w:rsidR="005434A1" w:rsidRPr="005434A1">
        <w:lastRenderedPageBreak/>
        <w:t xml:space="preserve">the </w:t>
      </w:r>
      <w:r w:rsidR="005434A1" w:rsidRPr="00A52DD1">
        <w:rPr>
          <w:i/>
          <w:iCs/>
        </w:rPr>
        <w:t>material terms and conditions of employment</w:t>
      </w:r>
      <w:r w:rsidR="005434A1" w:rsidRPr="005434A1">
        <w:t xml:space="preserve"> that is posted by the State Workforce Agency (SWA) on its interstate and intrastate job clearance systems based on the employer’s Agricultural Clearance Order (Form ETA-790/ETA-790A and all appropriate addenda).”  (20 C.F.R. § 655.103(b), italics added.)  Any Job Order submitted to DOL by an employer must contain the following language:  “This clearance order describes the actual terms and conditions of the employment being offered by me and contains all the material terms and conditions of the job.”  (</w:t>
      </w:r>
      <w:r w:rsidR="005434A1" w:rsidRPr="004D2D59">
        <w:rPr>
          <w:i/>
          <w:iCs/>
        </w:rPr>
        <w:t>Id</w:t>
      </w:r>
      <w:r w:rsidR="005434A1" w:rsidRPr="005434A1">
        <w:t xml:space="preserve">., § 653.501(c)(3)(viii).)  </w:t>
      </w:r>
    </w:p>
    <w:p w14:paraId="711FE264" w14:textId="40DA5812" w:rsidR="00E948B8" w:rsidRDefault="008C2757" w:rsidP="00FB4F4D">
      <w:pPr>
        <w:tabs>
          <w:tab w:val="left" w:pos="1440"/>
          <w:tab w:val="left" w:pos="2880"/>
          <w:tab w:val="left" w:pos="4320"/>
          <w:tab w:val="left" w:pos="5760"/>
          <w:tab w:val="left" w:pos="7200"/>
        </w:tabs>
        <w:ind w:firstLine="720"/>
      </w:pPr>
      <w:r>
        <w:t xml:space="preserve">DOL transmits </w:t>
      </w:r>
      <w:r w:rsidR="00C4759C">
        <w:t xml:space="preserve">the </w:t>
      </w:r>
      <w:r w:rsidR="005B4A65">
        <w:t xml:space="preserve">Job Order </w:t>
      </w:r>
      <w:r>
        <w:t xml:space="preserve">to the </w:t>
      </w:r>
      <w:r w:rsidR="00BE6EC2">
        <w:t>State Workforce Agency (SWA)</w:t>
      </w:r>
      <w:r>
        <w:t xml:space="preserve"> of each state in which the employer intends to use the workers.  (</w:t>
      </w:r>
      <w:r w:rsidR="004E1DC5" w:rsidRPr="005434A1">
        <w:t>20 C.F.R.</w:t>
      </w:r>
      <w:r>
        <w:t xml:space="preserve"> § 655.150(a).) </w:t>
      </w:r>
      <w:r w:rsidR="00BE6EC2">
        <w:t xml:space="preserve"> </w:t>
      </w:r>
      <w:r w:rsidR="008D0A2D">
        <w:t xml:space="preserve">SWA places approved orders into a publicly accessible clearance system </w:t>
      </w:r>
      <w:r w:rsidR="00FB4F4D">
        <w:t>that</w:t>
      </w:r>
      <w:r w:rsidR="008F1F71">
        <w:t xml:space="preserve"> </w:t>
      </w:r>
      <w:r w:rsidR="008D0A2D">
        <w:t xml:space="preserve">domestic workers can </w:t>
      </w:r>
      <w:r w:rsidR="00FB4F4D">
        <w:t xml:space="preserve">use to </w:t>
      </w:r>
      <w:r w:rsidR="008F1F71">
        <w:t>a</w:t>
      </w:r>
      <w:r w:rsidR="008D0A2D">
        <w:t xml:space="preserve">pply </w:t>
      </w:r>
      <w:r w:rsidR="008F1F71">
        <w:t>for</w:t>
      </w:r>
      <w:r w:rsidR="00AD3967">
        <w:t xml:space="preserve"> </w:t>
      </w:r>
      <w:r w:rsidR="00FB4F4D">
        <w:t>posted job</w:t>
      </w:r>
      <w:r w:rsidR="00AD3967">
        <w:t xml:space="preserve"> openings</w:t>
      </w:r>
      <w:r w:rsidR="008D0A2D">
        <w:t xml:space="preserve">. </w:t>
      </w:r>
      <w:r w:rsidR="0065795E">
        <w:t xml:space="preserve"> </w:t>
      </w:r>
      <w:r w:rsidR="008D0A2D">
        <w:t>(</w:t>
      </w:r>
      <w:r w:rsidR="00A66026" w:rsidRPr="004B3AB6">
        <w:rPr>
          <w:i/>
          <w:iCs/>
        </w:rPr>
        <w:t>Id</w:t>
      </w:r>
      <w:r w:rsidR="00A66026">
        <w:t>.,</w:t>
      </w:r>
      <w:r w:rsidR="008D0A2D">
        <w:t xml:space="preserve"> § 655.121(f)</w:t>
      </w:r>
      <w:r w:rsidR="005B4A65">
        <w:t>, (g)</w:t>
      </w:r>
      <w:r w:rsidR="008D0A2D">
        <w:t>.)</w:t>
      </w:r>
      <w:r w:rsidR="005B4A65">
        <w:t xml:space="preserve">  </w:t>
      </w:r>
      <w:r w:rsidR="00E43A19">
        <w:t xml:space="preserve">Orders so posted are called “Clearance Orders.”  </w:t>
      </w:r>
      <w:r w:rsidR="005B4A65">
        <w:t xml:space="preserve">Employers must </w:t>
      </w:r>
      <w:r w:rsidR="00D17524">
        <w:t xml:space="preserve">try to </w:t>
      </w:r>
      <w:r w:rsidR="005B4A65">
        <w:t xml:space="preserve">recruit from the domestic labor market </w:t>
      </w:r>
      <w:r w:rsidR="00845290">
        <w:t>and hire any “qualified, eligible U.S. worker who applies . . . until 50</w:t>
      </w:r>
      <w:r w:rsidR="00A66026">
        <w:t xml:space="preserve"> percent</w:t>
      </w:r>
      <w:r w:rsidR="00845290">
        <w:t xml:space="preserve"> of the period of the work contract has elapsed.”  (</w:t>
      </w:r>
      <w:r w:rsidR="00A66026" w:rsidRPr="004B3AB6">
        <w:rPr>
          <w:i/>
          <w:iCs/>
        </w:rPr>
        <w:t>Id</w:t>
      </w:r>
      <w:r w:rsidR="00A66026">
        <w:t>.,</w:t>
      </w:r>
      <w:r w:rsidR="00845290">
        <w:t xml:space="preserve"> § 655.135</w:t>
      </w:r>
      <w:r w:rsidR="005A2839">
        <w:t xml:space="preserve">(c), </w:t>
      </w:r>
      <w:r w:rsidR="00845290">
        <w:t>(d).)</w:t>
      </w:r>
    </w:p>
    <w:p w14:paraId="585E9884" w14:textId="13717758" w:rsidR="009A0B7A" w:rsidRDefault="005A2839" w:rsidP="002D5F00">
      <w:pPr>
        <w:tabs>
          <w:tab w:val="left" w:pos="1440"/>
          <w:tab w:val="left" w:pos="2880"/>
          <w:tab w:val="left" w:pos="4320"/>
          <w:tab w:val="left" w:pos="5760"/>
          <w:tab w:val="left" w:pos="7200"/>
        </w:tabs>
        <w:ind w:firstLine="720"/>
      </w:pPr>
      <w:r>
        <w:t>T</w:t>
      </w:r>
      <w:r w:rsidR="0065795E">
        <w:t xml:space="preserve">he employer </w:t>
      </w:r>
      <w:r w:rsidR="00D17524">
        <w:t xml:space="preserve">next </w:t>
      </w:r>
      <w:r w:rsidR="00D126C6">
        <w:t>submit</w:t>
      </w:r>
      <w:r w:rsidR="00D17524">
        <w:t xml:space="preserve">s a completed Form ETA-9142A, called an “Application for Temporary Employment Certification” (Application), along </w:t>
      </w:r>
      <w:r w:rsidR="00975147">
        <w:t>with “all supporting documentation and information.”</w:t>
      </w:r>
      <w:r w:rsidR="00D126C6">
        <w:t xml:space="preserve"> </w:t>
      </w:r>
      <w:r w:rsidR="00995258">
        <w:t xml:space="preserve"> (20 C.F.R. § 655.130</w:t>
      </w:r>
      <w:r w:rsidR="00975147">
        <w:t>(a)</w:t>
      </w:r>
      <w:r w:rsidR="00995258">
        <w:t>.)</w:t>
      </w:r>
      <w:r w:rsidR="00D126C6">
        <w:t xml:space="preserve"> </w:t>
      </w:r>
      <w:r w:rsidR="00E17FB3">
        <w:t xml:space="preserve"> </w:t>
      </w:r>
      <w:r w:rsidR="00995258">
        <w:t xml:space="preserve">This </w:t>
      </w:r>
      <w:r w:rsidR="00E17FB3">
        <w:t xml:space="preserve">must </w:t>
      </w:r>
      <w:r w:rsidR="00995258">
        <w:t>include</w:t>
      </w:r>
      <w:r w:rsidR="00975147">
        <w:t xml:space="preserve"> a copy of the completed Job Order.</w:t>
      </w:r>
      <w:r w:rsidR="00995258">
        <w:t xml:space="preserve">  (</w:t>
      </w:r>
      <w:r w:rsidR="00975147" w:rsidRPr="00975147">
        <w:rPr>
          <w:i/>
          <w:iCs/>
        </w:rPr>
        <w:t>I</w:t>
      </w:r>
      <w:r w:rsidR="00A66026">
        <w:rPr>
          <w:i/>
          <w:iCs/>
        </w:rPr>
        <w:t>bi</w:t>
      </w:r>
      <w:r w:rsidR="00975147" w:rsidRPr="00975147">
        <w:rPr>
          <w:i/>
          <w:iCs/>
        </w:rPr>
        <w:t>d</w:t>
      </w:r>
      <w:r w:rsidR="00995258" w:rsidRPr="00975147">
        <w:rPr>
          <w:i/>
          <w:iCs/>
        </w:rPr>
        <w:t>.</w:t>
      </w:r>
      <w:r w:rsidR="00995258">
        <w:t xml:space="preserve">)  </w:t>
      </w:r>
      <w:r w:rsidR="000F3ACD">
        <w:t xml:space="preserve">DOL </w:t>
      </w:r>
      <w:r w:rsidR="00621952">
        <w:t xml:space="preserve">reviews </w:t>
      </w:r>
      <w:r w:rsidR="000F3ACD">
        <w:t>the Application together with the Job Order and notif</w:t>
      </w:r>
      <w:r w:rsidR="00D17524">
        <w:t>ies</w:t>
      </w:r>
      <w:r w:rsidR="000F3ACD">
        <w:t xml:space="preserve"> the applicant of any deficiencies. </w:t>
      </w:r>
      <w:r w:rsidR="004E1DC5">
        <w:t xml:space="preserve"> </w:t>
      </w:r>
      <w:r w:rsidR="000F3ACD">
        <w:t>(</w:t>
      </w:r>
      <w:r w:rsidR="00A66026" w:rsidRPr="004B3AB6">
        <w:rPr>
          <w:i/>
          <w:iCs/>
        </w:rPr>
        <w:t>Id</w:t>
      </w:r>
      <w:r w:rsidR="00A66026">
        <w:t>.,</w:t>
      </w:r>
      <w:r w:rsidR="000F3ACD">
        <w:t xml:space="preserve"> §§ 655.140(a), 655.141.)  </w:t>
      </w:r>
      <w:r w:rsidR="00621952">
        <w:t>It must grant or deny the Application “</w:t>
      </w:r>
      <w:r w:rsidR="00621952" w:rsidRPr="00621952">
        <w:t>not later than 30 calendar days before the first date of ne</w:t>
      </w:r>
      <w:r w:rsidR="00621952">
        <w:t>ed” for workers.</w:t>
      </w:r>
      <w:r w:rsidR="00FB4F4D">
        <w:t xml:space="preserve">  </w:t>
      </w:r>
      <w:r w:rsidR="00621952">
        <w:t>(</w:t>
      </w:r>
      <w:r w:rsidR="00A66026" w:rsidRPr="004B3AB6">
        <w:rPr>
          <w:i/>
          <w:iCs/>
        </w:rPr>
        <w:t>Id</w:t>
      </w:r>
      <w:r w:rsidR="00A66026">
        <w:t>.,</w:t>
      </w:r>
      <w:r w:rsidR="00621952">
        <w:t xml:space="preserve"> § 655.160.)</w:t>
      </w:r>
      <w:r w:rsidR="00F07B6B">
        <w:t xml:space="preserve">  DOL forwards certified Applications and Job Orders to United States Citizenship and Immigration Services.  (</w:t>
      </w:r>
      <w:r w:rsidR="00A66026" w:rsidRPr="004B3AB6">
        <w:rPr>
          <w:i/>
          <w:iCs/>
        </w:rPr>
        <w:t>Id</w:t>
      </w:r>
      <w:r w:rsidR="00A66026">
        <w:t>.,</w:t>
      </w:r>
      <w:r w:rsidR="00F07B6B">
        <w:t xml:space="preserve"> § 655.162.)  </w:t>
      </w:r>
      <w:r w:rsidR="00F07B6B">
        <w:lastRenderedPageBreak/>
        <w:t>E</w:t>
      </w:r>
      <w:r w:rsidR="00BE4B46">
        <w:t xml:space="preserve">mployers </w:t>
      </w:r>
      <w:r w:rsidR="00F07B6B">
        <w:t>may then hire</w:t>
      </w:r>
      <w:r w:rsidR="00BE4B46">
        <w:t xml:space="preserve"> </w:t>
      </w:r>
      <w:r w:rsidR="005F5F63">
        <w:t xml:space="preserve">and admit </w:t>
      </w:r>
      <w:r w:rsidR="00BE4B46">
        <w:t xml:space="preserve">foreign workers </w:t>
      </w:r>
      <w:r w:rsidR="005F5F63">
        <w:t xml:space="preserve">into the </w:t>
      </w:r>
      <w:r w:rsidR="00F07B6B">
        <w:t>country</w:t>
      </w:r>
      <w:r w:rsidR="005F5F63">
        <w:t xml:space="preserve"> on H-2A visas.</w:t>
      </w:r>
      <w:r w:rsidR="00BE4B46">
        <w:t xml:space="preserve"> </w:t>
      </w:r>
      <w:r w:rsidR="00E948B8">
        <w:t xml:space="preserve"> </w:t>
      </w:r>
      <w:r w:rsidR="00F07B6B">
        <w:t>(</w:t>
      </w:r>
      <w:r w:rsidR="00A66026" w:rsidRPr="004B3AB6">
        <w:rPr>
          <w:i/>
          <w:iCs/>
        </w:rPr>
        <w:t>Id</w:t>
      </w:r>
      <w:r w:rsidR="00A66026">
        <w:t>.,</w:t>
      </w:r>
      <w:r w:rsidR="00F07B6B">
        <w:t xml:space="preserve"> § 655.130.)</w:t>
      </w:r>
    </w:p>
    <w:p w14:paraId="400DF72A" w14:textId="7DEFC198" w:rsidR="00A66917" w:rsidRPr="00A66917" w:rsidRDefault="00871B72" w:rsidP="004F3D39">
      <w:pPr>
        <w:tabs>
          <w:tab w:val="left" w:pos="1440"/>
          <w:tab w:val="left" w:pos="2880"/>
          <w:tab w:val="left" w:pos="4320"/>
          <w:tab w:val="left" w:pos="5760"/>
          <w:tab w:val="left" w:pos="7200"/>
        </w:tabs>
        <w:jc w:val="center"/>
        <w:rPr>
          <w:i/>
          <w:iCs/>
        </w:rPr>
      </w:pPr>
      <w:r>
        <w:rPr>
          <w:i/>
          <w:iCs/>
        </w:rPr>
        <w:t>Validity of Arbitration Agreement</w:t>
      </w:r>
    </w:p>
    <w:p w14:paraId="6409452A" w14:textId="00897511" w:rsidR="006966CB" w:rsidRDefault="00E17FB3" w:rsidP="0003117F">
      <w:pPr>
        <w:tabs>
          <w:tab w:val="left" w:pos="1440"/>
          <w:tab w:val="left" w:pos="2880"/>
          <w:tab w:val="left" w:pos="4320"/>
          <w:tab w:val="left" w:pos="5760"/>
          <w:tab w:val="left" w:pos="7200"/>
        </w:tabs>
        <w:ind w:firstLine="720"/>
      </w:pPr>
      <w:r>
        <w:t xml:space="preserve">Alco and Betteravia </w:t>
      </w:r>
      <w:r w:rsidR="005072C4">
        <w:t xml:space="preserve">contend </w:t>
      </w:r>
      <w:r w:rsidR="002611EB">
        <w:t xml:space="preserve">the </w:t>
      </w:r>
      <w:r w:rsidR="00390C40">
        <w:t xml:space="preserve">arbitration </w:t>
      </w:r>
      <w:r w:rsidR="005072C4">
        <w:t xml:space="preserve">agreement </w:t>
      </w:r>
      <w:r w:rsidR="002611EB">
        <w:t xml:space="preserve">signed by Guzman </w:t>
      </w:r>
      <w:r w:rsidR="009D5568">
        <w:t>is enforceable</w:t>
      </w:r>
      <w:r w:rsidR="002611EB">
        <w:t xml:space="preserve"> under the Federal Arbitration Act and California law.</w:t>
      </w:r>
      <w:r w:rsidR="0052282E">
        <w:t xml:space="preserve">  </w:t>
      </w:r>
      <w:r w:rsidR="009D5568">
        <w:t xml:space="preserve">They </w:t>
      </w:r>
      <w:r w:rsidR="00390C40">
        <w:t xml:space="preserve">analogize this case to </w:t>
      </w:r>
      <w:r w:rsidR="009D5568" w:rsidRPr="009D5568">
        <w:rPr>
          <w:i/>
          <w:iCs/>
        </w:rPr>
        <w:t>Martinez-Gonzalez v. Elkhorn Packing Co.</w:t>
      </w:r>
      <w:r w:rsidR="009D5568">
        <w:t xml:space="preserve"> (9th Cir. 2022) 25 F.4th 613</w:t>
      </w:r>
      <w:r w:rsidR="00750FF8">
        <w:t xml:space="preserve"> (</w:t>
      </w:r>
      <w:r w:rsidR="00750FF8" w:rsidRPr="00750FF8">
        <w:rPr>
          <w:i/>
          <w:iCs/>
        </w:rPr>
        <w:t>Elkhorn</w:t>
      </w:r>
      <w:r w:rsidR="00750FF8">
        <w:t>)</w:t>
      </w:r>
      <w:r w:rsidR="00390C40">
        <w:t xml:space="preserve">, which compelled a worker to arbitrate even though his employer did not </w:t>
      </w:r>
      <w:r w:rsidR="00D17524">
        <w:t>submit</w:t>
      </w:r>
      <w:r w:rsidR="00390C40">
        <w:t xml:space="preserve"> </w:t>
      </w:r>
      <w:r w:rsidR="002611EB">
        <w:t>the</w:t>
      </w:r>
      <w:r w:rsidR="00390C40">
        <w:t xml:space="preserve"> arbitration agreement </w:t>
      </w:r>
      <w:r w:rsidR="00F328D0">
        <w:t>or its</w:t>
      </w:r>
      <w:r w:rsidR="00D36B75">
        <w:t xml:space="preserve"> terms</w:t>
      </w:r>
      <w:r w:rsidR="00390C40">
        <w:t xml:space="preserve"> during the H-2A certification process.</w:t>
      </w:r>
      <w:r w:rsidR="002611EB">
        <w:t xml:space="preserve">  Alco and Betteravia </w:t>
      </w:r>
      <w:r w:rsidR="00F328D0">
        <w:t xml:space="preserve">request that we reverse the appealed orders and </w:t>
      </w:r>
      <w:r w:rsidR="002611EB">
        <w:t>remand the case with directions to enter an order compelling Guzman’s individual and PAGA claims to arbitration</w:t>
      </w:r>
      <w:r w:rsidR="00FB34ED">
        <w:t xml:space="preserve">.  </w:t>
      </w:r>
      <w:r w:rsidR="006966CB">
        <w:t>We conclude t</w:t>
      </w:r>
      <w:r w:rsidR="00403905">
        <w:t xml:space="preserve">he trial court properly declined to enforce the agreement.  </w:t>
      </w:r>
    </w:p>
    <w:p w14:paraId="2816FF1B" w14:textId="2389BD62" w:rsidR="006966CB" w:rsidRDefault="006966CB" w:rsidP="0003117F">
      <w:pPr>
        <w:tabs>
          <w:tab w:val="left" w:pos="1440"/>
          <w:tab w:val="left" w:pos="2880"/>
          <w:tab w:val="left" w:pos="4320"/>
          <w:tab w:val="left" w:pos="5760"/>
          <w:tab w:val="left" w:pos="7200"/>
        </w:tabs>
        <w:ind w:firstLine="720"/>
      </w:pPr>
      <w:r>
        <w:t>The questi</w:t>
      </w:r>
      <w:r w:rsidR="00BA3E7A">
        <w:t xml:space="preserve">on </w:t>
      </w:r>
      <w:r w:rsidR="0022527D">
        <w:t xml:space="preserve">on appeal </w:t>
      </w:r>
      <w:r>
        <w:t xml:space="preserve">is not, as Alco and Betteravia contend, “whether an H-2A employee may be compelled to arbitration.” </w:t>
      </w:r>
      <w:r w:rsidR="00A52DD1">
        <w:t xml:space="preserve"> </w:t>
      </w:r>
      <w:r w:rsidR="00C819AB">
        <w:t>There are</w:t>
      </w:r>
      <w:r>
        <w:t xml:space="preserve"> </w:t>
      </w:r>
      <w:r w:rsidR="00BF5B95">
        <w:t>instead</w:t>
      </w:r>
      <w:r w:rsidR="00AB592F">
        <w:t xml:space="preserve"> two questions</w:t>
      </w:r>
      <w:r>
        <w:t>:</w:t>
      </w:r>
      <w:r w:rsidR="004E1DC5">
        <w:t xml:space="preserve"> </w:t>
      </w:r>
      <w:r>
        <w:t xml:space="preserve"> (</w:t>
      </w:r>
      <w:r w:rsidR="00D36B75">
        <w:t>1</w:t>
      </w:r>
      <w:r>
        <w:t>)</w:t>
      </w:r>
      <w:r w:rsidR="004E1DC5">
        <w:t xml:space="preserve"> </w:t>
      </w:r>
      <w:r w:rsidR="00AB592F">
        <w:t xml:space="preserve">whether </w:t>
      </w:r>
      <w:r>
        <w:t>mandatory arbitration was a “material term or condition” of Guzman’s employment</w:t>
      </w:r>
      <w:r w:rsidR="00AB592F">
        <w:t xml:space="preserve"> with Alco</w:t>
      </w:r>
      <w:r>
        <w:t>; and (2)</w:t>
      </w:r>
      <w:r w:rsidR="004E1DC5">
        <w:t xml:space="preserve"> </w:t>
      </w:r>
      <w:r>
        <w:t xml:space="preserve">if so, whether Alco </w:t>
      </w:r>
      <w:r w:rsidR="006153D8">
        <w:t xml:space="preserve">disclosed this requirement in its </w:t>
      </w:r>
      <w:r w:rsidR="00BF5B95">
        <w:t>H-2A certifications</w:t>
      </w:r>
      <w:r w:rsidR="006153D8">
        <w:t xml:space="preserve"> submissions</w:t>
      </w:r>
      <w:r w:rsidR="00AB592F">
        <w:t xml:space="preserve"> to DOL</w:t>
      </w:r>
      <w:r>
        <w:t xml:space="preserve">.  </w:t>
      </w:r>
      <w:r w:rsidR="00AB592F">
        <w:t>We answer “yes” to the first, and “no” to the second.</w:t>
      </w:r>
    </w:p>
    <w:p w14:paraId="65E0C5FB" w14:textId="1358DA83" w:rsidR="00BF5B95" w:rsidRDefault="00F816CE" w:rsidP="00FE55D4">
      <w:pPr>
        <w:tabs>
          <w:tab w:val="left" w:pos="1440"/>
          <w:tab w:val="left" w:pos="2880"/>
          <w:tab w:val="left" w:pos="4320"/>
          <w:tab w:val="left" w:pos="5760"/>
          <w:tab w:val="left" w:pos="7200"/>
        </w:tabs>
        <w:ind w:firstLine="720"/>
      </w:pPr>
      <w:r>
        <w:t xml:space="preserve">Alco’s arbitration agreement required </w:t>
      </w:r>
      <w:r w:rsidR="00927425">
        <w:t xml:space="preserve">Guzman to forfeit his right to a jury trial in </w:t>
      </w:r>
      <w:r>
        <w:t xml:space="preserve">“any claim, dispute and/or controversy that </w:t>
      </w:r>
      <w:r w:rsidR="00266667">
        <w:t>[</w:t>
      </w:r>
      <w:r>
        <w:t>any</w:t>
      </w:r>
      <w:r w:rsidR="00266667">
        <w:t>]</w:t>
      </w:r>
      <w:r>
        <w:t xml:space="preserve"> Employee may have against the Company . . .</w:t>
      </w:r>
      <w:r w:rsidR="00927425">
        <w:t xml:space="preserve"> </w:t>
      </w:r>
      <w:r>
        <w:t>arising</w:t>
      </w:r>
      <w:r w:rsidR="00C819AB">
        <w:t xml:space="preserve"> </w:t>
      </w:r>
      <w:r w:rsidR="00266667">
        <w:t>from</w:t>
      </w:r>
      <w:r>
        <w:t xml:space="preserve">, relating to or having any relationship or connection whatsoever with </w:t>
      </w:r>
      <w:r w:rsidR="00266667">
        <w:t>[</w:t>
      </w:r>
      <w:r>
        <w:t>or to the</w:t>
      </w:r>
      <w:r w:rsidR="00266667">
        <w:t>]</w:t>
      </w:r>
      <w:r>
        <w:t xml:space="preserve"> Employee’s . . . employment by, or other association with the Company . . .</w:t>
      </w:r>
      <w:r w:rsidR="00266667">
        <w:t xml:space="preserve"> .</w:t>
      </w:r>
      <w:r>
        <w:t xml:space="preserve">” </w:t>
      </w:r>
      <w:r w:rsidR="00A52DD1">
        <w:t xml:space="preserve"> </w:t>
      </w:r>
      <w:r>
        <w:t xml:space="preserve">The </w:t>
      </w:r>
      <w:r w:rsidR="00927425">
        <w:t xml:space="preserve">arbitration </w:t>
      </w:r>
      <w:r>
        <w:t xml:space="preserve">agreement </w:t>
      </w:r>
      <w:r w:rsidR="00927425">
        <w:t>also prohibited him f</w:t>
      </w:r>
      <w:r>
        <w:t xml:space="preserve">rom </w:t>
      </w:r>
      <w:r w:rsidR="00927425">
        <w:t xml:space="preserve">participating in any </w:t>
      </w:r>
      <w:r>
        <w:t xml:space="preserve">class action claims against Alco.  </w:t>
      </w:r>
      <w:r w:rsidR="00927425">
        <w:t xml:space="preserve">We consider the relinquishing of these rights as “material terms and conditions” of his employment. </w:t>
      </w:r>
      <w:r w:rsidR="00FE55D4">
        <w:t xml:space="preserve"> (See, e.g., </w:t>
      </w:r>
      <w:r w:rsidR="00FE55D4" w:rsidRPr="00FE55D4">
        <w:rPr>
          <w:i/>
          <w:iCs/>
        </w:rPr>
        <w:t>Lawrence v. Walzer &amp; Gabrielson</w:t>
      </w:r>
      <w:r w:rsidR="00FE55D4">
        <w:t xml:space="preserve"> (1989) 207 Cal.App.3d 1501, </w:t>
      </w:r>
      <w:r w:rsidR="00FE55D4">
        <w:lastRenderedPageBreak/>
        <w:t xml:space="preserve">1507, quoting </w:t>
      </w:r>
      <w:r w:rsidR="00FE55D4" w:rsidRPr="00FE55D4">
        <w:rPr>
          <w:i/>
          <w:iCs/>
        </w:rPr>
        <w:t>Main v. Merrill Lynch, Pierce, Fenner &amp; Smith, Inc.</w:t>
      </w:r>
      <w:r w:rsidR="00FE55D4">
        <w:t xml:space="preserve"> (1977) 67 Cal.App.3d 19, 31 [“</w:t>
      </w:r>
      <w:r w:rsidR="005759BB">
        <w:t>‘</w:t>
      </w:r>
      <w:r w:rsidR="00FE55D4">
        <w:t>[The] right to select a judicial forum, vis-a-vis arbitration, is a ‘“substantial right,”’ not lightly to be deemed waived. [Citations.]</w:t>
      </w:r>
      <w:r w:rsidR="005759BB">
        <w:t>’</w:t>
      </w:r>
      <w:r w:rsidR="00FE55D4">
        <w:t xml:space="preserve">”].) </w:t>
      </w:r>
    </w:p>
    <w:p w14:paraId="538CEF3D" w14:textId="35C7A2D5" w:rsidR="00C87C58" w:rsidRDefault="0047123F" w:rsidP="0003117F">
      <w:pPr>
        <w:tabs>
          <w:tab w:val="left" w:pos="1440"/>
          <w:tab w:val="left" w:pos="2880"/>
          <w:tab w:val="left" w:pos="4320"/>
          <w:tab w:val="left" w:pos="5760"/>
          <w:tab w:val="left" w:pos="7200"/>
        </w:tabs>
        <w:ind w:firstLine="720"/>
      </w:pPr>
      <w:r>
        <w:t xml:space="preserve">We next turn to whether Alco disclosed these terms and conditions during H-2A certification.  </w:t>
      </w:r>
      <w:r w:rsidR="00C50300">
        <w:t>The</w:t>
      </w:r>
      <w:r w:rsidR="00F15628">
        <w:t xml:space="preserve"> </w:t>
      </w:r>
      <w:r w:rsidR="00BF5B95">
        <w:t xml:space="preserve">Job Orders </w:t>
      </w:r>
      <w:r w:rsidR="00C50300">
        <w:t xml:space="preserve">submitted to </w:t>
      </w:r>
      <w:r w:rsidR="00BF5B95">
        <w:t xml:space="preserve">DOL </w:t>
      </w:r>
      <w:r>
        <w:t>have</w:t>
      </w:r>
      <w:r w:rsidR="00C50300">
        <w:t xml:space="preserve"> lengthy addenda describing </w:t>
      </w:r>
      <w:r w:rsidR="00BF5B95">
        <w:t xml:space="preserve">such things </w:t>
      </w:r>
      <w:r w:rsidR="00F15628">
        <w:t xml:space="preserve">as work experience and physical requirements, the grounds for terminating </w:t>
      </w:r>
      <w:r w:rsidR="00EA4BFD">
        <w:t>a</w:t>
      </w:r>
      <w:r w:rsidR="00D36B75">
        <w:t xml:space="preserve"> worker</w:t>
      </w:r>
      <w:r w:rsidR="00F15628">
        <w:t xml:space="preserve">, training and production standards, and reimbursement of transportation costs. </w:t>
      </w:r>
      <w:r w:rsidR="00A52DD1">
        <w:t xml:space="preserve"> </w:t>
      </w:r>
      <w:r w:rsidR="00B53A0B">
        <w:t>Alco</w:t>
      </w:r>
      <w:r w:rsidR="00C50300">
        <w:t xml:space="preserve">’s general manager, Jeremy MacKenzie, attested that the </w:t>
      </w:r>
      <w:r w:rsidR="00750FF8">
        <w:t>Yuma and Santa Maria</w:t>
      </w:r>
      <w:r w:rsidR="00B53A0B">
        <w:t xml:space="preserve"> Job Order</w:t>
      </w:r>
      <w:r w:rsidR="00750FF8">
        <w:t>s</w:t>
      </w:r>
      <w:r w:rsidR="00B53A0B">
        <w:t xml:space="preserve"> “describe[d] the actual terms and conditions of the employment being offered by me and contain[ed] all the material terms and conditions of the job.” </w:t>
      </w:r>
      <w:r w:rsidR="00A52DD1">
        <w:t xml:space="preserve"> </w:t>
      </w:r>
      <w:r w:rsidR="00F15628">
        <w:t xml:space="preserve">Its submissions mention nothing, however, </w:t>
      </w:r>
      <w:r w:rsidR="00C87C58">
        <w:t xml:space="preserve">about </w:t>
      </w:r>
      <w:r w:rsidR="00D36B75">
        <w:t xml:space="preserve">workers </w:t>
      </w:r>
      <w:r w:rsidR="00C50300">
        <w:t>sign</w:t>
      </w:r>
      <w:r>
        <w:t>ing</w:t>
      </w:r>
      <w:r w:rsidR="00C50300">
        <w:t xml:space="preserve"> a separate, all-encompassing </w:t>
      </w:r>
      <w:r w:rsidR="00F15628">
        <w:t>arbitra</w:t>
      </w:r>
      <w:r w:rsidR="00C87C58">
        <w:t>t</w:t>
      </w:r>
      <w:r w:rsidR="00C50300">
        <w:t>ion</w:t>
      </w:r>
      <w:r w:rsidR="009B20DB">
        <w:t xml:space="preserve"> agreement</w:t>
      </w:r>
      <w:r w:rsidR="00C50300">
        <w:t xml:space="preserve"> when </w:t>
      </w:r>
      <w:r w:rsidR="00D36B75">
        <w:t xml:space="preserve">they </w:t>
      </w:r>
      <w:r w:rsidR="00C50300">
        <w:t xml:space="preserve">reported to orientation. </w:t>
      </w:r>
      <w:r w:rsidR="000F5A96">
        <w:t xml:space="preserve"> The agreement is </w:t>
      </w:r>
      <w:r w:rsidR="00D36B75">
        <w:t xml:space="preserve">thus </w:t>
      </w:r>
      <w:r w:rsidR="000F5A96">
        <w:t xml:space="preserve">unlawful and unenforceable.  (See </w:t>
      </w:r>
      <w:r w:rsidR="000F5A96" w:rsidRPr="000F5A96">
        <w:rPr>
          <w:i/>
          <w:iCs/>
        </w:rPr>
        <w:t>Sheppard, Mullin, Richter &amp; Ha</w:t>
      </w:r>
      <w:r w:rsidR="00266667">
        <w:rPr>
          <w:i/>
          <w:iCs/>
        </w:rPr>
        <w:t>m</w:t>
      </w:r>
      <w:r w:rsidR="000F5A96" w:rsidRPr="000F5A96">
        <w:rPr>
          <w:i/>
          <w:iCs/>
        </w:rPr>
        <w:t>pton, LLP v. J</w:t>
      </w:r>
      <w:r w:rsidR="00266667">
        <w:rPr>
          <w:i/>
          <w:iCs/>
        </w:rPr>
        <w:t>-</w:t>
      </w:r>
      <w:r w:rsidR="000F5A96" w:rsidRPr="000F5A96">
        <w:rPr>
          <w:i/>
          <w:iCs/>
        </w:rPr>
        <w:t xml:space="preserve">M </w:t>
      </w:r>
      <w:r w:rsidR="00266667">
        <w:rPr>
          <w:i/>
          <w:iCs/>
        </w:rPr>
        <w:t>Manufacturing</w:t>
      </w:r>
      <w:r w:rsidR="000F5A96" w:rsidRPr="000F5A96">
        <w:rPr>
          <w:i/>
          <w:iCs/>
        </w:rPr>
        <w:t xml:space="preserve"> Co.</w:t>
      </w:r>
      <w:r w:rsidR="00266667">
        <w:rPr>
          <w:i/>
          <w:iCs/>
        </w:rPr>
        <w:t>,</w:t>
      </w:r>
      <w:r w:rsidR="000F5A96" w:rsidRPr="000F5A96">
        <w:rPr>
          <w:i/>
          <w:iCs/>
        </w:rPr>
        <w:t xml:space="preserve"> Inc.</w:t>
      </w:r>
      <w:r w:rsidR="000F5A96">
        <w:t xml:space="preserve"> (2018) 6 Cal.5th 59, 73, quoting Civ. Code, </w:t>
      </w:r>
      <w:bookmarkStart w:id="0" w:name="_Hlk149559682"/>
      <w:r w:rsidR="000F5A96">
        <w:t>§</w:t>
      </w:r>
      <w:bookmarkEnd w:id="0"/>
      <w:r w:rsidR="000F5A96">
        <w:t> 1667 [“</w:t>
      </w:r>
      <w:r w:rsidR="000F5A96" w:rsidRPr="000F5A96">
        <w:t xml:space="preserve">a contract is unlawful, and therefore unenforceable, if it is </w:t>
      </w:r>
      <w:r w:rsidR="00266667">
        <w:t>‘</w:t>
      </w:r>
      <w:r w:rsidR="000F5A96" w:rsidRPr="000F5A96">
        <w:t>[c]ontrary to an express provision of law</w:t>
      </w:r>
      <w:r w:rsidR="00266667">
        <w:t>’</w:t>
      </w:r>
      <w:r w:rsidR="000F5A96" w:rsidRPr="000F5A96">
        <w:t xml:space="preserve"> or </w:t>
      </w:r>
      <w:r w:rsidR="00266667">
        <w:t>‘</w:t>
      </w:r>
      <w:r w:rsidR="000F5A96" w:rsidRPr="000F5A96">
        <w:t>[c]ontrary to the policy of express law, though not expressly prohibited</w:t>
      </w:r>
      <w:r w:rsidR="00266667">
        <w:t>’</w:t>
      </w:r>
      <w:r w:rsidR="000F5A96">
        <w:t xml:space="preserve">”].)  </w:t>
      </w:r>
    </w:p>
    <w:p w14:paraId="0204116A" w14:textId="46BE96C0" w:rsidR="00DE372D" w:rsidRPr="00B34523" w:rsidRDefault="00935D54" w:rsidP="0003117F">
      <w:pPr>
        <w:tabs>
          <w:tab w:val="left" w:pos="1440"/>
          <w:tab w:val="left" w:pos="2880"/>
          <w:tab w:val="left" w:pos="4320"/>
          <w:tab w:val="left" w:pos="5760"/>
          <w:tab w:val="left" w:pos="7200"/>
        </w:tabs>
        <w:ind w:firstLine="720"/>
      </w:pPr>
      <w:r>
        <w:t>We do not find</w:t>
      </w:r>
      <w:r w:rsidR="00BA409F">
        <w:t xml:space="preserve"> </w:t>
      </w:r>
      <w:r w:rsidR="00BA3E7A" w:rsidRPr="006966CB">
        <w:rPr>
          <w:i/>
          <w:iCs/>
        </w:rPr>
        <w:t>Elkhorn</w:t>
      </w:r>
      <w:r w:rsidR="00BA3E7A">
        <w:t xml:space="preserve"> </w:t>
      </w:r>
      <w:r>
        <w:t xml:space="preserve">controlling or persuasive.  The plaintiff-employee in that case challenged his </w:t>
      </w:r>
      <w:r w:rsidR="00BA3E7A">
        <w:t xml:space="preserve">employer’s arbitration agreement </w:t>
      </w:r>
      <w:r>
        <w:t>as the product of</w:t>
      </w:r>
      <w:r w:rsidR="00BA3E7A">
        <w:t xml:space="preserve"> undue influence and economic duress.  </w:t>
      </w:r>
      <w:r>
        <w:t>The Ninth Circuit</w:t>
      </w:r>
      <w:r w:rsidR="00BA3E7A">
        <w:t xml:space="preserve"> </w:t>
      </w:r>
      <w:r>
        <w:t>had no occasion to answer the questions presented here.</w:t>
      </w:r>
      <w:r w:rsidR="009B20DB">
        <w:t xml:space="preserve"> </w:t>
      </w:r>
      <w:r>
        <w:t xml:space="preserve"> </w:t>
      </w:r>
      <w:r w:rsidR="00C30DFD">
        <w:rPr>
          <w:lang w:eastAsia="x-none"/>
        </w:rPr>
        <w:t>“‘[C]ases are not authority for propositions not considered.’”  (</w:t>
      </w:r>
      <w:r w:rsidR="00C30DFD" w:rsidRPr="003908FD">
        <w:rPr>
          <w:i/>
          <w:iCs/>
          <w:lang w:eastAsia="x-none"/>
        </w:rPr>
        <w:t>American</w:t>
      </w:r>
      <w:r w:rsidR="00C30DFD">
        <w:rPr>
          <w:i/>
          <w:iCs/>
          <w:lang w:eastAsia="x-none"/>
        </w:rPr>
        <w:t xml:space="preserve"> Federation of Labor v. Unemployment Ins. Appeals Bd. </w:t>
      </w:r>
      <w:r w:rsidR="00C30DFD">
        <w:rPr>
          <w:lang w:eastAsia="x-none"/>
        </w:rPr>
        <w:t xml:space="preserve">(1996) 13 Cal.4th 1017, 1039; </w:t>
      </w:r>
      <w:r w:rsidR="00C30DFD" w:rsidRPr="003908FD">
        <w:rPr>
          <w:i/>
          <w:iCs/>
          <w:lang w:eastAsia="x-none"/>
        </w:rPr>
        <w:t>B.B.</w:t>
      </w:r>
      <w:r w:rsidR="00C30DFD">
        <w:rPr>
          <w:i/>
          <w:iCs/>
          <w:lang w:eastAsia="x-none"/>
        </w:rPr>
        <w:t xml:space="preserve"> v. County of Los Angeles </w:t>
      </w:r>
      <w:r w:rsidR="00C30DFD">
        <w:rPr>
          <w:lang w:eastAsia="x-none"/>
        </w:rPr>
        <w:t>(2020) 10 Cal.5th 1, 11.)</w:t>
      </w:r>
    </w:p>
    <w:p w14:paraId="2BC69167" w14:textId="187C0600" w:rsidR="002E459A" w:rsidRPr="00A66917" w:rsidRDefault="00FB34ED" w:rsidP="00851DAB">
      <w:pPr>
        <w:keepNext/>
        <w:tabs>
          <w:tab w:val="left" w:pos="1440"/>
          <w:tab w:val="left" w:pos="2880"/>
          <w:tab w:val="left" w:pos="4320"/>
          <w:tab w:val="left" w:pos="5760"/>
          <w:tab w:val="left" w:pos="7200"/>
        </w:tabs>
        <w:jc w:val="center"/>
        <w:rPr>
          <w:i/>
          <w:iCs/>
        </w:rPr>
      </w:pPr>
      <w:r>
        <w:rPr>
          <w:i/>
          <w:iCs/>
        </w:rPr>
        <w:lastRenderedPageBreak/>
        <w:t>Requests to Dismiss and Stay</w:t>
      </w:r>
      <w:r w:rsidR="007023C8">
        <w:rPr>
          <w:i/>
          <w:iCs/>
        </w:rPr>
        <w:t xml:space="preserve"> </w:t>
      </w:r>
    </w:p>
    <w:p w14:paraId="7BC4E41F" w14:textId="01E0CB68" w:rsidR="001B00B7" w:rsidRPr="00750069" w:rsidRDefault="00FB34ED" w:rsidP="004F3D39">
      <w:pPr>
        <w:tabs>
          <w:tab w:val="left" w:pos="1440"/>
          <w:tab w:val="left" w:pos="2880"/>
          <w:tab w:val="left" w:pos="4320"/>
          <w:tab w:val="left" w:pos="5760"/>
          <w:tab w:val="left" w:pos="7200"/>
        </w:tabs>
        <w:ind w:firstLine="720"/>
      </w:pPr>
      <w:r>
        <w:t>Alco and Betteravia request we direct the trial court to stay the Labor Commissioner’s action and to stay or dismiss Guzman’s non-individual claims</w:t>
      </w:r>
      <w:r w:rsidR="00BA3836">
        <w:t xml:space="preserve"> pending arbitration</w:t>
      </w:r>
      <w:r>
        <w:t xml:space="preserve">.  </w:t>
      </w:r>
      <w:r w:rsidR="00BA3836">
        <w:t>Our affirming the trial court’s decision renders these</w:t>
      </w:r>
      <w:r>
        <w:t xml:space="preserve"> requests </w:t>
      </w:r>
      <w:r w:rsidR="00BA3836">
        <w:t>m</w:t>
      </w:r>
      <w:r>
        <w:t>oot</w:t>
      </w:r>
      <w:r w:rsidR="00BA3836">
        <w:t>.</w:t>
      </w:r>
      <w:r w:rsidR="0061680B">
        <w:t xml:space="preserve">  A recent amendment to the Labor Code limiting the effect of arbitration agreements to DOL enforcement actions is likewise irrelevant to this appeal.</w:t>
      </w:r>
      <w:r w:rsidR="00C819AB">
        <w:rPr>
          <w:rStyle w:val="FootnoteReference"/>
        </w:rPr>
        <w:footnoteReference w:id="4"/>
      </w:r>
    </w:p>
    <w:p w14:paraId="13ABC9D3" w14:textId="62EE4F8E" w:rsidR="0000191B" w:rsidRDefault="00763B2B" w:rsidP="004F3D39">
      <w:pPr>
        <w:tabs>
          <w:tab w:val="left" w:pos="1440"/>
          <w:tab w:val="left" w:pos="2880"/>
          <w:tab w:val="left" w:pos="4320"/>
          <w:tab w:val="left" w:pos="5760"/>
          <w:tab w:val="left" w:pos="7200"/>
        </w:tabs>
        <w:jc w:val="center"/>
      </w:pPr>
      <w:r>
        <w:t>DISPOSITION</w:t>
      </w:r>
    </w:p>
    <w:p w14:paraId="406A5149" w14:textId="32F52747" w:rsidR="000F72D5" w:rsidRDefault="00763B2B" w:rsidP="004F3D39">
      <w:pPr>
        <w:tabs>
          <w:tab w:val="left" w:pos="1440"/>
          <w:tab w:val="left" w:pos="2880"/>
          <w:tab w:val="left" w:pos="4320"/>
          <w:tab w:val="left" w:pos="5760"/>
          <w:tab w:val="left" w:pos="7200"/>
        </w:tabs>
        <w:ind w:firstLine="720"/>
      </w:pPr>
      <w:r>
        <w:t>Judgment is affirmed</w:t>
      </w:r>
      <w:r w:rsidR="000F72D5">
        <w:t>.</w:t>
      </w:r>
      <w:r>
        <w:t xml:space="preserve"> </w:t>
      </w:r>
      <w:r w:rsidR="005072C4">
        <w:t xml:space="preserve"> R</w:t>
      </w:r>
      <w:r>
        <w:t>espondent</w:t>
      </w:r>
      <w:r w:rsidR="005072C4">
        <w:t>s</w:t>
      </w:r>
      <w:r>
        <w:t xml:space="preserve"> shall recover their costs on appeal.</w:t>
      </w:r>
    </w:p>
    <w:p w14:paraId="49BD28BF" w14:textId="0CDE78B1" w:rsidR="00B34D64" w:rsidRPr="00B34D64" w:rsidRDefault="00CF4A8B" w:rsidP="004F3D39">
      <w:pPr>
        <w:tabs>
          <w:tab w:val="left" w:pos="1440"/>
          <w:tab w:val="left" w:pos="2880"/>
          <w:tab w:val="left" w:pos="4320"/>
          <w:tab w:val="left" w:pos="5760"/>
          <w:tab w:val="left" w:pos="7200"/>
        </w:tabs>
        <w:ind w:firstLine="720"/>
        <w:rPr>
          <w:u w:val="single"/>
        </w:rPr>
      </w:pPr>
      <w:r>
        <w:rPr>
          <w:u w:val="single"/>
        </w:rPr>
        <w:t>CERTIFIED FOR PUBLICATION</w:t>
      </w:r>
      <w:r w:rsidR="00B34D64">
        <w:rPr>
          <w:u w:val="single"/>
        </w:rPr>
        <w:t>.</w:t>
      </w:r>
    </w:p>
    <w:p w14:paraId="0745476F" w14:textId="77777777" w:rsidR="005164CA" w:rsidRDefault="005164CA" w:rsidP="00851DAB">
      <w:pPr>
        <w:tabs>
          <w:tab w:val="left" w:pos="2880"/>
          <w:tab w:val="left" w:pos="4320"/>
          <w:tab w:val="left" w:pos="5760"/>
          <w:tab w:val="left" w:pos="7200"/>
        </w:tabs>
        <w:spacing w:line="240" w:lineRule="auto"/>
      </w:pPr>
    </w:p>
    <w:p w14:paraId="7767F9AF" w14:textId="77777777" w:rsidR="00851DAB" w:rsidRDefault="00851DAB" w:rsidP="00851DAB">
      <w:pPr>
        <w:tabs>
          <w:tab w:val="left" w:pos="2880"/>
          <w:tab w:val="left" w:pos="4320"/>
          <w:tab w:val="left" w:pos="5760"/>
          <w:tab w:val="left" w:pos="7200"/>
        </w:tabs>
        <w:spacing w:line="240" w:lineRule="auto"/>
      </w:pPr>
    </w:p>
    <w:p w14:paraId="1543BADF" w14:textId="77777777" w:rsidR="00851DAB" w:rsidRDefault="00851DAB" w:rsidP="00851DAB">
      <w:pPr>
        <w:tabs>
          <w:tab w:val="left" w:pos="2880"/>
          <w:tab w:val="left" w:pos="4320"/>
          <w:tab w:val="left" w:pos="5760"/>
          <w:tab w:val="left" w:pos="7200"/>
        </w:tabs>
        <w:spacing w:line="240" w:lineRule="auto"/>
      </w:pPr>
    </w:p>
    <w:p w14:paraId="52914254" w14:textId="77777777" w:rsidR="00851DAB" w:rsidRDefault="00851DAB" w:rsidP="00851DAB">
      <w:pPr>
        <w:tabs>
          <w:tab w:val="left" w:pos="2880"/>
          <w:tab w:val="left" w:pos="4320"/>
          <w:tab w:val="left" w:pos="5760"/>
          <w:tab w:val="left" w:pos="7200"/>
        </w:tabs>
        <w:spacing w:line="240" w:lineRule="auto"/>
      </w:pPr>
    </w:p>
    <w:p w14:paraId="07D21903" w14:textId="1D239A80" w:rsidR="00B34D64" w:rsidRDefault="00C50E21" w:rsidP="009B20DB">
      <w:pPr>
        <w:tabs>
          <w:tab w:val="left" w:pos="2880"/>
          <w:tab w:val="left" w:pos="4320"/>
          <w:tab w:val="left" w:pos="5760"/>
          <w:tab w:val="left" w:pos="7200"/>
        </w:tabs>
        <w:spacing w:line="240" w:lineRule="auto"/>
        <w:ind w:left="4320"/>
      </w:pPr>
      <w:r>
        <w:t>CODY</w:t>
      </w:r>
      <w:r w:rsidR="00B34D64">
        <w:t>, J.</w:t>
      </w:r>
    </w:p>
    <w:p w14:paraId="22163799" w14:textId="77777777" w:rsidR="00B34D64" w:rsidRDefault="00B34D64" w:rsidP="009B20DB">
      <w:pPr>
        <w:tabs>
          <w:tab w:val="left" w:pos="2880"/>
          <w:tab w:val="left" w:pos="4320"/>
          <w:tab w:val="left" w:pos="5760"/>
          <w:tab w:val="left" w:pos="7200"/>
        </w:tabs>
        <w:spacing w:line="240" w:lineRule="auto"/>
        <w:ind w:left="4320"/>
      </w:pPr>
    </w:p>
    <w:p w14:paraId="08F89FA8" w14:textId="77777777" w:rsidR="00851DAB" w:rsidRDefault="00851DAB" w:rsidP="009B20DB">
      <w:pPr>
        <w:tabs>
          <w:tab w:val="left" w:pos="2880"/>
          <w:tab w:val="left" w:pos="4320"/>
          <w:tab w:val="left" w:pos="5760"/>
          <w:tab w:val="left" w:pos="7200"/>
        </w:tabs>
        <w:spacing w:line="240" w:lineRule="auto"/>
        <w:ind w:left="4320"/>
      </w:pPr>
    </w:p>
    <w:p w14:paraId="495FA234" w14:textId="77777777" w:rsidR="00B34D64" w:rsidRDefault="00B34D64" w:rsidP="009B20DB">
      <w:pPr>
        <w:tabs>
          <w:tab w:val="left" w:pos="2880"/>
          <w:tab w:val="left" w:pos="4320"/>
          <w:tab w:val="left" w:pos="5760"/>
          <w:tab w:val="left" w:pos="7200"/>
        </w:tabs>
        <w:spacing w:line="240" w:lineRule="auto"/>
      </w:pPr>
      <w:r>
        <w:t>We concur:</w:t>
      </w:r>
    </w:p>
    <w:p w14:paraId="14DC12B0" w14:textId="77777777" w:rsidR="005164CA" w:rsidRDefault="005164CA" w:rsidP="00851DAB">
      <w:pPr>
        <w:tabs>
          <w:tab w:val="left" w:pos="2880"/>
          <w:tab w:val="left" w:pos="4320"/>
          <w:tab w:val="left" w:pos="5760"/>
          <w:tab w:val="left" w:pos="7200"/>
        </w:tabs>
        <w:spacing w:line="240" w:lineRule="auto"/>
      </w:pPr>
    </w:p>
    <w:p w14:paraId="11021172" w14:textId="77777777" w:rsidR="00851DAB" w:rsidRDefault="00851DAB" w:rsidP="00851DAB">
      <w:pPr>
        <w:tabs>
          <w:tab w:val="left" w:pos="2880"/>
          <w:tab w:val="left" w:pos="4320"/>
          <w:tab w:val="left" w:pos="5760"/>
          <w:tab w:val="left" w:pos="7200"/>
        </w:tabs>
        <w:spacing w:line="240" w:lineRule="auto"/>
      </w:pPr>
    </w:p>
    <w:p w14:paraId="715E57AD" w14:textId="77777777" w:rsidR="00851DAB" w:rsidRDefault="00851DAB" w:rsidP="00851DAB">
      <w:pPr>
        <w:tabs>
          <w:tab w:val="left" w:pos="2880"/>
          <w:tab w:val="left" w:pos="4320"/>
          <w:tab w:val="left" w:pos="5760"/>
          <w:tab w:val="left" w:pos="7200"/>
        </w:tabs>
        <w:spacing w:line="240" w:lineRule="auto"/>
      </w:pPr>
    </w:p>
    <w:p w14:paraId="2FD7B5DA" w14:textId="42A9028F" w:rsidR="005164CA" w:rsidRDefault="00B34D64" w:rsidP="009B20DB">
      <w:pPr>
        <w:tabs>
          <w:tab w:val="left" w:pos="2880"/>
          <w:tab w:val="left" w:pos="4320"/>
          <w:tab w:val="left" w:pos="5760"/>
          <w:tab w:val="left" w:pos="7200"/>
        </w:tabs>
        <w:spacing w:line="240" w:lineRule="auto"/>
        <w:ind w:firstLine="720"/>
      </w:pPr>
      <w:r>
        <w:t>GILBERT, P. J.</w:t>
      </w:r>
      <w:r w:rsidR="00851DAB">
        <w:tab/>
      </w:r>
      <w:r w:rsidR="00851DAB">
        <w:tab/>
      </w:r>
      <w:r w:rsidR="00C50E21">
        <w:t>BALT</w:t>
      </w:r>
      <w:r w:rsidR="00CF015A">
        <w:t>O</w:t>
      </w:r>
      <w:r w:rsidR="00C50E21">
        <w:t>DANO, J.</w:t>
      </w:r>
    </w:p>
    <w:p w14:paraId="01682E96" w14:textId="70EE423C" w:rsidR="0064322B" w:rsidRDefault="005164CA" w:rsidP="005759BB">
      <w:pPr>
        <w:tabs>
          <w:tab w:val="left" w:pos="2880"/>
          <w:tab w:val="left" w:pos="4320"/>
          <w:tab w:val="left" w:pos="5760"/>
          <w:tab w:val="left" w:pos="7200"/>
        </w:tabs>
        <w:jc w:val="center"/>
      </w:pPr>
      <w:r>
        <w:br w:type="page"/>
      </w:r>
      <w:r w:rsidR="005E485A">
        <w:lastRenderedPageBreak/>
        <w:t>Timothy J. Staffel</w:t>
      </w:r>
      <w:r w:rsidR="0064322B">
        <w:t>, Judge</w:t>
      </w:r>
    </w:p>
    <w:p w14:paraId="0607B72B" w14:textId="1917425A" w:rsidR="0064322B" w:rsidRDefault="0064322B" w:rsidP="005759BB">
      <w:pPr>
        <w:tabs>
          <w:tab w:val="left" w:pos="1440"/>
          <w:tab w:val="left" w:pos="2880"/>
          <w:tab w:val="left" w:pos="4320"/>
          <w:tab w:val="left" w:pos="5760"/>
          <w:tab w:val="left" w:pos="7200"/>
        </w:tabs>
        <w:jc w:val="center"/>
      </w:pPr>
      <w:r>
        <w:t xml:space="preserve">Superior Court County of </w:t>
      </w:r>
      <w:r w:rsidR="005E485A">
        <w:t>Santa Barbara</w:t>
      </w:r>
    </w:p>
    <w:p w14:paraId="11AF39D5" w14:textId="46E6F47D" w:rsidR="00266667" w:rsidRDefault="00266667" w:rsidP="005759BB">
      <w:pPr>
        <w:tabs>
          <w:tab w:val="left" w:pos="1440"/>
          <w:tab w:val="left" w:pos="2880"/>
          <w:tab w:val="left" w:pos="4320"/>
          <w:tab w:val="left" w:pos="5760"/>
          <w:tab w:val="left" w:pos="7200"/>
        </w:tabs>
        <w:jc w:val="center"/>
      </w:pPr>
      <w:r>
        <w:t>________________________________________________</w:t>
      </w:r>
    </w:p>
    <w:p w14:paraId="710A9DCF" w14:textId="77777777" w:rsidR="0064322B" w:rsidRDefault="0064322B" w:rsidP="00112B4A">
      <w:pPr>
        <w:tabs>
          <w:tab w:val="left" w:pos="1440"/>
          <w:tab w:val="left" w:pos="2880"/>
          <w:tab w:val="left" w:pos="4320"/>
          <w:tab w:val="left" w:pos="5760"/>
          <w:tab w:val="left" w:pos="7200"/>
        </w:tabs>
        <w:ind w:firstLine="720"/>
        <w:jc w:val="center"/>
      </w:pPr>
    </w:p>
    <w:p w14:paraId="3F5504B3" w14:textId="40555E69" w:rsidR="0064322B" w:rsidRDefault="005E485A" w:rsidP="00112B4A">
      <w:pPr>
        <w:tabs>
          <w:tab w:val="left" w:pos="1440"/>
          <w:tab w:val="left" w:pos="2880"/>
          <w:tab w:val="left" w:pos="4320"/>
          <w:tab w:val="left" w:pos="5760"/>
          <w:tab w:val="left" w:pos="7200"/>
        </w:tabs>
        <w:ind w:firstLine="720"/>
        <w:rPr>
          <w:szCs w:val="26"/>
        </w:rPr>
      </w:pPr>
      <w:r>
        <w:t xml:space="preserve">Fisher &amp; Phillips, Alden J. Parker, Rebecca Hause-Schultz, and Heather M. Domingo, </w:t>
      </w:r>
      <w:r w:rsidR="0064322B">
        <w:t xml:space="preserve">for </w:t>
      </w:r>
      <w:r>
        <w:t xml:space="preserve">Defendants </w:t>
      </w:r>
      <w:r w:rsidR="0064322B">
        <w:t>and Appellants</w:t>
      </w:r>
      <w:r w:rsidR="00266667">
        <w:t xml:space="preserve"> Alco Harvesting, LLC,</w:t>
      </w:r>
      <w:r w:rsidR="00676508">
        <w:t xml:space="preserve"> </w:t>
      </w:r>
      <w:r w:rsidR="00676508" w:rsidRPr="00952AF5">
        <w:rPr>
          <w:szCs w:val="26"/>
        </w:rPr>
        <w:t>Betteravia Farms LLC</w:t>
      </w:r>
      <w:r w:rsidR="00676508">
        <w:rPr>
          <w:szCs w:val="26"/>
        </w:rPr>
        <w:t>, Betteravia Investments LLC, Bonita Packing Co., and Grubstake Investments LLC.</w:t>
      </w:r>
    </w:p>
    <w:p w14:paraId="3535082F" w14:textId="77777777" w:rsidR="00994D39" w:rsidRDefault="00994D39" w:rsidP="00994D39">
      <w:pPr>
        <w:tabs>
          <w:tab w:val="left" w:pos="1440"/>
          <w:tab w:val="left" w:pos="2880"/>
          <w:tab w:val="left" w:pos="4320"/>
          <w:tab w:val="left" w:pos="5760"/>
          <w:tab w:val="left" w:pos="7200"/>
        </w:tabs>
        <w:ind w:firstLine="720"/>
      </w:pPr>
      <w:r>
        <w:t>Workworld Law, Ruben Escobedo III, for Plaintiff and Respondent Edgar Cisneros.</w:t>
      </w:r>
    </w:p>
    <w:p w14:paraId="25FF8BFE" w14:textId="3177A1BF" w:rsidR="00994D39" w:rsidRDefault="00994D39" w:rsidP="00994D39">
      <w:pPr>
        <w:tabs>
          <w:tab w:val="left" w:pos="1440"/>
          <w:tab w:val="left" w:pos="2880"/>
          <w:tab w:val="left" w:pos="4320"/>
          <w:tab w:val="left" w:pos="5760"/>
          <w:tab w:val="left" w:pos="7200"/>
        </w:tabs>
        <w:ind w:firstLine="720"/>
      </w:pPr>
      <w:r>
        <w:t>California Rural Legal Assistance, Inc., Corrie L. Meals, Sandra Aguila, Ana Vicente de Castro, and De</w:t>
      </w:r>
      <w:r w:rsidR="0048364D">
        <w:t>n</w:t>
      </w:r>
      <w:r>
        <w:t>nise Silva; Dawson Morton for Plaintiff and Respondent Jesus Guzman.</w:t>
      </w:r>
    </w:p>
    <w:p w14:paraId="2B4CC929" w14:textId="154F5EDA" w:rsidR="00266667" w:rsidRDefault="00266667" w:rsidP="00266667">
      <w:pPr>
        <w:tabs>
          <w:tab w:val="left" w:pos="1440"/>
          <w:tab w:val="left" w:pos="2880"/>
          <w:tab w:val="left" w:pos="4320"/>
          <w:tab w:val="left" w:pos="5760"/>
          <w:tab w:val="left" w:pos="7200"/>
        </w:tabs>
        <w:ind w:firstLine="720"/>
      </w:pPr>
      <w:r>
        <w:t>Division of Labor Standards Enforcement, Alec Segarich and Anel Flores, for Plaintiff and Respondent Lilia Garcia-Brower, Labor Commissioner.</w:t>
      </w:r>
    </w:p>
    <w:p w14:paraId="05049E4E" w14:textId="360318EA" w:rsidR="00A06A26" w:rsidRDefault="00A06A26" w:rsidP="00112B4A">
      <w:pPr>
        <w:tabs>
          <w:tab w:val="left" w:pos="1440"/>
          <w:tab w:val="left" w:pos="2880"/>
          <w:tab w:val="left" w:pos="4320"/>
          <w:tab w:val="left" w:pos="5760"/>
          <w:tab w:val="left" w:pos="7200"/>
        </w:tabs>
        <w:ind w:firstLine="720"/>
      </w:pPr>
    </w:p>
    <w:sectPr w:rsidR="00A06A26" w:rsidSect="009B20DB">
      <w:headerReference w:type="even" r:id="rId6"/>
      <w:headerReference w:type="default" r:id="rId7"/>
      <w:footerReference w:type="even" r:id="rId8"/>
      <w:footerReference w:type="default" r:id="rId9"/>
      <w:headerReference w:type="first" r:id="rId10"/>
      <w:footerReference w:type="first" r:id="rId11"/>
      <w:pgSz w:w="12240" w:h="15840"/>
      <w:pgMar w:top="2016" w:right="2160" w:bottom="2016"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FC54" w14:textId="77777777" w:rsidR="00592EAA" w:rsidRDefault="00592EAA" w:rsidP="006C7D8D">
      <w:pPr>
        <w:spacing w:line="240" w:lineRule="auto"/>
      </w:pPr>
      <w:r>
        <w:separator/>
      </w:r>
    </w:p>
  </w:endnote>
  <w:endnote w:type="continuationSeparator" w:id="0">
    <w:p w14:paraId="02841041" w14:textId="77777777" w:rsidR="00592EAA" w:rsidRDefault="00592EAA" w:rsidP="006C7D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9DFE" w14:textId="77777777" w:rsidR="0030381D" w:rsidRDefault="00303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BA98" w14:textId="5EFC52BA" w:rsidR="006C7D8D" w:rsidRDefault="006C7D8D" w:rsidP="006C7D8D">
    <w:pPr>
      <w:pStyle w:val="Footer"/>
      <w:jc w:val="center"/>
    </w:pPr>
    <w:r>
      <w:fldChar w:fldCharType="begin"/>
    </w:r>
    <w:r>
      <w:instrText xml:space="preserve"> PAGE  \* MERGEFORMAT </w:instrText>
    </w:r>
    <w:r>
      <w:fldChar w:fldCharType="separate"/>
    </w:r>
    <w:r w:rsidR="00D303E7">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2B0B2" w14:textId="77777777" w:rsidR="0030381D" w:rsidRDefault="00303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5532" w14:textId="77777777" w:rsidR="00592EAA" w:rsidRDefault="00592EAA" w:rsidP="006C7D8D">
      <w:pPr>
        <w:spacing w:line="240" w:lineRule="auto"/>
      </w:pPr>
      <w:r>
        <w:separator/>
      </w:r>
    </w:p>
  </w:footnote>
  <w:footnote w:type="continuationSeparator" w:id="0">
    <w:p w14:paraId="7C0F85A9" w14:textId="77777777" w:rsidR="00592EAA" w:rsidRDefault="00592EAA" w:rsidP="006C7D8D">
      <w:pPr>
        <w:spacing w:line="240" w:lineRule="auto"/>
      </w:pPr>
      <w:r>
        <w:continuationSeparator/>
      </w:r>
    </w:p>
  </w:footnote>
  <w:footnote w:id="1">
    <w:p w14:paraId="406B03D8" w14:textId="5849B7E7" w:rsidR="006D6321" w:rsidRDefault="006D6321" w:rsidP="006D6321">
      <w:pPr>
        <w:pStyle w:val="FootnoteText"/>
        <w:spacing w:line="240" w:lineRule="auto"/>
        <w:ind w:firstLine="720"/>
        <w:rPr>
          <w:sz w:val="26"/>
          <w:szCs w:val="26"/>
        </w:rPr>
      </w:pPr>
      <w:r w:rsidRPr="006D6321">
        <w:rPr>
          <w:rStyle w:val="FootnoteReference"/>
          <w:sz w:val="26"/>
          <w:szCs w:val="26"/>
        </w:rPr>
        <w:footnoteRef/>
      </w:r>
      <w:r w:rsidRPr="006D6321">
        <w:rPr>
          <w:sz w:val="26"/>
          <w:szCs w:val="26"/>
        </w:rPr>
        <w:t xml:space="preserve"> </w:t>
      </w:r>
      <w:r w:rsidR="00952AF5">
        <w:rPr>
          <w:sz w:val="26"/>
          <w:szCs w:val="26"/>
        </w:rPr>
        <w:t xml:space="preserve">We refer to appellants </w:t>
      </w:r>
      <w:r w:rsidR="00952AF5" w:rsidRPr="00952AF5">
        <w:rPr>
          <w:sz w:val="26"/>
          <w:szCs w:val="26"/>
        </w:rPr>
        <w:t>Betteravia Farms LLC</w:t>
      </w:r>
      <w:r w:rsidR="00952AF5">
        <w:rPr>
          <w:sz w:val="26"/>
          <w:szCs w:val="26"/>
        </w:rPr>
        <w:t>, Betteravia Investments LLC, Bonita Packing Co., and Grubstake Investments LLC</w:t>
      </w:r>
      <w:r w:rsidR="004C0BAD">
        <w:rPr>
          <w:sz w:val="26"/>
          <w:szCs w:val="26"/>
        </w:rPr>
        <w:t xml:space="preserve"> collectively as “Betteravia Farms</w:t>
      </w:r>
      <w:r w:rsidR="00952AF5">
        <w:rPr>
          <w:sz w:val="26"/>
          <w:szCs w:val="26"/>
        </w:rPr>
        <w:t>.</w:t>
      </w:r>
      <w:r w:rsidR="004C0BAD">
        <w:rPr>
          <w:sz w:val="26"/>
          <w:szCs w:val="26"/>
        </w:rPr>
        <w:t>”</w:t>
      </w:r>
    </w:p>
    <w:p w14:paraId="27769C87" w14:textId="77777777" w:rsidR="006D6321" w:rsidRPr="006D6321" w:rsidRDefault="006D6321" w:rsidP="006D6321">
      <w:pPr>
        <w:pStyle w:val="FootnoteText"/>
        <w:spacing w:line="240" w:lineRule="auto"/>
        <w:ind w:firstLine="720"/>
        <w:rPr>
          <w:sz w:val="26"/>
          <w:szCs w:val="26"/>
        </w:rPr>
      </w:pPr>
    </w:p>
  </w:footnote>
  <w:footnote w:id="2">
    <w:p w14:paraId="0B9E58CC" w14:textId="05A766C7" w:rsidR="004661DB" w:rsidRPr="006D6321" w:rsidRDefault="00362859" w:rsidP="006D6321">
      <w:pPr>
        <w:pStyle w:val="FootnoteText"/>
        <w:spacing w:line="240" w:lineRule="auto"/>
        <w:ind w:firstLine="720"/>
        <w:rPr>
          <w:sz w:val="26"/>
          <w:szCs w:val="26"/>
        </w:rPr>
      </w:pPr>
      <w:r w:rsidRPr="006D6321">
        <w:rPr>
          <w:rStyle w:val="FootnoteReference"/>
          <w:sz w:val="26"/>
          <w:szCs w:val="26"/>
        </w:rPr>
        <w:footnoteRef/>
      </w:r>
      <w:r w:rsidRPr="006D6321">
        <w:rPr>
          <w:sz w:val="26"/>
          <w:szCs w:val="26"/>
        </w:rPr>
        <w:t xml:space="preserve"> The trial court consolidated these with a third action filed by respondent Edgar Cisneros.  Cisneros </w:t>
      </w:r>
      <w:r w:rsidR="008F014A" w:rsidRPr="006D6321">
        <w:rPr>
          <w:sz w:val="26"/>
          <w:szCs w:val="26"/>
        </w:rPr>
        <w:t xml:space="preserve">later </w:t>
      </w:r>
      <w:r w:rsidRPr="006D6321">
        <w:rPr>
          <w:sz w:val="26"/>
          <w:szCs w:val="26"/>
        </w:rPr>
        <w:t xml:space="preserve">agreed to dismiss all </w:t>
      </w:r>
      <w:r w:rsidR="008F014A" w:rsidRPr="006D6321">
        <w:rPr>
          <w:sz w:val="26"/>
          <w:szCs w:val="26"/>
        </w:rPr>
        <w:t xml:space="preserve">his claims except those brought under </w:t>
      </w:r>
      <w:r w:rsidRPr="006D6321">
        <w:rPr>
          <w:sz w:val="26"/>
          <w:szCs w:val="26"/>
        </w:rPr>
        <w:t>PAGA</w:t>
      </w:r>
      <w:r w:rsidR="008F014A" w:rsidRPr="006D6321">
        <w:rPr>
          <w:sz w:val="26"/>
          <w:szCs w:val="26"/>
        </w:rPr>
        <w:t>.  Alco and Betteravia seek no relief as to Cisneros in this appeal.  Cisneros requests we affirm the trial court but does not address the merits of the appeal in his brief.</w:t>
      </w:r>
    </w:p>
    <w:p w14:paraId="135F5004" w14:textId="685E7AEA" w:rsidR="00362859" w:rsidRPr="004661DB" w:rsidRDefault="008F014A" w:rsidP="004661DB">
      <w:pPr>
        <w:pStyle w:val="FootnoteText"/>
        <w:spacing w:line="240" w:lineRule="auto"/>
        <w:ind w:firstLine="720"/>
        <w:rPr>
          <w:sz w:val="26"/>
          <w:szCs w:val="26"/>
        </w:rPr>
      </w:pPr>
      <w:r w:rsidRPr="004661DB">
        <w:rPr>
          <w:sz w:val="26"/>
          <w:szCs w:val="26"/>
        </w:rPr>
        <w:t xml:space="preserve">   </w:t>
      </w:r>
    </w:p>
  </w:footnote>
  <w:footnote w:id="3">
    <w:p w14:paraId="126EB3B6" w14:textId="50356414" w:rsidR="004661DB" w:rsidRDefault="004661DB" w:rsidP="004661DB">
      <w:pPr>
        <w:pStyle w:val="FootnoteText"/>
        <w:spacing w:line="240" w:lineRule="auto"/>
        <w:ind w:firstLine="720"/>
      </w:pPr>
      <w:r w:rsidRPr="004661DB">
        <w:rPr>
          <w:rStyle w:val="FootnoteReference"/>
          <w:sz w:val="26"/>
          <w:szCs w:val="26"/>
        </w:rPr>
        <w:footnoteRef/>
      </w:r>
      <w:r w:rsidRPr="004661DB">
        <w:rPr>
          <w:sz w:val="26"/>
          <w:szCs w:val="26"/>
        </w:rPr>
        <w:t xml:space="preserve"> </w:t>
      </w:r>
      <w:r w:rsidR="00182246">
        <w:rPr>
          <w:sz w:val="26"/>
          <w:szCs w:val="26"/>
        </w:rPr>
        <w:t xml:space="preserve">The Labor Commissioner moved this Court to dismiss </w:t>
      </w:r>
      <w:r w:rsidR="00182246" w:rsidRPr="00182246">
        <w:rPr>
          <w:sz w:val="26"/>
          <w:szCs w:val="26"/>
        </w:rPr>
        <w:t xml:space="preserve">Alco’s and Betteravia’s </w:t>
      </w:r>
      <w:r w:rsidR="00182246">
        <w:rPr>
          <w:sz w:val="26"/>
          <w:szCs w:val="26"/>
        </w:rPr>
        <w:t xml:space="preserve">appeal of the order denying their stay request, arguing the ruling was not a separately appealable order.  We denied the motion in our order dated </w:t>
      </w:r>
      <w:r w:rsidR="00582136">
        <w:rPr>
          <w:sz w:val="26"/>
          <w:szCs w:val="26"/>
        </w:rPr>
        <w:t>October 3</w:t>
      </w:r>
      <w:r w:rsidR="00182246">
        <w:rPr>
          <w:sz w:val="26"/>
          <w:szCs w:val="26"/>
        </w:rPr>
        <w:t>, 2023</w:t>
      </w:r>
      <w:r w:rsidRPr="004661DB">
        <w:rPr>
          <w:sz w:val="26"/>
          <w:szCs w:val="26"/>
        </w:rPr>
        <w:t>.</w:t>
      </w:r>
      <w:r w:rsidR="009E6E55">
        <w:rPr>
          <w:sz w:val="26"/>
          <w:szCs w:val="26"/>
        </w:rPr>
        <w:t xml:space="preserve">  (Code Civ. Proc., § 1294.2.)</w:t>
      </w:r>
    </w:p>
  </w:footnote>
  <w:footnote w:id="4">
    <w:p w14:paraId="74132C3A" w14:textId="607F1286" w:rsidR="00C819AB" w:rsidRPr="004B3AB6" w:rsidRDefault="00C819AB" w:rsidP="004B3AB6">
      <w:pPr>
        <w:pStyle w:val="FootnoteText"/>
        <w:spacing w:line="240" w:lineRule="auto"/>
        <w:ind w:firstLine="720"/>
        <w:rPr>
          <w:sz w:val="26"/>
          <w:szCs w:val="26"/>
        </w:rPr>
      </w:pPr>
      <w:r w:rsidRPr="004B3AB6">
        <w:rPr>
          <w:rStyle w:val="FootnoteReference"/>
          <w:sz w:val="26"/>
          <w:szCs w:val="26"/>
        </w:rPr>
        <w:footnoteRef/>
      </w:r>
      <w:r w:rsidRPr="004B3AB6">
        <w:rPr>
          <w:sz w:val="26"/>
          <w:szCs w:val="26"/>
        </w:rPr>
        <w:t xml:space="preserve"> </w:t>
      </w:r>
      <w:r>
        <w:rPr>
          <w:sz w:val="26"/>
          <w:szCs w:val="26"/>
        </w:rPr>
        <w:t>While this appeal was pending, Assembly Bill No.</w:t>
      </w:r>
      <w:r w:rsidR="00EB5689">
        <w:rPr>
          <w:sz w:val="26"/>
          <w:szCs w:val="26"/>
        </w:rPr>
        <w:t xml:space="preserve"> 594</w:t>
      </w:r>
      <w:r>
        <w:rPr>
          <w:sz w:val="26"/>
          <w:szCs w:val="26"/>
        </w:rPr>
        <w:t xml:space="preserve"> (2023-2024 Reg. Sess.)</w:t>
      </w:r>
      <w:r w:rsidR="00EB5689">
        <w:rPr>
          <w:sz w:val="26"/>
          <w:szCs w:val="26"/>
        </w:rPr>
        <w:t xml:space="preserve"> § 2</w:t>
      </w:r>
      <w:r>
        <w:rPr>
          <w:sz w:val="26"/>
          <w:szCs w:val="26"/>
        </w:rPr>
        <w:t xml:space="preserve"> added section 182 to the Labor Code, which states:</w:t>
      </w:r>
      <w:r w:rsidR="00EB5689">
        <w:rPr>
          <w:sz w:val="26"/>
          <w:szCs w:val="26"/>
        </w:rPr>
        <w:t xml:space="preserve"> </w:t>
      </w:r>
      <w:r>
        <w:rPr>
          <w:sz w:val="26"/>
          <w:szCs w:val="26"/>
        </w:rPr>
        <w:t xml:space="preserve"> “</w:t>
      </w:r>
      <w:r w:rsidRPr="00C819AB">
        <w:rPr>
          <w:sz w:val="26"/>
          <w:szCs w:val="26"/>
        </w:rPr>
        <w:t>In any action initiated by a public prosecutor or the Labor Commissioner to enforce this code, any individual agreement between a worker and employer that purports to limit representative actions or to mandate private arbitration shall have no effect on the authority of the public prosecutor or the Labor Commissioner to enforce the code.</w:t>
      </w:r>
      <w:r>
        <w:rPr>
          <w:sz w:val="26"/>
          <w:szCs w:val="26"/>
        </w:rPr>
        <w:t>”</w:t>
      </w:r>
      <w:r w:rsidR="0061680B">
        <w:rPr>
          <w:sz w:val="26"/>
          <w:szCs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1AD0" w14:textId="77777777" w:rsidR="0030381D" w:rsidRDefault="00303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7D1F" w14:textId="77777777" w:rsidR="0030381D" w:rsidRDefault="00303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E86A" w14:textId="77777777" w:rsidR="0030381D" w:rsidRDefault="003038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D8D"/>
    <w:rsid w:val="0000191B"/>
    <w:rsid w:val="0000573D"/>
    <w:rsid w:val="0000613C"/>
    <w:rsid w:val="00011876"/>
    <w:rsid w:val="00012FAC"/>
    <w:rsid w:val="00013A3B"/>
    <w:rsid w:val="00017549"/>
    <w:rsid w:val="00021AFE"/>
    <w:rsid w:val="00023818"/>
    <w:rsid w:val="000241AE"/>
    <w:rsid w:val="00027BDC"/>
    <w:rsid w:val="0003042A"/>
    <w:rsid w:val="0003117F"/>
    <w:rsid w:val="000347C1"/>
    <w:rsid w:val="000357B9"/>
    <w:rsid w:val="00036E6A"/>
    <w:rsid w:val="00046938"/>
    <w:rsid w:val="0004737B"/>
    <w:rsid w:val="00050F8B"/>
    <w:rsid w:val="00064AFF"/>
    <w:rsid w:val="000671CF"/>
    <w:rsid w:val="0007138F"/>
    <w:rsid w:val="00071EE8"/>
    <w:rsid w:val="00073251"/>
    <w:rsid w:val="000840AF"/>
    <w:rsid w:val="0008743B"/>
    <w:rsid w:val="00091880"/>
    <w:rsid w:val="00091A0D"/>
    <w:rsid w:val="00092356"/>
    <w:rsid w:val="000927A7"/>
    <w:rsid w:val="00094C5E"/>
    <w:rsid w:val="00095B6A"/>
    <w:rsid w:val="000975E4"/>
    <w:rsid w:val="000A4D52"/>
    <w:rsid w:val="000A4DF1"/>
    <w:rsid w:val="000A5676"/>
    <w:rsid w:val="000A71AB"/>
    <w:rsid w:val="000A79E5"/>
    <w:rsid w:val="000B0A9A"/>
    <w:rsid w:val="000B15E6"/>
    <w:rsid w:val="000B2409"/>
    <w:rsid w:val="000B2D70"/>
    <w:rsid w:val="000B4478"/>
    <w:rsid w:val="000B4AF5"/>
    <w:rsid w:val="000B4FB7"/>
    <w:rsid w:val="000B5AE6"/>
    <w:rsid w:val="000C6652"/>
    <w:rsid w:val="000D109E"/>
    <w:rsid w:val="000D42BE"/>
    <w:rsid w:val="000D7611"/>
    <w:rsid w:val="000D799D"/>
    <w:rsid w:val="000E19AB"/>
    <w:rsid w:val="000E36D5"/>
    <w:rsid w:val="000E3A6B"/>
    <w:rsid w:val="000E7906"/>
    <w:rsid w:val="000E7B87"/>
    <w:rsid w:val="000F05BF"/>
    <w:rsid w:val="000F3ACD"/>
    <w:rsid w:val="000F5A96"/>
    <w:rsid w:val="000F5FAE"/>
    <w:rsid w:val="000F649B"/>
    <w:rsid w:val="000F72D5"/>
    <w:rsid w:val="0010249D"/>
    <w:rsid w:val="00105C73"/>
    <w:rsid w:val="0010657F"/>
    <w:rsid w:val="0011000A"/>
    <w:rsid w:val="00112B4A"/>
    <w:rsid w:val="00113CDD"/>
    <w:rsid w:val="001153FB"/>
    <w:rsid w:val="001209F5"/>
    <w:rsid w:val="00120A6C"/>
    <w:rsid w:val="00124C25"/>
    <w:rsid w:val="00130E71"/>
    <w:rsid w:val="001335E0"/>
    <w:rsid w:val="00133C04"/>
    <w:rsid w:val="0013433B"/>
    <w:rsid w:val="00135CCC"/>
    <w:rsid w:val="00137CED"/>
    <w:rsid w:val="00140491"/>
    <w:rsid w:val="00140C3A"/>
    <w:rsid w:val="00141625"/>
    <w:rsid w:val="00151368"/>
    <w:rsid w:val="00153444"/>
    <w:rsid w:val="00154FFF"/>
    <w:rsid w:val="0015639D"/>
    <w:rsid w:val="001624AB"/>
    <w:rsid w:val="001650C7"/>
    <w:rsid w:val="00165488"/>
    <w:rsid w:val="00170B6D"/>
    <w:rsid w:val="00172F78"/>
    <w:rsid w:val="001809E8"/>
    <w:rsid w:val="00182246"/>
    <w:rsid w:val="001825A6"/>
    <w:rsid w:val="00184ED2"/>
    <w:rsid w:val="0018752F"/>
    <w:rsid w:val="001910E8"/>
    <w:rsid w:val="00194CA4"/>
    <w:rsid w:val="001A23CD"/>
    <w:rsid w:val="001A6A57"/>
    <w:rsid w:val="001B00B7"/>
    <w:rsid w:val="001B0EEE"/>
    <w:rsid w:val="001B157A"/>
    <w:rsid w:val="001B42CB"/>
    <w:rsid w:val="001B4783"/>
    <w:rsid w:val="001B64FE"/>
    <w:rsid w:val="001C13E6"/>
    <w:rsid w:val="001C1E99"/>
    <w:rsid w:val="001C6315"/>
    <w:rsid w:val="001D63E2"/>
    <w:rsid w:val="001D70D3"/>
    <w:rsid w:val="001D7401"/>
    <w:rsid w:val="001E0B62"/>
    <w:rsid w:val="001E160A"/>
    <w:rsid w:val="001F5572"/>
    <w:rsid w:val="002113A8"/>
    <w:rsid w:val="00214383"/>
    <w:rsid w:val="0022527D"/>
    <w:rsid w:val="00226453"/>
    <w:rsid w:val="00227A84"/>
    <w:rsid w:val="00237881"/>
    <w:rsid w:val="002405A1"/>
    <w:rsid w:val="0025199C"/>
    <w:rsid w:val="00253B65"/>
    <w:rsid w:val="002611EB"/>
    <w:rsid w:val="00265125"/>
    <w:rsid w:val="00266389"/>
    <w:rsid w:val="00266667"/>
    <w:rsid w:val="0027209D"/>
    <w:rsid w:val="00275A66"/>
    <w:rsid w:val="002767C4"/>
    <w:rsid w:val="00277CD6"/>
    <w:rsid w:val="00287150"/>
    <w:rsid w:val="002A0B44"/>
    <w:rsid w:val="002A0EFC"/>
    <w:rsid w:val="002A3B42"/>
    <w:rsid w:val="002A6C3B"/>
    <w:rsid w:val="002A7437"/>
    <w:rsid w:val="002A7A4F"/>
    <w:rsid w:val="002B02FF"/>
    <w:rsid w:val="002B3AD2"/>
    <w:rsid w:val="002C1539"/>
    <w:rsid w:val="002C2893"/>
    <w:rsid w:val="002D0A4D"/>
    <w:rsid w:val="002D480A"/>
    <w:rsid w:val="002D5CFD"/>
    <w:rsid w:val="002D5F00"/>
    <w:rsid w:val="002D77F7"/>
    <w:rsid w:val="002D7D8B"/>
    <w:rsid w:val="002E1F58"/>
    <w:rsid w:val="002E459A"/>
    <w:rsid w:val="002E5BF9"/>
    <w:rsid w:val="002E6E0C"/>
    <w:rsid w:val="002F364D"/>
    <w:rsid w:val="002F4F26"/>
    <w:rsid w:val="002F72CE"/>
    <w:rsid w:val="002F7436"/>
    <w:rsid w:val="0030381D"/>
    <w:rsid w:val="0030447F"/>
    <w:rsid w:val="00305DAC"/>
    <w:rsid w:val="003072BB"/>
    <w:rsid w:val="0031392C"/>
    <w:rsid w:val="003164D2"/>
    <w:rsid w:val="00317A97"/>
    <w:rsid w:val="003232C7"/>
    <w:rsid w:val="00335B9F"/>
    <w:rsid w:val="00337637"/>
    <w:rsid w:val="003409FF"/>
    <w:rsid w:val="00341F42"/>
    <w:rsid w:val="0034699C"/>
    <w:rsid w:val="00350375"/>
    <w:rsid w:val="00351CDE"/>
    <w:rsid w:val="00356071"/>
    <w:rsid w:val="00362859"/>
    <w:rsid w:val="00372FC8"/>
    <w:rsid w:val="003733FA"/>
    <w:rsid w:val="00374F5B"/>
    <w:rsid w:val="0038525A"/>
    <w:rsid w:val="00387047"/>
    <w:rsid w:val="0039078A"/>
    <w:rsid w:val="00390C40"/>
    <w:rsid w:val="00392769"/>
    <w:rsid w:val="0039573E"/>
    <w:rsid w:val="00397A6F"/>
    <w:rsid w:val="003A3C37"/>
    <w:rsid w:val="003A41C3"/>
    <w:rsid w:val="003A5E39"/>
    <w:rsid w:val="003B0647"/>
    <w:rsid w:val="003B12AB"/>
    <w:rsid w:val="003B2F44"/>
    <w:rsid w:val="003B433A"/>
    <w:rsid w:val="003C2EE1"/>
    <w:rsid w:val="003C3487"/>
    <w:rsid w:val="003C34DF"/>
    <w:rsid w:val="003D05DE"/>
    <w:rsid w:val="003D168F"/>
    <w:rsid w:val="003D16AC"/>
    <w:rsid w:val="003D2189"/>
    <w:rsid w:val="003D4FBD"/>
    <w:rsid w:val="003D6D7F"/>
    <w:rsid w:val="003E21A0"/>
    <w:rsid w:val="003E6B59"/>
    <w:rsid w:val="003E7AD8"/>
    <w:rsid w:val="00402ECB"/>
    <w:rsid w:val="00403905"/>
    <w:rsid w:val="004046D5"/>
    <w:rsid w:val="004065D0"/>
    <w:rsid w:val="0040667A"/>
    <w:rsid w:val="0041073F"/>
    <w:rsid w:val="0041113A"/>
    <w:rsid w:val="00413B90"/>
    <w:rsid w:val="00420296"/>
    <w:rsid w:val="00425E3F"/>
    <w:rsid w:val="00431AEC"/>
    <w:rsid w:val="004342FD"/>
    <w:rsid w:val="00442C23"/>
    <w:rsid w:val="004464DC"/>
    <w:rsid w:val="00450165"/>
    <w:rsid w:val="0045197A"/>
    <w:rsid w:val="00452F97"/>
    <w:rsid w:val="00455CC1"/>
    <w:rsid w:val="00460292"/>
    <w:rsid w:val="00460888"/>
    <w:rsid w:val="0046306F"/>
    <w:rsid w:val="00463834"/>
    <w:rsid w:val="00464221"/>
    <w:rsid w:val="004661DB"/>
    <w:rsid w:val="004677D0"/>
    <w:rsid w:val="0047123F"/>
    <w:rsid w:val="00473891"/>
    <w:rsid w:val="00474FC2"/>
    <w:rsid w:val="0047670F"/>
    <w:rsid w:val="004833D1"/>
    <w:rsid w:val="0048364D"/>
    <w:rsid w:val="0048552C"/>
    <w:rsid w:val="00490B20"/>
    <w:rsid w:val="004A35C3"/>
    <w:rsid w:val="004A534B"/>
    <w:rsid w:val="004B0090"/>
    <w:rsid w:val="004B31B6"/>
    <w:rsid w:val="004B3AB6"/>
    <w:rsid w:val="004B4A12"/>
    <w:rsid w:val="004C0BAD"/>
    <w:rsid w:val="004C1FA1"/>
    <w:rsid w:val="004C240F"/>
    <w:rsid w:val="004C5A05"/>
    <w:rsid w:val="004D0CDC"/>
    <w:rsid w:val="004D2485"/>
    <w:rsid w:val="004D2D59"/>
    <w:rsid w:val="004D36F6"/>
    <w:rsid w:val="004D3BC1"/>
    <w:rsid w:val="004D6456"/>
    <w:rsid w:val="004E0669"/>
    <w:rsid w:val="004E1AFB"/>
    <w:rsid w:val="004E1DC5"/>
    <w:rsid w:val="004E235D"/>
    <w:rsid w:val="004E3360"/>
    <w:rsid w:val="004F2CF7"/>
    <w:rsid w:val="004F3BC7"/>
    <w:rsid w:val="004F3D39"/>
    <w:rsid w:val="004F44C4"/>
    <w:rsid w:val="00503C0A"/>
    <w:rsid w:val="00503C4D"/>
    <w:rsid w:val="005072C4"/>
    <w:rsid w:val="00507E58"/>
    <w:rsid w:val="00515B96"/>
    <w:rsid w:val="005164CA"/>
    <w:rsid w:val="0051726F"/>
    <w:rsid w:val="00517D5E"/>
    <w:rsid w:val="00522186"/>
    <w:rsid w:val="0052282E"/>
    <w:rsid w:val="005266F9"/>
    <w:rsid w:val="005318AE"/>
    <w:rsid w:val="00531EA3"/>
    <w:rsid w:val="00533CD5"/>
    <w:rsid w:val="00537240"/>
    <w:rsid w:val="005379F3"/>
    <w:rsid w:val="005434A1"/>
    <w:rsid w:val="005435DE"/>
    <w:rsid w:val="0054364F"/>
    <w:rsid w:val="00551B75"/>
    <w:rsid w:val="00554E95"/>
    <w:rsid w:val="0055525B"/>
    <w:rsid w:val="005613EC"/>
    <w:rsid w:val="00564E12"/>
    <w:rsid w:val="0056534B"/>
    <w:rsid w:val="005659A6"/>
    <w:rsid w:val="00566160"/>
    <w:rsid w:val="00567616"/>
    <w:rsid w:val="005740A8"/>
    <w:rsid w:val="005759BB"/>
    <w:rsid w:val="00576145"/>
    <w:rsid w:val="00580B7E"/>
    <w:rsid w:val="00582136"/>
    <w:rsid w:val="0058278D"/>
    <w:rsid w:val="00582DF6"/>
    <w:rsid w:val="00592EAA"/>
    <w:rsid w:val="00593AAF"/>
    <w:rsid w:val="005A2839"/>
    <w:rsid w:val="005A5F92"/>
    <w:rsid w:val="005B02C4"/>
    <w:rsid w:val="005B22FD"/>
    <w:rsid w:val="005B4A65"/>
    <w:rsid w:val="005B7BF4"/>
    <w:rsid w:val="005C0AC0"/>
    <w:rsid w:val="005C4506"/>
    <w:rsid w:val="005C4705"/>
    <w:rsid w:val="005C6695"/>
    <w:rsid w:val="005D0DBD"/>
    <w:rsid w:val="005D5AD6"/>
    <w:rsid w:val="005D6B78"/>
    <w:rsid w:val="005E3D8C"/>
    <w:rsid w:val="005E485A"/>
    <w:rsid w:val="005E57AB"/>
    <w:rsid w:val="005E7396"/>
    <w:rsid w:val="005F0FDA"/>
    <w:rsid w:val="005F239D"/>
    <w:rsid w:val="005F5F63"/>
    <w:rsid w:val="005F66BD"/>
    <w:rsid w:val="005F6C0D"/>
    <w:rsid w:val="005F717B"/>
    <w:rsid w:val="005F792B"/>
    <w:rsid w:val="005F79B3"/>
    <w:rsid w:val="0060106F"/>
    <w:rsid w:val="00601E24"/>
    <w:rsid w:val="006038D1"/>
    <w:rsid w:val="00604BD9"/>
    <w:rsid w:val="006122CC"/>
    <w:rsid w:val="00612378"/>
    <w:rsid w:val="006153D8"/>
    <w:rsid w:val="0061587C"/>
    <w:rsid w:val="0061680B"/>
    <w:rsid w:val="00620E80"/>
    <w:rsid w:val="00621952"/>
    <w:rsid w:val="0062539F"/>
    <w:rsid w:val="006258EE"/>
    <w:rsid w:val="00627DA3"/>
    <w:rsid w:val="00627E29"/>
    <w:rsid w:val="00627E2E"/>
    <w:rsid w:val="00630CA3"/>
    <w:rsid w:val="00637606"/>
    <w:rsid w:val="006426C8"/>
    <w:rsid w:val="0064322B"/>
    <w:rsid w:val="00643400"/>
    <w:rsid w:val="00643B94"/>
    <w:rsid w:val="00651184"/>
    <w:rsid w:val="00651F3A"/>
    <w:rsid w:val="0065795E"/>
    <w:rsid w:val="00667181"/>
    <w:rsid w:val="00667BE6"/>
    <w:rsid w:val="00674EBF"/>
    <w:rsid w:val="0067502D"/>
    <w:rsid w:val="00676508"/>
    <w:rsid w:val="006808F0"/>
    <w:rsid w:val="00681671"/>
    <w:rsid w:val="00682961"/>
    <w:rsid w:val="00684544"/>
    <w:rsid w:val="006847D2"/>
    <w:rsid w:val="0068644C"/>
    <w:rsid w:val="00693018"/>
    <w:rsid w:val="00693E70"/>
    <w:rsid w:val="0069655B"/>
    <w:rsid w:val="006966CB"/>
    <w:rsid w:val="006B3842"/>
    <w:rsid w:val="006B51AE"/>
    <w:rsid w:val="006B6816"/>
    <w:rsid w:val="006C2C83"/>
    <w:rsid w:val="006C34FB"/>
    <w:rsid w:val="006C408C"/>
    <w:rsid w:val="006C43ED"/>
    <w:rsid w:val="006C7D8D"/>
    <w:rsid w:val="006D2F25"/>
    <w:rsid w:val="006D6321"/>
    <w:rsid w:val="006D6864"/>
    <w:rsid w:val="006D694C"/>
    <w:rsid w:val="006E1F1E"/>
    <w:rsid w:val="006E4B6A"/>
    <w:rsid w:val="006F025A"/>
    <w:rsid w:val="006F383B"/>
    <w:rsid w:val="006F4D10"/>
    <w:rsid w:val="006F51C3"/>
    <w:rsid w:val="007023C8"/>
    <w:rsid w:val="00703940"/>
    <w:rsid w:val="007045D6"/>
    <w:rsid w:val="00710FE2"/>
    <w:rsid w:val="00712B6F"/>
    <w:rsid w:val="00724C61"/>
    <w:rsid w:val="00724F98"/>
    <w:rsid w:val="00730369"/>
    <w:rsid w:val="00732142"/>
    <w:rsid w:val="007356AB"/>
    <w:rsid w:val="00741589"/>
    <w:rsid w:val="00750069"/>
    <w:rsid w:val="00750FF8"/>
    <w:rsid w:val="00755FA5"/>
    <w:rsid w:val="007620D6"/>
    <w:rsid w:val="00763B2B"/>
    <w:rsid w:val="00764B03"/>
    <w:rsid w:val="00770AC9"/>
    <w:rsid w:val="00770FD6"/>
    <w:rsid w:val="00772265"/>
    <w:rsid w:val="0077266D"/>
    <w:rsid w:val="00786089"/>
    <w:rsid w:val="00793813"/>
    <w:rsid w:val="00794071"/>
    <w:rsid w:val="007946A2"/>
    <w:rsid w:val="007977D5"/>
    <w:rsid w:val="007A2F24"/>
    <w:rsid w:val="007A76DB"/>
    <w:rsid w:val="007B0346"/>
    <w:rsid w:val="007B27DD"/>
    <w:rsid w:val="007B6500"/>
    <w:rsid w:val="007B6635"/>
    <w:rsid w:val="007B69EF"/>
    <w:rsid w:val="007B72F0"/>
    <w:rsid w:val="007C2D63"/>
    <w:rsid w:val="007C433A"/>
    <w:rsid w:val="007C522C"/>
    <w:rsid w:val="007D1533"/>
    <w:rsid w:val="007D3795"/>
    <w:rsid w:val="007D5A8A"/>
    <w:rsid w:val="007D6506"/>
    <w:rsid w:val="007D71B1"/>
    <w:rsid w:val="007D7CD0"/>
    <w:rsid w:val="007D7E99"/>
    <w:rsid w:val="007E14BF"/>
    <w:rsid w:val="007E42FD"/>
    <w:rsid w:val="007E73A3"/>
    <w:rsid w:val="007F02A5"/>
    <w:rsid w:val="007F08BF"/>
    <w:rsid w:val="007F771E"/>
    <w:rsid w:val="00800D3E"/>
    <w:rsid w:val="008021EB"/>
    <w:rsid w:val="0080371B"/>
    <w:rsid w:val="00812549"/>
    <w:rsid w:val="008142ED"/>
    <w:rsid w:val="00815C91"/>
    <w:rsid w:val="00822693"/>
    <w:rsid w:val="00823286"/>
    <w:rsid w:val="00835BED"/>
    <w:rsid w:val="00840E8D"/>
    <w:rsid w:val="00845290"/>
    <w:rsid w:val="0084535F"/>
    <w:rsid w:val="00850F25"/>
    <w:rsid w:val="00851DAB"/>
    <w:rsid w:val="00854FF4"/>
    <w:rsid w:val="008602C2"/>
    <w:rsid w:val="008638F5"/>
    <w:rsid w:val="00864090"/>
    <w:rsid w:val="00870998"/>
    <w:rsid w:val="00871B72"/>
    <w:rsid w:val="00877181"/>
    <w:rsid w:val="008806E7"/>
    <w:rsid w:val="00881714"/>
    <w:rsid w:val="00884819"/>
    <w:rsid w:val="0088729E"/>
    <w:rsid w:val="00893F6C"/>
    <w:rsid w:val="00897CC4"/>
    <w:rsid w:val="008A26B3"/>
    <w:rsid w:val="008A494E"/>
    <w:rsid w:val="008B0757"/>
    <w:rsid w:val="008B1A6E"/>
    <w:rsid w:val="008B2317"/>
    <w:rsid w:val="008B232D"/>
    <w:rsid w:val="008B3C63"/>
    <w:rsid w:val="008B43AD"/>
    <w:rsid w:val="008B690E"/>
    <w:rsid w:val="008B78F8"/>
    <w:rsid w:val="008B7DFB"/>
    <w:rsid w:val="008C2757"/>
    <w:rsid w:val="008C4136"/>
    <w:rsid w:val="008C58E1"/>
    <w:rsid w:val="008D0171"/>
    <w:rsid w:val="008D0A2D"/>
    <w:rsid w:val="008D1770"/>
    <w:rsid w:val="008E10A0"/>
    <w:rsid w:val="008E1451"/>
    <w:rsid w:val="008E3079"/>
    <w:rsid w:val="008E3565"/>
    <w:rsid w:val="008F005D"/>
    <w:rsid w:val="008F014A"/>
    <w:rsid w:val="008F1F71"/>
    <w:rsid w:val="008F34BF"/>
    <w:rsid w:val="008F76CE"/>
    <w:rsid w:val="00900B3F"/>
    <w:rsid w:val="00901237"/>
    <w:rsid w:val="00901696"/>
    <w:rsid w:val="00907A17"/>
    <w:rsid w:val="009134B3"/>
    <w:rsid w:val="00922956"/>
    <w:rsid w:val="00924C8A"/>
    <w:rsid w:val="00924E85"/>
    <w:rsid w:val="00926522"/>
    <w:rsid w:val="009267F6"/>
    <w:rsid w:val="00926D3B"/>
    <w:rsid w:val="00927425"/>
    <w:rsid w:val="00931241"/>
    <w:rsid w:val="00931F56"/>
    <w:rsid w:val="0093227C"/>
    <w:rsid w:val="00934898"/>
    <w:rsid w:val="00935D54"/>
    <w:rsid w:val="0093707F"/>
    <w:rsid w:val="00941CFA"/>
    <w:rsid w:val="00941E48"/>
    <w:rsid w:val="00942411"/>
    <w:rsid w:val="009429BB"/>
    <w:rsid w:val="00943517"/>
    <w:rsid w:val="00944526"/>
    <w:rsid w:val="00945AC6"/>
    <w:rsid w:val="00945B6B"/>
    <w:rsid w:val="00947B75"/>
    <w:rsid w:val="00947BA6"/>
    <w:rsid w:val="00950BA8"/>
    <w:rsid w:val="00952AF5"/>
    <w:rsid w:val="00952EF3"/>
    <w:rsid w:val="00955D94"/>
    <w:rsid w:val="00956FDC"/>
    <w:rsid w:val="009601B6"/>
    <w:rsid w:val="009615E1"/>
    <w:rsid w:val="00962F77"/>
    <w:rsid w:val="00963ACB"/>
    <w:rsid w:val="00963AEE"/>
    <w:rsid w:val="00966A9F"/>
    <w:rsid w:val="00970568"/>
    <w:rsid w:val="00970F07"/>
    <w:rsid w:val="00975147"/>
    <w:rsid w:val="00976AAC"/>
    <w:rsid w:val="00983D7F"/>
    <w:rsid w:val="0098536C"/>
    <w:rsid w:val="00986350"/>
    <w:rsid w:val="00994B62"/>
    <w:rsid w:val="00994D39"/>
    <w:rsid w:val="009951B1"/>
    <w:rsid w:val="00995258"/>
    <w:rsid w:val="009A0B7A"/>
    <w:rsid w:val="009A4EAD"/>
    <w:rsid w:val="009A5639"/>
    <w:rsid w:val="009A5A53"/>
    <w:rsid w:val="009A6D8B"/>
    <w:rsid w:val="009A7C49"/>
    <w:rsid w:val="009B20DB"/>
    <w:rsid w:val="009B6CE6"/>
    <w:rsid w:val="009B78F9"/>
    <w:rsid w:val="009C702C"/>
    <w:rsid w:val="009C7D62"/>
    <w:rsid w:val="009D1998"/>
    <w:rsid w:val="009D3262"/>
    <w:rsid w:val="009D5568"/>
    <w:rsid w:val="009D560E"/>
    <w:rsid w:val="009D5F3F"/>
    <w:rsid w:val="009D63D8"/>
    <w:rsid w:val="009D7045"/>
    <w:rsid w:val="009E0C4A"/>
    <w:rsid w:val="009E489A"/>
    <w:rsid w:val="009E6BB0"/>
    <w:rsid w:val="009E6E55"/>
    <w:rsid w:val="009E7C34"/>
    <w:rsid w:val="009F0B1A"/>
    <w:rsid w:val="009F0F16"/>
    <w:rsid w:val="009F105C"/>
    <w:rsid w:val="009F2B55"/>
    <w:rsid w:val="009F39A4"/>
    <w:rsid w:val="009F618F"/>
    <w:rsid w:val="00A04EDF"/>
    <w:rsid w:val="00A053BE"/>
    <w:rsid w:val="00A06A26"/>
    <w:rsid w:val="00A1693E"/>
    <w:rsid w:val="00A23F78"/>
    <w:rsid w:val="00A26E2A"/>
    <w:rsid w:val="00A31186"/>
    <w:rsid w:val="00A311A7"/>
    <w:rsid w:val="00A319FB"/>
    <w:rsid w:val="00A31D97"/>
    <w:rsid w:val="00A325B0"/>
    <w:rsid w:val="00A40282"/>
    <w:rsid w:val="00A4184B"/>
    <w:rsid w:val="00A4239F"/>
    <w:rsid w:val="00A43657"/>
    <w:rsid w:val="00A43B48"/>
    <w:rsid w:val="00A5130C"/>
    <w:rsid w:val="00A5196B"/>
    <w:rsid w:val="00A52DD1"/>
    <w:rsid w:val="00A55281"/>
    <w:rsid w:val="00A62833"/>
    <w:rsid w:val="00A66026"/>
    <w:rsid w:val="00A66673"/>
    <w:rsid w:val="00A66917"/>
    <w:rsid w:val="00A7560B"/>
    <w:rsid w:val="00A77AD8"/>
    <w:rsid w:val="00A8251C"/>
    <w:rsid w:val="00A84EB1"/>
    <w:rsid w:val="00A86A06"/>
    <w:rsid w:val="00A87247"/>
    <w:rsid w:val="00A87642"/>
    <w:rsid w:val="00A91BD7"/>
    <w:rsid w:val="00A93302"/>
    <w:rsid w:val="00A93599"/>
    <w:rsid w:val="00A93B88"/>
    <w:rsid w:val="00A93D34"/>
    <w:rsid w:val="00A95054"/>
    <w:rsid w:val="00A95C89"/>
    <w:rsid w:val="00A96C5E"/>
    <w:rsid w:val="00A97181"/>
    <w:rsid w:val="00A97927"/>
    <w:rsid w:val="00AA1AB4"/>
    <w:rsid w:val="00AA687A"/>
    <w:rsid w:val="00AB3C41"/>
    <w:rsid w:val="00AB4E62"/>
    <w:rsid w:val="00AB58AB"/>
    <w:rsid w:val="00AB58D9"/>
    <w:rsid w:val="00AB592F"/>
    <w:rsid w:val="00AC1538"/>
    <w:rsid w:val="00AC15AB"/>
    <w:rsid w:val="00AC494C"/>
    <w:rsid w:val="00AC7BC9"/>
    <w:rsid w:val="00AD2EC0"/>
    <w:rsid w:val="00AD3967"/>
    <w:rsid w:val="00AD5D87"/>
    <w:rsid w:val="00AE1F6D"/>
    <w:rsid w:val="00AE224C"/>
    <w:rsid w:val="00AE3002"/>
    <w:rsid w:val="00AF0E89"/>
    <w:rsid w:val="00AF31A3"/>
    <w:rsid w:val="00AF520F"/>
    <w:rsid w:val="00AF5E73"/>
    <w:rsid w:val="00B03258"/>
    <w:rsid w:val="00B10A57"/>
    <w:rsid w:val="00B11706"/>
    <w:rsid w:val="00B11A80"/>
    <w:rsid w:val="00B13502"/>
    <w:rsid w:val="00B1728C"/>
    <w:rsid w:val="00B2034C"/>
    <w:rsid w:val="00B22466"/>
    <w:rsid w:val="00B23202"/>
    <w:rsid w:val="00B23BEF"/>
    <w:rsid w:val="00B23E72"/>
    <w:rsid w:val="00B25C78"/>
    <w:rsid w:val="00B30AB9"/>
    <w:rsid w:val="00B34523"/>
    <w:rsid w:val="00B34A74"/>
    <w:rsid w:val="00B34C11"/>
    <w:rsid w:val="00B34D64"/>
    <w:rsid w:val="00B35558"/>
    <w:rsid w:val="00B36562"/>
    <w:rsid w:val="00B43067"/>
    <w:rsid w:val="00B466C9"/>
    <w:rsid w:val="00B501E9"/>
    <w:rsid w:val="00B53A0B"/>
    <w:rsid w:val="00B567F8"/>
    <w:rsid w:val="00B65730"/>
    <w:rsid w:val="00B7458D"/>
    <w:rsid w:val="00B75B48"/>
    <w:rsid w:val="00B75EA5"/>
    <w:rsid w:val="00B762FB"/>
    <w:rsid w:val="00B77979"/>
    <w:rsid w:val="00B84414"/>
    <w:rsid w:val="00B847DC"/>
    <w:rsid w:val="00B84B63"/>
    <w:rsid w:val="00B85B16"/>
    <w:rsid w:val="00B93D02"/>
    <w:rsid w:val="00BA27B7"/>
    <w:rsid w:val="00BA2C04"/>
    <w:rsid w:val="00BA3836"/>
    <w:rsid w:val="00BA3E7A"/>
    <w:rsid w:val="00BA409F"/>
    <w:rsid w:val="00BA49C5"/>
    <w:rsid w:val="00BA6DFB"/>
    <w:rsid w:val="00BB14F5"/>
    <w:rsid w:val="00BB1B23"/>
    <w:rsid w:val="00BB3E23"/>
    <w:rsid w:val="00BB6AF4"/>
    <w:rsid w:val="00BC277A"/>
    <w:rsid w:val="00BD5E88"/>
    <w:rsid w:val="00BE3C5E"/>
    <w:rsid w:val="00BE4B46"/>
    <w:rsid w:val="00BE5F6F"/>
    <w:rsid w:val="00BE6EC2"/>
    <w:rsid w:val="00BF10E6"/>
    <w:rsid w:val="00BF42B7"/>
    <w:rsid w:val="00BF4B5F"/>
    <w:rsid w:val="00BF51A5"/>
    <w:rsid w:val="00BF52BA"/>
    <w:rsid w:val="00BF5B95"/>
    <w:rsid w:val="00C02B55"/>
    <w:rsid w:val="00C038DC"/>
    <w:rsid w:val="00C11687"/>
    <w:rsid w:val="00C14EBF"/>
    <w:rsid w:val="00C20B0B"/>
    <w:rsid w:val="00C21044"/>
    <w:rsid w:val="00C2380A"/>
    <w:rsid w:val="00C256EC"/>
    <w:rsid w:val="00C260C7"/>
    <w:rsid w:val="00C26553"/>
    <w:rsid w:val="00C3008E"/>
    <w:rsid w:val="00C30DFD"/>
    <w:rsid w:val="00C3223C"/>
    <w:rsid w:val="00C43559"/>
    <w:rsid w:val="00C45889"/>
    <w:rsid w:val="00C45A62"/>
    <w:rsid w:val="00C4679E"/>
    <w:rsid w:val="00C46940"/>
    <w:rsid w:val="00C4759C"/>
    <w:rsid w:val="00C50300"/>
    <w:rsid w:val="00C50E21"/>
    <w:rsid w:val="00C52F7C"/>
    <w:rsid w:val="00C531D7"/>
    <w:rsid w:val="00C56030"/>
    <w:rsid w:val="00C5675F"/>
    <w:rsid w:val="00C56F1A"/>
    <w:rsid w:val="00C61B7C"/>
    <w:rsid w:val="00C64580"/>
    <w:rsid w:val="00C7279C"/>
    <w:rsid w:val="00C741AA"/>
    <w:rsid w:val="00C77383"/>
    <w:rsid w:val="00C8190E"/>
    <w:rsid w:val="00C819AB"/>
    <w:rsid w:val="00C824CF"/>
    <w:rsid w:val="00C840F1"/>
    <w:rsid w:val="00C86D9E"/>
    <w:rsid w:val="00C87C58"/>
    <w:rsid w:val="00C9579A"/>
    <w:rsid w:val="00CA3195"/>
    <w:rsid w:val="00CA3A81"/>
    <w:rsid w:val="00CA3ED5"/>
    <w:rsid w:val="00CB0029"/>
    <w:rsid w:val="00CB3CC6"/>
    <w:rsid w:val="00CC1560"/>
    <w:rsid w:val="00CC29D4"/>
    <w:rsid w:val="00CC3380"/>
    <w:rsid w:val="00CC3E6C"/>
    <w:rsid w:val="00CC45BB"/>
    <w:rsid w:val="00CC5923"/>
    <w:rsid w:val="00CC61F4"/>
    <w:rsid w:val="00CD0432"/>
    <w:rsid w:val="00CD2062"/>
    <w:rsid w:val="00CD56FD"/>
    <w:rsid w:val="00CE1B80"/>
    <w:rsid w:val="00CE49F1"/>
    <w:rsid w:val="00CE4C4F"/>
    <w:rsid w:val="00CE5DD5"/>
    <w:rsid w:val="00CE6A94"/>
    <w:rsid w:val="00CF015A"/>
    <w:rsid w:val="00CF1439"/>
    <w:rsid w:val="00CF1F58"/>
    <w:rsid w:val="00CF4A8B"/>
    <w:rsid w:val="00D0170A"/>
    <w:rsid w:val="00D03AE4"/>
    <w:rsid w:val="00D0654C"/>
    <w:rsid w:val="00D075AA"/>
    <w:rsid w:val="00D10822"/>
    <w:rsid w:val="00D1195C"/>
    <w:rsid w:val="00D126C6"/>
    <w:rsid w:val="00D12AA2"/>
    <w:rsid w:val="00D1317D"/>
    <w:rsid w:val="00D1398D"/>
    <w:rsid w:val="00D14280"/>
    <w:rsid w:val="00D168AB"/>
    <w:rsid w:val="00D16FF1"/>
    <w:rsid w:val="00D17524"/>
    <w:rsid w:val="00D1756A"/>
    <w:rsid w:val="00D21B3B"/>
    <w:rsid w:val="00D21D4A"/>
    <w:rsid w:val="00D303E7"/>
    <w:rsid w:val="00D35118"/>
    <w:rsid w:val="00D35CBD"/>
    <w:rsid w:val="00D36B75"/>
    <w:rsid w:val="00D37279"/>
    <w:rsid w:val="00D43996"/>
    <w:rsid w:val="00D43DAC"/>
    <w:rsid w:val="00D444E8"/>
    <w:rsid w:val="00D44919"/>
    <w:rsid w:val="00D5014F"/>
    <w:rsid w:val="00D53A03"/>
    <w:rsid w:val="00D54EE3"/>
    <w:rsid w:val="00D553BE"/>
    <w:rsid w:val="00D63CC3"/>
    <w:rsid w:val="00D66A92"/>
    <w:rsid w:val="00D66CA3"/>
    <w:rsid w:val="00D70A66"/>
    <w:rsid w:val="00D77D6B"/>
    <w:rsid w:val="00D80077"/>
    <w:rsid w:val="00D81410"/>
    <w:rsid w:val="00D8287F"/>
    <w:rsid w:val="00D82D02"/>
    <w:rsid w:val="00D845E4"/>
    <w:rsid w:val="00D85E58"/>
    <w:rsid w:val="00D86EB1"/>
    <w:rsid w:val="00D90325"/>
    <w:rsid w:val="00D923B5"/>
    <w:rsid w:val="00DA2825"/>
    <w:rsid w:val="00DA728C"/>
    <w:rsid w:val="00DB0646"/>
    <w:rsid w:val="00DB22E7"/>
    <w:rsid w:val="00DC384B"/>
    <w:rsid w:val="00DC7720"/>
    <w:rsid w:val="00DD2989"/>
    <w:rsid w:val="00DD3706"/>
    <w:rsid w:val="00DD4F3A"/>
    <w:rsid w:val="00DE372D"/>
    <w:rsid w:val="00DF07EA"/>
    <w:rsid w:val="00DF1930"/>
    <w:rsid w:val="00DF31A5"/>
    <w:rsid w:val="00DF655F"/>
    <w:rsid w:val="00E015F9"/>
    <w:rsid w:val="00E0368B"/>
    <w:rsid w:val="00E05CC8"/>
    <w:rsid w:val="00E07390"/>
    <w:rsid w:val="00E10A1B"/>
    <w:rsid w:val="00E10D18"/>
    <w:rsid w:val="00E115EB"/>
    <w:rsid w:val="00E12151"/>
    <w:rsid w:val="00E14B46"/>
    <w:rsid w:val="00E17FB3"/>
    <w:rsid w:val="00E225EC"/>
    <w:rsid w:val="00E3002E"/>
    <w:rsid w:val="00E30DE2"/>
    <w:rsid w:val="00E318FA"/>
    <w:rsid w:val="00E32BC8"/>
    <w:rsid w:val="00E32EF5"/>
    <w:rsid w:val="00E3530B"/>
    <w:rsid w:val="00E36965"/>
    <w:rsid w:val="00E4037F"/>
    <w:rsid w:val="00E43618"/>
    <w:rsid w:val="00E43A19"/>
    <w:rsid w:val="00E4556E"/>
    <w:rsid w:val="00E45C2B"/>
    <w:rsid w:val="00E616FF"/>
    <w:rsid w:val="00E6206B"/>
    <w:rsid w:val="00E62074"/>
    <w:rsid w:val="00E63D54"/>
    <w:rsid w:val="00E63FB2"/>
    <w:rsid w:val="00E64406"/>
    <w:rsid w:val="00E67D09"/>
    <w:rsid w:val="00E82A6F"/>
    <w:rsid w:val="00E837F4"/>
    <w:rsid w:val="00E863CE"/>
    <w:rsid w:val="00E948B8"/>
    <w:rsid w:val="00E94BBB"/>
    <w:rsid w:val="00E97272"/>
    <w:rsid w:val="00EA4BFD"/>
    <w:rsid w:val="00EA6103"/>
    <w:rsid w:val="00EB095C"/>
    <w:rsid w:val="00EB25C4"/>
    <w:rsid w:val="00EB2F50"/>
    <w:rsid w:val="00EB3287"/>
    <w:rsid w:val="00EB3E63"/>
    <w:rsid w:val="00EB3F72"/>
    <w:rsid w:val="00EB50D0"/>
    <w:rsid w:val="00EB5689"/>
    <w:rsid w:val="00EB6F5C"/>
    <w:rsid w:val="00ED507E"/>
    <w:rsid w:val="00ED61A0"/>
    <w:rsid w:val="00EE08DA"/>
    <w:rsid w:val="00EE3F13"/>
    <w:rsid w:val="00EE77DA"/>
    <w:rsid w:val="00F0143A"/>
    <w:rsid w:val="00F02E39"/>
    <w:rsid w:val="00F06C24"/>
    <w:rsid w:val="00F07B6B"/>
    <w:rsid w:val="00F11E83"/>
    <w:rsid w:val="00F13320"/>
    <w:rsid w:val="00F149F6"/>
    <w:rsid w:val="00F15628"/>
    <w:rsid w:val="00F16E6D"/>
    <w:rsid w:val="00F17BFD"/>
    <w:rsid w:val="00F20492"/>
    <w:rsid w:val="00F207C8"/>
    <w:rsid w:val="00F2080D"/>
    <w:rsid w:val="00F24BE4"/>
    <w:rsid w:val="00F25734"/>
    <w:rsid w:val="00F25813"/>
    <w:rsid w:val="00F26FCE"/>
    <w:rsid w:val="00F328D0"/>
    <w:rsid w:val="00F32E42"/>
    <w:rsid w:val="00F344F3"/>
    <w:rsid w:val="00F34DAC"/>
    <w:rsid w:val="00F447FC"/>
    <w:rsid w:val="00F458E4"/>
    <w:rsid w:val="00F501B3"/>
    <w:rsid w:val="00F51A86"/>
    <w:rsid w:val="00F52D3A"/>
    <w:rsid w:val="00F531CF"/>
    <w:rsid w:val="00F5485B"/>
    <w:rsid w:val="00F6165D"/>
    <w:rsid w:val="00F61E26"/>
    <w:rsid w:val="00F6201A"/>
    <w:rsid w:val="00F64884"/>
    <w:rsid w:val="00F675BB"/>
    <w:rsid w:val="00F7333F"/>
    <w:rsid w:val="00F752EF"/>
    <w:rsid w:val="00F8030C"/>
    <w:rsid w:val="00F8062B"/>
    <w:rsid w:val="00F816CE"/>
    <w:rsid w:val="00F82665"/>
    <w:rsid w:val="00F83131"/>
    <w:rsid w:val="00F90583"/>
    <w:rsid w:val="00FA1989"/>
    <w:rsid w:val="00FB1965"/>
    <w:rsid w:val="00FB22FF"/>
    <w:rsid w:val="00FB2FEF"/>
    <w:rsid w:val="00FB34ED"/>
    <w:rsid w:val="00FB387F"/>
    <w:rsid w:val="00FB3C71"/>
    <w:rsid w:val="00FB4F4D"/>
    <w:rsid w:val="00FC102F"/>
    <w:rsid w:val="00FC36F5"/>
    <w:rsid w:val="00FD13CA"/>
    <w:rsid w:val="00FD2F5C"/>
    <w:rsid w:val="00FD352F"/>
    <w:rsid w:val="00FD4CFD"/>
    <w:rsid w:val="00FD50FF"/>
    <w:rsid w:val="00FD5A02"/>
    <w:rsid w:val="00FE0588"/>
    <w:rsid w:val="00FE349B"/>
    <w:rsid w:val="00FE3FC1"/>
    <w:rsid w:val="00FE55D4"/>
    <w:rsid w:val="00FE634A"/>
    <w:rsid w:val="00FE7505"/>
    <w:rsid w:val="00FF6428"/>
    <w:rsid w:val="00FF70E4"/>
    <w:rsid w:val="00FF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40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uto"/>
    </w:pPr>
    <w:rPr>
      <w:rFonts w:ascii="Century Schoolbook" w:hAnsi="Century Schoolbook"/>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D8D"/>
    <w:pPr>
      <w:tabs>
        <w:tab w:val="center" w:pos="4680"/>
        <w:tab w:val="right" w:pos="9360"/>
      </w:tabs>
    </w:pPr>
  </w:style>
  <w:style w:type="character" w:customStyle="1" w:styleId="HeaderChar">
    <w:name w:val="Header Char"/>
    <w:link w:val="Header"/>
    <w:uiPriority w:val="99"/>
    <w:rsid w:val="006C7D8D"/>
    <w:rPr>
      <w:rFonts w:ascii="Century Schoolbook" w:hAnsi="Century Schoolbook"/>
      <w:sz w:val="26"/>
      <w:szCs w:val="22"/>
    </w:rPr>
  </w:style>
  <w:style w:type="paragraph" w:styleId="Footer">
    <w:name w:val="footer"/>
    <w:basedOn w:val="Normal"/>
    <w:link w:val="FooterChar"/>
    <w:uiPriority w:val="99"/>
    <w:unhideWhenUsed/>
    <w:rsid w:val="006C7D8D"/>
    <w:pPr>
      <w:tabs>
        <w:tab w:val="center" w:pos="4680"/>
        <w:tab w:val="right" w:pos="9360"/>
      </w:tabs>
    </w:pPr>
  </w:style>
  <w:style w:type="character" w:customStyle="1" w:styleId="FooterChar">
    <w:name w:val="Footer Char"/>
    <w:link w:val="Footer"/>
    <w:uiPriority w:val="99"/>
    <w:rsid w:val="006C7D8D"/>
    <w:rPr>
      <w:rFonts w:ascii="Century Schoolbook" w:hAnsi="Century Schoolbook"/>
      <w:sz w:val="26"/>
      <w:szCs w:val="22"/>
    </w:rPr>
  </w:style>
  <w:style w:type="paragraph" w:styleId="FootnoteText">
    <w:name w:val="footnote text"/>
    <w:basedOn w:val="Normal"/>
    <w:link w:val="FootnoteTextChar"/>
    <w:uiPriority w:val="99"/>
    <w:semiHidden/>
    <w:unhideWhenUsed/>
    <w:rsid w:val="00C56030"/>
    <w:rPr>
      <w:sz w:val="20"/>
      <w:szCs w:val="20"/>
    </w:rPr>
  </w:style>
  <w:style w:type="character" w:customStyle="1" w:styleId="FootnoteTextChar">
    <w:name w:val="Footnote Text Char"/>
    <w:link w:val="FootnoteText"/>
    <w:uiPriority w:val="99"/>
    <w:semiHidden/>
    <w:rsid w:val="00C56030"/>
    <w:rPr>
      <w:rFonts w:ascii="Century Schoolbook" w:hAnsi="Century Schoolbook"/>
    </w:rPr>
  </w:style>
  <w:style w:type="character" w:styleId="FootnoteReference">
    <w:name w:val="footnote reference"/>
    <w:uiPriority w:val="99"/>
    <w:semiHidden/>
    <w:unhideWhenUsed/>
    <w:rsid w:val="00C56030"/>
    <w:rPr>
      <w:vertAlign w:val="superscript"/>
    </w:rPr>
  </w:style>
  <w:style w:type="paragraph" w:styleId="Revision">
    <w:name w:val="Revision"/>
    <w:hidden/>
    <w:uiPriority w:val="99"/>
    <w:semiHidden/>
    <w:rsid w:val="00A66026"/>
    <w:rPr>
      <w:rFonts w:ascii="Century Schoolbook" w:hAnsi="Century Schoolbook"/>
      <w:sz w:val="26"/>
      <w:szCs w:val="22"/>
    </w:rPr>
  </w:style>
  <w:style w:type="paragraph" w:styleId="BalloonText">
    <w:name w:val="Balloon Text"/>
    <w:basedOn w:val="Normal"/>
    <w:link w:val="BalloonTextChar"/>
    <w:uiPriority w:val="99"/>
    <w:semiHidden/>
    <w:unhideWhenUsed/>
    <w:rsid w:val="00C531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Words>
  <Characters>9449</Characters>
  <Application>Microsoft Office Word</Application>
  <DocSecurity>0</DocSecurity>
  <Lines>278</Lines>
  <Paragraphs>64</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11173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2023-11-22T19:25:00Z</cp:lastPrinted>
  <dcterms:created xsi:type="dcterms:W3CDTF">2023-11-22T19:35:00Z</dcterms:created>
  <dcterms:modified xsi:type="dcterms:W3CDTF">2023-11-22T19:35:00Z</dcterms:modified>
  <cp:category/>
</cp:coreProperties>
</file>