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1768" w14:textId="77777777" w:rsidR="00F67C62" w:rsidRPr="00F67C62" w:rsidRDefault="00F615D7" w:rsidP="00F67C62">
      <w:pPr>
        <w:rPr>
          <w:rFonts w:ascii="Times New Roman" w:hAnsi="Times New Roman" w:cs="Times New Roman"/>
          <w:bCs/>
          <w:sz w:val="20"/>
          <w:szCs w:val="20"/>
        </w:rPr>
      </w:pPr>
      <w:r>
        <w:rPr>
          <w:rFonts w:ascii="Times New Roman" w:hAnsi="Times New Roman" w:cs="Times New Roman"/>
          <w:bCs/>
          <w:sz w:val="20"/>
          <w:szCs w:val="20"/>
        </w:rPr>
        <w:t xml:space="preserve">Filed </w:t>
      </w:r>
      <w:proofErr w:type="gramStart"/>
      <w:r>
        <w:rPr>
          <w:rFonts w:ascii="Times New Roman" w:hAnsi="Times New Roman" w:cs="Times New Roman"/>
          <w:bCs/>
          <w:sz w:val="20"/>
          <w:szCs w:val="20"/>
        </w:rPr>
        <w:t>8/10/23</w:t>
      </w:r>
      <w:proofErr w:type="gramEnd"/>
    </w:p>
    <w:p w14:paraId="633D1769" w14:textId="77777777" w:rsidR="00CC4A7B" w:rsidRPr="00CC4A7B" w:rsidRDefault="00F615D7" w:rsidP="00CC4A7B">
      <w:pPr>
        <w:jc w:val="center"/>
        <w:rPr>
          <w:rFonts w:cs="Arial"/>
          <w:b/>
        </w:rPr>
      </w:pPr>
      <w:r w:rsidRPr="00CC4A7B">
        <w:rPr>
          <w:rFonts w:cs="Arial"/>
          <w:b/>
        </w:rPr>
        <w:t>CERTIFIED FOR PUBLICATION</w:t>
      </w:r>
    </w:p>
    <w:p w14:paraId="633D176A" w14:textId="77777777" w:rsidR="00CC4A7B" w:rsidRPr="00BE529A" w:rsidRDefault="00CC4A7B" w:rsidP="00CC4A7B">
      <w:pPr>
        <w:jc w:val="center"/>
        <w:rPr>
          <w:rFonts w:cs="Arial"/>
          <w:sz w:val="28"/>
          <w:szCs w:val="28"/>
        </w:rPr>
      </w:pPr>
    </w:p>
    <w:p w14:paraId="633D176B" w14:textId="77777777" w:rsidR="00CC4A7B" w:rsidRPr="00BE529A" w:rsidRDefault="00CC4A7B" w:rsidP="00CC4A7B">
      <w:pPr>
        <w:jc w:val="center"/>
        <w:rPr>
          <w:rFonts w:cs="Arial"/>
          <w:sz w:val="28"/>
          <w:szCs w:val="28"/>
        </w:rPr>
      </w:pPr>
    </w:p>
    <w:p w14:paraId="633D176C" w14:textId="77777777" w:rsidR="000D6D21" w:rsidRDefault="000D6D21" w:rsidP="00F67C62">
      <w:pPr>
        <w:spacing w:line="240" w:lineRule="auto"/>
        <w:jc w:val="center"/>
        <w:rPr>
          <w:sz w:val="28"/>
          <w:szCs w:val="28"/>
        </w:rPr>
      </w:pPr>
    </w:p>
    <w:p w14:paraId="633D176D" w14:textId="77777777" w:rsidR="000D6D21" w:rsidRPr="002E4FA1" w:rsidRDefault="00F615D7" w:rsidP="000D6D21">
      <w:pPr>
        <w:spacing w:line="240" w:lineRule="auto"/>
        <w:jc w:val="center"/>
        <w:rPr>
          <w:sz w:val="28"/>
          <w:szCs w:val="28"/>
        </w:rPr>
      </w:pPr>
      <w:r w:rsidRPr="002E4FA1">
        <w:rPr>
          <w:sz w:val="28"/>
          <w:szCs w:val="28"/>
        </w:rPr>
        <w:t>IN THE COURT OF APPEAL OF THE STATE OF CALIFORNIA</w:t>
      </w:r>
    </w:p>
    <w:p w14:paraId="633D176E" w14:textId="77777777" w:rsidR="000D6D21" w:rsidRPr="002E4FA1" w:rsidRDefault="000D6D21" w:rsidP="000D6D21">
      <w:pPr>
        <w:spacing w:line="240" w:lineRule="auto"/>
        <w:jc w:val="center"/>
        <w:rPr>
          <w:sz w:val="28"/>
          <w:szCs w:val="28"/>
        </w:rPr>
      </w:pPr>
    </w:p>
    <w:p w14:paraId="633D176F" w14:textId="77777777" w:rsidR="000D6D21" w:rsidRPr="002E4FA1" w:rsidRDefault="00F615D7" w:rsidP="000D6D21">
      <w:pPr>
        <w:spacing w:line="240" w:lineRule="auto"/>
        <w:jc w:val="center"/>
        <w:rPr>
          <w:sz w:val="28"/>
          <w:szCs w:val="28"/>
        </w:rPr>
      </w:pPr>
      <w:r w:rsidRPr="002E4FA1">
        <w:rPr>
          <w:sz w:val="28"/>
          <w:szCs w:val="28"/>
        </w:rPr>
        <w:t>SECOND APPELLATE DISTRICT</w:t>
      </w:r>
    </w:p>
    <w:p w14:paraId="633D1770" w14:textId="77777777" w:rsidR="000D6D21" w:rsidRPr="002E4FA1" w:rsidRDefault="000D6D21" w:rsidP="000D6D21">
      <w:pPr>
        <w:spacing w:line="240" w:lineRule="auto"/>
        <w:jc w:val="center"/>
        <w:rPr>
          <w:sz w:val="28"/>
          <w:szCs w:val="28"/>
        </w:rPr>
      </w:pPr>
    </w:p>
    <w:p w14:paraId="633D1771" w14:textId="77777777" w:rsidR="000D6D21" w:rsidRPr="002E4FA1" w:rsidRDefault="00F615D7" w:rsidP="000D6D21">
      <w:pPr>
        <w:spacing w:line="240" w:lineRule="auto"/>
        <w:jc w:val="center"/>
        <w:rPr>
          <w:sz w:val="28"/>
          <w:szCs w:val="28"/>
        </w:rPr>
      </w:pPr>
      <w:r w:rsidRPr="002E4FA1">
        <w:rPr>
          <w:sz w:val="28"/>
          <w:szCs w:val="28"/>
        </w:rPr>
        <w:t>DIVISION FOUR</w:t>
      </w:r>
    </w:p>
    <w:p w14:paraId="633D1772" w14:textId="77777777" w:rsidR="00D46972" w:rsidRDefault="00D46972" w:rsidP="00B12697">
      <w:pPr>
        <w:spacing w:line="240" w:lineRule="auto"/>
        <w:jc w:val="center"/>
        <w:rPr>
          <w:sz w:val="28"/>
          <w:szCs w:val="28"/>
        </w:rPr>
      </w:pPr>
    </w:p>
    <w:p w14:paraId="633D1773" w14:textId="77777777" w:rsidR="00B12697" w:rsidRDefault="00B12697" w:rsidP="00B12697">
      <w:pPr>
        <w:spacing w:line="240" w:lineRule="auto"/>
        <w:jc w:val="center"/>
        <w:rPr>
          <w:sz w:val="28"/>
          <w:szCs w:val="28"/>
        </w:rPr>
      </w:pPr>
    </w:p>
    <w:p w14:paraId="633D1774" w14:textId="77777777" w:rsidR="00B12697" w:rsidRPr="006C4A99" w:rsidRDefault="00B12697" w:rsidP="00B12697">
      <w:pPr>
        <w:spacing w:line="240" w:lineRule="auto"/>
        <w:jc w:val="center"/>
        <w:rPr>
          <w:sz w:val="28"/>
          <w:szCs w:val="28"/>
        </w:rPr>
      </w:pPr>
    </w:p>
    <w:tbl>
      <w:tblPr>
        <w:tblW w:w="9540" w:type="dxa"/>
        <w:tblLayout w:type="fixed"/>
        <w:tblLook w:val="0000" w:firstRow="0" w:lastRow="0" w:firstColumn="0" w:lastColumn="0" w:noHBand="0" w:noVBand="0"/>
      </w:tblPr>
      <w:tblGrid>
        <w:gridCol w:w="4590"/>
        <w:gridCol w:w="4950"/>
      </w:tblGrid>
      <w:tr w:rsidR="008E4B97" w14:paraId="633D1783" w14:textId="77777777" w:rsidTr="000174ED">
        <w:tc>
          <w:tcPr>
            <w:tcW w:w="4590" w:type="dxa"/>
            <w:tcBorders>
              <w:bottom w:val="single" w:sz="4" w:space="0" w:color="auto"/>
              <w:right w:val="single" w:sz="4" w:space="0" w:color="auto"/>
            </w:tcBorders>
            <w:shd w:val="clear" w:color="auto" w:fill="auto"/>
          </w:tcPr>
          <w:p w14:paraId="633D1775" w14:textId="77777777" w:rsidR="00492582" w:rsidRPr="000D6D21" w:rsidRDefault="00F615D7" w:rsidP="00576691">
            <w:pPr>
              <w:spacing w:line="240" w:lineRule="auto"/>
              <w:rPr>
                <w:sz w:val="28"/>
                <w:szCs w:val="28"/>
              </w:rPr>
            </w:pPr>
            <w:r w:rsidRPr="000D6D21">
              <w:rPr>
                <w:sz w:val="28"/>
                <w:szCs w:val="28"/>
              </w:rPr>
              <w:t>COMMITTEE TO SUPPORT THE RECALL OF DISTRICT ATTORNEY GEORGE GASC</w:t>
            </w:r>
            <w:r w:rsidR="00612C78" w:rsidRPr="000D6D21">
              <w:rPr>
                <w:sz w:val="28"/>
                <w:szCs w:val="28"/>
              </w:rPr>
              <w:t>Ó</w:t>
            </w:r>
            <w:r w:rsidRPr="000D6D21">
              <w:rPr>
                <w:sz w:val="28"/>
                <w:szCs w:val="28"/>
              </w:rPr>
              <w:t>N,</w:t>
            </w:r>
          </w:p>
          <w:p w14:paraId="633D1776" w14:textId="77777777" w:rsidR="00492582" w:rsidRPr="000D6D21" w:rsidRDefault="00492582" w:rsidP="00576691">
            <w:pPr>
              <w:spacing w:line="240" w:lineRule="auto"/>
              <w:rPr>
                <w:sz w:val="28"/>
                <w:szCs w:val="28"/>
              </w:rPr>
            </w:pPr>
          </w:p>
          <w:p w14:paraId="633D1777" w14:textId="77777777" w:rsidR="00492582" w:rsidRPr="000D6D21" w:rsidRDefault="00F615D7" w:rsidP="00576691">
            <w:pPr>
              <w:spacing w:line="240" w:lineRule="auto"/>
              <w:rPr>
                <w:sz w:val="28"/>
                <w:szCs w:val="28"/>
              </w:rPr>
            </w:pPr>
            <w:r w:rsidRPr="000D6D21">
              <w:rPr>
                <w:sz w:val="28"/>
                <w:szCs w:val="28"/>
              </w:rPr>
              <w:tab/>
              <w:t xml:space="preserve">Plaintiff and </w:t>
            </w:r>
            <w:r w:rsidR="00585681" w:rsidRPr="000D6D21">
              <w:rPr>
                <w:sz w:val="28"/>
                <w:szCs w:val="28"/>
              </w:rPr>
              <w:t>Respondent</w:t>
            </w:r>
            <w:r w:rsidRPr="000D6D21">
              <w:rPr>
                <w:sz w:val="28"/>
                <w:szCs w:val="28"/>
              </w:rPr>
              <w:t>,</w:t>
            </w:r>
          </w:p>
          <w:p w14:paraId="633D1778" w14:textId="77777777" w:rsidR="00492582" w:rsidRPr="000D6D21" w:rsidRDefault="00492582" w:rsidP="00576691">
            <w:pPr>
              <w:spacing w:line="240" w:lineRule="auto"/>
              <w:rPr>
                <w:sz w:val="28"/>
                <w:szCs w:val="28"/>
              </w:rPr>
            </w:pPr>
          </w:p>
          <w:p w14:paraId="633D1779" w14:textId="77777777" w:rsidR="00492582" w:rsidRPr="000D6D21" w:rsidRDefault="00F615D7" w:rsidP="00576691">
            <w:pPr>
              <w:spacing w:line="240" w:lineRule="auto"/>
              <w:rPr>
                <w:sz w:val="28"/>
                <w:szCs w:val="28"/>
              </w:rPr>
            </w:pPr>
            <w:r w:rsidRPr="000D6D21">
              <w:rPr>
                <w:sz w:val="28"/>
                <w:szCs w:val="28"/>
              </w:rPr>
              <w:tab/>
              <w:t>v.</w:t>
            </w:r>
          </w:p>
          <w:p w14:paraId="633D177A" w14:textId="77777777" w:rsidR="00492582" w:rsidRPr="000D6D21" w:rsidRDefault="00492582" w:rsidP="00576691">
            <w:pPr>
              <w:tabs>
                <w:tab w:val="left" w:pos="1827"/>
              </w:tabs>
              <w:spacing w:line="240" w:lineRule="auto"/>
              <w:rPr>
                <w:sz w:val="28"/>
                <w:szCs w:val="28"/>
              </w:rPr>
            </w:pPr>
          </w:p>
          <w:p w14:paraId="633D177B" w14:textId="77777777" w:rsidR="00492582" w:rsidRPr="000D6D21" w:rsidRDefault="00F615D7" w:rsidP="00576691">
            <w:pPr>
              <w:spacing w:line="240" w:lineRule="auto"/>
              <w:rPr>
                <w:sz w:val="28"/>
                <w:szCs w:val="28"/>
              </w:rPr>
            </w:pPr>
            <w:r w:rsidRPr="000D6D21">
              <w:rPr>
                <w:sz w:val="28"/>
                <w:szCs w:val="28"/>
              </w:rPr>
              <w:t xml:space="preserve">DEAN C. </w:t>
            </w:r>
            <w:r w:rsidRPr="000D6D21">
              <w:rPr>
                <w:sz w:val="28"/>
                <w:szCs w:val="28"/>
              </w:rPr>
              <w:t>LOGAN, as Los Angeles County Registrar-Recorder/County Clerk, etc</w:t>
            </w:r>
            <w:r w:rsidR="00E232B9" w:rsidRPr="000D6D21">
              <w:rPr>
                <w:sz w:val="28"/>
                <w:szCs w:val="28"/>
              </w:rPr>
              <w:t>.</w:t>
            </w:r>
            <w:r w:rsidR="000504AE" w:rsidRPr="000D6D21">
              <w:rPr>
                <w:sz w:val="28"/>
                <w:szCs w:val="28"/>
              </w:rPr>
              <w:t>,</w:t>
            </w:r>
            <w:r w:rsidRPr="000D6D21">
              <w:rPr>
                <w:sz w:val="28"/>
                <w:szCs w:val="28"/>
              </w:rPr>
              <w:t xml:space="preserve"> et al.,</w:t>
            </w:r>
          </w:p>
          <w:p w14:paraId="633D177C" w14:textId="77777777" w:rsidR="00492582" w:rsidRPr="000D6D21" w:rsidRDefault="00492582" w:rsidP="00576691">
            <w:pPr>
              <w:spacing w:line="240" w:lineRule="auto"/>
              <w:rPr>
                <w:sz w:val="28"/>
                <w:szCs w:val="28"/>
              </w:rPr>
            </w:pPr>
          </w:p>
          <w:p w14:paraId="633D177D" w14:textId="77777777" w:rsidR="00492582" w:rsidRPr="000D6D21" w:rsidRDefault="00F615D7" w:rsidP="00576691">
            <w:pPr>
              <w:spacing w:line="240" w:lineRule="auto"/>
              <w:rPr>
                <w:sz w:val="28"/>
                <w:szCs w:val="28"/>
              </w:rPr>
            </w:pPr>
            <w:r w:rsidRPr="000D6D21">
              <w:rPr>
                <w:sz w:val="28"/>
                <w:szCs w:val="28"/>
              </w:rPr>
              <w:tab/>
              <w:t>Defendant</w:t>
            </w:r>
            <w:r w:rsidR="00E232B9" w:rsidRPr="000D6D21">
              <w:rPr>
                <w:sz w:val="28"/>
                <w:szCs w:val="28"/>
              </w:rPr>
              <w:t>s</w:t>
            </w:r>
            <w:r w:rsidRPr="000D6D21">
              <w:rPr>
                <w:sz w:val="28"/>
                <w:szCs w:val="28"/>
              </w:rPr>
              <w:t xml:space="preserve"> and </w:t>
            </w:r>
            <w:r w:rsidR="00585681" w:rsidRPr="000D6D21">
              <w:rPr>
                <w:sz w:val="28"/>
                <w:szCs w:val="28"/>
              </w:rPr>
              <w:t>Appellants</w:t>
            </w:r>
            <w:r w:rsidRPr="000D6D21">
              <w:rPr>
                <w:sz w:val="28"/>
                <w:szCs w:val="28"/>
              </w:rPr>
              <w:t>.</w:t>
            </w:r>
          </w:p>
          <w:p w14:paraId="633D177E" w14:textId="77777777" w:rsidR="00492582" w:rsidRPr="000D6D21" w:rsidRDefault="00492582" w:rsidP="00576691">
            <w:pPr>
              <w:spacing w:line="240" w:lineRule="auto"/>
              <w:rPr>
                <w:sz w:val="28"/>
                <w:szCs w:val="28"/>
              </w:rPr>
            </w:pPr>
          </w:p>
        </w:tc>
        <w:tc>
          <w:tcPr>
            <w:tcW w:w="4950" w:type="dxa"/>
            <w:tcBorders>
              <w:left w:val="single" w:sz="4" w:space="0" w:color="auto"/>
            </w:tcBorders>
            <w:shd w:val="clear" w:color="auto" w:fill="auto"/>
          </w:tcPr>
          <w:p w14:paraId="633D177F" w14:textId="77777777" w:rsidR="00492582" w:rsidRPr="000D6D21" w:rsidRDefault="00F615D7" w:rsidP="00576691">
            <w:pPr>
              <w:spacing w:line="240" w:lineRule="auto"/>
              <w:rPr>
                <w:sz w:val="28"/>
                <w:szCs w:val="28"/>
              </w:rPr>
            </w:pPr>
            <w:r w:rsidRPr="000D6D21">
              <w:rPr>
                <w:sz w:val="28"/>
                <w:szCs w:val="28"/>
              </w:rPr>
              <w:t xml:space="preserve">      </w:t>
            </w:r>
            <w:r w:rsidR="00585681" w:rsidRPr="000D6D21">
              <w:rPr>
                <w:sz w:val="28"/>
                <w:szCs w:val="28"/>
              </w:rPr>
              <w:t>B326869</w:t>
            </w:r>
          </w:p>
          <w:p w14:paraId="633D1780" w14:textId="77777777" w:rsidR="000D6D21" w:rsidRPr="000D6D21" w:rsidRDefault="000D6D21" w:rsidP="00576691">
            <w:pPr>
              <w:spacing w:line="240" w:lineRule="auto"/>
              <w:rPr>
                <w:sz w:val="28"/>
                <w:szCs w:val="28"/>
              </w:rPr>
            </w:pPr>
          </w:p>
          <w:p w14:paraId="633D1781" w14:textId="77777777" w:rsidR="00492582" w:rsidRPr="000D6D21" w:rsidRDefault="00F615D7" w:rsidP="00576691">
            <w:pPr>
              <w:spacing w:line="240" w:lineRule="auto"/>
              <w:rPr>
                <w:sz w:val="28"/>
                <w:szCs w:val="28"/>
              </w:rPr>
            </w:pPr>
            <w:r w:rsidRPr="000D6D21">
              <w:rPr>
                <w:sz w:val="28"/>
                <w:szCs w:val="28"/>
              </w:rPr>
              <w:t xml:space="preserve">      (Los Angeles County</w:t>
            </w:r>
          </w:p>
          <w:p w14:paraId="633D1782" w14:textId="77777777" w:rsidR="00492582" w:rsidRPr="000D6D21" w:rsidRDefault="00F615D7" w:rsidP="00576691">
            <w:pPr>
              <w:spacing w:line="240" w:lineRule="auto"/>
              <w:rPr>
                <w:sz w:val="28"/>
                <w:szCs w:val="28"/>
              </w:rPr>
            </w:pPr>
            <w:r w:rsidRPr="000D6D21">
              <w:rPr>
                <w:sz w:val="28"/>
                <w:szCs w:val="28"/>
              </w:rPr>
              <w:t xml:space="preserve">      </w:t>
            </w:r>
            <w:r w:rsidR="00CB6B22">
              <w:rPr>
                <w:sz w:val="28"/>
                <w:szCs w:val="28"/>
              </w:rPr>
              <w:t xml:space="preserve"> </w:t>
            </w:r>
            <w:r w:rsidRPr="000D6D21">
              <w:rPr>
                <w:sz w:val="28"/>
                <w:szCs w:val="28"/>
              </w:rPr>
              <w:t xml:space="preserve">Super. Ct. No. </w:t>
            </w:r>
            <w:r w:rsidR="00585681" w:rsidRPr="000D6D21">
              <w:rPr>
                <w:sz w:val="28"/>
                <w:szCs w:val="28"/>
              </w:rPr>
              <w:t>22STCP03795</w:t>
            </w:r>
            <w:r w:rsidRPr="000D6D21">
              <w:rPr>
                <w:sz w:val="28"/>
                <w:szCs w:val="28"/>
              </w:rPr>
              <w:t>)</w:t>
            </w:r>
          </w:p>
        </w:tc>
      </w:tr>
    </w:tbl>
    <w:p w14:paraId="633D1784" w14:textId="77777777" w:rsidR="00AD2751" w:rsidRPr="00BD1B6C" w:rsidRDefault="00AD2751" w:rsidP="001D6765">
      <w:pPr>
        <w:spacing w:line="360" w:lineRule="auto"/>
        <w:contextualSpacing/>
        <w:rPr>
          <w:szCs w:val="26"/>
        </w:rPr>
      </w:pPr>
    </w:p>
    <w:p w14:paraId="633D1785" w14:textId="77777777" w:rsidR="00492582" w:rsidRPr="000D6D21" w:rsidRDefault="00F615D7" w:rsidP="000D6D21">
      <w:pPr>
        <w:contextualSpacing/>
        <w:rPr>
          <w:sz w:val="28"/>
          <w:szCs w:val="28"/>
        </w:rPr>
      </w:pPr>
      <w:r w:rsidRPr="00BD1B6C">
        <w:rPr>
          <w:szCs w:val="26"/>
        </w:rPr>
        <w:tab/>
      </w:r>
      <w:r w:rsidRPr="000D6D21">
        <w:rPr>
          <w:sz w:val="28"/>
          <w:szCs w:val="28"/>
        </w:rPr>
        <w:t xml:space="preserve">APPEAL from </w:t>
      </w:r>
      <w:r w:rsidR="00087577" w:rsidRPr="000D6D21">
        <w:rPr>
          <w:sz w:val="28"/>
          <w:szCs w:val="28"/>
        </w:rPr>
        <w:t xml:space="preserve">orders </w:t>
      </w:r>
      <w:r w:rsidRPr="000D6D21">
        <w:rPr>
          <w:sz w:val="28"/>
          <w:szCs w:val="28"/>
        </w:rPr>
        <w:t xml:space="preserve">of the Superior Court of Los Angeles County, </w:t>
      </w:r>
      <w:r w:rsidR="00585681" w:rsidRPr="000D6D21">
        <w:rPr>
          <w:sz w:val="28"/>
          <w:szCs w:val="28"/>
        </w:rPr>
        <w:t>James C. Chalfant</w:t>
      </w:r>
      <w:r w:rsidRPr="000D6D21">
        <w:rPr>
          <w:sz w:val="28"/>
          <w:szCs w:val="28"/>
        </w:rPr>
        <w:t xml:space="preserve">, Judge.  </w:t>
      </w:r>
      <w:r w:rsidR="00585681" w:rsidRPr="000D6D21">
        <w:rPr>
          <w:sz w:val="28"/>
          <w:szCs w:val="28"/>
        </w:rPr>
        <w:t>Dismissed</w:t>
      </w:r>
      <w:r w:rsidR="00D82EF6" w:rsidRPr="000D6D21">
        <w:rPr>
          <w:sz w:val="28"/>
          <w:szCs w:val="28"/>
        </w:rPr>
        <w:t xml:space="preserve"> in part</w:t>
      </w:r>
      <w:r w:rsidR="00B41B43" w:rsidRPr="000D6D21">
        <w:rPr>
          <w:sz w:val="28"/>
          <w:szCs w:val="28"/>
        </w:rPr>
        <w:t>, granted in part as petition for extraordinary writ</w:t>
      </w:r>
      <w:r w:rsidRPr="000D6D21">
        <w:rPr>
          <w:sz w:val="28"/>
          <w:szCs w:val="28"/>
        </w:rPr>
        <w:t>.</w:t>
      </w:r>
      <w:r w:rsidR="00D33510" w:rsidRPr="000D6D21">
        <w:rPr>
          <w:sz w:val="28"/>
          <w:szCs w:val="28"/>
        </w:rPr>
        <w:t xml:space="preserve">  </w:t>
      </w:r>
    </w:p>
    <w:p w14:paraId="633D1786" w14:textId="77777777" w:rsidR="00C873C0" w:rsidRPr="000D6D21" w:rsidRDefault="00F615D7" w:rsidP="000D6D21">
      <w:pPr>
        <w:contextualSpacing/>
        <w:rPr>
          <w:sz w:val="28"/>
          <w:szCs w:val="28"/>
        </w:rPr>
      </w:pPr>
      <w:r w:rsidRPr="000D6D21">
        <w:rPr>
          <w:sz w:val="28"/>
          <w:szCs w:val="28"/>
        </w:rPr>
        <w:lastRenderedPageBreak/>
        <w:tab/>
      </w:r>
      <w:r w:rsidR="00585681" w:rsidRPr="000D6D21">
        <w:rPr>
          <w:sz w:val="28"/>
          <w:szCs w:val="28"/>
        </w:rPr>
        <w:t xml:space="preserve">Olson </w:t>
      </w:r>
      <w:proofErr w:type="spellStart"/>
      <w:r w:rsidR="00585681" w:rsidRPr="000D6D21">
        <w:rPr>
          <w:sz w:val="28"/>
          <w:szCs w:val="28"/>
        </w:rPr>
        <w:t>Remcho</w:t>
      </w:r>
      <w:proofErr w:type="spellEnd"/>
      <w:r w:rsidR="00585681" w:rsidRPr="000D6D21">
        <w:rPr>
          <w:sz w:val="28"/>
          <w:szCs w:val="28"/>
        </w:rPr>
        <w:t xml:space="preserve">, Deborah B. Caplan, Lance H. Olson, and Benjamin </w:t>
      </w:r>
      <w:r w:rsidR="00715E74" w:rsidRPr="000D6D21">
        <w:rPr>
          <w:sz w:val="28"/>
          <w:szCs w:val="28"/>
        </w:rPr>
        <w:t>N</w:t>
      </w:r>
      <w:r w:rsidR="00585681" w:rsidRPr="000D6D21">
        <w:rPr>
          <w:sz w:val="28"/>
          <w:szCs w:val="28"/>
        </w:rPr>
        <w:t xml:space="preserve">. </w:t>
      </w:r>
      <w:proofErr w:type="spellStart"/>
      <w:r w:rsidR="00715E74" w:rsidRPr="000D6D21">
        <w:rPr>
          <w:sz w:val="28"/>
          <w:szCs w:val="28"/>
        </w:rPr>
        <w:t>G</w:t>
      </w:r>
      <w:r w:rsidR="00585681" w:rsidRPr="000D6D21">
        <w:rPr>
          <w:sz w:val="28"/>
          <w:szCs w:val="28"/>
        </w:rPr>
        <w:t>evercer</w:t>
      </w:r>
      <w:proofErr w:type="spellEnd"/>
      <w:r w:rsidR="00585681" w:rsidRPr="000D6D21">
        <w:rPr>
          <w:sz w:val="28"/>
          <w:szCs w:val="28"/>
        </w:rPr>
        <w:t>,</w:t>
      </w:r>
      <w:r w:rsidR="00B22D8E" w:rsidRPr="000D6D21">
        <w:rPr>
          <w:sz w:val="28"/>
          <w:szCs w:val="28"/>
        </w:rPr>
        <w:t xml:space="preserve"> </w:t>
      </w:r>
      <w:r w:rsidRPr="000D6D21">
        <w:rPr>
          <w:sz w:val="28"/>
          <w:szCs w:val="28"/>
        </w:rPr>
        <w:t xml:space="preserve">for </w:t>
      </w:r>
      <w:r w:rsidR="00585681" w:rsidRPr="000D6D21">
        <w:rPr>
          <w:sz w:val="28"/>
          <w:szCs w:val="28"/>
        </w:rPr>
        <w:t>Defendants</w:t>
      </w:r>
      <w:r w:rsidR="00FF50F5" w:rsidRPr="000D6D21">
        <w:rPr>
          <w:sz w:val="28"/>
          <w:szCs w:val="28"/>
        </w:rPr>
        <w:t xml:space="preserve"> </w:t>
      </w:r>
      <w:r w:rsidRPr="000D6D21">
        <w:rPr>
          <w:sz w:val="28"/>
          <w:szCs w:val="28"/>
        </w:rPr>
        <w:t xml:space="preserve">and </w:t>
      </w:r>
      <w:r w:rsidRPr="000D6D21">
        <w:rPr>
          <w:sz w:val="28"/>
          <w:szCs w:val="28"/>
        </w:rPr>
        <w:t>Appellant</w:t>
      </w:r>
      <w:r w:rsidR="00585681" w:rsidRPr="000D6D21">
        <w:rPr>
          <w:sz w:val="28"/>
          <w:szCs w:val="28"/>
        </w:rPr>
        <w:t>s</w:t>
      </w:r>
      <w:r w:rsidRPr="000D6D21">
        <w:rPr>
          <w:sz w:val="28"/>
          <w:szCs w:val="28"/>
        </w:rPr>
        <w:t>.</w:t>
      </w:r>
    </w:p>
    <w:p w14:paraId="633D1787" w14:textId="77777777" w:rsidR="00DD796F" w:rsidRPr="000D6D21" w:rsidRDefault="00F615D7" w:rsidP="000D6D21">
      <w:pPr>
        <w:contextualSpacing/>
        <w:rPr>
          <w:sz w:val="28"/>
          <w:szCs w:val="28"/>
        </w:rPr>
      </w:pPr>
      <w:r w:rsidRPr="000D6D21">
        <w:rPr>
          <w:sz w:val="28"/>
          <w:szCs w:val="28"/>
        </w:rPr>
        <w:tab/>
      </w:r>
      <w:proofErr w:type="spellStart"/>
      <w:r w:rsidR="00585681" w:rsidRPr="000D6D21">
        <w:rPr>
          <w:sz w:val="28"/>
          <w:szCs w:val="28"/>
        </w:rPr>
        <w:t>Dordulian</w:t>
      </w:r>
      <w:proofErr w:type="spellEnd"/>
      <w:r w:rsidR="00585681" w:rsidRPr="000D6D21">
        <w:rPr>
          <w:sz w:val="28"/>
          <w:szCs w:val="28"/>
        </w:rPr>
        <w:t xml:space="preserve"> Law Group and Kathleen M. Cady</w:t>
      </w:r>
      <w:r w:rsidR="00FD4ABB" w:rsidRPr="000D6D21">
        <w:rPr>
          <w:sz w:val="28"/>
          <w:szCs w:val="28"/>
        </w:rPr>
        <w:t>;</w:t>
      </w:r>
      <w:r w:rsidR="00585681" w:rsidRPr="000D6D21">
        <w:rPr>
          <w:sz w:val="28"/>
          <w:szCs w:val="28"/>
        </w:rPr>
        <w:t xml:space="preserve"> Marian M. J. Thompson</w:t>
      </w:r>
      <w:r w:rsidR="00FD4ABB" w:rsidRPr="000D6D21">
        <w:rPr>
          <w:sz w:val="28"/>
          <w:szCs w:val="28"/>
        </w:rPr>
        <w:t xml:space="preserve">; Ellis George </w:t>
      </w:r>
      <w:proofErr w:type="spellStart"/>
      <w:r w:rsidR="00FD4ABB" w:rsidRPr="000D6D21">
        <w:rPr>
          <w:sz w:val="28"/>
          <w:szCs w:val="28"/>
        </w:rPr>
        <w:t>Cipollone</w:t>
      </w:r>
      <w:proofErr w:type="spellEnd"/>
      <w:r w:rsidR="00FD4ABB" w:rsidRPr="000D6D21">
        <w:rPr>
          <w:sz w:val="28"/>
          <w:szCs w:val="28"/>
        </w:rPr>
        <w:t xml:space="preserve"> O’Brien </w:t>
      </w:r>
      <w:proofErr w:type="spellStart"/>
      <w:r w:rsidR="00FD4ABB" w:rsidRPr="000D6D21">
        <w:rPr>
          <w:sz w:val="28"/>
          <w:szCs w:val="28"/>
        </w:rPr>
        <w:t>Annaguey</w:t>
      </w:r>
      <w:proofErr w:type="spellEnd"/>
      <w:r w:rsidR="00FD4ABB" w:rsidRPr="000D6D21">
        <w:rPr>
          <w:sz w:val="28"/>
          <w:szCs w:val="28"/>
        </w:rPr>
        <w:t>, Eric M. George</w:t>
      </w:r>
      <w:r w:rsidR="0019735E" w:rsidRPr="000D6D21">
        <w:rPr>
          <w:sz w:val="28"/>
          <w:szCs w:val="28"/>
        </w:rPr>
        <w:t xml:space="preserve"> and</w:t>
      </w:r>
      <w:r w:rsidR="00FD4ABB" w:rsidRPr="000D6D21">
        <w:rPr>
          <w:sz w:val="28"/>
          <w:szCs w:val="28"/>
        </w:rPr>
        <w:t xml:space="preserve"> David J. Carroll</w:t>
      </w:r>
      <w:r w:rsidR="00585681" w:rsidRPr="000D6D21">
        <w:rPr>
          <w:sz w:val="28"/>
          <w:szCs w:val="28"/>
        </w:rPr>
        <w:t xml:space="preserve">, for Plaintiff </w:t>
      </w:r>
      <w:r w:rsidR="00677D58" w:rsidRPr="000D6D21">
        <w:rPr>
          <w:sz w:val="28"/>
          <w:szCs w:val="28"/>
        </w:rPr>
        <w:t>and Respondent</w:t>
      </w:r>
      <w:r w:rsidR="00492582" w:rsidRPr="000D6D21">
        <w:rPr>
          <w:sz w:val="28"/>
          <w:szCs w:val="28"/>
        </w:rPr>
        <w:t>.</w:t>
      </w:r>
    </w:p>
    <w:p w14:paraId="633D1788" w14:textId="77777777" w:rsidR="00737B44" w:rsidRPr="000D6D21" w:rsidRDefault="00F615D7" w:rsidP="000D6D21">
      <w:pPr>
        <w:contextualSpacing/>
        <w:rPr>
          <w:sz w:val="28"/>
          <w:szCs w:val="28"/>
        </w:rPr>
      </w:pPr>
      <w:r w:rsidRPr="000D6D21">
        <w:rPr>
          <w:sz w:val="28"/>
          <w:szCs w:val="28"/>
        </w:rPr>
        <w:tab/>
        <w:t xml:space="preserve">Hill </w:t>
      </w:r>
      <w:proofErr w:type="spellStart"/>
      <w:r w:rsidRPr="000D6D21">
        <w:rPr>
          <w:sz w:val="28"/>
          <w:szCs w:val="28"/>
        </w:rPr>
        <w:t>Rivkins</w:t>
      </w:r>
      <w:proofErr w:type="spellEnd"/>
      <w:r w:rsidRPr="000D6D21">
        <w:rPr>
          <w:sz w:val="28"/>
          <w:szCs w:val="28"/>
        </w:rPr>
        <w:t xml:space="preserve"> Brown &amp; Associates, Adam C. Brown, for </w:t>
      </w:r>
      <w:r w:rsidR="00E952FF" w:rsidRPr="000D6D21">
        <w:rPr>
          <w:sz w:val="28"/>
          <w:szCs w:val="28"/>
        </w:rPr>
        <w:t xml:space="preserve">the </w:t>
      </w:r>
      <w:r w:rsidR="00FE0AC0" w:rsidRPr="000D6D21">
        <w:rPr>
          <w:sz w:val="28"/>
          <w:szCs w:val="28"/>
        </w:rPr>
        <w:t xml:space="preserve">California </w:t>
      </w:r>
      <w:r w:rsidR="00E952FF" w:rsidRPr="000D6D21">
        <w:rPr>
          <w:sz w:val="28"/>
          <w:szCs w:val="28"/>
        </w:rPr>
        <w:t>Association of Clerks and Election Officials as Amicus Curiae on behalf of App</w:t>
      </w:r>
      <w:r w:rsidR="00636289" w:rsidRPr="000D6D21">
        <w:rPr>
          <w:sz w:val="28"/>
          <w:szCs w:val="28"/>
        </w:rPr>
        <w:t>ellants.</w:t>
      </w:r>
    </w:p>
    <w:p w14:paraId="633D1789" w14:textId="77777777" w:rsidR="004749B9" w:rsidRPr="000D6D21" w:rsidRDefault="00F615D7" w:rsidP="000D6D21">
      <w:pPr>
        <w:contextualSpacing/>
        <w:mirrorIndents/>
        <w:rPr>
          <w:sz w:val="28"/>
          <w:szCs w:val="28"/>
        </w:rPr>
      </w:pPr>
      <w:r w:rsidRPr="000D6D21">
        <w:rPr>
          <w:sz w:val="28"/>
          <w:szCs w:val="28"/>
        </w:rPr>
        <w:tab/>
        <w:t xml:space="preserve">Rob Bonta, Attorney General of California, Thomas S. Patterson, Senior Assistant Attorney General, Anya </w:t>
      </w:r>
      <w:r w:rsidR="00FE0AC0" w:rsidRPr="000D6D21">
        <w:rPr>
          <w:sz w:val="28"/>
          <w:szCs w:val="28"/>
        </w:rPr>
        <w:t xml:space="preserve">M. </w:t>
      </w:r>
      <w:proofErr w:type="spellStart"/>
      <w:r w:rsidRPr="000D6D21">
        <w:rPr>
          <w:sz w:val="28"/>
          <w:szCs w:val="28"/>
        </w:rPr>
        <w:t>Binsacca</w:t>
      </w:r>
      <w:proofErr w:type="spellEnd"/>
      <w:r w:rsidR="00FE0AC0" w:rsidRPr="000D6D21">
        <w:rPr>
          <w:sz w:val="28"/>
          <w:szCs w:val="28"/>
        </w:rPr>
        <w:t xml:space="preserve"> and</w:t>
      </w:r>
      <w:r w:rsidRPr="000D6D21">
        <w:rPr>
          <w:sz w:val="28"/>
          <w:szCs w:val="28"/>
        </w:rPr>
        <w:t xml:space="preserve"> Kristin A. </w:t>
      </w:r>
      <w:proofErr w:type="spellStart"/>
      <w:r w:rsidRPr="000D6D21">
        <w:rPr>
          <w:sz w:val="28"/>
          <w:szCs w:val="28"/>
        </w:rPr>
        <w:t>Liska</w:t>
      </w:r>
      <w:proofErr w:type="spellEnd"/>
      <w:r w:rsidRPr="000D6D21">
        <w:rPr>
          <w:sz w:val="28"/>
          <w:szCs w:val="28"/>
        </w:rPr>
        <w:t>, Deputy Attorney</w:t>
      </w:r>
      <w:r w:rsidR="00FE0AC0" w:rsidRPr="000D6D21">
        <w:rPr>
          <w:sz w:val="28"/>
          <w:szCs w:val="28"/>
        </w:rPr>
        <w:t>s General</w:t>
      </w:r>
      <w:r w:rsidRPr="000D6D21">
        <w:rPr>
          <w:sz w:val="28"/>
          <w:szCs w:val="28"/>
        </w:rPr>
        <w:t>, for Se</w:t>
      </w:r>
      <w:r w:rsidRPr="000D6D21">
        <w:rPr>
          <w:sz w:val="28"/>
          <w:szCs w:val="28"/>
        </w:rPr>
        <w:t>cretary of State Shirley N. Weber as Amicus Curiae on behalf of Appellants.</w:t>
      </w:r>
    </w:p>
    <w:p w14:paraId="633D178A" w14:textId="77777777" w:rsidR="00636289" w:rsidRDefault="00F615D7" w:rsidP="000576F8">
      <w:pPr>
        <w:contextualSpacing/>
        <w:mirrorIndents/>
        <w:jc w:val="center"/>
        <w:rPr>
          <w:sz w:val="28"/>
          <w:szCs w:val="28"/>
        </w:rPr>
      </w:pPr>
      <w:r w:rsidRPr="000D6D21">
        <w:rPr>
          <w:sz w:val="28"/>
          <w:szCs w:val="28"/>
        </w:rPr>
        <w:t>_____________________________</w:t>
      </w:r>
    </w:p>
    <w:p w14:paraId="633D178B" w14:textId="77777777" w:rsidR="000576F8" w:rsidRPr="000D6D21" w:rsidRDefault="000576F8" w:rsidP="000576F8">
      <w:pPr>
        <w:contextualSpacing/>
        <w:mirrorIndents/>
        <w:jc w:val="center"/>
        <w:rPr>
          <w:sz w:val="28"/>
          <w:szCs w:val="28"/>
        </w:rPr>
      </w:pPr>
    </w:p>
    <w:p w14:paraId="633D178C" w14:textId="77777777" w:rsidR="00EE74CF" w:rsidRPr="000D6D21" w:rsidRDefault="00F615D7" w:rsidP="000D6D21">
      <w:pPr>
        <w:ind w:firstLine="720"/>
        <w:rPr>
          <w:sz w:val="28"/>
          <w:szCs w:val="28"/>
        </w:rPr>
      </w:pPr>
      <w:r w:rsidRPr="000D6D21">
        <w:rPr>
          <w:sz w:val="28"/>
          <w:szCs w:val="28"/>
        </w:rPr>
        <w:t>The</w:t>
      </w:r>
      <w:r w:rsidR="27222AAD" w:rsidRPr="000D6D21">
        <w:rPr>
          <w:sz w:val="28"/>
          <w:szCs w:val="28"/>
        </w:rPr>
        <w:t xml:space="preserve"> Committee to Support the Recall of George Gascón (the Committee) </w:t>
      </w:r>
      <w:r w:rsidR="728ADA1D" w:rsidRPr="000D6D21">
        <w:rPr>
          <w:sz w:val="28"/>
          <w:szCs w:val="28"/>
        </w:rPr>
        <w:t>filed</w:t>
      </w:r>
      <w:r w:rsidRPr="000D6D21">
        <w:rPr>
          <w:sz w:val="28"/>
          <w:szCs w:val="28"/>
        </w:rPr>
        <w:t xml:space="preserve"> a</w:t>
      </w:r>
      <w:r w:rsidR="728ADA1D" w:rsidRPr="000D6D21">
        <w:rPr>
          <w:sz w:val="28"/>
          <w:szCs w:val="28"/>
        </w:rPr>
        <w:t xml:space="preserve"> lawsuit </w:t>
      </w:r>
      <w:r w:rsidR="27222AAD" w:rsidRPr="000D6D21">
        <w:rPr>
          <w:sz w:val="28"/>
          <w:szCs w:val="28"/>
        </w:rPr>
        <w:t>against defendants Los Angeles County Registrar</w:t>
      </w:r>
      <w:r w:rsidR="6149B82A" w:rsidRPr="000D6D21">
        <w:rPr>
          <w:sz w:val="28"/>
          <w:szCs w:val="28"/>
        </w:rPr>
        <w:t>-</w:t>
      </w:r>
      <w:r w:rsidR="27222AAD" w:rsidRPr="000D6D21">
        <w:rPr>
          <w:sz w:val="28"/>
          <w:szCs w:val="28"/>
        </w:rPr>
        <w:t>Recorder/County Clerk Dean C. Logan and the Office of the Los Angeles County Registrar</w:t>
      </w:r>
      <w:r w:rsidR="78777367" w:rsidRPr="000D6D21">
        <w:rPr>
          <w:sz w:val="28"/>
          <w:szCs w:val="28"/>
        </w:rPr>
        <w:t>-</w:t>
      </w:r>
      <w:r w:rsidR="27222AAD" w:rsidRPr="000D6D21">
        <w:rPr>
          <w:sz w:val="28"/>
          <w:szCs w:val="28"/>
        </w:rPr>
        <w:t>Recorder</w:t>
      </w:r>
      <w:r w:rsidR="5720503C" w:rsidRPr="000D6D21">
        <w:rPr>
          <w:sz w:val="28"/>
          <w:szCs w:val="28"/>
        </w:rPr>
        <w:t>/County Clerk (</w:t>
      </w:r>
      <w:r w:rsidR="728ADA1D" w:rsidRPr="000D6D21">
        <w:rPr>
          <w:sz w:val="28"/>
          <w:szCs w:val="28"/>
        </w:rPr>
        <w:t>collectively “</w:t>
      </w:r>
      <w:r w:rsidR="5720503C" w:rsidRPr="000D6D21">
        <w:rPr>
          <w:sz w:val="28"/>
          <w:szCs w:val="28"/>
        </w:rPr>
        <w:t>the Registrar</w:t>
      </w:r>
      <w:r w:rsidR="728ADA1D" w:rsidRPr="000D6D21">
        <w:rPr>
          <w:sz w:val="28"/>
          <w:szCs w:val="28"/>
        </w:rPr>
        <w:t>”</w:t>
      </w:r>
      <w:r w:rsidR="5720503C" w:rsidRPr="000D6D21">
        <w:rPr>
          <w:sz w:val="28"/>
          <w:szCs w:val="28"/>
        </w:rPr>
        <w:t>) to enforce the Committee’s rights under the Public Records Act (PRA) (Gov. Code, § 792</w:t>
      </w:r>
      <w:r w:rsidR="00211502" w:rsidRPr="000D6D21">
        <w:rPr>
          <w:sz w:val="28"/>
          <w:szCs w:val="28"/>
        </w:rPr>
        <w:t>0.0</w:t>
      </w:r>
      <w:r w:rsidR="5720503C" w:rsidRPr="000D6D21">
        <w:rPr>
          <w:sz w:val="28"/>
          <w:szCs w:val="28"/>
        </w:rPr>
        <w:t>00 et seq.)</w:t>
      </w:r>
      <w:r w:rsidR="5720503C" w:rsidRPr="000D6D21">
        <w:rPr>
          <w:bCs/>
          <w:sz w:val="28"/>
          <w:szCs w:val="28"/>
        </w:rPr>
        <w:t xml:space="preserve"> </w:t>
      </w:r>
      <w:r w:rsidR="5720503C" w:rsidRPr="000D6D21">
        <w:rPr>
          <w:sz w:val="28"/>
          <w:szCs w:val="28"/>
        </w:rPr>
        <w:t xml:space="preserve">to examine a recall petition </w:t>
      </w:r>
      <w:r w:rsidRPr="000D6D21">
        <w:rPr>
          <w:sz w:val="28"/>
          <w:szCs w:val="28"/>
        </w:rPr>
        <w:t xml:space="preserve">the Registrar </w:t>
      </w:r>
      <w:r w:rsidR="5720503C" w:rsidRPr="000D6D21">
        <w:rPr>
          <w:sz w:val="28"/>
          <w:szCs w:val="28"/>
        </w:rPr>
        <w:t>certified as invalid for placement on the ballot.</w:t>
      </w:r>
      <w:r>
        <w:rPr>
          <w:rStyle w:val="FootnoteReference"/>
          <w:bCs/>
          <w:sz w:val="28"/>
          <w:szCs w:val="28"/>
        </w:rPr>
        <w:footnoteReference w:id="2"/>
      </w:r>
      <w:r w:rsidR="5720503C" w:rsidRPr="000D6D21">
        <w:rPr>
          <w:sz w:val="28"/>
          <w:szCs w:val="28"/>
        </w:rPr>
        <w:t xml:space="preserve">  After filing a verified petition</w:t>
      </w:r>
      <w:r w:rsidR="728ADA1D" w:rsidRPr="000D6D21">
        <w:rPr>
          <w:sz w:val="28"/>
          <w:szCs w:val="28"/>
        </w:rPr>
        <w:t xml:space="preserve"> for writ of </w:t>
      </w:r>
      <w:r w:rsidR="728ADA1D" w:rsidRPr="000D6D21">
        <w:rPr>
          <w:sz w:val="28"/>
          <w:szCs w:val="28"/>
        </w:rPr>
        <w:lastRenderedPageBreak/>
        <w:t>mandate</w:t>
      </w:r>
      <w:r w:rsidR="5720503C" w:rsidRPr="000D6D21">
        <w:rPr>
          <w:sz w:val="28"/>
          <w:szCs w:val="28"/>
        </w:rPr>
        <w:t xml:space="preserve">, the Committee filed an ex parte application for a preliminary injunction </w:t>
      </w:r>
      <w:r w:rsidR="728ADA1D" w:rsidRPr="000D6D21">
        <w:rPr>
          <w:sz w:val="28"/>
          <w:szCs w:val="28"/>
        </w:rPr>
        <w:t xml:space="preserve">commanding the Registrar to disclose voter information </w:t>
      </w:r>
      <w:r w:rsidRPr="000D6D21">
        <w:rPr>
          <w:sz w:val="28"/>
          <w:szCs w:val="28"/>
        </w:rPr>
        <w:t>and expand access under sections 7924.000 and 7924.110</w:t>
      </w:r>
      <w:r w:rsidR="728ADA1D" w:rsidRPr="000D6D21">
        <w:rPr>
          <w:sz w:val="28"/>
          <w:szCs w:val="28"/>
        </w:rPr>
        <w:t>.  The</w:t>
      </w:r>
      <w:r w:rsidR="5720503C" w:rsidRPr="000D6D21">
        <w:rPr>
          <w:sz w:val="28"/>
          <w:szCs w:val="28"/>
        </w:rPr>
        <w:t xml:space="preserve"> trial court granted </w:t>
      </w:r>
      <w:r w:rsidR="030A1B01" w:rsidRPr="000D6D21">
        <w:rPr>
          <w:sz w:val="28"/>
          <w:szCs w:val="28"/>
        </w:rPr>
        <w:t xml:space="preserve">the </w:t>
      </w:r>
      <w:r w:rsidR="5720503C" w:rsidRPr="000D6D21">
        <w:rPr>
          <w:sz w:val="28"/>
          <w:szCs w:val="28"/>
        </w:rPr>
        <w:t xml:space="preserve">ex parte application, </w:t>
      </w:r>
      <w:r w:rsidR="000F14B8" w:rsidRPr="000D6D21">
        <w:rPr>
          <w:sz w:val="28"/>
          <w:szCs w:val="28"/>
        </w:rPr>
        <w:t xml:space="preserve">ordered </w:t>
      </w:r>
      <w:r w:rsidR="5720503C" w:rsidRPr="000D6D21">
        <w:rPr>
          <w:sz w:val="28"/>
          <w:szCs w:val="28"/>
        </w:rPr>
        <w:t>disclosure of various</w:t>
      </w:r>
      <w:r w:rsidR="000F14B8" w:rsidRPr="000D6D21">
        <w:rPr>
          <w:sz w:val="28"/>
          <w:szCs w:val="28"/>
        </w:rPr>
        <w:t xml:space="preserve"> voter</w:t>
      </w:r>
      <w:r w:rsidR="5720503C" w:rsidRPr="000D6D21">
        <w:rPr>
          <w:sz w:val="28"/>
          <w:szCs w:val="28"/>
        </w:rPr>
        <w:t xml:space="preserve"> </w:t>
      </w:r>
      <w:r w:rsidR="728ADA1D" w:rsidRPr="000D6D21">
        <w:rPr>
          <w:sz w:val="28"/>
          <w:szCs w:val="28"/>
        </w:rPr>
        <w:t>records</w:t>
      </w:r>
      <w:r w:rsidR="000F14B8" w:rsidRPr="000D6D21">
        <w:rPr>
          <w:sz w:val="28"/>
          <w:szCs w:val="28"/>
        </w:rPr>
        <w:t>,</w:t>
      </w:r>
      <w:r w:rsidR="5720503C" w:rsidRPr="000D6D21">
        <w:rPr>
          <w:sz w:val="28"/>
          <w:szCs w:val="28"/>
        </w:rPr>
        <w:t xml:space="preserve"> </w:t>
      </w:r>
      <w:r w:rsidR="728ADA1D" w:rsidRPr="000D6D21">
        <w:rPr>
          <w:sz w:val="28"/>
          <w:szCs w:val="28"/>
        </w:rPr>
        <w:t xml:space="preserve">and </w:t>
      </w:r>
      <w:r w:rsidR="000F14B8" w:rsidRPr="000D6D21">
        <w:rPr>
          <w:sz w:val="28"/>
          <w:szCs w:val="28"/>
        </w:rPr>
        <w:t xml:space="preserve">ordered </w:t>
      </w:r>
      <w:r w:rsidR="728ADA1D" w:rsidRPr="000D6D21">
        <w:rPr>
          <w:sz w:val="28"/>
          <w:szCs w:val="28"/>
        </w:rPr>
        <w:t xml:space="preserve">the parties to meet and confer on increased access.  By </w:t>
      </w:r>
      <w:r w:rsidR="5720503C" w:rsidRPr="000D6D21">
        <w:rPr>
          <w:sz w:val="28"/>
          <w:szCs w:val="28"/>
        </w:rPr>
        <w:t>subsequent order</w:t>
      </w:r>
      <w:r w:rsidR="728ADA1D" w:rsidRPr="000D6D21">
        <w:rPr>
          <w:sz w:val="28"/>
          <w:szCs w:val="28"/>
        </w:rPr>
        <w:t xml:space="preserve">, the court directed disclosure of additional records and granted the Registrar’s request to set an amount of </w:t>
      </w:r>
      <w:r w:rsidR="000F14B8" w:rsidRPr="000D6D21">
        <w:rPr>
          <w:sz w:val="28"/>
          <w:szCs w:val="28"/>
        </w:rPr>
        <w:t xml:space="preserve">preliminary injunction </w:t>
      </w:r>
      <w:r w:rsidR="5720503C" w:rsidRPr="000D6D21">
        <w:rPr>
          <w:sz w:val="28"/>
          <w:szCs w:val="28"/>
        </w:rPr>
        <w:t xml:space="preserve">bond.  </w:t>
      </w:r>
    </w:p>
    <w:p w14:paraId="633D178D" w14:textId="77777777" w:rsidR="00EE74CF" w:rsidRPr="000D6D21" w:rsidRDefault="00F615D7" w:rsidP="000D6D21">
      <w:pPr>
        <w:ind w:firstLine="720"/>
        <w:rPr>
          <w:sz w:val="28"/>
          <w:szCs w:val="28"/>
        </w:rPr>
      </w:pPr>
      <w:r w:rsidRPr="000D6D21">
        <w:rPr>
          <w:sz w:val="28"/>
          <w:szCs w:val="28"/>
        </w:rPr>
        <w:t xml:space="preserve">On appeal from the </w:t>
      </w:r>
      <w:r w:rsidR="00337EDE" w:rsidRPr="000D6D21">
        <w:rPr>
          <w:sz w:val="28"/>
          <w:szCs w:val="28"/>
        </w:rPr>
        <w:t xml:space="preserve">original </w:t>
      </w:r>
      <w:r w:rsidRPr="000D6D21">
        <w:rPr>
          <w:sz w:val="28"/>
          <w:szCs w:val="28"/>
        </w:rPr>
        <w:t xml:space="preserve">injunction order and </w:t>
      </w:r>
      <w:r w:rsidR="00C80991">
        <w:rPr>
          <w:sz w:val="28"/>
          <w:szCs w:val="28"/>
        </w:rPr>
        <w:t xml:space="preserve">the </w:t>
      </w:r>
      <w:r w:rsidR="00590330">
        <w:rPr>
          <w:sz w:val="28"/>
          <w:szCs w:val="28"/>
        </w:rPr>
        <w:t xml:space="preserve">subsequent </w:t>
      </w:r>
      <w:r w:rsidRPr="000D6D21">
        <w:rPr>
          <w:sz w:val="28"/>
          <w:szCs w:val="28"/>
        </w:rPr>
        <w:t xml:space="preserve">order, the Registrar contends the trial court </w:t>
      </w:r>
      <w:r w:rsidRPr="000D6D21">
        <w:rPr>
          <w:sz w:val="28"/>
          <w:szCs w:val="28"/>
        </w:rPr>
        <w:t>misinterpreted sections 7924.000 and 7924.110</w:t>
      </w:r>
      <w:r w:rsidR="00337EDE" w:rsidRPr="000D6D21">
        <w:rPr>
          <w:sz w:val="28"/>
          <w:szCs w:val="28"/>
        </w:rPr>
        <w:t xml:space="preserve"> when ordering disclosure of voter records and </w:t>
      </w:r>
      <w:r w:rsidR="00365502" w:rsidRPr="000D6D21">
        <w:rPr>
          <w:sz w:val="28"/>
          <w:szCs w:val="28"/>
        </w:rPr>
        <w:t>increasing</w:t>
      </w:r>
      <w:r w:rsidR="00337EDE" w:rsidRPr="000D6D21">
        <w:rPr>
          <w:sz w:val="28"/>
          <w:szCs w:val="28"/>
        </w:rPr>
        <w:t xml:space="preserve"> the Committee</w:t>
      </w:r>
      <w:r w:rsidR="6D9A6A14" w:rsidRPr="000D6D21">
        <w:rPr>
          <w:sz w:val="28"/>
          <w:szCs w:val="28"/>
        </w:rPr>
        <w:t>’</w:t>
      </w:r>
      <w:r w:rsidR="00337EDE" w:rsidRPr="000D6D21">
        <w:rPr>
          <w:sz w:val="28"/>
          <w:szCs w:val="28"/>
        </w:rPr>
        <w:t xml:space="preserve">s access during </w:t>
      </w:r>
      <w:r w:rsidR="00365502" w:rsidRPr="000D6D21">
        <w:rPr>
          <w:sz w:val="28"/>
          <w:szCs w:val="28"/>
        </w:rPr>
        <w:t>the</w:t>
      </w:r>
      <w:r w:rsidR="00337EDE" w:rsidRPr="000D6D21">
        <w:rPr>
          <w:sz w:val="28"/>
          <w:szCs w:val="28"/>
        </w:rPr>
        <w:t xml:space="preserve"> petition examination.  </w:t>
      </w:r>
      <w:r w:rsidR="00365502" w:rsidRPr="000D6D21">
        <w:rPr>
          <w:sz w:val="28"/>
          <w:szCs w:val="28"/>
        </w:rPr>
        <w:t>T</w:t>
      </w:r>
      <w:r w:rsidR="00337EDE" w:rsidRPr="000D6D21">
        <w:rPr>
          <w:sz w:val="28"/>
          <w:szCs w:val="28"/>
        </w:rPr>
        <w:t xml:space="preserve">he Registrar </w:t>
      </w:r>
      <w:r w:rsidR="00365502" w:rsidRPr="000D6D21">
        <w:rPr>
          <w:sz w:val="28"/>
          <w:szCs w:val="28"/>
        </w:rPr>
        <w:t xml:space="preserve">also </w:t>
      </w:r>
      <w:r w:rsidR="00337EDE" w:rsidRPr="000D6D21">
        <w:rPr>
          <w:sz w:val="28"/>
          <w:szCs w:val="28"/>
        </w:rPr>
        <w:t xml:space="preserve">challenges the setting of bond. </w:t>
      </w:r>
    </w:p>
    <w:p w14:paraId="633D178E" w14:textId="77777777" w:rsidR="00612C78" w:rsidRPr="000D6D21" w:rsidRDefault="00F615D7" w:rsidP="000D6D21">
      <w:pPr>
        <w:rPr>
          <w:sz w:val="28"/>
          <w:szCs w:val="28"/>
        </w:rPr>
      </w:pPr>
      <w:r w:rsidRPr="000D6D21">
        <w:rPr>
          <w:sz w:val="28"/>
          <w:szCs w:val="28"/>
        </w:rPr>
        <w:tab/>
        <w:t>The Committee has filed a motion to dismiss</w:t>
      </w:r>
      <w:r w:rsidRPr="000D6D21">
        <w:rPr>
          <w:sz w:val="28"/>
          <w:szCs w:val="28"/>
        </w:rPr>
        <w:t xml:space="preserve"> this appeal for lack of jurisdiction </w:t>
      </w:r>
      <w:r w:rsidR="00365502" w:rsidRPr="000D6D21">
        <w:rPr>
          <w:sz w:val="28"/>
          <w:szCs w:val="28"/>
        </w:rPr>
        <w:t>under the PRA</w:t>
      </w:r>
      <w:r w:rsidRPr="000D6D21">
        <w:rPr>
          <w:sz w:val="28"/>
          <w:szCs w:val="28"/>
        </w:rPr>
        <w:t>, which provides that any</w:t>
      </w:r>
      <w:r w:rsidR="004A07E0" w:rsidRPr="000D6D21">
        <w:rPr>
          <w:sz w:val="28"/>
          <w:szCs w:val="28"/>
        </w:rPr>
        <w:t xml:space="preserve"> “order of the court, either directing disclosure by a public official or supporting the decision of the public official refusing disclosure, is not a final judgment or order” and must be reviewed immediately by petition to the appellate court for issuance of an extraordinary writ.  (§ 7923.500, subd. (a).)  </w:t>
      </w:r>
    </w:p>
    <w:p w14:paraId="633D178F" w14:textId="77777777" w:rsidR="0017459F" w:rsidRDefault="00F615D7" w:rsidP="000D6D21">
      <w:pPr>
        <w:rPr>
          <w:sz w:val="28"/>
          <w:szCs w:val="28"/>
        </w:rPr>
      </w:pPr>
      <w:r w:rsidRPr="000D6D21">
        <w:rPr>
          <w:sz w:val="28"/>
          <w:szCs w:val="28"/>
        </w:rPr>
        <w:tab/>
      </w:r>
      <w:bookmarkStart w:id="0" w:name="_Hlk140226020"/>
      <w:r w:rsidRPr="000D6D21">
        <w:rPr>
          <w:sz w:val="28"/>
          <w:szCs w:val="28"/>
        </w:rPr>
        <w:t xml:space="preserve">We </w:t>
      </w:r>
      <w:r w:rsidR="00365502" w:rsidRPr="000D6D21">
        <w:rPr>
          <w:sz w:val="28"/>
          <w:szCs w:val="28"/>
        </w:rPr>
        <w:t>conclude</w:t>
      </w:r>
      <w:r w:rsidRPr="000D6D21">
        <w:rPr>
          <w:sz w:val="28"/>
          <w:szCs w:val="28"/>
        </w:rPr>
        <w:t xml:space="preserve"> that the exclusive means of challenging an order granting or denying disclosure </w:t>
      </w:r>
      <w:r w:rsidR="000C580D" w:rsidRPr="000D6D21">
        <w:rPr>
          <w:sz w:val="28"/>
          <w:szCs w:val="28"/>
        </w:rPr>
        <w:t xml:space="preserve">of records in </w:t>
      </w:r>
      <w:r w:rsidR="000C580D" w:rsidRPr="000D6D21">
        <w:rPr>
          <w:sz w:val="28"/>
          <w:szCs w:val="28"/>
        </w:rPr>
        <w:lastRenderedPageBreak/>
        <w:t>connection with the</w:t>
      </w:r>
      <w:r w:rsidRPr="000D6D21">
        <w:rPr>
          <w:sz w:val="28"/>
          <w:szCs w:val="28"/>
        </w:rPr>
        <w:t xml:space="preserve"> examination </w:t>
      </w:r>
      <w:r w:rsidR="000B0E92" w:rsidRPr="000D6D21">
        <w:rPr>
          <w:sz w:val="28"/>
          <w:szCs w:val="28"/>
        </w:rPr>
        <w:t xml:space="preserve">of an unsuccessful recall petition </w:t>
      </w:r>
      <w:r w:rsidRPr="000D6D21">
        <w:rPr>
          <w:sz w:val="28"/>
          <w:szCs w:val="28"/>
        </w:rPr>
        <w:t xml:space="preserve">under the PRA is through section 7923.500, which requires filing a petition for extraordinary writ relief within 20 days of service of written notice of the order’s entry.  </w:t>
      </w:r>
      <w:r w:rsidR="00365502" w:rsidRPr="000D6D21">
        <w:rPr>
          <w:sz w:val="28"/>
          <w:szCs w:val="28"/>
        </w:rPr>
        <w:t>B</w:t>
      </w:r>
      <w:r w:rsidRPr="000D6D21">
        <w:rPr>
          <w:sz w:val="28"/>
          <w:szCs w:val="28"/>
        </w:rPr>
        <w:t>ecause the Registrar did not meet</w:t>
      </w:r>
      <w:r w:rsidRPr="000D6D21">
        <w:rPr>
          <w:sz w:val="28"/>
          <w:szCs w:val="28"/>
        </w:rPr>
        <w:t xml:space="preserve"> this requirement for the injunction order, we lack jurisdiction to consider </w:t>
      </w:r>
      <w:r w:rsidR="00365502" w:rsidRPr="000D6D21">
        <w:rPr>
          <w:sz w:val="28"/>
          <w:szCs w:val="28"/>
        </w:rPr>
        <w:t xml:space="preserve">any contention challenging </w:t>
      </w:r>
      <w:r w:rsidR="000F14B8" w:rsidRPr="000D6D21">
        <w:rPr>
          <w:sz w:val="28"/>
          <w:szCs w:val="28"/>
        </w:rPr>
        <w:t>it</w:t>
      </w:r>
      <w:r w:rsidRPr="000D6D21">
        <w:rPr>
          <w:sz w:val="28"/>
          <w:szCs w:val="28"/>
        </w:rPr>
        <w:t xml:space="preserve">.  </w:t>
      </w:r>
      <w:r w:rsidR="00365502" w:rsidRPr="000D6D21">
        <w:rPr>
          <w:sz w:val="28"/>
          <w:szCs w:val="28"/>
        </w:rPr>
        <w:t xml:space="preserve">However, the </w:t>
      </w:r>
      <w:r w:rsidRPr="000D6D21">
        <w:rPr>
          <w:sz w:val="28"/>
          <w:szCs w:val="28"/>
        </w:rPr>
        <w:t>Registrar’s notice of appeal falls within the jurisdictional time limit for the subsequent order</w:t>
      </w:r>
      <w:r w:rsidR="00120568" w:rsidRPr="000D6D21">
        <w:rPr>
          <w:sz w:val="28"/>
          <w:szCs w:val="28"/>
        </w:rPr>
        <w:t xml:space="preserve"> directing </w:t>
      </w:r>
      <w:r w:rsidR="006B09FC" w:rsidRPr="000D6D21">
        <w:rPr>
          <w:sz w:val="28"/>
          <w:szCs w:val="28"/>
        </w:rPr>
        <w:t xml:space="preserve">further </w:t>
      </w:r>
      <w:r w:rsidR="00120568" w:rsidRPr="000D6D21">
        <w:rPr>
          <w:sz w:val="28"/>
          <w:szCs w:val="28"/>
        </w:rPr>
        <w:t>disclosure of voter records</w:t>
      </w:r>
      <w:r w:rsidR="00365502" w:rsidRPr="000D6D21">
        <w:rPr>
          <w:sz w:val="28"/>
          <w:szCs w:val="28"/>
        </w:rPr>
        <w:t>.  We therefore</w:t>
      </w:r>
      <w:r w:rsidRPr="000D6D21">
        <w:rPr>
          <w:sz w:val="28"/>
          <w:szCs w:val="28"/>
        </w:rPr>
        <w:t xml:space="preserve"> exercise our discretion to consider</w:t>
      </w:r>
      <w:r w:rsidR="00120568" w:rsidRPr="000D6D21">
        <w:rPr>
          <w:sz w:val="28"/>
          <w:szCs w:val="28"/>
        </w:rPr>
        <w:t xml:space="preserve"> the Registrar’s challenges to </w:t>
      </w:r>
      <w:r w:rsidRPr="000D6D21">
        <w:rPr>
          <w:sz w:val="28"/>
          <w:szCs w:val="28"/>
        </w:rPr>
        <w:t xml:space="preserve">new directives </w:t>
      </w:r>
      <w:r w:rsidR="48D26EA9" w:rsidRPr="000D6D21">
        <w:rPr>
          <w:sz w:val="28"/>
          <w:szCs w:val="28"/>
        </w:rPr>
        <w:t xml:space="preserve">appearing </w:t>
      </w:r>
      <w:r w:rsidRPr="000D6D21">
        <w:rPr>
          <w:sz w:val="28"/>
          <w:szCs w:val="28"/>
        </w:rPr>
        <w:t xml:space="preserve">in that order </w:t>
      </w:r>
      <w:r w:rsidR="00365502" w:rsidRPr="000D6D21">
        <w:rPr>
          <w:sz w:val="28"/>
          <w:szCs w:val="28"/>
        </w:rPr>
        <w:t>as a petition for extraordinary writ.  Exercising our discretion, we conclude that</w:t>
      </w:r>
      <w:r w:rsidR="000B0E92" w:rsidRPr="000D6D21">
        <w:rPr>
          <w:sz w:val="28"/>
          <w:szCs w:val="28"/>
        </w:rPr>
        <w:t xml:space="preserve"> the</w:t>
      </w:r>
      <w:r w:rsidRPr="000D6D21">
        <w:rPr>
          <w:sz w:val="28"/>
          <w:szCs w:val="28"/>
        </w:rPr>
        <w:t xml:space="preserve"> </w:t>
      </w:r>
      <w:r w:rsidR="00365502" w:rsidRPr="000D6D21">
        <w:rPr>
          <w:sz w:val="28"/>
          <w:szCs w:val="28"/>
        </w:rPr>
        <w:t xml:space="preserve">order improperly </w:t>
      </w:r>
      <w:r w:rsidRPr="000D6D21">
        <w:rPr>
          <w:sz w:val="28"/>
          <w:szCs w:val="28"/>
        </w:rPr>
        <w:t>comm</w:t>
      </w:r>
      <w:r w:rsidRPr="000D6D21">
        <w:rPr>
          <w:sz w:val="28"/>
          <w:szCs w:val="28"/>
        </w:rPr>
        <w:t>and</w:t>
      </w:r>
      <w:r w:rsidR="00365502" w:rsidRPr="000D6D21">
        <w:rPr>
          <w:sz w:val="28"/>
          <w:szCs w:val="28"/>
        </w:rPr>
        <w:t>ed</w:t>
      </w:r>
      <w:r w:rsidRPr="000D6D21">
        <w:rPr>
          <w:sz w:val="28"/>
          <w:szCs w:val="28"/>
        </w:rPr>
        <w:t xml:space="preserve"> the Registrar to (1) authorize use of electronic voter lists outside its examination room</w:t>
      </w:r>
      <w:r w:rsidR="00365502" w:rsidRPr="000D6D21">
        <w:rPr>
          <w:sz w:val="28"/>
          <w:szCs w:val="28"/>
        </w:rPr>
        <w:t>,</w:t>
      </w:r>
      <w:r w:rsidRPr="000D6D21">
        <w:rPr>
          <w:sz w:val="28"/>
          <w:szCs w:val="28"/>
        </w:rPr>
        <w:t xml:space="preserve"> and (2) disclose redacted affidavits of voter registration.  We dismiss the portion of </w:t>
      </w:r>
      <w:r w:rsidR="2FEEA0A0" w:rsidRPr="000D6D21">
        <w:rPr>
          <w:sz w:val="28"/>
          <w:szCs w:val="28"/>
        </w:rPr>
        <w:t xml:space="preserve">the </w:t>
      </w:r>
      <w:r w:rsidRPr="000D6D21">
        <w:rPr>
          <w:sz w:val="28"/>
          <w:szCs w:val="28"/>
        </w:rPr>
        <w:t>appeal purporting the challenge the injunction order</w:t>
      </w:r>
      <w:r w:rsidR="00365502" w:rsidRPr="000D6D21">
        <w:rPr>
          <w:sz w:val="28"/>
          <w:szCs w:val="28"/>
        </w:rPr>
        <w:t xml:space="preserve"> and partially </w:t>
      </w:r>
      <w:r w:rsidRPr="000D6D21">
        <w:rPr>
          <w:sz w:val="28"/>
          <w:szCs w:val="28"/>
        </w:rPr>
        <w:t>g</w:t>
      </w:r>
      <w:r w:rsidRPr="000D6D21">
        <w:rPr>
          <w:sz w:val="28"/>
          <w:szCs w:val="28"/>
        </w:rPr>
        <w:t xml:space="preserve">rant the petition </w:t>
      </w:r>
      <w:r w:rsidR="00365502" w:rsidRPr="000D6D21">
        <w:rPr>
          <w:sz w:val="28"/>
          <w:szCs w:val="28"/>
        </w:rPr>
        <w:t>for extraordinary writ.</w:t>
      </w:r>
    </w:p>
    <w:p w14:paraId="633D1790" w14:textId="77777777" w:rsidR="00FD2303" w:rsidRPr="000D6D21" w:rsidRDefault="00FD2303" w:rsidP="000D6D21">
      <w:pPr>
        <w:rPr>
          <w:sz w:val="28"/>
          <w:szCs w:val="28"/>
        </w:rPr>
      </w:pPr>
    </w:p>
    <w:bookmarkEnd w:id="0"/>
    <w:p w14:paraId="633D1791" w14:textId="77777777" w:rsidR="00BE0EA3" w:rsidRPr="000D6D21" w:rsidRDefault="00F615D7" w:rsidP="000D6D21">
      <w:pPr>
        <w:jc w:val="center"/>
        <w:rPr>
          <w:b/>
          <w:sz w:val="28"/>
          <w:szCs w:val="28"/>
        </w:rPr>
      </w:pPr>
      <w:r w:rsidRPr="000D6D21">
        <w:rPr>
          <w:b/>
          <w:sz w:val="28"/>
          <w:szCs w:val="28"/>
        </w:rPr>
        <w:t>BACKGROUND</w:t>
      </w:r>
    </w:p>
    <w:p w14:paraId="633D1792" w14:textId="77777777" w:rsidR="00BD1B6C" w:rsidRPr="00FD2303" w:rsidRDefault="00F615D7" w:rsidP="00FD2303">
      <w:pPr>
        <w:ind w:left="720" w:hanging="720"/>
        <w:rPr>
          <w:b/>
          <w:bCs/>
          <w:iCs/>
          <w:sz w:val="28"/>
          <w:szCs w:val="28"/>
        </w:rPr>
      </w:pPr>
      <w:r w:rsidRPr="000D6D21">
        <w:rPr>
          <w:b/>
          <w:bCs/>
          <w:iCs/>
          <w:sz w:val="28"/>
          <w:szCs w:val="28"/>
        </w:rPr>
        <w:t>A.</w:t>
      </w:r>
      <w:r w:rsidRPr="000D6D21">
        <w:rPr>
          <w:b/>
          <w:bCs/>
          <w:iCs/>
          <w:sz w:val="28"/>
          <w:szCs w:val="28"/>
        </w:rPr>
        <w:tab/>
      </w:r>
      <w:r w:rsidR="0007195A" w:rsidRPr="000D6D21">
        <w:rPr>
          <w:b/>
          <w:bCs/>
          <w:iCs/>
          <w:sz w:val="28"/>
          <w:szCs w:val="28"/>
        </w:rPr>
        <w:t xml:space="preserve">The Recall </w:t>
      </w:r>
      <w:r w:rsidRPr="000D6D21">
        <w:rPr>
          <w:b/>
          <w:bCs/>
          <w:iCs/>
          <w:sz w:val="28"/>
          <w:szCs w:val="28"/>
        </w:rPr>
        <w:t xml:space="preserve">Petition, </w:t>
      </w:r>
      <w:r w:rsidR="001509F8" w:rsidRPr="000D6D21">
        <w:rPr>
          <w:b/>
          <w:bCs/>
          <w:iCs/>
          <w:sz w:val="28"/>
          <w:szCs w:val="28"/>
        </w:rPr>
        <w:t xml:space="preserve">the Registrar’s </w:t>
      </w:r>
      <w:r w:rsidRPr="000D6D21">
        <w:rPr>
          <w:b/>
          <w:bCs/>
          <w:iCs/>
          <w:sz w:val="28"/>
          <w:szCs w:val="28"/>
        </w:rPr>
        <w:t>Certification</w:t>
      </w:r>
      <w:r w:rsidR="0007195A" w:rsidRPr="000D6D21">
        <w:rPr>
          <w:b/>
          <w:bCs/>
          <w:iCs/>
          <w:sz w:val="28"/>
          <w:szCs w:val="28"/>
        </w:rPr>
        <w:t xml:space="preserve"> of Invalidity</w:t>
      </w:r>
      <w:r w:rsidRPr="000D6D21">
        <w:rPr>
          <w:b/>
          <w:bCs/>
          <w:iCs/>
          <w:sz w:val="28"/>
          <w:szCs w:val="28"/>
        </w:rPr>
        <w:t xml:space="preserve">, and </w:t>
      </w:r>
      <w:r w:rsidR="0007195A" w:rsidRPr="000D6D21">
        <w:rPr>
          <w:b/>
          <w:bCs/>
          <w:iCs/>
          <w:sz w:val="28"/>
          <w:szCs w:val="28"/>
        </w:rPr>
        <w:t xml:space="preserve">the Committee’s </w:t>
      </w:r>
      <w:r w:rsidRPr="000D6D21">
        <w:rPr>
          <w:b/>
          <w:bCs/>
          <w:iCs/>
          <w:sz w:val="28"/>
          <w:szCs w:val="28"/>
        </w:rPr>
        <w:t>Examination</w:t>
      </w:r>
    </w:p>
    <w:p w14:paraId="633D1793" w14:textId="77777777" w:rsidR="009D048F" w:rsidRPr="000D6D21" w:rsidRDefault="00F615D7" w:rsidP="000D6D21">
      <w:pPr>
        <w:rPr>
          <w:sz w:val="28"/>
          <w:szCs w:val="28"/>
        </w:rPr>
      </w:pPr>
      <w:r w:rsidRPr="000D6D21">
        <w:rPr>
          <w:bCs/>
          <w:iCs/>
          <w:sz w:val="28"/>
          <w:szCs w:val="28"/>
        </w:rPr>
        <w:tab/>
      </w:r>
      <w:r w:rsidR="00D82EF6" w:rsidRPr="000D6D21">
        <w:rPr>
          <w:bCs/>
          <w:iCs/>
          <w:sz w:val="28"/>
          <w:szCs w:val="28"/>
        </w:rPr>
        <w:t>On</w:t>
      </w:r>
      <w:r w:rsidR="00637B92" w:rsidRPr="000D6D21">
        <w:rPr>
          <w:bCs/>
          <w:iCs/>
          <w:sz w:val="28"/>
          <w:szCs w:val="28"/>
        </w:rPr>
        <w:t xml:space="preserve"> December 8, 202</w:t>
      </w:r>
      <w:r w:rsidR="0017459F" w:rsidRPr="000D6D21">
        <w:rPr>
          <w:bCs/>
          <w:iCs/>
          <w:sz w:val="28"/>
          <w:szCs w:val="28"/>
        </w:rPr>
        <w:t>0</w:t>
      </w:r>
      <w:r w:rsidR="00637B92" w:rsidRPr="000D6D21">
        <w:rPr>
          <w:bCs/>
          <w:iCs/>
          <w:sz w:val="28"/>
          <w:szCs w:val="28"/>
        </w:rPr>
        <w:t xml:space="preserve">, </w:t>
      </w:r>
      <w:r w:rsidR="003A4DA8" w:rsidRPr="000D6D21">
        <w:rPr>
          <w:bCs/>
          <w:iCs/>
          <w:sz w:val="28"/>
          <w:szCs w:val="28"/>
        </w:rPr>
        <w:t>George Gasc</w:t>
      </w:r>
      <w:r w:rsidR="003A4DA8" w:rsidRPr="000D6D21">
        <w:rPr>
          <w:sz w:val="28"/>
          <w:szCs w:val="28"/>
        </w:rPr>
        <w:t xml:space="preserve">ón </w:t>
      </w:r>
      <w:r w:rsidR="00970AB1" w:rsidRPr="000D6D21">
        <w:rPr>
          <w:sz w:val="28"/>
          <w:szCs w:val="28"/>
        </w:rPr>
        <w:t xml:space="preserve">(hereinafter </w:t>
      </w:r>
      <w:r w:rsidR="00970AB1" w:rsidRPr="000D6D21">
        <w:rPr>
          <w:bCs/>
          <w:iCs/>
          <w:sz w:val="28"/>
          <w:szCs w:val="28"/>
        </w:rPr>
        <w:t>Gasc</w:t>
      </w:r>
      <w:r w:rsidR="00970AB1" w:rsidRPr="000D6D21">
        <w:rPr>
          <w:sz w:val="28"/>
          <w:szCs w:val="28"/>
        </w:rPr>
        <w:t xml:space="preserve">ón) </w:t>
      </w:r>
      <w:r w:rsidR="003A4DA8" w:rsidRPr="000D6D21">
        <w:rPr>
          <w:sz w:val="28"/>
          <w:szCs w:val="28"/>
        </w:rPr>
        <w:t xml:space="preserve">assumed office as the Los Angeles County District Attorney. </w:t>
      </w:r>
      <w:r w:rsidR="000D6D21" w:rsidRPr="000D6D21">
        <w:rPr>
          <w:sz w:val="28"/>
          <w:szCs w:val="28"/>
        </w:rPr>
        <w:t xml:space="preserve"> </w:t>
      </w:r>
      <w:r w:rsidR="0041013E" w:rsidRPr="000D6D21">
        <w:rPr>
          <w:sz w:val="28"/>
          <w:szCs w:val="28"/>
        </w:rPr>
        <w:t xml:space="preserve">About a year later, </w:t>
      </w:r>
      <w:r w:rsidR="003A4DA8" w:rsidRPr="000D6D21">
        <w:rPr>
          <w:sz w:val="28"/>
          <w:szCs w:val="28"/>
        </w:rPr>
        <w:t>the Registrar approved the form and wording of a request by the Committee to circulate a petition to recall Gascón</w:t>
      </w:r>
      <w:r w:rsidR="00637B92" w:rsidRPr="000D6D21">
        <w:rPr>
          <w:sz w:val="28"/>
          <w:szCs w:val="28"/>
        </w:rPr>
        <w:t xml:space="preserve"> from office</w:t>
      </w:r>
      <w:r w:rsidR="003A4DA8" w:rsidRPr="000D6D21">
        <w:rPr>
          <w:sz w:val="28"/>
          <w:szCs w:val="28"/>
        </w:rPr>
        <w:t xml:space="preserve">.  </w:t>
      </w:r>
      <w:r w:rsidR="00D82EF6" w:rsidRPr="000D6D21">
        <w:rPr>
          <w:sz w:val="28"/>
          <w:szCs w:val="28"/>
        </w:rPr>
        <w:t>T</w:t>
      </w:r>
      <w:r w:rsidR="003A4DA8" w:rsidRPr="000D6D21">
        <w:rPr>
          <w:sz w:val="28"/>
          <w:szCs w:val="28"/>
        </w:rPr>
        <w:t xml:space="preserve">he Committee collected 715,833 signatures for </w:t>
      </w:r>
      <w:r w:rsidR="0041013E" w:rsidRPr="000D6D21">
        <w:rPr>
          <w:sz w:val="28"/>
          <w:szCs w:val="28"/>
        </w:rPr>
        <w:t>its</w:t>
      </w:r>
      <w:r w:rsidR="003A4DA8" w:rsidRPr="000D6D21">
        <w:rPr>
          <w:sz w:val="28"/>
          <w:szCs w:val="28"/>
        </w:rPr>
        <w:t xml:space="preserve"> petition, 148,976 more </w:t>
      </w:r>
      <w:r w:rsidR="003A4DA8" w:rsidRPr="000D6D21">
        <w:rPr>
          <w:sz w:val="28"/>
          <w:szCs w:val="28"/>
        </w:rPr>
        <w:lastRenderedPageBreak/>
        <w:t xml:space="preserve">than </w:t>
      </w:r>
      <w:r w:rsidR="00590330">
        <w:rPr>
          <w:sz w:val="28"/>
          <w:szCs w:val="28"/>
        </w:rPr>
        <w:t xml:space="preserve">the signatures </w:t>
      </w:r>
      <w:r w:rsidR="00D82EF6" w:rsidRPr="000D6D21">
        <w:rPr>
          <w:sz w:val="28"/>
          <w:szCs w:val="28"/>
        </w:rPr>
        <w:t xml:space="preserve">required </w:t>
      </w:r>
      <w:r w:rsidR="003A4DA8" w:rsidRPr="000D6D21">
        <w:rPr>
          <w:sz w:val="28"/>
          <w:szCs w:val="28"/>
        </w:rPr>
        <w:t xml:space="preserve">to trigger a recall election.  </w:t>
      </w:r>
      <w:r w:rsidR="00637B92" w:rsidRPr="000D6D21">
        <w:rPr>
          <w:sz w:val="28"/>
          <w:szCs w:val="28"/>
        </w:rPr>
        <w:t>(See Elec. Code, § 1122</w:t>
      </w:r>
      <w:r w:rsidR="00D82EF6" w:rsidRPr="000D6D21">
        <w:rPr>
          <w:sz w:val="28"/>
          <w:szCs w:val="28"/>
        </w:rPr>
        <w:t>1</w:t>
      </w:r>
      <w:r w:rsidR="00637B92" w:rsidRPr="000D6D21">
        <w:rPr>
          <w:sz w:val="28"/>
          <w:szCs w:val="28"/>
        </w:rPr>
        <w:t xml:space="preserve">, subds. (a)(5), (b).)  </w:t>
      </w:r>
      <w:r w:rsidR="003A4DA8" w:rsidRPr="000D6D21">
        <w:rPr>
          <w:sz w:val="28"/>
          <w:szCs w:val="28"/>
        </w:rPr>
        <w:t xml:space="preserve">On July 6, 2022, the Committee submitted the </w:t>
      </w:r>
      <w:r w:rsidR="00830628" w:rsidRPr="000D6D21">
        <w:rPr>
          <w:sz w:val="28"/>
          <w:szCs w:val="28"/>
        </w:rPr>
        <w:t xml:space="preserve">recall petition </w:t>
      </w:r>
      <w:r w:rsidR="003A4DA8" w:rsidRPr="000D6D21">
        <w:rPr>
          <w:sz w:val="28"/>
          <w:szCs w:val="28"/>
        </w:rPr>
        <w:t xml:space="preserve">to the Registrar </w:t>
      </w:r>
      <w:r w:rsidR="00830628" w:rsidRPr="000D6D21">
        <w:rPr>
          <w:sz w:val="28"/>
          <w:szCs w:val="28"/>
        </w:rPr>
        <w:t>to verify signatures, certify the sufficiency of the petition, and order a recall election</w:t>
      </w:r>
      <w:r w:rsidR="003A4DA8" w:rsidRPr="000D6D21">
        <w:rPr>
          <w:sz w:val="28"/>
          <w:szCs w:val="28"/>
        </w:rPr>
        <w:t xml:space="preserve">.  (See </w:t>
      </w:r>
      <w:r w:rsidR="00637B92" w:rsidRPr="000D6D21">
        <w:rPr>
          <w:i/>
          <w:iCs/>
          <w:sz w:val="28"/>
          <w:szCs w:val="28"/>
        </w:rPr>
        <w:t>id.</w:t>
      </w:r>
      <w:r w:rsidR="00637B92" w:rsidRPr="000D6D21">
        <w:rPr>
          <w:sz w:val="28"/>
          <w:szCs w:val="28"/>
        </w:rPr>
        <w:t>,</w:t>
      </w:r>
      <w:r w:rsidR="00F83F5F" w:rsidRPr="000D6D21">
        <w:rPr>
          <w:sz w:val="28"/>
          <w:szCs w:val="28"/>
        </w:rPr>
        <w:t xml:space="preserve"> </w:t>
      </w:r>
      <w:r w:rsidR="003A4DA8" w:rsidRPr="000D6D21">
        <w:rPr>
          <w:sz w:val="28"/>
          <w:szCs w:val="28"/>
        </w:rPr>
        <w:t>§§</w:t>
      </w:r>
      <w:r w:rsidR="00F83F5F" w:rsidRPr="000D6D21">
        <w:rPr>
          <w:sz w:val="28"/>
          <w:szCs w:val="28"/>
        </w:rPr>
        <w:t> </w:t>
      </w:r>
      <w:r w:rsidR="003A4DA8" w:rsidRPr="000D6D21">
        <w:rPr>
          <w:sz w:val="28"/>
          <w:szCs w:val="28"/>
        </w:rPr>
        <w:t xml:space="preserve">11222, 11224.)  </w:t>
      </w:r>
    </w:p>
    <w:p w14:paraId="633D1794" w14:textId="77777777" w:rsidR="00BD1B6C" w:rsidRPr="000D6D21" w:rsidRDefault="00F615D7" w:rsidP="000D6D21">
      <w:pPr>
        <w:rPr>
          <w:sz w:val="28"/>
          <w:szCs w:val="28"/>
        </w:rPr>
      </w:pPr>
      <w:r w:rsidRPr="000D6D21">
        <w:rPr>
          <w:sz w:val="28"/>
          <w:szCs w:val="28"/>
        </w:rPr>
        <w:tab/>
      </w:r>
      <w:r w:rsidR="0041013E" w:rsidRPr="000D6D21">
        <w:rPr>
          <w:sz w:val="28"/>
          <w:szCs w:val="28"/>
        </w:rPr>
        <w:t>During a</w:t>
      </w:r>
      <w:r w:rsidR="00F83F5F" w:rsidRPr="000D6D21">
        <w:rPr>
          <w:sz w:val="28"/>
          <w:szCs w:val="28"/>
        </w:rPr>
        <w:t xml:space="preserve"> five percent random sample review</w:t>
      </w:r>
      <w:r w:rsidR="00830628" w:rsidRPr="000D6D21">
        <w:rPr>
          <w:sz w:val="28"/>
          <w:szCs w:val="28"/>
        </w:rPr>
        <w:t xml:space="preserve">, </w:t>
      </w:r>
      <w:r w:rsidR="0041013E" w:rsidRPr="000D6D21">
        <w:rPr>
          <w:sz w:val="28"/>
          <w:szCs w:val="28"/>
        </w:rPr>
        <w:t xml:space="preserve">the Registrar found </w:t>
      </w:r>
      <w:r w:rsidR="00F83F5F" w:rsidRPr="000D6D21">
        <w:rPr>
          <w:sz w:val="28"/>
          <w:szCs w:val="28"/>
        </w:rPr>
        <w:t xml:space="preserve">72.55% of the sampled signatures valid.  </w:t>
      </w:r>
      <w:r w:rsidR="00830628" w:rsidRPr="000D6D21">
        <w:rPr>
          <w:sz w:val="28"/>
          <w:szCs w:val="28"/>
        </w:rPr>
        <w:t>(</w:t>
      </w:r>
      <w:r w:rsidR="00D82EF6" w:rsidRPr="000D6D21">
        <w:rPr>
          <w:sz w:val="28"/>
          <w:szCs w:val="28"/>
        </w:rPr>
        <w:t xml:space="preserve">See </w:t>
      </w:r>
      <w:r w:rsidR="00830628" w:rsidRPr="000D6D21">
        <w:rPr>
          <w:sz w:val="28"/>
          <w:szCs w:val="28"/>
        </w:rPr>
        <w:t>C</w:t>
      </w:r>
      <w:r w:rsidR="00D82EF6" w:rsidRPr="000D6D21">
        <w:rPr>
          <w:sz w:val="28"/>
          <w:szCs w:val="28"/>
        </w:rPr>
        <w:t xml:space="preserve">al. </w:t>
      </w:r>
      <w:r w:rsidR="00830628" w:rsidRPr="000D6D21">
        <w:rPr>
          <w:sz w:val="28"/>
          <w:szCs w:val="28"/>
        </w:rPr>
        <w:t>C</w:t>
      </w:r>
      <w:r w:rsidR="00D82EF6" w:rsidRPr="000D6D21">
        <w:rPr>
          <w:sz w:val="28"/>
          <w:szCs w:val="28"/>
        </w:rPr>
        <w:t xml:space="preserve">ode </w:t>
      </w:r>
      <w:r w:rsidR="00830628" w:rsidRPr="000D6D21">
        <w:rPr>
          <w:sz w:val="28"/>
          <w:szCs w:val="28"/>
        </w:rPr>
        <w:t>R</w:t>
      </w:r>
      <w:r w:rsidR="00D82EF6" w:rsidRPr="000D6D21">
        <w:rPr>
          <w:sz w:val="28"/>
          <w:szCs w:val="28"/>
        </w:rPr>
        <w:t>egs.,</w:t>
      </w:r>
      <w:r w:rsidR="00830628" w:rsidRPr="000D6D21">
        <w:rPr>
          <w:sz w:val="28"/>
          <w:szCs w:val="28"/>
        </w:rPr>
        <w:t xml:space="preserve"> tit. 2, §§ 20521</w:t>
      </w:r>
      <w:r w:rsidR="00D82EF6" w:rsidRPr="000D6D21">
        <w:rPr>
          <w:sz w:val="28"/>
          <w:szCs w:val="28"/>
        </w:rPr>
        <w:noBreakHyphen/>
      </w:r>
      <w:r w:rsidR="00830628" w:rsidRPr="000D6D21">
        <w:rPr>
          <w:sz w:val="28"/>
          <w:szCs w:val="28"/>
        </w:rPr>
        <w:t xml:space="preserve">20540.)  </w:t>
      </w:r>
      <w:r w:rsidR="00D82EF6" w:rsidRPr="000D6D21">
        <w:rPr>
          <w:sz w:val="28"/>
          <w:szCs w:val="28"/>
        </w:rPr>
        <w:t>Following</w:t>
      </w:r>
      <w:r w:rsidR="00F83F5F" w:rsidRPr="000D6D21">
        <w:rPr>
          <w:sz w:val="28"/>
          <w:szCs w:val="28"/>
        </w:rPr>
        <w:t xml:space="preserve"> a full count examination, o</w:t>
      </w:r>
      <w:r w:rsidRPr="000D6D21">
        <w:rPr>
          <w:sz w:val="28"/>
          <w:szCs w:val="28"/>
        </w:rPr>
        <w:t xml:space="preserve">n August 15, 2022, the </w:t>
      </w:r>
      <w:r w:rsidR="00AD2E54" w:rsidRPr="000D6D21">
        <w:rPr>
          <w:sz w:val="28"/>
          <w:szCs w:val="28"/>
        </w:rPr>
        <w:t xml:space="preserve">Registrar issued a press release </w:t>
      </w:r>
      <w:r w:rsidR="000F14B8" w:rsidRPr="000D6D21">
        <w:rPr>
          <w:sz w:val="28"/>
          <w:szCs w:val="28"/>
        </w:rPr>
        <w:t>indicating</w:t>
      </w:r>
      <w:r w:rsidR="001027CC" w:rsidRPr="000D6D21">
        <w:rPr>
          <w:sz w:val="28"/>
          <w:szCs w:val="28"/>
        </w:rPr>
        <w:t xml:space="preserve"> it found</w:t>
      </w:r>
      <w:r w:rsidR="000F14B8" w:rsidRPr="000D6D21">
        <w:rPr>
          <w:sz w:val="28"/>
          <w:szCs w:val="28"/>
        </w:rPr>
        <w:t xml:space="preserve"> </w:t>
      </w:r>
      <w:r w:rsidR="00AD2E54" w:rsidRPr="000D6D21">
        <w:rPr>
          <w:sz w:val="28"/>
          <w:szCs w:val="28"/>
        </w:rPr>
        <w:t xml:space="preserve">a total of 520,050 </w:t>
      </w:r>
      <w:r w:rsidR="000F14B8" w:rsidRPr="000D6D21">
        <w:rPr>
          <w:sz w:val="28"/>
          <w:szCs w:val="28"/>
        </w:rPr>
        <w:t xml:space="preserve">validated </w:t>
      </w:r>
      <w:r w:rsidR="00AD2E54" w:rsidRPr="000D6D21">
        <w:rPr>
          <w:sz w:val="28"/>
          <w:szCs w:val="28"/>
        </w:rPr>
        <w:t xml:space="preserve">signatures, </w:t>
      </w:r>
      <w:r w:rsidR="000F14B8" w:rsidRPr="000D6D21">
        <w:rPr>
          <w:sz w:val="28"/>
          <w:szCs w:val="28"/>
        </w:rPr>
        <w:t xml:space="preserve">approximately </w:t>
      </w:r>
      <w:r w:rsidRPr="000D6D21">
        <w:rPr>
          <w:sz w:val="28"/>
          <w:szCs w:val="28"/>
        </w:rPr>
        <w:t>46,</w:t>
      </w:r>
      <w:r w:rsidR="000F14B8" w:rsidRPr="000D6D21">
        <w:rPr>
          <w:sz w:val="28"/>
          <w:szCs w:val="28"/>
        </w:rPr>
        <w:t>000</w:t>
      </w:r>
      <w:r w:rsidRPr="000D6D21">
        <w:rPr>
          <w:sz w:val="28"/>
          <w:szCs w:val="28"/>
        </w:rPr>
        <w:t xml:space="preserve"> signatures </w:t>
      </w:r>
      <w:r w:rsidR="0041013E" w:rsidRPr="000D6D21">
        <w:rPr>
          <w:sz w:val="28"/>
          <w:szCs w:val="28"/>
        </w:rPr>
        <w:t xml:space="preserve">short of that </w:t>
      </w:r>
      <w:r w:rsidRPr="000D6D21">
        <w:rPr>
          <w:sz w:val="28"/>
          <w:szCs w:val="28"/>
        </w:rPr>
        <w:t xml:space="preserve">needed to </w:t>
      </w:r>
      <w:r w:rsidR="00AD2E54" w:rsidRPr="000D6D21">
        <w:rPr>
          <w:sz w:val="28"/>
          <w:szCs w:val="28"/>
        </w:rPr>
        <w:t>qualify the recall for the ballot</w:t>
      </w:r>
      <w:r w:rsidRPr="000D6D21">
        <w:rPr>
          <w:sz w:val="28"/>
          <w:szCs w:val="28"/>
        </w:rPr>
        <w:t>.</w:t>
      </w:r>
      <w:r>
        <w:rPr>
          <w:rStyle w:val="FootnoteReference"/>
          <w:sz w:val="28"/>
          <w:szCs w:val="28"/>
        </w:rPr>
        <w:footnoteReference w:id="3"/>
      </w:r>
      <w:r w:rsidRPr="000D6D21">
        <w:rPr>
          <w:sz w:val="28"/>
          <w:szCs w:val="28"/>
        </w:rPr>
        <w:t xml:space="preserve">  </w:t>
      </w:r>
    </w:p>
    <w:p w14:paraId="633D1795" w14:textId="77777777" w:rsidR="0041013E" w:rsidRPr="000D6D21" w:rsidRDefault="00F615D7" w:rsidP="000D6D21">
      <w:pPr>
        <w:rPr>
          <w:sz w:val="28"/>
          <w:szCs w:val="28"/>
        </w:rPr>
      </w:pPr>
      <w:r w:rsidRPr="000D6D21">
        <w:rPr>
          <w:sz w:val="28"/>
          <w:szCs w:val="28"/>
        </w:rPr>
        <w:tab/>
        <w:t xml:space="preserve">On August 18, </w:t>
      </w:r>
      <w:r w:rsidRPr="000D6D21">
        <w:rPr>
          <w:sz w:val="28"/>
          <w:szCs w:val="28"/>
        </w:rPr>
        <w:t xml:space="preserve">2022, the Committee </w:t>
      </w:r>
      <w:r w:rsidR="00590330">
        <w:rPr>
          <w:sz w:val="28"/>
          <w:szCs w:val="28"/>
        </w:rPr>
        <w:t>informed the Registrar that</w:t>
      </w:r>
      <w:r w:rsidR="00E04BF9">
        <w:rPr>
          <w:sz w:val="28"/>
          <w:szCs w:val="28"/>
        </w:rPr>
        <w:t xml:space="preserve"> it</w:t>
      </w:r>
      <w:r w:rsidR="00590330">
        <w:rPr>
          <w:sz w:val="28"/>
          <w:szCs w:val="28"/>
        </w:rPr>
        <w:t xml:space="preserve"> intended</w:t>
      </w:r>
      <w:r w:rsidRPr="000D6D21">
        <w:rPr>
          <w:sz w:val="28"/>
          <w:szCs w:val="28"/>
        </w:rPr>
        <w:t xml:space="preserve"> </w:t>
      </w:r>
      <w:r w:rsidR="00D2515F" w:rsidRPr="000D6D21">
        <w:rPr>
          <w:sz w:val="28"/>
          <w:szCs w:val="28"/>
        </w:rPr>
        <w:t xml:space="preserve">to examine the petition to </w:t>
      </w:r>
      <w:r w:rsidRPr="000D6D21">
        <w:rPr>
          <w:sz w:val="28"/>
          <w:szCs w:val="28"/>
        </w:rPr>
        <w:t>assess</w:t>
      </w:r>
      <w:r w:rsidR="00D2515F" w:rsidRPr="000D6D21">
        <w:rPr>
          <w:sz w:val="28"/>
          <w:szCs w:val="28"/>
        </w:rPr>
        <w:t xml:space="preserve"> “which signatures were disqualified and the reasons therefor</w:t>
      </w:r>
      <w:r w:rsidR="00354293" w:rsidRPr="000D6D21">
        <w:rPr>
          <w:sz w:val="28"/>
          <w:szCs w:val="28"/>
        </w:rPr>
        <w:t>.</w:t>
      </w:r>
      <w:r w:rsidR="00D2515F" w:rsidRPr="000D6D21">
        <w:rPr>
          <w:sz w:val="28"/>
          <w:szCs w:val="28"/>
        </w:rPr>
        <w:t>”</w:t>
      </w:r>
      <w:r w:rsidR="000B0E92" w:rsidRPr="000D6D21">
        <w:rPr>
          <w:sz w:val="28"/>
          <w:szCs w:val="28"/>
        </w:rPr>
        <w:t xml:space="preserve">  </w:t>
      </w:r>
      <w:r w:rsidR="00D82EF6" w:rsidRPr="000D6D21">
        <w:rPr>
          <w:sz w:val="28"/>
          <w:szCs w:val="28"/>
        </w:rPr>
        <w:t xml:space="preserve">(§ 7924.110, subd. (b).) </w:t>
      </w:r>
      <w:r w:rsidR="00D2515F" w:rsidRPr="000D6D21">
        <w:rPr>
          <w:sz w:val="28"/>
          <w:szCs w:val="28"/>
        </w:rPr>
        <w:t xml:space="preserve"> </w:t>
      </w:r>
      <w:r w:rsidR="5D80FD9B" w:rsidRPr="000D6D21">
        <w:rPr>
          <w:sz w:val="28"/>
          <w:szCs w:val="28"/>
        </w:rPr>
        <w:t>By written</w:t>
      </w:r>
      <w:r w:rsidR="00AA7D44" w:rsidRPr="000D6D21">
        <w:rPr>
          <w:sz w:val="28"/>
          <w:szCs w:val="28"/>
        </w:rPr>
        <w:t xml:space="preserve"> </w:t>
      </w:r>
      <w:r w:rsidR="00D82EF6" w:rsidRPr="000D6D21">
        <w:rPr>
          <w:sz w:val="28"/>
          <w:szCs w:val="28"/>
        </w:rPr>
        <w:t>response, the</w:t>
      </w:r>
      <w:r w:rsidR="00D2515F" w:rsidRPr="000D6D21">
        <w:rPr>
          <w:sz w:val="28"/>
          <w:szCs w:val="28"/>
        </w:rPr>
        <w:t xml:space="preserve"> Registrar </w:t>
      </w:r>
      <w:r w:rsidRPr="000D6D21">
        <w:rPr>
          <w:sz w:val="28"/>
          <w:szCs w:val="28"/>
        </w:rPr>
        <w:t xml:space="preserve">agreed that </w:t>
      </w:r>
      <w:r w:rsidR="00354293" w:rsidRPr="000D6D21">
        <w:rPr>
          <w:sz w:val="28"/>
          <w:szCs w:val="28"/>
        </w:rPr>
        <w:t>section 7924.110 “governs the scope of the Petition examination</w:t>
      </w:r>
      <w:r w:rsidR="00D82EF6" w:rsidRPr="000D6D21">
        <w:rPr>
          <w:sz w:val="28"/>
          <w:szCs w:val="28"/>
        </w:rPr>
        <w:t>.</w:t>
      </w:r>
      <w:r w:rsidR="00354293" w:rsidRPr="000D6D21">
        <w:rPr>
          <w:sz w:val="28"/>
          <w:szCs w:val="28"/>
        </w:rPr>
        <w:t xml:space="preserve"> . . .</w:t>
      </w:r>
      <w:r w:rsidR="00D82EF6" w:rsidRPr="000D6D21">
        <w:rPr>
          <w:sz w:val="28"/>
          <w:szCs w:val="28"/>
        </w:rPr>
        <w:t xml:space="preserve">” </w:t>
      </w:r>
      <w:r w:rsidRPr="000D6D21">
        <w:rPr>
          <w:sz w:val="28"/>
          <w:szCs w:val="28"/>
        </w:rPr>
        <w:t xml:space="preserve"> T</w:t>
      </w:r>
      <w:r w:rsidR="00354293" w:rsidRPr="000D6D21">
        <w:rPr>
          <w:sz w:val="28"/>
          <w:szCs w:val="28"/>
        </w:rPr>
        <w:t xml:space="preserve">he Registrar </w:t>
      </w:r>
      <w:r w:rsidRPr="000D6D21">
        <w:rPr>
          <w:sz w:val="28"/>
          <w:szCs w:val="28"/>
        </w:rPr>
        <w:t xml:space="preserve">allowed the </w:t>
      </w:r>
      <w:r w:rsidR="00354293" w:rsidRPr="000D6D21">
        <w:rPr>
          <w:sz w:val="28"/>
          <w:szCs w:val="28"/>
        </w:rPr>
        <w:t xml:space="preserve">Committee </w:t>
      </w:r>
      <w:r w:rsidRPr="000D6D21">
        <w:rPr>
          <w:sz w:val="28"/>
          <w:szCs w:val="28"/>
        </w:rPr>
        <w:t xml:space="preserve">to examine </w:t>
      </w:r>
      <w:r w:rsidR="00354293" w:rsidRPr="000D6D21">
        <w:rPr>
          <w:sz w:val="28"/>
          <w:szCs w:val="28"/>
        </w:rPr>
        <w:t xml:space="preserve">petition signatures three days </w:t>
      </w:r>
      <w:r w:rsidR="00590330">
        <w:rPr>
          <w:sz w:val="28"/>
          <w:szCs w:val="28"/>
        </w:rPr>
        <w:t>per</w:t>
      </w:r>
      <w:r w:rsidR="00354293" w:rsidRPr="000D6D21">
        <w:rPr>
          <w:sz w:val="28"/>
          <w:szCs w:val="28"/>
        </w:rPr>
        <w:t xml:space="preserve"> week, 9:00 a.m. to 4:00 p.m., with no more than 14 representatives working at seven computer workstations under the control of Registrar staff.  The Registrar </w:t>
      </w:r>
      <w:r w:rsidR="00354293" w:rsidRPr="000D6D21">
        <w:rPr>
          <w:sz w:val="28"/>
          <w:szCs w:val="28"/>
        </w:rPr>
        <w:lastRenderedPageBreak/>
        <w:t xml:space="preserve">prohibited </w:t>
      </w:r>
      <w:r w:rsidR="0029654F" w:rsidRPr="000D6D21">
        <w:rPr>
          <w:sz w:val="28"/>
          <w:szCs w:val="28"/>
        </w:rPr>
        <w:t xml:space="preserve">the Committee from using </w:t>
      </w:r>
      <w:r w:rsidR="00354293" w:rsidRPr="000D6D21">
        <w:rPr>
          <w:sz w:val="28"/>
          <w:szCs w:val="28"/>
        </w:rPr>
        <w:t xml:space="preserve">any personal electronic devices inside </w:t>
      </w:r>
      <w:r w:rsidR="0029654F" w:rsidRPr="000D6D21">
        <w:rPr>
          <w:sz w:val="28"/>
          <w:szCs w:val="28"/>
        </w:rPr>
        <w:t xml:space="preserve">its </w:t>
      </w:r>
      <w:r w:rsidR="00354293" w:rsidRPr="000D6D21">
        <w:rPr>
          <w:sz w:val="28"/>
          <w:szCs w:val="28"/>
        </w:rPr>
        <w:t xml:space="preserve">examination room.  </w:t>
      </w:r>
    </w:p>
    <w:p w14:paraId="633D1796" w14:textId="77777777" w:rsidR="00590330" w:rsidRPr="000D6D21" w:rsidRDefault="00F615D7" w:rsidP="00F30014">
      <w:pPr>
        <w:ind w:firstLine="720"/>
        <w:rPr>
          <w:sz w:val="28"/>
          <w:szCs w:val="28"/>
        </w:rPr>
      </w:pPr>
      <w:r w:rsidRPr="000D6D21">
        <w:rPr>
          <w:sz w:val="28"/>
          <w:szCs w:val="28"/>
        </w:rPr>
        <w:t xml:space="preserve">The Committee </w:t>
      </w:r>
      <w:r w:rsidR="0041013E" w:rsidRPr="000D6D21">
        <w:rPr>
          <w:sz w:val="28"/>
          <w:szCs w:val="28"/>
        </w:rPr>
        <w:t xml:space="preserve">commenced </w:t>
      </w:r>
      <w:r w:rsidR="7D3194D0" w:rsidRPr="000D6D21">
        <w:rPr>
          <w:sz w:val="28"/>
          <w:szCs w:val="28"/>
        </w:rPr>
        <w:t xml:space="preserve">its </w:t>
      </w:r>
      <w:r w:rsidR="0041013E" w:rsidRPr="000D6D21">
        <w:rPr>
          <w:sz w:val="28"/>
          <w:szCs w:val="28"/>
        </w:rPr>
        <w:t xml:space="preserve">examination </w:t>
      </w:r>
      <w:r w:rsidR="00A70B2C" w:rsidRPr="000D6D21">
        <w:rPr>
          <w:sz w:val="28"/>
          <w:szCs w:val="28"/>
        </w:rPr>
        <w:t xml:space="preserve">on September 6, 2022.  </w:t>
      </w:r>
      <w:r w:rsidR="0029654F" w:rsidRPr="000D6D21">
        <w:rPr>
          <w:sz w:val="28"/>
          <w:szCs w:val="28"/>
        </w:rPr>
        <w:t>T</w:t>
      </w:r>
      <w:r w:rsidR="00A70B2C" w:rsidRPr="000D6D21">
        <w:rPr>
          <w:sz w:val="28"/>
          <w:szCs w:val="28"/>
        </w:rPr>
        <w:t xml:space="preserve">he Registrar </w:t>
      </w:r>
      <w:r w:rsidR="0041013E" w:rsidRPr="000D6D21">
        <w:rPr>
          <w:sz w:val="28"/>
          <w:szCs w:val="28"/>
        </w:rPr>
        <w:t xml:space="preserve">provided </w:t>
      </w:r>
      <w:r w:rsidR="00210777" w:rsidRPr="000D6D21">
        <w:rPr>
          <w:sz w:val="28"/>
          <w:szCs w:val="28"/>
        </w:rPr>
        <w:t xml:space="preserve">the Committee </w:t>
      </w:r>
      <w:r w:rsidR="0041013E" w:rsidRPr="000D6D21">
        <w:rPr>
          <w:sz w:val="28"/>
          <w:szCs w:val="28"/>
        </w:rPr>
        <w:t xml:space="preserve">with </w:t>
      </w:r>
      <w:r w:rsidR="0029654F" w:rsidRPr="000D6D21">
        <w:rPr>
          <w:sz w:val="28"/>
          <w:szCs w:val="28"/>
        </w:rPr>
        <w:t>reports generated for the examination</w:t>
      </w:r>
      <w:r w:rsidR="180553D8" w:rsidRPr="000D6D21">
        <w:rPr>
          <w:sz w:val="28"/>
          <w:szCs w:val="28"/>
        </w:rPr>
        <w:t xml:space="preserve"> and in response</w:t>
      </w:r>
      <w:r w:rsidR="00AA7D44" w:rsidRPr="000D6D21">
        <w:rPr>
          <w:sz w:val="28"/>
          <w:szCs w:val="28"/>
        </w:rPr>
        <w:t xml:space="preserve"> </w:t>
      </w:r>
      <w:r w:rsidR="0029654F" w:rsidRPr="000D6D21">
        <w:rPr>
          <w:sz w:val="28"/>
          <w:szCs w:val="28"/>
        </w:rPr>
        <w:t xml:space="preserve">to </w:t>
      </w:r>
      <w:r w:rsidR="00210777" w:rsidRPr="000D6D21">
        <w:rPr>
          <w:sz w:val="28"/>
          <w:szCs w:val="28"/>
        </w:rPr>
        <w:t>many of the Committee’s questions.</w:t>
      </w:r>
      <w:r>
        <w:rPr>
          <w:rStyle w:val="FootnoteReference"/>
          <w:sz w:val="28"/>
          <w:szCs w:val="28"/>
        </w:rPr>
        <w:footnoteReference w:id="4"/>
      </w:r>
      <w:r w:rsidR="00210777" w:rsidRPr="000D6D21">
        <w:rPr>
          <w:sz w:val="28"/>
          <w:szCs w:val="28"/>
        </w:rPr>
        <w:t xml:space="preserve">  </w:t>
      </w:r>
      <w:r w:rsidR="0029654F" w:rsidRPr="000D6D21">
        <w:rPr>
          <w:sz w:val="28"/>
          <w:szCs w:val="28"/>
        </w:rPr>
        <w:t>T</w:t>
      </w:r>
      <w:r w:rsidR="0041013E" w:rsidRPr="000D6D21">
        <w:rPr>
          <w:sz w:val="28"/>
          <w:szCs w:val="28"/>
        </w:rPr>
        <w:t xml:space="preserve">he Registrar </w:t>
      </w:r>
      <w:r w:rsidR="0029654F" w:rsidRPr="000D6D21">
        <w:rPr>
          <w:sz w:val="28"/>
          <w:szCs w:val="28"/>
        </w:rPr>
        <w:t xml:space="preserve">agreed to make </w:t>
      </w:r>
      <w:r w:rsidR="00A70B2C" w:rsidRPr="000D6D21">
        <w:rPr>
          <w:sz w:val="28"/>
          <w:szCs w:val="28"/>
        </w:rPr>
        <w:t xml:space="preserve">one additional report available, </w:t>
      </w:r>
      <w:r w:rsidR="0029654F" w:rsidRPr="000D6D21">
        <w:rPr>
          <w:sz w:val="28"/>
          <w:szCs w:val="28"/>
        </w:rPr>
        <w:t xml:space="preserve">but </w:t>
      </w:r>
      <w:r w:rsidR="00970AB1" w:rsidRPr="000D6D21">
        <w:rPr>
          <w:sz w:val="28"/>
          <w:szCs w:val="28"/>
        </w:rPr>
        <w:t>also stated</w:t>
      </w:r>
      <w:r w:rsidR="0029654F" w:rsidRPr="000D6D21">
        <w:rPr>
          <w:sz w:val="28"/>
          <w:szCs w:val="28"/>
        </w:rPr>
        <w:t xml:space="preserve"> that </w:t>
      </w:r>
      <w:r w:rsidR="00A70B2C" w:rsidRPr="000D6D21">
        <w:rPr>
          <w:sz w:val="28"/>
          <w:szCs w:val="28"/>
        </w:rPr>
        <w:t xml:space="preserve">any questions </w:t>
      </w:r>
      <w:r>
        <w:rPr>
          <w:sz w:val="28"/>
          <w:szCs w:val="28"/>
        </w:rPr>
        <w:t xml:space="preserve">by the Committee </w:t>
      </w:r>
      <w:r w:rsidR="0029654F" w:rsidRPr="000D6D21">
        <w:rPr>
          <w:sz w:val="28"/>
          <w:szCs w:val="28"/>
        </w:rPr>
        <w:t xml:space="preserve">that were </w:t>
      </w:r>
      <w:r w:rsidR="00A70B2C" w:rsidRPr="000D6D21">
        <w:rPr>
          <w:sz w:val="28"/>
          <w:szCs w:val="28"/>
        </w:rPr>
        <w:t>not covered by the</w:t>
      </w:r>
      <w:r w:rsidR="0029654F" w:rsidRPr="000D6D21">
        <w:rPr>
          <w:sz w:val="28"/>
          <w:szCs w:val="28"/>
        </w:rPr>
        <w:t xml:space="preserve"> </w:t>
      </w:r>
      <w:r w:rsidR="00A70B2C" w:rsidRPr="000D6D21">
        <w:rPr>
          <w:sz w:val="28"/>
          <w:szCs w:val="28"/>
        </w:rPr>
        <w:t xml:space="preserve">reports </w:t>
      </w:r>
      <w:r w:rsidR="00210777" w:rsidRPr="000D6D21">
        <w:rPr>
          <w:sz w:val="28"/>
          <w:szCs w:val="28"/>
        </w:rPr>
        <w:t xml:space="preserve">“have been determined to </w:t>
      </w:r>
      <w:r w:rsidR="00A70B2C" w:rsidRPr="000D6D21">
        <w:rPr>
          <w:sz w:val="28"/>
          <w:szCs w:val="28"/>
        </w:rPr>
        <w:t xml:space="preserve">exceed the </w:t>
      </w:r>
      <w:r w:rsidR="00210777" w:rsidRPr="000D6D21">
        <w:rPr>
          <w:sz w:val="28"/>
          <w:szCs w:val="28"/>
        </w:rPr>
        <w:t xml:space="preserve">authorized </w:t>
      </w:r>
      <w:r w:rsidR="00A70B2C" w:rsidRPr="000D6D21">
        <w:rPr>
          <w:sz w:val="28"/>
          <w:szCs w:val="28"/>
        </w:rPr>
        <w:t xml:space="preserve">scope of </w:t>
      </w:r>
      <w:r w:rsidR="00210777" w:rsidRPr="000D6D21">
        <w:rPr>
          <w:sz w:val="28"/>
          <w:szCs w:val="28"/>
        </w:rPr>
        <w:t xml:space="preserve">the </w:t>
      </w:r>
      <w:r w:rsidR="00A70B2C" w:rsidRPr="000D6D21">
        <w:rPr>
          <w:sz w:val="28"/>
          <w:szCs w:val="28"/>
        </w:rPr>
        <w:t xml:space="preserve">examination </w:t>
      </w:r>
      <w:r w:rsidR="00210777" w:rsidRPr="000D6D21">
        <w:rPr>
          <w:sz w:val="28"/>
          <w:szCs w:val="28"/>
        </w:rPr>
        <w:t>. . . as set forth in Government Code section [7924.110].”</w:t>
      </w:r>
      <w:r w:rsidR="00A70B2C" w:rsidRPr="000D6D21">
        <w:rPr>
          <w:sz w:val="28"/>
          <w:szCs w:val="28"/>
        </w:rPr>
        <w:t xml:space="preserve"> </w:t>
      </w:r>
      <w:r w:rsidR="0029654F" w:rsidRPr="000D6D21">
        <w:rPr>
          <w:sz w:val="28"/>
          <w:szCs w:val="28"/>
        </w:rPr>
        <w:t xml:space="preserve"> The</w:t>
      </w:r>
      <w:r w:rsidR="00210777" w:rsidRPr="000D6D21">
        <w:rPr>
          <w:sz w:val="28"/>
          <w:szCs w:val="28"/>
        </w:rPr>
        <w:t xml:space="preserve"> Registrar declined requests by the Committee </w:t>
      </w:r>
      <w:r w:rsidR="005952B9" w:rsidRPr="000D6D21">
        <w:rPr>
          <w:sz w:val="28"/>
          <w:szCs w:val="28"/>
        </w:rPr>
        <w:t>to disclose</w:t>
      </w:r>
      <w:r w:rsidR="0029654F" w:rsidRPr="000D6D21">
        <w:rPr>
          <w:sz w:val="28"/>
          <w:szCs w:val="28"/>
        </w:rPr>
        <w:t xml:space="preserve"> </w:t>
      </w:r>
      <w:r w:rsidR="00210777" w:rsidRPr="000D6D21">
        <w:rPr>
          <w:sz w:val="28"/>
          <w:szCs w:val="28"/>
        </w:rPr>
        <w:t>t</w:t>
      </w:r>
      <w:r w:rsidR="00946DBB" w:rsidRPr="000D6D21">
        <w:rPr>
          <w:sz w:val="28"/>
          <w:szCs w:val="28"/>
        </w:rPr>
        <w:t xml:space="preserve">raining materials for the software program </w:t>
      </w:r>
      <w:r w:rsidR="008D210E" w:rsidRPr="000D6D21">
        <w:rPr>
          <w:sz w:val="28"/>
          <w:szCs w:val="28"/>
        </w:rPr>
        <w:t xml:space="preserve">it used to </w:t>
      </w:r>
      <w:r w:rsidR="00946DBB" w:rsidRPr="000D6D21">
        <w:rPr>
          <w:sz w:val="28"/>
          <w:szCs w:val="28"/>
        </w:rPr>
        <w:t>stor</w:t>
      </w:r>
      <w:r w:rsidR="008D210E" w:rsidRPr="000D6D21">
        <w:rPr>
          <w:sz w:val="28"/>
          <w:szCs w:val="28"/>
        </w:rPr>
        <w:t>e</w:t>
      </w:r>
      <w:r w:rsidR="00946DBB" w:rsidRPr="000D6D21">
        <w:rPr>
          <w:sz w:val="28"/>
          <w:szCs w:val="28"/>
        </w:rPr>
        <w:t xml:space="preserve"> voter registration records (</w:t>
      </w:r>
      <w:r w:rsidRPr="000D6D21">
        <w:rPr>
          <w:sz w:val="28"/>
          <w:szCs w:val="28"/>
        </w:rPr>
        <w:t>Runbeck’s EMS-DIMS Election Management System, hereinafter “</w:t>
      </w:r>
      <w:r w:rsidR="00946DBB" w:rsidRPr="000D6D21">
        <w:rPr>
          <w:sz w:val="28"/>
          <w:szCs w:val="28"/>
        </w:rPr>
        <w:t>DIMS</w:t>
      </w:r>
      <w:r w:rsidRPr="000D6D21">
        <w:rPr>
          <w:sz w:val="28"/>
          <w:szCs w:val="28"/>
        </w:rPr>
        <w:t>”</w:t>
      </w:r>
      <w:r w:rsidR="00946DBB" w:rsidRPr="000D6D21">
        <w:rPr>
          <w:sz w:val="28"/>
          <w:szCs w:val="28"/>
        </w:rPr>
        <w:t>)</w:t>
      </w:r>
      <w:r w:rsidR="0029654F" w:rsidRPr="000D6D21">
        <w:rPr>
          <w:sz w:val="28"/>
          <w:szCs w:val="28"/>
        </w:rPr>
        <w:t xml:space="preserve">, </w:t>
      </w:r>
      <w:r w:rsidR="005952B9" w:rsidRPr="000D6D21">
        <w:rPr>
          <w:sz w:val="28"/>
          <w:szCs w:val="28"/>
        </w:rPr>
        <w:t>a</w:t>
      </w:r>
      <w:r w:rsidR="00946DBB" w:rsidRPr="000D6D21">
        <w:rPr>
          <w:sz w:val="28"/>
          <w:szCs w:val="28"/>
        </w:rPr>
        <w:t>ll signatures on file for each voter</w:t>
      </w:r>
      <w:r w:rsidR="0029654F" w:rsidRPr="000D6D21">
        <w:rPr>
          <w:sz w:val="28"/>
          <w:szCs w:val="28"/>
        </w:rPr>
        <w:t xml:space="preserve">, various lists </w:t>
      </w:r>
      <w:r>
        <w:rPr>
          <w:sz w:val="28"/>
          <w:szCs w:val="28"/>
        </w:rPr>
        <w:t>and/</w:t>
      </w:r>
      <w:r w:rsidR="0029654F" w:rsidRPr="000D6D21">
        <w:rPr>
          <w:sz w:val="28"/>
          <w:szCs w:val="28"/>
        </w:rPr>
        <w:t>or reports for signatures deemed valid and accepted, and signatures invalidated as duplicates, death, fatal pending, or different address.</w:t>
      </w:r>
      <w:r>
        <w:rPr>
          <w:rStyle w:val="FootnoteReference"/>
          <w:sz w:val="28"/>
          <w:szCs w:val="28"/>
        </w:rPr>
        <w:footnoteReference w:id="5"/>
      </w:r>
    </w:p>
    <w:p w14:paraId="633D1797" w14:textId="77777777" w:rsidR="007261C8" w:rsidRPr="000D6D21" w:rsidRDefault="00F615D7" w:rsidP="006068EF">
      <w:pPr>
        <w:ind w:left="720" w:hanging="720"/>
        <w:rPr>
          <w:b/>
          <w:bCs/>
          <w:iCs/>
          <w:sz w:val="28"/>
          <w:szCs w:val="28"/>
          <w:u w:val="single"/>
        </w:rPr>
      </w:pPr>
      <w:r w:rsidRPr="000D6D21">
        <w:rPr>
          <w:b/>
          <w:bCs/>
          <w:iCs/>
          <w:sz w:val="28"/>
          <w:szCs w:val="28"/>
        </w:rPr>
        <w:lastRenderedPageBreak/>
        <w:t>B</w:t>
      </w:r>
      <w:r w:rsidR="003A4DA8" w:rsidRPr="000D6D21">
        <w:rPr>
          <w:b/>
          <w:bCs/>
          <w:iCs/>
          <w:sz w:val="28"/>
          <w:szCs w:val="28"/>
        </w:rPr>
        <w:t>.</w:t>
      </w:r>
      <w:r w:rsidR="003A4DA8" w:rsidRPr="000D6D21">
        <w:rPr>
          <w:b/>
          <w:bCs/>
          <w:iCs/>
          <w:sz w:val="28"/>
          <w:szCs w:val="28"/>
        </w:rPr>
        <w:tab/>
      </w:r>
      <w:r w:rsidRPr="000D6D21">
        <w:rPr>
          <w:b/>
          <w:bCs/>
          <w:iCs/>
          <w:sz w:val="28"/>
          <w:szCs w:val="28"/>
        </w:rPr>
        <w:t xml:space="preserve">The </w:t>
      </w:r>
      <w:r w:rsidR="00820399" w:rsidRPr="000D6D21">
        <w:rPr>
          <w:b/>
          <w:bCs/>
          <w:iCs/>
          <w:sz w:val="28"/>
          <w:szCs w:val="28"/>
        </w:rPr>
        <w:t xml:space="preserve">First Amended </w:t>
      </w:r>
      <w:r w:rsidRPr="000D6D21">
        <w:rPr>
          <w:b/>
          <w:bCs/>
          <w:iCs/>
          <w:sz w:val="28"/>
          <w:szCs w:val="28"/>
        </w:rPr>
        <w:t>Verified Petition for Writ of Mandate</w:t>
      </w:r>
      <w:r w:rsidRPr="000D6D21">
        <w:rPr>
          <w:b/>
          <w:bCs/>
          <w:iCs/>
          <w:sz w:val="28"/>
          <w:szCs w:val="28"/>
          <w:u w:val="single"/>
        </w:rPr>
        <w:t xml:space="preserve"> </w:t>
      </w:r>
    </w:p>
    <w:p w14:paraId="633D1798" w14:textId="77777777" w:rsidR="001616DB" w:rsidRPr="000D6D21" w:rsidRDefault="00F615D7" w:rsidP="000D6D21">
      <w:pPr>
        <w:rPr>
          <w:sz w:val="28"/>
          <w:szCs w:val="28"/>
        </w:rPr>
      </w:pPr>
      <w:r w:rsidRPr="000D6D21">
        <w:rPr>
          <w:bCs/>
          <w:iCs/>
          <w:sz w:val="28"/>
          <w:szCs w:val="28"/>
        </w:rPr>
        <w:tab/>
      </w:r>
      <w:r w:rsidR="001F4AF4" w:rsidRPr="000D6D21">
        <w:rPr>
          <w:sz w:val="28"/>
          <w:szCs w:val="28"/>
        </w:rPr>
        <w:t>In</w:t>
      </w:r>
      <w:r w:rsidR="002D2556" w:rsidRPr="000D6D21">
        <w:rPr>
          <w:sz w:val="28"/>
          <w:szCs w:val="28"/>
        </w:rPr>
        <w:t xml:space="preserve"> October and November</w:t>
      </w:r>
      <w:r w:rsidR="001509F8" w:rsidRPr="000D6D21">
        <w:rPr>
          <w:sz w:val="28"/>
          <w:szCs w:val="28"/>
        </w:rPr>
        <w:t xml:space="preserve"> 2022, </w:t>
      </w:r>
      <w:r w:rsidRPr="000D6D21">
        <w:rPr>
          <w:sz w:val="28"/>
          <w:szCs w:val="28"/>
        </w:rPr>
        <w:t xml:space="preserve">the Committee filed </w:t>
      </w:r>
      <w:r w:rsidR="002D2556" w:rsidRPr="000D6D21">
        <w:rPr>
          <w:sz w:val="28"/>
          <w:szCs w:val="28"/>
        </w:rPr>
        <w:t xml:space="preserve">an initial and operative first amended verified petition </w:t>
      </w:r>
      <w:r w:rsidRPr="000D6D21">
        <w:rPr>
          <w:sz w:val="28"/>
          <w:szCs w:val="28"/>
        </w:rPr>
        <w:t>for writ of mandate and complaint for declaratory and i</w:t>
      </w:r>
      <w:r w:rsidRPr="000D6D21">
        <w:rPr>
          <w:sz w:val="28"/>
          <w:szCs w:val="28"/>
        </w:rPr>
        <w:t xml:space="preserve">njunctive relief under the PRA and Elections Code section 13314 to enforce its right </w:t>
      </w:r>
      <w:r w:rsidR="00820399" w:rsidRPr="000D6D21">
        <w:rPr>
          <w:bCs/>
          <w:iCs/>
          <w:sz w:val="28"/>
          <w:szCs w:val="28"/>
        </w:rPr>
        <w:t>“‘</w:t>
      </w:r>
      <w:r w:rsidRPr="000D6D21">
        <w:rPr>
          <w:sz w:val="28"/>
          <w:szCs w:val="28"/>
        </w:rPr>
        <w:t>to inspect or to receive a copy of any public record or class of public records.’”</w:t>
      </w:r>
      <w:r>
        <w:rPr>
          <w:rStyle w:val="FootnoteReference"/>
          <w:sz w:val="28"/>
          <w:szCs w:val="28"/>
        </w:rPr>
        <w:footnoteReference w:id="6"/>
      </w:r>
      <w:r w:rsidR="00EF51AA">
        <w:rPr>
          <w:bCs/>
          <w:iCs/>
          <w:sz w:val="28"/>
          <w:szCs w:val="28"/>
        </w:rPr>
        <w:t xml:space="preserve">  </w:t>
      </w:r>
      <w:r w:rsidR="00820399" w:rsidRPr="000D6D21">
        <w:rPr>
          <w:sz w:val="28"/>
          <w:szCs w:val="28"/>
        </w:rPr>
        <w:t>(Quoting §</w:t>
      </w:r>
      <w:r w:rsidR="002D2556" w:rsidRPr="000D6D21">
        <w:rPr>
          <w:bCs/>
          <w:iCs/>
          <w:sz w:val="28"/>
          <w:szCs w:val="28"/>
        </w:rPr>
        <w:t> </w:t>
      </w:r>
      <w:r w:rsidR="00820399" w:rsidRPr="000D6D21">
        <w:rPr>
          <w:sz w:val="28"/>
          <w:szCs w:val="28"/>
        </w:rPr>
        <w:t xml:space="preserve">7923.000.)  </w:t>
      </w:r>
      <w:r w:rsidR="002D2556" w:rsidRPr="000D6D21">
        <w:rPr>
          <w:sz w:val="28"/>
          <w:szCs w:val="28"/>
        </w:rPr>
        <w:t>The</w:t>
      </w:r>
      <w:r w:rsidR="00820399" w:rsidRPr="000D6D21">
        <w:rPr>
          <w:sz w:val="28"/>
          <w:szCs w:val="28"/>
        </w:rPr>
        <w:t xml:space="preserve"> Committee asserted causes of action for </w:t>
      </w:r>
      <w:r w:rsidRPr="000D6D21">
        <w:rPr>
          <w:sz w:val="28"/>
          <w:szCs w:val="28"/>
        </w:rPr>
        <w:t>injunctive relief</w:t>
      </w:r>
      <w:r w:rsidR="008D210E" w:rsidRPr="000D6D21">
        <w:rPr>
          <w:sz w:val="28"/>
          <w:szCs w:val="28"/>
        </w:rPr>
        <w:t xml:space="preserve"> and a writ of mandate </w:t>
      </w:r>
      <w:r w:rsidR="007F760A" w:rsidRPr="000D6D21">
        <w:rPr>
          <w:sz w:val="28"/>
          <w:szCs w:val="28"/>
        </w:rPr>
        <w:t xml:space="preserve">commanding the Registrar to </w:t>
      </w:r>
      <w:r w:rsidR="0029654F" w:rsidRPr="000D6D21">
        <w:rPr>
          <w:sz w:val="28"/>
          <w:szCs w:val="28"/>
        </w:rPr>
        <w:t xml:space="preserve">disclose nine categories of documents and data pertaining to </w:t>
      </w:r>
      <w:r w:rsidR="008D210E" w:rsidRPr="000D6D21">
        <w:rPr>
          <w:sz w:val="28"/>
          <w:szCs w:val="28"/>
        </w:rPr>
        <w:t xml:space="preserve">the Committee’s </w:t>
      </w:r>
      <w:r w:rsidR="0029654F" w:rsidRPr="000D6D21">
        <w:rPr>
          <w:sz w:val="28"/>
          <w:szCs w:val="28"/>
        </w:rPr>
        <w:t>petition</w:t>
      </w:r>
      <w:r w:rsidR="00295B34" w:rsidRPr="000D6D21">
        <w:rPr>
          <w:sz w:val="28"/>
          <w:szCs w:val="28"/>
        </w:rPr>
        <w:t xml:space="preserve"> and</w:t>
      </w:r>
      <w:r w:rsidR="0029654F" w:rsidRPr="000D6D21">
        <w:rPr>
          <w:sz w:val="28"/>
          <w:szCs w:val="28"/>
        </w:rPr>
        <w:t xml:space="preserve"> the Registrar’s examination</w:t>
      </w:r>
      <w:r w:rsidR="008D210E" w:rsidRPr="000D6D21">
        <w:rPr>
          <w:sz w:val="28"/>
          <w:szCs w:val="28"/>
        </w:rPr>
        <w:t xml:space="preserve"> thereof</w:t>
      </w:r>
      <w:r w:rsidR="0029654F" w:rsidRPr="000D6D21">
        <w:rPr>
          <w:sz w:val="28"/>
          <w:szCs w:val="28"/>
        </w:rPr>
        <w:t xml:space="preserve">, and </w:t>
      </w:r>
      <w:r w:rsidR="008D210E" w:rsidRPr="000D6D21">
        <w:rPr>
          <w:sz w:val="28"/>
          <w:szCs w:val="28"/>
        </w:rPr>
        <w:t xml:space="preserve">any </w:t>
      </w:r>
      <w:r w:rsidR="0029654F" w:rsidRPr="000D6D21">
        <w:rPr>
          <w:sz w:val="28"/>
          <w:szCs w:val="28"/>
        </w:rPr>
        <w:t xml:space="preserve">training materials used by Registrar staff to interpret its own data.  </w:t>
      </w:r>
      <w:r w:rsidR="008D210E" w:rsidRPr="000D6D21">
        <w:rPr>
          <w:sz w:val="28"/>
          <w:szCs w:val="28"/>
        </w:rPr>
        <w:t>The Committee sought</w:t>
      </w:r>
      <w:r w:rsidR="0029654F" w:rsidRPr="000D6D21">
        <w:rPr>
          <w:sz w:val="28"/>
          <w:szCs w:val="28"/>
        </w:rPr>
        <w:t xml:space="preserve"> </w:t>
      </w:r>
      <w:r w:rsidR="008D210E" w:rsidRPr="000D6D21">
        <w:rPr>
          <w:sz w:val="28"/>
          <w:szCs w:val="28"/>
        </w:rPr>
        <w:t xml:space="preserve">in relevant part </w:t>
      </w:r>
      <w:r w:rsidRPr="000D6D21">
        <w:rPr>
          <w:sz w:val="28"/>
          <w:szCs w:val="28"/>
        </w:rPr>
        <w:t>electronic copies of lists of all voters the Registrar found submitted a valid signature</w:t>
      </w:r>
      <w:r w:rsidR="008D210E" w:rsidRPr="000D6D21">
        <w:rPr>
          <w:sz w:val="28"/>
          <w:szCs w:val="28"/>
        </w:rPr>
        <w:t xml:space="preserve">, lists of </w:t>
      </w:r>
      <w:r w:rsidRPr="000D6D21">
        <w:rPr>
          <w:sz w:val="28"/>
          <w:szCs w:val="28"/>
        </w:rPr>
        <w:t>all voters whose signatures were invalidated under various d</w:t>
      </w:r>
      <w:r w:rsidRPr="000D6D21">
        <w:rPr>
          <w:sz w:val="28"/>
          <w:szCs w:val="28"/>
        </w:rPr>
        <w:t xml:space="preserve">isqualification </w:t>
      </w:r>
      <w:r w:rsidR="00295B34" w:rsidRPr="000D6D21">
        <w:rPr>
          <w:sz w:val="28"/>
          <w:szCs w:val="28"/>
        </w:rPr>
        <w:t>categories</w:t>
      </w:r>
      <w:r w:rsidRPr="000D6D21">
        <w:rPr>
          <w:sz w:val="28"/>
          <w:szCs w:val="28"/>
        </w:rPr>
        <w:t xml:space="preserve"> (duplicates</w:t>
      </w:r>
      <w:r w:rsidR="00BF48E5" w:rsidRPr="000D6D21">
        <w:rPr>
          <w:bCs/>
          <w:iCs/>
          <w:sz w:val="28"/>
          <w:szCs w:val="28"/>
        </w:rPr>
        <w:t>,</w:t>
      </w:r>
      <w:r w:rsidRPr="000D6D21">
        <w:rPr>
          <w:sz w:val="28"/>
          <w:szCs w:val="28"/>
        </w:rPr>
        <w:t xml:space="preserve"> death</w:t>
      </w:r>
      <w:r w:rsidR="00BF48E5" w:rsidRPr="000D6D21">
        <w:rPr>
          <w:bCs/>
          <w:iCs/>
          <w:sz w:val="28"/>
          <w:szCs w:val="28"/>
        </w:rPr>
        <w:t>,</w:t>
      </w:r>
      <w:r w:rsidRPr="000D6D21">
        <w:rPr>
          <w:sz w:val="28"/>
          <w:szCs w:val="28"/>
        </w:rPr>
        <w:t xml:space="preserve"> different address</w:t>
      </w:r>
      <w:r w:rsidR="00BF48E5" w:rsidRPr="000D6D21">
        <w:rPr>
          <w:bCs/>
          <w:iCs/>
          <w:sz w:val="28"/>
          <w:szCs w:val="28"/>
        </w:rPr>
        <w:t>,</w:t>
      </w:r>
      <w:r w:rsidRPr="000D6D21">
        <w:rPr>
          <w:sz w:val="28"/>
          <w:szCs w:val="28"/>
        </w:rPr>
        <w:t xml:space="preserve"> and fatal pending</w:t>
      </w:r>
      <w:r w:rsidR="00BF48E5" w:rsidRPr="000D6D21">
        <w:rPr>
          <w:sz w:val="28"/>
          <w:szCs w:val="28"/>
        </w:rPr>
        <w:t>)</w:t>
      </w:r>
      <w:r w:rsidR="008D210E" w:rsidRPr="000D6D21">
        <w:rPr>
          <w:sz w:val="28"/>
          <w:szCs w:val="28"/>
        </w:rPr>
        <w:t xml:space="preserve">, and </w:t>
      </w:r>
      <w:r w:rsidRPr="000D6D21">
        <w:rPr>
          <w:sz w:val="28"/>
          <w:szCs w:val="28"/>
        </w:rPr>
        <w:t>original affidavits of registration and re-registration for voters whose recall signatures were rejected</w:t>
      </w:r>
      <w:r w:rsidR="00584675">
        <w:rPr>
          <w:sz w:val="28"/>
          <w:szCs w:val="28"/>
        </w:rPr>
        <w:t>,</w:t>
      </w:r>
      <w:r w:rsidR="008D210E" w:rsidRPr="000D6D21">
        <w:rPr>
          <w:sz w:val="28"/>
          <w:szCs w:val="28"/>
        </w:rPr>
        <w:t xml:space="preserve"> </w:t>
      </w:r>
      <w:r w:rsidRPr="000D6D21">
        <w:rPr>
          <w:sz w:val="28"/>
          <w:szCs w:val="28"/>
        </w:rPr>
        <w:lastRenderedPageBreak/>
        <w:t xml:space="preserve">excluding social security numbers, driver’s license </w:t>
      </w:r>
      <w:r w:rsidRPr="000D6D21">
        <w:rPr>
          <w:sz w:val="28"/>
          <w:szCs w:val="28"/>
        </w:rPr>
        <w:t>number</w:t>
      </w:r>
      <w:r w:rsidR="3F395A3A" w:rsidRPr="000D6D21">
        <w:rPr>
          <w:sz w:val="28"/>
          <w:szCs w:val="28"/>
        </w:rPr>
        <w:t>s</w:t>
      </w:r>
      <w:r w:rsidRPr="000D6D21">
        <w:rPr>
          <w:sz w:val="28"/>
          <w:szCs w:val="28"/>
        </w:rPr>
        <w:t>, and identification card numbers.</w:t>
      </w:r>
      <w:r>
        <w:rPr>
          <w:rStyle w:val="FootnoteReference"/>
          <w:sz w:val="28"/>
          <w:szCs w:val="28"/>
        </w:rPr>
        <w:footnoteReference w:id="7"/>
      </w:r>
    </w:p>
    <w:p w14:paraId="633D1799" w14:textId="77777777" w:rsidR="007261C8" w:rsidRPr="000D6D21" w:rsidRDefault="00F615D7" w:rsidP="000D6D21">
      <w:pPr>
        <w:ind w:firstLine="720"/>
        <w:rPr>
          <w:bCs/>
          <w:iCs/>
          <w:sz w:val="28"/>
          <w:szCs w:val="28"/>
        </w:rPr>
      </w:pPr>
      <w:r w:rsidRPr="000D6D21">
        <w:rPr>
          <w:bCs/>
          <w:iCs/>
          <w:sz w:val="28"/>
          <w:szCs w:val="28"/>
        </w:rPr>
        <w:t xml:space="preserve">The operative petition also requested </w:t>
      </w:r>
      <w:r w:rsidR="003506AB" w:rsidRPr="000D6D21">
        <w:rPr>
          <w:bCs/>
          <w:iCs/>
          <w:sz w:val="28"/>
          <w:szCs w:val="28"/>
        </w:rPr>
        <w:t>a</w:t>
      </w:r>
      <w:r w:rsidR="00820399" w:rsidRPr="000D6D21">
        <w:rPr>
          <w:bCs/>
          <w:iCs/>
          <w:sz w:val="28"/>
          <w:szCs w:val="28"/>
        </w:rPr>
        <w:t xml:space="preserve">n order commanding the Registrar </w:t>
      </w:r>
      <w:r w:rsidR="002D2556" w:rsidRPr="000D6D21">
        <w:rPr>
          <w:bCs/>
          <w:iCs/>
          <w:sz w:val="28"/>
          <w:szCs w:val="28"/>
        </w:rPr>
        <w:t xml:space="preserve">to permit 25 Committee representatives to examine the recall petition five days per week, with access to 25 computer workstations and the ability </w:t>
      </w:r>
      <w:r w:rsidR="00A96DE7" w:rsidRPr="000D6D21">
        <w:rPr>
          <w:bCs/>
          <w:iCs/>
          <w:sz w:val="28"/>
          <w:szCs w:val="28"/>
        </w:rPr>
        <w:t>“</w:t>
      </w:r>
      <w:r w:rsidR="002D2556" w:rsidRPr="000D6D21">
        <w:rPr>
          <w:bCs/>
          <w:iCs/>
          <w:sz w:val="28"/>
          <w:szCs w:val="28"/>
        </w:rPr>
        <w:t xml:space="preserve">to use personal electronic devices during </w:t>
      </w:r>
      <w:r w:rsidR="00A96DE7" w:rsidRPr="000D6D21">
        <w:rPr>
          <w:bCs/>
          <w:iCs/>
          <w:sz w:val="28"/>
          <w:szCs w:val="28"/>
        </w:rPr>
        <w:t>the review process</w:t>
      </w:r>
      <w:r w:rsidR="002D2556" w:rsidRPr="000D6D21">
        <w:rPr>
          <w:bCs/>
          <w:iCs/>
          <w:sz w:val="28"/>
          <w:szCs w:val="28"/>
        </w:rPr>
        <w:t>.</w:t>
      </w:r>
      <w:r w:rsidR="00A96DE7" w:rsidRPr="000D6D21">
        <w:rPr>
          <w:bCs/>
          <w:iCs/>
          <w:sz w:val="28"/>
          <w:szCs w:val="28"/>
        </w:rPr>
        <w:t>”</w:t>
      </w:r>
      <w:r w:rsidR="002D2556" w:rsidRPr="000D6D21">
        <w:rPr>
          <w:bCs/>
          <w:iCs/>
          <w:sz w:val="28"/>
          <w:szCs w:val="28"/>
        </w:rPr>
        <w:t xml:space="preserve"> </w:t>
      </w:r>
      <w:r w:rsidR="00A96DE7" w:rsidRPr="000D6D21">
        <w:rPr>
          <w:bCs/>
          <w:iCs/>
          <w:sz w:val="28"/>
          <w:szCs w:val="28"/>
        </w:rPr>
        <w:t xml:space="preserve"> Finally, the petition</w:t>
      </w:r>
      <w:r w:rsidR="002D2556" w:rsidRPr="000D6D21">
        <w:rPr>
          <w:bCs/>
          <w:iCs/>
          <w:sz w:val="28"/>
          <w:szCs w:val="28"/>
        </w:rPr>
        <w:t xml:space="preserve"> sought a temporary restraining order and preliminary injunction to grant the r</w:t>
      </w:r>
      <w:r w:rsidR="00A96DE7" w:rsidRPr="000D6D21">
        <w:rPr>
          <w:bCs/>
          <w:iCs/>
          <w:sz w:val="28"/>
          <w:szCs w:val="28"/>
        </w:rPr>
        <w:t>equested r</w:t>
      </w:r>
      <w:r w:rsidR="002D2556" w:rsidRPr="000D6D21">
        <w:rPr>
          <w:bCs/>
          <w:iCs/>
          <w:sz w:val="28"/>
          <w:szCs w:val="28"/>
        </w:rPr>
        <w:t>elief, a</w:t>
      </w:r>
      <w:r w:rsidR="00A96DE7" w:rsidRPr="000D6D21">
        <w:rPr>
          <w:bCs/>
          <w:iCs/>
          <w:sz w:val="28"/>
          <w:szCs w:val="28"/>
        </w:rPr>
        <w:t>n order declaring that the</w:t>
      </w:r>
      <w:r w:rsidRPr="000D6D21">
        <w:rPr>
          <w:bCs/>
          <w:iCs/>
          <w:sz w:val="28"/>
          <w:szCs w:val="28"/>
        </w:rPr>
        <w:t xml:space="preserve"> Registrar acted unlawfully </w:t>
      </w:r>
      <w:r w:rsidR="00A96DE7" w:rsidRPr="000D6D21">
        <w:rPr>
          <w:bCs/>
          <w:iCs/>
          <w:sz w:val="28"/>
          <w:szCs w:val="28"/>
        </w:rPr>
        <w:t>by failing to provide</w:t>
      </w:r>
      <w:r w:rsidRPr="000D6D21">
        <w:rPr>
          <w:bCs/>
          <w:iCs/>
          <w:sz w:val="28"/>
          <w:szCs w:val="28"/>
        </w:rPr>
        <w:t xml:space="preserve"> the </w:t>
      </w:r>
      <w:r w:rsidR="00A96DE7" w:rsidRPr="000D6D21">
        <w:rPr>
          <w:bCs/>
          <w:iCs/>
          <w:sz w:val="28"/>
          <w:szCs w:val="28"/>
        </w:rPr>
        <w:t xml:space="preserve">requested documents </w:t>
      </w:r>
      <w:r w:rsidRPr="000D6D21">
        <w:rPr>
          <w:bCs/>
          <w:iCs/>
          <w:sz w:val="28"/>
          <w:szCs w:val="28"/>
        </w:rPr>
        <w:t xml:space="preserve">and access, and attorney fees and costs. </w:t>
      </w:r>
    </w:p>
    <w:p w14:paraId="633D179A" w14:textId="77777777" w:rsidR="002D2556" w:rsidRPr="000D6D21" w:rsidRDefault="002D2556" w:rsidP="000D6D21">
      <w:pPr>
        <w:rPr>
          <w:bCs/>
          <w:iCs/>
          <w:sz w:val="28"/>
          <w:szCs w:val="28"/>
        </w:rPr>
      </w:pPr>
    </w:p>
    <w:p w14:paraId="633D179B" w14:textId="77777777" w:rsidR="007261C8" w:rsidRPr="000D6D21" w:rsidRDefault="00F615D7" w:rsidP="000D6D21">
      <w:pPr>
        <w:rPr>
          <w:b/>
          <w:iCs/>
          <w:sz w:val="28"/>
          <w:szCs w:val="28"/>
          <w:u w:val="single"/>
        </w:rPr>
      </w:pPr>
      <w:r w:rsidRPr="000D6D21">
        <w:rPr>
          <w:b/>
          <w:iCs/>
          <w:sz w:val="28"/>
          <w:szCs w:val="28"/>
        </w:rPr>
        <w:t>C.</w:t>
      </w:r>
      <w:r w:rsidRPr="000D6D21">
        <w:rPr>
          <w:b/>
          <w:iCs/>
          <w:sz w:val="28"/>
          <w:szCs w:val="28"/>
        </w:rPr>
        <w:tab/>
      </w:r>
      <w:r w:rsidR="00CF45A7" w:rsidRPr="000D6D21">
        <w:rPr>
          <w:b/>
          <w:iCs/>
          <w:sz w:val="28"/>
          <w:szCs w:val="28"/>
        </w:rPr>
        <w:t>The December</w:t>
      </w:r>
      <w:r w:rsidR="008B3541">
        <w:rPr>
          <w:b/>
          <w:iCs/>
          <w:sz w:val="28"/>
          <w:szCs w:val="28"/>
        </w:rPr>
        <w:t xml:space="preserve"> 2</w:t>
      </w:r>
      <w:r w:rsidR="00CF45A7" w:rsidRPr="000D6D21">
        <w:rPr>
          <w:b/>
          <w:iCs/>
          <w:sz w:val="28"/>
          <w:szCs w:val="28"/>
        </w:rPr>
        <w:t xml:space="preserve">022 Order </w:t>
      </w:r>
    </w:p>
    <w:p w14:paraId="633D179C" w14:textId="77777777" w:rsidR="007F760A" w:rsidRPr="000D6D21" w:rsidRDefault="00F615D7" w:rsidP="000D6D21">
      <w:pPr>
        <w:ind w:firstLine="720"/>
        <w:rPr>
          <w:bCs/>
          <w:iCs/>
          <w:sz w:val="28"/>
          <w:szCs w:val="28"/>
        </w:rPr>
      </w:pPr>
      <w:r w:rsidRPr="000D6D21">
        <w:rPr>
          <w:bCs/>
          <w:iCs/>
          <w:sz w:val="28"/>
          <w:szCs w:val="28"/>
        </w:rPr>
        <w:t xml:space="preserve">On October 24, 2022, the Committee filed an ex parte application </w:t>
      </w:r>
      <w:r w:rsidR="00E60A35" w:rsidRPr="000D6D21">
        <w:rPr>
          <w:bCs/>
          <w:iCs/>
          <w:sz w:val="28"/>
          <w:szCs w:val="28"/>
        </w:rPr>
        <w:t>seeking</w:t>
      </w:r>
      <w:r w:rsidRPr="000D6D21">
        <w:rPr>
          <w:bCs/>
          <w:iCs/>
          <w:sz w:val="28"/>
          <w:szCs w:val="28"/>
        </w:rPr>
        <w:t xml:space="preserve"> an order to show cause why a preliminary injunction should not issue for the relief </w:t>
      </w:r>
      <w:r w:rsidR="00E60A35" w:rsidRPr="000D6D21">
        <w:rPr>
          <w:bCs/>
          <w:iCs/>
          <w:sz w:val="28"/>
          <w:szCs w:val="28"/>
        </w:rPr>
        <w:t xml:space="preserve">sought in </w:t>
      </w:r>
      <w:r w:rsidR="00A96DE7" w:rsidRPr="000D6D21">
        <w:rPr>
          <w:bCs/>
          <w:iCs/>
          <w:sz w:val="28"/>
          <w:szCs w:val="28"/>
        </w:rPr>
        <w:t xml:space="preserve">the operative </w:t>
      </w:r>
      <w:r w:rsidRPr="000D6D21">
        <w:rPr>
          <w:bCs/>
          <w:iCs/>
          <w:sz w:val="28"/>
          <w:szCs w:val="28"/>
        </w:rPr>
        <w:t>petition.</w:t>
      </w:r>
      <w:r>
        <w:rPr>
          <w:rStyle w:val="FootnoteReference"/>
          <w:bCs/>
          <w:iCs/>
          <w:sz w:val="28"/>
          <w:szCs w:val="28"/>
        </w:rPr>
        <w:footnoteReference w:id="8"/>
      </w:r>
      <w:r w:rsidR="00E60A35" w:rsidRPr="000D6D21">
        <w:rPr>
          <w:bCs/>
          <w:iCs/>
          <w:sz w:val="28"/>
          <w:szCs w:val="28"/>
        </w:rPr>
        <w:t xml:space="preserve"> </w:t>
      </w:r>
      <w:r w:rsidRPr="000D6D21">
        <w:rPr>
          <w:bCs/>
          <w:iCs/>
          <w:sz w:val="28"/>
          <w:szCs w:val="28"/>
        </w:rPr>
        <w:t xml:space="preserve"> </w:t>
      </w:r>
      <w:r w:rsidR="001114BC" w:rsidRPr="000D6D21">
        <w:rPr>
          <w:bCs/>
          <w:iCs/>
          <w:sz w:val="28"/>
          <w:szCs w:val="28"/>
        </w:rPr>
        <w:t>T</w:t>
      </w:r>
      <w:r w:rsidR="00887C6B" w:rsidRPr="000D6D21">
        <w:rPr>
          <w:bCs/>
          <w:iCs/>
          <w:sz w:val="28"/>
          <w:szCs w:val="28"/>
        </w:rPr>
        <w:t xml:space="preserve">he court granted the ex parte </w:t>
      </w:r>
      <w:r w:rsidR="001114BC" w:rsidRPr="000D6D21">
        <w:rPr>
          <w:bCs/>
          <w:iCs/>
          <w:sz w:val="28"/>
          <w:szCs w:val="28"/>
        </w:rPr>
        <w:lastRenderedPageBreak/>
        <w:t xml:space="preserve">application and set an order to show cause hearing for </w:t>
      </w:r>
      <w:r w:rsidR="00887C6B" w:rsidRPr="000D6D21">
        <w:rPr>
          <w:bCs/>
          <w:iCs/>
          <w:sz w:val="28"/>
          <w:szCs w:val="28"/>
        </w:rPr>
        <w:t>December 6, 2022.</w:t>
      </w:r>
    </w:p>
    <w:p w14:paraId="633D179D" w14:textId="77777777" w:rsidR="001114BC" w:rsidRPr="000D6D21" w:rsidRDefault="00F615D7" w:rsidP="000D6D21">
      <w:pPr>
        <w:ind w:firstLine="720"/>
        <w:rPr>
          <w:i/>
          <w:iCs/>
          <w:sz w:val="28"/>
          <w:szCs w:val="28"/>
        </w:rPr>
      </w:pPr>
      <w:r w:rsidRPr="000D6D21">
        <w:rPr>
          <w:sz w:val="28"/>
          <w:szCs w:val="28"/>
        </w:rPr>
        <w:t xml:space="preserve">In its written opposition, the Registrar argued </w:t>
      </w:r>
      <w:r w:rsidR="00A96DE7" w:rsidRPr="000D6D21">
        <w:rPr>
          <w:sz w:val="28"/>
          <w:szCs w:val="28"/>
        </w:rPr>
        <w:t xml:space="preserve">that </w:t>
      </w:r>
      <w:r w:rsidRPr="000D6D21">
        <w:rPr>
          <w:sz w:val="28"/>
          <w:szCs w:val="28"/>
        </w:rPr>
        <w:t>the documents sought by the Committee</w:t>
      </w:r>
      <w:r w:rsidR="008D210E" w:rsidRPr="000D6D21">
        <w:rPr>
          <w:sz w:val="28"/>
          <w:szCs w:val="28"/>
        </w:rPr>
        <w:t xml:space="preserve"> were</w:t>
      </w:r>
      <w:r w:rsidRPr="000D6D21">
        <w:rPr>
          <w:sz w:val="28"/>
          <w:szCs w:val="28"/>
        </w:rPr>
        <w:t xml:space="preserve"> not public records </w:t>
      </w:r>
      <w:r w:rsidR="008D210E" w:rsidRPr="000D6D21">
        <w:rPr>
          <w:sz w:val="28"/>
          <w:szCs w:val="28"/>
        </w:rPr>
        <w:t xml:space="preserve">as defined </w:t>
      </w:r>
      <w:r w:rsidRPr="000D6D21">
        <w:rPr>
          <w:sz w:val="28"/>
          <w:szCs w:val="28"/>
        </w:rPr>
        <w:t xml:space="preserve">under the PRA, and </w:t>
      </w:r>
      <w:r w:rsidR="00A96DE7" w:rsidRPr="000D6D21">
        <w:rPr>
          <w:sz w:val="28"/>
          <w:szCs w:val="28"/>
        </w:rPr>
        <w:t>the Registrar had already provided</w:t>
      </w:r>
      <w:r w:rsidRPr="000D6D21">
        <w:rPr>
          <w:sz w:val="28"/>
          <w:szCs w:val="28"/>
        </w:rPr>
        <w:t xml:space="preserve"> documentation beyond that required</w:t>
      </w:r>
      <w:r w:rsidRPr="000D6D21">
        <w:rPr>
          <w:sz w:val="28"/>
          <w:szCs w:val="28"/>
        </w:rPr>
        <w:t xml:space="preserve"> by section 7924.110 and Elections Code section 2194. </w:t>
      </w:r>
      <w:r w:rsidR="006068EF">
        <w:rPr>
          <w:sz w:val="28"/>
          <w:szCs w:val="28"/>
        </w:rPr>
        <w:t xml:space="preserve"> </w:t>
      </w:r>
      <w:r w:rsidR="00A96DE7" w:rsidRPr="000D6D21">
        <w:rPr>
          <w:sz w:val="28"/>
          <w:szCs w:val="28"/>
        </w:rPr>
        <w:t>The</w:t>
      </w:r>
      <w:r w:rsidR="002940F0" w:rsidRPr="000D6D21">
        <w:rPr>
          <w:sz w:val="28"/>
          <w:szCs w:val="28"/>
        </w:rPr>
        <w:t xml:space="preserve"> Registrar</w:t>
      </w:r>
      <w:r w:rsidR="00A96DE7" w:rsidRPr="000D6D21">
        <w:rPr>
          <w:sz w:val="28"/>
          <w:szCs w:val="28"/>
        </w:rPr>
        <w:t xml:space="preserve"> contended that </w:t>
      </w:r>
      <w:r w:rsidR="002940F0" w:rsidRPr="000D6D21">
        <w:rPr>
          <w:sz w:val="28"/>
          <w:szCs w:val="28"/>
        </w:rPr>
        <w:t xml:space="preserve">the Committee’s requests were “based on a deliberately misleading reading” of section 7924.110, </w:t>
      </w:r>
      <w:r w:rsidR="00A96DE7" w:rsidRPr="000D6D21">
        <w:rPr>
          <w:sz w:val="28"/>
          <w:szCs w:val="28"/>
        </w:rPr>
        <w:t>such that</w:t>
      </w:r>
      <w:r w:rsidR="002940F0" w:rsidRPr="000D6D21">
        <w:rPr>
          <w:sz w:val="28"/>
          <w:szCs w:val="28"/>
        </w:rPr>
        <w:t xml:space="preserve"> any additional disclosure would infringe on the Registrar’s duty to safeguard confidential voter information. </w:t>
      </w:r>
    </w:p>
    <w:p w14:paraId="633D179E" w14:textId="77777777" w:rsidR="007527DB" w:rsidRPr="000D6D21" w:rsidRDefault="00F615D7" w:rsidP="000D6D21">
      <w:pPr>
        <w:rPr>
          <w:sz w:val="28"/>
          <w:szCs w:val="28"/>
        </w:rPr>
      </w:pPr>
      <w:r w:rsidRPr="000D6D21">
        <w:rPr>
          <w:iCs/>
          <w:sz w:val="28"/>
          <w:szCs w:val="28"/>
        </w:rPr>
        <w:tab/>
      </w:r>
      <w:r w:rsidRPr="000D6D21">
        <w:rPr>
          <w:sz w:val="28"/>
          <w:szCs w:val="28"/>
        </w:rPr>
        <w:t>On December 5, 2022, the trial court i</w:t>
      </w:r>
      <w:r w:rsidRPr="000D6D21">
        <w:rPr>
          <w:sz w:val="28"/>
          <w:szCs w:val="28"/>
        </w:rPr>
        <w:t xml:space="preserve">ssued a lengthy tentative </w:t>
      </w:r>
      <w:r w:rsidR="00A96DE7" w:rsidRPr="000D6D21">
        <w:rPr>
          <w:sz w:val="28"/>
          <w:szCs w:val="28"/>
        </w:rPr>
        <w:t>decision</w:t>
      </w:r>
      <w:r w:rsidRPr="000D6D21">
        <w:rPr>
          <w:sz w:val="28"/>
          <w:szCs w:val="28"/>
        </w:rPr>
        <w:t xml:space="preserve"> partially granting the Committee’s application.  </w:t>
      </w:r>
      <w:bookmarkStart w:id="1" w:name="_Hlk137901427"/>
      <w:r w:rsidR="00A96DE7" w:rsidRPr="000D6D21">
        <w:rPr>
          <w:sz w:val="28"/>
          <w:szCs w:val="28"/>
        </w:rPr>
        <w:t>At various points during a</w:t>
      </w:r>
      <w:r w:rsidR="00034AF5" w:rsidRPr="000D6D21">
        <w:rPr>
          <w:sz w:val="28"/>
          <w:szCs w:val="28"/>
        </w:rPr>
        <w:t xml:space="preserve"> hearing</w:t>
      </w:r>
      <w:r w:rsidR="002940F0" w:rsidRPr="000D6D21">
        <w:rPr>
          <w:sz w:val="28"/>
          <w:szCs w:val="28"/>
        </w:rPr>
        <w:t xml:space="preserve"> the same day</w:t>
      </w:r>
      <w:r w:rsidR="00034AF5" w:rsidRPr="000D6D21">
        <w:rPr>
          <w:sz w:val="28"/>
          <w:szCs w:val="28"/>
        </w:rPr>
        <w:t xml:space="preserve">, the court </w:t>
      </w:r>
      <w:r w:rsidR="00A96DE7" w:rsidRPr="000D6D21">
        <w:rPr>
          <w:sz w:val="28"/>
          <w:szCs w:val="28"/>
        </w:rPr>
        <w:t xml:space="preserve">stated </w:t>
      </w:r>
      <w:r w:rsidR="002940F0" w:rsidRPr="000D6D21">
        <w:rPr>
          <w:sz w:val="28"/>
          <w:szCs w:val="28"/>
        </w:rPr>
        <w:t xml:space="preserve">that its order would be based on </w:t>
      </w:r>
      <w:r w:rsidR="00C47426" w:rsidRPr="000D6D21">
        <w:rPr>
          <w:sz w:val="28"/>
          <w:szCs w:val="28"/>
        </w:rPr>
        <w:t xml:space="preserve">the PRA </w:t>
      </w:r>
      <w:r w:rsidR="00295B34" w:rsidRPr="000D6D21">
        <w:rPr>
          <w:iCs/>
          <w:sz w:val="28"/>
          <w:szCs w:val="28"/>
        </w:rPr>
        <w:t>“</w:t>
      </w:r>
      <w:r w:rsidR="00C47426" w:rsidRPr="000D6D21">
        <w:rPr>
          <w:sz w:val="28"/>
          <w:szCs w:val="28"/>
        </w:rPr>
        <w:t>requirement</w:t>
      </w:r>
      <w:r w:rsidR="00685F0D" w:rsidRPr="000D6D21">
        <w:rPr>
          <w:sz w:val="28"/>
          <w:szCs w:val="28"/>
        </w:rPr>
        <w:t>[</w:t>
      </w:r>
      <w:r w:rsidR="00C47426" w:rsidRPr="000D6D21">
        <w:rPr>
          <w:sz w:val="28"/>
          <w:szCs w:val="28"/>
        </w:rPr>
        <w:t>s</w:t>
      </w:r>
      <w:r w:rsidR="00685F0D" w:rsidRPr="000D6D21">
        <w:rPr>
          <w:sz w:val="28"/>
          <w:szCs w:val="28"/>
        </w:rPr>
        <w:t>]</w:t>
      </w:r>
      <w:r w:rsidR="002940F0" w:rsidRPr="000D6D21">
        <w:rPr>
          <w:iCs/>
          <w:sz w:val="28"/>
          <w:szCs w:val="28"/>
        </w:rPr>
        <w:t>.</w:t>
      </w:r>
      <w:r w:rsidR="00C47426" w:rsidRPr="000D6D21">
        <w:rPr>
          <w:sz w:val="28"/>
          <w:szCs w:val="28"/>
        </w:rPr>
        <w:t xml:space="preserve">”  The Registrar acknowledged </w:t>
      </w:r>
      <w:r w:rsidR="00970AB1" w:rsidRPr="000D6D21">
        <w:rPr>
          <w:sz w:val="28"/>
          <w:szCs w:val="28"/>
        </w:rPr>
        <w:t>this</w:t>
      </w:r>
      <w:r w:rsidR="00295B34" w:rsidRPr="000D6D21">
        <w:rPr>
          <w:iCs/>
          <w:sz w:val="28"/>
          <w:szCs w:val="28"/>
        </w:rPr>
        <w:t>,</w:t>
      </w:r>
      <w:r w:rsidR="00540781" w:rsidRPr="000D6D21">
        <w:rPr>
          <w:iCs/>
          <w:sz w:val="28"/>
          <w:szCs w:val="28"/>
        </w:rPr>
        <w:t xml:space="preserve"> </w:t>
      </w:r>
      <w:r w:rsidR="00034AF5" w:rsidRPr="000D6D21">
        <w:rPr>
          <w:sz w:val="28"/>
          <w:szCs w:val="28"/>
        </w:rPr>
        <w:t>but</w:t>
      </w:r>
      <w:r w:rsidR="00C47426" w:rsidRPr="000D6D21">
        <w:rPr>
          <w:sz w:val="28"/>
          <w:szCs w:val="28"/>
        </w:rPr>
        <w:t xml:space="preserve"> “disagree[d] with the court’s interpretation</w:t>
      </w:r>
      <w:r w:rsidR="00034AF5" w:rsidRPr="000D6D21">
        <w:rPr>
          <w:iCs/>
          <w:sz w:val="28"/>
          <w:szCs w:val="28"/>
        </w:rPr>
        <w:t>”</w:t>
      </w:r>
      <w:r w:rsidR="00A96DE7" w:rsidRPr="000D6D21">
        <w:rPr>
          <w:sz w:val="28"/>
          <w:szCs w:val="28"/>
        </w:rPr>
        <w:t xml:space="preserve"> of</w:t>
      </w:r>
      <w:r w:rsidR="002940F0" w:rsidRPr="000D6D21">
        <w:rPr>
          <w:sz w:val="28"/>
          <w:szCs w:val="28"/>
        </w:rPr>
        <w:t xml:space="preserve"> section 7924.110.</w:t>
      </w:r>
      <w:r w:rsidR="00C47426" w:rsidRPr="000D6D21">
        <w:rPr>
          <w:sz w:val="28"/>
          <w:szCs w:val="28"/>
        </w:rPr>
        <w:t xml:space="preserve"> </w:t>
      </w:r>
      <w:r w:rsidR="00540781" w:rsidRPr="000D6D21">
        <w:rPr>
          <w:sz w:val="28"/>
          <w:szCs w:val="28"/>
        </w:rPr>
        <w:t xml:space="preserve"> </w:t>
      </w:r>
      <w:r w:rsidR="002940F0" w:rsidRPr="000D6D21">
        <w:rPr>
          <w:sz w:val="28"/>
          <w:szCs w:val="28"/>
        </w:rPr>
        <w:t xml:space="preserve">During </w:t>
      </w:r>
      <w:r w:rsidR="00A96DE7" w:rsidRPr="000D6D21">
        <w:rPr>
          <w:sz w:val="28"/>
          <w:szCs w:val="28"/>
        </w:rPr>
        <w:t>argument</w:t>
      </w:r>
      <w:r w:rsidR="002940F0" w:rsidRPr="000D6D21">
        <w:rPr>
          <w:sz w:val="28"/>
          <w:szCs w:val="28"/>
        </w:rPr>
        <w:t>, the</w:t>
      </w:r>
      <w:r w:rsidR="00540781" w:rsidRPr="000D6D21">
        <w:rPr>
          <w:sz w:val="28"/>
          <w:szCs w:val="28"/>
        </w:rPr>
        <w:t xml:space="preserve"> court </w:t>
      </w:r>
      <w:r w:rsidR="002940F0" w:rsidRPr="000D6D21">
        <w:rPr>
          <w:sz w:val="28"/>
          <w:szCs w:val="28"/>
        </w:rPr>
        <w:t xml:space="preserve">orally </w:t>
      </w:r>
      <w:r w:rsidR="00540781" w:rsidRPr="000D6D21">
        <w:rPr>
          <w:sz w:val="28"/>
          <w:szCs w:val="28"/>
        </w:rPr>
        <w:t xml:space="preserve">amended its tentative </w:t>
      </w:r>
      <w:r w:rsidR="002940F0" w:rsidRPr="000D6D21">
        <w:rPr>
          <w:sz w:val="28"/>
          <w:szCs w:val="28"/>
        </w:rPr>
        <w:t>decision</w:t>
      </w:r>
      <w:r w:rsidR="00F80B83" w:rsidRPr="000D6D21">
        <w:rPr>
          <w:sz w:val="28"/>
          <w:szCs w:val="28"/>
        </w:rPr>
        <w:t xml:space="preserve"> and</w:t>
      </w:r>
      <w:r w:rsidR="00A96DE7" w:rsidRPr="000D6D21">
        <w:rPr>
          <w:sz w:val="28"/>
          <w:szCs w:val="28"/>
        </w:rPr>
        <w:t xml:space="preserve"> </w:t>
      </w:r>
      <w:r w:rsidR="00F80B83" w:rsidRPr="000D6D21">
        <w:rPr>
          <w:sz w:val="28"/>
          <w:szCs w:val="28"/>
        </w:rPr>
        <w:t>provided</w:t>
      </w:r>
      <w:r w:rsidR="00A96DE7" w:rsidRPr="000D6D21">
        <w:rPr>
          <w:sz w:val="28"/>
          <w:szCs w:val="28"/>
        </w:rPr>
        <w:t xml:space="preserve"> that its statements would supplement</w:t>
      </w:r>
      <w:r w:rsidR="002940F0" w:rsidRPr="000D6D21">
        <w:rPr>
          <w:iCs/>
          <w:sz w:val="28"/>
          <w:szCs w:val="28"/>
        </w:rPr>
        <w:t xml:space="preserve"> </w:t>
      </w:r>
      <w:r w:rsidR="00F80B83" w:rsidRPr="000D6D21">
        <w:rPr>
          <w:sz w:val="28"/>
          <w:szCs w:val="28"/>
        </w:rPr>
        <w:t xml:space="preserve">the </w:t>
      </w:r>
      <w:r w:rsidR="00540781" w:rsidRPr="000D6D21">
        <w:rPr>
          <w:sz w:val="28"/>
          <w:szCs w:val="28"/>
        </w:rPr>
        <w:t xml:space="preserve">final </w:t>
      </w:r>
      <w:r w:rsidR="00B6106B">
        <w:rPr>
          <w:sz w:val="28"/>
          <w:szCs w:val="28"/>
        </w:rPr>
        <w:t>order</w:t>
      </w:r>
      <w:r w:rsidR="00A96DE7" w:rsidRPr="000D6D21">
        <w:rPr>
          <w:sz w:val="28"/>
          <w:szCs w:val="28"/>
        </w:rPr>
        <w:t>, which would issue forthwith</w:t>
      </w:r>
      <w:r w:rsidR="00540781" w:rsidRPr="000D6D21">
        <w:rPr>
          <w:sz w:val="28"/>
          <w:szCs w:val="28"/>
        </w:rPr>
        <w:t xml:space="preserve">.  </w:t>
      </w:r>
      <w:r w:rsidR="164839F8" w:rsidRPr="000D6D21">
        <w:rPr>
          <w:sz w:val="28"/>
          <w:szCs w:val="28"/>
        </w:rPr>
        <w:t>T</w:t>
      </w:r>
      <w:r w:rsidR="00A96DE7" w:rsidRPr="000D6D21">
        <w:rPr>
          <w:sz w:val="28"/>
          <w:szCs w:val="28"/>
        </w:rPr>
        <w:t>he</w:t>
      </w:r>
      <w:r w:rsidR="00540781" w:rsidRPr="000D6D21">
        <w:rPr>
          <w:sz w:val="28"/>
          <w:szCs w:val="28"/>
        </w:rPr>
        <w:t xml:space="preserve"> parties waived notice of entry of the final order.</w:t>
      </w:r>
      <w:r w:rsidR="00291745" w:rsidRPr="000D6D21">
        <w:rPr>
          <w:sz w:val="28"/>
          <w:szCs w:val="28"/>
        </w:rPr>
        <w:t xml:space="preserve"> </w:t>
      </w:r>
    </w:p>
    <w:bookmarkEnd w:id="1"/>
    <w:p w14:paraId="633D179F" w14:textId="77777777" w:rsidR="0003296E" w:rsidRPr="000D6D21" w:rsidRDefault="00F615D7" w:rsidP="000D6D21">
      <w:pPr>
        <w:rPr>
          <w:iCs/>
          <w:sz w:val="28"/>
          <w:szCs w:val="28"/>
        </w:rPr>
      </w:pPr>
      <w:r w:rsidRPr="000D6D21">
        <w:rPr>
          <w:iCs/>
          <w:sz w:val="28"/>
          <w:szCs w:val="28"/>
        </w:rPr>
        <w:tab/>
      </w:r>
      <w:r w:rsidR="002940F0" w:rsidRPr="000D6D21">
        <w:rPr>
          <w:iCs/>
          <w:sz w:val="28"/>
          <w:szCs w:val="28"/>
        </w:rPr>
        <w:t>The following day (</w:t>
      </w:r>
      <w:r w:rsidR="00331B6C" w:rsidRPr="000D6D21">
        <w:rPr>
          <w:iCs/>
          <w:sz w:val="28"/>
          <w:szCs w:val="28"/>
        </w:rPr>
        <w:t>December 6, 2022</w:t>
      </w:r>
      <w:r w:rsidR="002940F0" w:rsidRPr="000D6D21">
        <w:rPr>
          <w:iCs/>
          <w:sz w:val="28"/>
          <w:szCs w:val="28"/>
        </w:rPr>
        <w:t>)</w:t>
      </w:r>
      <w:r w:rsidR="00331B6C" w:rsidRPr="000D6D21">
        <w:rPr>
          <w:iCs/>
          <w:sz w:val="28"/>
          <w:szCs w:val="28"/>
        </w:rPr>
        <w:t>,</w:t>
      </w:r>
      <w:r w:rsidRPr="000D6D21">
        <w:rPr>
          <w:iCs/>
          <w:sz w:val="28"/>
          <w:szCs w:val="28"/>
        </w:rPr>
        <w:t xml:space="preserve"> the court issued </w:t>
      </w:r>
      <w:r w:rsidR="002940F0" w:rsidRPr="000D6D21">
        <w:rPr>
          <w:iCs/>
          <w:sz w:val="28"/>
          <w:szCs w:val="28"/>
        </w:rPr>
        <w:t xml:space="preserve">a </w:t>
      </w:r>
      <w:r w:rsidR="00A96DE7" w:rsidRPr="000D6D21">
        <w:rPr>
          <w:iCs/>
          <w:sz w:val="28"/>
          <w:szCs w:val="28"/>
        </w:rPr>
        <w:t xml:space="preserve">final </w:t>
      </w:r>
      <w:r w:rsidR="00B6106B">
        <w:rPr>
          <w:iCs/>
          <w:sz w:val="28"/>
          <w:szCs w:val="28"/>
        </w:rPr>
        <w:t>order</w:t>
      </w:r>
      <w:r w:rsidR="00B6106B" w:rsidRPr="000D6D21">
        <w:rPr>
          <w:iCs/>
          <w:sz w:val="28"/>
          <w:szCs w:val="28"/>
        </w:rPr>
        <w:t xml:space="preserve"> </w:t>
      </w:r>
      <w:r w:rsidRPr="000D6D21">
        <w:rPr>
          <w:iCs/>
          <w:sz w:val="28"/>
          <w:szCs w:val="28"/>
        </w:rPr>
        <w:t xml:space="preserve">partially granting the Committee’s </w:t>
      </w:r>
      <w:r w:rsidR="002940F0" w:rsidRPr="000D6D21">
        <w:rPr>
          <w:iCs/>
          <w:sz w:val="28"/>
          <w:szCs w:val="28"/>
        </w:rPr>
        <w:t xml:space="preserve">ex parte </w:t>
      </w:r>
      <w:r w:rsidRPr="000D6D21">
        <w:rPr>
          <w:iCs/>
          <w:sz w:val="28"/>
          <w:szCs w:val="28"/>
        </w:rPr>
        <w:t xml:space="preserve">application.  </w:t>
      </w:r>
      <w:r w:rsidR="002940F0" w:rsidRPr="000D6D21">
        <w:rPr>
          <w:iCs/>
          <w:sz w:val="28"/>
          <w:szCs w:val="28"/>
        </w:rPr>
        <w:t xml:space="preserve">The </w:t>
      </w:r>
      <w:r w:rsidR="00B6106B">
        <w:rPr>
          <w:iCs/>
          <w:sz w:val="28"/>
          <w:szCs w:val="28"/>
        </w:rPr>
        <w:t>order</w:t>
      </w:r>
      <w:r w:rsidR="00B6106B" w:rsidRPr="000D6D21">
        <w:rPr>
          <w:iCs/>
          <w:sz w:val="28"/>
          <w:szCs w:val="28"/>
        </w:rPr>
        <w:t xml:space="preserve"> </w:t>
      </w:r>
      <w:r w:rsidR="002940F0" w:rsidRPr="000D6D21">
        <w:rPr>
          <w:iCs/>
          <w:sz w:val="28"/>
          <w:szCs w:val="28"/>
        </w:rPr>
        <w:t xml:space="preserve">discussed </w:t>
      </w:r>
      <w:r w:rsidRPr="000D6D21">
        <w:rPr>
          <w:iCs/>
          <w:sz w:val="28"/>
          <w:szCs w:val="28"/>
        </w:rPr>
        <w:t xml:space="preserve">the relevant </w:t>
      </w:r>
      <w:r w:rsidR="00F12630">
        <w:rPr>
          <w:iCs/>
          <w:sz w:val="28"/>
          <w:szCs w:val="28"/>
        </w:rPr>
        <w:t xml:space="preserve">provisions of </w:t>
      </w:r>
      <w:r w:rsidRPr="000D6D21">
        <w:rPr>
          <w:iCs/>
          <w:sz w:val="28"/>
          <w:szCs w:val="28"/>
        </w:rPr>
        <w:t>the PRA and Elections Code</w:t>
      </w:r>
      <w:r w:rsidR="002940F0" w:rsidRPr="000D6D21">
        <w:rPr>
          <w:iCs/>
          <w:sz w:val="28"/>
          <w:szCs w:val="28"/>
        </w:rPr>
        <w:t xml:space="preserve"> before addressing </w:t>
      </w:r>
      <w:r w:rsidRPr="000D6D21">
        <w:rPr>
          <w:iCs/>
          <w:sz w:val="28"/>
          <w:szCs w:val="28"/>
        </w:rPr>
        <w:t>the probability of</w:t>
      </w:r>
      <w:r w:rsidR="002940F0" w:rsidRPr="000D6D21">
        <w:rPr>
          <w:iCs/>
          <w:sz w:val="28"/>
          <w:szCs w:val="28"/>
        </w:rPr>
        <w:t xml:space="preserve"> prevailing on the merits</w:t>
      </w:r>
      <w:r w:rsidRPr="000D6D21">
        <w:rPr>
          <w:iCs/>
          <w:sz w:val="28"/>
          <w:szCs w:val="28"/>
        </w:rPr>
        <w:t xml:space="preserve">. </w:t>
      </w:r>
    </w:p>
    <w:p w14:paraId="633D17A0" w14:textId="77777777" w:rsidR="00F80B83" w:rsidRPr="000D6D21" w:rsidRDefault="00F615D7" w:rsidP="000D6D21">
      <w:pPr>
        <w:ind w:firstLine="720"/>
        <w:rPr>
          <w:rFonts w:eastAsia="Times New Roman" w:cs="Arial"/>
          <w:color w:val="000000"/>
          <w:sz w:val="28"/>
          <w:szCs w:val="28"/>
        </w:rPr>
      </w:pPr>
      <w:r w:rsidRPr="000D6D21">
        <w:rPr>
          <w:iCs/>
          <w:sz w:val="28"/>
          <w:szCs w:val="28"/>
        </w:rPr>
        <w:lastRenderedPageBreak/>
        <w:t xml:space="preserve">As to the first </w:t>
      </w:r>
      <w:r w:rsidR="0004549D" w:rsidRPr="000D6D21">
        <w:rPr>
          <w:iCs/>
          <w:sz w:val="28"/>
          <w:szCs w:val="28"/>
        </w:rPr>
        <w:t>category</w:t>
      </w:r>
      <w:r w:rsidR="002940F0" w:rsidRPr="000D6D21">
        <w:rPr>
          <w:iCs/>
          <w:sz w:val="28"/>
          <w:szCs w:val="28"/>
        </w:rPr>
        <w:t xml:space="preserve"> of </w:t>
      </w:r>
      <w:r w:rsidR="003E41DF" w:rsidRPr="000D6D21">
        <w:rPr>
          <w:iCs/>
          <w:sz w:val="28"/>
          <w:szCs w:val="28"/>
        </w:rPr>
        <w:t>requested records</w:t>
      </w:r>
      <w:r w:rsidRPr="000D6D21">
        <w:rPr>
          <w:iCs/>
          <w:sz w:val="28"/>
          <w:szCs w:val="28"/>
        </w:rPr>
        <w:t xml:space="preserve">—voter signature files for voters whose signatures were denied as a mismatch—the court </w:t>
      </w:r>
      <w:r w:rsidR="00770ED2" w:rsidRPr="000D6D21">
        <w:rPr>
          <w:iCs/>
          <w:sz w:val="28"/>
          <w:szCs w:val="28"/>
        </w:rPr>
        <w:t>found</w:t>
      </w:r>
      <w:r w:rsidRPr="000D6D21">
        <w:rPr>
          <w:iCs/>
          <w:sz w:val="28"/>
          <w:szCs w:val="28"/>
        </w:rPr>
        <w:t xml:space="preserve"> the Committee </w:t>
      </w:r>
      <w:r w:rsidR="00770ED2" w:rsidRPr="000D6D21">
        <w:rPr>
          <w:iCs/>
          <w:sz w:val="28"/>
          <w:szCs w:val="28"/>
        </w:rPr>
        <w:t>had established a probability of success</w:t>
      </w:r>
      <w:r w:rsidRPr="000D6D21">
        <w:rPr>
          <w:iCs/>
          <w:sz w:val="28"/>
          <w:szCs w:val="28"/>
        </w:rPr>
        <w:t>.  The court reasoned that</w:t>
      </w:r>
      <w:r w:rsidR="00770ED2" w:rsidRPr="000D6D21">
        <w:rPr>
          <w:iCs/>
          <w:sz w:val="28"/>
          <w:szCs w:val="28"/>
        </w:rPr>
        <w:t xml:space="preserve"> </w:t>
      </w:r>
      <w:r w:rsidRPr="000D6D21">
        <w:rPr>
          <w:iCs/>
          <w:sz w:val="28"/>
          <w:szCs w:val="28"/>
        </w:rPr>
        <w:t>section 7924.110 authorized examination of all signatures appearing in a voter fil</w:t>
      </w:r>
      <w:r w:rsidRPr="000D6D21">
        <w:rPr>
          <w:iCs/>
          <w:sz w:val="28"/>
          <w:szCs w:val="28"/>
        </w:rPr>
        <w:t xml:space="preserve">e to determine </w:t>
      </w:r>
      <w:r w:rsidR="0004549D" w:rsidRPr="000D6D21">
        <w:rPr>
          <w:iCs/>
          <w:sz w:val="28"/>
          <w:szCs w:val="28"/>
        </w:rPr>
        <w:t>“</w:t>
      </w:r>
      <w:r w:rsidR="0004549D" w:rsidRPr="000D6D21">
        <w:rPr>
          <w:rFonts w:eastAsia="Times New Roman" w:cs="Arial"/>
          <w:color w:val="000000"/>
          <w:sz w:val="28"/>
          <w:szCs w:val="28"/>
        </w:rPr>
        <w:t>whether the signature compares with a signature on an affidavit of registration or an image thereof or a petition.”</w:t>
      </w:r>
    </w:p>
    <w:p w14:paraId="633D17A1" w14:textId="77777777" w:rsidR="00212A5C" w:rsidRPr="000D6D21" w:rsidRDefault="00F615D7" w:rsidP="000D6D21">
      <w:pPr>
        <w:ind w:firstLine="720"/>
        <w:rPr>
          <w:iCs/>
          <w:sz w:val="28"/>
          <w:szCs w:val="28"/>
        </w:rPr>
      </w:pPr>
      <w:r w:rsidRPr="000D6D21">
        <w:rPr>
          <w:rFonts w:eastAsia="Times New Roman" w:cs="Arial"/>
          <w:color w:val="000000"/>
          <w:sz w:val="28"/>
          <w:szCs w:val="28"/>
        </w:rPr>
        <w:t xml:space="preserve">The court then found the Committee had failed to establish a probability of prevailing on its request for </w:t>
      </w:r>
      <w:r w:rsidR="0004549D" w:rsidRPr="000D6D21">
        <w:rPr>
          <w:rFonts w:eastAsia="Times New Roman" w:cs="Arial"/>
          <w:color w:val="000000"/>
          <w:sz w:val="28"/>
          <w:szCs w:val="28"/>
        </w:rPr>
        <w:t xml:space="preserve">addresses and changes of address notices for voters whose residence address on the recall petition did not match </w:t>
      </w:r>
      <w:proofErr w:type="gramStart"/>
      <w:r w:rsidR="0004549D" w:rsidRPr="000D6D21">
        <w:rPr>
          <w:rFonts w:eastAsia="Times New Roman" w:cs="Arial"/>
          <w:color w:val="000000"/>
          <w:sz w:val="28"/>
          <w:szCs w:val="28"/>
        </w:rPr>
        <w:t>his or her</w:t>
      </w:r>
      <w:proofErr w:type="gramEnd"/>
      <w:r w:rsidR="0004549D" w:rsidRPr="000D6D21">
        <w:rPr>
          <w:rFonts w:eastAsia="Times New Roman" w:cs="Arial"/>
          <w:color w:val="000000"/>
          <w:sz w:val="28"/>
          <w:szCs w:val="28"/>
        </w:rPr>
        <w:t xml:space="preserve"> registered address</w:t>
      </w:r>
      <w:r w:rsidR="00F80B83" w:rsidRPr="000D6D21">
        <w:rPr>
          <w:rFonts w:eastAsia="Times New Roman" w:cs="Arial"/>
          <w:color w:val="000000"/>
          <w:sz w:val="28"/>
          <w:szCs w:val="28"/>
        </w:rPr>
        <w:t xml:space="preserve">.  </w:t>
      </w:r>
      <w:r w:rsidR="00584675">
        <w:rPr>
          <w:rFonts w:eastAsia="Times New Roman" w:cs="Arial"/>
          <w:color w:val="000000"/>
          <w:sz w:val="28"/>
          <w:szCs w:val="28"/>
        </w:rPr>
        <w:t>In so finding, t</w:t>
      </w:r>
      <w:r w:rsidR="00F80B83" w:rsidRPr="000D6D21">
        <w:rPr>
          <w:rFonts w:eastAsia="Times New Roman" w:cs="Arial"/>
          <w:color w:val="000000"/>
          <w:sz w:val="28"/>
          <w:szCs w:val="28"/>
        </w:rPr>
        <w:t xml:space="preserve">he court noted that </w:t>
      </w:r>
      <w:r w:rsidRPr="000D6D21">
        <w:rPr>
          <w:rFonts w:eastAsia="Times New Roman" w:cs="Arial"/>
          <w:color w:val="000000"/>
          <w:sz w:val="28"/>
          <w:szCs w:val="28"/>
        </w:rPr>
        <w:t xml:space="preserve">the </w:t>
      </w:r>
      <w:r w:rsidR="002940F0" w:rsidRPr="000D6D21">
        <w:rPr>
          <w:rFonts w:eastAsia="Times New Roman" w:cs="Arial"/>
          <w:color w:val="000000"/>
          <w:sz w:val="28"/>
          <w:szCs w:val="28"/>
        </w:rPr>
        <w:t>Registrar</w:t>
      </w:r>
      <w:r w:rsidR="0004549D" w:rsidRPr="000D6D21">
        <w:rPr>
          <w:rFonts w:eastAsia="Times New Roman" w:cs="Arial"/>
          <w:color w:val="000000"/>
          <w:sz w:val="28"/>
          <w:szCs w:val="28"/>
        </w:rPr>
        <w:t xml:space="preserve"> had already provided a printout of current </w:t>
      </w:r>
      <w:r w:rsidR="00F80B83" w:rsidRPr="000D6D21">
        <w:rPr>
          <w:rFonts w:eastAsia="Times New Roman" w:cs="Arial"/>
          <w:color w:val="000000"/>
          <w:sz w:val="28"/>
          <w:szCs w:val="28"/>
        </w:rPr>
        <w:t xml:space="preserve">and former </w:t>
      </w:r>
      <w:r w:rsidR="0004549D" w:rsidRPr="000D6D21">
        <w:rPr>
          <w:rFonts w:eastAsia="Times New Roman" w:cs="Arial"/>
          <w:color w:val="000000"/>
          <w:sz w:val="28"/>
          <w:szCs w:val="28"/>
        </w:rPr>
        <w:t>addresses</w:t>
      </w:r>
      <w:r w:rsidR="00F80B83" w:rsidRPr="000D6D21">
        <w:rPr>
          <w:rFonts w:eastAsia="Times New Roman" w:cs="Arial"/>
          <w:color w:val="000000"/>
          <w:sz w:val="28"/>
          <w:szCs w:val="28"/>
        </w:rPr>
        <w:t xml:space="preserve"> </w:t>
      </w:r>
      <w:r w:rsidR="0004549D" w:rsidRPr="000D6D21">
        <w:rPr>
          <w:rFonts w:eastAsia="Times New Roman" w:cs="Arial"/>
          <w:color w:val="000000"/>
          <w:sz w:val="28"/>
          <w:szCs w:val="28"/>
        </w:rPr>
        <w:t xml:space="preserve">and dates of change during the time the petition </w:t>
      </w:r>
      <w:r w:rsidRPr="000D6D21">
        <w:rPr>
          <w:rFonts w:eastAsia="Times New Roman" w:cs="Arial"/>
          <w:color w:val="000000"/>
          <w:sz w:val="28"/>
          <w:szCs w:val="28"/>
        </w:rPr>
        <w:t>had been</w:t>
      </w:r>
      <w:r w:rsidR="0004549D" w:rsidRPr="000D6D21">
        <w:rPr>
          <w:rFonts w:eastAsia="Times New Roman" w:cs="Arial"/>
          <w:color w:val="000000"/>
          <w:sz w:val="28"/>
          <w:szCs w:val="28"/>
        </w:rPr>
        <w:t xml:space="preserve"> circulated</w:t>
      </w:r>
      <w:r w:rsidR="002940F0" w:rsidRPr="000D6D21">
        <w:rPr>
          <w:rFonts w:eastAsia="Times New Roman" w:cs="Arial"/>
          <w:color w:val="000000"/>
          <w:sz w:val="28"/>
          <w:szCs w:val="28"/>
        </w:rPr>
        <w:t xml:space="preserve">. </w:t>
      </w:r>
    </w:p>
    <w:p w14:paraId="633D17A2" w14:textId="77777777" w:rsidR="00030C70" w:rsidRPr="000D6D21" w:rsidRDefault="00F615D7" w:rsidP="000D6D21">
      <w:pPr>
        <w:rPr>
          <w:rFonts w:eastAsia="Times New Roman" w:cs="Arial"/>
          <w:color w:val="000000"/>
          <w:sz w:val="28"/>
          <w:szCs w:val="28"/>
        </w:rPr>
      </w:pPr>
      <w:r w:rsidRPr="000D6D21">
        <w:rPr>
          <w:rFonts w:eastAsia="Times New Roman" w:cs="Arial"/>
          <w:color w:val="000000"/>
          <w:sz w:val="28"/>
          <w:szCs w:val="28"/>
        </w:rPr>
        <w:tab/>
        <w:t xml:space="preserve">As to the third </w:t>
      </w:r>
      <w:r w:rsidR="002940F0" w:rsidRPr="000D6D21">
        <w:rPr>
          <w:rFonts w:eastAsia="Times New Roman" w:cs="Arial"/>
          <w:color w:val="000000"/>
          <w:sz w:val="28"/>
          <w:szCs w:val="28"/>
        </w:rPr>
        <w:t xml:space="preserve">category of </w:t>
      </w:r>
      <w:r w:rsidR="003E41DF" w:rsidRPr="000D6D21">
        <w:rPr>
          <w:rFonts w:eastAsia="Times New Roman" w:cs="Arial"/>
          <w:color w:val="000000"/>
          <w:sz w:val="28"/>
          <w:szCs w:val="28"/>
        </w:rPr>
        <w:t>records</w:t>
      </w:r>
      <w:r w:rsidR="002940F0" w:rsidRPr="000D6D21">
        <w:rPr>
          <w:rFonts w:eastAsia="Times New Roman" w:cs="Arial"/>
          <w:color w:val="000000"/>
          <w:sz w:val="28"/>
          <w:szCs w:val="28"/>
        </w:rPr>
        <w:t xml:space="preserve"> requested</w:t>
      </w:r>
      <w:r w:rsidRPr="000D6D21">
        <w:rPr>
          <w:rFonts w:eastAsia="Times New Roman" w:cs="Arial"/>
          <w:color w:val="000000"/>
          <w:sz w:val="28"/>
          <w:szCs w:val="28"/>
        </w:rPr>
        <w:t>—electronic lists of voters whose signatures were certified as valid or invalidated</w:t>
      </w:r>
      <w:r w:rsidR="000C580D" w:rsidRPr="000D6D21">
        <w:rPr>
          <w:rFonts w:eastAsia="Times New Roman" w:cs="Arial"/>
          <w:color w:val="000000"/>
          <w:sz w:val="28"/>
          <w:szCs w:val="28"/>
        </w:rPr>
        <w:t xml:space="preserve"> for certain reasons</w:t>
      </w:r>
      <w:r w:rsidRPr="000D6D21">
        <w:rPr>
          <w:rFonts w:eastAsia="Times New Roman" w:cs="Arial"/>
          <w:color w:val="000000"/>
          <w:sz w:val="28"/>
          <w:szCs w:val="28"/>
        </w:rPr>
        <w:t xml:space="preserve">—the court found the Committee had </w:t>
      </w:r>
      <w:r w:rsidRPr="000D6D21">
        <w:rPr>
          <w:rFonts w:eastAsia="Times New Roman" w:cs="Arial"/>
          <w:color w:val="000000"/>
          <w:sz w:val="28"/>
          <w:szCs w:val="28"/>
        </w:rPr>
        <w:t>established a probability of success.  T</w:t>
      </w:r>
      <w:r w:rsidR="0003296E" w:rsidRPr="000D6D21">
        <w:rPr>
          <w:rFonts w:eastAsia="Times New Roman" w:cs="Arial"/>
          <w:color w:val="000000"/>
          <w:sz w:val="28"/>
          <w:szCs w:val="28"/>
        </w:rPr>
        <w:t xml:space="preserve">o the extent </w:t>
      </w:r>
      <w:r w:rsidR="00F80B83" w:rsidRPr="000D6D21">
        <w:rPr>
          <w:rFonts w:eastAsia="Times New Roman" w:cs="Arial"/>
          <w:color w:val="000000"/>
          <w:sz w:val="28"/>
          <w:szCs w:val="28"/>
        </w:rPr>
        <w:t xml:space="preserve">any </w:t>
      </w:r>
      <w:r w:rsidR="0003296E" w:rsidRPr="000D6D21">
        <w:rPr>
          <w:rFonts w:eastAsia="Times New Roman" w:cs="Arial"/>
          <w:color w:val="000000"/>
          <w:sz w:val="28"/>
          <w:szCs w:val="28"/>
        </w:rPr>
        <w:t xml:space="preserve">notations in its data management files were made during the Registrar’s </w:t>
      </w:r>
      <w:r w:rsidR="00584675">
        <w:rPr>
          <w:rFonts w:eastAsia="Times New Roman" w:cs="Arial"/>
          <w:color w:val="000000"/>
          <w:sz w:val="28"/>
          <w:szCs w:val="28"/>
        </w:rPr>
        <w:t xml:space="preserve">own petition </w:t>
      </w:r>
      <w:r w:rsidR="0003296E" w:rsidRPr="000D6D21">
        <w:rPr>
          <w:rFonts w:eastAsia="Times New Roman" w:cs="Arial"/>
          <w:color w:val="000000"/>
          <w:sz w:val="28"/>
          <w:szCs w:val="28"/>
        </w:rPr>
        <w:t xml:space="preserve">examination, such </w:t>
      </w:r>
      <w:r w:rsidRPr="000D6D21">
        <w:rPr>
          <w:rFonts w:eastAsia="Times New Roman" w:cs="Arial"/>
          <w:color w:val="000000"/>
          <w:sz w:val="28"/>
          <w:szCs w:val="28"/>
        </w:rPr>
        <w:t xml:space="preserve">notations constituted disclosable </w:t>
      </w:r>
      <w:r w:rsidR="0003296E" w:rsidRPr="000D6D21">
        <w:rPr>
          <w:rFonts w:eastAsia="Times New Roman" w:cs="Arial"/>
          <w:color w:val="000000"/>
          <w:sz w:val="28"/>
          <w:szCs w:val="28"/>
        </w:rPr>
        <w:t>“</w:t>
      </w:r>
      <w:r w:rsidRPr="000D6D21">
        <w:rPr>
          <w:rFonts w:eastAsia="Times New Roman" w:cs="Arial"/>
          <w:color w:val="000000"/>
          <w:sz w:val="28"/>
          <w:szCs w:val="28"/>
        </w:rPr>
        <w:t>memoranda</w:t>
      </w:r>
      <w:r w:rsidR="0003296E" w:rsidRPr="000D6D21">
        <w:rPr>
          <w:rFonts w:eastAsia="Times New Roman" w:cs="Arial"/>
          <w:color w:val="000000"/>
          <w:sz w:val="28"/>
          <w:szCs w:val="28"/>
        </w:rPr>
        <w:t xml:space="preserve">” </w:t>
      </w:r>
      <w:r w:rsidR="002940F0" w:rsidRPr="000D6D21">
        <w:rPr>
          <w:rFonts w:eastAsia="Times New Roman" w:cs="Arial"/>
          <w:color w:val="000000"/>
          <w:sz w:val="28"/>
          <w:szCs w:val="28"/>
        </w:rPr>
        <w:t>under section 7924.110</w:t>
      </w:r>
      <w:r w:rsidRPr="000D6D21">
        <w:rPr>
          <w:rFonts w:eastAsia="Times New Roman" w:cs="Arial"/>
          <w:color w:val="000000"/>
          <w:sz w:val="28"/>
          <w:szCs w:val="28"/>
        </w:rPr>
        <w:t xml:space="preserve">.  </w:t>
      </w:r>
      <w:r w:rsidR="003E41DF" w:rsidRPr="000D6D21">
        <w:rPr>
          <w:rFonts w:eastAsia="Times New Roman" w:cs="Arial"/>
          <w:color w:val="000000"/>
          <w:sz w:val="28"/>
          <w:szCs w:val="28"/>
        </w:rPr>
        <w:t>These lists, already provided</w:t>
      </w:r>
      <w:r w:rsidR="00F80B83" w:rsidRPr="000D6D21">
        <w:rPr>
          <w:rFonts w:eastAsia="Times New Roman" w:cs="Arial"/>
          <w:color w:val="000000"/>
          <w:sz w:val="28"/>
          <w:szCs w:val="28"/>
        </w:rPr>
        <w:t xml:space="preserve"> to the Committee</w:t>
      </w:r>
      <w:r w:rsidR="003E41DF" w:rsidRPr="000D6D21">
        <w:rPr>
          <w:rFonts w:eastAsia="Times New Roman" w:cs="Arial"/>
          <w:color w:val="000000"/>
          <w:sz w:val="28"/>
          <w:szCs w:val="28"/>
        </w:rPr>
        <w:t xml:space="preserve"> in hardcopy form, could be provided </w:t>
      </w:r>
      <w:r w:rsidRPr="000D6D21">
        <w:rPr>
          <w:rFonts w:eastAsia="Times New Roman" w:cs="Arial"/>
          <w:color w:val="000000"/>
          <w:sz w:val="28"/>
          <w:szCs w:val="28"/>
        </w:rPr>
        <w:t>in electronic format subject to an appropriate protective order</w:t>
      </w:r>
      <w:r w:rsidR="0003296E" w:rsidRPr="000D6D21">
        <w:rPr>
          <w:rFonts w:eastAsia="Times New Roman" w:cs="Arial"/>
          <w:color w:val="000000"/>
          <w:sz w:val="28"/>
          <w:szCs w:val="28"/>
        </w:rPr>
        <w:t xml:space="preserve">.  However, the court found the Committee </w:t>
      </w:r>
      <w:r w:rsidR="00E04BF9">
        <w:rPr>
          <w:rFonts w:eastAsia="Times New Roman" w:cs="Arial"/>
          <w:color w:val="000000"/>
          <w:sz w:val="28"/>
          <w:szCs w:val="28"/>
        </w:rPr>
        <w:t xml:space="preserve">had </w:t>
      </w:r>
      <w:r w:rsidR="0003296E" w:rsidRPr="000D6D21">
        <w:rPr>
          <w:rFonts w:eastAsia="Times New Roman" w:cs="Arial"/>
          <w:color w:val="000000"/>
          <w:sz w:val="28"/>
          <w:szCs w:val="28"/>
        </w:rPr>
        <w:t xml:space="preserve">failed to establish a probability of prevailing on its request for </w:t>
      </w:r>
      <w:r w:rsidRPr="000D6D21">
        <w:rPr>
          <w:rFonts w:eastAsia="Times New Roman" w:cs="Arial"/>
          <w:color w:val="000000"/>
          <w:sz w:val="28"/>
          <w:szCs w:val="28"/>
        </w:rPr>
        <w:t xml:space="preserve">training materials </w:t>
      </w:r>
      <w:r w:rsidR="0003296E" w:rsidRPr="000D6D21">
        <w:rPr>
          <w:rFonts w:eastAsia="Times New Roman" w:cs="Arial"/>
          <w:color w:val="000000"/>
          <w:sz w:val="28"/>
          <w:szCs w:val="28"/>
        </w:rPr>
        <w:t xml:space="preserve">and </w:t>
      </w:r>
      <w:r w:rsidRPr="000D6D21">
        <w:rPr>
          <w:rFonts w:eastAsia="Times New Roman" w:cs="Arial"/>
          <w:color w:val="000000"/>
          <w:sz w:val="28"/>
          <w:szCs w:val="28"/>
        </w:rPr>
        <w:t xml:space="preserve">manuals </w:t>
      </w:r>
      <w:r w:rsidR="0003296E" w:rsidRPr="000D6D21">
        <w:rPr>
          <w:rFonts w:eastAsia="Times New Roman" w:cs="Arial"/>
          <w:color w:val="000000"/>
          <w:sz w:val="28"/>
          <w:szCs w:val="28"/>
        </w:rPr>
        <w:lastRenderedPageBreak/>
        <w:t xml:space="preserve">of </w:t>
      </w:r>
      <w:r w:rsidRPr="000D6D21">
        <w:rPr>
          <w:rFonts w:eastAsia="Times New Roman" w:cs="Arial"/>
          <w:color w:val="000000"/>
          <w:sz w:val="28"/>
          <w:szCs w:val="28"/>
        </w:rPr>
        <w:t>DIMS</w:t>
      </w:r>
      <w:r w:rsidR="0003296E" w:rsidRPr="000D6D21">
        <w:rPr>
          <w:rFonts w:eastAsia="Times New Roman" w:cs="Arial"/>
          <w:color w:val="000000"/>
          <w:sz w:val="28"/>
          <w:szCs w:val="28"/>
        </w:rPr>
        <w:t xml:space="preserve">, </w:t>
      </w:r>
      <w:r w:rsidR="003E41DF" w:rsidRPr="000D6D21">
        <w:rPr>
          <w:rFonts w:eastAsia="Times New Roman" w:cs="Arial"/>
          <w:color w:val="000000"/>
          <w:sz w:val="28"/>
          <w:szCs w:val="28"/>
        </w:rPr>
        <w:t>as th</w:t>
      </w:r>
      <w:r w:rsidR="0003296E" w:rsidRPr="000D6D21">
        <w:rPr>
          <w:rFonts w:eastAsia="Times New Roman" w:cs="Arial"/>
          <w:color w:val="000000"/>
          <w:sz w:val="28"/>
          <w:szCs w:val="28"/>
        </w:rPr>
        <w:t xml:space="preserve">is </w:t>
      </w:r>
      <w:r w:rsidR="003E41DF" w:rsidRPr="000D6D21">
        <w:rPr>
          <w:rFonts w:eastAsia="Times New Roman" w:cs="Arial"/>
          <w:color w:val="000000"/>
          <w:sz w:val="28"/>
          <w:szCs w:val="28"/>
        </w:rPr>
        <w:t xml:space="preserve">material </w:t>
      </w:r>
      <w:r w:rsidR="0003296E" w:rsidRPr="000D6D21">
        <w:rPr>
          <w:rFonts w:eastAsia="Times New Roman" w:cs="Arial"/>
          <w:color w:val="000000"/>
          <w:sz w:val="28"/>
          <w:szCs w:val="28"/>
        </w:rPr>
        <w:t xml:space="preserve">constituted </w:t>
      </w:r>
      <w:r w:rsidRPr="000D6D21">
        <w:rPr>
          <w:rFonts w:eastAsia="Times New Roman" w:cs="Arial"/>
          <w:color w:val="000000"/>
          <w:sz w:val="28"/>
          <w:szCs w:val="28"/>
        </w:rPr>
        <w:t>proprietary information</w:t>
      </w:r>
      <w:r w:rsidR="003E41DF" w:rsidRPr="000D6D21">
        <w:rPr>
          <w:rFonts w:eastAsia="Times New Roman" w:cs="Arial"/>
          <w:color w:val="000000"/>
          <w:sz w:val="28"/>
          <w:szCs w:val="28"/>
        </w:rPr>
        <w:t xml:space="preserve"> </w:t>
      </w:r>
      <w:r w:rsidR="0003296E" w:rsidRPr="000D6D21">
        <w:rPr>
          <w:rFonts w:eastAsia="Times New Roman" w:cs="Arial"/>
          <w:color w:val="000000"/>
          <w:sz w:val="28"/>
          <w:szCs w:val="28"/>
        </w:rPr>
        <w:t>that was</w:t>
      </w:r>
      <w:r w:rsidR="003E41DF" w:rsidRPr="000D6D21">
        <w:rPr>
          <w:rFonts w:eastAsia="Times New Roman" w:cs="Arial"/>
          <w:color w:val="000000"/>
          <w:sz w:val="28"/>
          <w:szCs w:val="28"/>
        </w:rPr>
        <w:t xml:space="preserve"> </w:t>
      </w:r>
      <w:r w:rsidRPr="000D6D21">
        <w:rPr>
          <w:rFonts w:eastAsia="Times New Roman" w:cs="Arial"/>
          <w:color w:val="000000"/>
          <w:sz w:val="28"/>
          <w:szCs w:val="28"/>
        </w:rPr>
        <w:t xml:space="preserve">exempt under </w:t>
      </w:r>
      <w:r w:rsidR="003E41DF" w:rsidRPr="000D6D21">
        <w:rPr>
          <w:rFonts w:eastAsia="Times New Roman" w:cs="Arial"/>
          <w:color w:val="000000"/>
          <w:sz w:val="28"/>
          <w:szCs w:val="28"/>
        </w:rPr>
        <w:t>section 7927.705</w:t>
      </w:r>
      <w:r w:rsidR="0003296E" w:rsidRPr="000D6D21">
        <w:rPr>
          <w:rFonts w:eastAsia="Times New Roman" w:cs="Arial"/>
          <w:color w:val="000000"/>
          <w:sz w:val="28"/>
          <w:szCs w:val="28"/>
        </w:rPr>
        <w:t xml:space="preserve"> of the PRA</w:t>
      </w:r>
      <w:r w:rsidRPr="000D6D21">
        <w:rPr>
          <w:rFonts w:eastAsia="Times New Roman" w:cs="Arial"/>
          <w:color w:val="000000"/>
          <w:sz w:val="28"/>
          <w:szCs w:val="28"/>
        </w:rPr>
        <w:t>.</w:t>
      </w:r>
      <w:r>
        <w:rPr>
          <w:rStyle w:val="FootnoteReference"/>
          <w:rFonts w:eastAsia="Times New Roman" w:cs="Arial"/>
          <w:color w:val="000000"/>
          <w:sz w:val="28"/>
          <w:szCs w:val="28"/>
        </w:rPr>
        <w:footnoteReference w:id="9"/>
      </w:r>
      <w:r w:rsidRPr="000D6D21">
        <w:rPr>
          <w:rFonts w:eastAsia="Times New Roman" w:cs="Arial"/>
          <w:color w:val="000000"/>
          <w:sz w:val="28"/>
          <w:szCs w:val="28"/>
        </w:rPr>
        <w:t xml:space="preserve"> </w:t>
      </w:r>
      <w:r w:rsidR="003E41DF" w:rsidRPr="000D6D21">
        <w:rPr>
          <w:rFonts w:eastAsia="Times New Roman" w:cs="Arial"/>
          <w:color w:val="000000"/>
          <w:sz w:val="28"/>
          <w:szCs w:val="28"/>
        </w:rPr>
        <w:t xml:space="preserve"> </w:t>
      </w:r>
    </w:p>
    <w:p w14:paraId="633D17A3" w14:textId="77777777" w:rsidR="007C2517" w:rsidRPr="000D6D21" w:rsidRDefault="00F615D7" w:rsidP="000D6D21">
      <w:pPr>
        <w:rPr>
          <w:rFonts w:eastAsia="Times New Roman" w:cs="Arial"/>
          <w:color w:val="000000"/>
          <w:sz w:val="28"/>
          <w:szCs w:val="28"/>
        </w:rPr>
      </w:pPr>
      <w:r w:rsidRPr="000D6D21">
        <w:rPr>
          <w:rFonts w:eastAsia="Times New Roman" w:cs="Arial"/>
          <w:color w:val="000000"/>
          <w:sz w:val="28"/>
          <w:szCs w:val="28"/>
        </w:rPr>
        <w:tab/>
      </w:r>
      <w:r w:rsidR="4F6FDE42" w:rsidRPr="000D6D21">
        <w:rPr>
          <w:rFonts w:eastAsia="Times New Roman" w:cs="Arial"/>
          <w:color w:val="000000"/>
          <w:sz w:val="28"/>
          <w:szCs w:val="28"/>
        </w:rPr>
        <w:t>T</w:t>
      </w:r>
      <w:r w:rsidR="0003296E" w:rsidRPr="000D6D21">
        <w:rPr>
          <w:rFonts w:eastAsia="Times New Roman" w:cs="Arial"/>
          <w:color w:val="000000"/>
          <w:sz w:val="28"/>
          <w:szCs w:val="28"/>
        </w:rPr>
        <w:t xml:space="preserve">he court </w:t>
      </w:r>
      <w:r w:rsidR="00584675">
        <w:rPr>
          <w:rFonts w:eastAsia="Times New Roman" w:cs="Arial"/>
          <w:color w:val="000000"/>
          <w:sz w:val="28"/>
          <w:szCs w:val="28"/>
        </w:rPr>
        <w:t>refrained from</w:t>
      </w:r>
      <w:r w:rsidR="00584675" w:rsidRPr="000D6D21">
        <w:rPr>
          <w:rFonts w:eastAsia="Times New Roman" w:cs="Arial"/>
          <w:color w:val="000000"/>
          <w:sz w:val="28"/>
          <w:szCs w:val="28"/>
        </w:rPr>
        <w:t xml:space="preserve"> </w:t>
      </w:r>
      <w:r w:rsidR="00584675">
        <w:rPr>
          <w:rFonts w:eastAsia="Times New Roman" w:cs="Arial"/>
          <w:color w:val="000000"/>
          <w:sz w:val="28"/>
          <w:szCs w:val="28"/>
        </w:rPr>
        <w:t xml:space="preserve">ruling </w:t>
      </w:r>
      <w:r w:rsidR="0003296E" w:rsidRPr="000D6D21">
        <w:rPr>
          <w:rFonts w:eastAsia="Times New Roman" w:cs="Arial"/>
          <w:color w:val="000000"/>
          <w:sz w:val="28"/>
          <w:szCs w:val="28"/>
        </w:rPr>
        <w:t xml:space="preserve">on the </w:t>
      </w:r>
      <w:r w:rsidR="003E41DF" w:rsidRPr="000D6D21">
        <w:rPr>
          <w:rFonts w:eastAsia="Times New Roman" w:cs="Arial"/>
          <w:color w:val="000000"/>
          <w:sz w:val="28"/>
          <w:szCs w:val="28"/>
        </w:rPr>
        <w:t>Committee’s requests for expanded access</w:t>
      </w:r>
      <w:r w:rsidR="00970AB1" w:rsidRPr="000D6D21">
        <w:rPr>
          <w:rFonts w:eastAsia="Times New Roman" w:cs="Arial"/>
          <w:color w:val="000000"/>
          <w:sz w:val="28"/>
          <w:szCs w:val="28"/>
        </w:rPr>
        <w:t xml:space="preserve"> </w:t>
      </w:r>
      <w:r w:rsidR="003E41DF" w:rsidRPr="000D6D21">
        <w:rPr>
          <w:rFonts w:eastAsia="Times New Roman" w:cs="Arial"/>
          <w:color w:val="000000"/>
          <w:sz w:val="28"/>
          <w:szCs w:val="28"/>
        </w:rPr>
        <w:t xml:space="preserve">but </w:t>
      </w:r>
      <w:r w:rsidR="00F80B83" w:rsidRPr="000D6D21">
        <w:rPr>
          <w:rFonts w:eastAsia="Times New Roman" w:cs="Arial"/>
          <w:color w:val="000000"/>
          <w:sz w:val="28"/>
          <w:szCs w:val="28"/>
        </w:rPr>
        <w:t xml:space="preserve">authorized </w:t>
      </w:r>
      <w:r w:rsidRPr="000D6D21">
        <w:rPr>
          <w:rFonts w:eastAsia="Times New Roman" w:cs="Arial"/>
          <w:color w:val="000000"/>
          <w:sz w:val="28"/>
          <w:szCs w:val="28"/>
        </w:rPr>
        <w:t xml:space="preserve">use of electronic devices </w:t>
      </w:r>
      <w:r w:rsidRPr="000D6D21">
        <w:rPr>
          <w:rFonts w:eastAsia="Times New Roman" w:cs="Arial"/>
          <w:color w:val="000000"/>
          <w:sz w:val="28"/>
          <w:szCs w:val="28"/>
        </w:rPr>
        <w:t>under an appropriate protective order</w:t>
      </w:r>
      <w:r w:rsidR="00584675">
        <w:rPr>
          <w:rFonts w:eastAsia="Times New Roman" w:cs="Arial"/>
          <w:color w:val="000000"/>
          <w:sz w:val="28"/>
          <w:szCs w:val="28"/>
        </w:rPr>
        <w:t xml:space="preserve"> to be negotiated by the parties</w:t>
      </w:r>
      <w:r w:rsidRPr="000D6D21">
        <w:rPr>
          <w:rFonts w:eastAsia="Times New Roman" w:cs="Arial"/>
          <w:color w:val="000000"/>
          <w:sz w:val="28"/>
          <w:szCs w:val="28"/>
        </w:rPr>
        <w:t xml:space="preserve">.  The court ordered the parties to work towards </w:t>
      </w:r>
      <w:r w:rsidR="7B5DABF4" w:rsidRPr="000D6D21">
        <w:rPr>
          <w:rFonts w:eastAsia="Times New Roman" w:cs="Arial"/>
          <w:color w:val="000000"/>
          <w:sz w:val="28"/>
          <w:szCs w:val="28"/>
        </w:rPr>
        <w:t xml:space="preserve">a </w:t>
      </w:r>
      <w:r w:rsidRPr="000D6D21">
        <w:rPr>
          <w:rFonts w:eastAsia="Times New Roman" w:cs="Arial"/>
          <w:color w:val="000000"/>
          <w:sz w:val="28"/>
          <w:szCs w:val="28"/>
        </w:rPr>
        <w:t>complet</w:t>
      </w:r>
      <w:r w:rsidR="4F7A92FE" w:rsidRPr="000D6D21">
        <w:rPr>
          <w:rFonts w:eastAsia="Times New Roman" w:cs="Arial"/>
          <w:color w:val="000000"/>
          <w:sz w:val="28"/>
          <w:szCs w:val="28"/>
        </w:rPr>
        <w:t>ed</w:t>
      </w:r>
      <w:r w:rsidRPr="000D6D21">
        <w:rPr>
          <w:rFonts w:eastAsia="Times New Roman" w:cs="Arial"/>
          <w:color w:val="000000"/>
          <w:sz w:val="28"/>
          <w:szCs w:val="28"/>
        </w:rPr>
        <w:t xml:space="preserve"> examination by March 31, 2023. </w:t>
      </w:r>
    </w:p>
    <w:p w14:paraId="633D17A4" w14:textId="77777777" w:rsidR="007C2517" w:rsidRPr="000D6D21" w:rsidRDefault="00F615D7" w:rsidP="000D6D21">
      <w:pPr>
        <w:rPr>
          <w:rFonts w:eastAsia="Times New Roman" w:cs="Arial"/>
          <w:color w:val="000000"/>
          <w:sz w:val="28"/>
          <w:szCs w:val="28"/>
        </w:rPr>
      </w:pPr>
      <w:r w:rsidRPr="000D6D21">
        <w:rPr>
          <w:rFonts w:eastAsia="Times New Roman" w:cs="Arial"/>
          <w:color w:val="000000"/>
          <w:sz w:val="28"/>
          <w:szCs w:val="28"/>
        </w:rPr>
        <w:tab/>
        <w:t>Turning t</w:t>
      </w:r>
      <w:r w:rsidR="00970AB1" w:rsidRPr="000D6D21">
        <w:rPr>
          <w:rFonts w:eastAsia="Times New Roman" w:cs="Arial"/>
          <w:color w:val="000000"/>
          <w:sz w:val="28"/>
          <w:szCs w:val="28"/>
        </w:rPr>
        <w:t>o t</w:t>
      </w:r>
      <w:r w:rsidRPr="000D6D21">
        <w:rPr>
          <w:rFonts w:eastAsia="Times New Roman" w:cs="Arial"/>
          <w:color w:val="000000"/>
          <w:sz w:val="28"/>
          <w:szCs w:val="28"/>
        </w:rPr>
        <w:t xml:space="preserve">he balancing of harms, the court </w:t>
      </w:r>
      <w:r w:rsidR="003E41DF" w:rsidRPr="000D6D21">
        <w:rPr>
          <w:rFonts w:eastAsia="Times New Roman" w:cs="Arial"/>
          <w:color w:val="000000"/>
          <w:sz w:val="28"/>
          <w:szCs w:val="28"/>
        </w:rPr>
        <w:t>found in favor of the Committee based on its</w:t>
      </w:r>
      <w:r w:rsidRPr="000D6D21">
        <w:rPr>
          <w:rFonts w:eastAsia="Times New Roman" w:cs="Arial"/>
          <w:color w:val="000000"/>
          <w:sz w:val="28"/>
          <w:szCs w:val="28"/>
        </w:rPr>
        <w:t xml:space="preserve"> right to timely determine if </w:t>
      </w:r>
      <w:r w:rsidR="003E41DF" w:rsidRPr="000D6D21">
        <w:rPr>
          <w:rFonts w:eastAsia="Times New Roman" w:cs="Arial"/>
          <w:color w:val="000000"/>
          <w:sz w:val="28"/>
          <w:szCs w:val="28"/>
        </w:rPr>
        <w:t xml:space="preserve">its </w:t>
      </w:r>
      <w:r w:rsidRPr="000D6D21">
        <w:rPr>
          <w:rFonts w:eastAsia="Times New Roman" w:cs="Arial"/>
          <w:color w:val="000000"/>
          <w:sz w:val="28"/>
          <w:szCs w:val="28"/>
        </w:rPr>
        <w:t>recall petition merit</w:t>
      </w:r>
      <w:r w:rsidR="003E41DF" w:rsidRPr="000D6D21">
        <w:rPr>
          <w:rFonts w:eastAsia="Times New Roman" w:cs="Arial"/>
          <w:color w:val="000000"/>
          <w:sz w:val="28"/>
          <w:szCs w:val="28"/>
        </w:rPr>
        <w:t>ed</w:t>
      </w:r>
      <w:r w:rsidRPr="000D6D21">
        <w:rPr>
          <w:rFonts w:eastAsia="Times New Roman" w:cs="Arial"/>
          <w:color w:val="000000"/>
          <w:sz w:val="28"/>
          <w:szCs w:val="28"/>
        </w:rPr>
        <w:t xml:space="preserve"> a</w:t>
      </w:r>
      <w:r w:rsidR="0003296E" w:rsidRPr="000D6D21">
        <w:rPr>
          <w:rFonts w:eastAsia="Times New Roman" w:cs="Arial"/>
          <w:color w:val="000000"/>
          <w:sz w:val="28"/>
          <w:szCs w:val="28"/>
        </w:rPr>
        <w:t xml:space="preserve">n </w:t>
      </w:r>
      <w:r w:rsidRPr="000D6D21">
        <w:rPr>
          <w:rFonts w:eastAsia="Times New Roman" w:cs="Arial"/>
          <w:color w:val="000000"/>
          <w:sz w:val="28"/>
          <w:szCs w:val="28"/>
        </w:rPr>
        <w:t xml:space="preserve">election.  Without a preliminary injunction, the Committee’s </w:t>
      </w:r>
      <w:r w:rsidR="00F80B83" w:rsidRPr="000D6D21">
        <w:rPr>
          <w:rFonts w:eastAsia="Times New Roman" w:cs="Arial"/>
          <w:color w:val="000000"/>
          <w:sz w:val="28"/>
          <w:szCs w:val="28"/>
        </w:rPr>
        <w:t>examination would finish no later</w:t>
      </w:r>
      <w:r w:rsidRPr="000D6D21">
        <w:rPr>
          <w:rFonts w:eastAsia="Times New Roman" w:cs="Arial"/>
          <w:color w:val="000000"/>
          <w:sz w:val="28"/>
          <w:szCs w:val="28"/>
        </w:rPr>
        <w:t xml:space="preserve"> </w:t>
      </w:r>
      <w:r w:rsidR="00F80B83" w:rsidRPr="000D6D21">
        <w:rPr>
          <w:rFonts w:eastAsia="Times New Roman" w:cs="Arial"/>
          <w:color w:val="000000"/>
          <w:sz w:val="28"/>
          <w:szCs w:val="28"/>
        </w:rPr>
        <w:t xml:space="preserve">than </w:t>
      </w:r>
      <w:r w:rsidRPr="000D6D21">
        <w:rPr>
          <w:rFonts w:eastAsia="Times New Roman" w:cs="Arial"/>
          <w:color w:val="000000"/>
          <w:sz w:val="28"/>
          <w:szCs w:val="28"/>
        </w:rPr>
        <w:t>May 2024</w:t>
      </w:r>
      <w:r w:rsidR="00F80B83" w:rsidRPr="000D6D21">
        <w:rPr>
          <w:rFonts w:eastAsia="Times New Roman" w:cs="Arial"/>
          <w:color w:val="000000"/>
          <w:sz w:val="28"/>
          <w:szCs w:val="28"/>
        </w:rPr>
        <w:t xml:space="preserve">, about </w:t>
      </w:r>
      <w:r w:rsidRPr="000D6D21">
        <w:rPr>
          <w:rFonts w:eastAsia="Times New Roman" w:cs="Arial"/>
          <w:color w:val="000000"/>
          <w:sz w:val="28"/>
          <w:szCs w:val="28"/>
        </w:rPr>
        <w:t xml:space="preserve">six months before </w:t>
      </w:r>
      <w:r w:rsidR="003E41DF" w:rsidRPr="000D6D21">
        <w:rPr>
          <w:rFonts w:eastAsia="Times New Roman" w:cs="Arial"/>
          <w:color w:val="000000"/>
          <w:sz w:val="28"/>
          <w:szCs w:val="28"/>
        </w:rPr>
        <w:t xml:space="preserve">the end of </w:t>
      </w:r>
      <w:r w:rsidRPr="000D6D21">
        <w:rPr>
          <w:rFonts w:eastAsia="Times New Roman" w:cs="Arial"/>
          <w:color w:val="000000"/>
          <w:sz w:val="28"/>
          <w:szCs w:val="28"/>
        </w:rPr>
        <w:t>Gasc</w:t>
      </w:r>
      <w:r w:rsidRPr="000D6D21">
        <w:rPr>
          <w:sz w:val="28"/>
          <w:szCs w:val="28"/>
        </w:rPr>
        <w:t>ó</w:t>
      </w:r>
      <w:r w:rsidRPr="000D6D21">
        <w:rPr>
          <w:rFonts w:eastAsia="Times New Roman" w:cs="Arial"/>
          <w:color w:val="000000"/>
          <w:sz w:val="28"/>
          <w:szCs w:val="28"/>
        </w:rPr>
        <w:t xml:space="preserve">n’s </w:t>
      </w:r>
      <w:r w:rsidR="0003296E" w:rsidRPr="000D6D21">
        <w:rPr>
          <w:rFonts w:eastAsia="Times New Roman" w:cs="Arial"/>
          <w:color w:val="000000"/>
          <w:sz w:val="28"/>
          <w:szCs w:val="28"/>
        </w:rPr>
        <w:t xml:space="preserve">current </w:t>
      </w:r>
      <w:r w:rsidRPr="000D6D21">
        <w:rPr>
          <w:rFonts w:eastAsia="Times New Roman" w:cs="Arial"/>
          <w:color w:val="000000"/>
          <w:sz w:val="28"/>
          <w:szCs w:val="28"/>
        </w:rPr>
        <w:t xml:space="preserve">term.  </w:t>
      </w:r>
    </w:p>
    <w:p w14:paraId="633D17A5" w14:textId="77777777" w:rsidR="00331B6C" w:rsidRPr="000D6D21" w:rsidRDefault="00F615D7" w:rsidP="000D6D21">
      <w:pPr>
        <w:ind w:firstLine="720"/>
        <w:rPr>
          <w:rFonts w:eastAsia="Times New Roman" w:cs="Arial"/>
          <w:color w:val="000000"/>
          <w:sz w:val="28"/>
          <w:szCs w:val="28"/>
        </w:rPr>
      </w:pPr>
      <w:r>
        <w:rPr>
          <w:rFonts w:eastAsia="Times New Roman" w:cs="Arial"/>
          <w:color w:val="000000"/>
          <w:sz w:val="28"/>
          <w:szCs w:val="28"/>
        </w:rPr>
        <w:t>W</w:t>
      </w:r>
      <w:r w:rsidR="00584675">
        <w:rPr>
          <w:rFonts w:eastAsia="Times New Roman" w:cs="Arial"/>
          <w:color w:val="000000"/>
          <w:sz w:val="28"/>
          <w:szCs w:val="28"/>
        </w:rPr>
        <w:t>hile t</w:t>
      </w:r>
      <w:r w:rsidR="0003296E" w:rsidRPr="000D6D21">
        <w:rPr>
          <w:rFonts w:eastAsia="Times New Roman" w:cs="Arial"/>
          <w:color w:val="000000"/>
          <w:sz w:val="28"/>
          <w:szCs w:val="28"/>
        </w:rPr>
        <w:t>he</w:t>
      </w:r>
      <w:r w:rsidR="007C2517" w:rsidRPr="000D6D21">
        <w:rPr>
          <w:rFonts w:eastAsia="Times New Roman" w:cs="Arial"/>
          <w:color w:val="000000"/>
          <w:sz w:val="28"/>
          <w:szCs w:val="28"/>
        </w:rPr>
        <w:t xml:space="preserve"> court </w:t>
      </w:r>
      <w:r w:rsidR="0003296E" w:rsidRPr="000D6D21">
        <w:rPr>
          <w:rFonts w:eastAsia="Times New Roman" w:cs="Arial"/>
          <w:color w:val="000000"/>
          <w:sz w:val="28"/>
          <w:szCs w:val="28"/>
        </w:rPr>
        <w:t xml:space="preserve">did note </w:t>
      </w:r>
      <w:r w:rsidR="00294CE3" w:rsidRPr="000D6D21">
        <w:rPr>
          <w:rFonts w:eastAsia="Times New Roman" w:cs="Arial"/>
          <w:color w:val="000000"/>
          <w:sz w:val="28"/>
          <w:szCs w:val="28"/>
        </w:rPr>
        <w:t xml:space="preserve">the requirement of setting </w:t>
      </w:r>
      <w:r w:rsidR="007C2517" w:rsidRPr="000D6D21">
        <w:rPr>
          <w:rFonts w:eastAsia="Times New Roman" w:cs="Arial"/>
          <w:color w:val="000000"/>
          <w:sz w:val="28"/>
          <w:szCs w:val="28"/>
        </w:rPr>
        <w:t>a</w:t>
      </w:r>
      <w:r w:rsidR="00294CE3" w:rsidRPr="000D6D21">
        <w:rPr>
          <w:rFonts w:eastAsia="Times New Roman" w:cs="Arial"/>
          <w:color w:val="000000"/>
          <w:sz w:val="28"/>
          <w:szCs w:val="28"/>
        </w:rPr>
        <w:t xml:space="preserve"> preliminary injunction</w:t>
      </w:r>
      <w:r w:rsidR="007C2517" w:rsidRPr="000D6D21">
        <w:rPr>
          <w:rFonts w:eastAsia="Times New Roman" w:cs="Arial"/>
          <w:color w:val="000000"/>
          <w:sz w:val="28"/>
          <w:szCs w:val="28"/>
        </w:rPr>
        <w:t xml:space="preserve"> bond</w:t>
      </w:r>
      <w:r w:rsidR="0003296E" w:rsidRPr="000D6D21">
        <w:rPr>
          <w:rFonts w:eastAsia="Times New Roman" w:cs="Arial"/>
          <w:color w:val="000000"/>
          <w:sz w:val="28"/>
          <w:szCs w:val="28"/>
        </w:rPr>
        <w:t xml:space="preserve"> </w:t>
      </w:r>
      <w:r w:rsidR="007C2517" w:rsidRPr="000D6D21">
        <w:rPr>
          <w:rFonts w:eastAsia="Times New Roman" w:cs="Arial"/>
          <w:color w:val="000000"/>
          <w:sz w:val="28"/>
          <w:szCs w:val="28"/>
        </w:rPr>
        <w:t>(Code Civ. Proc., § 529, subd. (a))</w:t>
      </w:r>
      <w:r w:rsidR="00584675">
        <w:rPr>
          <w:rFonts w:eastAsia="Times New Roman" w:cs="Arial"/>
          <w:color w:val="000000"/>
          <w:sz w:val="28"/>
          <w:szCs w:val="28"/>
        </w:rPr>
        <w:t>, it</w:t>
      </w:r>
      <w:r w:rsidR="0003296E" w:rsidRPr="000D6D21">
        <w:rPr>
          <w:rFonts w:eastAsia="Times New Roman" w:cs="Arial"/>
          <w:color w:val="000000"/>
          <w:sz w:val="28"/>
          <w:szCs w:val="28"/>
        </w:rPr>
        <w:t xml:space="preserve"> found that </w:t>
      </w:r>
      <w:r w:rsidRPr="000D6D21">
        <w:rPr>
          <w:rFonts w:eastAsia="Times New Roman" w:cs="Arial"/>
          <w:color w:val="000000"/>
          <w:sz w:val="28"/>
          <w:szCs w:val="28"/>
        </w:rPr>
        <w:t xml:space="preserve">the “parties d[id] not argue for a specific bond amount or provide evidence to calculate damages” for the bond.  The </w:t>
      </w:r>
      <w:r w:rsidR="00584675">
        <w:rPr>
          <w:rFonts w:eastAsia="Times New Roman" w:cs="Arial"/>
          <w:color w:val="000000"/>
          <w:sz w:val="28"/>
          <w:szCs w:val="28"/>
        </w:rPr>
        <w:t xml:space="preserve">court’s </w:t>
      </w:r>
      <w:r w:rsidR="001F4AF4" w:rsidRPr="000D6D21">
        <w:rPr>
          <w:rFonts w:eastAsia="Times New Roman" w:cs="Arial"/>
          <w:color w:val="000000"/>
          <w:sz w:val="28"/>
          <w:szCs w:val="28"/>
        </w:rPr>
        <w:t xml:space="preserve">final </w:t>
      </w:r>
      <w:r w:rsidR="00B6106B">
        <w:rPr>
          <w:rFonts w:eastAsia="Times New Roman" w:cs="Arial"/>
          <w:color w:val="000000"/>
          <w:sz w:val="28"/>
          <w:szCs w:val="28"/>
        </w:rPr>
        <w:t>order</w:t>
      </w:r>
      <w:r w:rsidR="00B6106B" w:rsidRPr="000D6D21">
        <w:rPr>
          <w:rFonts w:eastAsia="Times New Roman" w:cs="Arial"/>
          <w:color w:val="000000"/>
          <w:sz w:val="28"/>
          <w:szCs w:val="28"/>
        </w:rPr>
        <w:t xml:space="preserve"> </w:t>
      </w:r>
      <w:r w:rsidR="001F4AF4" w:rsidRPr="000D6D21">
        <w:rPr>
          <w:rFonts w:eastAsia="Times New Roman" w:cs="Arial"/>
          <w:color w:val="000000"/>
          <w:sz w:val="28"/>
          <w:szCs w:val="28"/>
        </w:rPr>
        <w:t>did not set an amount of bond.  On December 8 and 13, 202</w:t>
      </w:r>
      <w:r w:rsidR="00392A81" w:rsidRPr="000D6D21">
        <w:rPr>
          <w:rFonts w:eastAsia="Times New Roman" w:cs="Arial"/>
          <w:color w:val="000000"/>
          <w:sz w:val="28"/>
          <w:szCs w:val="28"/>
        </w:rPr>
        <w:t>2</w:t>
      </w:r>
      <w:r w:rsidR="001F4AF4" w:rsidRPr="000D6D21">
        <w:rPr>
          <w:rFonts w:eastAsia="Times New Roman" w:cs="Arial"/>
          <w:color w:val="000000"/>
          <w:sz w:val="28"/>
          <w:szCs w:val="28"/>
        </w:rPr>
        <w:t xml:space="preserve">, the </w:t>
      </w:r>
      <w:r w:rsidRPr="000D6D21">
        <w:rPr>
          <w:rFonts w:eastAsia="Times New Roman" w:cs="Arial"/>
          <w:color w:val="000000"/>
          <w:sz w:val="28"/>
          <w:szCs w:val="28"/>
        </w:rPr>
        <w:t>Committee filed and served notice</w:t>
      </w:r>
      <w:r w:rsidR="001F4AF4" w:rsidRPr="000D6D21">
        <w:rPr>
          <w:rFonts w:eastAsia="Times New Roman" w:cs="Arial"/>
          <w:color w:val="000000"/>
          <w:sz w:val="28"/>
          <w:szCs w:val="28"/>
        </w:rPr>
        <w:t>s</w:t>
      </w:r>
      <w:r w:rsidRPr="000D6D21">
        <w:rPr>
          <w:rFonts w:eastAsia="Times New Roman" w:cs="Arial"/>
          <w:color w:val="000000"/>
          <w:sz w:val="28"/>
          <w:szCs w:val="28"/>
        </w:rPr>
        <w:t xml:space="preserve"> of entry of the </w:t>
      </w:r>
      <w:r w:rsidR="00B6106B">
        <w:rPr>
          <w:rFonts w:eastAsia="Times New Roman" w:cs="Arial"/>
          <w:color w:val="000000"/>
          <w:sz w:val="28"/>
          <w:szCs w:val="28"/>
        </w:rPr>
        <w:t>final order</w:t>
      </w:r>
      <w:r w:rsidR="00584675">
        <w:rPr>
          <w:rFonts w:eastAsia="Times New Roman" w:cs="Arial"/>
          <w:color w:val="000000"/>
          <w:sz w:val="28"/>
          <w:szCs w:val="28"/>
        </w:rPr>
        <w:t xml:space="preserve"> on </w:t>
      </w:r>
      <w:r w:rsidRPr="000D6D21">
        <w:rPr>
          <w:rFonts w:eastAsia="Times New Roman" w:cs="Arial"/>
          <w:color w:val="000000"/>
          <w:sz w:val="28"/>
          <w:szCs w:val="28"/>
        </w:rPr>
        <w:t>December 6, 2022</w:t>
      </w:r>
      <w:r w:rsidR="00F80B83" w:rsidRPr="000D6D21">
        <w:rPr>
          <w:rFonts w:eastAsia="Times New Roman" w:cs="Arial"/>
          <w:color w:val="000000"/>
          <w:sz w:val="28"/>
          <w:szCs w:val="28"/>
        </w:rPr>
        <w:t>,</w:t>
      </w:r>
      <w:r w:rsidRPr="000D6D21">
        <w:rPr>
          <w:rFonts w:eastAsia="Times New Roman" w:cs="Arial"/>
          <w:color w:val="000000"/>
          <w:sz w:val="28"/>
          <w:szCs w:val="28"/>
        </w:rPr>
        <w:t xml:space="preserve"> </w:t>
      </w:r>
      <w:r w:rsidR="00294CE3" w:rsidRPr="000D6D21">
        <w:rPr>
          <w:rFonts w:eastAsia="Times New Roman" w:cs="Arial"/>
          <w:color w:val="000000"/>
          <w:sz w:val="28"/>
          <w:szCs w:val="28"/>
        </w:rPr>
        <w:t xml:space="preserve">and </w:t>
      </w:r>
      <w:r w:rsidR="00E04BF9">
        <w:rPr>
          <w:rFonts w:eastAsia="Times New Roman" w:cs="Arial"/>
          <w:color w:val="000000"/>
          <w:sz w:val="28"/>
          <w:szCs w:val="28"/>
        </w:rPr>
        <w:t xml:space="preserve">the </w:t>
      </w:r>
      <w:r w:rsidR="001F4AF4" w:rsidRPr="000D6D21">
        <w:rPr>
          <w:rFonts w:eastAsia="Times New Roman" w:cs="Arial"/>
          <w:color w:val="000000"/>
          <w:sz w:val="28"/>
          <w:szCs w:val="28"/>
        </w:rPr>
        <w:t xml:space="preserve">corresponding </w:t>
      </w:r>
      <w:r w:rsidR="00294CE3" w:rsidRPr="000D6D21">
        <w:rPr>
          <w:rFonts w:eastAsia="Times New Roman" w:cs="Arial"/>
          <w:color w:val="000000"/>
          <w:sz w:val="28"/>
          <w:szCs w:val="28"/>
        </w:rPr>
        <w:t>minute order</w:t>
      </w:r>
      <w:r w:rsidRPr="000D6D21">
        <w:rPr>
          <w:rFonts w:eastAsia="Times New Roman" w:cs="Arial"/>
          <w:color w:val="000000"/>
          <w:sz w:val="28"/>
          <w:szCs w:val="28"/>
        </w:rPr>
        <w:t xml:space="preserve">. </w:t>
      </w:r>
    </w:p>
    <w:p w14:paraId="633D17A6" w14:textId="77777777" w:rsidR="00F80B83" w:rsidRPr="000D6D21" w:rsidRDefault="00F80B83" w:rsidP="000D6D21">
      <w:pPr>
        <w:rPr>
          <w:bCs/>
          <w:iCs/>
          <w:sz w:val="28"/>
          <w:szCs w:val="28"/>
        </w:rPr>
      </w:pPr>
    </w:p>
    <w:p w14:paraId="633D17A7" w14:textId="77777777" w:rsidR="00A468D9" w:rsidRPr="000D6D21" w:rsidRDefault="00F615D7" w:rsidP="000D6D21">
      <w:pPr>
        <w:rPr>
          <w:b/>
          <w:iCs/>
          <w:sz w:val="28"/>
          <w:szCs w:val="28"/>
          <w:u w:val="single"/>
        </w:rPr>
      </w:pPr>
      <w:r w:rsidRPr="000D6D21">
        <w:rPr>
          <w:b/>
          <w:iCs/>
          <w:sz w:val="28"/>
          <w:szCs w:val="28"/>
        </w:rPr>
        <w:t>D.</w:t>
      </w:r>
      <w:r w:rsidRPr="000D6D21">
        <w:rPr>
          <w:b/>
          <w:iCs/>
          <w:sz w:val="28"/>
          <w:szCs w:val="28"/>
        </w:rPr>
        <w:tab/>
        <w:t>The January 2023 Order</w:t>
      </w:r>
      <w:r w:rsidRPr="000D6D21">
        <w:rPr>
          <w:b/>
          <w:iCs/>
          <w:sz w:val="28"/>
          <w:szCs w:val="28"/>
          <w:u w:val="single"/>
        </w:rPr>
        <w:t xml:space="preserve"> </w:t>
      </w:r>
    </w:p>
    <w:p w14:paraId="633D17A8" w14:textId="77777777" w:rsidR="002F532F" w:rsidRPr="000D6D21" w:rsidRDefault="00F615D7" w:rsidP="000D6D21">
      <w:pPr>
        <w:rPr>
          <w:bCs/>
          <w:iCs/>
          <w:sz w:val="28"/>
          <w:szCs w:val="28"/>
        </w:rPr>
      </w:pPr>
      <w:r w:rsidRPr="000D6D21">
        <w:rPr>
          <w:bCs/>
          <w:iCs/>
          <w:sz w:val="28"/>
          <w:szCs w:val="28"/>
        </w:rPr>
        <w:tab/>
      </w:r>
      <w:r w:rsidR="001F4AF4" w:rsidRPr="000D6D21">
        <w:rPr>
          <w:bCs/>
          <w:iCs/>
          <w:sz w:val="28"/>
          <w:szCs w:val="28"/>
        </w:rPr>
        <w:t>Dissatisfied with each other’s compliance with the injunction</w:t>
      </w:r>
      <w:r w:rsidR="00295B34" w:rsidRPr="000D6D21">
        <w:rPr>
          <w:bCs/>
          <w:iCs/>
          <w:sz w:val="28"/>
          <w:szCs w:val="28"/>
        </w:rPr>
        <w:t xml:space="preserve"> order</w:t>
      </w:r>
      <w:r w:rsidR="001F4AF4" w:rsidRPr="000D6D21">
        <w:rPr>
          <w:bCs/>
          <w:iCs/>
          <w:sz w:val="28"/>
          <w:szCs w:val="28"/>
        </w:rPr>
        <w:t xml:space="preserve">, </w:t>
      </w:r>
      <w:r w:rsidR="00AA7D44" w:rsidRPr="000D6D21">
        <w:rPr>
          <w:bCs/>
          <w:iCs/>
          <w:sz w:val="28"/>
          <w:szCs w:val="28"/>
        </w:rPr>
        <w:t xml:space="preserve">on January 23, 2023, </w:t>
      </w:r>
      <w:r w:rsidR="001F4AF4" w:rsidRPr="000D6D21">
        <w:rPr>
          <w:bCs/>
          <w:iCs/>
          <w:sz w:val="28"/>
          <w:szCs w:val="28"/>
        </w:rPr>
        <w:t>both p</w:t>
      </w:r>
      <w:r w:rsidRPr="000D6D21">
        <w:rPr>
          <w:bCs/>
          <w:iCs/>
          <w:sz w:val="28"/>
          <w:szCs w:val="28"/>
        </w:rPr>
        <w:t xml:space="preserve">arties filed </w:t>
      </w:r>
      <w:r w:rsidRPr="000D6D21">
        <w:rPr>
          <w:bCs/>
          <w:iCs/>
          <w:sz w:val="28"/>
          <w:szCs w:val="28"/>
        </w:rPr>
        <w:lastRenderedPageBreak/>
        <w:t xml:space="preserve">their own ex parte applications.  In its application, the Registrar sought an order setting </w:t>
      </w:r>
      <w:r w:rsidR="001F4AF4" w:rsidRPr="000D6D21">
        <w:rPr>
          <w:bCs/>
          <w:iCs/>
          <w:sz w:val="28"/>
          <w:szCs w:val="28"/>
        </w:rPr>
        <w:t xml:space="preserve">an amount of </w:t>
      </w:r>
      <w:r w:rsidRPr="000D6D21">
        <w:rPr>
          <w:bCs/>
          <w:iCs/>
          <w:sz w:val="28"/>
          <w:szCs w:val="28"/>
        </w:rPr>
        <w:t xml:space="preserve">bond and clarifying </w:t>
      </w:r>
      <w:r w:rsidR="001F4AF4" w:rsidRPr="000D6D21">
        <w:rPr>
          <w:bCs/>
          <w:iCs/>
          <w:sz w:val="28"/>
          <w:szCs w:val="28"/>
        </w:rPr>
        <w:t xml:space="preserve">the </w:t>
      </w:r>
      <w:r w:rsidRPr="000D6D21">
        <w:rPr>
          <w:bCs/>
          <w:iCs/>
          <w:sz w:val="28"/>
          <w:szCs w:val="28"/>
        </w:rPr>
        <w:t xml:space="preserve">December 2022 injunction order </w:t>
      </w:r>
      <w:r w:rsidR="00584675">
        <w:rPr>
          <w:bCs/>
          <w:iCs/>
          <w:sz w:val="28"/>
          <w:szCs w:val="28"/>
        </w:rPr>
        <w:t>as to</w:t>
      </w:r>
      <w:r w:rsidR="00584675" w:rsidRPr="000D6D21">
        <w:rPr>
          <w:bCs/>
          <w:iCs/>
          <w:sz w:val="28"/>
          <w:szCs w:val="28"/>
        </w:rPr>
        <w:t xml:space="preserve"> </w:t>
      </w:r>
      <w:r w:rsidRPr="000D6D21">
        <w:rPr>
          <w:bCs/>
          <w:iCs/>
          <w:sz w:val="28"/>
          <w:szCs w:val="28"/>
        </w:rPr>
        <w:t xml:space="preserve">the Committee’s ability to copy and transfer data from electronic lists for use outside </w:t>
      </w:r>
      <w:r w:rsidR="00F80B83" w:rsidRPr="000D6D21">
        <w:rPr>
          <w:bCs/>
          <w:iCs/>
          <w:sz w:val="28"/>
          <w:szCs w:val="28"/>
        </w:rPr>
        <w:t xml:space="preserve">of </w:t>
      </w:r>
      <w:r w:rsidRPr="000D6D21">
        <w:rPr>
          <w:bCs/>
          <w:iCs/>
          <w:sz w:val="28"/>
          <w:szCs w:val="28"/>
        </w:rPr>
        <w:t xml:space="preserve">the </w:t>
      </w:r>
      <w:r w:rsidR="001F4AF4" w:rsidRPr="000D6D21">
        <w:rPr>
          <w:bCs/>
          <w:iCs/>
          <w:sz w:val="28"/>
          <w:szCs w:val="28"/>
        </w:rPr>
        <w:t xml:space="preserve">Registrar’s </w:t>
      </w:r>
      <w:r w:rsidRPr="000D6D21">
        <w:rPr>
          <w:bCs/>
          <w:iCs/>
          <w:sz w:val="28"/>
          <w:szCs w:val="28"/>
        </w:rPr>
        <w:t>examination room.</w:t>
      </w:r>
      <w:r>
        <w:rPr>
          <w:rStyle w:val="FootnoteReference"/>
          <w:bCs/>
          <w:iCs/>
          <w:sz w:val="28"/>
          <w:szCs w:val="28"/>
        </w:rPr>
        <w:footnoteReference w:id="10"/>
      </w:r>
    </w:p>
    <w:p w14:paraId="633D17A9" w14:textId="77777777" w:rsidR="002A5044" w:rsidRPr="000D6D21" w:rsidRDefault="00F615D7" w:rsidP="000D6D21">
      <w:pPr>
        <w:ind w:firstLine="720"/>
        <w:rPr>
          <w:bCs/>
          <w:iCs/>
          <w:sz w:val="28"/>
          <w:szCs w:val="28"/>
        </w:rPr>
      </w:pPr>
      <w:r w:rsidRPr="000D6D21">
        <w:rPr>
          <w:bCs/>
          <w:iCs/>
          <w:sz w:val="28"/>
          <w:szCs w:val="28"/>
        </w:rPr>
        <w:t xml:space="preserve">In its application, the Committee sought an order directing the Registrar </w:t>
      </w:r>
      <w:r w:rsidR="00AA7D44" w:rsidRPr="000D6D21">
        <w:rPr>
          <w:bCs/>
          <w:iCs/>
          <w:sz w:val="28"/>
          <w:szCs w:val="28"/>
        </w:rPr>
        <w:t xml:space="preserve">in relevant part </w:t>
      </w:r>
      <w:r w:rsidRPr="000D6D21">
        <w:rPr>
          <w:bCs/>
          <w:iCs/>
          <w:sz w:val="28"/>
          <w:szCs w:val="28"/>
        </w:rPr>
        <w:t>t</w:t>
      </w:r>
      <w:r w:rsidRPr="000D6D21">
        <w:rPr>
          <w:bCs/>
          <w:iCs/>
          <w:sz w:val="28"/>
          <w:szCs w:val="28"/>
        </w:rPr>
        <w:t>o</w:t>
      </w:r>
      <w:r w:rsidR="00AA7D44" w:rsidRPr="000D6D21">
        <w:rPr>
          <w:bCs/>
          <w:iCs/>
          <w:sz w:val="28"/>
          <w:szCs w:val="28"/>
        </w:rPr>
        <w:t xml:space="preserve"> </w:t>
      </w:r>
      <w:r w:rsidRPr="000D6D21">
        <w:rPr>
          <w:bCs/>
          <w:iCs/>
          <w:sz w:val="28"/>
          <w:szCs w:val="28"/>
        </w:rPr>
        <w:t>comply with the December 2022 injunction order</w:t>
      </w:r>
      <w:r w:rsidR="001F4AF4" w:rsidRPr="000D6D21">
        <w:rPr>
          <w:bCs/>
          <w:iCs/>
          <w:sz w:val="28"/>
          <w:szCs w:val="28"/>
        </w:rPr>
        <w:t xml:space="preserve"> by permitting </w:t>
      </w:r>
      <w:r w:rsidRPr="000D6D21">
        <w:rPr>
          <w:bCs/>
          <w:iCs/>
          <w:sz w:val="28"/>
          <w:szCs w:val="28"/>
        </w:rPr>
        <w:t xml:space="preserve">Committee counsel and </w:t>
      </w:r>
      <w:r w:rsidR="001F4AF4" w:rsidRPr="000D6D21">
        <w:rPr>
          <w:bCs/>
          <w:iCs/>
          <w:sz w:val="28"/>
          <w:szCs w:val="28"/>
        </w:rPr>
        <w:t xml:space="preserve">their </w:t>
      </w:r>
      <w:r w:rsidRPr="000D6D21">
        <w:rPr>
          <w:bCs/>
          <w:iCs/>
          <w:sz w:val="28"/>
          <w:szCs w:val="28"/>
        </w:rPr>
        <w:t>retained computer analysts to use electronic voter data outside the examination room</w:t>
      </w:r>
      <w:r w:rsidR="00AA7D44" w:rsidRPr="000D6D21">
        <w:rPr>
          <w:bCs/>
          <w:iCs/>
          <w:sz w:val="28"/>
          <w:szCs w:val="28"/>
        </w:rPr>
        <w:t xml:space="preserve">.  The Committee also sought an order </w:t>
      </w:r>
      <w:r w:rsidRPr="000D6D21">
        <w:rPr>
          <w:bCs/>
          <w:iCs/>
          <w:sz w:val="28"/>
          <w:szCs w:val="28"/>
        </w:rPr>
        <w:t>commanding the Registrar to disclose curren</w:t>
      </w:r>
      <w:r w:rsidRPr="000D6D21">
        <w:rPr>
          <w:bCs/>
          <w:iCs/>
          <w:sz w:val="28"/>
          <w:szCs w:val="28"/>
        </w:rPr>
        <w:t>t and former affidavits of registration for invalidated signatures</w:t>
      </w:r>
      <w:r w:rsidR="00AA7D44" w:rsidRPr="000D6D21">
        <w:rPr>
          <w:bCs/>
          <w:iCs/>
          <w:sz w:val="28"/>
          <w:szCs w:val="28"/>
        </w:rPr>
        <w:t xml:space="preserve">, </w:t>
      </w:r>
      <w:r w:rsidR="00295B34" w:rsidRPr="000D6D21">
        <w:rPr>
          <w:bCs/>
          <w:iCs/>
          <w:sz w:val="28"/>
          <w:szCs w:val="28"/>
        </w:rPr>
        <w:t xml:space="preserve">which </w:t>
      </w:r>
      <w:r w:rsidR="00AA7D44" w:rsidRPr="000D6D21">
        <w:rPr>
          <w:bCs/>
          <w:iCs/>
          <w:sz w:val="28"/>
          <w:szCs w:val="28"/>
        </w:rPr>
        <w:t xml:space="preserve">was neither </w:t>
      </w:r>
      <w:r w:rsidR="00295B34" w:rsidRPr="000D6D21">
        <w:rPr>
          <w:bCs/>
          <w:iCs/>
          <w:sz w:val="28"/>
          <w:szCs w:val="28"/>
        </w:rPr>
        <w:t xml:space="preserve">requested in </w:t>
      </w:r>
      <w:r w:rsidR="00AA7D44" w:rsidRPr="000D6D21">
        <w:rPr>
          <w:bCs/>
          <w:iCs/>
          <w:sz w:val="28"/>
          <w:szCs w:val="28"/>
        </w:rPr>
        <w:t xml:space="preserve">the Committee’s </w:t>
      </w:r>
      <w:r w:rsidR="00295B34" w:rsidRPr="000D6D21">
        <w:rPr>
          <w:bCs/>
          <w:iCs/>
          <w:sz w:val="28"/>
          <w:szCs w:val="28"/>
        </w:rPr>
        <w:t xml:space="preserve">original ex parte application </w:t>
      </w:r>
      <w:r w:rsidR="00AA7D44" w:rsidRPr="000D6D21">
        <w:rPr>
          <w:bCs/>
          <w:iCs/>
          <w:sz w:val="28"/>
          <w:szCs w:val="28"/>
        </w:rPr>
        <w:t xml:space="preserve">nor </w:t>
      </w:r>
      <w:r w:rsidR="00295B34" w:rsidRPr="000D6D21">
        <w:rPr>
          <w:bCs/>
          <w:iCs/>
          <w:sz w:val="28"/>
          <w:szCs w:val="28"/>
        </w:rPr>
        <w:t>ordered disclosed</w:t>
      </w:r>
      <w:r w:rsidR="00AA7D44" w:rsidRPr="000D6D21">
        <w:rPr>
          <w:bCs/>
          <w:iCs/>
          <w:sz w:val="28"/>
          <w:szCs w:val="28"/>
        </w:rPr>
        <w:t xml:space="preserve"> by the court</w:t>
      </w:r>
      <w:r w:rsidR="00F80B83" w:rsidRPr="000D6D21">
        <w:rPr>
          <w:bCs/>
          <w:iCs/>
          <w:sz w:val="28"/>
          <w:szCs w:val="28"/>
        </w:rPr>
        <w:t xml:space="preserve"> on December 6, 2022</w:t>
      </w:r>
      <w:r w:rsidRPr="000D6D21">
        <w:rPr>
          <w:bCs/>
          <w:iCs/>
          <w:sz w:val="28"/>
          <w:szCs w:val="28"/>
        </w:rPr>
        <w:t xml:space="preserve">. </w:t>
      </w:r>
    </w:p>
    <w:p w14:paraId="633D17AA" w14:textId="77777777" w:rsidR="006A51D6" w:rsidRPr="000D6D21" w:rsidRDefault="00F615D7" w:rsidP="000D6D21">
      <w:pPr>
        <w:ind w:firstLine="720"/>
        <w:rPr>
          <w:bCs/>
          <w:iCs/>
          <w:sz w:val="28"/>
          <w:szCs w:val="28"/>
        </w:rPr>
      </w:pPr>
      <w:r w:rsidRPr="000D6D21">
        <w:rPr>
          <w:bCs/>
          <w:iCs/>
          <w:sz w:val="28"/>
          <w:szCs w:val="28"/>
        </w:rPr>
        <w:t>Following a</w:t>
      </w:r>
      <w:r w:rsidR="00B6106B">
        <w:rPr>
          <w:bCs/>
          <w:iCs/>
          <w:sz w:val="28"/>
          <w:szCs w:val="28"/>
        </w:rPr>
        <w:t xml:space="preserve"> joint</w:t>
      </w:r>
      <w:r w:rsidRPr="000D6D21">
        <w:rPr>
          <w:bCs/>
          <w:iCs/>
          <w:sz w:val="28"/>
          <w:szCs w:val="28"/>
        </w:rPr>
        <w:t xml:space="preserve"> hearing on both applications,</w:t>
      </w:r>
      <w:r w:rsidR="00B6106B">
        <w:rPr>
          <w:bCs/>
          <w:iCs/>
          <w:sz w:val="28"/>
          <w:szCs w:val="28"/>
        </w:rPr>
        <w:t xml:space="preserve"> </w:t>
      </w:r>
      <w:r w:rsidRPr="000D6D21">
        <w:rPr>
          <w:bCs/>
          <w:iCs/>
          <w:sz w:val="28"/>
          <w:szCs w:val="28"/>
        </w:rPr>
        <w:t>the co</w:t>
      </w:r>
      <w:r w:rsidRPr="000D6D21">
        <w:rPr>
          <w:bCs/>
          <w:iCs/>
          <w:sz w:val="28"/>
          <w:szCs w:val="28"/>
        </w:rPr>
        <w:t xml:space="preserve">urt issued an order partially granting </w:t>
      </w:r>
      <w:r w:rsidR="00AA7D44" w:rsidRPr="000D6D21">
        <w:rPr>
          <w:bCs/>
          <w:iCs/>
          <w:sz w:val="28"/>
          <w:szCs w:val="28"/>
        </w:rPr>
        <w:t xml:space="preserve">the </w:t>
      </w:r>
      <w:r w:rsidRPr="000D6D21">
        <w:rPr>
          <w:bCs/>
          <w:iCs/>
          <w:sz w:val="28"/>
          <w:szCs w:val="28"/>
        </w:rPr>
        <w:t>applications</w:t>
      </w:r>
      <w:r w:rsidR="00B6106B">
        <w:rPr>
          <w:bCs/>
          <w:iCs/>
          <w:sz w:val="28"/>
          <w:szCs w:val="28"/>
        </w:rPr>
        <w:t xml:space="preserve"> on January 30, 2023</w:t>
      </w:r>
      <w:r w:rsidRPr="000D6D21">
        <w:rPr>
          <w:bCs/>
          <w:iCs/>
          <w:sz w:val="28"/>
          <w:szCs w:val="28"/>
        </w:rPr>
        <w:t xml:space="preserve">.  The </w:t>
      </w:r>
      <w:r w:rsidR="00E04BF9">
        <w:rPr>
          <w:bCs/>
          <w:iCs/>
          <w:sz w:val="28"/>
          <w:szCs w:val="28"/>
        </w:rPr>
        <w:t>court</w:t>
      </w:r>
      <w:r w:rsidR="00E04BF9" w:rsidRPr="000D6D21">
        <w:rPr>
          <w:bCs/>
          <w:iCs/>
          <w:sz w:val="28"/>
          <w:szCs w:val="28"/>
        </w:rPr>
        <w:t xml:space="preserve"> </w:t>
      </w:r>
      <w:r w:rsidR="00F80B83" w:rsidRPr="000D6D21">
        <w:rPr>
          <w:bCs/>
          <w:iCs/>
          <w:sz w:val="28"/>
          <w:szCs w:val="28"/>
        </w:rPr>
        <w:t xml:space="preserve">authorized </w:t>
      </w:r>
      <w:r w:rsidRPr="000D6D21">
        <w:rPr>
          <w:bCs/>
          <w:iCs/>
          <w:sz w:val="28"/>
          <w:szCs w:val="28"/>
        </w:rPr>
        <w:t>use of electronic data</w:t>
      </w:r>
      <w:r w:rsidR="00F80B83" w:rsidRPr="000D6D21">
        <w:rPr>
          <w:bCs/>
          <w:iCs/>
          <w:sz w:val="28"/>
          <w:szCs w:val="28"/>
        </w:rPr>
        <w:t xml:space="preserve"> by the Committee</w:t>
      </w:r>
      <w:r w:rsidRPr="000D6D21">
        <w:rPr>
          <w:bCs/>
          <w:iCs/>
          <w:sz w:val="28"/>
          <w:szCs w:val="28"/>
        </w:rPr>
        <w:t xml:space="preserve"> outside </w:t>
      </w:r>
      <w:r w:rsidR="00F80B83" w:rsidRPr="000D6D21">
        <w:rPr>
          <w:bCs/>
          <w:iCs/>
          <w:sz w:val="28"/>
          <w:szCs w:val="28"/>
        </w:rPr>
        <w:t xml:space="preserve">the Registrar’s </w:t>
      </w:r>
      <w:r w:rsidRPr="000D6D21">
        <w:rPr>
          <w:bCs/>
          <w:iCs/>
          <w:sz w:val="28"/>
          <w:szCs w:val="28"/>
        </w:rPr>
        <w:t xml:space="preserve">examination room under a protective </w:t>
      </w:r>
      <w:r w:rsidR="008B3541" w:rsidRPr="000D6D21">
        <w:rPr>
          <w:bCs/>
          <w:iCs/>
          <w:sz w:val="28"/>
          <w:szCs w:val="28"/>
        </w:rPr>
        <w:t>order</w:t>
      </w:r>
      <w:r w:rsidR="008B3541">
        <w:rPr>
          <w:bCs/>
          <w:iCs/>
          <w:sz w:val="28"/>
          <w:szCs w:val="28"/>
        </w:rPr>
        <w:t xml:space="preserve"> and</w:t>
      </w:r>
      <w:r w:rsidR="00E04BF9">
        <w:rPr>
          <w:bCs/>
          <w:iCs/>
          <w:sz w:val="28"/>
          <w:szCs w:val="28"/>
        </w:rPr>
        <w:t xml:space="preserve"> </w:t>
      </w:r>
      <w:r w:rsidR="00F80B83" w:rsidRPr="000D6D21">
        <w:rPr>
          <w:bCs/>
          <w:iCs/>
          <w:sz w:val="28"/>
          <w:szCs w:val="28"/>
        </w:rPr>
        <w:t>commanded the Registrar to</w:t>
      </w:r>
      <w:r w:rsidRPr="000D6D21">
        <w:rPr>
          <w:bCs/>
          <w:iCs/>
          <w:sz w:val="28"/>
          <w:szCs w:val="28"/>
        </w:rPr>
        <w:t xml:space="preserve"> disclose redacted hardcopy affidavits of registration</w:t>
      </w:r>
      <w:r w:rsidR="00E04BF9">
        <w:rPr>
          <w:bCs/>
          <w:iCs/>
          <w:sz w:val="28"/>
          <w:szCs w:val="28"/>
        </w:rPr>
        <w:t xml:space="preserve">.  </w:t>
      </w:r>
      <w:r w:rsidR="00E04BF9">
        <w:rPr>
          <w:bCs/>
          <w:iCs/>
          <w:sz w:val="28"/>
          <w:szCs w:val="28"/>
        </w:rPr>
        <w:lastRenderedPageBreak/>
        <w:t>Finally, the court</w:t>
      </w:r>
      <w:r w:rsidR="008B3541">
        <w:rPr>
          <w:bCs/>
          <w:iCs/>
          <w:sz w:val="28"/>
          <w:szCs w:val="28"/>
        </w:rPr>
        <w:t xml:space="preserve"> </w:t>
      </w:r>
      <w:r w:rsidRPr="000D6D21">
        <w:rPr>
          <w:bCs/>
          <w:iCs/>
          <w:sz w:val="28"/>
          <w:szCs w:val="28"/>
        </w:rPr>
        <w:t xml:space="preserve">set an injunction bond </w:t>
      </w:r>
      <w:r w:rsidR="00B6106B">
        <w:rPr>
          <w:bCs/>
          <w:iCs/>
          <w:sz w:val="28"/>
          <w:szCs w:val="28"/>
        </w:rPr>
        <w:t xml:space="preserve">in the amount of </w:t>
      </w:r>
      <w:r w:rsidRPr="000D6D21">
        <w:rPr>
          <w:bCs/>
          <w:iCs/>
          <w:sz w:val="28"/>
          <w:szCs w:val="28"/>
        </w:rPr>
        <w:t xml:space="preserve">$500. </w:t>
      </w:r>
    </w:p>
    <w:p w14:paraId="633D17AB" w14:textId="77777777" w:rsidR="00A0341C" w:rsidRPr="000D6D21" w:rsidRDefault="00F615D7" w:rsidP="000D6D21">
      <w:pPr>
        <w:rPr>
          <w:bCs/>
          <w:iCs/>
          <w:sz w:val="28"/>
          <w:szCs w:val="28"/>
        </w:rPr>
      </w:pPr>
      <w:r w:rsidRPr="000D6D21">
        <w:rPr>
          <w:bCs/>
          <w:iCs/>
          <w:sz w:val="28"/>
          <w:szCs w:val="28"/>
        </w:rPr>
        <w:tab/>
      </w:r>
      <w:r w:rsidR="001F4AF4" w:rsidRPr="000D6D21">
        <w:rPr>
          <w:bCs/>
          <w:iCs/>
          <w:sz w:val="28"/>
          <w:szCs w:val="28"/>
        </w:rPr>
        <w:t>On January 31, 2023, t</w:t>
      </w:r>
      <w:r w:rsidRPr="000D6D21">
        <w:rPr>
          <w:bCs/>
          <w:iCs/>
          <w:sz w:val="28"/>
          <w:szCs w:val="28"/>
        </w:rPr>
        <w:t>he Registrar filed a notice of appeal</w:t>
      </w:r>
      <w:r w:rsidR="001F4AF4" w:rsidRPr="000D6D21">
        <w:rPr>
          <w:bCs/>
          <w:iCs/>
          <w:sz w:val="28"/>
          <w:szCs w:val="28"/>
        </w:rPr>
        <w:t xml:space="preserve"> from </w:t>
      </w:r>
      <w:r w:rsidR="00B6106B">
        <w:rPr>
          <w:bCs/>
          <w:iCs/>
          <w:sz w:val="28"/>
          <w:szCs w:val="28"/>
        </w:rPr>
        <w:t xml:space="preserve">the orders issued on </w:t>
      </w:r>
      <w:r w:rsidR="006A51D6" w:rsidRPr="000D6D21">
        <w:rPr>
          <w:bCs/>
          <w:iCs/>
          <w:sz w:val="28"/>
          <w:szCs w:val="28"/>
        </w:rPr>
        <w:t>December 6, 2022</w:t>
      </w:r>
      <w:r w:rsidR="00970AB1" w:rsidRPr="000D6D21">
        <w:rPr>
          <w:bCs/>
          <w:iCs/>
          <w:sz w:val="28"/>
          <w:szCs w:val="28"/>
        </w:rPr>
        <w:t>,</w:t>
      </w:r>
      <w:r w:rsidR="006A51D6" w:rsidRPr="000D6D21">
        <w:rPr>
          <w:bCs/>
          <w:iCs/>
          <w:sz w:val="28"/>
          <w:szCs w:val="28"/>
        </w:rPr>
        <w:t xml:space="preserve"> and January </w:t>
      </w:r>
      <w:r w:rsidR="00707AD1" w:rsidRPr="000D6D21">
        <w:rPr>
          <w:bCs/>
          <w:iCs/>
          <w:sz w:val="28"/>
          <w:szCs w:val="28"/>
        </w:rPr>
        <w:t>30, 202</w:t>
      </w:r>
      <w:r w:rsidRPr="000D6D21">
        <w:rPr>
          <w:bCs/>
          <w:iCs/>
          <w:sz w:val="28"/>
          <w:szCs w:val="28"/>
        </w:rPr>
        <w:t>3</w:t>
      </w:r>
      <w:r w:rsidR="00707AD1" w:rsidRPr="000D6D21">
        <w:rPr>
          <w:bCs/>
          <w:iCs/>
          <w:sz w:val="28"/>
          <w:szCs w:val="28"/>
        </w:rPr>
        <w:t xml:space="preserve">. </w:t>
      </w:r>
    </w:p>
    <w:p w14:paraId="633D17AC" w14:textId="77777777" w:rsidR="006A51D6" w:rsidRPr="000D6D21" w:rsidRDefault="006A51D6" w:rsidP="000D6D21">
      <w:pPr>
        <w:rPr>
          <w:bCs/>
          <w:iCs/>
          <w:sz w:val="28"/>
          <w:szCs w:val="28"/>
        </w:rPr>
      </w:pPr>
    </w:p>
    <w:p w14:paraId="633D17AD" w14:textId="77777777" w:rsidR="00C4289C" w:rsidRPr="000D6D21" w:rsidRDefault="00F615D7" w:rsidP="000D6D21">
      <w:pPr>
        <w:keepNext/>
        <w:jc w:val="center"/>
        <w:rPr>
          <w:b/>
          <w:sz w:val="28"/>
          <w:szCs w:val="28"/>
        </w:rPr>
      </w:pPr>
      <w:r w:rsidRPr="000D6D21">
        <w:rPr>
          <w:b/>
          <w:sz w:val="28"/>
          <w:szCs w:val="28"/>
        </w:rPr>
        <w:t>DISCUSSION</w:t>
      </w:r>
    </w:p>
    <w:p w14:paraId="633D17AE" w14:textId="77777777" w:rsidR="00E25CEB" w:rsidRPr="000D6D21" w:rsidRDefault="00F615D7" w:rsidP="000D6D21">
      <w:pPr>
        <w:keepNext/>
        <w:ind w:firstLine="720"/>
        <w:rPr>
          <w:sz w:val="28"/>
          <w:szCs w:val="28"/>
        </w:rPr>
      </w:pPr>
      <w:r w:rsidRPr="000D6D21">
        <w:rPr>
          <w:sz w:val="28"/>
          <w:szCs w:val="28"/>
        </w:rPr>
        <w:t xml:space="preserve">The Committee has filed a motion to dismiss </w:t>
      </w:r>
      <w:r w:rsidR="001F4AF4" w:rsidRPr="000D6D21">
        <w:rPr>
          <w:sz w:val="28"/>
          <w:szCs w:val="28"/>
        </w:rPr>
        <w:t>the Registrar’s</w:t>
      </w:r>
      <w:r w:rsidRPr="000D6D21">
        <w:rPr>
          <w:sz w:val="28"/>
          <w:szCs w:val="28"/>
        </w:rPr>
        <w:t xml:space="preserve"> appeal as </w:t>
      </w:r>
      <w:r w:rsidR="001F4AF4" w:rsidRPr="000D6D21">
        <w:rPr>
          <w:sz w:val="28"/>
          <w:szCs w:val="28"/>
        </w:rPr>
        <w:t xml:space="preserve">from a </w:t>
      </w:r>
      <w:proofErr w:type="spellStart"/>
      <w:r w:rsidR="001F4AF4" w:rsidRPr="000D6D21">
        <w:rPr>
          <w:sz w:val="28"/>
          <w:szCs w:val="28"/>
        </w:rPr>
        <w:t>nonappealable</w:t>
      </w:r>
      <w:proofErr w:type="spellEnd"/>
      <w:r w:rsidR="001F4AF4" w:rsidRPr="000D6D21">
        <w:rPr>
          <w:sz w:val="28"/>
          <w:szCs w:val="28"/>
        </w:rPr>
        <w:t xml:space="preserve"> order </w:t>
      </w:r>
      <w:r w:rsidRPr="000D6D21">
        <w:rPr>
          <w:sz w:val="28"/>
          <w:szCs w:val="28"/>
        </w:rPr>
        <w:t>“either directing disclosure by a public official or supporting the decision of the public official refusing disclosure</w:t>
      </w:r>
      <w:r w:rsidR="001F4AF4" w:rsidRPr="000D6D21">
        <w:rPr>
          <w:sz w:val="28"/>
          <w:szCs w:val="28"/>
        </w:rPr>
        <w:t xml:space="preserve">.”  </w:t>
      </w:r>
      <w:r w:rsidRPr="000D6D21">
        <w:rPr>
          <w:sz w:val="28"/>
          <w:szCs w:val="28"/>
        </w:rPr>
        <w:t>(§</w:t>
      </w:r>
      <w:r w:rsidR="006068EF">
        <w:rPr>
          <w:sz w:val="28"/>
          <w:szCs w:val="28"/>
        </w:rPr>
        <w:t> </w:t>
      </w:r>
      <w:r w:rsidRPr="000D6D21">
        <w:rPr>
          <w:sz w:val="28"/>
          <w:szCs w:val="28"/>
        </w:rPr>
        <w:t>7923.500, subd. (a)</w:t>
      </w:r>
      <w:r w:rsidR="001F4AF4" w:rsidRPr="000D6D21">
        <w:rPr>
          <w:sz w:val="28"/>
          <w:szCs w:val="28"/>
        </w:rPr>
        <w:t xml:space="preserve"> [such orders are “not a final judgment or order within the meaning of Section 904.1 of the Code of Civil Procedure from which an appeal may be taken”]</w:t>
      </w:r>
      <w:r w:rsidRPr="000D6D21">
        <w:rPr>
          <w:sz w:val="28"/>
          <w:szCs w:val="28"/>
        </w:rPr>
        <w:t xml:space="preserve">.)  </w:t>
      </w:r>
      <w:r w:rsidR="00F57C19" w:rsidRPr="000D6D21">
        <w:rPr>
          <w:sz w:val="28"/>
          <w:szCs w:val="28"/>
        </w:rPr>
        <w:t xml:space="preserve">In opposition, the Registrar contends that </w:t>
      </w:r>
      <w:r w:rsidR="001F4AF4" w:rsidRPr="000D6D21">
        <w:rPr>
          <w:sz w:val="28"/>
          <w:szCs w:val="28"/>
        </w:rPr>
        <w:t>because the December 2022 and January 2023 orders</w:t>
      </w:r>
      <w:r w:rsidR="00F57C19" w:rsidRPr="000D6D21">
        <w:rPr>
          <w:sz w:val="28"/>
          <w:szCs w:val="28"/>
        </w:rPr>
        <w:t xml:space="preserve"> do not order </w:t>
      </w:r>
      <w:r w:rsidR="00295B34" w:rsidRPr="000D6D21">
        <w:rPr>
          <w:sz w:val="28"/>
          <w:szCs w:val="28"/>
        </w:rPr>
        <w:t xml:space="preserve">disclosure of </w:t>
      </w:r>
      <w:r w:rsidR="00F57C19" w:rsidRPr="000D6D21">
        <w:rPr>
          <w:sz w:val="28"/>
          <w:szCs w:val="28"/>
        </w:rPr>
        <w:t>“public records” under the PRA</w:t>
      </w:r>
      <w:r w:rsidR="001F4AF4" w:rsidRPr="000D6D21">
        <w:rPr>
          <w:sz w:val="28"/>
          <w:szCs w:val="28"/>
        </w:rPr>
        <w:t xml:space="preserve">, they </w:t>
      </w:r>
      <w:r w:rsidR="00F57C19" w:rsidRPr="000D6D21">
        <w:rPr>
          <w:sz w:val="28"/>
          <w:szCs w:val="28"/>
        </w:rPr>
        <w:t xml:space="preserve">do not fall under section 7923.500’s limitation on appellate review. </w:t>
      </w:r>
    </w:p>
    <w:p w14:paraId="633D17AF" w14:textId="77777777" w:rsidR="008971B1" w:rsidRPr="000D6D21" w:rsidRDefault="00F615D7" w:rsidP="000D6D21">
      <w:pPr>
        <w:keepNext/>
        <w:rPr>
          <w:sz w:val="28"/>
          <w:szCs w:val="28"/>
        </w:rPr>
      </w:pPr>
      <w:r w:rsidRPr="000D6D21">
        <w:rPr>
          <w:sz w:val="28"/>
          <w:szCs w:val="28"/>
        </w:rPr>
        <w:tab/>
      </w:r>
      <w:r w:rsidR="001303B2" w:rsidRPr="000D6D21">
        <w:rPr>
          <w:sz w:val="28"/>
          <w:szCs w:val="28"/>
        </w:rPr>
        <w:t>“The ‘existence of an appealable judgment is a jurisdictional prerequisite to an appeal.’  [Citations.]”  (</w:t>
      </w:r>
      <w:proofErr w:type="spellStart"/>
      <w:r w:rsidR="001303B2" w:rsidRPr="000D6D21">
        <w:rPr>
          <w:i/>
          <w:iCs/>
          <w:sz w:val="28"/>
          <w:szCs w:val="28"/>
        </w:rPr>
        <w:t>MinCal</w:t>
      </w:r>
      <w:proofErr w:type="spellEnd"/>
      <w:r w:rsidR="001303B2" w:rsidRPr="000D6D21">
        <w:rPr>
          <w:i/>
          <w:iCs/>
          <w:sz w:val="28"/>
          <w:szCs w:val="28"/>
        </w:rPr>
        <w:t xml:space="preserve"> Consumer Law Group v. Ca</w:t>
      </w:r>
      <w:r w:rsidR="00097824" w:rsidRPr="000D6D21">
        <w:rPr>
          <w:i/>
          <w:iCs/>
          <w:sz w:val="28"/>
          <w:szCs w:val="28"/>
        </w:rPr>
        <w:t>r</w:t>
      </w:r>
      <w:r w:rsidR="001303B2" w:rsidRPr="000D6D21">
        <w:rPr>
          <w:i/>
          <w:iCs/>
          <w:sz w:val="28"/>
          <w:szCs w:val="28"/>
        </w:rPr>
        <w:t>lsbad Police Dept.</w:t>
      </w:r>
      <w:r w:rsidR="001303B2" w:rsidRPr="000D6D21">
        <w:rPr>
          <w:sz w:val="28"/>
          <w:szCs w:val="28"/>
        </w:rPr>
        <w:t xml:space="preserve"> (2013) 214 Cal.App.4th 259, 263 (</w:t>
      </w:r>
      <w:proofErr w:type="spellStart"/>
      <w:r w:rsidR="001303B2" w:rsidRPr="00EB6D49">
        <w:rPr>
          <w:i/>
          <w:iCs/>
          <w:sz w:val="28"/>
          <w:szCs w:val="28"/>
        </w:rPr>
        <w:t>MinCal</w:t>
      </w:r>
      <w:proofErr w:type="spellEnd"/>
      <w:r w:rsidR="001303B2" w:rsidRPr="000D6D21">
        <w:rPr>
          <w:sz w:val="28"/>
          <w:szCs w:val="28"/>
        </w:rPr>
        <w:t xml:space="preserve">).) </w:t>
      </w:r>
      <w:r w:rsidRPr="000D6D21">
        <w:rPr>
          <w:sz w:val="28"/>
          <w:szCs w:val="28"/>
        </w:rPr>
        <w:t xml:space="preserve"> </w:t>
      </w:r>
      <w:r w:rsidR="001303B2" w:rsidRPr="000D6D21">
        <w:rPr>
          <w:sz w:val="28"/>
          <w:szCs w:val="28"/>
        </w:rPr>
        <w:t xml:space="preserve">To determine the merits of the Committee’s motion and the scope of our appellate jurisdiction, we </w:t>
      </w:r>
      <w:r w:rsidRPr="000D6D21">
        <w:rPr>
          <w:sz w:val="28"/>
          <w:szCs w:val="28"/>
        </w:rPr>
        <w:t xml:space="preserve">review de novo </w:t>
      </w:r>
      <w:r w:rsidR="001303B2" w:rsidRPr="000D6D21">
        <w:rPr>
          <w:sz w:val="28"/>
          <w:szCs w:val="28"/>
        </w:rPr>
        <w:t xml:space="preserve">section 7923.500 and </w:t>
      </w:r>
      <w:r w:rsidRPr="000D6D21">
        <w:rPr>
          <w:sz w:val="28"/>
          <w:szCs w:val="28"/>
        </w:rPr>
        <w:t>the relevant PRA provisions</w:t>
      </w:r>
      <w:r w:rsidR="001303B2" w:rsidRPr="000D6D21">
        <w:rPr>
          <w:sz w:val="28"/>
          <w:szCs w:val="28"/>
        </w:rPr>
        <w:t>.</w:t>
      </w:r>
      <w:r w:rsidRPr="000D6D21">
        <w:rPr>
          <w:sz w:val="28"/>
          <w:szCs w:val="28"/>
        </w:rPr>
        <w:t xml:space="preserve">  (</w:t>
      </w:r>
      <w:proofErr w:type="spellStart"/>
      <w:r w:rsidRPr="00EB6D49">
        <w:rPr>
          <w:i/>
          <w:iCs/>
          <w:sz w:val="28"/>
          <w:szCs w:val="28"/>
        </w:rPr>
        <w:t>Florez</w:t>
      </w:r>
      <w:proofErr w:type="spellEnd"/>
      <w:r w:rsidRPr="000D6D21">
        <w:rPr>
          <w:i/>
          <w:iCs/>
          <w:sz w:val="28"/>
          <w:szCs w:val="28"/>
        </w:rPr>
        <w:t xml:space="preserve"> v. Linens ‘N Things, Inc.</w:t>
      </w:r>
      <w:r w:rsidRPr="000D6D21">
        <w:rPr>
          <w:sz w:val="28"/>
          <w:szCs w:val="28"/>
        </w:rPr>
        <w:t xml:space="preserve"> (2003) 108 Cal.App.4th 447</w:t>
      </w:r>
      <w:r w:rsidR="00F57C19" w:rsidRPr="000D6D21">
        <w:rPr>
          <w:sz w:val="28"/>
          <w:szCs w:val="28"/>
        </w:rPr>
        <w:t>,</w:t>
      </w:r>
      <w:r w:rsidRPr="000D6D21">
        <w:rPr>
          <w:sz w:val="28"/>
          <w:szCs w:val="28"/>
        </w:rPr>
        <w:t xml:space="preserve"> 451.)</w:t>
      </w:r>
      <w:r w:rsidR="00F57C19" w:rsidRPr="000D6D21">
        <w:rPr>
          <w:sz w:val="28"/>
          <w:szCs w:val="28"/>
        </w:rPr>
        <w:t xml:space="preserve">  As we shall discuss, we agree with the Committee that both orders </w:t>
      </w:r>
      <w:r w:rsidR="001F4AF4" w:rsidRPr="000D6D21">
        <w:rPr>
          <w:sz w:val="28"/>
          <w:szCs w:val="28"/>
        </w:rPr>
        <w:t xml:space="preserve">from which this appeal was taken </w:t>
      </w:r>
      <w:r w:rsidR="00F57C19" w:rsidRPr="000D6D21">
        <w:rPr>
          <w:sz w:val="28"/>
          <w:szCs w:val="28"/>
        </w:rPr>
        <w:t xml:space="preserve">are </w:t>
      </w:r>
      <w:proofErr w:type="spellStart"/>
      <w:r w:rsidR="00F57C19" w:rsidRPr="000D6D21">
        <w:rPr>
          <w:sz w:val="28"/>
          <w:szCs w:val="28"/>
        </w:rPr>
        <w:t>nonappealable</w:t>
      </w:r>
      <w:proofErr w:type="spellEnd"/>
      <w:r w:rsidR="00F57C19" w:rsidRPr="000D6D21">
        <w:rPr>
          <w:sz w:val="28"/>
          <w:szCs w:val="28"/>
        </w:rPr>
        <w:t xml:space="preserve"> under </w:t>
      </w:r>
      <w:r w:rsidR="00F57C19" w:rsidRPr="000D6D21">
        <w:rPr>
          <w:sz w:val="28"/>
          <w:szCs w:val="28"/>
        </w:rPr>
        <w:lastRenderedPageBreak/>
        <w:t xml:space="preserve">section 7923.500.  </w:t>
      </w:r>
      <w:r w:rsidR="00F12630">
        <w:rPr>
          <w:sz w:val="28"/>
          <w:szCs w:val="28"/>
        </w:rPr>
        <w:t xml:space="preserve">Due to </w:t>
      </w:r>
      <w:r w:rsidR="001F4AF4" w:rsidRPr="000D6D21">
        <w:rPr>
          <w:sz w:val="28"/>
          <w:szCs w:val="28"/>
        </w:rPr>
        <w:t>the jurisdictional time limits set forth in section 7923.500,</w:t>
      </w:r>
      <w:r w:rsidR="00F57C19" w:rsidRPr="000D6D21">
        <w:rPr>
          <w:sz w:val="28"/>
          <w:szCs w:val="28"/>
        </w:rPr>
        <w:t xml:space="preserve"> we </w:t>
      </w:r>
      <w:r w:rsidR="00E04BF9">
        <w:rPr>
          <w:sz w:val="28"/>
          <w:szCs w:val="28"/>
        </w:rPr>
        <w:t xml:space="preserve">further conclude that we </w:t>
      </w:r>
      <w:r w:rsidR="00F57C19" w:rsidRPr="000D6D21">
        <w:rPr>
          <w:sz w:val="28"/>
          <w:szCs w:val="28"/>
        </w:rPr>
        <w:t xml:space="preserve">lack jurisdiction to consider the December 2022 injunction </w:t>
      </w:r>
      <w:r w:rsidR="008B3541" w:rsidRPr="000D6D21">
        <w:rPr>
          <w:sz w:val="28"/>
          <w:szCs w:val="28"/>
        </w:rPr>
        <w:t>order but</w:t>
      </w:r>
      <w:r w:rsidR="00E04BF9">
        <w:rPr>
          <w:sz w:val="28"/>
          <w:szCs w:val="28"/>
        </w:rPr>
        <w:t xml:space="preserve"> may </w:t>
      </w:r>
      <w:r w:rsidR="00F57C19" w:rsidRPr="000D6D21">
        <w:rPr>
          <w:sz w:val="28"/>
          <w:szCs w:val="28"/>
        </w:rPr>
        <w:t>exercise our discretion to consider the Registrar’s contentions challenging the January 2023 order</w:t>
      </w:r>
      <w:r w:rsidR="001F4AF4" w:rsidRPr="000D6D21">
        <w:rPr>
          <w:sz w:val="28"/>
          <w:szCs w:val="28"/>
        </w:rPr>
        <w:t>.</w:t>
      </w:r>
    </w:p>
    <w:p w14:paraId="633D17B0" w14:textId="77777777" w:rsidR="001303B2" w:rsidRPr="000D6D21" w:rsidRDefault="001303B2" w:rsidP="000D6D21">
      <w:pPr>
        <w:keepNext/>
        <w:rPr>
          <w:sz w:val="28"/>
          <w:szCs w:val="28"/>
        </w:rPr>
      </w:pPr>
    </w:p>
    <w:p w14:paraId="633D17B1" w14:textId="77777777" w:rsidR="008971B1" w:rsidRPr="000D6D21" w:rsidRDefault="00F615D7" w:rsidP="000D6D21">
      <w:pPr>
        <w:keepNext/>
        <w:rPr>
          <w:b/>
          <w:sz w:val="28"/>
          <w:szCs w:val="28"/>
        </w:rPr>
      </w:pPr>
      <w:r w:rsidRPr="000D6D21">
        <w:rPr>
          <w:b/>
          <w:sz w:val="28"/>
          <w:szCs w:val="28"/>
        </w:rPr>
        <w:t>A.</w:t>
      </w:r>
      <w:r w:rsidRPr="000D6D21">
        <w:rPr>
          <w:b/>
          <w:sz w:val="28"/>
          <w:szCs w:val="28"/>
        </w:rPr>
        <w:tab/>
      </w:r>
      <w:r w:rsidR="00E25CEB" w:rsidRPr="000D6D21">
        <w:rPr>
          <w:b/>
          <w:sz w:val="28"/>
          <w:szCs w:val="28"/>
        </w:rPr>
        <w:t>Principles of Statutory Interpretation</w:t>
      </w:r>
    </w:p>
    <w:p w14:paraId="633D17B2" w14:textId="77777777" w:rsidR="00BE205B" w:rsidRPr="000D6D21" w:rsidRDefault="00F615D7" w:rsidP="000D6D21">
      <w:pPr>
        <w:keepNext/>
        <w:rPr>
          <w:rFonts w:eastAsia="Times New Roman" w:cs="Times New Roman"/>
          <w:color w:val="000000"/>
          <w:sz w:val="28"/>
          <w:szCs w:val="28"/>
          <w:bdr w:val="none" w:sz="0" w:space="0" w:color="auto" w:frame="1"/>
          <w:shd w:val="clear" w:color="auto" w:fill="FFFFFF"/>
        </w:rPr>
      </w:pPr>
      <w:r w:rsidRPr="000D6D21">
        <w:rPr>
          <w:sz w:val="28"/>
          <w:szCs w:val="28"/>
        </w:rPr>
        <w:tab/>
      </w:r>
      <w:r w:rsidRPr="000D6D21">
        <w:rPr>
          <w:rFonts w:eastAsia="Times New Roman" w:cs="Times New Roman"/>
          <w:color w:val="000000"/>
          <w:sz w:val="28"/>
          <w:szCs w:val="28"/>
          <w:bdr w:val="none" w:sz="0" w:space="0" w:color="auto" w:frame="1"/>
          <w:shd w:val="clear" w:color="auto" w:fill="FFFFFF"/>
        </w:rPr>
        <w:t>When interpreting a statute, “‘“[o]</w:t>
      </w:r>
      <w:proofErr w:type="spellStart"/>
      <w:r w:rsidRPr="000D6D21">
        <w:rPr>
          <w:rFonts w:eastAsia="Times New Roman" w:cs="Times New Roman"/>
          <w:color w:val="000000"/>
          <w:sz w:val="28"/>
          <w:szCs w:val="28"/>
          <w:bdr w:val="none" w:sz="0" w:space="0" w:color="auto" w:frame="1"/>
          <w:shd w:val="clear" w:color="auto" w:fill="FFFFFF"/>
        </w:rPr>
        <w:t>ur</w:t>
      </w:r>
      <w:proofErr w:type="spellEnd"/>
      <w:r w:rsidRPr="000D6D21">
        <w:rPr>
          <w:rFonts w:eastAsia="Times New Roman" w:cs="Times New Roman"/>
          <w:color w:val="000000"/>
          <w:sz w:val="28"/>
          <w:szCs w:val="28"/>
          <w:bdr w:val="none" w:sz="0" w:space="0" w:color="auto" w:frame="1"/>
          <w:shd w:val="clear" w:color="auto" w:fill="FFFFFF"/>
        </w:rPr>
        <w:t xml:space="preserve"> fundamental task . . . is to determine the Legislature’s intent </w:t>
      </w:r>
      <w:proofErr w:type="gramStart"/>
      <w:r w:rsidRPr="000D6D21">
        <w:rPr>
          <w:rFonts w:eastAsia="Times New Roman" w:cs="Times New Roman"/>
          <w:color w:val="000000"/>
          <w:sz w:val="28"/>
          <w:szCs w:val="28"/>
          <w:bdr w:val="none" w:sz="0" w:space="0" w:color="auto" w:frame="1"/>
          <w:shd w:val="clear" w:color="auto" w:fill="FFFFFF"/>
        </w:rPr>
        <w:t>so as to</w:t>
      </w:r>
      <w:proofErr w:type="gramEnd"/>
      <w:r w:rsidRPr="000D6D21">
        <w:rPr>
          <w:rFonts w:eastAsia="Times New Roman" w:cs="Times New Roman"/>
          <w:color w:val="000000"/>
          <w:sz w:val="28"/>
          <w:szCs w:val="28"/>
          <w:bdr w:val="none" w:sz="0" w:space="0" w:color="auto" w:frame="1"/>
          <w:shd w:val="clear" w:color="auto" w:fill="FFFFFF"/>
        </w:rPr>
        <w:t xml:space="preserve"> effectuate the law’s purpose.  We first examine the statutory language, giving it a plain and commonsense meaning.  We do not examine that </w:t>
      </w:r>
      <w:r w:rsidRPr="000D6D21">
        <w:rPr>
          <w:rFonts w:eastAsia="Times New Roman" w:cs="Times New Roman"/>
          <w:color w:val="000000"/>
          <w:sz w:val="28"/>
          <w:szCs w:val="28"/>
          <w:bdr w:val="none" w:sz="0" w:space="0" w:color="auto" w:frame="1"/>
          <w:shd w:val="clear" w:color="auto" w:fill="FFFFFF"/>
        </w:rPr>
        <w:t xml:space="preserve">language in isolation, but in the context of the statutory framework as a whole </w:t>
      </w:r>
      <w:proofErr w:type="gramStart"/>
      <w:r w:rsidRPr="000D6D21">
        <w:rPr>
          <w:rFonts w:eastAsia="Times New Roman" w:cs="Times New Roman"/>
          <w:color w:val="000000"/>
          <w:sz w:val="28"/>
          <w:szCs w:val="28"/>
          <w:bdr w:val="none" w:sz="0" w:space="0" w:color="auto" w:frame="1"/>
          <w:shd w:val="clear" w:color="auto" w:fill="FFFFFF"/>
        </w:rPr>
        <w:t>in order to</w:t>
      </w:r>
      <w:proofErr w:type="gramEnd"/>
      <w:r w:rsidRPr="000D6D21">
        <w:rPr>
          <w:rFonts w:eastAsia="Times New Roman" w:cs="Times New Roman"/>
          <w:color w:val="000000"/>
          <w:sz w:val="28"/>
          <w:szCs w:val="28"/>
          <w:bdr w:val="none" w:sz="0" w:space="0" w:color="auto" w:frame="1"/>
          <w:shd w:val="clear" w:color="auto" w:fill="FFFFFF"/>
        </w:rPr>
        <w:t xml:space="preserve"> determine its scope and purpose and to harmonize the various parts of the enactment.  If the language is clear, courts must generally follow its plain meaning unles</w:t>
      </w:r>
      <w:r w:rsidRPr="000D6D21">
        <w:rPr>
          <w:rFonts w:eastAsia="Times New Roman" w:cs="Times New Roman"/>
          <w:color w:val="000000"/>
          <w:sz w:val="28"/>
          <w:szCs w:val="28"/>
          <w:bdr w:val="none" w:sz="0" w:space="0" w:color="auto" w:frame="1"/>
          <w:shd w:val="clear" w:color="auto" w:fill="FFFFFF"/>
        </w:rPr>
        <w:t>s a literal interpretation would result in absurd consequences the Legislature did not intend.  If the statutory language permits more than one reasonable interpretation, courts may consider other aids, such as the statute’s purpose, legislative history, a</w:t>
      </w:r>
      <w:r w:rsidRPr="000D6D21">
        <w:rPr>
          <w:rFonts w:eastAsia="Times New Roman" w:cs="Times New Roman"/>
          <w:color w:val="000000"/>
          <w:sz w:val="28"/>
          <w:szCs w:val="28"/>
          <w:bdr w:val="none" w:sz="0" w:space="0" w:color="auto" w:frame="1"/>
          <w:shd w:val="clear" w:color="auto" w:fill="FFFFFF"/>
        </w:rPr>
        <w:t xml:space="preserve">nd public policy.” </w:t>
      </w:r>
      <w:r w:rsidR="00E3058D" w:rsidRPr="000D6D21">
        <w:rPr>
          <w:rFonts w:eastAsia="Times New Roman" w:cs="Times New Roman"/>
          <w:color w:val="000000"/>
          <w:sz w:val="28"/>
          <w:szCs w:val="28"/>
          <w:bdr w:val="none" w:sz="0" w:space="0" w:color="auto" w:frame="1"/>
          <w:shd w:val="clear" w:color="auto" w:fill="FFFFFF"/>
        </w:rPr>
        <w:t xml:space="preserve"> </w:t>
      </w:r>
      <w:r w:rsidRPr="000D6D21">
        <w:rPr>
          <w:rFonts w:eastAsia="Times New Roman" w:cs="Times New Roman"/>
          <w:color w:val="000000"/>
          <w:sz w:val="28"/>
          <w:szCs w:val="28"/>
          <w:bdr w:val="none" w:sz="0" w:space="0" w:color="auto" w:frame="1"/>
          <w:shd w:val="clear" w:color="auto" w:fill="FFFFFF"/>
        </w:rPr>
        <w:t>[Citation.]’”  (</w:t>
      </w:r>
      <w:r w:rsidRPr="000D6D21">
        <w:rPr>
          <w:rFonts w:eastAsia="Times New Roman" w:cs="Times New Roman"/>
          <w:i/>
          <w:color w:val="000000"/>
          <w:sz w:val="28"/>
          <w:szCs w:val="28"/>
          <w:bdr w:val="none" w:sz="0" w:space="0" w:color="auto" w:frame="1"/>
          <w:shd w:val="clear" w:color="auto" w:fill="FFFFFF"/>
        </w:rPr>
        <w:t xml:space="preserve">City of San Jose v. Superior Court </w:t>
      </w:r>
      <w:r w:rsidRPr="000D6D21">
        <w:rPr>
          <w:rFonts w:eastAsia="Times New Roman" w:cs="Times New Roman"/>
          <w:color w:val="000000"/>
          <w:sz w:val="28"/>
          <w:szCs w:val="28"/>
          <w:bdr w:val="none" w:sz="0" w:space="0" w:color="auto" w:frame="1"/>
          <w:shd w:val="clear" w:color="auto" w:fill="FFFFFF"/>
        </w:rPr>
        <w:t>(2017) 2 Cal.5th 608, 616</w:t>
      </w:r>
      <w:r w:rsidRPr="000D6D21">
        <w:rPr>
          <w:rFonts w:eastAsia="Times New Roman" w:cs="Times New Roman"/>
          <w:color w:val="000000"/>
          <w:sz w:val="28"/>
          <w:szCs w:val="28"/>
          <w:bdr w:val="none" w:sz="0" w:space="0" w:color="auto" w:frame="1"/>
          <w:shd w:val="clear" w:color="auto" w:fill="FFFFFF"/>
        </w:rPr>
        <w:noBreakHyphen/>
        <w:t>617 (</w:t>
      </w:r>
      <w:r w:rsidRPr="00EB6D49">
        <w:rPr>
          <w:rFonts w:eastAsia="Times New Roman" w:cs="Times New Roman"/>
          <w:i/>
          <w:color w:val="000000"/>
          <w:sz w:val="28"/>
          <w:szCs w:val="28"/>
          <w:bdr w:val="none" w:sz="0" w:space="0" w:color="auto" w:frame="1"/>
          <w:shd w:val="clear" w:color="auto" w:fill="FFFFFF"/>
        </w:rPr>
        <w:t>City of San Jose</w:t>
      </w:r>
      <w:r w:rsidRPr="000D6D21">
        <w:rPr>
          <w:rFonts w:eastAsia="Times New Roman" w:cs="Times New Roman"/>
          <w:color w:val="000000"/>
          <w:sz w:val="28"/>
          <w:szCs w:val="28"/>
          <w:bdr w:val="none" w:sz="0" w:space="0" w:color="auto" w:frame="1"/>
          <w:shd w:val="clear" w:color="auto" w:fill="FFFFFF"/>
        </w:rPr>
        <w:t xml:space="preserve">); see </w:t>
      </w:r>
      <w:r w:rsidR="00E04BF9">
        <w:rPr>
          <w:rFonts w:eastAsia="Times New Roman" w:cs="Times New Roman"/>
          <w:color w:val="000000"/>
          <w:sz w:val="28"/>
          <w:szCs w:val="28"/>
          <w:bdr w:val="none" w:sz="0" w:space="0" w:color="auto" w:frame="1"/>
          <w:shd w:val="clear" w:color="auto" w:fill="FFFFFF"/>
        </w:rPr>
        <w:t xml:space="preserve">also </w:t>
      </w:r>
      <w:r w:rsidRPr="000D6D21">
        <w:rPr>
          <w:rFonts w:eastAsia="Times New Roman" w:cs="Times New Roman"/>
          <w:i/>
          <w:iCs/>
          <w:color w:val="000000"/>
          <w:sz w:val="28"/>
          <w:szCs w:val="28"/>
          <w:bdr w:val="none" w:sz="0" w:space="0" w:color="auto" w:frame="1"/>
          <w:shd w:val="clear" w:color="auto" w:fill="FFFFFF"/>
        </w:rPr>
        <w:t>National Lawyers Guild, San Francisco Bay Area Chapter v. City of Hayward</w:t>
      </w:r>
      <w:r w:rsidRPr="000D6D21">
        <w:rPr>
          <w:rFonts w:eastAsia="Times New Roman" w:cs="Times New Roman"/>
          <w:color w:val="000000"/>
          <w:sz w:val="28"/>
          <w:szCs w:val="28"/>
          <w:bdr w:val="none" w:sz="0" w:space="0" w:color="auto" w:frame="1"/>
          <w:shd w:val="clear" w:color="auto" w:fill="FFFFFF"/>
        </w:rPr>
        <w:t xml:space="preserve"> (2020) 9 Cal.5th 488, 498 (</w:t>
      </w:r>
      <w:r w:rsidRPr="00EB6D49">
        <w:rPr>
          <w:rFonts w:eastAsia="Times New Roman" w:cs="Times New Roman"/>
          <w:i/>
          <w:iCs/>
          <w:color w:val="000000"/>
          <w:sz w:val="28"/>
          <w:szCs w:val="28"/>
          <w:bdr w:val="none" w:sz="0" w:space="0" w:color="auto" w:frame="1"/>
          <w:shd w:val="clear" w:color="auto" w:fill="FFFFFF"/>
        </w:rPr>
        <w:t>Hayward</w:t>
      </w:r>
      <w:r w:rsidRPr="000D6D21">
        <w:rPr>
          <w:rFonts w:eastAsia="Times New Roman" w:cs="Times New Roman"/>
          <w:color w:val="000000"/>
          <w:sz w:val="28"/>
          <w:szCs w:val="28"/>
          <w:bdr w:val="none" w:sz="0" w:space="0" w:color="auto" w:frame="1"/>
          <w:shd w:val="clear" w:color="auto" w:fill="FFFFFF"/>
        </w:rPr>
        <w:t xml:space="preserve">) [dictionary definitions may be a “reliable guide to statutory meaning; [but] sometimes context suggests that the </w:t>
      </w:r>
      <w:r w:rsidRPr="000D6D21">
        <w:rPr>
          <w:rFonts w:eastAsia="Times New Roman" w:cs="Times New Roman"/>
          <w:color w:val="000000"/>
          <w:sz w:val="28"/>
          <w:szCs w:val="28"/>
          <w:bdr w:val="none" w:sz="0" w:space="0" w:color="auto" w:frame="1"/>
          <w:shd w:val="clear" w:color="auto" w:fill="FFFFFF"/>
        </w:rPr>
        <w:lastRenderedPageBreak/>
        <w:t>Legislature may have been using a term in a more technical or specialized way”].)</w:t>
      </w:r>
      <w:r w:rsidRPr="000D6D21">
        <w:rPr>
          <w:rFonts w:eastAsia="Times New Roman" w:cs="Times New Roman"/>
          <w:color w:val="000000"/>
          <w:sz w:val="28"/>
          <w:szCs w:val="28"/>
        </w:rPr>
        <w:t xml:space="preserve">  </w:t>
      </w:r>
    </w:p>
    <w:p w14:paraId="633D17B3" w14:textId="77777777" w:rsidR="00BE205B" w:rsidRPr="000D6D21" w:rsidRDefault="00F615D7" w:rsidP="000D6D21">
      <w:pPr>
        <w:keepNext/>
        <w:rPr>
          <w:rFonts w:eastAsia="Times New Roman" w:cs="Times New Roman"/>
          <w:color w:val="000000"/>
          <w:sz w:val="28"/>
          <w:szCs w:val="28"/>
          <w:bdr w:val="none" w:sz="0" w:space="0" w:color="auto" w:frame="1"/>
          <w:shd w:val="clear" w:color="auto" w:fill="FFFFFF"/>
        </w:rPr>
      </w:pPr>
      <w:r w:rsidRPr="000D6D21">
        <w:rPr>
          <w:rFonts w:eastAsia="Times New Roman" w:cs="Times New Roman"/>
          <w:color w:val="000000"/>
          <w:sz w:val="28"/>
          <w:szCs w:val="28"/>
          <w:bdr w:val="none" w:sz="0" w:space="0" w:color="auto" w:frame="1"/>
          <w:shd w:val="clear" w:color="auto" w:fill="FFFFFF"/>
        </w:rPr>
        <w:tab/>
      </w:r>
      <w:r w:rsidRPr="000D6D21">
        <w:rPr>
          <w:rFonts w:eastAsia="Times New Roman" w:cs="Times New Roman"/>
          <w:color w:val="000000"/>
          <w:sz w:val="28"/>
          <w:szCs w:val="28"/>
          <w:bdr w:val="none" w:sz="0" w:space="0" w:color="auto" w:frame="1"/>
          <w:shd w:val="clear" w:color="auto" w:fill="FFFFFF"/>
        </w:rPr>
        <w:t>Ultimately, our job is to find an interpretation “that more readily comports with the statutory text” under the PRA.  (</w:t>
      </w:r>
      <w:r w:rsidRPr="000D6D21">
        <w:rPr>
          <w:rFonts w:eastAsia="Times New Roman" w:cs="Times New Roman"/>
          <w:i/>
          <w:iCs/>
          <w:color w:val="000000"/>
          <w:sz w:val="28"/>
          <w:szCs w:val="28"/>
          <w:bdr w:val="none" w:sz="0" w:space="0" w:color="auto" w:frame="1"/>
          <w:shd w:val="clear" w:color="auto" w:fill="FFFFFF"/>
        </w:rPr>
        <w:t>Hayward</w:t>
      </w:r>
      <w:r w:rsidRPr="000D6D21">
        <w:rPr>
          <w:rFonts w:eastAsia="Times New Roman" w:cs="Times New Roman"/>
          <w:color w:val="000000"/>
          <w:sz w:val="28"/>
          <w:szCs w:val="28"/>
          <w:bdr w:val="none" w:sz="0" w:space="0" w:color="auto" w:frame="1"/>
          <w:shd w:val="clear" w:color="auto" w:fill="FFFFFF"/>
        </w:rPr>
        <w:t xml:space="preserve">, </w:t>
      </w:r>
      <w:r w:rsidRPr="000D6D21">
        <w:rPr>
          <w:rFonts w:eastAsia="Times New Roman" w:cs="Times New Roman"/>
          <w:i/>
          <w:iCs/>
          <w:color w:val="000000"/>
          <w:sz w:val="28"/>
          <w:szCs w:val="28"/>
          <w:bdr w:val="none" w:sz="0" w:space="0" w:color="auto" w:frame="1"/>
          <w:shd w:val="clear" w:color="auto" w:fill="FFFFFF"/>
        </w:rPr>
        <w:t>supra</w:t>
      </w:r>
      <w:r w:rsidRPr="000D6D21">
        <w:rPr>
          <w:rFonts w:eastAsia="Times New Roman" w:cs="Times New Roman"/>
          <w:color w:val="000000"/>
          <w:sz w:val="28"/>
          <w:szCs w:val="28"/>
          <w:bdr w:val="none" w:sz="0" w:space="0" w:color="auto" w:frame="1"/>
          <w:shd w:val="clear" w:color="auto" w:fill="FFFFFF"/>
        </w:rPr>
        <w:t>, 9 Cal.5th at p. 503.)  “</w:t>
      </w:r>
      <w:r w:rsidR="008D28A5" w:rsidRPr="000D6D21">
        <w:rPr>
          <w:rFonts w:eastAsia="Times New Roman" w:cs="Times New Roman"/>
          <w:color w:val="000000"/>
          <w:sz w:val="28"/>
          <w:szCs w:val="28"/>
          <w:bdr w:val="none" w:sz="0" w:space="0" w:color="auto" w:frame="1"/>
          <w:shd w:val="clear" w:color="auto" w:fill="FFFFFF"/>
        </w:rPr>
        <w:t>T</w:t>
      </w:r>
      <w:r w:rsidRPr="000D6D21">
        <w:rPr>
          <w:rFonts w:eastAsia="Times New Roman" w:cs="Times New Roman"/>
          <w:color w:val="000000"/>
          <w:sz w:val="28"/>
          <w:szCs w:val="28"/>
          <w:bdr w:val="none" w:sz="0" w:space="0" w:color="auto" w:frame="1"/>
          <w:shd w:val="clear" w:color="auto" w:fill="FFFFFF"/>
        </w:rPr>
        <w:t>o the extent any doubt remains, California’s constitutional directive to ‘broadly construe[ ]’ a</w:t>
      </w:r>
      <w:r w:rsidRPr="000D6D21">
        <w:rPr>
          <w:rFonts w:eastAsia="Times New Roman" w:cs="Times New Roman"/>
          <w:color w:val="000000"/>
          <w:sz w:val="28"/>
          <w:szCs w:val="28"/>
          <w:bdr w:val="none" w:sz="0" w:space="0" w:color="auto" w:frame="1"/>
          <w:shd w:val="clear" w:color="auto" w:fill="FFFFFF"/>
        </w:rPr>
        <w:t xml:space="preserve"> statute ‘if it furthers the people’s right of access’” may favor one interpretation over another.  (</w:t>
      </w:r>
      <w:r w:rsidRPr="000D6D21">
        <w:rPr>
          <w:rFonts w:eastAsia="Times New Roman" w:cs="Times New Roman"/>
          <w:i/>
          <w:iCs/>
          <w:color w:val="000000"/>
          <w:sz w:val="28"/>
          <w:szCs w:val="28"/>
          <w:bdr w:val="none" w:sz="0" w:space="0" w:color="auto" w:frame="1"/>
          <w:shd w:val="clear" w:color="auto" w:fill="FFFFFF"/>
        </w:rPr>
        <w:t>Id.</w:t>
      </w:r>
      <w:r w:rsidRPr="000D6D21">
        <w:rPr>
          <w:rFonts w:eastAsia="Times New Roman" w:cs="Times New Roman"/>
          <w:color w:val="000000"/>
          <w:sz w:val="28"/>
          <w:szCs w:val="28"/>
          <w:bdr w:val="none" w:sz="0" w:space="0" w:color="auto" w:frame="1"/>
          <w:shd w:val="clear" w:color="auto" w:fill="FFFFFF"/>
        </w:rPr>
        <w:t xml:space="preserve"> at p.</w:t>
      </w:r>
      <w:r w:rsidR="001F4AF4" w:rsidRPr="000D6D21">
        <w:rPr>
          <w:rFonts w:eastAsia="Times New Roman" w:cs="Times New Roman"/>
          <w:color w:val="000000"/>
          <w:sz w:val="28"/>
          <w:szCs w:val="28"/>
          <w:bdr w:val="none" w:sz="0" w:space="0" w:color="auto" w:frame="1"/>
          <w:shd w:val="clear" w:color="auto" w:fill="FFFFFF"/>
        </w:rPr>
        <w:t> </w:t>
      </w:r>
      <w:r w:rsidRPr="000D6D21">
        <w:rPr>
          <w:rFonts w:eastAsia="Times New Roman" w:cs="Times New Roman"/>
          <w:color w:val="000000"/>
          <w:sz w:val="28"/>
          <w:szCs w:val="28"/>
          <w:bdr w:val="none" w:sz="0" w:space="0" w:color="auto" w:frame="1"/>
          <w:shd w:val="clear" w:color="auto" w:fill="FFFFFF"/>
        </w:rPr>
        <w:t xml:space="preserve">507.)  </w:t>
      </w:r>
    </w:p>
    <w:p w14:paraId="633D17B4" w14:textId="77777777" w:rsidR="00BE205B" w:rsidRPr="000D6D21" w:rsidRDefault="00BE205B" w:rsidP="000D6D21">
      <w:pPr>
        <w:keepNext/>
        <w:rPr>
          <w:rFonts w:eastAsia="Times New Roman" w:cs="Times New Roman"/>
          <w:color w:val="000000"/>
          <w:sz w:val="28"/>
          <w:szCs w:val="28"/>
          <w:bdr w:val="none" w:sz="0" w:space="0" w:color="auto" w:frame="1"/>
          <w:shd w:val="clear" w:color="auto" w:fill="FFFFFF"/>
        </w:rPr>
      </w:pPr>
    </w:p>
    <w:p w14:paraId="633D17B5" w14:textId="77777777" w:rsidR="00E25CEB" w:rsidRPr="000D6D21" w:rsidRDefault="00F615D7" w:rsidP="000D6D21">
      <w:pPr>
        <w:keepNext/>
        <w:rPr>
          <w:b/>
          <w:sz w:val="28"/>
          <w:szCs w:val="28"/>
          <w:u w:val="single"/>
        </w:rPr>
      </w:pPr>
      <w:r w:rsidRPr="000D6D21">
        <w:rPr>
          <w:b/>
          <w:sz w:val="28"/>
          <w:szCs w:val="28"/>
        </w:rPr>
        <w:t>B.</w:t>
      </w:r>
      <w:r w:rsidRPr="000D6D21">
        <w:rPr>
          <w:b/>
          <w:sz w:val="28"/>
          <w:szCs w:val="28"/>
        </w:rPr>
        <w:tab/>
        <w:t>Relevant PRA Provisions</w:t>
      </w:r>
    </w:p>
    <w:p w14:paraId="633D17B6" w14:textId="77777777" w:rsidR="008971B1" w:rsidRPr="000D6D21" w:rsidRDefault="00F615D7" w:rsidP="00551475">
      <w:pPr>
        <w:keepNext/>
        <w:ind w:left="1440" w:hanging="720"/>
        <w:rPr>
          <w:i/>
          <w:sz w:val="28"/>
          <w:szCs w:val="28"/>
        </w:rPr>
      </w:pPr>
      <w:r w:rsidRPr="000D6D21">
        <w:rPr>
          <w:bCs/>
          <w:sz w:val="28"/>
          <w:szCs w:val="28"/>
        </w:rPr>
        <w:t>1.</w:t>
      </w:r>
      <w:r w:rsidRPr="000D6D21">
        <w:rPr>
          <w:bCs/>
          <w:sz w:val="28"/>
          <w:szCs w:val="28"/>
        </w:rPr>
        <w:tab/>
      </w:r>
      <w:r w:rsidRPr="000D6D21">
        <w:rPr>
          <w:bCs/>
          <w:i/>
          <w:sz w:val="28"/>
          <w:szCs w:val="28"/>
        </w:rPr>
        <w:t>The</w:t>
      </w:r>
      <w:r w:rsidRPr="000D6D21">
        <w:rPr>
          <w:bCs/>
          <w:sz w:val="28"/>
          <w:szCs w:val="28"/>
        </w:rPr>
        <w:t xml:space="preserve"> </w:t>
      </w:r>
      <w:r w:rsidRPr="000D6D21">
        <w:rPr>
          <w:bCs/>
          <w:i/>
          <w:sz w:val="28"/>
          <w:szCs w:val="28"/>
        </w:rPr>
        <w:t xml:space="preserve">Right to Examine </w:t>
      </w:r>
      <w:r w:rsidR="008D28A5" w:rsidRPr="000D6D21">
        <w:rPr>
          <w:bCs/>
          <w:i/>
          <w:sz w:val="28"/>
          <w:szCs w:val="28"/>
        </w:rPr>
        <w:t xml:space="preserve">an </w:t>
      </w:r>
      <w:r w:rsidRPr="000D6D21">
        <w:rPr>
          <w:bCs/>
          <w:i/>
          <w:sz w:val="28"/>
          <w:szCs w:val="28"/>
        </w:rPr>
        <w:t>Unsuccessful Recall Petition</w:t>
      </w:r>
    </w:p>
    <w:p w14:paraId="633D17B7" w14:textId="77777777" w:rsidR="008971B1" w:rsidRPr="000D6D21" w:rsidRDefault="00F615D7" w:rsidP="000D6D21">
      <w:pPr>
        <w:keepNext/>
        <w:rPr>
          <w:rFonts w:eastAsia="Times New Roman" w:cs="Times New Roman"/>
          <w:color w:val="000000"/>
          <w:sz w:val="28"/>
          <w:szCs w:val="28"/>
          <w:bdr w:val="none" w:sz="0" w:space="0" w:color="auto" w:frame="1"/>
          <w:shd w:val="clear" w:color="auto" w:fill="FFFFFF"/>
        </w:rPr>
      </w:pPr>
      <w:r w:rsidRPr="000D6D21">
        <w:rPr>
          <w:sz w:val="28"/>
          <w:szCs w:val="28"/>
        </w:rPr>
        <w:tab/>
        <w:t xml:space="preserve">The </w:t>
      </w:r>
      <w:r w:rsidRPr="000D6D21">
        <w:rPr>
          <w:rFonts w:eastAsia="Times New Roman" w:cs="Times New Roman"/>
          <w:color w:val="000000"/>
          <w:sz w:val="28"/>
          <w:szCs w:val="28"/>
          <w:bdr w:val="none" w:sz="0" w:space="0" w:color="auto" w:frame="1"/>
          <w:shd w:val="clear" w:color="auto" w:fill="FFFFFF"/>
        </w:rPr>
        <w:t xml:space="preserve">PRA, codified in </w:t>
      </w:r>
      <w:r w:rsidR="00EF0239" w:rsidRPr="000D6D21">
        <w:rPr>
          <w:rFonts w:eastAsia="Times New Roman" w:cs="Times New Roman"/>
          <w:color w:val="000000"/>
          <w:sz w:val="28"/>
          <w:szCs w:val="28"/>
          <w:bdr w:val="none" w:sz="0" w:space="0" w:color="auto" w:frame="1"/>
          <w:shd w:val="clear" w:color="auto" w:fill="FFFFFF"/>
        </w:rPr>
        <w:t>T</w:t>
      </w:r>
      <w:r w:rsidRPr="000D6D21">
        <w:rPr>
          <w:rFonts w:eastAsia="Times New Roman" w:cs="Times New Roman"/>
          <w:color w:val="000000"/>
          <w:sz w:val="28"/>
          <w:szCs w:val="28"/>
          <w:bdr w:val="none" w:sz="0" w:space="0" w:color="auto" w:frame="1"/>
          <w:shd w:val="clear" w:color="auto" w:fill="FFFFFF"/>
        </w:rPr>
        <w:t xml:space="preserve">itle 1, </w:t>
      </w:r>
      <w:r w:rsidR="00EF0239" w:rsidRPr="000D6D21">
        <w:rPr>
          <w:rFonts w:eastAsia="Times New Roman" w:cs="Times New Roman"/>
          <w:color w:val="000000"/>
          <w:sz w:val="28"/>
          <w:szCs w:val="28"/>
          <w:bdr w:val="none" w:sz="0" w:space="0" w:color="auto" w:frame="1"/>
          <w:shd w:val="clear" w:color="auto" w:fill="FFFFFF"/>
        </w:rPr>
        <w:t>D</w:t>
      </w:r>
      <w:r w:rsidRPr="000D6D21">
        <w:rPr>
          <w:rFonts w:eastAsia="Times New Roman" w:cs="Times New Roman"/>
          <w:color w:val="000000"/>
          <w:sz w:val="28"/>
          <w:szCs w:val="28"/>
          <w:bdr w:val="none" w:sz="0" w:space="0" w:color="auto" w:frame="1"/>
          <w:shd w:val="clear" w:color="auto" w:fill="FFFFFF"/>
        </w:rPr>
        <w:t xml:space="preserve">ivision 10 of the Government Code, provides that “access to information concerning the conduct of the people’s business is a fundamental and necessary right of every person in this state.”  (§ 7921.000.)  As </w:t>
      </w:r>
      <w:r w:rsidR="00EF0239" w:rsidRPr="000D6D21">
        <w:rPr>
          <w:rFonts w:eastAsia="Times New Roman" w:cs="Times New Roman"/>
          <w:color w:val="000000"/>
          <w:sz w:val="28"/>
          <w:szCs w:val="28"/>
          <w:bdr w:val="none" w:sz="0" w:space="0" w:color="auto" w:frame="1"/>
          <w:shd w:val="clear" w:color="auto" w:fill="FFFFFF"/>
        </w:rPr>
        <w:t>employed</w:t>
      </w:r>
      <w:r w:rsidRPr="000D6D21">
        <w:rPr>
          <w:rFonts w:eastAsia="Times New Roman" w:cs="Times New Roman"/>
          <w:color w:val="000000"/>
          <w:sz w:val="28"/>
          <w:szCs w:val="28"/>
          <w:bdr w:val="none" w:sz="0" w:space="0" w:color="auto" w:frame="1"/>
          <w:shd w:val="clear" w:color="auto" w:fill="FFFFFF"/>
        </w:rPr>
        <w:t xml:space="preserve"> in the PRA, “‘public records’ includes </w:t>
      </w:r>
      <w:r w:rsidRPr="000D6D21">
        <w:rPr>
          <w:rFonts w:eastAsia="Times New Roman" w:cs="Times New Roman"/>
          <w:color w:val="000000"/>
          <w:sz w:val="28"/>
          <w:szCs w:val="28"/>
          <w:bdr w:val="none" w:sz="0" w:space="0" w:color="auto" w:frame="1"/>
          <w:shd w:val="clear" w:color="auto" w:fill="FFFFFF"/>
        </w:rPr>
        <w:t>any writing containing information relating to the conduct of the public’s business prepared, owned, used, or retained by any state or local agency regardless of physical form or characteristics.”  (§ 7920.530, subd. (a).)  Part 5 of the PRA, entitled “Spe</w:t>
      </w:r>
      <w:r w:rsidRPr="000D6D21">
        <w:rPr>
          <w:rFonts w:eastAsia="Times New Roman" w:cs="Times New Roman"/>
          <w:color w:val="000000"/>
          <w:sz w:val="28"/>
          <w:szCs w:val="28"/>
          <w:bdr w:val="none" w:sz="0" w:space="0" w:color="auto" w:frame="1"/>
          <w:shd w:val="clear" w:color="auto" w:fill="FFFFFF"/>
        </w:rPr>
        <w:t xml:space="preserve">cific Types of Public Records,” sets forth 19 chapters </w:t>
      </w:r>
      <w:r w:rsidR="00BE205B" w:rsidRPr="000D6D21">
        <w:rPr>
          <w:rFonts w:eastAsia="Times New Roman" w:cs="Times New Roman"/>
          <w:color w:val="000000"/>
          <w:sz w:val="28"/>
          <w:szCs w:val="28"/>
          <w:bdr w:val="none" w:sz="0" w:space="0" w:color="auto" w:frame="1"/>
          <w:shd w:val="clear" w:color="auto" w:fill="FFFFFF"/>
        </w:rPr>
        <w:t>on</w:t>
      </w:r>
      <w:r w:rsidRPr="000D6D21">
        <w:rPr>
          <w:rFonts w:eastAsia="Times New Roman" w:cs="Times New Roman"/>
          <w:color w:val="000000"/>
          <w:sz w:val="28"/>
          <w:szCs w:val="28"/>
          <w:bdr w:val="none" w:sz="0" w:space="0" w:color="auto" w:frame="1"/>
          <w:shd w:val="clear" w:color="auto" w:fill="FFFFFF"/>
        </w:rPr>
        <w:t xml:space="preserve"> the disclosure </w:t>
      </w:r>
      <w:r w:rsidR="000C580D" w:rsidRPr="000D6D21">
        <w:rPr>
          <w:rFonts w:eastAsia="Times New Roman" w:cs="Times New Roman"/>
          <w:color w:val="000000"/>
          <w:sz w:val="28"/>
          <w:szCs w:val="28"/>
          <w:bdr w:val="none" w:sz="0" w:space="0" w:color="auto" w:frame="1"/>
          <w:shd w:val="clear" w:color="auto" w:fill="FFFFFF"/>
        </w:rPr>
        <w:t xml:space="preserve">of </w:t>
      </w:r>
      <w:r w:rsidR="00D061C0" w:rsidRPr="000D6D21">
        <w:rPr>
          <w:rFonts w:eastAsia="Times New Roman" w:cs="Times New Roman"/>
          <w:color w:val="000000"/>
          <w:sz w:val="28"/>
          <w:szCs w:val="28"/>
          <w:bdr w:val="none" w:sz="0" w:space="0" w:color="auto" w:frame="1"/>
          <w:shd w:val="clear" w:color="auto" w:fill="FFFFFF"/>
        </w:rPr>
        <w:t xml:space="preserve">different </w:t>
      </w:r>
      <w:r w:rsidRPr="000D6D21">
        <w:rPr>
          <w:rFonts w:eastAsia="Times New Roman" w:cs="Times New Roman"/>
          <w:color w:val="000000"/>
          <w:sz w:val="28"/>
          <w:szCs w:val="28"/>
          <w:bdr w:val="none" w:sz="0" w:space="0" w:color="auto" w:frame="1"/>
          <w:shd w:val="clear" w:color="auto" w:fill="FFFFFF"/>
        </w:rPr>
        <w:t>classes of records.  Chapter 2 of Part 5, entitled “Election Materials and Petitions,” prescribes limitations on disclosure</w:t>
      </w:r>
      <w:r w:rsidR="00E3058D" w:rsidRPr="000D6D21">
        <w:rPr>
          <w:rFonts w:eastAsia="Times New Roman" w:cs="Times New Roman"/>
          <w:color w:val="000000"/>
          <w:sz w:val="28"/>
          <w:szCs w:val="28"/>
          <w:bdr w:val="none" w:sz="0" w:space="0" w:color="auto" w:frame="1"/>
          <w:shd w:val="clear" w:color="auto" w:fill="FFFFFF"/>
        </w:rPr>
        <w:t>s</w:t>
      </w:r>
      <w:r w:rsidRPr="000D6D21">
        <w:rPr>
          <w:rFonts w:eastAsia="Times New Roman" w:cs="Times New Roman"/>
          <w:color w:val="000000"/>
          <w:sz w:val="28"/>
          <w:szCs w:val="28"/>
          <w:bdr w:val="none" w:sz="0" w:space="0" w:color="auto" w:frame="1"/>
          <w:shd w:val="clear" w:color="auto" w:fill="FFFFFF"/>
        </w:rPr>
        <w:t xml:space="preserve"> </w:t>
      </w:r>
      <w:r w:rsidR="00970AB1" w:rsidRPr="000D6D21">
        <w:rPr>
          <w:rFonts w:eastAsia="Times New Roman" w:cs="Times New Roman"/>
          <w:color w:val="000000"/>
          <w:sz w:val="28"/>
          <w:szCs w:val="28"/>
          <w:bdr w:val="none" w:sz="0" w:space="0" w:color="auto" w:frame="1"/>
          <w:shd w:val="clear" w:color="auto" w:fill="FFFFFF"/>
        </w:rPr>
        <w:t xml:space="preserve">applicable to </w:t>
      </w:r>
      <w:r w:rsidRPr="000D6D21">
        <w:rPr>
          <w:rFonts w:eastAsia="Times New Roman" w:cs="Times New Roman"/>
          <w:color w:val="000000"/>
          <w:sz w:val="28"/>
          <w:szCs w:val="28"/>
          <w:bdr w:val="none" w:sz="0" w:space="0" w:color="auto" w:frame="1"/>
          <w:shd w:val="clear" w:color="auto" w:fill="FFFFFF"/>
        </w:rPr>
        <w:t xml:space="preserve">voter information </w:t>
      </w:r>
      <w:r w:rsidRPr="000D6D21">
        <w:rPr>
          <w:rFonts w:eastAsia="Times New Roman" w:cs="Times New Roman"/>
          <w:color w:val="000000"/>
          <w:sz w:val="28"/>
          <w:szCs w:val="28"/>
          <w:bdr w:val="none" w:sz="0" w:space="0" w:color="auto" w:frame="1"/>
          <w:shd w:val="clear" w:color="auto" w:fill="FFFFFF"/>
        </w:rPr>
        <w:lastRenderedPageBreak/>
        <w:t>(§§ 7924.</w:t>
      </w:r>
      <w:r w:rsidR="00FA5716" w:rsidRPr="000D6D21">
        <w:rPr>
          <w:rFonts w:eastAsia="Times New Roman" w:cs="Times New Roman"/>
          <w:color w:val="000000"/>
          <w:sz w:val="28"/>
          <w:szCs w:val="28"/>
          <w:bdr w:val="none" w:sz="0" w:space="0" w:color="auto" w:frame="1"/>
          <w:shd w:val="clear" w:color="auto" w:fill="FFFFFF"/>
        </w:rPr>
        <w:t>0</w:t>
      </w:r>
      <w:r w:rsidRPr="000D6D21">
        <w:rPr>
          <w:rFonts w:eastAsia="Times New Roman" w:cs="Times New Roman"/>
          <w:color w:val="000000"/>
          <w:sz w:val="28"/>
          <w:szCs w:val="28"/>
          <w:bdr w:val="none" w:sz="0" w:space="0" w:color="auto" w:frame="1"/>
          <w:shd w:val="clear" w:color="auto" w:fill="FFFFFF"/>
        </w:rPr>
        <w:t>00</w:t>
      </w:r>
      <w:r w:rsidRPr="000D6D21">
        <w:rPr>
          <w:rFonts w:eastAsia="Times New Roman" w:cs="Times New Roman"/>
          <w:color w:val="000000"/>
          <w:sz w:val="28"/>
          <w:szCs w:val="28"/>
          <w:bdr w:val="none" w:sz="0" w:space="0" w:color="auto" w:frame="1"/>
          <w:shd w:val="clear" w:color="auto" w:fill="FFFFFF"/>
        </w:rPr>
        <w:noBreakHyphen/>
        <w:t>7924.005), and initiative, referendum, recall, and other petitions (§§ 7924.1</w:t>
      </w:r>
      <w:r w:rsidR="00D061C0" w:rsidRPr="000D6D21">
        <w:rPr>
          <w:rFonts w:eastAsia="Times New Roman" w:cs="Times New Roman"/>
          <w:color w:val="000000"/>
          <w:sz w:val="28"/>
          <w:szCs w:val="28"/>
          <w:bdr w:val="none" w:sz="0" w:space="0" w:color="auto" w:frame="1"/>
          <w:shd w:val="clear" w:color="auto" w:fill="FFFFFF"/>
        </w:rPr>
        <w:t>0</w:t>
      </w:r>
      <w:r w:rsidRPr="000D6D21">
        <w:rPr>
          <w:rFonts w:eastAsia="Times New Roman" w:cs="Times New Roman"/>
          <w:color w:val="000000"/>
          <w:sz w:val="28"/>
          <w:szCs w:val="28"/>
          <w:bdr w:val="none" w:sz="0" w:space="0" w:color="auto" w:frame="1"/>
          <w:shd w:val="clear" w:color="auto" w:fill="FFFFFF"/>
        </w:rPr>
        <w:t>0</w:t>
      </w:r>
      <w:r w:rsidRPr="000D6D21">
        <w:rPr>
          <w:rFonts w:eastAsia="Times New Roman" w:cs="Times New Roman"/>
          <w:color w:val="000000"/>
          <w:sz w:val="28"/>
          <w:szCs w:val="28"/>
          <w:bdr w:val="none" w:sz="0" w:space="0" w:color="auto" w:frame="1"/>
          <w:shd w:val="clear" w:color="auto" w:fill="FFFFFF"/>
        </w:rPr>
        <w:noBreakHyphen/>
        <w:t>7924.110).</w:t>
      </w:r>
    </w:p>
    <w:p w14:paraId="633D17B8" w14:textId="77777777" w:rsidR="00D061C0" w:rsidRPr="000D6D21" w:rsidRDefault="00F615D7" w:rsidP="000D6D21">
      <w:pPr>
        <w:keepNext/>
        <w:rPr>
          <w:rFonts w:eastAsia="Times New Roman" w:cs="Times New Roman"/>
          <w:color w:val="000000"/>
          <w:sz w:val="28"/>
          <w:szCs w:val="28"/>
        </w:rPr>
      </w:pPr>
      <w:r w:rsidRPr="000D6D21">
        <w:rPr>
          <w:rFonts w:eastAsia="Times New Roman" w:cs="Times New Roman"/>
          <w:color w:val="000000"/>
          <w:sz w:val="28"/>
          <w:szCs w:val="28"/>
          <w:bdr w:val="none" w:sz="0" w:space="0" w:color="auto" w:frame="1"/>
          <w:shd w:val="clear" w:color="auto" w:fill="FFFFFF"/>
        </w:rPr>
        <w:tab/>
      </w:r>
      <w:r w:rsidR="008D28A5" w:rsidRPr="000D6D21">
        <w:rPr>
          <w:rFonts w:eastAsia="Times New Roman" w:cs="Times New Roman"/>
          <w:color w:val="000000"/>
          <w:sz w:val="28"/>
          <w:szCs w:val="28"/>
          <w:bdr w:val="none" w:sz="0" w:space="0" w:color="auto" w:frame="1"/>
          <w:shd w:val="clear" w:color="auto" w:fill="FFFFFF"/>
        </w:rPr>
        <w:t>S</w:t>
      </w:r>
      <w:r w:rsidRPr="000D6D21">
        <w:rPr>
          <w:rFonts w:eastAsia="Times New Roman" w:cs="Times New Roman"/>
          <w:color w:val="000000"/>
          <w:sz w:val="28"/>
          <w:szCs w:val="28"/>
          <w:bdr w:val="none" w:sz="0" w:space="0" w:color="auto" w:frame="1"/>
          <w:shd w:val="clear" w:color="auto" w:fill="FFFFFF"/>
        </w:rPr>
        <w:t>ection 7924.0</w:t>
      </w:r>
      <w:r w:rsidR="00047020" w:rsidRPr="000D6D21">
        <w:rPr>
          <w:rFonts w:eastAsia="Times New Roman" w:cs="Times New Roman"/>
          <w:color w:val="000000"/>
          <w:sz w:val="28"/>
          <w:szCs w:val="28"/>
          <w:bdr w:val="none" w:sz="0" w:space="0" w:color="auto" w:frame="1"/>
          <w:shd w:val="clear" w:color="auto" w:fill="FFFFFF"/>
        </w:rPr>
        <w:t>0</w:t>
      </w:r>
      <w:r w:rsidRPr="000D6D21">
        <w:rPr>
          <w:rFonts w:eastAsia="Times New Roman" w:cs="Times New Roman"/>
          <w:color w:val="000000"/>
          <w:sz w:val="28"/>
          <w:szCs w:val="28"/>
          <w:bdr w:val="none" w:sz="0" w:space="0" w:color="auto" w:frame="1"/>
          <w:shd w:val="clear" w:color="auto" w:fill="FFFFFF"/>
        </w:rPr>
        <w:t>0 provides</w:t>
      </w:r>
      <w:r w:rsidR="008D28A5" w:rsidRPr="000D6D21">
        <w:rPr>
          <w:rFonts w:eastAsia="Times New Roman" w:cs="Times New Roman"/>
          <w:color w:val="000000"/>
          <w:sz w:val="28"/>
          <w:szCs w:val="28"/>
          <w:bdr w:val="none" w:sz="0" w:space="0" w:color="auto" w:frame="1"/>
          <w:shd w:val="clear" w:color="auto" w:fill="FFFFFF"/>
        </w:rPr>
        <w:t xml:space="preserve"> in relevant part </w:t>
      </w:r>
      <w:r w:rsidRPr="000D6D21">
        <w:rPr>
          <w:rFonts w:eastAsia="Times New Roman" w:cs="Times New Roman"/>
          <w:color w:val="000000"/>
          <w:sz w:val="28"/>
          <w:szCs w:val="28"/>
          <w:bdr w:val="none" w:sz="0" w:space="0" w:color="auto" w:frame="1"/>
          <w:shd w:val="clear" w:color="auto" w:fill="FFFFFF"/>
        </w:rPr>
        <w:t>that “[e]</w:t>
      </w:r>
      <w:proofErr w:type="spellStart"/>
      <w:r w:rsidRPr="000D6D21">
        <w:rPr>
          <w:rFonts w:eastAsia="Times New Roman" w:cs="Times New Roman"/>
          <w:color w:val="000000"/>
          <w:sz w:val="28"/>
          <w:szCs w:val="28"/>
          <w:bdr w:val="none" w:sz="0" w:space="0" w:color="auto" w:frame="1"/>
          <w:shd w:val="clear" w:color="auto" w:fill="FFFFFF"/>
        </w:rPr>
        <w:t>xcept</w:t>
      </w:r>
      <w:proofErr w:type="spellEnd"/>
      <w:r w:rsidRPr="000D6D21">
        <w:rPr>
          <w:rFonts w:eastAsia="Times New Roman" w:cs="Times New Roman"/>
          <w:color w:val="000000"/>
          <w:sz w:val="28"/>
          <w:szCs w:val="28"/>
          <w:bdr w:val="none" w:sz="0" w:space="0" w:color="auto" w:frame="1"/>
          <w:shd w:val="clear" w:color="auto" w:fill="FFFFFF"/>
        </w:rPr>
        <w:t xml:space="preserve"> as provided in Section </w:t>
      </w:r>
      <w:r w:rsidRPr="000D6D21">
        <w:rPr>
          <w:rFonts w:eastAsia="Times New Roman" w:cs="Times New Roman"/>
          <w:color w:val="000000"/>
          <w:sz w:val="28"/>
          <w:szCs w:val="28"/>
        </w:rPr>
        <w:t xml:space="preserve">2194 of the Elections Code, both of the following are </w:t>
      </w:r>
      <w:r w:rsidRPr="000D6D21">
        <w:rPr>
          <w:rFonts w:eastAsia="Times New Roman" w:cs="Times New Roman"/>
          <w:color w:val="000000"/>
          <w:sz w:val="28"/>
          <w:szCs w:val="28"/>
        </w:rPr>
        <w:t>confidential and shall not be disclosed to any person: [¶] (1) The home address, telephone number, email address, precinct number, or other number specified by the Secretary of State for voter registration purposes. [¶] (2) Prior registration information s</w:t>
      </w:r>
      <w:r w:rsidRPr="000D6D21">
        <w:rPr>
          <w:rFonts w:eastAsia="Times New Roman" w:cs="Times New Roman"/>
          <w:color w:val="000000"/>
          <w:sz w:val="28"/>
          <w:szCs w:val="28"/>
        </w:rPr>
        <w:t>hown on an affidavit of registration.”  (§ 7924.0</w:t>
      </w:r>
      <w:r w:rsidR="00FA5716" w:rsidRPr="000D6D21">
        <w:rPr>
          <w:rFonts w:eastAsia="Times New Roman" w:cs="Times New Roman"/>
          <w:color w:val="000000"/>
          <w:sz w:val="28"/>
          <w:szCs w:val="28"/>
        </w:rPr>
        <w:t>0</w:t>
      </w:r>
      <w:r w:rsidRPr="000D6D21">
        <w:rPr>
          <w:rFonts w:eastAsia="Times New Roman" w:cs="Times New Roman"/>
          <w:color w:val="000000"/>
          <w:sz w:val="28"/>
          <w:szCs w:val="28"/>
        </w:rPr>
        <w:t xml:space="preserve">0, subd. (a).)  </w:t>
      </w:r>
    </w:p>
    <w:p w14:paraId="633D17B9" w14:textId="77777777" w:rsidR="008971B1" w:rsidRPr="000D6D21" w:rsidRDefault="00F615D7" w:rsidP="000D6D21">
      <w:pPr>
        <w:keepNext/>
        <w:ind w:firstLine="720"/>
        <w:rPr>
          <w:rFonts w:eastAsia="Times New Roman" w:cs="Times New Roman"/>
          <w:color w:val="000000"/>
          <w:sz w:val="28"/>
          <w:szCs w:val="28"/>
        </w:rPr>
      </w:pPr>
      <w:r w:rsidRPr="000D6D21">
        <w:rPr>
          <w:rFonts w:eastAsia="Times New Roman" w:cs="Times New Roman"/>
          <w:color w:val="000000"/>
          <w:sz w:val="28"/>
          <w:szCs w:val="28"/>
        </w:rPr>
        <w:t>R</w:t>
      </w:r>
      <w:r w:rsidR="00D061C0" w:rsidRPr="000D6D21">
        <w:rPr>
          <w:rFonts w:eastAsia="Times New Roman" w:cs="Times New Roman"/>
          <w:color w:val="000000"/>
          <w:sz w:val="28"/>
          <w:szCs w:val="28"/>
        </w:rPr>
        <w:t xml:space="preserve">ecords </w:t>
      </w:r>
      <w:r w:rsidRPr="000D6D21">
        <w:rPr>
          <w:rFonts w:eastAsia="Times New Roman" w:cs="Times New Roman"/>
          <w:color w:val="000000"/>
          <w:sz w:val="28"/>
          <w:szCs w:val="28"/>
        </w:rPr>
        <w:t xml:space="preserve">that are similarly exempted </w:t>
      </w:r>
      <w:r w:rsidR="00C80991">
        <w:rPr>
          <w:rFonts w:eastAsia="Times New Roman" w:cs="Times New Roman"/>
          <w:color w:val="000000"/>
          <w:sz w:val="28"/>
          <w:szCs w:val="28"/>
        </w:rPr>
        <w:t xml:space="preserve">from disclosure </w:t>
      </w:r>
      <w:r w:rsidRPr="000D6D21">
        <w:rPr>
          <w:rFonts w:eastAsia="Times New Roman" w:cs="Times New Roman"/>
          <w:color w:val="000000"/>
          <w:sz w:val="28"/>
          <w:szCs w:val="28"/>
        </w:rPr>
        <w:t xml:space="preserve">as public records </w:t>
      </w:r>
      <w:r w:rsidR="00D061C0" w:rsidRPr="000D6D21">
        <w:rPr>
          <w:rFonts w:eastAsia="Times New Roman" w:cs="Times New Roman"/>
          <w:color w:val="000000"/>
          <w:sz w:val="28"/>
          <w:szCs w:val="28"/>
        </w:rPr>
        <w:t>are any “recall petition” and “</w:t>
      </w:r>
      <w:proofErr w:type="spellStart"/>
      <w:r w:rsidR="00D061C0" w:rsidRPr="000D6D21">
        <w:rPr>
          <w:rFonts w:eastAsia="Times New Roman" w:cs="Times New Roman"/>
          <w:color w:val="000000"/>
          <w:sz w:val="28"/>
          <w:szCs w:val="28"/>
        </w:rPr>
        <w:t>memorand</w:t>
      </w:r>
      <w:proofErr w:type="spellEnd"/>
      <w:r w:rsidR="00D061C0" w:rsidRPr="000D6D21">
        <w:rPr>
          <w:rFonts w:eastAsia="Times New Roman" w:cs="Times New Roman"/>
          <w:color w:val="000000"/>
          <w:sz w:val="28"/>
          <w:szCs w:val="28"/>
        </w:rPr>
        <w:t xml:space="preserve">[a] prepared by a </w:t>
      </w:r>
      <w:proofErr w:type="gramStart"/>
      <w:r w:rsidR="00D061C0" w:rsidRPr="000D6D21">
        <w:rPr>
          <w:rFonts w:eastAsia="Times New Roman" w:cs="Times New Roman"/>
          <w:color w:val="000000"/>
          <w:sz w:val="28"/>
          <w:szCs w:val="28"/>
        </w:rPr>
        <w:t>county elections</w:t>
      </w:r>
      <w:proofErr w:type="gramEnd"/>
      <w:r w:rsidR="00D061C0" w:rsidRPr="000D6D21">
        <w:rPr>
          <w:rFonts w:eastAsia="Times New Roman" w:cs="Times New Roman"/>
          <w:color w:val="000000"/>
          <w:sz w:val="28"/>
          <w:szCs w:val="28"/>
        </w:rPr>
        <w:t xml:space="preserve"> official in the examination of a petition, indicating which registered voters signed that particular petition</w:t>
      </w:r>
      <w:r w:rsidR="00EF0239" w:rsidRPr="000D6D21">
        <w:rPr>
          <w:rFonts w:eastAsia="Times New Roman" w:cs="Times New Roman"/>
          <w:color w:val="000000"/>
          <w:sz w:val="28"/>
          <w:szCs w:val="28"/>
        </w:rPr>
        <w:t>.”</w:t>
      </w:r>
      <w:r w:rsidR="00D061C0" w:rsidRPr="000D6D21">
        <w:rPr>
          <w:rFonts w:eastAsia="Times New Roman" w:cs="Times New Roman"/>
          <w:color w:val="000000"/>
          <w:sz w:val="28"/>
          <w:szCs w:val="28"/>
        </w:rPr>
        <w:t xml:space="preserve">  </w:t>
      </w:r>
      <w:r w:rsidRPr="000D6D21">
        <w:rPr>
          <w:rFonts w:eastAsia="Times New Roman" w:cs="Times New Roman"/>
          <w:color w:val="000000"/>
          <w:sz w:val="28"/>
          <w:szCs w:val="28"/>
        </w:rPr>
        <w:t>(§</w:t>
      </w:r>
      <w:r w:rsidR="00D061C0" w:rsidRPr="000D6D21">
        <w:rPr>
          <w:rFonts w:eastAsia="Times New Roman" w:cs="Times New Roman"/>
          <w:color w:val="000000"/>
          <w:sz w:val="28"/>
          <w:szCs w:val="28"/>
        </w:rPr>
        <w:t> </w:t>
      </w:r>
      <w:r w:rsidRPr="000D6D21">
        <w:rPr>
          <w:rFonts w:eastAsia="Times New Roman" w:cs="Times New Roman"/>
          <w:color w:val="000000"/>
          <w:sz w:val="28"/>
          <w:szCs w:val="28"/>
        </w:rPr>
        <w:t>7924.110, subd. (a)</w:t>
      </w:r>
      <w:r w:rsidR="00EF0239" w:rsidRPr="000D6D21">
        <w:rPr>
          <w:rFonts w:eastAsia="Times New Roman" w:cs="Times New Roman"/>
          <w:color w:val="000000"/>
          <w:sz w:val="28"/>
          <w:szCs w:val="28"/>
        </w:rPr>
        <w:t xml:space="preserve"> [</w:t>
      </w:r>
      <w:r w:rsidR="00E04BF9">
        <w:rPr>
          <w:rFonts w:eastAsia="Times New Roman" w:cs="Times New Roman"/>
          <w:color w:val="000000"/>
          <w:sz w:val="28"/>
          <w:szCs w:val="28"/>
        </w:rPr>
        <w:t>such</w:t>
      </w:r>
      <w:r w:rsidR="00E04BF9" w:rsidRPr="000D6D21">
        <w:rPr>
          <w:rFonts w:eastAsia="Times New Roman" w:cs="Times New Roman"/>
          <w:color w:val="000000"/>
          <w:sz w:val="28"/>
          <w:szCs w:val="28"/>
        </w:rPr>
        <w:t xml:space="preserve"> </w:t>
      </w:r>
      <w:r w:rsidR="00EF0239" w:rsidRPr="000D6D21">
        <w:rPr>
          <w:rFonts w:eastAsia="Times New Roman" w:cs="Times New Roman"/>
          <w:color w:val="000000"/>
          <w:sz w:val="28"/>
          <w:szCs w:val="28"/>
        </w:rPr>
        <w:t xml:space="preserve">records are </w:t>
      </w:r>
      <w:r w:rsidR="008D28A5" w:rsidRPr="000D6D21">
        <w:rPr>
          <w:rFonts w:eastAsia="Times New Roman" w:cs="Times New Roman"/>
          <w:color w:val="000000"/>
          <w:sz w:val="28"/>
          <w:szCs w:val="28"/>
        </w:rPr>
        <w:t xml:space="preserve">defined as </w:t>
      </w:r>
      <w:r w:rsidR="00EF0239" w:rsidRPr="000D6D21">
        <w:rPr>
          <w:rFonts w:eastAsia="Times New Roman" w:cs="Times New Roman"/>
          <w:color w:val="000000"/>
          <w:sz w:val="28"/>
          <w:szCs w:val="28"/>
        </w:rPr>
        <w:t>“not public records”]</w:t>
      </w:r>
      <w:r w:rsidRPr="000D6D21">
        <w:rPr>
          <w:rFonts w:eastAsia="Times New Roman" w:cs="Times New Roman"/>
          <w:color w:val="000000"/>
          <w:sz w:val="28"/>
          <w:szCs w:val="28"/>
        </w:rPr>
        <w:t xml:space="preserve">.)  </w:t>
      </w:r>
      <w:r w:rsidR="00D061C0" w:rsidRPr="000D6D21">
        <w:rPr>
          <w:rFonts w:eastAsia="Times New Roman" w:cs="Times New Roman"/>
          <w:color w:val="000000"/>
          <w:sz w:val="28"/>
          <w:szCs w:val="28"/>
        </w:rPr>
        <w:t>Despite this broad exemption, whenever “</w:t>
      </w:r>
      <w:r w:rsidRPr="000D6D21">
        <w:rPr>
          <w:rFonts w:eastAsia="Times New Roman" w:cs="Times New Roman"/>
          <w:color w:val="000000"/>
          <w:sz w:val="28"/>
          <w:szCs w:val="28"/>
          <w:bdr w:val="none" w:sz="0" w:space="0" w:color="auto" w:frame="1"/>
          <w:shd w:val="clear" w:color="auto" w:fill="FFFFFF"/>
        </w:rPr>
        <w:t xml:space="preserve">a petition is found to be insufficient, </w:t>
      </w:r>
      <w:r w:rsidR="00D061C0" w:rsidRPr="000D6D21">
        <w:rPr>
          <w:rFonts w:eastAsia="Times New Roman" w:cs="Times New Roman"/>
          <w:color w:val="000000"/>
          <w:sz w:val="28"/>
          <w:szCs w:val="28"/>
          <w:bdr w:val="none" w:sz="0" w:space="0" w:color="auto" w:frame="1"/>
          <w:shd w:val="clear" w:color="auto" w:fill="FFFFFF"/>
        </w:rPr>
        <w:t>[</w:t>
      </w:r>
      <w:r w:rsidR="005D3F25">
        <w:rPr>
          <w:rFonts w:eastAsia="Times New Roman" w:cs="Times New Roman"/>
          <w:color w:val="000000"/>
          <w:sz w:val="28"/>
          <w:szCs w:val="28"/>
          <w:bdr w:val="none" w:sz="0" w:space="0" w:color="auto" w:frame="1"/>
          <w:shd w:val="clear" w:color="auto" w:fill="FFFFFF"/>
        </w:rPr>
        <w:t> </w:t>
      </w:r>
      <w:r w:rsidR="00D061C0" w:rsidRPr="000D6D21">
        <w:rPr>
          <w:rFonts w:eastAsia="Times New Roman" w:cs="Times New Roman"/>
          <w:color w:val="000000"/>
          <w:sz w:val="28"/>
          <w:szCs w:val="28"/>
          <w:bdr w:val="none" w:sz="0" w:space="0" w:color="auto" w:frame="1"/>
          <w:shd w:val="clear" w:color="auto" w:fill="FFFFFF"/>
        </w:rPr>
        <w:t xml:space="preserve">] </w:t>
      </w:r>
      <w:r w:rsidRPr="000D6D21">
        <w:rPr>
          <w:rFonts w:eastAsia="Times New Roman" w:cs="Times New Roman"/>
          <w:color w:val="000000"/>
          <w:sz w:val="28"/>
          <w:szCs w:val="28"/>
          <w:bdr w:val="none" w:sz="0" w:space="0" w:color="auto" w:frame="1"/>
          <w:shd w:val="clear" w:color="auto" w:fill="FFFFFF"/>
        </w:rPr>
        <w:t>the proponent of the petition and a representative of the proponent as may be designated by the proponent in writing</w:t>
      </w:r>
      <w:r w:rsidR="00D061C0" w:rsidRPr="000D6D21">
        <w:rPr>
          <w:rFonts w:eastAsia="Times New Roman" w:cs="Times New Roman"/>
          <w:color w:val="000000"/>
          <w:sz w:val="28"/>
          <w:szCs w:val="28"/>
          <w:bdr w:val="none" w:sz="0" w:space="0" w:color="auto" w:frame="1"/>
          <w:shd w:val="clear" w:color="auto" w:fill="FFFFFF"/>
        </w:rPr>
        <w:t>” have a statutory right under section 7924.110 to examine the petition and any memoranda “</w:t>
      </w:r>
      <w:r w:rsidRPr="000D6D21">
        <w:rPr>
          <w:rFonts w:eastAsia="Times New Roman" w:cs="Times New Roman"/>
          <w:color w:val="000000"/>
          <w:sz w:val="28"/>
          <w:szCs w:val="28"/>
          <w:bdr w:val="none" w:sz="0" w:space="0" w:color="auto" w:frame="1"/>
          <w:shd w:val="clear" w:color="auto" w:fill="FFFFFF"/>
        </w:rPr>
        <w:t>in or</w:t>
      </w:r>
      <w:r w:rsidRPr="000D6D21">
        <w:rPr>
          <w:rFonts w:eastAsia="Times New Roman" w:cs="Times New Roman"/>
          <w:color w:val="000000"/>
          <w:sz w:val="28"/>
          <w:szCs w:val="28"/>
          <w:bdr w:val="none" w:sz="0" w:space="0" w:color="auto" w:frame="1"/>
          <w:shd w:val="clear" w:color="auto" w:fill="FFFFFF"/>
        </w:rPr>
        <w:t>der to determine which signatures were disqualified and the reasons therefor</w:t>
      </w:r>
      <w:r w:rsidRPr="000D6D21">
        <w:rPr>
          <w:rFonts w:eastAsia="Times New Roman" w:cs="Times New Roman"/>
          <w:color w:val="000000"/>
          <w:sz w:val="28"/>
          <w:szCs w:val="28"/>
        </w:rPr>
        <w:t>.”</w:t>
      </w:r>
      <w:r>
        <w:rPr>
          <w:rStyle w:val="FootnoteReference"/>
          <w:rFonts w:eastAsia="Times New Roman" w:cs="Times New Roman"/>
          <w:color w:val="000000"/>
          <w:sz w:val="28"/>
          <w:szCs w:val="28"/>
        </w:rPr>
        <w:footnoteReference w:id="11"/>
      </w:r>
      <w:r w:rsidRPr="000D6D21">
        <w:rPr>
          <w:rFonts w:eastAsia="Times New Roman" w:cs="Times New Roman"/>
          <w:color w:val="000000"/>
          <w:sz w:val="28"/>
          <w:szCs w:val="28"/>
        </w:rPr>
        <w:t xml:space="preserve">  (§</w:t>
      </w:r>
      <w:r w:rsidR="008D28A5" w:rsidRPr="000D6D21">
        <w:rPr>
          <w:rFonts w:eastAsia="Times New Roman" w:cs="Times New Roman"/>
          <w:color w:val="000000"/>
          <w:sz w:val="28"/>
          <w:szCs w:val="28"/>
        </w:rPr>
        <w:t> </w:t>
      </w:r>
      <w:r w:rsidRPr="000D6D21">
        <w:rPr>
          <w:rFonts w:eastAsia="Times New Roman" w:cs="Times New Roman"/>
          <w:color w:val="000000"/>
          <w:sz w:val="28"/>
          <w:szCs w:val="28"/>
        </w:rPr>
        <w:t xml:space="preserve">7924.110, subd. (b).)  </w:t>
      </w:r>
      <w:r w:rsidR="00EF0239" w:rsidRPr="000D6D21">
        <w:rPr>
          <w:rFonts w:eastAsia="Times New Roman" w:cs="Times New Roman"/>
          <w:color w:val="000000"/>
          <w:sz w:val="28"/>
          <w:szCs w:val="28"/>
        </w:rPr>
        <w:t xml:space="preserve">Any examination conducted under </w:t>
      </w:r>
      <w:r w:rsidR="00EF0239" w:rsidRPr="000D6D21">
        <w:rPr>
          <w:rFonts w:eastAsia="Times New Roman" w:cs="Times New Roman"/>
          <w:color w:val="000000"/>
          <w:sz w:val="28"/>
          <w:szCs w:val="28"/>
        </w:rPr>
        <w:lastRenderedPageBreak/>
        <w:t>section 7924.110</w:t>
      </w:r>
      <w:r w:rsidR="00D061C0" w:rsidRPr="000D6D21">
        <w:rPr>
          <w:rFonts w:eastAsia="Times New Roman" w:cs="Times New Roman"/>
          <w:color w:val="000000"/>
          <w:sz w:val="28"/>
          <w:szCs w:val="28"/>
        </w:rPr>
        <w:t xml:space="preserve"> </w:t>
      </w:r>
      <w:r w:rsidR="00EF0239" w:rsidRPr="000D6D21">
        <w:rPr>
          <w:rFonts w:eastAsia="Times New Roman" w:cs="Times New Roman"/>
          <w:color w:val="000000"/>
          <w:sz w:val="28"/>
          <w:szCs w:val="28"/>
        </w:rPr>
        <w:t xml:space="preserve">must commence </w:t>
      </w:r>
      <w:r w:rsidRPr="000D6D21">
        <w:rPr>
          <w:rFonts w:eastAsia="Times New Roman" w:cs="Times New Roman"/>
          <w:color w:val="000000"/>
          <w:sz w:val="28"/>
          <w:szCs w:val="28"/>
          <w:bdr w:val="none" w:sz="0" w:space="0" w:color="auto" w:frame="1"/>
          <w:shd w:val="clear" w:color="auto" w:fill="FFFFFF"/>
        </w:rPr>
        <w:t>“not later than 21 days after certification of insufficiency</w:t>
      </w:r>
      <w:r w:rsidR="00D061C0" w:rsidRPr="000D6D21">
        <w:rPr>
          <w:rFonts w:eastAsia="Times New Roman" w:cs="Times New Roman"/>
          <w:color w:val="000000"/>
          <w:sz w:val="28"/>
          <w:szCs w:val="28"/>
        </w:rPr>
        <w:t>,</w:t>
      </w:r>
      <w:r w:rsidR="008D28A5" w:rsidRPr="000D6D21">
        <w:rPr>
          <w:rFonts w:eastAsia="Times New Roman" w:cs="Times New Roman"/>
          <w:color w:val="000000"/>
          <w:sz w:val="28"/>
          <w:szCs w:val="28"/>
        </w:rPr>
        <w:t> </w:t>
      </w:r>
      <w:r w:rsidR="00D061C0" w:rsidRPr="000D6D21">
        <w:rPr>
          <w:rFonts w:eastAsia="Times New Roman" w:cs="Times New Roman"/>
          <w:color w:val="000000"/>
          <w:sz w:val="28"/>
          <w:szCs w:val="28"/>
        </w:rPr>
        <w:t>.</w:t>
      </w:r>
      <w:r w:rsidR="008D28A5" w:rsidRPr="000D6D21">
        <w:rPr>
          <w:rFonts w:eastAsia="Times New Roman" w:cs="Times New Roman"/>
          <w:color w:val="000000"/>
          <w:sz w:val="28"/>
          <w:szCs w:val="28"/>
        </w:rPr>
        <w:t> </w:t>
      </w:r>
      <w:r w:rsidR="00D061C0" w:rsidRPr="000D6D21">
        <w:rPr>
          <w:rFonts w:eastAsia="Times New Roman" w:cs="Times New Roman"/>
          <w:color w:val="000000"/>
          <w:sz w:val="28"/>
          <w:szCs w:val="28"/>
        </w:rPr>
        <w:t>.</w:t>
      </w:r>
      <w:r w:rsidR="008D28A5" w:rsidRPr="000D6D21">
        <w:rPr>
          <w:rFonts w:eastAsia="Times New Roman" w:cs="Times New Roman"/>
          <w:color w:val="000000"/>
          <w:sz w:val="28"/>
          <w:szCs w:val="28"/>
        </w:rPr>
        <w:t> </w:t>
      </w:r>
      <w:r w:rsidR="00D061C0" w:rsidRPr="000D6D21">
        <w:rPr>
          <w:rFonts w:eastAsia="Times New Roman" w:cs="Times New Roman"/>
          <w:color w:val="000000"/>
          <w:sz w:val="28"/>
          <w:szCs w:val="28"/>
        </w:rPr>
        <w:t>.</w:t>
      </w:r>
      <w:r w:rsidR="008D28A5" w:rsidRPr="000D6D21">
        <w:rPr>
          <w:rFonts w:eastAsia="Times New Roman" w:cs="Times New Roman"/>
          <w:color w:val="000000"/>
          <w:sz w:val="28"/>
          <w:szCs w:val="28"/>
        </w:rPr>
        <w:t> </w:t>
      </w:r>
      <w:r w:rsidRPr="000D6D21">
        <w:rPr>
          <w:rFonts w:eastAsia="Times New Roman" w:cs="Times New Roman"/>
          <w:color w:val="000000"/>
          <w:sz w:val="28"/>
          <w:szCs w:val="28"/>
        </w:rPr>
        <w:t>.”  (§</w:t>
      </w:r>
      <w:r w:rsidR="00EF0239" w:rsidRPr="000D6D21">
        <w:rPr>
          <w:rFonts w:eastAsia="Times New Roman" w:cs="Times New Roman"/>
          <w:color w:val="000000"/>
          <w:sz w:val="28"/>
          <w:szCs w:val="28"/>
        </w:rPr>
        <w:t> </w:t>
      </w:r>
      <w:r w:rsidRPr="000D6D21">
        <w:rPr>
          <w:rFonts w:eastAsia="Times New Roman" w:cs="Times New Roman"/>
          <w:color w:val="000000"/>
          <w:sz w:val="28"/>
          <w:szCs w:val="28"/>
        </w:rPr>
        <w:t>7924.110, subd.</w:t>
      </w:r>
      <w:r w:rsidR="00551475">
        <w:rPr>
          <w:rFonts w:eastAsia="Times New Roman" w:cs="Times New Roman"/>
          <w:color w:val="000000"/>
          <w:sz w:val="28"/>
          <w:szCs w:val="28"/>
        </w:rPr>
        <w:t> </w:t>
      </w:r>
      <w:r w:rsidRPr="000D6D21">
        <w:rPr>
          <w:rFonts w:eastAsia="Times New Roman" w:cs="Times New Roman"/>
          <w:color w:val="000000"/>
          <w:sz w:val="28"/>
          <w:szCs w:val="28"/>
        </w:rPr>
        <w:t xml:space="preserve">(d).)  </w:t>
      </w:r>
    </w:p>
    <w:p w14:paraId="633D17BA" w14:textId="77777777" w:rsidR="008971B1" w:rsidRPr="000D6D21" w:rsidRDefault="008971B1" w:rsidP="000D6D21">
      <w:pPr>
        <w:keepNext/>
        <w:rPr>
          <w:rFonts w:eastAsia="Times New Roman" w:cs="Times New Roman"/>
          <w:color w:val="000000"/>
          <w:sz w:val="28"/>
          <w:szCs w:val="28"/>
          <w:bdr w:val="none" w:sz="0" w:space="0" w:color="auto" w:frame="1"/>
          <w:shd w:val="clear" w:color="auto" w:fill="FFFFFF"/>
        </w:rPr>
      </w:pPr>
    </w:p>
    <w:p w14:paraId="633D17BB" w14:textId="77777777" w:rsidR="008971B1" w:rsidRPr="000D6D21" w:rsidRDefault="00F615D7" w:rsidP="000D6D21">
      <w:pPr>
        <w:keepNext/>
        <w:rPr>
          <w:rFonts w:eastAsia="Times New Roman" w:cs="Times New Roman"/>
          <w:iCs/>
          <w:color w:val="000000"/>
          <w:sz w:val="28"/>
          <w:szCs w:val="28"/>
          <w:bdr w:val="none" w:sz="0" w:space="0" w:color="auto" w:frame="1"/>
          <w:shd w:val="clear" w:color="auto" w:fill="FFFFFF"/>
        </w:rPr>
      </w:pPr>
      <w:r w:rsidRPr="000D6D21">
        <w:rPr>
          <w:rFonts w:eastAsia="Times New Roman" w:cs="Times New Roman"/>
          <w:bCs/>
          <w:color w:val="000000"/>
          <w:sz w:val="28"/>
          <w:szCs w:val="28"/>
          <w:bdr w:val="none" w:sz="0" w:space="0" w:color="auto" w:frame="1"/>
          <w:shd w:val="clear" w:color="auto" w:fill="FFFFFF"/>
        </w:rPr>
        <w:tab/>
      </w:r>
      <w:r w:rsidR="00E25CEB" w:rsidRPr="000D6D21">
        <w:rPr>
          <w:rFonts w:eastAsia="Times New Roman" w:cs="Times New Roman"/>
          <w:bCs/>
          <w:color w:val="000000"/>
          <w:sz w:val="28"/>
          <w:szCs w:val="28"/>
          <w:bdr w:val="none" w:sz="0" w:space="0" w:color="auto" w:frame="1"/>
          <w:shd w:val="clear" w:color="auto" w:fill="FFFFFF"/>
        </w:rPr>
        <w:t>2</w:t>
      </w:r>
      <w:r w:rsidRPr="000D6D21">
        <w:rPr>
          <w:rFonts w:eastAsia="Times New Roman" w:cs="Times New Roman"/>
          <w:bCs/>
          <w:color w:val="000000"/>
          <w:sz w:val="28"/>
          <w:szCs w:val="28"/>
          <w:bdr w:val="none" w:sz="0" w:space="0" w:color="auto" w:frame="1"/>
          <w:shd w:val="clear" w:color="auto" w:fill="FFFFFF"/>
        </w:rPr>
        <w:t>.</w:t>
      </w:r>
      <w:r w:rsidRPr="000D6D21">
        <w:rPr>
          <w:rFonts w:eastAsia="Times New Roman" w:cs="Times New Roman"/>
          <w:bCs/>
          <w:color w:val="000000"/>
          <w:sz w:val="28"/>
          <w:szCs w:val="28"/>
          <w:bdr w:val="none" w:sz="0" w:space="0" w:color="auto" w:frame="1"/>
          <w:shd w:val="clear" w:color="auto" w:fill="FFFFFF"/>
        </w:rPr>
        <w:tab/>
      </w:r>
      <w:r w:rsidR="00D061C0" w:rsidRPr="000D6D21">
        <w:rPr>
          <w:rFonts w:eastAsia="Times New Roman" w:cs="Times New Roman"/>
          <w:bCs/>
          <w:i/>
          <w:color w:val="000000"/>
          <w:sz w:val="28"/>
          <w:szCs w:val="28"/>
          <w:bdr w:val="none" w:sz="0" w:space="0" w:color="auto" w:frame="1"/>
          <w:shd w:val="clear" w:color="auto" w:fill="FFFFFF"/>
        </w:rPr>
        <w:t xml:space="preserve">Judicial Enforcement </w:t>
      </w:r>
      <w:r w:rsidRPr="000D6D21">
        <w:rPr>
          <w:rFonts w:eastAsia="Times New Roman" w:cs="Times New Roman"/>
          <w:bCs/>
          <w:i/>
          <w:color w:val="000000"/>
          <w:sz w:val="28"/>
          <w:szCs w:val="28"/>
          <w:bdr w:val="none" w:sz="0" w:space="0" w:color="auto" w:frame="1"/>
          <w:shd w:val="clear" w:color="auto" w:fill="FFFFFF"/>
        </w:rPr>
        <w:t xml:space="preserve">of </w:t>
      </w:r>
      <w:r w:rsidR="00EF0239" w:rsidRPr="000D6D21">
        <w:rPr>
          <w:rFonts w:eastAsia="Times New Roman" w:cs="Times New Roman"/>
          <w:bCs/>
          <w:i/>
          <w:color w:val="000000"/>
          <w:sz w:val="28"/>
          <w:szCs w:val="28"/>
          <w:bdr w:val="none" w:sz="0" w:space="0" w:color="auto" w:frame="1"/>
          <w:shd w:val="clear" w:color="auto" w:fill="FFFFFF"/>
        </w:rPr>
        <w:t xml:space="preserve">PRA </w:t>
      </w:r>
      <w:r w:rsidR="00D061C0" w:rsidRPr="000D6D21">
        <w:rPr>
          <w:rFonts w:eastAsia="Times New Roman" w:cs="Times New Roman"/>
          <w:bCs/>
          <w:i/>
          <w:color w:val="000000"/>
          <w:sz w:val="28"/>
          <w:szCs w:val="28"/>
          <w:bdr w:val="none" w:sz="0" w:space="0" w:color="auto" w:frame="1"/>
          <w:shd w:val="clear" w:color="auto" w:fill="FFFFFF"/>
        </w:rPr>
        <w:t>Rights</w:t>
      </w:r>
    </w:p>
    <w:p w14:paraId="633D17BC" w14:textId="77777777" w:rsidR="008971B1" w:rsidRPr="000D6D21" w:rsidRDefault="00F615D7" w:rsidP="000D6D21">
      <w:pPr>
        <w:keepNext/>
        <w:ind w:firstLine="720"/>
        <w:rPr>
          <w:rFonts w:eastAsia="Times New Roman" w:cs="Times New Roman"/>
          <w:color w:val="000000"/>
          <w:sz w:val="28"/>
          <w:szCs w:val="28"/>
          <w:bdr w:val="none" w:sz="0" w:space="0" w:color="auto" w:frame="1"/>
          <w:shd w:val="clear" w:color="auto" w:fill="FFFFFF"/>
        </w:rPr>
      </w:pPr>
      <w:r w:rsidRPr="000D6D21">
        <w:rPr>
          <w:rFonts w:eastAsia="Times New Roman" w:cs="Times New Roman"/>
          <w:color w:val="000000"/>
          <w:sz w:val="28"/>
          <w:szCs w:val="28"/>
          <w:bdr w:val="none" w:sz="0" w:space="0" w:color="auto" w:frame="1"/>
          <w:shd w:val="clear" w:color="auto" w:fill="FFFFFF"/>
        </w:rPr>
        <w:t xml:space="preserve">To further the statutory right of access to records maintained by public agencies, the PRA requires prompt disclosure of records </w:t>
      </w:r>
      <w:r w:rsidR="00B7281B" w:rsidRPr="000D6D21">
        <w:rPr>
          <w:rFonts w:eastAsia="Times New Roman" w:cs="Times New Roman"/>
          <w:color w:val="000000"/>
          <w:sz w:val="28"/>
          <w:szCs w:val="28"/>
          <w:bdr w:val="none" w:sz="0" w:space="0" w:color="auto" w:frame="1"/>
          <w:shd w:val="clear" w:color="auto" w:fill="FFFFFF"/>
        </w:rPr>
        <w:t xml:space="preserve">by any public agency </w:t>
      </w:r>
      <w:r w:rsidRPr="000D6D21">
        <w:rPr>
          <w:rFonts w:eastAsia="Times New Roman" w:cs="Times New Roman"/>
          <w:color w:val="000000"/>
          <w:sz w:val="28"/>
          <w:szCs w:val="28"/>
          <w:bdr w:val="none" w:sz="0" w:space="0" w:color="auto" w:frame="1"/>
          <w:shd w:val="clear" w:color="auto" w:fill="FFFFFF"/>
        </w:rPr>
        <w:t xml:space="preserve">unless “the record in question is exempt under express provisions of this division, or that on the </w:t>
      </w:r>
      <w:r w:rsidRPr="000D6D21">
        <w:rPr>
          <w:rFonts w:eastAsia="Times New Roman" w:cs="Times New Roman"/>
          <w:color w:val="000000"/>
          <w:sz w:val="28"/>
          <w:szCs w:val="28"/>
          <w:bdr w:val="none" w:sz="0" w:space="0" w:color="auto" w:frame="1"/>
          <w:shd w:val="clear" w:color="auto" w:fill="FFFFFF"/>
        </w:rPr>
        <w:t>facts of the particular case the public interest served by not disclosing the record clearly outweighs the public interest served by disclosure of the record.”  (§</w:t>
      </w:r>
      <w:r w:rsidR="005259C7">
        <w:rPr>
          <w:rFonts w:eastAsia="Times New Roman" w:cs="Times New Roman"/>
          <w:color w:val="000000"/>
          <w:sz w:val="28"/>
          <w:szCs w:val="28"/>
          <w:bdr w:val="none" w:sz="0" w:space="0" w:color="auto" w:frame="1"/>
          <w:shd w:val="clear" w:color="auto" w:fill="FFFFFF"/>
        </w:rPr>
        <w:t> </w:t>
      </w:r>
      <w:r w:rsidRPr="000D6D21">
        <w:rPr>
          <w:rFonts w:eastAsia="Times New Roman" w:cs="Times New Roman"/>
          <w:color w:val="000000"/>
          <w:sz w:val="28"/>
          <w:szCs w:val="28"/>
          <w:bdr w:val="none" w:sz="0" w:space="0" w:color="auto" w:frame="1"/>
          <w:shd w:val="clear" w:color="auto" w:fill="FFFFFF"/>
        </w:rPr>
        <w:t xml:space="preserve">7922.000; see </w:t>
      </w:r>
      <w:r w:rsidR="00B7281B" w:rsidRPr="000D6D21">
        <w:rPr>
          <w:rFonts w:eastAsia="Times New Roman" w:cs="Times New Roman"/>
          <w:color w:val="000000"/>
          <w:sz w:val="28"/>
          <w:szCs w:val="28"/>
          <w:bdr w:val="none" w:sz="0" w:space="0" w:color="auto" w:frame="1"/>
          <w:shd w:val="clear" w:color="auto" w:fill="FFFFFF"/>
        </w:rPr>
        <w:t xml:space="preserve">§§ 7922.530, subd. (a), 7921.300.)  </w:t>
      </w:r>
      <w:r w:rsidRPr="000D6D21">
        <w:rPr>
          <w:rFonts w:eastAsia="Times New Roman" w:cs="Times New Roman"/>
          <w:color w:val="000000"/>
          <w:sz w:val="28"/>
          <w:szCs w:val="28"/>
          <w:bdr w:val="none" w:sz="0" w:space="0" w:color="auto" w:frame="1"/>
          <w:shd w:val="clear" w:color="auto" w:fill="FFFFFF"/>
        </w:rPr>
        <w:t xml:space="preserve">The agency must make this determination </w:t>
      </w:r>
      <w:r w:rsidR="00B7281B" w:rsidRPr="000D6D21">
        <w:rPr>
          <w:rFonts w:eastAsia="Times New Roman" w:cs="Times New Roman"/>
          <w:color w:val="000000"/>
          <w:sz w:val="28"/>
          <w:szCs w:val="28"/>
          <w:bdr w:val="none" w:sz="0" w:space="0" w:color="auto" w:frame="1"/>
          <w:shd w:val="clear" w:color="auto" w:fill="FFFFFF"/>
        </w:rPr>
        <w:t>within 10 days from receipt of the request and must provide prompt notification of its determination and any reasons therefor</w:t>
      </w:r>
      <w:r w:rsidRPr="000D6D21">
        <w:rPr>
          <w:rFonts w:eastAsia="Times New Roman" w:cs="Times New Roman"/>
          <w:color w:val="000000"/>
          <w:sz w:val="28"/>
          <w:szCs w:val="28"/>
          <w:bdr w:val="none" w:sz="0" w:space="0" w:color="auto" w:frame="1"/>
          <w:shd w:val="clear" w:color="auto" w:fill="FFFFFF"/>
        </w:rPr>
        <w:t>.  (See</w:t>
      </w:r>
      <w:r w:rsidR="008B3541">
        <w:rPr>
          <w:rFonts w:eastAsia="Times New Roman" w:cs="Times New Roman"/>
          <w:color w:val="000000"/>
          <w:sz w:val="28"/>
          <w:szCs w:val="28"/>
          <w:bdr w:val="none" w:sz="0" w:space="0" w:color="auto" w:frame="1"/>
          <w:shd w:val="clear" w:color="auto" w:fill="FFFFFF"/>
        </w:rPr>
        <w:t> </w:t>
      </w:r>
      <w:r w:rsidRPr="000D6D21">
        <w:rPr>
          <w:rFonts w:eastAsia="Times New Roman" w:cs="Times New Roman"/>
          <w:color w:val="000000"/>
          <w:sz w:val="28"/>
          <w:szCs w:val="28"/>
          <w:bdr w:val="none" w:sz="0" w:space="0" w:color="auto" w:frame="1"/>
          <w:shd w:val="clear" w:color="auto" w:fill="FFFFFF"/>
        </w:rPr>
        <w:t>§</w:t>
      </w:r>
      <w:r w:rsidR="005259C7">
        <w:rPr>
          <w:rFonts w:eastAsia="Times New Roman" w:cs="Times New Roman"/>
          <w:color w:val="000000"/>
          <w:sz w:val="28"/>
          <w:szCs w:val="28"/>
          <w:bdr w:val="none" w:sz="0" w:space="0" w:color="auto" w:frame="1"/>
          <w:shd w:val="clear" w:color="auto" w:fill="FFFFFF"/>
        </w:rPr>
        <w:t> </w:t>
      </w:r>
      <w:r w:rsidRPr="000D6D21">
        <w:rPr>
          <w:rFonts w:eastAsia="Times New Roman" w:cs="Times New Roman"/>
          <w:color w:val="000000"/>
          <w:sz w:val="28"/>
          <w:szCs w:val="28"/>
          <w:bdr w:val="none" w:sz="0" w:space="0" w:color="auto" w:frame="1"/>
          <w:shd w:val="clear" w:color="auto" w:fill="FFFFFF"/>
        </w:rPr>
        <w:t xml:space="preserve">7922.535, subd. (a).)  </w:t>
      </w:r>
    </w:p>
    <w:p w14:paraId="633D17BD" w14:textId="77777777" w:rsidR="008971B1" w:rsidRPr="000D6D21" w:rsidRDefault="00F615D7" w:rsidP="000D6D21">
      <w:pPr>
        <w:keepNext/>
        <w:rPr>
          <w:sz w:val="28"/>
          <w:szCs w:val="28"/>
        </w:rPr>
      </w:pPr>
      <w:r w:rsidRPr="000D6D21">
        <w:rPr>
          <w:rFonts w:eastAsia="Times New Roman" w:cs="Times New Roman"/>
          <w:iCs/>
          <w:color w:val="000000"/>
          <w:sz w:val="28"/>
          <w:szCs w:val="28"/>
          <w:bdr w:val="none" w:sz="0" w:space="0" w:color="auto" w:frame="1"/>
          <w:shd w:val="clear" w:color="auto" w:fill="FFFFFF"/>
        </w:rPr>
        <w:tab/>
        <w:t>In the event a public agency refuses to disclose records subject to inspection</w:t>
      </w:r>
      <w:r w:rsidR="00B7281B" w:rsidRPr="000D6D21">
        <w:rPr>
          <w:rFonts w:eastAsia="Times New Roman" w:cs="Times New Roman"/>
          <w:iCs/>
          <w:color w:val="000000"/>
          <w:sz w:val="28"/>
          <w:szCs w:val="28"/>
          <w:bdr w:val="none" w:sz="0" w:space="0" w:color="auto" w:frame="1"/>
          <w:shd w:val="clear" w:color="auto" w:fill="FFFFFF"/>
        </w:rPr>
        <w:t xml:space="preserve"> under the PRA</w:t>
      </w:r>
      <w:r w:rsidRPr="000D6D21">
        <w:rPr>
          <w:rFonts w:eastAsia="Times New Roman" w:cs="Times New Roman"/>
          <w:iCs/>
          <w:color w:val="000000"/>
          <w:sz w:val="28"/>
          <w:szCs w:val="28"/>
          <w:bdr w:val="none" w:sz="0" w:space="0" w:color="auto" w:frame="1"/>
          <w:shd w:val="clear" w:color="auto" w:fill="FFFFFF"/>
        </w:rPr>
        <w:t xml:space="preserve">, </w:t>
      </w:r>
      <w:r w:rsidRPr="000D6D21">
        <w:rPr>
          <w:rFonts w:eastAsia="Times New Roman" w:cs="Times New Roman"/>
          <w:color w:val="000000"/>
          <w:sz w:val="28"/>
          <w:szCs w:val="28"/>
          <w:bdr w:val="none" w:sz="0" w:space="0" w:color="auto" w:frame="1"/>
          <w:shd w:val="clear" w:color="auto" w:fill="FFFFFF"/>
        </w:rPr>
        <w:t>Part</w:t>
      </w:r>
      <w:r w:rsidRPr="000D6D21">
        <w:rPr>
          <w:rFonts w:eastAsia="Times New Roman" w:cs="Times New Roman"/>
          <w:color w:val="000000"/>
          <w:sz w:val="28"/>
          <w:szCs w:val="28"/>
          <w:bdr w:val="none" w:sz="0" w:space="0" w:color="auto" w:frame="1"/>
          <w:shd w:val="clear" w:color="auto" w:fill="FFFFFF"/>
        </w:rPr>
        <w:t xml:space="preserve"> 4 </w:t>
      </w:r>
      <w:r w:rsidR="00B7281B" w:rsidRPr="000D6D21">
        <w:rPr>
          <w:rFonts w:eastAsia="Times New Roman" w:cs="Times New Roman"/>
          <w:color w:val="000000"/>
          <w:sz w:val="28"/>
          <w:szCs w:val="28"/>
          <w:bdr w:val="none" w:sz="0" w:space="0" w:color="auto" w:frame="1"/>
          <w:shd w:val="clear" w:color="auto" w:fill="FFFFFF"/>
        </w:rPr>
        <w:t xml:space="preserve">of the statutory scheme </w:t>
      </w:r>
      <w:r w:rsidRPr="000D6D21">
        <w:rPr>
          <w:rFonts w:eastAsia="Times New Roman" w:cs="Times New Roman"/>
          <w:color w:val="000000"/>
          <w:sz w:val="28"/>
          <w:szCs w:val="28"/>
          <w:bdr w:val="none" w:sz="0" w:space="0" w:color="auto" w:frame="1"/>
          <w:shd w:val="clear" w:color="auto" w:fill="FFFFFF"/>
        </w:rPr>
        <w:t>provide</w:t>
      </w:r>
      <w:r w:rsidR="00B7281B" w:rsidRPr="000D6D21">
        <w:rPr>
          <w:rFonts w:eastAsia="Times New Roman" w:cs="Times New Roman"/>
          <w:color w:val="000000"/>
          <w:sz w:val="28"/>
          <w:szCs w:val="28"/>
          <w:bdr w:val="none" w:sz="0" w:space="0" w:color="auto" w:frame="1"/>
          <w:shd w:val="clear" w:color="auto" w:fill="FFFFFF"/>
        </w:rPr>
        <w:t>s</w:t>
      </w:r>
      <w:r w:rsidRPr="000D6D21">
        <w:rPr>
          <w:rFonts w:eastAsia="Times New Roman" w:cs="Times New Roman"/>
          <w:color w:val="000000"/>
          <w:sz w:val="28"/>
          <w:szCs w:val="28"/>
          <w:bdr w:val="none" w:sz="0" w:space="0" w:color="auto" w:frame="1"/>
          <w:shd w:val="clear" w:color="auto" w:fill="FFFFFF"/>
        </w:rPr>
        <w:t xml:space="preserve"> general principles and procedures “to enforce that person’s right under this division to inspect or receive a copy of any public record or class of public records.”  </w:t>
      </w:r>
      <w:bookmarkStart w:id="2" w:name="_Hlk138243073"/>
      <w:r w:rsidRPr="000D6D21">
        <w:rPr>
          <w:rFonts w:eastAsia="Times New Roman" w:cs="Times New Roman"/>
          <w:color w:val="000000"/>
          <w:sz w:val="28"/>
          <w:szCs w:val="28"/>
          <w:bdr w:val="none" w:sz="0" w:space="0" w:color="auto" w:frame="1"/>
          <w:shd w:val="clear" w:color="auto" w:fill="FFFFFF"/>
        </w:rPr>
        <w:t>(§ 7923.000</w:t>
      </w:r>
      <w:bookmarkEnd w:id="2"/>
      <w:r w:rsidRPr="000D6D21">
        <w:rPr>
          <w:rFonts w:eastAsia="Times New Roman" w:cs="Times New Roman"/>
          <w:color w:val="000000"/>
          <w:sz w:val="28"/>
          <w:szCs w:val="28"/>
          <w:bdr w:val="none" w:sz="0" w:space="0" w:color="auto" w:frame="1"/>
          <w:shd w:val="clear" w:color="auto" w:fill="FFFFFF"/>
        </w:rPr>
        <w:t xml:space="preserve">.)  </w:t>
      </w:r>
      <w:r w:rsidR="00B7281B" w:rsidRPr="000D6D21">
        <w:rPr>
          <w:rFonts w:eastAsia="Times New Roman" w:cs="Times New Roman"/>
          <w:color w:val="000000"/>
          <w:sz w:val="28"/>
          <w:szCs w:val="28"/>
          <w:bdr w:val="none" w:sz="0" w:space="0" w:color="auto" w:frame="1"/>
          <w:shd w:val="clear" w:color="auto" w:fill="FFFFFF"/>
        </w:rPr>
        <w:t xml:space="preserve">These statutes authorize judicial </w:t>
      </w:r>
      <w:r w:rsidRPr="000D6D21">
        <w:rPr>
          <w:rFonts w:eastAsia="Times New Roman" w:cs="Times New Roman"/>
          <w:color w:val="000000"/>
          <w:sz w:val="28"/>
          <w:szCs w:val="28"/>
          <w:bdr w:val="none" w:sz="0" w:space="0" w:color="auto" w:frame="1"/>
          <w:shd w:val="clear" w:color="auto" w:fill="FFFFFF"/>
        </w:rPr>
        <w:t>proce</w:t>
      </w:r>
      <w:r w:rsidRPr="000D6D21">
        <w:rPr>
          <w:rFonts w:eastAsia="Times New Roman" w:cs="Times New Roman"/>
          <w:color w:val="000000"/>
          <w:sz w:val="28"/>
          <w:szCs w:val="28"/>
          <w:bdr w:val="none" w:sz="0" w:space="0" w:color="auto" w:frame="1"/>
          <w:shd w:val="clear" w:color="auto" w:fill="FFFFFF"/>
        </w:rPr>
        <w:t xml:space="preserve">edings </w:t>
      </w:r>
      <w:r w:rsidR="00EF0239" w:rsidRPr="000D6D21">
        <w:rPr>
          <w:rFonts w:eastAsia="Times New Roman" w:cs="Times New Roman"/>
          <w:color w:val="000000"/>
          <w:sz w:val="28"/>
          <w:szCs w:val="28"/>
          <w:bdr w:val="none" w:sz="0" w:space="0" w:color="auto" w:frame="1"/>
          <w:shd w:val="clear" w:color="auto" w:fill="FFFFFF"/>
        </w:rPr>
        <w:t xml:space="preserve">initiated </w:t>
      </w:r>
      <w:r w:rsidR="00B7281B" w:rsidRPr="000D6D21">
        <w:rPr>
          <w:rFonts w:eastAsia="Times New Roman" w:cs="Times New Roman"/>
          <w:color w:val="000000"/>
          <w:sz w:val="28"/>
          <w:szCs w:val="28"/>
          <w:bdr w:val="none" w:sz="0" w:space="0" w:color="auto" w:frame="1"/>
          <w:shd w:val="clear" w:color="auto" w:fill="FFFFFF"/>
        </w:rPr>
        <w:t xml:space="preserve">by verified petition </w:t>
      </w:r>
      <w:r w:rsidRPr="000D6D21">
        <w:rPr>
          <w:rFonts w:eastAsia="Times New Roman" w:cs="Times New Roman"/>
          <w:color w:val="000000"/>
          <w:sz w:val="28"/>
          <w:szCs w:val="28"/>
          <w:bdr w:val="none" w:sz="0" w:space="0" w:color="auto" w:frame="1"/>
          <w:shd w:val="clear" w:color="auto" w:fill="FFFFFF"/>
        </w:rPr>
        <w:t>for injunctive or declaratory relief, or for a writ of mandate, to enforce a person’s rights under the PRA.  (</w:t>
      </w:r>
      <w:r w:rsidR="00B7281B" w:rsidRPr="000D6D21">
        <w:rPr>
          <w:rFonts w:eastAsia="Times New Roman" w:cs="Times New Roman"/>
          <w:color w:val="000000"/>
          <w:sz w:val="28"/>
          <w:szCs w:val="28"/>
          <w:bdr w:val="none" w:sz="0" w:space="0" w:color="auto" w:frame="1"/>
          <w:shd w:val="clear" w:color="auto" w:fill="FFFFFF"/>
        </w:rPr>
        <w:t xml:space="preserve">§§ 7923.000, </w:t>
      </w:r>
      <w:r w:rsidRPr="000D6D21">
        <w:rPr>
          <w:rFonts w:eastAsia="Times New Roman" w:cs="Times New Roman"/>
          <w:color w:val="000000"/>
          <w:sz w:val="28"/>
          <w:szCs w:val="28"/>
          <w:bdr w:val="none" w:sz="0" w:space="0" w:color="auto" w:frame="1"/>
          <w:shd w:val="clear" w:color="auto" w:fill="FFFFFF"/>
        </w:rPr>
        <w:t xml:space="preserve">7923.100.)  </w:t>
      </w:r>
      <w:r w:rsidR="00B7281B" w:rsidRPr="000D6D21">
        <w:rPr>
          <w:rFonts w:eastAsia="Times New Roman" w:cs="Times New Roman"/>
          <w:color w:val="000000"/>
          <w:sz w:val="28"/>
          <w:szCs w:val="28"/>
          <w:bdr w:val="none" w:sz="0" w:space="0" w:color="auto" w:frame="1"/>
          <w:shd w:val="clear" w:color="auto" w:fill="FFFFFF"/>
        </w:rPr>
        <w:t>Upon the filing of a verified petition, the</w:t>
      </w:r>
      <w:r w:rsidRPr="000D6D21">
        <w:rPr>
          <w:rFonts w:eastAsia="Times New Roman" w:cs="Times New Roman"/>
          <w:color w:val="000000"/>
          <w:sz w:val="28"/>
          <w:szCs w:val="28"/>
          <w:bdr w:val="none" w:sz="0" w:space="0" w:color="auto" w:frame="1"/>
          <w:shd w:val="clear" w:color="auto" w:fill="FFFFFF"/>
        </w:rPr>
        <w:t xml:space="preserve"> court must set a schedule “with the </w:t>
      </w:r>
      <w:r w:rsidRPr="000D6D21">
        <w:rPr>
          <w:rFonts w:eastAsia="Times New Roman" w:cs="Times New Roman"/>
          <w:color w:val="000000"/>
          <w:sz w:val="28"/>
          <w:szCs w:val="28"/>
          <w:bdr w:val="none" w:sz="0" w:space="0" w:color="auto" w:frame="1"/>
          <w:shd w:val="clear" w:color="auto" w:fill="FFFFFF"/>
        </w:rPr>
        <w:lastRenderedPageBreak/>
        <w:t xml:space="preserve">object of securing a decision as to the matters at issue at the earliest possible time.”  (§ 7923.005.)  </w:t>
      </w:r>
    </w:p>
    <w:p w14:paraId="633D17BE" w14:textId="77777777" w:rsidR="008971B1" w:rsidRPr="000D6D21" w:rsidRDefault="00F615D7" w:rsidP="000D6D21">
      <w:pPr>
        <w:keepNext/>
        <w:rPr>
          <w:rFonts w:eastAsia="Times New Roman" w:cs="Arial"/>
          <w:color w:val="000000"/>
          <w:sz w:val="28"/>
          <w:szCs w:val="28"/>
          <w:bdr w:val="none" w:sz="0" w:space="0" w:color="auto" w:frame="1"/>
          <w:shd w:val="clear" w:color="auto" w:fill="FFFFFF"/>
        </w:rPr>
      </w:pPr>
      <w:r w:rsidRPr="000D6D21">
        <w:rPr>
          <w:rFonts w:eastAsia="Times New Roman" w:cs="Times New Roman"/>
          <w:color w:val="000000"/>
          <w:sz w:val="28"/>
          <w:szCs w:val="28"/>
          <w:bdr w:val="none" w:sz="0" w:space="0" w:color="auto" w:frame="1"/>
          <w:shd w:val="clear" w:color="auto" w:fill="FFFFFF"/>
        </w:rPr>
        <w:tab/>
        <w:t xml:space="preserve">If the court finds </w:t>
      </w:r>
      <w:r w:rsidR="00E3058D" w:rsidRPr="000D6D21">
        <w:rPr>
          <w:rFonts w:eastAsia="Times New Roman" w:cs="Times New Roman"/>
          <w:color w:val="000000"/>
          <w:sz w:val="28"/>
          <w:szCs w:val="28"/>
          <w:bdr w:val="none" w:sz="0" w:space="0" w:color="auto" w:frame="1"/>
          <w:shd w:val="clear" w:color="auto" w:fill="FFFFFF"/>
        </w:rPr>
        <w:t xml:space="preserve">unjustified </w:t>
      </w:r>
      <w:r w:rsidRPr="000D6D21">
        <w:rPr>
          <w:rFonts w:eastAsia="Times New Roman" w:cs="Times New Roman"/>
          <w:color w:val="000000"/>
          <w:sz w:val="28"/>
          <w:szCs w:val="28"/>
          <w:bdr w:val="none" w:sz="0" w:space="0" w:color="auto" w:frame="1"/>
          <w:shd w:val="clear" w:color="auto" w:fill="FFFFFF"/>
        </w:rPr>
        <w:t xml:space="preserve">the public </w:t>
      </w:r>
      <w:r w:rsidR="00EF0239" w:rsidRPr="000D6D21">
        <w:rPr>
          <w:rFonts w:eastAsia="Times New Roman" w:cs="Times New Roman"/>
          <w:color w:val="000000"/>
          <w:sz w:val="28"/>
          <w:szCs w:val="28"/>
          <w:bdr w:val="none" w:sz="0" w:space="0" w:color="auto" w:frame="1"/>
          <w:shd w:val="clear" w:color="auto" w:fill="FFFFFF"/>
        </w:rPr>
        <w:t>agency’s</w:t>
      </w:r>
      <w:r w:rsidRPr="000D6D21">
        <w:rPr>
          <w:rFonts w:eastAsia="Times New Roman" w:cs="Times New Roman"/>
          <w:color w:val="000000"/>
          <w:sz w:val="28"/>
          <w:szCs w:val="28"/>
          <w:bdr w:val="none" w:sz="0" w:space="0" w:color="auto" w:frame="1"/>
          <w:shd w:val="clear" w:color="auto" w:fill="FFFFFF"/>
        </w:rPr>
        <w:t xml:space="preserve"> decision </w:t>
      </w:r>
      <w:r w:rsidR="008D28A5" w:rsidRPr="000D6D21">
        <w:rPr>
          <w:rFonts w:eastAsia="Times New Roman" w:cs="Times New Roman"/>
          <w:color w:val="000000"/>
          <w:sz w:val="28"/>
          <w:szCs w:val="28"/>
          <w:bdr w:val="none" w:sz="0" w:space="0" w:color="auto" w:frame="1"/>
          <w:shd w:val="clear" w:color="auto" w:fill="FFFFFF"/>
        </w:rPr>
        <w:t xml:space="preserve">to refuse </w:t>
      </w:r>
      <w:r w:rsidRPr="000D6D21">
        <w:rPr>
          <w:rFonts w:eastAsia="Times New Roman" w:cs="Times New Roman"/>
          <w:color w:val="000000"/>
          <w:sz w:val="28"/>
          <w:szCs w:val="28"/>
          <w:bdr w:val="none" w:sz="0" w:space="0" w:color="auto" w:frame="1"/>
          <w:shd w:val="clear" w:color="auto" w:fill="FFFFFF"/>
        </w:rPr>
        <w:t xml:space="preserve">disclosure under </w:t>
      </w:r>
      <w:r w:rsidR="00207F98" w:rsidRPr="000D6D21">
        <w:rPr>
          <w:rFonts w:eastAsia="Times New Roman" w:cs="Times New Roman"/>
          <w:color w:val="000000"/>
          <w:sz w:val="28"/>
          <w:szCs w:val="28"/>
          <w:bdr w:val="none" w:sz="0" w:space="0" w:color="auto" w:frame="1"/>
          <w:shd w:val="clear" w:color="auto" w:fill="FFFFFF"/>
        </w:rPr>
        <w:t>either s</w:t>
      </w:r>
      <w:r w:rsidRPr="000D6D21">
        <w:rPr>
          <w:rFonts w:eastAsia="Times New Roman" w:cs="Times New Roman"/>
          <w:color w:val="000000"/>
          <w:sz w:val="28"/>
          <w:szCs w:val="28"/>
          <w:bdr w:val="none" w:sz="0" w:space="0" w:color="auto" w:frame="1"/>
          <w:shd w:val="clear" w:color="auto" w:fill="FFFFFF"/>
        </w:rPr>
        <w:t xml:space="preserve">ection 7922.000 </w:t>
      </w:r>
      <w:r w:rsidR="00207F98" w:rsidRPr="000D6D21">
        <w:rPr>
          <w:rFonts w:eastAsia="Times New Roman" w:cs="Times New Roman"/>
          <w:color w:val="000000"/>
          <w:sz w:val="28"/>
          <w:szCs w:val="28"/>
          <w:bdr w:val="none" w:sz="0" w:space="0" w:color="auto" w:frame="1"/>
          <w:shd w:val="clear" w:color="auto" w:fill="FFFFFF"/>
        </w:rPr>
        <w:t>or 7920.505,</w:t>
      </w:r>
      <w:r w:rsidRPr="000D6D21">
        <w:rPr>
          <w:rFonts w:eastAsia="Times New Roman" w:cs="Times New Roman"/>
          <w:color w:val="000000"/>
          <w:sz w:val="28"/>
          <w:szCs w:val="28"/>
          <w:bdr w:val="none" w:sz="0" w:space="0" w:color="auto" w:frame="1"/>
          <w:shd w:val="clear" w:color="auto" w:fill="FFFFFF"/>
        </w:rPr>
        <w:t xml:space="preserve"> the court </w:t>
      </w:r>
      <w:r w:rsidR="00207F98" w:rsidRPr="000D6D21">
        <w:rPr>
          <w:rFonts w:eastAsia="Times New Roman" w:cs="Times New Roman"/>
          <w:color w:val="000000"/>
          <w:sz w:val="28"/>
          <w:szCs w:val="28"/>
          <w:bdr w:val="none" w:sz="0" w:space="0" w:color="auto" w:frame="1"/>
          <w:shd w:val="clear" w:color="auto" w:fill="FFFFFF"/>
        </w:rPr>
        <w:t xml:space="preserve">must </w:t>
      </w:r>
      <w:r w:rsidRPr="000D6D21">
        <w:rPr>
          <w:rFonts w:eastAsia="Times New Roman" w:cs="Times New Roman"/>
          <w:color w:val="000000"/>
          <w:sz w:val="28"/>
          <w:szCs w:val="28"/>
          <w:bdr w:val="none" w:sz="0" w:space="0" w:color="auto" w:frame="1"/>
          <w:shd w:val="clear" w:color="auto" w:fill="FFFFFF"/>
        </w:rPr>
        <w:t xml:space="preserve">order </w:t>
      </w:r>
      <w:r w:rsidR="00207F98" w:rsidRPr="000D6D21">
        <w:rPr>
          <w:rFonts w:eastAsia="Times New Roman" w:cs="Times New Roman"/>
          <w:color w:val="000000"/>
          <w:sz w:val="28"/>
          <w:szCs w:val="28"/>
          <w:bdr w:val="none" w:sz="0" w:space="0" w:color="auto" w:frame="1"/>
          <w:shd w:val="clear" w:color="auto" w:fill="FFFFFF"/>
        </w:rPr>
        <w:t xml:space="preserve">disclosure of </w:t>
      </w:r>
      <w:r w:rsidR="00EF0239" w:rsidRPr="000D6D21">
        <w:rPr>
          <w:rFonts w:eastAsia="Times New Roman" w:cs="Times New Roman"/>
          <w:color w:val="000000"/>
          <w:sz w:val="28"/>
          <w:szCs w:val="28"/>
          <w:bdr w:val="none" w:sz="0" w:space="0" w:color="auto" w:frame="1"/>
          <w:shd w:val="clear" w:color="auto" w:fill="FFFFFF"/>
        </w:rPr>
        <w:t>the</w:t>
      </w:r>
      <w:r w:rsidRPr="000D6D21">
        <w:rPr>
          <w:rFonts w:eastAsia="Times New Roman" w:cs="Times New Roman"/>
          <w:color w:val="000000"/>
          <w:sz w:val="28"/>
          <w:szCs w:val="28"/>
          <w:bdr w:val="none" w:sz="0" w:space="0" w:color="auto" w:frame="1"/>
          <w:shd w:val="clear" w:color="auto" w:fill="FFFFFF"/>
        </w:rPr>
        <w:t xml:space="preserve"> record.  (§</w:t>
      </w:r>
      <w:r w:rsidR="00B7281B" w:rsidRPr="000D6D21">
        <w:rPr>
          <w:rFonts w:eastAsia="Times New Roman" w:cs="Times New Roman"/>
          <w:color w:val="000000"/>
          <w:sz w:val="28"/>
          <w:szCs w:val="28"/>
          <w:bdr w:val="none" w:sz="0" w:space="0" w:color="auto" w:frame="1"/>
          <w:shd w:val="clear" w:color="auto" w:fill="FFFFFF"/>
        </w:rPr>
        <w:t> </w:t>
      </w:r>
      <w:r w:rsidRPr="000D6D21">
        <w:rPr>
          <w:rFonts w:eastAsia="Times New Roman" w:cs="Times New Roman"/>
          <w:color w:val="000000"/>
          <w:sz w:val="28"/>
          <w:szCs w:val="28"/>
          <w:bdr w:val="none" w:sz="0" w:space="0" w:color="auto" w:frame="1"/>
          <w:shd w:val="clear" w:color="auto" w:fill="FFFFFF"/>
        </w:rPr>
        <w:t xml:space="preserve">7923.110, subd. (a).)  If the court finds </w:t>
      </w:r>
      <w:r w:rsidR="008D28A5" w:rsidRPr="000D6D21">
        <w:rPr>
          <w:rFonts w:eastAsia="Times New Roman" w:cs="Times New Roman"/>
          <w:color w:val="000000"/>
          <w:sz w:val="28"/>
          <w:szCs w:val="28"/>
          <w:bdr w:val="none" w:sz="0" w:space="0" w:color="auto" w:frame="1"/>
          <w:shd w:val="clear" w:color="auto" w:fill="FFFFFF"/>
        </w:rPr>
        <w:t xml:space="preserve">the agency’s refusal </w:t>
      </w:r>
      <w:r w:rsidR="001C0078">
        <w:rPr>
          <w:rFonts w:eastAsia="Times New Roman" w:cs="Times New Roman"/>
          <w:color w:val="000000"/>
          <w:sz w:val="28"/>
          <w:szCs w:val="28"/>
          <w:bdr w:val="none" w:sz="0" w:space="0" w:color="auto" w:frame="1"/>
          <w:shd w:val="clear" w:color="auto" w:fill="FFFFFF"/>
        </w:rPr>
        <w:t xml:space="preserve">to be </w:t>
      </w:r>
      <w:r w:rsidR="008D28A5" w:rsidRPr="000D6D21">
        <w:rPr>
          <w:rFonts w:eastAsia="Times New Roman" w:cs="Times New Roman"/>
          <w:color w:val="000000"/>
          <w:sz w:val="28"/>
          <w:szCs w:val="28"/>
          <w:bdr w:val="none" w:sz="0" w:space="0" w:color="auto" w:frame="1"/>
          <w:shd w:val="clear" w:color="auto" w:fill="FFFFFF"/>
        </w:rPr>
        <w:t>justified</w:t>
      </w:r>
      <w:r w:rsidRPr="000D6D21">
        <w:rPr>
          <w:rFonts w:eastAsia="Times New Roman" w:cs="Times New Roman"/>
          <w:color w:val="000000"/>
          <w:sz w:val="28"/>
          <w:szCs w:val="28"/>
          <w:bdr w:val="none" w:sz="0" w:space="0" w:color="auto" w:frame="1"/>
          <w:shd w:val="clear" w:color="auto" w:fill="FFFFFF"/>
        </w:rPr>
        <w:t xml:space="preserve">, the court </w:t>
      </w:r>
      <w:r w:rsidR="001C0078">
        <w:rPr>
          <w:rFonts w:eastAsia="Times New Roman" w:cs="Times New Roman"/>
          <w:color w:val="000000"/>
          <w:sz w:val="28"/>
          <w:szCs w:val="28"/>
          <w:bdr w:val="none" w:sz="0" w:space="0" w:color="auto" w:frame="1"/>
          <w:shd w:val="clear" w:color="auto" w:fill="FFFFFF"/>
        </w:rPr>
        <w:t>must</w:t>
      </w:r>
      <w:r w:rsidRPr="000D6D21">
        <w:rPr>
          <w:rFonts w:eastAsia="Times New Roman" w:cs="Times New Roman"/>
          <w:color w:val="000000"/>
          <w:sz w:val="28"/>
          <w:szCs w:val="28"/>
          <w:bdr w:val="none" w:sz="0" w:space="0" w:color="auto" w:frame="1"/>
          <w:shd w:val="clear" w:color="auto" w:fill="FFFFFF"/>
        </w:rPr>
        <w:t xml:space="preserve"> return the record and issue an </w:t>
      </w:r>
      <w:r w:rsidRPr="000D6D21">
        <w:rPr>
          <w:rFonts w:eastAsia="Times New Roman" w:cs="Arial"/>
          <w:color w:val="000000"/>
          <w:sz w:val="28"/>
          <w:szCs w:val="28"/>
          <w:bdr w:val="none" w:sz="0" w:space="0" w:color="auto" w:frame="1"/>
          <w:shd w:val="clear" w:color="auto" w:fill="FFFFFF"/>
        </w:rPr>
        <w:t xml:space="preserve">order supporting the </w:t>
      </w:r>
      <w:r w:rsidR="00B7281B" w:rsidRPr="000D6D21">
        <w:rPr>
          <w:rFonts w:eastAsia="Times New Roman" w:cs="Arial"/>
          <w:color w:val="000000"/>
          <w:sz w:val="28"/>
          <w:szCs w:val="28"/>
          <w:bdr w:val="none" w:sz="0" w:space="0" w:color="auto" w:frame="1"/>
          <w:shd w:val="clear" w:color="auto" w:fill="FFFFFF"/>
        </w:rPr>
        <w:t xml:space="preserve">agency’s </w:t>
      </w:r>
      <w:r w:rsidRPr="000D6D21">
        <w:rPr>
          <w:rFonts w:eastAsia="Times New Roman" w:cs="Arial"/>
          <w:color w:val="000000"/>
          <w:sz w:val="28"/>
          <w:szCs w:val="28"/>
          <w:bdr w:val="none" w:sz="0" w:space="0" w:color="auto" w:frame="1"/>
          <w:shd w:val="clear" w:color="auto" w:fill="FFFFFF"/>
        </w:rPr>
        <w:t>decision.  (§ 7923.110, subd.</w:t>
      </w:r>
      <w:r w:rsidR="001C0078">
        <w:rPr>
          <w:rFonts w:eastAsia="Times New Roman" w:cs="Arial"/>
          <w:color w:val="000000"/>
          <w:sz w:val="28"/>
          <w:szCs w:val="28"/>
          <w:bdr w:val="none" w:sz="0" w:space="0" w:color="auto" w:frame="1"/>
          <w:shd w:val="clear" w:color="auto" w:fill="FFFFFF"/>
        </w:rPr>
        <w:t> </w:t>
      </w:r>
      <w:r w:rsidRPr="000D6D21">
        <w:rPr>
          <w:rFonts w:eastAsia="Times New Roman" w:cs="Arial"/>
          <w:color w:val="000000"/>
          <w:sz w:val="28"/>
          <w:szCs w:val="28"/>
          <w:bdr w:val="none" w:sz="0" w:space="0" w:color="auto" w:frame="1"/>
          <w:shd w:val="clear" w:color="auto" w:fill="FFFFFF"/>
        </w:rPr>
        <w:t xml:space="preserve">(b).)  </w:t>
      </w:r>
    </w:p>
    <w:p w14:paraId="633D17BF" w14:textId="77777777" w:rsidR="00EB3A92" w:rsidRPr="000D6D21" w:rsidRDefault="00F615D7" w:rsidP="000D6D21">
      <w:pPr>
        <w:keepNext/>
        <w:rPr>
          <w:rFonts w:eastAsia="Times New Roman" w:cs="Arial"/>
          <w:sz w:val="28"/>
          <w:szCs w:val="28"/>
          <w:bdr w:val="none" w:sz="0" w:space="0" w:color="auto" w:frame="1"/>
          <w:shd w:val="clear" w:color="auto" w:fill="FFFFFF"/>
        </w:rPr>
      </w:pPr>
      <w:r w:rsidRPr="000D6D21">
        <w:rPr>
          <w:rFonts w:eastAsia="Times New Roman" w:cs="Arial"/>
          <w:color w:val="000000"/>
          <w:sz w:val="28"/>
          <w:szCs w:val="28"/>
          <w:bdr w:val="none" w:sz="0" w:space="0" w:color="auto" w:frame="1"/>
          <w:shd w:val="clear" w:color="auto" w:fill="FFFFFF"/>
        </w:rPr>
        <w:tab/>
        <w:t>“An order of the court, either directing disclosure by a public official or supporting the decision of the public official refusing disclosure, is not a final judgment or order within the meaning of Section 904.1 of the Code of Civil Procedure fro</w:t>
      </w:r>
      <w:r w:rsidRPr="000D6D21">
        <w:rPr>
          <w:rFonts w:eastAsia="Times New Roman" w:cs="Arial"/>
          <w:color w:val="000000"/>
          <w:sz w:val="28"/>
          <w:szCs w:val="28"/>
          <w:bdr w:val="none" w:sz="0" w:space="0" w:color="auto" w:frame="1"/>
          <w:shd w:val="clear" w:color="auto" w:fill="FFFFFF"/>
        </w:rPr>
        <w:t xml:space="preserve">m which an appeal may be </w:t>
      </w:r>
      <w:proofErr w:type="gramStart"/>
      <w:r w:rsidRPr="000D6D21">
        <w:rPr>
          <w:rFonts w:eastAsia="Times New Roman" w:cs="Arial"/>
          <w:color w:val="000000"/>
          <w:sz w:val="28"/>
          <w:szCs w:val="28"/>
          <w:bdr w:val="none" w:sz="0" w:space="0" w:color="auto" w:frame="1"/>
          <w:shd w:val="clear" w:color="auto" w:fill="FFFFFF"/>
        </w:rPr>
        <w:t>taken, but</w:t>
      </w:r>
      <w:proofErr w:type="gramEnd"/>
      <w:r w:rsidRPr="000D6D21">
        <w:rPr>
          <w:rFonts w:eastAsia="Times New Roman" w:cs="Arial"/>
          <w:color w:val="000000"/>
          <w:sz w:val="28"/>
          <w:szCs w:val="28"/>
          <w:bdr w:val="none" w:sz="0" w:space="0" w:color="auto" w:frame="1"/>
          <w:shd w:val="clear" w:color="auto" w:fill="FFFFFF"/>
        </w:rPr>
        <w:t xml:space="preserve"> shall be immediately reviewable by petition to the appellate court for the issuance of an extraordinary writ.”  (§ 7923.500, subd. (a).)  Upon entry of any such order, “a party shall, in order to obtain review of the ord</w:t>
      </w:r>
      <w:r w:rsidRPr="000D6D21">
        <w:rPr>
          <w:rFonts w:eastAsia="Times New Roman" w:cs="Arial"/>
          <w:color w:val="000000"/>
          <w:sz w:val="28"/>
          <w:szCs w:val="28"/>
          <w:bdr w:val="none" w:sz="0" w:space="0" w:color="auto" w:frame="1"/>
          <w:shd w:val="clear" w:color="auto" w:fill="FFFFFF"/>
        </w:rPr>
        <w:t xml:space="preserve">er, file a petition within 20 days after service upon the party of a written notice of entry of the order, or within a further time, not exceeding an additional 20 days, as the trial court may for </w:t>
      </w:r>
      <w:r w:rsidRPr="000D6D21">
        <w:rPr>
          <w:rFonts w:eastAsia="Times New Roman" w:cs="Arial"/>
          <w:sz w:val="28"/>
          <w:szCs w:val="28"/>
          <w:bdr w:val="none" w:sz="0" w:space="0" w:color="auto" w:frame="1"/>
          <w:shd w:val="clear" w:color="auto" w:fill="FFFFFF"/>
        </w:rPr>
        <w:t>good cause allow.”  (§</w:t>
      </w:r>
      <w:r w:rsidR="00140A0E">
        <w:rPr>
          <w:rFonts w:eastAsia="Times New Roman" w:cs="Arial"/>
          <w:sz w:val="28"/>
          <w:szCs w:val="28"/>
          <w:bdr w:val="none" w:sz="0" w:space="0" w:color="auto" w:frame="1"/>
          <w:shd w:val="clear" w:color="auto" w:fill="FFFFFF"/>
        </w:rPr>
        <w:t> </w:t>
      </w:r>
      <w:r w:rsidRPr="000D6D21">
        <w:rPr>
          <w:rFonts w:eastAsia="Times New Roman" w:cs="Arial"/>
          <w:sz w:val="28"/>
          <w:szCs w:val="28"/>
          <w:bdr w:val="none" w:sz="0" w:space="0" w:color="auto" w:frame="1"/>
          <w:shd w:val="clear" w:color="auto" w:fill="FFFFFF"/>
        </w:rPr>
        <w:t>7923.500, subd. (b).)  A stay of any</w:t>
      </w:r>
      <w:r w:rsidRPr="000D6D21">
        <w:rPr>
          <w:rFonts w:eastAsia="Times New Roman" w:cs="Arial"/>
          <w:sz w:val="28"/>
          <w:szCs w:val="28"/>
          <w:bdr w:val="none" w:sz="0" w:space="0" w:color="auto" w:frame="1"/>
          <w:shd w:val="clear" w:color="auto" w:fill="FFFFFF"/>
        </w:rPr>
        <w:t xml:space="preserve"> order “shall not be granted unless the petitioning party demonstrates that the party will otherwise sustain irreparable damage and probable success on the merits.”  (§ 7923.500, subd. (d).)  </w:t>
      </w:r>
    </w:p>
    <w:p w14:paraId="633D17C0" w14:textId="77777777" w:rsidR="008971B1" w:rsidRPr="000D6D21" w:rsidRDefault="00F615D7" w:rsidP="000D6D21">
      <w:pPr>
        <w:keepNext/>
        <w:ind w:firstLine="720"/>
        <w:rPr>
          <w:rFonts w:eastAsia="Times New Roman" w:cs="Arial"/>
          <w:sz w:val="28"/>
          <w:szCs w:val="28"/>
        </w:rPr>
      </w:pPr>
      <w:r w:rsidRPr="000D6D21">
        <w:rPr>
          <w:rFonts w:eastAsia="Times New Roman" w:cs="Arial"/>
          <w:sz w:val="28"/>
          <w:szCs w:val="28"/>
          <w:bdr w:val="none" w:sz="0" w:space="0" w:color="auto" w:frame="1"/>
          <w:shd w:val="clear" w:color="auto" w:fill="FFFFFF"/>
        </w:rPr>
        <w:t>These enforcement procedures “reflect a clear legislative inten</w:t>
      </w:r>
      <w:r w:rsidRPr="000D6D21">
        <w:rPr>
          <w:rFonts w:eastAsia="Times New Roman" w:cs="Arial"/>
          <w:sz w:val="28"/>
          <w:szCs w:val="28"/>
          <w:bdr w:val="none" w:sz="0" w:space="0" w:color="auto" w:frame="1"/>
          <w:shd w:val="clear" w:color="auto" w:fill="FFFFFF"/>
        </w:rPr>
        <w:t xml:space="preserve">t that the determination of the obligation to disclose records requested from a public agency be made </w:t>
      </w:r>
      <w:r w:rsidRPr="000D6D21">
        <w:rPr>
          <w:rFonts w:eastAsia="Times New Roman" w:cs="Arial"/>
          <w:sz w:val="28"/>
          <w:szCs w:val="28"/>
          <w:bdr w:val="none" w:sz="0" w:space="0" w:color="auto" w:frame="1"/>
          <w:shd w:val="clear" w:color="auto" w:fill="FFFFFF"/>
        </w:rPr>
        <w:lastRenderedPageBreak/>
        <w:t>expeditiously.”  (</w:t>
      </w:r>
      <w:proofErr w:type="spellStart"/>
      <w:r w:rsidRPr="000D6D21">
        <w:rPr>
          <w:rFonts w:eastAsia="Times New Roman" w:cs="Arial"/>
          <w:i/>
          <w:sz w:val="28"/>
          <w:szCs w:val="28"/>
          <w:bdr w:val="none" w:sz="0" w:space="0" w:color="auto" w:frame="1"/>
          <w:shd w:val="clear" w:color="auto" w:fill="FFFFFF"/>
        </w:rPr>
        <w:t>Filarsky</w:t>
      </w:r>
      <w:proofErr w:type="spellEnd"/>
      <w:r w:rsidRPr="000D6D21">
        <w:rPr>
          <w:rFonts w:eastAsia="Times New Roman" w:cs="Arial"/>
          <w:i/>
          <w:sz w:val="28"/>
          <w:szCs w:val="28"/>
          <w:bdr w:val="none" w:sz="0" w:space="0" w:color="auto" w:frame="1"/>
          <w:shd w:val="clear" w:color="auto" w:fill="FFFFFF"/>
        </w:rPr>
        <w:t xml:space="preserve"> v. Superior Court</w:t>
      </w:r>
      <w:r w:rsidRPr="000D6D21">
        <w:rPr>
          <w:rFonts w:eastAsia="Times New Roman" w:cs="Arial"/>
          <w:sz w:val="28"/>
          <w:szCs w:val="28"/>
          <w:bdr w:val="none" w:sz="0" w:space="0" w:color="auto" w:frame="1"/>
          <w:shd w:val="clear" w:color="auto" w:fill="FFFFFF"/>
        </w:rPr>
        <w:t xml:space="preserve"> (2002) 28 Cal.4th 419, 427 (</w:t>
      </w:r>
      <w:proofErr w:type="spellStart"/>
      <w:r w:rsidRPr="00EB6D49">
        <w:rPr>
          <w:rFonts w:eastAsia="Times New Roman" w:cs="Arial"/>
          <w:i/>
          <w:sz w:val="28"/>
          <w:szCs w:val="28"/>
          <w:bdr w:val="none" w:sz="0" w:space="0" w:color="auto" w:frame="1"/>
          <w:shd w:val="clear" w:color="auto" w:fill="FFFFFF"/>
        </w:rPr>
        <w:t>Filarsky</w:t>
      </w:r>
      <w:proofErr w:type="spellEnd"/>
      <w:r w:rsidRPr="000D6D21">
        <w:rPr>
          <w:rFonts w:eastAsia="Times New Roman" w:cs="Arial"/>
          <w:sz w:val="28"/>
          <w:szCs w:val="28"/>
          <w:bdr w:val="none" w:sz="0" w:space="0" w:color="auto" w:frame="1"/>
          <w:shd w:val="clear" w:color="auto" w:fill="FFFFFF"/>
        </w:rPr>
        <w:t xml:space="preserve">).)  </w:t>
      </w:r>
    </w:p>
    <w:p w14:paraId="633D17C1" w14:textId="77777777" w:rsidR="008971B1" w:rsidRPr="000D6D21" w:rsidRDefault="008971B1" w:rsidP="000D6D21">
      <w:pPr>
        <w:keepNext/>
        <w:rPr>
          <w:b/>
          <w:sz w:val="28"/>
          <w:szCs w:val="28"/>
          <w:u w:val="single"/>
        </w:rPr>
      </w:pPr>
    </w:p>
    <w:p w14:paraId="633D17C2" w14:textId="77777777" w:rsidR="00B7281B" w:rsidRPr="000D6D21" w:rsidRDefault="00F615D7" w:rsidP="00140A0E">
      <w:pPr>
        <w:keepNext/>
        <w:ind w:left="720" w:hanging="720"/>
        <w:rPr>
          <w:b/>
          <w:sz w:val="28"/>
          <w:szCs w:val="28"/>
          <w:u w:val="single"/>
        </w:rPr>
      </w:pPr>
      <w:r w:rsidRPr="000D6D21">
        <w:rPr>
          <w:b/>
          <w:sz w:val="28"/>
          <w:szCs w:val="28"/>
        </w:rPr>
        <w:t>C</w:t>
      </w:r>
      <w:r w:rsidR="008971B1" w:rsidRPr="000D6D21">
        <w:rPr>
          <w:b/>
          <w:sz w:val="28"/>
          <w:szCs w:val="28"/>
        </w:rPr>
        <w:t>.</w:t>
      </w:r>
      <w:r w:rsidR="008971B1" w:rsidRPr="000D6D21">
        <w:rPr>
          <w:b/>
          <w:sz w:val="28"/>
          <w:szCs w:val="28"/>
        </w:rPr>
        <w:tab/>
      </w:r>
      <w:r w:rsidRPr="000D6D21">
        <w:rPr>
          <w:b/>
          <w:sz w:val="28"/>
          <w:szCs w:val="28"/>
        </w:rPr>
        <w:t xml:space="preserve">The </w:t>
      </w:r>
      <w:r w:rsidR="00E97788" w:rsidRPr="000D6D21">
        <w:rPr>
          <w:b/>
          <w:sz w:val="28"/>
          <w:szCs w:val="28"/>
        </w:rPr>
        <w:t xml:space="preserve">Registrar Appeals from </w:t>
      </w:r>
      <w:proofErr w:type="spellStart"/>
      <w:r w:rsidR="00E97788" w:rsidRPr="000D6D21">
        <w:rPr>
          <w:b/>
          <w:sz w:val="28"/>
          <w:szCs w:val="28"/>
        </w:rPr>
        <w:t>Nonappealable</w:t>
      </w:r>
      <w:proofErr w:type="spellEnd"/>
      <w:r w:rsidR="00E97788" w:rsidRPr="000D6D21">
        <w:rPr>
          <w:b/>
          <w:sz w:val="28"/>
          <w:szCs w:val="28"/>
        </w:rPr>
        <w:t xml:space="preserve"> Orders</w:t>
      </w:r>
      <w:r w:rsidRPr="000D6D21">
        <w:rPr>
          <w:b/>
          <w:sz w:val="28"/>
          <w:szCs w:val="28"/>
          <w:u w:val="single"/>
        </w:rPr>
        <w:t xml:space="preserve"> </w:t>
      </w:r>
    </w:p>
    <w:p w14:paraId="633D17C3" w14:textId="77777777" w:rsidR="00E97788" w:rsidRPr="000D6D21" w:rsidRDefault="00F615D7" w:rsidP="000D6D21">
      <w:pPr>
        <w:ind w:firstLine="720"/>
        <w:rPr>
          <w:sz w:val="28"/>
          <w:szCs w:val="28"/>
        </w:rPr>
      </w:pPr>
      <w:r w:rsidRPr="000D6D21">
        <w:rPr>
          <w:sz w:val="28"/>
          <w:szCs w:val="28"/>
        </w:rPr>
        <w:t xml:space="preserve">We </w:t>
      </w:r>
      <w:r w:rsidRPr="000D6D21">
        <w:rPr>
          <w:sz w:val="28"/>
          <w:szCs w:val="28"/>
        </w:rPr>
        <w:t>conclude that the Registrar</w:t>
      </w:r>
      <w:r w:rsidR="00207F98" w:rsidRPr="000D6D21">
        <w:rPr>
          <w:sz w:val="28"/>
          <w:szCs w:val="28"/>
        </w:rPr>
        <w:t xml:space="preserve"> has appealed from </w:t>
      </w:r>
      <w:r w:rsidRPr="000D6D21">
        <w:rPr>
          <w:sz w:val="28"/>
          <w:szCs w:val="28"/>
        </w:rPr>
        <w:t xml:space="preserve">orders under section 7923.500 </w:t>
      </w:r>
      <w:r w:rsidR="00EF6814" w:rsidRPr="000D6D21">
        <w:rPr>
          <w:sz w:val="28"/>
          <w:szCs w:val="28"/>
        </w:rPr>
        <w:t>“either directing disclosure by a public official or supporting the decision of the public official refusing disclosure” under the PRA</w:t>
      </w:r>
      <w:r w:rsidR="008D28A5" w:rsidRPr="000D6D21">
        <w:rPr>
          <w:sz w:val="28"/>
          <w:szCs w:val="28"/>
        </w:rPr>
        <w:t xml:space="preserve">.  </w:t>
      </w:r>
      <w:r w:rsidRPr="000D6D21">
        <w:rPr>
          <w:sz w:val="28"/>
          <w:szCs w:val="28"/>
        </w:rPr>
        <w:t xml:space="preserve">Both </w:t>
      </w:r>
      <w:r w:rsidR="000C580D" w:rsidRPr="000D6D21">
        <w:rPr>
          <w:sz w:val="28"/>
          <w:szCs w:val="28"/>
        </w:rPr>
        <w:t xml:space="preserve">challenged </w:t>
      </w:r>
      <w:r w:rsidRPr="000D6D21">
        <w:rPr>
          <w:sz w:val="28"/>
          <w:szCs w:val="28"/>
        </w:rPr>
        <w:t>orders either command the R</w:t>
      </w:r>
      <w:r w:rsidRPr="000D6D21">
        <w:rPr>
          <w:sz w:val="28"/>
          <w:szCs w:val="28"/>
        </w:rPr>
        <w:t xml:space="preserve">egistrar to disclose records in hardcopy and/or electronic form or support the Registrar’s refusal to disclose </w:t>
      </w:r>
      <w:r w:rsidR="00A640E4" w:rsidRPr="000D6D21">
        <w:rPr>
          <w:sz w:val="28"/>
          <w:szCs w:val="28"/>
        </w:rPr>
        <w:t xml:space="preserve">records exempted from disclosure </w:t>
      </w:r>
      <w:r w:rsidRPr="000D6D21">
        <w:rPr>
          <w:sz w:val="28"/>
          <w:szCs w:val="28"/>
        </w:rPr>
        <w:t>under the PRA.</w:t>
      </w:r>
      <w:r w:rsidR="00A640E4" w:rsidRPr="000D6D21">
        <w:rPr>
          <w:sz w:val="28"/>
          <w:szCs w:val="28"/>
        </w:rPr>
        <w:t xml:space="preserve">  (See §§ 7923.500, subd. (a), 7930.160 [</w:t>
      </w:r>
      <w:r w:rsidR="00207F98" w:rsidRPr="000D6D21">
        <w:rPr>
          <w:sz w:val="28"/>
          <w:szCs w:val="28"/>
        </w:rPr>
        <w:t>listing §</w:t>
      </w:r>
      <w:r w:rsidR="0050427F">
        <w:rPr>
          <w:sz w:val="28"/>
          <w:szCs w:val="28"/>
        </w:rPr>
        <w:t> </w:t>
      </w:r>
      <w:r w:rsidR="00A640E4" w:rsidRPr="000D6D21">
        <w:rPr>
          <w:sz w:val="28"/>
          <w:szCs w:val="28"/>
        </w:rPr>
        <w:t>7924.110 as</w:t>
      </w:r>
      <w:r w:rsidR="00207F98" w:rsidRPr="000D6D21">
        <w:rPr>
          <w:sz w:val="28"/>
          <w:szCs w:val="28"/>
        </w:rPr>
        <w:t xml:space="preserve"> a provision that</w:t>
      </w:r>
      <w:r w:rsidR="00A640E4" w:rsidRPr="000D6D21">
        <w:rPr>
          <w:sz w:val="28"/>
          <w:szCs w:val="28"/>
        </w:rPr>
        <w:t xml:space="preserve"> “operat</w:t>
      </w:r>
      <w:r w:rsidR="00207F98" w:rsidRPr="000D6D21">
        <w:rPr>
          <w:sz w:val="28"/>
          <w:szCs w:val="28"/>
        </w:rPr>
        <w:t>es</w:t>
      </w:r>
      <w:r w:rsidR="00A640E4" w:rsidRPr="000D6D21">
        <w:rPr>
          <w:sz w:val="28"/>
          <w:szCs w:val="28"/>
        </w:rPr>
        <w:t xml:space="preserve"> to exempt certain records, or portions thereof, from disclosure”].)  </w:t>
      </w:r>
      <w:r w:rsidR="00207F98" w:rsidRPr="000D6D21">
        <w:rPr>
          <w:sz w:val="28"/>
          <w:szCs w:val="28"/>
        </w:rPr>
        <w:t xml:space="preserve">To quote the Registrar, the contentions </w:t>
      </w:r>
      <w:r w:rsidR="00E3058D" w:rsidRPr="000D6D21">
        <w:rPr>
          <w:sz w:val="28"/>
          <w:szCs w:val="28"/>
        </w:rPr>
        <w:t xml:space="preserve">raised </w:t>
      </w:r>
      <w:r w:rsidR="00207F98" w:rsidRPr="000D6D21">
        <w:rPr>
          <w:sz w:val="28"/>
          <w:szCs w:val="28"/>
        </w:rPr>
        <w:t xml:space="preserve">in this appeal </w:t>
      </w:r>
      <w:r w:rsidR="00A640E4" w:rsidRPr="000D6D21">
        <w:rPr>
          <w:sz w:val="28"/>
          <w:szCs w:val="28"/>
        </w:rPr>
        <w:t xml:space="preserve">are based </w:t>
      </w:r>
      <w:r w:rsidR="00207F98" w:rsidRPr="000D6D21">
        <w:rPr>
          <w:sz w:val="28"/>
          <w:szCs w:val="28"/>
        </w:rPr>
        <w:t xml:space="preserve">primarily </w:t>
      </w:r>
      <w:r w:rsidR="00A640E4" w:rsidRPr="000D6D21">
        <w:rPr>
          <w:sz w:val="28"/>
          <w:szCs w:val="28"/>
        </w:rPr>
        <w:t xml:space="preserve">on “the scope of section 7924.110” </w:t>
      </w:r>
      <w:r w:rsidR="003D3339" w:rsidRPr="000D6D21">
        <w:rPr>
          <w:sz w:val="28"/>
          <w:szCs w:val="28"/>
        </w:rPr>
        <w:t xml:space="preserve">of the PRA, </w:t>
      </w:r>
      <w:r w:rsidR="00207F98" w:rsidRPr="000D6D21">
        <w:rPr>
          <w:sz w:val="28"/>
          <w:szCs w:val="28"/>
        </w:rPr>
        <w:t xml:space="preserve">namely </w:t>
      </w:r>
      <w:r w:rsidR="00A640E4" w:rsidRPr="000D6D21">
        <w:rPr>
          <w:sz w:val="28"/>
          <w:szCs w:val="28"/>
        </w:rPr>
        <w:t>“the limited opportunity to examine an unsuccessful petition . . . and the scope of access to materials subject to disclosure. . . .”  (Citing § 7924.110</w:t>
      </w:r>
      <w:r w:rsidR="00B713B5" w:rsidRPr="000D6D21">
        <w:rPr>
          <w:sz w:val="28"/>
          <w:szCs w:val="28"/>
        </w:rPr>
        <w:t xml:space="preserve"> (b)(2)</w:t>
      </w:r>
      <w:r w:rsidR="00A640E4" w:rsidRPr="000D6D21">
        <w:rPr>
          <w:sz w:val="28"/>
          <w:szCs w:val="28"/>
        </w:rPr>
        <w:t xml:space="preserve">; Elec. Code, § 2194.) </w:t>
      </w:r>
      <w:r w:rsidR="00A640E4" w:rsidRPr="000D6D21">
        <w:rPr>
          <w:rFonts w:eastAsia="Times New Roman" w:cs="Arial"/>
          <w:color w:val="000000"/>
          <w:sz w:val="28"/>
          <w:szCs w:val="28"/>
          <w:bdr w:val="none" w:sz="0" w:space="0" w:color="auto" w:frame="1"/>
          <w:shd w:val="clear" w:color="auto" w:fill="FFFFFF"/>
        </w:rPr>
        <w:t xml:space="preserve">We </w:t>
      </w:r>
      <w:r w:rsidR="006B00AE" w:rsidRPr="000D6D21">
        <w:rPr>
          <w:rFonts w:eastAsia="Times New Roman" w:cs="Arial"/>
          <w:color w:val="000000"/>
          <w:sz w:val="28"/>
          <w:szCs w:val="28"/>
          <w:bdr w:val="none" w:sz="0" w:space="0" w:color="auto" w:frame="1"/>
          <w:shd w:val="clear" w:color="auto" w:fill="FFFFFF"/>
        </w:rPr>
        <w:t>therefore a</w:t>
      </w:r>
      <w:r w:rsidR="00A640E4" w:rsidRPr="000D6D21">
        <w:rPr>
          <w:rFonts w:eastAsia="Times New Roman" w:cs="Arial"/>
          <w:color w:val="000000"/>
          <w:sz w:val="28"/>
          <w:szCs w:val="28"/>
          <w:bdr w:val="none" w:sz="0" w:space="0" w:color="auto" w:frame="1"/>
          <w:shd w:val="clear" w:color="auto" w:fill="FFFFFF"/>
        </w:rPr>
        <w:t xml:space="preserve">gree with the Committee </w:t>
      </w:r>
      <w:r w:rsidR="00207F98" w:rsidRPr="000D6D21">
        <w:rPr>
          <w:rFonts w:eastAsia="Times New Roman" w:cs="Arial"/>
          <w:color w:val="000000"/>
          <w:sz w:val="28"/>
          <w:szCs w:val="28"/>
          <w:bdr w:val="none" w:sz="0" w:space="0" w:color="auto" w:frame="1"/>
          <w:shd w:val="clear" w:color="auto" w:fill="FFFFFF"/>
        </w:rPr>
        <w:t xml:space="preserve">that </w:t>
      </w:r>
      <w:r w:rsidR="00A640E4" w:rsidRPr="000D6D21">
        <w:rPr>
          <w:sz w:val="28"/>
          <w:szCs w:val="28"/>
        </w:rPr>
        <w:t xml:space="preserve">both orders are </w:t>
      </w:r>
      <w:proofErr w:type="spellStart"/>
      <w:r w:rsidR="00A640E4" w:rsidRPr="000D6D21">
        <w:rPr>
          <w:sz w:val="28"/>
          <w:szCs w:val="28"/>
        </w:rPr>
        <w:t>nonappealable</w:t>
      </w:r>
      <w:proofErr w:type="spellEnd"/>
      <w:r w:rsidR="00207F98" w:rsidRPr="000D6D21">
        <w:rPr>
          <w:sz w:val="28"/>
          <w:szCs w:val="28"/>
        </w:rPr>
        <w:t xml:space="preserve"> </w:t>
      </w:r>
      <w:r w:rsidR="00207F98" w:rsidRPr="000D6D21">
        <w:rPr>
          <w:rFonts w:eastAsia="Times New Roman" w:cs="Arial"/>
          <w:color w:val="000000"/>
          <w:sz w:val="28"/>
          <w:szCs w:val="28"/>
          <w:bdr w:val="none" w:sz="0" w:space="0" w:color="auto" w:frame="1"/>
          <w:shd w:val="clear" w:color="auto" w:fill="FFFFFF"/>
        </w:rPr>
        <w:t>under the plain language of section 7923.500</w:t>
      </w:r>
      <w:r w:rsidR="00A640E4" w:rsidRPr="000D6D21">
        <w:rPr>
          <w:rFonts w:eastAsia="Times New Roman" w:cs="Arial"/>
          <w:color w:val="000000"/>
          <w:sz w:val="28"/>
          <w:szCs w:val="28"/>
          <w:bdr w:val="none" w:sz="0" w:space="0" w:color="auto" w:frame="1"/>
          <w:shd w:val="clear" w:color="auto" w:fill="FFFFFF"/>
        </w:rPr>
        <w:t xml:space="preserve">. </w:t>
      </w:r>
    </w:p>
    <w:p w14:paraId="633D17C4" w14:textId="77777777" w:rsidR="006B00AE" w:rsidRPr="000D6D21" w:rsidRDefault="00F615D7" w:rsidP="000D6D21">
      <w:pPr>
        <w:ind w:firstLine="720"/>
        <w:rPr>
          <w:rFonts w:eastAsia="Times New Roman" w:cs="Arial"/>
          <w:sz w:val="28"/>
          <w:szCs w:val="28"/>
          <w:bdr w:val="none" w:sz="0" w:space="0" w:color="auto" w:frame="1"/>
        </w:rPr>
      </w:pPr>
      <w:r w:rsidRPr="000D6D21">
        <w:rPr>
          <w:rFonts w:eastAsia="Times New Roman" w:cs="Arial"/>
          <w:color w:val="000000"/>
          <w:sz w:val="28"/>
          <w:szCs w:val="28"/>
          <w:bdr w:val="none" w:sz="0" w:space="0" w:color="auto" w:frame="1"/>
          <w:shd w:val="clear" w:color="auto" w:fill="FFFFFF"/>
        </w:rPr>
        <w:t>The</w:t>
      </w:r>
      <w:r w:rsidRPr="000D6D21">
        <w:rPr>
          <w:rFonts w:eastAsia="Times New Roman" w:cs="Arial"/>
          <w:color w:val="000000"/>
          <w:sz w:val="28"/>
          <w:szCs w:val="28"/>
          <w:bdr w:val="none" w:sz="0" w:space="0" w:color="auto" w:frame="1"/>
          <w:shd w:val="clear" w:color="auto" w:fill="FFFFFF"/>
        </w:rPr>
        <w:t xml:space="preserve"> </w:t>
      </w:r>
      <w:r w:rsidR="00BA1871" w:rsidRPr="000D6D21">
        <w:rPr>
          <w:rFonts w:eastAsia="Times New Roman" w:cs="Arial"/>
          <w:color w:val="000000"/>
          <w:sz w:val="28"/>
          <w:szCs w:val="28"/>
          <w:bdr w:val="none" w:sz="0" w:space="0" w:color="auto" w:frame="1"/>
          <w:shd w:val="clear" w:color="auto" w:fill="FFFFFF"/>
        </w:rPr>
        <w:t xml:space="preserve">Registrar </w:t>
      </w:r>
      <w:r w:rsidRPr="000D6D21">
        <w:rPr>
          <w:rFonts w:eastAsia="Times New Roman" w:cs="Arial"/>
          <w:color w:val="000000"/>
          <w:sz w:val="28"/>
          <w:szCs w:val="28"/>
          <w:bdr w:val="none" w:sz="0" w:space="0" w:color="auto" w:frame="1"/>
          <w:shd w:val="clear" w:color="auto" w:fill="FFFFFF"/>
        </w:rPr>
        <w:t>resists this conclusion</w:t>
      </w:r>
      <w:r w:rsidR="0026273F" w:rsidRPr="000D6D21">
        <w:rPr>
          <w:rFonts w:eastAsia="Times New Roman" w:cs="Arial"/>
          <w:color w:val="000000"/>
          <w:sz w:val="28"/>
          <w:szCs w:val="28"/>
          <w:bdr w:val="none" w:sz="0" w:space="0" w:color="auto" w:frame="1"/>
          <w:shd w:val="clear" w:color="auto" w:fill="FFFFFF"/>
        </w:rPr>
        <w:t>, arguing</w:t>
      </w:r>
      <w:r w:rsidRPr="000D6D21">
        <w:rPr>
          <w:rFonts w:eastAsia="Times New Roman" w:cs="Arial"/>
          <w:color w:val="000000"/>
          <w:sz w:val="28"/>
          <w:szCs w:val="28"/>
          <w:bdr w:val="none" w:sz="0" w:space="0" w:color="auto" w:frame="1"/>
          <w:shd w:val="clear" w:color="auto" w:fill="FFFFFF"/>
        </w:rPr>
        <w:t xml:space="preserve"> that because the </w:t>
      </w:r>
      <w:r w:rsidR="00E3058D" w:rsidRPr="000D6D21">
        <w:rPr>
          <w:rFonts w:eastAsia="Times New Roman" w:cs="Arial"/>
          <w:color w:val="000000"/>
          <w:sz w:val="28"/>
          <w:szCs w:val="28"/>
          <w:bdr w:val="none" w:sz="0" w:space="0" w:color="auto" w:frame="1"/>
          <w:shd w:val="clear" w:color="auto" w:fill="FFFFFF"/>
        </w:rPr>
        <w:t xml:space="preserve">underlying </w:t>
      </w:r>
      <w:r w:rsidRPr="000D6D21">
        <w:rPr>
          <w:rFonts w:eastAsia="Times New Roman" w:cs="Arial"/>
          <w:color w:val="000000"/>
          <w:sz w:val="28"/>
          <w:szCs w:val="28"/>
          <w:bdr w:val="none" w:sz="0" w:space="0" w:color="auto" w:frame="1"/>
          <w:shd w:val="clear" w:color="auto" w:fill="FFFFFF"/>
        </w:rPr>
        <w:t>orders d</w:t>
      </w:r>
      <w:r w:rsidR="0026273F" w:rsidRPr="000D6D21">
        <w:rPr>
          <w:rFonts w:eastAsia="Times New Roman" w:cs="Arial"/>
          <w:color w:val="000000"/>
          <w:sz w:val="28"/>
          <w:szCs w:val="28"/>
          <w:bdr w:val="none" w:sz="0" w:space="0" w:color="auto" w:frame="1"/>
          <w:shd w:val="clear" w:color="auto" w:fill="FFFFFF"/>
        </w:rPr>
        <w:t>id</w:t>
      </w:r>
      <w:r w:rsidRPr="000D6D21">
        <w:rPr>
          <w:rFonts w:eastAsia="Times New Roman" w:cs="Arial"/>
          <w:color w:val="000000"/>
          <w:sz w:val="28"/>
          <w:szCs w:val="28"/>
          <w:bdr w:val="none" w:sz="0" w:space="0" w:color="auto" w:frame="1"/>
          <w:shd w:val="clear" w:color="auto" w:fill="FFFFFF"/>
        </w:rPr>
        <w:t xml:space="preserve"> not order disclosure of “public records,” </w:t>
      </w:r>
      <w:r w:rsidR="00BA1871" w:rsidRPr="000D6D21">
        <w:rPr>
          <w:rFonts w:eastAsia="Times New Roman" w:cs="Arial"/>
          <w:color w:val="000000"/>
          <w:sz w:val="28"/>
          <w:szCs w:val="28"/>
          <w:bdr w:val="none" w:sz="0" w:space="0" w:color="auto" w:frame="1"/>
          <w:shd w:val="clear" w:color="auto" w:fill="FFFFFF"/>
        </w:rPr>
        <w:t>section 7923.500 does not apply</w:t>
      </w:r>
      <w:r w:rsidRPr="000D6D21">
        <w:rPr>
          <w:rFonts w:eastAsia="Times New Roman" w:cs="Arial"/>
          <w:color w:val="000000"/>
          <w:sz w:val="28"/>
          <w:szCs w:val="28"/>
          <w:bdr w:val="none" w:sz="0" w:space="0" w:color="auto" w:frame="1"/>
          <w:shd w:val="clear" w:color="auto" w:fill="FFFFFF"/>
        </w:rPr>
        <w:t>.</w:t>
      </w:r>
      <w:r w:rsidR="00BA1871" w:rsidRPr="000D6D21">
        <w:rPr>
          <w:rFonts w:eastAsia="Times New Roman" w:cs="Arial"/>
          <w:color w:val="000000"/>
          <w:sz w:val="28"/>
          <w:szCs w:val="28"/>
          <w:bdr w:val="none" w:sz="0" w:space="0" w:color="auto" w:frame="1"/>
          <w:shd w:val="clear" w:color="auto" w:fill="FFFFFF"/>
        </w:rPr>
        <w:t xml:space="preserve">  </w:t>
      </w:r>
      <w:r w:rsidRPr="000D6D21">
        <w:rPr>
          <w:rFonts w:eastAsia="Times New Roman" w:cs="Arial"/>
          <w:color w:val="000000"/>
          <w:sz w:val="28"/>
          <w:szCs w:val="28"/>
          <w:bdr w:val="none" w:sz="0" w:space="0" w:color="auto" w:frame="1"/>
          <w:shd w:val="clear" w:color="auto" w:fill="FFFFFF"/>
        </w:rPr>
        <w:t xml:space="preserve">Mindful that no such limitation appears in </w:t>
      </w:r>
      <w:r w:rsidR="005D3F25">
        <w:rPr>
          <w:rFonts w:eastAsia="Times New Roman" w:cs="Arial"/>
          <w:color w:val="000000"/>
          <w:sz w:val="28"/>
          <w:szCs w:val="28"/>
          <w:bdr w:val="none" w:sz="0" w:space="0" w:color="auto" w:frame="1"/>
          <w:shd w:val="clear" w:color="auto" w:fill="FFFFFF"/>
        </w:rPr>
        <w:t xml:space="preserve">the text of </w:t>
      </w:r>
      <w:r w:rsidRPr="000D6D21">
        <w:rPr>
          <w:rFonts w:eastAsia="Times New Roman" w:cs="Arial"/>
          <w:color w:val="000000"/>
          <w:sz w:val="28"/>
          <w:szCs w:val="28"/>
          <w:bdr w:val="none" w:sz="0" w:space="0" w:color="auto" w:frame="1"/>
          <w:shd w:val="clear" w:color="auto" w:fill="FFFFFF"/>
        </w:rPr>
        <w:t>section 7923.500, the</w:t>
      </w:r>
      <w:r w:rsidR="00D60656" w:rsidRPr="000D6D21">
        <w:rPr>
          <w:sz w:val="28"/>
          <w:szCs w:val="28"/>
        </w:rPr>
        <w:t xml:space="preserve"> Registrar </w:t>
      </w:r>
      <w:r w:rsidRPr="000D6D21">
        <w:rPr>
          <w:sz w:val="28"/>
          <w:szCs w:val="28"/>
        </w:rPr>
        <w:t xml:space="preserve">contends that our Supreme Court </w:t>
      </w:r>
      <w:r w:rsidR="0026273F" w:rsidRPr="000D6D21">
        <w:rPr>
          <w:sz w:val="28"/>
          <w:szCs w:val="28"/>
        </w:rPr>
        <w:t xml:space="preserve">imposed this gloss </w:t>
      </w:r>
      <w:r w:rsidRPr="000D6D21">
        <w:rPr>
          <w:sz w:val="28"/>
          <w:szCs w:val="28"/>
        </w:rPr>
        <w:t xml:space="preserve">in </w:t>
      </w:r>
      <w:proofErr w:type="spellStart"/>
      <w:r w:rsidR="00BA1871" w:rsidRPr="000D6D21">
        <w:rPr>
          <w:i/>
          <w:iCs/>
          <w:sz w:val="28"/>
          <w:szCs w:val="28"/>
        </w:rPr>
        <w:t>Filarsky</w:t>
      </w:r>
      <w:proofErr w:type="spellEnd"/>
      <w:r w:rsidR="00BA1871" w:rsidRPr="000D6D21">
        <w:rPr>
          <w:sz w:val="28"/>
          <w:szCs w:val="28"/>
        </w:rPr>
        <w:t xml:space="preserve">, </w:t>
      </w:r>
      <w:r w:rsidR="00BA1871" w:rsidRPr="000D6D21">
        <w:rPr>
          <w:i/>
          <w:iCs/>
          <w:sz w:val="28"/>
          <w:szCs w:val="28"/>
        </w:rPr>
        <w:t>supra</w:t>
      </w:r>
      <w:r w:rsidR="00BA1871" w:rsidRPr="000D6D21">
        <w:rPr>
          <w:sz w:val="28"/>
          <w:szCs w:val="28"/>
        </w:rPr>
        <w:t>, 28 Cal.4th 418</w:t>
      </w:r>
      <w:r w:rsidRPr="000D6D21">
        <w:rPr>
          <w:sz w:val="28"/>
          <w:szCs w:val="28"/>
        </w:rPr>
        <w:t xml:space="preserve">.  </w:t>
      </w:r>
      <w:r w:rsidR="008D28A5" w:rsidRPr="000D6D21">
        <w:rPr>
          <w:sz w:val="28"/>
          <w:szCs w:val="28"/>
        </w:rPr>
        <w:t xml:space="preserve">To </w:t>
      </w:r>
      <w:r w:rsidR="0026273F" w:rsidRPr="000D6D21">
        <w:rPr>
          <w:sz w:val="28"/>
          <w:szCs w:val="28"/>
        </w:rPr>
        <w:lastRenderedPageBreak/>
        <w:t>support</w:t>
      </w:r>
      <w:r w:rsidR="008D28A5" w:rsidRPr="000D6D21">
        <w:rPr>
          <w:sz w:val="28"/>
          <w:szCs w:val="28"/>
        </w:rPr>
        <w:t xml:space="preserve"> its contention</w:t>
      </w:r>
      <w:r w:rsidRPr="000D6D21">
        <w:rPr>
          <w:sz w:val="28"/>
          <w:szCs w:val="28"/>
        </w:rPr>
        <w:t xml:space="preserve">, the Registrar relies on the following language in </w:t>
      </w:r>
      <w:proofErr w:type="spellStart"/>
      <w:r w:rsidRPr="000D6D21">
        <w:rPr>
          <w:i/>
          <w:iCs/>
          <w:sz w:val="28"/>
          <w:szCs w:val="28"/>
        </w:rPr>
        <w:t>Filarsky</w:t>
      </w:r>
      <w:proofErr w:type="spellEnd"/>
      <w:r w:rsidR="00BA1871" w:rsidRPr="000D6D21">
        <w:rPr>
          <w:sz w:val="28"/>
          <w:szCs w:val="28"/>
        </w:rPr>
        <w:t xml:space="preserve">: </w:t>
      </w:r>
      <w:r w:rsidR="00B85AEB" w:rsidRPr="000D6D21">
        <w:rPr>
          <w:sz w:val="28"/>
          <w:szCs w:val="28"/>
        </w:rPr>
        <w:t xml:space="preserve">“The purpose of </w:t>
      </w:r>
      <w:r w:rsidR="00BA1871" w:rsidRPr="000D6D21">
        <w:rPr>
          <w:sz w:val="28"/>
          <w:szCs w:val="28"/>
        </w:rPr>
        <w:t>[section 7923.500 (former §</w:t>
      </w:r>
      <w:r w:rsidRPr="000D6D21">
        <w:rPr>
          <w:sz w:val="28"/>
          <w:szCs w:val="28"/>
        </w:rPr>
        <w:t> </w:t>
      </w:r>
      <w:r w:rsidR="00BA1871" w:rsidRPr="000D6D21">
        <w:rPr>
          <w:sz w:val="28"/>
          <w:szCs w:val="28"/>
        </w:rPr>
        <w:t>6259, subd. (c))]</w:t>
      </w:r>
      <w:r w:rsidR="00B85AEB" w:rsidRPr="000D6D21">
        <w:rPr>
          <w:sz w:val="28"/>
          <w:szCs w:val="28"/>
        </w:rPr>
        <w:t xml:space="preserve"> </w:t>
      </w:r>
      <w:r w:rsidR="00B85AEB" w:rsidRPr="000D6D21">
        <w:rPr>
          <w:rFonts w:eastAsia="Times New Roman" w:cs="Arial"/>
          <w:sz w:val="28"/>
          <w:szCs w:val="28"/>
          <w:bdr w:val="none" w:sz="0" w:space="0" w:color="auto" w:frame="1"/>
        </w:rPr>
        <w:t xml:space="preserve">limiting appellate review of the trial court’s order to a petition for extraordinary writ is to prohibit public agencies from delaying the disclosure of public records by appealing a trial court decision and using continuances </w:t>
      </w:r>
      <w:proofErr w:type="gramStart"/>
      <w:r w:rsidR="00B85AEB" w:rsidRPr="000D6D21">
        <w:rPr>
          <w:rFonts w:eastAsia="Times New Roman" w:cs="Arial"/>
          <w:sz w:val="28"/>
          <w:szCs w:val="28"/>
          <w:bdr w:val="none" w:sz="0" w:space="0" w:color="auto" w:frame="1"/>
        </w:rPr>
        <w:t>in order to</w:t>
      </w:r>
      <w:proofErr w:type="gramEnd"/>
      <w:r w:rsidR="00B85AEB" w:rsidRPr="000D6D21">
        <w:rPr>
          <w:rFonts w:eastAsia="Times New Roman" w:cs="Arial"/>
          <w:sz w:val="28"/>
          <w:szCs w:val="28"/>
          <w:bdr w:val="none" w:sz="0" w:space="0" w:color="auto" w:frame="1"/>
        </w:rPr>
        <w:t xml:space="preserve"> frustrate the intent of the [PRA].”  (</w:t>
      </w:r>
      <w:proofErr w:type="spellStart"/>
      <w:r w:rsidR="00B85AEB" w:rsidRPr="000D6D21">
        <w:rPr>
          <w:rFonts w:eastAsia="Times New Roman" w:cs="Arial"/>
          <w:i/>
          <w:iCs/>
          <w:sz w:val="28"/>
          <w:szCs w:val="28"/>
          <w:bdr w:val="none" w:sz="0" w:space="0" w:color="auto" w:frame="1"/>
        </w:rPr>
        <w:t>Filarsky</w:t>
      </w:r>
      <w:proofErr w:type="spellEnd"/>
      <w:r w:rsidR="00B85AEB" w:rsidRPr="000D6D21">
        <w:rPr>
          <w:rFonts w:eastAsia="Times New Roman" w:cs="Arial"/>
          <w:sz w:val="28"/>
          <w:szCs w:val="28"/>
          <w:bdr w:val="none" w:sz="0" w:space="0" w:color="auto" w:frame="1"/>
        </w:rPr>
        <w:t xml:space="preserve">, </w:t>
      </w:r>
      <w:r w:rsidR="00B85AEB" w:rsidRPr="000D6D21">
        <w:rPr>
          <w:rFonts w:eastAsia="Times New Roman" w:cs="Arial"/>
          <w:i/>
          <w:iCs/>
          <w:sz w:val="28"/>
          <w:szCs w:val="28"/>
          <w:bdr w:val="none" w:sz="0" w:space="0" w:color="auto" w:frame="1"/>
        </w:rPr>
        <w:t>supra</w:t>
      </w:r>
      <w:r w:rsidR="00B85AEB" w:rsidRPr="000D6D21">
        <w:rPr>
          <w:rFonts w:eastAsia="Times New Roman" w:cs="Arial"/>
          <w:sz w:val="28"/>
          <w:szCs w:val="28"/>
          <w:bdr w:val="none" w:sz="0" w:space="0" w:color="auto" w:frame="1"/>
        </w:rPr>
        <w:t>, 28 Cal.4th at pp.</w:t>
      </w:r>
      <w:r w:rsidR="008D28A5" w:rsidRPr="000D6D21">
        <w:rPr>
          <w:rFonts w:eastAsia="Times New Roman" w:cs="Arial"/>
          <w:sz w:val="28"/>
          <w:szCs w:val="28"/>
          <w:bdr w:val="none" w:sz="0" w:space="0" w:color="auto" w:frame="1"/>
        </w:rPr>
        <w:t> </w:t>
      </w:r>
      <w:r w:rsidR="00B85AEB" w:rsidRPr="000D6D21">
        <w:rPr>
          <w:rFonts w:eastAsia="Times New Roman" w:cs="Arial"/>
          <w:sz w:val="28"/>
          <w:szCs w:val="28"/>
          <w:bdr w:val="none" w:sz="0" w:space="0" w:color="auto" w:frame="1"/>
        </w:rPr>
        <w:t>426</w:t>
      </w:r>
      <w:r w:rsidR="00B85AEB" w:rsidRPr="000D6D21">
        <w:rPr>
          <w:rFonts w:eastAsia="Times New Roman" w:cs="Arial"/>
          <w:sz w:val="28"/>
          <w:szCs w:val="28"/>
          <w:bdr w:val="none" w:sz="0" w:space="0" w:color="auto" w:frame="1"/>
        </w:rPr>
        <w:noBreakHyphen/>
        <w:t xml:space="preserve">427, </w:t>
      </w:r>
      <w:r w:rsidR="00BA1871" w:rsidRPr="000D6D21">
        <w:rPr>
          <w:rFonts w:eastAsia="Times New Roman" w:cs="Arial"/>
          <w:sz w:val="28"/>
          <w:szCs w:val="28"/>
          <w:bdr w:val="none" w:sz="0" w:space="0" w:color="auto" w:frame="1"/>
        </w:rPr>
        <w:t xml:space="preserve">citing </w:t>
      </w:r>
      <w:r w:rsidR="00BA1871" w:rsidRPr="000D6D21">
        <w:rPr>
          <w:rFonts w:eastAsia="Times New Roman" w:cs="Arial"/>
          <w:i/>
          <w:iCs/>
          <w:sz w:val="28"/>
          <w:szCs w:val="28"/>
          <w:bdr w:val="none" w:sz="0" w:space="0" w:color="auto" w:frame="1"/>
        </w:rPr>
        <w:t xml:space="preserve">Times Mirror Co. v. Superior Court </w:t>
      </w:r>
      <w:r w:rsidR="00BA1871" w:rsidRPr="000D6D21">
        <w:rPr>
          <w:rFonts w:eastAsia="Times New Roman" w:cs="Arial"/>
          <w:sz w:val="28"/>
          <w:szCs w:val="28"/>
          <w:bdr w:val="none" w:sz="0" w:space="0" w:color="auto" w:frame="1"/>
        </w:rPr>
        <w:t>(1991) 53 Cal.3d 1325, 1334</w:t>
      </w:r>
      <w:r w:rsidR="00654F67" w:rsidRPr="000D6D21">
        <w:rPr>
          <w:rFonts w:eastAsia="Times New Roman" w:cs="Arial"/>
          <w:sz w:val="28"/>
          <w:szCs w:val="28"/>
          <w:bdr w:val="none" w:sz="0" w:space="0" w:color="auto" w:frame="1"/>
        </w:rPr>
        <w:noBreakHyphen/>
      </w:r>
      <w:r w:rsidR="00BA1871" w:rsidRPr="000D6D21">
        <w:rPr>
          <w:rFonts w:eastAsia="Times New Roman" w:cs="Arial"/>
          <w:sz w:val="28"/>
          <w:szCs w:val="28"/>
          <w:bdr w:val="none" w:sz="0" w:space="0" w:color="auto" w:frame="1"/>
        </w:rPr>
        <w:t>1336</w:t>
      </w:r>
      <w:r w:rsidR="00B85AEB" w:rsidRPr="000D6D21">
        <w:rPr>
          <w:rFonts w:eastAsia="Times New Roman" w:cs="Arial"/>
          <w:sz w:val="28"/>
          <w:szCs w:val="28"/>
          <w:bdr w:val="none" w:sz="0" w:space="0" w:color="auto" w:frame="1"/>
        </w:rPr>
        <w:t xml:space="preserve">.) </w:t>
      </w:r>
      <w:r w:rsidR="00BA1871" w:rsidRPr="000D6D21">
        <w:rPr>
          <w:rFonts w:eastAsia="Times New Roman" w:cs="Arial"/>
          <w:sz w:val="28"/>
          <w:szCs w:val="28"/>
          <w:bdr w:val="none" w:sz="0" w:space="0" w:color="auto" w:frame="1"/>
        </w:rPr>
        <w:t xml:space="preserve"> </w:t>
      </w:r>
      <w:r w:rsidRPr="000D6D21">
        <w:rPr>
          <w:rFonts w:eastAsia="Times New Roman" w:cs="Arial"/>
          <w:sz w:val="28"/>
          <w:szCs w:val="28"/>
          <w:bdr w:val="none" w:sz="0" w:space="0" w:color="auto" w:frame="1"/>
        </w:rPr>
        <w:t>In the Registrar’s view, “t</w:t>
      </w:r>
      <w:r w:rsidR="00BA1871" w:rsidRPr="000D6D21">
        <w:rPr>
          <w:rFonts w:eastAsia="Times New Roman" w:cs="Arial"/>
          <w:sz w:val="28"/>
          <w:szCs w:val="28"/>
          <w:bdr w:val="none" w:sz="0" w:space="0" w:color="auto" w:frame="1"/>
        </w:rPr>
        <w:t xml:space="preserve">he </w:t>
      </w:r>
      <w:proofErr w:type="spellStart"/>
      <w:r w:rsidR="00BA1871" w:rsidRPr="000D6D21">
        <w:rPr>
          <w:rFonts w:eastAsia="Times New Roman" w:cs="Arial"/>
          <w:i/>
          <w:iCs/>
          <w:sz w:val="28"/>
          <w:szCs w:val="28"/>
          <w:bdr w:val="none" w:sz="0" w:space="0" w:color="auto" w:frame="1"/>
        </w:rPr>
        <w:t>Filarsky</w:t>
      </w:r>
      <w:proofErr w:type="spellEnd"/>
      <w:r w:rsidR="00BA1871" w:rsidRPr="000D6D21">
        <w:rPr>
          <w:rFonts w:eastAsia="Times New Roman" w:cs="Arial"/>
          <w:i/>
          <w:iCs/>
          <w:sz w:val="28"/>
          <w:szCs w:val="28"/>
          <w:bdr w:val="none" w:sz="0" w:space="0" w:color="auto" w:frame="1"/>
        </w:rPr>
        <w:t xml:space="preserve"> </w:t>
      </w:r>
      <w:r w:rsidR="00BA1871" w:rsidRPr="000D6D21">
        <w:rPr>
          <w:rFonts w:eastAsia="Times New Roman" w:cs="Arial"/>
          <w:sz w:val="28"/>
          <w:szCs w:val="28"/>
          <w:bdr w:val="none" w:sz="0" w:space="0" w:color="auto" w:frame="1"/>
        </w:rPr>
        <w:t xml:space="preserve">Court therefore articulated what is not </w:t>
      </w:r>
      <w:r w:rsidR="00BA1871" w:rsidRPr="000D6D21">
        <w:rPr>
          <w:sz w:val="28"/>
          <w:szCs w:val="28"/>
        </w:rPr>
        <w:t>expressly stated in section 7923.500 (former § 6259), i.e., that the ‘order .</w:t>
      </w:r>
      <w:r w:rsidR="00654F67" w:rsidRPr="000D6D21">
        <w:rPr>
          <w:sz w:val="28"/>
          <w:szCs w:val="28"/>
        </w:rPr>
        <w:t> </w:t>
      </w:r>
      <w:r w:rsidR="00BA1871" w:rsidRPr="000D6D21">
        <w:rPr>
          <w:sz w:val="28"/>
          <w:szCs w:val="28"/>
        </w:rPr>
        <w:t xml:space="preserve">. . directing disclosure’ must direct disclosure of a record determined to be a ‘public record’ within the </w:t>
      </w:r>
      <w:r w:rsidR="0026273F" w:rsidRPr="000D6D21">
        <w:rPr>
          <w:sz w:val="28"/>
          <w:szCs w:val="28"/>
        </w:rPr>
        <w:t>[</w:t>
      </w:r>
      <w:r w:rsidR="00BA1871" w:rsidRPr="000D6D21">
        <w:rPr>
          <w:sz w:val="28"/>
          <w:szCs w:val="28"/>
        </w:rPr>
        <w:t>PRA</w:t>
      </w:r>
      <w:r w:rsidR="0026273F" w:rsidRPr="000D6D21">
        <w:rPr>
          <w:sz w:val="28"/>
          <w:szCs w:val="28"/>
        </w:rPr>
        <w:t>]</w:t>
      </w:r>
      <w:r w:rsidR="00BA1871" w:rsidRPr="000D6D21">
        <w:rPr>
          <w:sz w:val="28"/>
          <w:szCs w:val="28"/>
        </w:rPr>
        <w:t xml:space="preserve">.” </w:t>
      </w:r>
      <w:r w:rsidR="00654F67" w:rsidRPr="000D6D21">
        <w:rPr>
          <w:sz w:val="28"/>
          <w:szCs w:val="28"/>
        </w:rPr>
        <w:t xml:space="preserve"> </w:t>
      </w:r>
      <w:r w:rsidRPr="000D6D21">
        <w:rPr>
          <w:sz w:val="28"/>
          <w:szCs w:val="28"/>
        </w:rPr>
        <w:t>And because the orders</w:t>
      </w:r>
      <w:r w:rsidRPr="000D6D21">
        <w:rPr>
          <w:sz w:val="28"/>
          <w:szCs w:val="28"/>
        </w:rPr>
        <w:t xml:space="preserve"> here did not order the disclosure of</w:t>
      </w:r>
      <w:r w:rsidR="00654F67" w:rsidRPr="000D6D21">
        <w:rPr>
          <w:sz w:val="28"/>
          <w:szCs w:val="28"/>
        </w:rPr>
        <w:t xml:space="preserve"> </w:t>
      </w:r>
      <w:r w:rsidR="00552C52" w:rsidRPr="000D6D21">
        <w:rPr>
          <w:sz w:val="28"/>
          <w:szCs w:val="28"/>
        </w:rPr>
        <w:t>“</w:t>
      </w:r>
      <w:r w:rsidRPr="000D6D21">
        <w:rPr>
          <w:sz w:val="28"/>
          <w:szCs w:val="28"/>
        </w:rPr>
        <w:t>public records</w:t>
      </w:r>
      <w:r w:rsidR="00552C52" w:rsidRPr="000D6D21">
        <w:rPr>
          <w:sz w:val="28"/>
          <w:szCs w:val="28"/>
        </w:rPr>
        <w:t>”</w:t>
      </w:r>
      <w:r w:rsidRPr="000D6D21">
        <w:rPr>
          <w:sz w:val="28"/>
          <w:szCs w:val="28"/>
        </w:rPr>
        <w:t xml:space="preserve"> (see §</w:t>
      </w:r>
      <w:r w:rsidR="0026273F" w:rsidRPr="000D6D21">
        <w:rPr>
          <w:sz w:val="28"/>
          <w:szCs w:val="28"/>
        </w:rPr>
        <w:t> </w:t>
      </w:r>
      <w:r w:rsidRPr="000D6D21">
        <w:rPr>
          <w:sz w:val="28"/>
          <w:szCs w:val="28"/>
        </w:rPr>
        <w:t xml:space="preserve">7924.000, 7924.110), </w:t>
      </w:r>
      <w:r w:rsidR="00552C52" w:rsidRPr="000D6D21">
        <w:rPr>
          <w:sz w:val="28"/>
          <w:szCs w:val="28"/>
        </w:rPr>
        <w:t xml:space="preserve">the Registrar </w:t>
      </w:r>
      <w:r w:rsidR="0026273F" w:rsidRPr="000D6D21">
        <w:rPr>
          <w:sz w:val="28"/>
          <w:szCs w:val="28"/>
        </w:rPr>
        <w:t>maintains that</w:t>
      </w:r>
      <w:r w:rsidR="00552C52" w:rsidRPr="000D6D21">
        <w:rPr>
          <w:sz w:val="28"/>
          <w:szCs w:val="28"/>
        </w:rPr>
        <w:t xml:space="preserve"> it</w:t>
      </w:r>
      <w:r w:rsidRPr="000D6D21">
        <w:rPr>
          <w:sz w:val="28"/>
          <w:szCs w:val="28"/>
        </w:rPr>
        <w:t xml:space="preserve"> was not </w:t>
      </w:r>
      <w:r w:rsidR="00552C52" w:rsidRPr="000D6D21">
        <w:rPr>
          <w:sz w:val="28"/>
          <w:szCs w:val="28"/>
        </w:rPr>
        <w:t xml:space="preserve">compelled to pursue appellate review by way of </w:t>
      </w:r>
      <w:r w:rsidR="00654F67" w:rsidRPr="000D6D21">
        <w:rPr>
          <w:sz w:val="28"/>
          <w:szCs w:val="28"/>
        </w:rPr>
        <w:t>section 7923.500</w:t>
      </w:r>
      <w:r w:rsidR="00654F67" w:rsidRPr="000D6D21">
        <w:rPr>
          <w:rFonts w:eastAsia="Times New Roman" w:cs="Arial"/>
          <w:sz w:val="28"/>
          <w:szCs w:val="28"/>
          <w:bdr w:val="none" w:sz="0" w:space="0" w:color="auto" w:frame="1"/>
        </w:rPr>
        <w:t>.</w:t>
      </w:r>
      <w:r w:rsidR="00EC75AA" w:rsidRPr="000D6D21">
        <w:rPr>
          <w:rFonts w:eastAsia="Times New Roman" w:cs="Arial"/>
          <w:sz w:val="28"/>
          <w:szCs w:val="28"/>
          <w:bdr w:val="none" w:sz="0" w:space="0" w:color="auto" w:frame="1"/>
        </w:rPr>
        <w:t xml:space="preserve">  </w:t>
      </w:r>
    </w:p>
    <w:p w14:paraId="633D17C5" w14:textId="77777777" w:rsidR="00EE79DD" w:rsidRPr="000D6D21" w:rsidRDefault="00F615D7" w:rsidP="000D6D21">
      <w:pPr>
        <w:ind w:firstLine="720"/>
        <w:rPr>
          <w:rFonts w:eastAsia="Times New Roman" w:cs="Times New Roman"/>
          <w:sz w:val="28"/>
          <w:szCs w:val="28"/>
          <w:bdr w:val="none" w:sz="0" w:space="0" w:color="auto" w:frame="1"/>
          <w:shd w:val="clear" w:color="auto" w:fill="FFFFFF"/>
        </w:rPr>
      </w:pPr>
      <w:r w:rsidRPr="000D6D21">
        <w:rPr>
          <w:rFonts w:eastAsia="Times New Roman" w:cs="Arial"/>
          <w:sz w:val="28"/>
          <w:szCs w:val="28"/>
          <w:bdr w:val="none" w:sz="0" w:space="0" w:color="auto" w:frame="1"/>
        </w:rPr>
        <w:t xml:space="preserve">We disagree with </w:t>
      </w:r>
      <w:r w:rsidR="006B00AE" w:rsidRPr="000D6D21">
        <w:rPr>
          <w:rFonts w:eastAsia="Times New Roman" w:cs="Arial"/>
          <w:sz w:val="28"/>
          <w:szCs w:val="28"/>
          <w:bdr w:val="none" w:sz="0" w:space="0" w:color="auto" w:frame="1"/>
        </w:rPr>
        <w:t>the Registrar’s</w:t>
      </w:r>
      <w:r w:rsidRPr="000D6D21">
        <w:rPr>
          <w:rFonts w:eastAsia="Times New Roman" w:cs="Arial"/>
          <w:sz w:val="28"/>
          <w:szCs w:val="28"/>
          <w:bdr w:val="none" w:sz="0" w:space="0" w:color="auto" w:frame="1"/>
        </w:rPr>
        <w:t xml:space="preserve"> construction</w:t>
      </w:r>
      <w:r w:rsidR="006B00AE" w:rsidRPr="000D6D21">
        <w:rPr>
          <w:rFonts w:eastAsia="Times New Roman" w:cs="Arial"/>
          <w:sz w:val="28"/>
          <w:szCs w:val="28"/>
          <w:bdr w:val="none" w:sz="0" w:space="0" w:color="auto" w:frame="1"/>
        </w:rPr>
        <w:t xml:space="preserve"> of section 7923.500</w:t>
      </w:r>
      <w:r w:rsidRPr="000D6D21">
        <w:rPr>
          <w:rFonts w:eastAsia="Times New Roman" w:cs="Arial"/>
          <w:sz w:val="28"/>
          <w:szCs w:val="28"/>
          <w:bdr w:val="none" w:sz="0" w:space="0" w:color="auto" w:frame="1"/>
        </w:rPr>
        <w:t>.</w:t>
      </w:r>
      <w:r w:rsidR="006B00AE" w:rsidRPr="000D6D21">
        <w:rPr>
          <w:rFonts w:eastAsia="Times New Roman" w:cs="Arial"/>
          <w:sz w:val="28"/>
          <w:szCs w:val="28"/>
          <w:bdr w:val="none" w:sz="0" w:space="0" w:color="auto" w:frame="1"/>
        </w:rPr>
        <w:t xml:space="preserve">  </w:t>
      </w:r>
      <w:r w:rsidR="008E49BF" w:rsidRPr="000D6D21">
        <w:rPr>
          <w:sz w:val="28"/>
          <w:szCs w:val="28"/>
        </w:rPr>
        <w:t>To begin with</w:t>
      </w:r>
      <w:r w:rsidRPr="000D6D21">
        <w:rPr>
          <w:sz w:val="28"/>
          <w:szCs w:val="28"/>
        </w:rPr>
        <w:t>, w</w:t>
      </w:r>
      <w:r w:rsidR="00B85AEB" w:rsidRPr="000D6D21">
        <w:rPr>
          <w:sz w:val="28"/>
          <w:szCs w:val="28"/>
        </w:rPr>
        <w:t xml:space="preserve">e </w:t>
      </w:r>
      <w:r w:rsidR="00E554C3" w:rsidRPr="000D6D21">
        <w:rPr>
          <w:sz w:val="28"/>
          <w:szCs w:val="28"/>
        </w:rPr>
        <w:t xml:space="preserve">do not </w:t>
      </w:r>
      <w:r w:rsidR="006B00AE" w:rsidRPr="000D6D21">
        <w:rPr>
          <w:sz w:val="28"/>
          <w:szCs w:val="28"/>
        </w:rPr>
        <w:t xml:space="preserve">construe </w:t>
      </w:r>
      <w:proofErr w:type="spellStart"/>
      <w:r w:rsidR="006B00AE" w:rsidRPr="000D6D21">
        <w:rPr>
          <w:i/>
          <w:iCs/>
          <w:sz w:val="28"/>
          <w:szCs w:val="28"/>
        </w:rPr>
        <w:t>Filarsky</w:t>
      </w:r>
      <w:proofErr w:type="spellEnd"/>
      <w:r w:rsidR="006B00AE" w:rsidRPr="000D6D21">
        <w:rPr>
          <w:i/>
          <w:iCs/>
          <w:sz w:val="28"/>
          <w:szCs w:val="28"/>
        </w:rPr>
        <w:t xml:space="preserve"> </w:t>
      </w:r>
      <w:r w:rsidR="006B00AE" w:rsidRPr="000D6D21">
        <w:rPr>
          <w:sz w:val="28"/>
          <w:szCs w:val="28"/>
        </w:rPr>
        <w:t xml:space="preserve">as </w:t>
      </w:r>
      <w:r w:rsidR="000A5CD0" w:rsidRPr="000D6D21">
        <w:rPr>
          <w:sz w:val="28"/>
          <w:szCs w:val="28"/>
        </w:rPr>
        <w:t>limiting</w:t>
      </w:r>
      <w:r w:rsidR="00552C52" w:rsidRPr="000D6D21">
        <w:rPr>
          <w:sz w:val="28"/>
          <w:szCs w:val="28"/>
        </w:rPr>
        <w:t xml:space="preserve"> </w:t>
      </w:r>
      <w:r w:rsidR="00B85AEB" w:rsidRPr="000D6D21">
        <w:rPr>
          <w:sz w:val="28"/>
          <w:szCs w:val="28"/>
        </w:rPr>
        <w:t xml:space="preserve">section 7923.500 to </w:t>
      </w:r>
      <w:proofErr w:type="gramStart"/>
      <w:r w:rsidR="000A5CD0" w:rsidRPr="000D6D21">
        <w:rPr>
          <w:sz w:val="28"/>
          <w:szCs w:val="28"/>
        </w:rPr>
        <w:t>particular types</w:t>
      </w:r>
      <w:proofErr w:type="gramEnd"/>
      <w:r w:rsidR="000A5CD0" w:rsidRPr="000D6D21">
        <w:rPr>
          <w:sz w:val="28"/>
          <w:szCs w:val="28"/>
        </w:rPr>
        <w:t xml:space="preserve"> of records under the PRA</w:t>
      </w:r>
      <w:r w:rsidR="00552C52" w:rsidRPr="000D6D21">
        <w:rPr>
          <w:sz w:val="28"/>
          <w:szCs w:val="28"/>
        </w:rPr>
        <w:t xml:space="preserve">.  </w:t>
      </w:r>
      <w:r w:rsidR="00E3058D" w:rsidRPr="000D6D21">
        <w:rPr>
          <w:sz w:val="28"/>
          <w:szCs w:val="28"/>
        </w:rPr>
        <w:t>T</w:t>
      </w:r>
      <w:r w:rsidR="00552C52" w:rsidRPr="000D6D21">
        <w:rPr>
          <w:sz w:val="28"/>
          <w:szCs w:val="28"/>
        </w:rPr>
        <w:t xml:space="preserve">he </w:t>
      </w:r>
      <w:r w:rsidR="006B00AE" w:rsidRPr="000D6D21">
        <w:rPr>
          <w:sz w:val="28"/>
          <w:szCs w:val="28"/>
        </w:rPr>
        <w:t xml:space="preserve">Supreme Court </w:t>
      </w:r>
      <w:r w:rsidR="000B030A" w:rsidRPr="000D6D21">
        <w:rPr>
          <w:sz w:val="28"/>
          <w:szCs w:val="28"/>
        </w:rPr>
        <w:t xml:space="preserve">granted review </w:t>
      </w:r>
      <w:r w:rsidR="00E3058D" w:rsidRPr="000D6D21">
        <w:rPr>
          <w:sz w:val="28"/>
          <w:szCs w:val="28"/>
        </w:rPr>
        <w:t xml:space="preserve">in </w:t>
      </w:r>
      <w:proofErr w:type="spellStart"/>
      <w:r w:rsidR="00E3058D" w:rsidRPr="000D6D21">
        <w:rPr>
          <w:i/>
          <w:iCs/>
          <w:sz w:val="28"/>
          <w:szCs w:val="28"/>
        </w:rPr>
        <w:t>Filarsky</w:t>
      </w:r>
      <w:proofErr w:type="spellEnd"/>
      <w:r w:rsidR="00E3058D" w:rsidRPr="000D6D21">
        <w:rPr>
          <w:i/>
          <w:iCs/>
          <w:sz w:val="28"/>
          <w:szCs w:val="28"/>
        </w:rPr>
        <w:t xml:space="preserve"> </w:t>
      </w:r>
      <w:r w:rsidR="000B030A" w:rsidRPr="000D6D21">
        <w:rPr>
          <w:sz w:val="28"/>
          <w:szCs w:val="28"/>
        </w:rPr>
        <w:t>to decide</w:t>
      </w:r>
      <w:r w:rsidR="00393336" w:rsidRPr="000D6D21">
        <w:rPr>
          <w:sz w:val="28"/>
          <w:szCs w:val="28"/>
        </w:rPr>
        <w:t xml:space="preserve"> </w:t>
      </w:r>
      <w:r w:rsidR="005D3F25">
        <w:rPr>
          <w:sz w:val="28"/>
          <w:szCs w:val="28"/>
        </w:rPr>
        <w:t>a separate issue—</w:t>
      </w:r>
      <w:r w:rsidR="00393336" w:rsidRPr="000D6D21">
        <w:rPr>
          <w:sz w:val="28"/>
          <w:szCs w:val="28"/>
        </w:rPr>
        <w:t xml:space="preserve">“whether a superior court properly </w:t>
      </w:r>
      <w:r w:rsidR="00393336" w:rsidRPr="000D6D21">
        <w:rPr>
          <w:rFonts w:eastAsia="Times New Roman" w:cs="Times New Roman"/>
          <w:color w:val="000000"/>
          <w:sz w:val="28"/>
          <w:szCs w:val="28"/>
          <w:bdr w:val="none" w:sz="0" w:space="0" w:color="auto" w:frame="1"/>
          <w:shd w:val="clear" w:color="auto" w:fill="FFFFFF"/>
        </w:rPr>
        <w:t xml:space="preserve">may grant declaratory relief in an action initiated by a public agency </w:t>
      </w:r>
      <w:r w:rsidR="00393336" w:rsidRPr="000D6D21">
        <w:rPr>
          <w:rFonts w:eastAsia="Times New Roman" w:cs="Times New Roman"/>
          <w:sz w:val="28"/>
          <w:szCs w:val="28"/>
          <w:bdr w:val="none" w:sz="0" w:space="0" w:color="auto" w:frame="1"/>
          <w:shd w:val="clear" w:color="auto" w:fill="FFFFFF"/>
        </w:rPr>
        <w:t>solely to determine the agency’s obligation to disclose documents to a member of the public after the agency has denied the person’s request under the [PRA].”  (</w:t>
      </w:r>
      <w:proofErr w:type="spellStart"/>
      <w:r w:rsidRPr="000D6D21">
        <w:rPr>
          <w:i/>
          <w:iCs/>
          <w:sz w:val="28"/>
          <w:szCs w:val="28"/>
        </w:rPr>
        <w:t>Filarsky</w:t>
      </w:r>
      <w:proofErr w:type="spellEnd"/>
      <w:r w:rsidRPr="000D6D21">
        <w:rPr>
          <w:sz w:val="28"/>
          <w:szCs w:val="28"/>
        </w:rPr>
        <w:t xml:space="preserve">, </w:t>
      </w:r>
      <w:r w:rsidRPr="000D6D21">
        <w:rPr>
          <w:i/>
          <w:iCs/>
          <w:sz w:val="28"/>
          <w:szCs w:val="28"/>
        </w:rPr>
        <w:t>supra</w:t>
      </w:r>
      <w:r w:rsidRPr="000D6D21">
        <w:rPr>
          <w:sz w:val="28"/>
          <w:szCs w:val="28"/>
        </w:rPr>
        <w:t xml:space="preserve">, 28 Cal.4th </w:t>
      </w:r>
      <w:r w:rsidR="00393336" w:rsidRPr="000D6D21">
        <w:rPr>
          <w:rFonts w:eastAsia="Times New Roman" w:cs="Times New Roman"/>
          <w:sz w:val="28"/>
          <w:szCs w:val="28"/>
          <w:bdr w:val="none" w:sz="0" w:space="0" w:color="auto" w:frame="1"/>
          <w:shd w:val="clear" w:color="auto" w:fill="FFFFFF"/>
        </w:rPr>
        <w:t>at p.</w:t>
      </w:r>
      <w:r w:rsidR="006B00AE" w:rsidRPr="000D6D21">
        <w:rPr>
          <w:rFonts w:eastAsia="Times New Roman" w:cs="Times New Roman"/>
          <w:sz w:val="28"/>
          <w:szCs w:val="28"/>
          <w:bdr w:val="none" w:sz="0" w:space="0" w:color="auto" w:frame="1"/>
          <w:shd w:val="clear" w:color="auto" w:fill="FFFFFF"/>
        </w:rPr>
        <w:t> </w:t>
      </w:r>
      <w:r w:rsidR="004C7F3D" w:rsidRPr="000D6D21">
        <w:rPr>
          <w:rFonts w:eastAsia="Times New Roman" w:cs="Times New Roman"/>
          <w:sz w:val="28"/>
          <w:szCs w:val="28"/>
          <w:bdr w:val="none" w:sz="0" w:space="0" w:color="auto" w:frame="1"/>
          <w:shd w:val="clear" w:color="auto" w:fill="FFFFFF"/>
        </w:rPr>
        <w:t>423</w:t>
      </w:r>
      <w:r w:rsidR="00A27247">
        <w:rPr>
          <w:rFonts w:eastAsia="Times New Roman" w:cs="Times New Roman"/>
          <w:sz w:val="28"/>
          <w:szCs w:val="28"/>
          <w:bdr w:val="none" w:sz="0" w:space="0" w:color="auto" w:frame="1"/>
          <w:shd w:val="clear" w:color="auto" w:fill="FFFFFF"/>
        </w:rPr>
        <w:t xml:space="preserve">; </w:t>
      </w:r>
      <w:r w:rsidR="00A27247" w:rsidRPr="004612F8">
        <w:rPr>
          <w:rFonts w:eastAsia="Times New Roman" w:cs="Times New Roman"/>
          <w:sz w:val="28"/>
          <w:szCs w:val="28"/>
          <w:bdr w:val="none" w:sz="0" w:space="0" w:color="auto" w:frame="1"/>
          <w:shd w:val="clear" w:color="auto" w:fill="FFFFFF"/>
        </w:rPr>
        <w:t xml:space="preserve">see </w:t>
      </w:r>
      <w:r w:rsidR="00A27247" w:rsidRPr="004612F8">
        <w:rPr>
          <w:rFonts w:eastAsia="Times New Roman" w:cs="Times New Roman"/>
          <w:i/>
          <w:iCs/>
          <w:sz w:val="28"/>
          <w:szCs w:val="28"/>
          <w:bdr w:val="none" w:sz="0" w:space="0" w:color="auto" w:frame="1"/>
          <w:shd w:val="clear" w:color="auto" w:fill="FFFFFF"/>
        </w:rPr>
        <w:t xml:space="preserve">Newark </w:t>
      </w:r>
      <w:r w:rsidR="00A27247" w:rsidRPr="004612F8">
        <w:rPr>
          <w:rFonts w:eastAsia="Times New Roman" w:cs="Times New Roman"/>
          <w:i/>
          <w:iCs/>
          <w:sz w:val="28"/>
          <w:szCs w:val="28"/>
          <w:bdr w:val="none" w:sz="0" w:space="0" w:color="auto" w:frame="1"/>
          <w:shd w:val="clear" w:color="auto" w:fill="FFFFFF"/>
        </w:rPr>
        <w:lastRenderedPageBreak/>
        <w:t xml:space="preserve">Unified School Dist. v. Superior Court </w:t>
      </w:r>
      <w:r w:rsidR="00A27247" w:rsidRPr="004612F8">
        <w:rPr>
          <w:rFonts w:eastAsia="Times New Roman" w:cs="Times New Roman"/>
          <w:sz w:val="28"/>
          <w:szCs w:val="28"/>
          <w:bdr w:val="none" w:sz="0" w:space="0" w:color="auto" w:frame="1"/>
          <w:shd w:val="clear" w:color="auto" w:fill="FFFFFF"/>
        </w:rPr>
        <w:t>(2015) 245 Cal.App.4th 887, 908 [“</w:t>
      </w:r>
      <w:proofErr w:type="spellStart"/>
      <w:r w:rsidR="00A27247" w:rsidRPr="004612F8">
        <w:rPr>
          <w:rFonts w:eastAsia="Times New Roman" w:cs="Times New Roman"/>
          <w:i/>
          <w:iCs/>
          <w:sz w:val="28"/>
          <w:szCs w:val="28"/>
          <w:bdr w:val="none" w:sz="0" w:space="0" w:color="auto" w:frame="1"/>
          <w:shd w:val="clear" w:color="auto" w:fill="FFFFFF"/>
        </w:rPr>
        <w:t>Filarsky</w:t>
      </w:r>
      <w:r w:rsidR="00A27247" w:rsidRPr="004612F8">
        <w:rPr>
          <w:rFonts w:eastAsia="Times New Roman" w:cs="Times New Roman"/>
          <w:sz w:val="28"/>
          <w:szCs w:val="28"/>
          <w:bdr w:val="none" w:sz="0" w:space="0" w:color="auto" w:frame="1"/>
          <w:shd w:val="clear" w:color="auto" w:fill="FFFFFF"/>
        </w:rPr>
        <w:t>’s</w:t>
      </w:r>
      <w:proofErr w:type="spellEnd"/>
      <w:r w:rsidR="00A27247" w:rsidRPr="004612F8">
        <w:rPr>
          <w:rFonts w:eastAsia="Times New Roman" w:cs="Times New Roman"/>
          <w:sz w:val="28"/>
          <w:szCs w:val="28"/>
          <w:bdr w:val="none" w:sz="0" w:space="0" w:color="auto" w:frame="1"/>
          <w:shd w:val="clear" w:color="auto" w:fill="FFFFFF"/>
        </w:rPr>
        <w:t xml:space="preserve"> holding was narrowly drawn to address only the circumstances before it”]; </w:t>
      </w:r>
      <w:r w:rsidR="00A27247" w:rsidRPr="004612F8">
        <w:rPr>
          <w:rFonts w:eastAsia="Times New Roman" w:cs="Times New Roman"/>
          <w:i/>
          <w:iCs/>
          <w:color w:val="000000"/>
          <w:sz w:val="28"/>
          <w:szCs w:val="28"/>
          <w:bdr w:val="none" w:sz="0" w:space="0" w:color="auto" w:frame="1"/>
          <w:shd w:val="clear" w:color="auto" w:fill="FFFFFF"/>
        </w:rPr>
        <w:t xml:space="preserve">Public Utilities Com. v. Superior Court </w:t>
      </w:r>
      <w:r w:rsidR="00A27247" w:rsidRPr="004612F8">
        <w:rPr>
          <w:rFonts w:eastAsia="Times New Roman" w:cs="Times New Roman"/>
          <w:color w:val="000000"/>
          <w:sz w:val="28"/>
          <w:szCs w:val="28"/>
          <w:bdr w:val="none" w:sz="0" w:space="0" w:color="auto" w:frame="1"/>
          <w:shd w:val="clear" w:color="auto" w:fill="FFFFFF"/>
        </w:rPr>
        <w:t>(2016) 2 Cal.App.5th 1260, 1259, fn. 7 [same]</w:t>
      </w:r>
      <w:r w:rsidR="004C7F3D" w:rsidRPr="004612F8">
        <w:rPr>
          <w:rFonts w:eastAsia="Times New Roman" w:cs="Times New Roman"/>
          <w:sz w:val="28"/>
          <w:szCs w:val="28"/>
          <w:bdr w:val="none" w:sz="0" w:space="0" w:color="auto" w:frame="1"/>
          <w:shd w:val="clear" w:color="auto" w:fill="FFFFFF"/>
        </w:rPr>
        <w:t>.)</w:t>
      </w:r>
      <w:r w:rsidR="004C7F3D" w:rsidRPr="000D6D21">
        <w:rPr>
          <w:rFonts w:eastAsia="Times New Roman" w:cs="Times New Roman"/>
          <w:sz w:val="28"/>
          <w:szCs w:val="28"/>
          <w:bdr w:val="none" w:sz="0" w:space="0" w:color="auto" w:frame="1"/>
          <w:shd w:val="clear" w:color="auto" w:fill="FFFFFF"/>
        </w:rPr>
        <w:t xml:space="preserve">  </w:t>
      </w:r>
    </w:p>
    <w:p w14:paraId="633D17C6" w14:textId="77777777" w:rsidR="005D3F25" w:rsidRDefault="00F615D7" w:rsidP="000D6D21">
      <w:pPr>
        <w:ind w:firstLine="720"/>
        <w:rPr>
          <w:rFonts w:eastAsia="Times New Roman" w:cs="Times New Roman"/>
          <w:color w:val="000000"/>
          <w:sz w:val="28"/>
          <w:szCs w:val="28"/>
          <w:bdr w:val="none" w:sz="0" w:space="0" w:color="auto" w:frame="1"/>
          <w:shd w:val="clear" w:color="auto" w:fill="FFFFFF"/>
        </w:rPr>
      </w:pPr>
      <w:r w:rsidRPr="000D6D21">
        <w:rPr>
          <w:sz w:val="28"/>
          <w:szCs w:val="28"/>
        </w:rPr>
        <w:t xml:space="preserve">Following </w:t>
      </w:r>
      <w:r w:rsidR="0026273F" w:rsidRPr="000D6D21">
        <w:rPr>
          <w:sz w:val="28"/>
          <w:szCs w:val="28"/>
        </w:rPr>
        <w:t>a brief overview</w:t>
      </w:r>
      <w:r w:rsidRPr="000D6D21">
        <w:rPr>
          <w:sz w:val="28"/>
          <w:szCs w:val="28"/>
        </w:rPr>
        <w:t xml:space="preserve"> on the PRA, the </w:t>
      </w:r>
      <w:r w:rsidR="001C0078">
        <w:rPr>
          <w:sz w:val="28"/>
          <w:szCs w:val="28"/>
        </w:rPr>
        <w:t>C</w:t>
      </w:r>
      <w:r w:rsidRPr="000D6D21">
        <w:rPr>
          <w:sz w:val="28"/>
          <w:szCs w:val="28"/>
        </w:rPr>
        <w:t>ourt state</w:t>
      </w:r>
      <w:r w:rsidR="00552C52" w:rsidRPr="000D6D21">
        <w:rPr>
          <w:sz w:val="28"/>
          <w:szCs w:val="28"/>
        </w:rPr>
        <w:t>d</w:t>
      </w:r>
      <w:r w:rsidRPr="000D6D21">
        <w:rPr>
          <w:sz w:val="28"/>
          <w:szCs w:val="28"/>
        </w:rPr>
        <w:t xml:space="preserve"> that </w:t>
      </w:r>
      <w:r w:rsidR="00B85AEB" w:rsidRPr="000D6D21">
        <w:rPr>
          <w:sz w:val="28"/>
          <w:szCs w:val="28"/>
        </w:rPr>
        <w:t xml:space="preserve">section 7923.500 </w:t>
      </w:r>
      <w:r w:rsidRPr="000D6D21">
        <w:rPr>
          <w:sz w:val="28"/>
          <w:szCs w:val="28"/>
        </w:rPr>
        <w:t xml:space="preserve">was intended </w:t>
      </w:r>
      <w:r w:rsidR="008A37D9" w:rsidRPr="000D6D21">
        <w:rPr>
          <w:sz w:val="28"/>
          <w:szCs w:val="28"/>
        </w:rPr>
        <w:t>“to prohibit public agencies from delaying the disclosure of public records</w:t>
      </w:r>
      <w:r w:rsidR="00552C52" w:rsidRPr="000D6D21">
        <w:rPr>
          <w:sz w:val="28"/>
          <w:szCs w:val="28"/>
        </w:rPr>
        <w:t xml:space="preserve"> . . . .</w:t>
      </w:r>
      <w:r w:rsidRPr="000D6D21">
        <w:rPr>
          <w:sz w:val="28"/>
          <w:szCs w:val="28"/>
        </w:rPr>
        <w:t>”  (</w:t>
      </w:r>
      <w:proofErr w:type="spellStart"/>
      <w:r w:rsidR="00EE79DD" w:rsidRPr="000D6D21">
        <w:rPr>
          <w:i/>
          <w:iCs/>
          <w:sz w:val="28"/>
          <w:szCs w:val="28"/>
        </w:rPr>
        <w:t>Filarsky</w:t>
      </w:r>
      <w:proofErr w:type="spellEnd"/>
      <w:r w:rsidR="00EE79DD" w:rsidRPr="000D6D21">
        <w:rPr>
          <w:sz w:val="28"/>
          <w:szCs w:val="28"/>
        </w:rPr>
        <w:t xml:space="preserve">, </w:t>
      </w:r>
      <w:r w:rsidR="00EE79DD" w:rsidRPr="000D6D21">
        <w:rPr>
          <w:i/>
          <w:iCs/>
          <w:sz w:val="28"/>
          <w:szCs w:val="28"/>
        </w:rPr>
        <w:t>supra</w:t>
      </w:r>
      <w:r w:rsidR="00EE79DD" w:rsidRPr="000D6D21">
        <w:rPr>
          <w:sz w:val="28"/>
          <w:szCs w:val="28"/>
        </w:rPr>
        <w:t>, 28 Cal.4th</w:t>
      </w:r>
      <w:r w:rsidRPr="000D6D21">
        <w:rPr>
          <w:sz w:val="28"/>
          <w:szCs w:val="28"/>
        </w:rPr>
        <w:t xml:space="preserve"> at p. 427.)  </w:t>
      </w:r>
      <w:r w:rsidR="00E3058D" w:rsidRPr="000D6D21">
        <w:rPr>
          <w:sz w:val="28"/>
          <w:szCs w:val="28"/>
        </w:rPr>
        <w:t xml:space="preserve">Placing no particular emphasis on the term “public records,” the Court found that </w:t>
      </w:r>
      <w:r w:rsidRPr="000D6D21">
        <w:rPr>
          <w:sz w:val="28"/>
          <w:szCs w:val="28"/>
        </w:rPr>
        <w:t>t</w:t>
      </w:r>
      <w:r w:rsidR="00393336" w:rsidRPr="000D6D21">
        <w:rPr>
          <w:rFonts w:eastAsia="Times New Roman" w:cs="Times New Roman"/>
          <w:color w:val="000000"/>
          <w:sz w:val="28"/>
          <w:szCs w:val="28"/>
          <w:bdr w:val="none" w:sz="0" w:space="0" w:color="auto" w:frame="1"/>
          <w:shd w:val="clear" w:color="auto" w:fill="FFFFFF"/>
        </w:rPr>
        <w:t xml:space="preserve">he </w:t>
      </w:r>
      <w:r w:rsidRPr="000D6D21">
        <w:rPr>
          <w:rFonts w:eastAsia="Times New Roman" w:cs="Times New Roman"/>
          <w:color w:val="000000"/>
          <w:sz w:val="28"/>
          <w:szCs w:val="28"/>
          <w:bdr w:val="none" w:sz="0" w:space="0" w:color="auto" w:frame="1"/>
          <w:shd w:val="clear" w:color="auto" w:fill="FFFFFF"/>
        </w:rPr>
        <w:t>“</w:t>
      </w:r>
      <w:r w:rsidR="00393336" w:rsidRPr="000D6D21">
        <w:rPr>
          <w:rFonts w:eastAsia="Times New Roman" w:cs="Times New Roman"/>
          <w:color w:val="000000"/>
          <w:sz w:val="28"/>
          <w:szCs w:val="28"/>
          <w:bdr w:val="none" w:sz="0" w:space="0" w:color="auto" w:frame="1"/>
          <w:shd w:val="clear" w:color="auto" w:fill="FFFFFF"/>
        </w:rPr>
        <w:t>legislative objective</w:t>
      </w:r>
      <w:r w:rsidR="00E3058D" w:rsidRPr="000D6D21">
        <w:rPr>
          <w:rFonts w:eastAsia="Times New Roman" w:cs="Times New Roman"/>
          <w:color w:val="000000"/>
          <w:sz w:val="28"/>
          <w:szCs w:val="28"/>
          <w:bdr w:val="none" w:sz="0" w:space="0" w:color="auto" w:frame="1"/>
          <w:shd w:val="clear" w:color="auto" w:fill="FFFFFF"/>
        </w:rPr>
        <w:t>” behind section 7923.500</w:t>
      </w:r>
      <w:r w:rsidR="00393336" w:rsidRPr="000D6D21">
        <w:rPr>
          <w:rFonts w:eastAsia="Times New Roman" w:cs="Times New Roman"/>
          <w:color w:val="000000"/>
          <w:sz w:val="28"/>
          <w:szCs w:val="28"/>
          <w:bdr w:val="none" w:sz="0" w:space="0" w:color="auto" w:frame="1"/>
          <w:shd w:val="clear" w:color="auto" w:fill="FFFFFF"/>
        </w:rPr>
        <w:t xml:space="preserve"> </w:t>
      </w:r>
      <w:r w:rsidR="00E3058D" w:rsidRPr="000D6D21">
        <w:rPr>
          <w:rFonts w:eastAsia="Times New Roman" w:cs="Times New Roman"/>
          <w:color w:val="000000"/>
          <w:sz w:val="28"/>
          <w:szCs w:val="28"/>
          <w:bdr w:val="none" w:sz="0" w:space="0" w:color="auto" w:frame="1"/>
          <w:shd w:val="clear" w:color="auto" w:fill="FFFFFF"/>
        </w:rPr>
        <w:t>“</w:t>
      </w:r>
      <w:r w:rsidR="00393336" w:rsidRPr="000D6D21">
        <w:rPr>
          <w:rFonts w:eastAsia="Times New Roman" w:cs="Times New Roman"/>
          <w:color w:val="000000"/>
          <w:sz w:val="28"/>
          <w:szCs w:val="28"/>
          <w:bdr w:val="none" w:sz="0" w:space="0" w:color="auto" w:frame="1"/>
          <w:shd w:val="clear" w:color="auto" w:fill="FFFFFF"/>
        </w:rPr>
        <w:t>was to expedite the process and make the appellate remedy more effective.  [Citation.]  Indeed, the [PRA’s] provision regarding a public agency’s obligation to act promptly upon receiving a request for disclosure</w:t>
      </w:r>
      <w:r w:rsidR="00E3058D" w:rsidRPr="000D6D21">
        <w:rPr>
          <w:rFonts w:eastAsia="Times New Roman" w:cs="Times New Roman"/>
          <w:color w:val="000000"/>
          <w:sz w:val="28"/>
          <w:szCs w:val="28"/>
          <w:bdr w:val="none" w:sz="0" w:space="0" w:color="auto" w:frame="1"/>
          <w:shd w:val="clear" w:color="auto" w:fill="FFFFFF"/>
        </w:rPr>
        <w:t> </w:t>
      </w:r>
      <w:r w:rsidR="00393336" w:rsidRPr="000D6D21">
        <w:rPr>
          <w:rFonts w:eastAsia="Times New Roman" w:cs="Times New Roman"/>
          <w:color w:val="000000"/>
          <w:sz w:val="28"/>
          <w:szCs w:val="28"/>
          <w:bdr w:val="none" w:sz="0" w:space="0" w:color="auto" w:frame="1"/>
          <w:shd w:val="clear" w:color="auto" w:fill="FFFFFF"/>
        </w:rPr>
        <w:t>.</w:t>
      </w:r>
      <w:r w:rsidR="00E3058D" w:rsidRPr="000D6D21">
        <w:rPr>
          <w:rFonts w:eastAsia="Times New Roman" w:cs="Times New Roman"/>
          <w:color w:val="000000"/>
          <w:sz w:val="28"/>
          <w:szCs w:val="28"/>
          <w:bdr w:val="none" w:sz="0" w:space="0" w:color="auto" w:frame="1"/>
          <w:shd w:val="clear" w:color="auto" w:fill="FFFFFF"/>
        </w:rPr>
        <w:t> </w:t>
      </w:r>
      <w:r w:rsidR="00393336" w:rsidRPr="000D6D21">
        <w:rPr>
          <w:rFonts w:eastAsia="Times New Roman" w:cs="Times New Roman"/>
          <w:color w:val="000000"/>
          <w:sz w:val="28"/>
          <w:szCs w:val="28"/>
          <w:bdr w:val="none" w:sz="0" w:space="0" w:color="auto" w:frame="1"/>
          <w:shd w:val="clear" w:color="auto" w:fill="FFFFFF"/>
        </w:rPr>
        <w:t>.</w:t>
      </w:r>
      <w:r w:rsidR="00E3058D" w:rsidRPr="000D6D21">
        <w:rPr>
          <w:rFonts w:eastAsia="Times New Roman" w:cs="Times New Roman"/>
          <w:color w:val="000000"/>
          <w:sz w:val="28"/>
          <w:szCs w:val="28"/>
          <w:bdr w:val="none" w:sz="0" w:space="0" w:color="auto" w:frame="1"/>
          <w:shd w:val="clear" w:color="auto" w:fill="FFFFFF"/>
        </w:rPr>
        <w:t> </w:t>
      </w:r>
      <w:r w:rsidR="00393336" w:rsidRPr="000D6D21">
        <w:rPr>
          <w:rFonts w:eastAsia="Times New Roman" w:cs="Times New Roman"/>
          <w:color w:val="000000"/>
          <w:sz w:val="28"/>
          <w:szCs w:val="28"/>
          <w:bdr w:val="none" w:sz="0" w:space="0" w:color="auto" w:frame="1"/>
          <w:shd w:val="clear" w:color="auto" w:fill="FFFFFF"/>
        </w:rPr>
        <w:t>.</w:t>
      </w:r>
      <w:r w:rsidR="00E3058D" w:rsidRPr="000D6D21">
        <w:rPr>
          <w:rFonts w:eastAsia="Times New Roman" w:cs="Times New Roman"/>
          <w:color w:val="000000"/>
          <w:sz w:val="28"/>
          <w:szCs w:val="28"/>
          <w:bdr w:val="none" w:sz="0" w:space="0" w:color="auto" w:frame="1"/>
          <w:shd w:val="clear" w:color="auto" w:fill="FFFFFF"/>
        </w:rPr>
        <w:t> </w:t>
      </w:r>
      <w:r w:rsidR="00393336" w:rsidRPr="000D6D21">
        <w:rPr>
          <w:rFonts w:eastAsia="Times New Roman" w:cs="Times New Roman"/>
          <w:color w:val="000000"/>
          <w:sz w:val="28"/>
          <w:szCs w:val="28"/>
          <w:bdr w:val="none" w:sz="0" w:space="0" w:color="auto" w:frame="1"/>
          <w:shd w:val="clear" w:color="auto" w:fill="FFFFFF"/>
        </w:rPr>
        <w:t>, the provision directing the trial court in a proceeding under the [PRA] to reach a decision as soon as possible .</w:t>
      </w:r>
      <w:r w:rsidR="00F35B67" w:rsidRPr="000D6D21">
        <w:rPr>
          <w:rFonts w:eastAsia="Times New Roman" w:cs="Times New Roman"/>
          <w:color w:val="000000"/>
          <w:sz w:val="28"/>
          <w:szCs w:val="28"/>
          <w:bdr w:val="none" w:sz="0" w:space="0" w:color="auto" w:frame="1"/>
          <w:shd w:val="clear" w:color="auto" w:fill="FFFFFF"/>
        </w:rPr>
        <w:t> </w:t>
      </w:r>
      <w:r w:rsidR="00393336" w:rsidRPr="000D6D21">
        <w:rPr>
          <w:rFonts w:eastAsia="Times New Roman" w:cs="Times New Roman"/>
          <w:color w:val="000000"/>
          <w:sz w:val="28"/>
          <w:szCs w:val="28"/>
          <w:bdr w:val="none" w:sz="0" w:space="0" w:color="auto" w:frame="1"/>
          <w:shd w:val="clear" w:color="auto" w:fill="FFFFFF"/>
        </w:rPr>
        <w:t>. . , and the provision for expedited appellate review</w:t>
      </w:r>
      <w:r w:rsidR="2ADB8A69" w:rsidRPr="000D6D21">
        <w:rPr>
          <w:rFonts w:eastAsia="Times New Roman" w:cs="Times New Roman"/>
          <w:color w:val="000000"/>
          <w:sz w:val="28"/>
          <w:szCs w:val="28"/>
          <w:bdr w:val="none" w:sz="0" w:space="0" w:color="auto" w:frame="1"/>
          <w:shd w:val="clear" w:color="auto" w:fill="FFFFFF"/>
        </w:rPr>
        <w:t xml:space="preserve"> </w:t>
      </w:r>
      <w:r w:rsidR="00393336" w:rsidRPr="000D6D21">
        <w:rPr>
          <w:rFonts w:eastAsia="Times New Roman" w:cs="Times New Roman"/>
          <w:color w:val="000000"/>
          <w:sz w:val="28"/>
          <w:szCs w:val="28"/>
          <w:bdr w:val="none" w:sz="0" w:space="0" w:color="auto" w:frame="1"/>
          <w:shd w:val="clear" w:color="auto" w:fill="FFFFFF"/>
        </w:rPr>
        <w:t>. . . all reflect a clear legislative intent that the determination of the obligation to disclose records requested from a public agency be made expeditiously.”  (</w:t>
      </w:r>
      <w:proofErr w:type="spellStart"/>
      <w:r w:rsidR="00393336" w:rsidRPr="000D6D21">
        <w:rPr>
          <w:rFonts w:eastAsia="Times New Roman" w:cs="Times New Roman"/>
          <w:i/>
          <w:iCs/>
          <w:color w:val="000000"/>
          <w:sz w:val="28"/>
          <w:szCs w:val="28"/>
          <w:bdr w:val="none" w:sz="0" w:space="0" w:color="auto" w:frame="1"/>
          <w:shd w:val="clear" w:color="auto" w:fill="FFFFFF"/>
        </w:rPr>
        <w:t>Filarsky</w:t>
      </w:r>
      <w:proofErr w:type="spellEnd"/>
      <w:r w:rsidR="00393336" w:rsidRPr="000D6D21">
        <w:rPr>
          <w:rFonts w:eastAsia="Times New Roman" w:cs="Times New Roman"/>
          <w:color w:val="000000"/>
          <w:sz w:val="28"/>
          <w:szCs w:val="28"/>
          <w:bdr w:val="none" w:sz="0" w:space="0" w:color="auto" w:frame="1"/>
          <w:shd w:val="clear" w:color="auto" w:fill="FFFFFF"/>
        </w:rPr>
        <w:t xml:space="preserve">, </w:t>
      </w:r>
      <w:r w:rsidR="00393336" w:rsidRPr="000D6D21">
        <w:rPr>
          <w:rFonts w:eastAsia="Times New Roman" w:cs="Times New Roman"/>
          <w:i/>
          <w:iCs/>
          <w:color w:val="000000"/>
          <w:sz w:val="28"/>
          <w:szCs w:val="28"/>
          <w:bdr w:val="none" w:sz="0" w:space="0" w:color="auto" w:frame="1"/>
          <w:shd w:val="clear" w:color="auto" w:fill="FFFFFF"/>
        </w:rPr>
        <w:t>supra</w:t>
      </w:r>
      <w:r w:rsidR="00393336" w:rsidRPr="000D6D21">
        <w:rPr>
          <w:rFonts w:eastAsia="Times New Roman" w:cs="Times New Roman"/>
          <w:color w:val="000000"/>
          <w:sz w:val="28"/>
          <w:szCs w:val="28"/>
          <w:bdr w:val="none" w:sz="0" w:space="0" w:color="auto" w:frame="1"/>
          <w:shd w:val="clear" w:color="auto" w:fill="FFFFFF"/>
        </w:rPr>
        <w:t xml:space="preserve">, 28 Cal.4th at p. 427, citations omitted.) </w:t>
      </w:r>
    </w:p>
    <w:p w14:paraId="633D17C7" w14:textId="77777777" w:rsidR="00F642FD" w:rsidRPr="004612F8" w:rsidRDefault="00F615D7" w:rsidP="000D6D21">
      <w:pPr>
        <w:ind w:firstLine="720"/>
        <w:rPr>
          <w:rFonts w:eastAsia="Times New Roman" w:cs="Times New Roman"/>
          <w:color w:val="000000"/>
          <w:sz w:val="28"/>
          <w:szCs w:val="28"/>
          <w:bdr w:val="none" w:sz="0" w:space="0" w:color="auto" w:frame="1"/>
          <w:shd w:val="clear" w:color="auto" w:fill="FFFFFF"/>
        </w:rPr>
      </w:pPr>
      <w:r>
        <w:rPr>
          <w:rFonts w:eastAsia="Times New Roman" w:cs="Times New Roman"/>
          <w:color w:val="000000"/>
          <w:sz w:val="28"/>
          <w:szCs w:val="28"/>
          <w:bdr w:val="none" w:sz="0" w:space="0" w:color="auto" w:frame="1"/>
          <w:shd w:val="clear" w:color="auto" w:fill="FFFFFF"/>
        </w:rPr>
        <w:t>If anything</w:t>
      </w:r>
      <w:r w:rsidR="005D3F25">
        <w:rPr>
          <w:rFonts w:eastAsia="Times New Roman" w:cs="Times New Roman"/>
          <w:color w:val="000000"/>
          <w:sz w:val="28"/>
          <w:szCs w:val="28"/>
          <w:bdr w:val="none" w:sz="0" w:space="0" w:color="auto" w:frame="1"/>
          <w:shd w:val="clear" w:color="auto" w:fill="FFFFFF"/>
        </w:rPr>
        <w:t>, we construe</w:t>
      </w:r>
      <w:r w:rsidR="001D1CCA">
        <w:rPr>
          <w:rFonts w:eastAsia="Times New Roman" w:cs="Times New Roman"/>
          <w:color w:val="000000"/>
          <w:sz w:val="28"/>
          <w:szCs w:val="28"/>
          <w:bdr w:val="none" w:sz="0" w:space="0" w:color="auto" w:frame="1"/>
          <w:shd w:val="clear" w:color="auto" w:fill="FFFFFF"/>
        </w:rPr>
        <w:t xml:space="preserve"> </w:t>
      </w:r>
      <w:proofErr w:type="spellStart"/>
      <w:r w:rsidR="000A5CD0" w:rsidRPr="000D6D21">
        <w:rPr>
          <w:rFonts w:eastAsia="Times New Roman" w:cs="Times New Roman"/>
          <w:i/>
          <w:iCs/>
          <w:color w:val="000000"/>
          <w:sz w:val="28"/>
          <w:szCs w:val="28"/>
          <w:bdr w:val="none" w:sz="0" w:space="0" w:color="auto" w:frame="1"/>
          <w:shd w:val="clear" w:color="auto" w:fill="FFFFFF"/>
        </w:rPr>
        <w:t>Filarsky</w:t>
      </w:r>
      <w:proofErr w:type="spellEnd"/>
      <w:r w:rsidR="000A5CD0" w:rsidRPr="000D6D21">
        <w:rPr>
          <w:rFonts w:eastAsia="Times New Roman" w:cs="Times New Roman"/>
          <w:i/>
          <w:iCs/>
          <w:color w:val="000000"/>
          <w:sz w:val="28"/>
          <w:szCs w:val="28"/>
          <w:bdr w:val="none" w:sz="0" w:space="0" w:color="auto" w:frame="1"/>
          <w:shd w:val="clear" w:color="auto" w:fill="FFFFFF"/>
        </w:rPr>
        <w:t xml:space="preserve"> </w:t>
      </w:r>
      <w:r w:rsidR="001D1CCA">
        <w:rPr>
          <w:rFonts w:eastAsia="Times New Roman" w:cs="Times New Roman"/>
          <w:color w:val="000000"/>
          <w:sz w:val="28"/>
          <w:szCs w:val="28"/>
          <w:bdr w:val="none" w:sz="0" w:space="0" w:color="auto" w:frame="1"/>
          <w:shd w:val="clear" w:color="auto" w:fill="FFFFFF"/>
        </w:rPr>
        <w:t xml:space="preserve">as acknowledgment by the Court that </w:t>
      </w:r>
      <w:r w:rsidR="000A5CD0" w:rsidRPr="000D6D21">
        <w:rPr>
          <w:rFonts w:eastAsia="Times New Roman" w:cs="Times New Roman"/>
          <w:color w:val="000000"/>
          <w:sz w:val="28"/>
          <w:szCs w:val="28"/>
          <w:bdr w:val="none" w:sz="0" w:space="0" w:color="auto" w:frame="1"/>
          <w:shd w:val="clear" w:color="auto" w:fill="FFFFFF"/>
        </w:rPr>
        <w:t>the PRA</w:t>
      </w:r>
      <w:r w:rsidR="00EE79DD" w:rsidRPr="000D6D21">
        <w:rPr>
          <w:rFonts w:eastAsia="Times New Roman" w:cs="Times New Roman"/>
          <w:color w:val="000000"/>
          <w:sz w:val="28"/>
          <w:szCs w:val="28"/>
          <w:bdr w:val="none" w:sz="0" w:space="0" w:color="auto" w:frame="1"/>
          <w:shd w:val="clear" w:color="auto" w:fill="FFFFFF"/>
        </w:rPr>
        <w:t xml:space="preserve"> enforcement procedures were designed for </w:t>
      </w:r>
      <w:r w:rsidR="000A5CD0" w:rsidRPr="000D6D21">
        <w:rPr>
          <w:rFonts w:eastAsia="Times New Roman" w:cs="Times New Roman"/>
          <w:color w:val="000000"/>
          <w:sz w:val="28"/>
          <w:szCs w:val="28"/>
          <w:bdr w:val="none" w:sz="0" w:space="0" w:color="auto" w:frame="1"/>
          <w:shd w:val="clear" w:color="auto" w:fill="FFFFFF"/>
        </w:rPr>
        <w:t xml:space="preserve">prompt resolution of </w:t>
      </w:r>
      <w:r w:rsidRPr="000D6D21">
        <w:rPr>
          <w:rFonts w:eastAsia="Times New Roman" w:cs="Times New Roman"/>
          <w:color w:val="000000"/>
          <w:sz w:val="28"/>
          <w:szCs w:val="28"/>
          <w:bdr w:val="none" w:sz="0" w:space="0" w:color="auto" w:frame="1"/>
          <w:shd w:val="clear" w:color="auto" w:fill="FFFFFF"/>
        </w:rPr>
        <w:t>requests for disclosure</w:t>
      </w:r>
      <w:r w:rsidR="001D1CCA">
        <w:rPr>
          <w:rFonts w:eastAsia="Times New Roman" w:cs="Times New Roman"/>
          <w:color w:val="000000"/>
          <w:sz w:val="28"/>
          <w:szCs w:val="28"/>
          <w:bdr w:val="none" w:sz="0" w:space="0" w:color="auto" w:frame="1"/>
          <w:shd w:val="clear" w:color="auto" w:fill="FFFFFF"/>
        </w:rPr>
        <w:t xml:space="preserve"> </w:t>
      </w:r>
      <w:r w:rsidR="00F12630">
        <w:rPr>
          <w:rFonts w:eastAsia="Times New Roman" w:cs="Times New Roman"/>
          <w:color w:val="000000"/>
          <w:sz w:val="28"/>
          <w:szCs w:val="28"/>
          <w:bdr w:val="none" w:sz="0" w:space="0" w:color="auto" w:frame="1"/>
          <w:shd w:val="clear" w:color="auto" w:fill="FFFFFF"/>
        </w:rPr>
        <w:t>made pursuant to</w:t>
      </w:r>
      <w:r w:rsidR="001D1CCA">
        <w:rPr>
          <w:rFonts w:eastAsia="Times New Roman" w:cs="Times New Roman"/>
          <w:color w:val="000000"/>
          <w:sz w:val="28"/>
          <w:szCs w:val="28"/>
          <w:bdr w:val="none" w:sz="0" w:space="0" w:color="auto" w:frame="1"/>
          <w:shd w:val="clear" w:color="auto" w:fill="FFFFFF"/>
        </w:rPr>
        <w:t xml:space="preserve"> the PRA</w:t>
      </w:r>
      <w:r w:rsidRPr="000D6D21">
        <w:rPr>
          <w:rFonts w:eastAsia="Times New Roman" w:cs="Times New Roman"/>
          <w:color w:val="000000"/>
          <w:sz w:val="28"/>
          <w:szCs w:val="28"/>
          <w:bdr w:val="none" w:sz="0" w:space="0" w:color="auto" w:frame="1"/>
          <w:shd w:val="clear" w:color="auto" w:fill="FFFFFF"/>
        </w:rPr>
        <w:t xml:space="preserve">.  (See </w:t>
      </w:r>
      <w:r w:rsidR="00EE79DD" w:rsidRPr="000D6D21">
        <w:rPr>
          <w:rFonts w:eastAsia="Times New Roman" w:cs="Times New Roman"/>
          <w:i/>
          <w:iCs/>
          <w:color w:val="000000"/>
          <w:sz w:val="28"/>
          <w:szCs w:val="28"/>
          <w:bdr w:val="none" w:sz="0" w:space="0" w:color="auto" w:frame="1"/>
          <w:shd w:val="clear" w:color="auto" w:fill="FFFFFF"/>
        </w:rPr>
        <w:t xml:space="preserve">id. </w:t>
      </w:r>
      <w:r w:rsidRPr="000D6D21">
        <w:rPr>
          <w:rFonts w:eastAsia="Times New Roman" w:cs="Times New Roman"/>
          <w:color w:val="000000"/>
          <w:sz w:val="28"/>
          <w:szCs w:val="28"/>
          <w:bdr w:val="none" w:sz="0" w:space="0" w:color="auto" w:frame="1"/>
          <w:shd w:val="clear" w:color="auto" w:fill="FFFFFF"/>
        </w:rPr>
        <w:t>at p.</w:t>
      </w:r>
      <w:r w:rsidR="001D1CCA">
        <w:rPr>
          <w:rFonts w:eastAsia="Times New Roman" w:cs="Times New Roman"/>
          <w:color w:val="000000"/>
          <w:sz w:val="28"/>
          <w:szCs w:val="28"/>
          <w:bdr w:val="none" w:sz="0" w:space="0" w:color="auto" w:frame="1"/>
          <w:shd w:val="clear" w:color="auto" w:fill="FFFFFF"/>
        </w:rPr>
        <w:t> </w:t>
      </w:r>
      <w:r w:rsidRPr="000D6D21">
        <w:rPr>
          <w:rFonts w:eastAsia="Times New Roman" w:cs="Times New Roman"/>
          <w:color w:val="000000"/>
          <w:sz w:val="28"/>
          <w:szCs w:val="28"/>
          <w:bdr w:val="none" w:sz="0" w:space="0" w:color="auto" w:frame="1"/>
          <w:shd w:val="clear" w:color="auto" w:fill="FFFFFF"/>
        </w:rPr>
        <w:t xml:space="preserve">429 [“a public agency could appeal from a judgment in favor of </w:t>
      </w:r>
      <w:r w:rsidR="000A5CD0" w:rsidRPr="000D6D21">
        <w:rPr>
          <w:rFonts w:eastAsia="Times New Roman" w:cs="Times New Roman"/>
          <w:color w:val="000000"/>
          <w:sz w:val="28"/>
          <w:szCs w:val="28"/>
          <w:bdr w:val="none" w:sz="0" w:space="0" w:color="auto" w:frame="1"/>
          <w:shd w:val="clear" w:color="auto" w:fill="FFFFFF"/>
        </w:rPr>
        <w:t>. . .</w:t>
      </w:r>
      <w:r w:rsidRPr="000D6D21">
        <w:rPr>
          <w:rFonts w:eastAsia="Times New Roman" w:cs="Times New Roman"/>
          <w:color w:val="000000"/>
          <w:sz w:val="28"/>
          <w:szCs w:val="28"/>
          <w:bdr w:val="none" w:sz="0" w:space="0" w:color="auto" w:frame="1"/>
          <w:shd w:val="clear" w:color="auto" w:fill="FFFFFF"/>
        </w:rPr>
        <w:t xml:space="preserve"> disclosure, thus further delaying a determination whether the records must be disclosed and thwarting the clear intent </w:t>
      </w:r>
      <w:r w:rsidRPr="000D6D21">
        <w:rPr>
          <w:rFonts w:eastAsia="Times New Roman" w:cs="Times New Roman"/>
          <w:color w:val="000000"/>
          <w:sz w:val="28"/>
          <w:szCs w:val="28"/>
          <w:bdr w:val="none" w:sz="0" w:space="0" w:color="auto" w:frame="1"/>
          <w:shd w:val="clear" w:color="auto" w:fill="FFFFFF"/>
        </w:rPr>
        <w:lastRenderedPageBreak/>
        <w:t xml:space="preserve">of the Legislature that the matter be resolved expeditiously”].)  </w:t>
      </w:r>
      <w:r w:rsidR="001C0078" w:rsidRPr="004612F8">
        <w:rPr>
          <w:rFonts w:eastAsia="Times New Roman" w:cs="Times New Roman"/>
          <w:color w:val="000000"/>
          <w:sz w:val="28"/>
          <w:szCs w:val="28"/>
          <w:bdr w:val="none" w:sz="0" w:space="0" w:color="auto" w:frame="1"/>
          <w:shd w:val="clear" w:color="auto" w:fill="FFFFFF"/>
        </w:rPr>
        <w:t xml:space="preserve">As we shall </w:t>
      </w:r>
      <w:proofErr w:type="gramStart"/>
      <w:r w:rsidR="001C0078" w:rsidRPr="004612F8">
        <w:rPr>
          <w:rFonts w:eastAsia="Times New Roman" w:cs="Times New Roman"/>
          <w:color w:val="000000"/>
          <w:sz w:val="28"/>
          <w:szCs w:val="28"/>
          <w:bdr w:val="none" w:sz="0" w:space="0" w:color="auto" w:frame="1"/>
          <w:shd w:val="clear" w:color="auto" w:fill="FFFFFF"/>
        </w:rPr>
        <w:t>discuss,</w:t>
      </w:r>
      <w:proofErr w:type="gramEnd"/>
      <w:r w:rsidR="001C0078" w:rsidRPr="004612F8">
        <w:rPr>
          <w:rFonts w:eastAsia="Times New Roman" w:cs="Times New Roman"/>
          <w:color w:val="000000"/>
          <w:sz w:val="28"/>
          <w:szCs w:val="28"/>
          <w:bdr w:val="none" w:sz="0" w:space="0" w:color="auto" w:frame="1"/>
          <w:shd w:val="clear" w:color="auto" w:fill="FFFFFF"/>
        </w:rPr>
        <w:t xml:space="preserve"> that very concern is implicated in this case.</w:t>
      </w:r>
    </w:p>
    <w:p w14:paraId="633D17C8" w14:textId="77777777" w:rsidR="006D67F7" w:rsidRPr="000D6D21" w:rsidRDefault="00F615D7" w:rsidP="000D6D21">
      <w:pPr>
        <w:keepNext/>
        <w:ind w:firstLine="720"/>
        <w:rPr>
          <w:rFonts w:eastAsia="Times New Roman" w:cs="Times New Roman"/>
          <w:color w:val="000000"/>
          <w:sz w:val="28"/>
          <w:szCs w:val="28"/>
        </w:rPr>
      </w:pPr>
      <w:r w:rsidRPr="004612F8">
        <w:rPr>
          <w:rFonts w:eastAsia="Times New Roman" w:cs="Times New Roman"/>
          <w:color w:val="000000"/>
          <w:sz w:val="28"/>
          <w:szCs w:val="28"/>
          <w:bdr w:val="none" w:sz="0" w:space="0" w:color="auto" w:frame="1"/>
          <w:shd w:val="clear" w:color="auto" w:fill="FFFFFF"/>
        </w:rPr>
        <w:t>A r</w:t>
      </w:r>
      <w:r w:rsidRPr="004612F8">
        <w:rPr>
          <w:rFonts w:eastAsia="Times New Roman" w:cs="Times New Roman"/>
          <w:color w:val="000000"/>
          <w:sz w:val="28"/>
          <w:szCs w:val="28"/>
          <w:bdr w:val="none" w:sz="0" w:space="0" w:color="auto" w:frame="1"/>
          <w:shd w:val="clear" w:color="auto" w:fill="FFFFFF"/>
        </w:rPr>
        <w:t>eview of relevant legislative history confirms that</w:t>
      </w:r>
      <w:r>
        <w:rPr>
          <w:rFonts w:eastAsia="Times New Roman" w:cs="Times New Roman"/>
          <w:color w:val="000000"/>
          <w:sz w:val="28"/>
          <w:szCs w:val="28"/>
          <w:bdr w:val="none" w:sz="0" w:space="0" w:color="auto" w:frame="1"/>
          <w:shd w:val="clear" w:color="auto" w:fill="FFFFFF"/>
        </w:rPr>
        <w:t xml:space="preserve"> t</w:t>
      </w:r>
      <w:r w:rsidR="00EE79DD" w:rsidRPr="000D6D21">
        <w:rPr>
          <w:rFonts w:eastAsia="Times New Roman" w:cs="Times New Roman"/>
          <w:color w:val="000000"/>
          <w:sz w:val="28"/>
          <w:szCs w:val="28"/>
          <w:bdr w:val="none" w:sz="0" w:space="0" w:color="auto" w:frame="1"/>
          <w:shd w:val="clear" w:color="auto" w:fill="FFFFFF"/>
        </w:rPr>
        <w:t>he need for prompt resolution of an agency’s duty of disclosure under the PRA is not limited to “public records” as that term is defined</w:t>
      </w:r>
      <w:r>
        <w:rPr>
          <w:rFonts w:eastAsia="Times New Roman" w:cs="Times New Roman"/>
          <w:color w:val="000000"/>
          <w:sz w:val="28"/>
          <w:szCs w:val="28"/>
          <w:bdr w:val="none" w:sz="0" w:space="0" w:color="auto" w:frame="1"/>
          <w:shd w:val="clear" w:color="auto" w:fill="FFFFFF"/>
        </w:rPr>
        <w:t>.  As</w:t>
      </w:r>
      <w:r w:rsidR="00EE79DD" w:rsidRPr="000D6D21">
        <w:rPr>
          <w:rFonts w:eastAsia="Times New Roman" w:cs="Times New Roman"/>
          <w:color w:val="000000"/>
          <w:sz w:val="28"/>
          <w:szCs w:val="28"/>
          <w:bdr w:val="none" w:sz="0" w:space="0" w:color="auto" w:frame="1"/>
          <w:shd w:val="clear" w:color="auto" w:fill="FFFFFF"/>
        </w:rPr>
        <w:t xml:space="preserve"> this case makes clear, that need also exists </w:t>
      </w:r>
      <w:r w:rsidR="000C580D" w:rsidRPr="000D6D21">
        <w:rPr>
          <w:rFonts w:eastAsia="Times New Roman" w:cs="Times New Roman"/>
          <w:color w:val="000000"/>
          <w:sz w:val="28"/>
          <w:szCs w:val="28"/>
          <w:bdr w:val="none" w:sz="0" w:space="0" w:color="auto" w:frame="1"/>
          <w:shd w:val="clear" w:color="auto" w:fill="FFFFFF"/>
        </w:rPr>
        <w:t xml:space="preserve">when </w:t>
      </w:r>
      <w:r w:rsidR="00C85947" w:rsidRPr="0050427F">
        <w:rPr>
          <w:rFonts w:eastAsia="Times New Roman" w:cs="Times New Roman"/>
          <w:color w:val="000000"/>
          <w:sz w:val="28"/>
          <w:szCs w:val="28"/>
          <w:bdr w:val="none" w:sz="0" w:space="0" w:color="auto" w:frame="1"/>
          <w:shd w:val="clear" w:color="auto" w:fill="FFFFFF"/>
        </w:rPr>
        <w:t xml:space="preserve">the right </w:t>
      </w:r>
      <w:r w:rsidR="000C580D" w:rsidRPr="0050427F">
        <w:rPr>
          <w:rFonts w:eastAsia="Times New Roman" w:cs="Times New Roman"/>
          <w:color w:val="000000"/>
          <w:sz w:val="28"/>
          <w:szCs w:val="28"/>
          <w:bdr w:val="none" w:sz="0" w:space="0" w:color="auto" w:frame="1"/>
          <w:shd w:val="clear" w:color="auto" w:fill="FFFFFF"/>
        </w:rPr>
        <w:t xml:space="preserve">to </w:t>
      </w:r>
      <w:r w:rsidR="00EE79DD" w:rsidRPr="0050427F">
        <w:rPr>
          <w:rFonts w:eastAsia="Times New Roman" w:cs="Times New Roman"/>
          <w:color w:val="000000"/>
          <w:sz w:val="28"/>
          <w:szCs w:val="28"/>
          <w:bdr w:val="none" w:sz="0" w:space="0" w:color="auto" w:frame="1"/>
          <w:shd w:val="clear" w:color="auto" w:fill="FFFFFF"/>
        </w:rPr>
        <w:t xml:space="preserve">a petition </w:t>
      </w:r>
      <w:r w:rsidR="009D7E5C" w:rsidRPr="0050427F">
        <w:rPr>
          <w:rFonts w:eastAsia="Times New Roman" w:cs="Times New Roman"/>
          <w:color w:val="000000"/>
          <w:sz w:val="28"/>
          <w:szCs w:val="28"/>
          <w:bdr w:val="none" w:sz="0" w:space="0" w:color="auto" w:frame="1"/>
          <w:shd w:val="clear" w:color="auto" w:fill="FFFFFF"/>
        </w:rPr>
        <w:t>examination</w:t>
      </w:r>
      <w:r w:rsidR="009D7E5C" w:rsidRPr="000D6D21">
        <w:rPr>
          <w:rFonts w:eastAsia="Times New Roman" w:cs="Times New Roman"/>
          <w:color w:val="000000"/>
          <w:sz w:val="28"/>
          <w:szCs w:val="28"/>
          <w:bdr w:val="none" w:sz="0" w:space="0" w:color="auto" w:frame="1"/>
          <w:shd w:val="clear" w:color="auto" w:fill="FFFFFF"/>
        </w:rPr>
        <w:t xml:space="preserve"> </w:t>
      </w:r>
      <w:r w:rsidR="000C580D" w:rsidRPr="000D6D21">
        <w:rPr>
          <w:rFonts w:eastAsia="Times New Roman" w:cs="Times New Roman"/>
          <w:color w:val="000000"/>
          <w:sz w:val="28"/>
          <w:szCs w:val="28"/>
          <w:bdr w:val="none" w:sz="0" w:space="0" w:color="auto" w:frame="1"/>
          <w:shd w:val="clear" w:color="auto" w:fill="FFFFFF"/>
        </w:rPr>
        <w:t>is exercised</w:t>
      </w:r>
      <w:r w:rsidR="00EE79DD" w:rsidRPr="000D6D21">
        <w:rPr>
          <w:rFonts w:eastAsia="Times New Roman" w:cs="Times New Roman"/>
          <w:color w:val="000000"/>
          <w:sz w:val="28"/>
          <w:szCs w:val="28"/>
          <w:bdr w:val="none" w:sz="0" w:space="0" w:color="auto" w:frame="1"/>
          <w:shd w:val="clear" w:color="auto" w:fill="FFFFFF"/>
        </w:rPr>
        <w:t>.</w:t>
      </w:r>
      <w:r w:rsidR="00C85947" w:rsidRPr="000D6D21">
        <w:rPr>
          <w:rFonts w:eastAsia="Times New Roman" w:cs="Times New Roman"/>
          <w:color w:val="000000"/>
          <w:sz w:val="28"/>
          <w:szCs w:val="28"/>
          <w:bdr w:val="none" w:sz="0" w:space="0" w:color="auto" w:frame="1"/>
          <w:shd w:val="clear" w:color="auto" w:fill="FFFFFF"/>
        </w:rPr>
        <w:t xml:space="preserve"> </w:t>
      </w:r>
      <w:r w:rsidR="00F642FD" w:rsidRPr="000D6D21">
        <w:rPr>
          <w:rFonts w:eastAsia="Times New Roman" w:cs="Times New Roman"/>
          <w:color w:val="000000"/>
          <w:sz w:val="28"/>
          <w:szCs w:val="28"/>
          <w:bdr w:val="none" w:sz="0" w:space="0" w:color="auto" w:frame="1"/>
          <w:shd w:val="clear" w:color="auto" w:fill="FFFFFF"/>
        </w:rPr>
        <w:t xml:space="preserve"> </w:t>
      </w:r>
      <w:r w:rsidR="00C85947" w:rsidRPr="000D6D21">
        <w:rPr>
          <w:rFonts w:eastAsia="Times New Roman" w:cs="Times New Roman"/>
          <w:color w:val="000000"/>
          <w:sz w:val="28"/>
          <w:szCs w:val="28"/>
          <w:bdr w:val="none" w:sz="0" w:space="0" w:color="auto" w:frame="1"/>
          <w:shd w:val="clear" w:color="auto" w:fill="FFFFFF"/>
        </w:rPr>
        <w:t>Th</w:t>
      </w:r>
      <w:r w:rsidR="000A5CD0" w:rsidRPr="000D6D21">
        <w:rPr>
          <w:rFonts w:eastAsia="Times New Roman" w:cs="Times New Roman"/>
          <w:color w:val="000000"/>
          <w:sz w:val="28"/>
          <w:szCs w:val="28"/>
          <w:bdr w:val="none" w:sz="0" w:space="0" w:color="auto" w:frame="1"/>
          <w:shd w:val="clear" w:color="auto" w:fill="FFFFFF"/>
        </w:rPr>
        <w:t>e</w:t>
      </w:r>
      <w:r w:rsidR="00B80E39" w:rsidRPr="000D6D21">
        <w:rPr>
          <w:rFonts w:eastAsia="Times New Roman" w:cs="Times New Roman"/>
          <w:color w:val="000000"/>
          <w:sz w:val="28"/>
          <w:szCs w:val="28"/>
          <w:bdr w:val="none" w:sz="0" w:space="0" w:color="auto" w:frame="1"/>
          <w:shd w:val="clear" w:color="auto" w:fill="FFFFFF"/>
        </w:rPr>
        <w:t xml:space="preserve"> statutory right </w:t>
      </w:r>
      <w:r w:rsidR="000A5CD0" w:rsidRPr="000D6D21">
        <w:rPr>
          <w:rFonts w:eastAsia="Times New Roman" w:cs="Times New Roman"/>
          <w:color w:val="000000"/>
          <w:sz w:val="28"/>
          <w:szCs w:val="28"/>
          <w:bdr w:val="none" w:sz="0" w:space="0" w:color="auto" w:frame="1"/>
          <w:shd w:val="clear" w:color="auto" w:fill="FFFFFF"/>
        </w:rPr>
        <w:t xml:space="preserve">of </w:t>
      </w:r>
      <w:r w:rsidR="007E6DC8" w:rsidRPr="000D6D21">
        <w:rPr>
          <w:rFonts w:eastAsia="Times New Roman" w:cs="Times New Roman"/>
          <w:color w:val="000000"/>
          <w:sz w:val="28"/>
          <w:szCs w:val="28"/>
          <w:bdr w:val="none" w:sz="0" w:space="0" w:color="auto" w:frame="1"/>
          <w:shd w:val="clear" w:color="auto" w:fill="FFFFFF"/>
        </w:rPr>
        <w:t xml:space="preserve">a petition </w:t>
      </w:r>
      <w:r w:rsidR="000A5CD0" w:rsidRPr="000D6D21">
        <w:rPr>
          <w:rFonts w:eastAsia="Times New Roman" w:cs="Times New Roman"/>
          <w:color w:val="000000"/>
          <w:sz w:val="28"/>
          <w:szCs w:val="28"/>
          <w:bdr w:val="none" w:sz="0" w:space="0" w:color="auto" w:frame="1"/>
          <w:shd w:val="clear" w:color="auto" w:fill="FFFFFF"/>
        </w:rPr>
        <w:t xml:space="preserve">examination </w:t>
      </w:r>
      <w:r w:rsidR="00C85947" w:rsidRPr="000D6D21">
        <w:rPr>
          <w:rFonts w:eastAsia="Times New Roman" w:cs="Times New Roman"/>
          <w:color w:val="000000"/>
          <w:sz w:val="28"/>
          <w:szCs w:val="28"/>
          <w:bdr w:val="none" w:sz="0" w:space="0" w:color="auto" w:frame="1"/>
          <w:shd w:val="clear" w:color="auto" w:fill="FFFFFF"/>
        </w:rPr>
        <w:t xml:space="preserve">was added </w:t>
      </w:r>
      <w:r w:rsidR="00B80E39" w:rsidRPr="000D6D21">
        <w:rPr>
          <w:rFonts w:eastAsia="Times New Roman" w:cs="Times New Roman"/>
          <w:color w:val="000000"/>
          <w:sz w:val="28"/>
          <w:szCs w:val="28"/>
          <w:bdr w:val="none" w:sz="0" w:space="0" w:color="auto" w:frame="1"/>
          <w:shd w:val="clear" w:color="auto" w:fill="FFFFFF"/>
        </w:rPr>
        <w:t xml:space="preserve">to </w:t>
      </w:r>
      <w:r w:rsidR="00EE79DD" w:rsidRPr="000D6D21">
        <w:rPr>
          <w:rFonts w:eastAsia="Times New Roman" w:cs="Times New Roman"/>
          <w:color w:val="000000"/>
          <w:sz w:val="28"/>
          <w:szCs w:val="28"/>
          <w:bdr w:val="none" w:sz="0" w:space="0" w:color="auto" w:frame="1"/>
          <w:shd w:val="clear" w:color="auto" w:fill="FFFFFF"/>
        </w:rPr>
        <w:t xml:space="preserve">section 7924.110 </w:t>
      </w:r>
      <w:r w:rsidR="00C85947" w:rsidRPr="000D6D21">
        <w:rPr>
          <w:rFonts w:eastAsia="Times New Roman" w:cs="Times New Roman"/>
          <w:color w:val="000000"/>
          <w:sz w:val="28"/>
          <w:szCs w:val="28"/>
          <w:bdr w:val="none" w:sz="0" w:space="0" w:color="auto" w:frame="1"/>
          <w:shd w:val="clear" w:color="auto" w:fill="FFFFFF"/>
        </w:rPr>
        <w:t xml:space="preserve">in 1980 (Stats. 1980, </w:t>
      </w:r>
      <w:proofErr w:type="spellStart"/>
      <w:r w:rsidR="00C85947" w:rsidRPr="000D6D21">
        <w:rPr>
          <w:rFonts w:eastAsia="Times New Roman" w:cs="Times New Roman"/>
          <w:color w:val="000000"/>
          <w:sz w:val="28"/>
          <w:szCs w:val="28"/>
          <w:bdr w:val="none" w:sz="0" w:space="0" w:color="auto" w:frame="1"/>
          <w:shd w:val="clear" w:color="auto" w:fill="FFFFFF"/>
        </w:rPr>
        <w:t>ch.</w:t>
      </w:r>
      <w:proofErr w:type="spellEnd"/>
      <w:r w:rsidR="00C85947" w:rsidRPr="000D6D21">
        <w:rPr>
          <w:rFonts w:eastAsia="Times New Roman" w:cs="Times New Roman"/>
          <w:color w:val="000000"/>
          <w:sz w:val="28"/>
          <w:szCs w:val="28"/>
          <w:bdr w:val="none" w:sz="0" w:space="0" w:color="auto" w:frame="1"/>
          <w:shd w:val="clear" w:color="auto" w:fill="FFFFFF"/>
        </w:rPr>
        <w:t xml:space="preserve"> 535, § 1)</w:t>
      </w:r>
      <w:r w:rsidR="00AE6121" w:rsidRPr="000D6D21">
        <w:rPr>
          <w:rFonts w:eastAsia="Times New Roman" w:cs="Times New Roman"/>
          <w:color w:val="000000"/>
          <w:sz w:val="28"/>
          <w:szCs w:val="28"/>
          <w:bdr w:val="none" w:sz="0" w:space="0" w:color="auto" w:frame="1"/>
          <w:shd w:val="clear" w:color="auto" w:fill="FFFFFF"/>
        </w:rPr>
        <w:t xml:space="preserve"> and arose from</w:t>
      </w:r>
      <w:r w:rsidR="00B80E39" w:rsidRPr="000D6D21">
        <w:rPr>
          <w:rFonts w:eastAsia="Times New Roman" w:cs="Times New Roman"/>
          <w:color w:val="000000"/>
          <w:sz w:val="28"/>
          <w:szCs w:val="28"/>
          <w:bdr w:val="none" w:sz="0" w:space="0" w:color="auto" w:frame="1"/>
          <w:shd w:val="clear" w:color="auto" w:fill="FFFFFF"/>
        </w:rPr>
        <w:t xml:space="preserve"> </w:t>
      </w:r>
      <w:r w:rsidR="00C85947" w:rsidRPr="000D6D21">
        <w:rPr>
          <w:rFonts w:eastAsia="Times New Roman" w:cs="Times New Roman"/>
          <w:color w:val="000000"/>
          <w:sz w:val="28"/>
          <w:szCs w:val="28"/>
          <w:bdr w:val="none" w:sz="0" w:space="0" w:color="auto" w:frame="1"/>
          <w:shd w:val="clear" w:color="auto" w:fill="FFFFFF"/>
        </w:rPr>
        <w:t xml:space="preserve">a situation </w:t>
      </w:r>
      <w:proofErr w:type="gramStart"/>
      <w:r w:rsidR="00AE6121" w:rsidRPr="000D6D21">
        <w:rPr>
          <w:rFonts w:eastAsia="Times New Roman" w:cs="Times New Roman"/>
          <w:color w:val="000000"/>
          <w:sz w:val="28"/>
          <w:szCs w:val="28"/>
          <w:bdr w:val="none" w:sz="0" w:space="0" w:color="auto" w:frame="1"/>
          <w:shd w:val="clear" w:color="auto" w:fill="FFFFFF"/>
        </w:rPr>
        <w:t xml:space="preserve">similar </w:t>
      </w:r>
      <w:r w:rsidR="00C85947" w:rsidRPr="000D6D21">
        <w:rPr>
          <w:rFonts w:eastAsia="Times New Roman" w:cs="Times New Roman"/>
          <w:color w:val="000000"/>
          <w:sz w:val="28"/>
          <w:szCs w:val="28"/>
          <w:bdr w:val="none" w:sz="0" w:space="0" w:color="auto" w:frame="1"/>
          <w:shd w:val="clear" w:color="auto" w:fill="FFFFFF"/>
        </w:rPr>
        <w:t>to</w:t>
      </w:r>
      <w:proofErr w:type="gramEnd"/>
      <w:r w:rsidR="00C85947" w:rsidRPr="000D6D21">
        <w:rPr>
          <w:rFonts w:eastAsia="Times New Roman" w:cs="Times New Roman"/>
          <w:color w:val="000000"/>
          <w:sz w:val="28"/>
          <w:szCs w:val="28"/>
          <w:bdr w:val="none" w:sz="0" w:space="0" w:color="auto" w:frame="1"/>
          <w:shd w:val="clear" w:color="auto" w:fill="FFFFFF"/>
        </w:rPr>
        <w:t xml:space="preserve"> </w:t>
      </w:r>
      <w:r w:rsidR="00B80E39" w:rsidRPr="000D6D21">
        <w:rPr>
          <w:rFonts w:eastAsia="Times New Roman" w:cs="Times New Roman"/>
          <w:color w:val="000000"/>
          <w:sz w:val="28"/>
          <w:szCs w:val="28"/>
          <w:bdr w:val="none" w:sz="0" w:space="0" w:color="auto" w:frame="1"/>
          <w:shd w:val="clear" w:color="auto" w:fill="FFFFFF"/>
        </w:rPr>
        <w:t xml:space="preserve">the one </w:t>
      </w:r>
      <w:r w:rsidR="00C85947" w:rsidRPr="000D6D21">
        <w:rPr>
          <w:rFonts w:eastAsia="Times New Roman" w:cs="Times New Roman"/>
          <w:color w:val="000000"/>
          <w:sz w:val="28"/>
          <w:szCs w:val="28"/>
          <w:bdr w:val="none" w:sz="0" w:space="0" w:color="auto" w:frame="1"/>
          <w:shd w:val="clear" w:color="auto" w:fill="FFFFFF"/>
        </w:rPr>
        <w:t>here</w:t>
      </w:r>
      <w:r w:rsidR="00B80E39" w:rsidRPr="000D6D21">
        <w:rPr>
          <w:rFonts w:eastAsia="Times New Roman" w:cs="Times New Roman"/>
          <w:color w:val="000000"/>
          <w:sz w:val="28"/>
          <w:szCs w:val="28"/>
          <w:bdr w:val="none" w:sz="0" w:space="0" w:color="auto" w:frame="1"/>
          <w:shd w:val="clear" w:color="auto" w:fill="FFFFFF"/>
        </w:rPr>
        <w:t>.</w:t>
      </w:r>
      <w:r w:rsidR="00EE79DD" w:rsidRPr="000D6D21">
        <w:rPr>
          <w:rFonts w:eastAsia="Times New Roman" w:cs="Times New Roman"/>
          <w:color w:val="000000"/>
          <w:sz w:val="28"/>
          <w:szCs w:val="28"/>
          <w:bdr w:val="none" w:sz="0" w:space="0" w:color="auto" w:frame="1"/>
          <w:shd w:val="clear" w:color="auto" w:fill="FFFFFF"/>
        </w:rPr>
        <w:t xml:space="preserve">  </w:t>
      </w:r>
      <w:r w:rsidR="00C85947" w:rsidRPr="000D6D21">
        <w:rPr>
          <w:rFonts w:eastAsia="Times New Roman" w:cs="Times New Roman"/>
          <w:color w:val="000000"/>
          <w:sz w:val="28"/>
          <w:szCs w:val="28"/>
          <w:bdr w:val="none" w:sz="0" w:space="0" w:color="auto" w:frame="1"/>
          <w:shd w:val="clear" w:color="auto" w:fill="FFFFFF"/>
        </w:rPr>
        <w:t>(</w:t>
      </w:r>
      <w:r w:rsidR="00EE79DD" w:rsidRPr="000D6D21">
        <w:rPr>
          <w:rFonts w:eastAsia="Times New Roman" w:cs="Times New Roman"/>
          <w:color w:val="000000"/>
          <w:sz w:val="28"/>
          <w:szCs w:val="28"/>
          <w:bdr w:val="none" w:sz="0" w:space="0" w:color="auto" w:frame="1"/>
          <w:shd w:val="clear" w:color="auto" w:fill="FFFFFF"/>
        </w:rPr>
        <w:t xml:space="preserve">See </w:t>
      </w:r>
      <w:r w:rsidR="00C85947" w:rsidRPr="000D6D21">
        <w:rPr>
          <w:rFonts w:eastAsia="Times New Roman" w:cs="Times New Roman"/>
          <w:color w:val="000000"/>
          <w:sz w:val="28"/>
          <w:szCs w:val="28"/>
        </w:rPr>
        <w:t xml:space="preserve">Assem. Comm. on Elections and Reapportionment, Assem. Bill Digest, </w:t>
      </w:r>
      <w:r w:rsidR="00630369" w:rsidRPr="000D6D21">
        <w:rPr>
          <w:rFonts w:eastAsia="Times New Roman" w:cs="Times New Roman"/>
          <w:color w:val="000000"/>
          <w:sz w:val="28"/>
          <w:szCs w:val="28"/>
        </w:rPr>
        <w:t>A</w:t>
      </w:r>
      <w:r w:rsidR="00C85947" w:rsidRPr="000D6D21">
        <w:rPr>
          <w:rFonts w:eastAsia="Times New Roman" w:cs="Times New Roman"/>
          <w:color w:val="000000"/>
          <w:sz w:val="28"/>
          <w:szCs w:val="28"/>
        </w:rPr>
        <w:t>nalysis of Assem. Bill No. 2328</w:t>
      </w:r>
      <w:r w:rsidR="00630369" w:rsidRPr="000D6D21">
        <w:rPr>
          <w:rFonts w:eastAsia="Times New Roman" w:cs="Times New Roman"/>
          <w:color w:val="000000"/>
          <w:sz w:val="28"/>
          <w:szCs w:val="28"/>
        </w:rPr>
        <w:t xml:space="preserve"> (1979</w:t>
      </w:r>
      <w:r w:rsidR="00630369" w:rsidRPr="000D6D21">
        <w:rPr>
          <w:rFonts w:eastAsia="Times New Roman" w:cs="Times New Roman"/>
          <w:color w:val="000000"/>
          <w:sz w:val="28"/>
          <w:szCs w:val="28"/>
        </w:rPr>
        <w:noBreakHyphen/>
        <w:t>1980 Reg. Sess.)</w:t>
      </w:r>
      <w:r w:rsidR="0026273F" w:rsidRPr="000D6D21">
        <w:rPr>
          <w:rFonts w:eastAsia="Times New Roman" w:cs="Times New Roman"/>
          <w:color w:val="000000"/>
          <w:sz w:val="28"/>
          <w:szCs w:val="28"/>
        </w:rPr>
        <w:t>,</w:t>
      </w:r>
      <w:r w:rsidR="00C85947" w:rsidRPr="000D6D21">
        <w:rPr>
          <w:rFonts w:eastAsia="Times New Roman" w:cs="Times New Roman"/>
          <w:color w:val="000000"/>
          <w:sz w:val="28"/>
          <w:szCs w:val="28"/>
        </w:rPr>
        <w:t xml:space="preserve"> as amended Mar. 27, 1980</w:t>
      </w:r>
      <w:r w:rsidR="0026273F" w:rsidRPr="000D6D21">
        <w:rPr>
          <w:rFonts w:eastAsia="Times New Roman" w:cs="Times New Roman"/>
          <w:color w:val="000000"/>
          <w:sz w:val="28"/>
          <w:szCs w:val="28"/>
        </w:rPr>
        <w:t>, p. 2</w:t>
      </w:r>
      <w:r w:rsidR="00EE79DD" w:rsidRPr="000D6D21">
        <w:rPr>
          <w:rFonts w:eastAsia="Times New Roman" w:cs="Times New Roman"/>
          <w:color w:val="000000"/>
          <w:sz w:val="28"/>
          <w:szCs w:val="28"/>
        </w:rPr>
        <w:t xml:space="preserve"> [describing </w:t>
      </w:r>
      <w:r w:rsidR="001D1CCA">
        <w:rPr>
          <w:rFonts w:eastAsia="Times New Roman" w:cs="Times New Roman"/>
          <w:color w:val="000000"/>
          <w:sz w:val="28"/>
          <w:szCs w:val="28"/>
        </w:rPr>
        <w:t xml:space="preserve">a </w:t>
      </w:r>
      <w:r w:rsidR="00EE79DD" w:rsidRPr="000D6D21">
        <w:rPr>
          <w:rFonts w:eastAsia="Times New Roman" w:cs="Times New Roman"/>
          <w:color w:val="000000"/>
          <w:sz w:val="28"/>
          <w:szCs w:val="28"/>
        </w:rPr>
        <w:t xml:space="preserve">1978 Los Angeles Superior Court decision permitting proponents of </w:t>
      </w:r>
      <w:r w:rsidR="00650136">
        <w:rPr>
          <w:rFonts w:eastAsia="Times New Roman" w:cs="Times New Roman"/>
          <w:color w:val="000000"/>
          <w:sz w:val="28"/>
          <w:szCs w:val="28"/>
        </w:rPr>
        <w:t xml:space="preserve">a </w:t>
      </w:r>
      <w:r w:rsidR="00EE79DD" w:rsidRPr="000D6D21">
        <w:rPr>
          <w:rFonts w:eastAsia="Times New Roman" w:cs="Times New Roman"/>
          <w:color w:val="000000"/>
          <w:sz w:val="28"/>
          <w:szCs w:val="28"/>
        </w:rPr>
        <w:t xml:space="preserve">petition to inspect </w:t>
      </w:r>
      <w:r w:rsidR="00650136">
        <w:rPr>
          <w:rFonts w:eastAsia="Times New Roman" w:cs="Times New Roman"/>
          <w:color w:val="000000"/>
          <w:sz w:val="28"/>
          <w:szCs w:val="28"/>
        </w:rPr>
        <w:t xml:space="preserve">the </w:t>
      </w:r>
      <w:r w:rsidR="00EE79DD" w:rsidRPr="000D6D21">
        <w:rPr>
          <w:rFonts w:eastAsia="Times New Roman" w:cs="Times New Roman"/>
          <w:color w:val="000000"/>
          <w:sz w:val="28"/>
          <w:szCs w:val="28"/>
        </w:rPr>
        <w:t>petition “after such petition has been declared to contain an insufficient number of qualified signatures”]</w:t>
      </w:r>
      <w:r w:rsidR="00C85947" w:rsidRPr="000D6D21">
        <w:rPr>
          <w:rFonts w:eastAsia="Times New Roman" w:cs="Times New Roman"/>
          <w:color w:val="000000"/>
          <w:sz w:val="28"/>
          <w:szCs w:val="28"/>
        </w:rPr>
        <w:t xml:space="preserve">; accord Sen. Democratic Caucus, </w:t>
      </w:r>
      <w:r w:rsidR="00630369" w:rsidRPr="000D6D21">
        <w:rPr>
          <w:rFonts w:eastAsia="Times New Roman" w:cs="Times New Roman"/>
          <w:color w:val="000000"/>
          <w:sz w:val="28"/>
          <w:szCs w:val="28"/>
        </w:rPr>
        <w:t>A</w:t>
      </w:r>
      <w:r w:rsidR="00C85947" w:rsidRPr="000D6D21">
        <w:rPr>
          <w:rFonts w:eastAsia="Times New Roman" w:cs="Times New Roman"/>
          <w:color w:val="000000"/>
          <w:sz w:val="28"/>
          <w:szCs w:val="28"/>
        </w:rPr>
        <w:t>nalysis of Assem. Bill No. 2328</w:t>
      </w:r>
      <w:r w:rsidR="00630369" w:rsidRPr="000D6D21">
        <w:rPr>
          <w:rFonts w:eastAsia="Times New Roman" w:cs="Times New Roman"/>
          <w:color w:val="000000"/>
          <w:sz w:val="28"/>
          <w:szCs w:val="28"/>
        </w:rPr>
        <w:t xml:space="preserve"> (1979</w:t>
      </w:r>
      <w:r w:rsidR="00630369" w:rsidRPr="000D6D21">
        <w:rPr>
          <w:rFonts w:eastAsia="Times New Roman" w:cs="Times New Roman"/>
          <w:color w:val="000000"/>
          <w:sz w:val="28"/>
          <w:szCs w:val="28"/>
        </w:rPr>
        <w:noBreakHyphen/>
        <w:t>1980 Reg. Sess.)</w:t>
      </w:r>
      <w:r w:rsidR="00C85947" w:rsidRPr="000D6D21">
        <w:rPr>
          <w:rFonts w:eastAsia="Times New Roman" w:cs="Times New Roman"/>
          <w:color w:val="000000"/>
          <w:sz w:val="28"/>
          <w:szCs w:val="28"/>
        </w:rPr>
        <w:t>, as amended June 17, 1980</w:t>
      </w:r>
      <w:r w:rsidR="00630369" w:rsidRPr="000D6D21">
        <w:rPr>
          <w:rFonts w:eastAsia="Times New Roman" w:cs="Times New Roman"/>
          <w:color w:val="000000"/>
          <w:sz w:val="28"/>
          <w:szCs w:val="28"/>
        </w:rPr>
        <w:t xml:space="preserve">, </w:t>
      </w:r>
      <w:r w:rsidR="00C85947" w:rsidRPr="000D6D21">
        <w:rPr>
          <w:rFonts w:eastAsia="Times New Roman" w:cs="Times New Roman"/>
          <w:color w:val="000000"/>
          <w:sz w:val="28"/>
          <w:szCs w:val="28"/>
        </w:rPr>
        <w:t>p. 1 [“[p]</w:t>
      </w:r>
      <w:proofErr w:type="spellStart"/>
      <w:r w:rsidR="00C85947" w:rsidRPr="000D6D21">
        <w:rPr>
          <w:rFonts w:eastAsia="Times New Roman" w:cs="Times New Roman"/>
          <w:color w:val="000000"/>
          <w:sz w:val="28"/>
          <w:szCs w:val="28"/>
        </w:rPr>
        <w:t>roponents</w:t>
      </w:r>
      <w:proofErr w:type="spellEnd"/>
      <w:r w:rsidR="00C85947" w:rsidRPr="000D6D21">
        <w:rPr>
          <w:rFonts w:eastAsia="Times New Roman" w:cs="Times New Roman"/>
          <w:color w:val="000000"/>
          <w:sz w:val="28"/>
          <w:szCs w:val="28"/>
        </w:rPr>
        <w:t xml:space="preserve"> state that [petition</w:t>
      </w:r>
      <w:r w:rsidR="0026273F" w:rsidRPr="000D6D21">
        <w:rPr>
          <w:rFonts w:eastAsia="Times New Roman" w:cs="Times New Roman"/>
          <w:color w:val="000000"/>
          <w:sz w:val="28"/>
          <w:szCs w:val="28"/>
        </w:rPr>
        <w:t>]</w:t>
      </w:r>
      <w:r w:rsidR="00C85947" w:rsidRPr="000D6D21">
        <w:rPr>
          <w:rFonts w:eastAsia="Times New Roman" w:cs="Times New Roman"/>
          <w:color w:val="000000"/>
          <w:sz w:val="28"/>
          <w:szCs w:val="28"/>
        </w:rPr>
        <w:t xml:space="preserve"> proponents should have the right to examine signatures that have been disqualified by county clerks to assure proper review”].) </w:t>
      </w:r>
      <w:r w:rsidR="00B80E39" w:rsidRPr="000D6D21">
        <w:rPr>
          <w:rFonts w:eastAsia="Times New Roman" w:cs="Times New Roman"/>
          <w:color w:val="000000"/>
          <w:sz w:val="28"/>
          <w:szCs w:val="28"/>
        </w:rPr>
        <w:t xml:space="preserve"> </w:t>
      </w:r>
      <w:r w:rsidR="00EE79DD" w:rsidRPr="000D6D21">
        <w:rPr>
          <w:rFonts w:eastAsia="Times New Roman" w:cs="Times New Roman"/>
          <w:color w:val="000000"/>
          <w:sz w:val="28"/>
          <w:szCs w:val="28"/>
        </w:rPr>
        <w:t xml:space="preserve">In </w:t>
      </w:r>
      <w:r w:rsidR="00650136">
        <w:rPr>
          <w:rFonts w:eastAsia="Times New Roman" w:cs="Times New Roman"/>
          <w:color w:val="000000"/>
          <w:sz w:val="28"/>
          <w:szCs w:val="28"/>
        </w:rPr>
        <w:t>addition to enacting</w:t>
      </w:r>
      <w:r w:rsidR="00650136" w:rsidRPr="000D6D21">
        <w:rPr>
          <w:rFonts w:eastAsia="Times New Roman" w:cs="Times New Roman"/>
          <w:color w:val="000000"/>
          <w:sz w:val="28"/>
          <w:szCs w:val="28"/>
        </w:rPr>
        <w:t xml:space="preserve"> </w:t>
      </w:r>
      <w:r w:rsidR="00650136">
        <w:rPr>
          <w:rFonts w:eastAsia="Times New Roman" w:cs="Times New Roman"/>
          <w:color w:val="000000"/>
          <w:sz w:val="28"/>
          <w:szCs w:val="28"/>
        </w:rPr>
        <w:t xml:space="preserve">this </w:t>
      </w:r>
      <w:r w:rsidR="00EE79DD" w:rsidRPr="000D6D21">
        <w:rPr>
          <w:rFonts w:eastAsia="Times New Roman" w:cs="Times New Roman"/>
          <w:color w:val="000000"/>
          <w:sz w:val="28"/>
          <w:szCs w:val="28"/>
        </w:rPr>
        <w:t>statutory right of examination, the</w:t>
      </w:r>
      <w:r w:rsidR="00B80E39" w:rsidRPr="000D6D21">
        <w:rPr>
          <w:rFonts w:eastAsia="Times New Roman" w:cs="Times New Roman"/>
          <w:color w:val="000000"/>
          <w:sz w:val="28"/>
          <w:szCs w:val="28"/>
        </w:rPr>
        <w:t xml:space="preserve"> 1980 amendment also </w:t>
      </w:r>
      <w:r w:rsidR="000A5CD0" w:rsidRPr="000D6D21">
        <w:rPr>
          <w:rFonts w:eastAsia="Times New Roman" w:cs="Times New Roman"/>
          <w:color w:val="000000"/>
          <w:sz w:val="28"/>
          <w:szCs w:val="28"/>
        </w:rPr>
        <w:t xml:space="preserve">enacted the </w:t>
      </w:r>
      <w:r w:rsidR="00B80E39" w:rsidRPr="000D6D21">
        <w:rPr>
          <w:rFonts w:eastAsia="Times New Roman" w:cs="Times New Roman"/>
          <w:color w:val="000000"/>
          <w:sz w:val="28"/>
          <w:szCs w:val="28"/>
        </w:rPr>
        <w:t xml:space="preserve">21-day limitations period for </w:t>
      </w:r>
      <w:r w:rsidR="000A5CD0" w:rsidRPr="000D6D21">
        <w:rPr>
          <w:rFonts w:eastAsia="Times New Roman" w:cs="Times New Roman"/>
          <w:color w:val="000000"/>
          <w:sz w:val="28"/>
          <w:szCs w:val="28"/>
        </w:rPr>
        <w:t xml:space="preserve">any </w:t>
      </w:r>
      <w:r w:rsidR="00EE79DD" w:rsidRPr="000D6D21">
        <w:rPr>
          <w:rFonts w:eastAsia="Times New Roman" w:cs="Times New Roman"/>
          <w:color w:val="000000"/>
          <w:sz w:val="28"/>
          <w:szCs w:val="28"/>
        </w:rPr>
        <w:t xml:space="preserve">petition </w:t>
      </w:r>
      <w:r w:rsidR="000A5CD0" w:rsidRPr="000D6D21">
        <w:rPr>
          <w:rFonts w:eastAsia="Times New Roman" w:cs="Times New Roman"/>
          <w:color w:val="000000"/>
          <w:sz w:val="28"/>
          <w:szCs w:val="28"/>
        </w:rPr>
        <w:t>examination</w:t>
      </w:r>
      <w:r w:rsidR="00EE79DD" w:rsidRPr="000D6D21">
        <w:rPr>
          <w:rFonts w:eastAsia="Times New Roman" w:cs="Times New Roman"/>
          <w:color w:val="000000"/>
          <w:sz w:val="28"/>
          <w:szCs w:val="28"/>
        </w:rPr>
        <w:t xml:space="preserve">. </w:t>
      </w:r>
      <w:r w:rsidR="000A5CD0" w:rsidRPr="000D6D21">
        <w:rPr>
          <w:rFonts w:eastAsia="Times New Roman" w:cs="Times New Roman"/>
          <w:color w:val="000000"/>
          <w:sz w:val="28"/>
          <w:szCs w:val="28"/>
        </w:rPr>
        <w:t xml:space="preserve"> </w:t>
      </w:r>
      <w:r w:rsidR="00B80E39" w:rsidRPr="000D6D21">
        <w:rPr>
          <w:rFonts w:eastAsia="Times New Roman" w:cs="Times New Roman"/>
          <w:color w:val="000000"/>
          <w:sz w:val="28"/>
          <w:szCs w:val="28"/>
        </w:rPr>
        <w:t>(§</w:t>
      </w:r>
      <w:r w:rsidR="00C42F05" w:rsidRPr="000D6D21">
        <w:rPr>
          <w:rFonts w:eastAsia="Times New Roman" w:cs="Times New Roman"/>
          <w:color w:val="000000"/>
          <w:sz w:val="28"/>
          <w:szCs w:val="28"/>
        </w:rPr>
        <w:t> </w:t>
      </w:r>
      <w:r w:rsidR="00B80E39" w:rsidRPr="000D6D21">
        <w:rPr>
          <w:rFonts w:eastAsia="Times New Roman" w:cs="Times New Roman"/>
          <w:color w:val="000000"/>
          <w:sz w:val="28"/>
          <w:szCs w:val="28"/>
        </w:rPr>
        <w:t xml:space="preserve">7924.110, subd. (d), as enacted by Stats. 1980, </w:t>
      </w:r>
      <w:proofErr w:type="spellStart"/>
      <w:r w:rsidR="00B80E39" w:rsidRPr="000D6D21">
        <w:rPr>
          <w:rFonts w:eastAsia="Times New Roman" w:cs="Times New Roman"/>
          <w:color w:val="000000"/>
          <w:sz w:val="28"/>
          <w:szCs w:val="28"/>
        </w:rPr>
        <w:t>ch.</w:t>
      </w:r>
      <w:proofErr w:type="spellEnd"/>
      <w:r w:rsidR="00B80E39" w:rsidRPr="000D6D21">
        <w:rPr>
          <w:rFonts w:eastAsia="Times New Roman" w:cs="Times New Roman"/>
          <w:color w:val="000000"/>
          <w:sz w:val="28"/>
          <w:szCs w:val="28"/>
        </w:rPr>
        <w:t xml:space="preserve"> 535, § 1</w:t>
      </w:r>
      <w:r w:rsidR="00EE79DD" w:rsidRPr="000D6D21">
        <w:rPr>
          <w:rFonts w:eastAsia="Times New Roman" w:cs="Times New Roman"/>
          <w:color w:val="000000"/>
          <w:sz w:val="28"/>
          <w:szCs w:val="28"/>
        </w:rPr>
        <w:t>.</w:t>
      </w:r>
      <w:r w:rsidR="00B80E39" w:rsidRPr="000D6D21">
        <w:rPr>
          <w:rFonts w:eastAsia="Times New Roman" w:cs="Times New Roman"/>
          <w:color w:val="000000"/>
          <w:sz w:val="28"/>
          <w:szCs w:val="28"/>
        </w:rPr>
        <w:t>)</w:t>
      </w:r>
      <w:r w:rsidR="00EE79DD" w:rsidRPr="000D6D21">
        <w:rPr>
          <w:rFonts w:eastAsia="Times New Roman" w:cs="Times New Roman"/>
          <w:color w:val="000000"/>
          <w:sz w:val="28"/>
          <w:szCs w:val="28"/>
        </w:rPr>
        <w:t xml:space="preserve">  </w:t>
      </w:r>
      <w:r w:rsidR="00650136">
        <w:rPr>
          <w:rFonts w:eastAsia="Times New Roman" w:cs="Times New Roman"/>
          <w:color w:val="000000"/>
          <w:sz w:val="28"/>
          <w:szCs w:val="28"/>
        </w:rPr>
        <w:t>Viewing these enactments in harmony</w:t>
      </w:r>
      <w:r w:rsidR="000A5CD0" w:rsidRPr="000D6D21">
        <w:rPr>
          <w:rFonts w:eastAsia="Times New Roman" w:cs="Times New Roman"/>
          <w:color w:val="000000"/>
          <w:sz w:val="28"/>
          <w:szCs w:val="28"/>
        </w:rPr>
        <w:t xml:space="preserve">, </w:t>
      </w:r>
      <w:r w:rsidR="00EE79DD" w:rsidRPr="000D6D21">
        <w:rPr>
          <w:rFonts w:eastAsia="Times New Roman" w:cs="Times New Roman"/>
          <w:color w:val="000000"/>
          <w:sz w:val="28"/>
          <w:szCs w:val="28"/>
        </w:rPr>
        <w:t xml:space="preserve">the 1980 amendment </w:t>
      </w:r>
      <w:r w:rsidR="000A5CD0" w:rsidRPr="000D6D21">
        <w:rPr>
          <w:rFonts w:eastAsia="Times New Roman" w:cs="Times New Roman"/>
          <w:color w:val="000000"/>
          <w:sz w:val="28"/>
          <w:szCs w:val="28"/>
        </w:rPr>
        <w:lastRenderedPageBreak/>
        <w:t>signif</w:t>
      </w:r>
      <w:r w:rsidR="00EE79DD" w:rsidRPr="000D6D21">
        <w:rPr>
          <w:rFonts w:eastAsia="Times New Roman" w:cs="Times New Roman"/>
          <w:color w:val="000000"/>
          <w:sz w:val="28"/>
          <w:szCs w:val="28"/>
        </w:rPr>
        <w:t>ied not only</w:t>
      </w:r>
      <w:r w:rsidR="000A5CD0" w:rsidRPr="000D6D21">
        <w:rPr>
          <w:rFonts w:eastAsia="Times New Roman" w:cs="Times New Roman"/>
          <w:color w:val="000000"/>
          <w:sz w:val="28"/>
          <w:szCs w:val="28"/>
        </w:rPr>
        <w:t xml:space="preserve"> </w:t>
      </w:r>
      <w:r w:rsidR="00B80E39" w:rsidRPr="000D6D21">
        <w:rPr>
          <w:rFonts w:eastAsia="Times New Roman" w:cs="Times New Roman"/>
          <w:color w:val="000000"/>
          <w:sz w:val="28"/>
          <w:szCs w:val="28"/>
        </w:rPr>
        <w:t>an intent by the Legislature to enforce a right of examination, but a right to do so promptly</w:t>
      </w:r>
      <w:r w:rsidRPr="000D6D21">
        <w:rPr>
          <w:rFonts w:eastAsia="Times New Roman" w:cs="Times New Roman"/>
          <w:color w:val="000000"/>
          <w:sz w:val="28"/>
          <w:szCs w:val="28"/>
        </w:rPr>
        <w:t>.</w:t>
      </w:r>
    </w:p>
    <w:p w14:paraId="633D17C9" w14:textId="77777777" w:rsidR="006B6F4A" w:rsidRPr="000D6D21" w:rsidRDefault="00F615D7" w:rsidP="000D6D21">
      <w:pPr>
        <w:ind w:firstLine="720"/>
        <w:rPr>
          <w:sz w:val="28"/>
          <w:szCs w:val="28"/>
        </w:rPr>
      </w:pPr>
      <w:r>
        <w:rPr>
          <w:sz w:val="28"/>
          <w:szCs w:val="28"/>
          <w:bdr w:val="none" w:sz="0" w:space="0" w:color="auto" w:frame="1"/>
          <w:shd w:val="clear" w:color="auto" w:fill="FFFFFF"/>
        </w:rPr>
        <w:t>In addition, t</w:t>
      </w:r>
      <w:r w:rsidR="00650136">
        <w:rPr>
          <w:sz w:val="28"/>
          <w:szCs w:val="28"/>
          <w:bdr w:val="none" w:sz="0" w:space="0" w:color="auto" w:frame="1"/>
          <w:shd w:val="clear" w:color="auto" w:fill="FFFFFF"/>
        </w:rPr>
        <w:t>he right of p</w:t>
      </w:r>
      <w:r w:rsidR="006D67F7" w:rsidRPr="000D6D21">
        <w:rPr>
          <w:sz w:val="28"/>
          <w:szCs w:val="28"/>
          <w:bdr w:val="none" w:sz="0" w:space="0" w:color="auto" w:frame="1"/>
          <w:shd w:val="clear" w:color="auto" w:fill="FFFFFF"/>
        </w:rPr>
        <w:t>rompt examination under section 7924.110 readily comports with section 7923.500,</w:t>
      </w:r>
      <w:r w:rsidRPr="000D6D21">
        <w:rPr>
          <w:sz w:val="28"/>
          <w:szCs w:val="28"/>
          <w:bdr w:val="none" w:sz="0" w:space="0" w:color="auto" w:frame="1"/>
          <w:shd w:val="clear" w:color="auto" w:fill="FFFFFF"/>
        </w:rPr>
        <w:t xml:space="preserve"> itself </w:t>
      </w:r>
      <w:r w:rsidR="00EE79DD" w:rsidRPr="000D6D21">
        <w:rPr>
          <w:sz w:val="28"/>
          <w:szCs w:val="28"/>
          <w:bdr w:val="none" w:sz="0" w:space="0" w:color="auto" w:frame="1"/>
          <w:shd w:val="clear" w:color="auto" w:fill="FFFFFF"/>
        </w:rPr>
        <w:t xml:space="preserve">a statute that </w:t>
      </w:r>
      <w:r w:rsidR="000A5CD0" w:rsidRPr="000D6D21">
        <w:rPr>
          <w:sz w:val="28"/>
          <w:szCs w:val="28"/>
          <w:bdr w:val="none" w:sz="0" w:space="0" w:color="auto" w:frame="1"/>
          <w:shd w:val="clear" w:color="auto" w:fill="FFFFFF"/>
        </w:rPr>
        <w:t xml:space="preserve">was </w:t>
      </w:r>
      <w:r w:rsidRPr="000D6D21">
        <w:rPr>
          <w:sz w:val="28"/>
          <w:szCs w:val="28"/>
          <w:bdr w:val="none" w:sz="0" w:space="0" w:color="auto" w:frame="1"/>
          <w:shd w:val="clear" w:color="auto" w:fill="FFFFFF"/>
        </w:rPr>
        <w:t xml:space="preserve">designed </w:t>
      </w:r>
      <w:r w:rsidR="006D67F7" w:rsidRPr="000D6D21">
        <w:rPr>
          <w:sz w:val="28"/>
          <w:szCs w:val="28"/>
          <w:bdr w:val="none" w:sz="0" w:space="0" w:color="auto" w:frame="1"/>
          <w:shd w:val="clear" w:color="auto" w:fill="FFFFFF"/>
        </w:rPr>
        <w:t xml:space="preserve">“to </w:t>
      </w:r>
      <w:r w:rsidR="006D67F7" w:rsidRPr="000D6D21">
        <w:rPr>
          <w:i/>
          <w:iCs/>
          <w:sz w:val="28"/>
          <w:szCs w:val="28"/>
          <w:bdr w:val="none" w:sz="0" w:space="0" w:color="auto" w:frame="1"/>
          <w:shd w:val="clear" w:color="auto" w:fill="FFFFFF"/>
        </w:rPr>
        <w:t xml:space="preserve">speed </w:t>
      </w:r>
      <w:r w:rsidR="006D67F7" w:rsidRPr="000D6D21">
        <w:rPr>
          <w:sz w:val="28"/>
          <w:szCs w:val="28"/>
          <w:bdr w:val="none" w:sz="0" w:space="0" w:color="auto" w:frame="1"/>
          <w:shd w:val="clear" w:color="auto" w:fill="FFFFFF"/>
        </w:rPr>
        <w:t>appellate review, . . . ”  (</w:t>
      </w:r>
      <w:r w:rsidR="006D67F7" w:rsidRPr="000D6D21">
        <w:rPr>
          <w:i/>
          <w:iCs/>
          <w:sz w:val="28"/>
          <w:szCs w:val="28"/>
          <w:bdr w:val="none" w:sz="0" w:space="0" w:color="auto" w:frame="1"/>
          <w:shd w:val="clear" w:color="auto" w:fill="FFFFFF"/>
        </w:rPr>
        <w:t>Times Mirror</w:t>
      </w:r>
      <w:r w:rsidR="006D67F7" w:rsidRPr="000D6D21">
        <w:rPr>
          <w:sz w:val="28"/>
          <w:szCs w:val="28"/>
          <w:bdr w:val="none" w:sz="0" w:space="0" w:color="auto" w:frame="1"/>
          <w:shd w:val="clear" w:color="auto" w:fill="FFFFFF"/>
        </w:rPr>
        <w:t xml:space="preserve">, </w:t>
      </w:r>
      <w:r w:rsidR="006D67F7" w:rsidRPr="000D6D21">
        <w:rPr>
          <w:i/>
          <w:iCs/>
          <w:sz w:val="28"/>
          <w:szCs w:val="28"/>
          <w:bdr w:val="none" w:sz="0" w:space="0" w:color="auto" w:frame="1"/>
          <w:shd w:val="clear" w:color="auto" w:fill="FFFFFF"/>
        </w:rPr>
        <w:t>supra</w:t>
      </w:r>
      <w:r w:rsidR="006D67F7" w:rsidRPr="000D6D21">
        <w:rPr>
          <w:sz w:val="28"/>
          <w:szCs w:val="28"/>
          <w:bdr w:val="none" w:sz="0" w:space="0" w:color="auto" w:frame="1"/>
          <w:shd w:val="clear" w:color="auto" w:fill="FFFFFF"/>
        </w:rPr>
        <w:t>, 53 Cal.3d at pp.</w:t>
      </w:r>
      <w:r w:rsidR="006C3F64">
        <w:rPr>
          <w:sz w:val="28"/>
          <w:szCs w:val="28"/>
          <w:bdr w:val="none" w:sz="0" w:space="0" w:color="auto" w:frame="1"/>
          <w:shd w:val="clear" w:color="auto" w:fill="FFFFFF"/>
        </w:rPr>
        <w:t> </w:t>
      </w:r>
      <w:r w:rsidR="006D67F7" w:rsidRPr="000D6D21">
        <w:rPr>
          <w:sz w:val="28"/>
          <w:szCs w:val="28"/>
          <w:bdr w:val="none" w:sz="0" w:space="0" w:color="auto" w:frame="1"/>
          <w:shd w:val="clear" w:color="auto" w:fill="FFFFFF"/>
        </w:rPr>
        <w:t>1332</w:t>
      </w:r>
      <w:r w:rsidR="006D67F7" w:rsidRPr="000D6D21">
        <w:rPr>
          <w:sz w:val="28"/>
          <w:szCs w:val="28"/>
          <w:bdr w:val="none" w:sz="0" w:space="0" w:color="auto" w:frame="1"/>
          <w:shd w:val="clear" w:color="auto" w:fill="FFFFFF"/>
        </w:rPr>
        <w:noBreakHyphen/>
        <w:t xml:space="preserve">1333; accord, </w:t>
      </w:r>
      <w:r w:rsidR="006D67F7" w:rsidRPr="000D6D21">
        <w:rPr>
          <w:rFonts w:eastAsia="Times New Roman" w:cs="Times New Roman"/>
          <w:color w:val="000000"/>
          <w:sz w:val="28"/>
          <w:szCs w:val="28"/>
        </w:rPr>
        <w:t>Sen. Com. on Judiciary, Analysis of Sen. Bill No. 2222 (1983-1984 Reg. Sess.), as introduced, p. 3 [§ </w:t>
      </w:r>
      <w:r w:rsidR="006D67F7" w:rsidRPr="000D6D21">
        <w:rPr>
          <w:sz w:val="28"/>
          <w:szCs w:val="28"/>
        </w:rPr>
        <w:t>7923.500 proposed out of concern that “[some] public officials are frustrating the intent of the laws for disclosure” by filing appeals]</w:t>
      </w:r>
      <w:r w:rsidR="00AE6121" w:rsidRPr="000D6D21">
        <w:rPr>
          <w:sz w:val="28"/>
          <w:szCs w:val="28"/>
        </w:rPr>
        <w:t>; Assem. Com. on Judiciary, Worksheet on Sen. Bill No. 22</w:t>
      </w:r>
      <w:r w:rsidR="00B713B5" w:rsidRPr="000D6D21">
        <w:rPr>
          <w:sz w:val="28"/>
          <w:szCs w:val="28"/>
        </w:rPr>
        <w:t>2</w:t>
      </w:r>
      <w:r w:rsidR="00AE6121" w:rsidRPr="000D6D21">
        <w:rPr>
          <w:sz w:val="28"/>
          <w:szCs w:val="28"/>
        </w:rPr>
        <w:t>2 (1983</w:t>
      </w:r>
      <w:r w:rsidR="00AE6121" w:rsidRPr="000D6D21">
        <w:rPr>
          <w:sz w:val="28"/>
          <w:szCs w:val="28"/>
        </w:rPr>
        <w:noBreakHyphen/>
        <w:t xml:space="preserve">1984 Reg. Sess.), p. 2 [enacting legislation “would correct these problems by providing that a Superior Court decision concerning a Public Records Act dispute is </w:t>
      </w:r>
      <w:r w:rsidR="00AE6121" w:rsidRPr="000D6D21">
        <w:rPr>
          <w:i/>
          <w:iCs/>
          <w:sz w:val="28"/>
          <w:szCs w:val="28"/>
        </w:rPr>
        <w:t>not</w:t>
      </w:r>
      <w:r w:rsidR="00AE6121" w:rsidRPr="000D6D21">
        <w:rPr>
          <w:sz w:val="28"/>
          <w:szCs w:val="28"/>
        </w:rPr>
        <w:t xml:space="preserve"> a final judgment from which an appeal may be taken”]</w:t>
      </w:r>
      <w:r w:rsidR="00B07868" w:rsidRPr="000D6D21">
        <w:rPr>
          <w:sz w:val="28"/>
          <w:szCs w:val="28"/>
        </w:rPr>
        <w:t>.)</w:t>
      </w:r>
      <w:r>
        <w:rPr>
          <w:rStyle w:val="FootnoteReference"/>
          <w:sz w:val="28"/>
          <w:szCs w:val="28"/>
        </w:rPr>
        <w:footnoteReference w:id="12"/>
      </w:r>
      <w:r w:rsidR="00B07868" w:rsidRPr="000D6D21">
        <w:rPr>
          <w:sz w:val="28"/>
          <w:szCs w:val="28"/>
        </w:rPr>
        <w:t xml:space="preserve">  </w:t>
      </w:r>
    </w:p>
    <w:p w14:paraId="633D17CA" w14:textId="77777777" w:rsidR="00C74B2B" w:rsidRPr="000D6D21" w:rsidRDefault="00F615D7" w:rsidP="000D6D21">
      <w:pPr>
        <w:ind w:firstLine="720"/>
        <w:rPr>
          <w:sz w:val="28"/>
          <w:szCs w:val="28"/>
        </w:rPr>
      </w:pPr>
      <w:r w:rsidRPr="000D6D21">
        <w:rPr>
          <w:rFonts w:eastAsia="Times New Roman" w:cs="Times New Roman"/>
          <w:color w:val="000000" w:themeColor="text1"/>
          <w:sz w:val="28"/>
          <w:szCs w:val="28"/>
        </w:rPr>
        <w:lastRenderedPageBreak/>
        <w:t>The</w:t>
      </w:r>
      <w:r w:rsidR="00F90567">
        <w:rPr>
          <w:rFonts w:eastAsia="Times New Roman" w:cs="Times New Roman"/>
          <w:color w:val="000000" w:themeColor="text1"/>
          <w:sz w:val="28"/>
          <w:szCs w:val="28"/>
        </w:rPr>
        <w:t xml:space="preserve"> very same concerns raised in the legislative histories in sections 7924.110 and 7923.500 exist in this case</w:t>
      </w:r>
      <w:r w:rsidRPr="000D6D21">
        <w:rPr>
          <w:rFonts w:eastAsia="Times New Roman" w:cs="Times New Roman"/>
          <w:color w:val="000000" w:themeColor="text1"/>
          <w:sz w:val="28"/>
          <w:szCs w:val="28"/>
        </w:rPr>
        <w:t xml:space="preserve">.  </w:t>
      </w:r>
      <w:r w:rsidR="00774BDE" w:rsidRPr="000D6D21">
        <w:rPr>
          <w:rFonts w:eastAsia="Times New Roman" w:cs="Times New Roman"/>
          <w:color w:val="000000" w:themeColor="text1"/>
          <w:sz w:val="28"/>
          <w:szCs w:val="28"/>
        </w:rPr>
        <w:t>According to the Committee, t</w:t>
      </w:r>
      <w:r w:rsidRPr="000D6D21">
        <w:rPr>
          <w:rFonts w:eastAsia="Times New Roman" w:cs="Times New Roman"/>
          <w:color w:val="000000" w:themeColor="text1"/>
          <w:sz w:val="28"/>
          <w:szCs w:val="28"/>
        </w:rPr>
        <w:t xml:space="preserve">he original conditions </w:t>
      </w:r>
      <w:r w:rsidR="00AE6121" w:rsidRPr="000D6D21">
        <w:rPr>
          <w:rFonts w:eastAsia="Times New Roman" w:cs="Times New Roman"/>
          <w:color w:val="000000" w:themeColor="text1"/>
          <w:sz w:val="28"/>
          <w:szCs w:val="28"/>
        </w:rPr>
        <w:t xml:space="preserve">under which </w:t>
      </w:r>
      <w:r w:rsidR="00774BDE" w:rsidRPr="000D6D21">
        <w:rPr>
          <w:rFonts w:eastAsia="Times New Roman" w:cs="Times New Roman"/>
          <w:color w:val="000000" w:themeColor="text1"/>
          <w:sz w:val="28"/>
          <w:szCs w:val="28"/>
        </w:rPr>
        <w:t xml:space="preserve">it </w:t>
      </w:r>
      <w:r w:rsidR="002371A9" w:rsidRPr="000D6D21">
        <w:rPr>
          <w:rFonts w:eastAsia="Times New Roman" w:cs="Times New Roman"/>
          <w:color w:val="000000" w:themeColor="text1"/>
          <w:sz w:val="28"/>
          <w:szCs w:val="28"/>
        </w:rPr>
        <w:t xml:space="preserve">conducted its </w:t>
      </w:r>
      <w:r w:rsidR="00AE6121" w:rsidRPr="000D6D21">
        <w:rPr>
          <w:rFonts w:eastAsia="Times New Roman" w:cs="Times New Roman"/>
          <w:color w:val="000000" w:themeColor="text1"/>
          <w:sz w:val="28"/>
          <w:szCs w:val="28"/>
        </w:rPr>
        <w:t>examin</w:t>
      </w:r>
      <w:r w:rsidR="002371A9" w:rsidRPr="000D6D21">
        <w:rPr>
          <w:rFonts w:eastAsia="Times New Roman" w:cs="Times New Roman"/>
          <w:color w:val="000000" w:themeColor="text1"/>
          <w:sz w:val="28"/>
          <w:szCs w:val="28"/>
        </w:rPr>
        <w:t>ation</w:t>
      </w:r>
      <w:r w:rsidR="00AE6121" w:rsidRPr="000D6D21">
        <w:rPr>
          <w:rFonts w:eastAsia="Times New Roman" w:cs="Times New Roman"/>
          <w:color w:val="000000" w:themeColor="text1"/>
          <w:sz w:val="28"/>
          <w:szCs w:val="28"/>
        </w:rPr>
        <w:t xml:space="preserve"> </w:t>
      </w:r>
      <w:r w:rsidR="002371A9" w:rsidRPr="000D6D21">
        <w:rPr>
          <w:rFonts w:eastAsia="Times New Roman" w:cs="Times New Roman"/>
          <w:color w:val="000000" w:themeColor="text1"/>
          <w:sz w:val="28"/>
          <w:szCs w:val="28"/>
        </w:rPr>
        <w:t xml:space="preserve">caused significant </w:t>
      </w:r>
      <w:r w:rsidR="00AE6121" w:rsidRPr="000D6D21">
        <w:rPr>
          <w:rFonts w:eastAsia="Times New Roman" w:cs="Times New Roman"/>
          <w:color w:val="000000" w:themeColor="text1"/>
          <w:sz w:val="28"/>
          <w:szCs w:val="28"/>
        </w:rPr>
        <w:t xml:space="preserve">delay, projecting a completion date of </w:t>
      </w:r>
      <w:r w:rsidRPr="000D6D21">
        <w:rPr>
          <w:rFonts w:eastAsia="Times New Roman" w:cs="Times New Roman"/>
          <w:color w:val="000000" w:themeColor="text1"/>
          <w:sz w:val="28"/>
          <w:szCs w:val="28"/>
        </w:rPr>
        <w:t>May 2024</w:t>
      </w:r>
      <w:r w:rsidR="00630369" w:rsidRPr="000D6D21">
        <w:rPr>
          <w:rFonts w:eastAsia="Times New Roman" w:cs="Times New Roman"/>
          <w:color w:val="000000" w:themeColor="text1"/>
          <w:sz w:val="28"/>
          <w:szCs w:val="28"/>
        </w:rPr>
        <w:t xml:space="preserve">, </w:t>
      </w:r>
      <w:r w:rsidR="00AE6121" w:rsidRPr="000D6D21">
        <w:rPr>
          <w:rFonts w:eastAsia="Times New Roman" w:cs="Times New Roman"/>
          <w:color w:val="000000" w:themeColor="text1"/>
          <w:sz w:val="28"/>
          <w:szCs w:val="28"/>
        </w:rPr>
        <w:t>approximately</w:t>
      </w:r>
      <w:r w:rsidRPr="000D6D21">
        <w:rPr>
          <w:rFonts w:eastAsia="Times New Roman" w:cs="Times New Roman"/>
          <w:color w:val="000000" w:themeColor="text1"/>
          <w:sz w:val="28"/>
          <w:szCs w:val="28"/>
        </w:rPr>
        <w:t xml:space="preserve"> six months before Gasc</w:t>
      </w:r>
      <w:r w:rsidR="002371A9" w:rsidRPr="000D6D21">
        <w:rPr>
          <w:rFonts w:eastAsia="Times New Roman" w:cs="Times New Roman"/>
          <w:color w:val="000000" w:themeColor="text1"/>
          <w:sz w:val="28"/>
          <w:szCs w:val="28"/>
        </w:rPr>
        <w:t>ó</w:t>
      </w:r>
      <w:r w:rsidRPr="000D6D21">
        <w:rPr>
          <w:rFonts w:eastAsia="Times New Roman" w:cs="Times New Roman"/>
          <w:color w:val="000000" w:themeColor="text1"/>
          <w:sz w:val="28"/>
          <w:szCs w:val="28"/>
        </w:rPr>
        <w:t xml:space="preserve">n’s first term ends and two months after the next primary election for Los Angeles County District Attorney.  </w:t>
      </w:r>
      <w:r w:rsidR="00F63768" w:rsidRPr="000D6D21">
        <w:rPr>
          <w:sz w:val="28"/>
          <w:szCs w:val="28"/>
        </w:rPr>
        <w:t>To enforce its rights of examination, the</w:t>
      </w:r>
      <w:r w:rsidR="00227DDD" w:rsidRPr="000D6D21">
        <w:rPr>
          <w:sz w:val="28"/>
          <w:szCs w:val="28"/>
        </w:rPr>
        <w:t xml:space="preserve"> Committee </w:t>
      </w:r>
      <w:r w:rsidR="00F63768" w:rsidRPr="000D6D21">
        <w:rPr>
          <w:sz w:val="28"/>
          <w:szCs w:val="28"/>
        </w:rPr>
        <w:t xml:space="preserve">filed </w:t>
      </w:r>
      <w:r w:rsidR="00227DDD" w:rsidRPr="000D6D21">
        <w:rPr>
          <w:sz w:val="28"/>
          <w:szCs w:val="28"/>
        </w:rPr>
        <w:t xml:space="preserve">a verified petition for relief </w:t>
      </w:r>
      <w:r w:rsidR="00F63768" w:rsidRPr="000D6D21">
        <w:rPr>
          <w:sz w:val="28"/>
          <w:szCs w:val="28"/>
        </w:rPr>
        <w:t xml:space="preserve">under the PRA </w:t>
      </w:r>
      <w:r w:rsidR="00227DDD" w:rsidRPr="000D6D21">
        <w:rPr>
          <w:sz w:val="28"/>
          <w:szCs w:val="28"/>
        </w:rPr>
        <w:t xml:space="preserve">(§§ 7923.00, 7923.100), the trial court set a schedule for proceedings to expedite its decision </w:t>
      </w:r>
      <w:r w:rsidR="00F63768" w:rsidRPr="000D6D21">
        <w:rPr>
          <w:sz w:val="28"/>
          <w:szCs w:val="28"/>
        </w:rPr>
        <w:t xml:space="preserve">under the PRA </w:t>
      </w:r>
      <w:r w:rsidR="00227DDD" w:rsidRPr="000D6D21">
        <w:rPr>
          <w:sz w:val="28"/>
          <w:szCs w:val="28"/>
        </w:rPr>
        <w:t>(§</w:t>
      </w:r>
      <w:r w:rsidR="00055997">
        <w:rPr>
          <w:sz w:val="28"/>
          <w:szCs w:val="28"/>
        </w:rPr>
        <w:t> </w:t>
      </w:r>
      <w:r w:rsidR="00227DDD" w:rsidRPr="000D6D21">
        <w:rPr>
          <w:sz w:val="28"/>
          <w:szCs w:val="28"/>
        </w:rPr>
        <w:t xml:space="preserve">7923.005), and </w:t>
      </w:r>
      <w:r w:rsidR="002371A9" w:rsidRPr="000D6D21">
        <w:rPr>
          <w:sz w:val="28"/>
          <w:szCs w:val="28"/>
        </w:rPr>
        <w:t xml:space="preserve">the court </w:t>
      </w:r>
      <w:r w:rsidR="00227DDD" w:rsidRPr="000D6D21">
        <w:rPr>
          <w:sz w:val="28"/>
          <w:szCs w:val="28"/>
        </w:rPr>
        <w:t xml:space="preserve">issued an order directing disclosure or affirming the Registrar’s decision </w:t>
      </w:r>
      <w:r w:rsidR="002371A9" w:rsidRPr="000D6D21">
        <w:rPr>
          <w:sz w:val="28"/>
          <w:szCs w:val="28"/>
        </w:rPr>
        <w:t xml:space="preserve">refusing </w:t>
      </w:r>
      <w:r w:rsidR="00227DDD" w:rsidRPr="000D6D21">
        <w:rPr>
          <w:sz w:val="28"/>
          <w:szCs w:val="28"/>
        </w:rPr>
        <w:t xml:space="preserve">to disclose records under the PRA (§ 7923.500).  </w:t>
      </w:r>
      <w:r w:rsidR="002371A9" w:rsidRPr="000D6D21">
        <w:rPr>
          <w:rFonts w:eastAsia="Times New Roman" w:cs="Times New Roman"/>
          <w:color w:val="000000" w:themeColor="text1"/>
          <w:sz w:val="28"/>
          <w:szCs w:val="28"/>
        </w:rPr>
        <w:t xml:space="preserve">And while the </w:t>
      </w:r>
      <w:r w:rsidRPr="000D6D21">
        <w:rPr>
          <w:rFonts w:eastAsia="Times New Roman" w:cs="Times New Roman"/>
          <w:color w:val="000000" w:themeColor="text1"/>
          <w:sz w:val="28"/>
          <w:szCs w:val="28"/>
        </w:rPr>
        <w:t xml:space="preserve">Registrar </w:t>
      </w:r>
      <w:r w:rsidR="00970AB1" w:rsidRPr="000D6D21">
        <w:rPr>
          <w:rFonts w:eastAsia="Times New Roman" w:cs="Times New Roman"/>
          <w:color w:val="000000" w:themeColor="text1"/>
          <w:sz w:val="28"/>
          <w:szCs w:val="28"/>
        </w:rPr>
        <w:t xml:space="preserve">asserts that it </w:t>
      </w:r>
      <w:r w:rsidRPr="000D6D21">
        <w:rPr>
          <w:rFonts w:eastAsia="Times New Roman" w:cs="Times New Roman"/>
          <w:color w:val="000000" w:themeColor="text1"/>
          <w:sz w:val="28"/>
          <w:szCs w:val="28"/>
        </w:rPr>
        <w:t xml:space="preserve">has </w:t>
      </w:r>
      <w:r w:rsidR="002371A9" w:rsidRPr="000D6D21">
        <w:rPr>
          <w:rFonts w:eastAsia="Times New Roman" w:cs="Times New Roman"/>
          <w:color w:val="000000" w:themeColor="text1"/>
          <w:sz w:val="28"/>
          <w:szCs w:val="28"/>
        </w:rPr>
        <w:t xml:space="preserve">worked </w:t>
      </w:r>
      <w:r w:rsidR="00F63768" w:rsidRPr="000D6D21">
        <w:rPr>
          <w:rFonts w:eastAsia="Times New Roman" w:cs="Times New Roman"/>
          <w:color w:val="000000" w:themeColor="text1"/>
          <w:sz w:val="28"/>
          <w:szCs w:val="28"/>
        </w:rPr>
        <w:t xml:space="preserve">in good faith </w:t>
      </w:r>
      <w:r w:rsidR="002371A9" w:rsidRPr="000D6D21">
        <w:rPr>
          <w:rFonts w:eastAsia="Times New Roman" w:cs="Times New Roman"/>
          <w:color w:val="000000" w:themeColor="text1"/>
          <w:sz w:val="28"/>
          <w:szCs w:val="28"/>
        </w:rPr>
        <w:t xml:space="preserve">with the Committee to expedite its </w:t>
      </w:r>
      <w:r w:rsidR="00F63768" w:rsidRPr="000D6D21">
        <w:rPr>
          <w:rFonts w:eastAsia="Times New Roman" w:cs="Times New Roman"/>
          <w:color w:val="000000" w:themeColor="text1"/>
          <w:sz w:val="28"/>
          <w:szCs w:val="28"/>
        </w:rPr>
        <w:t>examination</w:t>
      </w:r>
      <w:r w:rsidR="002371A9" w:rsidRPr="000D6D21">
        <w:rPr>
          <w:rFonts w:eastAsia="Times New Roman" w:cs="Times New Roman"/>
          <w:color w:val="000000" w:themeColor="text1"/>
          <w:sz w:val="28"/>
          <w:szCs w:val="28"/>
        </w:rPr>
        <w:t xml:space="preserve">, the Registrar </w:t>
      </w:r>
      <w:r w:rsidR="00970AB1" w:rsidRPr="000D6D21">
        <w:rPr>
          <w:rFonts w:eastAsia="Times New Roman" w:cs="Times New Roman"/>
          <w:color w:val="000000" w:themeColor="text1"/>
          <w:sz w:val="28"/>
          <w:szCs w:val="28"/>
        </w:rPr>
        <w:t xml:space="preserve">admits that it has </w:t>
      </w:r>
      <w:r w:rsidR="002371A9" w:rsidRPr="000D6D21">
        <w:rPr>
          <w:rFonts w:eastAsia="Times New Roman" w:cs="Times New Roman"/>
          <w:color w:val="000000" w:themeColor="text1"/>
          <w:sz w:val="28"/>
          <w:szCs w:val="28"/>
        </w:rPr>
        <w:t xml:space="preserve">also </w:t>
      </w:r>
      <w:r w:rsidRPr="000D6D21">
        <w:rPr>
          <w:sz w:val="28"/>
          <w:szCs w:val="28"/>
        </w:rPr>
        <w:t xml:space="preserve">“relied on the stay” pending appeal </w:t>
      </w:r>
      <w:r w:rsidR="0043643D" w:rsidRPr="000D6D21">
        <w:rPr>
          <w:sz w:val="28"/>
          <w:szCs w:val="28"/>
        </w:rPr>
        <w:t>to refuse</w:t>
      </w:r>
      <w:r w:rsidR="002371A9" w:rsidRPr="000D6D21">
        <w:rPr>
          <w:sz w:val="28"/>
          <w:szCs w:val="28"/>
        </w:rPr>
        <w:t xml:space="preserve"> </w:t>
      </w:r>
      <w:r w:rsidRPr="000D6D21">
        <w:rPr>
          <w:sz w:val="28"/>
          <w:szCs w:val="28"/>
        </w:rPr>
        <w:t>disclosure</w:t>
      </w:r>
      <w:r w:rsidRPr="000D6D21">
        <w:rPr>
          <w:sz w:val="28"/>
          <w:szCs w:val="28"/>
        </w:rPr>
        <w:t xml:space="preserve"> of</w:t>
      </w:r>
      <w:r w:rsidR="00F63768" w:rsidRPr="000D6D21">
        <w:rPr>
          <w:sz w:val="28"/>
          <w:szCs w:val="28"/>
        </w:rPr>
        <w:t xml:space="preserve"> </w:t>
      </w:r>
      <w:r w:rsidRPr="000D6D21">
        <w:rPr>
          <w:sz w:val="28"/>
          <w:szCs w:val="28"/>
        </w:rPr>
        <w:t>documents</w:t>
      </w:r>
      <w:r w:rsidR="002371A9" w:rsidRPr="000D6D21">
        <w:rPr>
          <w:sz w:val="28"/>
          <w:szCs w:val="28"/>
        </w:rPr>
        <w:t xml:space="preserve"> </w:t>
      </w:r>
      <w:r w:rsidR="0043643D" w:rsidRPr="000D6D21">
        <w:rPr>
          <w:sz w:val="28"/>
          <w:szCs w:val="28"/>
        </w:rPr>
        <w:t xml:space="preserve">previously </w:t>
      </w:r>
      <w:r w:rsidR="002371A9" w:rsidRPr="000D6D21">
        <w:rPr>
          <w:sz w:val="28"/>
          <w:szCs w:val="28"/>
        </w:rPr>
        <w:t>ordered by the court</w:t>
      </w:r>
      <w:r w:rsidRPr="000D6D21">
        <w:rPr>
          <w:sz w:val="28"/>
          <w:szCs w:val="28"/>
        </w:rPr>
        <w:t xml:space="preserve">.  </w:t>
      </w:r>
      <w:r w:rsidR="00F63768" w:rsidRPr="000D6D21">
        <w:rPr>
          <w:sz w:val="28"/>
          <w:szCs w:val="28"/>
        </w:rPr>
        <w:t>Th</w:t>
      </w:r>
      <w:r w:rsidR="002371A9" w:rsidRPr="000D6D21">
        <w:rPr>
          <w:sz w:val="28"/>
          <w:szCs w:val="28"/>
        </w:rPr>
        <w:t>e Registrar’</w:t>
      </w:r>
      <w:r w:rsidR="00F63768" w:rsidRPr="000D6D21">
        <w:rPr>
          <w:sz w:val="28"/>
          <w:szCs w:val="28"/>
        </w:rPr>
        <w:t xml:space="preserve">s resistance reflects </w:t>
      </w:r>
      <w:r w:rsidRPr="000D6D21">
        <w:rPr>
          <w:sz w:val="28"/>
          <w:szCs w:val="28"/>
        </w:rPr>
        <w:t xml:space="preserve">the very </w:t>
      </w:r>
      <w:r w:rsidR="002371A9" w:rsidRPr="000D6D21">
        <w:rPr>
          <w:sz w:val="28"/>
          <w:szCs w:val="28"/>
        </w:rPr>
        <w:t xml:space="preserve">dangers on which sections 7924.110 and 7923.500 were </w:t>
      </w:r>
      <w:r w:rsidRPr="000D6D21">
        <w:rPr>
          <w:sz w:val="28"/>
          <w:szCs w:val="28"/>
        </w:rPr>
        <w:t>enact</w:t>
      </w:r>
      <w:r w:rsidR="002371A9" w:rsidRPr="000D6D21">
        <w:rPr>
          <w:sz w:val="28"/>
          <w:szCs w:val="28"/>
        </w:rPr>
        <w:t>ed</w:t>
      </w:r>
      <w:r w:rsidRPr="000D6D21">
        <w:rPr>
          <w:sz w:val="28"/>
          <w:szCs w:val="28"/>
        </w:rPr>
        <w:t xml:space="preserve"> and amend</w:t>
      </w:r>
      <w:r w:rsidR="002371A9" w:rsidRPr="000D6D21">
        <w:rPr>
          <w:sz w:val="28"/>
          <w:szCs w:val="28"/>
        </w:rPr>
        <w:t>ed</w:t>
      </w:r>
      <w:r w:rsidRPr="000D6D21">
        <w:rPr>
          <w:sz w:val="28"/>
          <w:szCs w:val="28"/>
        </w:rPr>
        <w:t>.</w:t>
      </w:r>
      <w:r w:rsidR="00227DDD" w:rsidRPr="000D6D21">
        <w:rPr>
          <w:sz w:val="28"/>
          <w:szCs w:val="28"/>
        </w:rPr>
        <w:t xml:space="preserve">  (Accord, </w:t>
      </w:r>
      <w:proofErr w:type="spellStart"/>
      <w:r w:rsidR="00227DDD" w:rsidRPr="000D6D21">
        <w:rPr>
          <w:i/>
          <w:iCs/>
          <w:sz w:val="28"/>
          <w:szCs w:val="28"/>
        </w:rPr>
        <w:t>Filarsky</w:t>
      </w:r>
      <w:proofErr w:type="spellEnd"/>
      <w:r w:rsidR="00227DDD" w:rsidRPr="000D6D21">
        <w:rPr>
          <w:sz w:val="28"/>
          <w:szCs w:val="28"/>
        </w:rPr>
        <w:t xml:space="preserve">, </w:t>
      </w:r>
      <w:r w:rsidR="00227DDD" w:rsidRPr="000D6D21">
        <w:rPr>
          <w:i/>
          <w:iCs/>
          <w:sz w:val="28"/>
          <w:szCs w:val="28"/>
        </w:rPr>
        <w:t>supra</w:t>
      </w:r>
      <w:r w:rsidR="00227DDD" w:rsidRPr="000D6D21">
        <w:rPr>
          <w:sz w:val="28"/>
          <w:szCs w:val="28"/>
        </w:rPr>
        <w:t>, 28 Cal.4th at pp. 429</w:t>
      </w:r>
      <w:r w:rsidR="00DE04E7" w:rsidRPr="000D6D21">
        <w:rPr>
          <w:sz w:val="28"/>
          <w:szCs w:val="28"/>
        </w:rPr>
        <w:t>-</w:t>
      </w:r>
      <w:r w:rsidR="00227DDD" w:rsidRPr="000D6D21">
        <w:rPr>
          <w:sz w:val="28"/>
          <w:szCs w:val="28"/>
        </w:rPr>
        <w:t>430.)</w:t>
      </w:r>
    </w:p>
    <w:p w14:paraId="633D17CB" w14:textId="77777777" w:rsidR="009850DD" w:rsidRPr="000D6D21" w:rsidRDefault="00F615D7" w:rsidP="000D6D21">
      <w:pPr>
        <w:ind w:firstLine="720"/>
        <w:rPr>
          <w:sz w:val="28"/>
          <w:szCs w:val="28"/>
        </w:rPr>
      </w:pPr>
      <w:r>
        <w:rPr>
          <w:sz w:val="28"/>
          <w:szCs w:val="28"/>
        </w:rPr>
        <w:t>Indeed, the</w:t>
      </w:r>
      <w:r w:rsidRPr="000D6D21">
        <w:rPr>
          <w:sz w:val="28"/>
          <w:szCs w:val="28"/>
        </w:rPr>
        <w:t xml:space="preserve"> Registrar </w:t>
      </w:r>
      <w:r w:rsidR="000C580D" w:rsidRPr="000D6D21">
        <w:rPr>
          <w:sz w:val="28"/>
          <w:szCs w:val="28"/>
        </w:rPr>
        <w:t xml:space="preserve">itself </w:t>
      </w:r>
      <w:r w:rsidRPr="000D6D21">
        <w:rPr>
          <w:sz w:val="28"/>
          <w:szCs w:val="28"/>
        </w:rPr>
        <w:t xml:space="preserve">raises concerns </w:t>
      </w:r>
      <w:r w:rsidR="00774BDE" w:rsidRPr="000D6D21">
        <w:rPr>
          <w:sz w:val="28"/>
          <w:szCs w:val="28"/>
        </w:rPr>
        <w:t>favoring</w:t>
      </w:r>
      <w:r w:rsidRPr="000D6D21">
        <w:rPr>
          <w:sz w:val="28"/>
          <w:szCs w:val="28"/>
        </w:rPr>
        <w:t xml:space="preserve"> </w:t>
      </w:r>
      <w:r w:rsidR="00EA792D" w:rsidRPr="000D6D21">
        <w:rPr>
          <w:sz w:val="28"/>
          <w:szCs w:val="28"/>
        </w:rPr>
        <w:t>application of</w:t>
      </w:r>
      <w:r w:rsidRPr="000D6D21">
        <w:rPr>
          <w:sz w:val="28"/>
          <w:szCs w:val="28"/>
        </w:rPr>
        <w:t xml:space="preserve"> section 7923.500 </w:t>
      </w:r>
      <w:r w:rsidR="00774BDE" w:rsidRPr="000D6D21">
        <w:rPr>
          <w:sz w:val="28"/>
          <w:szCs w:val="28"/>
        </w:rPr>
        <w:t xml:space="preserve">in </w:t>
      </w:r>
      <w:r w:rsidRPr="000D6D21">
        <w:rPr>
          <w:sz w:val="28"/>
          <w:szCs w:val="28"/>
        </w:rPr>
        <w:t xml:space="preserve">this case.  </w:t>
      </w:r>
      <w:r w:rsidR="00EA792D" w:rsidRPr="000D6D21">
        <w:rPr>
          <w:sz w:val="28"/>
          <w:szCs w:val="28"/>
        </w:rPr>
        <w:t>Th</w:t>
      </w:r>
      <w:r w:rsidR="002371A9" w:rsidRPr="000D6D21">
        <w:rPr>
          <w:sz w:val="28"/>
          <w:szCs w:val="28"/>
        </w:rPr>
        <w:t>roughout this appeal, th</w:t>
      </w:r>
      <w:r w:rsidR="00EA792D" w:rsidRPr="000D6D21">
        <w:rPr>
          <w:sz w:val="28"/>
          <w:szCs w:val="28"/>
        </w:rPr>
        <w:t>e Registrar has consistently maintained that</w:t>
      </w:r>
      <w:r w:rsidRPr="000D6D21">
        <w:rPr>
          <w:sz w:val="28"/>
          <w:szCs w:val="28"/>
        </w:rPr>
        <w:t xml:space="preserve"> the trial court’s order</w:t>
      </w:r>
      <w:r w:rsidR="002371A9" w:rsidRPr="000D6D21">
        <w:rPr>
          <w:sz w:val="28"/>
          <w:szCs w:val="28"/>
        </w:rPr>
        <w:t>s</w:t>
      </w:r>
      <w:r w:rsidRPr="000D6D21">
        <w:rPr>
          <w:sz w:val="28"/>
          <w:szCs w:val="28"/>
        </w:rPr>
        <w:t xml:space="preserve"> have caused “costly and disruptive impact on the Registrar’s office. . . .” </w:t>
      </w:r>
      <w:r w:rsidR="00055997">
        <w:rPr>
          <w:sz w:val="28"/>
          <w:szCs w:val="28"/>
        </w:rPr>
        <w:t xml:space="preserve"> </w:t>
      </w:r>
      <w:r w:rsidRPr="000D6D21">
        <w:rPr>
          <w:sz w:val="28"/>
          <w:szCs w:val="28"/>
        </w:rPr>
        <w:t>Th</w:t>
      </w:r>
      <w:r w:rsidR="002371A9" w:rsidRPr="000D6D21">
        <w:rPr>
          <w:sz w:val="28"/>
          <w:szCs w:val="28"/>
        </w:rPr>
        <w:t xml:space="preserve">e </w:t>
      </w:r>
      <w:r>
        <w:rPr>
          <w:sz w:val="28"/>
          <w:szCs w:val="28"/>
        </w:rPr>
        <w:t xml:space="preserve">Register also argues that the trial court’s </w:t>
      </w:r>
      <w:r w:rsidR="002371A9" w:rsidRPr="000D6D21">
        <w:rPr>
          <w:sz w:val="28"/>
          <w:szCs w:val="28"/>
        </w:rPr>
        <w:t>orders have</w:t>
      </w:r>
      <w:r w:rsidRPr="000D6D21">
        <w:rPr>
          <w:sz w:val="28"/>
          <w:szCs w:val="28"/>
        </w:rPr>
        <w:t xml:space="preserve"> </w:t>
      </w:r>
      <w:r w:rsidR="002371A9" w:rsidRPr="000D6D21">
        <w:rPr>
          <w:sz w:val="28"/>
          <w:szCs w:val="28"/>
        </w:rPr>
        <w:t xml:space="preserve">impacted </w:t>
      </w:r>
      <w:r w:rsidRPr="000D6D21">
        <w:rPr>
          <w:sz w:val="28"/>
          <w:szCs w:val="28"/>
        </w:rPr>
        <w:t xml:space="preserve">“the operations of the </w:t>
      </w:r>
      <w:r w:rsidRPr="000D6D21">
        <w:rPr>
          <w:sz w:val="28"/>
          <w:szCs w:val="28"/>
        </w:rPr>
        <w:lastRenderedPageBreak/>
        <w:t>County elections office</w:t>
      </w:r>
      <w:r w:rsidR="00F12630">
        <w:rPr>
          <w:sz w:val="28"/>
          <w:szCs w:val="28"/>
        </w:rPr>
        <w:t>”</w:t>
      </w:r>
      <w:r w:rsidRPr="000D6D21">
        <w:rPr>
          <w:sz w:val="28"/>
          <w:szCs w:val="28"/>
        </w:rPr>
        <w:t xml:space="preserve"> and </w:t>
      </w:r>
      <w:r w:rsidR="00F12630">
        <w:rPr>
          <w:sz w:val="28"/>
          <w:szCs w:val="28"/>
        </w:rPr>
        <w:t>“</w:t>
      </w:r>
      <w:r w:rsidRPr="000D6D21">
        <w:rPr>
          <w:sz w:val="28"/>
          <w:szCs w:val="28"/>
        </w:rPr>
        <w:t>the public as a whole.</w:t>
      </w:r>
      <w:r w:rsidR="00CB6EAC">
        <w:rPr>
          <w:sz w:val="28"/>
          <w:szCs w:val="28"/>
        </w:rPr>
        <w:t> </w:t>
      </w:r>
      <w:r w:rsidRPr="000D6D21">
        <w:rPr>
          <w:sz w:val="28"/>
          <w:szCs w:val="28"/>
        </w:rPr>
        <w:t>.</w:t>
      </w:r>
      <w:r w:rsidR="00CB6EAC">
        <w:rPr>
          <w:sz w:val="28"/>
          <w:szCs w:val="28"/>
        </w:rPr>
        <w:t> </w:t>
      </w:r>
      <w:r w:rsidRPr="000D6D21">
        <w:rPr>
          <w:sz w:val="28"/>
          <w:szCs w:val="28"/>
        </w:rPr>
        <w:t>.</w:t>
      </w:r>
      <w:r w:rsidR="00CB6EAC">
        <w:rPr>
          <w:sz w:val="28"/>
          <w:szCs w:val="28"/>
        </w:rPr>
        <w:t> </w:t>
      </w:r>
      <w:r w:rsidRPr="000D6D21">
        <w:rPr>
          <w:sz w:val="28"/>
          <w:szCs w:val="28"/>
        </w:rPr>
        <w:t>.”</w:t>
      </w:r>
      <w:r>
        <w:rPr>
          <w:rStyle w:val="FootnoteReference"/>
          <w:sz w:val="28"/>
          <w:szCs w:val="28"/>
        </w:rPr>
        <w:footnoteReference w:id="13"/>
      </w:r>
      <w:r w:rsidRPr="000D6D21">
        <w:rPr>
          <w:sz w:val="28"/>
          <w:szCs w:val="28"/>
        </w:rPr>
        <w:t xml:space="preserve">  </w:t>
      </w:r>
      <w:r w:rsidR="00C80991">
        <w:rPr>
          <w:sz w:val="28"/>
          <w:szCs w:val="28"/>
        </w:rPr>
        <w:t>T</w:t>
      </w:r>
      <w:r w:rsidRPr="000D6D21">
        <w:rPr>
          <w:sz w:val="28"/>
          <w:szCs w:val="28"/>
        </w:rPr>
        <w:t>he Registrar (</w:t>
      </w:r>
      <w:r w:rsidR="00CB6EAC">
        <w:rPr>
          <w:sz w:val="28"/>
          <w:szCs w:val="28"/>
        </w:rPr>
        <w:t>or</w:t>
      </w:r>
      <w:r w:rsidR="00CB6EAC" w:rsidRPr="000D6D21">
        <w:rPr>
          <w:sz w:val="28"/>
          <w:szCs w:val="28"/>
        </w:rPr>
        <w:t xml:space="preserve"> </w:t>
      </w:r>
      <w:r w:rsidRPr="000D6D21">
        <w:rPr>
          <w:sz w:val="28"/>
          <w:szCs w:val="28"/>
        </w:rPr>
        <w:t xml:space="preserve">any county elections official) would </w:t>
      </w:r>
      <w:r w:rsidR="00F12630">
        <w:rPr>
          <w:sz w:val="28"/>
          <w:szCs w:val="28"/>
        </w:rPr>
        <w:t xml:space="preserve">benefit from </w:t>
      </w:r>
      <w:r w:rsidRPr="000D6D21">
        <w:rPr>
          <w:sz w:val="28"/>
          <w:szCs w:val="28"/>
        </w:rPr>
        <w:t>expedited review to correct any error</w:t>
      </w:r>
      <w:r w:rsidRPr="000D6D21">
        <w:rPr>
          <w:sz w:val="28"/>
          <w:szCs w:val="28"/>
        </w:rPr>
        <w:t xml:space="preserve"> causing </w:t>
      </w:r>
      <w:r w:rsidR="00EA792D" w:rsidRPr="000D6D21">
        <w:rPr>
          <w:sz w:val="28"/>
          <w:szCs w:val="28"/>
        </w:rPr>
        <w:t xml:space="preserve">this </w:t>
      </w:r>
      <w:r w:rsidR="002371A9" w:rsidRPr="000D6D21">
        <w:rPr>
          <w:sz w:val="28"/>
          <w:szCs w:val="28"/>
        </w:rPr>
        <w:t>breadth of public</w:t>
      </w:r>
      <w:r w:rsidRPr="000D6D21">
        <w:rPr>
          <w:sz w:val="28"/>
          <w:szCs w:val="28"/>
        </w:rPr>
        <w:t xml:space="preserve"> harm. </w:t>
      </w:r>
    </w:p>
    <w:p w14:paraId="633D17CC" w14:textId="77777777" w:rsidR="00227DDD" w:rsidRPr="000D6D21" w:rsidRDefault="00F615D7" w:rsidP="00F30014">
      <w:pPr>
        <w:ind w:firstLine="720"/>
        <w:rPr>
          <w:rFonts w:eastAsia="Times New Roman" w:cs="Times New Roman"/>
          <w:color w:val="000000"/>
          <w:sz w:val="28"/>
          <w:szCs w:val="28"/>
        </w:rPr>
      </w:pPr>
      <w:r>
        <w:rPr>
          <w:rFonts w:eastAsia="Times New Roman" w:cs="Times New Roman"/>
          <w:color w:val="000000"/>
          <w:sz w:val="28"/>
          <w:szCs w:val="28"/>
        </w:rPr>
        <w:t>To</w:t>
      </w:r>
      <w:r w:rsidR="00B07868" w:rsidRPr="000D6D21">
        <w:rPr>
          <w:rFonts w:eastAsia="Times New Roman" w:cs="Times New Roman"/>
          <w:color w:val="000000"/>
          <w:sz w:val="28"/>
          <w:szCs w:val="28"/>
          <w:bdr w:val="none" w:sz="0" w:space="0" w:color="auto" w:frame="1"/>
          <w:shd w:val="clear" w:color="auto" w:fill="FFFFFF"/>
        </w:rPr>
        <w:t xml:space="preserve"> effectuate the purpose</w:t>
      </w:r>
      <w:r w:rsidR="00C74B2B" w:rsidRPr="000D6D21">
        <w:rPr>
          <w:rFonts w:eastAsia="Times New Roman" w:cs="Times New Roman"/>
          <w:color w:val="000000"/>
          <w:sz w:val="28"/>
          <w:szCs w:val="28"/>
          <w:bdr w:val="none" w:sz="0" w:space="0" w:color="auto" w:frame="1"/>
          <w:shd w:val="clear" w:color="auto" w:fill="FFFFFF"/>
        </w:rPr>
        <w:t>s</w:t>
      </w:r>
      <w:r w:rsidR="00B07868" w:rsidRPr="000D6D21">
        <w:rPr>
          <w:rFonts w:eastAsia="Times New Roman" w:cs="Times New Roman"/>
          <w:color w:val="000000"/>
          <w:sz w:val="28"/>
          <w:szCs w:val="28"/>
          <w:bdr w:val="none" w:sz="0" w:space="0" w:color="auto" w:frame="1"/>
          <w:shd w:val="clear" w:color="auto" w:fill="FFFFFF"/>
        </w:rPr>
        <w:t xml:space="preserve"> of section</w:t>
      </w:r>
      <w:r w:rsidR="00C74B2B" w:rsidRPr="000D6D21">
        <w:rPr>
          <w:rFonts w:eastAsia="Times New Roman" w:cs="Times New Roman"/>
          <w:color w:val="000000"/>
          <w:sz w:val="28"/>
          <w:szCs w:val="28"/>
          <w:bdr w:val="none" w:sz="0" w:space="0" w:color="auto" w:frame="1"/>
          <w:shd w:val="clear" w:color="auto" w:fill="FFFFFF"/>
        </w:rPr>
        <w:t>s</w:t>
      </w:r>
      <w:r w:rsidR="00B07868" w:rsidRPr="000D6D21">
        <w:rPr>
          <w:rFonts w:eastAsia="Times New Roman" w:cs="Times New Roman"/>
          <w:color w:val="000000"/>
          <w:sz w:val="28"/>
          <w:szCs w:val="28"/>
          <w:bdr w:val="none" w:sz="0" w:space="0" w:color="auto" w:frame="1"/>
          <w:shd w:val="clear" w:color="auto" w:fill="FFFFFF"/>
        </w:rPr>
        <w:t xml:space="preserve"> 7924.11</w:t>
      </w:r>
      <w:r w:rsidR="00C74B2B" w:rsidRPr="000D6D21">
        <w:rPr>
          <w:rFonts w:eastAsia="Times New Roman" w:cs="Times New Roman"/>
          <w:color w:val="000000"/>
          <w:sz w:val="28"/>
          <w:szCs w:val="28"/>
          <w:bdr w:val="none" w:sz="0" w:space="0" w:color="auto" w:frame="1"/>
          <w:shd w:val="clear" w:color="auto" w:fill="FFFFFF"/>
        </w:rPr>
        <w:t>0 and 7923.500, and to harmonize the examination procedures set forth in section 7924.000 through 7924.1</w:t>
      </w:r>
      <w:r w:rsidR="002371A9" w:rsidRPr="000D6D21">
        <w:rPr>
          <w:rFonts w:eastAsia="Times New Roman" w:cs="Times New Roman"/>
          <w:color w:val="000000"/>
          <w:sz w:val="28"/>
          <w:szCs w:val="28"/>
          <w:bdr w:val="none" w:sz="0" w:space="0" w:color="auto" w:frame="1"/>
          <w:shd w:val="clear" w:color="auto" w:fill="FFFFFF"/>
        </w:rPr>
        <w:t>1</w:t>
      </w:r>
      <w:r w:rsidR="00C74B2B" w:rsidRPr="000D6D21">
        <w:rPr>
          <w:rFonts w:eastAsia="Times New Roman" w:cs="Times New Roman"/>
          <w:color w:val="000000"/>
          <w:sz w:val="28"/>
          <w:szCs w:val="28"/>
          <w:bdr w:val="none" w:sz="0" w:space="0" w:color="auto" w:frame="1"/>
          <w:shd w:val="clear" w:color="auto" w:fill="FFFFFF"/>
        </w:rPr>
        <w:t>0 within the overall</w:t>
      </w:r>
      <w:r w:rsidR="00B07868" w:rsidRPr="000D6D21">
        <w:rPr>
          <w:rFonts w:eastAsia="Times New Roman" w:cs="Times New Roman"/>
          <w:color w:val="000000"/>
          <w:sz w:val="28"/>
          <w:szCs w:val="28"/>
          <w:bdr w:val="none" w:sz="0" w:space="0" w:color="auto" w:frame="1"/>
          <w:shd w:val="clear" w:color="auto" w:fill="FFFFFF"/>
        </w:rPr>
        <w:t xml:space="preserve"> context of the PRA</w:t>
      </w:r>
      <w:r w:rsidR="00C74B2B" w:rsidRPr="000D6D21">
        <w:rPr>
          <w:rFonts w:eastAsia="Times New Roman" w:cs="Times New Roman"/>
          <w:color w:val="000000"/>
          <w:sz w:val="28"/>
          <w:szCs w:val="28"/>
          <w:bdr w:val="none" w:sz="0" w:space="0" w:color="auto" w:frame="1"/>
          <w:shd w:val="clear" w:color="auto" w:fill="FFFFFF"/>
        </w:rPr>
        <w:t xml:space="preserve"> (</w:t>
      </w:r>
      <w:r w:rsidR="00C74B2B" w:rsidRPr="000D6D21">
        <w:rPr>
          <w:rFonts w:eastAsia="Times New Roman" w:cs="Times New Roman"/>
          <w:i/>
          <w:iCs/>
          <w:color w:val="000000"/>
          <w:sz w:val="28"/>
          <w:szCs w:val="28"/>
          <w:bdr w:val="none" w:sz="0" w:space="0" w:color="auto" w:frame="1"/>
          <w:shd w:val="clear" w:color="auto" w:fill="FFFFFF"/>
        </w:rPr>
        <w:t>City of San Jose</w:t>
      </w:r>
      <w:r w:rsidR="00C74B2B" w:rsidRPr="00055997">
        <w:rPr>
          <w:rFonts w:eastAsia="Times New Roman" w:cs="Times New Roman"/>
          <w:color w:val="000000"/>
          <w:sz w:val="28"/>
          <w:szCs w:val="28"/>
          <w:bdr w:val="none" w:sz="0" w:space="0" w:color="auto" w:frame="1"/>
          <w:shd w:val="clear" w:color="auto" w:fill="FFFFFF"/>
        </w:rPr>
        <w:t>,</w:t>
      </w:r>
      <w:r w:rsidR="00767CFA" w:rsidRPr="00055997">
        <w:rPr>
          <w:rFonts w:eastAsia="Times New Roman" w:cs="Times New Roman"/>
          <w:color w:val="000000"/>
          <w:sz w:val="28"/>
          <w:szCs w:val="28"/>
          <w:bdr w:val="none" w:sz="0" w:space="0" w:color="auto" w:frame="1"/>
          <w:shd w:val="clear" w:color="auto" w:fill="FFFFFF"/>
        </w:rPr>
        <w:t xml:space="preserve"> </w:t>
      </w:r>
      <w:r w:rsidR="00767CFA" w:rsidRPr="00055997">
        <w:rPr>
          <w:rFonts w:eastAsia="Times New Roman" w:cs="Times New Roman"/>
          <w:i/>
          <w:iCs/>
          <w:color w:val="000000"/>
          <w:sz w:val="28"/>
          <w:szCs w:val="28"/>
          <w:bdr w:val="none" w:sz="0" w:space="0" w:color="auto" w:frame="1"/>
          <w:shd w:val="clear" w:color="auto" w:fill="FFFFFF"/>
        </w:rPr>
        <w:t>supra</w:t>
      </w:r>
      <w:r w:rsidR="00767CFA" w:rsidRPr="00055997">
        <w:rPr>
          <w:rFonts w:eastAsia="Times New Roman" w:cs="Times New Roman"/>
          <w:color w:val="000000"/>
          <w:sz w:val="28"/>
          <w:szCs w:val="28"/>
          <w:bdr w:val="none" w:sz="0" w:space="0" w:color="auto" w:frame="1"/>
          <w:shd w:val="clear" w:color="auto" w:fill="FFFFFF"/>
        </w:rPr>
        <w:t>,</w:t>
      </w:r>
      <w:r w:rsidR="00C74B2B" w:rsidRPr="000D6D21">
        <w:rPr>
          <w:rFonts w:eastAsia="Times New Roman" w:cs="Times New Roman"/>
          <w:i/>
          <w:iCs/>
          <w:color w:val="000000"/>
          <w:sz w:val="28"/>
          <w:szCs w:val="28"/>
          <w:bdr w:val="none" w:sz="0" w:space="0" w:color="auto" w:frame="1"/>
          <w:shd w:val="clear" w:color="auto" w:fill="FFFFFF"/>
        </w:rPr>
        <w:t xml:space="preserve"> </w:t>
      </w:r>
      <w:r w:rsidR="00B07868" w:rsidRPr="000D6D21">
        <w:rPr>
          <w:rFonts w:eastAsia="Times New Roman" w:cs="Times New Roman"/>
          <w:color w:val="000000"/>
          <w:sz w:val="28"/>
          <w:szCs w:val="28"/>
          <w:bdr w:val="none" w:sz="0" w:space="0" w:color="auto" w:frame="1"/>
          <w:shd w:val="clear" w:color="auto" w:fill="FFFFFF"/>
        </w:rPr>
        <w:t xml:space="preserve">2 Cal.5th </w:t>
      </w:r>
      <w:r w:rsidR="00C74B2B" w:rsidRPr="000D6D21">
        <w:rPr>
          <w:rFonts w:eastAsia="Times New Roman" w:cs="Times New Roman"/>
          <w:color w:val="000000"/>
          <w:sz w:val="28"/>
          <w:szCs w:val="28"/>
          <w:bdr w:val="none" w:sz="0" w:space="0" w:color="auto" w:frame="1"/>
          <w:shd w:val="clear" w:color="auto" w:fill="FFFFFF"/>
        </w:rPr>
        <w:t xml:space="preserve">at pp. </w:t>
      </w:r>
      <w:r w:rsidR="00B07868" w:rsidRPr="000D6D21">
        <w:rPr>
          <w:rFonts w:eastAsia="Times New Roman" w:cs="Times New Roman"/>
          <w:color w:val="000000"/>
          <w:sz w:val="28"/>
          <w:szCs w:val="28"/>
          <w:bdr w:val="none" w:sz="0" w:space="0" w:color="auto" w:frame="1"/>
          <w:shd w:val="clear" w:color="auto" w:fill="FFFFFF"/>
        </w:rPr>
        <w:t>616</w:t>
      </w:r>
      <w:r w:rsidR="00B07868" w:rsidRPr="000D6D21">
        <w:rPr>
          <w:rFonts w:eastAsia="Times New Roman" w:cs="Times New Roman"/>
          <w:color w:val="000000"/>
          <w:sz w:val="28"/>
          <w:szCs w:val="28"/>
          <w:bdr w:val="none" w:sz="0" w:space="0" w:color="auto" w:frame="1"/>
          <w:shd w:val="clear" w:color="auto" w:fill="FFFFFF"/>
        </w:rPr>
        <w:noBreakHyphen/>
        <w:t>617)</w:t>
      </w:r>
      <w:r w:rsidR="00C74B2B" w:rsidRPr="000D6D21">
        <w:rPr>
          <w:rFonts w:eastAsia="Times New Roman" w:cs="Times New Roman"/>
          <w:color w:val="000000"/>
          <w:sz w:val="28"/>
          <w:szCs w:val="28"/>
          <w:bdr w:val="none" w:sz="0" w:space="0" w:color="auto" w:frame="1"/>
          <w:shd w:val="clear" w:color="auto" w:fill="FFFFFF"/>
        </w:rPr>
        <w:t xml:space="preserve">, we </w:t>
      </w:r>
      <w:r>
        <w:rPr>
          <w:rFonts w:eastAsia="Times New Roman" w:cs="Times New Roman"/>
          <w:color w:val="000000"/>
          <w:sz w:val="28"/>
          <w:szCs w:val="28"/>
          <w:bdr w:val="none" w:sz="0" w:space="0" w:color="auto" w:frame="1"/>
          <w:shd w:val="clear" w:color="auto" w:fill="FFFFFF"/>
        </w:rPr>
        <w:t xml:space="preserve">therefore </w:t>
      </w:r>
      <w:r w:rsidR="00C74B2B" w:rsidRPr="000D6D21">
        <w:rPr>
          <w:rFonts w:eastAsia="Times New Roman" w:cs="Times New Roman"/>
          <w:color w:val="000000"/>
          <w:sz w:val="28"/>
          <w:szCs w:val="28"/>
          <w:bdr w:val="none" w:sz="0" w:space="0" w:color="auto" w:frame="1"/>
          <w:shd w:val="clear" w:color="auto" w:fill="FFFFFF"/>
        </w:rPr>
        <w:t xml:space="preserve">construe 7923.500 as covering a trial court’s order directing </w:t>
      </w:r>
      <w:r w:rsidR="00F63768" w:rsidRPr="000D6D21">
        <w:rPr>
          <w:rFonts w:eastAsia="Times New Roman" w:cs="Times New Roman"/>
          <w:color w:val="000000"/>
          <w:sz w:val="28"/>
          <w:szCs w:val="28"/>
          <w:bdr w:val="none" w:sz="0" w:space="0" w:color="auto" w:frame="1"/>
          <w:shd w:val="clear" w:color="auto" w:fill="FFFFFF"/>
        </w:rPr>
        <w:t xml:space="preserve">or refusing </w:t>
      </w:r>
      <w:r w:rsidR="00C74B2B" w:rsidRPr="000D6D21">
        <w:rPr>
          <w:rFonts w:eastAsia="Times New Roman" w:cs="Times New Roman"/>
          <w:color w:val="000000"/>
          <w:sz w:val="28"/>
          <w:szCs w:val="28"/>
          <w:bdr w:val="none" w:sz="0" w:space="0" w:color="auto" w:frame="1"/>
          <w:shd w:val="clear" w:color="auto" w:fill="FFFFFF"/>
        </w:rPr>
        <w:t xml:space="preserve">disclosure </w:t>
      </w:r>
      <w:r w:rsidR="000C580D" w:rsidRPr="000D6D21">
        <w:rPr>
          <w:rFonts w:eastAsia="Times New Roman" w:cs="Times New Roman"/>
          <w:color w:val="000000"/>
          <w:sz w:val="28"/>
          <w:szCs w:val="28"/>
          <w:bdr w:val="none" w:sz="0" w:space="0" w:color="auto" w:frame="1"/>
          <w:shd w:val="clear" w:color="auto" w:fill="FFFFFF"/>
        </w:rPr>
        <w:t>of records in connection with the</w:t>
      </w:r>
      <w:r w:rsidR="00C74B2B" w:rsidRPr="000D6D21">
        <w:rPr>
          <w:rFonts w:eastAsia="Times New Roman" w:cs="Times New Roman"/>
          <w:color w:val="000000"/>
          <w:sz w:val="28"/>
          <w:szCs w:val="28"/>
          <w:bdr w:val="none" w:sz="0" w:space="0" w:color="auto" w:frame="1"/>
          <w:shd w:val="clear" w:color="auto" w:fill="FFFFFF"/>
        </w:rPr>
        <w:t xml:space="preserve"> examination</w:t>
      </w:r>
      <w:r w:rsidR="00F63768" w:rsidRPr="000D6D21">
        <w:rPr>
          <w:rFonts w:eastAsia="Times New Roman" w:cs="Times New Roman"/>
          <w:color w:val="000000"/>
          <w:sz w:val="28"/>
          <w:szCs w:val="28"/>
          <w:bdr w:val="none" w:sz="0" w:space="0" w:color="auto" w:frame="1"/>
          <w:shd w:val="clear" w:color="auto" w:fill="FFFFFF"/>
        </w:rPr>
        <w:t xml:space="preserve"> </w:t>
      </w:r>
      <w:r w:rsidR="00EA792D" w:rsidRPr="000D6D21">
        <w:rPr>
          <w:rFonts w:eastAsia="Times New Roman" w:cs="Times New Roman"/>
          <w:color w:val="000000"/>
          <w:sz w:val="28"/>
          <w:szCs w:val="28"/>
          <w:bdr w:val="none" w:sz="0" w:space="0" w:color="auto" w:frame="1"/>
          <w:shd w:val="clear" w:color="auto" w:fill="FFFFFF"/>
        </w:rPr>
        <w:t>of an unsuccessful recall petition</w:t>
      </w:r>
      <w:r w:rsidR="00C74B2B" w:rsidRPr="000D6D21">
        <w:rPr>
          <w:rFonts w:eastAsia="Times New Roman" w:cs="Times New Roman"/>
          <w:color w:val="000000"/>
          <w:sz w:val="28"/>
          <w:szCs w:val="28"/>
        </w:rPr>
        <w:t xml:space="preserve">.  </w:t>
      </w:r>
      <w:r w:rsidR="00CB6EAC">
        <w:rPr>
          <w:rFonts w:eastAsia="Times New Roman" w:cs="Times New Roman"/>
          <w:color w:val="000000"/>
          <w:sz w:val="28"/>
          <w:szCs w:val="28"/>
        </w:rPr>
        <w:t>And b</w:t>
      </w:r>
      <w:r w:rsidR="0043643D" w:rsidRPr="000D6D21">
        <w:rPr>
          <w:rFonts w:eastAsia="Times New Roman" w:cs="Times New Roman"/>
          <w:color w:val="000000"/>
          <w:sz w:val="28"/>
          <w:szCs w:val="28"/>
        </w:rPr>
        <w:t>e</w:t>
      </w:r>
      <w:r w:rsidRPr="000D6D21">
        <w:rPr>
          <w:rFonts w:eastAsia="Times New Roman" w:cs="Times New Roman"/>
          <w:color w:val="000000"/>
          <w:sz w:val="28"/>
          <w:szCs w:val="28"/>
        </w:rPr>
        <w:t xml:space="preserve">cause both orders at issue in this appeal </w:t>
      </w:r>
      <w:r w:rsidR="00CB6EAC">
        <w:rPr>
          <w:rFonts w:eastAsia="Times New Roman" w:cs="Times New Roman"/>
          <w:color w:val="000000"/>
          <w:sz w:val="28"/>
          <w:szCs w:val="28"/>
        </w:rPr>
        <w:t xml:space="preserve">directed or refused disclosure of records in connection with the Committee’s petition examination </w:t>
      </w:r>
      <w:r w:rsidRPr="000D6D21">
        <w:rPr>
          <w:rFonts w:eastAsia="Times New Roman" w:cs="Times New Roman"/>
          <w:color w:val="000000"/>
          <w:sz w:val="28"/>
          <w:szCs w:val="28"/>
        </w:rPr>
        <w:t>under section 7924.110, the Registrar was required to file petitions for extraordinary writ review</w:t>
      </w:r>
      <w:r w:rsidR="00CB6EAC">
        <w:rPr>
          <w:rFonts w:eastAsia="Times New Roman" w:cs="Times New Roman"/>
          <w:color w:val="000000"/>
          <w:sz w:val="28"/>
          <w:szCs w:val="28"/>
        </w:rPr>
        <w:t xml:space="preserve"> from those orders</w:t>
      </w:r>
      <w:r w:rsidRPr="000D6D21">
        <w:rPr>
          <w:rFonts w:eastAsia="Times New Roman" w:cs="Times New Roman"/>
          <w:color w:val="000000"/>
          <w:sz w:val="28"/>
          <w:szCs w:val="28"/>
        </w:rPr>
        <w:t>.</w:t>
      </w:r>
    </w:p>
    <w:p w14:paraId="633D17CD" w14:textId="77777777" w:rsidR="00227DDD" w:rsidRPr="000D6D21" w:rsidRDefault="00F615D7" w:rsidP="008C1B8A">
      <w:pPr>
        <w:ind w:left="720" w:hanging="720"/>
        <w:rPr>
          <w:rFonts w:eastAsia="Times New Roman" w:cs="Times New Roman"/>
          <w:b/>
          <w:bCs/>
          <w:color w:val="000000"/>
          <w:sz w:val="28"/>
          <w:szCs w:val="28"/>
          <w:u w:val="single"/>
        </w:rPr>
      </w:pPr>
      <w:r w:rsidRPr="000D6D21">
        <w:rPr>
          <w:rFonts w:eastAsia="Times New Roman" w:cs="Times New Roman"/>
          <w:b/>
          <w:bCs/>
          <w:color w:val="000000"/>
          <w:sz w:val="28"/>
          <w:szCs w:val="28"/>
        </w:rPr>
        <w:lastRenderedPageBreak/>
        <w:t>D.</w:t>
      </w:r>
      <w:r w:rsidRPr="000D6D21">
        <w:rPr>
          <w:rFonts w:eastAsia="Times New Roman" w:cs="Times New Roman"/>
          <w:b/>
          <w:bCs/>
          <w:color w:val="000000"/>
          <w:sz w:val="28"/>
          <w:szCs w:val="28"/>
        </w:rPr>
        <w:tab/>
        <w:t>Constru</w:t>
      </w:r>
      <w:r w:rsidR="00392A81" w:rsidRPr="000D6D21">
        <w:rPr>
          <w:rFonts w:eastAsia="Times New Roman" w:cs="Times New Roman"/>
          <w:b/>
          <w:bCs/>
          <w:color w:val="000000"/>
          <w:sz w:val="28"/>
          <w:szCs w:val="28"/>
        </w:rPr>
        <w:t>ing</w:t>
      </w:r>
      <w:r w:rsidRPr="000D6D21">
        <w:rPr>
          <w:rFonts w:eastAsia="Times New Roman" w:cs="Times New Roman"/>
          <w:b/>
          <w:bCs/>
          <w:color w:val="000000"/>
          <w:sz w:val="28"/>
          <w:szCs w:val="28"/>
        </w:rPr>
        <w:t xml:space="preserve"> the Notice of Appeal as an</w:t>
      </w:r>
      <w:r w:rsidR="00392A81" w:rsidRPr="000D6D21">
        <w:rPr>
          <w:rFonts w:eastAsia="Times New Roman" w:cs="Times New Roman"/>
          <w:b/>
          <w:bCs/>
          <w:color w:val="000000"/>
          <w:sz w:val="28"/>
          <w:szCs w:val="28"/>
        </w:rPr>
        <w:t xml:space="preserve"> </w:t>
      </w:r>
      <w:r w:rsidRPr="000D6D21">
        <w:rPr>
          <w:rFonts w:eastAsia="Times New Roman" w:cs="Times New Roman"/>
          <w:b/>
          <w:bCs/>
          <w:color w:val="000000"/>
          <w:sz w:val="28"/>
          <w:szCs w:val="28"/>
        </w:rPr>
        <w:t>Extraordinary Writ</w:t>
      </w:r>
    </w:p>
    <w:p w14:paraId="633D17CE" w14:textId="77777777" w:rsidR="00227DDD" w:rsidRPr="000D6D21" w:rsidRDefault="00F615D7" w:rsidP="000D6D21">
      <w:pPr>
        <w:rPr>
          <w:sz w:val="28"/>
          <w:szCs w:val="28"/>
        </w:rPr>
      </w:pPr>
      <w:r w:rsidRPr="000D6D21">
        <w:rPr>
          <w:rFonts w:eastAsia="Times New Roman" w:cs="Times New Roman"/>
          <w:color w:val="000000"/>
          <w:sz w:val="28"/>
          <w:szCs w:val="28"/>
        </w:rPr>
        <w:tab/>
        <w:t xml:space="preserve">In </w:t>
      </w:r>
      <w:r w:rsidR="00F63768" w:rsidRPr="000D6D21">
        <w:rPr>
          <w:rFonts w:eastAsia="Times New Roman" w:cs="Times New Roman"/>
          <w:color w:val="000000"/>
          <w:sz w:val="28"/>
          <w:szCs w:val="28"/>
        </w:rPr>
        <w:t>anticipation of our conclusion above</w:t>
      </w:r>
      <w:r w:rsidRPr="000D6D21">
        <w:rPr>
          <w:rFonts w:eastAsia="Times New Roman" w:cs="Times New Roman"/>
          <w:color w:val="000000"/>
          <w:sz w:val="28"/>
          <w:szCs w:val="28"/>
        </w:rPr>
        <w:t xml:space="preserve">, </w:t>
      </w:r>
      <w:r w:rsidR="0083364C" w:rsidRPr="000D6D21">
        <w:rPr>
          <w:sz w:val="28"/>
          <w:szCs w:val="28"/>
        </w:rPr>
        <w:t>the Registrar requests</w:t>
      </w:r>
      <w:r w:rsidRPr="000D6D21">
        <w:rPr>
          <w:sz w:val="28"/>
          <w:szCs w:val="28"/>
        </w:rPr>
        <w:t xml:space="preserve"> that </w:t>
      </w:r>
      <w:r w:rsidR="0083364C" w:rsidRPr="000D6D21">
        <w:rPr>
          <w:sz w:val="28"/>
          <w:szCs w:val="28"/>
        </w:rPr>
        <w:t>we</w:t>
      </w:r>
      <w:r w:rsidRPr="000D6D21">
        <w:rPr>
          <w:sz w:val="28"/>
          <w:szCs w:val="28"/>
        </w:rPr>
        <w:t xml:space="preserve"> exercise our discretion to treat its </w:t>
      </w:r>
      <w:r w:rsidR="00801466" w:rsidRPr="000D6D21">
        <w:rPr>
          <w:sz w:val="28"/>
          <w:szCs w:val="28"/>
        </w:rPr>
        <w:t xml:space="preserve">notice of </w:t>
      </w:r>
      <w:r w:rsidRPr="000D6D21">
        <w:rPr>
          <w:sz w:val="28"/>
          <w:szCs w:val="28"/>
        </w:rPr>
        <w:t>appeal</w:t>
      </w:r>
      <w:r w:rsidR="0083364C" w:rsidRPr="000D6D21">
        <w:rPr>
          <w:sz w:val="28"/>
          <w:szCs w:val="28"/>
        </w:rPr>
        <w:t xml:space="preserve"> as a</w:t>
      </w:r>
      <w:r w:rsidRPr="000D6D21">
        <w:rPr>
          <w:sz w:val="28"/>
          <w:szCs w:val="28"/>
        </w:rPr>
        <w:t>n extraordinary</w:t>
      </w:r>
      <w:r w:rsidR="0083364C" w:rsidRPr="000D6D21">
        <w:rPr>
          <w:sz w:val="28"/>
          <w:szCs w:val="28"/>
        </w:rPr>
        <w:t xml:space="preserve"> writ </w:t>
      </w:r>
      <w:r w:rsidR="00801466" w:rsidRPr="000D6D21">
        <w:rPr>
          <w:sz w:val="28"/>
          <w:szCs w:val="28"/>
        </w:rPr>
        <w:t>petition</w:t>
      </w:r>
      <w:r w:rsidR="0083364C" w:rsidRPr="000D6D21">
        <w:rPr>
          <w:sz w:val="28"/>
          <w:szCs w:val="28"/>
        </w:rPr>
        <w:t xml:space="preserve">.  </w:t>
      </w:r>
      <w:r w:rsidRPr="000D6D21">
        <w:rPr>
          <w:sz w:val="28"/>
          <w:szCs w:val="28"/>
        </w:rPr>
        <w:t xml:space="preserve">(Citing </w:t>
      </w:r>
      <w:r w:rsidRPr="00A27247">
        <w:rPr>
          <w:i/>
          <w:iCs/>
          <w:sz w:val="28"/>
          <w:szCs w:val="28"/>
        </w:rPr>
        <w:t>Summers</w:t>
      </w:r>
      <w:r w:rsidRPr="000D6D21">
        <w:rPr>
          <w:i/>
          <w:iCs/>
          <w:sz w:val="28"/>
          <w:szCs w:val="28"/>
        </w:rPr>
        <w:t xml:space="preserve"> v. Superior Court </w:t>
      </w:r>
      <w:r w:rsidRPr="000D6D21">
        <w:rPr>
          <w:sz w:val="28"/>
          <w:szCs w:val="28"/>
        </w:rPr>
        <w:t>(2018) 24 Cal.App.5th 138, 142 (</w:t>
      </w:r>
      <w:r w:rsidRPr="000D6D21">
        <w:rPr>
          <w:i/>
          <w:iCs/>
          <w:sz w:val="28"/>
          <w:szCs w:val="28"/>
        </w:rPr>
        <w:t>Summers</w:t>
      </w:r>
      <w:r w:rsidRPr="000D6D21">
        <w:rPr>
          <w:sz w:val="28"/>
          <w:szCs w:val="28"/>
        </w:rPr>
        <w:t xml:space="preserve">); </w:t>
      </w:r>
      <w:r w:rsidRPr="000D6D21">
        <w:rPr>
          <w:i/>
          <w:iCs/>
          <w:sz w:val="28"/>
          <w:szCs w:val="28"/>
        </w:rPr>
        <w:t xml:space="preserve">Coronado Police Officers </w:t>
      </w:r>
      <w:proofErr w:type="spellStart"/>
      <w:r w:rsidRPr="000D6D21">
        <w:rPr>
          <w:i/>
          <w:iCs/>
          <w:sz w:val="28"/>
          <w:szCs w:val="28"/>
        </w:rPr>
        <w:t>Ass’n</w:t>
      </w:r>
      <w:proofErr w:type="spellEnd"/>
      <w:r w:rsidRPr="000D6D21">
        <w:rPr>
          <w:i/>
          <w:iCs/>
          <w:sz w:val="28"/>
          <w:szCs w:val="28"/>
        </w:rPr>
        <w:t xml:space="preserve"> v. Carroll</w:t>
      </w:r>
      <w:r w:rsidRPr="000D6D21">
        <w:rPr>
          <w:sz w:val="28"/>
          <w:szCs w:val="28"/>
        </w:rPr>
        <w:t xml:space="preserve"> (2003) 106 Cal.App.4th 1001, 1006 (</w:t>
      </w:r>
      <w:r w:rsidRPr="00A27247">
        <w:rPr>
          <w:i/>
          <w:iCs/>
          <w:sz w:val="28"/>
          <w:szCs w:val="28"/>
        </w:rPr>
        <w:t>Carroll</w:t>
      </w:r>
      <w:r w:rsidRPr="000D6D21">
        <w:rPr>
          <w:sz w:val="28"/>
          <w:szCs w:val="28"/>
        </w:rPr>
        <w:t xml:space="preserve">).)  </w:t>
      </w:r>
    </w:p>
    <w:p w14:paraId="633D17CF" w14:textId="77777777" w:rsidR="00801466" w:rsidRPr="000D6D21" w:rsidRDefault="00F615D7" w:rsidP="000D6D21">
      <w:pPr>
        <w:rPr>
          <w:sz w:val="28"/>
          <w:szCs w:val="28"/>
        </w:rPr>
      </w:pPr>
      <w:r w:rsidRPr="000D6D21">
        <w:rPr>
          <w:sz w:val="28"/>
          <w:szCs w:val="28"/>
        </w:rPr>
        <w:tab/>
      </w:r>
      <w:r w:rsidR="0083364C" w:rsidRPr="000D6D21">
        <w:rPr>
          <w:sz w:val="28"/>
          <w:szCs w:val="28"/>
        </w:rPr>
        <w:t xml:space="preserve">It is true that appellate courts have discretion to treat an appeal from a </w:t>
      </w:r>
      <w:proofErr w:type="spellStart"/>
      <w:r w:rsidR="0083364C" w:rsidRPr="000D6D21">
        <w:rPr>
          <w:sz w:val="28"/>
          <w:szCs w:val="28"/>
        </w:rPr>
        <w:t>nonappealable</w:t>
      </w:r>
      <w:proofErr w:type="spellEnd"/>
      <w:r w:rsidR="0083364C" w:rsidRPr="000D6D21">
        <w:rPr>
          <w:sz w:val="28"/>
          <w:szCs w:val="28"/>
        </w:rPr>
        <w:t xml:space="preserve"> order as a petition for </w:t>
      </w:r>
      <w:r w:rsidR="00F3207B" w:rsidRPr="000D6D21">
        <w:rPr>
          <w:sz w:val="28"/>
          <w:szCs w:val="28"/>
        </w:rPr>
        <w:t xml:space="preserve">extraordinary </w:t>
      </w:r>
      <w:r w:rsidR="0083364C" w:rsidRPr="000D6D21">
        <w:rPr>
          <w:sz w:val="28"/>
          <w:szCs w:val="28"/>
        </w:rPr>
        <w:t>writ relief.  (</w:t>
      </w:r>
      <w:r w:rsidR="006260B9" w:rsidRPr="000D6D21">
        <w:rPr>
          <w:i/>
          <w:iCs/>
          <w:sz w:val="28"/>
          <w:szCs w:val="28"/>
        </w:rPr>
        <w:t>Summers</w:t>
      </w:r>
      <w:r w:rsidR="0022416A" w:rsidRPr="000D6D21">
        <w:rPr>
          <w:sz w:val="28"/>
          <w:szCs w:val="28"/>
        </w:rPr>
        <w:t xml:space="preserve">, </w:t>
      </w:r>
      <w:r w:rsidR="0022416A" w:rsidRPr="000D6D21">
        <w:rPr>
          <w:i/>
          <w:iCs/>
          <w:sz w:val="28"/>
          <w:szCs w:val="28"/>
        </w:rPr>
        <w:t>supra</w:t>
      </w:r>
      <w:r w:rsidR="0022416A" w:rsidRPr="000D6D21">
        <w:rPr>
          <w:sz w:val="28"/>
          <w:szCs w:val="28"/>
        </w:rPr>
        <w:t xml:space="preserve">, 24 Cal.App.5th at p. 142; </w:t>
      </w:r>
      <w:r w:rsidR="006260B9" w:rsidRPr="000D6D21">
        <w:rPr>
          <w:i/>
          <w:iCs/>
          <w:sz w:val="28"/>
          <w:szCs w:val="28"/>
        </w:rPr>
        <w:t>Carroll</w:t>
      </w:r>
      <w:r w:rsidR="0022416A" w:rsidRPr="000D6D21">
        <w:rPr>
          <w:sz w:val="28"/>
          <w:szCs w:val="28"/>
        </w:rPr>
        <w:t xml:space="preserve">, </w:t>
      </w:r>
      <w:r w:rsidR="0022416A" w:rsidRPr="000D6D21">
        <w:rPr>
          <w:i/>
          <w:iCs/>
          <w:sz w:val="28"/>
          <w:szCs w:val="28"/>
        </w:rPr>
        <w:t>supra</w:t>
      </w:r>
      <w:r w:rsidR="0022416A" w:rsidRPr="000D6D21">
        <w:rPr>
          <w:sz w:val="28"/>
          <w:szCs w:val="28"/>
        </w:rPr>
        <w:t>,</w:t>
      </w:r>
      <w:r w:rsidR="006260B9" w:rsidRPr="000D6D21">
        <w:rPr>
          <w:sz w:val="28"/>
          <w:szCs w:val="28"/>
        </w:rPr>
        <w:t xml:space="preserve"> 106 Cal.App.4th </w:t>
      </w:r>
      <w:r w:rsidR="0022416A" w:rsidRPr="000D6D21">
        <w:rPr>
          <w:sz w:val="28"/>
          <w:szCs w:val="28"/>
        </w:rPr>
        <w:t>at p. 1006</w:t>
      </w:r>
      <w:r w:rsidR="001A5AC6" w:rsidRPr="000D6D21">
        <w:rPr>
          <w:sz w:val="28"/>
          <w:szCs w:val="28"/>
        </w:rPr>
        <w:t xml:space="preserve">.)  But </w:t>
      </w:r>
      <w:r w:rsidR="00F90567">
        <w:rPr>
          <w:sz w:val="28"/>
          <w:szCs w:val="28"/>
        </w:rPr>
        <w:t>that</w:t>
      </w:r>
      <w:r w:rsidR="001A5AC6" w:rsidRPr="000D6D21">
        <w:rPr>
          <w:sz w:val="28"/>
          <w:szCs w:val="28"/>
        </w:rPr>
        <w:t xml:space="preserve"> discretion has been exercised “only under limited, extraordinary, circumstances.”  (</w:t>
      </w:r>
      <w:proofErr w:type="spellStart"/>
      <w:r w:rsidR="001A5AC6" w:rsidRPr="000D6D21">
        <w:rPr>
          <w:i/>
          <w:sz w:val="28"/>
          <w:szCs w:val="28"/>
        </w:rPr>
        <w:t>Mincal</w:t>
      </w:r>
      <w:proofErr w:type="spellEnd"/>
      <w:r w:rsidR="001A5AC6" w:rsidRPr="000D6D21">
        <w:rPr>
          <w:sz w:val="28"/>
          <w:szCs w:val="28"/>
        </w:rPr>
        <w:t xml:space="preserve">, </w:t>
      </w:r>
      <w:r w:rsidR="001A5AC6" w:rsidRPr="000D6D21">
        <w:rPr>
          <w:i/>
          <w:sz w:val="28"/>
          <w:szCs w:val="28"/>
        </w:rPr>
        <w:t>supra</w:t>
      </w:r>
      <w:r w:rsidR="001A5AC6" w:rsidRPr="000D6D21">
        <w:rPr>
          <w:sz w:val="28"/>
          <w:szCs w:val="28"/>
        </w:rPr>
        <w:t xml:space="preserve">, 214 Cal.App.4th at p. 265.)  </w:t>
      </w:r>
      <w:r w:rsidR="007A0ACE" w:rsidRPr="000D6D21">
        <w:rPr>
          <w:sz w:val="28"/>
          <w:szCs w:val="28"/>
        </w:rPr>
        <w:t xml:space="preserve">We now address whether the Registrar has demonstrated extraordinary circumstances </w:t>
      </w:r>
      <w:r w:rsidR="00BD40F3" w:rsidRPr="000D6D21">
        <w:rPr>
          <w:sz w:val="28"/>
          <w:szCs w:val="28"/>
        </w:rPr>
        <w:t xml:space="preserve">warranting the exercise of our discretion </w:t>
      </w:r>
      <w:r w:rsidR="00F63768" w:rsidRPr="000D6D21">
        <w:rPr>
          <w:sz w:val="28"/>
          <w:szCs w:val="28"/>
        </w:rPr>
        <w:t>to construe the appeal as an extraordinary writ from either the</w:t>
      </w:r>
      <w:r w:rsidR="007A0ACE" w:rsidRPr="000D6D21">
        <w:rPr>
          <w:sz w:val="28"/>
          <w:szCs w:val="28"/>
        </w:rPr>
        <w:t xml:space="preserve"> December 2022 injunction order or </w:t>
      </w:r>
      <w:r w:rsidR="00F63768" w:rsidRPr="000D6D21">
        <w:rPr>
          <w:sz w:val="28"/>
          <w:szCs w:val="28"/>
        </w:rPr>
        <w:t xml:space="preserve">the </w:t>
      </w:r>
      <w:r w:rsidR="007A0ACE" w:rsidRPr="000D6D21">
        <w:rPr>
          <w:sz w:val="28"/>
          <w:szCs w:val="28"/>
        </w:rPr>
        <w:t>January 2023 order.</w:t>
      </w:r>
    </w:p>
    <w:p w14:paraId="633D17D0" w14:textId="77777777" w:rsidR="00801466" w:rsidRPr="000D6D21" w:rsidRDefault="00801466" w:rsidP="000D6D21">
      <w:pPr>
        <w:rPr>
          <w:sz w:val="28"/>
          <w:szCs w:val="28"/>
        </w:rPr>
      </w:pPr>
    </w:p>
    <w:p w14:paraId="633D17D1" w14:textId="77777777" w:rsidR="007A0ACE" w:rsidRPr="000D6D21" w:rsidRDefault="00F615D7" w:rsidP="000D6D21">
      <w:pPr>
        <w:pStyle w:val="ListParagraph"/>
        <w:numPr>
          <w:ilvl w:val="0"/>
          <w:numId w:val="15"/>
        </w:numPr>
        <w:rPr>
          <w:i/>
          <w:iCs/>
          <w:sz w:val="28"/>
          <w:szCs w:val="28"/>
        </w:rPr>
      </w:pPr>
      <w:r w:rsidRPr="000D6D21">
        <w:rPr>
          <w:i/>
          <w:iCs/>
          <w:sz w:val="28"/>
          <w:szCs w:val="28"/>
        </w:rPr>
        <w:t>We</w:t>
      </w:r>
      <w:r w:rsidRPr="000D6D21">
        <w:rPr>
          <w:sz w:val="28"/>
          <w:szCs w:val="28"/>
        </w:rPr>
        <w:t xml:space="preserve"> </w:t>
      </w:r>
      <w:r w:rsidR="00CB6EAC">
        <w:rPr>
          <w:i/>
          <w:iCs/>
          <w:sz w:val="28"/>
          <w:szCs w:val="28"/>
        </w:rPr>
        <w:t>Lack Jurisdiction</w:t>
      </w:r>
      <w:r w:rsidR="00CB6EAC" w:rsidRPr="000D6D21">
        <w:rPr>
          <w:i/>
          <w:iCs/>
          <w:sz w:val="28"/>
          <w:szCs w:val="28"/>
        </w:rPr>
        <w:t xml:space="preserve"> </w:t>
      </w:r>
      <w:r w:rsidR="00072D0C" w:rsidRPr="000D6D21">
        <w:rPr>
          <w:i/>
          <w:iCs/>
          <w:sz w:val="28"/>
          <w:szCs w:val="28"/>
        </w:rPr>
        <w:t xml:space="preserve">to </w:t>
      </w:r>
      <w:r w:rsidRPr="000D6D21">
        <w:rPr>
          <w:i/>
          <w:iCs/>
          <w:sz w:val="28"/>
          <w:szCs w:val="28"/>
        </w:rPr>
        <w:t xml:space="preserve">Consider the </w:t>
      </w:r>
      <w:r w:rsidR="00072D0C" w:rsidRPr="000D6D21">
        <w:rPr>
          <w:i/>
          <w:iCs/>
          <w:sz w:val="28"/>
          <w:szCs w:val="28"/>
        </w:rPr>
        <w:t xml:space="preserve">December 2022 </w:t>
      </w:r>
      <w:r w:rsidR="00F63768" w:rsidRPr="000D6D21">
        <w:rPr>
          <w:i/>
          <w:iCs/>
          <w:sz w:val="28"/>
          <w:szCs w:val="28"/>
        </w:rPr>
        <w:t xml:space="preserve">Injunction </w:t>
      </w:r>
      <w:r w:rsidR="00E01625" w:rsidRPr="000D6D21">
        <w:rPr>
          <w:i/>
          <w:iCs/>
          <w:sz w:val="28"/>
          <w:szCs w:val="28"/>
        </w:rPr>
        <w:t>O</w:t>
      </w:r>
      <w:r w:rsidRPr="000D6D21">
        <w:rPr>
          <w:i/>
          <w:iCs/>
          <w:sz w:val="28"/>
          <w:szCs w:val="28"/>
        </w:rPr>
        <w:t>rder</w:t>
      </w:r>
    </w:p>
    <w:p w14:paraId="633D17D2" w14:textId="77777777" w:rsidR="00BB10DF" w:rsidRPr="000D6D21" w:rsidRDefault="00F615D7" w:rsidP="00CB6EAC">
      <w:pPr>
        <w:ind w:firstLine="720"/>
        <w:rPr>
          <w:sz w:val="28"/>
          <w:szCs w:val="28"/>
        </w:rPr>
      </w:pPr>
      <w:r w:rsidRPr="000D6D21">
        <w:rPr>
          <w:sz w:val="28"/>
          <w:szCs w:val="28"/>
        </w:rPr>
        <w:t>Most</w:t>
      </w:r>
      <w:r w:rsidR="007A0ACE" w:rsidRPr="000D6D21">
        <w:rPr>
          <w:sz w:val="28"/>
          <w:szCs w:val="28"/>
        </w:rPr>
        <w:t xml:space="preserve"> of the </w:t>
      </w:r>
      <w:r w:rsidR="00F63768" w:rsidRPr="000D6D21">
        <w:rPr>
          <w:sz w:val="28"/>
          <w:szCs w:val="28"/>
        </w:rPr>
        <w:t>Registrar’s appellate c</w:t>
      </w:r>
      <w:r w:rsidR="007A0ACE" w:rsidRPr="000D6D21">
        <w:rPr>
          <w:sz w:val="28"/>
          <w:szCs w:val="28"/>
        </w:rPr>
        <w:t xml:space="preserve">ontentions challenge the trial court’s December 2022 </w:t>
      </w:r>
      <w:r w:rsidR="00801466" w:rsidRPr="000D6D21">
        <w:rPr>
          <w:sz w:val="28"/>
          <w:szCs w:val="28"/>
        </w:rPr>
        <w:t xml:space="preserve">injunction </w:t>
      </w:r>
      <w:r w:rsidR="007A0ACE" w:rsidRPr="000D6D21">
        <w:rPr>
          <w:sz w:val="28"/>
          <w:szCs w:val="28"/>
        </w:rPr>
        <w:t>order.</w:t>
      </w:r>
      <w:r w:rsidR="00E01625" w:rsidRPr="000D6D21">
        <w:rPr>
          <w:sz w:val="28"/>
          <w:szCs w:val="28"/>
        </w:rPr>
        <w:t xml:space="preserve"> </w:t>
      </w:r>
      <w:r w:rsidR="007A0ACE" w:rsidRPr="000D6D21">
        <w:rPr>
          <w:sz w:val="28"/>
          <w:szCs w:val="28"/>
        </w:rPr>
        <w:t xml:space="preserve"> </w:t>
      </w:r>
      <w:r w:rsidR="00BD40F3" w:rsidRPr="000D6D21">
        <w:rPr>
          <w:sz w:val="28"/>
          <w:szCs w:val="28"/>
        </w:rPr>
        <w:t>T</w:t>
      </w:r>
      <w:r w:rsidR="007A0ACE" w:rsidRPr="000D6D21">
        <w:rPr>
          <w:sz w:val="28"/>
          <w:szCs w:val="28"/>
        </w:rPr>
        <w:t>he</w:t>
      </w:r>
      <w:r w:rsidR="0022416A" w:rsidRPr="000D6D21">
        <w:rPr>
          <w:sz w:val="28"/>
          <w:szCs w:val="28"/>
        </w:rPr>
        <w:t xml:space="preserve"> Registrar has </w:t>
      </w:r>
      <w:r w:rsidR="00F63768" w:rsidRPr="000D6D21">
        <w:rPr>
          <w:sz w:val="28"/>
          <w:szCs w:val="28"/>
        </w:rPr>
        <w:t xml:space="preserve">provided no argument on this court’s ability to ignore </w:t>
      </w:r>
      <w:r w:rsidRPr="000D6D21">
        <w:rPr>
          <w:sz w:val="28"/>
          <w:szCs w:val="28"/>
        </w:rPr>
        <w:t xml:space="preserve">the jurisdictional time limits prescribed in section 7923.500, subdivision (b).  (See </w:t>
      </w:r>
      <w:r w:rsidRPr="000D6D21">
        <w:rPr>
          <w:i/>
          <w:iCs/>
          <w:sz w:val="28"/>
          <w:szCs w:val="28"/>
        </w:rPr>
        <w:t>I</w:t>
      </w:r>
      <w:r w:rsidRPr="000D6D21">
        <w:rPr>
          <w:i/>
          <w:sz w:val="28"/>
          <w:szCs w:val="28"/>
        </w:rPr>
        <w:t xml:space="preserve">n re </w:t>
      </w:r>
      <w:proofErr w:type="spellStart"/>
      <w:r w:rsidRPr="00A27247">
        <w:rPr>
          <w:i/>
          <w:sz w:val="28"/>
          <w:szCs w:val="28"/>
        </w:rPr>
        <w:t>Antilia</w:t>
      </w:r>
      <w:proofErr w:type="spellEnd"/>
      <w:r w:rsidRPr="000D6D21">
        <w:rPr>
          <w:sz w:val="28"/>
          <w:szCs w:val="28"/>
        </w:rPr>
        <w:t xml:space="preserve"> (2009) 176 </w:t>
      </w:r>
      <w:r w:rsidRPr="000D6D21">
        <w:rPr>
          <w:sz w:val="28"/>
          <w:szCs w:val="28"/>
        </w:rPr>
        <w:t xml:space="preserve">Cal.App.4th 622, 630 [“[a] time limit prescribed by the </w:t>
      </w:r>
      <w:r w:rsidRPr="000D6D21">
        <w:rPr>
          <w:sz w:val="28"/>
          <w:szCs w:val="28"/>
        </w:rPr>
        <w:lastRenderedPageBreak/>
        <w:t xml:space="preserve">Legislature for filing a petition for writ of mandate is jurisdictional”].)  </w:t>
      </w:r>
      <w:r w:rsidR="00801466" w:rsidRPr="000D6D21">
        <w:rPr>
          <w:sz w:val="28"/>
          <w:szCs w:val="28"/>
        </w:rPr>
        <w:t xml:space="preserve">Under this express limitation, </w:t>
      </w:r>
      <w:r w:rsidR="00F63768" w:rsidRPr="000D6D21">
        <w:rPr>
          <w:sz w:val="28"/>
          <w:szCs w:val="28"/>
        </w:rPr>
        <w:t xml:space="preserve">the Registrar was required to file a petition </w:t>
      </w:r>
      <w:r w:rsidR="00801466" w:rsidRPr="000D6D21">
        <w:rPr>
          <w:sz w:val="28"/>
          <w:szCs w:val="28"/>
        </w:rPr>
        <w:t xml:space="preserve">for extraordinary writ </w:t>
      </w:r>
      <w:r w:rsidR="00CB6EAC">
        <w:rPr>
          <w:sz w:val="28"/>
          <w:szCs w:val="28"/>
        </w:rPr>
        <w:t xml:space="preserve">relief </w:t>
      </w:r>
      <w:r w:rsidR="00F63768" w:rsidRPr="000D6D21">
        <w:rPr>
          <w:sz w:val="28"/>
          <w:szCs w:val="28"/>
        </w:rPr>
        <w:t>“within 20 days after service upon the party of a written notice of entry of the order</w:t>
      </w:r>
      <w:r w:rsidR="00392A81" w:rsidRPr="000D6D21">
        <w:rPr>
          <w:sz w:val="28"/>
          <w:szCs w:val="28"/>
        </w:rPr>
        <w:t>, or within further time, not exceeding an additional 20 days, as the trial court may for good cause allow.”  (§ 7923.500, subd. (</w:t>
      </w:r>
      <w:r w:rsidR="007C13E0" w:rsidRPr="000D6D21">
        <w:rPr>
          <w:sz w:val="28"/>
          <w:szCs w:val="28"/>
        </w:rPr>
        <w:t>b</w:t>
      </w:r>
      <w:r w:rsidR="00392A81" w:rsidRPr="000D6D21">
        <w:rPr>
          <w:sz w:val="28"/>
          <w:szCs w:val="28"/>
        </w:rPr>
        <w:t>).)  This deadline is both “</w:t>
      </w:r>
      <w:r w:rsidR="00E01625" w:rsidRPr="000D6D21">
        <w:rPr>
          <w:sz w:val="28"/>
          <w:szCs w:val="28"/>
        </w:rPr>
        <w:t>mandatory and</w:t>
      </w:r>
      <w:r w:rsidR="007A0ACE" w:rsidRPr="000D6D21">
        <w:rPr>
          <w:sz w:val="28"/>
          <w:szCs w:val="28"/>
        </w:rPr>
        <w:t xml:space="preserve"> jurisdictional</w:t>
      </w:r>
      <w:r w:rsidR="00392A81" w:rsidRPr="000D6D21">
        <w:rPr>
          <w:sz w:val="28"/>
          <w:szCs w:val="28"/>
        </w:rPr>
        <w:t>.</w:t>
      </w:r>
      <w:r w:rsidR="00E01625" w:rsidRPr="000D6D21">
        <w:rPr>
          <w:sz w:val="28"/>
          <w:szCs w:val="28"/>
        </w:rPr>
        <w:t>”</w:t>
      </w:r>
      <w:r w:rsidR="00392A81" w:rsidRPr="000D6D21">
        <w:rPr>
          <w:sz w:val="28"/>
          <w:szCs w:val="28"/>
        </w:rPr>
        <w:t xml:space="preserve">  </w:t>
      </w:r>
      <w:r w:rsidR="006260B9" w:rsidRPr="000D6D21">
        <w:rPr>
          <w:sz w:val="28"/>
          <w:szCs w:val="28"/>
        </w:rPr>
        <w:t>(</w:t>
      </w:r>
      <w:proofErr w:type="spellStart"/>
      <w:r w:rsidR="00E01625" w:rsidRPr="000D6D21">
        <w:rPr>
          <w:i/>
          <w:iCs/>
          <w:sz w:val="28"/>
          <w:szCs w:val="28"/>
        </w:rPr>
        <w:t>Mincal</w:t>
      </w:r>
      <w:proofErr w:type="spellEnd"/>
      <w:r w:rsidR="00E01625" w:rsidRPr="000D6D21">
        <w:rPr>
          <w:sz w:val="28"/>
          <w:szCs w:val="28"/>
        </w:rPr>
        <w:t xml:space="preserve">, </w:t>
      </w:r>
      <w:r w:rsidR="00E01625" w:rsidRPr="000D6D21">
        <w:rPr>
          <w:i/>
          <w:iCs/>
          <w:sz w:val="28"/>
          <w:szCs w:val="28"/>
        </w:rPr>
        <w:t>supra</w:t>
      </w:r>
      <w:r w:rsidR="00E01625" w:rsidRPr="000D6D21">
        <w:rPr>
          <w:sz w:val="28"/>
          <w:szCs w:val="28"/>
        </w:rPr>
        <w:t>, 214</w:t>
      </w:r>
      <w:r w:rsidR="00055997">
        <w:rPr>
          <w:sz w:val="28"/>
          <w:szCs w:val="28"/>
        </w:rPr>
        <w:t xml:space="preserve"> </w:t>
      </w:r>
      <w:r w:rsidR="00E01625" w:rsidRPr="000D6D21">
        <w:rPr>
          <w:sz w:val="28"/>
          <w:szCs w:val="28"/>
        </w:rPr>
        <w:t>Cal.App.4th at p. 264</w:t>
      </w:r>
      <w:r w:rsidR="00392A81" w:rsidRPr="000D6D21">
        <w:rPr>
          <w:sz w:val="28"/>
          <w:szCs w:val="28"/>
        </w:rPr>
        <w:t xml:space="preserve">.) </w:t>
      </w:r>
    </w:p>
    <w:p w14:paraId="633D17D3" w14:textId="77777777" w:rsidR="00E01625" w:rsidRPr="000D6D21" w:rsidRDefault="00F615D7" w:rsidP="00F30014">
      <w:pPr>
        <w:ind w:firstLine="720"/>
        <w:rPr>
          <w:sz w:val="28"/>
          <w:szCs w:val="28"/>
        </w:rPr>
      </w:pPr>
      <w:r w:rsidRPr="000D6D21">
        <w:rPr>
          <w:sz w:val="28"/>
          <w:szCs w:val="28"/>
        </w:rPr>
        <w:t>The Registrar filed a notice of appeal from the December 2022 injunction order on January 31, 2023, outside the 40-day jurisdictional window from both notices of entry of order (December 8 and</w:t>
      </w:r>
      <w:r w:rsidRPr="000D6D21">
        <w:rPr>
          <w:sz w:val="28"/>
          <w:szCs w:val="28"/>
        </w:rPr>
        <w:t xml:space="preserve"> 13, 2023).  We </w:t>
      </w:r>
      <w:r w:rsidR="00B608AA" w:rsidRPr="000D6D21">
        <w:rPr>
          <w:sz w:val="28"/>
          <w:szCs w:val="28"/>
        </w:rPr>
        <w:t xml:space="preserve">therefore </w:t>
      </w:r>
      <w:r w:rsidRPr="000D6D21">
        <w:rPr>
          <w:sz w:val="28"/>
          <w:szCs w:val="28"/>
        </w:rPr>
        <w:t xml:space="preserve">lack jurisdiction to consider the merits of the December 2022 injunction order.  (See </w:t>
      </w:r>
      <w:proofErr w:type="spellStart"/>
      <w:r w:rsidRPr="000D6D21">
        <w:rPr>
          <w:i/>
          <w:iCs/>
          <w:sz w:val="28"/>
          <w:szCs w:val="28"/>
        </w:rPr>
        <w:t>Mincal</w:t>
      </w:r>
      <w:proofErr w:type="spellEnd"/>
      <w:r w:rsidRPr="000D6D21">
        <w:rPr>
          <w:sz w:val="28"/>
          <w:szCs w:val="28"/>
        </w:rPr>
        <w:t xml:space="preserve">, </w:t>
      </w:r>
      <w:r w:rsidRPr="000D6D21">
        <w:rPr>
          <w:i/>
          <w:iCs/>
          <w:sz w:val="28"/>
          <w:szCs w:val="28"/>
        </w:rPr>
        <w:t>supra</w:t>
      </w:r>
      <w:r w:rsidRPr="000D6D21">
        <w:rPr>
          <w:sz w:val="28"/>
          <w:szCs w:val="28"/>
        </w:rPr>
        <w:t xml:space="preserve">, </w:t>
      </w:r>
      <w:r w:rsidR="00B608AA" w:rsidRPr="000D6D21">
        <w:rPr>
          <w:sz w:val="28"/>
          <w:szCs w:val="28"/>
        </w:rPr>
        <w:t xml:space="preserve">214 Cal.App.4th </w:t>
      </w:r>
      <w:r w:rsidRPr="000D6D21">
        <w:rPr>
          <w:sz w:val="28"/>
          <w:szCs w:val="28"/>
        </w:rPr>
        <w:t>at p. 264 [“if a writ petition is not filed within the time limit, we are without power to review the merits of t</w:t>
      </w:r>
      <w:r w:rsidRPr="000D6D21">
        <w:rPr>
          <w:sz w:val="28"/>
          <w:szCs w:val="28"/>
        </w:rPr>
        <w:t xml:space="preserve">he trial court’s ruling”]; compare </w:t>
      </w:r>
      <w:r w:rsidRPr="000D6D21">
        <w:rPr>
          <w:i/>
          <w:iCs/>
          <w:sz w:val="28"/>
          <w:szCs w:val="28"/>
        </w:rPr>
        <w:t>Carroll</w:t>
      </w:r>
      <w:r w:rsidRPr="000D6D21">
        <w:rPr>
          <w:sz w:val="28"/>
          <w:szCs w:val="28"/>
        </w:rPr>
        <w:t xml:space="preserve">, </w:t>
      </w:r>
      <w:r w:rsidRPr="000D6D21">
        <w:rPr>
          <w:i/>
          <w:iCs/>
          <w:sz w:val="28"/>
          <w:szCs w:val="28"/>
        </w:rPr>
        <w:t>supra</w:t>
      </w:r>
      <w:r w:rsidRPr="000D6D21">
        <w:rPr>
          <w:sz w:val="28"/>
          <w:szCs w:val="28"/>
        </w:rPr>
        <w:t xml:space="preserve">, 106 Cal.App.4th at p. 1006 [exercising discretion where public agency “filed the notice of appeal within the statutory time period for seeking writ review”], with </w:t>
      </w:r>
      <w:proofErr w:type="spellStart"/>
      <w:r w:rsidRPr="000D6D21">
        <w:rPr>
          <w:i/>
          <w:iCs/>
          <w:sz w:val="28"/>
          <w:szCs w:val="28"/>
        </w:rPr>
        <w:t>MinCal</w:t>
      </w:r>
      <w:proofErr w:type="spellEnd"/>
      <w:r w:rsidRPr="000D6D21">
        <w:rPr>
          <w:sz w:val="28"/>
          <w:szCs w:val="28"/>
        </w:rPr>
        <w:t xml:space="preserve">, </w:t>
      </w:r>
      <w:r w:rsidRPr="000D6D21">
        <w:rPr>
          <w:i/>
          <w:iCs/>
          <w:sz w:val="28"/>
          <w:szCs w:val="28"/>
        </w:rPr>
        <w:t>supra</w:t>
      </w:r>
      <w:r w:rsidRPr="000D6D21">
        <w:rPr>
          <w:sz w:val="28"/>
          <w:szCs w:val="28"/>
        </w:rPr>
        <w:t>, at pp. 265</w:t>
      </w:r>
      <w:r w:rsidRPr="000D6D21">
        <w:rPr>
          <w:sz w:val="28"/>
          <w:szCs w:val="28"/>
        </w:rPr>
        <w:noBreakHyphen/>
        <w:t>266 [refusing to</w:t>
      </w:r>
      <w:r w:rsidRPr="000D6D21">
        <w:rPr>
          <w:sz w:val="28"/>
          <w:szCs w:val="28"/>
        </w:rPr>
        <w:t xml:space="preserve"> exercise discretion where public agency filed notice of appeal from PRA order </w:t>
      </w:r>
      <w:r w:rsidR="00801466" w:rsidRPr="000D6D21">
        <w:rPr>
          <w:sz w:val="28"/>
          <w:szCs w:val="28"/>
        </w:rPr>
        <w:t xml:space="preserve">beyond </w:t>
      </w:r>
      <w:r w:rsidRPr="000D6D21">
        <w:rPr>
          <w:sz w:val="28"/>
          <w:szCs w:val="28"/>
        </w:rPr>
        <w:t xml:space="preserve">time </w:t>
      </w:r>
      <w:r w:rsidR="00801466" w:rsidRPr="000D6D21">
        <w:rPr>
          <w:sz w:val="28"/>
          <w:szCs w:val="28"/>
        </w:rPr>
        <w:t>permitted under section 7923.500</w:t>
      </w:r>
      <w:r w:rsidRPr="000D6D21">
        <w:rPr>
          <w:sz w:val="28"/>
          <w:szCs w:val="28"/>
        </w:rPr>
        <w:t xml:space="preserve">], and </w:t>
      </w:r>
      <w:r w:rsidRPr="000D6D21">
        <w:rPr>
          <w:i/>
          <w:iCs/>
          <w:sz w:val="28"/>
          <w:szCs w:val="28"/>
        </w:rPr>
        <w:t>Austin v. City of Burbank</w:t>
      </w:r>
      <w:r w:rsidRPr="000D6D21">
        <w:rPr>
          <w:sz w:val="28"/>
          <w:szCs w:val="28"/>
        </w:rPr>
        <w:t xml:space="preserve"> (2021) 67 Cal.App.5th 654, 656 [same].)</w:t>
      </w:r>
      <w:r>
        <w:rPr>
          <w:rStyle w:val="FootnoteReference"/>
          <w:sz w:val="28"/>
          <w:szCs w:val="28"/>
        </w:rPr>
        <w:footnoteReference w:id="14"/>
      </w:r>
      <w:r w:rsidRPr="000D6D21">
        <w:rPr>
          <w:sz w:val="28"/>
          <w:szCs w:val="28"/>
        </w:rPr>
        <w:t xml:space="preserve">  </w:t>
      </w:r>
    </w:p>
    <w:p w14:paraId="633D17D4" w14:textId="77777777" w:rsidR="00E01625" w:rsidRPr="000D6D21" w:rsidRDefault="00F615D7" w:rsidP="00F90567">
      <w:pPr>
        <w:ind w:left="1440" w:hanging="720"/>
        <w:rPr>
          <w:sz w:val="28"/>
          <w:szCs w:val="28"/>
        </w:rPr>
      </w:pPr>
      <w:r w:rsidRPr="000D6D21">
        <w:rPr>
          <w:sz w:val="28"/>
          <w:szCs w:val="28"/>
        </w:rPr>
        <w:lastRenderedPageBreak/>
        <w:t>2.</w:t>
      </w:r>
      <w:r w:rsidRPr="000D6D21">
        <w:rPr>
          <w:sz w:val="28"/>
          <w:szCs w:val="28"/>
        </w:rPr>
        <w:tab/>
      </w:r>
      <w:r w:rsidR="00F63768" w:rsidRPr="000D6D21">
        <w:rPr>
          <w:i/>
          <w:iCs/>
          <w:sz w:val="28"/>
          <w:szCs w:val="28"/>
        </w:rPr>
        <w:t xml:space="preserve">We </w:t>
      </w:r>
      <w:r w:rsidR="00CB6EAC">
        <w:rPr>
          <w:i/>
          <w:iCs/>
          <w:sz w:val="28"/>
          <w:szCs w:val="28"/>
        </w:rPr>
        <w:t xml:space="preserve">Exercise Our Discretion to </w:t>
      </w:r>
      <w:r w:rsidR="00F63768" w:rsidRPr="000D6D21">
        <w:rPr>
          <w:i/>
          <w:iCs/>
          <w:sz w:val="28"/>
          <w:szCs w:val="28"/>
        </w:rPr>
        <w:t xml:space="preserve">Consider </w:t>
      </w:r>
      <w:r w:rsidR="00072D0C" w:rsidRPr="000D6D21">
        <w:rPr>
          <w:i/>
          <w:iCs/>
          <w:sz w:val="28"/>
          <w:szCs w:val="28"/>
        </w:rPr>
        <w:t>Portions of the January 2023 Order</w:t>
      </w:r>
      <w:r w:rsidR="00F63768" w:rsidRPr="000D6D21">
        <w:rPr>
          <w:i/>
          <w:iCs/>
          <w:sz w:val="28"/>
          <w:szCs w:val="28"/>
        </w:rPr>
        <w:t xml:space="preserve"> </w:t>
      </w:r>
    </w:p>
    <w:p w14:paraId="633D17D5" w14:textId="77777777" w:rsidR="00503880" w:rsidRPr="000D6D21" w:rsidRDefault="00F615D7" w:rsidP="000D6D21">
      <w:pPr>
        <w:ind w:firstLine="720"/>
        <w:rPr>
          <w:sz w:val="28"/>
          <w:szCs w:val="28"/>
        </w:rPr>
      </w:pPr>
      <w:r w:rsidRPr="000D6D21">
        <w:rPr>
          <w:sz w:val="28"/>
          <w:szCs w:val="28"/>
        </w:rPr>
        <w:t>Notwithstanding our discussion above, the Registrar’s notice of appeal fall</w:t>
      </w:r>
      <w:r w:rsidR="00392A81" w:rsidRPr="000D6D21">
        <w:rPr>
          <w:sz w:val="28"/>
          <w:szCs w:val="28"/>
        </w:rPr>
        <w:t>s</w:t>
      </w:r>
      <w:r w:rsidRPr="000D6D21">
        <w:rPr>
          <w:sz w:val="28"/>
          <w:szCs w:val="28"/>
        </w:rPr>
        <w:t xml:space="preserve"> within the </w:t>
      </w:r>
      <w:r w:rsidR="00392A81" w:rsidRPr="000D6D21">
        <w:rPr>
          <w:sz w:val="28"/>
          <w:szCs w:val="28"/>
        </w:rPr>
        <w:t xml:space="preserve">jurisdictional deadline </w:t>
      </w:r>
      <w:r w:rsidRPr="000D6D21">
        <w:rPr>
          <w:sz w:val="28"/>
          <w:szCs w:val="28"/>
        </w:rPr>
        <w:t>under section 7923.500</w:t>
      </w:r>
      <w:r w:rsidR="00BD40F3" w:rsidRPr="000D6D21">
        <w:rPr>
          <w:sz w:val="28"/>
          <w:szCs w:val="28"/>
        </w:rPr>
        <w:t>,</w:t>
      </w:r>
      <w:r w:rsidRPr="000D6D21">
        <w:rPr>
          <w:sz w:val="28"/>
          <w:szCs w:val="28"/>
        </w:rPr>
        <w:t xml:space="preserve"> </w:t>
      </w:r>
      <w:r w:rsidRPr="000D6D21">
        <w:rPr>
          <w:iCs/>
          <w:sz w:val="28"/>
          <w:szCs w:val="28"/>
        </w:rPr>
        <w:t>as to</w:t>
      </w:r>
      <w:r w:rsidRPr="000D6D21">
        <w:rPr>
          <w:sz w:val="28"/>
          <w:szCs w:val="28"/>
        </w:rPr>
        <w:t xml:space="preserve"> the trial court’s January 2023 order.  We must therefore determine whether to </w:t>
      </w:r>
      <w:r w:rsidRPr="000D6D21">
        <w:rPr>
          <w:sz w:val="28"/>
          <w:szCs w:val="28"/>
        </w:rPr>
        <w:t>exercise our discretion to consider any contention challenging this order.  (</w:t>
      </w:r>
      <w:r w:rsidRPr="000D6D21">
        <w:rPr>
          <w:i/>
          <w:iCs/>
          <w:sz w:val="28"/>
          <w:szCs w:val="28"/>
        </w:rPr>
        <w:t>Carroll</w:t>
      </w:r>
      <w:r w:rsidRPr="000D6D21">
        <w:rPr>
          <w:iCs/>
          <w:sz w:val="28"/>
          <w:szCs w:val="28"/>
        </w:rPr>
        <w:t xml:space="preserve">, </w:t>
      </w:r>
      <w:r w:rsidRPr="000D6D21">
        <w:rPr>
          <w:i/>
          <w:iCs/>
          <w:sz w:val="28"/>
          <w:szCs w:val="28"/>
        </w:rPr>
        <w:t>supra</w:t>
      </w:r>
      <w:r w:rsidRPr="000D6D21">
        <w:rPr>
          <w:iCs/>
          <w:sz w:val="28"/>
          <w:szCs w:val="28"/>
        </w:rPr>
        <w:t>,</w:t>
      </w:r>
      <w:r w:rsidRPr="000D6D21">
        <w:rPr>
          <w:sz w:val="28"/>
          <w:szCs w:val="28"/>
        </w:rPr>
        <w:t xml:space="preserve"> 106 Cal.App.4th at p. 1006; see </w:t>
      </w:r>
      <w:r w:rsidRPr="007B2481">
        <w:rPr>
          <w:i/>
          <w:sz w:val="28"/>
          <w:szCs w:val="28"/>
        </w:rPr>
        <w:t>PV</w:t>
      </w:r>
      <w:r w:rsidRPr="000D6D21">
        <w:rPr>
          <w:i/>
          <w:sz w:val="28"/>
          <w:szCs w:val="28"/>
        </w:rPr>
        <w:t xml:space="preserve"> Little Italy, LLC v. </w:t>
      </w:r>
      <w:proofErr w:type="spellStart"/>
      <w:r w:rsidRPr="000D6D21">
        <w:rPr>
          <w:i/>
          <w:sz w:val="28"/>
          <w:szCs w:val="28"/>
        </w:rPr>
        <w:t>MetroWork</w:t>
      </w:r>
      <w:proofErr w:type="spellEnd"/>
      <w:r w:rsidRPr="000D6D21">
        <w:rPr>
          <w:i/>
          <w:sz w:val="28"/>
          <w:szCs w:val="28"/>
        </w:rPr>
        <w:t xml:space="preserve"> Condominium Assn</w:t>
      </w:r>
      <w:r w:rsidR="00AE7A25" w:rsidRPr="000D6D21">
        <w:rPr>
          <w:i/>
          <w:sz w:val="28"/>
          <w:szCs w:val="28"/>
        </w:rPr>
        <w:t>.</w:t>
      </w:r>
      <w:r w:rsidRPr="000D6D21">
        <w:rPr>
          <w:sz w:val="28"/>
          <w:szCs w:val="28"/>
        </w:rPr>
        <w:t xml:space="preserve"> (2012) 210 Cal.App.4th 132, 142</w:t>
      </w:r>
      <w:r w:rsidRPr="000D6D21">
        <w:rPr>
          <w:sz w:val="28"/>
          <w:szCs w:val="28"/>
        </w:rPr>
        <w:noBreakHyphen/>
        <w:t>143 [whether a particular order constitutes a s</w:t>
      </w:r>
      <w:r w:rsidRPr="000D6D21">
        <w:rPr>
          <w:sz w:val="28"/>
          <w:szCs w:val="28"/>
        </w:rPr>
        <w:t xml:space="preserve">eparate appealable injunction “depends not on its title or the form of the order, but on the </w:t>
      </w:r>
      <w:r w:rsidR="00392A81" w:rsidRPr="000D6D21">
        <w:rPr>
          <w:sz w:val="28"/>
          <w:szCs w:val="28"/>
        </w:rPr>
        <w:t>‘“</w:t>
      </w:r>
      <w:r w:rsidRPr="000D6D21">
        <w:rPr>
          <w:sz w:val="28"/>
          <w:szCs w:val="28"/>
        </w:rPr>
        <w:t>substance and effect of the adjudication</w:t>
      </w:r>
      <w:r w:rsidR="00392A81" w:rsidRPr="000D6D21">
        <w:rPr>
          <w:sz w:val="28"/>
          <w:szCs w:val="28"/>
        </w:rPr>
        <w:t>”’</w:t>
      </w:r>
      <w:r w:rsidRPr="000D6D21">
        <w:rPr>
          <w:sz w:val="28"/>
          <w:szCs w:val="28"/>
        </w:rPr>
        <w:t xml:space="preserve">”].)  </w:t>
      </w:r>
    </w:p>
    <w:p w14:paraId="633D17D6" w14:textId="77777777" w:rsidR="00B608AA" w:rsidRPr="000D6D21" w:rsidRDefault="00F615D7" w:rsidP="000D6D21">
      <w:pPr>
        <w:ind w:firstLine="720"/>
        <w:rPr>
          <w:sz w:val="28"/>
          <w:szCs w:val="28"/>
        </w:rPr>
      </w:pPr>
      <w:r w:rsidRPr="000D6D21">
        <w:rPr>
          <w:sz w:val="28"/>
          <w:szCs w:val="28"/>
        </w:rPr>
        <w:t>The</w:t>
      </w:r>
      <w:r w:rsidR="007A0ACE" w:rsidRPr="000D6D21">
        <w:rPr>
          <w:sz w:val="28"/>
          <w:szCs w:val="28"/>
        </w:rPr>
        <w:t xml:space="preserve"> </w:t>
      </w:r>
      <w:r w:rsidRPr="000D6D21">
        <w:rPr>
          <w:sz w:val="28"/>
          <w:szCs w:val="28"/>
        </w:rPr>
        <w:t xml:space="preserve">trial court’s </w:t>
      </w:r>
      <w:r w:rsidR="007A0ACE" w:rsidRPr="000D6D21">
        <w:rPr>
          <w:sz w:val="28"/>
          <w:szCs w:val="28"/>
        </w:rPr>
        <w:t>January 2023 order</w:t>
      </w:r>
      <w:r w:rsidRPr="000D6D21">
        <w:rPr>
          <w:sz w:val="28"/>
          <w:szCs w:val="28"/>
        </w:rPr>
        <w:t xml:space="preserve"> granted ex parte applications by the parties to (1) set an amount of bond and (2) issue additional orders </w:t>
      </w:r>
      <w:r w:rsidR="00822B70" w:rsidRPr="000D6D21">
        <w:rPr>
          <w:sz w:val="28"/>
          <w:szCs w:val="28"/>
        </w:rPr>
        <w:t xml:space="preserve">related </w:t>
      </w:r>
      <w:r w:rsidRPr="000D6D21">
        <w:rPr>
          <w:sz w:val="28"/>
          <w:szCs w:val="28"/>
        </w:rPr>
        <w:t xml:space="preserve">to the preliminary injunction.  </w:t>
      </w:r>
      <w:r w:rsidR="00A73B29" w:rsidRPr="000D6D21">
        <w:rPr>
          <w:sz w:val="28"/>
          <w:szCs w:val="28"/>
        </w:rPr>
        <w:t xml:space="preserve">We address </w:t>
      </w:r>
      <w:r w:rsidR="00850D81" w:rsidRPr="000D6D21">
        <w:rPr>
          <w:sz w:val="28"/>
          <w:szCs w:val="28"/>
        </w:rPr>
        <w:t>these</w:t>
      </w:r>
      <w:r w:rsidR="00A73B29" w:rsidRPr="000D6D21">
        <w:rPr>
          <w:sz w:val="28"/>
          <w:szCs w:val="28"/>
        </w:rPr>
        <w:t xml:space="preserve"> </w:t>
      </w:r>
      <w:r w:rsidR="00850D81" w:rsidRPr="000D6D21">
        <w:rPr>
          <w:sz w:val="28"/>
          <w:szCs w:val="28"/>
        </w:rPr>
        <w:t xml:space="preserve">portions </w:t>
      </w:r>
      <w:r w:rsidR="00A73B29" w:rsidRPr="000D6D21">
        <w:rPr>
          <w:sz w:val="28"/>
          <w:szCs w:val="28"/>
        </w:rPr>
        <w:t>in turn.</w:t>
      </w:r>
    </w:p>
    <w:p w14:paraId="633D17D7" w14:textId="77777777" w:rsidR="00A73B29" w:rsidRPr="000D6D21" w:rsidRDefault="00A73B29" w:rsidP="004612F8">
      <w:pPr>
        <w:rPr>
          <w:sz w:val="28"/>
          <w:szCs w:val="28"/>
        </w:rPr>
      </w:pPr>
    </w:p>
    <w:p w14:paraId="633D17D8" w14:textId="77777777" w:rsidR="00A73B29" w:rsidRPr="000D6D21" w:rsidRDefault="00F615D7" w:rsidP="00055997">
      <w:pPr>
        <w:ind w:left="2160" w:hanging="720"/>
        <w:rPr>
          <w:i/>
          <w:iCs/>
          <w:sz w:val="28"/>
          <w:szCs w:val="28"/>
        </w:rPr>
      </w:pPr>
      <w:r w:rsidRPr="000D6D21">
        <w:rPr>
          <w:sz w:val="28"/>
          <w:szCs w:val="28"/>
        </w:rPr>
        <w:t>a.</w:t>
      </w:r>
      <w:r w:rsidRPr="000D6D21">
        <w:rPr>
          <w:sz w:val="28"/>
          <w:szCs w:val="28"/>
        </w:rPr>
        <w:tab/>
      </w:r>
      <w:r w:rsidRPr="000D6D21">
        <w:rPr>
          <w:i/>
          <w:iCs/>
          <w:sz w:val="28"/>
          <w:szCs w:val="28"/>
        </w:rPr>
        <w:t xml:space="preserve">We </w:t>
      </w:r>
      <w:r w:rsidR="002F532F" w:rsidRPr="000D6D21">
        <w:rPr>
          <w:i/>
          <w:iCs/>
          <w:sz w:val="28"/>
          <w:szCs w:val="28"/>
        </w:rPr>
        <w:t xml:space="preserve">Do Not </w:t>
      </w:r>
      <w:r w:rsidRPr="000D6D21">
        <w:rPr>
          <w:i/>
          <w:iCs/>
          <w:sz w:val="28"/>
          <w:szCs w:val="28"/>
        </w:rPr>
        <w:t xml:space="preserve">Consider the Order Setting </w:t>
      </w:r>
      <w:r w:rsidR="002F532F" w:rsidRPr="000D6D21">
        <w:rPr>
          <w:i/>
          <w:iCs/>
          <w:sz w:val="28"/>
          <w:szCs w:val="28"/>
        </w:rPr>
        <w:t xml:space="preserve">Amount of </w:t>
      </w:r>
      <w:r w:rsidRPr="000D6D21">
        <w:rPr>
          <w:i/>
          <w:iCs/>
          <w:sz w:val="28"/>
          <w:szCs w:val="28"/>
        </w:rPr>
        <w:t>Bond</w:t>
      </w:r>
    </w:p>
    <w:p w14:paraId="633D17D9" w14:textId="77777777" w:rsidR="00503880" w:rsidRPr="000D6D21" w:rsidRDefault="00F615D7" w:rsidP="000D6D21">
      <w:pPr>
        <w:ind w:firstLine="720"/>
        <w:rPr>
          <w:sz w:val="28"/>
          <w:szCs w:val="28"/>
        </w:rPr>
      </w:pPr>
      <w:r w:rsidRPr="000D6D21">
        <w:rPr>
          <w:sz w:val="28"/>
          <w:szCs w:val="28"/>
        </w:rPr>
        <w:t>The</w:t>
      </w:r>
      <w:r w:rsidRPr="000D6D21">
        <w:rPr>
          <w:sz w:val="28"/>
          <w:szCs w:val="28"/>
        </w:rPr>
        <w:t xml:space="preserve"> PRA does not specifically bar the requirement of an undertaking on the grant of an injunction.  (</w:t>
      </w:r>
      <w:r w:rsidRPr="007B2481">
        <w:rPr>
          <w:i/>
          <w:sz w:val="28"/>
          <w:szCs w:val="28"/>
        </w:rPr>
        <w:t>Stevenson</w:t>
      </w:r>
      <w:r w:rsidRPr="000D6D21">
        <w:rPr>
          <w:i/>
          <w:sz w:val="28"/>
          <w:szCs w:val="28"/>
        </w:rPr>
        <w:t xml:space="preserve"> v. </w:t>
      </w:r>
      <w:r w:rsidRPr="000D6D21">
        <w:rPr>
          <w:i/>
          <w:sz w:val="28"/>
          <w:szCs w:val="28"/>
        </w:rPr>
        <w:lastRenderedPageBreak/>
        <w:t>City of Sacramento</w:t>
      </w:r>
      <w:r w:rsidRPr="000D6D21">
        <w:rPr>
          <w:sz w:val="28"/>
          <w:szCs w:val="28"/>
        </w:rPr>
        <w:t xml:space="preserve"> (2020) 55 Cal.App.5th 545, 552; see Code Civ. Proc</w:t>
      </w:r>
      <w:r w:rsidR="00A577E3" w:rsidRPr="000D6D21">
        <w:rPr>
          <w:sz w:val="28"/>
          <w:szCs w:val="28"/>
        </w:rPr>
        <w:t>.</w:t>
      </w:r>
      <w:r w:rsidRPr="000D6D21">
        <w:rPr>
          <w:sz w:val="28"/>
          <w:szCs w:val="28"/>
        </w:rPr>
        <w:t>, § 529.)  But “the injunction bond requirement of section 529 can be waive</w:t>
      </w:r>
      <w:r w:rsidRPr="000D6D21">
        <w:rPr>
          <w:sz w:val="28"/>
          <w:szCs w:val="28"/>
        </w:rPr>
        <w:t>d or forfeited by the party to be enjoined.”  (</w:t>
      </w:r>
      <w:r w:rsidRPr="000D6D21">
        <w:rPr>
          <w:i/>
          <w:sz w:val="28"/>
          <w:szCs w:val="28"/>
        </w:rPr>
        <w:t>Smith v. Adventist Health System/West</w:t>
      </w:r>
      <w:r w:rsidRPr="000D6D21">
        <w:rPr>
          <w:sz w:val="28"/>
          <w:szCs w:val="28"/>
        </w:rPr>
        <w:t xml:space="preserve"> (2010) 182 Cal.App.4th 729, 744 (</w:t>
      </w:r>
      <w:r w:rsidRPr="007B2481">
        <w:rPr>
          <w:i/>
          <w:sz w:val="28"/>
          <w:szCs w:val="28"/>
        </w:rPr>
        <w:t>Smith</w:t>
      </w:r>
      <w:r w:rsidRPr="000D6D21">
        <w:rPr>
          <w:sz w:val="28"/>
          <w:szCs w:val="28"/>
        </w:rPr>
        <w:t>).)  This can be done orally or in writing, or it may be “inferred from their conduct.”  (</w:t>
      </w:r>
      <w:r w:rsidRPr="000D6D21">
        <w:rPr>
          <w:i/>
          <w:sz w:val="28"/>
          <w:szCs w:val="28"/>
        </w:rPr>
        <w:t>Id.</w:t>
      </w:r>
      <w:r w:rsidR="00055997">
        <w:rPr>
          <w:sz w:val="28"/>
          <w:szCs w:val="28"/>
        </w:rPr>
        <w:t> </w:t>
      </w:r>
      <w:r w:rsidRPr="000D6D21">
        <w:rPr>
          <w:sz w:val="28"/>
          <w:szCs w:val="28"/>
        </w:rPr>
        <w:t xml:space="preserve">at p. 745.)  </w:t>
      </w:r>
    </w:p>
    <w:p w14:paraId="633D17DA" w14:textId="77777777" w:rsidR="00BE2C34" w:rsidRPr="000D6D21" w:rsidRDefault="00F615D7" w:rsidP="000D6D21">
      <w:pPr>
        <w:ind w:firstLine="720"/>
        <w:rPr>
          <w:sz w:val="28"/>
          <w:szCs w:val="28"/>
        </w:rPr>
      </w:pPr>
      <w:r w:rsidRPr="000D6D21">
        <w:rPr>
          <w:sz w:val="28"/>
          <w:szCs w:val="28"/>
        </w:rPr>
        <w:t>We decline to consider th</w:t>
      </w:r>
      <w:r w:rsidRPr="000D6D21">
        <w:rPr>
          <w:sz w:val="28"/>
          <w:szCs w:val="28"/>
        </w:rPr>
        <w:t xml:space="preserve">e issue of bond amount in this case for several reasons.  First, as the Registrar concedes, the post-injunction order setting an amount of bond </w:t>
      </w:r>
      <w:r w:rsidR="00BD40F3" w:rsidRPr="000D6D21">
        <w:rPr>
          <w:sz w:val="28"/>
          <w:szCs w:val="28"/>
        </w:rPr>
        <w:t xml:space="preserve">amount </w:t>
      </w:r>
      <w:r w:rsidRPr="000D6D21">
        <w:rPr>
          <w:sz w:val="28"/>
          <w:szCs w:val="28"/>
        </w:rPr>
        <w:t>is not separately appealable.  (</w:t>
      </w:r>
      <w:r w:rsidRPr="007B2481">
        <w:rPr>
          <w:i/>
          <w:iCs/>
          <w:sz w:val="28"/>
          <w:szCs w:val="28"/>
        </w:rPr>
        <w:t>County</w:t>
      </w:r>
      <w:r w:rsidRPr="000D6D21">
        <w:rPr>
          <w:i/>
          <w:iCs/>
          <w:sz w:val="28"/>
          <w:szCs w:val="28"/>
        </w:rPr>
        <w:t xml:space="preserve"> of Los Angeles v. City of Los Angeles</w:t>
      </w:r>
      <w:r w:rsidRPr="000D6D21">
        <w:rPr>
          <w:sz w:val="28"/>
          <w:szCs w:val="28"/>
        </w:rPr>
        <w:t xml:space="preserve"> (1999) 76 Cal.App.4th 1025, </w:t>
      </w:r>
      <w:r w:rsidRPr="000D6D21">
        <w:rPr>
          <w:sz w:val="28"/>
          <w:szCs w:val="28"/>
        </w:rPr>
        <w:t>1027</w:t>
      </w:r>
      <w:r w:rsidRPr="000D6D21">
        <w:rPr>
          <w:sz w:val="28"/>
          <w:szCs w:val="28"/>
        </w:rPr>
        <w:noBreakHyphen/>
        <w:t xml:space="preserve">1028; see </w:t>
      </w:r>
      <w:r w:rsidRPr="007B2481">
        <w:rPr>
          <w:i/>
          <w:sz w:val="28"/>
          <w:szCs w:val="28"/>
        </w:rPr>
        <w:t>People</w:t>
      </w:r>
      <w:r w:rsidRPr="000D6D21">
        <w:rPr>
          <w:i/>
          <w:sz w:val="28"/>
          <w:szCs w:val="28"/>
        </w:rPr>
        <w:t xml:space="preserve"> ex rel. Feuer v. Progressive Horizon, Inc.</w:t>
      </w:r>
      <w:r w:rsidRPr="000D6D21">
        <w:rPr>
          <w:sz w:val="28"/>
          <w:szCs w:val="28"/>
        </w:rPr>
        <w:t xml:space="preserve"> </w:t>
      </w:r>
      <w:r w:rsidR="00082127">
        <w:rPr>
          <w:sz w:val="28"/>
          <w:szCs w:val="28"/>
        </w:rPr>
        <w:t>(</w:t>
      </w:r>
      <w:r w:rsidRPr="000D6D21">
        <w:rPr>
          <w:sz w:val="28"/>
          <w:szCs w:val="28"/>
        </w:rPr>
        <w:t>2016) 248 Cal.App.4th 533, 538</w:t>
      </w:r>
      <w:r w:rsidRPr="000D6D21">
        <w:rPr>
          <w:sz w:val="28"/>
          <w:szCs w:val="28"/>
        </w:rPr>
        <w:noBreakHyphen/>
        <w:t xml:space="preserve">539.)  </w:t>
      </w:r>
    </w:p>
    <w:p w14:paraId="633D17DB" w14:textId="77777777" w:rsidR="00503880" w:rsidRPr="000D6D21" w:rsidRDefault="00F615D7" w:rsidP="000D6D21">
      <w:pPr>
        <w:rPr>
          <w:sz w:val="28"/>
          <w:szCs w:val="28"/>
        </w:rPr>
      </w:pPr>
      <w:r w:rsidRPr="000D6D21">
        <w:rPr>
          <w:sz w:val="28"/>
          <w:szCs w:val="28"/>
        </w:rPr>
        <w:tab/>
      </w:r>
      <w:r w:rsidR="00072D0C" w:rsidRPr="000D6D21">
        <w:rPr>
          <w:sz w:val="28"/>
          <w:szCs w:val="28"/>
        </w:rPr>
        <w:t>Second</w:t>
      </w:r>
      <w:r w:rsidRPr="000D6D21">
        <w:rPr>
          <w:sz w:val="28"/>
          <w:szCs w:val="28"/>
        </w:rPr>
        <w:t xml:space="preserve">, the Registrar did not argue for the posting of </w:t>
      </w:r>
      <w:r w:rsidR="00686883" w:rsidRPr="000D6D21">
        <w:rPr>
          <w:sz w:val="28"/>
          <w:szCs w:val="28"/>
        </w:rPr>
        <w:t>bond</w:t>
      </w:r>
      <w:r w:rsidRPr="000D6D21">
        <w:rPr>
          <w:sz w:val="28"/>
          <w:szCs w:val="28"/>
        </w:rPr>
        <w:t xml:space="preserve"> </w:t>
      </w:r>
      <w:r w:rsidR="00801466" w:rsidRPr="000D6D21">
        <w:rPr>
          <w:sz w:val="28"/>
          <w:szCs w:val="28"/>
        </w:rPr>
        <w:t xml:space="preserve">or </w:t>
      </w:r>
      <w:r w:rsidR="00436BF9">
        <w:rPr>
          <w:sz w:val="28"/>
          <w:szCs w:val="28"/>
        </w:rPr>
        <w:t xml:space="preserve">for </w:t>
      </w:r>
      <w:r w:rsidR="00801466" w:rsidRPr="000D6D21">
        <w:rPr>
          <w:sz w:val="28"/>
          <w:szCs w:val="28"/>
        </w:rPr>
        <w:t xml:space="preserve">an amount </w:t>
      </w:r>
      <w:r w:rsidRPr="000D6D21">
        <w:rPr>
          <w:sz w:val="28"/>
          <w:szCs w:val="28"/>
        </w:rPr>
        <w:t>in its written opposition to the Committee’s application for</w:t>
      </w:r>
      <w:r w:rsidR="00686883" w:rsidRPr="000D6D21">
        <w:rPr>
          <w:sz w:val="28"/>
          <w:szCs w:val="28"/>
        </w:rPr>
        <w:t xml:space="preserve"> an </w:t>
      </w:r>
      <w:r w:rsidRPr="000D6D21">
        <w:rPr>
          <w:sz w:val="28"/>
          <w:szCs w:val="28"/>
        </w:rPr>
        <w:t>injunction.</w:t>
      </w:r>
      <w:r>
        <w:rPr>
          <w:rStyle w:val="FootnoteReference"/>
          <w:sz w:val="28"/>
          <w:szCs w:val="28"/>
        </w:rPr>
        <w:footnoteReference w:id="15"/>
      </w:r>
      <w:r w:rsidRPr="000D6D21">
        <w:rPr>
          <w:sz w:val="28"/>
          <w:szCs w:val="28"/>
        </w:rPr>
        <w:t xml:space="preserve">  The trial court’s tentative decision informed the Registrar of the posting of bond</w:t>
      </w:r>
      <w:r w:rsidR="00850D81" w:rsidRPr="000D6D21">
        <w:rPr>
          <w:sz w:val="28"/>
          <w:szCs w:val="28"/>
        </w:rPr>
        <w:t xml:space="preserve">, </w:t>
      </w:r>
      <w:r w:rsidR="00BE2C34" w:rsidRPr="000D6D21">
        <w:rPr>
          <w:sz w:val="28"/>
          <w:szCs w:val="28"/>
        </w:rPr>
        <w:t>the failure of the parties to set forth</w:t>
      </w:r>
      <w:r w:rsidRPr="000D6D21">
        <w:rPr>
          <w:sz w:val="28"/>
          <w:szCs w:val="28"/>
        </w:rPr>
        <w:t xml:space="preserve"> </w:t>
      </w:r>
      <w:r w:rsidR="00BE2C34" w:rsidRPr="000D6D21">
        <w:rPr>
          <w:sz w:val="28"/>
          <w:szCs w:val="28"/>
        </w:rPr>
        <w:t xml:space="preserve">argument </w:t>
      </w:r>
      <w:r w:rsidR="00436BF9">
        <w:rPr>
          <w:sz w:val="28"/>
          <w:szCs w:val="28"/>
        </w:rPr>
        <w:t>on</w:t>
      </w:r>
      <w:r w:rsidR="00436BF9" w:rsidRPr="000D6D21">
        <w:rPr>
          <w:sz w:val="28"/>
          <w:szCs w:val="28"/>
        </w:rPr>
        <w:t xml:space="preserve"> </w:t>
      </w:r>
      <w:r w:rsidRPr="000D6D21">
        <w:rPr>
          <w:sz w:val="28"/>
          <w:szCs w:val="28"/>
        </w:rPr>
        <w:t>a bond amount</w:t>
      </w:r>
      <w:r w:rsidR="00BE2C34" w:rsidRPr="000D6D21">
        <w:rPr>
          <w:sz w:val="28"/>
          <w:szCs w:val="28"/>
        </w:rPr>
        <w:t xml:space="preserve">, and the ability to raise </w:t>
      </w:r>
      <w:r w:rsidRPr="000D6D21">
        <w:rPr>
          <w:sz w:val="28"/>
          <w:szCs w:val="28"/>
        </w:rPr>
        <w:t>“the value of the bond at the hearing.”  The Registrar did not do</w:t>
      </w:r>
      <w:r w:rsidRPr="000D6D21">
        <w:rPr>
          <w:sz w:val="28"/>
          <w:szCs w:val="28"/>
        </w:rPr>
        <w:t xml:space="preserve"> so,</w:t>
      </w:r>
      <w:r>
        <w:rPr>
          <w:rStyle w:val="FootnoteReference"/>
          <w:sz w:val="28"/>
          <w:szCs w:val="28"/>
        </w:rPr>
        <w:footnoteReference w:id="16"/>
      </w:r>
      <w:r w:rsidRPr="000D6D21">
        <w:rPr>
          <w:sz w:val="28"/>
          <w:szCs w:val="28"/>
        </w:rPr>
        <w:t xml:space="preserve"> and instead </w:t>
      </w:r>
      <w:r w:rsidRPr="000D6D21">
        <w:rPr>
          <w:sz w:val="28"/>
          <w:szCs w:val="28"/>
        </w:rPr>
        <w:lastRenderedPageBreak/>
        <w:t>complied with several directives in the injunction order while attempt</w:t>
      </w:r>
      <w:r w:rsidR="00BE2C34" w:rsidRPr="000D6D21">
        <w:rPr>
          <w:sz w:val="28"/>
          <w:szCs w:val="28"/>
        </w:rPr>
        <w:t>ing</w:t>
      </w:r>
      <w:r w:rsidRPr="000D6D21">
        <w:rPr>
          <w:sz w:val="28"/>
          <w:szCs w:val="28"/>
        </w:rPr>
        <w:t xml:space="preserve"> to “meet and confer to discuss an amount [of bond] and try to resolve this by submitting a stipulation.” </w:t>
      </w:r>
      <w:r w:rsidR="00436BF9">
        <w:rPr>
          <w:sz w:val="28"/>
          <w:szCs w:val="28"/>
        </w:rPr>
        <w:t xml:space="preserve"> </w:t>
      </w:r>
      <w:r w:rsidRPr="000D6D21">
        <w:rPr>
          <w:sz w:val="28"/>
          <w:szCs w:val="28"/>
        </w:rPr>
        <w:t>It was only when the Committee informed the Registrar tha</w:t>
      </w:r>
      <w:r w:rsidRPr="000D6D21">
        <w:rPr>
          <w:sz w:val="28"/>
          <w:szCs w:val="28"/>
        </w:rPr>
        <w:t>t it saw no “basis for the Registrar to seek to reopen or reconsider the issue of a bond with the [c]</w:t>
      </w:r>
      <w:proofErr w:type="spellStart"/>
      <w:r w:rsidRPr="000D6D21">
        <w:rPr>
          <w:sz w:val="28"/>
          <w:szCs w:val="28"/>
        </w:rPr>
        <w:t>ourt</w:t>
      </w:r>
      <w:proofErr w:type="spellEnd"/>
      <w:r w:rsidRPr="000D6D21">
        <w:rPr>
          <w:sz w:val="28"/>
          <w:szCs w:val="28"/>
        </w:rPr>
        <w:t xml:space="preserve">” that </w:t>
      </w:r>
      <w:r w:rsidR="00BE2C34" w:rsidRPr="000D6D21">
        <w:rPr>
          <w:sz w:val="28"/>
          <w:szCs w:val="28"/>
        </w:rPr>
        <w:t>the Registrar</w:t>
      </w:r>
      <w:r w:rsidRPr="000D6D21">
        <w:rPr>
          <w:sz w:val="28"/>
          <w:szCs w:val="28"/>
        </w:rPr>
        <w:t xml:space="preserve"> filed </w:t>
      </w:r>
      <w:r w:rsidR="00686883" w:rsidRPr="000D6D21">
        <w:rPr>
          <w:sz w:val="28"/>
          <w:szCs w:val="28"/>
        </w:rPr>
        <w:t>an</w:t>
      </w:r>
      <w:r w:rsidRPr="000D6D21">
        <w:rPr>
          <w:sz w:val="28"/>
          <w:szCs w:val="28"/>
        </w:rPr>
        <w:t xml:space="preserve"> ex parte application </w:t>
      </w:r>
      <w:r w:rsidR="00BE2C34" w:rsidRPr="000D6D21">
        <w:rPr>
          <w:sz w:val="28"/>
          <w:szCs w:val="28"/>
        </w:rPr>
        <w:t xml:space="preserve">to set </w:t>
      </w:r>
      <w:r w:rsidRPr="000D6D21">
        <w:rPr>
          <w:sz w:val="28"/>
          <w:szCs w:val="28"/>
        </w:rPr>
        <w:t>bond</w:t>
      </w:r>
      <w:r w:rsidR="00436BF9">
        <w:rPr>
          <w:sz w:val="28"/>
          <w:szCs w:val="28"/>
        </w:rPr>
        <w:t xml:space="preserve"> amount</w:t>
      </w:r>
      <w:r w:rsidRPr="000D6D21">
        <w:rPr>
          <w:sz w:val="28"/>
          <w:szCs w:val="28"/>
        </w:rPr>
        <w:t xml:space="preserve">. </w:t>
      </w:r>
    </w:p>
    <w:p w14:paraId="633D17DC" w14:textId="77777777" w:rsidR="00503880" w:rsidRPr="000D6D21" w:rsidRDefault="00F615D7" w:rsidP="000D6D21">
      <w:pPr>
        <w:rPr>
          <w:sz w:val="28"/>
          <w:szCs w:val="28"/>
        </w:rPr>
      </w:pPr>
      <w:r w:rsidRPr="000D6D21">
        <w:rPr>
          <w:sz w:val="28"/>
          <w:szCs w:val="28"/>
        </w:rPr>
        <w:tab/>
        <w:t>On the</w:t>
      </w:r>
      <w:r w:rsidR="00801466" w:rsidRPr="000D6D21">
        <w:rPr>
          <w:sz w:val="28"/>
          <w:szCs w:val="28"/>
        </w:rPr>
        <w:t>se</w:t>
      </w:r>
      <w:r w:rsidRPr="000D6D21">
        <w:rPr>
          <w:sz w:val="28"/>
          <w:szCs w:val="28"/>
        </w:rPr>
        <w:t xml:space="preserve"> facts, we decline to consider the Registrar’s challenge to the amount</w:t>
      </w:r>
      <w:r w:rsidRPr="000D6D21">
        <w:rPr>
          <w:sz w:val="28"/>
          <w:szCs w:val="28"/>
        </w:rPr>
        <w:t xml:space="preserve"> of bond.  To rule otherwise would invite parties “to achieve a greater benefit by saving the injunction bond issue for appeal when it could have been dealt with more efficiently in the lower court with mu</w:t>
      </w:r>
      <w:r w:rsidR="00BE2C34" w:rsidRPr="000D6D21">
        <w:rPr>
          <w:sz w:val="28"/>
          <w:szCs w:val="28"/>
        </w:rPr>
        <w:t>ch</w:t>
      </w:r>
      <w:r w:rsidRPr="000D6D21">
        <w:rPr>
          <w:sz w:val="28"/>
          <w:szCs w:val="28"/>
        </w:rPr>
        <w:t xml:space="preserve"> less detriment to the party who obtained the inj</w:t>
      </w:r>
      <w:r w:rsidRPr="000D6D21">
        <w:rPr>
          <w:sz w:val="28"/>
          <w:szCs w:val="28"/>
        </w:rPr>
        <w:t>unction.”  (</w:t>
      </w:r>
      <w:r w:rsidRPr="000D6D21">
        <w:rPr>
          <w:i/>
          <w:sz w:val="28"/>
          <w:szCs w:val="28"/>
        </w:rPr>
        <w:t>Smith</w:t>
      </w:r>
      <w:r w:rsidRPr="000D6D21">
        <w:rPr>
          <w:sz w:val="28"/>
          <w:szCs w:val="28"/>
        </w:rPr>
        <w:t xml:space="preserve">, </w:t>
      </w:r>
      <w:r w:rsidRPr="000D6D21">
        <w:rPr>
          <w:i/>
          <w:sz w:val="28"/>
          <w:szCs w:val="28"/>
        </w:rPr>
        <w:t>supra</w:t>
      </w:r>
      <w:r w:rsidRPr="000D6D21">
        <w:rPr>
          <w:sz w:val="28"/>
          <w:szCs w:val="28"/>
        </w:rPr>
        <w:t xml:space="preserve">, 182 Cal.App.4th at p. 749.)  This principle is particularly significant </w:t>
      </w:r>
      <w:r w:rsidR="00BE2C34" w:rsidRPr="000D6D21">
        <w:rPr>
          <w:sz w:val="28"/>
          <w:szCs w:val="28"/>
        </w:rPr>
        <w:t xml:space="preserve">in </w:t>
      </w:r>
      <w:r w:rsidR="00BD40F3" w:rsidRPr="000D6D21">
        <w:rPr>
          <w:sz w:val="28"/>
          <w:szCs w:val="28"/>
        </w:rPr>
        <w:t xml:space="preserve">this case, which as discussed requires </w:t>
      </w:r>
      <w:r w:rsidRPr="000D6D21">
        <w:rPr>
          <w:sz w:val="28"/>
          <w:szCs w:val="28"/>
        </w:rPr>
        <w:t>expedite</w:t>
      </w:r>
      <w:r w:rsidR="00BE2C34" w:rsidRPr="000D6D21">
        <w:rPr>
          <w:sz w:val="28"/>
          <w:szCs w:val="28"/>
        </w:rPr>
        <w:t>d</w:t>
      </w:r>
      <w:r w:rsidRPr="000D6D21">
        <w:rPr>
          <w:sz w:val="28"/>
          <w:szCs w:val="28"/>
        </w:rPr>
        <w:t xml:space="preserve"> judicial review.  (Cf. </w:t>
      </w:r>
      <w:r w:rsidRPr="000D6D21">
        <w:rPr>
          <w:i/>
          <w:sz w:val="28"/>
          <w:szCs w:val="28"/>
        </w:rPr>
        <w:t>ibid</w:t>
      </w:r>
      <w:r w:rsidR="00780946" w:rsidRPr="000D6D21">
        <w:rPr>
          <w:i/>
          <w:sz w:val="28"/>
          <w:szCs w:val="28"/>
        </w:rPr>
        <w:t>.</w:t>
      </w:r>
      <w:r w:rsidRPr="000D6D21">
        <w:rPr>
          <w:sz w:val="28"/>
          <w:szCs w:val="28"/>
        </w:rPr>
        <w:t xml:space="preserve"> [“[t]he resulting inefficiencies are an unacceptable burden on the administration of civil litigation”].)</w:t>
      </w:r>
    </w:p>
    <w:p w14:paraId="633D17DD" w14:textId="77777777" w:rsidR="001D6765" w:rsidRPr="000D6D21" w:rsidRDefault="001D6765" w:rsidP="000D6D21">
      <w:pPr>
        <w:rPr>
          <w:sz w:val="28"/>
          <w:szCs w:val="28"/>
        </w:rPr>
      </w:pPr>
    </w:p>
    <w:p w14:paraId="633D17DE" w14:textId="77777777" w:rsidR="00A73B29" w:rsidRPr="000D6D21" w:rsidRDefault="00F615D7" w:rsidP="00172D0C">
      <w:pPr>
        <w:ind w:left="2160" w:hanging="720"/>
        <w:rPr>
          <w:i/>
          <w:iCs/>
          <w:sz w:val="28"/>
          <w:szCs w:val="28"/>
        </w:rPr>
      </w:pPr>
      <w:r w:rsidRPr="000D6D21">
        <w:rPr>
          <w:sz w:val="28"/>
          <w:szCs w:val="28"/>
        </w:rPr>
        <w:t>b.</w:t>
      </w:r>
      <w:r w:rsidRPr="000D6D21">
        <w:rPr>
          <w:sz w:val="28"/>
          <w:szCs w:val="28"/>
        </w:rPr>
        <w:tab/>
      </w:r>
      <w:r w:rsidRPr="000D6D21">
        <w:rPr>
          <w:i/>
          <w:iCs/>
          <w:sz w:val="28"/>
          <w:szCs w:val="28"/>
        </w:rPr>
        <w:t>We</w:t>
      </w:r>
      <w:r w:rsidR="00503880" w:rsidRPr="000D6D21">
        <w:rPr>
          <w:i/>
          <w:iCs/>
          <w:sz w:val="28"/>
          <w:szCs w:val="28"/>
        </w:rPr>
        <w:t xml:space="preserve"> Consider</w:t>
      </w:r>
      <w:r w:rsidRPr="000D6D21">
        <w:rPr>
          <w:i/>
          <w:iCs/>
          <w:sz w:val="28"/>
          <w:szCs w:val="28"/>
        </w:rPr>
        <w:t xml:space="preserve"> New Directives </w:t>
      </w:r>
      <w:r w:rsidR="00503880" w:rsidRPr="000D6D21">
        <w:rPr>
          <w:i/>
          <w:iCs/>
          <w:sz w:val="28"/>
          <w:szCs w:val="28"/>
        </w:rPr>
        <w:t>in</w:t>
      </w:r>
      <w:r w:rsidRPr="000D6D21">
        <w:rPr>
          <w:i/>
          <w:iCs/>
          <w:sz w:val="28"/>
          <w:szCs w:val="28"/>
        </w:rPr>
        <w:t xml:space="preserve"> the </w:t>
      </w:r>
      <w:r w:rsidR="00822B70" w:rsidRPr="000D6D21">
        <w:rPr>
          <w:i/>
          <w:iCs/>
          <w:sz w:val="28"/>
          <w:szCs w:val="28"/>
        </w:rPr>
        <w:t>January</w:t>
      </w:r>
      <w:r w:rsidRPr="000D6D21">
        <w:rPr>
          <w:i/>
          <w:iCs/>
          <w:sz w:val="28"/>
          <w:szCs w:val="28"/>
        </w:rPr>
        <w:t xml:space="preserve"> </w:t>
      </w:r>
      <w:r w:rsidR="00686883" w:rsidRPr="000D6D21">
        <w:rPr>
          <w:i/>
          <w:iCs/>
          <w:sz w:val="28"/>
          <w:szCs w:val="28"/>
        </w:rPr>
        <w:t xml:space="preserve">2023 </w:t>
      </w:r>
      <w:r w:rsidRPr="000D6D21">
        <w:rPr>
          <w:i/>
          <w:iCs/>
          <w:sz w:val="28"/>
          <w:szCs w:val="28"/>
        </w:rPr>
        <w:t>Order</w:t>
      </w:r>
    </w:p>
    <w:p w14:paraId="633D17DF" w14:textId="77777777" w:rsidR="005B0F6A" w:rsidRPr="000D6D21" w:rsidRDefault="00F615D7" w:rsidP="000D6D21">
      <w:pPr>
        <w:ind w:firstLine="720"/>
        <w:rPr>
          <w:sz w:val="28"/>
          <w:szCs w:val="28"/>
        </w:rPr>
      </w:pPr>
      <w:r w:rsidRPr="000D6D21">
        <w:rPr>
          <w:sz w:val="28"/>
          <w:szCs w:val="28"/>
        </w:rPr>
        <w:t xml:space="preserve">What remains </w:t>
      </w:r>
      <w:r w:rsidR="00686883" w:rsidRPr="000D6D21">
        <w:rPr>
          <w:sz w:val="28"/>
          <w:szCs w:val="28"/>
        </w:rPr>
        <w:t>in</w:t>
      </w:r>
      <w:r w:rsidRPr="000D6D21">
        <w:rPr>
          <w:sz w:val="28"/>
          <w:szCs w:val="28"/>
        </w:rPr>
        <w:t xml:space="preserve"> the January 2023 order </w:t>
      </w:r>
      <w:r w:rsidR="00686883" w:rsidRPr="000D6D21">
        <w:rPr>
          <w:sz w:val="28"/>
          <w:szCs w:val="28"/>
        </w:rPr>
        <w:t xml:space="preserve">are directives </w:t>
      </w:r>
      <w:r w:rsidRPr="000D6D21">
        <w:rPr>
          <w:sz w:val="28"/>
          <w:szCs w:val="28"/>
        </w:rPr>
        <w:t xml:space="preserve">commanding the Registrar to disclose </w:t>
      </w:r>
      <w:r w:rsidR="00BD40F3" w:rsidRPr="000D6D21">
        <w:rPr>
          <w:sz w:val="28"/>
          <w:szCs w:val="28"/>
        </w:rPr>
        <w:t xml:space="preserve">additional </w:t>
      </w:r>
      <w:r w:rsidRPr="000D6D21">
        <w:rPr>
          <w:sz w:val="28"/>
          <w:szCs w:val="28"/>
        </w:rPr>
        <w:t xml:space="preserve">documents </w:t>
      </w:r>
      <w:r w:rsidRPr="000D6D21">
        <w:rPr>
          <w:sz w:val="28"/>
          <w:szCs w:val="28"/>
        </w:rPr>
        <w:lastRenderedPageBreak/>
        <w:t xml:space="preserve">and </w:t>
      </w:r>
      <w:r w:rsidR="00BD40F3" w:rsidRPr="000D6D21">
        <w:rPr>
          <w:sz w:val="28"/>
          <w:szCs w:val="28"/>
        </w:rPr>
        <w:t xml:space="preserve">to </w:t>
      </w:r>
      <w:r w:rsidRPr="000D6D21">
        <w:rPr>
          <w:sz w:val="28"/>
          <w:szCs w:val="28"/>
        </w:rPr>
        <w:t>expand access</w:t>
      </w:r>
      <w:r w:rsidR="00746C31" w:rsidRPr="000D6D21">
        <w:rPr>
          <w:sz w:val="28"/>
          <w:szCs w:val="28"/>
        </w:rPr>
        <w:t>.  The Registrar challenges two directives in th</w:t>
      </w:r>
      <w:r w:rsidR="00C43F32" w:rsidRPr="000D6D21">
        <w:rPr>
          <w:sz w:val="28"/>
          <w:szCs w:val="28"/>
        </w:rPr>
        <w:t>is</w:t>
      </w:r>
      <w:r w:rsidR="00746C31" w:rsidRPr="000D6D21">
        <w:rPr>
          <w:sz w:val="28"/>
          <w:szCs w:val="28"/>
        </w:rPr>
        <w:t xml:space="preserve"> order</w:t>
      </w:r>
      <w:r w:rsidR="00BD40F3" w:rsidRPr="000D6D21">
        <w:rPr>
          <w:sz w:val="28"/>
          <w:szCs w:val="28"/>
        </w:rPr>
        <w:t>:</w:t>
      </w:r>
      <w:r w:rsidR="006E524F" w:rsidRPr="000D6D21">
        <w:rPr>
          <w:sz w:val="28"/>
          <w:szCs w:val="28"/>
        </w:rPr>
        <w:t xml:space="preserve"> </w:t>
      </w:r>
      <w:r w:rsidR="002541BB">
        <w:rPr>
          <w:sz w:val="28"/>
          <w:szCs w:val="28"/>
        </w:rPr>
        <w:t xml:space="preserve"> </w:t>
      </w:r>
      <w:r w:rsidR="00436BF9">
        <w:rPr>
          <w:sz w:val="28"/>
          <w:szCs w:val="28"/>
        </w:rPr>
        <w:t xml:space="preserve">(1) </w:t>
      </w:r>
      <w:r w:rsidR="00746C31" w:rsidRPr="000D6D21">
        <w:rPr>
          <w:sz w:val="28"/>
          <w:szCs w:val="28"/>
        </w:rPr>
        <w:t xml:space="preserve">use of electronic voter </w:t>
      </w:r>
      <w:r w:rsidR="0063683F" w:rsidRPr="000D6D21">
        <w:rPr>
          <w:sz w:val="28"/>
          <w:szCs w:val="28"/>
        </w:rPr>
        <w:t>lists</w:t>
      </w:r>
      <w:r w:rsidR="00746C31" w:rsidRPr="000D6D21">
        <w:rPr>
          <w:sz w:val="28"/>
          <w:szCs w:val="28"/>
        </w:rPr>
        <w:t xml:space="preserve"> outside the examination room</w:t>
      </w:r>
      <w:r w:rsidR="00BD40F3" w:rsidRPr="000D6D21">
        <w:rPr>
          <w:sz w:val="28"/>
          <w:szCs w:val="28"/>
        </w:rPr>
        <w:t xml:space="preserve">; </w:t>
      </w:r>
      <w:r w:rsidR="00746C31" w:rsidRPr="000D6D21">
        <w:rPr>
          <w:sz w:val="28"/>
          <w:szCs w:val="28"/>
        </w:rPr>
        <w:t xml:space="preserve">and </w:t>
      </w:r>
      <w:r w:rsidR="00436BF9">
        <w:rPr>
          <w:sz w:val="28"/>
          <w:szCs w:val="28"/>
        </w:rPr>
        <w:t xml:space="preserve">(2) </w:t>
      </w:r>
      <w:r w:rsidR="00746C31" w:rsidRPr="000D6D21">
        <w:rPr>
          <w:sz w:val="28"/>
          <w:szCs w:val="28"/>
        </w:rPr>
        <w:t>disclosure of current and former affidavits of voter registration</w:t>
      </w:r>
      <w:r w:rsidR="00072D0C" w:rsidRPr="000D6D21">
        <w:rPr>
          <w:sz w:val="28"/>
          <w:szCs w:val="28"/>
        </w:rPr>
        <w:t xml:space="preserve">.  We agree with the Registrar that these </w:t>
      </w:r>
      <w:r w:rsidR="00C43F32" w:rsidRPr="000D6D21">
        <w:rPr>
          <w:sz w:val="28"/>
          <w:szCs w:val="28"/>
        </w:rPr>
        <w:t>are</w:t>
      </w:r>
      <w:r w:rsidR="00746C31" w:rsidRPr="000D6D21">
        <w:rPr>
          <w:sz w:val="28"/>
          <w:szCs w:val="28"/>
        </w:rPr>
        <w:t xml:space="preserve"> </w:t>
      </w:r>
      <w:r w:rsidRPr="000D6D21">
        <w:rPr>
          <w:i/>
          <w:iCs/>
          <w:sz w:val="28"/>
          <w:szCs w:val="28"/>
        </w:rPr>
        <w:t xml:space="preserve">new </w:t>
      </w:r>
      <w:r w:rsidRPr="000D6D21">
        <w:rPr>
          <w:sz w:val="28"/>
          <w:szCs w:val="28"/>
        </w:rPr>
        <w:t>directives</w:t>
      </w:r>
      <w:r w:rsidR="00072D0C" w:rsidRPr="000D6D21">
        <w:rPr>
          <w:sz w:val="28"/>
          <w:szCs w:val="28"/>
        </w:rPr>
        <w:t xml:space="preserve"> warranting consideration.</w:t>
      </w:r>
      <w:r>
        <w:rPr>
          <w:rStyle w:val="FootnoteReference"/>
          <w:sz w:val="28"/>
          <w:szCs w:val="28"/>
        </w:rPr>
        <w:footnoteReference w:id="17"/>
      </w:r>
      <w:r w:rsidR="00072D0C" w:rsidRPr="000D6D21">
        <w:rPr>
          <w:sz w:val="28"/>
          <w:szCs w:val="28"/>
        </w:rPr>
        <w:t xml:space="preserve">  We review the merits of these </w:t>
      </w:r>
      <w:r w:rsidR="00686883" w:rsidRPr="000D6D21">
        <w:rPr>
          <w:sz w:val="28"/>
          <w:szCs w:val="28"/>
        </w:rPr>
        <w:t>directives</w:t>
      </w:r>
      <w:r w:rsidR="00072D0C" w:rsidRPr="000D6D21">
        <w:rPr>
          <w:sz w:val="28"/>
          <w:szCs w:val="28"/>
        </w:rPr>
        <w:t xml:space="preserve"> </w:t>
      </w:r>
      <w:r w:rsidRPr="000D6D21">
        <w:rPr>
          <w:sz w:val="28"/>
          <w:szCs w:val="28"/>
        </w:rPr>
        <w:t>de novo</w:t>
      </w:r>
      <w:r w:rsidR="00AF043B" w:rsidRPr="000D6D21">
        <w:rPr>
          <w:sz w:val="28"/>
          <w:szCs w:val="28"/>
        </w:rPr>
        <w:t>.  (</w:t>
      </w:r>
      <w:r w:rsidR="00AF043B" w:rsidRPr="007B2481">
        <w:rPr>
          <w:i/>
          <w:sz w:val="28"/>
          <w:szCs w:val="28"/>
        </w:rPr>
        <w:t>Kinney</w:t>
      </w:r>
      <w:r w:rsidR="00AF043B" w:rsidRPr="000D6D21">
        <w:rPr>
          <w:i/>
          <w:sz w:val="28"/>
          <w:szCs w:val="28"/>
        </w:rPr>
        <w:t xml:space="preserve"> v. Superior Court </w:t>
      </w:r>
      <w:r w:rsidR="00AF043B" w:rsidRPr="000D6D21">
        <w:rPr>
          <w:sz w:val="28"/>
          <w:szCs w:val="28"/>
        </w:rPr>
        <w:t>(2022) 77 Cal.App.5th 168, 177</w:t>
      </w:r>
      <w:r w:rsidRPr="000D6D21">
        <w:rPr>
          <w:sz w:val="28"/>
          <w:szCs w:val="28"/>
        </w:rPr>
        <w:t xml:space="preserve">; </w:t>
      </w:r>
      <w:r w:rsidR="00072D0C" w:rsidRPr="007B2481">
        <w:rPr>
          <w:i/>
          <w:iCs/>
          <w:sz w:val="28"/>
          <w:szCs w:val="28"/>
        </w:rPr>
        <w:t>Los</w:t>
      </w:r>
      <w:r w:rsidR="00072D0C" w:rsidRPr="000D6D21">
        <w:rPr>
          <w:i/>
          <w:iCs/>
          <w:sz w:val="28"/>
          <w:szCs w:val="28"/>
        </w:rPr>
        <w:t xml:space="preserve"> Angeles Unified School Dist. v. Superior Court</w:t>
      </w:r>
      <w:r w:rsidR="00072D0C" w:rsidRPr="000D6D21">
        <w:rPr>
          <w:sz w:val="28"/>
          <w:szCs w:val="28"/>
        </w:rPr>
        <w:t xml:space="preserve"> (2014) 228 Cal.App.4th 222, 236</w:t>
      </w:r>
      <w:r w:rsidR="00072D0C" w:rsidRPr="000D6D21">
        <w:rPr>
          <w:sz w:val="28"/>
          <w:szCs w:val="28"/>
        </w:rPr>
        <w:noBreakHyphen/>
        <w:t>237</w:t>
      </w:r>
      <w:r w:rsidR="00801466" w:rsidRPr="000D6D21">
        <w:rPr>
          <w:sz w:val="28"/>
          <w:szCs w:val="28"/>
        </w:rPr>
        <w:t>.</w:t>
      </w:r>
      <w:r w:rsidR="00072D0C" w:rsidRPr="000D6D21">
        <w:rPr>
          <w:sz w:val="28"/>
          <w:szCs w:val="28"/>
        </w:rPr>
        <w:t xml:space="preserve">) </w:t>
      </w:r>
    </w:p>
    <w:p w14:paraId="633D17E0" w14:textId="77777777" w:rsidR="00072D0C" w:rsidRPr="000D6D21" w:rsidRDefault="00072D0C" w:rsidP="000D6D21">
      <w:pPr>
        <w:ind w:firstLine="720"/>
        <w:rPr>
          <w:sz w:val="28"/>
          <w:szCs w:val="28"/>
        </w:rPr>
      </w:pPr>
    </w:p>
    <w:p w14:paraId="633D17E1" w14:textId="77777777" w:rsidR="00A73B29" w:rsidRPr="000D6D21" w:rsidRDefault="00F615D7" w:rsidP="000D6D21">
      <w:pPr>
        <w:ind w:firstLine="720"/>
        <w:rPr>
          <w:sz w:val="28"/>
          <w:szCs w:val="28"/>
        </w:rPr>
      </w:pPr>
      <w:r w:rsidRPr="000D6D21">
        <w:rPr>
          <w:sz w:val="28"/>
          <w:szCs w:val="28"/>
        </w:rPr>
        <w:tab/>
      </w:r>
      <w:r w:rsidR="00503880" w:rsidRPr="000D6D21">
        <w:rPr>
          <w:sz w:val="28"/>
          <w:szCs w:val="28"/>
        </w:rPr>
        <w:tab/>
        <w:t>1.</w:t>
      </w:r>
      <w:r w:rsidR="00503880" w:rsidRPr="000D6D21">
        <w:rPr>
          <w:sz w:val="28"/>
          <w:szCs w:val="28"/>
        </w:rPr>
        <w:tab/>
      </w:r>
      <w:r w:rsidRPr="000D6D21">
        <w:rPr>
          <w:i/>
          <w:iCs/>
          <w:sz w:val="28"/>
          <w:szCs w:val="28"/>
        </w:rPr>
        <w:t xml:space="preserve">Relevant Proceedings </w:t>
      </w:r>
    </w:p>
    <w:p w14:paraId="633D17E2" w14:textId="77777777" w:rsidR="00BD6BDF" w:rsidRPr="000D6D21" w:rsidRDefault="00F615D7" w:rsidP="000D6D21">
      <w:pPr>
        <w:rPr>
          <w:bCs/>
          <w:iCs/>
          <w:sz w:val="28"/>
          <w:szCs w:val="28"/>
        </w:rPr>
      </w:pPr>
      <w:r w:rsidRPr="000D6D21">
        <w:rPr>
          <w:bCs/>
          <w:iCs/>
          <w:sz w:val="28"/>
          <w:szCs w:val="28"/>
        </w:rPr>
        <w:tab/>
        <w:t>In its ex parte application</w:t>
      </w:r>
      <w:r w:rsidR="002F532F" w:rsidRPr="000D6D21">
        <w:rPr>
          <w:bCs/>
          <w:iCs/>
          <w:sz w:val="28"/>
          <w:szCs w:val="28"/>
        </w:rPr>
        <w:t xml:space="preserve"> filed January 23, 2023</w:t>
      </w:r>
      <w:r w:rsidRPr="000D6D21">
        <w:rPr>
          <w:bCs/>
          <w:iCs/>
          <w:sz w:val="28"/>
          <w:szCs w:val="28"/>
        </w:rPr>
        <w:t>, the Committee sought a</w:t>
      </w:r>
      <w:r w:rsidR="002F532F" w:rsidRPr="000D6D21">
        <w:rPr>
          <w:bCs/>
          <w:iCs/>
          <w:sz w:val="28"/>
          <w:szCs w:val="28"/>
        </w:rPr>
        <w:t>n order</w:t>
      </w:r>
      <w:r w:rsidRPr="000D6D21">
        <w:rPr>
          <w:bCs/>
          <w:iCs/>
          <w:sz w:val="28"/>
          <w:szCs w:val="28"/>
        </w:rPr>
        <w:t xml:space="preserve"> </w:t>
      </w:r>
      <w:r w:rsidR="002F532F" w:rsidRPr="000D6D21">
        <w:rPr>
          <w:bCs/>
          <w:iCs/>
          <w:sz w:val="28"/>
          <w:szCs w:val="28"/>
        </w:rPr>
        <w:t xml:space="preserve">commanding </w:t>
      </w:r>
      <w:r w:rsidRPr="000D6D21">
        <w:rPr>
          <w:bCs/>
          <w:iCs/>
          <w:sz w:val="28"/>
          <w:szCs w:val="28"/>
        </w:rPr>
        <w:t xml:space="preserve">the Registrar to comply with </w:t>
      </w:r>
      <w:r w:rsidR="002F532F" w:rsidRPr="000D6D21">
        <w:rPr>
          <w:bCs/>
          <w:iCs/>
          <w:sz w:val="28"/>
          <w:szCs w:val="28"/>
        </w:rPr>
        <w:t>various directives</w:t>
      </w:r>
      <w:r w:rsidR="003D3339" w:rsidRPr="000D6D21">
        <w:rPr>
          <w:bCs/>
          <w:iCs/>
          <w:sz w:val="28"/>
          <w:szCs w:val="28"/>
        </w:rPr>
        <w:t xml:space="preserve"> that were purpo</w:t>
      </w:r>
      <w:r w:rsidR="00F671FD" w:rsidRPr="000D6D21">
        <w:rPr>
          <w:bCs/>
          <w:iCs/>
          <w:sz w:val="28"/>
          <w:szCs w:val="28"/>
        </w:rPr>
        <w:t>r</w:t>
      </w:r>
      <w:r w:rsidR="003D3339" w:rsidRPr="000D6D21">
        <w:rPr>
          <w:bCs/>
          <w:iCs/>
          <w:sz w:val="28"/>
          <w:szCs w:val="28"/>
        </w:rPr>
        <w:t>tedly</w:t>
      </w:r>
      <w:r w:rsidR="002F532F" w:rsidRPr="000D6D21">
        <w:rPr>
          <w:bCs/>
          <w:iCs/>
          <w:sz w:val="28"/>
          <w:szCs w:val="28"/>
        </w:rPr>
        <w:t xml:space="preserve"> in</w:t>
      </w:r>
      <w:r w:rsidRPr="000D6D21">
        <w:rPr>
          <w:bCs/>
          <w:iCs/>
          <w:sz w:val="28"/>
          <w:szCs w:val="28"/>
        </w:rPr>
        <w:t xml:space="preserve"> </w:t>
      </w:r>
      <w:r w:rsidR="00C43F32" w:rsidRPr="000D6D21">
        <w:rPr>
          <w:bCs/>
          <w:iCs/>
          <w:sz w:val="28"/>
          <w:szCs w:val="28"/>
        </w:rPr>
        <w:t xml:space="preserve">the </w:t>
      </w:r>
      <w:r w:rsidR="002F532F" w:rsidRPr="000D6D21">
        <w:rPr>
          <w:bCs/>
          <w:iCs/>
          <w:sz w:val="28"/>
          <w:szCs w:val="28"/>
        </w:rPr>
        <w:t xml:space="preserve">court’s December 2022 </w:t>
      </w:r>
      <w:r w:rsidR="00C43F32" w:rsidRPr="000D6D21">
        <w:rPr>
          <w:bCs/>
          <w:iCs/>
          <w:sz w:val="28"/>
          <w:szCs w:val="28"/>
        </w:rPr>
        <w:t xml:space="preserve">injunction </w:t>
      </w:r>
      <w:r w:rsidR="002F532F" w:rsidRPr="000D6D21">
        <w:rPr>
          <w:bCs/>
          <w:iCs/>
          <w:sz w:val="28"/>
          <w:szCs w:val="28"/>
        </w:rPr>
        <w:t>order</w:t>
      </w:r>
      <w:r w:rsidR="00746C31" w:rsidRPr="000D6D21">
        <w:rPr>
          <w:bCs/>
          <w:iCs/>
          <w:sz w:val="28"/>
          <w:szCs w:val="28"/>
        </w:rPr>
        <w:t>,</w:t>
      </w:r>
      <w:r w:rsidR="002F532F" w:rsidRPr="000D6D21">
        <w:rPr>
          <w:bCs/>
          <w:iCs/>
          <w:sz w:val="28"/>
          <w:szCs w:val="28"/>
        </w:rPr>
        <w:t xml:space="preserve"> </w:t>
      </w:r>
      <w:r w:rsidR="00C43F32" w:rsidRPr="000D6D21">
        <w:rPr>
          <w:bCs/>
          <w:iCs/>
          <w:sz w:val="28"/>
          <w:szCs w:val="28"/>
        </w:rPr>
        <w:t>including (1)</w:t>
      </w:r>
      <w:r w:rsidR="00D04E1E">
        <w:rPr>
          <w:bCs/>
          <w:iCs/>
          <w:sz w:val="28"/>
          <w:szCs w:val="28"/>
        </w:rPr>
        <w:t> </w:t>
      </w:r>
      <w:r w:rsidR="00746C31" w:rsidRPr="000D6D21">
        <w:rPr>
          <w:bCs/>
          <w:iCs/>
          <w:sz w:val="28"/>
          <w:szCs w:val="28"/>
        </w:rPr>
        <w:t xml:space="preserve">authorization </w:t>
      </w:r>
      <w:r w:rsidR="002F532F" w:rsidRPr="000D6D21">
        <w:rPr>
          <w:bCs/>
          <w:iCs/>
          <w:sz w:val="28"/>
          <w:szCs w:val="28"/>
        </w:rPr>
        <w:t xml:space="preserve">for Committee counsel and </w:t>
      </w:r>
      <w:r w:rsidR="00746C31" w:rsidRPr="000D6D21">
        <w:rPr>
          <w:bCs/>
          <w:iCs/>
          <w:sz w:val="28"/>
          <w:szCs w:val="28"/>
        </w:rPr>
        <w:t xml:space="preserve">their </w:t>
      </w:r>
      <w:r w:rsidR="002F532F" w:rsidRPr="000D6D21">
        <w:rPr>
          <w:bCs/>
          <w:iCs/>
          <w:sz w:val="28"/>
          <w:szCs w:val="28"/>
        </w:rPr>
        <w:t xml:space="preserve">retained computer analysts to use the </w:t>
      </w:r>
      <w:r w:rsidRPr="000D6D21">
        <w:rPr>
          <w:bCs/>
          <w:iCs/>
          <w:sz w:val="28"/>
          <w:szCs w:val="28"/>
        </w:rPr>
        <w:t xml:space="preserve">electronic lists of voter data </w:t>
      </w:r>
      <w:r w:rsidR="002F532F" w:rsidRPr="000D6D21">
        <w:rPr>
          <w:bCs/>
          <w:iCs/>
          <w:sz w:val="28"/>
          <w:szCs w:val="28"/>
        </w:rPr>
        <w:t xml:space="preserve">outside </w:t>
      </w:r>
      <w:r w:rsidR="002F15B6" w:rsidRPr="000D6D21">
        <w:rPr>
          <w:bCs/>
          <w:iCs/>
          <w:sz w:val="28"/>
          <w:szCs w:val="28"/>
        </w:rPr>
        <w:t>the examination room</w:t>
      </w:r>
      <w:r w:rsidRPr="000D6D21">
        <w:rPr>
          <w:bCs/>
          <w:iCs/>
          <w:sz w:val="28"/>
          <w:szCs w:val="28"/>
        </w:rPr>
        <w:t xml:space="preserve"> subject to a protective order</w:t>
      </w:r>
      <w:r w:rsidR="002F532F" w:rsidRPr="000D6D21">
        <w:rPr>
          <w:bCs/>
          <w:iCs/>
          <w:sz w:val="28"/>
          <w:szCs w:val="28"/>
        </w:rPr>
        <w:t xml:space="preserve">, and </w:t>
      </w:r>
      <w:r w:rsidR="00C43F32" w:rsidRPr="000D6D21">
        <w:rPr>
          <w:bCs/>
          <w:iCs/>
          <w:sz w:val="28"/>
          <w:szCs w:val="28"/>
        </w:rPr>
        <w:t xml:space="preserve">(2) </w:t>
      </w:r>
      <w:r w:rsidR="002F532F" w:rsidRPr="000D6D21">
        <w:rPr>
          <w:bCs/>
          <w:iCs/>
          <w:sz w:val="28"/>
          <w:szCs w:val="28"/>
        </w:rPr>
        <w:t xml:space="preserve">disclosure of </w:t>
      </w:r>
      <w:r w:rsidRPr="000D6D21">
        <w:rPr>
          <w:bCs/>
          <w:iCs/>
          <w:sz w:val="28"/>
          <w:szCs w:val="28"/>
        </w:rPr>
        <w:t xml:space="preserve">current and former affidavits of registration for signatures rejected for </w:t>
      </w:r>
      <w:r w:rsidR="00C43F32" w:rsidRPr="000D6D21">
        <w:rPr>
          <w:bCs/>
          <w:iCs/>
          <w:sz w:val="28"/>
          <w:szCs w:val="28"/>
        </w:rPr>
        <w:t>various</w:t>
      </w:r>
      <w:r w:rsidR="002F532F" w:rsidRPr="000D6D21">
        <w:rPr>
          <w:bCs/>
          <w:iCs/>
          <w:sz w:val="28"/>
          <w:szCs w:val="28"/>
        </w:rPr>
        <w:t xml:space="preserve"> </w:t>
      </w:r>
      <w:r w:rsidR="00436BF9">
        <w:rPr>
          <w:bCs/>
          <w:iCs/>
          <w:sz w:val="28"/>
          <w:szCs w:val="28"/>
        </w:rPr>
        <w:t>reasons</w:t>
      </w:r>
      <w:r w:rsidRPr="000D6D21">
        <w:rPr>
          <w:bCs/>
          <w:iCs/>
          <w:sz w:val="28"/>
          <w:szCs w:val="28"/>
        </w:rPr>
        <w:t xml:space="preserve">. </w:t>
      </w:r>
      <w:r w:rsidR="00C43F32" w:rsidRPr="000D6D21">
        <w:rPr>
          <w:bCs/>
          <w:iCs/>
          <w:sz w:val="28"/>
          <w:szCs w:val="28"/>
        </w:rPr>
        <w:t xml:space="preserve"> </w:t>
      </w:r>
      <w:r w:rsidRPr="000D6D21">
        <w:rPr>
          <w:bCs/>
          <w:iCs/>
          <w:sz w:val="28"/>
          <w:szCs w:val="28"/>
        </w:rPr>
        <w:t xml:space="preserve">In </w:t>
      </w:r>
      <w:r w:rsidRPr="000D6D21">
        <w:rPr>
          <w:bCs/>
          <w:iCs/>
          <w:sz w:val="28"/>
          <w:szCs w:val="28"/>
        </w:rPr>
        <w:lastRenderedPageBreak/>
        <w:t xml:space="preserve">opposition, the Registrar argued that </w:t>
      </w:r>
      <w:r w:rsidR="00F90567">
        <w:rPr>
          <w:bCs/>
          <w:iCs/>
          <w:sz w:val="28"/>
          <w:szCs w:val="28"/>
        </w:rPr>
        <w:t>both requested directives</w:t>
      </w:r>
      <w:r w:rsidRPr="000D6D21">
        <w:rPr>
          <w:bCs/>
          <w:iCs/>
          <w:sz w:val="28"/>
          <w:szCs w:val="28"/>
        </w:rPr>
        <w:t xml:space="preserve"> </w:t>
      </w:r>
      <w:r w:rsidR="00F90567">
        <w:rPr>
          <w:bCs/>
          <w:iCs/>
          <w:sz w:val="28"/>
          <w:szCs w:val="28"/>
        </w:rPr>
        <w:t xml:space="preserve">were not previously </w:t>
      </w:r>
      <w:r w:rsidRPr="000D6D21">
        <w:rPr>
          <w:bCs/>
          <w:iCs/>
          <w:sz w:val="28"/>
          <w:szCs w:val="28"/>
        </w:rPr>
        <w:t>ordered by the Court</w:t>
      </w:r>
      <w:r w:rsidR="00686883" w:rsidRPr="000D6D21">
        <w:rPr>
          <w:bCs/>
          <w:iCs/>
          <w:sz w:val="28"/>
          <w:szCs w:val="28"/>
        </w:rPr>
        <w:t>.</w:t>
      </w:r>
      <w:r w:rsidRPr="000D6D21">
        <w:rPr>
          <w:bCs/>
          <w:iCs/>
          <w:sz w:val="28"/>
          <w:szCs w:val="28"/>
        </w:rPr>
        <w:t>”</w:t>
      </w:r>
    </w:p>
    <w:p w14:paraId="633D17E3" w14:textId="77777777" w:rsidR="00BD6BDF" w:rsidRPr="000D6D21" w:rsidRDefault="00F615D7" w:rsidP="000D6D21">
      <w:pPr>
        <w:rPr>
          <w:sz w:val="28"/>
          <w:szCs w:val="28"/>
        </w:rPr>
      </w:pPr>
      <w:r w:rsidRPr="000D6D21">
        <w:rPr>
          <w:bCs/>
          <w:iCs/>
          <w:sz w:val="28"/>
          <w:szCs w:val="28"/>
        </w:rPr>
        <w:tab/>
      </w:r>
      <w:r w:rsidR="00746C31" w:rsidRPr="000D6D21">
        <w:rPr>
          <w:sz w:val="28"/>
          <w:szCs w:val="28"/>
        </w:rPr>
        <w:t xml:space="preserve">At a </w:t>
      </w:r>
      <w:r w:rsidR="00686883" w:rsidRPr="000D6D21">
        <w:rPr>
          <w:sz w:val="28"/>
          <w:szCs w:val="28"/>
        </w:rPr>
        <w:t xml:space="preserve">hearing on </w:t>
      </w:r>
      <w:r w:rsidR="00746C31" w:rsidRPr="000D6D21">
        <w:rPr>
          <w:sz w:val="28"/>
          <w:szCs w:val="28"/>
        </w:rPr>
        <w:t>January 24, 2023</w:t>
      </w:r>
      <w:r w:rsidRPr="000D6D21">
        <w:rPr>
          <w:sz w:val="28"/>
          <w:szCs w:val="28"/>
        </w:rPr>
        <w:t>, the c</w:t>
      </w:r>
      <w:r w:rsidRPr="000D6D21">
        <w:rPr>
          <w:sz w:val="28"/>
          <w:szCs w:val="28"/>
        </w:rPr>
        <w:t xml:space="preserve">ourt </w:t>
      </w:r>
      <w:r w:rsidR="0043643D" w:rsidRPr="000D6D21">
        <w:rPr>
          <w:sz w:val="28"/>
          <w:szCs w:val="28"/>
        </w:rPr>
        <w:t xml:space="preserve">mistakenly </w:t>
      </w:r>
      <w:r w:rsidR="00097824" w:rsidRPr="000D6D21">
        <w:rPr>
          <w:sz w:val="28"/>
          <w:szCs w:val="28"/>
        </w:rPr>
        <w:t>believed</w:t>
      </w:r>
      <w:r w:rsidR="0043643D" w:rsidRPr="000D6D21">
        <w:rPr>
          <w:bCs/>
          <w:iCs/>
          <w:sz w:val="28"/>
          <w:szCs w:val="28"/>
        </w:rPr>
        <w:t xml:space="preserve"> </w:t>
      </w:r>
      <w:r w:rsidR="00746C31" w:rsidRPr="000D6D21">
        <w:rPr>
          <w:sz w:val="28"/>
          <w:szCs w:val="28"/>
        </w:rPr>
        <w:t xml:space="preserve">it had previously </w:t>
      </w:r>
      <w:r w:rsidR="00F90567">
        <w:rPr>
          <w:sz w:val="28"/>
          <w:szCs w:val="28"/>
        </w:rPr>
        <w:t>ruled on</w:t>
      </w:r>
      <w:r w:rsidR="00584CDE" w:rsidRPr="000D6D21">
        <w:rPr>
          <w:sz w:val="28"/>
          <w:szCs w:val="28"/>
        </w:rPr>
        <w:t xml:space="preserve"> </w:t>
      </w:r>
      <w:r w:rsidR="00F90567">
        <w:rPr>
          <w:sz w:val="28"/>
          <w:szCs w:val="28"/>
        </w:rPr>
        <w:t xml:space="preserve">the Committee’s ability, through </w:t>
      </w:r>
      <w:r w:rsidRPr="000D6D21">
        <w:rPr>
          <w:sz w:val="28"/>
          <w:szCs w:val="28"/>
        </w:rPr>
        <w:t xml:space="preserve">counsel of record </w:t>
      </w:r>
      <w:r w:rsidR="00746C31" w:rsidRPr="000D6D21">
        <w:rPr>
          <w:sz w:val="28"/>
          <w:szCs w:val="28"/>
        </w:rPr>
        <w:t xml:space="preserve">for and any </w:t>
      </w:r>
      <w:r w:rsidRPr="000D6D21">
        <w:rPr>
          <w:sz w:val="28"/>
          <w:szCs w:val="28"/>
        </w:rPr>
        <w:t xml:space="preserve">computer analysts operating under </w:t>
      </w:r>
      <w:r w:rsidR="00C43F32" w:rsidRPr="000D6D21">
        <w:rPr>
          <w:sz w:val="28"/>
          <w:szCs w:val="28"/>
        </w:rPr>
        <w:t>counsel’s</w:t>
      </w:r>
      <w:r w:rsidRPr="000D6D21">
        <w:rPr>
          <w:sz w:val="28"/>
          <w:szCs w:val="28"/>
        </w:rPr>
        <w:t xml:space="preserve"> direction</w:t>
      </w:r>
      <w:r w:rsidR="00F90567">
        <w:rPr>
          <w:sz w:val="28"/>
          <w:szCs w:val="28"/>
        </w:rPr>
        <w:t>, to</w:t>
      </w:r>
      <w:r w:rsidR="00584CDE" w:rsidRPr="000D6D21">
        <w:rPr>
          <w:sz w:val="28"/>
          <w:szCs w:val="28"/>
        </w:rPr>
        <w:t xml:space="preserve"> </w:t>
      </w:r>
      <w:r w:rsidRPr="000D6D21">
        <w:rPr>
          <w:sz w:val="28"/>
          <w:szCs w:val="28"/>
        </w:rPr>
        <w:t>“remove the list[s] from the examination room subject to a protective order.</w:t>
      </w:r>
      <w:r w:rsidR="00F90567">
        <w:rPr>
          <w:sz w:val="28"/>
          <w:szCs w:val="28"/>
        </w:rPr>
        <w:t> </w:t>
      </w:r>
      <w:r w:rsidRPr="000D6D21">
        <w:rPr>
          <w:sz w:val="28"/>
          <w:szCs w:val="28"/>
        </w:rPr>
        <w:t>.</w:t>
      </w:r>
      <w:r w:rsidR="00F90567">
        <w:rPr>
          <w:sz w:val="28"/>
          <w:szCs w:val="28"/>
        </w:rPr>
        <w:t> </w:t>
      </w:r>
      <w:r w:rsidRPr="000D6D21">
        <w:rPr>
          <w:sz w:val="28"/>
          <w:szCs w:val="28"/>
        </w:rPr>
        <w:t>.</w:t>
      </w:r>
      <w:r w:rsidR="00F90567">
        <w:rPr>
          <w:sz w:val="28"/>
          <w:szCs w:val="28"/>
        </w:rPr>
        <w:t> </w:t>
      </w:r>
      <w:r w:rsidRPr="000D6D21">
        <w:rPr>
          <w:sz w:val="28"/>
          <w:szCs w:val="28"/>
        </w:rPr>
        <w:t>.”</w:t>
      </w:r>
      <w:r>
        <w:rPr>
          <w:rStyle w:val="FootnoteReference"/>
          <w:sz w:val="28"/>
          <w:szCs w:val="28"/>
        </w:rPr>
        <w:footnoteReference w:id="18"/>
      </w:r>
      <w:r w:rsidRPr="000D6D21">
        <w:rPr>
          <w:sz w:val="28"/>
          <w:szCs w:val="28"/>
        </w:rPr>
        <w:t xml:space="preserve">  </w:t>
      </w:r>
      <w:r w:rsidR="00746C31" w:rsidRPr="000D6D21">
        <w:rPr>
          <w:sz w:val="28"/>
          <w:szCs w:val="28"/>
        </w:rPr>
        <w:t xml:space="preserve">The court also stated that it previously </w:t>
      </w:r>
      <w:r w:rsidRPr="000D6D21">
        <w:rPr>
          <w:sz w:val="28"/>
          <w:szCs w:val="28"/>
        </w:rPr>
        <w:t xml:space="preserve">ordered </w:t>
      </w:r>
      <w:r w:rsidR="00746C31" w:rsidRPr="000D6D21">
        <w:rPr>
          <w:sz w:val="28"/>
          <w:szCs w:val="28"/>
        </w:rPr>
        <w:t xml:space="preserve">the disclosure of </w:t>
      </w:r>
      <w:r w:rsidRPr="000D6D21">
        <w:rPr>
          <w:sz w:val="28"/>
          <w:szCs w:val="28"/>
        </w:rPr>
        <w:t xml:space="preserve">addresses appearing on affidavits of </w:t>
      </w:r>
      <w:r w:rsidR="00686883" w:rsidRPr="000D6D21">
        <w:rPr>
          <w:sz w:val="28"/>
          <w:szCs w:val="28"/>
        </w:rPr>
        <w:t xml:space="preserve">voter </w:t>
      </w:r>
      <w:r w:rsidRPr="000D6D21">
        <w:rPr>
          <w:sz w:val="28"/>
          <w:szCs w:val="28"/>
        </w:rPr>
        <w:t xml:space="preserve">registration.  </w:t>
      </w:r>
      <w:r w:rsidR="00584CDE" w:rsidRPr="000D6D21">
        <w:rPr>
          <w:sz w:val="28"/>
          <w:szCs w:val="28"/>
        </w:rPr>
        <w:t xml:space="preserve">As to </w:t>
      </w:r>
      <w:r w:rsidR="00021D22" w:rsidRPr="000D6D21">
        <w:rPr>
          <w:sz w:val="28"/>
          <w:szCs w:val="28"/>
        </w:rPr>
        <w:t xml:space="preserve">this </w:t>
      </w:r>
      <w:r w:rsidR="00584CDE" w:rsidRPr="000D6D21">
        <w:rPr>
          <w:sz w:val="28"/>
          <w:szCs w:val="28"/>
        </w:rPr>
        <w:t>latter contention, t</w:t>
      </w:r>
      <w:r w:rsidR="00746C31" w:rsidRPr="000D6D21">
        <w:rPr>
          <w:sz w:val="28"/>
          <w:szCs w:val="28"/>
        </w:rPr>
        <w:t xml:space="preserve">he Registrar </w:t>
      </w:r>
      <w:r w:rsidR="00C43F32" w:rsidRPr="000D6D21">
        <w:rPr>
          <w:sz w:val="28"/>
          <w:szCs w:val="28"/>
        </w:rPr>
        <w:t xml:space="preserve">agreed with the court but argued that </w:t>
      </w:r>
      <w:r w:rsidRPr="000D6D21">
        <w:rPr>
          <w:sz w:val="28"/>
          <w:szCs w:val="28"/>
        </w:rPr>
        <w:t>the affidavits themselves</w:t>
      </w:r>
      <w:r w:rsidR="00C43F32" w:rsidRPr="000D6D21">
        <w:rPr>
          <w:sz w:val="28"/>
          <w:szCs w:val="28"/>
        </w:rPr>
        <w:t xml:space="preserve"> had not been ordered disclosed.  The court responde</w:t>
      </w:r>
      <w:r w:rsidR="00686883" w:rsidRPr="000D6D21">
        <w:rPr>
          <w:sz w:val="28"/>
          <w:szCs w:val="28"/>
        </w:rPr>
        <w:t>d</w:t>
      </w:r>
      <w:r w:rsidRPr="000D6D21">
        <w:rPr>
          <w:sz w:val="28"/>
          <w:szCs w:val="28"/>
        </w:rPr>
        <w:t xml:space="preserve">: “If I ruled on December </w:t>
      </w:r>
      <w:r w:rsidR="00436BF9">
        <w:rPr>
          <w:sz w:val="28"/>
          <w:szCs w:val="28"/>
        </w:rPr>
        <w:t>[2022]</w:t>
      </w:r>
      <w:r w:rsidR="00436BF9" w:rsidRPr="000D6D21">
        <w:rPr>
          <w:sz w:val="28"/>
          <w:szCs w:val="28"/>
        </w:rPr>
        <w:t xml:space="preserve"> </w:t>
      </w:r>
      <w:r w:rsidRPr="000D6D21">
        <w:rPr>
          <w:sz w:val="28"/>
          <w:szCs w:val="28"/>
        </w:rPr>
        <w:t xml:space="preserve">that they [(the Committee)] get access to affidavits of registration to look at prior addresses, then that was my ruling.”  </w:t>
      </w:r>
      <w:r w:rsidR="00746C31" w:rsidRPr="000D6D21">
        <w:rPr>
          <w:sz w:val="28"/>
          <w:szCs w:val="28"/>
        </w:rPr>
        <w:t>The</w:t>
      </w:r>
      <w:r w:rsidRPr="000D6D21">
        <w:rPr>
          <w:sz w:val="28"/>
          <w:szCs w:val="28"/>
        </w:rPr>
        <w:t xml:space="preserve"> court directed the Registrar to pull former registration car</w:t>
      </w:r>
      <w:r w:rsidRPr="000D6D21">
        <w:rPr>
          <w:sz w:val="28"/>
          <w:szCs w:val="28"/>
        </w:rPr>
        <w:t xml:space="preserve">ds for voter signatures disqualified </w:t>
      </w:r>
      <w:r w:rsidR="00746C31" w:rsidRPr="000D6D21">
        <w:rPr>
          <w:sz w:val="28"/>
          <w:szCs w:val="28"/>
        </w:rPr>
        <w:t>for various rejection categories</w:t>
      </w:r>
      <w:r w:rsidRPr="000D6D21">
        <w:rPr>
          <w:bCs/>
          <w:iCs/>
          <w:sz w:val="28"/>
          <w:szCs w:val="28"/>
        </w:rPr>
        <w:t xml:space="preserve">, </w:t>
      </w:r>
      <w:r w:rsidR="00746C31" w:rsidRPr="000D6D21">
        <w:rPr>
          <w:sz w:val="28"/>
          <w:szCs w:val="28"/>
        </w:rPr>
        <w:t>redact</w:t>
      </w:r>
      <w:r w:rsidRPr="000D6D21">
        <w:rPr>
          <w:sz w:val="28"/>
          <w:szCs w:val="28"/>
        </w:rPr>
        <w:t xml:space="preserve"> confidential material under </w:t>
      </w:r>
      <w:r w:rsidR="00746C31" w:rsidRPr="000D6D21">
        <w:rPr>
          <w:sz w:val="28"/>
          <w:szCs w:val="28"/>
        </w:rPr>
        <w:t>section 7924.000</w:t>
      </w:r>
      <w:r w:rsidRPr="000D6D21">
        <w:rPr>
          <w:sz w:val="28"/>
          <w:szCs w:val="28"/>
        </w:rPr>
        <w:t xml:space="preserve">, and </w:t>
      </w:r>
      <w:r w:rsidR="00746C31" w:rsidRPr="000D6D21">
        <w:rPr>
          <w:sz w:val="28"/>
          <w:szCs w:val="28"/>
        </w:rPr>
        <w:t xml:space="preserve">provide </w:t>
      </w:r>
      <w:r w:rsidRPr="000D6D21">
        <w:rPr>
          <w:sz w:val="28"/>
          <w:szCs w:val="28"/>
        </w:rPr>
        <w:t xml:space="preserve">the Committee </w:t>
      </w:r>
      <w:r w:rsidR="00746C31" w:rsidRPr="000D6D21">
        <w:rPr>
          <w:sz w:val="28"/>
          <w:szCs w:val="28"/>
        </w:rPr>
        <w:t>hardcopy affidavits</w:t>
      </w:r>
      <w:r w:rsidR="00C43F32" w:rsidRPr="000D6D21">
        <w:rPr>
          <w:sz w:val="28"/>
          <w:szCs w:val="28"/>
        </w:rPr>
        <w:t xml:space="preserve"> in redacted form</w:t>
      </w:r>
      <w:r w:rsidRPr="000D6D21">
        <w:rPr>
          <w:sz w:val="28"/>
          <w:szCs w:val="28"/>
        </w:rPr>
        <w:t xml:space="preserve">. </w:t>
      </w:r>
      <w:r w:rsidR="00686883" w:rsidRPr="000D6D21">
        <w:rPr>
          <w:bCs/>
          <w:iCs/>
          <w:sz w:val="28"/>
          <w:szCs w:val="28"/>
        </w:rPr>
        <w:t xml:space="preserve"> </w:t>
      </w:r>
      <w:r w:rsidR="00B552D1" w:rsidRPr="000D6D21">
        <w:rPr>
          <w:sz w:val="28"/>
          <w:szCs w:val="28"/>
        </w:rPr>
        <w:lastRenderedPageBreak/>
        <w:t xml:space="preserve">When </w:t>
      </w:r>
      <w:r w:rsidR="00746C31" w:rsidRPr="000D6D21">
        <w:rPr>
          <w:sz w:val="28"/>
          <w:szCs w:val="28"/>
        </w:rPr>
        <w:t xml:space="preserve">the Registrar </w:t>
      </w:r>
      <w:r w:rsidR="00686883" w:rsidRPr="000D6D21">
        <w:rPr>
          <w:sz w:val="28"/>
          <w:szCs w:val="28"/>
        </w:rPr>
        <w:t>inquired</w:t>
      </w:r>
      <w:r w:rsidR="00B552D1" w:rsidRPr="000D6D21">
        <w:rPr>
          <w:bCs/>
          <w:iCs/>
          <w:sz w:val="28"/>
          <w:szCs w:val="28"/>
        </w:rPr>
        <w:t xml:space="preserve"> </w:t>
      </w:r>
      <w:r w:rsidR="00746C31" w:rsidRPr="000D6D21">
        <w:rPr>
          <w:sz w:val="28"/>
          <w:szCs w:val="28"/>
        </w:rPr>
        <w:t xml:space="preserve">about </w:t>
      </w:r>
      <w:r w:rsidR="00686883" w:rsidRPr="000D6D21">
        <w:rPr>
          <w:sz w:val="28"/>
          <w:szCs w:val="28"/>
        </w:rPr>
        <w:t xml:space="preserve">redaction and production </w:t>
      </w:r>
      <w:r w:rsidR="00746C31" w:rsidRPr="000D6D21">
        <w:rPr>
          <w:sz w:val="28"/>
          <w:szCs w:val="28"/>
        </w:rPr>
        <w:t>costs,</w:t>
      </w:r>
      <w:r w:rsidR="00B552D1" w:rsidRPr="000D6D21">
        <w:rPr>
          <w:sz w:val="28"/>
          <w:szCs w:val="28"/>
        </w:rPr>
        <w:t xml:space="preserve"> the court </w:t>
      </w:r>
      <w:r w:rsidR="00746C31" w:rsidRPr="000D6D21">
        <w:rPr>
          <w:sz w:val="28"/>
          <w:szCs w:val="28"/>
        </w:rPr>
        <w:t xml:space="preserve">ordered </w:t>
      </w:r>
      <w:r w:rsidR="00B552D1" w:rsidRPr="000D6D21">
        <w:rPr>
          <w:sz w:val="28"/>
          <w:szCs w:val="28"/>
        </w:rPr>
        <w:t xml:space="preserve">the parties </w:t>
      </w:r>
      <w:r w:rsidR="00746C31" w:rsidRPr="000D6D21">
        <w:rPr>
          <w:sz w:val="28"/>
          <w:szCs w:val="28"/>
        </w:rPr>
        <w:t xml:space="preserve">to </w:t>
      </w:r>
      <w:r w:rsidR="00B552D1" w:rsidRPr="000D6D21">
        <w:rPr>
          <w:sz w:val="28"/>
          <w:szCs w:val="28"/>
        </w:rPr>
        <w:t>“discuss it after you know how much it’s going to be, and if it [you] can’t reach an agreement, you’re going to have to file an ex parte for cost shifting.”</w:t>
      </w:r>
    </w:p>
    <w:p w14:paraId="633D17E4" w14:textId="77777777" w:rsidR="00801466" w:rsidRDefault="00F615D7" w:rsidP="004612F8">
      <w:pPr>
        <w:ind w:firstLine="720"/>
        <w:rPr>
          <w:sz w:val="28"/>
          <w:szCs w:val="28"/>
        </w:rPr>
      </w:pPr>
      <w:r w:rsidRPr="000D6D21">
        <w:rPr>
          <w:sz w:val="28"/>
          <w:szCs w:val="28"/>
        </w:rPr>
        <w:t>The court issued a written order g</w:t>
      </w:r>
      <w:r w:rsidRPr="000D6D21">
        <w:rPr>
          <w:sz w:val="28"/>
          <w:szCs w:val="28"/>
        </w:rPr>
        <w:t xml:space="preserve">ranting the Committee’s ex parte application on </w:t>
      </w:r>
      <w:r w:rsidR="00BD6BDF" w:rsidRPr="000D6D21">
        <w:rPr>
          <w:sz w:val="28"/>
          <w:szCs w:val="28"/>
        </w:rPr>
        <w:t>January 30, 2023.  The order direct</w:t>
      </w:r>
      <w:r w:rsidR="002859EC" w:rsidRPr="000D6D21">
        <w:rPr>
          <w:sz w:val="28"/>
          <w:szCs w:val="28"/>
        </w:rPr>
        <w:t>ed</w:t>
      </w:r>
      <w:r w:rsidR="00503880" w:rsidRPr="000D6D21">
        <w:rPr>
          <w:sz w:val="28"/>
          <w:szCs w:val="28"/>
        </w:rPr>
        <w:t xml:space="preserve"> </w:t>
      </w:r>
      <w:r w:rsidR="00A26003" w:rsidRPr="000D6D21">
        <w:rPr>
          <w:sz w:val="28"/>
          <w:szCs w:val="28"/>
        </w:rPr>
        <w:t>the Registrar to provide</w:t>
      </w:r>
      <w:r w:rsidR="00097824" w:rsidRPr="000D6D21">
        <w:rPr>
          <w:sz w:val="28"/>
          <w:szCs w:val="28"/>
        </w:rPr>
        <w:t xml:space="preserve"> records</w:t>
      </w:r>
      <w:r w:rsidR="06DB5835" w:rsidRPr="000D6D21">
        <w:rPr>
          <w:sz w:val="28"/>
          <w:szCs w:val="28"/>
        </w:rPr>
        <w:t>,</w:t>
      </w:r>
      <w:r w:rsidR="00097824" w:rsidRPr="000D6D21">
        <w:rPr>
          <w:sz w:val="28"/>
          <w:szCs w:val="28"/>
        </w:rPr>
        <w:t xml:space="preserve"> including</w:t>
      </w:r>
      <w:r w:rsidR="00503880" w:rsidRPr="000D6D21">
        <w:rPr>
          <w:sz w:val="28"/>
          <w:szCs w:val="28"/>
        </w:rPr>
        <w:t xml:space="preserve"> </w:t>
      </w:r>
      <w:r w:rsidR="00A26003" w:rsidRPr="000D6D21">
        <w:rPr>
          <w:sz w:val="28"/>
          <w:szCs w:val="28"/>
        </w:rPr>
        <w:t xml:space="preserve">redacted </w:t>
      </w:r>
      <w:r w:rsidR="00503880" w:rsidRPr="000D6D21">
        <w:rPr>
          <w:sz w:val="28"/>
          <w:szCs w:val="28"/>
        </w:rPr>
        <w:t>hard</w:t>
      </w:r>
      <w:r w:rsidR="00BD6BDF" w:rsidRPr="000D6D21">
        <w:rPr>
          <w:sz w:val="28"/>
          <w:szCs w:val="28"/>
        </w:rPr>
        <w:t xml:space="preserve">copies of current and former affidavits of registration for voters whose registration address was changed during the circulation period, and whose signatures on the recall petition were disqualified under specific </w:t>
      </w:r>
      <w:r w:rsidR="00C43F32" w:rsidRPr="000D6D21">
        <w:rPr>
          <w:sz w:val="28"/>
          <w:szCs w:val="28"/>
        </w:rPr>
        <w:t>rejection categories</w:t>
      </w:r>
      <w:r w:rsidR="00BD6BDF" w:rsidRPr="000D6D21">
        <w:rPr>
          <w:sz w:val="28"/>
          <w:szCs w:val="28"/>
        </w:rPr>
        <w:t xml:space="preserve">.  The court ordered the parties to submit a proposed protective order placing restrictions on access by Committee representatives inside the examination room </w:t>
      </w:r>
      <w:r w:rsidR="00503880" w:rsidRPr="000D6D21">
        <w:rPr>
          <w:sz w:val="28"/>
          <w:szCs w:val="28"/>
        </w:rPr>
        <w:t xml:space="preserve">and </w:t>
      </w:r>
      <w:r w:rsidR="00BD6BDF" w:rsidRPr="000D6D21">
        <w:rPr>
          <w:sz w:val="28"/>
          <w:szCs w:val="28"/>
        </w:rPr>
        <w:t xml:space="preserve">allowing use of electronic lists outside the Registrar’s examination room by Committee counsel and </w:t>
      </w:r>
      <w:r w:rsidR="0015143D" w:rsidRPr="000D6D21">
        <w:rPr>
          <w:sz w:val="28"/>
          <w:szCs w:val="28"/>
        </w:rPr>
        <w:t>any retained</w:t>
      </w:r>
      <w:r w:rsidR="00BD6BDF" w:rsidRPr="000D6D21">
        <w:rPr>
          <w:sz w:val="28"/>
          <w:szCs w:val="28"/>
        </w:rPr>
        <w:t xml:space="preserve"> </w:t>
      </w:r>
      <w:r w:rsidR="00503880" w:rsidRPr="000D6D21">
        <w:rPr>
          <w:sz w:val="28"/>
          <w:szCs w:val="28"/>
        </w:rPr>
        <w:t>computer</w:t>
      </w:r>
      <w:r w:rsidR="00BD6BDF" w:rsidRPr="000D6D21">
        <w:rPr>
          <w:sz w:val="28"/>
          <w:szCs w:val="28"/>
        </w:rPr>
        <w:t xml:space="preserve"> analyst. </w:t>
      </w:r>
    </w:p>
    <w:p w14:paraId="633D17E5" w14:textId="77777777" w:rsidR="00C52256" w:rsidRPr="004612F8" w:rsidRDefault="00C52256" w:rsidP="004612F8">
      <w:pPr>
        <w:ind w:firstLine="720"/>
        <w:rPr>
          <w:sz w:val="28"/>
          <w:szCs w:val="28"/>
        </w:rPr>
      </w:pPr>
    </w:p>
    <w:p w14:paraId="633D17E6" w14:textId="77777777" w:rsidR="00452ECB" w:rsidRPr="000D6D21" w:rsidRDefault="00F615D7" w:rsidP="000D6D21">
      <w:pPr>
        <w:ind w:left="2160" w:hanging="720"/>
        <w:rPr>
          <w:i/>
          <w:sz w:val="28"/>
          <w:szCs w:val="28"/>
        </w:rPr>
      </w:pPr>
      <w:r w:rsidRPr="000D6D21">
        <w:rPr>
          <w:sz w:val="28"/>
          <w:szCs w:val="28"/>
        </w:rPr>
        <w:t>2.</w:t>
      </w:r>
      <w:r w:rsidRPr="000D6D21">
        <w:rPr>
          <w:i/>
          <w:sz w:val="28"/>
          <w:szCs w:val="28"/>
        </w:rPr>
        <w:tab/>
      </w:r>
      <w:r w:rsidR="00BC480A">
        <w:rPr>
          <w:i/>
          <w:sz w:val="28"/>
          <w:szCs w:val="28"/>
        </w:rPr>
        <w:t xml:space="preserve">Authorizing </w:t>
      </w:r>
      <w:r w:rsidR="00503880" w:rsidRPr="000D6D21">
        <w:rPr>
          <w:i/>
          <w:sz w:val="28"/>
          <w:szCs w:val="28"/>
        </w:rPr>
        <w:t xml:space="preserve">Use of </w:t>
      </w:r>
      <w:r w:rsidRPr="000D6D21">
        <w:rPr>
          <w:i/>
          <w:sz w:val="28"/>
          <w:szCs w:val="28"/>
        </w:rPr>
        <w:t xml:space="preserve">Electronic </w:t>
      </w:r>
      <w:r w:rsidR="00503880" w:rsidRPr="000D6D21">
        <w:rPr>
          <w:i/>
          <w:sz w:val="28"/>
          <w:szCs w:val="28"/>
        </w:rPr>
        <w:t xml:space="preserve">Voter </w:t>
      </w:r>
      <w:r w:rsidR="00BC480A">
        <w:rPr>
          <w:i/>
          <w:sz w:val="28"/>
          <w:szCs w:val="28"/>
        </w:rPr>
        <w:t xml:space="preserve">Data </w:t>
      </w:r>
      <w:r w:rsidRPr="000D6D21">
        <w:rPr>
          <w:i/>
          <w:sz w:val="28"/>
          <w:szCs w:val="28"/>
        </w:rPr>
        <w:t xml:space="preserve">Outside </w:t>
      </w:r>
      <w:r w:rsidR="00503880" w:rsidRPr="000D6D21">
        <w:rPr>
          <w:i/>
          <w:sz w:val="28"/>
          <w:szCs w:val="28"/>
        </w:rPr>
        <w:t xml:space="preserve">the Registrar’s </w:t>
      </w:r>
      <w:r w:rsidRPr="000D6D21">
        <w:rPr>
          <w:i/>
          <w:sz w:val="28"/>
          <w:szCs w:val="28"/>
        </w:rPr>
        <w:t>Examination Room</w:t>
      </w:r>
      <w:r w:rsidR="0015143D" w:rsidRPr="000D6D21">
        <w:rPr>
          <w:i/>
          <w:sz w:val="28"/>
          <w:szCs w:val="28"/>
        </w:rPr>
        <w:t xml:space="preserve"> Was </w:t>
      </w:r>
      <w:r w:rsidR="00672C18" w:rsidRPr="000D6D21">
        <w:rPr>
          <w:i/>
          <w:sz w:val="28"/>
          <w:szCs w:val="28"/>
        </w:rPr>
        <w:t>Unauthorized</w:t>
      </w:r>
    </w:p>
    <w:p w14:paraId="633D17E7" w14:textId="77777777" w:rsidR="00BD54BF" w:rsidRPr="000D6D21" w:rsidRDefault="00F615D7" w:rsidP="000D6D21">
      <w:pPr>
        <w:rPr>
          <w:sz w:val="28"/>
          <w:szCs w:val="28"/>
        </w:rPr>
      </w:pPr>
      <w:r w:rsidRPr="000D6D21">
        <w:rPr>
          <w:sz w:val="28"/>
          <w:szCs w:val="28"/>
        </w:rPr>
        <w:tab/>
      </w:r>
      <w:r w:rsidR="00503880" w:rsidRPr="000D6D21">
        <w:rPr>
          <w:sz w:val="28"/>
          <w:szCs w:val="28"/>
        </w:rPr>
        <w:t>The Registrar</w:t>
      </w:r>
      <w:r w:rsidR="0015143D" w:rsidRPr="000D6D21">
        <w:rPr>
          <w:sz w:val="28"/>
          <w:szCs w:val="28"/>
        </w:rPr>
        <w:t xml:space="preserve"> contends </w:t>
      </w:r>
      <w:r w:rsidRPr="000D6D21">
        <w:rPr>
          <w:sz w:val="28"/>
          <w:szCs w:val="28"/>
        </w:rPr>
        <w:t xml:space="preserve">the </w:t>
      </w:r>
      <w:r w:rsidR="00436BF9">
        <w:rPr>
          <w:sz w:val="28"/>
          <w:szCs w:val="28"/>
        </w:rPr>
        <w:t xml:space="preserve">trial </w:t>
      </w:r>
      <w:r w:rsidRPr="000D6D21">
        <w:rPr>
          <w:sz w:val="28"/>
          <w:szCs w:val="28"/>
        </w:rPr>
        <w:t>court</w:t>
      </w:r>
      <w:r w:rsidR="005766F8" w:rsidRPr="000D6D21">
        <w:rPr>
          <w:sz w:val="28"/>
          <w:szCs w:val="28"/>
        </w:rPr>
        <w:t xml:space="preserve"> misconstrued section 7924.110 when authorizing </w:t>
      </w:r>
      <w:r w:rsidRPr="000D6D21">
        <w:rPr>
          <w:sz w:val="28"/>
          <w:szCs w:val="28"/>
        </w:rPr>
        <w:t xml:space="preserve">use of electronic </w:t>
      </w:r>
      <w:r w:rsidR="005766F8" w:rsidRPr="000D6D21">
        <w:rPr>
          <w:sz w:val="28"/>
          <w:szCs w:val="28"/>
        </w:rPr>
        <w:t xml:space="preserve">voter </w:t>
      </w:r>
      <w:r w:rsidRPr="000D6D21">
        <w:rPr>
          <w:sz w:val="28"/>
          <w:szCs w:val="28"/>
        </w:rPr>
        <w:t xml:space="preserve">lists outside </w:t>
      </w:r>
      <w:r w:rsidR="0015143D" w:rsidRPr="000D6D21">
        <w:rPr>
          <w:sz w:val="28"/>
          <w:szCs w:val="28"/>
        </w:rPr>
        <w:t>its</w:t>
      </w:r>
      <w:r w:rsidRPr="000D6D21">
        <w:rPr>
          <w:sz w:val="28"/>
          <w:szCs w:val="28"/>
        </w:rPr>
        <w:t xml:space="preserve"> examination room.  </w:t>
      </w:r>
      <w:r w:rsidR="00606280" w:rsidRPr="000D6D21">
        <w:rPr>
          <w:sz w:val="28"/>
          <w:szCs w:val="28"/>
        </w:rPr>
        <w:t xml:space="preserve">The Registrar asserts </w:t>
      </w:r>
      <w:r w:rsidR="005766F8" w:rsidRPr="000D6D21">
        <w:rPr>
          <w:sz w:val="28"/>
          <w:szCs w:val="28"/>
        </w:rPr>
        <w:t xml:space="preserve">section 7924.110 </w:t>
      </w:r>
      <w:r w:rsidR="00606280" w:rsidRPr="000D6D21">
        <w:rPr>
          <w:sz w:val="28"/>
          <w:szCs w:val="28"/>
        </w:rPr>
        <w:t xml:space="preserve">provides only a right to </w:t>
      </w:r>
      <w:r w:rsidR="00137CD5" w:rsidRPr="000D6D21">
        <w:rPr>
          <w:sz w:val="28"/>
          <w:szCs w:val="28"/>
        </w:rPr>
        <w:t>“</w:t>
      </w:r>
      <w:r w:rsidR="00606280" w:rsidRPr="000D6D21">
        <w:rPr>
          <w:sz w:val="28"/>
          <w:szCs w:val="28"/>
        </w:rPr>
        <w:t>inspect</w:t>
      </w:r>
      <w:r w:rsidR="005766F8" w:rsidRPr="000D6D21">
        <w:rPr>
          <w:sz w:val="28"/>
          <w:szCs w:val="28"/>
        </w:rPr>
        <w:t>”</w:t>
      </w:r>
      <w:r w:rsidR="00606280" w:rsidRPr="000D6D21">
        <w:rPr>
          <w:sz w:val="28"/>
          <w:szCs w:val="28"/>
        </w:rPr>
        <w:t xml:space="preserve"> </w:t>
      </w:r>
      <w:r w:rsidR="005766F8" w:rsidRPr="000D6D21">
        <w:rPr>
          <w:sz w:val="28"/>
          <w:szCs w:val="28"/>
        </w:rPr>
        <w:t>the lists</w:t>
      </w:r>
      <w:r w:rsidR="00606280" w:rsidRPr="000D6D21">
        <w:rPr>
          <w:sz w:val="28"/>
          <w:szCs w:val="28"/>
        </w:rPr>
        <w:t>, not a right to remove</w:t>
      </w:r>
      <w:r w:rsidR="005766F8" w:rsidRPr="000D6D21">
        <w:rPr>
          <w:sz w:val="28"/>
          <w:szCs w:val="28"/>
        </w:rPr>
        <w:t xml:space="preserve"> </w:t>
      </w:r>
      <w:r w:rsidR="0015143D" w:rsidRPr="000D6D21">
        <w:rPr>
          <w:sz w:val="28"/>
          <w:szCs w:val="28"/>
        </w:rPr>
        <w:t>lists or information</w:t>
      </w:r>
      <w:r w:rsidR="00606280" w:rsidRPr="000D6D21">
        <w:rPr>
          <w:sz w:val="28"/>
          <w:szCs w:val="28"/>
        </w:rPr>
        <w:t xml:space="preserve"> </w:t>
      </w:r>
      <w:r w:rsidR="00E856EC" w:rsidRPr="000D6D21">
        <w:rPr>
          <w:sz w:val="28"/>
          <w:szCs w:val="28"/>
        </w:rPr>
        <w:t xml:space="preserve">beyond the </w:t>
      </w:r>
      <w:r w:rsidR="00436BF9">
        <w:rPr>
          <w:sz w:val="28"/>
          <w:szCs w:val="28"/>
        </w:rPr>
        <w:t xml:space="preserve">Registrar’s </w:t>
      </w:r>
      <w:r w:rsidR="00E856EC" w:rsidRPr="000D6D21">
        <w:rPr>
          <w:sz w:val="28"/>
          <w:szCs w:val="28"/>
        </w:rPr>
        <w:t>supervision</w:t>
      </w:r>
      <w:r w:rsidR="005766F8" w:rsidRPr="000D6D21">
        <w:rPr>
          <w:sz w:val="28"/>
          <w:szCs w:val="28"/>
        </w:rPr>
        <w:t xml:space="preserve">. </w:t>
      </w:r>
      <w:r w:rsidR="00137CD5" w:rsidRPr="000D6D21">
        <w:rPr>
          <w:sz w:val="28"/>
          <w:szCs w:val="28"/>
        </w:rPr>
        <w:t xml:space="preserve"> The Committee has provided no </w:t>
      </w:r>
      <w:r w:rsidR="00137CD5" w:rsidRPr="000D6D21">
        <w:rPr>
          <w:sz w:val="28"/>
          <w:szCs w:val="28"/>
        </w:rPr>
        <w:lastRenderedPageBreak/>
        <w:t xml:space="preserve">argument in response to this contention.  </w:t>
      </w:r>
      <w:r w:rsidR="0015143D" w:rsidRPr="000D6D21">
        <w:rPr>
          <w:sz w:val="28"/>
          <w:szCs w:val="28"/>
        </w:rPr>
        <w:t xml:space="preserve">(See </w:t>
      </w:r>
      <w:r w:rsidR="0015143D" w:rsidRPr="007B2481">
        <w:rPr>
          <w:i/>
          <w:iCs/>
          <w:sz w:val="28"/>
          <w:szCs w:val="28"/>
        </w:rPr>
        <w:t>Sweeney</w:t>
      </w:r>
      <w:r w:rsidR="0015143D" w:rsidRPr="000D6D21">
        <w:rPr>
          <w:i/>
          <w:iCs/>
          <w:sz w:val="28"/>
          <w:szCs w:val="28"/>
        </w:rPr>
        <w:t xml:space="preserve"> v. California Regional Water Quality Control Bd.</w:t>
      </w:r>
      <w:r w:rsidR="0015143D" w:rsidRPr="000D6D21">
        <w:rPr>
          <w:sz w:val="28"/>
          <w:szCs w:val="28"/>
        </w:rPr>
        <w:t xml:space="preserve"> (2021) 61 Cal.App.5th 1093, 1149 [courts may ignore arguments by respondent </w:t>
      </w:r>
      <w:r w:rsidR="007E6DC8" w:rsidRPr="000D6D21">
        <w:rPr>
          <w:sz w:val="28"/>
          <w:szCs w:val="28"/>
        </w:rPr>
        <w:t xml:space="preserve">when they </w:t>
      </w:r>
      <w:r w:rsidR="0015143D" w:rsidRPr="000D6D21">
        <w:rPr>
          <w:sz w:val="28"/>
          <w:szCs w:val="28"/>
        </w:rPr>
        <w:t>are unsupported by evidence or authority] (</w:t>
      </w:r>
      <w:r w:rsidR="0015143D" w:rsidRPr="000D6D21">
        <w:rPr>
          <w:i/>
          <w:iCs/>
          <w:sz w:val="28"/>
          <w:szCs w:val="28"/>
        </w:rPr>
        <w:t>Sweeney</w:t>
      </w:r>
      <w:r w:rsidR="0015143D" w:rsidRPr="000D6D21">
        <w:rPr>
          <w:sz w:val="28"/>
          <w:szCs w:val="28"/>
        </w:rPr>
        <w:t xml:space="preserve">)); </w:t>
      </w:r>
      <w:proofErr w:type="spellStart"/>
      <w:r w:rsidR="0015143D" w:rsidRPr="007B2481">
        <w:rPr>
          <w:i/>
          <w:iCs/>
          <w:sz w:val="28"/>
          <w:szCs w:val="28"/>
        </w:rPr>
        <w:t>Maral</w:t>
      </w:r>
      <w:proofErr w:type="spellEnd"/>
      <w:r w:rsidR="0015143D" w:rsidRPr="000D6D21">
        <w:rPr>
          <w:i/>
          <w:iCs/>
          <w:sz w:val="28"/>
          <w:szCs w:val="28"/>
        </w:rPr>
        <w:t xml:space="preserve"> v. City of Live Oak</w:t>
      </w:r>
      <w:r w:rsidR="0015143D" w:rsidRPr="000D6D21">
        <w:rPr>
          <w:sz w:val="28"/>
          <w:szCs w:val="28"/>
        </w:rPr>
        <w:t xml:space="preserve"> (2013) 221 Cal.App.4th 975, 984 [</w:t>
      </w:r>
      <w:r w:rsidR="0015143D" w:rsidRPr="000D6D21">
        <w:rPr>
          <w:rFonts w:eastAsia="Times New Roman" w:cs="Times New Roman"/>
          <w:sz w:val="28"/>
          <w:szCs w:val="28"/>
        </w:rPr>
        <w:t xml:space="preserve">“‘[a]n appellate court is not required to examine undeveloped claims, nor to make arguments for parties’”].)  </w:t>
      </w:r>
      <w:r w:rsidR="00672C18" w:rsidRPr="000D6D21">
        <w:rPr>
          <w:sz w:val="28"/>
          <w:szCs w:val="28"/>
        </w:rPr>
        <w:t>Given the lack of argument or supporting evidence to the contrary</w:t>
      </w:r>
      <w:r w:rsidR="006E524F" w:rsidRPr="000D6D21">
        <w:rPr>
          <w:sz w:val="28"/>
          <w:szCs w:val="28"/>
        </w:rPr>
        <w:t xml:space="preserve"> presented</w:t>
      </w:r>
      <w:r w:rsidR="00672C18" w:rsidRPr="000D6D21">
        <w:rPr>
          <w:sz w:val="28"/>
          <w:szCs w:val="28"/>
        </w:rPr>
        <w:t>, and based on the constitutional guarantee of voter privacy</w:t>
      </w:r>
      <w:r w:rsidR="0015143D" w:rsidRPr="000D6D21">
        <w:rPr>
          <w:sz w:val="28"/>
          <w:szCs w:val="28"/>
        </w:rPr>
        <w:t xml:space="preserve">, </w:t>
      </w:r>
      <w:r w:rsidR="00EE08DA" w:rsidRPr="000D6D21">
        <w:rPr>
          <w:sz w:val="28"/>
          <w:szCs w:val="28"/>
        </w:rPr>
        <w:t>w</w:t>
      </w:r>
      <w:r w:rsidR="00542E54" w:rsidRPr="000D6D21">
        <w:rPr>
          <w:sz w:val="28"/>
          <w:szCs w:val="28"/>
        </w:rPr>
        <w:t>e</w:t>
      </w:r>
      <w:r w:rsidR="00137CD5" w:rsidRPr="000D6D21">
        <w:rPr>
          <w:sz w:val="28"/>
          <w:szCs w:val="28"/>
        </w:rPr>
        <w:t xml:space="preserve"> agree with the </w:t>
      </w:r>
      <w:r w:rsidR="00FB5D61">
        <w:rPr>
          <w:sz w:val="28"/>
          <w:szCs w:val="28"/>
        </w:rPr>
        <w:t xml:space="preserve">Registrar’s </w:t>
      </w:r>
      <w:r w:rsidR="00672C18" w:rsidRPr="000D6D21">
        <w:rPr>
          <w:sz w:val="28"/>
          <w:szCs w:val="28"/>
        </w:rPr>
        <w:t xml:space="preserve">limited </w:t>
      </w:r>
      <w:r w:rsidR="00542E54" w:rsidRPr="000D6D21">
        <w:rPr>
          <w:sz w:val="28"/>
          <w:szCs w:val="28"/>
        </w:rPr>
        <w:t>interpretation of</w:t>
      </w:r>
      <w:r w:rsidR="00137CD5" w:rsidRPr="000D6D21">
        <w:rPr>
          <w:sz w:val="28"/>
          <w:szCs w:val="28"/>
        </w:rPr>
        <w:t xml:space="preserve"> section 7924.110.  </w:t>
      </w:r>
    </w:p>
    <w:p w14:paraId="633D17E8" w14:textId="77777777" w:rsidR="00452ECB" w:rsidRPr="000D6D21" w:rsidRDefault="00F615D7" w:rsidP="000D6D21">
      <w:pPr>
        <w:rPr>
          <w:sz w:val="28"/>
          <w:szCs w:val="28"/>
        </w:rPr>
      </w:pPr>
      <w:r w:rsidRPr="000D6D21">
        <w:rPr>
          <w:sz w:val="28"/>
          <w:szCs w:val="28"/>
        </w:rPr>
        <w:tab/>
        <w:t xml:space="preserve">Section 7924.110 </w:t>
      </w:r>
      <w:r w:rsidR="00137CD5" w:rsidRPr="000D6D21">
        <w:rPr>
          <w:sz w:val="28"/>
          <w:szCs w:val="28"/>
        </w:rPr>
        <w:t xml:space="preserve">provides that for </w:t>
      </w:r>
      <w:r w:rsidR="005766F8" w:rsidRPr="000D6D21">
        <w:rPr>
          <w:sz w:val="28"/>
          <w:szCs w:val="28"/>
        </w:rPr>
        <w:t xml:space="preserve">any </w:t>
      </w:r>
      <w:r w:rsidR="00137CD5" w:rsidRPr="000D6D21">
        <w:rPr>
          <w:sz w:val="28"/>
          <w:szCs w:val="28"/>
        </w:rPr>
        <w:t xml:space="preserve">petition </w:t>
      </w:r>
      <w:r w:rsidR="005766F8" w:rsidRPr="000D6D21">
        <w:rPr>
          <w:sz w:val="28"/>
          <w:szCs w:val="28"/>
        </w:rPr>
        <w:t>examination, the county elections official “</w:t>
      </w:r>
      <w:r w:rsidR="00114A69" w:rsidRPr="000D6D21">
        <w:rPr>
          <w:sz w:val="28"/>
          <w:szCs w:val="28"/>
        </w:rPr>
        <w:t>[</w:t>
      </w:r>
      <w:r w:rsidR="005766F8" w:rsidRPr="000D6D21">
        <w:rPr>
          <w:sz w:val="28"/>
          <w:szCs w:val="28"/>
        </w:rPr>
        <w:t>must</w:t>
      </w:r>
      <w:r w:rsidR="00114A69" w:rsidRPr="000D6D21">
        <w:rPr>
          <w:sz w:val="28"/>
          <w:szCs w:val="28"/>
        </w:rPr>
        <w:t>]</w:t>
      </w:r>
      <w:r w:rsidR="005766F8" w:rsidRPr="000D6D21">
        <w:rPr>
          <w:sz w:val="28"/>
          <w:szCs w:val="28"/>
        </w:rPr>
        <w:t xml:space="preserve"> retain the petitions . . . as prescribed in </w:t>
      </w:r>
      <w:r w:rsidR="00114A69" w:rsidRPr="000D6D21">
        <w:rPr>
          <w:sz w:val="28"/>
          <w:szCs w:val="28"/>
        </w:rPr>
        <w:t>[</w:t>
      </w:r>
      <w:r w:rsidR="005766F8" w:rsidRPr="000D6D21">
        <w:rPr>
          <w:sz w:val="28"/>
          <w:szCs w:val="28"/>
        </w:rPr>
        <w:t>Elections Code section 17200</w:t>
      </w:r>
      <w:r w:rsidR="00114A69" w:rsidRPr="000D6D21">
        <w:rPr>
          <w:sz w:val="28"/>
          <w:szCs w:val="28"/>
        </w:rPr>
        <w:t>]</w:t>
      </w:r>
      <w:r w:rsidR="005766F8" w:rsidRPr="000D6D21">
        <w:rPr>
          <w:sz w:val="28"/>
          <w:szCs w:val="28"/>
        </w:rPr>
        <w:t>.</w:t>
      </w:r>
      <w:r w:rsidR="00114A69" w:rsidRPr="000D6D21">
        <w:rPr>
          <w:sz w:val="28"/>
          <w:szCs w:val="28"/>
        </w:rPr>
        <w:t>”</w:t>
      </w:r>
      <w:r w:rsidR="005766F8" w:rsidRPr="000D6D21">
        <w:rPr>
          <w:sz w:val="28"/>
          <w:szCs w:val="28"/>
        </w:rPr>
        <w:t xml:space="preserve">  (§ 7924.110, subd. (d).)  In turn, section 17200 of the Elections Code restricts “[p]</w:t>
      </w:r>
      <w:proofErr w:type="spellStart"/>
      <w:r w:rsidR="005766F8" w:rsidRPr="000D6D21">
        <w:rPr>
          <w:sz w:val="28"/>
          <w:szCs w:val="28"/>
        </w:rPr>
        <w:t>ublic</w:t>
      </w:r>
      <w:proofErr w:type="spellEnd"/>
      <w:r w:rsidR="005766F8" w:rsidRPr="000D6D21">
        <w:rPr>
          <w:sz w:val="28"/>
          <w:szCs w:val="28"/>
        </w:rPr>
        <w:t xml:space="preserve"> access to the petition .</w:t>
      </w:r>
      <w:r w:rsidR="001C27FF">
        <w:rPr>
          <w:sz w:val="28"/>
          <w:szCs w:val="28"/>
        </w:rPr>
        <w:t> </w:t>
      </w:r>
      <w:r w:rsidR="005766F8" w:rsidRPr="000D6D21">
        <w:rPr>
          <w:sz w:val="28"/>
          <w:szCs w:val="28"/>
        </w:rPr>
        <w:t>.</w:t>
      </w:r>
      <w:r w:rsidR="001C27FF">
        <w:rPr>
          <w:sz w:val="28"/>
          <w:szCs w:val="28"/>
        </w:rPr>
        <w:t> </w:t>
      </w:r>
      <w:r w:rsidR="005766F8" w:rsidRPr="000D6D21">
        <w:rPr>
          <w:sz w:val="28"/>
          <w:szCs w:val="28"/>
        </w:rPr>
        <w:t xml:space="preserve">. in accordance with Article 2 (commencing with Section 7924.100) </w:t>
      </w:r>
      <w:r w:rsidR="00137CD5" w:rsidRPr="000D6D21">
        <w:rPr>
          <w:sz w:val="28"/>
          <w:szCs w:val="28"/>
        </w:rPr>
        <w:t>of [the PRA].”  (Elec. Code, § </w:t>
      </w:r>
      <w:r w:rsidR="005766F8" w:rsidRPr="000D6D21">
        <w:rPr>
          <w:sz w:val="28"/>
          <w:szCs w:val="28"/>
        </w:rPr>
        <w:t xml:space="preserve">17200, subd. (d).)  </w:t>
      </w:r>
      <w:r w:rsidR="0049787E" w:rsidRPr="000D6D21">
        <w:rPr>
          <w:sz w:val="28"/>
          <w:szCs w:val="28"/>
        </w:rPr>
        <w:t xml:space="preserve">Beyond </w:t>
      </w:r>
      <w:r w:rsidR="00542E54" w:rsidRPr="000D6D21">
        <w:rPr>
          <w:sz w:val="28"/>
          <w:szCs w:val="28"/>
        </w:rPr>
        <w:t>its</w:t>
      </w:r>
      <w:r w:rsidR="0049787E" w:rsidRPr="000D6D21">
        <w:rPr>
          <w:sz w:val="28"/>
          <w:szCs w:val="28"/>
        </w:rPr>
        <w:t xml:space="preserve"> reference back to the PRA, </w:t>
      </w:r>
      <w:r w:rsidR="00542E54" w:rsidRPr="000D6D21">
        <w:rPr>
          <w:sz w:val="28"/>
          <w:szCs w:val="28"/>
        </w:rPr>
        <w:t xml:space="preserve">section 17200 of the </w:t>
      </w:r>
      <w:r w:rsidR="0049787E" w:rsidRPr="000D6D21">
        <w:rPr>
          <w:sz w:val="28"/>
          <w:szCs w:val="28"/>
        </w:rPr>
        <w:t xml:space="preserve">Elections Code </w:t>
      </w:r>
      <w:r w:rsidR="00542E54" w:rsidRPr="000D6D21">
        <w:rPr>
          <w:sz w:val="28"/>
          <w:szCs w:val="28"/>
        </w:rPr>
        <w:t xml:space="preserve">provides no direction on the scope of an </w:t>
      </w:r>
      <w:r w:rsidR="00BA090F" w:rsidRPr="000D6D21">
        <w:rPr>
          <w:sz w:val="28"/>
          <w:szCs w:val="28"/>
        </w:rPr>
        <w:t xml:space="preserve">examination or </w:t>
      </w:r>
      <w:r w:rsidR="00542E54" w:rsidRPr="000D6D21">
        <w:rPr>
          <w:sz w:val="28"/>
          <w:szCs w:val="28"/>
        </w:rPr>
        <w:t>the duties of a county elections official to ensure</w:t>
      </w:r>
      <w:r w:rsidR="00BA090F" w:rsidRPr="000D6D21">
        <w:rPr>
          <w:sz w:val="28"/>
          <w:szCs w:val="28"/>
        </w:rPr>
        <w:t xml:space="preserve"> a full examination.</w:t>
      </w:r>
      <w:r w:rsidR="00137CD5" w:rsidRPr="000D6D21">
        <w:rPr>
          <w:sz w:val="28"/>
          <w:szCs w:val="28"/>
        </w:rPr>
        <w:t xml:space="preserve">  </w:t>
      </w:r>
      <w:r w:rsidR="006D4218" w:rsidRPr="000D6D21">
        <w:rPr>
          <w:sz w:val="28"/>
          <w:szCs w:val="28"/>
        </w:rPr>
        <w:t xml:space="preserve">The PRA does not define the term, </w:t>
      </w:r>
      <w:r w:rsidR="0099458C" w:rsidRPr="000D6D21">
        <w:rPr>
          <w:sz w:val="28"/>
          <w:szCs w:val="28"/>
        </w:rPr>
        <w:t xml:space="preserve">and we find no guidance from </w:t>
      </w:r>
      <w:r w:rsidR="00137CD5" w:rsidRPr="000D6D21">
        <w:rPr>
          <w:sz w:val="28"/>
          <w:szCs w:val="28"/>
        </w:rPr>
        <w:t>the legislative history of section 7924.110.</w:t>
      </w:r>
      <w:r>
        <w:rPr>
          <w:rStyle w:val="FootnoteReference"/>
          <w:sz w:val="28"/>
          <w:szCs w:val="28"/>
        </w:rPr>
        <w:footnoteReference w:id="19"/>
      </w:r>
      <w:r w:rsidR="00137CD5" w:rsidRPr="000D6D21">
        <w:rPr>
          <w:sz w:val="28"/>
          <w:szCs w:val="28"/>
        </w:rPr>
        <w:t xml:space="preserve">  </w:t>
      </w:r>
    </w:p>
    <w:p w14:paraId="633D17E9" w14:textId="77777777" w:rsidR="006D4218" w:rsidRPr="000D6D21" w:rsidRDefault="00F615D7" w:rsidP="000D6D21">
      <w:pPr>
        <w:rPr>
          <w:sz w:val="28"/>
          <w:szCs w:val="28"/>
        </w:rPr>
      </w:pPr>
      <w:r w:rsidRPr="000D6D21">
        <w:rPr>
          <w:sz w:val="28"/>
          <w:szCs w:val="28"/>
        </w:rPr>
        <w:lastRenderedPageBreak/>
        <w:tab/>
        <w:t xml:space="preserve">We must therefore determine what the Legislature meant by “inspection” and “examination.”  The verb “inspect” is commonly defined to mean “view closely and critically” and “examine with care.”  (Webster’s 3d New </w:t>
      </w:r>
      <w:proofErr w:type="spellStart"/>
      <w:r w:rsidRPr="000D6D21">
        <w:rPr>
          <w:sz w:val="28"/>
          <w:szCs w:val="28"/>
        </w:rPr>
        <w:t>Int</w:t>
      </w:r>
      <w:r w:rsidRPr="000D6D21">
        <w:rPr>
          <w:sz w:val="28"/>
          <w:szCs w:val="28"/>
        </w:rPr>
        <w:t>ernat.</w:t>
      </w:r>
      <w:proofErr w:type="spellEnd"/>
      <w:r w:rsidRPr="000D6D21">
        <w:rPr>
          <w:sz w:val="28"/>
          <w:szCs w:val="28"/>
        </w:rPr>
        <w:t xml:space="preserve"> Dict. (1981) p. 1170.)  The verb “examine” is defined to mean “look over” and “seek to ascertain.”  (</w:t>
      </w:r>
      <w:r w:rsidRPr="000D6D21">
        <w:rPr>
          <w:i/>
          <w:iCs/>
          <w:sz w:val="28"/>
          <w:szCs w:val="28"/>
        </w:rPr>
        <w:t>Id.</w:t>
      </w:r>
      <w:r w:rsidRPr="000D6D21">
        <w:rPr>
          <w:sz w:val="28"/>
          <w:szCs w:val="28"/>
        </w:rPr>
        <w:t xml:space="preserve"> at p. 790; see </w:t>
      </w:r>
      <w:r w:rsidRPr="000D6D21">
        <w:rPr>
          <w:i/>
          <w:iCs/>
          <w:sz w:val="28"/>
          <w:szCs w:val="28"/>
        </w:rPr>
        <w:t>Hayward</w:t>
      </w:r>
      <w:r w:rsidRPr="000D6D21">
        <w:rPr>
          <w:sz w:val="28"/>
          <w:szCs w:val="28"/>
        </w:rPr>
        <w:t xml:space="preserve">, </w:t>
      </w:r>
      <w:r w:rsidRPr="000D6D21">
        <w:rPr>
          <w:i/>
          <w:iCs/>
          <w:sz w:val="28"/>
          <w:szCs w:val="28"/>
        </w:rPr>
        <w:t>supra</w:t>
      </w:r>
      <w:r w:rsidRPr="000D6D21">
        <w:rPr>
          <w:sz w:val="28"/>
          <w:szCs w:val="28"/>
        </w:rPr>
        <w:t>, 9 Cal.5th at p. 499 [courts may utilize common definitions in statutory interpretation].)  These definitions lend</w:t>
      </w:r>
      <w:r w:rsidRPr="000D6D21">
        <w:rPr>
          <w:sz w:val="28"/>
          <w:szCs w:val="28"/>
        </w:rPr>
        <w:t xml:space="preserve"> some support for the court’s order, as they contemplate the ability to</w:t>
      </w:r>
      <w:r w:rsidR="0015143D" w:rsidRPr="000D6D21">
        <w:rPr>
          <w:sz w:val="28"/>
          <w:szCs w:val="28"/>
        </w:rPr>
        <w:t xml:space="preserve"> look</w:t>
      </w:r>
      <w:r w:rsidRPr="000D6D21">
        <w:rPr>
          <w:sz w:val="28"/>
          <w:szCs w:val="28"/>
        </w:rPr>
        <w:t xml:space="preserve"> over electronic lists</w:t>
      </w:r>
      <w:r w:rsidR="00FB5D61">
        <w:rPr>
          <w:sz w:val="28"/>
          <w:szCs w:val="28"/>
        </w:rPr>
        <w:t xml:space="preserve"> </w:t>
      </w:r>
      <w:r w:rsidR="00112709" w:rsidRPr="000D6D21">
        <w:rPr>
          <w:sz w:val="28"/>
          <w:szCs w:val="28"/>
        </w:rPr>
        <w:t>without specifying a location</w:t>
      </w:r>
      <w:r w:rsidR="00FB5D61">
        <w:rPr>
          <w:sz w:val="28"/>
          <w:szCs w:val="28"/>
        </w:rPr>
        <w:t xml:space="preserve"> </w:t>
      </w:r>
      <w:r w:rsidRPr="000D6D21">
        <w:rPr>
          <w:sz w:val="28"/>
          <w:szCs w:val="28"/>
        </w:rPr>
        <w:t xml:space="preserve">to determine which signatures were disqualified and the reasons therefor.  </w:t>
      </w:r>
    </w:p>
    <w:p w14:paraId="633D17EA" w14:textId="77777777" w:rsidR="00137CD5" w:rsidRPr="000D6D21" w:rsidRDefault="00F615D7" w:rsidP="000D6D21">
      <w:pPr>
        <w:rPr>
          <w:sz w:val="28"/>
          <w:szCs w:val="28"/>
        </w:rPr>
      </w:pPr>
      <w:r w:rsidRPr="000D6D21">
        <w:rPr>
          <w:sz w:val="28"/>
          <w:szCs w:val="28"/>
        </w:rPr>
        <w:tab/>
      </w:r>
      <w:r w:rsidR="0099458C" w:rsidRPr="000D6D21">
        <w:rPr>
          <w:sz w:val="28"/>
          <w:szCs w:val="28"/>
        </w:rPr>
        <w:t>In view</w:t>
      </w:r>
      <w:r w:rsidR="00112709" w:rsidRPr="000D6D21">
        <w:rPr>
          <w:sz w:val="28"/>
          <w:szCs w:val="28"/>
        </w:rPr>
        <w:t xml:space="preserve"> of the constitutional guarantee of voter privacy, </w:t>
      </w:r>
      <w:r w:rsidR="0099458C" w:rsidRPr="000D6D21">
        <w:rPr>
          <w:sz w:val="28"/>
          <w:szCs w:val="28"/>
        </w:rPr>
        <w:t xml:space="preserve">however, </w:t>
      </w:r>
      <w:r w:rsidR="00112709" w:rsidRPr="000D6D21">
        <w:rPr>
          <w:sz w:val="28"/>
          <w:szCs w:val="28"/>
        </w:rPr>
        <w:t xml:space="preserve">it is unlikely </w:t>
      </w:r>
      <w:r w:rsidRPr="000D6D21">
        <w:rPr>
          <w:sz w:val="28"/>
          <w:szCs w:val="28"/>
        </w:rPr>
        <w:t>the Legislature intended to broaden a petition examination by permitting the proponent to copy pe</w:t>
      </w:r>
      <w:r w:rsidRPr="000D6D21">
        <w:rPr>
          <w:sz w:val="28"/>
          <w:szCs w:val="28"/>
        </w:rPr>
        <w:t xml:space="preserve">tition and memoranda data for use beyond the control of county election officials.  In </w:t>
      </w:r>
      <w:r w:rsidRPr="000D6D21">
        <w:rPr>
          <w:i/>
          <w:iCs/>
          <w:sz w:val="28"/>
          <w:szCs w:val="28"/>
        </w:rPr>
        <w:t>Bilofsky v. Deukmejian</w:t>
      </w:r>
      <w:r w:rsidRPr="000D6D21">
        <w:rPr>
          <w:sz w:val="28"/>
          <w:szCs w:val="28"/>
        </w:rPr>
        <w:t xml:space="preserve"> (1981) 124 Cal.App.3d 825, 831 (</w:t>
      </w:r>
      <w:r w:rsidRPr="007B2481">
        <w:rPr>
          <w:i/>
          <w:iCs/>
          <w:sz w:val="28"/>
          <w:szCs w:val="28"/>
        </w:rPr>
        <w:t>Bilofsky</w:t>
      </w:r>
      <w:r w:rsidRPr="000D6D21">
        <w:rPr>
          <w:sz w:val="28"/>
          <w:szCs w:val="28"/>
        </w:rPr>
        <w:t xml:space="preserve">), this court narrowly </w:t>
      </w:r>
      <w:r w:rsidRPr="000D6D21">
        <w:rPr>
          <w:sz w:val="28"/>
          <w:szCs w:val="28"/>
        </w:rPr>
        <w:lastRenderedPageBreak/>
        <w:t xml:space="preserve">construed a provision in the Elections Code </w:t>
      </w:r>
      <w:r w:rsidR="008A68DE" w:rsidRPr="000D6D21">
        <w:rPr>
          <w:sz w:val="28"/>
          <w:szCs w:val="28"/>
        </w:rPr>
        <w:t>to prohibit</w:t>
      </w:r>
      <w:r w:rsidRPr="000D6D21">
        <w:rPr>
          <w:sz w:val="28"/>
          <w:szCs w:val="28"/>
        </w:rPr>
        <w:t xml:space="preserve"> any circulator of a petitio</w:t>
      </w:r>
      <w:r w:rsidRPr="000D6D21">
        <w:rPr>
          <w:sz w:val="28"/>
          <w:szCs w:val="28"/>
        </w:rPr>
        <w:t>n (initiative, referendum, or recall) from using the list of signatures “‘for any purpose other than qualification of the . . . question for the ballot.’”  (</w:t>
      </w:r>
      <w:r w:rsidRPr="000D6D21">
        <w:rPr>
          <w:i/>
          <w:sz w:val="28"/>
          <w:szCs w:val="28"/>
        </w:rPr>
        <w:t>Id.</w:t>
      </w:r>
      <w:r w:rsidRPr="000D6D21">
        <w:rPr>
          <w:sz w:val="28"/>
          <w:szCs w:val="28"/>
        </w:rPr>
        <w:t xml:space="preserve"> at </w:t>
      </w:r>
      <w:r w:rsidR="00DA1C79" w:rsidRPr="000D6D21">
        <w:rPr>
          <w:sz w:val="28"/>
          <w:szCs w:val="28"/>
        </w:rPr>
        <w:t>p</w:t>
      </w:r>
      <w:r w:rsidRPr="000D6D21">
        <w:rPr>
          <w:sz w:val="28"/>
          <w:szCs w:val="28"/>
        </w:rPr>
        <w:t>p.</w:t>
      </w:r>
      <w:r w:rsidR="0099458C" w:rsidRPr="000D6D21">
        <w:rPr>
          <w:sz w:val="28"/>
          <w:szCs w:val="28"/>
        </w:rPr>
        <w:t> </w:t>
      </w:r>
      <w:r w:rsidRPr="000D6D21">
        <w:rPr>
          <w:sz w:val="28"/>
          <w:szCs w:val="28"/>
        </w:rPr>
        <w:t>827</w:t>
      </w:r>
      <w:r w:rsidRPr="000D6D21">
        <w:rPr>
          <w:sz w:val="28"/>
          <w:szCs w:val="28"/>
        </w:rPr>
        <w:noBreakHyphen/>
        <w:t>828, fn. 1, quoting former Elec. Code, § 2770.)</w:t>
      </w:r>
      <w:r w:rsidR="008A68DE" w:rsidRPr="000D6D21">
        <w:rPr>
          <w:sz w:val="28"/>
          <w:szCs w:val="28"/>
        </w:rPr>
        <w:t xml:space="preserve">  Guided by “the California constitutional guarantee of privacy by </w:t>
      </w:r>
      <w:proofErr w:type="gramStart"/>
      <w:r w:rsidR="008A68DE" w:rsidRPr="000D6D21">
        <w:rPr>
          <w:sz w:val="28"/>
          <w:szCs w:val="28"/>
        </w:rPr>
        <w:t>insuring</w:t>
      </w:r>
      <w:proofErr w:type="gramEnd"/>
      <w:r w:rsidR="008A68DE" w:rsidRPr="000D6D21">
        <w:rPr>
          <w:sz w:val="28"/>
          <w:szCs w:val="28"/>
        </w:rPr>
        <w:t xml:space="preserve"> the least interference with that right of persons signing . . . recall petitions,” we narrowly construed the provision as “designed in order to protect the signer from any use of his identity other than that integral to the </w:t>
      </w:r>
      <w:r w:rsidR="007E23B9" w:rsidRPr="000D6D21">
        <w:rPr>
          <w:sz w:val="28"/>
          <w:szCs w:val="28"/>
        </w:rPr>
        <w:t>[petition]</w:t>
      </w:r>
      <w:r w:rsidR="008A68DE" w:rsidRPr="000D6D21">
        <w:rPr>
          <w:sz w:val="28"/>
          <w:szCs w:val="28"/>
        </w:rPr>
        <w:t xml:space="preserve"> process.”  (</w:t>
      </w:r>
      <w:r w:rsidR="008A68DE" w:rsidRPr="000D6D21">
        <w:rPr>
          <w:i/>
          <w:sz w:val="28"/>
          <w:szCs w:val="28"/>
        </w:rPr>
        <w:t>Id.</w:t>
      </w:r>
      <w:r w:rsidR="008A68DE" w:rsidRPr="000D6D21">
        <w:rPr>
          <w:sz w:val="28"/>
          <w:szCs w:val="28"/>
        </w:rPr>
        <w:t xml:space="preserve"> at pp. 831, 833; see Cal. Const.</w:t>
      </w:r>
      <w:r w:rsidR="00D658BE" w:rsidRPr="000D6D21">
        <w:rPr>
          <w:sz w:val="28"/>
          <w:szCs w:val="28"/>
        </w:rPr>
        <w:t>,</w:t>
      </w:r>
      <w:r w:rsidR="008A68DE" w:rsidRPr="000D6D21">
        <w:rPr>
          <w:sz w:val="28"/>
          <w:szCs w:val="28"/>
        </w:rPr>
        <w:t xml:space="preserve"> art. I, § 1.)  </w:t>
      </w:r>
    </w:p>
    <w:p w14:paraId="633D17EB" w14:textId="77777777" w:rsidR="008063EC" w:rsidRPr="000D6D21" w:rsidRDefault="00F615D7" w:rsidP="000D6D21">
      <w:pPr>
        <w:rPr>
          <w:sz w:val="28"/>
          <w:szCs w:val="28"/>
        </w:rPr>
      </w:pPr>
      <w:r w:rsidRPr="000D6D21">
        <w:rPr>
          <w:sz w:val="28"/>
          <w:szCs w:val="28"/>
        </w:rPr>
        <w:tab/>
      </w:r>
      <w:r w:rsidR="00FB5D61">
        <w:rPr>
          <w:sz w:val="28"/>
          <w:szCs w:val="28"/>
        </w:rPr>
        <w:t>We agree with the Registrar that</w:t>
      </w:r>
      <w:r w:rsidR="0099458C" w:rsidRPr="000D6D21">
        <w:rPr>
          <w:sz w:val="28"/>
          <w:szCs w:val="28"/>
        </w:rPr>
        <w:t xml:space="preserve"> </w:t>
      </w:r>
      <w:r w:rsidRPr="000D6D21">
        <w:rPr>
          <w:sz w:val="28"/>
          <w:szCs w:val="28"/>
        </w:rPr>
        <w:t>the same privacy concerns exist for voters who participate in recall petitions.  (See §§ 7924.000, subds. (a)</w:t>
      </w:r>
      <w:r w:rsidRPr="000D6D21">
        <w:rPr>
          <w:sz w:val="28"/>
          <w:szCs w:val="28"/>
        </w:rPr>
        <w:noBreakHyphen/>
        <w:t xml:space="preserve">(c).)  </w:t>
      </w:r>
      <w:r w:rsidR="00FB5D61">
        <w:rPr>
          <w:sz w:val="28"/>
          <w:szCs w:val="28"/>
        </w:rPr>
        <w:t>U</w:t>
      </w:r>
      <w:r w:rsidRPr="000D6D21">
        <w:rPr>
          <w:sz w:val="28"/>
          <w:szCs w:val="28"/>
        </w:rPr>
        <w:t>se of voter informat</w:t>
      </w:r>
      <w:r w:rsidRPr="000D6D21">
        <w:rPr>
          <w:sz w:val="28"/>
          <w:szCs w:val="28"/>
        </w:rPr>
        <w:t xml:space="preserve">ion in this case outside the Registrar’s walls would </w:t>
      </w:r>
      <w:r w:rsidR="004142AB">
        <w:rPr>
          <w:sz w:val="28"/>
          <w:szCs w:val="28"/>
        </w:rPr>
        <w:t xml:space="preserve">undoubtedly </w:t>
      </w:r>
      <w:r w:rsidR="00112709" w:rsidRPr="000D6D21">
        <w:rPr>
          <w:sz w:val="28"/>
          <w:szCs w:val="28"/>
        </w:rPr>
        <w:t>give the Committee greater control over how they use the information</w:t>
      </w:r>
      <w:r w:rsidR="00FB5D61">
        <w:rPr>
          <w:sz w:val="28"/>
          <w:szCs w:val="28"/>
        </w:rPr>
        <w:t>.  In turn, this level of control could</w:t>
      </w:r>
      <w:r w:rsidR="00112709" w:rsidRPr="000D6D21">
        <w:rPr>
          <w:sz w:val="28"/>
          <w:szCs w:val="28"/>
        </w:rPr>
        <w:t xml:space="preserve"> </w:t>
      </w:r>
      <w:r w:rsidRPr="000D6D21">
        <w:rPr>
          <w:sz w:val="28"/>
          <w:szCs w:val="28"/>
        </w:rPr>
        <w:t xml:space="preserve">expedite </w:t>
      </w:r>
      <w:r w:rsidR="004142AB">
        <w:rPr>
          <w:sz w:val="28"/>
          <w:szCs w:val="28"/>
        </w:rPr>
        <w:t>its</w:t>
      </w:r>
      <w:r w:rsidR="00FB5D61">
        <w:rPr>
          <w:sz w:val="28"/>
          <w:szCs w:val="28"/>
        </w:rPr>
        <w:t xml:space="preserve"> petition</w:t>
      </w:r>
      <w:r w:rsidRPr="000D6D21">
        <w:rPr>
          <w:sz w:val="28"/>
          <w:szCs w:val="28"/>
        </w:rPr>
        <w:t xml:space="preserve"> examination</w:t>
      </w:r>
      <w:r w:rsidR="00FB5D61">
        <w:rPr>
          <w:sz w:val="28"/>
          <w:szCs w:val="28"/>
        </w:rPr>
        <w:t xml:space="preserve">.  </w:t>
      </w:r>
      <w:r w:rsidR="004142AB">
        <w:rPr>
          <w:sz w:val="28"/>
          <w:szCs w:val="28"/>
        </w:rPr>
        <w:t xml:space="preserve">But </w:t>
      </w:r>
      <w:r w:rsidRPr="000D6D21">
        <w:rPr>
          <w:sz w:val="28"/>
          <w:szCs w:val="28"/>
        </w:rPr>
        <w:t xml:space="preserve">the Committee already has access to this information for use </w:t>
      </w:r>
      <w:r w:rsidRPr="004142AB">
        <w:rPr>
          <w:i/>
          <w:iCs/>
          <w:sz w:val="28"/>
          <w:szCs w:val="28"/>
        </w:rPr>
        <w:t>inside</w:t>
      </w:r>
      <w:r w:rsidRPr="000D6D21">
        <w:rPr>
          <w:sz w:val="28"/>
          <w:szCs w:val="28"/>
        </w:rPr>
        <w:t xml:space="preserve"> the examination room.  </w:t>
      </w:r>
      <w:r w:rsidR="00FB5D61">
        <w:rPr>
          <w:sz w:val="28"/>
          <w:szCs w:val="28"/>
        </w:rPr>
        <w:t>And a</w:t>
      </w:r>
      <w:r w:rsidRPr="000D6D21">
        <w:rPr>
          <w:sz w:val="28"/>
          <w:szCs w:val="28"/>
        </w:rPr>
        <w:t xml:space="preserve">s a practical matter, we are mindful of the risks of unlawful dissemination of voter data in this case, even if that risk is </w:t>
      </w:r>
      <w:r w:rsidR="00112709" w:rsidRPr="000D6D21">
        <w:rPr>
          <w:sz w:val="28"/>
          <w:szCs w:val="28"/>
        </w:rPr>
        <w:t xml:space="preserve">mitigated </w:t>
      </w:r>
      <w:r w:rsidRPr="000D6D21">
        <w:rPr>
          <w:sz w:val="28"/>
          <w:szCs w:val="28"/>
        </w:rPr>
        <w:t>by a protective order.</w:t>
      </w:r>
      <w:r>
        <w:rPr>
          <w:rStyle w:val="FootnoteReference"/>
          <w:sz w:val="28"/>
          <w:szCs w:val="28"/>
        </w:rPr>
        <w:footnoteReference w:id="20"/>
      </w:r>
      <w:r w:rsidR="00FB5D61">
        <w:rPr>
          <w:sz w:val="28"/>
          <w:szCs w:val="28"/>
        </w:rPr>
        <w:t xml:space="preserve">  Under th</w:t>
      </w:r>
      <w:r w:rsidR="00BC480A">
        <w:rPr>
          <w:sz w:val="28"/>
          <w:szCs w:val="28"/>
        </w:rPr>
        <w:t>es</w:t>
      </w:r>
      <w:r w:rsidR="00FB5D61">
        <w:rPr>
          <w:sz w:val="28"/>
          <w:szCs w:val="28"/>
        </w:rPr>
        <w:t xml:space="preserve">e </w:t>
      </w:r>
      <w:r w:rsidR="00FB5D61">
        <w:rPr>
          <w:sz w:val="28"/>
          <w:szCs w:val="28"/>
        </w:rPr>
        <w:lastRenderedPageBreak/>
        <w:t xml:space="preserve">circumstances, </w:t>
      </w:r>
      <w:r w:rsidR="004142AB">
        <w:rPr>
          <w:sz w:val="28"/>
          <w:szCs w:val="28"/>
        </w:rPr>
        <w:t xml:space="preserve">we do not believe that </w:t>
      </w:r>
      <w:r w:rsidR="00FB5D61">
        <w:rPr>
          <w:sz w:val="28"/>
          <w:szCs w:val="28"/>
        </w:rPr>
        <w:t>use of electronic voter data outside the Registrar’s walls is “integral”</w:t>
      </w:r>
      <w:r w:rsidR="00BC480A">
        <w:rPr>
          <w:sz w:val="28"/>
          <w:szCs w:val="28"/>
        </w:rPr>
        <w:t xml:space="preserve"> to the Committee’s petition examination.  (</w:t>
      </w:r>
      <w:r w:rsidR="00BC480A">
        <w:rPr>
          <w:i/>
          <w:iCs/>
          <w:sz w:val="28"/>
          <w:szCs w:val="28"/>
        </w:rPr>
        <w:t>Bilofsky</w:t>
      </w:r>
      <w:r w:rsidR="00BC480A">
        <w:rPr>
          <w:sz w:val="28"/>
          <w:szCs w:val="28"/>
        </w:rPr>
        <w:t xml:space="preserve">, </w:t>
      </w:r>
      <w:r w:rsidR="00BC480A">
        <w:rPr>
          <w:i/>
          <w:iCs/>
          <w:sz w:val="28"/>
          <w:szCs w:val="28"/>
        </w:rPr>
        <w:t>supra</w:t>
      </w:r>
      <w:r w:rsidR="00BC480A">
        <w:rPr>
          <w:sz w:val="28"/>
          <w:szCs w:val="28"/>
        </w:rPr>
        <w:t>, at pp.</w:t>
      </w:r>
      <w:r w:rsidR="004142AB">
        <w:rPr>
          <w:sz w:val="28"/>
          <w:szCs w:val="28"/>
        </w:rPr>
        <w:t> </w:t>
      </w:r>
      <w:r w:rsidR="00BC480A">
        <w:rPr>
          <w:sz w:val="28"/>
          <w:szCs w:val="28"/>
        </w:rPr>
        <w:t>831, 833.)</w:t>
      </w:r>
      <w:r w:rsidR="00FB5D61">
        <w:rPr>
          <w:sz w:val="28"/>
          <w:szCs w:val="28"/>
        </w:rPr>
        <w:t xml:space="preserve"> </w:t>
      </w:r>
    </w:p>
    <w:p w14:paraId="633D17EC" w14:textId="77777777" w:rsidR="008063EC" w:rsidRDefault="00F615D7" w:rsidP="00C52256">
      <w:pPr>
        <w:ind w:firstLine="720"/>
        <w:rPr>
          <w:sz w:val="28"/>
          <w:szCs w:val="28"/>
        </w:rPr>
      </w:pPr>
      <w:r>
        <w:rPr>
          <w:sz w:val="28"/>
          <w:szCs w:val="28"/>
        </w:rPr>
        <w:t>We</w:t>
      </w:r>
      <w:r w:rsidRPr="000D6D21">
        <w:rPr>
          <w:sz w:val="28"/>
          <w:szCs w:val="28"/>
        </w:rPr>
        <w:t xml:space="preserve"> </w:t>
      </w:r>
      <w:r w:rsidR="00936856">
        <w:rPr>
          <w:sz w:val="28"/>
          <w:szCs w:val="28"/>
        </w:rPr>
        <w:t xml:space="preserve">therefore </w:t>
      </w:r>
      <w:r w:rsidRPr="000D6D21">
        <w:rPr>
          <w:sz w:val="28"/>
          <w:szCs w:val="28"/>
        </w:rPr>
        <w:t xml:space="preserve">decline to construe section 7924.110 </w:t>
      </w:r>
      <w:r w:rsidR="007E6DC8" w:rsidRPr="000D6D21">
        <w:rPr>
          <w:sz w:val="28"/>
          <w:szCs w:val="28"/>
        </w:rPr>
        <w:t xml:space="preserve">broadly </w:t>
      </w:r>
      <w:r>
        <w:rPr>
          <w:sz w:val="28"/>
          <w:szCs w:val="28"/>
        </w:rPr>
        <w:t xml:space="preserve">to permit </w:t>
      </w:r>
      <w:r w:rsidR="00097824" w:rsidRPr="000D6D21">
        <w:rPr>
          <w:sz w:val="28"/>
          <w:szCs w:val="28"/>
        </w:rPr>
        <w:t>the Committee</w:t>
      </w:r>
      <w:r>
        <w:rPr>
          <w:sz w:val="28"/>
          <w:szCs w:val="28"/>
        </w:rPr>
        <w:t>’s</w:t>
      </w:r>
      <w:r w:rsidR="00936856">
        <w:rPr>
          <w:sz w:val="28"/>
          <w:szCs w:val="28"/>
        </w:rPr>
        <w:t xml:space="preserve"> </w:t>
      </w:r>
      <w:r w:rsidRPr="000D6D21">
        <w:rPr>
          <w:sz w:val="28"/>
          <w:szCs w:val="28"/>
        </w:rPr>
        <w:t xml:space="preserve">use </w:t>
      </w:r>
      <w:r>
        <w:rPr>
          <w:sz w:val="28"/>
          <w:szCs w:val="28"/>
        </w:rPr>
        <w:t xml:space="preserve">of </w:t>
      </w:r>
      <w:r w:rsidRPr="000D6D21">
        <w:rPr>
          <w:sz w:val="28"/>
          <w:szCs w:val="28"/>
        </w:rPr>
        <w:t xml:space="preserve">any recall or memoranda material outside the Registrar’s examination room.  Our construction of section 7924.110 may </w:t>
      </w:r>
      <w:r w:rsidR="00097824" w:rsidRPr="000D6D21">
        <w:rPr>
          <w:sz w:val="28"/>
          <w:szCs w:val="28"/>
        </w:rPr>
        <w:t>affect</w:t>
      </w:r>
      <w:r w:rsidRPr="000D6D21">
        <w:rPr>
          <w:sz w:val="28"/>
          <w:szCs w:val="28"/>
        </w:rPr>
        <w:t xml:space="preserve"> the Committee’s ability to </w:t>
      </w:r>
      <w:r w:rsidR="00112709" w:rsidRPr="000D6D21">
        <w:rPr>
          <w:sz w:val="28"/>
          <w:szCs w:val="28"/>
        </w:rPr>
        <w:t>control the speed of</w:t>
      </w:r>
      <w:r w:rsidRPr="000D6D21">
        <w:rPr>
          <w:sz w:val="28"/>
          <w:szCs w:val="28"/>
        </w:rPr>
        <w:t xml:space="preserve"> </w:t>
      </w:r>
      <w:r w:rsidR="0099458C" w:rsidRPr="000D6D21">
        <w:rPr>
          <w:sz w:val="28"/>
          <w:szCs w:val="28"/>
        </w:rPr>
        <w:t>its</w:t>
      </w:r>
      <w:r w:rsidR="00112709" w:rsidRPr="000D6D21">
        <w:rPr>
          <w:sz w:val="28"/>
          <w:szCs w:val="28"/>
        </w:rPr>
        <w:t xml:space="preserve"> </w:t>
      </w:r>
      <w:r w:rsidRPr="000D6D21">
        <w:rPr>
          <w:sz w:val="28"/>
          <w:szCs w:val="28"/>
        </w:rPr>
        <w:t>examination, but given the access it alrea</w:t>
      </w:r>
      <w:r w:rsidRPr="000D6D21">
        <w:rPr>
          <w:sz w:val="28"/>
          <w:szCs w:val="28"/>
        </w:rPr>
        <w:t>dy has, we do not believe its rights of examination would be impacted any “greater than under many statutes designed to afford to individuals a privilege of privacy</w:t>
      </w:r>
      <w:r w:rsidR="005D1B1F" w:rsidRPr="000D6D21">
        <w:rPr>
          <w:sz w:val="28"/>
          <w:szCs w:val="28"/>
        </w:rPr>
        <w:t xml:space="preserve">. . . </w:t>
      </w:r>
      <w:r w:rsidRPr="000D6D21">
        <w:rPr>
          <w:sz w:val="28"/>
          <w:szCs w:val="28"/>
        </w:rPr>
        <w:t>.”  (</w:t>
      </w:r>
      <w:r w:rsidRPr="000D6D21">
        <w:rPr>
          <w:i/>
          <w:iCs/>
          <w:sz w:val="28"/>
          <w:szCs w:val="28"/>
        </w:rPr>
        <w:t>Bilofsky</w:t>
      </w:r>
      <w:r w:rsidRPr="000D6D21">
        <w:rPr>
          <w:sz w:val="28"/>
          <w:szCs w:val="28"/>
        </w:rPr>
        <w:t xml:space="preserve">, </w:t>
      </w:r>
      <w:r w:rsidRPr="000D6D21">
        <w:rPr>
          <w:i/>
          <w:iCs/>
          <w:sz w:val="28"/>
          <w:szCs w:val="28"/>
        </w:rPr>
        <w:t>supra</w:t>
      </w:r>
      <w:r w:rsidRPr="000D6D21">
        <w:rPr>
          <w:sz w:val="28"/>
          <w:szCs w:val="28"/>
        </w:rPr>
        <w:t>, 124 Cal.App.3d at p. 833.)</w:t>
      </w:r>
      <w:r>
        <w:rPr>
          <w:rStyle w:val="FootnoteReference"/>
          <w:rFonts w:eastAsia="Times New Roman" w:cs="Times New Roman"/>
          <w:sz w:val="28"/>
          <w:szCs w:val="28"/>
        </w:rPr>
        <w:footnoteReference w:id="21"/>
      </w:r>
    </w:p>
    <w:p w14:paraId="633D17ED" w14:textId="77777777" w:rsidR="004612F8" w:rsidRPr="000D6D21" w:rsidRDefault="004612F8" w:rsidP="000D6D21">
      <w:pPr>
        <w:rPr>
          <w:sz w:val="28"/>
          <w:szCs w:val="28"/>
        </w:rPr>
      </w:pPr>
    </w:p>
    <w:p w14:paraId="633D17EE" w14:textId="77777777" w:rsidR="00EB69B5" w:rsidRPr="000D6D21" w:rsidRDefault="00F615D7" w:rsidP="000D6D21">
      <w:pPr>
        <w:ind w:left="2160" w:hanging="720"/>
        <w:rPr>
          <w:sz w:val="28"/>
          <w:szCs w:val="28"/>
        </w:rPr>
      </w:pPr>
      <w:r w:rsidRPr="000D6D21">
        <w:rPr>
          <w:sz w:val="28"/>
          <w:szCs w:val="28"/>
        </w:rPr>
        <w:t>3.</w:t>
      </w:r>
      <w:r w:rsidRPr="000D6D21">
        <w:rPr>
          <w:i/>
          <w:sz w:val="28"/>
          <w:szCs w:val="28"/>
        </w:rPr>
        <w:tab/>
      </w:r>
      <w:r w:rsidRPr="000D6D21">
        <w:rPr>
          <w:i/>
          <w:iCs/>
          <w:sz w:val="28"/>
          <w:szCs w:val="28"/>
        </w:rPr>
        <w:t xml:space="preserve">Ordering </w:t>
      </w:r>
      <w:r w:rsidR="008063EC" w:rsidRPr="000D6D21">
        <w:rPr>
          <w:i/>
          <w:iCs/>
          <w:sz w:val="28"/>
          <w:szCs w:val="28"/>
        </w:rPr>
        <w:t xml:space="preserve">Redacted Hardcopies of </w:t>
      </w:r>
      <w:r w:rsidRPr="000D6D21">
        <w:rPr>
          <w:i/>
          <w:iCs/>
          <w:sz w:val="28"/>
          <w:szCs w:val="28"/>
        </w:rPr>
        <w:t>Affidavits of Registration</w:t>
      </w:r>
      <w:r w:rsidR="008063EC" w:rsidRPr="000D6D21">
        <w:rPr>
          <w:i/>
          <w:iCs/>
          <w:sz w:val="28"/>
          <w:szCs w:val="28"/>
        </w:rPr>
        <w:t xml:space="preserve"> Was </w:t>
      </w:r>
      <w:r w:rsidR="00E856EC" w:rsidRPr="000D6D21">
        <w:rPr>
          <w:i/>
          <w:iCs/>
          <w:sz w:val="28"/>
          <w:szCs w:val="28"/>
        </w:rPr>
        <w:t>Unauthorized</w:t>
      </w:r>
    </w:p>
    <w:p w14:paraId="633D17EF" w14:textId="77777777" w:rsidR="002859EC" w:rsidRPr="000D6D21" w:rsidRDefault="00F615D7" w:rsidP="000D6D21">
      <w:pPr>
        <w:rPr>
          <w:sz w:val="28"/>
          <w:szCs w:val="28"/>
        </w:rPr>
      </w:pPr>
      <w:r w:rsidRPr="000D6D21">
        <w:rPr>
          <w:sz w:val="28"/>
          <w:szCs w:val="28"/>
        </w:rPr>
        <w:tab/>
      </w:r>
      <w:r w:rsidR="007E6DC8" w:rsidRPr="000D6D21">
        <w:rPr>
          <w:sz w:val="28"/>
          <w:szCs w:val="28"/>
        </w:rPr>
        <w:t>T</w:t>
      </w:r>
      <w:r w:rsidR="00507990" w:rsidRPr="000D6D21">
        <w:rPr>
          <w:sz w:val="28"/>
          <w:szCs w:val="28"/>
        </w:rPr>
        <w:t xml:space="preserve">he Registrar contends the January 2023 order improperly ordered the disclosure of </w:t>
      </w:r>
      <w:r w:rsidRPr="000D6D21">
        <w:rPr>
          <w:bCs/>
          <w:iCs/>
          <w:sz w:val="28"/>
          <w:szCs w:val="28"/>
        </w:rPr>
        <w:t>redacted copies of current and former affidavits of registration for voters whose registration address wa</w:t>
      </w:r>
      <w:r w:rsidRPr="000D6D21">
        <w:rPr>
          <w:bCs/>
          <w:iCs/>
          <w:sz w:val="28"/>
          <w:szCs w:val="28"/>
        </w:rPr>
        <w:t xml:space="preserve">s changed during the circulation period, and whose signatures on the recall petition were disqualified under </w:t>
      </w:r>
      <w:r w:rsidR="0099458C" w:rsidRPr="000D6D21">
        <w:rPr>
          <w:bCs/>
          <w:iCs/>
          <w:sz w:val="28"/>
          <w:szCs w:val="28"/>
        </w:rPr>
        <w:t>specif</w:t>
      </w:r>
      <w:r w:rsidR="004142AB">
        <w:rPr>
          <w:bCs/>
          <w:iCs/>
          <w:sz w:val="28"/>
          <w:szCs w:val="28"/>
        </w:rPr>
        <w:t>ic rejection</w:t>
      </w:r>
      <w:r w:rsidRPr="000D6D21">
        <w:rPr>
          <w:bCs/>
          <w:iCs/>
          <w:sz w:val="28"/>
          <w:szCs w:val="28"/>
        </w:rPr>
        <w:t xml:space="preserve"> </w:t>
      </w:r>
      <w:r w:rsidR="0099458C" w:rsidRPr="000D6D21">
        <w:rPr>
          <w:bCs/>
          <w:iCs/>
          <w:sz w:val="28"/>
          <w:szCs w:val="28"/>
        </w:rPr>
        <w:t>categories</w:t>
      </w:r>
      <w:r w:rsidRPr="000D6D21">
        <w:rPr>
          <w:bCs/>
          <w:iCs/>
          <w:sz w:val="28"/>
          <w:szCs w:val="28"/>
        </w:rPr>
        <w:t xml:space="preserve"> (fatal </w:t>
      </w:r>
      <w:r w:rsidRPr="000D6D21">
        <w:rPr>
          <w:bCs/>
          <w:iCs/>
          <w:sz w:val="28"/>
          <w:szCs w:val="28"/>
        </w:rPr>
        <w:lastRenderedPageBreak/>
        <w:t xml:space="preserve">pending, mailing address, and/or registration date). </w:t>
      </w:r>
      <w:r w:rsidR="00172D0C">
        <w:rPr>
          <w:bCs/>
          <w:iCs/>
          <w:sz w:val="28"/>
          <w:szCs w:val="28"/>
        </w:rPr>
        <w:t xml:space="preserve"> </w:t>
      </w:r>
      <w:r w:rsidR="00507990" w:rsidRPr="000D6D21">
        <w:rPr>
          <w:sz w:val="28"/>
          <w:szCs w:val="28"/>
        </w:rPr>
        <w:t>We agree.</w:t>
      </w:r>
      <w:r>
        <w:rPr>
          <w:rStyle w:val="FootnoteReference"/>
          <w:sz w:val="28"/>
          <w:szCs w:val="28"/>
        </w:rPr>
        <w:footnoteReference w:id="22"/>
      </w:r>
    </w:p>
    <w:p w14:paraId="633D17F0" w14:textId="77777777" w:rsidR="002859EC" w:rsidRPr="000D6D21" w:rsidRDefault="00F615D7" w:rsidP="000D6D21">
      <w:pPr>
        <w:rPr>
          <w:sz w:val="28"/>
          <w:szCs w:val="28"/>
        </w:rPr>
      </w:pPr>
      <w:r w:rsidRPr="000D6D21">
        <w:rPr>
          <w:sz w:val="28"/>
          <w:szCs w:val="28"/>
        </w:rPr>
        <w:tab/>
      </w:r>
      <w:r w:rsidR="007E23B9" w:rsidRPr="000D6D21">
        <w:rPr>
          <w:sz w:val="28"/>
          <w:szCs w:val="28"/>
        </w:rPr>
        <w:t>Section 7924.000 provides that “[p]</w:t>
      </w:r>
      <w:proofErr w:type="spellStart"/>
      <w:r w:rsidR="007E23B9" w:rsidRPr="000D6D21">
        <w:rPr>
          <w:sz w:val="28"/>
          <w:szCs w:val="28"/>
        </w:rPr>
        <w:t>rior</w:t>
      </w:r>
      <w:proofErr w:type="spellEnd"/>
      <w:r w:rsidR="007E23B9" w:rsidRPr="000D6D21">
        <w:rPr>
          <w:sz w:val="28"/>
          <w:szCs w:val="28"/>
        </w:rPr>
        <w:t xml:space="preserve"> registration information shown on an affidavit of registration” is “confidential and shall not be disclosed to any person” except as provided in section 2194 of the Elections Code.  (§ 7924.0</w:t>
      </w:r>
      <w:r w:rsidR="00B96FE7" w:rsidRPr="000D6D21">
        <w:rPr>
          <w:sz w:val="28"/>
          <w:szCs w:val="28"/>
        </w:rPr>
        <w:t>0</w:t>
      </w:r>
      <w:r w:rsidR="007E23B9" w:rsidRPr="000D6D21">
        <w:rPr>
          <w:sz w:val="28"/>
          <w:szCs w:val="28"/>
        </w:rPr>
        <w:t xml:space="preserve">0, subd. (a).)  </w:t>
      </w:r>
      <w:r w:rsidR="008063EC" w:rsidRPr="000D6D21">
        <w:rPr>
          <w:sz w:val="28"/>
          <w:szCs w:val="28"/>
        </w:rPr>
        <w:t>Section</w:t>
      </w:r>
      <w:r w:rsidR="007E23B9" w:rsidRPr="000D6D21">
        <w:rPr>
          <w:sz w:val="28"/>
          <w:szCs w:val="28"/>
        </w:rPr>
        <w:t xml:space="preserve"> 2194 of the Elections Code </w:t>
      </w:r>
      <w:r w:rsidR="008063EC" w:rsidRPr="000D6D21">
        <w:rPr>
          <w:sz w:val="28"/>
          <w:szCs w:val="28"/>
        </w:rPr>
        <w:t xml:space="preserve">also </w:t>
      </w:r>
      <w:r w:rsidR="007E23B9" w:rsidRPr="000D6D21">
        <w:rPr>
          <w:sz w:val="28"/>
          <w:szCs w:val="28"/>
        </w:rPr>
        <w:t xml:space="preserve">provides that “the affidavit of voter registration information” is “confidential and shall not appear on any computer terminal, list, affidavit, duplicate affidavit, or other medium routinely available to the public at the county elections official’s office.”  (Elec. Code, § 2194, subd. (a)(1).) </w:t>
      </w:r>
      <w:r w:rsidR="008063EC" w:rsidRPr="000D6D21">
        <w:rPr>
          <w:sz w:val="28"/>
          <w:szCs w:val="28"/>
        </w:rPr>
        <w:t xml:space="preserve"> S</w:t>
      </w:r>
      <w:r w:rsidR="00701A56" w:rsidRPr="000D6D21">
        <w:rPr>
          <w:sz w:val="28"/>
          <w:szCs w:val="28"/>
        </w:rPr>
        <w:t xml:space="preserve">ection 2194 does provide an exception, but it is </w:t>
      </w:r>
      <w:r w:rsidR="008063EC" w:rsidRPr="000D6D21">
        <w:rPr>
          <w:sz w:val="28"/>
          <w:szCs w:val="28"/>
        </w:rPr>
        <w:t xml:space="preserve">a </w:t>
      </w:r>
      <w:r w:rsidR="00701A56" w:rsidRPr="000D6D21">
        <w:rPr>
          <w:sz w:val="28"/>
          <w:szCs w:val="28"/>
        </w:rPr>
        <w:t>limited</w:t>
      </w:r>
      <w:r w:rsidR="008063EC" w:rsidRPr="000D6D21">
        <w:rPr>
          <w:sz w:val="28"/>
          <w:szCs w:val="28"/>
        </w:rPr>
        <w:t xml:space="preserve"> one:</w:t>
      </w:r>
      <w:r w:rsidR="00701A56" w:rsidRPr="000D6D21">
        <w:rPr>
          <w:sz w:val="28"/>
          <w:szCs w:val="28"/>
        </w:rPr>
        <w:t xml:space="preserve"> </w:t>
      </w:r>
      <w:r w:rsidR="00EA1427">
        <w:rPr>
          <w:sz w:val="28"/>
          <w:szCs w:val="28"/>
        </w:rPr>
        <w:t xml:space="preserve"> </w:t>
      </w:r>
      <w:r w:rsidR="00701A56" w:rsidRPr="000D6D21">
        <w:rPr>
          <w:sz w:val="28"/>
          <w:szCs w:val="28"/>
        </w:rPr>
        <w:t>affidavit</w:t>
      </w:r>
      <w:r w:rsidR="00097824" w:rsidRPr="000D6D21">
        <w:rPr>
          <w:sz w:val="28"/>
          <w:szCs w:val="28"/>
        </w:rPr>
        <w:t>s</w:t>
      </w:r>
      <w:r w:rsidR="00701A56" w:rsidRPr="000D6D21">
        <w:rPr>
          <w:sz w:val="28"/>
          <w:szCs w:val="28"/>
        </w:rPr>
        <w:t xml:space="preserve"> of voter registration information “[s]hall be provided with respect to any voter, subject to [additional confidentiality provisions in the Elections Code], </w:t>
      </w:r>
      <w:r w:rsidR="007E23B9" w:rsidRPr="000D6D21">
        <w:rPr>
          <w:sz w:val="28"/>
          <w:szCs w:val="28"/>
        </w:rPr>
        <w:t xml:space="preserve">to any candidate for federal, state, or local office, </w:t>
      </w:r>
      <w:r w:rsidR="007E23B9" w:rsidRPr="000D6D21">
        <w:rPr>
          <w:i/>
          <w:iCs/>
          <w:sz w:val="28"/>
          <w:szCs w:val="28"/>
        </w:rPr>
        <w:t>to any committee for or against any initiative or referendum measure for which legal publication is made</w:t>
      </w:r>
      <w:r w:rsidR="007E23B9" w:rsidRPr="000D6D21">
        <w:rPr>
          <w:sz w:val="28"/>
          <w:szCs w:val="28"/>
        </w:rPr>
        <w:t xml:space="preserve">, and to any person for election, scholarly, journalistic, or political purposes, or for governmental purposes, as determined by the Secretary of State.”  </w:t>
      </w:r>
      <w:r w:rsidR="00701A56" w:rsidRPr="000D6D21">
        <w:rPr>
          <w:sz w:val="28"/>
          <w:szCs w:val="28"/>
        </w:rPr>
        <w:t>(Elec. Code, § 2194, subd. (a)(3)</w:t>
      </w:r>
      <w:r w:rsidR="008063EC" w:rsidRPr="000D6D21">
        <w:rPr>
          <w:sz w:val="28"/>
          <w:szCs w:val="28"/>
        </w:rPr>
        <w:t>, italics added</w:t>
      </w:r>
      <w:r w:rsidR="00701A56" w:rsidRPr="000D6D21">
        <w:rPr>
          <w:sz w:val="28"/>
          <w:szCs w:val="28"/>
        </w:rPr>
        <w:t>.)</w:t>
      </w:r>
    </w:p>
    <w:p w14:paraId="633D17F1" w14:textId="77777777" w:rsidR="004A1FE8" w:rsidRPr="000D6D21" w:rsidRDefault="00F615D7" w:rsidP="000D6D21">
      <w:pPr>
        <w:rPr>
          <w:rFonts w:eastAsia="Times New Roman" w:cs="Times New Roman"/>
          <w:sz w:val="28"/>
          <w:szCs w:val="28"/>
        </w:rPr>
      </w:pPr>
      <w:r w:rsidRPr="000D6D21">
        <w:rPr>
          <w:sz w:val="28"/>
          <w:szCs w:val="28"/>
        </w:rPr>
        <w:tab/>
      </w:r>
      <w:r w:rsidR="00584CDE" w:rsidRPr="000D6D21">
        <w:rPr>
          <w:sz w:val="28"/>
          <w:szCs w:val="28"/>
        </w:rPr>
        <w:t>C</w:t>
      </w:r>
      <w:r w:rsidRPr="000D6D21">
        <w:rPr>
          <w:sz w:val="28"/>
          <w:szCs w:val="28"/>
        </w:rPr>
        <w:t>onspicuously missing from this provision is any reference to a committee</w:t>
      </w:r>
      <w:r w:rsidR="008063EC" w:rsidRPr="000D6D21">
        <w:rPr>
          <w:sz w:val="28"/>
          <w:szCs w:val="28"/>
        </w:rPr>
        <w:t xml:space="preserve"> or proponent for </w:t>
      </w:r>
      <w:r w:rsidR="00870AC7" w:rsidRPr="000D6D21">
        <w:rPr>
          <w:sz w:val="28"/>
          <w:szCs w:val="28"/>
        </w:rPr>
        <w:t xml:space="preserve">a </w:t>
      </w:r>
      <w:r w:rsidR="00701A56" w:rsidRPr="000D6D21">
        <w:rPr>
          <w:sz w:val="28"/>
          <w:szCs w:val="28"/>
        </w:rPr>
        <w:t xml:space="preserve">recall petition.  </w:t>
      </w:r>
      <w:r w:rsidR="00870AC7" w:rsidRPr="000D6D21">
        <w:rPr>
          <w:sz w:val="28"/>
          <w:szCs w:val="28"/>
        </w:rPr>
        <w:t>“‘“</w:t>
      </w:r>
      <w:r w:rsidR="00870AC7" w:rsidRPr="000D6D21">
        <w:rPr>
          <w:rFonts w:eastAsia="Times New Roman" w:cs="Times New Roman"/>
          <w:sz w:val="28"/>
          <w:szCs w:val="28"/>
        </w:rPr>
        <w:t xml:space="preserve">Ordinarily, where the Legislature uses a different word or </w:t>
      </w:r>
      <w:r w:rsidR="00870AC7" w:rsidRPr="000D6D21">
        <w:rPr>
          <w:rFonts w:eastAsia="Times New Roman" w:cs="Times New Roman"/>
          <w:sz w:val="28"/>
          <w:szCs w:val="28"/>
        </w:rPr>
        <w:lastRenderedPageBreak/>
        <w:t>phrase in one part of a statute than it does in other sections or in a similar statute concerning a related subject, it must be presumed that the Legislature intended a different meaning.’””  (</w:t>
      </w:r>
      <w:r w:rsidR="00870AC7" w:rsidRPr="007B2481">
        <w:rPr>
          <w:rFonts w:eastAsia="Times New Roman" w:cs="Times New Roman"/>
          <w:i/>
          <w:sz w:val="28"/>
          <w:szCs w:val="28"/>
        </w:rPr>
        <w:t>Hayward</w:t>
      </w:r>
      <w:r w:rsidR="00870AC7" w:rsidRPr="000D6D21">
        <w:rPr>
          <w:rFonts w:eastAsia="Times New Roman" w:cs="Times New Roman"/>
          <w:sz w:val="28"/>
          <w:szCs w:val="28"/>
        </w:rPr>
        <w:t xml:space="preserve">, </w:t>
      </w:r>
      <w:r w:rsidR="00870AC7" w:rsidRPr="000D6D21">
        <w:rPr>
          <w:rFonts w:eastAsia="Times New Roman" w:cs="Times New Roman"/>
          <w:i/>
          <w:sz w:val="28"/>
          <w:szCs w:val="28"/>
        </w:rPr>
        <w:t>supra</w:t>
      </w:r>
      <w:r w:rsidR="00870AC7" w:rsidRPr="000D6D21">
        <w:rPr>
          <w:rFonts w:eastAsia="Times New Roman" w:cs="Times New Roman"/>
          <w:sz w:val="28"/>
          <w:szCs w:val="28"/>
        </w:rPr>
        <w:t xml:space="preserve">, 9 Cal. 5th at p. 500, quoting </w:t>
      </w:r>
      <w:r w:rsidR="00870AC7" w:rsidRPr="000D6D21">
        <w:rPr>
          <w:rFonts w:eastAsia="Times New Roman" w:cs="Times New Roman"/>
          <w:i/>
          <w:iCs/>
          <w:sz w:val="28"/>
          <w:szCs w:val="28"/>
          <w:bdr w:val="none" w:sz="0" w:space="0" w:color="auto" w:frame="1"/>
        </w:rPr>
        <w:t>Rashidi v. Moser</w:t>
      </w:r>
      <w:r w:rsidR="00870AC7" w:rsidRPr="000D6D21">
        <w:rPr>
          <w:rFonts w:eastAsia="Times New Roman" w:cs="Times New Roman"/>
          <w:sz w:val="28"/>
          <w:szCs w:val="28"/>
        </w:rPr>
        <w:t xml:space="preserve"> (2014) 60 Cal.4th 718, 725</w:t>
      </w:r>
      <w:r w:rsidR="00B34076" w:rsidRPr="000D6D21">
        <w:rPr>
          <w:rFonts w:eastAsia="Times New Roman" w:cs="Times New Roman"/>
          <w:sz w:val="28"/>
          <w:szCs w:val="28"/>
        </w:rPr>
        <w:t xml:space="preserve"> (</w:t>
      </w:r>
      <w:r w:rsidR="00B34076" w:rsidRPr="007B2481">
        <w:rPr>
          <w:rFonts w:eastAsia="Times New Roman" w:cs="Times New Roman"/>
          <w:i/>
          <w:sz w:val="28"/>
          <w:szCs w:val="28"/>
        </w:rPr>
        <w:t>Rashidi</w:t>
      </w:r>
      <w:r w:rsidR="00B34076" w:rsidRPr="000D6D21">
        <w:rPr>
          <w:rFonts w:eastAsia="Times New Roman" w:cs="Times New Roman"/>
          <w:sz w:val="28"/>
          <w:szCs w:val="28"/>
        </w:rPr>
        <w:t>)</w:t>
      </w:r>
      <w:r w:rsidR="00870AC7" w:rsidRPr="000D6D21">
        <w:rPr>
          <w:rFonts w:eastAsia="Times New Roman" w:cs="Times New Roman"/>
          <w:sz w:val="28"/>
          <w:szCs w:val="28"/>
        </w:rPr>
        <w:t xml:space="preserve">.)  </w:t>
      </w:r>
    </w:p>
    <w:p w14:paraId="633D17F2" w14:textId="77777777" w:rsidR="006E0015" w:rsidRPr="000D6D21" w:rsidRDefault="00F615D7" w:rsidP="000D6D21">
      <w:pPr>
        <w:ind w:firstLine="720"/>
        <w:rPr>
          <w:rFonts w:eastAsia="Times New Roman" w:cs="Times New Roman"/>
          <w:sz w:val="28"/>
          <w:szCs w:val="28"/>
        </w:rPr>
      </w:pPr>
      <w:r w:rsidRPr="000D6D21">
        <w:rPr>
          <w:rFonts w:eastAsia="Times New Roman" w:cs="Times New Roman"/>
          <w:sz w:val="28"/>
          <w:szCs w:val="28"/>
        </w:rPr>
        <w:t>The Committee recognizes</w:t>
      </w:r>
      <w:r w:rsidR="004A1FE8" w:rsidRPr="000D6D21">
        <w:rPr>
          <w:rFonts w:eastAsia="Times New Roman" w:cs="Times New Roman"/>
          <w:sz w:val="28"/>
          <w:szCs w:val="28"/>
        </w:rPr>
        <w:t xml:space="preserve"> Elections Code section 2194 omits any reference to recall petitions,</w:t>
      </w:r>
      <w:r w:rsidRPr="000D6D21">
        <w:rPr>
          <w:rFonts w:eastAsia="Times New Roman" w:cs="Times New Roman"/>
          <w:sz w:val="28"/>
          <w:szCs w:val="28"/>
        </w:rPr>
        <w:t xml:space="preserve"> and instead argues “there is no reason why recall petitions would b</w:t>
      </w:r>
      <w:r w:rsidRPr="000D6D21">
        <w:rPr>
          <w:rFonts w:eastAsia="Times New Roman" w:cs="Times New Roman"/>
          <w:sz w:val="28"/>
          <w:szCs w:val="28"/>
        </w:rPr>
        <w:t xml:space="preserve">e excluded.” </w:t>
      </w:r>
      <w:r w:rsidR="00E856EC" w:rsidRPr="000D6D21">
        <w:rPr>
          <w:rFonts w:eastAsia="Times New Roman" w:cs="Times New Roman"/>
          <w:sz w:val="28"/>
          <w:szCs w:val="28"/>
        </w:rPr>
        <w:t>T</w:t>
      </w:r>
      <w:r w:rsidR="00B34076" w:rsidRPr="000D6D21">
        <w:rPr>
          <w:rFonts w:eastAsia="Times New Roman" w:cs="Times New Roman"/>
          <w:sz w:val="28"/>
          <w:szCs w:val="28"/>
        </w:rPr>
        <w:t>he Committee fail</w:t>
      </w:r>
      <w:r w:rsidR="0099458C" w:rsidRPr="000D6D21">
        <w:rPr>
          <w:rFonts w:eastAsia="Times New Roman" w:cs="Times New Roman"/>
          <w:sz w:val="28"/>
          <w:szCs w:val="28"/>
        </w:rPr>
        <w:t>s</w:t>
      </w:r>
      <w:r w:rsidR="00B34076" w:rsidRPr="000D6D21">
        <w:rPr>
          <w:rFonts w:eastAsia="Times New Roman" w:cs="Times New Roman"/>
          <w:sz w:val="28"/>
          <w:szCs w:val="28"/>
        </w:rPr>
        <w:t xml:space="preserve"> to support </w:t>
      </w:r>
      <w:r w:rsidR="00E856EC" w:rsidRPr="000D6D21">
        <w:rPr>
          <w:rFonts w:eastAsia="Times New Roman" w:cs="Times New Roman"/>
          <w:sz w:val="28"/>
          <w:szCs w:val="28"/>
        </w:rPr>
        <w:t xml:space="preserve">this </w:t>
      </w:r>
      <w:r w:rsidR="004A1FE8" w:rsidRPr="000D6D21">
        <w:rPr>
          <w:rFonts w:eastAsia="Times New Roman" w:cs="Times New Roman"/>
          <w:sz w:val="28"/>
          <w:szCs w:val="28"/>
        </w:rPr>
        <w:t xml:space="preserve">position </w:t>
      </w:r>
      <w:r w:rsidR="00B34076" w:rsidRPr="000D6D21">
        <w:rPr>
          <w:rFonts w:eastAsia="Times New Roman" w:cs="Times New Roman"/>
          <w:sz w:val="28"/>
          <w:szCs w:val="28"/>
        </w:rPr>
        <w:t xml:space="preserve">with </w:t>
      </w:r>
      <w:r w:rsidR="004A1FE8" w:rsidRPr="000D6D21">
        <w:rPr>
          <w:rFonts w:eastAsia="Times New Roman" w:cs="Times New Roman"/>
          <w:sz w:val="28"/>
          <w:szCs w:val="28"/>
        </w:rPr>
        <w:t xml:space="preserve">any </w:t>
      </w:r>
      <w:r w:rsidR="00606159" w:rsidRPr="000D6D21">
        <w:rPr>
          <w:rFonts w:eastAsia="Times New Roman" w:cs="Times New Roman"/>
          <w:sz w:val="28"/>
          <w:szCs w:val="28"/>
        </w:rPr>
        <w:t>reasoned argument</w:t>
      </w:r>
      <w:r w:rsidR="004A1FE8" w:rsidRPr="000D6D21">
        <w:rPr>
          <w:rFonts w:eastAsia="Times New Roman" w:cs="Times New Roman"/>
          <w:sz w:val="28"/>
          <w:szCs w:val="28"/>
        </w:rPr>
        <w:t>.  (See</w:t>
      </w:r>
      <w:r w:rsidR="00BC480A">
        <w:rPr>
          <w:rFonts w:eastAsia="Times New Roman" w:cs="Times New Roman"/>
          <w:sz w:val="28"/>
          <w:szCs w:val="28"/>
        </w:rPr>
        <w:t> </w:t>
      </w:r>
      <w:r w:rsidR="004A1FE8" w:rsidRPr="000D6D21">
        <w:rPr>
          <w:rFonts w:eastAsia="Times New Roman" w:cs="Times New Roman"/>
          <w:i/>
          <w:iCs/>
          <w:sz w:val="28"/>
          <w:szCs w:val="28"/>
        </w:rPr>
        <w:t>Sweeney</w:t>
      </w:r>
      <w:r w:rsidR="004A1FE8" w:rsidRPr="000D6D21">
        <w:rPr>
          <w:rFonts w:eastAsia="Times New Roman" w:cs="Times New Roman"/>
          <w:sz w:val="28"/>
          <w:szCs w:val="28"/>
        </w:rPr>
        <w:t xml:space="preserve">, </w:t>
      </w:r>
      <w:r w:rsidR="004A1FE8" w:rsidRPr="000D6D21">
        <w:rPr>
          <w:rFonts w:eastAsia="Times New Roman" w:cs="Times New Roman"/>
          <w:i/>
          <w:iCs/>
          <w:sz w:val="28"/>
          <w:szCs w:val="28"/>
        </w:rPr>
        <w:t>supra</w:t>
      </w:r>
      <w:r w:rsidR="004A1FE8" w:rsidRPr="000D6D21">
        <w:rPr>
          <w:rFonts w:eastAsia="Times New Roman" w:cs="Times New Roman"/>
          <w:sz w:val="28"/>
          <w:szCs w:val="28"/>
        </w:rPr>
        <w:t xml:space="preserve">, 61 Cal.App.5th at p. 1143.) </w:t>
      </w:r>
    </w:p>
    <w:p w14:paraId="633D17F3" w14:textId="77777777" w:rsidR="00CB7EC4" w:rsidRPr="000D6D21" w:rsidRDefault="00F615D7" w:rsidP="000D6D21">
      <w:pPr>
        <w:ind w:firstLine="720"/>
        <w:rPr>
          <w:sz w:val="28"/>
          <w:szCs w:val="28"/>
        </w:rPr>
      </w:pPr>
      <w:r w:rsidRPr="000D6D21">
        <w:rPr>
          <w:rFonts w:eastAsia="Times New Roman" w:cs="Times New Roman"/>
          <w:sz w:val="28"/>
          <w:szCs w:val="28"/>
        </w:rPr>
        <w:t>The only</w:t>
      </w:r>
      <w:r w:rsidRPr="000D6D21">
        <w:rPr>
          <w:sz w:val="28"/>
          <w:szCs w:val="28"/>
        </w:rPr>
        <w:t xml:space="preserve"> authority on which the Committee </w:t>
      </w:r>
      <w:r w:rsidR="004142AB">
        <w:rPr>
          <w:sz w:val="28"/>
          <w:szCs w:val="28"/>
        </w:rPr>
        <w:t xml:space="preserve">purports to rely </w:t>
      </w:r>
      <w:r w:rsidRPr="000D6D21">
        <w:rPr>
          <w:sz w:val="28"/>
          <w:szCs w:val="28"/>
        </w:rPr>
        <w:t>are section 82043 and Elections Code section 2188.5</w:t>
      </w:r>
      <w:r w:rsidR="007E6DC8" w:rsidRPr="000D6D21">
        <w:rPr>
          <w:sz w:val="28"/>
          <w:szCs w:val="28"/>
        </w:rPr>
        <w:t xml:space="preserve">.  </w:t>
      </w:r>
      <w:proofErr w:type="gramStart"/>
      <w:r w:rsidR="007E6DC8" w:rsidRPr="000D6D21">
        <w:rPr>
          <w:sz w:val="28"/>
          <w:szCs w:val="28"/>
        </w:rPr>
        <w:t>Both of these</w:t>
      </w:r>
      <w:proofErr w:type="gramEnd"/>
      <w:r w:rsidR="007E6DC8" w:rsidRPr="000D6D21">
        <w:rPr>
          <w:sz w:val="28"/>
          <w:szCs w:val="28"/>
        </w:rPr>
        <w:t xml:space="preserve"> statutes specifically refer </w:t>
      </w:r>
      <w:r w:rsidR="00606159" w:rsidRPr="000D6D21">
        <w:rPr>
          <w:sz w:val="28"/>
          <w:szCs w:val="28"/>
        </w:rPr>
        <w:t xml:space="preserve">to recall procedures </w:t>
      </w:r>
      <w:r w:rsidR="00E856EC" w:rsidRPr="00BC480A">
        <w:rPr>
          <w:i/>
          <w:iCs/>
          <w:sz w:val="28"/>
          <w:szCs w:val="28"/>
        </w:rPr>
        <w:t>in addition to</w:t>
      </w:r>
      <w:r w:rsidR="007E6DC8" w:rsidRPr="000D6D21">
        <w:rPr>
          <w:sz w:val="28"/>
          <w:szCs w:val="28"/>
        </w:rPr>
        <w:t xml:space="preserve"> </w:t>
      </w:r>
      <w:r w:rsidR="00606159" w:rsidRPr="000D6D21">
        <w:rPr>
          <w:sz w:val="28"/>
          <w:szCs w:val="28"/>
        </w:rPr>
        <w:t>initiative and referendum procedures</w:t>
      </w:r>
      <w:r w:rsidRPr="000D6D21">
        <w:rPr>
          <w:sz w:val="28"/>
          <w:szCs w:val="28"/>
        </w:rPr>
        <w:t xml:space="preserve">. </w:t>
      </w:r>
      <w:r w:rsidR="005268C2" w:rsidRPr="000D6D21">
        <w:rPr>
          <w:sz w:val="28"/>
          <w:szCs w:val="28"/>
        </w:rPr>
        <w:t xml:space="preserve"> </w:t>
      </w:r>
      <w:r w:rsidR="00606159" w:rsidRPr="000D6D21">
        <w:rPr>
          <w:sz w:val="28"/>
          <w:szCs w:val="28"/>
        </w:rPr>
        <w:t>Section 82043</w:t>
      </w:r>
      <w:r w:rsidR="006E0015" w:rsidRPr="000D6D21">
        <w:rPr>
          <w:sz w:val="28"/>
          <w:szCs w:val="28"/>
        </w:rPr>
        <w:t xml:space="preserve">, part of </w:t>
      </w:r>
      <w:r w:rsidR="007505FB" w:rsidRPr="000D6D21">
        <w:rPr>
          <w:sz w:val="28"/>
          <w:szCs w:val="28"/>
        </w:rPr>
        <w:t xml:space="preserve">a separate statutory scheme (the </w:t>
      </w:r>
      <w:r w:rsidR="006E0015" w:rsidRPr="000D6D21">
        <w:rPr>
          <w:sz w:val="28"/>
          <w:szCs w:val="28"/>
        </w:rPr>
        <w:t>Political Reform Act of 1974</w:t>
      </w:r>
      <w:r w:rsidR="007505FB" w:rsidRPr="000D6D21">
        <w:rPr>
          <w:sz w:val="28"/>
          <w:szCs w:val="28"/>
        </w:rPr>
        <w:t xml:space="preserve">, </w:t>
      </w:r>
      <w:r w:rsidR="006E0015" w:rsidRPr="000D6D21">
        <w:rPr>
          <w:sz w:val="28"/>
          <w:szCs w:val="28"/>
        </w:rPr>
        <w:t>§</w:t>
      </w:r>
      <w:r w:rsidR="007505FB" w:rsidRPr="000D6D21">
        <w:rPr>
          <w:sz w:val="28"/>
          <w:szCs w:val="28"/>
        </w:rPr>
        <w:t> </w:t>
      </w:r>
      <w:r w:rsidR="006E0015" w:rsidRPr="000D6D21">
        <w:rPr>
          <w:sz w:val="28"/>
          <w:szCs w:val="28"/>
        </w:rPr>
        <w:t xml:space="preserve">81000 et seq.), </w:t>
      </w:r>
      <w:r w:rsidR="00606159" w:rsidRPr="000D6D21">
        <w:rPr>
          <w:sz w:val="28"/>
          <w:szCs w:val="28"/>
        </w:rPr>
        <w:t>defines “measure” as any proposition submitted “to a popular vote at an election by initiative, referendum, or recall procedure.”</w:t>
      </w:r>
      <w:r w:rsidR="007505FB" w:rsidRPr="000D6D21">
        <w:rPr>
          <w:sz w:val="28"/>
          <w:szCs w:val="28"/>
        </w:rPr>
        <w:t xml:space="preserve">  </w:t>
      </w:r>
      <w:r w:rsidR="00BC480A">
        <w:rPr>
          <w:sz w:val="28"/>
          <w:szCs w:val="28"/>
        </w:rPr>
        <w:t xml:space="preserve">Similarly, </w:t>
      </w:r>
      <w:r w:rsidR="007505FB" w:rsidRPr="000D6D21">
        <w:rPr>
          <w:sz w:val="28"/>
          <w:szCs w:val="28"/>
        </w:rPr>
        <w:t>E</w:t>
      </w:r>
      <w:r w:rsidR="00606159" w:rsidRPr="000D6D21">
        <w:rPr>
          <w:sz w:val="28"/>
          <w:szCs w:val="28"/>
        </w:rPr>
        <w:t>lections Code section 2188.5 provides that any person who requests voter information or “obtains signatures or other information collected for an initiative, referendum, . . . or recall petition shall not send that information outside of the United States or make it available in any way electronically to persons outside the United States . . . .”  (Elec. Code, § 2188.5, subd.</w:t>
      </w:r>
      <w:r w:rsidR="00753C39">
        <w:rPr>
          <w:sz w:val="28"/>
          <w:szCs w:val="28"/>
        </w:rPr>
        <w:t> </w:t>
      </w:r>
      <w:r w:rsidR="00606159" w:rsidRPr="000D6D21">
        <w:rPr>
          <w:sz w:val="28"/>
          <w:szCs w:val="28"/>
        </w:rPr>
        <w:t>(b).)</w:t>
      </w:r>
      <w:r w:rsidR="006E0015" w:rsidRPr="000D6D21">
        <w:rPr>
          <w:sz w:val="28"/>
          <w:szCs w:val="28"/>
        </w:rPr>
        <w:t xml:space="preserve">  </w:t>
      </w:r>
    </w:p>
    <w:p w14:paraId="633D17F4" w14:textId="77777777" w:rsidR="004612F8" w:rsidRDefault="00F615D7" w:rsidP="00F30014">
      <w:pPr>
        <w:ind w:firstLine="720"/>
        <w:rPr>
          <w:sz w:val="28"/>
          <w:szCs w:val="28"/>
        </w:rPr>
      </w:pPr>
      <w:r w:rsidRPr="00172D0C">
        <w:rPr>
          <w:sz w:val="28"/>
          <w:szCs w:val="28"/>
        </w:rPr>
        <w:t>Assuming</w:t>
      </w:r>
      <w:r w:rsidR="00CB7EC4" w:rsidRPr="00172D0C">
        <w:rPr>
          <w:sz w:val="28"/>
          <w:szCs w:val="28"/>
        </w:rPr>
        <w:t xml:space="preserve"> the</w:t>
      </w:r>
      <w:r w:rsidR="0099458C" w:rsidRPr="000D6D21">
        <w:rPr>
          <w:sz w:val="28"/>
          <w:szCs w:val="28"/>
        </w:rPr>
        <w:t>se</w:t>
      </w:r>
      <w:r w:rsidR="00CB7EC4" w:rsidRPr="000D6D21">
        <w:rPr>
          <w:sz w:val="28"/>
          <w:szCs w:val="28"/>
        </w:rPr>
        <w:t xml:space="preserve"> provisions </w:t>
      </w:r>
      <w:r w:rsidR="0099458C" w:rsidRPr="000D6D21">
        <w:rPr>
          <w:sz w:val="28"/>
          <w:szCs w:val="28"/>
        </w:rPr>
        <w:t xml:space="preserve">are </w:t>
      </w:r>
      <w:proofErr w:type="gramStart"/>
      <w:r w:rsidR="0099458C" w:rsidRPr="000D6D21">
        <w:rPr>
          <w:sz w:val="28"/>
          <w:szCs w:val="28"/>
        </w:rPr>
        <w:t>similar</w:t>
      </w:r>
      <w:r w:rsidR="004142AB">
        <w:rPr>
          <w:sz w:val="28"/>
          <w:szCs w:val="28"/>
        </w:rPr>
        <w:t xml:space="preserve"> to</w:t>
      </w:r>
      <w:proofErr w:type="gramEnd"/>
      <w:r w:rsidR="004142AB">
        <w:rPr>
          <w:sz w:val="28"/>
          <w:szCs w:val="28"/>
        </w:rPr>
        <w:t xml:space="preserve"> the provisions at issue in this case or</w:t>
      </w:r>
      <w:r w:rsidR="0099458C" w:rsidRPr="000D6D21">
        <w:rPr>
          <w:sz w:val="28"/>
          <w:szCs w:val="28"/>
        </w:rPr>
        <w:t xml:space="preserve"> </w:t>
      </w:r>
      <w:r w:rsidR="00CB7EC4" w:rsidRPr="000D6D21">
        <w:rPr>
          <w:rFonts w:eastAsia="Times New Roman" w:cs="Times New Roman"/>
          <w:sz w:val="28"/>
          <w:szCs w:val="28"/>
        </w:rPr>
        <w:t>concern related subjects</w:t>
      </w:r>
      <w:r w:rsidR="0099458C" w:rsidRPr="000D6D21">
        <w:rPr>
          <w:rFonts w:eastAsia="Times New Roman" w:cs="Times New Roman"/>
          <w:sz w:val="28"/>
          <w:szCs w:val="28"/>
        </w:rPr>
        <w:t xml:space="preserve"> (</w:t>
      </w:r>
      <w:r w:rsidR="0099458C" w:rsidRPr="000D6D21">
        <w:rPr>
          <w:rFonts w:eastAsia="Times New Roman" w:cs="Times New Roman"/>
          <w:i/>
          <w:iCs/>
          <w:sz w:val="28"/>
          <w:szCs w:val="28"/>
        </w:rPr>
        <w:t>Hayward</w:t>
      </w:r>
      <w:r w:rsidR="0099458C" w:rsidRPr="000D6D21">
        <w:rPr>
          <w:rFonts w:eastAsia="Times New Roman" w:cs="Times New Roman"/>
          <w:sz w:val="28"/>
          <w:szCs w:val="28"/>
        </w:rPr>
        <w:t xml:space="preserve">, </w:t>
      </w:r>
      <w:r w:rsidR="0099458C" w:rsidRPr="000D6D21">
        <w:rPr>
          <w:rFonts w:eastAsia="Times New Roman" w:cs="Times New Roman"/>
          <w:i/>
          <w:iCs/>
          <w:sz w:val="28"/>
          <w:szCs w:val="28"/>
        </w:rPr>
        <w:lastRenderedPageBreak/>
        <w:t>supra</w:t>
      </w:r>
      <w:r w:rsidR="0099458C" w:rsidRPr="000D6D21">
        <w:rPr>
          <w:rFonts w:eastAsia="Times New Roman" w:cs="Times New Roman"/>
          <w:sz w:val="28"/>
          <w:szCs w:val="28"/>
        </w:rPr>
        <w:t>, 9 Cal.4th at p. 500)</w:t>
      </w:r>
      <w:r w:rsidR="00CB7EC4" w:rsidRPr="000D6D21">
        <w:rPr>
          <w:rFonts w:eastAsia="Times New Roman" w:cs="Times New Roman"/>
          <w:sz w:val="28"/>
          <w:szCs w:val="28"/>
        </w:rPr>
        <w:t xml:space="preserve">, they </w:t>
      </w:r>
      <w:r w:rsidR="00E856EC" w:rsidRPr="000D6D21">
        <w:rPr>
          <w:rFonts w:eastAsia="Times New Roman" w:cs="Times New Roman"/>
          <w:sz w:val="28"/>
          <w:szCs w:val="28"/>
        </w:rPr>
        <w:t>support</w:t>
      </w:r>
      <w:r w:rsidR="00CB7EC4" w:rsidRPr="000D6D21">
        <w:rPr>
          <w:rFonts w:eastAsia="Times New Roman" w:cs="Times New Roman"/>
          <w:sz w:val="28"/>
          <w:szCs w:val="28"/>
        </w:rPr>
        <w:t xml:space="preserve"> the </w:t>
      </w:r>
      <w:r w:rsidR="00CB7EC4" w:rsidRPr="00BC480A">
        <w:rPr>
          <w:rFonts w:eastAsia="Times New Roman" w:cs="Times New Roman"/>
          <w:sz w:val="28"/>
          <w:szCs w:val="28"/>
        </w:rPr>
        <w:t>Registrar’s</w:t>
      </w:r>
      <w:r w:rsidR="00CB7EC4" w:rsidRPr="000D6D21">
        <w:rPr>
          <w:rFonts w:eastAsia="Times New Roman" w:cs="Times New Roman"/>
          <w:sz w:val="28"/>
          <w:szCs w:val="28"/>
        </w:rPr>
        <w:t xml:space="preserve"> position</w:t>
      </w:r>
      <w:r w:rsidR="007505FB" w:rsidRPr="000D6D21">
        <w:rPr>
          <w:rFonts w:eastAsia="Times New Roman" w:cs="Times New Roman"/>
          <w:sz w:val="28"/>
          <w:szCs w:val="28"/>
        </w:rPr>
        <w:t xml:space="preserve"> and</w:t>
      </w:r>
      <w:r w:rsidR="00CB7EC4" w:rsidRPr="000D6D21">
        <w:rPr>
          <w:rFonts w:eastAsia="Times New Roman" w:cs="Times New Roman"/>
          <w:sz w:val="28"/>
          <w:szCs w:val="28"/>
        </w:rPr>
        <w:t xml:space="preserve"> not the </w:t>
      </w:r>
      <w:r w:rsidR="00CB7EC4" w:rsidRPr="000D6D21">
        <w:rPr>
          <w:rFonts w:eastAsia="Times New Roman" w:cs="Times New Roman"/>
          <w:iCs/>
          <w:sz w:val="28"/>
          <w:szCs w:val="28"/>
        </w:rPr>
        <w:t>Committee’s</w:t>
      </w:r>
      <w:r w:rsidR="00CB7EC4" w:rsidRPr="000D6D21">
        <w:rPr>
          <w:rFonts w:eastAsia="Times New Roman" w:cs="Times New Roman"/>
          <w:sz w:val="28"/>
          <w:szCs w:val="28"/>
        </w:rPr>
        <w:t xml:space="preserve">.  Both section 82043 and Elections Code section 2188.5 expressly reference recall petitions; Elections Code section 2194 does not.  </w:t>
      </w:r>
      <w:r w:rsidR="0099458C" w:rsidRPr="000D6D21">
        <w:rPr>
          <w:rFonts w:eastAsia="Times New Roman" w:cs="Times New Roman"/>
          <w:sz w:val="28"/>
          <w:szCs w:val="28"/>
        </w:rPr>
        <w:t>As</w:t>
      </w:r>
      <w:r w:rsidR="005352F0" w:rsidRPr="000D6D21">
        <w:rPr>
          <w:rFonts w:eastAsia="Times New Roman" w:cs="Times New Roman"/>
          <w:sz w:val="28"/>
          <w:szCs w:val="28"/>
        </w:rPr>
        <w:t xml:space="preserve"> </w:t>
      </w:r>
      <w:r w:rsidR="007505FB" w:rsidRPr="000D6D21">
        <w:rPr>
          <w:rFonts w:eastAsia="Times New Roman" w:cs="Times New Roman"/>
          <w:sz w:val="28"/>
          <w:szCs w:val="28"/>
        </w:rPr>
        <w:t xml:space="preserve">both </w:t>
      </w:r>
      <w:r w:rsidR="005352F0" w:rsidRPr="000D6D21">
        <w:rPr>
          <w:rFonts w:eastAsia="Times New Roman" w:cs="Times New Roman"/>
          <w:sz w:val="28"/>
          <w:szCs w:val="28"/>
        </w:rPr>
        <w:t xml:space="preserve">section 82043 and Elections Code section 2188.5 </w:t>
      </w:r>
      <w:r w:rsidR="007505FB" w:rsidRPr="000D6D21">
        <w:rPr>
          <w:rFonts w:eastAsia="Times New Roman" w:cs="Times New Roman"/>
          <w:sz w:val="28"/>
          <w:szCs w:val="28"/>
        </w:rPr>
        <w:t>clearly illustrate</w:t>
      </w:r>
      <w:r w:rsidR="005352F0" w:rsidRPr="000D6D21">
        <w:rPr>
          <w:rFonts w:eastAsia="Times New Roman" w:cs="Times New Roman"/>
          <w:sz w:val="28"/>
          <w:szCs w:val="28"/>
        </w:rPr>
        <w:t xml:space="preserve">, the Legislature </w:t>
      </w:r>
      <w:r w:rsidR="00584CDE" w:rsidRPr="000D6D21">
        <w:rPr>
          <w:rFonts w:eastAsia="Times New Roman" w:cs="Times New Roman"/>
          <w:sz w:val="28"/>
          <w:szCs w:val="28"/>
        </w:rPr>
        <w:t>i</w:t>
      </w:r>
      <w:r w:rsidR="0099458C" w:rsidRPr="000D6D21">
        <w:rPr>
          <w:rFonts w:eastAsia="Times New Roman" w:cs="Times New Roman"/>
          <w:sz w:val="28"/>
          <w:szCs w:val="28"/>
        </w:rPr>
        <w:t xml:space="preserve">s </w:t>
      </w:r>
      <w:r w:rsidR="005352F0" w:rsidRPr="000D6D21">
        <w:rPr>
          <w:rFonts w:eastAsia="Times New Roman" w:cs="Times New Roman"/>
          <w:sz w:val="28"/>
          <w:szCs w:val="28"/>
        </w:rPr>
        <w:t xml:space="preserve">aware of its ability to define the scope of a political measure statute to include recall measures.  Had </w:t>
      </w:r>
      <w:r w:rsidR="007505FB" w:rsidRPr="000D6D21">
        <w:rPr>
          <w:rFonts w:eastAsia="Times New Roman" w:cs="Times New Roman"/>
          <w:sz w:val="28"/>
          <w:szCs w:val="28"/>
        </w:rPr>
        <w:t xml:space="preserve">it </w:t>
      </w:r>
      <w:r w:rsidR="005352F0" w:rsidRPr="000D6D21">
        <w:rPr>
          <w:rFonts w:eastAsia="Times New Roman" w:cs="Times New Roman"/>
          <w:sz w:val="28"/>
          <w:szCs w:val="28"/>
        </w:rPr>
        <w:t>intended to define the scope of Elections Code 2194</w:t>
      </w:r>
      <w:r w:rsidR="007505FB" w:rsidRPr="000D6D21">
        <w:rPr>
          <w:rFonts w:eastAsia="Times New Roman" w:cs="Times New Roman"/>
          <w:sz w:val="28"/>
          <w:szCs w:val="28"/>
        </w:rPr>
        <w:t xml:space="preserve"> in like manner</w:t>
      </w:r>
      <w:r w:rsidR="005352F0" w:rsidRPr="000D6D21">
        <w:rPr>
          <w:rFonts w:eastAsia="Times New Roman" w:cs="Times New Roman"/>
          <w:sz w:val="28"/>
          <w:szCs w:val="28"/>
        </w:rPr>
        <w:t xml:space="preserve">, we would expect it to </w:t>
      </w:r>
      <w:r w:rsidR="00E856EC" w:rsidRPr="000D6D21">
        <w:rPr>
          <w:rFonts w:eastAsia="Times New Roman" w:cs="Times New Roman"/>
          <w:sz w:val="28"/>
          <w:szCs w:val="28"/>
        </w:rPr>
        <w:t xml:space="preserve">have done </w:t>
      </w:r>
      <w:r w:rsidR="005352F0" w:rsidRPr="000D6D21">
        <w:rPr>
          <w:rFonts w:eastAsia="Times New Roman" w:cs="Times New Roman"/>
          <w:sz w:val="28"/>
          <w:szCs w:val="28"/>
        </w:rPr>
        <w:t xml:space="preserve">so.  </w:t>
      </w:r>
      <w:r w:rsidR="00CB7EC4" w:rsidRPr="000D6D21">
        <w:rPr>
          <w:sz w:val="28"/>
          <w:szCs w:val="28"/>
        </w:rPr>
        <w:t>(</w:t>
      </w:r>
      <w:r w:rsidR="00415512" w:rsidRPr="000D6D21">
        <w:rPr>
          <w:sz w:val="28"/>
          <w:szCs w:val="28"/>
        </w:rPr>
        <w:t xml:space="preserve">See </w:t>
      </w:r>
      <w:r w:rsidR="00415512" w:rsidRPr="000D6D21">
        <w:rPr>
          <w:i/>
          <w:sz w:val="28"/>
          <w:szCs w:val="28"/>
        </w:rPr>
        <w:t>ibid.</w:t>
      </w:r>
      <w:r w:rsidR="00CB7EC4" w:rsidRPr="000D6D21">
        <w:rPr>
          <w:sz w:val="28"/>
          <w:szCs w:val="28"/>
        </w:rPr>
        <w:t xml:space="preserve">; </w:t>
      </w:r>
      <w:r w:rsidR="00CB7EC4" w:rsidRPr="000D6D21">
        <w:rPr>
          <w:i/>
          <w:sz w:val="28"/>
          <w:szCs w:val="28"/>
        </w:rPr>
        <w:t>Rashidi</w:t>
      </w:r>
      <w:r w:rsidR="00CB7EC4" w:rsidRPr="000D6D21">
        <w:rPr>
          <w:sz w:val="28"/>
          <w:szCs w:val="28"/>
        </w:rPr>
        <w:t xml:space="preserve">, </w:t>
      </w:r>
      <w:r w:rsidR="00CB7EC4" w:rsidRPr="000D6D21">
        <w:rPr>
          <w:i/>
          <w:sz w:val="28"/>
          <w:szCs w:val="28"/>
        </w:rPr>
        <w:t>supra</w:t>
      </w:r>
      <w:r w:rsidR="00CB7EC4" w:rsidRPr="000D6D21">
        <w:rPr>
          <w:sz w:val="28"/>
          <w:szCs w:val="28"/>
        </w:rPr>
        <w:t>, 60 Cal.4th at p.</w:t>
      </w:r>
      <w:r w:rsidR="007716A7">
        <w:rPr>
          <w:sz w:val="28"/>
          <w:szCs w:val="28"/>
        </w:rPr>
        <w:t> </w:t>
      </w:r>
      <w:r w:rsidR="00CB7EC4" w:rsidRPr="000D6D21">
        <w:rPr>
          <w:sz w:val="28"/>
          <w:szCs w:val="28"/>
        </w:rPr>
        <w:t>725</w:t>
      </w:r>
      <w:r w:rsidR="005352F0" w:rsidRPr="000D6D21">
        <w:rPr>
          <w:sz w:val="28"/>
          <w:szCs w:val="28"/>
        </w:rPr>
        <w:t xml:space="preserve">.)  Thus, we conclude </w:t>
      </w:r>
      <w:r w:rsidR="00AF043B" w:rsidRPr="000D6D21">
        <w:rPr>
          <w:rFonts w:eastAsia="Times New Roman" w:cs="Times New Roman"/>
          <w:sz w:val="28"/>
          <w:szCs w:val="28"/>
        </w:rPr>
        <w:t xml:space="preserve">that </w:t>
      </w:r>
      <w:r w:rsidR="005352F0" w:rsidRPr="000D6D21">
        <w:rPr>
          <w:rFonts w:eastAsia="Times New Roman" w:cs="Times New Roman"/>
          <w:sz w:val="28"/>
          <w:szCs w:val="28"/>
        </w:rPr>
        <w:t xml:space="preserve">because Elections Code section 2194, as incorporated into section 7924.000, does not </w:t>
      </w:r>
      <w:r w:rsidR="00E856EC" w:rsidRPr="000D6D21">
        <w:rPr>
          <w:rFonts w:eastAsia="Times New Roman" w:cs="Times New Roman"/>
          <w:sz w:val="28"/>
          <w:szCs w:val="28"/>
        </w:rPr>
        <w:t xml:space="preserve">authorize </w:t>
      </w:r>
      <w:r w:rsidR="005352F0" w:rsidRPr="000D6D21">
        <w:rPr>
          <w:rFonts w:eastAsia="Times New Roman" w:cs="Times New Roman"/>
          <w:sz w:val="28"/>
          <w:szCs w:val="28"/>
        </w:rPr>
        <w:t>disclosure of affidavits of registration to proponents of recall petitions, the</w:t>
      </w:r>
      <w:r w:rsidR="00AF043B" w:rsidRPr="000D6D21">
        <w:rPr>
          <w:rFonts w:eastAsia="Times New Roman" w:cs="Times New Roman"/>
          <w:sz w:val="28"/>
          <w:szCs w:val="28"/>
        </w:rPr>
        <w:t xml:space="preserve"> trial court </w:t>
      </w:r>
      <w:r w:rsidR="005352F0" w:rsidRPr="000D6D21">
        <w:rPr>
          <w:rFonts w:eastAsia="Times New Roman" w:cs="Times New Roman"/>
          <w:sz w:val="28"/>
          <w:szCs w:val="28"/>
        </w:rPr>
        <w:t xml:space="preserve">erred by </w:t>
      </w:r>
      <w:r w:rsidR="00AF043B" w:rsidRPr="000D6D21">
        <w:rPr>
          <w:rFonts w:eastAsia="Times New Roman" w:cs="Times New Roman"/>
          <w:sz w:val="28"/>
          <w:szCs w:val="28"/>
        </w:rPr>
        <w:t xml:space="preserve">ordering disclosure of </w:t>
      </w:r>
      <w:r w:rsidR="005352F0" w:rsidRPr="000D6D21">
        <w:rPr>
          <w:rFonts w:eastAsia="Times New Roman" w:cs="Times New Roman"/>
          <w:sz w:val="28"/>
          <w:szCs w:val="28"/>
        </w:rPr>
        <w:t>them in this case</w:t>
      </w:r>
      <w:r w:rsidR="00AF043B" w:rsidRPr="000D6D21">
        <w:rPr>
          <w:rFonts w:eastAsia="Times New Roman" w:cs="Times New Roman"/>
          <w:sz w:val="28"/>
          <w:szCs w:val="28"/>
        </w:rPr>
        <w:t xml:space="preserve">.  </w:t>
      </w:r>
    </w:p>
    <w:p w14:paraId="633D17F5" w14:textId="77777777" w:rsidR="00F30014" w:rsidRDefault="00F30014" w:rsidP="00F30014">
      <w:pPr>
        <w:rPr>
          <w:sz w:val="28"/>
          <w:szCs w:val="28"/>
        </w:rPr>
      </w:pPr>
    </w:p>
    <w:p w14:paraId="633D17F6" w14:textId="77777777" w:rsidR="00F30014" w:rsidRDefault="00F30014" w:rsidP="00F30014">
      <w:pPr>
        <w:rPr>
          <w:sz w:val="28"/>
          <w:szCs w:val="28"/>
        </w:rPr>
      </w:pPr>
    </w:p>
    <w:p w14:paraId="633D17F7" w14:textId="77777777" w:rsidR="00F30014" w:rsidRDefault="00F30014" w:rsidP="00F30014">
      <w:pPr>
        <w:rPr>
          <w:sz w:val="28"/>
          <w:szCs w:val="28"/>
        </w:rPr>
      </w:pPr>
    </w:p>
    <w:p w14:paraId="633D17F8" w14:textId="77777777" w:rsidR="00F30014" w:rsidRDefault="00F30014" w:rsidP="00F30014">
      <w:pPr>
        <w:rPr>
          <w:sz w:val="28"/>
          <w:szCs w:val="28"/>
        </w:rPr>
      </w:pPr>
    </w:p>
    <w:p w14:paraId="633D17F9" w14:textId="77777777" w:rsidR="00F30014" w:rsidRDefault="00F30014" w:rsidP="00F30014">
      <w:pPr>
        <w:rPr>
          <w:sz w:val="28"/>
          <w:szCs w:val="28"/>
        </w:rPr>
      </w:pPr>
    </w:p>
    <w:p w14:paraId="633D17FA" w14:textId="77777777" w:rsidR="00F30014" w:rsidRDefault="00F30014" w:rsidP="00F30014">
      <w:pPr>
        <w:rPr>
          <w:sz w:val="28"/>
          <w:szCs w:val="28"/>
        </w:rPr>
      </w:pPr>
    </w:p>
    <w:p w14:paraId="633D17FB" w14:textId="77777777" w:rsidR="00F30014" w:rsidRDefault="00F30014" w:rsidP="00F30014">
      <w:pPr>
        <w:rPr>
          <w:sz w:val="28"/>
          <w:szCs w:val="28"/>
        </w:rPr>
      </w:pPr>
    </w:p>
    <w:p w14:paraId="633D17FC" w14:textId="77777777" w:rsidR="00F30014" w:rsidRDefault="00F30014" w:rsidP="00F30014">
      <w:pPr>
        <w:rPr>
          <w:sz w:val="28"/>
          <w:szCs w:val="28"/>
        </w:rPr>
      </w:pPr>
    </w:p>
    <w:p w14:paraId="633D17FD" w14:textId="77777777" w:rsidR="00F30014" w:rsidRDefault="00F30014" w:rsidP="00F30014">
      <w:pPr>
        <w:rPr>
          <w:sz w:val="28"/>
          <w:szCs w:val="28"/>
        </w:rPr>
      </w:pPr>
    </w:p>
    <w:p w14:paraId="633D17FE" w14:textId="77777777" w:rsidR="00F30014" w:rsidRDefault="00F30014" w:rsidP="00F30014">
      <w:pPr>
        <w:rPr>
          <w:sz w:val="28"/>
          <w:szCs w:val="28"/>
        </w:rPr>
      </w:pPr>
    </w:p>
    <w:p w14:paraId="633D17FF" w14:textId="77777777" w:rsidR="00F30014" w:rsidRPr="000D6D21" w:rsidRDefault="00F30014" w:rsidP="00F30014">
      <w:pPr>
        <w:rPr>
          <w:sz w:val="28"/>
          <w:szCs w:val="28"/>
        </w:rPr>
      </w:pPr>
    </w:p>
    <w:p w14:paraId="633D1800" w14:textId="77777777" w:rsidR="00307989" w:rsidRPr="000D6D21" w:rsidRDefault="00F615D7" w:rsidP="000D6D21">
      <w:pPr>
        <w:keepNext/>
        <w:jc w:val="center"/>
        <w:rPr>
          <w:rStyle w:val="Emphasis"/>
          <w:i w:val="0"/>
          <w:iCs w:val="0"/>
          <w:color w:val="000000"/>
          <w:sz w:val="28"/>
          <w:szCs w:val="28"/>
          <w:bdr w:val="none" w:sz="0" w:space="0" w:color="auto" w:frame="1"/>
        </w:rPr>
      </w:pPr>
      <w:r w:rsidRPr="000D6D21">
        <w:rPr>
          <w:rStyle w:val="Emphasis"/>
          <w:b/>
          <w:bCs/>
          <w:i w:val="0"/>
          <w:iCs w:val="0"/>
          <w:color w:val="000000"/>
          <w:sz w:val="28"/>
          <w:szCs w:val="28"/>
          <w:bdr w:val="none" w:sz="0" w:space="0" w:color="auto" w:frame="1"/>
        </w:rPr>
        <w:lastRenderedPageBreak/>
        <w:t>DISPOSITION</w:t>
      </w:r>
    </w:p>
    <w:p w14:paraId="633D1801" w14:textId="77777777" w:rsidR="00415512" w:rsidRPr="000D6D21" w:rsidRDefault="00F615D7" w:rsidP="000D6D21">
      <w:pPr>
        <w:rPr>
          <w:sz w:val="28"/>
          <w:szCs w:val="28"/>
        </w:rPr>
      </w:pPr>
      <w:r w:rsidRPr="000D6D21">
        <w:rPr>
          <w:rStyle w:val="Emphasis"/>
          <w:i w:val="0"/>
          <w:iCs w:val="0"/>
          <w:color w:val="000000"/>
          <w:sz w:val="28"/>
          <w:szCs w:val="28"/>
          <w:bdr w:val="none" w:sz="0" w:space="0" w:color="auto" w:frame="1"/>
        </w:rPr>
        <w:tab/>
      </w:r>
      <w:r w:rsidR="006B0682" w:rsidRPr="000D6D21">
        <w:rPr>
          <w:rStyle w:val="Emphasis"/>
          <w:i w:val="0"/>
          <w:iCs w:val="0"/>
          <w:color w:val="000000"/>
          <w:sz w:val="28"/>
          <w:szCs w:val="28"/>
          <w:bdr w:val="none" w:sz="0" w:space="0" w:color="auto" w:frame="1"/>
        </w:rPr>
        <w:t>The</w:t>
      </w:r>
      <w:r w:rsidR="00307989" w:rsidRPr="000D6D21">
        <w:rPr>
          <w:sz w:val="28"/>
          <w:szCs w:val="28"/>
        </w:rPr>
        <w:t xml:space="preserve"> </w:t>
      </w:r>
      <w:r w:rsidR="005352F0" w:rsidRPr="000D6D21">
        <w:rPr>
          <w:sz w:val="28"/>
          <w:szCs w:val="28"/>
        </w:rPr>
        <w:t xml:space="preserve">portion of the appeal challenging the </w:t>
      </w:r>
      <w:r w:rsidRPr="000D6D21">
        <w:rPr>
          <w:sz w:val="28"/>
          <w:szCs w:val="28"/>
        </w:rPr>
        <w:t xml:space="preserve">order of </w:t>
      </w:r>
      <w:r w:rsidR="005352F0" w:rsidRPr="000D6D21">
        <w:rPr>
          <w:sz w:val="28"/>
          <w:szCs w:val="28"/>
        </w:rPr>
        <w:t>December 6, 2022</w:t>
      </w:r>
      <w:r w:rsidR="006B09FC" w:rsidRPr="000D6D21">
        <w:rPr>
          <w:sz w:val="28"/>
          <w:szCs w:val="28"/>
        </w:rPr>
        <w:t>,</w:t>
      </w:r>
      <w:r w:rsidR="005352F0" w:rsidRPr="000D6D21">
        <w:rPr>
          <w:sz w:val="28"/>
          <w:szCs w:val="28"/>
        </w:rPr>
        <w:t xml:space="preserve"> is dismissed.  The portion of the appeal challenging the</w:t>
      </w:r>
      <w:r w:rsidRPr="000D6D21">
        <w:rPr>
          <w:sz w:val="28"/>
          <w:szCs w:val="28"/>
        </w:rPr>
        <w:t xml:space="preserve"> order of</w:t>
      </w:r>
      <w:r w:rsidR="005352F0" w:rsidRPr="000D6D21">
        <w:rPr>
          <w:sz w:val="28"/>
          <w:szCs w:val="28"/>
        </w:rPr>
        <w:t xml:space="preserve"> January 23, 2022</w:t>
      </w:r>
      <w:r w:rsidR="006B09FC" w:rsidRPr="000D6D21">
        <w:rPr>
          <w:sz w:val="28"/>
          <w:szCs w:val="28"/>
        </w:rPr>
        <w:t>,</w:t>
      </w:r>
      <w:r w:rsidR="005352F0" w:rsidRPr="000D6D21">
        <w:rPr>
          <w:sz w:val="28"/>
          <w:szCs w:val="28"/>
        </w:rPr>
        <w:t xml:space="preserve"> is deemed a petition for extraordinary relief.  </w:t>
      </w:r>
      <w:r w:rsidR="00283CEB" w:rsidRPr="000D6D21">
        <w:rPr>
          <w:sz w:val="28"/>
          <w:szCs w:val="28"/>
        </w:rPr>
        <w:t xml:space="preserve">The petition for extraordinary writ is granted in part.  </w:t>
      </w:r>
      <w:r w:rsidR="00FD7A5D" w:rsidRPr="000D6D21">
        <w:rPr>
          <w:sz w:val="28"/>
          <w:szCs w:val="28"/>
        </w:rPr>
        <w:t>Let a writ of mandate issue directing the superior court to vacate its January 23, 2023</w:t>
      </w:r>
      <w:r w:rsidR="005D1B1F" w:rsidRPr="000D6D21">
        <w:rPr>
          <w:sz w:val="28"/>
          <w:szCs w:val="28"/>
        </w:rPr>
        <w:t>,</w:t>
      </w:r>
      <w:r w:rsidR="00FD7A5D" w:rsidRPr="000D6D21">
        <w:rPr>
          <w:sz w:val="28"/>
          <w:szCs w:val="28"/>
        </w:rPr>
        <w:t xml:space="preserve"> order </w:t>
      </w:r>
      <w:r w:rsidR="002A7A45" w:rsidRPr="000D6D21">
        <w:rPr>
          <w:sz w:val="28"/>
          <w:szCs w:val="28"/>
        </w:rPr>
        <w:t>to the extent it (1)</w:t>
      </w:r>
      <w:r w:rsidR="0014333A" w:rsidRPr="000D6D21">
        <w:rPr>
          <w:sz w:val="28"/>
          <w:szCs w:val="28"/>
        </w:rPr>
        <w:t> </w:t>
      </w:r>
      <w:r w:rsidR="002A7A45" w:rsidRPr="000D6D21">
        <w:rPr>
          <w:sz w:val="28"/>
          <w:szCs w:val="28"/>
        </w:rPr>
        <w:t xml:space="preserve">authorizes </w:t>
      </w:r>
      <w:r w:rsidR="00FD7A5D" w:rsidRPr="000D6D21">
        <w:rPr>
          <w:sz w:val="28"/>
          <w:szCs w:val="28"/>
        </w:rPr>
        <w:t>use of electronic lists outside the Registrar’s examination room</w:t>
      </w:r>
      <w:r w:rsidR="00E856EC" w:rsidRPr="000D6D21">
        <w:rPr>
          <w:sz w:val="28"/>
          <w:szCs w:val="28"/>
        </w:rPr>
        <w:t>,</w:t>
      </w:r>
      <w:r w:rsidR="002A7A45" w:rsidRPr="000D6D21">
        <w:rPr>
          <w:sz w:val="28"/>
          <w:szCs w:val="28"/>
        </w:rPr>
        <w:t xml:space="preserve"> and (2)</w:t>
      </w:r>
      <w:r w:rsidR="00DB25F5">
        <w:rPr>
          <w:sz w:val="28"/>
          <w:szCs w:val="28"/>
        </w:rPr>
        <w:t> </w:t>
      </w:r>
      <w:r w:rsidR="002A7A45" w:rsidRPr="000D6D21">
        <w:rPr>
          <w:sz w:val="28"/>
          <w:szCs w:val="28"/>
        </w:rPr>
        <w:t xml:space="preserve">commands </w:t>
      </w:r>
      <w:r w:rsidR="00FD7A5D" w:rsidRPr="000D6D21">
        <w:rPr>
          <w:sz w:val="28"/>
          <w:szCs w:val="28"/>
        </w:rPr>
        <w:t>disclosure of redacted affidavits of voter registration</w:t>
      </w:r>
      <w:r w:rsidR="002A7A45" w:rsidRPr="000D6D21">
        <w:rPr>
          <w:sz w:val="28"/>
          <w:szCs w:val="28"/>
        </w:rPr>
        <w:t xml:space="preserve">.  The court shall </w:t>
      </w:r>
      <w:r w:rsidR="00FD7A5D" w:rsidRPr="000D6D21">
        <w:rPr>
          <w:sz w:val="28"/>
          <w:szCs w:val="28"/>
        </w:rPr>
        <w:t xml:space="preserve">issue a new and different order denying </w:t>
      </w:r>
      <w:r w:rsidR="002A7A45" w:rsidRPr="000D6D21">
        <w:rPr>
          <w:sz w:val="28"/>
          <w:szCs w:val="28"/>
        </w:rPr>
        <w:t xml:space="preserve">both </w:t>
      </w:r>
      <w:r w:rsidR="00FD7A5D" w:rsidRPr="000D6D21">
        <w:rPr>
          <w:sz w:val="28"/>
          <w:szCs w:val="28"/>
        </w:rPr>
        <w:t>requests.</w:t>
      </w:r>
      <w:r w:rsidRPr="000D6D21">
        <w:rPr>
          <w:sz w:val="28"/>
          <w:szCs w:val="28"/>
        </w:rPr>
        <w:t xml:space="preserve">  </w:t>
      </w:r>
      <w:r w:rsidR="0063683F" w:rsidRPr="000D6D21">
        <w:rPr>
          <w:sz w:val="28"/>
          <w:szCs w:val="28"/>
        </w:rPr>
        <w:t xml:space="preserve">In all other respects, the petition </w:t>
      </w:r>
      <w:r w:rsidR="00FD7A5D" w:rsidRPr="000D6D21">
        <w:rPr>
          <w:sz w:val="28"/>
          <w:szCs w:val="28"/>
        </w:rPr>
        <w:t>for extraordinary writ i</w:t>
      </w:r>
      <w:r w:rsidR="0063683F" w:rsidRPr="000D6D21">
        <w:rPr>
          <w:sz w:val="28"/>
          <w:szCs w:val="28"/>
        </w:rPr>
        <w:t xml:space="preserve">s denied.  </w:t>
      </w:r>
    </w:p>
    <w:p w14:paraId="633D1802" w14:textId="77777777" w:rsidR="003E4A83" w:rsidRPr="000D6D21" w:rsidRDefault="00F615D7" w:rsidP="00B12697">
      <w:pPr>
        <w:spacing w:after="120"/>
        <w:ind w:firstLine="720"/>
        <w:rPr>
          <w:sz w:val="28"/>
          <w:szCs w:val="28"/>
        </w:rPr>
      </w:pPr>
      <w:r w:rsidRPr="000D6D21">
        <w:rPr>
          <w:sz w:val="28"/>
          <w:szCs w:val="28"/>
        </w:rPr>
        <w:t xml:space="preserve">The parties are to bear their own costs on appeal.  </w:t>
      </w:r>
      <w:r w:rsidR="002A7A45" w:rsidRPr="000D6D21">
        <w:rPr>
          <w:sz w:val="28"/>
          <w:szCs w:val="28"/>
        </w:rPr>
        <w:t>(</w:t>
      </w:r>
      <w:r w:rsidR="0014333A" w:rsidRPr="000D6D21">
        <w:rPr>
          <w:sz w:val="28"/>
          <w:szCs w:val="28"/>
        </w:rPr>
        <w:t>See</w:t>
      </w:r>
      <w:r w:rsidR="00E456A5">
        <w:rPr>
          <w:sz w:val="28"/>
          <w:szCs w:val="28"/>
        </w:rPr>
        <w:t> </w:t>
      </w:r>
      <w:r w:rsidR="002A7A45" w:rsidRPr="000D6D21">
        <w:rPr>
          <w:sz w:val="28"/>
          <w:szCs w:val="28"/>
        </w:rPr>
        <w:t xml:space="preserve">Cal. Rules of Court, </w:t>
      </w:r>
      <w:r w:rsidR="009424E4" w:rsidRPr="000D6D21">
        <w:rPr>
          <w:sz w:val="28"/>
          <w:szCs w:val="28"/>
        </w:rPr>
        <w:t>r</w:t>
      </w:r>
      <w:r w:rsidR="002A7A45" w:rsidRPr="000D6D21">
        <w:rPr>
          <w:sz w:val="28"/>
          <w:szCs w:val="28"/>
        </w:rPr>
        <w:t xml:space="preserve">ules 8.278(a)(2), 8.493(a)(1)(B).)  </w:t>
      </w:r>
    </w:p>
    <w:p w14:paraId="633D1803" w14:textId="77777777" w:rsidR="00B12697" w:rsidRPr="00B12697" w:rsidRDefault="00F615D7" w:rsidP="00B12697">
      <w:pPr>
        <w:spacing w:after="120"/>
        <w:jc w:val="center"/>
        <w:rPr>
          <w:b/>
          <w:szCs w:val="26"/>
        </w:rPr>
      </w:pPr>
      <w:r w:rsidRPr="00B12697">
        <w:rPr>
          <w:b/>
          <w:bCs/>
          <w:szCs w:val="26"/>
        </w:rPr>
        <w:t>CERTIFIED FOR PUBLICATION</w:t>
      </w:r>
    </w:p>
    <w:p w14:paraId="633D1804" w14:textId="77777777" w:rsidR="009A7A66" w:rsidRDefault="009A7A66" w:rsidP="000D6D21">
      <w:pPr>
        <w:spacing w:line="240" w:lineRule="auto"/>
        <w:rPr>
          <w:sz w:val="28"/>
          <w:szCs w:val="28"/>
        </w:rPr>
      </w:pPr>
    </w:p>
    <w:p w14:paraId="633D1805" w14:textId="77777777" w:rsidR="00172D0C" w:rsidRPr="000D6D21" w:rsidRDefault="00172D0C" w:rsidP="000D6D21">
      <w:pPr>
        <w:spacing w:line="240" w:lineRule="auto"/>
        <w:rPr>
          <w:sz w:val="28"/>
          <w:szCs w:val="28"/>
        </w:rPr>
      </w:pPr>
    </w:p>
    <w:p w14:paraId="633D1806" w14:textId="77777777" w:rsidR="007F4565" w:rsidRDefault="007F4565" w:rsidP="000D6D21">
      <w:pPr>
        <w:spacing w:line="240" w:lineRule="auto"/>
        <w:rPr>
          <w:sz w:val="28"/>
          <w:szCs w:val="28"/>
        </w:rPr>
      </w:pPr>
    </w:p>
    <w:p w14:paraId="633D1807" w14:textId="77777777" w:rsidR="00172D0C" w:rsidRPr="000D6D21" w:rsidRDefault="00172D0C" w:rsidP="000D6D21">
      <w:pPr>
        <w:spacing w:line="240" w:lineRule="auto"/>
        <w:rPr>
          <w:sz w:val="28"/>
          <w:szCs w:val="28"/>
        </w:rPr>
      </w:pPr>
    </w:p>
    <w:p w14:paraId="633D1808" w14:textId="77777777" w:rsidR="00492582" w:rsidRPr="000D6D21" w:rsidRDefault="00F615D7" w:rsidP="000D6D21">
      <w:pPr>
        <w:spacing w:line="240" w:lineRule="auto"/>
        <w:rPr>
          <w:sz w:val="28"/>
          <w:szCs w:val="28"/>
        </w:rPr>
      </w:pPr>
      <w:r w:rsidRPr="000D6D21">
        <w:rPr>
          <w:sz w:val="28"/>
          <w:szCs w:val="28"/>
        </w:rPr>
        <w:tab/>
      </w:r>
      <w:r w:rsidRPr="000D6D21">
        <w:rPr>
          <w:sz w:val="28"/>
          <w:szCs w:val="28"/>
        </w:rPr>
        <w:tab/>
      </w:r>
      <w:r w:rsidRPr="000D6D21">
        <w:rPr>
          <w:sz w:val="28"/>
          <w:szCs w:val="28"/>
        </w:rPr>
        <w:tab/>
      </w:r>
      <w:r w:rsidRPr="000D6D21">
        <w:rPr>
          <w:sz w:val="28"/>
          <w:szCs w:val="28"/>
        </w:rPr>
        <w:tab/>
      </w:r>
      <w:r w:rsidRPr="000D6D21">
        <w:rPr>
          <w:sz w:val="28"/>
          <w:szCs w:val="28"/>
        </w:rPr>
        <w:tab/>
      </w:r>
      <w:r w:rsidRPr="000D6D21">
        <w:rPr>
          <w:sz w:val="28"/>
          <w:szCs w:val="28"/>
        </w:rPr>
        <w:tab/>
      </w:r>
      <w:r w:rsidRPr="000D6D21">
        <w:rPr>
          <w:sz w:val="28"/>
          <w:szCs w:val="28"/>
        </w:rPr>
        <w:tab/>
      </w:r>
      <w:r w:rsidR="00D46972" w:rsidRPr="000D6D21">
        <w:rPr>
          <w:sz w:val="28"/>
          <w:szCs w:val="28"/>
        </w:rPr>
        <w:tab/>
      </w:r>
      <w:r w:rsidR="00D46972" w:rsidRPr="000D6D21">
        <w:rPr>
          <w:sz w:val="28"/>
          <w:szCs w:val="28"/>
        </w:rPr>
        <w:tab/>
      </w:r>
      <w:r w:rsidR="00585681" w:rsidRPr="000D6D21">
        <w:rPr>
          <w:sz w:val="28"/>
          <w:szCs w:val="28"/>
        </w:rPr>
        <w:t>MORI</w:t>
      </w:r>
      <w:r w:rsidRPr="000D6D21">
        <w:rPr>
          <w:sz w:val="28"/>
          <w:szCs w:val="28"/>
        </w:rPr>
        <w:t>, J.</w:t>
      </w:r>
    </w:p>
    <w:p w14:paraId="633D1809" w14:textId="77777777" w:rsidR="009A7A66" w:rsidRPr="000D6D21" w:rsidRDefault="009A7A66" w:rsidP="000D6D21">
      <w:pPr>
        <w:spacing w:line="240" w:lineRule="auto"/>
        <w:rPr>
          <w:sz w:val="28"/>
          <w:szCs w:val="28"/>
        </w:rPr>
      </w:pPr>
    </w:p>
    <w:p w14:paraId="633D180A" w14:textId="77777777" w:rsidR="00D46972" w:rsidRPr="000D6D21" w:rsidRDefault="00D46972" w:rsidP="000D6D21">
      <w:pPr>
        <w:spacing w:line="240" w:lineRule="auto"/>
        <w:rPr>
          <w:sz w:val="28"/>
          <w:szCs w:val="28"/>
        </w:rPr>
      </w:pPr>
    </w:p>
    <w:p w14:paraId="633D180B" w14:textId="77777777" w:rsidR="00172D0C" w:rsidRPr="000D6D21" w:rsidRDefault="00172D0C" w:rsidP="000D6D21">
      <w:pPr>
        <w:spacing w:line="240" w:lineRule="auto"/>
        <w:rPr>
          <w:sz w:val="28"/>
          <w:szCs w:val="28"/>
        </w:rPr>
      </w:pPr>
    </w:p>
    <w:p w14:paraId="633D180C" w14:textId="77777777" w:rsidR="00492582" w:rsidRPr="000D6D21" w:rsidRDefault="00F615D7" w:rsidP="000D6D21">
      <w:pPr>
        <w:spacing w:line="240" w:lineRule="auto"/>
        <w:rPr>
          <w:sz w:val="28"/>
          <w:szCs w:val="28"/>
          <w:lang w:val="nl-NL"/>
        </w:rPr>
      </w:pPr>
      <w:r w:rsidRPr="000D6D21">
        <w:rPr>
          <w:sz w:val="28"/>
          <w:szCs w:val="28"/>
          <w:lang w:val="nl-NL"/>
        </w:rPr>
        <w:t>We concur:</w:t>
      </w:r>
    </w:p>
    <w:p w14:paraId="633D180D" w14:textId="77777777" w:rsidR="00C839D6" w:rsidRDefault="00C839D6" w:rsidP="000D6D21">
      <w:pPr>
        <w:spacing w:line="240" w:lineRule="auto"/>
        <w:rPr>
          <w:sz w:val="28"/>
          <w:szCs w:val="28"/>
          <w:lang w:val="nl-NL"/>
        </w:rPr>
      </w:pPr>
    </w:p>
    <w:p w14:paraId="633D180E" w14:textId="77777777" w:rsidR="00172D0C" w:rsidRPr="000D6D21" w:rsidRDefault="00172D0C" w:rsidP="000D6D21">
      <w:pPr>
        <w:spacing w:line="240" w:lineRule="auto"/>
        <w:rPr>
          <w:sz w:val="28"/>
          <w:szCs w:val="28"/>
          <w:lang w:val="nl-NL"/>
        </w:rPr>
      </w:pPr>
    </w:p>
    <w:p w14:paraId="633D180F" w14:textId="77777777" w:rsidR="00994299" w:rsidRPr="000D6D21" w:rsidRDefault="00994299" w:rsidP="000D6D21">
      <w:pPr>
        <w:spacing w:line="240" w:lineRule="auto"/>
        <w:rPr>
          <w:sz w:val="28"/>
          <w:szCs w:val="28"/>
          <w:lang w:val="nl-NL"/>
        </w:rPr>
      </w:pPr>
    </w:p>
    <w:p w14:paraId="633D1810" w14:textId="77777777" w:rsidR="009F5F9F" w:rsidRPr="000D6D21" w:rsidRDefault="009F5F9F" w:rsidP="000D6D21">
      <w:pPr>
        <w:spacing w:line="240" w:lineRule="auto"/>
        <w:rPr>
          <w:sz w:val="28"/>
          <w:szCs w:val="28"/>
          <w:lang w:val="nl-NL"/>
        </w:rPr>
      </w:pPr>
    </w:p>
    <w:p w14:paraId="633D1811" w14:textId="77777777" w:rsidR="00C97C5B" w:rsidRPr="000D6D21" w:rsidRDefault="00F615D7" w:rsidP="000D6D21">
      <w:pPr>
        <w:spacing w:line="240" w:lineRule="auto"/>
        <w:rPr>
          <w:sz w:val="28"/>
          <w:szCs w:val="28"/>
          <w:lang w:val="nl-NL"/>
        </w:rPr>
      </w:pPr>
      <w:r w:rsidRPr="000D6D21">
        <w:rPr>
          <w:sz w:val="28"/>
          <w:szCs w:val="28"/>
          <w:lang w:val="nl-NL"/>
        </w:rPr>
        <w:t>CURREY</w:t>
      </w:r>
      <w:r w:rsidR="00492582" w:rsidRPr="000D6D21">
        <w:rPr>
          <w:sz w:val="28"/>
          <w:szCs w:val="28"/>
          <w:lang w:val="nl-NL"/>
        </w:rPr>
        <w:t xml:space="preserve">, </w:t>
      </w:r>
      <w:r w:rsidR="002B4E51" w:rsidRPr="000D6D21">
        <w:rPr>
          <w:sz w:val="28"/>
          <w:szCs w:val="28"/>
          <w:lang w:val="nl-NL"/>
        </w:rPr>
        <w:t xml:space="preserve">P. </w:t>
      </w:r>
      <w:r w:rsidR="00492582" w:rsidRPr="000D6D21">
        <w:rPr>
          <w:sz w:val="28"/>
          <w:szCs w:val="28"/>
          <w:lang w:val="nl-NL"/>
        </w:rPr>
        <w:t>J.</w:t>
      </w:r>
      <w:r w:rsidR="00172D0C">
        <w:rPr>
          <w:sz w:val="28"/>
          <w:szCs w:val="28"/>
          <w:lang w:val="nl-NL"/>
        </w:rPr>
        <w:tab/>
      </w:r>
      <w:r w:rsidR="00172D0C">
        <w:rPr>
          <w:sz w:val="28"/>
          <w:szCs w:val="28"/>
          <w:lang w:val="nl-NL"/>
        </w:rPr>
        <w:tab/>
      </w:r>
      <w:r w:rsidR="00172D0C">
        <w:rPr>
          <w:sz w:val="28"/>
          <w:szCs w:val="28"/>
          <w:lang w:val="nl-NL"/>
        </w:rPr>
        <w:tab/>
      </w:r>
      <w:r w:rsidR="00172D0C">
        <w:rPr>
          <w:sz w:val="28"/>
          <w:szCs w:val="28"/>
          <w:lang w:val="nl-NL"/>
        </w:rPr>
        <w:tab/>
      </w:r>
      <w:r w:rsidR="00172D0C">
        <w:rPr>
          <w:sz w:val="28"/>
          <w:szCs w:val="28"/>
          <w:lang w:val="nl-NL"/>
        </w:rPr>
        <w:tab/>
      </w:r>
      <w:r w:rsidR="00172D0C">
        <w:rPr>
          <w:sz w:val="28"/>
          <w:szCs w:val="28"/>
          <w:lang w:val="nl-NL"/>
        </w:rPr>
        <w:tab/>
      </w:r>
      <w:r w:rsidR="00172D0C">
        <w:rPr>
          <w:sz w:val="28"/>
          <w:szCs w:val="28"/>
          <w:lang w:val="nl-NL"/>
        </w:rPr>
        <w:tab/>
      </w:r>
      <w:r w:rsidRPr="000D6D21">
        <w:rPr>
          <w:sz w:val="28"/>
          <w:szCs w:val="28"/>
          <w:lang w:val="nl-NL"/>
        </w:rPr>
        <w:t>ZUKIN</w:t>
      </w:r>
      <w:r w:rsidR="00492582" w:rsidRPr="000D6D21">
        <w:rPr>
          <w:sz w:val="28"/>
          <w:szCs w:val="28"/>
          <w:lang w:val="nl-NL"/>
        </w:rPr>
        <w:t>, J.</w:t>
      </w:r>
    </w:p>
    <w:sectPr w:rsidR="00C97C5B" w:rsidRPr="000D6D21" w:rsidSect="000D6D21">
      <w:footerReference w:type="even" r:id="rId7"/>
      <w:foot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181C" w14:textId="77777777" w:rsidR="00000000" w:rsidRDefault="00F615D7">
      <w:pPr>
        <w:spacing w:line="240" w:lineRule="auto"/>
      </w:pPr>
      <w:r>
        <w:separator/>
      </w:r>
    </w:p>
  </w:endnote>
  <w:endnote w:type="continuationSeparator" w:id="0">
    <w:p w14:paraId="633D181E" w14:textId="77777777" w:rsidR="00000000" w:rsidRDefault="00F6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1815" w14:textId="77777777" w:rsidR="00BD40F3" w:rsidRDefault="00F615D7" w:rsidP="008765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D6D21">
      <w:rPr>
        <w:rStyle w:val="PageNumber"/>
        <w:noProof/>
      </w:rPr>
      <w:t>41</w:t>
    </w:r>
    <w:r>
      <w:rPr>
        <w:rStyle w:val="PageNumber"/>
      </w:rPr>
      <w:fldChar w:fldCharType="end"/>
    </w:r>
  </w:p>
  <w:p w14:paraId="633D1816" w14:textId="77777777" w:rsidR="00BD40F3" w:rsidRDefault="00BD4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1817" w14:textId="77777777" w:rsidR="00BD40F3" w:rsidRPr="000D6D21" w:rsidRDefault="00F615D7" w:rsidP="0087659E">
    <w:pPr>
      <w:pStyle w:val="Footer"/>
      <w:framePr w:wrap="around" w:vAnchor="text" w:hAnchor="margin" w:xAlign="center" w:y="1"/>
      <w:rPr>
        <w:rStyle w:val="PageNumber"/>
        <w:sz w:val="28"/>
        <w:szCs w:val="28"/>
      </w:rPr>
    </w:pPr>
    <w:r w:rsidRPr="000D6D21">
      <w:rPr>
        <w:rStyle w:val="PageNumber"/>
        <w:sz w:val="28"/>
        <w:szCs w:val="28"/>
      </w:rPr>
      <w:fldChar w:fldCharType="begin"/>
    </w:r>
    <w:r w:rsidRPr="000D6D21">
      <w:rPr>
        <w:rStyle w:val="PageNumber"/>
        <w:sz w:val="28"/>
        <w:szCs w:val="28"/>
      </w:rPr>
      <w:instrText xml:space="preserve"> PAGE </w:instrText>
    </w:r>
    <w:r w:rsidRPr="000D6D21">
      <w:rPr>
        <w:rStyle w:val="PageNumber"/>
        <w:sz w:val="28"/>
        <w:szCs w:val="28"/>
      </w:rPr>
      <w:fldChar w:fldCharType="separate"/>
    </w:r>
    <w:r w:rsidR="00F24399" w:rsidRPr="000D6D21">
      <w:rPr>
        <w:rStyle w:val="PageNumber"/>
        <w:noProof/>
        <w:sz w:val="28"/>
        <w:szCs w:val="28"/>
      </w:rPr>
      <w:t>32</w:t>
    </w:r>
    <w:r w:rsidRPr="000D6D21">
      <w:rPr>
        <w:rStyle w:val="PageNumber"/>
        <w:sz w:val="28"/>
        <w:szCs w:val="28"/>
      </w:rPr>
      <w:fldChar w:fldCharType="end"/>
    </w:r>
  </w:p>
  <w:p w14:paraId="633D1818" w14:textId="77777777" w:rsidR="00BD40F3" w:rsidRPr="000D6D21" w:rsidRDefault="00BD40F3" w:rsidP="00682FCC">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1812" w14:textId="77777777" w:rsidR="004B5FAB" w:rsidRDefault="00F615D7" w:rsidP="00492582">
      <w:pPr>
        <w:spacing w:line="240" w:lineRule="auto"/>
      </w:pPr>
      <w:r>
        <w:separator/>
      </w:r>
      <w:r>
        <w:separator/>
      </w:r>
    </w:p>
  </w:footnote>
  <w:footnote w:type="continuationSeparator" w:id="0">
    <w:p w14:paraId="633D1813" w14:textId="77777777" w:rsidR="004B5FAB" w:rsidRDefault="00F615D7" w:rsidP="00492582">
      <w:pPr>
        <w:spacing w:line="240" w:lineRule="auto"/>
      </w:pPr>
      <w:r>
        <w:continuationSeparator/>
      </w:r>
    </w:p>
  </w:footnote>
  <w:footnote w:type="continuationNotice" w:id="1">
    <w:p w14:paraId="633D1814" w14:textId="77777777" w:rsidR="004B5FAB" w:rsidRPr="009D3A38" w:rsidRDefault="00F615D7">
      <w:pPr>
        <w:spacing w:line="240" w:lineRule="auto"/>
        <w:rPr>
          <w:rFonts w:ascii="Times New Roman" w:hAnsi="Times New Roman" w:cs="Times New Roman"/>
          <w:i/>
          <w:iCs/>
          <w:sz w:val="20"/>
          <w:szCs w:val="20"/>
        </w:rPr>
      </w:pPr>
      <w:r w:rsidRPr="009D3A38">
        <w:rPr>
          <w:rFonts w:ascii="Times New Roman" w:hAnsi="Times New Roman" w:cs="Times New Roman"/>
          <w:i/>
          <w:iCs/>
          <w:sz w:val="20"/>
          <w:szCs w:val="20"/>
        </w:rPr>
        <w:t>(Fn. is continued on the next page.)</w:t>
      </w:r>
    </w:p>
  </w:footnote>
  <w:footnote w:id="2">
    <w:p w14:paraId="633D1819" w14:textId="77777777" w:rsidR="00590330" w:rsidRPr="000D6D21" w:rsidRDefault="00F615D7" w:rsidP="00590330">
      <w:pPr>
        <w:pStyle w:val="FootnoteText"/>
        <w:spacing w:after="120" w:line="240" w:lineRule="auto"/>
        <w:rPr>
          <w:sz w:val="24"/>
          <w:szCs w:val="24"/>
        </w:rPr>
      </w:pPr>
      <w:r w:rsidRPr="000D6D21">
        <w:rPr>
          <w:rStyle w:val="FootnoteReference"/>
          <w:b/>
          <w:bCs/>
          <w:sz w:val="24"/>
          <w:szCs w:val="24"/>
        </w:rPr>
        <w:footnoteRef/>
      </w:r>
      <w:r w:rsidRPr="000D6D21">
        <w:rPr>
          <w:sz w:val="24"/>
          <w:szCs w:val="24"/>
        </w:rPr>
        <w:t xml:space="preserve"> </w:t>
      </w:r>
      <w:r w:rsidRPr="000D6D21">
        <w:rPr>
          <w:sz w:val="24"/>
          <w:szCs w:val="24"/>
        </w:rPr>
        <w:tab/>
        <w:t>Unspecified references are to the Government Code.  Effective January 1, 2023, the provisions in the PRA were reorganized and recodified without substantive change in Division 10, Ti</w:t>
      </w:r>
      <w:r w:rsidRPr="000D6D21">
        <w:rPr>
          <w:sz w:val="24"/>
          <w:szCs w:val="24"/>
        </w:rPr>
        <w:t xml:space="preserve">tle 1 of the Government Code.  (§ 7920.000 et seq., as enacted by Stats. 2021, </w:t>
      </w:r>
      <w:proofErr w:type="spellStart"/>
      <w:r w:rsidRPr="000D6D21">
        <w:rPr>
          <w:sz w:val="24"/>
          <w:szCs w:val="24"/>
        </w:rPr>
        <w:t>ch.</w:t>
      </w:r>
      <w:proofErr w:type="spellEnd"/>
      <w:r>
        <w:rPr>
          <w:sz w:val="24"/>
          <w:szCs w:val="24"/>
        </w:rPr>
        <w:t> </w:t>
      </w:r>
      <w:r w:rsidRPr="000D6D21">
        <w:rPr>
          <w:sz w:val="24"/>
          <w:szCs w:val="24"/>
        </w:rPr>
        <w:t xml:space="preserve">614, § 2; see §§ 7920.100, 7920.105.)  </w:t>
      </w:r>
      <w:r>
        <w:rPr>
          <w:sz w:val="24"/>
          <w:szCs w:val="24"/>
        </w:rPr>
        <w:t>For ease of reading, w</w:t>
      </w:r>
      <w:r w:rsidRPr="000D6D21">
        <w:rPr>
          <w:sz w:val="24"/>
          <w:szCs w:val="24"/>
        </w:rPr>
        <w:t xml:space="preserve">e use the current sections of the PRA. </w:t>
      </w:r>
    </w:p>
  </w:footnote>
  <w:footnote w:id="3">
    <w:p w14:paraId="633D181A" w14:textId="77777777" w:rsidR="00BD40F3" w:rsidRPr="000D6D21" w:rsidRDefault="00F615D7" w:rsidP="000D6D21">
      <w:pPr>
        <w:pStyle w:val="FootnoteText"/>
        <w:spacing w:after="120" w:line="240" w:lineRule="auto"/>
        <w:rPr>
          <w:sz w:val="24"/>
          <w:szCs w:val="24"/>
        </w:rPr>
      </w:pPr>
      <w:r w:rsidRPr="000D6D21">
        <w:rPr>
          <w:rStyle w:val="FootnoteReference"/>
          <w:sz w:val="24"/>
          <w:szCs w:val="24"/>
        </w:rPr>
        <w:footnoteRef/>
      </w:r>
      <w:r w:rsidRPr="000D6D21">
        <w:rPr>
          <w:sz w:val="24"/>
          <w:szCs w:val="24"/>
        </w:rPr>
        <w:t xml:space="preserve"> </w:t>
      </w:r>
      <w:r w:rsidRPr="000D6D21">
        <w:rPr>
          <w:sz w:val="24"/>
          <w:szCs w:val="24"/>
        </w:rPr>
        <w:tab/>
      </w:r>
      <w:r w:rsidRPr="000D6D21">
        <w:rPr>
          <w:sz w:val="24"/>
          <w:szCs w:val="24"/>
        </w:rPr>
        <w:t>The press release provided a breakdown of invalidated signatures under the following categories: “Not Registered” (88,464); “Duplicate” (43,593); “Different Address” (32,187); “Mismatch Signature” (9,490); “Canceled” (7,344); “Out of County Address” (5,374</w:t>
      </w:r>
      <w:r w:rsidRPr="000D6D21">
        <w:rPr>
          <w:sz w:val="24"/>
          <w:szCs w:val="24"/>
        </w:rPr>
        <w:t xml:space="preserve">); and “Other” (9,331). </w:t>
      </w:r>
    </w:p>
  </w:footnote>
  <w:footnote w:id="4">
    <w:p w14:paraId="633D181B" w14:textId="77777777" w:rsidR="008D210E" w:rsidRPr="000D6D21" w:rsidRDefault="00F615D7" w:rsidP="000D6D21">
      <w:pPr>
        <w:pStyle w:val="FootnoteText"/>
        <w:spacing w:after="120" w:line="240" w:lineRule="auto"/>
        <w:rPr>
          <w:sz w:val="24"/>
          <w:szCs w:val="24"/>
        </w:rPr>
      </w:pPr>
      <w:r w:rsidRPr="000D6D21">
        <w:rPr>
          <w:rStyle w:val="FootnoteReference"/>
          <w:sz w:val="24"/>
          <w:szCs w:val="24"/>
        </w:rPr>
        <w:footnoteRef/>
      </w:r>
      <w:r w:rsidRPr="000D6D21">
        <w:rPr>
          <w:sz w:val="24"/>
          <w:szCs w:val="24"/>
        </w:rPr>
        <w:t xml:space="preserve"> </w:t>
      </w:r>
      <w:r w:rsidRPr="000D6D21">
        <w:rPr>
          <w:sz w:val="24"/>
          <w:szCs w:val="24"/>
        </w:rPr>
        <w:tab/>
        <w:t xml:space="preserve">The </w:t>
      </w:r>
      <w:r w:rsidR="001716AD" w:rsidRPr="000D6D21">
        <w:rPr>
          <w:sz w:val="24"/>
          <w:szCs w:val="24"/>
        </w:rPr>
        <w:t>Registrar</w:t>
      </w:r>
      <w:r w:rsidRPr="000D6D21">
        <w:rPr>
          <w:sz w:val="24"/>
          <w:szCs w:val="24"/>
        </w:rPr>
        <w:t xml:space="preserve"> identified three reports it had made available in the examination room, including: </w:t>
      </w:r>
      <w:r w:rsidR="006068EF">
        <w:rPr>
          <w:sz w:val="24"/>
          <w:szCs w:val="24"/>
        </w:rPr>
        <w:t xml:space="preserve"> </w:t>
      </w:r>
      <w:r w:rsidRPr="000D6D21">
        <w:rPr>
          <w:sz w:val="24"/>
          <w:szCs w:val="24"/>
        </w:rPr>
        <w:t>(1) a report of signatures challenged as due to death with a date of death; (2) a report of signatures challenged as fatal pending</w:t>
      </w:r>
      <w:r w:rsidRPr="000D6D21">
        <w:rPr>
          <w:sz w:val="24"/>
          <w:szCs w:val="24"/>
        </w:rPr>
        <w:t xml:space="preserve"> with a fatal pending reason code; and (3) a report of signatures challenged as duplicates with all other signatures for the voter, including accepted signatures. </w:t>
      </w:r>
    </w:p>
    <w:p w14:paraId="633D181C" w14:textId="77777777" w:rsidR="00BD40F3" w:rsidRPr="000D6D21" w:rsidRDefault="00F615D7" w:rsidP="000D6D21">
      <w:pPr>
        <w:pStyle w:val="FootnoteText"/>
        <w:spacing w:after="120" w:line="240" w:lineRule="auto"/>
        <w:ind w:firstLine="720"/>
        <w:rPr>
          <w:sz w:val="24"/>
          <w:szCs w:val="24"/>
        </w:rPr>
      </w:pPr>
      <w:r w:rsidRPr="000D6D21">
        <w:rPr>
          <w:sz w:val="24"/>
          <w:szCs w:val="24"/>
        </w:rPr>
        <w:t>As provided in the Registrar’s opposition to the Committee’s ex parte application for prelim</w:t>
      </w:r>
      <w:r w:rsidRPr="000D6D21">
        <w:rPr>
          <w:sz w:val="24"/>
          <w:szCs w:val="24"/>
        </w:rPr>
        <w:t>inary injunction, the term “fatal pending” refers to “voter registrations deemed incomplete or invalid for various reasons.”</w:t>
      </w:r>
    </w:p>
  </w:footnote>
  <w:footnote w:id="5">
    <w:p w14:paraId="633D181D" w14:textId="77777777" w:rsidR="00BD40F3" w:rsidRPr="000D6D21" w:rsidRDefault="00F615D7" w:rsidP="000D6D21">
      <w:pPr>
        <w:pStyle w:val="FootnoteText"/>
        <w:spacing w:after="120" w:line="240" w:lineRule="auto"/>
        <w:rPr>
          <w:sz w:val="24"/>
          <w:szCs w:val="24"/>
        </w:rPr>
      </w:pPr>
      <w:r w:rsidRPr="000D6D21">
        <w:rPr>
          <w:rStyle w:val="FootnoteReference"/>
          <w:sz w:val="24"/>
          <w:szCs w:val="24"/>
        </w:rPr>
        <w:footnoteRef/>
      </w:r>
      <w:r w:rsidRPr="000D6D21">
        <w:rPr>
          <w:sz w:val="24"/>
          <w:szCs w:val="24"/>
        </w:rPr>
        <w:t xml:space="preserve"> </w:t>
      </w:r>
      <w:r w:rsidRPr="000D6D21">
        <w:rPr>
          <w:sz w:val="24"/>
          <w:szCs w:val="24"/>
        </w:rPr>
        <w:tab/>
        <w:t xml:space="preserve">The Registrar did provide a hardcopy list and report of invalided signatures, hardcopy list of signatures invalidated for death </w:t>
      </w:r>
      <w:r w:rsidRPr="000D6D21">
        <w:rPr>
          <w:sz w:val="24"/>
          <w:szCs w:val="24"/>
        </w:rPr>
        <w:t xml:space="preserve">or fatal pending, and a hardcopy report showing when a voter changed or updated an address during the time the petition was circulated. </w:t>
      </w:r>
    </w:p>
  </w:footnote>
  <w:footnote w:id="6">
    <w:p w14:paraId="633D181E" w14:textId="77777777" w:rsidR="00BD40F3" w:rsidRPr="000D6D21" w:rsidRDefault="00F615D7" w:rsidP="000D6D21">
      <w:pPr>
        <w:pStyle w:val="FootnoteText"/>
        <w:spacing w:after="120" w:line="240" w:lineRule="auto"/>
        <w:rPr>
          <w:sz w:val="24"/>
          <w:szCs w:val="24"/>
        </w:rPr>
      </w:pPr>
      <w:r w:rsidRPr="000D6D21">
        <w:rPr>
          <w:rStyle w:val="FootnoteReference"/>
          <w:sz w:val="24"/>
          <w:szCs w:val="24"/>
        </w:rPr>
        <w:footnoteRef/>
      </w:r>
      <w:r w:rsidRPr="000D6D21">
        <w:rPr>
          <w:sz w:val="24"/>
          <w:szCs w:val="24"/>
        </w:rPr>
        <w:t xml:space="preserve"> </w:t>
      </w:r>
      <w:r w:rsidRPr="000D6D21">
        <w:rPr>
          <w:sz w:val="24"/>
          <w:szCs w:val="24"/>
        </w:rPr>
        <w:tab/>
        <w:t xml:space="preserve">Section 7923.000 provides that any person may institute a proceeding for injunctive or declaratory relief, or for a </w:t>
      </w:r>
      <w:r w:rsidRPr="000D6D21">
        <w:rPr>
          <w:sz w:val="24"/>
          <w:szCs w:val="24"/>
        </w:rPr>
        <w:t>writ of mandate, “to enforce that person’s right under [the PRA to</w:t>
      </w:r>
      <w:r w:rsidR="004E170C" w:rsidRPr="000D6D21">
        <w:rPr>
          <w:sz w:val="24"/>
          <w:szCs w:val="24"/>
        </w:rPr>
        <w:t>]</w:t>
      </w:r>
      <w:r w:rsidRPr="000D6D21">
        <w:rPr>
          <w:sz w:val="24"/>
          <w:szCs w:val="24"/>
        </w:rPr>
        <w:t xml:space="preserve"> receive a copy of any public record or class of public records.”  Elections Code section 13314, subdivision (a) permits any elector to file an action seeking a writ of mandate “alleging th</w:t>
      </w:r>
      <w:r w:rsidRPr="000D6D21">
        <w:rPr>
          <w:sz w:val="24"/>
          <w:szCs w:val="24"/>
        </w:rPr>
        <w:t xml:space="preserve">at an error or omission has occurred, . . . or that any neglect of duty has occurred, or is about to occur.”  </w:t>
      </w:r>
    </w:p>
  </w:footnote>
  <w:footnote w:id="7">
    <w:p w14:paraId="633D181F" w14:textId="77777777" w:rsidR="00BD40F3" w:rsidRPr="000D6D21" w:rsidRDefault="00F615D7" w:rsidP="000D6D21">
      <w:pPr>
        <w:pStyle w:val="FootnoteText"/>
        <w:spacing w:after="120" w:line="240" w:lineRule="auto"/>
        <w:rPr>
          <w:sz w:val="24"/>
          <w:szCs w:val="24"/>
        </w:rPr>
      </w:pPr>
      <w:r w:rsidRPr="000D6D21">
        <w:rPr>
          <w:rStyle w:val="FootnoteReference"/>
          <w:sz w:val="24"/>
          <w:szCs w:val="24"/>
        </w:rPr>
        <w:footnoteRef/>
      </w:r>
      <w:r w:rsidR="7B0C4908" w:rsidRPr="000D6D21">
        <w:rPr>
          <w:sz w:val="24"/>
          <w:szCs w:val="24"/>
        </w:rPr>
        <w:t xml:space="preserve"> </w:t>
      </w:r>
      <w:r w:rsidRPr="000D6D21">
        <w:rPr>
          <w:sz w:val="24"/>
          <w:szCs w:val="24"/>
        </w:rPr>
        <w:tab/>
      </w:r>
      <w:r w:rsidR="7B0C4908" w:rsidRPr="000D6D21">
        <w:rPr>
          <w:sz w:val="24"/>
          <w:szCs w:val="24"/>
        </w:rPr>
        <w:t xml:space="preserve">Other records sought by the Committee included: </w:t>
      </w:r>
      <w:r w:rsidR="009D011F">
        <w:rPr>
          <w:sz w:val="24"/>
          <w:szCs w:val="24"/>
        </w:rPr>
        <w:t xml:space="preserve"> </w:t>
      </w:r>
      <w:r w:rsidR="7B0C4908" w:rsidRPr="000D6D21">
        <w:rPr>
          <w:sz w:val="24"/>
          <w:szCs w:val="24"/>
        </w:rPr>
        <w:t xml:space="preserve">all signatures on file for voters whose recall petition signature were rejected as mismatched; an electronic list of voters whose signatures were rejected during the random sample review; all training materials or user manuals for DIMS; all data and information relied on by the Registrar </w:t>
      </w:r>
      <w:r w:rsidR="00584675">
        <w:rPr>
          <w:sz w:val="24"/>
          <w:szCs w:val="24"/>
        </w:rPr>
        <w:t>when</w:t>
      </w:r>
      <w:r w:rsidR="00584675" w:rsidRPr="000D6D21">
        <w:rPr>
          <w:sz w:val="24"/>
          <w:szCs w:val="24"/>
        </w:rPr>
        <w:t xml:space="preserve"> </w:t>
      </w:r>
      <w:r w:rsidR="7B0C4908" w:rsidRPr="000D6D21">
        <w:rPr>
          <w:sz w:val="24"/>
          <w:szCs w:val="24"/>
        </w:rPr>
        <w:t xml:space="preserve">rejecting a petition signature; and for all voters whose signatures were rejected, all voter files and any notations in DIMS appearing in those files. </w:t>
      </w:r>
    </w:p>
  </w:footnote>
  <w:footnote w:id="8">
    <w:p w14:paraId="633D1820" w14:textId="77777777" w:rsidR="00BD40F3" w:rsidRPr="000D6D21" w:rsidRDefault="00F615D7" w:rsidP="000D6D21">
      <w:pPr>
        <w:pStyle w:val="FootnoteText"/>
        <w:spacing w:after="120" w:line="240" w:lineRule="auto"/>
        <w:rPr>
          <w:sz w:val="24"/>
          <w:szCs w:val="24"/>
        </w:rPr>
      </w:pPr>
      <w:r w:rsidRPr="000D6D21">
        <w:rPr>
          <w:rStyle w:val="FootnoteReference"/>
          <w:sz w:val="24"/>
          <w:szCs w:val="24"/>
        </w:rPr>
        <w:footnoteRef/>
      </w:r>
      <w:r w:rsidRPr="000D6D21">
        <w:rPr>
          <w:sz w:val="24"/>
          <w:szCs w:val="24"/>
        </w:rPr>
        <w:t xml:space="preserve"> </w:t>
      </w:r>
      <w:r w:rsidRPr="000D6D21">
        <w:rPr>
          <w:sz w:val="24"/>
          <w:szCs w:val="24"/>
        </w:rPr>
        <w:tab/>
      </w:r>
      <w:r w:rsidR="00970AB1" w:rsidRPr="000D6D21">
        <w:rPr>
          <w:sz w:val="24"/>
          <w:szCs w:val="24"/>
        </w:rPr>
        <w:t xml:space="preserve">The </w:t>
      </w:r>
      <w:r w:rsidRPr="000D6D21">
        <w:rPr>
          <w:sz w:val="24"/>
          <w:szCs w:val="24"/>
        </w:rPr>
        <w:t xml:space="preserve">original ex parte application, filed before the operative petition, did not request disclosure of original affidavits of voter registration.  </w:t>
      </w:r>
      <w:r w:rsidR="00970AB1" w:rsidRPr="000D6D21">
        <w:rPr>
          <w:sz w:val="24"/>
          <w:szCs w:val="24"/>
        </w:rPr>
        <w:t xml:space="preserve">The </w:t>
      </w:r>
      <w:r w:rsidR="00F80B83" w:rsidRPr="000D6D21">
        <w:rPr>
          <w:sz w:val="24"/>
          <w:szCs w:val="24"/>
        </w:rPr>
        <w:t xml:space="preserve">Committee’s </w:t>
      </w:r>
      <w:r w:rsidR="008D210E" w:rsidRPr="000D6D21">
        <w:rPr>
          <w:sz w:val="24"/>
          <w:szCs w:val="24"/>
        </w:rPr>
        <w:t xml:space="preserve">request for disclosure of affidavits of registration appeared in </w:t>
      </w:r>
      <w:r w:rsidR="00F80B83" w:rsidRPr="000D6D21">
        <w:rPr>
          <w:sz w:val="24"/>
          <w:szCs w:val="24"/>
        </w:rPr>
        <w:t xml:space="preserve">a </w:t>
      </w:r>
      <w:r w:rsidR="008D210E" w:rsidRPr="000D6D21">
        <w:rPr>
          <w:sz w:val="24"/>
          <w:szCs w:val="24"/>
        </w:rPr>
        <w:t>subsequent ex parte application</w:t>
      </w:r>
      <w:r w:rsidR="00F80B83" w:rsidRPr="000D6D21">
        <w:rPr>
          <w:sz w:val="24"/>
          <w:szCs w:val="24"/>
        </w:rPr>
        <w:t>, which</w:t>
      </w:r>
      <w:r w:rsidR="008D210E" w:rsidRPr="000D6D21">
        <w:rPr>
          <w:sz w:val="24"/>
          <w:szCs w:val="24"/>
        </w:rPr>
        <w:t xml:space="preserve"> was </w:t>
      </w:r>
      <w:r w:rsidR="00970AB1" w:rsidRPr="000D6D21">
        <w:rPr>
          <w:sz w:val="24"/>
          <w:szCs w:val="24"/>
        </w:rPr>
        <w:t xml:space="preserve">not considered by the court. </w:t>
      </w:r>
    </w:p>
  </w:footnote>
  <w:footnote w:id="9">
    <w:p w14:paraId="633D1821" w14:textId="77777777" w:rsidR="00F80B83" w:rsidRPr="000D6D21" w:rsidRDefault="00F615D7" w:rsidP="000D6D21">
      <w:pPr>
        <w:pStyle w:val="FootnoteText"/>
        <w:spacing w:after="120" w:line="240" w:lineRule="auto"/>
        <w:rPr>
          <w:sz w:val="24"/>
          <w:szCs w:val="24"/>
        </w:rPr>
      </w:pPr>
      <w:r w:rsidRPr="000D6D21">
        <w:rPr>
          <w:rStyle w:val="FootnoteReference"/>
          <w:sz w:val="24"/>
          <w:szCs w:val="24"/>
        </w:rPr>
        <w:footnoteRef/>
      </w:r>
      <w:r w:rsidRPr="000D6D21">
        <w:rPr>
          <w:sz w:val="24"/>
          <w:szCs w:val="24"/>
        </w:rPr>
        <w:t xml:space="preserve"> </w:t>
      </w:r>
      <w:r w:rsidRPr="000D6D21">
        <w:rPr>
          <w:sz w:val="24"/>
          <w:szCs w:val="24"/>
        </w:rPr>
        <w:tab/>
        <w:t xml:space="preserve">The court also </w:t>
      </w:r>
      <w:r w:rsidR="00584675">
        <w:rPr>
          <w:sz w:val="24"/>
          <w:szCs w:val="24"/>
        </w:rPr>
        <w:t>declined to order</w:t>
      </w:r>
      <w:r w:rsidR="00584675" w:rsidRPr="000D6D21">
        <w:rPr>
          <w:sz w:val="24"/>
          <w:szCs w:val="24"/>
        </w:rPr>
        <w:t xml:space="preserve"> </w:t>
      </w:r>
      <w:r w:rsidRPr="000D6D21">
        <w:rPr>
          <w:sz w:val="24"/>
          <w:szCs w:val="24"/>
        </w:rPr>
        <w:t xml:space="preserve">the Registrar to generate and disclose a list of validated signatures. </w:t>
      </w:r>
    </w:p>
  </w:footnote>
  <w:footnote w:id="10">
    <w:p w14:paraId="633D1822" w14:textId="77777777" w:rsidR="00BD40F3" w:rsidRPr="000D6D21" w:rsidRDefault="00F615D7" w:rsidP="000D6D21">
      <w:pPr>
        <w:pStyle w:val="FootnoteText"/>
        <w:spacing w:after="120" w:line="240" w:lineRule="auto"/>
        <w:rPr>
          <w:sz w:val="24"/>
          <w:szCs w:val="24"/>
        </w:rPr>
      </w:pPr>
      <w:r w:rsidRPr="000D6D21">
        <w:rPr>
          <w:rStyle w:val="FootnoteReference"/>
          <w:sz w:val="24"/>
          <w:szCs w:val="24"/>
        </w:rPr>
        <w:footnoteRef/>
      </w:r>
      <w:r w:rsidRPr="000D6D21">
        <w:rPr>
          <w:sz w:val="24"/>
          <w:szCs w:val="24"/>
        </w:rPr>
        <w:t xml:space="preserve"> </w:t>
      </w:r>
      <w:r w:rsidRPr="000D6D21">
        <w:rPr>
          <w:sz w:val="24"/>
          <w:szCs w:val="24"/>
        </w:rPr>
        <w:tab/>
        <w:t>The Registrar also updated the court on its compliance.  As of the date of its ex parte application, the Registrar had expanded workstations and signature review terminals; allowed more Committee representatives to examine the petition; disclosed date of</w:t>
      </w:r>
      <w:r w:rsidRPr="000D6D21">
        <w:rPr>
          <w:sz w:val="24"/>
          <w:szCs w:val="24"/>
        </w:rPr>
        <w:t xml:space="preserve"> birth information, the random sample list, and a list of voter notification cards sent the prior two years; created </w:t>
      </w:r>
      <w:r w:rsidR="009E0129" w:rsidRPr="000D6D21">
        <w:rPr>
          <w:sz w:val="24"/>
          <w:szCs w:val="24"/>
        </w:rPr>
        <w:t xml:space="preserve">a </w:t>
      </w:r>
      <w:r w:rsidRPr="000D6D21">
        <w:rPr>
          <w:sz w:val="24"/>
          <w:szCs w:val="24"/>
        </w:rPr>
        <w:t>list of valid signatures; placed all electronic lists on USB drives accessible in the examination room; and permitted use of electronic d</w:t>
      </w:r>
      <w:r w:rsidRPr="000D6D21">
        <w:rPr>
          <w:sz w:val="24"/>
          <w:szCs w:val="24"/>
        </w:rPr>
        <w:t xml:space="preserve">evices inside the examination room under certain conditions. </w:t>
      </w:r>
    </w:p>
  </w:footnote>
  <w:footnote w:id="11">
    <w:p w14:paraId="633D1823" w14:textId="77777777" w:rsidR="00BD40F3" w:rsidRPr="000D6D21" w:rsidRDefault="00F615D7" w:rsidP="000D6D21">
      <w:pPr>
        <w:pStyle w:val="FootnoteText"/>
        <w:spacing w:after="120" w:line="240" w:lineRule="auto"/>
        <w:rPr>
          <w:sz w:val="24"/>
          <w:szCs w:val="24"/>
        </w:rPr>
      </w:pPr>
      <w:r w:rsidRPr="000D6D21">
        <w:rPr>
          <w:rStyle w:val="FootnoteReference"/>
          <w:sz w:val="24"/>
          <w:szCs w:val="24"/>
        </w:rPr>
        <w:footnoteRef/>
      </w:r>
      <w:r w:rsidRPr="000D6D21">
        <w:rPr>
          <w:sz w:val="24"/>
          <w:szCs w:val="24"/>
        </w:rPr>
        <w:t xml:space="preserve"> </w:t>
      </w:r>
      <w:r w:rsidRPr="000D6D21">
        <w:rPr>
          <w:sz w:val="24"/>
          <w:szCs w:val="24"/>
        </w:rPr>
        <w:tab/>
        <w:t xml:space="preserve">A “petition” is defined as “any petition to which a registered voter has affixed the voter’s own signature.”  (§ 7924.100.)  A “proponent of the petition” includes any “person or persons who </w:t>
      </w:r>
      <w:r w:rsidRPr="000D6D21">
        <w:rPr>
          <w:sz w:val="24"/>
          <w:szCs w:val="24"/>
        </w:rPr>
        <w:t xml:space="preserve">have charge or control of the circulation </w:t>
      </w:r>
      <w:proofErr w:type="gramStart"/>
      <w:r w:rsidRPr="000D6D21">
        <w:rPr>
          <w:sz w:val="24"/>
          <w:szCs w:val="24"/>
        </w:rPr>
        <w:t>of, or</w:t>
      </w:r>
      <w:proofErr w:type="gramEnd"/>
      <w:r w:rsidRPr="000D6D21">
        <w:rPr>
          <w:sz w:val="24"/>
          <w:szCs w:val="24"/>
        </w:rPr>
        <w:t xml:space="preserve"> obtaining signatures” to </w:t>
      </w:r>
      <w:r w:rsidR="005D3F25">
        <w:rPr>
          <w:sz w:val="24"/>
          <w:szCs w:val="24"/>
        </w:rPr>
        <w:t xml:space="preserve">any </w:t>
      </w:r>
      <w:r w:rsidRPr="000D6D21">
        <w:rPr>
          <w:sz w:val="24"/>
          <w:szCs w:val="24"/>
        </w:rPr>
        <w:t xml:space="preserve">recall petition.  (§ 7924.105, subd. (c); see Elec. Code, § 343.)  </w:t>
      </w:r>
    </w:p>
  </w:footnote>
  <w:footnote w:id="12">
    <w:p w14:paraId="633D1824" w14:textId="77777777" w:rsidR="00BD40F3" w:rsidRPr="000D6D21" w:rsidRDefault="00F615D7" w:rsidP="000D6D21">
      <w:pPr>
        <w:pStyle w:val="FootnoteText"/>
        <w:spacing w:after="120" w:line="240" w:lineRule="auto"/>
        <w:rPr>
          <w:color w:val="000000"/>
          <w:sz w:val="24"/>
          <w:szCs w:val="24"/>
        </w:rPr>
      </w:pPr>
      <w:r w:rsidRPr="000D6D21">
        <w:rPr>
          <w:rStyle w:val="FootnoteReference"/>
          <w:sz w:val="24"/>
          <w:szCs w:val="24"/>
        </w:rPr>
        <w:footnoteRef/>
      </w:r>
      <w:r w:rsidRPr="000D6D21">
        <w:rPr>
          <w:sz w:val="24"/>
          <w:szCs w:val="24"/>
        </w:rPr>
        <w:t xml:space="preserve"> </w:t>
      </w:r>
      <w:r w:rsidRPr="000D6D21">
        <w:rPr>
          <w:sz w:val="24"/>
          <w:szCs w:val="24"/>
        </w:rPr>
        <w:tab/>
        <w:t>Section 7923.500 was enacted by legislation sponsored by the California Newspaper Publishers’ Association “</w:t>
      </w:r>
      <w:r w:rsidRPr="000D6D21">
        <w:rPr>
          <w:sz w:val="24"/>
          <w:szCs w:val="24"/>
        </w:rPr>
        <w:t>to remedy a problem which arises when public agencies attempt to withhold information from the public.”  (</w:t>
      </w:r>
      <w:r w:rsidRPr="000D6D21">
        <w:rPr>
          <w:color w:val="000000"/>
          <w:sz w:val="24"/>
          <w:szCs w:val="24"/>
        </w:rPr>
        <w:t xml:space="preserve">Sen. Com. on Judiciary, Analysis of Sen. Bill No. 2222, </w:t>
      </w:r>
      <w:r w:rsidRPr="000D6D21">
        <w:rPr>
          <w:i/>
          <w:iCs/>
          <w:color w:val="000000"/>
          <w:sz w:val="24"/>
          <w:szCs w:val="24"/>
        </w:rPr>
        <w:t>supra</w:t>
      </w:r>
      <w:r w:rsidRPr="000D6D21">
        <w:rPr>
          <w:color w:val="000000"/>
          <w:sz w:val="24"/>
          <w:szCs w:val="24"/>
        </w:rPr>
        <w:t xml:space="preserve">, at p. 2; Assem. Com. on Judiciary, Worksheet on Sen. Bill No. 2222, </w:t>
      </w:r>
      <w:r w:rsidRPr="000D6D21">
        <w:rPr>
          <w:i/>
          <w:iCs/>
          <w:color w:val="000000"/>
          <w:sz w:val="24"/>
          <w:szCs w:val="24"/>
        </w:rPr>
        <w:t>supra</w:t>
      </w:r>
      <w:r w:rsidRPr="000D6D21">
        <w:rPr>
          <w:color w:val="000000"/>
          <w:sz w:val="24"/>
          <w:szCs w:val="24"/>
        </w:rPr>
        <w:t>, at p. 2 [“ac</w:t>
      </w:r>
      <w:r w:rsidRPr="000D6D21">
        <w:rPr>
          <w:color w:val="000000"/>
          <w:sz w:val="24"/>
          <w:szCs w:val="24"/>
        </w:rPr>
        <w:t xml:space="preserve">cess delayed is access denied”].) </w:t>
      </w:r>
    </w:p>
    <w:p w14:paraId="633D1825" w14:textId="77777777" w:rsidR="00BD40F3" w:rsidRPr="000D6D21" w:rsidRDefault="00F615D7" w:rsidP="000D6D21">
      <w:pPr>
        <w:pStyle w:val="FootnoteText"/>
        <w:spacing w:after="120" w:line="240" w:lineRule="auto"/>
        <w:ind w:firstLine="720"/>
        <w:rPr>
          <w:sz w:val="24"/>
          <w:szCs w:val="24"/>
        </w:rPr>
      </w:pPr>
      <w:r w:rsidRPr="000D6D21">
        <w:rPr>
          <w:color w:val="000000"/>
          <w:sz w:val="24"/>
          <w:szCs w:val="24"/>
        </w:rPr>
        <w:t xml:space="preserve">In 1991, the Legislature amended section 7923.500 to clarify that orders under the PRA “shall be immediately reviewable by petition to the appellate court for issuance of an extraordinary writ.”  (Stats. 1990, </w:t>
      </w:r>
      <w:proofErr w:type="spellStart"/>
      <w:r w:rsidRPr="000D6D21">
        <w:rPr>
          <w:color w:val="000000"/>
          <w:sz w:val="24"/>
          <w:szCs w:val="24"/>
        </w:rPr>
        <w:t>ch.</w:t>
      </w:r>
      <w:proofErr w:type="spellEnd"/>
      <w:r w:rsidRPr="000D6D21">
        <w:rPr>
          <w:color w:val="000000"/>
          <w:sz w:val="24"/>
          <w:szCs w:val="24"/>
        </w:rPr>
        <w:t xml:space="preserve"> 908, § </w:t>
      </w:r>
      <w:r w:rsidRPr="000D6D21">
        <w:rPr>
          <w:color w:val="000000"/>
          <w:sz w:val="24"/>
          <w:szCs w:val="24"/>
        </w:rPr>
        <w:t>2.)  “While an appeal is a matter of right in most types of cases, statutes which create litigable rights, may also limit the right to appeal.  Such is the case with the [PRA].”  (Sen Com. on Judiciary, Analysis of Sen. Bill No. 2272 (1989</w:t>
      </w:r>
      <w:r w:rsidRPr="000D6D21">
        <w:rPr>
          <w:color w:val="000000"/>
          <w:sz w:val="24"/>
          <w:szCs w:val="24"/>
        </w:rPr>
        <w:noBreakHyphen/>
        <w:t>1990 Reg. Sess.)</w:t>
      </w:r>
      <w:r w:rsidRPr="000D6D21">
        <w:rPr>
          <w:color w:val="000000"/>
          <w:sz w:val="24"/>
          <w:szCs w:val="24"/>
        </w:rPr>
        <w:t xml:space="preserve">, as introduced, p. 3.) </w:t>
      </w:r>
    </w:p>
  </w:footnote>
  <w:footnote w:id="13">
    <w:p w14:paraId="633D1826" w14:textId="77777777" w:rsidR="00BE6125" w:rsidRPr="000D6D21" w:rsidRDefault="00F615D7" w:rsidP="000D6D21">
      <w:pPr>
        <w:pStyle w:val="FootnoteText"/>
        <w:spacing w:after="120" w:line="240" w:lineRule="auto"/>
        <w:rPr>
          <w:sz w:val="24"/>
          <w:szCs w:val="24"/>
        </w:rPr>
      </w:pPr>
      <w:r w:rsidRPr="000D6D21">
        <w:rPr>
          <w:rStyle w:val="FootnoteReference"/>
          <w:sz w:val="24"/>
          <w:szCs w:val="24"/>
        </w:rPr>
        <w:footnoteRef/>
      </w:r>
      <w:r w:rsidR="7B0C4908" w:rsidRPr="000D6D21">
        <w:rPr>
          <w:sz w:val="24"/>
          <w:szCs w:val="24"/>
        </w:rPr>
        <w:t xml:space="preserve"> </w:t>
      </w:r>
      <w:r w:rsidRPr="000D6D21">
        <w:rPr>
          <w:sz w:val="24"/>
          <w:szCs w:val="24"/>
        </w:rPr>
        <w:tab/>
      </w:r>
      <w:r w:rsidR="00CF06F2" w:rsidRPr="000D6D21">
        <w:rPr>
          <w:sz w:val="24"/>
          <w:szCs w:val="24"/>
        </w:rPr>
        <w:t xml:space="preserve">We previously granted applications by the </w:t>
      </w:r>
      <w:r w:rsidR="7B0C4908" w:rsidRPr="000D6D21">
        <w:rPr>
          <w:sz w:val="24"/>
          <w:szCs w:val="24"/>
        </w:rPr>
        <w:t>Secretary of State and California Association of Clerks and Elections Officials to submit amicus curiae briefs in support of the Registrar</w:t>
      </w:r>
      <w:r w:rsidR="00EA6073" w:rsidRPr="000D6D21">
        <w:rPr>
          <w:sz w:val="24"/>
          <w:szCs w:val="24"/>
        </w:rPr>
        <w:t xml:space="preserve">.  We also granted </w:t>
      </w:r>
      <w:r w:rsidR="00B67E28" w:rsidRPr="000D6D21">
        <w:rPr>
          <w:sz w:val="24"/>
          <w:szCs w:val="24"/>
        </w:rPr>
        <w:t xml:space="preserve">the Committee’s </w:t>
      </w:r>
      <w:r w:rsidR="00EA6073" w:rsidRPr="000D6D21">
        <w:rPr>
          <w:sz w:val="24"/>
          <w:szCs w:val="24"/>
        </w:rPr>
        <w:t xml:space="preserve">application to file a </w:t>
      </w:r>
      <w:proofErr w:type="gramStart"/>
      <w:r w:rsidR="00EA6073" w:rsidRPr="000D6D21">
        <w:rPr>
          <w:sz w:val="24"/>
          <w:szCs w:val="24"/>
        </w:rPr>
        <w:t>response</w:t>
      </w:r>
      <w:proofErr w:type="gramEnd"/>
    </w:p>
    <w:p w14:paraId="633D1827" w14:textId="77777777" w:rsidR="0091728A" w:rsidRPr="000D6D21" w:rsidRDefault="00F615D7" w:rsidP="000D6D21">
      <w:pPr>
        <w:pStyle w:val="FootnoteText"/>
        <w:spacing w:after="120" w:line="240" w:lineRule="auto"/>
        <w:ind w:firstLine="720"/>
        <w:rPr>
          <w:sz w:val="24"/>
          <w:szCs w:val="24"/>
        </w:rPr>
      </w:pPr>
      <w:r w:rsidRPr="000D6D21">
        <w:rPr>
          <w:sz w:val="24"/>
          <w:szCs w:val="24"/>
        </w:rPr>
        <w:t>The amicus briefs argue that the trial court’s interpretation of section 7924.110 “threatens to impede elections officials’ ability to carry out [their official] duties and thus to carry out elections.”  According to the Association, this</w:t>
      </w:r>
      <w:r w:rsidRPr="000D6D21">
        <w:rPr>
          <w:sz w:val="24"/>
          <w:szCs w:val="24"/>
        </w:rPr>
        <w:t xml:space="preserve"> interference would cause a “potential chilling effect” on “the millions of California voters who engage in the democratic process by signing petitions,” and would interfere with the people’s right of privacy to voter information. </w:t>
      </w:r>
    </w:p>
    <w:p w14:paraId="633D1828" w14:textId="77777777" w:rsidR="003A4E38" w:rsidRPr="000D6D21" w:rsidRDefault="00F615D7" w:rsidP="000D6D21">
      <w:pPr>
        <w:pStyle w:val="FootnoteText"/>
        <w:spacing w:after="120" w:line="240" w:lineRule="auto"/>
        <w:ind w:firstLine="720"/>
        <w:rPr>
          <w:sz w:val="24"/>
          <w:szCs w:val="24"/>
        </w:rPr>
      </w:pPr>
      <w:r w:rsidRPr="000D6D21">
        <w:rPr>
          <w:sz w:val="24"/>
          <w:szCs w:val="24"/>
        </w:rPr>
        <w:t>T</w:t>
      </w:r>
      <w:r w:rsidR="00695F05" w:rsidRPr="000D6D21">
        <w:rPr>
          <w:sz w:val="24"/>
          <w:szCs w:val="24"/>
        </w:rPr>
        <w:t>he</w:t>
      </w:r>
      <w:r w:rsidRPr="000D6D21">
        <w:rPr>
          <w:sz w:val="24"/>
          <w:szCs w:val="24"/>
        </w:rPr>
        <w:t xml:space="preserve"> Committee</w:t>
      </w:r>
      <w:r w:rsidR="00C47365" w:rsidRPr="000D6D21">
        <w:rPr>
          <w:sz w:val="24"/>
          <w:szCs w:val="24"/>
        </w:rPr>
        <w:t xml:space="preserve"> </w:t>
      </w:r>
      <w:r w:rsidR="00423C84" w:rsidRPr="000D6D21">
        <w:rPr>
          <w:sz w:val="24"/>
          <w:szCs w:val="24"/>
        </w:rPr>
        <w:t>disputes the</w:t>
      </w:r>
      <w:r w:rsidR="00695F05" w:rsidRPr="000D6D21">
        <w:rPr>
          <w:sz w:val="24"/>
          <w:szCs w:val="24"/>
        </w:rPr>
        <w:t>se</w:t>
      </w:r>
      <w:r w:rsidR="00423C84" w:rsidRPr="000D6D21">
        <w:rPr>
          <w:sz w:val="24"/>
          <w:szCs w:val="24"/>
        </w:rPr>
        <w:t xml:space="preserve"> arguments, characterizing each as “</w:t>
      </w:r>
      <w:proofErr w:type="spellStart"/>
      <w:r w:rsidR="00423C84" w:rsidRPr="000D6D21">
        <w:rPr>
          <w:sz w:val="24"/>
          <w:szCs w:val="24"/>
        </w:rPr>
        <w:t>leav</w:t>
      </w:r>
      <w:proofErr w:type="spellEnd"/>
      <w:r w:rsidR="00423C84" w:rsidRPr="000D6D21">
        <w:rPr>
          <w:sz w:val="24"/>
          <w:szCs w:val="24"/>
        </w:rPr>
        <w:t>[</w:t>
      </w:r>
      <w:proofErr w:type="spellStart"/>
      <w:r w:rsidR="00423C84" w:rsidRPr="000D6D21">
        <w:rPr>
          <w:sz w:val="24"/>
          <w:szCs w:val="24"/>
        </w:rPr>
        <w:t>ing</w:t>
      </w:r>
      <w:proofErr w:type="spellEnd"/>
      <w:r w:rsidR="00423C84" w:rsidRPr="000D6D21">
        <w:rPr>
          <w:sz w:val="24"/>
          <w:szCs w:val="24"/>
        </w:rPr>
        <w:t>] the petition examination process toothles</w:t>
      </w:r>
      <w:r w:rsidR="00F25555" w:rsidRPr="000D6D21">
        <w:rPr>
          <w:sz w:val="24"/>
          <w:szCs w:val="24"/>
        </w:rPr>
        <w:t>s</w:t>
      </w:r>
      <w:r w:rsidR="00423C84" w:rsidRPr="000D6D21">
        <w:rPr>
          <w:sz w:val="24"/>
          <w:szCs w:val="24"/>
        </w:rPr>
        <w:t xml:space="preserve"> and subject to the </w:t>
      </w:r>
      <w:r w:rsidR="00F25555" w:rsidRPr="000D6D21">
        <w:rPr>
          <w:sz w:val="24"/>
          <w:szCs w:val="24"/>
        </w:rPr>
        <w:t>whim</w:t>
      </w:r>
      <w:r w:rsidR="00423C84" w:rsidRPr="000D6D21">
        <w:rPr>
          <w:sz w:val="24"/>
          <w:szCs w:val="24"/>
        </w:rPr>
        <w:t xml:space="preserve"> of the Executive branch</w:t>
      </w:r>
      <w:r w:rsidR="00DA13B9" w:rsidRPr="000D6D21">
        <w:rPr>
          <w:sz w:val="24"/>
          <w:szCs w:val="24"/>
        </w:rPr>
        <w:t>.</w:t>
      </w:r>
      <w:r w:rsidR="00F25555" w:rsidRPr="000D6D21">
        <w:rPr>
          <w:sz w:val="24"/>
          <w:szCs w:val="24"/>
        </w:rPr>
        <w:t>”</w:t>
      </w:r>
    </w:p>
  </w:footnote>
  <w:footnote w:id="14">
    <w:p w14:paraId="633D1829" w14:textId="77777777" w:rsidR="00BD40F3" w:rsidRPr="000D6D21" w:rsidRDefault="00F615D7" w:rsidP="000D6D21">
      <w:pPr>
        <w:pStyle w:val="FootnoteText"/>
        <w:spacing w:after="120" w:line="240" w:lineRule="auto"/>
        <w:rPr>
          <w:sz w:val="24"/>
          <w:szCs w:val="24"/>
        </w:rPr>
      </w:pPr>
      <w:r w:rsidRPr="000D6D21">
        <w:rPr>
          <w:rStyle w:val="FootnoteReference"/>
          <w:sz w:val="24"/>
          <w:szCs w:val="24"/>
        </w:rPr>
        <w:footnoteRef/>
      </w:r>
      <w:r w:rsidR="7B0C4908" w:rsidRPr="000D6D21">
        <w:rPr>
          <w:sz w:val="24"/>
          <w:szCs w:val="24"/>
        </w:rPr>
        <w:t xml:space="preserve"> </w:t>
      </w:r>
      <w:r w:rsidRPr="000D6D21">
        <w:rPr>
          <w:sz w:val="24"/>
          <w:szCs w:val="24"/>
        </w:rPr>
        <w:tab/>
      </w:r>
      <w:r w:rsidR="7B0C4908" w:rsidRPr="000D6D21">
        <w:rPr>
          <w:sz w:val="24"/>
          <w:szCs w:val="24"/>
        </w:rPr>
        <w:t xml:space="preserve">Based on our own research, it appears that some appellate courts have excused untimely notices of appeal by construing them as writs of mandate.  But in those cases, the courts excused </w:t>
      </w:r>
      <w:r w:rsidR="00CB6EAC">
        <w:rPr>
          <w:sz w:val="24"/>
          <w:szCs w:val="24"/>
        </w:rPr>
        <w:t xml:space="preserve">the </w:t>
      </w:r>
      <w:r w:rsidR="7B0C4908" w:rsidRPr="000D6D21">
        <w:rPr>
          <w:sz w:val="24"/>
          <w:szCs w:val="24"/>
        </w:rPr>
        <w:t xml:space="preserve">delayed filings to relieve the appellants from detrimentally relying on prior caselaw causing their delay.  (See </w:t>
      </w:r>
      <w:r w:rsidR="7B0C4908" w:rsidRPr="007B2481">
        <w:rPr>
          <w:i/>
          <w:iCs/>
          <w:sz w:val="24"/>
          <w:szCs w:val="24"/>
        </w:rPr>
        <w:t>Phelan</w:t>
      </w:r>
      <w:r w:rsidR="7B0C4908" w:rsidRPr="000D6D21">
        <w:rPr>
          <w:i/>
          <w:iCs/>
          <w:sz w:val="24"/>
          <w:szCs w:val="24"/>
        </w:rPr>
        <w:t xml:space="preserve"> v. Superior Court</w:t>
      </w:r>
      <w:r w:rsidR="7B0C4908" w:rsidRPr="000D6D21">
        <w:rPr>
          <w:sz w:val="24"/>
          <w:szCs w:val="24"/>
        </w:rPr>
        <w:t xml:space="preserve"> (1950) 35 Cal.2d 363, 371; </w:t>
      </w:r>
      <w:r w:rsidR="7B0C4908" w:rsidRPr="007B2481">
        <w:rPr>
          <w:i/>
          <w:iCs/>
          <w:sz w:val="24"/>
          <w:szCs w:val="24"/>
        </w:rPr>
        <w:t>Drum</w:t>
      </w:r>
      <w:r w:rsidR="7B0C4908" w:rsidRPr="000D6D21">
        <w:rPr>
          <w:i/>
          <w:iCs/>
          <w:sz w:val="24"/>
          <w:szCs w:val="24"/>
        </w:rPr>
        <w:t xml:space="preserve"> v. Superior Court </w:t>
      </w:r>
      <w:r w:rsidR="7B0C4908" w:rsidRPr="000D6D21">
        <w:rPr>
          <w:sz w:val="24"/>
          <w:szCs w:val="24"/>
        </w:rPr>
        <w:t xml:space="preserve">(2006) 139 Cal.App.4th 845, 853; see also </w:t>
      </w:r>
      <w:r w:rsidR="7B0C4908" w:rsidRPr="000D6D21">
        <w:rPr>
          <w:i/>
          <w:iCs/>
          <w:sz w:val="24"/>
          <w:szCs w:val="24"/>
        </w:rPr>
        <w:t xml:space="preserve">In re </w:t>
      </w:r>
      <w:proofErr w:type="spellStart"/>
      <w:r w:rsidR="7B0C4908" w:rsidRPr="007B2481">
        <w:rPr>
          <w:i/>
          <w:iCs/>
          <w:sz w:val="24"/>
          <w:szCs w:val="24"/>
        </w:rPr>
        <w:t>Meranda</w:t>
      </w:r>
      <w:proofErr w:type="spellEnd"/>
      <w:r w:rsidR="7B0C4908" w:rsidRPr="000D6D21">
        <w:rPr>
          <w:i/>
          <w:iCs/>
          <w:sz w:val="24"/>
          <w:szCs w:val="24"/>
        </w:rPr>
        <w:t xml:space="preserve"> P.</w:t>
      </w:r>
      <w:r w:rsidR="7B0C4908" w:rsidRPr="000D6D21">
        <w:rPr>
          <w:sz w:val="24"/>
          <w:szCs w:val="24"/>
        </w:rPr>
        <w:t xml:space="preserve"> (1997) 56 Cal.App.4th 1143, 1164</w:t>
      </w:r>
      <w:r w:rsidR="00384560" w:rsidRPr="000D6D21">
        <w:rPr>
          <w:sz w:val="24"/>
          <w:szCs w:val="24"/>
        </w:rPr>
        <w:noBreakHyphen/>
      </w:r>
      <w:r w:rsidR="7B0C4908" w:rsidRPr="000D6D21">
        <w:rPr>
          <w:sz w:val="24"/>
          <w:szCs w:val="24"/>
        </w:rPr>
        <w:t>1165 [refusing to apply this principle</w:t>
      </w:r>
      <w:r w:rsidR="00CB6EAC">
        <w:rPr>
          <w:sz w:val="24"/>
          <w:szCs w:val="24"/>
        </w:rPr>
        <w:t xml:space="preserve"> in civil appeals</w:t>
      </w:r>
      <w:r w:rsidR="7B0C4908" w:rsidRPr="000D6D21">
        <w:rPr>
          <w:sz w:val="24"/>
          <w:szCs w:val="24"/>
        </w:rPr>
        <w:t xml:space="preserve">, </w:t>
      </w:r>
      <w:r w:rsidR="00CB6EAC">
        <w:rPr>
          <w:sz w:val="24"/>
          <w:szCs w:val="24"/>
        </w:rPr>
        <w:t xml:space="preserve">as it </w:t>
      </w:r>
      <w:r w:rsidR="7B0C4908" w:rsidRPr="000D6D21">
        <w:rPr>
          <w:sz w:val="24"/>
          <w:szCs w:val="24"/>
        </w:rPr>
        <w:t xml:space="preserve">“prevails only in criminal actions”].)  The Registrar has not </w:t>
      </w:r>
      <w:r w:rsidR="00CB6EAC">
        <w:rPr>
          <w:sz w:val="24"/>
          <w:szCs w:val="24"/>
        </w:rPr>
        <w:t xml:space="preserve">alleged </w:t>
      </w:r>
      <w:r w:rsidR="7B0C4908" w:rsidRPr="000D6D21">
        <w:rPr>
          <w:sz w:val="24"/>
          <w:szCs w:val="24"/>
        </w:rPr>
        <w:t xml:space="preserve">that it relied on prior caselaw to delay filing its notice of appeal.  </w:t>
      </w:r>
    </w:p>
  </w:footnote>
  <w:footnote w:id="15">
    <w:p w14:paraId="633D182A" w14:textId="77777777" w:rsidR="00BD40F3" w:rsidRPr="000D6D21" w:rsidRDefault="00F615D7" w:rsidP="000D6D21">
      <w:pPr>
        <w:pStyle w:val="FootnoteText"/>
        <w:spacing w:after="120" w:line="240" w:lineRule="auto"/>
        <w:rPr>
          <w:sz w:val="24"/>
          <w:szCs w:val="24"/>
        </w:rPr>
      </w:pPr>
      <w:r w:rsidRPr="000D6D21">
        <w:rPr>
          <w:rStyle w:val="FootnoteReference"/>
          <w:sz w:val="24"/>
          <w:szCs w:val="24"/>
        </w:rPr>
        <w:footnoteRef/>
      </w:r>
      <w:r w:rsidR="7B0C4908" w:rsidRPr="000D6D21">
        <w:rPr>
          <w:sz w:val="24"/>
          <w:szCs w:val="24"/>
        </w:rPr>
        <w:t xml:space="preserve"> </w:t>
      </w:r>
      <w:r w:rsidRPr="000D6D21">
        <w:rPr>
          <w:sz w:val="24"/>
          <w:szCs w:val="24"/>
        </w:rPr>
        <w:tab/>
      </w:r>
      <w:r w:rsidR="7B0C4908" w:rsidRPr="000D6D21">
        <w:rPr>
          <w:sz w:val="24"/>
          <w:szCs w:val="24"/>
        </w:rPr>
        <w:t xml:space="preserve">The Committee has filed a motion to augment the record to include a reporter’s transcript of a hearing on February 14, 2023, in which the trial court denied the Registrar’s motion objecting to the sufficiency of bond.  (Cal. Rules of Court, </w:t>
      </w:r>
      <w:r w:rsidR="00E71945" w:rsidRPr="000D6D21">
        <w:rPr>
          <w:sz w:val="24"/>
          <w:szCs w:val="24"/>
        </w:rPr>
        <w:t>r</w:t>
      </w:r>
      <w:r w:rsidR="7B0C4908" w:rsidRPr="000D6D21">
        <w:rPr>
          <w:sz w:val="24"/>
          <w:szCs w:val="24"/>
        </w:rPr>
        <w:t xml:space="preserve">ule 8.155(a)(1).)  We deny the motion. </w:t>
      </w:r>
    </w:p>
  </w:footnote>
  <w:footnote w:id="16">
    <w:p w14:paraId="633D182B" w14:textId="77777777" w:rsidR="00BD40F3" w:rsidRPr="000D6D21" w:rsidRDefault="00F615D7" w:rsidP="000D6D21">
      <w:pPr>
        <w:pStyle w:val="FootnoteText"/>
        <w:spacing w:after="120" w:line="240" w:lineRule="auto"/>
        <w:rPr>
          <w:sz w:val="24"/>
          <w:szCs w:val="24"/>
        </w:rPr>
      </w:pPr>
      <w:r w:rsidRPr="000D6D21">
        <w:rPr>
          <w:rStyle w:val="FootnoteReference"/>
          <w:sz w:val="24"/>
          <w:szCs w:val="24"/>
        </w:rPr>
        <w:footnoteRef/>
      </w:r>
      <w:r w:rsidR="7B0C4908" w:rsidRPr="000D6D21">
        <w:rPr>
          <w:sz w:val="24"/>
          <w:szCs w:val="24"/>
        </w:rPr>
        <w:t xml:space="preserve"> </w:t>
      </w:r>
      <w:r w:rsidRPr="000D6D21">
        <w:rPr>
          <w:sz w:val="24"/>
          <w:szCs w:val="24"/>
        </w:rPr>
        <w:tab/>
      </w:r>
      <w:r w:rsidR="7B0C4908" w:rsidRPr="000D6D21">
        <w:rPr>
          <w:sz w:val="24"/>
          <w:szCs w:val="24"/>
        </w:rPr>
        <w:t>Without providing a citation to the record, the Registrar contends it “first raised [the bond issue] at the hearing” on December 5, 2022.  We disagree.  The only reference made by the Registrar to a bond amount was in response to the court’s suggestion that it hire more workers to expedite the Committee’s examination.  The Registrar responded, “Well, I guess we can talk about that in terms of the bond, your honor.  But we’re talking about . . . significant problems hiring people and just getting those positions filled.”  This response did not properly raise the issue of bond amount at the hearing.</w:t>
      </w:r>
    </w:p>
  </w:footnote>
  <w:footnote w:id="17">
    <w:p w14:paraId="633D182C" w14:textId="77777777" w:rsidR="00224DBB" w:rsidRPr="000D6D21" w:rsidRDefault="00F615D7" w:rsidP="000D6D21">
      <w:pPr>
        <w:pStyle w:val="FootnoteText"/>
        <w:spacing w:after="120" w:line="240" w:lineRule="auto"/>
        <w:rPr>
          <w:sz w:val="24"/>
          <w:szCs w:val="24"/>
        </w:rPr>
      </w:pPr>
      <w:r w:rsidRPr="000D6D21">
        <w:rPr>
          <w:rStyle w:val="FootnoteReference"/>
          <w:sz w:val="24"/>
          <w:szCs w:val="24"/>
        </w:rPr>
        <w:footnoteRef/>
      </w:r>
      <w:r w:rsidRPr="000D6D21">
        <w:rPr>
          <w:sz w:val="24"/>
          <w:szCs w:val="24"/>
        </w:rPr>
        <w:t xml:space="preserve"> </w:t>
      </w:r>
      <w:r w:rsidRPr="000D6D21">
        <w:rPr>
          <w:sz w:val="24"/>
          <w:szCs w:val="24"/>
        </w:rPr>
        <w:tab/>
        <w:t>At oral argument, the Committee conceded that the actual affi</w:t>
      </w:r>
      <w:r w:rsidRPr="000D6D21">
        <w:rPr>
          <w:sz w:val="24"/>
          <w:szCs w:val="24"/>
        </w:rPr>
        <w:t>davits of voter registration</w:t>
      </w:r>
      <w:r w:rsidR="00436BF9">
        <w:rPr>
          <w:sz w:val="24"/>
          <w:szCs w:val="24"/>
        </w:rPr>
        <w:t>—</w:t>
      </w:r>
      <w:r w:rsidRPr="000D6D21">
        <w:rPr>
          <w:sz w:val="24"/>
          <w:szCs w:val="24"/>
        </w:rPr>
        <w:t>not the information appearing on the affidavits</w:t>
      </w:r>
      <w:r w:rsidR="00436BF9">
        <w:rPr>
          <w:sz w:val="24"/>
          <w:szCs w:val="24"/>
        </w:rPr>
        <w:t>—</w:t>
      </w:r>
      <w:r w:rsidRPr="000D6D21">
        <w:rPr>
          <w:sz w:val="24"/>
          <w:szCs w:val="24"/>
        </w:rPr>
        <w:t xml:space="preserve">were not ordered disclosed at the December 2022 hearing.  When asked to support its position </w:t>
      </w:r>
      <w:r w:rsidR="00436BF9">
        <w:rPr>
          <w:sz w:val="24"/>
          <w:szCs w:val="24"/>
        </w:rPr>
        <w:t xml:space="preserve">at oral argument </w:t>
      </w:r>
      <w:r w:rsidRPr="000D6D21">
        <w:rPr>
          <w:sz w:val="24"/>
          <w:szCs w:val="24"/>
        </w:rPr>
        <w:t>that use of electronic lists outside the examination room had been pr</w:t>
      </w:r>
      <w:r w:rsidRPr="000D6D21">
        <w:rPr>
          <w:sz w:val="24"/>
          <w:szCs w:val="24"/>
        </w:rPr>
        <w:t xml:space="preserve">eviously ordered </w:t>
      </w:r>
      <w:r w:rsidR="00436BF9">
        <w:rPr>
          <w:sz w:val="24"/>
          <w:szCs w:val="24"/>
        </w:rPr>
        <w:t>at the</w:t>
      </w:r>
      <w:r w:rsidR="00436BF9" w:rsidRPr="000D6D21">
        <w:rPr>
          <w:sz w:val="24"/>
          <w:szCs w:val="24"/>
        </w:rPr>
        <w:t xml:space="preserve"> </w:t>
      </w:r>
      <w:r w:rsidRPr="000D6D21">
        <w:rPr>
          <w:sz w:val="24"/>
          <w:szCs w:val="24"/>
        </w:rPr>
        <w:t>December</w:t>
      </w:r>
      <w:r w:rsidR="00554399" w:rsidRPr="000D6D21">
        <w:rPr>
          <w:sz w:val="24"/>
          <w:szCs w:val="24"/>
        </w:rPr>
        <w:t xml:space="preserve"> 2022</w:t>
      </w:r>
      <w:r w:rsidR="00436BF9">
        <w:rPr>
          <w:sz w:val="24"/>
          <w:szCs w:val="24"/>
        </w:rPr>
        <w:t xml:space="preserve"> hearing</w:t>
      </w:r>
      <w:r w:rsidRPr="000D6D21">
        <w:rPr>
          <w:sz w:val="24"/>
          <w:szCs w:val="24"/>
        </w:rPr>
        <w:t xml:space="preserve">, counsel identified </w:t>
      </w:r>
      <w:r w:rsidR="00554399" w:rsidRPr="000D6D21">
        <w:rPr>
          <w:sz w:val="24"/>
          <w:szCs w:val="24"/>
        </w:rPr>
        <w:t xml:space="preserve">several </w:t>
      </w:r>
      <w:r w:rsidRPr="000D6D21">
        <w:rPr>
          <w:sz w:val="24"/>
          <w:szCs w:val="24"/>
        </w:rPr>
        <w:t xml:space="preserve">pages of reporter’s transcript </w:t>
      </w:r>
      <w:r w:rsidR="00554399" w:rsidRPr="000D6D21">
        <w:rPr>
          <w:sz w:val="24"/>
          <w:szCs w:val="24"/>
        </w:rPr>
        <w:t xml:space="preserve">from </w:t>
      </w:r>
      <w:r w:rsidRPr="000D6D21">
        <w:rPr>
          <w:sz w:val="24"/>
          <w:szCs w:val="24"/>
        </w:rPr>
        <w:t xml:space="preserve">the injunction hearing.  Those pages do not contain a statement by the court ordering </w:t>
      </w:r>
      <w:r w:rsidR="00554399" w:rsidRPr="000D6D21">
        <w:rPr>
          <w:sz w:val="24"/>
          <w:szCs w:val="24"/>
        </w:rPr>
        <w:t xml:space="preserve">any </w:t>
      </w:r>
      <w:r w:rsidRPr="000D6D21">
        <w:rPr>
          <w:sz w:val="24"/>
          <w:szCs w:val="24"/>
        </w:rPr>
        <w:t>use of electronic lists outside the examination room.</w:t>
      </w:r>
    </w:p>
  </w:footnote>
  <w:footnote w:id="18">
    <w:p w14:paraId="633D182D" w14:textId="77777777" w:rsidR="00BD40F3" w:rsidRPr="000D6D21" w:rsidRDefault="00F615D7" w:rsidP="000D6D21">
      <w:pPr>
        <w:pStyle w:val="FootnoteText"/>
        <w:spacing w:after="120" w:line="240" w:lineRule="auto"/>
        <w:rPr>
          <w:sz w:val="24"/>
          <w:szCs w:val="24"/>
        </w:rPr>
      </w:pPr>
      <w:r w:rsidRPr="000D6D21">
        <w:rPr>
          <w:rStyle w:val="FootnoteReference"/>
          <w:sz w:val="24"/>
          <w:szCs w:val="24"/>
        </w:rPr>
        <w:footnoteRef/>
      </w:r>
      <w:r w:rsidR="7B0C4908" w:rsidRPr="000D6D21">
        <w:rPr>
          <w:sz w:val="24"/>
          <w:szCs w:val="24"/>
        </w:rPr>
        <w:t xml:space="preserve"> </w:t>
      </w:r>
      <w:r w:rsidRPr="000D6D21">
        <w:rPr>
          <w:sz w:val="24"/>
          <w:szCs w:val="24"/>
        </w:rPr>
        <w:tab/>
      </w:r>
      <w:r w:rsidR="7B0C4908" w:rsidRPr="000D6D21">
        <w:rPr>
          <w:sz w:val="24"/>
          <w:szCs w:val="24"/>
        </w:rPr>
        <w:t xml:space="preserve">More than six weeks had passed since the original injunction hearing.  </w:t>
      </w:r>
      <w:r w:rsidR="003D3339" w:rsidRPr="000D6D21">
        <w:rPr>
          <w:sz w:val="24"/>
          <w:szCs w:val="24"/>
        </w:rPr>
        <w:t>T</w:t>
      </w:r>
      <w:r w:rsidR="7B0C4908" w:rsidRPr="000D6D21">
        <w:rPr>
          <w:sz w:val="24"/>
          <w:szCs w:val="24"/>
        </w:rPr>
        <w:t xml:space="preserve">he court did not rule on the Committee’s ability to remove electronic data outside the examination room at the </w:t>
      </w:r>
      <w:r w:rsidR="00436BF9">
        <w:rPr>
          <w:sz w:val="24"/>
          <w:szCs w:val="24"/>
        </w:rPr>
        <w:t xml:space="preserve">December 2022 </w:t>
      </w:r>
      <w:r w:rsidR="7B0C4908" w:rsidRPr="000D6D21">
        <w:rPr>
          <w:sz w:val="24"/>
          <w:szCs w:val="24"/>
        </w:rPr>
        <w:t xml:space="preserve">hearing.  Instead, the court ordered the production of electronic copies of existing hardcopy lists subject to a strict protective order to be negotiated by the parties.  The court’s written </w:t>
      </w:r>
      <w:r w:rsidR="00B6106B">
        <w:rPr>
          <w:sz w:val="24"/>
          <w:szCs w:val="24"/>
        </w:rPr>
        <w:t>order</w:t>
      </w:r>
      <w:r w:rsidR="00B6106B" w:rsidRPr="000D6D21">
        <w:rPr>
          <w:sz w:val="24"/>
          <w:szCs w:val="24"/>
        </w:rPr>
        <w:t xml:space="preserve"> </w:t>
      </w:r>
      <w:r w:rsidR="7B0C4908" w:rsidRPr="000D6D21">
        <w:rPr>
          <w:sz w:val="24"/>
          <w:szCs w:val="24"/>
        </w:rPr>
        <w:t xml:space="preserve">did not address the removal of electronic data.  </w:t>
      </w:r>
      <w:r w:rsidR="00436BF9">
        <w:rPr>
          <w:sz w:val="24"/>
          <w:szCs w:val="24"/>
        </w:rPr>
        <w:t>On the contrary</w:t>
      </w:r>
      <w:r w:rsidR="7B0C4908" w:rsidRPr="000D6D21">
        <w:rPr>
          <w:sz w:val="24"/>
          <w:szCs w:val="24"/>
        </w:rPr>
        <w:t xml:space="preserve">, the </w:t>
      </w:r>
      <w:r w:rsidR="00B6106B">
        <w:rPr>
          <w:sz w:val="24"/>
          <w:szCs w:val="24"/>
        </w:rPr>
        <w:t>order</w:t>
      </w:r>
      <w:r w:rsidR="00B6106B" w:rsidRPr="000D6D21">
        <w:rPr>
          <w:sz w:val="24"/>
          <w:szCs w:val="24"/>
        </w:rPr>
        <w:t xml:space="preserve"> </w:t>
      </w:r>
      <w:r w:rsidR="00436BF9">
        <w:rPr>
          <w:sz w:val="24"/>
          <w:szCs w:val="24"/>
        </w:rPr>
        <w:t>provided</w:t>
      </w:r>
      <w:r w:rsidR="00436BF9" w:rsidRPr="000D6D21">
        <w:rPr>
          <w:sz w:val="24"/>
          <w:szCs w:val="24"/>
        </w:rPr>
        <w:t xml:space="preserve"> </w:t>
      </w:r>
      <w:r w:rsidR="7B0C4908" w:rsidRPr="000D6D21">
        <w:rPr>
          <w:sz w:val="24"/>
          <w:szCs w:val="24"/>
        </w:rPr>
        <w:t xml:space="preserve">that the parties could minimize any concerns about voter confidentiality “by an appropriate protective order limiting the use of electronic copies solely to the purpose of examining the rejected votes and </w:t>
      </w:r>
      <w:r w:rsidR="7B0C4908" w:rsidRPr="000D6D21">
        <w:rPr>
          <w:i/>
          <w:iCs/>
          <w:sz w:val="24"/>
          <w:szCs w:val="24"/>
        </w:rPr>
        <w:t>only to be used in the examination room</w:t>
      </w:r>
      <w:r w:rsidR="7B0C4908" w:rsidRPr="000D6D21">
        <w:rPr>
          <w:sz w:val="24"/>
          <w:szCs w:val="24"/>
        </w:rPr>
        <w:t>.”  (Italics added.)</w:t>
      </w:r>
    </w:p>
  </w:footnote>
  <w:footnote w:id="19">
    <w:p w14:paraId="633D182E" w14:textId="77777777" w:rsidR="00BD40F3" w:rsidRPr="000D6D21" w:rsidRDefault="00F615D7" w:rsidP="000D6D21">
      <w:pPr>
        <w:spacing w:after="120" w:line="240" w:lineRule="auto"/>
        <w:rPr>
          <w:sz w:val="24"/>
          <w:szCs w:val="24"/>
        </w:rPr>
      </w:pPr>
      <w:r w:rsidRPr="000D6D21">
        <w:rPr>
          <w:rStyle w:val="FootnoteReference"/>
          <w:sz w:val="24"/>
          <w:szCs w:val="24"/>
        </w:rPr>
        <w:footnoteRef/>
      </w:r>
      <w:r w:rsidR="7B0C4908" w:rsidRPr="000D6D21">
        <w:rPr>
          <w:sz w:val="24"/>
          <w:szCs w:val="24"/>
        </w:rPr>
        <w:t xml:space="preserve"> </w:t>
      </w:r>
      <w:r w:rsidRPr="000D6D21">
        <w:rPr>
          <w:sz w:val="24"/>
          <w:szCs w:val="24"/>
        </w:rPr>
        <w:tab/>
      </w:r>
      <w:r w:rsidR="7B0C4908" w:rsidRPr="000D6D21">
        <w:rPr>
          <w:sz w:val="24"/>
          <w:szCs w:val="24"/>
        </w:rPr>
        <w:t>The Legislature first enacted a statutory right of examination by way of an amendment to section 7924.110</w:t>
      </w:r>
      <w:r w:rsidR="00FB5D61">
        <w:rPr>
          <w:sz w:val="24"/>
          <w:szCs w:val="24"/>
        </w:rPr>
        <w:t xml:space="preserve"> in 1977.  But</w:t>
      </w:r>
      <w:r w:rsidR="7B0C4908" w:rsidRPr="000D6D21">
        <w:rPr>
          <w:sz w:val="24"/>
          <w:szCs w:val="24"/>
        </w:rPr>
        <w:t xml:space="preserve"> that right was limited to various public officials not relevant here</w:t>
      </w:r>
      <w:r w:rsidR="00FB5D61">
        <w:rPr>
          <w:sz w:val="24"/>
          <w:szCs w:val="24"/>
        </w:rPr>
        <w:t xml:space="preserve">, and the former </w:t>
      </w:r>
      <w:r w:rsidR="7B0C4908" w:rsidRPr="000D6D21">
        <w:rPr>
          <w:sz w:val="24"/>
          <w:szCs w:val="24"/>
        </w:rPr>
        <w:t>law did “not spell out a procedure for obtaining court approval” for such examination.  (Sen. Com. on Elections and Reapportionment, analysis of Assem. Bill No. 1710 (1977</w:t>
      </w:r>
      <w:r w:rsidR="7B0C4908" w:rsidRPr="000D6D21">
        <w:rPr>
          <w:sz w:val="24"/>
          <w:szCs w:val="24"/>
        </w:rPr>
        <w:noBreakHyphen/>
        <w:t xml:space="preserve">1978 Reg. Sess.), as introduced, p. 1; see Stats. 1977, </w:t>
      </w:r>
      <w:proofErr w:type="spellStart"/>
      <w:r w:rsidR="7B0C4908" w:rsidRPr="000D6D21">
        <w:rPr>
          <w:sz w:val="24"/>
          <w:szCs w:val="24"/>
        </w:rPr>
        <w:t>ch.</w:t>
      </w:r>
      <w:proofErr w:type="spellEnd"/>
      <w:r w:rsidR="7B0C4908" w:rsidRPr="000D6D21">
        <w:rPr>
          <w:sz w:val="24"/>
          <w:szCs w:val="24"/>
        </w:rPr>
        <w:t xml:space="preserve"> 556, § 4.)  Then, in 1980, the Legislature amended section 7924.110 to grant “the same rights to examine such petitions as is currently afforded the public officers, public employees, and public entities as set forth above.”  (Leg. Counsel’s Dig., analysis of Assem. Bill No. 2328 (1979</w:t>
      </w:r>
      <w:r w:rsidR="7B0C4908" w:rsidRPr="000D6D21">
        <w:rPr>
          <w:sz w:val="24"/>
          <w:szCs w:val="24"/>
        </w:rPr>
        <w:noBreakHyphen/>
        <w:t>1</w:t>
      </w:r>
      <w:r w:rsidR="005F488D" w:rsidRPr="000D6D21">
        <w:rPr>
          <w:sz w:val="24"/>
          <w:szCs w:val="24"/>
        </w:rPr>
        <w:t>9</w:t>
      </w:r>
      <w:r w:rsidR="7B0C4908" w:rsidRPr="000D6D21">
        <w:rPr>
          <w:sz w:val="24"/>
          <w:szCs w:val="24"/>
        </w:rPr>
        <w:t xml:space="preserve">80 Reg. Sess.), as approved July 16, 1980, p. 95.)  </w:t>
      </w:r>
      <w:r w:rsidR="00EA1427">
        <w:rPr>
          <w:sz w:val="24"/>
          <w:szCs w:val="24"/>
        </w:rPr>
        <w:t>W</w:t>
      </w:r>
      <w:r w:rsidR="7B0C4908" w:rsidRPr="000D6D21">
        <w:rPr>
          <w:sz w:val="24"/>
          <w:szCs w:val="24"/>
        </w:rPr>
        <w:t xml:space="preserve">hile </w:t>
      </w:r>
      <w:r w:rsidR="00FB5D61">
        <w:rPr>
          <w:sz w:val="24"/>
          <w:szCs w:val="24"/>
        </w:rPr>
        <w:t>the amended</w:t>
      </w:r>
      <w:r w:rsidR="00FB5D61" w:rsidRPr="000D6D21">
        <w:rPr>
          <w:sz w:val="24"/>
          <w:szCs w:val="24"/>
        </w:rPr>
        <w:t xml:space="preserve"> </w:t>
      </w:r>
      <w:r w:rsidR="7B0C4908" w:rsidRPr="000D6D21">
        <w:rPr>
          <w:sz w:val="24"/>
          <w:szCs w:val="24"/>
        </w:rPr>
        <w:t>law was also designed “to assure proper review” of disqualified signatures by local county clerks, it too provided no guidance on the scope of a</w:t>
      </w:r>
      <w:r w:rsidR="00FB5D61">
        <w:rPr>
          <w:sz w:val="24"/>
          <w:szCs w:val="24"/>
        </w:rPr>
        <w:t xml:space="preserve"> petition</w:t>
      </w:r>
      <w:r w:rsidR="7B0C4908" w:rsidRPr="000D6D21">
        <w:rPr>
          <w:sz w:val="24"/>
          <w:szCs w:val="24"/>
        </w:rPr>
        <w:t xml:space="preserve"> examination.  (Sen. Democratic Caucus, analysis of Assem. Bill</w:t>
      </w:r>
      <w:r w:rsidR="00DA3F40" w:rsidRPr="000D6D21">
        <w:rPr>
          <w:sz w:val="24"/>
          <w:szCs w:val="24"/>
        </w:rPr>
        <w:t xml:space="preserve"> No.</w:t>
      </w:r>
      <w:r w:rsidR="7B0C4908" w:rsidRPr="000D6D21">
        <w:rPr>
          <w:sz w:val="24"/>
          <w:szCs w:val="24"/>
        </w:rPr>
        <w:t xml:space="preserve"> 2328 (1979</w:t>
      </w:r>
      <w:r w:rsidR="7B0C4908" w:rsidRPr="000D6D21">
        <w:rPr>
          <w:sz w:val="24"/>
          <w:szCs w:val="24"/>
        </w:rPr>
        <w:noBreakHyphen/>
        <w:t>1</w:t>
      </w:r>
      <w:r w:rsidR="005F488D" w:rsidRPr="000D6D21">
        <w:rPr>
          <w:sz w:val="24"/>
          <w:szCs w:val="24"/>
        </w:rPr>
        <w:t>9</w:t>
      </w:r>
      <w:r w:rsidR="7B0C4908" w:rsidRPr="000D6D21">
        <w:rPr>
          <w:sz w:val="24"/>
          <w:szCs w:val="24"/>
        </w:rPr>
        <w:t xml:space="preserve">80 Reg. Sess.), as amended July 17, 1980, p. 1.) </w:t>
      </w:r>
    </w:p>
  </w:footnote>
  <w:footnote w:id="20">
    <w:p w14:paraId="633D182F" w14:textId="77777777" w:rsidR="00672C18" w:rsidRPr="000D6D21" w:rsidRDefault="00F615D7" w:rsidP="000D6D21">
      <w:pPr>
        <w:pStyle w:val="FootnoteText"/>
        <w:spacing w:after="120" w:line="240" w:lineRule="auto"/>
        <w:rPr>
          <w:sz w:val="24"/>
          <w:szCs w:val="24"/>
        </w:rPr>
      </w:pPr>
      <w:r w:rsidRPr="000D6D21">
        <w:rPr>
          <w:rStyle w:val="FootnoteReference"/>
          <w:sz w:val="24"/>
          <w:szCs w:val="24"/>
        </w:rPr>
        <w:footnoteRef/>
      </w:r>
      <w:r w:rsidR="7B0C4908" w:rsidRPr="000D6D21">
        <w:rPr>
          <w:sz w:val="24"/>
          <w:szCs w:val="24"/>
        </w:rPr>
        <w:t xml:space="preserve"> </w:t>
      </w:r>
      <w:r w:rsidRPr="000D6D21">
        <w:rPr>
          <w:sz w:val="24"/>
          <w:szCs w:val="24"/>
        </w:rPr>
        <w:tab/>
      </w:r>
      <w:r w:rsidR="000F1CED" w:rsidRPr="000D6D21">
        <w:rPr>
          <w:sz w:val="24"/>
          <w:szCs w:val="24"/>
        </w:rPr>
        <w:t>On January 30, 2023, the court signed and filed a protective order previously approved as to form and content by the parties.  The following day, the Registrar filed its notice of appeal and emailed the Committee that it would “not be providing the electronic lists or the copies of the affidavits of registration pending appeal, and we will not be entering into the protective order entered by the Court.”</w:t>
      </w:r>
      <w:r w:rsidR="7B0C4908" w:rsidRPr="000D6D21">
        <w:rPr>
          <w:sz w:val="24"/>
          <w:szCs w:val="24"/>
        </w:rPr>
        <w:t xml:space="preserve"> </w:t>
      </w:r>
    </w:p>
  </w:footnote>
  <w:footnote w:id="21">
    <w:p w14:paraId="633D1830" w14:textId="77777777" w:rsidR="00021D22" w:rsidRPr="000D6D21" w:rsidRDefault="00F615D7" w:rsidP="000D6D21">
      <w:pPr>
        <w:pStyle w:val="FootnoteText"/>
        <w:spacing w:after="120" w:line="240" w:lineRule="auto"/>
        <w:rPr>
          <w:sz w:val="24"/>
          <w:szCs w:val="24"/>
        </w:rPr>
      </w:pPr>
      <w:r w:rsidRPr="000D6D21">
        <w:rPr>
          <w:rStyle w:val="FootnoteReference"/>
          <w:sz w:val="24"/>
          <w:szCs w:val="24"/>
        </w:rPr>
        <w:footnoteRef/>
      </w:r>
      <w:r w:rsidRPr="000D6D21">
        <w:rPr>
          <w:sz w:val="24"/>
          <w:szCs w:val="24"/>
        </w:rPr>
        <w:t xml:space="preserve"> </w:t>
      </w:r>
      <w:r w:rsidRPr="000D6D21">
        <w:rPr>
          <w:sz w:val="24"/>
          <w:szCs w:val="24"/>
        </w:rPr>
        <w:tab/>
      </w:r>
      <w:r w:rsidR="008C27BE" w:rsidRPr="000D6D21">
        <w:rPr>
          <w:sz w:val="24"/>
          <w:szCs w:val="24"/>
        </w:rPr>
        <w:t xml:space="preserve">The </w:t>
      </w:r>
      <w:r w:rsidRPr="000D6D21">
        <w:rPr>
          <w:sz w:val="24"/>
          <w:szCs w:val="24"/>
        </w:rPr>
        <w:t xml:space="preserve">absence of legislative authority </w:t>
      </w:r>
      <w:r w:rsidR="00F671FD" w:rsidRPr="000D6D21">
        <w:rPr>
          <w:sz w:val="24"/>
          <w:szCs w:val="24"/>
        </w:rPr>
        <w:t xml:space="preserve">addressing </w:t>
      </w:r>
      <w:r w:rsidRPr="000D6D21">
        <w:rPr>
          <w:sz w:val="24"/>
          <w:szCs w:val="24"/>
        </w:rPr>
        <w:t xml:space="preserve">the disclosure and use of electronic voter information </w:t>
      </w:r>
      <w:r w:rsidR="00BC480A">
        <w:rPr>
          <w:sz w:val="24"/>
          <w:szCs w:val="24"/>
        </w:rPr>
        <w:t>for purposes of a petition examination</w:t>
      </w:r>
      <w:r w:rsidR="00BC480A" w:rsidRPr="000D6D21">
        <w:rPr>
          <w:sz w:val="24"/>
          <w:szCs w:val="24"/>
        </w:rPr>
        <w:t xml:space="preserve"> </w:t>
      </w:r>
      <w:r w:rsidRPr="000D6D21">
        <w:rPr>
          <w:sz w:val="24"/>
          <w:szCs w:val="24"/>
        </w:rPr>
        <w:t xml:space="preserve">(§§ 7924.000 et seq.; Elec. Code, § 2188 et seq.), </w:t>
      </w:r>
      <w:r w:rsidR="008C27BE" w:rsidRPr="000D6D21">
        <w:rPr>
          <w:sz w:val="24"/>
          <w:szCs w:val="24"/>
        </w:rPr>
        <w:t xml:space="preserve">is </w:t>
      </w:r>
      <w:r w:rsidR="00F671FD" w:rsidRPr="000D6D21">
        <w:rPr>
          <w:sz w:val="24"/>
          <w:szCs w:val="24"/>
        </w:rPr>
        <w:t xml:space="preserve">a subject </w:t>
      </w:r>
      <w:r w:rsidRPr="000D6D21">
        <w:rPr>
          <w:sz w:val="24"/>
          <w:szCs w:val="24"/>
        </w:rPr>
        <w:t xml:space="preserve">the Legislature </w:t>
      </w:r>
      <w:r w:rsidR="00F671FD" w:rsidRPr="000D6D21">
        <w:rPr>
          <w:sz w:val="24"/>
          <w:szCs w:val="24"/>
        </w:rPr>
        <w:t xml:space="preserve">may </w:t>
      </w:r>
      <w:r w:rsidR="008C27BE" w:rsidRPr="000D6D21">
        <w:rPr>
          <w:sz w:val="24"/>
          <w:szCs w:val="24"/>
        </w:rPr>
        <w:t xml:space="preserve">wish </w:t>
      </w:r>
      <w:r w:rsidR="00F671FD" w:rsidRPr="000D6D21">
        <w:rPr>
          <w:sz w:val="24"/>
          <w:szCs w:val="24"/>
        </w:rPr>
        <w:t>to address in the future</w:t>
      </w:r>
      <w:r w:rsidRPr="000D6D21">
        <w:rPr>
          <w:sz w:val="24"/>
          <w:szCs w:val="24"/>
        </w:rPr>
        <w:t>.</w:t>
      </w:r>
    </w:p>
  </w:footnote>
  <w:footnote w:id="22">
    <w:p w14:paraId="633D1831" w14:textId="77777777" w:rsidR="00BD40F3" w:rsidRPr="008C27BE" w:rsidRDefault="00F615D7" w:rsidP="000D6D21">
      <w:pPr>
        <w:pStyle w:val="FootnoteText"/>
        <w:spacing w:after="120" w:line="240" w:lineRule="auto"/>
        <w:rPr>
          <w:sz w:val="24"/>
          <w:szCs w:val="24"/>
        </w:rPr>
      </w:pPr>
      <w:r w:rsidRPr="000D6D21">
        <w:rPr>
          <w:rStyle w:val="FootnoteReference"/>
          <w:sz w:val="24"/>
          <w:szCs w:val="24"/>
        </w:rPr>
        <w:footnoteRef/>
      </w:r>
      <w:r w:rsidRPr="000D6D21">
        <w:rPr>
          <w:sz w:val="24"/>
          <w:szCs w:val="24"/>
        </w:rPr>
        <w:t xml:space="preserve"> </w:t>
      </w:r>
      <w:r w:rsidRPr="000D6D21">
        <w:rPr>
          <w:sz w:val="24"/>
          <w:szCs w:val="24"/>
        </w:rPr>
        <w:tab/>
      </w:r>
      <w:proofErr w:type="gramStart"/>
      <w:r w:rsidRPr="000D6D21">
        <w:rPr>
          <w:sz w:val="24"/>
          <w:szCs w:val="24"/>
        </w:rPr>
        <w:t>In light of</w:t>
      </w:r>
      <w:proofErr w:type="gramEnd"/>
      <w:r w:rsidRPr="000D6D21">
        <w:rPr>
          <w:sz w:val="24"/>
          <w:szCs w:val="24"/>
        </w:rPr>
        <w:t xml:space="preserve"> this conclusion, we do not consider the Registrar’s alternative contention that the Committee never requested the affidavits of registration in </w:t>
      </w:r>
      <w:r w:rsidR="00BC480A">
        <w:rPr>
          <w:sz w:val="24"/>
          <w:szCs w:val="24"/>
        </w:rPr>
        <w:t>its</w:t>
      </w:r>
      <w:r w:rsidRPr="000D6D21">
        <w:rPr>
          <w:sz w:val="24"/>
          <w:szCs w:val="24"/>
        </w:rPr>
        <w:t xml:space="preserve"> ex parte application.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65E"/>
    <w:multiLevelType w:val="hybridMultilevel"/>
    <w:tmpl w:val="89724908"/>
    <w:lvl w:ilvl="0" w:tplc="65B697D8">
      <w:start w:val="1"/>
      <w:numFmt w:val="bullet"/>
      <w:lvlText w:val=""/>
      <w:lvlJc w:val="left"/>
      <w:pPr>
        <w:ind w:left="720" w:hanging="360"/>
      </w:pPr>
      <w:rPr>
        <w:rFonts w:ascii="Symbol" w:hAnsi="Symbol" w:hint="default"/>
      </w:rPr>
    </w:lvl>
    <w:lvl w:ilvl="1" w:tplc="A83448A6" w:tentative="1">
      <w:start w:val="1"/>
      <w:numFmt w:val="bullet"/>
      <w:lvlText w:val="o"/>
      <w:lvlJc w:val="left"/>
      <w:pPr>
        <w:ind w:left="1440" w:hanging="360"/>
      </w:pPr>
      <w:rPr>
        <w:rFonts w:ascii="Courier New" w:hAnsi="Courier New" w:cs="Courier New" w:hint="default"/>
      </w:rPr>
    </w:lvl>
    <w:lvl w:ilvl="2" w:tplc="6038CC52" w:tentative="1">
      <w:start w:val="1"/>
      <w:numFmt w:val="bullet"/>
      <w:lvlText w:val=""/>
      <w:lvlJc w:val="left"/>
      <w:pPr>
        <w:ind w:left="2160" w:hanging="360"/>
      </w:pPr>
      <w:rPr>
        <w:rFonts w:ascii="Wingdings" w:hAnsi="Wingdings" w:hint="default"/>
      </w:rPr>
    </w:lvl>
    <w:lvl w:ilvl="3" w:tplc="08502436" w:tentative="1">
      <w:start w:val="1"/>
      <w:numFmt w:val="bullet"/>
      <w:lvlText w:val=""/>
      <w:lvlJc w:val="left"/>
      <w:pPr>
        <w:ind w:left="2880" w:hanging="360"/>
      </w:pPr>
      <w:rPr>
        <w:rFonts w:ascii="Symbol" w:hAnsi="Symbol" w:hint="default"/>
      </w:rPr>
    </w:lvl>
    <w:lvl w:ilvl="4" w:tplc="8BA0030A" w:tentative="1">
      <w:start w:val="1"/>
      <w:numFmt w:val="bullet"/>
      <w:lvlText w:val="o"/>
      <w:lvlJc w:val="left"/>
      <w:pPr>
        <w:ind w:left="3600" w:hanging="360"/>
      </w:pPr>
      <w:rPr>
        <w:rFonts w:ascii="Courier New" w:hAnsi="Courier New" w:cs="Courier New" w:hint="default"/>
      </w:rPr>
    </w:lvl>
    <w:lvl w:ilvl="5" w:tplc="05643BDC" w:tentative="1">
      <w:start w:val="1"/>
      <w:numFmt w:val="bullet"/>
      <w:lvlText w:val=""/>
      <w:lvlJc w:val="left"/>
      <w:pPr>
        <w:ind w:left="4320" w:hanging="360"/>
      </w:pPr>
      <w:rPr>
        <w:rFonts w:ascii="Wingdings" w:hAnsi="Wingdings" w:hint="default"/>
      </w:rPr>
    </w:lvl>
    <w:lvl w:ilvl="6" w:tplc="BDA640A4" w:tentative="1">
      <w:start w:val="1"/>
      <w:numFmt w:val="bullet"/>
      <w:lvlText w:val=""/>
      <w:lvlJc w:val="left"/>
      <w:pPr>
        <w:ind w:left="5040" w:hanging="360"/>
      </w:pPr>
      <w:rPr>
        <w:rFonts w:ascii="Symbol" w:hAnsi="Symbol" w:hint="default"/>
      </w:rPr>
    </w:lvl>
    <w:lvl w:ilvl="7" w:tplc="5066AF62" w:tentative="1">
      <w:start w:val="1"/>
      <w:numFmt w:val="bullet"/>
      <w:lvlText w:val="o"/>
      <w:lvlJc w:val="left"/>
      <w:pPr>
        <w:ind w:left="5760" w:hanging="360"/>
      </w:pPr>
      <w:rPr>
        <w:rFonts w:ascii="Courier New" w:hAnsi="Courier New" w:cs="Courier New" w:hint="default"/>
      </w:rPr>
    </w:lvl>
    <w:lvl w:ilvl="8" w:tplc="B652FD78" w:tentative="1">
      <w:start w:val="1"/>
      <w:numFmt w:val="bullet"/>
      <w:lvlText w:val=""/>
      <w:lvlJc w:val="left"/>
      <w:pPr>
        <w:ind w:left="6480" w:hanging="360"/>
      </w:pPr>
      <w:rPr>
        <w:rFonts w:ascii="Wingdings" w:hAnsi="Wingdings" w:hint="default"/>
      </w:rPr>
    </w:lvl>
  </w:abstractNum>
  <w:abstractNum w:abstractNumId="1" w15:restartNumberingAfterBreak="0">
    <w:nsid w:val="16E750A4"/>
    <w:multiLevelType w:val="hybridMultilevel"/>
    <w:tmpl w:val="CD7EE2B4"/>
    <w:lvl w:ilvl="0" w:tplc="C07E4AF2">
      <w:start w:val="1"/>
      <w:numFmt w:val="decimal"/>
      <w:lvlText w:val="%1."/>
      <w:lvlJc w:val="left"/>
      <w:pPr>
        <w:ind w:left="720" w:hanging="360"/>
      </w:pPr>
    </w:lvl>
    <w:lvl w:ilvl="1" w:tplc="A5563C78" w:tentative="1">
      <w:start w:val="1"/>
      <w:numFmt w:val="lowerLetter"/>
      <w:lvlText w:val="%2."/>
      <w:lvlJc w:val="left"/>
      <w:pPr>
        <w:ind w:left="1440" w:hanging="360"/>
      </w:pPr>
    </w:lvl>
    <w:lvl w:ilvl="2" w:tplc="4BE27906" w:tentative="1">
      <w:start w:val="1"/>
      <w:numFmt w:val="lowerRoman"/>
      <w:lvlText w:val="%3."/>
      <w:lvlJc w:val="right"/>
      <w:pPr>
        <w:ind w:left="2160" w:hanging="180"/>
      </w:pPr>
    </w:lvl>
    <w:lvl w:ilvl="3" w:tplc="4AE24E54" w:tentative="1">
      <w:start w:val="1"/>
      <w:numFmt w:val="decimal"/>
      <w:lvlText w:val="%4."/>
      <w:lvlJc w:val="left"/>
      <w:pPr>
        <w:ind w:left="2880" w:hanging="360"/>
      </w:pPr>
    </w:lvl>
    <w:lvl w:ilvl="4" w:tplc="3EC45E9E" w:tentative="1">
      <w:start w:val="1"/>
      <w:numFmt w:val="lowerLetter"/>
      <w:lvlText w:val="%5."/>
      <w:lvlJc w:val="left"/>
      <w:pPr>
        <w:ind w:left="3600" w:hanging="360"/>
      </w:pPr>
    </w:lvl>
    <w:lvl w:ilvl="5" w:tplc="3692CC06" w:tentative="1">
      <w:start w:val="1"/>
      <w:numFmt w:val="lowerRoman"/>
      <w:lvlText w:val="%6."/>
      <w:lvlJc w:val="right"/>
      <w:pPr>
        <w:ind w:left="4320" w:hanging="180"/>
      </w:pPr>
    </w:lvl>
    <w:lvl w:ilvl="6" w:tplc="7808699A" w:tentative="1">
      <w:start w:val="1"/>
      <w:numFmt w:val="decimal"/>
      <w:lvlText w:val="%7."/>
      <w:lvlJc w:val="left"/>
      <w:pPr>
        <w:ind w:left="5040" w:hanging="360"/>
      </w:pPr>
    </w:lvl>
    <w:lvl w:ilvl="7" w:tplc="B32E6178" w:tentative="1">
      <w:start w:val="1"/>
      <w:numFmt w:val="lowerLetter"/>
      <w:lvlText w:val="%8."/>
      <w:lvlJc w:val="left"/>
      <w:pPr>
        <w:ind w:left="5760" w:hanging="360"/>
      </w:pPr>
    </w:lvl>
    <w:lvl w:ilvl="8" w:tplc="D08E641C" w:tentative="1">
      <w:start w:val="1"/>
      <w:numFmt w:val="lowerRoman"/>
      <w:lvlText w:val="%9."/>
      <w:lvlJc w:val="right"/>
      <w:pPr>
        <w:ind w:left="6480" w:hanging="180"/>
      </w:pPr>
    </w:lvl>
  </w:abstractNum>
  <w:abstractNum w:abstractNumId="2" w15:restartNumberingAfterBreak="0">
    <w:nsid w:val="23F35463"/>
    <w:multiLevelType w:val="hybridMultilevel"/>
    <w:tmpl w:val="5F92BBC8"/>
    <w:lvl w:ilvl="0" w:tplc="51E2DDCC">
      <w:start w:val="1"/>
      <w:numFmt w:val="bullet"/>
      <w:lvlText w:val=""/>
      <w:lvlJc w:val="left"/>
      <w:pPr>
        <w:ind w:left="1440" w:hanging="360"/>
      </w:pPr>
      <w:rPr>
        <w:rFonts w:ascii="Symbol" w:hAnsi="Symbol" w:hint="default"/>
      </w:rPr>
    </w:lvl>
    <w:lvl w:ilvl="1" w:tplc="8596316C" w:tentative="1">
      <w:start w:val="1"/>
      <w:numFmt w:val="bullet"/>
      <w:lvlText w:val="o"/>
      <w:lvlJc w:val="left"/>
      <w:pPr>
        <w:ind w:left="2160" w:hanging="360"/>
      </w:pPr>
      <w:rPr>
        <w:rFonts w:ascii="Courier New" w:hAnsi="Courier New" w:cs="Courier New" w:hint="default"/>
      </w:rPr>
    </w:lvl>
    <w:lvl w:ilvl="2" w:tplc="4E06CE14" w:tentative="1">
      <w:start w:val="1"/>
      <w:numFmt w:val="bullet"/>
      <w:lvlText w:val=""/>
      <w:lvlJc w:val="left"/>
      <w:pPr>
        <w:ind w:left="2880" w:hanging="360"/>
      </w:pPr>
      <w:rPr>
        <w:rFonts w:ascii="Wingdings" w:hAnsi="Wingdings" w:hint="default"/>
      </w:rPr>
    </w:lvl>
    <w:lvl w:ilvl="3" w:tplc="57BAF98E" w:tentative="1">
      <w:start w:val="1"/>
      <w:numFmt w:val="bullet"/>
      <w:lvlText w:val=""/>
      <w:lvlJc w:val="left"/>
      <w:pPr>
        <w:ind w:left="3600" w:hanging="360"/>
      </w:pPr>
      <w:rPr>
        <w:rFonts w:ascii="Symbol" w:hAnsi="Symbol" w:hint="default"/>
      </w:rPr>
    </w:lvl>
    <w:lvl w:ilvl="4" w:tplc="504858EA" w:tentative="1">
      <w:start w:val="1"/>
      <w:numFmt w:val="bullet"/>
      <w:lvlText w:val="o"/>
      <w:lvlJc w:val="left"/>
      <w:pPr>
        <w:ind w:left="4320" w:hanging="360"/>
      </w:pPr>
      <w:rPr>
        <w:rFonts w:ascii="Courier New" w:hAnsi="Courier New" w:cs="Courier New" w:hint="default"/>
      </w:rPr>
    </w:lvl>
    <w:lvl w:ilvl="5" w:tplc="600E84BE" w:tentative="1">
      <w:start w:val="1"/>
      <w:numFmt w:val="bullet"/>
      <w:lvlText w:val=""/>
      <w:lvlJc w:val="left"/>
      <w:pPr>
        <w:ind w:left="5040" w:hanging="360"/>
      </w:pPr>
      <w:rPr>
        <w:rFonts w:ascii="Wingdings" w:hAnsi="Wingdings" w:hint="default"/>
      </w:rPr>
    </w:lvl>
    <w:lvl w:ilvl="6" w:tplc="DFCC47BC" w:tentative="1">
      <w:start w:val="1"/>
      <w:numFmt w:val="bullet"/>
      <w:lvlText w:val=""/>
      <w:lvlJc w:val="left"/>
      <w:pPr>
        <w:ind w:left="5760" w:hanging="360"/>
      </w:pPr>
      <w:rPr>
        <w:rFonts w:ascii="Symbol" w:hAnsi="Symbol" w:hint="default"/>
      </w:rPr>
    </w:lvl>
    <w:lvl w:ilvl="7" w:tplc="8252E51C" w:tentative="1">
      <w:start w:val="1"/>
      <w:numFmt w:val="bullet"/>
      <w:lvlText w:val="o"/>
      <w:lvlJc w:val="left"/>
      <w:pPr>
        <w:ind w:left="6480" w:hanging="360"/>
      </w:pPr>
      <w:rPr>
        <w:rFonts w:ascii="Courier New" w:hAnsi="Courier New" w:cs="Courier New" w:hint="default"/>
      </w:rPr>
    </w:lvl>
    <w:lvl w:ilvl="8" w:tplc="EB78EB6C" w:tentative="1">
      <w:start w:val="1"/>
      <w:numFmt w:val="bullet"/>
      <w:lvlText w:val=""/>
      <w:lvlJc w:val="left"/>
      <w:pPr>
        <w:ind w:left="7200" w:hanging="360"/>
      </w:pPr>
      <w:rPr>
        <w:rFonts w:ascii="Wingdings" w:hAnsi="Wingdings" w:hint="default"/>
      </w:rPr>
    </w:lvl>
  </w:abstractNum>
  <w:abstractNum w:abstractNumId="3" w15:restartNumberingAfterBreak="0">
    <w:nsid w:val="2A997C0F"/>
    <w:multiLevelType w:val="hybridMultilevel"/>
    <w:tmpl w:val="3CAA9556"/>
    <w:lvl w:ilvl="0" w:tplc="3692E5BC">
      <w:start w:val="1"/>
      <w:numFmt w:val="bullet"/>
      <w:lvlText w:val=""/>
      <w:lvlJc w:val="left"/>
      <w:pPr>
        <w:ind w:left="1080" w:hanging="360"/>
      </w:pPr>
      <w:rPr>
        <w:rFonts w:ascii="Symbol" w:hAnsi="Symbol" w:hint="default"/>
      </w:rPr>
    </w:lvl>
    <w:lvl w:ilvl="1" w:tplc="F34A0832" w:tentative="1">
      <w:start w:val="1"/>
      <w:numFmt w:val="bullet"/>
      <w:lvlText w:val="o"/>
      <w:lvlJc w:val="left"/>
      <w:pPr>
        <w:ind w:left="1800" w:hanging="360"/>
      </w:pPr>
      <w:rPr>
        <w:rFonts w:ascii="Courier New" w:hAnsi="Courier New" w:cs="Courier New" w:hint="default"/>
      </w:rPr>
    </w:lvl>
    <w:lvl w:ilvl="2" w:tplc="C32AA980" w:tentative="1">
      <w:start w:val="1"/>
      <w:numFmt w:val="bullet"/>
      <w:lvlText w:val=""/>
      <w:lvlJc w:val="left"/>
      <w:pPr>
        <w:ind w:left="2520" w:hanging="360"/>
      </w:pPr>
      <w:rPr>
        <w:rFonts w:ascii="Wingdings" w:hAnsi="Wingdings" w:hint="default"/>
      </w:rPr>
    </w:lvl>
    <w:lvl w:ilvl="3" w:tplc="1AAECCB0" w:tentative="1">
      <w:start w:val="1"/>
      <w:numFmt w:val="bullet"/>
      <w:lvlText w:val=""/>
      <w:lvlJc w:val="left"/>
      <w:pPr>
        <w:ind w:left="3240" w:hanging="360"/>
      </w:pPr>
      <w:rPr>
        <w:rFonts w:ascii="Symbol" w:hAnsi="Symbol" w:hint="default"/>
      </w:rPr>
    </w:lvl>
    <w:lvl w:ilvl="4" w:tplc="2C3679BC" w:tentative="1">
      <w:start w:val="1"/>
      <w:numFmt w:val="bullet"/>
      <w:lvlText w:val="o"/>
      <w:lvlJc w:val="left"/>
      <w:pPr>
        <w:ind w:left="3960" w:hanging="360"/>
      </w:pPr>
      <w:rPr>
        <w:rFonts w:ascii="Courier New" w:hAnsi="Courier New" w:cs="Courier New" w:hint="default"/>
      </w:rPr>
    </w:lvl>
    <w:lvl w:ilvl="5" w:tplc="9DD0C5B0" w:tentative="1">
      <w:start w:val="1"/>
      <w:numFmt w:val="bullet"/>
      <w:lvlText w:val=""/>
      <w:lvlJc w:val="left"/>
      <w:pPr>
        <w:ind w:left="4680" w:hanging="360"/>
      </w:pPr>
      <w:rPr>
        <w:rFonts w:ascii="Wingdings" w:hAnsi="Wingdings" w:hint="default"/>
      </w:rPr>
    </w:lvl>
    <w:lvl w:ilvl="6" w:tplc="93EC6B60" w:tentative="1">
      <w:start w:val="1"/>
      <w:numFmt w:val="bullet"/>
      <w:lvlText w:val=""/>
      <w:lvlJc w:val="left"/>
      <w:pPr>
        <w:ind w:left="5400" w:hanging="360"/>
      </w:pPr>
      <w:rPr>
        <w:rFonts w:ascii="Symbol" w:hAnsi="Symbol" w:hint="default"/>
      </w:rPr>
    </w:lvl>
    <w:lvl w:ilvl="7" w:tplc="BBD42392" w:tentative="1">
      <w:start w:val="1"/>
      <w:numFmt w:val="bullet"/>
      <w:lvlText w:val="o"/>
      <w:lvlJc w:val="left"/>
      <w:pPr>
        <w:ind w:left="6120" w:hanging="360"/>
      </w:pPr>
      <w:rPr>
        <w:rFonts w:ascii="Courier New" w:hAnsi="Courier New" w:cs="Courier New" w:hint="default"/>
      </w:rPr>
    </w:lvl>
    <w:lvl w:ilvl="8" w:tplc="0B982D1A" w:tentative="1">
      <w:start w:val="1"/>
      <w:numFmt w:val="bullet"/>
      <w:lvlText w:val=""/>
      <w:lvlJc w:val="left"/>
      <w:pPr>
        <w:ind w:left="6840" w:hanging="360"/>
      </w:pPr>
      <w:rPr>
        <w:rFonts w:ascii="Wingdings" w:hAnsi="Wingdings" w:hint="default"/>
      </w:rPr>
    </w:lvl>
  </w:abstractNum>
  <w:abstractNum w:abstractNumId="4" w15:restartNumberingAfterBreak="0">
    <w:nsid w:val="3DF514E3"/>
    <w:multiLevelType w:val="hybridMultilevel"/>
    <w:tmpl w:val="DA64D578"/>
    <w:lvl w:ilvl="0" w:tplc="63E0EAA8">
      <w:start w:val="1"/>
      <w:numFmt w:val="bullet"/>
      <w:lvlText w:val=""/>
      <w:lvlJc w:val="left"/>
      <w:pPr>
        <w:ind w:left="720" w:hanging="360"/>
      </w:pPr>
      <w:rPr>
        <w:rFonts w:ascii="Symbol" w:hAnsi="Symbol" w:hint="default"/>
      </w:rPr>
    </w:lvl>
    <w:lvl w:ilvl="1" w:tplc="E15E8ADC" w:tentative="1">
      <w:start w:val="1"/>
      <w:numFmt w:val="bullet"/>
      <w:lvlText w:val="o"/>
      <w:lvlJc w:val="left"/>
      <w:pPr>
        <w:ind w:left="1440" w:hanging="360"/>
      </w:pPr>
      <w:rPr>
        <w:rFonts w:ascii="Courier New" w:hAnsi="Courier New" w:cs="Courier New" w:hint="default"/>
      </w:rPr>
    </w:lvl>
    <w:lvl w:ilvl="2" w:tplc="BCF457D0" w:tentative="1">
      <w:start w:val="1"/>
      <w:numFmt w:val="bullet"/>
      <w:lvlText w:val=""/>
      <w:lvlJc w:val="left"/>
      <w:pPr>
        <w:ind w:left="2160" w:hanging="360"/>
      </w:pPr>
      <w:rPr>
        <w:rFonts w:ascii="Wingdings" w:hAnsi="Wingdings" w:hint="default"/>
      </w:rPr>
    </w:lvl>
    <w:lvl w:ilvl="3" w:tplc="49DE244E" w:tentative="1">
      <w:start w:val="1"/>
      <w:numFmt w:val="bullet"/>
      <w:lvlText w:val=""/>
      <w:lvlJc w:val="left"/>
      <w:pPr>
        <w:ind w:left="2880" w:hanging="360"/>
      </w:pPr>
      <w:rPr>
        <w:rFonts w:ascii="Symbol" w:hAnsi="Symbol" w:hint="default"/>
      </w:rPr>
    </w:lvl>
    <w:lvl w:ilvl="4" w:tplc="34585D7C" w:tentative="1">
      <w:start w:val="1"/>
      <w:numFmt w:val="bullet"/>
      <w:lvlText w:val="o"/>
      <w:lvlJc w:val="left"/>
      <w:pPr>
        <w:ind w:left="3600" w:hanging="360"/>
      </w:pPr>
      <w:rPr>
        <w:rFonts w:ascii="Courier New" w:hAnsi="Courier New" w:cs="Courier New" w:hint="default"/>
      </w:rPr>
    </w:lvl>
    <w:lvl w:ilvl="5" w:tplc="E870A62A" w:tentative="1">
      <w:start w:val="1"/>
      <w:numFmt w:val="bullet"/>
      <w:lvlText w:val=""/>
      <w:lvlJc w:val="left"/>
      <w:pPr>
        <w:ind w:left="4320" w:hanging="360"/>
      </w:pPr>
      <w:rPr>
        <w:rFonts w:ascii="Wingdings" w:hAnsi="Wingdings" w:hint="default"/>
      </w:rPr>
    </w:lvl>
    <w:lvl w:ilvl="6" w:tplc="3EE40F70" w:tentative="1">
      <w:start w:val="1"/>
      <w:numFmt w:val="bullet"/>
      <w:lvlText w:val=""/>
      <w:lvlJc w:val="left"/>
      <w:pPr>
        <w:ind w:left="5040" w:hanging="360"/>
      </w:pPr>
      <w:rPr>
        <w:rFonts w:ascii="Symbol" w:hAnsi="Symbol" w:hint="default"/>
      </w:rPr>
    </w:lvl>
    <w:lvl w:ilvl="7" w:tplc="B6403152" w:tentative="1">
      <w:start w:val="1"/>
      <w:numFmt w:val="bullet"/>
      <w:lvlText w:val="o"/>
      <w:lvlJc w:val="left"/>
      <w:pPr>
        <w:ind w:left="5760" w:hanging="360"/>
      </w:pPr>
      <w:rPr>
        <w:rFonts w:ascii="Courier New" w:hAnsi="Courier New" w:cs="Courier New" w:hint="default"/>
      </w:rPr>
    </w:lvl>
    <w:lvl w:ilvl="8" w:tplc="6AF485EC" w:tentative="1">
      <w:start w:val="1"/>
      <w:numFmt w:val="bullet"/>
      <w:lvlText w:val=""/>
      <w:lvlJc w:val="left"/>
      <w:pPr>
        <w:ind w:left="6480" w:hanging="360"/>
      </w:pPr>
      <w:rPr>
        <w:rFonts w:ascii="Wingdings" w:hAnsi="Wingdings" w:hint="default"/>
      </w:rPr>
    </w:lvl>
  </w:abstractNum>
  <w:abstractNum w:abstractNumId="5" w15:restartNumberingAfterBreak="0">
    <w:nsid w:val="44D27C8C"/>
    <w:multiLevelType w:val="hybridMultilevel"/>
    <w:tmpl w:val="9DB223AA"/>
    <w:lvl w:ilvl="0" w:tplc="581CBCEE">
      <w:start w:val="1"/>
      <w:numFmt w:val="bullet"/>
      <w:lvlText w:val=""/>
      <w:lvlJc w:val="left"/>
      <w:pPr>
        <w:ind w:left="720" w:hanging="360"/>
      </w:pPr>
      <w:rPr>
        <w:rFonts w:ascii="Symbol" w:hAnsi="Symbol" w:hint="default"/>
      </w:rPr>
    </w:lvl>
    <w:lvl w:ilvl="1" w:tplc="A8987718" w:tentative="1">
      <w:start w:val="1"/>
      <w:numFmt w:val="bullet"/>
      <w:lvlText w:val="o"/>
      <w:lvlJc w:val="left"/>
      <w:pPr>
        <w:ind w:left="1440" w:hanging="360"/>
      </w:pPr>
      <w:rPr>
        <w:rFonts w:ascii="Courier New" w:hAnsi="Courier New" w:cs="Courier New" w:hint="default"/>
      </w:rPr>
    </w:lvl>
    <w:lvl w:ilvl="2" w:tplc="456A44A6" w:tentative="1">
      <w:start w:val="1"/>
      <w:numFmt w:val="bullet"/>
      <w:lvlText w:val=""/>
      <w:lvlJc w:val="left"/>
      <w:pPr>
        <w:ind w:left="2160" w:hanging="360"/>
      </w:pPr>
      <w:rPr>
        <w:rFonts w:ascii="Wingdings" w:hAnsi="Wingdings" w:hint="default"/>
      </w:rPr>
    </w:lvl>
    <w:lvl w:ilvl="3" w:tplc="EFC87CAC" w:tentative="1">
      <w:start w:val="1"/>
      <w:numFmt w:val="bullet"/>
      <w:lvlText w:val=""/>
      <w:lvlJc w:val="left"/>
      <w:pPr>
        <w:ind w:left="2880" w:hanging="360"/>
      </w:pPr>
      <w:rPr>
        <w:rFonts w:ascii="Symbol" w:hAnsi="Symbol" w:hint="default"/>
      </w:rPr>
    </w:lvl>
    <w:lvl w:ilvl="4" w:tplc="46D23974" w:tentative="1">
      <w:start w:val="1"/>
      <w:numFmt w:val="bullet"/>
      <w:lvlText w:val="o"/>
      <w:lvlJc w:val="left"/>
      <w:pPr>
        <w:ind w:left="3600" w:hanging="360"/>
      </w:pPr>
      <w:rPr>
        <w:rFonts w:ascii="Courier New" w:hAnsi="Courier New" w:cs="Courier New" w:hint="default"/>
      </w:rPr>
    </w:lvl>
    <w:lvl w:ilvl="5" w:tplc="6E4239B2" w:tentative="1">
      <w:start w:val="1"/>
      <w:numFmt w:val="bullet"/>
      <w:lvlText w:val=""/>
      <w:lvlJc w:val="left"/>
      <w:pPr>
        <w:ind w:left="4320" w:hanging="360"/>
      </w:pPr>
      <w:rPr>
        <w:rFonts w:ascii="Wingdings" w:hAnsi="Wingdings" w:hint="default"/>
      </w:rPr>
    </w:lvl>
    <w:lvl w:ilvl="6" w:tplc="EDB602B8" w:tentative="1">
      <w:start w:val="1"/>
      <w:numFmt w:val="bullet"/>
      <w:lvlText w:val=""/>
      <w:lvlJc w:val="left"/>
      <w:pPr>
        <w:ind w:left="5040" w:hanging="360"/>
      </w:pPr>
      <w:rPr>
        <w:rFonts w:ascii="Symbol" w:hAnsi="Symbol" w:hint="default"/>
      </w:rPr>
    </w:lvl>
    <w:lvl w:ilvl="7" w:tplc="BA90DDC6" w:tentative="1">
      <w:start w:val="1"/>
      <w:numFmt w:val="bullet"/>
      <w:lvlText w:val="o"/>
      <w:lvlJc w:val="left"/>
      <w:pPr>
        <w:ind w:left="5760" w:hanging="360"/>
      </w:pPr>
      <w:rPr>
        <w:rFonts w:ascii="Courier New" w:hAnsi="Courier New" w:cs="Courier New" w:hint="default"/>
      </w:rPr>
    </w:lvl>
    <w:lvl w:ilvl="8" w:tplc="91FE3B2E" w:tentative="1">
      <w:start w:val="1"/>
      <w:numFmt w:val="bullet"/>
      <w:lvlText w:val=""/>
      <w:lvlJc w:val="left"/>
      <w:pPr>
        <w:ind w:left="6480" w:hanging="360"/>
      </w:pPr>
      <w:rPr>
        <w:rFonts w:ascii="Wingdings" w:hAnsi="Wingdings" w:hint="default"/>
      </w:rPr>
    </w:lvl>
  </w:abstractNum>
  <w:abstractNum w:abstractNumId="6" w15:restartNumberingAfterBreak="0">
    <w:nsid w:val="4E57193C"/>
    <w:multiLevelType w:val="multilevel"/>
    <w:tmpl w:val="8450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8B5375"/>
    <w:multiLevelType w:val="hybridMultilevel"/>
    <w:tmpl w:val="BF802DC0"/>
    <w:lvl w:ilvl="0" w:tplc="6DA01DF2">
      <w:start w:val="1"/>
      <w:numFmt w:val="decimal"/>
      <w:lvlText w:val="%1."/>
      <w:lvlJc w:val="left"/>
      <w:pPr>
        <w:ind w:left="1440" w:hanging="720"/>
      </w:pPr>
      <w:rPr>
        <w:rFonts w:hint="default"/>
        <w:i/>
      </w:rPr>
    </w:lvl>
    <w:lvl w:ilvl="1" w:tplc="3B4C4E06" w:tentative="1">
      <w:start w:val="1"/>
      <w:numFmt w:val="lowerLetter"/>
      <w:lvlText w:val="%2."/>
      <w:lvlJc w:val="left"/>
      <w:pPr>
        <w:ind w:left="1800" w:hanging="360"/>
      </w:pPr>
    </w:lvl>
    <w:lvl w:ilvl="2" w:tplc="B420BA32" w:tentative="1">
      <w:start w:val="1"/>
      <w:numFmt w:val="lowerRoman"/>
      <w:lvlText w:val="%3."/>
      <w:lvlJc w:val="right"/>
      <w:pPr>
        <w:ind w:left="2520" w:hanging="180"/>
      </w:pPr>
    </w:lvl>
    <w:lvl w:ilvl="3" w:tplc="C4C66702" w:tentative="1">
      <w:start w:val="1"/>
      <w:numFmt w:val="decimal"/>
      <w:lvlText w:val="%4."/>
      <w:lvlJc w:val="left"/>
      <w:pPr>
        <w:ind w:left="3240" w:hanging="360"/>
      </w:pPr>
    </w:lvl>
    <w:lvl w:ilvl="4" w:tplc="440E61AC" w:tentative="1">
      <w:start w:val="1"/>
      <w:numFmt w:val="lowerLetter"/>
      <w:lvlText w:val="%5."/>
      <w:lvlJc w:val="left"/>
      <w:pPr>
        <w:ind w:left="3960" w:hanging="360"/>
      </w:pPr>
    </w:lvl>
    <w:lvl w:ilvl="5" w:tplc="771C065A" w:tentative="1">
      <w:start w:val="1"/>
      <w:numFmt w:val="lowerRoman"/>
      <w:lvlText w:val="%6."/>
      <w:lvlJc w:val="right"/>
      <w:pPr>
        <w:ind w:left="4680" w:hanging="180"/>
      </w:pPr>
    </w:lvl>
    <w:lvl w:ilvl="6" w:tplc="E4507740" w:tentative="1">
      <w:start w:val="1"/>
      <w:numFmt w:val="decimal"/>
      <w:lvlText w:val="%7."/>
      <w:lvlJc w:val="left"/>
      <w:pPr>
        <w:ind w:left="5400" w:hanging="360"/>
      </w:pPr>
    </w:lvl>
    <w:lvl w:ilvl="7" w:tplc="567C499C" w:tentative="1">
      <w:start w:val="1"/>
      <w:numFmt w:val="lowerLetter"/>
      <w:lvlText w:val="%8."/>
      <w:lvlJc w:val="left"/>
      <w:pPr>
        <w:ind w:left="6120" w:hanging="360"/>
      </w:pPr>
    </w:lvl>
    <w:lvl w:ilvl="8" w:tplc="40DE180A" w:tentative="1">
      <w:start w:val="1"/>
      <w:numFmt w:val="lowerRoman"/>
      <w:lvlText w:val="%9."/>
      <w:lvlJc w:val="right"/>
      <w:pPr>
        <w:ind w:left="6840" w:hanging="180"/>
      </w:pPr>
    </w:lvl>
  </w:abstractNum>
  <w:abstractNum w:abstractNumId="8" w15:restartNumberingAfterBreak="0">
    <w:nsid w:val="5CA32A73"/>
    <w:multiLevelType w:val="hybridMultilevel"/>
    <w:tmpl w:val="C498967C"/>
    <w:lvl w:ilvl="0" w:tplc="9B1AAA30">
      <w:start w:val="1"/>
      <w:numFmt w:val="decimal"/>
      <w:lvlText w:val="%1."/>
      <w:lvlJc w:val="left"/>
      <w:pPr>
        <w:ind w:left="1080" w:hanging="720"/>
      </w:pPr>
      <w:rPr>
        <w:rFonts w:hint="default"/>
      </w:rPr>
    </w:lvl>
    <w:lvl w:ilvl="1" w:tplc="5FDC0230" w:tentative="1">
      <w:start w:val="1"/>
      <w:numFmt w:val="lowerLetter"/>
      <w:lvlText w:val="%2."/>
      <w:lvlJc w:val="left"/>
      <w:pPr>
        <w:ind w:left="1440" w:hanging="360"/>
      </w:pPr>
    </w:lvl>
    <w:lvl w:ilvl="2" w:tplc="56985C3A" w:tentative="1">
      <w:start w:val="1"/>
      <w:numFmt w:val="lowerRoman"/>
      <w:lvlText w:val="%3."/>
      <w:lvlJc w:val="right"/>
      <w:pPr>
        <w:ind w:left="2160" w:hanging="180"/>
      </w:pPr>
    </w:lvl>
    <w:lvl w:ilvl="3" w:tplc="AA806DA2" w:tentative="1">
      <w:start w:val="1"/>
      <w:numFmt w:val="decimal"/>
      <w:lvlText w:val="%4."/>
      <w:lvlJc w:val="left"/>
      <w:pPr>
        <w:ind w:left="2880" w:hanging="360"/>
      </w:pPr>
    </w:lvl>
    <w:lvl w:ilvl="4" w:tplc="817C1226" w:tentative="1">
      <w:start w:val="1"/>
      <w:numFmt w:val="lowerLetter"/>
      <w:lvlText w:val="%5."/>
      <w:lvlJc w:val="left"/>
      <w:pPr>
        <w:ind w:left="3600" w:hanging="360"/>
      </w:pPr>
    </w:lvl>
    <w:lvl w:ilvl="5" w:tplc="BEE852F2" w:tentative="1">
      <w:start w:val="1"/>
      <w:numFmt w:val="lowerRoman"/>
      <w:lvlText w:val="%6."/>
      <w:lvlJc w:val="right"/>
      <w:pPr>
        <w:ind w:left="4320" w:hanging="180"/>
      </w:pPr>
    </w:lvl>
    <w:lvl w:ilvl="6" w:tplc="682001E2" w:tentative="1">
      <w:start w:val="1"/>
      <w:numFmt w:val="decimal"/>
      <w:lvlText w:val="%7."/>
      <w:lvlJc w:val="left"/>
      <w:pPr>
        <w:ind w:left="5040" w:hanging="360"/>
      </w:pPr>
    </w:lvl>
    <w:lvl w:ilvl="7" w:tplc="A4EC742A" w:tentative="1">
      <w:start w:val="1"/>
      <w:numFmt w:val="lowerLetter"/>
      <w:lvlText w:val="%8."/>
      <w:lvlJc w:val="left"/>
      <w:pPr>
        <w:ind w:left="5760" w:hanging="360"/>
      </w:pPr>
    </w:lvl>
    <w:lvl w:ilvl="8" w:tplc="1332E51A" w:tentative="1">
      <w:start w:val="1"/>
      <w:numFmt w:val="lowerRoman"/>
      <w:lvlText w:val="%9."/>
      <w:lvlJc w:val="right"/>
      <w:pPr>
        <w:ind w:left="6480" w:hanging="180"/>
      </w:pPr>
    </w:lvl>
  </w:abstractNum>
  <w:abstractNum w:abstractNumId="9" w15:restartNumberingAfterBreak="0">
    <w:nsid w:val="62702C3F"/>
    <w:multiLevelType w:val="hybridMultilevel"/>
    <w:tmpl w:val="51AA6DFE"/>
    <w:lvl w:ilvl="0" w:tplc="7CD46B62">
      <w:start w:val="1"/>
      <w:numFmt w:val="bullet"/>
      <w:lvlText w:val=""/>
      <w:lvlJc w:val="left"/>
      <w:pPr>
        <w:ind w:left="720" w:hanging="360"/>
      </w:pPr>
      <w:rPr>
        <w:rFonts w:ascii="Symbol" w:hAnsi="Symbol" w:hint="default"/>
      </w:rPr>
    </w:lvl>
    <w:lvl w:ilvl="1" w:tplc="1B56FAC2" w:tentative="1">
      <w:start w:val="1"/>
      <w:numFmt w:val="bullet"/>
      <w:lvlText w:val="o"/>
      <w:lvlJc w:val="left"/>
      <w:pPr>
        <w:ind w:left="1440" w:hanging="360"/>
      </w:pPr>
      <w:rPr>
        <w:rFonts w:ascii="Courier New" w:hAnsi="Courier New" w:cs="Courier New" w:hint="default"/>
      </w:rPr>
    </w:lvl>
    <w:lvl w:ilvl="2" w:tplc="7B5AAFA6" w:tentative="1">
      <w:start w:val="1"/>
      <w:numFmt w:val="bullet"/>
      <w:lvlText w:val=""/>
      <w:lvlJc w:val="left"/>
      <w:pPr>
        <w:ind w:left="2160" w:hanging="360"/>
      </w:pPr>
      <w:rPr>
        <w:rFonts w:ascii="Wingdings" w:hAnsi="Wingdings" w:hint="default"/>
      </w:rPr>
    </w:lvl>
    <w:lvl w:ilvl="3" w:tplc="0FA204A8" w:tentative="1">
      <w:start w:val="1"/>
      <w:numFmt w:val="bullet"/>
      <w:lvlText w:val=""/>
      <w:lvlJc w:val="left"/>
      <w:pPr>
        <w:ind w:left="2880" w:hanging="360"/>
      </w:pPr>
      <w:rPr>
        <w:rFonts w:ascii="Symbol" w:hAnsi="Symbol" w:hint="default"/>
      </w:rPr>
    </w:lvl>
    <w:lvl w:ilvl="4" w:tplc="06F439BE" w:tentative="1">
      <w:start w:val="1"/>
      <w:numFmt w:val="bullet"/>
      <w:lvlText w:val="o"/>
      <w:lvlJc w:val="left"/>
      <w:pPr>
        <w:ind w:left="3600" w:hanging="360"/>
      </w:pPr>
      <w:rPr>
        <w:rFonts w:ascii="Courier New" w:hAnsi="Courier New" w:cs="Courier New" w:hint="default"/>
      </w:rPr>
    </w:lvl>
    <w:lvl w:ilvl="5" w:tplc="B9EAB81C" w:tentative="1">
      <w:start w:val="1"/>
      <w:numFmt w:val="bullet"/>
      <w:lvlText w:val=""/>
      <w:lvlJc w:val="left"/>
      <w:pPr>
        <w:ind w:left="4320" w:hanging="360"/>
      </w:pPr>
      <w:rPr>
        <w:rFonts w:ascii="Wingdings" w:hAnsi="Wingdings" w:hint="default"/>
      </w:rPr>
    </w:lvl>
    <w:lvl w:ilvl="6" w:tplc="8CECC0EE" w:tentative="1">
      <w:start w:val="1"/>
      <w:numFmt w:val="bullet"/>
      <w:lvlText w:val=""/>
      <w:lvlJc w:val="left"/>
      <w:pPr>
        <w:ind w:left="5040" w:hanging="360"/>
      </w:pPr>
      <w:rPr>
        <w:rFonts w:ascii="Symbol" w:hAnsi="Symbol" w:hint="default"/>
      </w:rPr>
    </w:lvl>
    <w:lvl w:ilvl="7" w:tplc="20F24B60" w:tentative="1">
      <w:start w:val="1"/>
      <w:numFmt w:val="bullet"/>
      <w:lvlText w:val="o"/>
      <w:lvlJc w:val="left"/>
      <w:pPr>
        <w:ind w:left="5760" w:hanging="360"/>
      </w:pPr>
      <w:rPr>
        <w:rFonts w:ascii="Courier New" w:hAnsi="Courier New" w:cs="Courier New" w:hint="default"/>
      </w:rPr>
    </w:lvl>
    <w:lvl w:ilvl="8" w:tplc="05BC4632" w:tentative="1">
      <w:start w:val="1"/>
      <w:numFmt w:val="bullet"/>
      <w:lvlText w:val=""/>
      <w:lvlJc w:val="left"/>
      <w:pPr>
        <w:ind w:left="6480" w:hanging="360"/>
      </w:pPr>
      <w:rPr>
        <w:rFonts w:ascii="Wingdings" w:hAnsi="Wingdings" w:hint="default"/>
      </w:rPr>
    </w:lvl>
  </w:abstractNum>
  <w:abstractNum w:abstractNumId="10" w15:restartNumberingAfterBreak="0">
    <w:nsid w:val="66D83CB7"/>
    <w:multiLevelType w:val="hybridMultilevel"/>
    <w:tmpl w:val="1570C81C"/>
    <w:lvl w:ilvl="0" w:tplc="D5628EDA">
      <w:start w:val="1"/>
      <w:numFmt w:val="decimal"/>
      <w:lvlText w:val="%1."/>
      <w:lvlJc w:val="left"/>
      <w:pPr>
        <w:ind w:left="720" w:hanging="360"/>
      </w:pPr>
    </w:lvl>
    <w:lvl w:ilvl="1" w:tplc="AA24B594" w:tentative="1">
      <w:start w:val="1"/>
      <w:numFmt w:val="lowerLetter"/>
      <w:lvlText w:val="%2."/>
      <w:lvlJc w:val="left"/>
      <w:pPr>
        <w:ind w:left="1440" w:hanging="360"/>
      </w:pPr>
    </w:lvl>
    <w:lvl w:ilvl="2" w:tplc="5C3CD7EC" w:tentative="1">
      <w:start w:val="1"/>
      <w:numFmt w:val="lowerRoman"/>
      <w:lvlText w:val="%3."/>
      <w:lvlJc w:val="right"/>
      <w:pPr>
        <w:ind w:left="2160" w:hanging="180"/>
      </w:pPr>
    </w:lvl>
    <w:lvl w:ilvl="3" w:tplc="EFF0894A" w:tentative="1">
      <w:start w:val="1"/>
      <w:numFmt w:val="decimal"/>
      <w:lvlText w:val="%4."/>
      <w:lvlJc w:val="left"/>
      <w:pPr>
        <w:ind w:left="2880" w:hanging="360"/>
      </w:pPr>
    </w:lvl>
    <w:lvl w:ilvl="4" w:tplc="6D0A9C48" w:tentative="1">
      <w:start w:val="1"/>
      <w:numFmt w:val="lowerLetter"/>
      <w:lvlText w:val="%5."/>
      <w:lvlJc w:val="left"/>
      <w:pPr>
        <w:ind w:left="3600" w:hanging="360"/>
      </w:pPr>
    </w:lvl>
    <w:lvl w:ilvl="5" w:tplc="171E3E5E" w:tentative="1">
      <w:start w:val="1"/>
      <w:numFmt w:val="lowerRoman"/>
      <w:lvlText w:val="%6."/>
      <w:lvlJc w:val="right"/>
      <w:pPr>
        <w:ind w:left="4320" w:hanging="180"/>
      </w:pPr>
    </w:lvl>
    <w:lvl w:ilvl="6" w:tplc="2AECE602" w:tentative="1">
      <w:start w:val="1"/>
      <w:numFmt w:val="decimal"/>
      <w:lvlText w:val="%7."/>
      <w:lvlJc w:val="left"/>
      <w:pPr>
        <w:ind w:left="5040" w:hanging="360"/>
      </w:pPr>
    </w:lvl>
    <w:lvl w:ilvl="7" w:tplc="93687ED6" w:tentative="1">
      <w:start w:val="1"/>
      <w:numFmt w:val="lowerLetter"/>
      <w:lvlText w:val="%8."/>
      <w:lvlJc w:val="left"/>
      <w:pPr>
        <w:ind w:left="5760" w:hanging="360"/>
      </w:pPr>
    </w:lvl>
    <w:lvl w:ilvl="8" w:tplc="507E606A" w:tentative="1">
      <w:start w:val="1"/>
      <w:numFmt w:val="lowerRoman"/>
      <w:lvlText w:val="%9."/>
      <w:lvlJc w:val="right"/>
      <w:pPr>
        <w:ind w:left="6480" w:hanging="180"/>
      </w:pPr>
    </w:lvl>
  </w:abstractNum>
  <w:abstractNum w:abstractNumId="11" w15:restartNumberingAfterBreak="0">
    <w:nsid w:val="742A4C5A"/>
    <w:multiLevelType w:val="hybridMultilevel"/>
    <w:tmpl w:val="DE108A20"/>
    <w:lvl w:ilvl="0" w:tplc="D4125562">
      <w:start w:val="1"/>
      <w:numFmt w:val="decimal"/>
      <w:lvlText w:val="%1."/>
      <w:lvlJc w:val="left"/>
      <w:pPr>
        <w:ind w:left="1440" w:hanging="720"/>
      </w:pPr>
      <w:rPr>
        <w:rFonts w:hint="default"/>
        <w:i w:val="0"/>
      </w:rPr>
    </w:lvl>
    <w:lvl w:ilvl="1" w:tplc="1ACC5AF6">
      <w:start w:val="1"/>
      <w:numFmt w:val="lowerLetter"/>
      <w:lvlText w:val="%2."/>
      <w:lvlJc w:val="left"/>
      <w:pPr>
        <w:ind w:left="1800" w:hanging="360"/>
      </w:pPr>
    </w:lvl>
    <w:lvl w:ilvl="2" w:tplc="ECC84932" w:tentative="1">
      <w:start w:val="1"/>
      <w:numFmt w:val="lowerRoman"/>
      <w:lvlText w:val="%3."/>
      <w:lvlJc w:val="right"/>
      <w:pPr>
        <w:ind w:left="2520" w:hanging="180"/>
      </w:pPr>
    </w:lvl>
    <w:lvl w:ilvl="3" w:tplc="9B74432A" w:tentative="1">
      <w:start w:val="1"/>
      <w:numFmt w:val="decimal"/>
      <w:lvlText w:val="%4."/>
      <w:lvlJc w:val="left"/>
      <w:pPr>
        <w:ind w:left="3240" w:hanging="360"/>
      </w:pPr>
    </w:lvl>
    <w:lvl w:ilvl="4" w:tplc="10D050E2" w:tentative="1">
      <w:start w:val="1"/>
      <w:numFmt w:val="lowerLetter"/>
      <w:lvlText w:val="%5."/>
      <w:lvlJc w:val="left"/>
      <w:pPr>
        <w:ind w:left="3960" w:hanging="360"/>
      </w:pPr>
    </w:lvl>
    <w:lvl w:ilvl="5" w:tplc="7A00ACF6" w:tentative="1">
      <w:start w:val="1"/>
      <w:numFmt w:val="lowerRoman"/>
      <w:lvlText w:val="%6."/>
      <w:lvlJc w:val="right"/>
      <w:pPr>
        <w:ind w:left="4680" w:hanging="180"/>
      </w:pPr>
    </w:lvl>
    <w:lvl w:ilvl="6" w:tplc="D4BE211A" w:tentative="1">
      <w:start w:val="1"/>
      <w:numFmt w:val="decimal"/>
      <w:lvlText w:val="%7."/>
      <w:lvlJc w:val="left"/>
      <w:pPr>
        <w:ind w:left="5400" w:hanging="360"/>
      </w:pPr>
    </w:lvl>
    <w:lvl w:ilvl="7" w:tplc="3E046D40" w:tentative="1">
      <w:start w:val="1"/>
      <w:numFmt w:val="lowerLetter"/>
      <w:lvlText w:val="%8."/>
      <w:lvlJc w:val="left"/>
      <w:pPr>
        <w:ind w:left="6120" w:hanging="360"/>
      </w:pPr>
    </w:lvl>
    <w:lvl w:ilvl="8" w:tplc="9C866FA2" w:tentative="1">
      <w:start w:val="1"/>
      <w:numFmt w:val="lowerRoman"/>
      <w:lvlText w:val="%9."/>
      <w:lvlJc w:val="right"/>
      <w:pPr>
        <w:ind w:left="6840" w:hanging="180"/>
      </w:pPr>
    </w:lvl>
  </w:abstractNum>
  <w:abstractNum w:abstractNumId="12" w15:restartNumberingAfterBreak="0">
    <w:nsid w:val="751622CC"/>
    <w:multiLevelType w:val="hybridMultilevel"/>
    <w:tmpl w:val="ECD06BB0"/>
    <w:lvl w:ilvl="0" w:tplc="EE32A9E0">
      <w:start w:val="1"/>
      <w:numFmt w:val="decimal"/>
      <w:lvlText w:val="%1."/>
      <w:lvlJc w:val="left"/>
      <w:pPr>
        <w:ind w:left="720" w:hanging="360"/>
      </w:pPr>
      <w:rPr>
        <w:rFonts w:hint="default"/>
        <w:i w:val="0"/>
      </w:rPr>
    </w:lvl>
    <w:lvl w:ilvl="1" w:tplc="95C8ACB0" w:tentative="1">
      <w:start w:val="1"/>
      <w:numFmt w:val="lowerLetter"/>
      <w:lvlText w:val="%2."/>
      <w:lvlJc w:val="left"/>
      <w:pPr>
        <w:ind w:left="1440" w:hanging="360"/>
      </w:pPr>
    </w:lvl>
    <w:lvl w:ilvl="2" w:tplc="782EEA7E" w:tentative="1">
      <w:start w:val="1"/>
      <w:numFmt w:val="lowerRoman"/>
      <w:lvlText w:val="%3."/>
      <w:lvlJc w:val="right"/>
      <w:pPr>
        <w:ind w:left="2160" w:hanging="180"/>
      </w:pPr>
    </w:lvl>
    <w:lvl w:ilvl="3" w:tplc="629098E4" w:tentative="1">
      <w:start w:val="1"/>
      <w:numFmt w:val="decimal"/>
      <w:lvlText w:val="%4."/>
      <w:lvlJc w:val="left"/>
      <w:pPr>
        <w:ind w:left="2880" w:hanging="360"/>
      </w:pPr>
    </w:lvl>
    <w:lvl w:ilvl="4" w:tplc="D42AE6C4" w:tentative="1">
      <w:start w:val="1"/>
      <w:numFmt w:val="lowerLetter"/>
      <w:lvlText w:val="%5."/>
      <w:lvlJc w:val="left"/>
      <w:pPr>
        <w:ind w:left="3600" w:hanging="360"/>
      </w:pPr>
    </w:lvl>
    <w:lvl w:ilvl="5" w:tplc="73DC5BE8" w:tentative="1">
      <w:start w:val="1"/>
      <w:numFmt w:val="lowerRoman"/>
      <w:lvlText w:val="%6."/>
      <w:lvlJc w:val="right"/>
      <w:pPr>
        <w:ind w:left="4320" w:hanging="180"/>
      </w:pPr>
    </w:lvl>
    <w:lvl w:ilvl="6" w:tplc="2AD0B530" w:tentative="1">
      <w:start w:val="1"/>
      <w:numFmt w:val="decimal"/>
      <w:lvlText w:val="%7."/>
      <w:lvlJc w:val="left"/>
      <w:pPr>
        <w:ind w:left="5040" w:hanging="360"/>
      </w:pPr>
    </w:lvl>
    <w:lvl w:ilvl="7" w:tplc="8D02F128" w:tentative="1">
      <w:start w:val="1"/>
      <w:numFmt w:val="lowerLetter"/>
      <w:lvlText w:val="%8."/>
      <w:lvlJc w:val="left"/>
      <w:pPr>
        <w:ind w:left="5760" w:hanging="360"/>
      </w:pPr>
    </w:lvl>
    <w:lvl w:ilvl="8" w:tplc="33D02DBA" w:tentative="1">
      <w:start w:val="1"/>
      <w:numFmt w:val="lowerRoman"/>
      <w:lvlText w:val="%9."/>
      <w:lvlJc w:val="right"/>
      <w:pPr>
        <w:ind w:left="6480" w:hanging="180"/>
      </w:pPr>
    </w:lvl>
  </w:abstractNum>
  <w:abstractNum w:abstractNumId="13" w15:restartNumberingAfterBreak="0">
    <w:nsid w:val="7608570F"/>
    <w:multiLevelType w:val="hybridMultilevel"/>
    <w:tmpl w:val="2D3EF33C"/>
    <w:lvl w:ilvl="0" w:tplc="12EE7FB8">
      <w:start w:val="3"/>
      <w:numFmt w:val="bullet"/>
      <w:lvlText w:val="-"/>
      <w:lvlJc w:val="left"/>
      <w:pPr>
        <w:ind w:left="1080" w:hanging="360"/>
      </w:pPr>
      <w:rPr>
        <w:rFonts w:ascii="Century Schoolbook" w:eastAsiaTheme="minorHAnsi" w:hAnsi="Century Schoolbook" w:cstheme="minorBidi" w:hint="default"/>
      </w:rPr>
    </w:lvl>
    <w:lvl w:ilvl="1" w:tplc="1D245E8C" w:tentative="1">
      <w:start w:val="1"/>
      <w:numFmt w:val="bullet"/>
      <w:lvlText w:val="o"/>
      <w:lvlJc w:val="left"/>
      <w:pPr>
        <w:ind w:left="1800" w:hanging="360"/>
      </w:pPr>
      <w:rPr>
        <w:rFonts w:ascii="Courier New" w:hAnsi="Courier New" w:cs="Courier New" w:hint="default"/>
      </w:rPr>
    </w:lvl>
    <w:lvl w:ilvl="2" w:tplc="83A2496A" w:tentative="1">
      <w:start w:val="1"/>
      <w:numFmt w:val="bullet"/>
      <w:lvlText w:val=""/>
      <w:lvlJc w:val="left"/>
      <w:pPr>
        <w:ind w:left="2520" w:hanging="360"/>
      </w:pPr>
      <w:rPr>
        <w:rFonts w:ascii="Wingdings" w:hAnsi="Wingdings" w:hint="default"/>
      </w:rPr>
    </w:lvl>
    <w:lvl w:ilvl="3" w:tplc="DA847D48" w:tentative="1">
      <w:start w:val="1"/>
      <w:numFmt w:val="bullet"/>
      <w:lvlText w:val=""/>
      <w:lvlJc w:val="left"/>
      <w:pPr>
        <w:ind w:left="3240" w:hanging="360"/>
      </w:pPr>
      <w:rPr>
        <w:rFonts w:ascii="Symbol" w:hAnsi="Symbol" w:hint="default"/>
      </w:rPr>
    </w:lvl>
    <w:lvl w:ilvl="4" w:tplc="D3F86700" w:tentative="1">
      <w:start w:val="1"/>
      <w:numFmt w:val="bullet"/>
      <w:lvlText w:val="o"/>
      <w:lvlJc w:val="left"/>
      <w:pPr>
        <w:ind w:left="3960" w:hanging="360"/>
      </w:pPr>
      <w:rPr>
        <w:rFonts w:ascii="Courier New" w:hAnsi="Courier New" w:cs="Courier New" w:hint="default"/>
      </w:rPr>
    </w:lvl>
    <w:lvl w:ilvl="5" w:tplc="F488AD14" w:tentative="1">
      <w:start w:val="1"/>
      <w:numFmt w:val="bullet"/>
      <w:lvlText w:val=""/>
      <w:lvlJc w:val="left"/>
      <w:pPr>
        <w:ind w:left="4680" w:hanging="360"/>
      </w:pPr>
      <w:rPr>
        <w:rFonts w:ascii="Wingdings" w:hAnsi="Wingdings" w:hint="default"/>
      </w:rPr>
    </w:lvl>
    <w:lvl w:ilvl="6" w:tplc="53B82092" w:tentative="1">
      <w:start w:val="1"/>
      <w:numFmt w:val="bullet"/>
      <w:lvlText w:val=""/>
      <w:lvlJc w:val="left"/>
      <w:pPr>
        <w:ind w:left="5400" w:hanging="360"/>
      </w:pPr>
      <w:rPr>
        <w:rFonts w:ascii="Symbol" w:hAnsi="Symbol" w:hint="default"/>
      </w:rPr>
    </w:lvl>
    <w:lvl w:ilvl="7" w:tplc="D2A4889E" w:tentative="1">
      <w:start w:val="1"/>
      <w:numFmt w:val="bullet"/>
      <w:lvlText w:val="o"/>
      <w:lvlJc w:val="left"/>
      <w:pPr>
        <w:ind w:left="6120" w:hanging="360"/>
      </w:pPr>
      <w:rPr>
        <w:rFonts w:ascii="Courier New" w:hAnsi="Courier New" w:cs="Courier New" w:hint="default"/>
      </w:rPr>
    </w:lvl>
    <w:lvl w:ilvl="8" w:tplc="83688BB6" w:tentative="1">
      <w:start w:val="1"/>
      <w:numFmt w:val="bullet"/>
      <w:lvlText w:val=""/>
      <w:lvlJc w:val="left"/>
      <w:pPr>
        <w:ind w:left="6840" w:hanging="360"/>
      </w:pPr>
      <w:rPr>
        <w:rFonts w:ascii="Wingdings" w:hAnsi="Wingdings" w:hint="default"/>
      </w:rPr>
    </w:lvl>
  </w:abstractNum>
  <w:abstractNum w:abstractNumId="14" w15:restartNumberingAfterBreak="0">
    <w:nsid w:val="7B665908"/>
    <w:multiLevelType w:val="hybridMultilevel"/>
    <w:tmpl w:val="ACEA0690"/>
    <w:lvl w:ilvl="0" w:tplc="1A6292C2">
      <w:start w:val="1"/>
      <w:numFmt w:val="bullet"/>
      <w:lvlText w:val=""/>
      <w:lvlJc w:val="left"/>
      <w:pPr>
        <w:ind w:left="720" w:hanging="360"/>
      </w:pPr>
      <w:rPr>
        <w:rFonts w:ascii="Symbol" w:hAnsi="Symbol" w:hint="default"/>
      </w:rPr>
    </w:lvl>
    <w:lvl w:ilvl="1" w:tplc="AEFEE4BA" w:tentative="1">
      <w:start w:val="1"/>
      <w:numFmt w:val="bullet"/>
      <w:lvlText w:val="o"/>
      <w:lvlJc w:val="left"/>
      <w:pPr>
        <w:ind w:left="1440" w:hanging="360"/>
      </w:pPr>
      <w:rPr>
        <w:rFonts w:ascii="Courier New" w:hAnsi="Courier New" w:cs="Courier New" w:hint="default"/>
      </w:rPr>
    </w:lvl>
    <w:lvl w:ilvl="2" w:tplc="4704D582" w:tentative="1">
      <w:start w:val="1"/>
      <w:numFmt w:val="bullet"/>
      <w:lvlText w:val=""/>
      <w:lvlJc w:val="left"/>
      <w:pPr>
        <w:ind w:left="2160" w:hanging="360"/>
      </w:pPr>
      <w:rPr>
        <w:rFonts w:ascii="Wingdings" w:hAnsi="Wingdings" w:hint="default"/>
      </w:rPr>
    </w:lvl>
    <w:lvl w:ilvl="3" w:tplc="8CAC4BA8" w:tentative="1">
      <w:start w:val="1"/>
      <w:numFmt w:val="bullet"/>
      <w:lvlText w:val=""/>
      <w:lvlJc w:val="left"/>
      <w:pPr>
        <w:ind w:left="2880" w:hanging="360"/>
      </w:pPr>
      <w:rPr>
        <w:rFonts w:ascii="Symbol" w:hAnsi="Symbol" w:hint="default"/>
      </w:rPr>
    </w:lvl>
    <w:lvl w:ilvl="4" w:tplc="CD4A2294" w:tentative="1">
      <w:start w:val="1"/>
      <w:numFmt w:val="bullet"/>
      <w:lvlText w:val="o"/>
      <w:lvlJc w:val="left"/>
      <w:pPr>
        <w:ind w:left="3600" w:hanging="360"/>
      </w:pPr>
      <w:rPr>
        <w:rFonts w:ascii="Courier New" w:hAnsi="Courier New" w:cs="Courier New" w:hint="default"/>
      </w:rPr>
    </w:lvl>
    <w:lvl w:ilvl="5" w:tplc="E4BCBC08" w:tentative="1">
      <w:start w:val="1"/>
      <w:numFmt w:val="bullet"/>
      <w:lvlText w:val=""/>
      <w:lvlJc w:val="left"/>
      <w:pPr>
        <w:ind w:left="4320" w:hanging="360"/>
      </w:pPr>
      <w:rPr>
        <w:rFonts w:ascii="Wingdings" w:hAnsi="Wingdings" w:hint="default"/>
      </w:rPr>
    </w:lvl>
    <w:lvl w:ilvl="6" w:tplc="FA6EDC66" w:tentative="1">
      <w:start w:val="1"/>
      <w:numFmt w:val="bullet"/>
      <w:lvlText w:val=""/>
      <w:lvlJc w:val="left"/>
      <w:pPr>
        <w:ind w:left="5040" w:hanging="360"/>
      </w:pPr>
      <w:rPr>
        <w:rFonts w:ascii="Symbol" w:hAnsi="Symbol" w:hint="default"/>
      </w:rPr>
    </w:lvl>
    <w:lvl w:ilvl="7" w:tplc="C5C6C8F8" w:tentative="1">
      <w:start w:val="1"/>
      <w:numFmt w:val="bullet"/>
      <w:lvlText w:val="o"/>
      <w:lvlJc w:val="left"/>
      <w:pPr>
        <w:ind w:left="5760" w:hanging="360"/>
      </w:pPr>
      <w:rPr>
        <w:rFonts w:ascii="Courier New" w:hAnsi="Courier New" w:cs="Courier New" w:hint="default"/>
      </w:rPr>
    </w:lvl>
    <w:lvl w:ilvl="8" w:tplc="708AF944" w:tentative="1">
      <w:start w:val="1"/>
      <w:numFmt w:val="bullet"/>
      <w:lvlText w:val=""/>
      <w:lvlJc w:val="left"/>
      <w:pPr>
        <w:ind w:left="6480" w:hanging="360"/>
      </w:pPr>
      <w:rPr>
        <w:rFonts w:ascii="Wingdings" w:hAnsi="Wingdings" w:hint="default"/>
      </w:rPr>
    </w:lvl>
  </w:abstractNum>
  <w:num w:numId="1" w16cid:durableId="1919704094">
    <w:abstractNumId w:val="12"/>
  </w:num>
  <w:num w:numId="2" w16cid:durableId="1430199020">
    <w:abstractNumId w:val="7"/>
  </w:num>
  <w:num w:numId="3" w16cid:durableId="132986833">
    <w:abstractNumId w:val="10"/>
  </w:num>
  <w:num w:numId="4" w16cid:durableId="1450054969">
    <w:abstractNumId w:val="4"/>
  </w:num>
  <w:num w:numId="5" w16cid:durableId="1881361600">
    <w:abstractNumId w:val="5"/>
  </w:num>
  <w:num w:numId="6" w16cid:durableId="401684273">
    <w:abstractNumId w:val="13"/>
  </w:num>
  <w:num w:numId="7" w16cid:durableId="848712778">
    <w:abstractNumId w:val="14"/>
  </w:num>
  <w:num w:numId="8" w16cid:durableId="510754125">
    <w:abstractNumId w:val="0"/>
  </w:num>
  <w:num w:numId="9" w16cid:durableId="806896742">
    <w:abstractNumId w:val="1"/>
  </w:num>
  <w:num w:numId="10" w16cid:durableId="896667281">
    <w:abstractNumId w:val="3"/>
  </w:num>
  <w:num w:numId="11" w16cid:durableId="1640300739">
    <w:abstractNumId w:val="2"/>
  </w:num>
  <w:num w:numId="12" w16cid:durableId="122313690">
    <w:abstractNumId w:val="9"/>
  </w:num>
  <w:num w:numId="13" w16cid:durableId="1083794549">
    <w:abstractNumId w:val="8"/>
  </w:num>
  <w:num w:numId="14" w16cid:durableId="732041548">
    <w:abstractNumId w:val="6"/>
  </w:num>
  <w:num w:numId="15" w16cid:durableId="4897547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57"/>
    <w:rsid w:val="000018B4"/>
    <w:rsid w:val="0000356A"/>
    <w:rsid w:val="00003C1E"/>
    <w:rsid w:val="00004419"/>
    <w:rsid w:val="00004A4D"/>
    <w:rsid w:val="00005200"/>
    <w:rsid w:val="00007200"/>
    <w:rsid w:val="00014430"/>
    <w:rsid w:val="00014E94"/>
    <w:rsid w:val="000174ED"/>
    <w:rsid w:val="00020735"/>
    <w:rsid w:val="00020B54"/>
    <w:rsid w:val="00021926"/>
    <w:rsid w:val="00021D22"/>
    <w:rsid w:val="00023D89"/>
    <w:rsid w:val="00025BB3"/>
    <w:rsid w:val="0002641F"/>
    <w:rsid w:val="00027579"/>
    <w:rsid w:val="00030C70"/>
    <w:rsid w:val="00030ECD"/>
    <w:rsid w:val="00032585"/>
    <w:rsid w:val="000328EA"/>
    <w:rsid w:val="0003296E"/>
    <w:rsid w:val="00033A31"/>
    <w:rsid w:val="00034AF5"/>
    <w:rsid w:val="000364D6"/>
    <w:rsid w:val="00036F8C"/>
    <w:rsid w:val="00037607"/>
    <w:rsid w:val="000377A4"/>
    <w:rsid w:val="00041AFD"/>
    <w:rsid w:val="00042A3C"/>
    <w:rsid w:val="00044C79"/>
    <w:rsid w:val="0004549D"/>
    <w:rsid w:val="000465DB"/>
    <w:rsid w:val="00046952"/>
    <w:rsid w:val="00047020"/>
    <w:rsid w:val="000504AE"/>
    <w:rsid w:val="00051E2A"/>
    <w:rsid w:val="00052357"/>
    <w:rsid w:val="00054303"/>
    <w:rsid w:val="0005545E"/>
    <w:rsid w:val="00055997"/>
    <w:rsid w:val="00055A6E"/>
    <w:rsid w:val="000576F8"/>
    <w:rsid w:val="000600B7"/>
    <w:rsid w:val="00061479"/>
    <w:rsid w:val="00062661"/>
    <w:rsid w:val="00065229"/>
    <w:rsid w:val="000664EF"/>
    <w:rsid w:val="000667D5"/>
    <w:rsid w:val="00070F00"/>
    <w:rsid w:val="0007195A"/>
    <w:rsid w:val="00072D0C"/>
    <w:rsid w:val="00072D84"/>
    <w:rsid w:val="000737A4"/>
    <w:rsid w:val="00076202"/>
    <w:rsid w:val="000766B1"/>
    <w:rsid w:val="0007683F"/>
    <w:rsid w:val="00076B44"/>
    <w:rsid w:val="000813C5"/>
    <w:rsid w:val="00081EDD"/>
    <w:rsid w:val="00082127"/>
    <w:rsid w:val="00082137"/>
    <w:rsid w:val="00083B48"/>
    <w:rsid w:val="000864D5"/>
    <w:rsid w:val="00087577"/>
    <w:rsid w:val="000876FF"/>
    <w:rsid w:val="0009151C"/>
    <w:rsid w:val="000915C3"/>
    <w:rsid w:val="00093141"/>
    <w:rsid w:val="000949C6"/>
    <w:rsid w:val="000949EE"/>
    <w:rsid w:val="00095C56"/>
    <w:rsid w:val="00097824"/>
    <w:rsid w:val="00097961"/>
    <w:rsid w:val="000A144C"/>
    <w:rsid w:val="000A18A3"/>
    <w:rsid w:val="000A34C0"/>
    <w:rsid w:val="000A5316"/>
    <w:rsid w:val="000A5CD0"/>
    <w:rsid w:val="000A5E54"/>
    <w:rsid w:val="000B030A"/>
    <w:rsid w:val="000B0E92"/>
    <w:rsid w:val="000B244C"/>
    <w:rsid w:val="000B7391"/>
    <w:rsid w:val="000C146F"/>
    <w:rsid w:val="000C3536"/>
    <w:rsid w:val="000C4504"/>
    <w:rsid w:val="000C580D"/>
    <w:rsid w:val="000C6A0F"/>
    <w:rsid w:val="000C7187"/>
    <w:rsid w:val="000D3908"/>
    <w:rsid w:val="000D5B79"/>
    <w:rsid w:val="000D5DE2"/>
    <w:rsid w:val="000D60E3"/>
    <w:rsid w:val="000D62AF"/>
    <w:rsid w:val="000D6D21"/>
    <w:rsid w:val="000E0C2E"/>
    <w:rsid w:val="000E1DE8"/>
    <w:rsid w:val="000E50CA"/>
    <w:rsid w:val="000E5F17"/>
    <w:rsid w:val="000F14B8"/>
    <w:rsid w:val="000F1CED"/>
    <w:rsid w:val="000F2334"/>
    <w:rsid w:val="000F2473"/>
    <w:rsid w:val="001025E6"/>
    <w:rsid w:val="001027CC"/>
    <w:rsid w:val="0010481B"/>
    <w:rsid w:val="00105A52"/>
    <w:rsid w:val="00106307"/>
    <w:rsid w:val="00110917"/>
    <w:rsid w:val="001114BC"/>
    <w:rsid w:val="001123D9"/>
    <w:rsid w:val="00112709"/>
    <w:rsid w:val="00113CD4"/>
    <w:rsid w:val="00114A69"/>
    <w:rsid w:val="0011675C"/>
    <w:rsid w:val="00120568"/>
    <w:rsid w:val="001215E9"/>
    <w:rsid w:val="001243B1"/>
    <w:rsid w:val="00124A5F"/>
    <w:rsid w:val="001303B2"/>
    <w:rsid w:val="00130BA2"/>
    <w:rsid w:val="00132C42"/>
    <w:rsid w:val="00134B54"/>
    <w:rsid w:val="00136BD5"/>
    <w:rsid w:val="00137CD5"/>
    <w:rsid w:val="00137F74"/>
    <w:rsid w:val="00140A0E"/>
    <w:rsid w:val="0014226B"/>
    <w:rsid w:val="0014333A"/>
    <w:rsid w:val="001509F8"/>
    <w:rsid w:val="0015105D"/>
    <w:rsid w:val="0015143D"/>
    <w:rsid w:val="0015166F"/>
    <w:rsid w:val="00151787"/>
    <w:rsid w:val="00153257"/>
    <w:rsid w:val="00153E4F"/>
    <w:rsid w:val="00154D5F"/>
    <w:rsid w:val="001557BE"/>
    <w:rsid w:val="00157DAE"/>
    <w:rsid w:val="001605C2"/>
    <w:rsid w:val="001616DB"/>
    <w:rsid w:val="00161A99"/>
    <w:rsid w:val="00161B17"/>
    <w:rsid w:val="0016233F"/>
    <w:rsid w:val="00162E14"/>
    <w:rsid w:val="001716AD"/>
    <w:rsid w:val="00172D0C"/>
    <w:rsid w:val="00173D29"/>
    <w:rsid w:val="0017459F"/>
    <w:rsid w:val="00174A47"/>
    <w:rsid w:val="00174FE8"/>
    <w:rsid w:val="001755E4"/>
    <w:rsid w:val="001757B5"/>
    <w:rsid w:val="001763C9"/>
    <w:rsid w:val="00177E97"/>
    <w:rsid w:val="00181559"/>
    <w:rsid w:val="00181692"/>
    <w:rsid w:val="001828C9"/>
    <w:rsid w:val="0018299B"/>
    <w:rsid w:val="00185AA9"/>
    <w:rsid w:val="001905A9"/>
    <w:rsid w:val="001910A5"/>
    <w:rsid w:val="00193195"/>
    <w:rsid w:val="00193D99"/>
    <w:rsid w:val="0019591A"/>
    <w:rsid w:val="00195CE2"/>
    <w:rsid w:val="001968AF"/>
    <w:rsid w:val="0019735E"/>
    <w:rsid w:val="00197DDB"/>
    <w:rsid w:val="001A311F"/>
    <w:rsid w:val="001A5714"/>
    <w:rsid w:val="001A5AC6"/>
    <w:rsid w:val="001A6A1C"/>
    <w:rsid w:val="001B2626"/>
    <w:rsid w:val="001C0078"/>
    <w:rsid w:val="001C1F77"/>
    <w:rsid w:val="001C27FF"/>
    <w:rsid w:val="001C29BD"/>
    <w:rsid w:val="001C3662"/>
    <w:rsid w:val="001D01A7"/>
    <w:rsid w:val="001D1CCA"/>
    <w:rsid w:val="001D2291"/>
    <w:rsid w:val="001D31FE"/>
    <w:rsid w:val="001D3BB6"/>
    <w:rsid w:val="001D49A8"/>
    <w:rsid w:val="001D5EB9"/>
    <w:rsid w:val="001D6765"/>
    <w:rsid w:val="001E10DE"/>
    <w:rsid w:val="001E1F4D"/>
    <w:rsid w:val="001E21A3"/>
    <w:rsid w:val="001E2F03"/>
    <w:rsid w:val="001E3C59"/>
    <w:rsid w:val="001E6DFA"/>
    <w:rsid w:val="001F10E5"/>
    <w:rsid w:val="001F10FC"/>
    <w:rsid w:val="001F4AF4"/>
    <w:rsid w:val="001F545A"/>
    <w:rsid w:val="00200991"/>
    <w:rsid w:val="0020317A"/>
    <w:rsid w:val="0020324B"/>
    <w:rsid w:val="002043D3"/>
    <w:rsid w:val="002059C5"/>
    <w:rsid w:val="002079CA"/>
    <w:rsid w:val="00207F98"/>
    <w:rsid w:val="00210777"/>
    <w:rsid w:val="00210A10"/>
    <w:rsid w:val="00211502"/>
    <w:rsid w:val="00211B74"/>
    <w:rsid w:val="00212A5C"/>
    <w:rsid w:val="00213EC9"/>
    <w:rsid w:val="00215BFC"/>
    <w:rsid w:val="00222DC4"/>
    <w:rsid w:val="0022416A"/>
    <w:rsid w:val="00224C0A"/>
    <w:rsid w:val="00224DBB"/>
    <w:rsid w:val="00227DDD"/>
    <w:rsid w:val="0023052E"/>
    <w:rsid w:val="0023417B"/>
    <w:rsid w:val="00234203"/>
    <w:rsid w:val="002344C5"/>
    <w:rsid w:val="00236C8A"/>
    <w:rsid w:val="002371A9"/>
    <w:rsid w:val="0024335A"/>
    <w:rsid w:val="0024462F"/>
    <w:rsid w:val="00245135"/>
    <w:rsid w:val="00246385"/>
    <w:rsid w:val="00253EE0"/>
    <w:rsid w:val="002541BB"/>
    <w:rsid w:val="00254795"/>
    <w:rsid w:val="00256095"/>
    <w:rsid w:val="0026000B"/>
    <w:rsid w:val="0026273F"/>
    <w:rsid w:val="00267030"/>
    <w:rsid w:val="00273267"/>
    <w:rsid w:val="00274038"/>
    <w:rsid w:val="002747B2"/>
    <w:rsid w:val="00275171"/>
    <w:rsid w:val="0027518A"/>
    <w:rsid w:val="00277DF5"/>
    <w:rsid w:val="00282BF8"/>
    <w:rsid w:val="00283CEB"/>
    <w:rsid w:val="002859EC"/>
    <w:rsid w:val="00285BC2"/>
    <w:rsid w:val="00291745"/>
    <w:rsid w:val="00291889"/>
    <w:rsid w:val="00293A79"/>
    <w:rsid w:val="002940F0"/>
    <w:rsid w:val="00294CE3"/>
    <w:rsid w:val="00295B34"/>
    <w:rsid w:val="0029654F"/>
    <w:rsid w:val="0029796D"/>
    <w:rsid w:val="002A1166"/>
    <w:rsid w:val="002A1416"/>
    <w:rsid w:val="002A1B06"/>
    <w:rsid w:val="002A3406"/>
    <w:rsid w:val="002A3A9A"/>
    <w:rsid w:val="002A4B4E"/>
    <w:rsid w:val="002A5044"/>
    <w:rsid w:val="002A5848"/>
    <w:rsid w:val="002A6546"/>
    <w:rsid w:val="002A77E0"/>
    <w:rsid w:val="002A7A45"/>
    <w:rsid w:val="002B040A"/>
    <w:rsid w:val="002B162F"/>
    <w:rsid w:val="002B1A42"/>
    <w:rsid w:val="002B2668"/>
    <w:rsid w:val="002B3510"/>
    <w:rsid w:val="002B3EB5"/>
    <w:rsid w:val="002B4E51"/>
    <w:rsid w:val="002B5C79"/>
    <w:rsid w:val="002B5DCE"/>
    <w:rsid w:val="002B627A"/>
    <w:rsid w:val="002B7CB4"/>
    <w:rsid w:val="002C5D84"/>
    <w:rsid w:val="002C6801"/>
    <w:rsid w:val="002D0049"/>
    <w:rsid w:val="002D073B"/>
    <w:rsid w:val="002D2556"/>
    <w:rsid w:val="002D2746"/>
    <w:rsid w:val="002D709F"/>
    <w:rsid w:val="002D7F11"/>
    <w:rsid w:val="002E4FA1"/>
    <w:rsid w:val="002E5E54"/>
    <w:rsid w:val="002E793C"/>
    <w:rsid w:val="002F15B6"/>
    <w:rsid w:val="002F1CA5"/>
    <w:rsid w:val="002F4AB4"/>
    <w:rsid w:val="002F532F"/>
    <w:rsid w:val="002F5754"/>
    <w:rsid w:val="002F5E68"/>
    <w:rsid w:val="002F671F"/>
    <w:rsid w:val="00300C1D"/>
    <w:rsid w:val="003016B1"/>
    <w:rsid w:val="00301BDD"/>
    <w:rsid w:val="003076C2"/>
    <w:rsid w:val="00307989"/>
    <w:rsid w:val="003099B5"/>
    <w:rsid w:val="00313A19"/>
    <w:rsid w:val="00316BEB"/>
    <w:rsid w:val="00320A02"/>
    <w:rsid w:val="0032263D"/>
    <w:rsid w:val="003239DC"/>
    <w:rsid w:val="00324A47"/>
    <w:rsid w:val="003267CC"/>
    <w:rsid w:val="00326FD5"/>
    <w:rsid w:val="003301CB"/>
    <w:rsid w:val="003306E4"/>
    <w:rsid w:val="00331201"/>
    <w:rsid w:val="00331B6C"/>
    <w:rsid w:val="00332201"/>
    <w:rsid w:val="003333A2"/>
    <w:rsid w:val="0033391B"/>
    <w:rsid w:val="00337EDE"/>
    <w:rsid w:val="0034029C"/>
    <w:rsid w:val="00341113"/>
    <w:rsid w:val="00343322"/>
    <w:rsid w:val="00343599"/>
    <w:rsid w:val="0034428E"/>
    <w:rsid w:val="003459DE"/>
    <w:rsid w:val="003465E3"/>
    <w:rsid w:val="00346618"/>
    <w:rsid w:val="00347ED6"/>
    <w:rsid w:val="003506AB"/>
    <w:rsid w:val="00354293"/>
    <w:rsid w:val="0035534B"/>
    <w:rsid w:val="00361386"/>
    <w:rsid w:val="003618CF"/>
    <w:rsid w:val="00362BFF"/>
    <w:rsid w:val="003650A8"/>
    <w:rsid w:val="00365502"/>
    <w:rsid w:val="003659AA"/>
    <w:rsid w:val="00366934"/>
    <w:rsid w:val="003714D6"/>
    <w:rsid w:val="0037324C"/>
    <w:rsid w:val="00373569"/>
    <w:rsid w:val="00374511"/>
    <w:rsid w:val="00380FA9"/>
    <w:rsid w:val="0038105B"/>
    <w:rsid w:val="00384560"/>
    <w:rsid w:val="003847B3"/>
    <w:rsid w:val="003918E0"/>
    <w:rsid w:val="00392809"/>
    <w:rsid w:val="00392A81"/>
    <w:rsid w:val="00393336"/>
    <w:rsid w:val="0039472F"/>
    <w:rsid w:val="003A07C8"/>
    <w:rsid w:val="003A3220"/>
    <w:rsid w:val="003A4184"/>
    <w:rsid w:val="003A4DA8"/>
    <w:rsid w:val="003A4E38"/>
    <w:rsid w:val="003A78FF"/>
    <w:rsid w:val="003B1B14"/>
    <w:rsid w:val="003B2424"/>
    <w:rsid w:val="003C69A7"/>
    <w:rsid w:val="003D09BC"/>
    <w:rsid w:val="003D0AA2"/>
    <w:rsid w:val="003D139B"/>
    <w:rsid w:val="003D3339"/>
    <w:rsid w:val="003D7ECD"/>
    <w:rsid w:val="003E1214"/>
    <w:rsid w:val="003E1ED6"/>
    <w:rsid w:val="003E2786"/>
    <w:rsid w:val="003E41DF"/>
    <w:rsid w:val="003E4A83"/>
    <w:rsid w:val="003E6AE6"/>
    <w:rsid w:val="003E7DCD"/>
    <w:rsid w:val="003F320E"/>
    <w:rsid w:val="003F4861"/>
    <w:rsid w:val="003F6471"/>
    <w:rsid w:val="00402A0A"/>
    <w:rsid w:val="004042BD"/>
    <w:rsid w:val="00404317"/>
    <w:rsid w:val="0040489D"/>
    <w:rsid w:val="00405357"/>
    <w:rsid w:val="00406061"/>
    <w:rsid w:val="0041013E"/>
    <w:rsid w:val="0041026C"/>
    <w:rsid w:val="00411DF6"/>
    <w:rsid w:val="004142AB"/>
    <w:rsid w:val="00414B47"/>
    <w:rsid w:val="00415512"/>
    <w:rsid w:val="0041677B"/>
    <w:rsid w:val="004207AD"/>
    <w:rsid w:val="00421596"/>
    <w:rsid w:val="00422ADF"/>
    <w:rsid w:val="00423C84"/>
    <w:rsid w:val="004269BF"/>
    <w:rsid w:val="004306CB"/>
    <w:rsid w:val="00435C95"/>
    <w:rsid w:val="0043643D"/>
    <w:rsid w:val="00436BF9"/>
    <w:rsid w:val="00441851"/>
    <w:rsid w:val="004440A5"/>
    <w:rsid w:val="00445458"/>
    <w:rsid w:val="004464D7"/>
    <w:rsid w:val="0045022F"/>
    <w:rsid w:val="00451C04"/>
    <w:rsid w:val="00452ECB"/>
    <w:rsid w:val="00453A70"/>
    <w:rsid w:val="00454329"/>
    <w:rsid w:val="00454336"/>
    <w:rsid w:val="004555F9"/>
    <w:rsid w:val="00455BAF"/>
    <w:rsid w:val="004567C6"/>
    <w:rsid w:val="0045693B"/>
    <w:rsid w:val="00460D86"/>
    <w:rsid w:val="0046104C"/>
    <w:rsid w:val="0046123E"/>
    <w:rsid w:val="004612F8"/>
    <w:rsid w:val="004639D0"/>
    <w:rsid w:val="00465814"/>
    <w:rsid w:val="0046649C"/>
    <w:rsid w:val="00466ECB"/>
    <w:rsid w:val="004749B9"/>
    <w:rsid w:val="004750C7"/>
    <w:rsid w:val="00477EE8"/>
    <w:rsid w:val="0048015F"/>
    <w:rsid w:val="00480EB2"/>
    <w:rsid w:val="004815CA"/>
    <w:rsid w:val="0048300F"/>
    <w:rsid w:val="004868C6"/>
    <w:rsid w:val="00492582"/>
    <w:rsid w:val="00492627"/>
    <w:rsid w:val="00494B5D"/>
    <w:rsid w:val="0049614E"/>
    <w:rsid w:val="0049787E"/>
    <w:rsid w:val="004A00FD"/>
    <w:rsid w:val="004A07E0"/>
    <w:rsid w:val="004A1BA1"/>
    <w:rsid w:val="004A1FE8"/>
    <w:rsid w:val="004A350A"/>
    <w:rsid w:val="004A43B1"/>
    <w:rsid w:val="004A6B43"/>
    <w:rsid w:val="004A7B2C"/>
    <w:rsid w:val="004B059B"/>
    <w:rsid w:val="004B1D4D"/>
    <w:rsid w:val="004B5FAB"/>
    <w:rsid w:val="004C0A57"/>
    <w:rsid w:val="004C1432"/>
    <w:rsid w:val="004C1A62"/>
    <w:rsid w:val="004C3BA2"/>
    <w:rsid w:val="004C4F26"/>
    <w:rsid w:val="004C7F3D"/>
    <w:rsid w:val="004D2214"/>
    <w:rsid w:val="004D26EA"/>
    <w:rsid w:val="004D45D2"/>
    <w:rsid w:val="004D5136"/>
    <w:rsid w:val="004D5B76"/>
    <w:rsid w:val="004D604C"/>
    <w:rsid w:val="004D612E"/>
    <w:rsid w:val="004E1431"/>
    <w:rsid w:val="004E170C"/>
    <w:rsid w:val="004E7233"/>
    <w:rsid w:val="004E75A0"/>
    <w:rsid w:val="004F0B11"/>
    <w:rsid w:val="004F146F"/>
    <w:rsid w:val="004F17FF"/>
    <w:rsid w:val="004F1A1C"/>
    <w:rsid w:val="004F5EBB"/>
    <w:rsid w:val="00501752"/>
    <w:rsid w:val="005026F7"/>
    <w:rsid w:val="00503880"/>
    <w:rsid w:val="0050427F"/>
    <w:rsid w:val="00507990"/>
    <w:rsid w:val="00514672"/>
    <w:rsid w:val="005152B3"/>
    <w:rsid w:val="005167C9"/>
    <w:rsid w:val="0052000E"/>
    <w:rsid w:val="00520053"/>
    <w:rsid w:val="00524CCA"/>
    <w:rsid w:val="005259C7"/>
    <w:rsid w:val="00526585"/>
    <w:rsid w:val="005268C2"/>
    <w:rsid w:val="0053159E"/>
    <w:rsid w:val="0053249F"/>
    <w:rsid w:val="005352F0"/>
    <w:rsid w:val="00537D7F"/>
    <w:rsid w:val="00540781"/>
    <w:rsid w:val="00542E54"/>
    <w:rsid w:val="00543F55"/>
    <w:rsid w:val="005456DD"/>
    <w:rsid w:val="0054604D"/>
    <w:rsid w:val="0054632F"/>
    <w:rsid w:val="00546C54"/>
    <w:rsid w:val="00550C3A"/>
    <w:rsid w:val="00551444"/>
    <w:rsid w:val="00551475"/>
    <w:rsid w:val="00551658"/>
    <w:rsid w:val="00551B41"/>
    <w:rsid w:val="00552C52"/>
    <w:rsid w:val="00554399"/>
    <w:rsid w:val="00557247"/>
    <w:rsid w:val="00560799"/>
    <w:rsid w:val="005610B1"/>
    <w:rsid w:val="00562A14"/>
    <w:rsid w:val="00565052"/>
    <w:rsid w:val="00565793"/>
    <w:rsid w:val="0057015C"/>
    <w:rsid w:val="00570486"/>
    <w:rsid w:val="00576691"/>
    <w:rsid w:val="005766F8"/>
    <w:rsid w:val="00576F13"/>
    <w:rsid w:val="005814F8"/>
    <w:rsid w:val="00583E15"/>
    <w:rsid w:val="00584675"/>
    <w:rsid w:val="00584CDE"/>
    <w:rsid w:val="00585681"/>
    <w:rsid w:val="00587330"/>
    <w:rsid w:val="00587B51"/>
    <w:rsid w:val="00590330"/>
    <w:rsid w:val="00592344"/>
    <w:rsid w:val="005952B9"/>
    <w:rsid w:val="005A31B9"/>
    <w:rsid w:val="005A6B51"/>
    <w:rsid w:val="005B0953"/>
    <w:rsid w:val="005B0F6A"/>
    <w:rsid w:val="005B11AF"/>
    <w:rsid w:val="005B2166"/>
    <w:rsid w:val="005B406A"/>
    <w:rsid w:val="005B4E40"/>
    <w:rsid w:val="005B6016"/>
    <w:rsid w:val="005B670C"/>
    <w:rsid w:val="005C63C4"/>
    <w:rsid w:val="005D1B1F"/>
    <w:rsid w:val="005D2B4A"/>
    <w:rsid w:val="005D3F25"/>
    <w:rsid w:val="005D5343"/>
    <w:rsid w:val="005D68CB"/>
    <w:rsid w:val="005E72E2"/>
    <w:rsid w:val="005E77B0"/>
    <w:rsid w:val="005F325A"/>
    <w:rsid w:val="005F3CBF"/>
    <w:rsid w:val="005F488D"/>
    <w:rsid w:val="0060396F"/>
    <w:rsid w:val="00605A82"/>
    <w:rsid w:val="00606066"/>
    <w:rsid w:val="00606159"/>
    <w:rsid w:val="00606280"/>
    <w:rsid w:val="006068EF"/>
    <w:rsid w:val="00606B33"/>
    <w:rsid w:val="00607768"/>
    <w:rsid w:val="006118DE"/>
    <w:rsid w:val="0061197C"/>
    <w:rsid w:val="006123B0"/>
    <w:rsid w:val="00612A0C"/>
    <w:rsid w:val="00612C78"/>
    <w:rsid w:val="00614D05"/>
    <w:rsid w:val="0061735B"/>
    <w:rsid w:val="00620488"/>
    <w:rsid w:val="00621839"/>
    <w:rsid w:val="00622C24"/>
    <w:rsid w:val="00626036"/>
    <w:rsid w:val="006260B9"/>
    <w:rsid w:val="00626A35"/>
    <w:rsid w:val="006301BB"/>
    <w:rsid w:val="00630369"/>
    <w:rsid w:val="006303B2"/>
    <w:rsid w:val="00630C48"/>
    <w:rsid w:val="00636289"/>
    <w:rsid w:val="0063683F"/>
    <w:rsid w:val="00637B92"/>
    <w:rsid w:val="00640859"/>
    <w:rsid w:val="006425ED"/>
    <w:rsid w:val="00643011"/>
    <w:rsid w:val="006431BA"/>
    <w:rsid w:val="006434DE"/>
    <w:rsid w:val="00645315"/>
    <w:rsid w:val="006455A1"/>
    <w:rsid w:val="0064647A"/>
    <w:rsid w:val="0064730D"/>
    <w:rsid w:val="006473D9"/>
    <w:rsid w:val="00647D63"/>
    <w:rsid w:val="00650136"/>
    <w:rsid w:val="006505A5"/>
    <w:rsid w:val="00652DF6"/>
    <w:rsid w:val="00653111"/>
    <w:rsid w:val="0065316B"/>
    <w:rsid w:val="00654037"/>
    <w:rsid w:val="00654F67"/>
    <w:rsid w:val="00656D23"/>
    <w:rsid w:val="006579F3"/>
    <w:rsid w:val="00662D33"/>
    <w:rsid w:val="0066488E"/>
    <w:rsid w:val="00665F3F"/>
    <w:rsid w:val="00667059"/>
    <w:rsid w:val="0066745C"/>
    <w:rsid w:val="00667695"/>
    <w:rsid w:val="00672C18"/>
    <w:rsid w:val="00672D0B"/>
    <w:rsid w:val="00674C48"/>
    <w:rsid w:val="00676B4E"/>
    <w:rsid w:val="00677D58"/>
    <w:rsid w:val="0068121A"/>
    <w:rsid w:val="00681CB7"/>
    <w:rsid w:val="00682FCC"/>
    <w:rsid w:val="00683789"/>
    <w:rsid w:val="006848C2"/>
    <w:rsid w:val="00684D16"/>
    <w:rsid w:val="00685F0D"/>
    <w:rsid w:val="00686883"/>
    <w:rsid w:val="00686F07"/>
    <w:rsid w:val="00687A57"/>
    <w:rsid w:val="00692216"/>
    <w:rsid w:val="006956FD"/>
    <w:rsid w:val="00695F05"/>
    <w:rsid w:val="006969A0"/>
    <w:rsid w:val="006973FE"/>
    <w:rsid w:val="006A0284"/>
    <w:rsid w:val="006A11AD"/>
    <w:rsid w:val="006A26C4"/>
    <w:rsid w:val="006A2A7F"/>
    <w:rsid w:val="006A38A4"/>
    <w:rsid w:val="006A51D6"/>
    <w:rsid w:val="006B00AE"/>
    <w:rsid w:val="006B0682"/>
    <w:rsid w:val="006B09FC"/>
    <w:rsid w:val="006B0C9C"/>
    <w:rsid w:val="006B0CB1"/>
    <w:rsid w:val="006B1831"/>
    <w:rsid w:val="006B1DC1"/>
    <w:rsid w:val="006B20A6"/>
    <w:rsid w:val="006B2A1C"/>
    <w:rsid w:val="006B5A8E"/>
    <w:rsid w:val="006B689F"/>
    <w:rsid w:val="006B6F4A"/>
    <w:rsid w:val="006B723E"/>
    <w:rsid w:val="006C239F"/>
    <w:rsid w:val="006C3F64"/>
    <w:rsid w:val="006C4A99"/>
    <w:rsid w:val="006C506C"/>
    <w:rsid w:val="006C5341"/>
    <w:rsid w:val="006C5D85"/>
    <w:rsid w:val="006C760C"/>
    <w:rsid w:val="006D2103"/>
    <w:rsid w:val="006D4218"/>
    <w:rsid w:val="006D51A9"/>
    <w:rsid w:val="006D67F7"/>
    <w:rsid w:val="006D76D8"/>
    <w:rsid w:val="006E0015"/>
    <w:rsid w:val="006E0D86"/>
    <w:rsid w:val="006E1D85"/>
    <w:rsid w:val="006E33D7"/>
    <w:rsid w:val="006E371D"/>
    <w:rsid w:val="006E4A30"/>
    <w:rsid w:val="006E524F"/>
    <w:rsid w:val="006E6DC3"/>
    <w:rsid w:val="006F3926"/>
    <w:rsid w:val="006F510B"/>
    <w:rsid w:val="006F6400"/>
    <w:rsid w:val="00700956"/>
    <w:rsid w:val="00700DA9"/>
    <w:rsid w:val="00701A56"/>
    <w:rsid w:val="00702045"/>
    <w:rsid w:val="00706AD5"/>
    <w:rsid w:val="00707AD1"/>
    <w:rsid w:val="007100E8"/>
    <w:rsid w:val="007104AB"/>
    <w:rsid w:val="00710A6B"/>
    <w:rsid w:val="00712C98"/>
    <w:rsid w:val="0071303F"/>
    <w:rsid w:val="00713AF8"/>
    <w:rsid w:val="00713B70"/>
    <w:rsid w:val="00713D00"/>
    <w:rsid w:val="0071565A"/>
    <w:rsid w:val="00715A77"/>
    <w:rsid w:val="00715E74"/>
    <w:rsid w:val="007164D2"/>
    <w:rsid w:val="0071765D"/>
    <w:rsid w:val="007178A0"/>
    <w:rsid w:val="00721B96"/>
    <w:rsid w:val="007231BE"/>
    <w:rsid w:val="00723D53"/>
    <w:rsid w:val="007261C8"/>
    <w:rsid w:val="00730BD2"/>
    <w:rsid w:val="007326A6"/>
    <w:rsid w:val="00735789"/>
    <w:rsid w:val="0073601C"/>
    <w:rsid w:val="0073657E"/>
    <w:rsid w:val="00737B44"/>
    <w:rsid w:val="0074088E"/>
    <w:rsid w:val="00741D4C"/>
    <w:rsid w:val="00742312"/>
    <w:rsid w:val="00743E3D"/>
    <w:rsid w:val="00744CE9"/>
    <w:rsid w:val="00744EB8"/>
    <w:rsid w:val="00745B78"/>
    <w:rsid w:val="00746C31"/>
    <w:rsid w:val="007505FB"/>
    <w:rsid w:val="00750DC1"/>
    <w:rsid w:val="007519FC"/>
    <w:rsid w:val="0075201E"/>
    <w:rsid w:val="007527DB"/>
    <w:rsid w:val="00753C39"/>
    <w:rsid w:val="0075757B"/>
    <w:rsid w:val="00762E50"/>
    <w:rsid w:val="007671E0"/>
    <w:rsid w:val="00767CFA"/>
    <w:rsid w:val="00770640"/>
    <w:rsid w:val="00770ED2"/>
    <w:rsid w:val="00771110"/>
    <w:rsid w:val="007716A7"/>
    <w:rsid w:val="0077452C"/>
    <w:rsid w:val="00774BDE"/>
    <w:rsid w:val="00780946"/>
    <w:rsid w:val="00784E2F"/>
    <w:rsid w:val="00785516"/>
    <w:rsid w:val="00786975"/>
    <w:rsid w:val="00793718"/>
    <w:rsid w:val="007952F1"/>
    <w:rsid w:val="007958B7"/>
    <w:rsid w:val="007967B6"/>
    <w:rsid w:val="007A0ACE"/>
    <w:rsid w:val="007A2910"/>
    <w:rsid w:val="007A3DD4"/>
    <w:rsid w:val="007A4AB3"/>
    <w:rsid w:val="007B01B9"/>
    <w:rsid w:val="007B1BF9"/>
    <w:rsid w:val="007B23B6"/>
    <w:rsid w:val="007B2481"/>
    <w:rsid w:val="007B6849"/>
    <w:rsid w:val="007B7184"/>
    <w:rsid w:val="007B78A8"/>
    <w:rsid w:val="007C0846"/>
    <w:rsid w:val="007C11A4"/>
    <w:rsid w:val="007C13E0"/>
    <w:rsid w:val="007C2517"/>
    <w:rsid w:val="007C2E97"/>
    <w:rsid w:val="007C4AC3"/>
    <w:rsid w:val="007C4F40"/>
    <w:rsid w:val="007C6343"/>
    <w:rsid w:val="007D03C4"/>
    <w:rsid w:val="007D0A0C"/>
    <w:rsid w:val="007D3729"/>
    <w:rsid w:val="007D47E9"/>
    <w:rsid w:val="007D6D5E"/>
    <w:rsid w:val="007E0109"/>
    <w:rsid w:val="007E06F5"/>
    <w:rsid w:val="007E13AA"/>
    <w:rsid w:val="007E23B9"/>
    <w:rsid w:val="007E55AD"/>
    <w:rsid w:val="007E6DC8"/>
    <w:rsid w:val="007E6EBD"/>
    <w:rsid w:val="007E7939"/>
    <w:rsid w:val="007F0646"/>
    <w:rsid w:val="007F3A00"/>
    <w:rsid w:val="007F4565"/>
    <w:rsid w:val="007F5C02"/>
    <w:rsid w:val="007F760A"/>
    <w:rsid w:val="00801466"/>
    <w:rsid w:val="00801925"/>
    <w:rsid w:val="00803A64"/>
    <w:rsid w:val="008041A8"/>
    <w:rsid w:val="008045B8"/>
    <w:rsid w:val="008063EC"/>
    <w:rsid w:val="00807835"/>
    <w:rsid w:val="0081007D"/>
    <w:rsid w:val="0081035C"/>
    <w:rsid w:val="00810951"/>
    <w:rsid w:val="00810D43"/>
    <w:rsid w:val="00811B16"/>
    <w:rsid w:val="00820399"/>
    <w:rsid w:val="00821780"/>
    <w:rsid w:val="00822B70"/>
    <w:rsid w:val="008239DB"/>
    <w:rsid w:val="00823B76"/>
    <w:rsid w:val="00826F72"/>
    <w:rsid w:val="00830628"/>
    <w:rsid w:val="0083364C"/>
    <w:rsid w:val="00842D27"/>
    <w:rsid w:val="00845783"/>
    <w:rsid w:val="008457E5"/>
    <w:rsid w:val="008466C3"/>
    <w:rsid w:val="008471FF"/>
    <w:rsid w:val="00850D81"/>
    <w:rsid w:val="00851432"/>
    <w:rsid w:val="008548CD"/>
    <w:rsid w:val="00854D87"/>
    <w:rsid w:val="00855F32"/>
    <w:rsid w:val="00857C3B"/>
    <w:rsid w:val="00857E60"/>
    <w:rsid w:val="00860A85"/>
    <w:rsid w:val="00860ACD"/>
    <w:rsid w:val="00862AB9"/>
    <w:rsid w:val="00863B0F"/>
    <w:rsid w:val="00864B25"/>
    <w:rsid w:val="008707A0"/>
    <w:rsid w:val="00870AC7"/>
    <w:rsid w:val="00870FB3"/>
    <w:rsid w:val="0087302C"/>
    <w:rsid w:val="00874231"/>
    <w:rsid w:val="00874757"/>
    <w:rsid w:val="00875AA7"/>
    <w:rsid w:val="0087659E"/>
    <w:rsid w:val="0087730C"/>
    <w:rsid w:val="00883D49"/>
    <w:rsid w:val="0088491C"/>
    <w:rsid w:val="00884DC0"/>
    <w:rsid w:val="00887A5E"/>
    <w:rsid w:val="00887C6B"/>
    <w:rsid w:val="00887E4D"/>
    <w:rsid w:val="008971B1"/>
    <w:rsid w:val="008A11D6"/>
    <w:rsid w:val="008A36EA"/>
    <w:rsid w:val="008A37D9"/>
    <w:rsid w:val="008A492E"/>
    <w:rsid w:val="008A68DE"/>
    <w:rsid w:val="008B0672"/>
    <w:rsid w:val="008B0896"/>
    <w:rsid w:val="008B0B30"/>
    <w:rsid w:val="008B0E82"/>
    <w:rsid w:val="008B3541"/>
    <w:rsid w:val="008B6DA9"/>
    <w:rsid w:val="008B7D93"/>
    <w:rsid w:val="008C0980"/>
    <w:rsid w:val="008C1093"/>
    <w:rsid w:val="008C1B8A"/>
    <w:rsid w:val="008C27BE"/>
    <w:rsid w:val="008C32A1"/>
    <w:rsid w:val="008C3E67"/>
    <w:rsid w:val="008C602F"/>
    <w:rsid w:val="008C7085"/>
    <w:rsid w:val="008C7743"/>
    <w:rsid w:val="008D1A18"/>
    <w:rsid w:val="008D1F99"/>
    <w:rsid w:val="008D210E"/>
    <w:rsid w:val="008D21D1"/>
    <w:rsid w:val="008D23F2"/>
    <w:rsid w:val="008D28A5"/>
    <w:rsid w:val="008D30C2"/>
    <w:rsid w:val="008D3E28"/>
    <w:rsid w:val="008E05E3"/>
    <w:rsid w:val="008E28D0"/>
    <w:rsid w:val="008E49BF"/>
    <w:rsid w:val="008E4B97"/>
    <w:rsid w:val="008E5FF5"/>
    <w:rsid w:val="008E7336"/>
    <w:rsid w:val="008F0D12"/>
    <w:rsid w:val="008F18C9"/>
    <w:rsid w:val="008F1BA4"/>
    <w:rsid w:val="008F387B"/>
    <w:rsid w:val="008F3DDC"/>
    <w:rsid w:val="008F543D"/>
    <w:rsid w:val="008F7BA4"/>
    <w:rsid w:val="009036AF"/>
    <w:rsid w:val="009041F9"/>
    <w:rsid w:val="00904841"/>
    <w:rsid w:val="00905EEF"/>
    <w:rsid w:val="0091012C"/>
    <w:rsid w:val="009108F7"/>
    <w:rsid w:val="00914D4E"/>
    <w:rsid w:val="0091549E"/>
    <w:rsid w:val="00916868"/>
    <w:rsid w:val="0091728A"/>
    <w:rsid w:val="00917833"/>
    <w:rsid w:val="0092032A"/>
    <w:rsid w:val="0092282D"/>
    <w:rsid w:val="00932E80"/>
    <w:rsid w:val="00934324"/>
    <w:rsid w:val="00934CBD"/>
    <w:rsid w:val="00935816"/>
    <w:rsid w:val="00936856"/>
    <w:rsid w:val="00937553"/>
    <w:rsid w:val="009413C4"/>
    <w:rsid w:val="009418FB"/>
    <w:rsid w:val="009424E4"/>
    <w:rsid w:val="00943BBA"/>
    <w:rsid w:val="00945193"/>
    <w:rsid w:val="009456F8"/>
    <w:rsid w:val="00946DBB"/>
    <w:rsid w:val="00947DCA"/>
    <w:rsid w:val="009518EF"/>
    <w:rsid w:val="009527A6"/>
    <w:rsid w:val="00953B61"/>
    <w:rsid w:val="0095462A"/>
    <w:rsid w:val="00954A11"/>
    <w:rsid w:val="0095633A"/>
    <w:rsid w:val="00956CDC"/>
    <w:rsid w:val="00957911"/>
    <w:rsid w:val="009638BB"/>
    <w:rsid w:val="00966254"/>
    <w:rsid w:val="00967E6C"/>
    <w:rsid w:val="00970AB1"/>
    <w:rsid w:val="009722D8"/>
    <w:rsid w:val="00973323"/>
    <w:rsid w:val="00974ACF"/>
    <w:rsid w:val="009763E0"/>
    <w:rsid w:val="00977433"/>
    <w:rsid w:val="00977612"/>
    <w:rsid w:val="009850DD"/>
    <w:rsid w:val="00985551"/>
    <w:rsid w:val="00987BD4"/>
    <w:rsid w:val="009930E3"/>
    <w:rsid w:val="00993CC4"/>
    <w:rsid w:val="00994299"/>
    <w:rsid w:val="0099458C"/>
    <w:rsid w:val="00994FD4"/>
    <w:rsid w:val="0099722E"/>
    <w:rsid w:val="009A30C3"/>
    <w:rsid w:val="009A507B"/>
    <w:rsid w:val="009A54C3"/>
    <w:rsid w:val="009A65CC"/>
    <w:rsid w:val="009A6CF3"/>
    <w:rsid w:val="009A7A66"/>
    <w:rsid w:val="009A7CA6"/>
    <w:rsid w:val="009A7D48"/>
    <w:rsid w:val="009A7E2B"/>
    <w:rsid w:val="009B37D5"/>
    <w:rsid w:val="009B4BB4"/>
    <w:rsid w:val="009B4E12"/>
    <w:rsid w:val="009B6EE7"/>
    <w:rsid w:val="009B7C0D"/>
    <w:rsid w:val="009C11D9"/>
    <w:rsid w:val="009C503A"/>
    <w:rsid w:val="009D011F"/>
    <w:rsid w:val="009D048F"/>
    <w:rsid w:val="009D3A38"/>
    <w:rsid w:val="009D4115"/>
    <w:rsid w:val="009D7E5C"/>
    <w:rsid w:val="009E0129"/>
    <w:rsid w:val="009E5323"/>
    <w:rsid w:val="009E7B46"/>
    <w:rsid w:val="009F0D09"/>
    <w:rsid w:val="009F0EFD"/>
    <w:rsid w:val="009F0F69"/>
    <w:rsid w:val="009F1AF1"/>
    <w:rsid w:val="009F3CBD"/>
    <w:rsid w:val="009F3FB9"/>
    <w:rsid w:val="009F5268"/>
    <w:rsid w:val="009F5651"/>
    <w:rsid w:val="009F5C16"/>
    <w:rsid w:val="009F5F9F"/>
    <w:rsid w:val="00A01C06"/>
    <w:rsid w:val="00A028AC"/>
    <w:rsid w:val="00A02E23"/>
    <w:rsid w:val="00A0341C"/>
    <w:rsid w:val="00A0435B"/>
    <w:rsid w:val="00A044B6"/>
    <w:rsid w:val="00A0498D"/>
    <w:rsid w:val="00A05AA2"/>
    <w:rsid w:val="00A06446"/>
    <w:rsid w:val="00A06E45"/>
    <w:rsid w:val="00A1263C"/>
    <w:rsid w:val="00A1358D"/>
    <w:rsid w:val="00A139BC"/>
    <w:rsid w:val="00A140B7"/>
    <w:rsid w:val="00A20F1C"/>
    <w:rsid w:val="00A21E20"/>
    <w:rsid w:val="00A223A5"/>
    <w:rsid w:val="00A2333E"/>
    <w:rsid w:val="00A2394C"/>
    <w:rsid w:val="00A24ABC"/>
    <w:rsid w:val="00A25582"/>
    <w:rsid w:val="00A26003"/>
    <w:rsid w:val="00A269E1"/>
    <w:rsid w:val="00A27247"/>
    <w:rsid w:val="00A30741"/>
    <w:rsid w:val="00A30BDB"/>
    <w:rsid w:val="00A32387"/>
    <w:rsid w:val="00A33DEF"/>
    <w:rsid w:val="00A35415"/>
    <w:rsid w:val="00A35F82"/>
    <w:rsid w:val="00A37E49"/>
    <w:rsid w:val="00A40189"/>
    <w:rsid w:val="00A43490"/>
    <w:rsid w:val="00A468D9"/>
    <w:rsid w:val="00A470FF"/>
    <w:rsid w:val="00A47D97"/>
    <w:rsid w:val="00A51DA1"/>
    <w:rsid w:val="00A577E3"/>
    <w:rsid w:val="00A57D8C"/>
    <w:rsid w:val="00A609F6"/>
    <w:rsid w:val="00A61591"/>
    <w:rsid w:val="00A63846"/>
    <w:rsid w:val="00A64038"/>
    <w:rsid w:val="00A640E4"/>
    <w:rsid w:val="00A654B3"/>
    <w:rsid w:val="00A70B2C"/>
    <w:rsid w:val="00A724E0"/>
    <w:rsid w:val="00A73B29"/>
    <w:rsid w:val="00A74FE8"/>
    <w:rsid w:val="00A75161"/>
    <w:rsid w:val="00A756C4"/>
    <w:rsid w:val="00A7772A"/>
    <w:rsid w:val="00A81FD0"/>
    <w:rsid w:val="00A824A0"/>
    <w:rsid w:val="00A834B6"/>
    <w:rsid w:val="00A83632"/>
    <w:rsid w:val="00A83E32"/>
    <w:rsid w:val="00A85CFB"/>
    <w:rsid w:val="00A87136"/>
    <w:rsid w:val="00A87C9E"/>
    <w:rsid w:val="00A92235"/>
    <w:rsid w:val="00A92E1F"/>
    <w:rsid w:val="00A94645"/>
    <w:rsid w:val="00A96DE7"/>
    <w:rsid w:val="00A97BAC"/>
    <w:rsid w:val="00AA0490"/>
    <w:rsid w:val="00AA0D09"/>
    <w:rsid w:val="00AA1D61"/>
    <w:rsid w:val="00AA3459"/>
    <w:rsid w:val="00AA3C57"/>
    <w:rsid w:val="00AA44B1"/>
    <w:rsid w:val="00AA5265"/>
    <w:rsid w:val="00AA7D44"/>
    <w:rsid w:val="00AB280C"/>
    <w:rsid w:val="00AB55B6"/>
    <w:rsid w:val="00AB5E77"/>
    <w:rsid w:val="00AC10FF"/>
    <w:rsid w:val="00AC1B0F"/>
    <w:rsid w:val="00AC3F1D"/>
    <w:rsid w:val="00AC448C"/>
    <w:rsid w:val="00AC5551"/>
    <w:rsid w:val="00AC5F37"/>
    <w:rsid w:val="00AC6030"/>
    <w:rsid w:val="00AC71C7"/>
    <w:rsid w:val="00AD0643"/>
    <w:rsid w:val="00AD2751"/>
    <w:rsid w:val="00AD2E54"/>
    <w:rsid w:val="00AD55C0"/>
    <w:rsid w:val="00AE042A"/>
    <w:rsid w:val="00AE6121"/>
    <w:rsid w:val="00AE7A25"/>
    <w:rsid w:val="00AE7DA0"/>
    <w:rsid w:val="00AE7DD9"/>
    <w:rsid w:val="00AF043B"/>
    <w:rsid w:val="00AF08F9"/>
    <w:rsid w:val="00AF77F2"/>
    <w:rsid w:val="00B00EC9"/>
    <w:rsid w:val="00B01370"/>
    <w:rsid w:val="00B03903"/>
    <w:rsid w:val="00B06002"/>
    <w:rsid w:val="00B06307"/>
    <w:rsid w:val="00B06C43"/>
    <w:rsid w:val="00B07868"/>
    <w:rsid w:val="00B07CCB"/>
    <w:rsid w:val="00B07E06"/>
    <w:rsid w:val="00B10F34"/>
    <w:rsid w:val="00B11EA1"/>
    <w:rsid w:val="00B12697"/>
    <w:rsid w:val="00B12F6D"/>
    <w:rsid w:val="00B1398C"/>
    <w:rsid w:val="00B16403"/>
    <w:rsid w:val="00B16DA7"/>
    <w:rsid w:val="00B20D43"/>
    <w:rsid w:val="00B20EFA"/>
    <w:rsid w:val="00B22307"/>
    <w:rsid w:val="00B22D8E"/>
    <w:rsid w:val="00B23257"/>
    <w:rsid w:val="00B2498D"/>
    <w:rsid w:val="00B25355"/>
    <w:rsid w:val="00B27DD3"/>
    <w:rsid w:val="00B27ED2"/>
    <w:rsid w:val="00B31AE2"/>
    <w:rsid w:val="00B34076"/>
    <w:rsid w:val="00B376F9"/>
    <w:rsid w:val="00B40056"/>
    <w:rsid w:val="00B41B43"/>
    <w:rsid w:val="00B443C1"/>
    <w:rsid w:val="00B45E42"/>
    <w:rsid w:val="00B46C84"/>
    <w:rsid w:val="00B470F2"/>
    <w:rsid w:val="00B47EEE"/>
    <w:rsid w:val="00B508D0"/>
    <w:rsid w:val="00B508D2"/>
    <w:rsid w:val="00B51533"/>
    <w:rsid w:val="00B52707"/>
    <w:rsid w:val="00B527B6"/>
    <w:rsid w:val="00B52F74"/>
    <w:rsid w:val="00B552D1"/>
    <w:rsid w:val="00B558D7"/>
    <w:rsid w:val="00B56869"/>
    <w:rsid w:val="00B56958"/>
    <w:rsid w:val="00B56CF5"/>
    <w:rsid w:val="00B60547"/>
    <w:rsid w:val="00B608AA"/>
    <w:rsid w:val="00B6106B"/>
    <w:rsid w:val="00B62ACF"/>
    <w:rsid w:val="00B62DD5"/>
    <w:rsid w:val="00B631E0"/>
    <w:rsid w:val="00B65A38"/>
    <w:rsid w:val="00B6635F"/>
    <w:rsid w:val="00B67164"/>
    <w:rsid w:val="00B67E28"/>
    <w:rsid w:val="00B7110D"/>
    <w:rsid w:val="00B713B5"/>
    <w:rsid w:val="00B7281B"/>
    <w:rsid w:val="00B76417"/>
    <w:rsid w:val="00B76E2A"/>
    <w:rsid w:val="00B80E39"/>
    <w:rsid w:val="00B82C3A"/>
    <w:rsid w:val="00B83636"/>
    <w:rsid w:val="00B83A84"/>
    <w:rsid w:val="00B83F79"/>
    <w:rsid w:val="00B85A6F"/>
    <w:rsid w:val="00B85AEB"/>
    <w:rsid w:val="00B86A8A"/>
    <w:rsid w:val="00B90651"/>
    <w:rsid w:val="00B909AC"/>
    <w:rsid w:val="00B90D20"/>
    <w:rsid w:val="00B96FE7"/>
    <w:rsid w:val="00BA090F"/>
    <w:rsid w:val="00BA0FE8"/>
    <w:rsid w:val="00BA1871"/>
    <w:rsid w:val="00BA5FD4"/>
    <w:rsid w:val="00BA6939"/>
    <w:rsid w:val="00BB10DF"/>
    <w:rsid w:val="00BB3893"/>
    <w:rsid w:val="00BB4C7D"/>
    <w:rsid w:val="00BB55B0"/>
    <w:rsid w:val="00BB5CA5"/>
    <w:rsid w:val="00BB7E9F"/>
    <w:rsid w:val="00BC1B90"/>
    <w:rsid w:val="00BC1FE6"/>
    <w:rsid w:val="00BC3863"/>
    <w:rsid w:val="00BC44D8"/>
    <w:rsid w:val="00BC458D"/>
    <w:rsid w:val="00BC480A"/>
    <w:rsid w:val="00BC71BD"/>
    <w:rsid w:val="00BD1B6C"/>
    <w:rsid w:val="00BD2DBE"/>
    <w:rsid w:val="00BD40F3"/>
    <w:rsid w:val="00BD54BF"/>
    <w:rsid w:val="00BD602F"/>
    <w:rsid w:val="00BD6BDF"/>
    <w:rsid w:val="00BD6C71"/>
    <w:rsid w:val="00BD6F86"/>
    <w:rsid w:val="00BE0EA3"/>
    <w:rsid w:val="00BE205B"/>
    <w:rsid w:val="00BE22A0"/>
    <w:rsid w:val="00BE2A1C"/>
    <w:rsid w:val="00BE2C14"/>
    <w:rsid w:val="00BE2C34"/>
    <w:rsid w:val="00BE3091"/>
    <w:rsid w:val="00BE529A"/>
    <w:rsid w:val="00BE592D"/>
    <w:rsid w:val="00BE5998"/>
    <w:rsid w:val="00BE6125"/>
    <w:rsid w:val="00BE680D"/>
    <w:rsid w:val="00BE6F76"/>
    <w:rsid w:val="00BE75D0"/>
    <w:rsid w:val="00BF0B79"/>
    <w:rsid w:val="00BF23B0"/>
    <w:rsid w:val="00BF3721"/>
    <w:rsid w:val="00BF3C7E"/>
    <w:rsid w:val="00BF48E5"/>
    <w:rsid w:val="00C0056F"/>
    <w:rsid w:val="00C03622"/>
    <w:rsid w:val="00C037F9"/>
    <w:rsid w:val="00C047E6"/>
    <w:rsid w:val="00C05CE6"/>
    <w:rsid w:val="00C115C9"/>
    <w:rsid w:val="00C128D9"/>
    <w:rsid w:val="00C17CF3"/>
    <w:rsid w:val="00C205DE"/>
    <w:rsid w:val="00C219F2"/>
    <w:rsid w:val="00C23DE3"/>
    <w:rsid w:val="00C25073"/>
    <w:rsid w:val="00C3074C"/>
    <w:rsid w:val="00C358E4"/>
    <w:rsid w:val="00C40AC2"/>
    <w:rsid w:val="00C40CDE"/>
    <w:rsid w:val="00C40F75"/>
    <w:rsid w:val="00C41F2F"/>
    <w:rsid w:val="00C4289C"/>
    <w:rsid w:val="00C42F05"/>
    <w:rsid w:val="00C43F32"/>
    <w:rsid w:val="00C4583E"/>
    <w:rsid w:val="00C47365"/>
    <w:rsid w:val="00C47426"/>
    <w:rsid w:val="00C47BD2"/>
    <w:rsid w:val="00C512D5"/>
    <w:rsid w:val="00C52256"/>
    <w:rsid w:val="00C52450"/>
    <w:rsid w:val="00C53FE3"/>
    <w:rsid w:val="00C54766"/>
    <w:rsid w:val="00C54A12"/>
    <w:rsid w:val="00C61B51"/>
    <w:rsid w:val="00C62E17"/>
    <w:rsid w:val="00C64D89"/>
    <w:rsid w:val="00C659FC"/>
    <w:rsid w:val="00C726BF"/>
    <w:rsid w:val="00C729DC"/>
    <w:rsid w:val="00C7321D"/>
    <w:rsid w:val="00C73C12"/>
    <w:rsid w:val="00C74844"/>
    <w:rsid w:val="00C74B2B"/>
    <w:rsid w:val="00C75617"/>
    <w:rsid w:val="00C76AFF"/>
    <w:rsid w:val="00C80991"/>
    <w:rsid w:val="00C839D6"/>
    <w:rsid w:val="00C83FF0"/>
    <w:rsid w:val="00C84189"/>
    <w:rsid w:val="00C85947"/>
    <w:rsid w:val="00C85A1B"/>
    <w:rsid w:val="00C86BAA"/>
    <w:rsid w:val="00C873C0"/>
    <w:rsid w:val="00C910A2"/>
    <w:rsid w:val="00C91665"/>
    <w:rsid w:val="00C92625"/>
    <w:rsid w:val="00C96572"/>
    <w:rsid w:val="00C96C3B"/>
    <w:rsid w:val="00C97C5B"/>
    <w:rsid w:val="00CA1943"/>
    <w:rsid w:val="00CA47CD"/>
    <w:rsid w:val="00CA53C2"/>
    <w:rsid w:val="00CA5A2B"/>
    <w:rsid w:val="00CA5C40"/>
    <w:rsid w:val="00CB3971"/>
    <w:rsid w:val="00CB4C15"/>
    <w:rsid w:val="00CB5E93"/>
    <w:rsid w:val="00CB6049"/>
    <w:rsid w:val="00CB6B22"/>
    <w:rsid w:val="00CB6EAC"/>
    <w:rsid w:val="00CB7EC4"/>
    <w:rsid w:val="00CC05BE"/>
    <w:rsid w:val="00CC4A7B"/>
    <w:rsid w:val="00CC6807"/>
    <w:rsid w:val="00CC6F4F"/>
    <w:rsid w:val="00CC7FD6"/>
    <w:rsid w:val="00CD00D4"/>
    <w:rsid w:val="00CD26AD"/>
    <w:rsid w:val="00CD356F"/>
    <w:rsid w:val="00CD5EB6"/>
    <w:rsid w:val="00CE52E0"/>
    <w:rsid w:val="00CE5397"/>
    <w:rsid w:val="00CE60AF"/>
    <w:rsid w:val="00CE63B8"/>
    <w:rsid w:val="00CF0220"/>
    <w:rsid w:val="00CF0239"/>
    <w:rsid w:val="00CF06F2"/>
    <w:rsid w:val="00CF25A2"/>
    <w:rsid w:val="00CF2A26"/>
    <w:rsid w:val="00CF45A7"/>
    <w:rsid w:val="00CF5E4B"/>
    <w:rsid w:val="00CF652D"/>
    <w:rsid w:val="00D00BB8"/>
    <w:rsid w:val="00D01157"/>
    <w:rsid w:val="00D03035"/>
    <w:rsid w:val="00D049E3"/>
    <w:rsid w:val="00D04E1E"/>
    <w:rsid w:val="00D061C0"/>
    <w:rsid w:val="00D100C7"/>
    <w:rsid w:val="00D11530"/>
    <w:rsid w:val="00D12C2C"/>
    <w:rsid w:val="00D15482"/>
    <w:rsid w:val="00D15C6B"/>
    <w:rsid w:val="00D17264"/>
    <w:rsid w:val="00D17EF4"/>
    <w:rsid w:val="00D2063F"/>
    <w:rsid w:val="00D20FF3"/>
    <w:rsid w:val="00D2515F"/>
    <w:rsid w:val="00D25359"/>
    <w:rsid w:val="00D27CC0"/>
    <w:rsid w:val="00D31772"/>
    <w:rsid w:val="00D31CC3"/>
    <w:rsid w:val="00D33510"/>
    <w:rsid w:val="00D34D94"/>
    <w:rsid w:val="00D36E52"/>
    <w:rsid w:val="00D41890"/>
    <w:rsid w:val="00D43862"/>
    <w:rsid w:val="00D44F7C"/>
    <w:rsid w:val="00D46972"/>
    <w:rsid w:val="00D50664"/>
    <w:rsid w:val="00D52431"/>
    <w:rsid w:val="00D53BCD"/>
    <w:rsid w:val="00D54518"/>
    <w:rsid w:val="00D556E7"/>
    <w:rsid w:val="00D568F2"/>
    <w:rsid w:val="00D56928"/>
    <w:rsid w:val="00D56F41"/>
    <w:rsid w:val="00D60656"/>
    <w:rsid w:val="00D62C10"/>
    <w:rsid w:val="00D62EA9"/>
    <w:rsid w:val="00D63645"/>
    <w:rsid w:val="00D645A1"/>
    <w:rsid w:val="00D6510C"/>
    <w:rsid w:val="00D658BE"/>
    <w:rsid w:val="00D674E4"/>
    <w:rsid w:val="00D72049"/>
    <w:rsid w:val="00D74D32"/>
    <w:rsid w:val="00D75443"/>
    <w:rsid w:val="00D808E9"/>
    <w:rsid w:val="00D82EF6"/>
    <w:rsid w:val="00D87B02"/>
    <w:rsid w:val="00D9265B"/>
    <w:rsid w:val="00D93555"/>
    <w:rsid w:val="00D959A1"/>
    <w:rsid w:val="00D95BAB"/>
    <w:rsid w:val="00D95E9C"/>
    <w:rsid w:val="00D96D8C"/>
    <w:rsid w:val="00D97042"/>
    <w:rsid w:val="00D972B7"/>
    <w:rsid w:val="00DA10C4"/>
    <w:rsid w:val="00DA13B9"/>
    <w:rsid w:val="00DA1C79"/>
    <w:rsid w:val="00DA260E"/>
    <w:rsid w:val="00DA3016"/>
    <w:rsid w:val="00DA3F40"/>
    <w:rsid w:val="00DA5F88"/>
    <w:rsid w:val="00DA6BEB"/>
    <w:rsid w:val="00DB17AE"/>
    <w:rsid w:val="00DB23C5"/>
    <w:rsid w:val="00DB25F5"/>
    <w:rsid w:val="00DB2B27"/>
    <w:rsid w:val="00DB403A"/>
    <w:rsid w:val="00DB41DF"/>
    <w:rsid w:val="00DB4A08"/>
    <w:rsid w:val="00DB678D"/>
    <w:rsid w:val="00DB7CA9"/>
    <w:rsid w:val="00DB7D72"/>
    <w:rsid w:val="00DC07CF"/>
    <w:rsid w:val="00DC1765"/>
    <w:rsid w:val="00DC2102"/>
    <w:rsid w:val="00DC5957"/>
    <w:rsid w:val="00DC6613"/>
    <w:rsid w:val="00DD1C7D"/>
    <w:rsid w:val="00DD2878"/>
    <w:rsid w:val="00DD418F"/>
    <w:rsid w:val="00DD50D1"/>
    <w:rsid w:val="00DD7079"/>
    <w:rsid w:val="00DD796F"/>
    <w:rsid w:val="00DE04E7"/>
    <w:rsid w:val="00DE20FB"/>
    <w:rsid w:val="00DE313E"/>
    <w:rsid w:val="00DE42ED"/>
    <w:rsid w:val="00DE5168"/>
    <w:rsid w:val="00DE53D6"/>
    <w:rsid w:val="00DE621A"/>
    <w:rsid w:val="00DE6708"/>
    <w:rsid w:val="00DE6E90"/>
    <w:rsid w:val="00DE71D2"/>
    <w:rsid w:val="00DE75CD"/>
    <w:rsid w:val="00DF05FD"/>
    <w:rsid w:val="00DF7220"/>
    <w:rsid w:val="00E0087D"/>
    <w:rsid w:val="00E009AE"/>
    <w:rsid w:val="00E00BCE"/>
    <w:rsid w:val="00E0132E"/>
    <w:rsid w:val="00E01625"/>
    <w:rsid w:val="00E023E3"/>
    <w:rsid w:val="00E04BF9"/>
    <w:rsid w:val="00E05E67"/>
    <w:rsid w:val="00E11822"/>
    <w:rsid w:val="00E13ECF"/>
    <w:rsid w:val="00E218CD"/>
    <w:rsid w:val="00E22306"/>
    <w:rsid w:val="00E22D93"/>
    <w:rsid w:val="00E232B9"/>
    <w:rsid w:val="00E23CEE"/>
    <w:rsid w:val="00E24C4F"/>
    <w:rsid w:val="00E25CEB"/>
    <w:rsid w:val="00E3058D"/>
    <w:rsid w:val="00E32CA1"/>
    <w:rsid w:val="00E33F19"/>
    <w:rsid w:val="00E456A5"/>
    <w:rsid w:val="00E554C3"/>
    <w:rsid w:val="00E60A35"/>
    <w:rsid w:val="00E61E9C"/>
    <w:rsid w:val="00E62B94"/>
    <w:rsid w:val="00E630CC"/>
    <w:rsid w:val="00E64425"/>
    <w:rsid w:val="00E7085C"/>
    <w:rsid w:val="00E70E90"/>
    <w:rsid w:val="00E716BF"/>
    <w:rsid w:val="00E71945"/>
    <w:rsid w:val="00E739EC"/>
    <w:rsid w:val="00E73A6C"/>
    <w:rsid w:val="00E7741A"/>
    <w:rsid w:val="00E83462"/>
    <w:rsid w:val="00E8477A"/>
    <w:rsid w:val="00E84930"/>
    <w:rsid w:val="00E856EC"/>
    <w:rsid w:val="00E91355"/>
    <w:rsid w:val="00E92FBA"/>
    <w:rsid w:val="00E952FF"/>
    <w:rsid w:val="00E95A86"/>
    <w:rsid w:val="00E96593"/>
    <w:rsid w:val="00E97788"/>
    <w:rsid w:val="00E97A0E"/>
    <w:rsid w:val="00EA08F9"/>
    <w:rsid w:val="00EA1427"/>
    <w:rsid w:val="00EA2B51"/>
    <w:rsid w:val="00EA4AF6"/>
    <w:rsid w:val="00EA6073"/>
    <w:rsid w:val="00EA63FB"/>
    <w:rsid w:val="00EA792D"/>
    <w:rsid w:val="00EB3A92"/>
    <w:rsid w:val="00EB48F2"/>
    <w:rsid w:val="00EB4F85"/>
    <w:rsid w:val="00EB52E5"/>
    <w:rsid w:val="00EB69B5"/>
    <w:rsid w:val="00EB6D49"/>
    <w:rsid w:val="00EB7628"/>
    <w:rsid w:val="00EC2A75"/>
    <w:rsid w:val="00EC307B"/>
    <w:rsid w:val="00EC324D"/>
    <w:rsid w:val="00EC33AC"/>
    <w:rsid w:val="00EC4764"/>
    <w:rsid w:val="00EC4FE3"/>
    <w:rsid w:val="00EC74C6"/>
    <w:rsid w:val="00EC75AA"/>
    <w:rsid w:val="00ED1719"/>
    <w:rsid w:val="00ED23FC"/>
    <w:rsid w:val="00ED2F5F"/>
    <w:rsid w:val="00ED3A53"/>
    <w:rsid w:val="00ED5774"/>
    <w:rsid w:val="00ED67E2"/>
    <w:rsid w:val="00EE0708"/>
    <w:rsid w:val="00EE08DA"/>
    <w:rsid w:val="00EE119C"/>
    <w:rsid w:val="00EE19BF"/>
    <w:rsid w:val="00EE5527"/>
    <w:rsid w:val="00EE5C36"/>
    <w:rsid w:val="00EE638A"/>
    <w:rsid w:val="00EE6B69"/>
    <w:rsid w:val="00EE7498"/>
    <w:rsid w:val="00EE74CF"/>
    <w:rsid w:val="00EE79DD"/>
    <w:rsid w:val="00EE7CC0"/>
    <w:rsid w:val="00EF0239"/>
    <w:rsid w:val="00EF2AF3"/>
    <w:rsid w:val="00EF30B1"/>
    <w:rsid w:val="00EF51AA"/>
    <w:rsid w:val="00EF5703"/>
    <w:rsid w:val="00EF6814"/>
    <w:rsid w:val="00EF7ACE"/>
    <w:rsid w:val="00EF7F9F"/>
    <w:rsid w:val="00F006B2"/>
    <w:rsid w:val="00F011AC"/>
    <w:rsid w:val="00F1013A"/>
    <w:rsid w:val="00F11A68"/>
    <w:rsid w:val="00F12630"/>
    <w:rsid w:val="00F17042"/>
    <w:rsid w:val="00F23F4C"/>
    <w:rsid w:val="00F24399"/>
    <w:rsid w:val="00F24B18"/>
    <w:rsid w:val="00F252B9"/>
    <w:rsid w:val="00F25555"/>
    <w:rsid w:val="00F30014"/>
    <w:rsid w:val="00F31029"/>
    <w:rsid w:val="00F3207B"/>
    <w:rsid w:val="00F35B67"/>
    <w:rsid w:val="00F36CDB"/>
    <w:rsid w:val="00F401C9"/>
    <w:rsid w:val="00F40CA4"/>
    <w:rsid w:val="00F4289B"/>
    <w:rsid w:val="00F44FBC"/>
    <w:rsid w:val="00F45875"/>
    <w:rsid w:val="00F465E2"/>
    <w:rsid w:val="00F51DF7"/>
    <w:rsid w:val="00F51F83"/>
    <w:rsid w:val="00F520F5"/>
    <w:rsid w:val="00F526B3"/>
    <w:rsid w:val="00F57C19"/>
    <w:rsid w:val="00F57EBF"/>
    <w:rsid w:val="00F6032C"/>
    <w:rsid w:val="00F615D7"/>
    <w:rsid w:val="00F616B7"/>
    <w:rsid w:val="00F63768"/>
    <w:rsid w:val="00F63F19"/>
    <w:rsid w:val="00F63F27"/>
    <w:rsid w:val="00F642FD"/>
    <w:rsid w:val="00F6507B"/>
    <w:rsid w:val="00F671FD"/>
    <w:rsid w:val="00F6781D"/>
    <w:rsid w:val="00F67C62"/>
    <w:rsid w:val="00F70EEE"/>
    <w:rsid w:val="00F7351F"/>
    <w:rsid w:val="00F75FEC"/>
    <w:rsid w:val="00F77C6A"/>
    <w:rsid w:val="00F80B83"/>
    <w:rsid w:val="00F81A80"/>
    <w:rsid w:val="00F82EFD"/>
    <w:rsid w:val="00F83F5F"/>
    <w:rsid w:val="00F85010"/>
    <w:rsid w:val="00F87CBE"/>
    <w:rsid w:val="00F90567"/>
    <w:rsid w:val="00F95B3E"/>
    <w:rsid w:val="00FA11C7"/>
    <w:rsid w:val="00FA45E2"/>
    <w:rsid w:val="00FA548F"/>
    <w:rsid w:val="00FA5716"/>
    <w:rsid w:val="00FA5B21"/>
    <w:rsid w:val="00FA65BC"/>
    <w:rsid w:val="00FA7555"/>
    <w:rsid w:val="00FA76DC"/>
    <w:rsid w:val="00FA79FD"/>
    <w:rsid w:val="00FB1894"/>
    <w:rsid w:val="00FB2ECB"/>
    <w:rsid w:val="00FB3AC4"/>
    <w:rsid w:val="00FB435E"/>
    <w:rsid w:val="00FB4E09"/>
    <w:rsid w:val="00FB4E44"/>
    <w:rsid w:val="00FB5D61"/>
    <w:rsid w:val="00FB7218"/>
    <w:rsid w:val="00FC03F2"/>
    <w:rsid w:val="00FC2F86"/>
    <w:rsid w:val="00FC3F54"/>
    <w:rsid w:val="00FC404E"/>
    <w:rsid w:val="00FC41C3"/>
    <w:rsid w:val="00FC4331"/>
    <w:rsid w:val="00FC4CBB"/>
    <w:rsid w:val="00FC6EAF"/>
    <w:rsid w:val="00FD2303"/>
    <w:rsid w:val="00FD33C3"/>
    <w:rsid w:val="00FD3C78"/>
    <w:rsid w:val="00FD4ABB"/>
    <w:rsid w:val="00FD732D"/>
    <w:rsid w:val="00FD7A5D"/>
    <w:rsid w:val="00FD7EC7"/>
    <w:rsid w:val="00FE0AC0"/>
    <w:rsid w:val="00FE1AC0"/>
    <w:rsid w:val="00FE20F2"/>
    <w:rsid w:val="00FE2A05"/>
    <w:rsid w:val="00FF1D04"/>
    <w:rsid w:val="00FF1E91"/>
    <w:rsid w:val="00FF50F5"/>
    <w:rsid w:val="00FF762B"/>
    <w:rsid w:val="030A1B01"/>
    <w:rsid w:val="049A02F2"/>
    <w:rsid w:val="06DB5835"/>
    <w:rsid w:val="0A029C0E"/>
    <w:rsid w:val="13DBF352"/>
    <w:rsid w:val="164839F8"/>
    <w:rsid w:val="180553D8"/>
    <w:rsid w:val="18096AD4"/>
    <w:rsid w:val="1AC83A5B"/>
    <w:rsid w:val="1C640ABC"/>
    <w:rsid w:val="1CA9FDCA"/>
    <w:rsid w:val="2308A45E"/>
    <w:rsid w:val="27222AAD"/>
    <w:rsid w:val="2ADB8A69"/>
    <w:rsid w:val="2D8BD93C"/>
    <w:rsid w:val="2FEEA0A0"/>
    <w:rsid w:val="30EB8549"/>
    <w:rsid w:val="32C240E9"/>
    <w:rsid w:val="365EB2A8"/>
    <w:rsid w:val="37ABA656"/>
    <w:rsid w:val="394383B8"/>
    <w:rsid w:val="3996536A"/>
    <w:rsid w:val="3AFB8541"/>
    <w:rsid w:val="3F395A3A"/>
    <w:rsid w:val="44CF51F9"/>
    <w:rsid w:val="46E9C9D8"/>
    <w:rsid w:val="48D26EA9"/>
    <w:rsid w:val="49DBE344"/>
    <w:rsid w:val="4F0BA63A"/>
    <w:rsid w:val="4F6FDE42"/>
    <w:rsid w:val="4F7A92FE"/>
    <w:rsid w:val="50F6534E"/>
    <w:rsid w:val="531CE920"/>
    <w:rsid w:val="5720503C"/>
    <w:rsid w:val="57F3B095"/>
    <w:rsid w:val="5D80FD9B"/>
    <w:rsid w:val="6149B82A"/>
    <w:rsid w:val="66CAC189"/>
    <w:rsid w:val="699F74A5"/>
    <w:rsid w:val="6B4962A7"/>
    <w:rsid w:val="6C2E7CC3"/>
    <w:rsid w:val="6D9A6A14"/>
    <w:rsid w:val="6EE90D73"/>
    <w:rsid w:val="728ADA1D"/>
    <w:rsid w:val="73013723"/>
    <w:rsid w:val="773BEE84"/>
    <w:rsid w:val="78777367"/>
    <w:rsid w:val="7B0C4908"/>
    <w:rsid w:val="7B5DABF4"/>
    <w:rsid w:val="7D3194D0"/>
    <w:rsid w:val="7D5814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D1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88" w:lineRule="auto"/>
    </w:pPr>
    <w:rPr>
      <w:rFonts w:ascii="Century Schoolbook" w:hAnsi="Century Schoolbook"/>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2582"/>
    <w:rPr>
      <w:rFonts w:eastAsia="Times New Roman" w:cs="Times New Roman"/>
      <w:sz w:val="20"/>
      <w:szCs w:val="20"/>
      <w:lang w:eastAsia="zh-CN"/>
    </w:rPr>
  </w:style>
  <w:style w:type="character" w:customStyle="1" w:styleId="FootnoteTextChar">
    <w:name w:val="Footnote Text Char"/>
    <w:basedOn w:val="DefaultParagraphFont"/>
    <w:link w:val="FootnoteText"/>
    <w:uiPriority w:val="99"/>
    <w:rsid w:val="00492582"/>
    <w:rPr>
      <w:rFonts w:ascii="Century Schoolbook" w:eastAsia="Times New Roman" w:hAnsi="Century Schoolbook" w:cs="Times New Roman"/>
      <w:sz w:val="20"/>
      <w:szCs w:val="20"/>
      <w:lang w:eastAsia="zh-CN"/>
    </w:rPr>
  </w:style>
  <w:style w:type="character" w:styleId="FootnoteReference">
    <w:name w:val="footnote reference"/>
    <w:uiPriority w:val="99"/>
    <w:semiHidden/>
    <w:unhideWhenUsed/>
    <w:rsid w:val="00492582"/>
    <w:rPr>
      <w:vertAlign w:val="superscript"/>
    </w:rPr>
  </w:style>
  <w:style w:type="character" w:styleId="Emphasis">
    <w:name w:val="Emphasis"/>
    <w:uiPriority w:val="20"/>
    <w:qFormat/>
    <w:rsid w:val="00492582"/>
    <w:rPr>
      <w:i/>
      <w:iCs/>
    </w:rPr>
  </w:style>
  <w:style w:type="character" w:customStyle="1" w:styleId="cohl">
    <w:name w:val="co_hl"/>
    <w:rsid w:val="00492582"/>
  </w:style>
  <w:style w:type="paragraph" w:styleId="ListParagraph">
    <w:name w:val="List Paragraph"/>
    <w:basedOn w:val="Normal"/>
    <w:uiPriority w:val="34"/>
    <w:qFormat/>
    <w:rsid w:val="00492582"/>
    <w:pPr>
      <w:ind w:left="720"/>
      <w:contextualSpacing/>
    </w:pPr>
    <w:rPr>
      <w:rFonts w:eastAsia="Times New Roman" w:cs="Times New Roman"/>
      <w:szCs w:val="24"/>
      <w:lang w:eastAsia="zh-CN"/>
    </w:rPr>
  </w:style>
  <w:style w:type="paragraph" w:styleId="Header">
    <w:name w:val="header"/>
    <w:basedOn w:val="Normal"/>
    <w:link w:val="HeaderChar"/>
    <w:uiPriority w:val="99"/>
    <w:unhideWhenUsed/>
    <w:rsid w:val="00682FCC"/>
    <w:pPr>
      <w:tabs>
        <w:tab w:val="center" w:pos="4680"/>
        <w:tab w:val="right" w:pos="9360"/>
      </w:tabs>
      <w:spacing w:line="240" w:lineRule="auto"/>
    </w:pPr>
  </w:style>
  <w:style w:type="character" w:customStyle="1" w:styleId="HeaderChar">
    <w:name w:val="Header Char"/>
    <w:basedOn w:val="DefaultParagraphFont"/>
    <w:link w:val="Header"/>
    <w:uiPriority w:val="99"/>
    <w:rsid w:val="00682FCC"/>
    <w:rPr>
      <w:rFonts w:ascii="Century Schoolbook" w:hAnsi="Century Schoolbook"/>
      <w:sz w:val="26"/>
    </w:rPr>
  </w:style>
  <w:style w:type="paragraph" w:styleId="Footer">
    <w:name w:val="footer"/>
    <w:basedOn w:val="Normal"/>
    <w:link w:val="FooterChar"/>
    <w:uiPriority w:val="99"/>
    <w:unhideWhenUsed/>
    <w:rsid w:val="00682FCC"/>
    <w:pPr>
      <w:tabs>
        <w:tab w:val="center" w:pos="4680"/>
        <w:tab w:val="right" w:pos="9360"/>
      </w:tabs>
      <w:spacing w:line="240" w:lineRule="auto"/>
    </w:pPr>
  </w:style>
  <w:style w:type="character" w:customStyle="1" w:styleId="FooterChar">
    <w:name w:val="Footer Char"/>
    <w:basedOn w:val="DefaultParagraphFont"/>
    <w:link w:val="Footer"/>
    <w:uiPriority w:val="99"/>
    <w:rsid w:val="00682FCC"/>
    <w:rPr>
      <w:rFonts w:ascii="Century Schoolbook" w:hAnsi="Century Schoolbook"/>
      <w:sz w:val="26"/>
    </w:rPr>
  </w:style>
  <w:style w:type="character" w:styleId="Hyperlink">
    <w:name w:val="Hyperlink"/>
    <w:basedOn w:val="DefaultParagraphFont"/>
    <w:uiPriority w:val="99"/>
    <w:unhideWhenUsed/>
    <w:rsid w:val="00AD0643"/>
    <w:rPr>
      <w:color w:val="0563C1" w:themeColor="hyperlink"/>
      <w:u w:val="single"/>
    </w:rPr>
  </w:style>
  <w:style w:type="character" w:customStyle="1" w:styleId="UnresolvedMention1">
    <w:name w:val="Unresolved Mention1"/>
    <w:basedOn w:val="DefaultParagraphFont"/>
    <w:uiPriority w:val="99"/>
    <w:semiHidden/>
    <w:unhideWhenUsed/>
    <w:rsid w:val="00AD0643"/>
    <w:rPr>
      <w:color w:val="605E5C"/>
      <w:shd w:val="clear" w:color="auto" w:fill="E1DFDD"/>
    </w:rPr>
  </w:style>
  <w:style w:type="character" w:styleId="CommentReference">
    <w:name w:val="annotation reference"/>
    <w:basedOn w:val="DefaultParagraphFont"/>
    <w:uiPriority w:val="99"/>
    <w:semiHidden/>
    <w:unhideWhenUsed/>
    <w:rsid w:val="00B07E06"/>
    <w:rPr>
      <w:sz w:val="16"/>
      <w:szCs w:val="16"/>
    </w:rPr>
  </w:style>
  <w:style w:type="paragraph" w:styleId="CommentText">
    <w:name w:val="annotation text"/>
    <w:basedOn w:val="Normal"/>
    <w:link w:val="CommentTextChar"/>
    <w:uiPriority w:val="99"/>
    <w:unhideWhenUsed/>
    <w:rsid w:val="00B07E06"/>
    <w:pPr>
      <w:spacing w:line="240" w:lineRule="auto"/>
    </w:pPr>
    <w:rPr>
      <w:sz w:val="20"/>
      <w:szCs w:val="20"/>
    </w:rPr>
  </w:style>
  <w:style w:type="character" w:customStyle="1" w:styleId="CommentTextChar">
    <w:name w:val="Comment Text Char"/>
    <w:basedOn w:val="DefaultParagraphFont"/>
    <w:link w:val="CommentText"/>
    <w:uiPriority w:val="99"/>
    <w:rsid w:val="00B07E06"/>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B07E06"/>
    <w:rPr>
      <w:b/>
      <w:bCs/>
    </w:rPr>
  </w:style>
  <w:style w:type="character" w:customStyle="1" w:styleId="CommentSubjectChar">
    <w:name w:val="Comment Subject Char"/>
    <w:basedOn w:val="CommentTextChar"/>
    <w:link w:val="CommentSubject"/>
    <w:uiPriority w:val="99"/>
    <w:semiHidden/>
    <w:rsid w:val="00B07E06"/>
    <w:rPr>
      <w:rFonts w:ascii="Century Schoolbook" w:hAnsi="Century Schoolbook"/>
      <w:b/>
      <w:bCs/>
      <w:sz w:val="20"/>
      <w:szCs w:val="20"/>
    </w:rPr>
  </w:style>
  <w:style w:type="paragraph" w:styleId="BalloonText">
    <w:name w:val="Balloon Text"/>
    <w:basedOn w:val="Normal"/>
    <w:link w:val="BalloonTextChar"/>
    <w:uiPriority w:val="99"/>
    <w:semiHidden/>
    <w:unhideWhenUsed/>
    <w:rsid w:val="00B07E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E06"/>
    <w:rPr>
      <w:rFonts w:ascii="Segoe UI" w:hAnsi="Segoe UI" w:cs="Segoe UI"/>
      <w:sz w:val="18"/>
      <w:szCs w:val="18"/>
    </w:rPr>
  </w:style>
  <w:style w:type="character" w:customStyle="1" w:styleId="coconcept1722">
    <w:name w:val="co_concept_17_22"/>
    <w:basedOn w:val="DefaultParagraphFont"/>
    <w:rsid w:val="00301BDD"/>
  </w:style>
  <w:style w:type="character" w:customStyle="1" w:styleId="costarpage">
    <w:name w:val="co_starpage"/>
    <w:basedOn w:val="DefaultParagraphFont"/>
    <w:rsid w:val="00C64D89"/>
  </w:style>
  <w:style w:type="character" w:customStyle="1" w:styleId="opinioncipdip">
    <w:name w:val="opinioncipdip"/>
    <w:basedOn w:val="DefaultParagraphFont"/>
    <w:rsid w:val="00F616B7"/>
  </w:style>
  <w:style w:type="character" w:customStyle="1" w:styleId="cohighlightpoints">
    <w:name w:val="co_highlightpoints"/>
    <w:basedOn w:val="DefaultParagraphFont"/>
    <w:rsid w:val="00F616B7"/>
  </w:style>
  <w:style w:type="character" w:customStyle="1" w:styleId="coconcept119">
    <w:name w:val="co_concept_1_19"/>
    <w:basedOn w:val="DefaultParagraphFont"/>
    <w:rsid w:val="008045B8"/>
  </w:style>
  <w:style w:type="character" w:customStyle="1" w:styleId="coconcept2536">
    <w:name w:val="co_concept_25_36"/>
    <w:basedOn w:val="DefaultParagraphFont"/>
    <w:rsid w:val="008045B8"/>
  </w:style>
  <w:style w:type="paragraph" w:styleId="HTMLPreformatted">
    <w:name w:val="HTML Preformatted"/>
    <w:basedOn w:val="Normal"/>
    <w:link w:val="HTMLPreformattedChar"/>
    <w:uiPriority w:val="99"/>
    <w:semiHidden/>
    <w:unhideWhenUsed/>
    <w:rsid w:val="007C4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4F40"/>
    <w:rPr>
      <w:rFonts w:ascii="Courier New" w:eastAsia="Times New Roman" w:hAnsi="Courier New" w:cs="Courier New"/>
      <w:sz w:val="20"/>
      <w:szCs w:val="20"/>
    </w:rPr>
  </w:style>
  <w:style w:type="character" w:styleId="PageNumber">
    <w:name w:val="page number"/>
    <w:basedOn w:val="DefaultParagraphFont"/>
    <w:uiPriority w:val="99"/>
    <w:semiHidden/>
    <w:unhideWhenUsed/>
    <w:rsid w:val="00AD2751"/>
  </w:style>
  <w:style w:type="character" w:customStyle="1" w:styleId="coconcept1215">
    <w:name w:val="co_concept_12_15"/>
    <w:basedOn w:val="DefaultParagraphFont"/>
    <w:rsid w:val="00AA3459"/>
  </w:style>
  <w:style w:type="character" w:customStyle="1" w:styleId="coconcept110">
    <w:name w:val="co_concept_1_10"/>
    <w:basedOn w:val="DefaultParagraphFont"/>
    <w:rsid w:val="00AA3459"/>
  </w:style>
  <w:style w:type="character" w:customStyle="1" w:styleId="counderline">
    <w:name w:val="co_underline"/>
    <w:basedOn w:val="DefaultParagraphFont"/>
    <w:rsid w:val="002A3406"/>
  </w:style>
  <w:style w:type="paragraph" w:customStyle="1" w:styleId="notetext">
    <w:name w:val="notetext"/>
    <w:basedOn w:val="Normal"/>
    <w:rsid w:val="00F650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searchterm">
    <w:name w:val="co_searchterm"/>
    <w:basedOn w:val="DefaultParagraphFont"/>
    <w:rsid w:val="00D56928"/>
  </w:style>
  <w:style w:type="character" w:customStyle="1" w:styleId="coinlinekeyciteflag">
    <w:name w:val="co_inlinekeyciteflag"/>
    <w:basedOn w:val="DefaultParagraphFont"/>
    <w:rsid w:val="00D56928"/>
  </w:style>
  <w:style w:type="character" w:styleId="FollowedHyperlink">
    <w:name w:val="FollowedHyperlink"/>
    <w:basedOn w:val="DefaultParagraphFont"/>
    <w:uiPriority w:val="99"/>
    <w:semiHidden/>
    <w:unhideWhenUsed/>
    <w:rsid w:val="006473D9"/>
    <w:rPr>
      <w:color w:val="954F72" w:themeColor="followedHyperlink"/>
      <w:u w:val="single"/>
    </w:rPr>
  </w:style>
  <w:style w:type="paragraph" w:styleId="NormalWeb">
    <w:name w:val="Normal (Web)"/>
    <w:basedOn w:val="Normal"/>
    <w:uiPriority w:val="99"/>
    <w:semiHidden/>
    <w:unhideWhenUsed/>
    <w:rsid w:val="001D01A7"/>
    <w:rPr>
      <w:rFonts w:ascii="Times New Roman" w:hAnsi="Times New Roman" w:cs="Times New Roman"/>
      <w:sz w:val="24"/>
      <w:szCs w:val="24"/>
    </w:rPr>
  </w:style>
  <w:style w:type="character" w:styleId="Strong">
    <w:name w:val="Strong"/>
    <w:basedOn w:val="DefaultParagraphFont"/>
    <w:uiPriority w:val="22"/>
    <w:qFormat/>
    <w:rsid w:val="00AC1B0F"/>
    <w:rPr>
      <w:b/>
      <w:bCs/>
    </w:rPr>
  </w:style>
  <w:style w:type="paragraph" w:styleId="Revision">
    <w:name w:val="Revision"/>
    <w:hidden/>
    <w:uiPriority w:val="99"/>
    <w:semiHidden/>
    <w:rsid w:val="00120568"/>
    <w:pPr>
      <w:spacing w:after="0" w:line="240" w:lineRule="auto"/>
    </w:pPr>
    <w:rPr>
      <w:rFonts w:ascii="Century Schoolbook" w:hAnsi="Century Schoolbook"/>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7776</Words>
  <Characters>44325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2023-08-10T21:50:00Z</dcterms:created>
  <dcterms:modified xsi:type="dcterms:W3CDTF">2023-08-10T21:50:00Z</dcterms:modified>
</cp:coreProperties>
</file>