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2519" w14:textId="46FCA61D" w:rsidR="00AC2390" w:rsidRPr="00AC2390" w:rsidRDefault="004140AF" w:rsidP="00AC2390">
      <w:pPr>
        <w:spacing w:line="360" w:lineRule="auto"/>
        <w:rPr>
          <w:bCs/>
          <w:sz w:val="20"/>
          <w:szCs w:val="20"/>
        </w:rPr>
      </w:pPr>
      <w:r>
        <w:rPr>
          <w:bCs/>
          <w:sz w:val="20"/>
          <w:szCs w:val="20"/>
        </w:rPr>
        <w:t>Filed 1</w:t>
      </w:r>
      <w:r w:rsidR="004A1542">
        <w:rPr>
          <w:bCs/>
          <w:sz w:val="20"/>
          <w:szCs w:val="20"/>
        </w:rPr>
        <w:t>/</w:t>
      </w:r>
      <w:r>
        <w:rPr>
          <w:bCs/>
          <w:sz w:val="20"/>
          <w:szCs w:val="20"/>
        </w:rPr>
        <w:t>17</w:t>
      </w:r>
      <w:r w:rsidR="004A1542">
        <w:rPr>
          <w:bCs/>
          <w:sz w:val="20"/>
          <w:szCs w:val="20"/>
        </w:rPr>
        <w:t>/</w:t>
      </w:r>
      <w:r>
        <w:rPr>
          <w:bCs/>
          <w:sz w:val="20"/>
          <w:szCs w:val="20"/>
        </w:rPr>
        <w:t>24</w:t>
      </w:r>
    </w:p>
    <w:p w14:paraId="465EF1E6" w14:textId="2993C6C0" w:rsidR="006B51AE" w:rsidRDefault="00A602E3" w:rsidP="006B51AE">
      <w:pPr>
        <w:spacing w:line="240" w:lineRule="auto"/>
        <w:jc w:val="center"/>
        <w:rPr>
          <w:b/>
        </w:rPr>
      </w:pPr>
      <w:r>
        <w:rPr>
          <w:b/>
        </w:rPr>
        <w:t>CERTIFIED FOR PUBLICATION</w:t>
      </w:r>
    </w:p>
    <w:p w14:paraId="75771B38" w14:textId="77777777" w:rsidR="0060106F" w:rsidRDefault="0060106F" w:rsidP="0060106F">
      <w:pPr>
        <w:spacing w:line="240" w:lineRule="auto"/>
        <w:jc w:val="center"/>
      </w:pPr>
    </w:p>
    <w:p w14:paraId="755C35DE" w14:textId="77777777" w:rsidR="0060106F" w:rsidRDefault="0060106F" w:rsidP="0060106F">
      <w:pPr>
        <w:spacing w:line="240" w:lineRule="auto"/>
        <w:jc w:val="center"/>
      </w:pPr>
      <w:r>
        <w:t>IN THE COURT OF APPEAL OF THE STATE OF CALIFORNIA</w:t>
      </w:r>
    </w:p>
    <w:p w14:paraId="6D8B6FAB" w14:textId="77777777" w:rsidR="0060106F" w:rsidRDefault="0060106F" w:rsidP="0060106F">
      <w:pPr>
        <w:spacing w:line="240" w:lineRule="auto"/>
        <w:jc w:val="center"/>
      </w:pPr>
    </w:p>
    <w:p w14:paraId="1947F43A" w14:textId="77777777" w:rsidR="0060106F" w:rsidRDefault="0060106F" w:rsidP="0060106F">
      <w:pPr>
        <w:spacing w:line="240" w:lineRule="auto"/>
        <w:jc w:val="center"/>
      </w:pPr>
      <w:r>
        <w:t>SECOND APPELLATE DISTRICT</w:t>
      </w:r>
    </w:p>
    <w:p w14:paraId="78710758" w14:textId="77777777" w:rsidR="0060106F" w:rsidRDefault="0060106F" w:rsidP="0060106F">
      <w:pPr>
        <w:spacing w:line="240" w:lineRule="auto"/>
        <w:jc w:val="center"/>
      </w:pPr>
    </w:p>
    <w:p w14:paraId="2333B69A" w14:textId="77777777" w:rsidR="006C7D8D" w:rsidRDefault="0060106F" w:rsidP="0060106F">
      <w:pPr>
        <w:spacing w:line="240" w:lineRule="auto"/>
        <w:jc w:val="center"/>
      </w:pPr>
      <w:r>
        <w:t>DIVISION SIX</w:t>
      </w:r>
    </w:p>
    <w:p w14:paraId="11F100B3" w14:textId="77777777" w:rsidR="006C7D8D" w:rsidRDefault="006C7D8D" w:rsidP="006C7D8D">
      <w:pPr>
        <w:spacing w:line="240" w:lineRule="auto"/>
        <w:jc w:val="center"/>
      </w:pPr>
    </w:p>
    <w:p w14:paraId="65B482D4" w14:textId="77777777" w:rsidR="006C7D8D" w:rsidRDefault="006C7D8D" w:rsidP="006C7D8D">
      <w:pPr>
        <w:spacing w:line="240" w:lineRule="auto"/>
        <w:jc w:val="center"/>
      </w:pPr>
    </w:p>
    <w:tbl>
      <w:tblPr>
        <w:tblW w:w="0" w:type="auto"/>
        <w:tblLayout w:type="fixed"/>
        <w:tblLook w:val="0000" w:firstRow="0" w:lastRow="0" w:firstColumn="0" w:lastColumn="0" w:noHBand="0" w:noVBand="0"/>
      </w:tblPr>
      <w:tblGrid>
        <w:gridCol w:w="4068"/>
        <w:gridCol w:w="4068"/>
      </w:tblGrid>
      <w:tr w:rsidR="006C7D8D" w14:paraId="14301914" w14:textId="77777777" w:rsidTr="006C7D8D">
        <w:tc>
          <w:tcPr>
            <w:tcW w:w="4068" w:type="dxa"/>
            <w:tcBorders>
              <w:bottom w:val="single" w:sz="4" w:space="0" w:color="auto"/>
              <w:right w:val="single" w:sz="4" w:space="0" w:color="auto"/>
            </w:tcBorders>
            <w:shd w:val="clear" w:color="auto" w:fill="auto"/>
          </w:tcPr>
          <w:p w14:paraId="590BFADF" w14:textId="50076AD4" w:rsidR="006C7D8D" w:rsidRDefault="00BB5389" w:rsidP="006C7D8D">
            <w:pPr>
              <w:spacing w:line="240" w:lineRule="auto"/>
            </w:pPr>
            <w:r>
              <w:t>MARK OLSON</w:t>
            </w:r>
            <w:r w:rsidR="006C7D8D">
              <w:t>,</w:t>
            </w:r>
          </w:p>
          <w:p w14:paraId="3BA42084" w14:textId="77777777" w:rsidR="006C7D8D" w:rsidRDefault="006C7D8D" w:rsidP="006C7D8D">
            <w:pPr>
              <w:spacing w:line="240" w:lineRule="auto"/>
            </w:pPr>
          </w:p>
          <w:p w14:paraId="22804A30" w14:textId="31FB9CBF" w:rsidR="006C7D8D" w:rsidRDefault="006C7D8D" w:rsidP="006C7D8D">
            <w:pPr>
              <w:spacing w:line="240" w:lineRule="auto"/>
            </w:pPr>
            <w:r>
              <w:t xml:space="preserve">    Plaintiff and Appellant,</w:t>
            </w:r>
          </w:p>
          <w:p w14:paraId="2EAACBEF" w14:textId="77777777" w:rsidR="006C7D8D" w:rsidRDefault="006C7D8D" w:rsidP="006C7D8D">
            <w:pPr>
              <w:spacing w:line="240" w:lineRule="auto"/>
            </w:pPr>
          </w:p>
          <w:p w14:paraId="695E6803" w14:textId="77777777" w:rsidR="006C7D8D" w:rsidRDefault="006C7D8D" w:rsidP="006C7D8D">
            <w:pPr>
              <w:spacing w:line="240" w:lineRule="auto"/>
            </w:pPr>
            <w:r>
              <w:t>v.</w:t>
            </w:r>
          </w:p>
          <w:p w14:paraId="65C93346" w14:textId="77777777" w:rsidR="006C7D8D" w:rsidRDefault="006C7D8D" w:rsidP="006C7D8D">
            <w:pPr>
              <w:spacing w:line="240" w:lineRule="auto"/>
            </w:pPr>
          </w:p>
          <w:p w14:paraId="72C0EBC1" w14:textId="21471BEB" w:rsidR="006C7D8D" w:rsidRDefault="00BB5389" w:rsidP="006C7D8D">
            <w:pPr>
              <w:spacing w:line="240" w:lineRule="auto"/>
            </w:pPr>
            <w:r>
              <w:t>PATRICK SAVILLE</w:t>
            </w:r>
            <w:r w:rsidR="006C7D8D">
              <w:t>,</w:t>
            </w:r>
          </w:p>
          <w:p w14:paraId="6E213775" w14:textId="77777777" w:rsidR="006C7D8D" w:rsidRDefault="006C7D8D" w:rsidP="006C7D8D">
            <w:pPr>
              <w:spacing w:line="240" w:lineRule="auto"/>
            </w:pPr>
          </w:p>
          <w:p w14:paraId="0B597686" w14:textId="5D84A675" w:rsidR="006C7D8D" w:rsidRDefault="006C7D8D" w:rsidP="006C7D8D">
            <w:pPr>
              <w:spacing w:line="240" w:lineRule="auto"/>
            </w:pPr>
            <w:r>
              <w:t xml:space="preserve">    Defendant and Respondent.</w:t>
            </w:r>
          </w:p>
          <w:p w14:paraId="02249F44" w14:textId="77777777" w:rsidR="006C7D8D" w:rsidRDefault="006C7D8D" w:rsidP="006C7D8D">
            <w:pPr>
              <w:spacing w:line="240" w:lineRule="auto"/>
            </w:pPr>
          </w:p>
        </w:tc>
        <w:tc>
          <w:tcPr>
            <w:tcW w:w="4068" w:type="dxa"/>
            <w:tcBorders>
              <w:left w:val="single" w:sz="4" w:space="0" w:color="auto"/>
            </w:tcBorders>
            <w:shd w:val="clear" w:color="auto" w:fill="auto"/>
          </w:tcPr>
          <w:p w14:paraId="51FEAA1A" w14:textId="4C944998" w:rsidR="006C7D8D" w:rsidRDefault="005D5AD5" w:rsidP="006C7D8D">
            <w:pPr>
              <w:spacing w:line="240" w:lineRule="auto"/>
              <w:jc w:val="center"/>
            </w:pPr>
            <w:r>
              <w:t xml:space="preserve">2d Civ. No. </w:t>
            </w:r>
            <w:r w:rsidR="006C7D8D">
              <w:t>B</w:t>
            </w:r>
            <w:r w:rsidR="00BB5389">
              <w:t>324465</w:t>
            </w:r>
          </w:p>
          <w:p w14:paraId="31D07C58" w14:textId="596FA30F" w:rsidR="006C7D8D" w:rsidRDefault="006C7D8D" w:rsidP="006C7D8D">
            <w:pPr>
              <w:spacing w:line="240" w:lineRule="auto"/>
              <w:jc w:val="center"/>
            </w:pPr>
            <w:r>
              <w:t xml:space="preserve">(Super. Ct. No. </w:t>
            </w:r>
            <w:r w:rsidR="00BB5389">
              <w:t>20CV02207</w:t>
            </w:r>
            <w:r>
              <w:t>)</w:t>
            </w:r>
          </w:p>
          <w:p w14:paraId="263EFEBB" w14:textId="4CCAB963" w:rsidR="006C7D8D" w:rsidRDefault="006C7D8D" w:rsidP="006C7D8D">
            <w:pPr>
              <w:spacing w:line="240" w:lineRule="auto"/>
              <w:jc w:val="center"/>
            </w:pPr>
            <w:r>
              <w:t>(</w:t>
            </w:r>
            <w:r w:rsidR="00BB5389">
              <w:t>Santa Barbara</w:t>
            </w:r>
            <w:r>
              <w:t xml:space="preserve"> County)</w:t>
            </w:r>
          </w:p>
          <w:p w14:paraId="59BF1FB4" w14:textId="77777777" w:rsidR="006C7D8D" w:rsidRDefault="006C7D8D" w:rsidP="006C7D8D">
            <w:pPr>
              <w:spacing w:line="240" w:lineRule="auto"/>
              <w:jc w:val="center"/>
            </w:pPr>
          </w:p>
        </w:tc>
      </w:tr>
    </w:tbl>
    <w:p w14:paraId="143EE232" w14:textId="77777777" w:rsidR="006C7D8D" w:rsidRDefault="006C7D8D" w:rsidP="00286809">
      <w:pPr>
        <w:tabs>
          <w:tab w:val="left" w:pos="1440"/>
          <w:tab w:val="left" w:pos="2880"/>
          <w:tab w:val="left" w:pos="4320"/>
          <w:tab w:val="left" w:pos="5760"/>
          <w:tab w:val="left" w:pos="7200"/>
        </w:tabs>
      </w:pPr>
    </w:p>
    <w:p w14:paraId="2C8AAA5F" w14:textId="2C9C4441" w:rsidR="001F2E47" w:rsidRPr="001F2E47" w:rsidRDefault="007D6E57" w:rsidP="001F2E47">
      <w:pPr>
        <w:tabs>
          <w:tab w:val="left" w:pos="1440"/>
          <w:tab w:val="left" w:pos="2880"/>
          <w:tab w:val="left" w:pos="4320"/>
          <w:tab w:val="left" w:pos="5760"/>
          <w:tab w:val="left" w:pos="7200"/>
        </w:tabs>
        <w:ind w:firstLine="720"/>
      </w:pPr>
      <w:r>
        <w:t xml:space="preserve">In this personal injury case, we </w:t>
      </w:r>
      <w:r w:rsidR="00B069C9">
        <w:t xml:space="preserve">hold </w:t>
      </w:r>
      <w:r w:rsidR="00E86FAC">
        <w:t xml:space="preserve">the doctrine of </w:t>
      </w:r>
      <w:r w:rsidR="00B069C9">
        <w:t xml:space="preserve">primary assumption of the risk bars liability for injuries caused by </w:t>
      </w:r>
      <w:r w:rsidR="00E86FAC">
        <w:t xml:space="preserve">a negligent </w:t>
      </w:r>
      <w:r w:rsidR="00B069C9">
        <w:t xml:space="preserve">surfer to a fellow surfer because those injuries were caused by risks inherent in the sport of surfing. </w:t>
      </w:r>
    </w:p>
    <w:p w14:paraId="4B78480B" w14:textId="3FBCA78E" w:rsidR="006C7D8D" w:rsidRDefault="00AB48E3" w:rsidP="004F3D39">
      <w:pPr>
        <w:tabs>
          <w:tab w:val="left" w:pos="1440"/>
          <w:tab w:val="left" w:pos="2880"/>
          <w:tab w:val="left" w:pos="4320"/>
          <w:tab w:val="left" w:pos="5760"/>
          <w:tab w:val="left" w:pos="7200"/>
        </w:tabs>
        <w:ind w:firstLine="720"/>
      </w:pPr>
      <w:r>
        <w:t xml:space="preserve">Mark Olson appeals from the </w:t>
      </w:r>
      <w:r w:rsidR="006E0C65">
        <w:t xml:space="preserve">order </w:t>
      </w:r>
      <w:r>
        <w:t>grant</w:t>
      </w:r>
      <w:r w:rsidR="00DD3DD6">
        <w:t>ing</w:t>
      </w:r>
      <w:r>
        <w:t xml:space="preserve"> summary judgment </w:t>
      </w:r>
      <w:r w:rsidR="006E0C65">
        <w:t>for</w:t>
      </w:r>
      <w:r w:rsidR="00DD3DD6">
        <w:t xml:space="preserve"> </w:t>
      </w:r>
      <w:r w:rsidR="00A44A07">
        <w:t>r</w:t>
      </w:r>
      <w:r w:rsidR="00DD3DD6">
        <w:t xml:space="preserve">espondent </w:t>
      </w:r>
      <w:r>
        <w:t>Patrick Saville.</w:t>
      </w:r>
      <w:r w:rsidR="00EC4369">
        <w:t xml:space="preserve">  </w:t>
      </w:r>
      <w:r w:rsidR="00C57AF0">
        <w:t xml:space="preserve">Appellant </w:t>
      </w:r>
      <w:r w:rsidR="009F6212">
        <w:t xml:space="preserve">contends that triable issues of material fact exist </w:t>
      </w:r>
      <w:r w:rsidR="00C5026C">
        <w:t>as to</w:t>
      </w:r>
      <w:r w:rsidR="009F6212">
        <w:t xml:space="preserve"> whether </w:t>
      </w:r>
      <w:r w:rsidR="00C57AF0">
        <w:t xml:space="preserve">respondent </w:t>
      </w:r>
      <w:r w:rsidR="00C5026C">
        <w:t xml:space="preserve">is protected by the </w:t>
      </w:r>
      <w:r w:rsidR="009F6212">
        <w:t>primary assumption of risk doctrine.</w:t>
      </w:r>
      <w:r w:rsidR="00616193">
        <w:t xml:space="preserve">  </w:t>
      </w:r>
      <w:r w:rsidR="004710FB">
        <w:rPr>
          <w:szCs w:val="26"/>
        </w:rPr>
        <w:t>We disagree</w:t>
      </w:r>
      <w:r w:rsidR="00EC4369">
        <w:rPr>
          <w:szCs w:val="26"/>
        </w:rPr>
        <w:t xml:space="preserve"> and </w:t>
      </w:r>
      <w:r w:rsidR="00165288">
        <w:rPr>
          <w:szCs w:val="26"/>
        </w:rPr>
        <w:t xml:space="preserve">will </w:t>
      </w:r>
      <w:r w:rsidR="00EC4369">
        <w:rPr>
          <w:szCs w:val="26"/>
        </w:rPr>
        <w:t>affirm</w:t>
      </w:r>
      <w:r w:rsidR="001F2E47">
        <w:rPr>
          <w:szCs w:val="26"/>
        </w:rPr>
        <w:t>.</w:t>
      </w:r>
    </w:p>
    <w:p w14:paraId="7B1DA044" w14:textId="753DF1ED" w:rsidR="0000191B" w:rsidRPr="00C50E21" w:rsidRDefault="0000191B" w:rsidP="00C80D92">
      <w:pPr>
        <w:keepNext/>
        <w:tabs>
          <w:tab w:val="left" w:pos="1440"/>
          <w:tab w:val="left" w:pos="2880"/>
          <w:tab w:val="left" w:pos="4320"/>
          <w:tab w:val="left" w:pos="5760"/>
          <w:tab w:val="left" w:pos="7200"/>
        </w:tabs>
        <w:jc w:val="center"/>
      </w:pPr>
      <w:r>
        <w:lastRenderedPageBreak/>
        <w:t>FACTUAL AND PROCEDURAL BACKGROUND</w:t>
      </w:r>
      <w:r w:rsidR="00CD1ECA">
        <w:rPr>
          <w:rStyle w:val="FootnoteReference"/>
        </w:rPr>
        <w:footnoteReference w:id="1"/>
      </w:r>
    </w:p>
    <w:p w14:paraId="40E72CE4" w14:textId="6E287103" w:rsidR="001C13E6" w:rsidRDefault="00C57AF0" w:rsidP="0058524B">
      <w:pPr>
        <w:tabs>
          <w:tab w:val="left" w:pos="1440"/>
          <w:tab w:val="left" w:pos="2880"/>
          <w:tab w:val="left" w:pos="4320"/>
          <w:tab w:val="left" w:pos="5760"/>
          <w:tab w:val="left" w:pos="7200"/>
        </w:tabs>
        <w:ind w:firstLine="720"/>
      </w:pPr>
      <w:r>
        <w:t xml:space="preserve">Appellant </w:t>
      </w:r>
      <w:r w:rsidR="006242E8">
        <w:t xml:space="preserve">and </w:t>
      </w:r>
      <w:r>
        <w:t xml:space="preserve">respondent </w:t>
      </w:r>
      <w:r w:rsidR="006242E8">
        <w:t xml:space="preserve">were surfing </w:t>
      </w:r>
      <w:r w:rsidR="00CE01C5">
        <w:t>in a group</w:t>
      </w:r>
      <w:r w:rsidR="00D97995">
        <w:t xml:space="preserve"> </w:t>
      </w:r>
      <w:r w:rsidR="006242E8">
        <w:t>at M</w:t>
      </w:r>
      <w:r w:rsidR="00EC4369">
        <w:t>i</w:t>
      </w:r>
      <w:r w:rsidR="006242E8">
        <w:t>r</w:t>
      </w:r>
      <w:r w:rsidR="00EC4369">
        <w:t>a</w:t>
      </w:r>
      <w:r w:rsidR="006242E8">
        <w:t>mar Beach</w:t>
      </w:r>
      <w:r w:rsidR="0017432B">
        <w:t xml:space="preserve"> in Montecito</w:t>
      </w:r>
      <w:r w:rsidR="00D97995">
        <w:t xml:space="preserve">.  </w:t>
      </w:r>
      <w:r>
        <w:t xml:space="preserve">Respondent </w:t>
      </w:r>
      <w:r w:rsidR="005A3DE2">
        <w:t xml:space="preserve">was riding a custom </w:t>
      </w:r>
      <w:r w:rsidR="006C460B">
        <w:t xml:space="preserve">longboard </w:t>
      </w:r>
      <w:r w:rsidR="0017432B">
        <w:t>without a</w:t>
      </w:r>
      <w:r w:rsidR="006C460B">
        <w:t xml:space="preserve"> leash.</w:t>
      </w:r>
      <w:r w:rsidR="00147990">
        <w:rPr>
          <w:rStyle w:val="FootnoteReference"/>
        </w:rPr>
        <w:footnoteReference w:id="2"/>
      </w:r>
      <w:r w:rsidR="006C460B">
        <w:t xml:space="preserve"> </w:t>
      </w:r>
      <w:r w:rsidR="00616193">
        <w:t xml:space="preserve"> </w:t>
      </w:r>
      <w:r>
        <w:t>Appellant</w:t>
      </w:r>
      <w:r w:rsidR="009375E5">
        <w:t xml:space="preserve"> caught </w:t>
      </w:r>
      <w:r w:rsidR="007D19A5">
        <w:t>a</w:t>
      </w:r>
      <w:r w:rsidR="009375E5">
        <w:t xml:space="preserve"> wave</w:t>
      </w:r>
      <w:r w:rsidR="005D6123">
        <w:t xml:space="preserve">.  </w:t>
      </w:r>
      <w:r w:rsidR="00B21891">
        <w:t>Respondent</w:t>
      </w:r>
      <w:r w:rsidR="009375E5">
        <w:t xml:space="preserve"> </w:t>
      </w:r>
      <w:r w:rsidR="005D6123">
        <w:t xml:space="preserve">then </w:t>
      </w:r>
      <w:r w:rsidR="009375E5">
        <w:t>“appeared out of nowhere</w:t>
      </w:r>
      <w:r w:rsidR="005D6123">
        <w:t>”</w:t>
      </w:r>
      <w:r w:rsidR="009375E5">
        <w:t xml:space="preserve"> </w:t>
      </w:r>
      <w:r w:rsidR="005D6123">
        <w:t>and “</w:t>
      </w:r>
      <w:r w:rsidR="009375E5">
        <w:t>dr</w:t>
      </w:r>
      <w:r w:rsidR="00170452">
        <w:t>o</w:t>
      </w:r>
      <w:r w:rsidR="009375E5">
        <w:t>p</w:t>
      </w:r>
      <w:r w:rsidR="005D6123">
        <w:t>ped</w:t>
      </w:r>
      <w:r w:rsidR="009375E5">
        <w:t xml:space="preserve"> in</w:t>
      </w:r>
      <w:r w:rsidR="005D6123">
        <w:t>” on the wave without looking in appellant’s direction.</w:t>
      </w:r>
      <w:r w:rsidR="005D6123">
        <w:rPr>
          <w:rStyle w:val="FootnoteReference"/>
        </w:rPr>
        <w:footnoteReference w:id="3"/>
      </w:r>
      <w:r w:rsidR="009375E5">
        <w:t xml:space="preserve"> </w:t>
      </w:r>
      <w:r w:rsidR="00616193">
        <w:t xml:space="preserve"> </w:t>
      </w:r>
      <w:r w:rsidR="005D6123">
        <w:t>This forced</w:t>
      </w:r>
      <w:r w:rsidR="0017432B">
        <w:t xml:space="preserve"> </w:t>
      </w:r>
      <w:r>
        <w:t>appellant</w:t>
      </w:r>
      <w:r w:rsidR="009375E5">
        <w:t xml:space="preserve"> “to make a fast turn correction to his </w:t>
      </w:r>
      <w:r w:rsidR="00170452">
        <w:t>l</w:t>
      </w:r>
      <w:r w:rsidR="009375E5">
        <w:t>eft toward the beach</w:t>
      </w:r>
      <w:r w:rsidR="0017432B">
        <w:t xml:space="preserve">” </w:t>
      </w:r>
      <w:r w:rsidR="00170452">
        <w:t>and to “</w:t>
      </w:r>
      <w:r w:rsidR="00BC44AB">
        <w:t>exit into the white water to his left</w:t>
      </w:r>
      <w:r w:rsidR="00170452">
        <w:t>.</w:t>
      </w:r>
      <w:r w:rsidR="00BC44AB">
        <w:t>”</w:t>
      </w:r>
      <w:r w:rsidR="00170452">
        <w:t xml:space="preserve"> </w:t>
      </w:r>
      <w:r w:rsidR="005143C8">
        <w:t xml:space="preserve"> </w:t>
      </w:r>
      <w:r>
        <w:t>Appellant</w:t>
      </w:r>
      <w:r w:rsidR="00BC44AB">
        <w:t xml:space="preserve"> “grabbed both </w:t>
      </w:r>
      <w:r w:rsidR="002A1F63">
        <w:t>[</w:t>
      </w:r>
      <w:r w:rsidR="00BC44AB">
        <w:t>of</w:t>
      </w:r>
      <w:r w:rsidR="002A1F63">
        <w:t>]</w:t>
      </w:r>
      <w:r w:rsidR="00BC44AB">
        <w:t xml:space="preserve"> his board rails (aka sides</w:t>
      </w:r>
      <w:r w:rsidR="00170452">
        <w:t>)</w:t>
      </w:r>
      <w:r w:rsidR="00BC44AB">
        <w:t xml:space="preserve"> and pushed himself and the nose of the board slightly down and into the foam pile of whitewater toward the deeper water and away from </w:t>
      </w:r>
      <w:r w:rsidR="00B21891" w:rsidRPr="00B21891">
        <w:t>respondent</w:t>
      </w:r>
      <w:r w:rsidR="00BC44AB">
        <w:t>.</w:t>
      </w:r>
      <w:r w:rsidR="005143C8">
        <w:t>”</w:t>
      </w:r>
      <w:r w:rsidR="00BC44AB">
        <w:t xml:space="preserve"> </w:t>
      </w:r>
      <w:r w:rsidR="005143C8">
        <w:t xml:space="preserve"> </w:t>
      </w:r>
      <w:r w:rsidR="00B21891">
        <w:t>Respondent</w:t>
      </w:r>
      <w:r w:rsidR="00BC44AB">
        <w:t xml:space="preserve"> was still standing on his board heading toward the shore. </w:t>
      </w:r>
      <w:r w:rsidR="005143C8">
        <w:t xml:space="preserve"> </w:t>
      </w:r>
      <w:r w:rsidR="00BC44AB">
        <w:t xml:space="preserve">As </w:t>
      </w:r>
      <w:r>
        <w:t>appellant</w:t>
      </w:r>
      <w:r w:rsidR="00BC44AB">
        <w:t xml:space="preserve"> made his exit and ducked into the wave, </w:t>
      </w:r>
      <w:r w:rsidR="00B21891">
        <w:t>respondent</w:t>
      </w:r>
      <w:r w:rsidR="00BC44AB">
        <w:t xml:space="preserve">’s board propelled backward </w:t>
      </w:r>
      <w:r w:rsidR="0017432B">
        <w:t>and struck</w:t>
      </w:r>
      <w:r w:rsidR="00BC44AB">
        <w:t xml:space="preserve"> </w:t>
      </w:r>
      <w:r>
        <w:t>appellant</w:t>
      </w:r>
      <w:r w:rsidR="0017432B">
        <w:t>’s</w:t>
      </w:r>
      <w:r w:rsidR="00BC44AB">
        <w:t xml:space="preserve"> torso and back.</w:t>
      </w:r>
      <w:r w:rsidR="002A1F63">
        <w:t xml:space="preserve"> </w:t>
      </w:r>
      <w:r w:rsidR="00BC44AB">
        <w:t xml:space="preserve"> </w:t>
      </w:r>
    </w:p>
    <w:p w14:paraId="7D019E56" w14:textId="27B40039" w:rsidR="003634C6" w:rsidRDefault="00C57AF0" w:rsidP="00DA6239">
      <w:pPr>
        <w:tabs>
          <w:tab w:val="left" w:pos="1440"/>
          <w:tab w:val="left" w:pos="2880"/>
          <w:tab w:val="left" w:pos="4320"/>
          <w:tab w:val="left" w:pos="5760"/>
          <w:tab w:val="left" w:pos="7200"/>
        </w:tabs>
        <w:ind w:firstLine="720"/>
      </w:pPr>
      <w:r>
        <w:t>Appellant</w:t>
      </w:r>
      <w:r w:rsidR="003D143F">
        <w:t xml:space="preserve"> </w:t>
      </w:r>
      <w:r w:rsidR="00F52836">
        <w:t>sued</w:t>
      </w:r>
      <w:r w:rsidR="003D143F">
        <w:t xml:space="preserve"> </w:t>
      </w:r>
      <w:r w:rsidR="00B21891">
        <w:t>respondent</w:t>
      </w:r>
      <w:r w:rsidR="00B21891" w:rsidDel="00B21891">
        <w:t xml:space="preserve"> </w:t>
      </w:r>
      <w:r w:rsidR="003D143F">
        <w:t xml:space="preserve">for negligence. </w:t>
      </w:r>
      <w:r w:rsidR="00616193">
        <w:t xml:space="preserve"> </w:t>
      </w:r>
      <w:r w:rsidR="00C87D01">
        <w:t>He</w:t>
      </w:r>
      <w:r w:rsidR="001E68B1">
        <w:t xml:space="preserve"> alleged that </w:t>
      </w:r>
      <w:r w:rsidR="00B21891">
        <w:t>respondent</w:t>
      </w:r>
      <w:r w:rsidR="00085BD9">
        <w:t xml:space="preserve"> “intentionally</w:t>
      </w:r>
      <w:r w:rsidR="006E0C65">
        <w:t xml:space="preserve"> entered the wave and </w:t>
      </w:r>
      <w:r w:rsidR="00B64057">
        <w:t>intentionally</w:t>
      </w:r>
      <w:r w:rsidR="00085BD9">
        <w:t xml:space="preserve"> cut</w:t>
      </w:r>
      <w:r w:rsidR="004F5848">
        <w:t xml:space="preserve"> </w:t>
      </w:r>
      <w:r w:rsidR="00085BD9">
        <w:t xml:space="preserve">off </w:t>
      </w:r>
      <w:r w:rsidR="001B37B3">
        <w:t>appellant’s</w:t>
      </w:r>
      <w:r w:rsidR="00085BD9">
        <w:t xml:space="preserve"> path of travel</w:t>
      </w:r>
      <w:r w:rsidR="00CF59B1">
        <w:t>,</w:t>
      </w:r>
      <w:r w:rsidR="00F07755">
        <w:t xml:space="preserve"> thereby forcing </w:t>
      </w:r>
      <w:r w:rsidR="001B37B3">
        <w:t>appellant</w:t>
      </w:r>
      <w:r w:rsidR="00F07755">
        <w:t xml:space="preserve"> to exit the </w:t>
      </w:r>
      <w:r w:rsidR="00F07755">
        <w:lastRenderedPageBreak/>
        <w:t>wave.”</w:t>
      </w:r>
      <w:r w:rsidR="00085BD9">
        <w:t xml:space="preserve"> </w:t>
      </w:r>
      <w:r w:rsidR="00616193">
        <w:t xml:space="preserve"> </w:t>
      </w:r>
      <w:r w:rsidR="00E03B75">
        <w:t>He</w:t>
      </w:r>
      <w:r w:rsidR="00F07755">
        <w:t xml:space="preserve"> further alleged that </w:t>
      </w:r>
      <w:r w:rsidR="00B21891" w:rsidRPr="00B21891">
        <w:t>respondent</w:t>
      </w:r>
      <w:r w:rsidR="00B64057">
        <w:t>’s “</w:t>
      </w:r>
      <w:r w:rsidR="00085BD9">
        <w:t>fail</w:t>
      </w:r>
      <w:r w:rsidR="00F07755">
        <w:t>ure</w:t>
      </w:r>
      <w:r w:rsidR="00085BD9">
        <w:t xml:space="preserve"> to use a leash </w:t>
      </w:r>
      <w:r w:rsidR="00F07755">
        <w:t xml:space="preserve">to control </w:t>
      </w:r>
      <w:r w:rsidR="00235202">
        <w:t>[</w:t>
      </w:r>
      <w:r w:rsidR="00F07755">
        <w:t>his</w:t>
      </w:r>
      <w:r w:rsidR="00235202">
        <w:t>]</w:t>
      </w:r>
      <w:r w:rsidR="00F07755">
        <w:t xml:space="preserve"> longboard” </w:t>
      </w:r>
      <w:r w:rsidR="001E68B1">
        <w:t xml:space="preserve">and his use of a </w:t>
      </w:r>
      <w:r w:rsidR="00B71DA3">
        <w:t>“</w:t>
      </w:r>
      <w:r w:rsidR="001E68B1">
        <w:t>sharpened</w:t>
      </w:r>
      <w:r w:rsidR="00B71DA3">
        <w:t xml:space="preserve"> and deadly</w:t>
      </w:r>
      <w:r w:rsidR="001E68B1">
        <w:t xml:space="preserve"> fin</w:t>
      </w:r>
      <w:r w:rsidR="00B71DA3">
        <w:t>”</w:t>
      </w:r>
      <w:r w:rsidR="001E68B1">
        <w:t xml:space="preserve"> was </w:t>
      </w:r>
      <w:r w:rsidR="00F07755">
        <w:t>“</w:t>
      </w:r>
      <w:r w:rsidR="001E68B1">
        <w:t>reckless and displayed a w</w:t>
      </w:r>
      <w:r w:rsidR="00235202">
        <w:t>[a]</w:t>
      </w:r>
      <w:r w:rsidR="001E68B1">
        <w:t>nton disregard for the safety of others.</w:t>
      </w:r>
      <w:r w:rsidR="00F07755">
        <w:t>”</w:t>
      </w:r>
      <w:r w:rsidR="001E68B1" w:rsidRPr="001E68B1">
        <w:t xml:space="preserve"> </w:t>
      </w:r>
      <w:r w:rsidR="00616193">
        <w:t xml:space="preserve"> </w:t>
      </w:r>
      <w:r w:rsidR="002E1489">
        <w:t>R</w:t>
      </w:r>
      <w:r w:rsidR="00B21891" w:rsidRPr="00B21891">
        <w:t>espondent</w:t>
      </w:r>
      <w:r w:rsidR="002E1489">
        <w:t xml:space="preserve"> moved </w:t>
      </w:r>
      <w:r w:rsidR="00953941">
        <w:t xml:space="preserve">for </w:t>
      </w:r>
      <w:r w:rsidR="00F52836">
        <w:t>summary judgment</w:t>
      </w:r>
      <w:r w:rsidR="002E1489">
        <w:t xml:space="preserve"> on the ground that </w:t>
      </w:r>
      <w:r>
        <w:t>appellant</w:t>
      </w:r>
      <w:r w:rsidR="00B71DA3">
        <w:t xml:space="preserve">’s cause of action </w:t>
      </w:r>
      <w:r w:rsidR="002E1489">
        <w:t xml:space="preserve">was barred </w:t>
      </w:r>
      <w:r w:rsidR="001545D6">
        <w:t>under</w:t>
      </w:r>
      <w:r w:rsidR="002E016C">
        <w:t xml:space="preserve"> </w:t>
      </w:r>
      <w:r w:rsidR="00B71DA3">
        <w:t>the primary assumption of risk doctrine</w:t>
      </w:r>
      <w:r w:rsidR="00953941">
        <w:t>.</w:t>
      </w:r>
      <w:r w:rsidR="00F07755">
        <w:t xml:space="preserve"> </w:t>
      </w:r>
      <w:r w:rsidR="00EC4369">
        <w:t xml:space="preserve"> </w:t>
      </w:r>
      <w:r w:rsidR="00731321">
        <w:t xml:space="preserve">The </w:t>
      </w:r>
      <w:r w:rsidR="002E1489">
        <w:t xml:space="preserve">trial </w:t>
      </w:r>
      <w:r w:rsidR="00731321">
        <w:t xml:space="preserve">court </w:t>
      </w:r>
      <w:r w:rsidR="002E1489">
        <w:t xml:space="preserve">granted the motion, finding </w:t>
      </w:r>
      <w:r w:rsidR="001545D6">
        <w:t>“the inherent risks of the sport of surfing include surfers ‘dropping in’ on other surfers, not wearing leas</w:t>
      </w:r>
      <w:r w:rsidR="009F6212">
        <w:t>h</w:t>
      </w:r>
      <w:r w:rsidR="001545D6">
        <w:t xml:space="preserve">es while riding longboards of the type used by </w:t>
      </w:r>
      <w:r w:rsidR="00B21891">
        <w:t>respondent</w:t>
      </w:r>
      <w:r w:rsidR="001545D6">
        <w:t>, and using surfboards that have sharp fins</w:t>
      </w:r>
      <w:r w:rsidR="00731321">
        <w:t xml:space="preserve">.” </w:t>
      </w:r>
      <w:r w:rsidR="00616193">
        <w:t xml:space="preserve"> </w:t>
      </w:r>
    </w:p>
    <w:p w14:paraId="5B77128B" w14:textId="350A818D" w:rsidR="00BA4F20" w:rsidRDefault="0000191B" w:rsidP="00AC2390">
      <w:pPr>
        <w:keepNext/>
        <w:tabs>
          <w:tab w:val="left" w:pos="1440"/>
          <w:tab w:val="left" w:pos="2880"/>
          <w:tab w:val="left" w:pos="4320"/>
          <w:tab w:val="left" w:pos="5760"/>
          <w:tab w:val="left" w:pos="7200"/>
        </w:tabs>
        <w:jc w:val="center"/>
      </w:pPr>
      <w:r>
        <w:t>DISCUSSION</w:t>
      </w:r>
    </w:p>
    <w:p w14:paraId="42452C32" w14:textId="1F20FEEF" w:rsidR="002E4EEE" w:rsidRDefault="00C57AF0" w:rsidP="002E4EEE">
      <w:pPr>
        <w:tabs>
          <w:tab w:val="left" w:pos="1440"/>
          <w:tab w:val="left" w:pos="2880"/>
          <w:tab w:val="left" w:pos="4320"/>
          <w:tab w:val="left" w:pos="5760"/>
          <w:tab w:val="left" w:pos="7200"/>
        </w:tabs>
        <w:ind w:firstLine="720"/>
      </w:pPr>
      <w:r>
        <w:t>Appellant</w:t>
      </w:r>
      <w:r w:rsidR="006C001F">
        <w:t xml:space="preserve"> does not dispute that the primary assumption of the risk doctrine applies to surfing.</w:t>
      </w:r>
      <w:r w:rsidR="00616193">
        <w:t xml:space="preserve">  </w:t>
      </w:r>
      <w:r w:rsidR="00467072">
        <w:t>He</w:t>
      </w:r>
      <w:r w:rsidR="002E4EEE">
        <w:t xml:space="preserve"> contends</w:t>
      </w:r>
      <w:r w:rsidR="006C001F">
        <w:t xml:space="preserve">, however, that </w:t>
      </w:r>
      <w:r w:rsidR="00467072">
        <w:t xml:space="preserve">summary judgment is not appropriate because triable issues of material fact exist as to whether </w:t>
      </w:r>
      <w:r w:rsidR="00B21891">
        <w:t>respondent</w:t>
      </w:r>
      <w:r w:rsidR="00467072">
        <w:t xml:space="preserve"> acted</w:t>
      </w:r>
      <w:r w:rsidR="00467072" w:rsidRPr="00467072">
        <w:t xml:space="preserve"> recklessly or increased the sport’s inherent risks. </w:t>
      </w:r>
      <w:r w:rsidR="00EC4369">
        <w:t xml:space="preserve"> </w:t>
      </w:r>
    </w:p>
    <w:p w14:paraId="6C90DD9E" w14:textId="559D3775" w:rsidR="00151368" w:rsidRPr="00A66917" w:rsidRDefault="00151368" w:rsidP="004F3D39">
      <w:pPr>
        <w:tabs>
          <w:tab w:val="left" w:pos="1440"/>
          <w:tab w:val="left" w:pos="2880"/>
          <w:tab w:val="left" w:pos="4320"/>
          <w:tab w:val="left" w:pos="5760"/>
          <w:tab w:val="left" w:pos="7200"/>
        </w:tabs>
        <w:jc w:val="center"/>
        <w:rPr>
          <w:i/>
          <w:iCs/>
        </w:rPr>
      </w:pPr>
      <w:r>
        <w:rPr>
          <w:i/>
          <w:iCs/>
        </w:rPr>
        <w:t>Standard of Review</w:t>
      </w:r>
    </w:p>
    <w:p w14:paraId="09E0C3A9" w14:textId="024149A9" w:rsidR="00A44A07" w:rsidRDefault="005D5AD5" w:rsidP="00C120DA">
      <w:pPr>
        <w:ind w:firstLine="720"/>
        <w:rPr>
          <w:szCs w:val="26"/>
        </w:rPr>
      </w:pPr>
      <w:r w:rsidRPr="004C41D3">
        <w:rPr>
          <w:szCs w:val="26"/>
        </w:rPr>
        <w:t>“[A] motion for summary judgment shall be granted if all the papers submitted show that there is no triable issue as to any material fact and that the moving party is entitled to a judgment as a matter of law.”</w:t>
      </w:r>
      <w:r w:rsidR="00EB21D9">
        <w:rPr>
          <w:szCs w:val="26"/>
        </w:rPr>
        <w:t xml:space="preserve"> </w:t>
      </w:r>
      <w:r w:rsidRPr="004C41D3">
        <w:rPr>
          <w:szCs w:val="26"/>
        </w:rPr>
        <w:t xml:space="preserve"> (Code Civ. Proc., § 437c, subd. </w:t>
      </w:r>
      <w:r w:rsidR="00455C34">
        <w:rPr>
          <w:szCs w:val="26"/>
        </w:rPr>
        <w:t>(c)</w:t>
      </w:r>
      <w:r w:rsidRPr="004C41D3">
        <w:rPr>
          <w:szCs w:val="26"/>
        </w:rPr>
        <w:t>.)</w:t>
      </w:r>
      <w:r w:rsidR="00E30A40">
        <w:rPr>
          <w:rStyle w:val="FootnoteReference"/>
          <w:szCs w:val="26"/>
        </w:rPr>
        <w:footnoteReference w:id="4"/>
      </w:r>
      <w:r w:rsidRPr="004C41D3">
        <w:rPr>
          <w:szCs w:val="26"/>
        </w:rPr>
        <w:t xml:space="preserve"> </w:t>
      </w:r>
      <w:r w:rsidR="00EC4369">
        <w:rPr>
          <w:szCs w:val="26"/>
        </w:rPr>
        <w:t xml:space="preserve"> </w:t>
      </w:r>
      <w:r w:rsidRPr="004C41D3">
        <w:rPr>
          <w:szCs w:val="26"/>
        </w:rPr>
        <w:t xml:space="preserve">A defendant moving for summary judgment “bears the burden of persuasion that ‘one or more elements of’ the </w:t>
      </w:r>
      <w:r w:rsidR="00280E90">
        <w:rPr>
          <w:szCs w:val="26"/>
        </w:rPr>
        <w:t>‘</w:t>
      </w:r>
      <w:r w:rsidR="00280E90" w:rsidRPr="004C41D3">
        <w:rPr>
          <w:szCs w:val="26"/>
        </w:rPr>
        <w:t>cause</w:t>
      </w:r>
      <w:r w:rsidRPr="004C41D3">
        <w:rPr>
          <w:szCs w:val="26"/>
        </w:rPr>
        <w:t xml:space="preserve"> of action’ in question ‘cannot be established,’ or that ‘there is a complete defense’ thereto.</w:t>
      </w:r>
      <w:r w:rsidR="00B518BF">
        <w:rPr>
          <w:szCs w:val="26"/>
        </w:rPr>
        <w:t xml:space="preserve"> </w:t>
      </w:r>
      <w:r w:rsidRPr="004C41D3">
        <w:rPr>
          <w:szCs w:val="26"/>
        </w:rPr>
        <w:t xml:space="preserve"> [Citation.]” </w:t>
      </w:r>
      <w:r w:rsidR="00EB21D9">
        <w:rPr>
          <w:szCs w:val="26"/>
        </w:rPr>
        <w:t xml:space="preserve"> </w:t>
      </w:r>
      <w:r w:rsidRPr="004C41D3">
        <w:rPr>
          <w:szCs w:val="26"/>
        </w:rPr>
        <w:t>(</w:t>
      </w:r>
      <w:r w:rsidRPr="004C41D3">
        <w:rPr>
          <w:i/>
          <w:szCs w:val="26"/>
        </w:rPr>
        <w:t xml:space="preserve">Aguilar v. Atlantic Richfield Co. </w:t>
      </w:r>
      <w:r w:rsidRPr="004C41D3">
        <w:rPr>
          <w:szCs w:val="26"/>
        </w:rPr>
        <w:t>(2001) 25 C</w:t>
      </w:r>
      <w:r w:rsidR="00455C34">
        <w:rPr>
          <w:szCs w:val="26"/>
        </w:rPr>
        <w:t>al.</w:t>
      </w:r>
      <w:r w:rsidRPr="004C41D3">
        <w:rPr>
          <w:szCs w:val="26"/>
        </w:rPr>
        <w:t>4th 826, 850 (</w:t>
      </w:r>
      <w:r w:rsidRPr="004C41D3">
        <w:rPr>
          <w:i/>
          <w:iCs/>
          <w:szCs w:val="26"/>
        </w:rPr>
        <w:t>Aguilar</w:t>
      </w:r>
      <w:r w:rsidRPr="004C41D3">
        <w:rPr>
          <w:szCs w:val="26"/>
        </w:rPr>
        <w:t>); § 437c, subd. (p)(2).)</w:t>
      </w:r>
      <w:r w:rsidR="00280E90">
        <w:rPr>
          <w:szCs w:val="26"/>
        </w:rPr>
        <w:t xml:space="preserve"> </w:t>
      </w:r>
    </w:p>
    <w:p w14:paraId="03D3E731" w14:textId="0C679BF6" w:rsidR="005D5AD5" w:rsidRPr="00280E90" w:rsidRDefault="004211E0" w:rsidP="00C120DA">
      <w:pPr>
        <w:ind w:firstLine="720"/>
        <w:rPr>
          <w:szCs w:val="26"/>
        </w:rPr>
      </w:pPr>
      <w:r>
        <w:rPr>
          <w:szCs w:val="26"/>
        </w:rPr>
        <w:t xml:space="preserve">“A defendant seeking summary judgment on the basis of primary assumption of the risk must establish ‘that the </w:t>
      </w:r>
      <w:r>
        <w:rPr>
          <w:szCs w:val="26"/>
        </w:rPr>
        <w:lastRenderedPageBreak/>
        <w:t xml:space="preserve">defendant owed no legal duty to the plaintiff to prevent the harm of which the plaintiff complains.’ </w:t>
      </w:r>
      <w:r w:rsidR="00B518BF">
        <w:rPr>
          <w:szCs w:val="26"/>
        </w:rPr>
        <w:t xml:space="preserve"> </w:t>
      </w:r>
      <w:r>
        <w:rPr>
          <w:szCs w:val="26"/>
        </w:rPr>
        <w:t xml:space="preserve">[Citation.]” </w:t>
      </w:r>
      <w:r w:rsidR="00ED343C">
        <w:rPr>
          <w:szCs w:val="26"/>
        </w:rPr>
        <w:t xml:space="preserve"> </w:t>
      </w:r>
      <w:r>
        <w:rPr>
          <w:szCs w:val="26"/>
        </w:rPr>
        <w:t>(</w:t>
      </w:r>
      <w:r w:rsidR="006F13E2">
        <w:rPr>
          <w:i/>
          <w:iCs/>
          <w:szCs w:val="26"/>
        </w:rPr>
        <w:t xml:space="preserve">Capri v. L.A. Fitness International, LLC </w:t>
      </w:r>
      <w:r w:rsidR="006F13E2">
        <w:rPr>
          <w:szCs w:val="26"/>
        </w:rPr>
        <w:t>(2006) 136 Cal.A</w:t>
      </w:r>
      <w:r w:rsidR="00455C34">
        <w:rPr>
          <w:szCs w:val="26"/>
        </w:rPr>
        <w:t>pp.</w:t>
      </w:r>
      <w:r w:rsidR="006F13E2">
        <w:rPr>
          <w:szCs w:val="26"/>
        </w:rPr>
        <w:t xml:space="preserve">4th 1078, 1087.) </w:t>
      </w:r>
      <w:r w:rsidR="00EB21D9">
        <w:rPr>
          <w:szCs w:val="26"/>
        </w:rPr>
        <w:t xml:space="preserve"> </w:t>
      </w:r>
      <w:r w:rsidR="005D5AD5" w:rsidRPr="005D5AD5">
        <w:rPr>
          <w:rFonts w:eastAsiaTheme="minorHAnsi" w:cstheme="minorBidi"/>
          <w:szCs w:val="26"/>
        </w:rPr>
        <w:t xml:space="preserve">If the defendant </w:t>
      </w:r>
      <w:r w:rsidR="00280E90">
        <w:rPr>
          <w:rFonts w:eastAsiaTheme="minorHAnsi" w:cstheme="minorBidi"/>
          <w:szCs w:val="26"/>
        </w:rPr>
        <w:t>meets</w:t>
      </w:r>
      <w:r w:rsidR="005D5AD5" w:rsidRPr="005D5AD5">
        <w:rPr>
          <w:rFonts w:eastAsiaTheme="minorHAnsi" w:cstheme="minorBidi"/>
          <w:szCs w:val="26"/>
        </w:rPr>
        <w:t xml:space="preserve"> this burden, the burden of production shifts to the plaintiff to “set forth the specific facts showing that a triable issue of material fact exists.</w:t>
      </w:r>
      <w:r w:rsidR="004034F8">
        <w:rPr>
          <w:rFonts w:eastAsiaTheme="minorHAnsi" w:cstheme="minorBidi"/>
          <w:szCs w:val="26"/>
        </w:rPr>
        <w:t>”</w:t>
      </w:r>
      <w:r w:rsidR="005D5AD5" w:rsidRPr="005D5AD5">
        <w:rPr>
          <w:rFonts w:eastAsiaTheme="minorHAnsi" w:cstheme="minorBidi"/>
          <w:szCs w:val="26"/>
        </w:rPr>
        <w:t xml:space="preserve"> </w:t>
      </w:r>
      <w:r w:rsidR="00EB21D9">
        <w:rPr>
          <w:rFonts w:eastAsiaTheme="minorHAnsi" w:cstheme="minorBidi"/>
          <w:szCs w:val="26"/>
        </w:rPr>
        <w:t xml:space="preserve"> </w:t>
      </w:r>
      <w:r w:rsidR="005D5AD5" w:rsidRPr="005D5AD5">
        <w:rPr>
          <w:rFonts w:eastAsiaTheme="minorHAnsi" w:cstheme="minorBidi"/>
          <w:szCs w:val="26"/>
        </w:rPr>
        <w:t xml:space="preserve">(§ 437c, subd. (p)(2); </w:t>
      </w:r>
      <w:r w:rsidR="005D5AD5" w:rsidRPr="005D5AD5">
        <w:rPr>
          <w:rFonts w:eastAsiaTheme="minorHAnsi" w:cstheme="minorBidi"/>
          <w:i/>
          <w:iCs/>
          <w:szCs w:val="26"/>
        </w:rPr>
        <w:t>Aguilar</w:t>
      </w:r>
      <w:r w:rsidR="005D5AD5" w:rsidRPr="005D5AD5">
        <w:rPr>
          <w:rFonts w:eastAsiaTheme="minorHAnsi" w:cstheme="minorBidi"/>
          <w:szCs w:val="26"/>
        </w:rPr>
        <w:t xml:space="preserve">, </w:t>
      </w:r>
      <w:r w:rsidR="005D5AD5" w:rsidRPr="005D5AD5">
        <w:rPr>
          <w:rFonts w:eastAsiaTheme="minorHAnsi" w:cstheme="minorBidi"/>
          <w:i/>
          <w:iCs/>
          <w:szCs w:val="26"/>
        </w:rPr>
        <w:t>supra</w:t>
      </w:r>
      <w:r w:rsidR="005D5AD5" w:rsidRPr="005D5AD5">
        <w:rPr>
          <w:rFonts w:eastAsiaTheme="minorHAnsi" w:cstheme="minorBidi"/>
          <w:szCs w:val="26"/>
        </w:rPr>
        <w:t>, 25 C</w:t>
      </w:r>
      <w:r w:rsidR="00455C34">
        <w:rPr>
          <w:rFonts w:eastAsiaTheme="minorHAnsi" w:cstheme="minorBidi"/>
          <w:szCs w:val="26"/>
        </w:rPr>
        <w:t>al.</w:t>
      </w:r>
      <w:r w:rsidR="005D5AD5" w:rsidRPr="005D5AD5">
        <w:rPr>
          <w:rFonts w:eastAsiaTheme="minorHAnsi" w:cstheme="minorBidi"/>
          <w:szCs w:val="26"/>
        </w:rPr>
        <w:t xml:space="preserve">4th at p. 849.) </w:t>
      </w:r>
      <w:r w:rsidR="00EB21D9">
        <w:rPr>
          <w:rFonts w:eastAsiaTheme="minorHAnsi" w:cstheme="minorBidi"/>
          <w:szCs w:val="26"/>
        </w:rPr>
        <w:t xml:space="preserve"> </w:t>
      </w:r>
      <w:r w:rsidR="005D5AD5" w:rsidRPr="005D5AD5">
        <w:rPr>
          <w:rFonts w:eastAsiaTheme="minorHAnsi" w:cstheme="minorBidi"/>
          <w:szCs w:val="26"/>
        </w:rPr>
        <w:t>“There is a triable issue of material fact if, and only if, the evidence would allow a reasonable trier of fact to find the underlying fact in favor of the party opposing the motion in accordance with the applicable standard of proof.”</w:t>
      </w:r>
      <w:r w:rsidR="00EB21D9">
        <w:rPr>
          <w:rFonts w:eastAsiaTheme="minorHAnsi" w:cstheme="minorBidi"/>
          <w:szCs w:val="26"/>
        </w:rPr>
        <w:t xml:space="preserve"> </w:t>
      </w:r>
      <w:r w:rsidR="005D5AD5" w:rsidRPr="005D5AD5">
        <w:rPr>
          <w:rFonts w:eastAsiaTheme="minorHAnsi" w:cstheme="minorBidi"/>
          <w:szCs w:val="26"/>
        </w:rPr>
        <w:t xml:space="preserve"> (</w:t>
      </w:r>
      <w:r w:rsidR="005D5AD5" w:rsidRPr="005D5AD5">
        <w:rPr>
          <w:rFonts w:eastAsiaTheme="minorHAnsi" w:cstheme="minorBidi"/>
          <w:i/>
          <w:szCs w:val="26"/>
        </w:rPr>
        <w:t>Aguilar</w:t>
      </w:r>
      <w:r w:rsidR="005D5AD5" w:rsidRPr="005D5AD5">
        <w:rPr>
          <w:rFonts w:eastAsiaTheme="minorHAnsi" w:cstheme="minorBidi"/>
          <w:iCs/>
          <w:szCs w:val="26"/>
        </w:rPr>
        <w:t xml:space="preserve">, at p. </w:t>
      </w:r>
      <w:r w:rsidR="005D5AD5" w:rsidRPr="005D5AD5">
        <w:rPr>
          <w:rFonts w:eastAsiaTheme="minorHAnsi" w:cstheme="minorBidi"/>
          <w:szCs w:val="26"/>
        </w:rPr>
        <w:t>850, fn. omitted.)</w:t>
      </w:r>
    </w:p>
    <w:p w14:paraId="4B45182E" w14:textId="010C2379" w:rsidR="004034F8" w:rsidRPr="00ED343C" w:rsidRDefault="005D5AD5" w:rsidP="00D85D43">
      <w:pPr>
        <w:ind w:firstLine="720"/>
        <w:rPr>
          <w:szCs w:val="26"/>
        </w:rPr>
      </w:pPr>
      <w:r w:rsidRPr="004C41D3">
        <w:rPr>
          <w:szCs w:val="26"/>
        </w:rPr>
        <w:t>“On appeal from the granting of a motion for summary judgment, we examine the record de novo, liberally construing the evidence in support of the party opposing summary judgment and resolving doubts concerning the evidence in favor of that party.”</w:t>
      </w:r>
      <w:r w:rsidR="00EB21D9">
        <w:rPr>
          <w:szCs w:val="26"/>
        </w:rPr>
        <w:t xml:space="preserve"> </w:t>
      </w:r>
      <w:r w:rsidRPr="004C41D3">
        <w:rPr>
          <w:szCs w:val="26"/>
        </w:rPr>
        <w:t xml:space="preserve"> (</w:t>
      </w:r>
      <w:r w:rsidRPr="004C41D3">
        <w:rPr>
          <w:i/>
          <w:iCs/>
          <w:szCs w:val="26"/>
        </w:rPr>
        <w:t>Miller v. Department of Corrections</w:t>
      </w:r>
      <w:r w:rsidR="00B518BF">
        <w:rPr>
          <w:szCs w:val="26"/>
        </w:rPr>
        <w:t xml:space="preserve"> </w:t>
      </w:r>
      <w:r w:rsidRPr="004C41D3">
        <w:rPr>
          <w:szCs w:val="26"/>
        </w:rPr>
        <w:t>(2005) 36 C</w:t>
      </w:r>
      <w:r w:rsidR="00455C34">
        <w:rPr>
          <w:szCs w:val="26"/>
        </w:rPr>
        <w:t>al.</w:t>
      </w:r>
      <w:r w:rsidRPr="004C41D3">
        <w:rPr>
          <w:szCs w:val="26"/>
        </w:rPr>
        <w:t xml:space="preserve">4th </w:t>
      </w:r>
      <w:r w:rsidRPr="00ED343C">
        <w:rPr>
          <w:szCs w:val="26"/>
        </w:rPr>
        <w:t>446, 460.)</w:t>
      </w:r>
    </w:p>
    <w:p w14:paraId="72CFDFB8" w14:textId="6B628EF7" w:rsidR="00952EF3" w:rsidRPr="00ED343C" w:rsidRDefault="00CD7D3E" w:rsidP="00460597">
      <w:pPr>
        <w:tabs>
          <w:tab w:val="left" w:pos="1440"/>
          <w:tab w:val="left" w:pos="2880"/>
          <w:tab w:val="left" w:pos="4320"/>
          <w:tab w:val="left" w:pos="5760"/>
          <w:tab w:val="left" w:pos="7200"/>
        </w:tabs>
        <w:jc w:val="center"/>
        <w:rPr>
          <w:i/>
          <w:iCs/>
        </w:rPr>
      </w:pPr>
      <w:r w:rsidRPr="00ED343C">
        <w:rPr>
          <w:i/>
          <w:iCs/>
        </w:rPr>
        <w:t>Primary Assumption of Risk</w:t>
      </w:r>
      <w:r w:rsidR="0093376A">
        <w:rPr>
          <w:i/>
          <w:iCs/>
        </w:rPr>
        <w:t xml:space="preserve"> </w:t>
      </w:r>
    </w:p>
    <w:p w14:paraId="00537AE9" w14:textId="35801124" w:rsidR="001E13D0" w:rsidRDefault="00A71070" w:rsidP="00C80D92">
      <w:pPr>
        <w:ind w:firstLine="720"/>
        <w:rPr>
          <w:szCs w:val="26"/>
        </w:rPr>
      </w:pPr>
      <w:r w:rsidRPr="00ED343C">
        <w:rPr>
          <w:szCs w:val="26"/>
        </w:rPr>
        <w:t xml:space="preserve">The primary assumption of risk doctrine “precludes liability for injuries arising from those risks deemed inherent in a sport.” </w:t>
      </w:r>
      <w:r w:rsidR="00EB21D9" w:rsidRPr="00ED343C">
        <w:rPr>
          <w:szCs w:val="26"/>
        </w:rPr>
        <w:t xml:space="preserve"> </w:t>
      </w:r>
      <w:r w:rsidRPr="00ED343C">
        <w:rPr>
          <w:szCs w:val="26"/>
        </w:rPr>
        <w:t>(</w:t>
      </w:r>
      <w:r w:rsidRPr="00ED343C">
        <w:rPr>
          <w:i/>
          <w:iCs/>
          <w:szCs w:val="26"/>
        </w:rPr>
        <w:t xml:space="preserve">Avila v. Citrus Community College Dist. </w:t>
      </w:r>
      <w:r w:rsidRPr="00ED343C">
        <w:rPr>
          <w:szCs w:val="26"/>
        </w:rPr>
        <w:t>(2006) 38 C</w:t>
      </w:r>
      <w:r w:rsidR="00F379AB">
        <w:rPr>
          <w:szCs w:val="26"/>
        </w:rPr>
        <w:t>al.</w:t>
      </w:r>
      <w:r w:rsidRPr="00ED343C">
        <w:rPr>
          <w:szCs w:val="26"/>
        </w:rPr>
        <w:t>4th 148, 161</w:t>
      </w:r>
      <w:r w:rsidR="00B30616" w:rsidRPr="00ED343C">
        <w:rPr>
          <w:szCs w:val="26"/>
        </w:rPr>
        <w:t>.)</w:t>
      </w:r>
      <w:r w:rsidRPr="00ED343C">
        <w:rPr>
          <w:szCs w:val="26"/>
        </w:rPr>
        <w:t xml:space="preserve"> </w:t>
      </w:r>
      <w:r w:rsidR="00EB21D9" w:rsidRPr="00ED343C">
        <w:rPr>
          <w:szCs w:val="26"/>
        </w:rPr>
        <w:t xml:space="preserve"> </w:t>
      </w:r>
      <w:r w:rsidRPr="00ED343C">
        <w:rPr>
          <w:szCs w:val="26"/>
        </w:rPr>
        <w:t>It</w:t>
      </w:r>
      <w:r w:rsidR="000B19BB" w:rsidRPr="00ED343C">
        <w:rPr>
          <w:szCs w:val="26"/>
        </w:rPr>
        <w:t xml:space="preserve"> </w:t>
      </w:r>
      <w:r w:rsidRPr="00ED343C">
        <w:rPr>
          <w:szCs w:val="26"/>
        </w:rPr>
        <w:t>“</w:t>
      </w:r>
      <w:r w:rsidR="000B19BB" w:rsidRPr="00ED343C">
        <w:rPr>
          <w:szCs w:val="26"/>
        </w:rPr>
        <w:t>rests on a straightforward policy foundation:</w:t>
      </w:r>
      <w:r w:rsidR="00754D8B">
        <w:rPr>
          <w:szCs w:val="26"/>
        </w:rPr>
        <w:t xml:space="preserve"> </w:t>
      </w:r>
      <w:r w:rsidR="000B19BB" w:rsidRPr="00ED343C">
        <w:rPr>
          <w:szCs w:val="26"/>
        </w:rPr>
        <w:t xml:space="preserve"> the need to avoid chilling vigorous participation in or sponsorship of recreational activities by imposing a tort duty to eliminate or reduce the risks of harm inherent in those activities. </w:t>
      </w:r>
      <w:r w:rsidR="00ED343C" w:rsidRPr="00ED343C">
        <w:rPr>
          <w:szCs w:val="26"/>
        </w:rPr>
        <w:t xml:space="preserve"> </w:t>
      </w:r>
      <w:r w:rsidR="000B19BB" w:rsidRPr="00ED343C">
        <w:rPr>
          <w:szCs w:val="26"/>
        </w:rPr>
        <w:t xml:space="preserve">It operates on the premise that imposing such a legal duty </w:t>
      </w:r>
      <w:r w:rsidR="005A244A" w:rsidRPr="00ED343C">
        <w:rPr>
          <w:szCs w:val="26"/>
        </w:rPr>
        <w:t>‘</w:t>
      </w:r>
      <w:r w:rsidR="000B19BB" w:rsidRPr="00ED343C">
        <w:rPr>
          <w:szCs w:val="26"/>
        </w:rPr>
        <w:t>would work a basic alteration—or cause abandonment</w:t>
      </w:r>
      <w:r w:rsidR="005A244A" w:rsidRPr="00ED343C">
        <w:rPr>
          <w:szCs w:val="26"/>
        </w:rPr>
        <w:t>’</w:t>
      </w:r>
      <w:r w:rsidR="000B19BB" w:rsidRPr="00ED343C">
        <w:rPr>
          <w:szCs w:val="26"/>
        </w:rPr>
        <w:t xml:space="preserve"> of the activity.</w:t>
      </w:r>
      <w:r w:rsidR="005A244A" w:rsidRPr="00ED343C">
        <w:rPr>
          <w:szCs w:val="26"/>
        </w:rPr>
        <w:t>”</w:t>
      </w:r>
      <w:r w:rsidR="000B19BB" w:rsidRPr="00ED343C">
        <w:rPr>
          <w:szCs w:val="26"/>
        </w:rPr>
        <w:t xml:space="preserve"> </w:t>
      </w:r>
      <w:r w:rsidR="00EB21D9" w:rsidRPr="00ED343C">
        <w:rPr>
          <w:szCs w:val="26"/>
        </w:rPr>
        <w:t xml:space="preserve"> </w:t>
      </w:r>
      <w:r w:rsidR="000B19BB" w:rsidRPr="00ED343C">
        <w:rPr>
          <w:szCs w:val="26"/>
        </w:rPr>
        <w:t>(</w:t>
      </w:r>
      <w:r w:rsidR="000B19BB" w:rsidRPr="00ED343C">
        <w:rPr>
          <w:i/>
          <w:iCs/>
          <w:szCs w:val="26"/>
        </w:rPr>
        <w:t>Nalwa v. Cedar Fair, L.P.</w:t>
      </w:r>
      <w:r w:rsidR="000B19BB" w:rsidRPr="00ED343C">
        <w:rPr>
          <w:szCs w:val="26"/>
        </w:rPr>
        <w:t xml:space="preserve"> (2012) 55 C</w:t>
      </w:r>
      <w:r w:rsidR="00455C34">
        <w:rPr>
          <w:szCs w:val="26"/>
        </w:rPr>
        <w:t>al.</w:t>
      </w:r>
      <w:r w:rsidR="000B19BB" w:rsidRPr="00ED343C">
        <w:rPr>
          <w:szCs w:val="26"/>
        </w:rPr>
        <w:t xml:space="preserve">4th </w:t>
      </w:r>
      <w:r w:rsidR="000B19BB" w:rsidRPr="00762D09">
        <w:rPr>
          <w:szCs w:val="26"/>
        </w:rPr>
        <w:t>1148, 1156</w:t>
      </w:r>
      <w:r w:rsidR="000E22E3">
        <w:rPr>
          <w:szCs w:val="26"/>
        </w:rPr>
        <w:t xml:space="preserve"> </w:t>
      </w:r>
      <w:r w:rsidR="000B19BB" w:rsidRPr="00762D09">
        <w:rPr>
          <w:szCs w:val="26"/>
        </w:rPr>
        <w:t>(</w:t>
      </w:r>
      <w:r w:rsidR="000B19BB" w:rsidRPr="00762D09">
        <w:rPr>
          <w:i/>
          <w:iCs/>
          <w:szCs w:val="26"/>
        </w:rPr>
        <w:t>Nalwa</w:t>
      </w:r>
      <w:r w:rsidR="000B19BB" w:rsidRPr="00762D09">
        <w:rPr>
          <w:szCs w:val="26"/>
        </w:rPr>
        <w:t>)</w:t>
      </w:r>
      <w:r w:rsidRPr="00762D09">
        <w:rPr>
          <w:szCs w:val="26"/>
        </w:rPr>
        <w:t>,</w:t>
      </w:r>
      <w:r w:rsidRPr="00ED343C">
        <w:rPr>
          <w:szCs w:val="26"/>
        </w:rPr>
        <w:t xml:space="preserve"> quoting </w:t>
      </w:r>
      <w:r w:rsidRPr="00ED343C">
        <w:rPr>
          <w:i/>
          <w:iCs/>
          <w:szCs w:val="26"/>
        </w:rPr>
        <w:t xml:space="preserve">Kahn v. East Side Union High School Dist. </w:t>
      </w:r>
      <w:r w:rsidRPr="00ED343C">
        <w:rPr>
          <w:szCs w:val="26"/>
        </w:rPr>
        <w:t>(2003) 31 C</w:t>
      </w:r>
      <w:r w:rsidR="00455C34">
        <w:rPr>
          <w:szCs w:val="26"/>
        </w:rPr>
        <w:t>al.</w:t>
      </w:r>
      <w:r w:rsidRPr="00762D09">
        <w:rPr>
          <w:szCs w:val="26"/>
        </w:rPr>
        <w:t>4th 990, 1003 (</w:t>
      </w:r>
      <w:r w:rsidRPr="00762D09">
        <w:rPr>
          <w:i/>
          <w:iCs/>
          <w:szCs w:val="26"/>
        </w:rPr>
        <w:t>Kahn</w:t>
      </w:r>
      <w:r w:rsidRPr="00762D09">
        <w:rPr>
          <w:szCs w:val="26"/>
        </w:rPr>
        <w:t>).</w:t>
      </w:r>
      <w:r w:rsidR="000B19BB" w:rsidRPr="00762D09">
        <w:rPr>
          <w:szCs w:val="26"/>
        </w:rPr>
        <w:t xml:space="preserve">) </w:t>
      </w:r>
      <w:r w:rsidR="00EB21D9" w:rsidRPr="00762D09">
        <w:rPr>
          <w:szCs w:val="26"/>
        </w:rPr>
        <w:t xml:space="preserve"> </w:t>
      </w:r>
      <w:r w:rsidRPr="00762D09">
        <w:rPr>
          <w:szCs w:val="26"/>
        </w:rPr>
        <w:t>The</w:t>
      </w:r>
      <w:r w:rsidRPr="00ED343C">
        <w:rPr>
          <w:szCs w:val="26"/>
        </w:rPr>
        <w:t xml:space="preserve"> doctrine applies both to sports </w:t>
      </w:r>
      <w:r w:rsidRPr="00ED343C">
        <w:rPr>
          <w:szCs w:val="26"/>
        </w:rPr>
        <w:lastRenderedPageBreak/>
        <w:t>and</w:t>
      </w:r>
      <w:r w:rsidR="000B19BB" w:rsidRPr="00ED343C">
        <w:rPr>
          <w:szCs w:val="26"/>
        </w:rPr>
        <w:t xml:space="preserve"> recreational activities “</w:t>
      </w:r>
      <w:r w:rsidR="00235202">
        <w:rPr>
          <w:szCs w:val="26"/>
        </w:rPr>
        <w:t>‘</w:t>
      </w:r>
      <w:r w:rsidR="000B19BB" w:rsidRPr="00ED343C">
        <w:rPr>
          <w:szCs w:val="26"/>
        </w:rPr>
        <w:t>involving an inherent risk of injury to voluntary participants</w:t>
      </w:r>
      <w:r w:rsidR="00235202">
        <w:rPr>
          <w:szCs w:val="26"/>
        </w:rPr>
        <w:t xml:space="preserve"> </w:t>
      </w:r>
      <w:r w:rsidR="00235202" w:rsidRPr="00235202">
        <w:rPr>
          <w:szCs w:val="26"/>
        </w:rPr>
        <w:t>. . .</w:t>
      </w:r>
      <w:r w:rsidR="00235202">
        <w:rPr>
          <w:szCs w:val="26"/>
        </w:rPr>
        <w:t xml:space="preserve"> </w:t>
      </w:r>
      <w:r w:rsidR="000B19BB" w:rsidRPr="00ED343C">
        <w:rPr>
          <w:szCs w:val="26"/>
        </w:rPr>
        <w:t>where the risk cannot be eliminated without altering the fundamental nature of the activity.</w:t>
      </w:r>
      <w:r w:rsidR="00235202">
        <w:rPr>
          <w:szCs w:val="26"/>
        </w:rPr>
        <w:t>’</w:t>
      </w:r>
      <w:r w:rsidR="000B19BB" w:rsidRPr="00ED343C">
        <w:rPr>
          <w:szCs w:val="26"/>
        </w:rPr>
        <w:t xml:space="preserve">” </w:t>
      </w:r>
      <w:r w:rsidR="00EB21D9" w:rsidRPr="00ED343C">
        <w:rPr>
          <w:szCs w:val="26"/>
        </w:rPr>
        <w:t xml:space="preserve"> </w:t>
      </w:r>
      <w:r w:rsidR="000B19BB" w:rsidRPr="00ED343C">
        <w:rPr>
          <w:szCs w:val="26"/>
        </w:rPr>
        <w:t>(</w:t>
      </w:r>
      <w:r w:rsidR="000B19BB" w:rsidRPr="00ED343C">
        <w:rPr>
          <w:i/>
          <w:iCs/>
          <w:szCs w:val="26"/>
        </w:rPr>
        <w:t>Nalwa</w:t>
      </w:r>
      <w:r w:rsidR="000B19BB" w:rsidRPr="00ED343C">
        <w:rPr>
          <w:szCs w:val="26"/>
        </w:rPr>
        <w:t>,</w:t>
      </w:r>
      <w:r w:rsidR="000B19BB" w:rsidRPr="00ED343C">
        <w:rPr>
          <w:i/>
          <w:iCs/>
          <w:szCs w:val="26"/>
        </w:rPr>
        <w:t xml:space="preserve"> </w:t>
      </w:r>
      <w:r w:rsidR="000B19BB" w:rsidRPr="00ED343C">
        <w:rPr>
          <w:szCs w:val="26"/>
        </w:rPr>
        <w:t xml:space="preserve">at </w:t>
      </w:r>
      <w:r w:rsidR="00235202">
        <w:rPr>
          <w:szCs w:val="26"/>
        </w:rPr>
        <w:t xml:space="preserve">p. </w:t>
      </w:r>
      <w:r w:rsidR="000B19BB" w:rsidRPr="00ED343C">
        <w:rPr>
          <w:szCs w:val="26"/>
        </w:rPr>
        <w:t xml:space="preserve">1156, </w:t>
      </w:r>
      <w:r w:rsidRPr="00ED343C">
        <w:rPr>
          <w:szCs w:val="26"/>
        </w:rPr>
        <w:t>quoting</w:t>
      </w:r>
      <w:r w:rsidR="000B19BB" w:rsidRPr="00ED343C">
        <w:rPr>
          <w:szCs w:val="26"/>
        </w:rPr>
        <w:t xml:space="preserve"> </w:t>
      </w:r>
      <w:r w:rsidR="000B19BB" w:rsidRPr="00ED343C">
        <w:rPr>
          <w:i/>
          <w:iCs/>
          <w:szCs w:val="26"/>
        </w:rPr>
        <w:t>Beninati v. Black Rock City, LLC</w:t>
      </w:r>
      <w:r w:rsidR="000E22E3">
        <w:rPr>
          <w:i/>
          <w:iCs/>
          <w:szCs w:val="26"/>
        </w:rPr>
        <w:t>.</w:t>
      </w:r>
      <w:r w:rsidR="000B19BB" w:rsidRPr="00ED343C">
        <w:rPr>
          <w:i/>
          <w:iCs/>
          <w:szCs w:val="26"/>
        </w:rPr>
        <w:t xml:space="preserve"> </w:t>
      </w:r>
      <w:r w:rsidRPr="00ED343C">
        <w:rPr>
          <w:szCs w:val="26"/>
        </w:rPr>
        <w:t>(2009)</w:t>
      </w:r>
      <w:r w:rsidR="000B19BB" w:rsidRPr="00ED343C">
        <w:rPr>
          <w:szCs w:val="26"/>
        </w:rPr>
        <w:t xml:space="preserve"> 175 Cal.A</w:t>
      </w:r>
      <w:r w:rsidR="00455C34">
        <w:rPr>
          <w:szCs w:val="26"/>
        </w:rPr>
        <w:t>pp.</w:t>
      </w:r>
      <w:r w:rsidR="000B19BB" w:rsidRPr="00ED343C">
        <w:rPr>
          <w:szCs w:val="26"/>
        </w:rPr>
        <w:t xml:space="preserve">4th </w:t>
      </w:r>
      <w:r w:rsidRPr="00ED343C">
        <w:rPr>
          <w:szCs w:val="26"/>
        </w:rPr>
        <w:t>650,</w:t>
      </w:r>
      <w:r w:rsidR="000B19BB" w:rsidRPr="00ED343C">
        <w:rPr>
          <w:szCs w:val="26"/>
        </w:rPr>
        <w:t xml:space="preserve"> 658.)</w:t>
      </w:r>
      <w:r w:rsidRPr="00ED343C">
        <w:rPr>
          <w:szCs w:val="26"/>
        </w:rPr>
        <w:t xml:space="preserve"> </w:t>
      </w:r>
      <w:r w:rsidR="00EB21D9" w:rsidRPr="00ED343C">
        <w:rPr>
          <w:szCs w:val="26"/>
        </w:rPr>
        <w:t xml:space="preserve"> </w:t>
      </w:r>
    </w:p>
    <w:p w14:paraId="0AE4BA06" w14:textId="25C972D5" w:rsidR="0058524B" w:rsidRDefault="0058524B" w:rsidP="0058524B">
      <w:pPr>
        <w:keepNext/>
        <w:tabs>
          <w:tab w:val="left" w:pos="720"/>
          <w:tab w:val="left" w:pos="1440"/>
          <w:tab w:val="left" w:pos="2880"/>
          <w:tab w:val="left" w:pos="4320"/>
          <w:tab w:val="left" w:pos="5760"/>
          <w:tab w:val="left" w:pos="7200"/>
        </w:tabs>
      </w:pPr>
      <w:r>
        <w:rPr>
          <w:szCs w:val="26"/>
        </w:rPr>
        <w:tab/>
      </w:r>
      <w:r w:rsidR="00E30A40" w:rsidRPr="004D2A48">
        <w:rPr>
          <w:szCs w:val="26"/>
        </w:rPr>
        <w:t>“</w:t>
      </w:r>
      <w:r w:rsidR="00467072">
        <w:rPr>
          <w:szCs w:val="26"/>
        </w:rPr>
        <w:t>[D]</w:t>
      </w:r>
      <w:r w:rsidR="00E30A40" w:rsidRPr="004D2A48">
        <w:rPr>
          <w:szCs w:val="26"/>
        </w:rPr>
        <w:t xml:space="preserve">efendants generally do not have a duty to protect the plaintiff from the risks </w:t>
      </w:r>
      <w:r w:rsidR="00E30A40" w:rsidRPr="004D2A48">
        <w:rPr>
          <w:i/>
          <w:iCs/>
          <w:szCs w:val="26"/>
        </w:rPr>
        <w:t>inherent</w:t>
      </w:r>
      <w:r w:rsidR="00E30A40" w:rsidRPr="004D2A48">
        <w:rPr>
          <w:szCs w:val="26"/>
        </w:rPr>
        <w:t xml:space="preserve"> in the sport, or to eliminate risk from the sport, although they generally do have a duty not to increase the </w:t>
      </w:r>
      <w:r w:rsidR="00E30A40" w:rsidRPr="00762D09">
        <w:rPr>
          <w:szCs w:val="26"/>
        </w:rPr>
        <w:t xml:space="preserve">risk of harm </w:t>
      </w:r>
      <w:r w:rsidR="00E30A40" w:rsidRPr="00762D09">
        <w:rPr>
          <w:i/>
          <w:iCs/>
          <w:szCs w:val="26"/>
        </w:rPr>
        <w:t>beyond</w:t>
      </w:r>
      <w:r w:rsidR="00E30A40" w:rsidRPr="00762D09">
        <w:rPr>
          <w:szCs w:val="26"/>
        </w:rPr>
        <w:t xml:space="preserve"> what is inherent in the sport.”  (</w:t>
      </w:r>
      <w:r w:rsidR="00E30A40" w:rsidRPr="00762D09">
        <w:rPr>
          <w:i/>
          <w:iCs/>
          <w:szCs w:val="26"/>
        </w:rPr>
        <w:t>Kahn</w:t>
      </w:r>
      <w:r w:rsidR="00E30A40" w:rsidRPr="00762D09">
        <w:rPr>
          <w:szCs w:val="26"/>
        </w:rPr>
        <w:t xml:space="preserve">, </w:t>
      </w:r>
      <w:r w:rsidR="00E30A40" w:rsidRPr="00762D09">
        <w:rPr>
          <w:i/>
          <w:iCs/>
          <w:szCs w:val="26"/>
        </w:rPr>
        <w:t>supra</w:t>
      </w:r>
      <w:r w:rsidR="00E30A40" w:rsidRPr="00762D09">
        <w:rPr>
          <w:szCs w:val="26"/>
        </w:rPr>
        <w:t xml:space="preserve">, </w:t>
      </w:r>
      <w:r w:rsidR="00235202">
        <w:rPr>
          <w:szCs w:val="26"/>
        </w:rPr>
        <w:t>31 C</w:t>
      </w:r>
      <w:r w:rsidR="00455C34">
        <w:rPr>
          <w:szCs w:val="26"/>
        </w:rPr>
        <w:t>al.</w:t>
      </w:r>
      <w:r w:rsidR="00235202">
        <w:rPr>
          <w:szCs w:val="26"/>
        </w:rPr>
        <w:t xml:space="preserve">4th </w:t>
      </w:r>
      <w:r w:rsidR="00E30A40" w:rsidRPr="00762D09">
        <w:rPr>
          <w:szCs w:val="26"/>
        </w:rPr>
        <w:t xml:space="preserve">at p. 1004, citing </w:t>
      </w:r>
      <w:r w:rsidR="00E30A40" w:rsidRPr="00762D09">
        <w:rPr>
          <w:i/>
          <w:iCs/>
          <w:szCs w:val="26"/>
        </w:rPr>
        <w:t xml:space="preserve">Knight v. Jewett </w:t>
      </w:r>
      <w:r w:rsidR="00E30A40" w:rsidRPr="00762D09">
        <w:rPr>
          <w:szCs w:val="26"/>
        </w:rPr>
        <w:t>(1992) 3 C</w:t>
      </w:r>
      <w:r w:rsidR="00455C34">
        <w:rPr>
          <w:szCs w:val="26"/>
        </w:rPr>
        <w:t>al.</w:t>
      </w:r>
      <w:r w:rsidR="00E30A40" w:rsidRPr="00762D09">
        <w:rPr>
          <w:szCs w:val="26"/>
        </w:rPr>
        <w:t>4th 296, 315-316 (</w:t>
      </w:r>
      <w:r w:rsidR="00E30A40" w:rsidRPr="00762D09">
        <w:rPr>
          <w:i/>
          <w:iCs/>
          <w:szCs w:val="26"/>
        </w:rPr>
        <w:t>Knight</w:t>
      </w:r>
      <w:r w:rsidR="00E30A40" w:rsidRPr="00762D09">
        <w:rPr>
          <w:szCs w:val="26"/>
        </w:rPr>
        <w:t xml:space="preserve">), italics added.)  </w:t>
      </w:r>
      <w:r w:rsidR="00EC6D4E" w:rsidRPr="00762D09">
        <w:rPr>
          <w:szCs w:val="26"/>
        </w:rPr>
        <w:t xml:space="preserve">A </w:t>
      </w:r>
      <w:r w:rsidR="00CA3FCC" w:rsidRPr="00762D09">
        <w:rPr>
          <w:szCs w:val="26"/>
        </w:rPr>
        <w:t>co</w:t>
      </w:r>
      <w:r w:rsidR="00EC6D4E" w:rsidRPr="00762D09">
        <w:rPr>
          <w:szCs w:val="26"/>
        </w:rPr>
        <w:t xml:space="preserve">participant breaches this duty </w:t>
      </w:r>
      <w:r w:rsidR="00237C70" w:rsidRPr="00762D09">
        <w:rPr>
          <w:szCs w:val="26"/>
        </w:rPr>
        <w:t xml:space="preserve">only if </w:t>
      </w:r>
      <w:r w:rsidR="00CA3FCC" w:rsidRPr="00762D09">
        <w:rPr>
          <w:szCs w:val="26"/>
        </w:rPr>
        <w:t>he</w:t>
      </w:r>
      <w:r w:rsidR="00E44840" w:rsidRPr="00762D09">
        <w:rPr>
          <w:szCs w:val="26"/>
        </w:rPr>
        <w:t xml:space="preserve"> </w:t>
      </w:r>
      <w:r w:rsidR="00CA3FCC" w:rsidRPr="00762D09">
        <w:rPr>
          <w:szCs w:val="26"/>
        </w:rPr>
        <w:t>“</w:t>
      </w:r>
      <w:bookmarkStart w:id="0" w:name="_Hlk153803089"/>
      <w:r w:rsidR="00237C70" w:rsidRPr="00762D09">
        <w:rPr>
          <w:szCs w:val="26"/>
        </w:rPr>
        <w:t>intentionally injures another player or engages in conduct that is so reckless</w:t>
      </w:r>
      <w:r w:rsidR="00237C70" w:rsidRPr="00ED343C">
        <w:rPr>
          <w:szCs w:val="26"/>
        </w:rPr>
        <w:t xml:space="preserve"> as to be totally outside the range of the ordinary activity involved in the sport.” </w:t>
      </w:r>
      <w:r w:rsidR="00EB21D9" w:rsidRPr="00ED343C">
        <w:rPr>
          <w:szCs w:val="26"/>
        </w:rPr>
        <w:t xml:space="preserve"> </w:t>
      </w:r>
      <w:bookmarkEnd w:id="0"/>
      <w:r w:rsidR="00237C70" w:rsidRPr="00ED343C">
        <w:rPr>
          <w:szCs w:val="26"/>
        </w:rPr>
        <w:t>(</w:t>
      </w:r>
      <w:r w:rsidR="002F5668" w:rsidRPr="00ED343C">
        <w:rPr>
          <w:i/>
          <w:iCs/>
          <w:szCs w:val="26"/>
        </w:rPr>
        <w:t>Knight</w:t>
      </w:r>
      <w:r w:rsidR="00322CA5" w:rsidRPr="00ED343C">
        <w:rPr>
          <w:szCs w:val="26"/>
        </w:rPr>
        <w:t xml:space="preserve">, at </w:t>
      </w:r>
      <w:r w:rsidR="00B8691D" w:rsidRPr="00ED343C">
        <w:rPr>
          <w:szCs w:val="26"/>
        </w:rPr>
        <w:t xml:space="preserve">p. </w:t>
      </w:r>
      <w:r w:rsidR="00322CA5" w:rsidRPr="00ED343C">
        <w:rPr>
          <w:szCs w:val="26"/>
        </w:rPr>
        <w:t>320</w:t>
      </w:r>
      <w:r w:rsidR="002F5668" w:rsidRPr="00ED343C">
        <w:rPr>
          <w:szCs w:val="26"/>
        </w:rPr>
        <w:t>.)</w:t>
      </w:r>
      <w:r w:rsidR="00E44840" w:rsidRPr="00ED343C">
        <w:t xml:space="preserve"> </w:t>
      </w:r>
      <w:r w:rsidR="00EB21D9" w:rsidRPr="00ED343C">
        <w:t xml:space="preserve"> </w:t>
      </w:r>
      <w:r w:rsidR="00BF6B13" w:rsidRPr="00ED343C">
        <w:t xml:space="preserve">“[C]onduct is within the range of ordinary activity involved in a sport if that </w:t>
      </w:r>
      <w:r w:rsidR="00BF6B13" w:rsidRPr="00ED343C">
        <w:rPr>
          <w:szCs w:val="26"/>
        </w:rPr>
        <w:t>conduct cannot be prohibited without</w:t>
      </w:r>
      <w:r w:rsidR="00E44840" w:rsidRPr="00ED343C">
        <w:rPr>
          <w:szCs w:val="26"/>
        </w:rPr>
        <w:t xml:space="preserve"> </w:t>
      </w:r>
      <w:r w:rsidR="00BF6B13" w:rsidRPr="00ED343C">
        <w:rPr>
          <w:szCs w:val="26"/>
        </w:rPr>
        <w:t xml:space="preserve">deterring </w:t>
      </w:r>
      <w:r w:rsidR="00460597" w:rsidRPr="00ED343C">
        <w:rPr>
          <w:szCs w:val="26"/>
        </w:rPr>
        <w:t>vigorous participation in the sport</w:t>
      </w:r>
      <w:r w:rsidR="00E44840" w:rsidRPr="00ED343C">
        <w:rPr>
          <w:szCs w:val="26"/>
        </w:rPr>
        <w:t xml:space="preserve"> or</w:t>
      </w:r>
      <w:r w:rsidR="00BF6B13" w:rsidRPr="00ED343C">
        <w:rPr>
          <w:szCs w:val="26"/>
        </w:rPr>
        <w:t xml:space="preserve"> otherwise </w:t>
      </w:r>
      <w:r w:rsidR="00460597" w:rsidRPr="00ED343C">
        <w:rPr>
          <w:szCs w:val="26"/>
        </w:rPr>
        <w:t>fundamentally alter</w:t>
      </w:r>
      <w:r w:rsidR="00BF6B13" w:rsidRPr="00ED343C">
        <w:rPr>
          <w:szCs w:val="26"/>
        </w:rPr>
        <w:t>ing</w:t>
      </w:r>
      <w:r w:rsidR="00460597" w:rsidRPr="00ED343C">
        <w:rPr>
          <w:szCs w:val="26"/>
        </w:rPr>
        <w:t xml:space="preserve"> the nature of the sport</w:t>
      </w:r>
      <w:r w:rsidR="00BF6B13" w:rsidRPr="00ED343C">
        <w:rPr>
          <w:szCs w:val="26"/>
        </w:rPr>
        <w:t>.</w:t>
      </w:r>
      <w:r w:rsidR="00460597" w:rsidRPr="00ED343C">
        <w:rPr>
          <w:szCs w:val="26"/>
        </w:rPr>
        <w:t xml:space="preserve">” </w:t>
      </w:r>
      <w:r w:rsidR="00ED343C" w:rsidRPr="00ED343C">
        <w:rPr>
          <w:szCs w:val="26"/>
        </w:rPr>
        <w:t xml:space="preserve"> </w:t>
      </w:r>
      <w:r w:rsidR="00BF6B13" w:rsidRPr="00ED343C">
        <w:rPr>
          <w:szCs w:val="26"/>
        </w:rPr>
        <w:t>(</w:t>
      </w:r>
      <w:r w:rsidR="00BF6B13" w:rsidRPr="00ED343C">
        <w:rPr>
          <w:i/>
          <w:iCs/>
          <w:szCs w:val="26"/>
        </w:rPr>
        <w:t xml:space="preserve">Freeman v. Hale </w:t>
      </w:r>
      <w:r w:rsidR="00BF6B13" w:rsidRPr="00ED343C">
        <w:rPr>
          <w:szCs w:val="26"/>
        </w:rPr>
        <w:t>(1994) 30 Cal.A</w:t>
      </w:r>
      <w:r w:rsidR="00455C34">
        <w:rPr>
          <w:szCs w:val="26"/>
        </w:rPr>
        <w:t>pp.</w:t>
      </w:r>
      <w:r w:rsidR="00BF6B13" w:rsidRPr="00ED343C">
        <w:rPr>
          <w:szCs w:val="26"/>
        </w:rPr>
        <w:t xml:space="preserve">4th 1388, 1396.)  </w:t>
      </w:r>
      <w:r w:rsidR="00785137" w:rsidRPr="00ED343C">
        <w:t>D</w:t>
      </w:r>
      <w:r w:rsidR="00DE438D" w:rsidRPr="00ED343C">
        <w:t>etermining the nature of a defendant’s legal duty</w:t>
      </w:r>
      <w:r w:rsidR="005E659F" w:rsidRPr="00ED343C">
        <w:t xml:space="preserve"> (</w:t>
      </w:r>
      <w:r w:rsidR="00DA0FF5" w:rsidRPr="00ED343C">
        <w:t>and the inherent risks that flow from the activity</w:t>
      </w:r>
      <w:r w:rsidR="005E659F" w:rsidRPr="00ED343C">
        <w:t>)</w:t>
      </w:r>
      <w:r w:rsidR="00DE438D" w:rsidRPr="00ED343C">
        <w:t xml:space="preserve"> “depends heavily on the nature of the sport itself.”</w:t>
      </w:r>
      <w:r w:rsidR="00EB21D9" w:rsidRPr="00ED343C">
        <w:t xml:space="preserve"> </w:t>
      </w:r>
      <w:r w:rsidR="00DE438D" w:rsidRPr="00ED343C">
        <w:t xml:space="preserve"> (</w:t>
      </w:r>
      <w:r w:rsidR="00DE438D" w:rsidRPr="00ED343C">
        <w:rPr>
          <w:i/>
          <w:iCs/>
        </w:rPr>
        <w:t>Knight</w:t>
      </w:r>
      <w:r w:rsidR="00DE438D" w:rsidRPr="00ED343C">
        <w:t xml:space="preserve">, at </w:t>
      </w:r>
      <w:r w:rsidR="00B8691D" w:rsidRPr="00ED343C">
        <w:t xml:space="preserve">p. </w:t>
      </w:r>
      <w:r w:rsidR="00DE438D" w:rsidRPr="00ED343C">
        <w:t>317.)</w:t>
      </w:r>
    </w:p>
    <w:p w14:paraId="451F40DB" w14:textId="77777777" w:rsidR="00403501" w:rsidRDefault="002B6AA7" w:rsidP="00AC2390">
      <w:pPr>
        <w:keepNext/>
        <w:tabs>
          <w:tab w:val="left" w:pos="1440"/>
          <w:tab w:val="left" w:pos="2880"/>
          <w:tab w:val="left" w:pos="4320"/>
          <w:tab w:val="left" w:pos="5760"/>
          <w:tab w:val="left" w:pos="7200"/>
        </w:tabs>
        <w:jc w:val="center"/>
        <w:rPr>
          <w:i/>
          <w:iCs/>
        </w:rPr>
      </w:pPr>
      <w:r>
        <w:rPr>
          <w:i/>
          <w:iCs/>
        </w:rPr>
        <w:t xml:space="preserve">Appellant’s Injuries Resulted from </w:t>
      </w:r>
    </w:p>
    <w:p w14:paraId="6D59177E" w14:textId="5F39BD47" w:rsidR="002E4EEE" w:rsidRPr="00ED343C" w:rsidRDefault="002B6AA7" w:rsidP="00AC2390">
      <w:pPr>
        <w:keepNext/>
        <w:tabs>
          <w:tab w:val="left" w:pos="1440"/>
          <w:tab w:val="left" w:pos="2880"/>
          <w:tab w:val="left" w:pos="4320"/>
          <w:tab w:val="left" w:pos="5760"/>
          <w:tab w:val="left" w:pos="7200"/>
        </w:tabs>
        <w:jc w:val="center"/>
        <w:rPr>
          <w:i/>
          <w:iCs/>
        </w:rPr>
      </w:pPr>
      <w:r>
        <w:rPr>
          <w:i/>
          <w:iCs/>
        </w:rPr>
        <w:t xml:space="preserve">the </w:t>
      </w:r>
      <w:r w:rsidR="002E4EEE" w:rsidRPr="00ED343C">
        <w:rPr>
          <w:i/>
          <w:iCs/>
        </w:rPr>
        <w:t>Inherent Risks of Surfing</w:t>
      </w:r>
    </w:p>
    <w:p w14:paraId="76534DD4" w14:textId="5480B76D" w:rsidR="00B269CA" w:rsidRDefault="00DA0FF5" w:rsidP="00297843">
      <w:pPr>
        <w:tabs>
          <w:tab w:val="left" w:pos="1440"/>
          <w:tab w:val="left" w:pos="2880"/>
          <w:tab w:val="left" w:pos="4320"/>
          <w:tab w:val="left" w:pos="5760"/>
          <w:tab w:val="left" w:pos="7200"/>
        </w:tabs>
        <w:ind w:firstLine="720"/>
      </w:pPr>
      <w:r w:rsidRPr="00ED343C">
        <w:t xml:space="preserve">“Judges deciding inherent risk questions under </w:t>
      </w:r>
      <w:r w:rsidRPr="00ED343C">
        <w:rPr>
          <w:i/>
          <w:iCs/>
        </w:rPr>
        <w:t xml:space="preserve">Knight </w:t>
      </w:r>
      <w:r w:rsidRPr="00ED343C">
        <w:t xml:space="preserve">may consider not only their own or common experience with the recreational activity involved but may also consult case law, other published materials, and documentary evidence introduced by the parties on a motion for summary judgment.” </w:t>
      </w:r>
      <w:r w:rsidR="00EB21D9" w:rsidRPr="00ED343C">
        <w:t xml:space="preserve"> </w:t>
      </w:r>
      <w:r w:rsidRPr="00ED343C">
        <w:t>(</w:t>
      </w:r>
      <w:r w:rsidRPr="00ED343C">
        <w:rPr>
          <w:i/>
          <w:iCs/>
        </w:rPr>
        <w:t>Nalwa</w:t>
      </w:r>
      <w:r w:rsidR="00F96CF3" w:rsidRPr="00ED343C">
        <w:t xml:space="preserve">, </w:t>
      </w:r>
      <w:r w:rsidR="00F96CF3" w:rsidRPr="00ED343C">
        <w:rPr>
          <w:i/>
          <w:iCs/>
        </w:rPr>
        <w:t>supra</w:t>
      </w:r>
      <w:r w:rsidR="00F96CF3" w:rsidRPr="00ED343C">
        <w:t>,</w:t>
      </w:r>
      <w:r w:rsidR="00F96CF3" w:rsidRPr="00ED343C">
        <w:rPr>
          <w:i/>
          <w:iCs/>
        </w:rPr>
        <w:t xml:space="preserve"> </w:t>
      </w:r>
      <w:r w:rsidRPr="00ED343C">
        <w:t>55 C</w:t>
      </w:r>
      <w:r w:rsidR="00455C34">
        <w:t>al.</w:t>
      </w:r>
      <w:r w:rsidRPr="00ED343C">
        <w:t xml:space="preserve">4th </w:t>
      </w:r>
      <w:r w:rsidR="00F96CF3" w:rsidRPr="00ED343C">
        <w:t>at</w:t>
      </w:r>
      <w:r w:rsidRPr="00ED343C">
        <w:t xml:space="preserve"> </w:t>
      </w:r>
      <w:r w:rsidR="00F96CF3" w:rsidRPr="00ED343C">
        <w:t xml:space="preserve">p. </w:t>
      </w:r>
      <w:r w:rsidRPr="00ED343C">
        <w:t xml:space="preserve">1158.) </w:t>
      </w:r>
      <w:r w:rsidR="00EB21D9" w:rsidRPr="00ED343C">
        <w:t xml:space="preserve"> </w:t>
      </w:r>
      <w:r w:rsidRPr="00ED343C">
        <w:t xml:space="preserve">Courts generally do not consider </w:t>
      </w:r>
      <w:r w:rsidR="002B6AA7">
        <w:lastRenderedPageBreak/>
        <w:t xml:space="preserve">the legal conclusions of </w:t>
      </w:r>
      <w:r w:rsidRPr="00ED343C">
        <w:t>expert</w:t>
      </w:r>
      <w:r w:rsidR="002B6AA7">
        <w:t xml:space="preserve"> declarations</w:t>
      </w:r>
      <w:r w:rsidRPr="00ED343C">
        <w:t xml:space="preserve"> </w:t>
      </w:r>
      <w:r>
        <w:t xml:space="preserve">but </w:t>
      </w:r>
      <w:r w:rsidR="00FD27B7">
        <w:t>can receive “</w:t>
      </w:r>
      <w:r>
        <w:t xml:space="preserve">expert testimony on the customary practices in an arena of esoteric activity for purposes of weighing whether the inherent risks of the activity were increased by the defendant’s </w:t>
      </w:r>
      <w:r w:rsidRPr="00ED343C">
        <w:t xml:space="preserve">conduct.’ </w:t>
      </w:r>
      <w:r w:rsidR="009B4E54">
        <w:t xml:space="preserve"> </w:t>
      </w:r>
      <w:r w:rsidRPr="00ED343C">
        <w:t>[Citation.]”</w:t>
      </w:r>
      <w:r w:rsidR="00EB21D9" w:rsidRPr="00ED343C">
        <w:t xml:space="preserve"> </w:t>
      </w:r>
      <w:r w:rsidRPr="00ED343C">
        <w:t xml:space="preserve"> (</w:t>
      </w:r>
      <w:r w:rsidRPr="00ED343C">
        <w:rPr>
          <w:i/>
          <w:iCs/>
        </w:rPr>
        <w:t>Kahn</w:t>
      </w:r>
      <w:r w:rsidR="00F96CF3" w:rsidRPr="00ED343C">
        <w:t xml:space="preserve">, </w:t>
      </w:r>
      <w:r w:rsidR="00F96CF3" w:rsidRPr="00ED343C">
        <w:rPr>
          <w:i/>
          <w:iCs/>
        </w:rPr>
        <w:t>supra</w:t>
      </w:r>
      <w:r w:rsidR="00F96CF3" w:rsidRPr="00ED343C">
        <w:t>,</w:t>
      </w:r>
      <w:r w:rsidR="00F96CF3" w:rsidRPr="00ED343C">
        <w:rPr>
          <w:i/>
          <w:iCs/>
        </w:rPr>
        <w:t xml:space="preserve"> </w:t>
      </w:r>
      <w:r w:rsidRPr="00ED343C">
        <w:t>31 Ca</w:t>
      </w:r>
      <w:r w:rsidR="00455C34">
        <w:t>l.</w:t>
      </w:r>
      <w:r w:rsidRPr="00ED343C">
        <w:t xml:space="preserve">4th </w:t>
      </w:r>
      <w:r w:rsidR="00F96CF3" w:rsidRPr="00ED343C">
        <w:t>at p.</w:t>
      </w:r>
      <w:r w:rsidRPr="00ED343C">
        <w:t xml:space="preserve"> 1017.)</w:t>
      </w:r>
      <w:r w:rsidR="004526ED" w:rsidRPr="00ED343C">
        <w:t xml:space="preserve"> </w:t>
      </w:r>
      <w:r w:rsidR="00EB21D9" w:rsidRPr="00ED343C">
        <w:t xml:space="preserve"> </w:t>
      </w:r>
      <w:r w:rsidR="002B6AA7">
        <w:t>O</w:t>
      </w:r>
      <w:r w:rsidR="007524A4">
        <w:t xml:space="preserve">ur de novo review </w:t>
      </w:r>
      <w:r w:rsidR="002B6AA7">
        <w:t xml:space="preserve">includes such </w:t>
      </w:r>
      <w:r w:rsidR="007524A4">
        <w:t>declarations to the extent they help</w:t>
      </w:r>
      <w:r w:rsidR="002B6AA7">
        <w:t xml:space="preserve"> us </w:t>
      </w:r>
      <w:r w:rsidR="007524A4">
        <w:t xml:space="preserve">understand the sport of surfing. </w:t>
      </w:r>
      <w:r w:rsidR="00F379AB">
        <w:t xml:space="preserve"> </w:t>
      </w:r>
      <w:r w:rsidR="00147990">
        <w:t>(</w:t>
      </w:r>
      <w:r w:rsidR="00147990" w:rsidRPr="00C80D92">
        <w:rPr>
          <w:i/>
          <w:iCs/>
        </w:rPr>
        <w:t>Towns v. Davidson</w:t>
      </w:r>
      <w:r w:rsidR="00147990">
        <w:t xml:space="preserve"> (2007) 147 Cal.A</w:t>
      </w:r>
      <w:r w:rsidR="00455C34">
        <w:t>pp.</w:t>
      </w:r>
      <w:r w:rsidR="00147990">
        <w:t>4th 461, 472</w:t>
      </w:r>
      <w:r w:rsidR="00C80D92">
        <w:t>-</w:t>
      </w:r>
      <w:r w:rsidR="00147990">
        <w:t>473</w:t>
      </w:r>
      <w:r w:rsidR="00C80D92">
        <w:t>, italics omitted</w:t>
      </w:r>
      <w:r w:rsidR="007524A4">
        <w:t xml:space="preserve"> </w:t>
      </w:r>
      <w:r w:rsidR="00147990">
        <w:t>[“</w:t>
      </w:r>
      <w:r w:rsidR="00147990" w:rsidRPr="00147990">
        <w:t>A court in its discretion could receive expert factual opinion to inform its decision on these issues, particularly on the nature of an unknown or esoteric activity, but in no event may it receive expert evidence on the ultimate legal issues of inherent risk and duty.</w:t>
      </w:r>
      <w:r w:rsidR="00C80D92">
        <w:t>”</w:t>
      </w:r>
      <w:r w:rsidR="00147990">
        <w:t>]</w:t>
      </w:r>
      <w:r w:rsidR="00297843">
        <w:t xml:space="preserve">; </w:t>
      </w:r>
      <w:r w:rsidR="00297843" w:rsidRPr="00297843">
        <w:rPr>
          <w:i/>
          <w:iCs/>
        </w:rPr>
        <w:t>Kahn</w:t>
      </w:r>
      <w:r w:rsidR="00297843">
        <w:rPr>
          <w:i/>
          <w:iCs/>
        </w:rPr>
        <w:t>, supra,</w:t>
      </w:r>
      <w:r w:rsidR="00297843" w:rsidRPr="00455C34">
        <w:t xml:space="preserve"> </w:t>
      </w:r>
      <w:r w:rsidR="00297843">
        <w:t>31 Cal.</w:t>
      </w:r>
      <w:r w:rsidR="00455C34">
        <w:t>4th</w:t>
      </w:r>
      <w:r w:rsidR="00297843">
        <w:t xml:space="preserve"> </w:t>
      </w:r>
      <w:r w:rsidR="00297843" w:rsidRPr="00455C34">
        <w:t>at p.</w:t>
      </w:r>
      <w:r w:rsidR="00297843" w:rsidRPr="00297843">
        <w:t xml:space="preserve"> 1017</w:t>
      </w:r>
      <w:r w:rsidR="00297843">
        <w:t xml:space="preserve"> [same].)</w:t>
      </w:r>
    </w:p>
    <w:p w14:paraId="45AE55D4" w14:textId="3315D9C6" w:rsidR="00E63D1F" w:rsidRPr="00E03B75" w:rsidRDefault="00116F44" w:rsidP="00E63D1F">
      <w:pPr>
        <w:tabs>
          <w:tab w:val="left" w:pos="1440"/>
          <w:tab w:val="left" w:pos="2880"/>
          <w:tab w:val="left" w:pos="4320"/>
          <w:tab w:val="left" w:pos="5760"/>
          <w:tab w:val="left" w:pos="7200"/>
        </w:tabs>
        <w:ind w:firstLine="720"/>
      </w:pPr>
      <w:r>
        <w:t xml:space="preserve">California courts </w:t>
      </w:r>
      <w:r w:rsidR="00877172">
        <w:t xml:space="preserve">have </w:t>
      </w:r>
      <w:r>
        <w:t xml:space="preserve">applied the </w:t>
      </w:r>
      <w:r w:rsidRPr="00E03B75">
        <w:t xml:space="preserve">doctrine to coparticipants </w:t>
      </w:r>
      <w:r w:rsidR="00BC11C3" w:rsidRPr="00E03B75">
        <w:t>in a variety of</w:t>
      </w:r>
      <w:r w:rsidRPr="00E03B75">
        <w:t xml:space="preserve"> sports, such as snow skiing and </w:t>
      </w:r>
      <w:r w:rsidR="00877172">
        <w:t>other non-contact sports, but not yet to surfing.</w:t>
      </w:r>
      <w:r w:rsidRPr="00E03B75">
        <w:t xml:space="preserve">  (</w:t>
      </w:r>
      <w:r w:rsidRPr="00E03B75">
        <w:rPr>
          <w:i/>
          <w:iCs/>
        </w:rPr>
        <w:t>See</w:t>
      </w:r>
      <w:r w:rsidRPr="00E03B75">
        <w:t xml:space="preserve">, </w:t>
      </w:r>
      <w:r w:rsidRPr="00E03B75">
        <w:rPr>
          <w:i/>
          <w:iCs/>
        </w:rPr>
        <w:t xml:space="preserve">Cheong v. Antablin </w:t>
      </w:r>
      <w:r w:rsidRPr="00E03B75">
        <w:t>(1997) 16 Cal.4th 1063, 1066 (</w:t>
      </w:r>
      <w:r w:rsidRPr="00E03B75">
        <w:rPr>
          <w:i/>
          <w:iCs/>
        </w:rPr>
        <w:t>Cheong</w:t>
      </w:r>
      <w:r w:rsidRPr="00E03B75">
        <w:t xml:space="preserve">) [holding the doctrine barred a skier’s negligence claim against another skier who unintentionally injured him in a collision]; </w:t>
      </w:r>
      <w:r w:rsidRPr="00E03B75">
        <w:rPr>
          <w:i/>
          <w:iCs/>
        </w:rPr>
        <w:t xml:space="preserve">Shin v. Ahn </w:t>
      </w:r>
      <w:r w:rsidRPr="00E03B75">
        <w:t>(2007) 42 Cal.4th 482, 486 (</w:t>
      </w:r>
      <w:r w:rsidRPr="00E03B75">
        <w:rPr>
          <w:i/>
          <w:iCs/>
        </w:rPr>
        <w:t>Shin</w:t>
      </w:r>
      <w:r w:rsidRPr="00E03B75">
        <w:t>) [extending the doctrine to apply to the non-contact sport of golf].)</w:t>
      </w:r>
      <w:r w:rsidR="00BC11C3" w:rsidRPr="00E03B75">
        <w:t xml:space="preserve">  </w:t>
      </w:r>
      <w:r w:rsidR="00467072">
        <w:t>We note that s</w:t>
      </w:r>
      <w:r w:rsidR="00BC11C3" w:rsidRPr="00E03B75">
        <w:t>now skiing and surfing have m</w:t>
      </w:r>
      <w:r w:rsidR="007118BF" w:rsidRPr="00E03B75">
        <w:t>uch in common</w:t>
      </w:r>
      <w:r w:rsidR="00BC11C3" w:rsidRPr="00E03B75">
        <w:t xml:space="preserve">: </w:t>
      </w:r>
      <w:r w:rsidR="009B4E54">
        <w:t xml:space="preserve"> </w:t>
      </w:r>
      <w:r w:rsidR="00BC11C3" w:rsidRPr="00E03B75">
        <w:t>(1) “both sports involve individual participants that use nature, either a mountain slope or wave, as a propulsion mechanism”; (2) “[b]oth require similar equipment in the form of skis</w:t>
      </w:r>
      <w:r w:rsidR="00235202">
        <w:t>, snowboard</w:t>
      </w:r>
      <w:r w:rsidR="00B16D78">
        <w:t>,</w:t>
      </w:r>
      <w:r w:rsidR="00BC11C3" w:rsidRPr="00E03B75">
        <w:t xml:space="preserve"> or surfboard to participate”; and (3) “the most important similarity between skiing and surfing is the use of </w:t>
      </w:r>
      <w:r w:rsidR="00B16D78">
        <w:t>the</w:t>
      </w:r>
      <w:r w:rsidR="00BC11C3" w:rsidRPr="00E03B75">
        <w:t xml:space="preserve"> right-of-way custom to promote safety and order among participants.”  (Caprara,</w:t>
      </w:r>
      <w:r w:rsidR="00C64036">
        <w:t xml:space="preserve"> </w:t>
      </w:r>
      <w:r w:rsidR="00C64036">
        <w:rPr>
          <w:i/>
          <w:iCs/>
        </w:rPr>
        <w:t>supra</w:t>
      </w:r>
      <w:r w:rsidR="00C64036">
        <w:t>,</w:t>
      </w:r>
      <w:r w:rsidR="00BC11C3" w:rsidRPr="00E03B75">
        <w:t xml:space="preserve"> 44 Cal. West</w:t>
      </w:r>
      <w:r w:rsidR="00D4516F" w:rsidRPr="00E03B75">
        <w:t>ern</w:t>
      </w:r>
      <w:r w:rsidR="00BC11C3" w:rsidRPr="00E03B75">
        <w:t xml:space="preserve"> L</w:t>
      </w:r>
      <w:r w:rsidR="00D4516F" w:rsidRPr="00E03B75">
        <w:t>.</w:t>
      </w:r>
      <w:r w:rsidR="00BC11C3" w:rsidRPr="00E03B75">
        <w:t>Rev.</w:t>
      </w:r>
      <w:r w:rsidR="00905849" w:rsidRPr="00E03B75">
        <w:t xml:space="preserve"> </w:t>
      </w:r>
      <w:r w:rsidR="00C64036">
        <w:t>at p.</w:t>
      </w:r>
      <w:r w:rsidR="00BC11C3" w:rsidRPr="00E03B75">
        <w:t xml:space="preserve"> 562.)</w:t>
      </w:r>
      <w:r w:rsidR="00E63D1F" w:rsidRPr="00E03B75">
        <w:t xml:space="preserve"> </w:t>
      </w:r>
    </w:p>
    <w:p w14:paraId="4DDA2687" w14:textId="2131B409" w:rsidR="004C07B4" w:rsidRDefault="00B21891" w:rsidP="00D6323F">
      <w:pPr>
        <w:tabs>
          <w:tab w:val="left" w:pos="1440"/>
          <w:tab w:val="left" w:pos="2880"/>
          <w:tab w:val="left" w:pos="4320"/>
          <w:tab w:val="left" w:pos="5760"/>
          <w:tab w:val="left" w:pos="7200"/>
        </w:tabs>
        <w:ind w:firstLine="720"/>
      </w:pPr>
      <w:r>
        <w:lastRenderedPageBreak/>
        <w:t>Respondent</w:t>
      </w:r>
      <w:r w:rsidR="00B269CA" w:rsidRPr="00CF3726">
        <w:t xml:space="preserve"> </w:t>
      </w:r>
      <w:r w:rsidR="0089263C">
        <w:t>submitted</w:t>
      </w:r>
      <w:r w:rsidR="00B269CA" w:rsidRPr="00CF3726">
        <w:t xml:space="preserve"> the declaration of </w:t>
      </w:r>
      <w:r w:rsidR="007067A2">
        <w:t>Ian</w:t>
      </w:r>
      <w:r w:rsidR="007067A2" w:rsidRPr="00CF3726">
        <w:t xml:space="preserve"> </w:t>
      </w:r>
      <w:r w:rsidR="00B269CA" w:rsidRPr="00CF3726">
        <w:t>Cairn</w:t>
      </w:r>
      <w:r w:rsidR="00877172">
        <w:t>s</w:t>
      </w:r>
      <w:r w:rsidR="002A04A5">
        <w:t xml:space="preserve">, a champion surfer and </w:t>
      </w:r>
      <w:r w:rsidR="00D970EC">
        <w:t>coach</w:t>
      </w:r>
      <w:r w:rsidR="002A04A5">
        <w:t>,</w:t>
      </w:r>
      <w:r w:rsidR="00877172">
        <w:t xml:space="preserve"> </w:t>
      </w:r>
      <w:r w:rsidR="0089263C">
        <w:t xml:space="preserve">who opined that surfing is an “extreme sport” with “many inherent risks.” </w:t>
      </w:r>
      <w:r w:rsidR="00616193">
        <w:t xml:space="preserve"> </w:t>
      </w:r>
      <w:r w:rsidR="002A04A5">
        <w:t xml:space="preserve">Cairns </w:t>
      </w:r>
      <w:r w:rsidR="00CD1A61">
        <w:t xml:space="preserve">stated </w:t>
      </w:r>
      <w:r w:rsidR="0089263C">
        <w:t xml:space="preserve">it is </w:t>
      </w:r>
      <w:r w:rsidR="00D6323F">
        <w:t>“</w:t>
      </w:r>
      <w:r w:rsidR="0089263C">
        <w:t xml:space="preserve">extremely common for surfers to </w:t>
      </w:r>
      <w:r w:rsidR="00D6323F">
        <w:t>‘</w:t>
      </w:r>
      <w:r w:rsidR="0089263C">
        <w:t>wipe out</w:t>
      </w:r>
      <w:r w:rsidR="00D6323F">
        <w:t>’</w:t>
      </w:r>
      <w:r w:rsidR="0089263C">
        <w:t xml:space="preserve">” </w:t>
      </w:r>
      <w:r w:rsidR="00D6323F">
        <w:t>and lose control of their board</w:t>
      </w:r>
      <w:r w:rsidR="00CD1A61">
        <w:t xml:space="preserve"> given the variability of ocean conditions</w:t>
      </w:r>
      <w:r w:rsidR="00D6323F">
        <w:t>.</w:t>
      </w:r>
      <w:r w:rsidR="0089263C">
        <w:t xml:space="preserve"> </w:t>
      </w:r>
      <w:r w:rsidR="00616193">
        <w:t xml:space="preserve"> </w:t>
      </w:r>
      <w:r w:rsidR="00D6323F">
        <w:t xml:space="preserve">“Because ‘wipeouts’ are so common, it is a known risk that a surfer may collide with another surfer, or another surfer’s board.” </w:t>
      </w:r>
      <w:r w:rsidR="00616193">
        <w:t xml:space="preserve"> </w:t>
      </w:r>
      <w:r w:rsidR="00CD1A61">
        <w:t xml:space="preserve">He explained the sport </w:t>
      </w:r>
      <w:r w:rsidR="001D1209" w:rsidRPr="00CF3726">
        <w:t>is largely</w:t>
      </w:r>
      <w:r w:rsidR="009522A0" w:rsidRPr="00CF3726">
        <w:t xml:space="preserve"> </w:t>
      </w:r>
      <w:r w:rsidR="00F975E3" w:rsidRPr="00CF3726">
        <w:t xml:space="preserve">regulated </w:t>
      </w:r>
      <w:r w:rsidR="009522A0" w:rsidRPr="00CF3726">
        <w:t xml:space="preserve">by </w:t>
      </w:r>
      <w:r w:rsidR="00970A5D" w:rsidRPr="00CF3726">
        <w:t xml:space="preserve">unwritten </w:t>
      </w:r>
      <w:r w:rsidR="009522A0" w:rsidRPr="00CF3726">
        <w:t xml:space="preserve">safety customs </w:t>
      </w:r>
      <w:r w:rsidR="009522A0">
        <w:t>and practices</w:t>
      </w:r>
      <w:r w:rsidR="00FD4ECB">
        <w:t xml:space="preserve"> </w:t>
      </w:r>
      <w:r w:rsidR="006F007E">
        <w:t xml:space="preserve">he referred to as </w:t>
      </w:r>
      <w:r w:rsidR="00F975E3">
        <w:t>“</w:t>
      </w:r>
      <w:r w:rsidR="00B16D78">
        <w:t>‘</w:t>
      </w:r>
      <w:r w:rsidR="00D6323F">
        <w:t>surfing</w:t>
      </w:r>
      <w:r w:rsidR="00F975E3">
        <w:t xml:space="preserve"> etiquette</w:t>
      </w:r>
      <w:r w:rsidR="006F007E">
        <w:t>.</w:t>
      </w:r>
      <w:r w:rsidR="00B16D78">
        <w:t>’</w:t>
      </w:r>
      <w:r w:rsidR="00F975E3">
        <w:t>”</w:t>
      </w:r>
      <w:r w:rsidR="00D6323F">
        <w:t xml:space="preserve"> </w:t>
      </w:r>
      <w:r w:rsidR="00616193">
        <w:t xml:space="preserve"> </w:t>
      </w:r>
      <w:r w:rsidR="009522A0" w:rsidRPr="00E03B75">
        <w:t>(</w:t>
      </w:r>
      <w:r w:rsidR="00147990">
        <w:t xml:space="preserve">citing </w:t>
      </w:r>
      <w:r w:rsidR="009522A0" w:rsidRPr="00E03B75">
        <w:t xml:space="preserve">Caprara, </w:t>
      </w:r>
      <w:r w:rsidR="00BC11C3" w:rsidRPr="00E03B75">
        <w:rPr>
          <w:i/>
          <w:iCs/>
        </w:rPr>
        <w:t>supra</w:t>
      </w:r>
      <w:r w:rsidR="00BC11C3" w:rsidRPr="00E03B75">
        <w:t>,</w:t>
      </w:r>
      <w:r w:rsidR="00B16D78">
        <w:t xml:space="preserve"> 44 Cal. Western L.Rev.</w:t>
      </w:r>
      <w:r w:rsidR="009522A0" w:rsidRPr="00E03B75">
        <w:t xml:space="preserve"> at </w:t>
      </w:r>
      <w:r w:rsidR="00905849" w:rsidRPr="00E03B75">
        <w:t xml:space="preserve">p. </w:t>
      </w:r>
      <w:r w:rsidR="00B16D78">
        <w:t>571</w:t>
      </w:r>
      <w:r w:rsidR="001D1209" w:rsidRPr="00E03B75">
        <w:t>.</w:t>
      </w:r>
      <w:r w:rsidR="009522A0" w:rsidRPr="00E03B75">
        <w:t xml:space="preserve">) </w:t>
      </w:r>
      <w:r w:rsidR="00616193">
        <w:t xml:space="preserve"> </w:t>
      </w:r>
      <w:r w:rsidR="006F007E">
        <w:t xml:space="preserve">He stated, </w:t>
      </w:r>
      <w:r w:rsidR="00D6323F">
        <w:t>“</w:t>
      </w:r>
      <w:r w:rsidR="006F007E">
        <w:t>[t]</w:t>
      </w:r>
      <w:r w:rsidR="00F975E3">
        <w:t>he</w:t>
      </w:r>
      <w:r w:rsidR="00D6323F">
        <w:t>se</w:t>
      </w:r>
      <w:r w:rsidR="00F975E3">
        <w:t xml:space="preserve"> r</w:t>
      </w:r>
      <w:r w:rsidR="00970A5D">
        <w:t xml:space="preserve">ules </w:t>
      </w:r>
      <w:r w:rsidR="00D6323F">
        <w:t>encompass such things as priority, right-of-way, and sharing waves</w:t>
      </w:r>
      <w:r w:rsidR="00A628D4">
        <w:t>.</w:t>
      </w:r>
      <w:r w:rsidR="00D6323F">
        <w:t xml:space="preserve">” </w:t>
      </w:r>
      <w:r w:rsidR="00616193">
        <w:t xml:space="preserve"> </w:t>
      </w:r>
      <w:r w:rsidR="006F007E">
        <w:t>Nonetheless, “violating this surfing etiquette is common among surfers</w:t>
      </w:r>
      <w:r w:rsidR="007524A4">
        <w:t>.</w:t>
      </w:r>
      <w:r w:rsidR="006F007E">
        <w:t xml:space="preserve">” </w:t>
      </w:r>
      <w:r w:rsidR="00616193">
        <w:t xml:space="preserve"> </w:t>
      </w:r>
      <w:r w:rsidR="00312991">
        <w:t>He</w:t>
      </w:r>
      <w:r w:rsidR="001D479E">
        <w:t xml:space="preserve"> </w:t>
      </w:r>
      <w:r w:rsidR="00312991">
        <w:t xml:space="preserve">further </w:t>
      </w:r>
      <w:r w:rsidR="00A628D4">
        <w:t>opined</w:t>
      </w:r>
      <w:r w:rsidR="001D479E">
        <w:t xml:space="preserve"> it is “not uncommon for surfers to surf without a leash” </w:t>
      </w:r>
      <w:r w:rsidR="00183F7D">
        <w:t>and</w:t>
      </w:r>
      <w:r w:rsidR="001D479E">
        <w:t xml:space="preserve"> “</w:t>
      </w:r>
      <w:r w:rsidR="00B16D78">
        <w:t>[</w:t>
      </w:r>
      <w:r w:rsidR="001D479E">
        <w:t>m</w:t>
      </w:r>
      <w:r w:rsidR="00B16D78">
        <w:t>]</w:t>
      </w:r>
      <w:r w:rsidR="001D479E">
        <w:t>any</w:t>
      </w:r>
      <w:r w:rsidR="00B16D78">
        <w:t xml:space="preserve"> longboard</w:t>
      </w:r>
      <w:r w:rsidR="001D479E">
        <w:t xml:space="preserve"> surfers</w:t>
      </w:r>
      <w:r w:rsidR="00B16D78">
        <w:t xml:space="preserve"> particularly</w:t>
      </w:r>
      <w:r w:rsidR="001D479E">
        <w:t xml:space="preserve"> enjoy the challenge and freedom of surfing without a leash” which </w:t>
      </w:r>
      <w:r w:rsidR="00A628D4">
        <w:t xml:space="preserve">otherwise </w:t>
      </w:r>
      <w:r w:rsidR="001D479E">
        <w:t>c</w:t>
      </w:r>
      <w:r w:rsidR="00B16954">
        <w:t>ould</w:t>
      </w:r>
      <w:r w:rsidR="001D479E">
        <w:t xml:space="preserve"> interfere with their footwork and speed. </w:t>
      </w:r>
      <w:r w:rsidR="00616193">
        <w:t xml:space="preserve"> </w:t>
      </w:r>
      <w:r w:rsidR="0039668C">
        <w:t xml:space="preserve">Lastly, Cairns </w:t>
      </w:r>
      <w:r w:rsidR="007118BF">
        <w:t>noted that</w:t>
      </w:r>
      <w:r w:rsidR="00B269CA">
        <w:t xml:space="preserve"> </w:t>
      </w:r>
      <w:r w:rsidR="00147990">
        <w:t xml:space="preserve">surfboards “contain between one and four fins, which assist the board with speed and stability” and that the fins are “very sharp and can inflict significant injury.” </w:t>
      </w:r>
      <w:r w:rsidR="00616193">
        <w:t xml:space="preserve"> </w:t>
      </w:r>
    </w:p>
    <w:p w14:paraId="0D9BCDB0" w14:textId="323C54E7" w:rsidR="00457C06" w:rsidRDefault="00C57AF0" w:rsidP="00EA1DE1">
      <w:pPr>
        <w:tabs>
          <w:tab w:val="left" w:pos="1440"/>
          <w:tab w:val="left" w:pos="2880"/>
          <w:tab w:val="left" w:pos="4320"/>
          <w:tab w:val="left" w:pos="5760"/>
          <w:tab w:val="left" w:pos="7200"/>
        </w:tabs>
        <w:ind w:firstLine="720"/>
      </w:pPr>
      <w:r>
        <w:t>Appellant</w:t>
      </w:r>
      <w:r w:rsidR="00457C06">
        <w:t xml:space="preserve">’s expert did not </w:t>
      </w:r>
      <w:r w:rsidR="003E11D1">
        <w:t xml:space="preserve">oppose the core components of Cairn’s opinion.  </w:t>
      </w:r>
      <w:r w:rsidR="00EA1DE1" w:rsidRPr="00457C06">
        <w:t xml:space="preserve">He did not dispute that </w:t>
      </w:r>
      <w:r w:rsidR="00EA1DE1">
        <w:t xml:space="preserve">surfers often violate well-established </w:t>
      </w:r>
      <w:r w:rsidR="00EA1DE1" w:rsidRPr="00457C06">
        <w:t>rules of etiquette.</w:t>
      </w:r>
      <w:r w:rsidR="00EA1DE1">
        <w:t xml:space="preserve">  The</w:t>
      </w:r>
      <w:r w:rsidR="003E11D1">
        <w:t xml:space="preserve"> experts appear to agree that surfers commonly collide and </w:t>
      </w:r>
      <w:r w:rsidR="00457C06" w:rsidRPr="00457C06">
        <w:t>lose control of their board</w:t>
      </w:r>
      <w:r w:rsidR="003E11D1">
        <w:t xml:space="preserve">s; </w:t>
      </w:r>
      <w:r w:rsidR="00457C06" w:rsidRPr="00457C06">
        <w:t>that boards have sharp fins that can cause injury</w:t>
      </w:r>
      <w:r w:rsidR="00EA1DE1">
        <w:t xml:space="preserve">; and that some </w:t>
      </w:r>
      <w:r w:rsidR="00457C06" w:rsidRPr="00457C06">
        <w:t xml:space="preserve">surfers </w:t>
      </w:r>
      <w:r w:rsidR="00EA1DE1">
        <w:t>choose to forego leashes because they</w:t>
      </w:r>
      <w:r w:rsidR="00457C06" w:rsidRPr="00457C06">
        <w:t xml:space="preserve"> can inhibit speed and agility.  </w:t>
      </w:r>
      <w:r w:rsidR="00EA1DE1">
        <w:t>The</w:t>
      </w:r>
      <w:r w:rsidR="00457C06">
        <w:t xml:space="preserve"> </w:t>
      </w:r>
      <w:r w:rsidR="00D04CC5">
        <w:t xml:space="preserve">undisputed </w:t>
      </w:r>
      <w:r w:rsidR="00457C06">
        <w:t xml:space="preserve">evidence </w:t>
      </w:r>
      <w:r w:rsidR="00EA1DE1">
        <w:t>shows that appellant’s injuries resulted from these</w:t>
      </w:r>
      <w:r w:rsidR="00D04CC5">
        <w:t xml:space="preserve"> risks</w:t>
      </w:r>
      <w:r w:rsidR="00457C06">
        <w:t xml:space="preserve">. </w:t>
      </w:r>
      <w:r w:rsidR="00C64036">
        <w:t xml:space="preserve"> </w:t>
      </w:r>
      <w:r w:rsidR="00EA1DE1">
        <w:t>We agree with the trial court that t</w:t>
      </w:r>
      <w:r w:rsidR="003E11D1">
        <w:t xml:space="preserve">he primary assumption of the risk doctrine bars appellant’s </w:t>
      </w:r>
      <w:r w:rsidR="003E11D1">
        <w:lastRenderedPageBreak/>
        <w:t>negligence claim a</w:t>
      </w:r>
      <w:r w:rsidR="00457C06">
        <w:t xml:space="preserve">bsent evidence </w:t>
      </w:r>
      <w:r w:rsidR="00E72AD0">
        <w:t>that</w:t>
      </w:r>
      <w:r w:rsidR="00EA1DE1">
        <w:t xml:space="preserve"> respondent</w:t>
      </w:r>
      <w:r w:rsidR="00E72AD0">
        <w:t xml:space="preserve"> </w:t>
      </w:r>
      <w:r w:rsidR="00457C06">
        <w:t>recklessly</w:t>
      </w:r>
      <w:r w:rsidR="00F773FD">
        <w:t xml:space="preserve"> </w:t>
      </w:r>
      <w:r w:rsidR="00EA1DE1">
        <w:t>or inc</w:t>
      </w:r>
      <w:r w:rsidR="003E11D1">
        <w:t xml:space="preserve">reased the sport’s inherent risks. </w:t>
      </w:r>
    </w:p>
    <w:p w14:paraId="743083E1" w14:textId="2D134214" w:rsidR="00D04CC5" w:rsidRDefault="00E72AD0" w:rsidP="00403501">
      <w:pPr>
        <w:keepNext/>
        <w:tabs>
          <w:tab w:val="left" w:pos="1440"/>
          <w:tab w:val="left" w:pos="2880"/>
          <w:tab w:val="left" w:pos="4320"/>
          <w:tab w:val="left" w:pos="5760"/>
          <w:tab w:val="left" w:pos="7200"/>
        </w:tabs>
        <w:jc w:val="center"/>
        <w:rPr>
          <w:i/>
          <w:iCs/>
        </w:rPr>
      </w:pPr>
      <w:r>
        <w:rPr>
          <w:i/>
          <w:iCs/>
        </w:rPr>
        <w:t xml:space="preserve">There </w:t>
      </w:r>
      <w:r w:rsidR="00042E54">
        <w:rPr>
          <w:i/>
          <w:iCs/>
        </w:rPr>
        <w:t>I</w:t>
      </w:r>
      <w:r>
        <w:rPr>
          <w:i/>
          <w:iCs/>
        </w:rPr>
        <w:t xml:space="preserve">s No Evidence </w:t>
      </w:r>
      <w:r w:rsidR="00B21891">
        <w:rPr>
          <w:i/>
          <w:iCs/>
        </w:rPr>
        <w:t>R</w:t>
      </w:r>
      <w:r w:rsidR="00B21891" w:rsidRPr="00B21891">
        <w:rPr>
          <w:i/>
          <w:iCs/>
        </w:rPr>
        <w:t>espondent</w:t>
      </w:r>
      <w:r w:rsidR="00D04CC5">
        <w:rPr>
          <w:i/>
          <w:iCs/>
        </w:rPr>
        <w:t xml:space="preserve"> Acted </w:t>
      </w:r>
      <w:r w:rsidR="00457C06" w:rsidRPr="00457C06">
        <w:rPr>
          <w:i/>
          <w:iCs/>
        </w:rPr>
        <w:t>Reckless</w:t>
      </w:r>
      <w:r w:rsidR="00D04CC5">
        <w:rPr>
          <w:i/>
          <w:iCs/>
        </w:rPr>
        <w:t>ly</w:t>
      </w:r>
    </w:p>
    <w:p w14:paraId="5F6AF25D" w14:textId="279AB89A" w:rsidR="00734A20" w:rsidRDefault="008053B7" w:rsidP="001B37B3">
      <w:pPr>
        <w:tabs>
          <w:tab w:val="left" w:pos="1440"/>
          <w:tab w:val="left" w:pos="2880"/>
          <w:tab w:val="left" w:pos="4320"/>
          <w:tab w:val="left" w:pos="5760"/>
          <w:tab w:val="left" w:pos="7200"/>
        </w:tabs>
        <w:jc w:val="center"/>
        <w:rPr>
          <w:i/>
          <w:iCs/>
        </w:rPr>
      </w:pPr>
      <w:r>
        <w:rPr>
          <w:i/>
          <w:iCs/>
        </w:rPr>
        <w:t xml:space="preserve">or Increased </w:t>
      </w:r>
      <w:r w:rsidR="00D04CC5">
        <w:rPr>
          <w:i/>
          <w:iCs/>
        </w:rPr>
        <w:t xml:space="preserve">the Inherent Risks of </w:t>
      </w:r>
      <w:r>
        <w:rPr>
          <w:i/>
          <w:iCs/>
        </w:rPr>
        <w:t>Surfing</w:t>
      </w:r>
    </w:p>
    <w:p w14:paraId="6FCF8DEF" w14:textId="55A11C39" w:rsidR="00032E81" w:rsidRDefault="00C57AF0" w:rsidP="00C57AF0">
      <w:pPr>
        <w:tabs>
          <w:tab w:val="left" w:pos="1440"/>
          <w:tab w:val="left" w:pos="2880"/>
          <w:tab w:val="left" w:pos="4320"/>
          <w:tab w:val="left" w:pos="5760"/>
          <w:tab w:val="left" w:pos="7200"/>
        </w:tabs>
        <w:ind w:firstLine="720"/>
      </w:pPr>
      <w:r>
        <w:t>Appellant</w:t>
      </w:r>
      <w:r w:rsidR="00C7360B">
        <w:t xml:space="preserve"> </w:t>
      </w:r>
      <w:r w:rsidR="00383B79">
        <w:t xml:space="preserve">relies </w:t>
      </w:r>
      <w:r w:rsidR="00170452">
        <w:t xml:space="preserve">primarily </w:t>
      </w:r>
      <w:r w:rsidR="00383B79">
        <w:t xml:space="preserve">upon </w:t>
      </w:r>
      <w:r w:rsidR="00F775BC">
        <w:t xml:space="preserve">surfing expert </w:t>
      </w:r>
      <w:r w:rsidR="00AD1AD4">
        <w:t xml:space="preserve">Shaun </w:t>
      </w:r>
      <w:r w:rsidR="00EA6925">
        <w:t xml:space="preserve">Tomson </w:t>
      </w:r>
      <w:r w:rsidR="00B66984">
        <w:t xml:space="preserve">to support his contention that </w:t>
      </w:r>
      <w:r w:rsidR="00B21891">
        <w:t>respondent</w:t>
      </w:r>
      <w:r w:rsidR="00170452">
        <w:t>’s conduct</w:t>
      </w:r>
      <w:r w:rsidR="00383B79">
        <w:t xml:space="preserve"> was reckless</w:t>
      </w:r>
      <w:r w:rsidR="00EA6925">
        <w:t xml:space="preserve">. </w:t>
      </w:r>
      <w:r w:rsidR="00C64036">
        <w:t xml:space="preserve"> </w:t>
      </w:r>
      <w:r w:rsidR="00CD0D1C">
        <w:t>Tomson</w:t>
      </w:r>
      <w:r w:rsidR="00694467">
        <w:t xml:space="preserve"> explained</w:t>
      </w:r>
      <w:r w:rsidR="000E6C3C">
        <w:t xml:space="preserve"> </w:t>
      </w:r>
      <w:r w:rsidR="00CD0D1C">
        <w:t>th</w:t>
      </w:r>
      <w:r w:rsidR="006839D1">
        <w:t xml:space="preserve">at “[o]ver time, the sport of surfing has adopted the </w:t>
      </w:r>
      <w:r w:rsidR="00B16D78">
        <w:t>Surfing C</w:t>
      </w:r>
      <w:r w:rsidR="00CD0D1C">
        <w:t>ode</w:t>
      </w:r>
      <w:r w:rsidR="00B16D78">
        <w:t xml:space="preserve"> and</w:t>
      </w:r>
      <w:r w:rsidR="004F5848">
        <w:t xml:space="preserve"> </w:t>
      </w:r>
      <w:r w:rsidR="00B16D78">
        <w:t>R</w:t>
      </w:r>
      <w:r w:rsidR="00CD0D1C">
        <w:t xml:space="preserve">ules of </w:t>
      </w:r>
      <w:r w:rsidR="00B16D78">
        <w:t>E</w:t>
      </w:r>
      <w:r w:rsidR="00CD0D1C">
        <w:t>tiquette.</w:t>
      </w:r>
      <w:r w:rsidR="00312991">
        <w:t>”</w:t>
      </w:r>
      <w:r w:rsidR="00CD0D1C">
        <w:t xml:space="preserve"> </w:t>
      </w:r>
      <w:r w:rsidR="00EB21D9">
        <w:t xml:space="preserve"> </w:t>
      </w:r>
      <w:r w:rsidR="00B255A6">
        <w:t>According to Tomson, “surfers have a self-managed obligation to observe the Surfers Code and Rules of Etiquette and not increase the risk of harm to others in the water.”</w:t>
      </w:r>
      <w:r w:rsidR="00616193">
        <w:t xml:space="preserve">  </w:t>
      </w:r>
      <w:r w:rsidR="00032E81">
        <w:t>He</w:t>
      </w:r>
      <w:r w:rsidR="00CD0D1C">
        <w:t xml:space="preserve"> </w:t>
      </w:r>
      <w:r w:rsidR="008F6A60">
        <w:t xml:space="preserve">described </w:t>
      </w:r>
      <w:r w:rsidR="00CD0D1C">
        <w:t xml:space="preserve">the rules of etiquette </w:t>
      </w:r>
      <w:r w:rsidR="00183F7D">
        <w:t>as follows</w:t>
      </w:r>
      <w:r w:rsidR="00CD0D1C">
        <w:t xml:space="preserve">: </w:t>
      </w:r>
      <w:r w:rsidR="00DB7076">
        <w:t xml:space="preserve"> </w:t>
      </w:r>
      <w:r w:rsidR="006E0C65">
        <w:t>(</w:t>
      </w:r>
      <w:r w:rsidR="00CD0D1C">
        <w:t>1) observe the right of way of other</w:t>
      </w:r>
      <w:r w:rsidR="00312991">
        <w:t>s</w:t>
      </w:r>
      <w:r w:rsidR="006E0C65">
        <w:t>;</w:t>
      </w:r>
      <w:r w:rsidR="00CD0D1C">
        <w:t xml:space="preserve"> </w:t>
      </w:r>
      <w:r w:rsidR="006E0C65">
        <w:t>(</w:t>
      </w:r>
      <w:r w:rsidR="00CD0D1C">
        <w:t>2) look for</w:t>
      </w:r>
      <w:r w:rsidR="00B16D78">
        <w:t xml:space="preserve"> other</w:t>
      </w:r>
      <w:r w:rsidR="00CD0D1C">
        <w:t xml:space="preserve"> surfers before entering the wave</w:t>
      </w:r>
      <w:r w:rsidR="006E0C65">
        <w:t>;</w:t>
      </w:r>
      <w:r w:rsidR="00CD0D1C">
        <w:t xml:space="preserve"> </w:t>
      </w:r>
      <w:r w:rsidR="006E0C65">
        <w:t>(</w:t>
      </w:r>
      <w:r w:rsidR="00CD0D1C">
        <w:t>3) do not interfere with</w:t>
      </w:r>
      <w:r w:rsidR="00312991">
        <w:t>, “drop in” or cut</w:t>
      </w:r>
      <w:r w:rsidR="00B16D78">
        <w:t xml:space="preserve"> </w:t>
      </w:r>
      <w:r w:rsidR="00312991">
        <w:t>off</w:t>
      </w:r>
      <w:r w:rsidR="00CD0D1C">
        <w:t xml:space="preserve"> </w:t>
      </w:r>
      <w:r w:rsidR="00312991">
        <w:t>surfers</w:t>
      </w:r>
      <w:r w:rsidR="00CD0D1C">
        <w:t xml:space="preserve"> already riding a wave</w:t>
      </w:r>
      <w:r w:rsidR="006E0C65">
        <w:t>;</w:t>
      </w:r>
      <w:r w:rsidR="00CD0D1C">
        <w:t xml:space="preserve"> </w:t>
      </w:r>
      <w:r w:rsidR="006E0C65">
        <w:t>(</w:t>
      </w:r>
      <w:r w:rsidR="00CD0D1C">
        <w:t>4) hold onto and do not let go of your board</w:t>
      </w:r>
      <w:r w:rsidR="006E0C65">
        <w:t>;</w:t>
      </w:r>
      <w:r w:rsidR="00CD0D1C">
        <w:t xml:space="preserve"> </w:t>
      </w:r>
      <w:r w:rsidR="006E0C65">
        <w:t>(</w:t>
      </w:r>
      <w:r w:rsidR="00312991">
        <w:t>5</w:t>
      </w:r>
      <w:r w:rsidR="00CD0D1C">
        <w:t xml:space="preserve">) </w:t>
      </w:r>
      <w:r w:rsidR="007B7509">
        <w:t>wear a surf leash so you do not lose control of your board</w:t>
      </w:r>
      <w:r w:rsidR="006E0C65">
        <w:t>;</w:t>
      </w:r>
      <w:r w:rsidR="007B7509">
        <w:t xml:space="preserve"> and </w:t>
      </w:r>
      <w:r w:rsidR="006E0C65">
        <w:t>(</w:t>
      </w:r>
      <w:r w:rsidR="00312991">
        <w:t>6</w:t>
      </w:r>
      <w:r w:rsidR="007B7509">
        <w:t xml:space="preserve">) be aware and communicate with </w:t>
      </w:r>
      <w:r w:rsidR="00B16D78">
        <w:t xml:space="preserve">others </w:t>
      </w:r>
      <w:r w:rsidR="007B7509">
        <w:t xml:space="preserve">around you. </w:t>
      </w:r>
      <w:r w:rsidR="00616193">
        <w:t xml:space="preserve"> </w:t>
      </w:r>
      <w:r w:rsidR="00032E81" w:rsidRPr="00B43941">
        <w:t xml:space="preserve">Tomson </w:t>
      </w:r>
      <w:r w:rsidR="00312991">
        <w:t>opined</w:t>
      </w:r>
      <w:r w:rsidR="006A59CE">
        <w:t xml:space="preserve"> that respondent’s blatant disregard of these rules </w:t>
      </w:r>
      <w:r w:rsidR="00032E81" w:rsidRPr="00B43941">
        <w:t>constitute</w:t>
      </w:r>
      <w:r w:rsidR="00032E81">
        <w:t>d</w:t>
      </w:r>
      <w:r w:rsidR="00032E81" w:rsidRPr="00B43941">
        <w:t xml:space="preserve"> a “conscious and wanton reckless disregard</w:t>
      </w:r>
      <w:r w:rsidR="006A59CE">
        <w:t>”</w:t>
      </w:r>
      <w:r w:rsidR="00032E81" w:rsidRPr="00B43941">
        <w:t xml:space="preserve"> for the safety of </w:t>
      </w:r>
      <w:r w:rsidR="006A59CE">
        <w:t>fellow surfers, especially considering his experience in the sport</w:t>
      </w:r>
      <w:r w:rsidR="00633052">
        <w:t xml:space="preserve">. </w:t>
      </w:r>
      <w:r w:rsidR="00C64036">
        <w:t xml:space="preserve"> </w:t>
      </w:r>
    </w:p>
    <w:p w14:paraId="31D7BC05" w14:textId="658C4CB2" w:rsidR="009456DD" w:rsidRDefault="00785137" w:rsidP="00C57AF0">
      <w:pPr>
        <w:tabs>
          <w:tab w:val="left" w:pos="1440"/>
          <w:tab w:val="left" w:pos="2880"/>
          <w:tab w:val="left" w:pos="4320"/>
          <w:tab w:val="left" w:pos="5760"/>
          <w:tab w:val="left" w:pos="7200"/>
        </w:tabs>
        <w:ind w:firstLine="720"/>
      </w:pPr>
      <w:r>
        <w:t>Tomson supported his conclusions</w:t>
      </w:r>
      <w:r w:rsidR="006307B7">
        <w:t xml:space="preserve"> by</w:t>
      </w:r>
      <w:r w:rsidR="00ED343C">
        <w:t xml:space="preserve"> </w:t>
      </w:r>
      <w:r>
        <w:t>citing</w:t>
      </w:r>
      <w:r w:rsidRPr="00785137">
        <w:t xml:space="preserve"> the “Leash/Legrope Policy” found in the International Surfing Association Rule Book (ISA), which he describe</w:t>
      </w:r>
      <w:r w:rsidR="00762D09">
        <w:t>d</w:t>
      </w:r>
      <w:r w:rsidRPr="00785137">
        <w:t xml:space="preserve"> as “the World Governing Body for </w:t>
      </w:r>
      <w:r w:rsidR="00B16D78">
        <w:t>[</w:t>
      </w:r>
      <w:r w:rsidRPr="00785137">
        <w:t>s</w:t>
      </w:r>
      <w:r w:rsidR="00B16D78">
        <w:t>]</w:t>
      </w:r>
      <w:r w:rsidRPr="00785137">
        <w:t xml:space="preserve">urfing and all related activities.” </w:t>
      </w:r>
      <w:r w:rsidR="00616193">
        <w:t xml:space="preserve"> </w:t>
      </w:r>
      <w:r w:rsidR="00CB02A8">
        <w:t xml:space="preserve">The policy </w:t>
      </w:r>
      <w:r w:rsidR="004C2DF0">
        <w:t>reads</w:t>
      </w:r>
      <w:r w:rsidR="00CB02A8">
        <w:t>:</w:t>
      </w:r>
      <w:r>
        <w:t xml:space="preserve"> </w:t>
      </w:r>
      <w:r w:rsidR="007460CB">
        <w:t xml:space="preserve"> </w:t>
      </w:r>
      <w:r w:rsidR="00CB02A8">
        <w:t>“As a risk management precaution</w:t>
      </w:r>
      <w:r w:rsidR="00B16D78">
        <w:t xml:space="preserve"> . . .</w:t>
      </w:r>
      <w:r w:rsidR="00CB02A8">
        <w:t xml:space="preserve"> the ISA has a mandatory leash/legrope policy at events, due to the potential risk to other participants</w:t>
      </w:r>
      <w:r w:rsidR="00B627BD">
        <w:t>.</w:t>
      </w:r>
      <w:r w:rsidR="00CB02A8">
        <w:t xml:space="preserve">” </w:t>
      </w:r>
      <w:r>
        <w:t xml:space="preserve"> </w:t>
      </w:r>
      <w:r w:rsidR="00CB02A8">
        <w:t>(</w:t>
      </w:r>
      <w:r w:rsidR="00CB02A8">
        <w:rPr>
          <w:i/>
          <w:iCs/>
        </w:rPr>
        <w:t>ISA Rule Boo</w:t>
      </w:r>
      <w:r w:rsidR="00961D16">
        <w:rPr>
          <w:i/>
          <w:iCs/>
        </w:rPr>
        <w:t>k &amp; Contest Administration Manual</w:t>
      </w:r>
      <w:r w:rsidR="00B16D78">
        <w:t xml:space="preserve">, September 2023 Section D Competition Rules, </w:t>
      </w:r>
      <w:r w:rsidR="00376397">
        <w:t>s</w:t>
      </w:r>
      <w:r w:rsidR="00B16D78">
        <w:t>ubsection xvii (a), p.34</w:t>
      </w:r>
      <w:r w:rsidR="00B627BD">
        <w:t>.)</w:t>
      </w:r>
      <w:r w:rsidR="00E0790E" w:rsidRPr="00E0790E">
        <w:t xml:space="preserve"> </w:t>
      </w:r>
      <w:r w:rsidR="00616193">
        <w:t xml:space="preserve"> </w:t>
      </w:r>
      <w:r w:rsidR="00A90BE6">
        <w:t>T</w:t>
      </w:r>
      <w:r>
        <w:t xml:space="preserve">he policy </w:t>
      </w:r>
      <w:r w:rsidR="00681F59">
        <w:t>further states</w:t>
      </w:r>
      <w:r w:rsidR="00B627BD">
        <w:t>, “</w:t>
      </w:r>
      <w:r>
        <w:t>[f]</w:t>
      </w:r>
      <w:r w:rsidR="00B627BD">
        <w:t xml:space="preserve">ree surfing with or without a leash is at the rider’s discretion </w:t>
      </w:r>
      <w:r w:rsidR="00B627BD">
        <w:lastRenderedPageBreak/>
        <w:t xml:space="preserve">however the ISA recommends the use of a leash if there is a possible danger to third parties.” </w:t>
      </w:r>
      <w:r w:rsidR="00ED343C">
        <w:t xml:space="preserve"> </w:t>
      </w:r>
      <w:r w:rsidR="00B627BD">
        <w:t>(</w:t>
      </w:r>
      <w:r w:rsidR="00B627BD">
        <w:rPr>
          <w:i/>
          <w:iCs/>
        </w:rPr>
        <w:t>Id</w:t>
      </w:r>
      <w:r w:rsidR="00B627BD">
        <w:t>.</w:t>
      </w:r>
      <w:r w:rsidR="00B16D78">
        <w:t xml:space="preserve">, </w:t>
      </w:r>
      <w:r w:rsidR="00376397">
        <w:t>subsection xvii (b).</w:t>
      </w:r>
      <w:r w:rsidR="00B627BD">
        <w:t xml:space="preserve">) </w:t>
      </w:r>
      <w:r w:rsidR="00616193">
        <w:t xml:space="preserve"> </w:t>
      </w:r>
    </w:p>
    <w:p w14:paraId="4A1E3555" w14:textId="40F056AB" w:rsidR="00F21B0C" w:rsidRPr="00734A20" w:rsidRDefault="00C57AF0" w:rsidP="001B37B3">
      <w:pPr>
        <w:tabs>
          <w:tab w:val="left" w:pos="720"/>
          <w:tab w:val="left" w:pos="2880"/>
          <w:tab w:val="left" w:pos="4320"/>
          <w:tab w:val="left" w:pos="5760"/>
          <w:tab w:val="left" w:pos="7200"/>
        </w:tabs>
        <w:ind w:firstLine="720"/>
      </w:pPr>
      <w:r>
        <w:t>Appellant</w:t>
      </w:r>
      <w:r w:rsidR="007E1BF2" w:rsidRPr="009C4279">
        <w:t xml:space="preserve"> </w:t>
      </w:r>
      <w:r w:rsidR="001E1A0D">
        <w:t xml:space="preserve">analogizes </w:t>
      </w:r>
      <w:r w:rsidR="00B21891">
        <w:t>respondent</w:t>
      </w:r>
      <w:r w:rsidR="007E1BF2" w:rsidRPr="009C4279">
        <w:t xml:space="preserve">’s failure to use a leash </w:t>
      </w:r>
      <w:r w:rsidR="001E1A0D">
        <w:t>to</w:t>
      </w:r>
      <w:r w:rsidR="007E1BF2" w:rsidRPr="009C4279">
        <w:t xml:space="preserve"> the snowboard</w:t>
      </w:r>
      <w:r w:rsidR="001E1A0D">
        <w:t>er’s</w:t>
      </w:r>
      <w:r w:rsidR="007E1BF2" w:rsidRPr="009C4279">
        <w:t xml:space="preserve"> failure to use a </w:t>
      </w:r>
      <w:r w:rsidR="00F42651" w:rsidRPr="009C4279">
        <w:t xml:space="preserve">retention strap </w:t>
      </w:r>
      <w:r w:rsidR="007E1BF2" w:rsidRPr="009C4279">
        <w:t xml:space="preserve">in </w:t>
      </w:r>
      <w:r w:rsidR="00F42651" w:rsidRPr="009C4279">
        <w:rPr>
          <w:i/>
          <w:iCs/>
          <w:color w:val="000000"/>
          <w:bdr w:val="none" w:sz="0" w:space="0" w:color="auto" w:frame="1"/>
        </w:rPr>
        <w:t>Campbell v. Derylo</w:t>
      </w:r>
      <w:r w:rsidR="00C64036">
        <w:rPr>
          <w:color w:val="000000"/>
          <w:shd w:val="clear" w:color="auto" w:fill="FFFFFF"/>
        </w:rPr>
        <w:t xml:space="preserve"> </w:t>
      </w:r>
      <w:r w:rsidR="00F42651" w:rsidRPr="009C4279">
        <w:rPr>
          <w:color w:val="000000"/>
          <w:shd w:val="clear" w:color="auto" w:fill="FFFFFF"/>
        </w:rPr>
        <w:t>(1999) 75 Cal.App.4th 823</w:t>
      </w:r>
      <w:r w:rsidR="002A1F63">
        <w:rPr>
          <w:color w:val="000000"/>
          <w:shd w:val="clear" w:color="auto" w:fill="FFFFFF"/>
        </w:rPr>
        <w:t xml:space="preserve">. </w:t>
      </w:r>
      <w:r w:rsidR="00B66984" w:rsidRPr="009C4279">
        <w:rPr>
          <w:color w:val="000000"/>
          <w:shd w:val="clear" w:color="auto" w:fill="FFFFFF"/>
        </w:rPr>
        <w:t xml:space="preserve"> </w:t>
      </w:r>
      <w:r w:rsidR="00F42651" w:rsidRPr="009C4279">
        <w:rPr>
          <w:i/>
          <w:iCs/>
          <w:color w:val="000000"/>
          <w:shd w:val="clear" w:color="auto" w:fill="FFFFFF"/>
        </w:rPr>
        <w:t>Campbell</w:t>
      </w:r>
      <w:r w:rsidR="00F42651" w:rsidRPr="009C4279">
        <w:rPr>
          <w:color w:val="000000"/>
          <w:shd w:val="clear" w:color="auto" w:fill="FFFFFF"/>
        </w:rPr>
        <w:t xml:space="preserve"> </w:t>
      </w:r>
      <w:r w:rsidR="00F21B0C" w:rsidRPr="009C4279">
        <w:rPr>
          <w:color w:val="000000"/>
          <w:shd w:val="clear" w:color="auto" w:fill="FFFFFF"/>
        </w:rPr>
        <w:t xml:space="preserve">reversed </w:t>
      </w:r>
      <w:r w:rsidR="00B301A8">
        <w:rPr>
          <w:color w:val="000000"/>
          <w:shd w:val="clear" w:color="auto" w:fill="FFFFFF"/>
        </w:rPr>
        <w:t xml:space="preserve">the trial court’s granting of summary judgment for plaintiff on the grounds of primary assumption of risk, </w:t>
      </w:r>
      <w:r w:rsidR="00F21B0C" w:rsidRPr="009C4279">
        <w:rPr>
          <w:color w:val="000000"/>
          <w:shd w:val="clear" w:color="auto" w:fill="FFFFFF"/>
        </w:rPr>
        <w:t>find</w:t>
      </w:r>
      <w:r w:rsidR="00B301A8">
        <w:rPr>
          <w:color w:val="000000"/>
          <w:shd w:val="clear" w:color="auto" w:fill="FFFFFF"/>
        </w:rPr>
        <w:t>ing</w:t>
      </w:r>
      <w:r w:rsidR="00F21B0C" w:rsidRPr="009C4279">
        <w:rPr>
          <w:color w:val="000000"/>
          <w:shd w:val="clear" w:color="auto" w:fill="FFFFFF"/>
        </w:rPr>
        <w:t xml:space="preserve"> </w:t>
      </w:r>
      <w:r w:rsidR="00B301A8">
        <w:rPr>
          <w:color w:val="000000"/>
          <w:shd w:val="clear" w:color="auto" w:fill="FFFFFF"/>
        </w:rPr>
        <w:t xml:space="preserve">defendant’s </w:t>
      </w:r>
      <w:r w:rsidR="00F21B0C" w:rsidRPr="009C4279">
        <w:rPr>
          <w:color w:val="000000"/>
          <w:shd w:val="clear" w:color="auto" w:fill="FFFFFF"/>
        </w:rPr>
        <w:t xml:space="preserve">failure to use a retention strap </w:t>
      </w:r>
      <w:r w:rsidR="002A1F63">
        <w:rPr>
          <w:color w:val="000000"/>
          <w:shd w:val="clear" w:color="auto" w:fill="FFFFFF"/>
        </w:rPr>
        <w:t>“</w:t>
      </w:r>
      <w:r w:rsidR="00F21B0C" w:rsidRPr="009C4279">
        <w:rPr>
          <w:color w:val="000000"/>
          <w:shd w:val="clear" w:color="auto" w:fill="FFFFFF"/>
        </w:rPr>
        <w:t>increased the inherent risk of injury to coparticipants from a runaway snowboard.</w:t>
      </w:r>
      <w:r w:rsidR="002A1F63">
        <w:rPr>
          <w:color w:val="000000"/>
          <w:shd w:val="clear" w:color="auto" w:fill="FFFFFF"/>
        </w:rPr>
        <w:t>”</w:t>
      </w:r>
      <w:r w:rsidR="00F21B0C" w:rsidRPr="009C4279">
        <w:rPr>
          <w:color w:val="000000"/>
          <w:shd w:val="clear" w:color="auto" w:fill="FFFFFF"/>
        </w:rPr>
        <w:t xml:space="preserve"> </w:t>
      </w:r>
      <w:r w:rsidR="00C64036">
        <w:rPr>
          <w:color w:val="000000"/>
          <w:shd w:val="clear" w:color="auto" w:fill="FFFFFF"/>
        </w:rPr>
        <w:t xml:space="preserve"> </w:t>
      </w:r>
      <w:r w:rsidR="00B66984" w:rsidRPr="009C4279">
        <w:rPr>
          <w:color w:val="000000"/>
          <w:shd w:val="clear" w:color="auto" w:fill="FFFFFF"/>
        </w:rPr>
        <w:t>(</w:t>
      </w:r>
      <w:r w:rsidR="002A1F63">
        <w:rPr>
          <w:i/>
          <w:iCs/>
          <w:color w:val="000000"/>
          <w:shd w:val="clear" w:color="auto" w:fill="FFFFFF"/>
        </w:rPr>
        <w:t>Id</w:t>
      </w:r>
      <w:r w:rsidR="002A1F63">
        <w:rPr>
          <w:color w:val="000000"/>
          <w:shd w:val="clear" w:color="auto" w:fill="FFFFFF"/>
        </w:rPr>
        <w:t>.,</w:t>
      </w:r>
      <w:r w:rsidR="00B66984" w:rsidRPr="009C4279">
        <w:rPr>
          <w:color w:val="000000"/>
          <w:shd w:val="clear" w:color="auto" w:fill="FFFFFF"/>
        </w:rPr>
        <w:t xml:space="preserve"> at p</w:t>
      </w:r>
      <w:r w:rsidR="00B301A8">
        <w:rPr>
          <w:color w:val="000000"/>
          <w:shd w:val="clear" w:color="auto" w:fill="FFFFFF"/>
        </w:rPr>
        <w:t>.</w:t>
      </w:r>
      <w:r w:rsidR="00037BAB">
        <w:rPr>
          <w:color w:val="000000"/>
          <w:shd w:val="clear" w:color="auto" w:fill="FFFFFF"/>
        </w:rPr>
        <w:t> </w:t>
      </w:r>
      <w:r w:rsidR="00F21B0C" w:rsidRPr="009C4279">
        <w:rPr>
          <w:color w:val="000000"/>
          <w:shd w:val="clear" w:color="auto" w:fill="FFFFFF"/>
        </w:rPr>
        <w:t>829.</w:t>
      </w:r>
      <w:r w:rsidR="00B66984" w:rsidRPr="009C4279">
        <w:rPr>
          <w:color w:val="000000"/>
          <w:shd w:val="clear" w:color="auto" w:fill="FFFFFF"/>
        </w:rPr>
        <w:t>)</w:t>
      </w:r>
      <w:r w:rsidR="00F21B0C" w:rsidRPr="009C4279">
        <w:rPr>
          <w:color w:val="000000"/>
          <w:shd w:val="clear" w:color="auto" w:fill="FFFFFF"/>
        </w:rPr>
        <w:t xml:space="preserve"> </w:t>
      </w:r>
      <w:r w:rsidR="002A1F63">
        <w:rPr>
          <w:color w:val="000000"/>
          <w:shd w:val="clear" w:color="auto" w:fill="FFFFFF"/>
        </w:rPr>
        <w:t xml:space="preserve"> </w:t>
      </w:r>
      <w:r w:rsidR="00B301A8">
        <w:rPr>
          <w:color w:val="000000"/>
          <w:shd w:val="clear" w:color="auto" w:fill="FFFFFF"/>
        </w:rPr>
        <w:t>It n</w:t>
      </w:r>
      <w:r w:rsidR="00F21B0C" w:rsidRPr="009C4279">
        <w:rPr>
          <w:color w:val="000000"/>
          <w:shd w:val="clear" w:color="auto" w:fill="FFFFFF"/>
        </w:rPr>
        <w:t>ot</w:t>
      </w:r>
      <w:r w:rsidR="00B301A8">
        <w:rPr>
          <w:color w:val="000000"/>
          <w:shd w:val="clear" w:color="auto" w:fill="FFFFFF"/>
        </w:rPr>
        <w:t>ed</w:t>
      </w:r>
      <w:r w:rsidR="00F21B0C" w:rsidRPr="009C4279">
        <w:rPr>
          <w:color w:val="000000"/>
          <w:shd w:val="clear" w:color="auto" w:fill="FFFFFF"/>
        </w:rPr>
        <w:t xml:space="preserve"> that </w:t>
      </w:r>
      <w:r w:rsidR="00B301A8">
        <w:rPr>
          <w:color w:val="000000"/>
          <w:shd w:val="clear" w:color="auto" w:fill="FFFFFF"/>
        </w:rPr>
        <w:t>a local</w:t>
      </w:r>
      <w:r w:rsidR="00F21B0C" w:rsidRPr="009C4279">
        <w:rPr>
          <w:color w:val="000000"/>
          <w:shd w:val="clear" w:color="auto" w:fill="FFFFFF"/>
        </w:rPr>
        <w:t xml:space="preserve"> ordinance </w:t>
      </w:r>
      <w:r w:rsidR="00B301A8">
        <w:rPr>
          <w:color w:val="000000"/>
          <w:shd w:val="clear" w:color="auto" w:fill="FFFFFF"/>
        </w:rPr>
        <w:t>as well as a “</w:t>
      </w:r>
      <w:r w:rsidR="00F21B0C" w:rsidRPr="009C4279">
        <w:rPr>
          <w:color w:val="000000"/>
          <w:shd w:val="clear" w:color="auto" w:fill="FFFFFF"/>
        </w:rPr>
        <w:t>Skier Responsibility Code</w:t>
      </w:r>
      <w:r w:rsidR="00B301A8">
        <w:rPr>
          <w:color w:val="000000"/>
          <w:shd w:val="clear" w:color="auto" w:fill="FFFFFF"/>
        </w:rPr>
        <w:t>”</w:t>
      </w:r>
      <w:r w:rsidR="00F21B0C" w:rsidRPr="009C4279">
        <w:rPr>
          <w:color w:val="000000"/>
          <w:shd w:val="clear" w:color="auto" w:fill="FFFFFF"/>
        </w:rPr>
        <w:t xml:space="preserve"> posted at the ski resort require</w:t>
      </w:r>
      <w:r w:rsidR="00B66984" w:rsidRPr="009C4279">
        <w:rPr>
          <w:color w:val="000000"/>
          <w:shd w:val="clear" w:color="auto" w:fill="FFFFFF"/>
        </w:rPr>
        <w:t>d</w:t>
      </w:r>
      <w:r w:rsidR="00F21B0C" w:rsidRPr="009C4279">
        <w:rPr>
          <w:color w:val="000000"/>
          <w:shd w:val="clear" w:color="auto" w:fill="FFFFFF"/>
        </w:rPr>
        <w:t xml:space="preserve"> the</w:t>
      </w:r>
      <w:r w:rsidR="00B301A8">
        <w:rPr>
          <w:color w:val="000000"/>
          <w:shd w:val="clear" w:color="auto" w:fill="FFFFFF"/>
        </w:rPr>
        <w:t>ir</w:t>
      </w:r>
      <w:r w:rsidR="00F21B0C" w:rsidRPr="009C4279">
        <w:rPr>
          <w:color w:val="000000"/>
          <w:shd w:val="clear" w:color="auto" w:fill="FFFFFF"/>
        </w:rPr>
        <w:t xml:space="preserve"> use.</w:t>
      </w:r>
      <w:r w:rsidR="002A1F63">
        <w:rPr>
          <w:color w:val="000000"/>
          <w:shd w:val="clear" w:color="auto" w:fill="FFFFFF"/>
        </w:rPr>
        <w:t xml:space="preserve"> </w:t>
      </w:r>
      <w:r w:rsidR="00F21B0C" w:rsidRPr="009C4279">
        <w:rPr>
          <w:color w:val="000000"/>
          <w:shd w:val="clear" w:color="auto" w:fill="FFFFFF"/>
        </w:rPr>
        <w:t xml:space="preserve"> (</w:t>
      </w:r>
      <w:r w:rsidR="002A1F63">
        <w:rPr>
          <w:i/>
          <w:iCs/>
          <w:color w:val="000000"/>
          <w:shd w:val="clear" w:color="auto" w:fill="FFFFFF"/>
        </w:rPr>
        <w:t>Ibid.</w:t>
      </w:r>
      <w:r w:rsidR="00F21B0C" w:rsidRPr="009C4279">
        <w:rPr>
          <w:color w:val="000000"/>
          <w:shd w:val="clear" w:color="auto" w:fill="FFFFFF"/>
        </w:rPr>
        <w:t xml:space="preserve">) </w:t>
      </w:r>
      <w:r w:rsidR="002A1F63">
        <w:rPr>
          <w:color w:val="000000"/>
          <w:shd w:val="clear" w:color="auto" w:fill="FFFFFF"/>
        </w:rPr>
        <w:t xml:space="preserve"> </w:t>
      </w:r>
      <w:r w:rsidR="00F21B0C" w:rsidRPr="009C4279">
        <w:rPr>
          <w:color w:val="000000"/>
          <w:shd w:val="clear" w:color="auto" w:fill="FFFFFF"/>
        </w:rPr>
        <w:t xml:space="preserve">The court also found that </w:t>
      </w:r>
      <w:r w:rsidR="00B301A8">
        <w:rPr>
          <w:color w:val="000000"/>
          <w:shd w:val="clear" w:color="auto" w:fill="FFFFFF"/>
        </w:rPr>
        <w:t xml:space="preserve">using a strap </w:t>
      </w:r>
      <w:r w:rsidR="002A1F63">
        <w:rPr>
          <w:color w:val="000000"/>
          <w:shd w:val="clear" w:color="auto" w:fill="FFFFFF"/>
        </w:rPr>
        <w:t>“</w:t>
      </w:r>
      <w:r w:rsidR="00F21B0C" w:rsidRPr="009C4279">
        <w:rPr>
          <w:color w:val="000000"/>
          <w:shd w:val="clear" w:color="auto" w:fill="FFFFFF"/>
        </w:rPr>
        <w:t>would not impede or alter the sport of snowboarding</w:t>
      </w:r>
      <w:r w:rsidR="00B301A8">
        <w:rPr>
          <w:color w:val="000000"/>
          <w:shd w:val="clear" w:color="auto" w:fill="FFFFFF"/>
        </w:rPr>
        <w:t>” or “</w:t>
      </w:r>
      <w:r w:rsidR="00F21B0C" w:rsidRPr="009C4279">
        <w:rPr>
          <w:color w:val="000000"/>
          <w:shd w:val="clear" w:color="auto" w:fill="FFFFFF"/>
        </w:rPr>
        <w:t>chill or deter vigorous participation.</w:t>
      </w:r>
      <w:r w:rsidR="005143C8">
        <w:rPr>
          <w:color w:val="000000"/>
          <w:shd w:val="clear" w:color="auto" w:fill="FFFFFF"/>
        </w:rPr>
        <w:t>”</w:t>
      </w:r>
      <w:r w:rsidR="00F21B0C" w:rsidRPr="009C4279">
        <w:rPr>
          <w:color w:val="000000"/>
          <w:shd w:val="clear" w:color="auto" w:fill="FFFFFF"/>
        </w:rPr>
        <w:t xml:space="preserve"> </w:t>
      </w:r>
      <w:r w:rsidR="00C64036">
        <w:rPr>
          <w:color w:val="000000"/>
          <w:shd w:val="clear" w:color="auto" w:fill="FFFFFF"/>
        </w:rPr>
        <w:t xml:space="preserve"> </w:t>
      </w:r>
      <w:r w:rsidR="00B66984" w:rsidRPr="009C4279">
        <w:rPr>
          <w:color w:val="000000"/>
          <w:shd w:val="clear" w:color="auto" w:fill="FFFFFF"/>
        </w:rPr>
        <w:t>(</w:t>
      </w:r>
      <w:r w:rsidR="00403501">
        <w:rPr>
          <w:i/>
          <w:iCs/>
          <w:color w:val="000000"/>
          <w:shd w:val="clear" w:color="auto" w:fill="FFFFFF"/>
        </w:rPr>
        <w:t>Id.</w:t>
      </w:r>
      <w:r w:rsidR="005143C8">
        <w:rPr>
          <w:color w:val="000000"/>
          <w:shd w:val="clear" w:color="auto" w:fill="FFFFFF"/>
        </w:rPr>
        <w:t>,</w:t>
      </w:r>
      <w:r w:rsidR="00B66984" w:rsidRPr="009C4279">
        <w:rPr>
          <w:color w:val="000000"/>
          <w:shd w:val="clear" w:color="auto" w:fill="FFFFFF"/>
        </w:rPr>
        <w:t xml:space="preserve"> a</w:t>
      </w:r>
      <w:r w:rsidR="005143C8">
        <w:rPr>
          <w:color w:val="000000"/>
          <w:shd w:val="clear" w:color="auto" w:fill="FFFFFF"/>
        </w:rPr>
        <w:t>t</w:t>
      </w:r>
      <w:r w:rsidR="00B66984" w:rsidRPr="009C4279">
        <w:rPr>
          <w:color w:val="000000"/>
          <w:shd w:val="clear" w:color="auto" w:fill="FFFFFF"/>
        </w:rPr>
        <w:t xml:space="preserve"> p.</w:t>
      </w:r>
      <w:r w:rsidR="00F21B0C" w:rsidRPr="009C4279">
        <w:rPr>
          <w:color w:val="000000"/>
          <w:shd w:val="clear" w:color="auto" w:fill="FFFFFF"/>
        </w:rPr>
        <w:t xml:space="preserve"> 830</w:t>
      </w:r>
      <w:r w:rsidR="00B66984" w:rsidRPr="009C4279">
        <w:rPr>
          <w:color w:val="000000"/>
          <w:shd w:val="clear" w:color="auto" w:fill="FFFFFF"/>
        </w:rPr>
        <w:t>.)</w:t>
      </w:r>
      <w:r w:rsidR="00B301A8">
        <w:rPr>
          <w:color w:val="000000"/>
          <w:shd w:val="clear" w:color="auto" w:fill="FFFFFF"/>
        </w:rPr>
        <w:t xml:space="preserve">  </w:t>
      </w:r>
      <w:r w:rsidR="005E03C7">
        <w:rPr>
          <w:color w:val="000000"/>
          <w:shd w:val="clear" w:color="auto" w:fill="FFFFFF"/>
        </w:rPr>
        <w:t xml:space="preserve">We do not consider </w:t>
      </w:r>
      <w:r w:rsidR="00B301A8">
        <w:rPr>
          <w:i/>
          <w:iCs/>
          <w:color w:val="000000"/>
          <w:shd w:val="clear" w:color="auto" w:fill="FFFFFF"/>
        </w:rPr>
        <w:t xml:space="preserve">Campbell </w:t>
      </w:r>
      <w:r w:rsidR="005E03C7">
        <w:rPr>
          <w:color w:val="000000"/>
          <w:shd w:val="clear" w:color="auto" w:fill="FFFFFF"/>
        </w:rPr>
        <w:t>analogous</w:t>
      </w:r>
      <w:r w:rsidR="00F21B0C" w:rsidRPr="009C4279">
        <w:rPr>
          <w:color w:val="000000"/>
          <w:shd w:val="clear" w:color="auto" w:fill="FFFFFF"/>
        </w:rPr>
        <w:t xml:space="preserve">. </w:t>
      </w:r>
      <w:r w:rsidR="00C64036">
        <w:rPr>
          <w:color w:val="000000"/>
          <w:shd w:val="clear" w:color="auto" w:fill="FFFFFF"/>
        </w:rPr>
        <w:t xml:space="preserve"> </w:t>
      </w:r>
      <w:r w:rsidR="005E03C7">
        <w:rPr>
          <w:color w:val="000000"/>
          <w:shd w:val="clear" w:color="auto" w:fill="FFFFFF"/>
        </w:rPr>
        <w:t>N</w:t>
      </w:r>
      <w:r w:rsidR="00F21B0C" w:rsidRPr="009C4279">
        <w:rPr>
          <w:color w:val="000000"/>
          <w:shd w:val="clear" w:color="auto" w:fill="FFFFFF"/>
        </w:rPr>
        <w:t xml:space="preserve">o law </w:t>
      </w:r>
      <w:r w:rsidR="005E03C7" w:rsidRPr="009C4279">
        <w:rPr>
          <w:color w:val="000000"/>
          <w:shd w:val="clear" w:color="auto" w:fill="FFFFFF"/>
        </w:rPr>
        <w:t>governs</w:t>
      </w:r>
      <w:r w:rsidR="00F21B0C" w:rsidRPr="009C4279">
        <w:rPr>
          <w:color w:val="000000"/>
          <w:shd w:val="clear" w:color="auto" w:fill="FFFFFF"/>
        </w:rPr>
        <w:t xml:space="preserve"> the use of surfboard leashes</w:t>
      </w:r>
      <w:r w:rsidR="005E03C7">
        <w:rPr>
          <w:color w:val="000000"/>
          <w:shd w:val="clear" w:color="auto" w:fill="FFFFFF"/>
        </w:rPr>
        <w:t xml:space="preserve">.  No </w:t>
      </w:r>
      <w:r w:rsidR="00F21B0C" w:rsidRPr="009C4279">
        <w:rPr>
          <w:color w:val="000000"/>
          <w:shd w:val="clear" w:color="auto" w:fill="FFFFFF"/>
        </w:rPr>
        <w:t>sign</w:t>
      </w:r>
      <w:r w:rsidR="005E03C7">
        <w:rPr>
          <w:color w:val="000000"/>
          <w:shd w:val="clear" w:color="auto" w:fill="FFFFFF"/>
        </w:rPr>
        <w:t>s</w:t>
      </w:r>
      <w:r w:rsidR="00F21B0C" w:rsidRPr="009C4279">
        <w:rPr>
          <w:color w:val="000000"/>
          <w:shd w:val="clear" w:color="auto" w:fill="FFFFFF"/>
        </w:rPr>
        <w:t xml:space="preserve"> </w:t>
      </w:r>
      <w:r w:rsidR="005E03C7">
        <w:rPr>
          <w:color w:val="000000"/>
          <w:shd w:val="clear" w:color="auto" w:fill="FFFFFF"/>
        </w:rPr>
        <w:t xml:space="preserve">were </w:t>
      </w:r>
      <w:r w:rsidR="00F21B0C" w:rsidRPr="009C4279">
        <w:rPr>
          <w:color w:val="000000"/>
          <w:shd w:val="clear" w:color="auto" w:fill="FFFFFF"/>
        </w:rPr>
        <w:t>posted requiring the</w:t>
      </w:r>
      <w:r w:rsidR="005E03C7">
        <w:rPr>
          <w:color w:val="000000"/>
          <w:shd w:val="clear" w:color="auto" w:fill="FFFFFF"/>
        </w:rPr>
        <w:t>ir</w:t>
      </w:r>
      <w:r w:rsidR="00F21B0C" w:rsidRPr="009C4279">
        <w:rPr>
          <w:color w:val="000000"/>
          <w:shd w:val="clear" w:color="auto" w:fill="FFFFFF"/>
        </w:rPr>
        <w:t xml:space="preserve"> use </w:t>
      </w:r>
      <w:r w:rsidR="005E03C7">
        <w:rPr>
          <w:color w:val="000000"/>
          <w:shd w:val="clear" w:color="auto" w:fill="FFFFFF"/>
        </w:rPr>
        <w:t>at</w:t>
      </w:r>
      <w:r w:rsidR="00F21B0C" w:rsidRPr="009C4279">
        <w:rPr>
          <w:color w:val="000000"/>
          <w:shd w:val="clear" w:color="auto" w:fill="FFFFFF"/>
        </w:rPr>
        <w:t xml:space="preserve"> Miramar Beach. </w:t>
      </w:r>
      <w:r w:rsidR="00C64036">
        <w:rPr>
          <w:color w:val="000000"/>
          <w:shd w:val="clear" w:color="auto" w:fill="FFFFFF"/>
        </w:rPr>
        <w:t xml:space="preserve"> </w:t>
      </w:r>
      <w:r w:rsidR="005E03C7">
        <w:rPr>
          <w:color w:val="000000"/>
          <w:shd w:val="clear" w:color="auto" w:fill="FFFFFF"/>
        </w:rPr>
        <w:t>M</w:t>
      </w:r>
      <w:r w:rsidR="00702517" w:rsidRPr="009C4279">
        <w:rPr>
          <w:color w:val="000000"/>
          <w:shd w:val="clear" w:color="auto" w:fill="FFFFFF"/>
        </w:rPr>
        <w:t xml:space="preserve">ore significantly, </w:t>
      </w:r>
      <w:r w:rsidR="00E6147F">
        <w:rPr>
          <w:color w:val="000000"/>
          <w:shd w:val="clear" w:color="auto" w:fill="FFFFFF"/>
        </w:rPr>
        <w:t xml:space="preserve">appellant does not dispute </w:t>
      </w:r>
      <w:r w:rsidR="00B66984" w:rsidRPr="009C4279">
        <w:rPr>
          <w:color w:val="000000"/>
          <w:shd w:val="clear" w:color="auto" w:fill="FFFFFF"/>
        </w:rPr>
        <w:t>Cairns</w:t>
      </w:r>
      <w:r w:rsidR="00E6147F">
        <w:rPr>
          <w:color w:val="000000"/>
          <w:shd w:val="clear" w:color="auto" w:fill="FFFFFF"/>
        </w:rPr>
        <w:t>’ opinion</w:t>
      </w:r>
      <w:r w:rsidR="00B66984" w:rsidRPr="009C4279">
        <w:rPr>
          <w:color w:val="000000"/>
          <w:shd w:val="clear" w:color="auto" w:fill="FFFFFF"/>
        </w:rPr>
        <w:t xml:space="preserve"> </w:t>
      </w:r>
      <w:r w:rsidR="00E6147F">
        <w:rPr>
          <w:color w:val="000000"/>
          <w:shd w:val="clear" w:color="auto" w:fill="FFFFFF"/>
        </w:rPr>
        <w:t xml:space="preserve">that a </w:t>
      </w:r>
      <w:r w:rsidR="00B66984" w:rsidRPr="009C4279">
        <w:rPr>
          <w:color w:val="000000"/>
          <w:shd w:val="clear" w:color="auto" w:fill="FFFFFF"/>
        </w:rPr>
        <w:t xml:space="preserve">leash </w:t>
      </w:r>
      <w:r w:rsidR="00E6147F">
        <w:rPr>
          <w:color w:val="000000"/>
          <w:shd w:val="clear" w:color="auto" w:fill="FFFFFF"/>
        </w:rPr>
        <w:t xml:space="preserve">can alter the nature of the sport by interfering with </w:t>
      </w:r>
      <w:r w:rsidR="00B66984" w:rsidRPr="009C4279">
        <w:rPr>
          <w:color w:val="000000"/>
          <w:shd w:val="clear" w:color="auto" w:fill="FFFFFF"/>
        </w:rPr>
        <w:t xml:space="preserve">a </w:t>
      </w:r>
      <w:r w:rsidR="00E6147F">
        <w:rPr>
          <w:color w:val="000000"/>
          <w:shd w:val="clear" w:color="auto" w:fill="FFFFFF"/>
        </w:rPr>
        <w:t xml:space="preserve">longboard </w:t>
      </w:r>
      <w:r w:rsidR="00B66984" w:rsidRPr="009C4279">
        <w:rPr>
          <w:color w:val="000000"/>
          <w:shd w:val="clear" w:color="auto" w:fill="FFFFFF"/>
        </w:rPr>
        <w:t xml:space="preserve">surfer’s </w:t>
      </w:r>
      <w:r w:rsidR="00E6147F">
        <w:rPr>
          <w:color w:val="000000"/>
          <w:shd w:val="clear" w:color="auto" w:fill="FFFFFF"/>
        </w:rPr>
        <w:t>“</w:t>
      </w:r>
      <w:r w:rsidR="00B66984" w:rsidRPr="009C4279">
        <w:rPr>
          <w:color w:val="000000"/>
          <w:shd w:val="clear" w:color="auto" w:fill="FFFFFF"/>
        </w:rPr>
        <w:t xml:space="preserve">footwork and speed” and </w:t>
      </w:r>
      <w:r w:rsidR="00E6147F">
        <w:rPr>
          <w:color w:val="000000"/>
          <w:shd w:val="clear" w:color="auto" w:fill="FFFFFF"/>
        </w:rPr>
        <w:t xml:space="preserve">by </w:t>
      </w:r>
      <w:r w:rsidR="00B66984" w:rsidRPr="009C4279">
        <w:rPr>
          <w:color w:val="000000"/>
          <w:shd w:val="clear" w:color="auto" w:fill="FFFFFF"/>
        </w:rPr>
        <w:t>pos</w:t>
      </w:r>
      <w:r w:rsidR="00E6147F">
        <w:rPr>
          <w:color w:val="000000"/>
          <w:shd w:val="clear" w:color="auto" w:fill="FFFFFF"/>
        </w:rPr>
        <w:t>ing</w:t>
      </w:r>
      <w:r w:rsidR="00B66984" w:rsidRPr="009C4279">
        <w:rPr>
          <w:color w:val="000000"/>
          <w:shd w:val="clear" w:color="auto" w:fill="FFFFFF"/>
        </w:rPr>
        <w:t xml:space="preserve"> a tripping hazard to surfer</w:t>
      </w:r>
      <w:r w:rsidR="00E6147F">
        <w:rPr>
          <w:color w:val="000000"/>
          <w:shd w:val="clear" w:color="auto" w:fill="FFFFFF"/>
        </w:rPr>
        <w:t xml:space="preserve">s </w:t>
      </w:r>
      <w:r w:rsidR="00B66984" w:rsidRPr="009C4279">
        <w:rPr>
          <w:color w:val="000000"/>
          <w:shd w:val="clear" w:color="auto" w:fill="FFFFFF"/>
        </w:rPr>
        <w:t xml:space="preserve">who </w:t>
      </w:r>
      <w:r w:rsidR="00E6147F">
        <w:rPr>
          <w:color w:val="000000"/>
          <w:shd w:val="clear" w:color="auto" w:fill="FFFFFF"/>
        </w:rPr>
        <w:t>“</w:t>
      </w:r>
      <w:r w:rsidR="00B66984" w:rsidRPr="009C4279">
        <w:rPr>
          <w:color w:val="000000"/>
          <w:shd w:val="clear" w:color="auto" w:fill="FFFFFF"/>
        </w:rPr>
        <w:t>walk</w:t>
      </w:r>
      <w:r w:rsidR="00E6147F">
        <w:rPr>
          <w:color w:val="000000"/>
          <w:shd w:val="clear" w:color="auto" w:fill="FFFFFF"/>
        </w:rPr>
        <w:t>”</w:t>
      </w:r>
      <w:r w:rsidR="00B66984" w:rsidRPr="009C4279">
        <w:rPr>
          <w:color w:val="000000"/>
          <w:shd w:val="clear" w:color="auto" w:fill="FFFFFF"/>
        </w:rPr>
        <w:t xml:space="preserve"> on the</w:t>
      </w:r>
      <w:r w:rsidR="00E6147F">
        <w:rPr>
          <w:color w:val="000000"/>
          <w:shd w:val="clear" w:color="auto" w:fill="FFFFFF"/>
        </w:rPr>
        <w:t>ir</w:t>
      </w:r>
      <w:r w:rsidR="00B66984" w:rsidRPr="009C4279">
        <w:rPr>
          <w:color w:val="000000"/>
          <w:shd w:val="clear" w:color="auto" w:fill="FFFFFF"/>
        </w:rPr>
        <w:t xml:space="preserve"> board. </w:t>
      </w:r>
      <w:r w:rsidR="00286809">
        <w:rPr>
          <w:color w:val="000000"/>
          <w:shd w:val="clear" w:color="auto" w:fill="FFFFFF"/>
        </w:rPr>
        <w:t xml:space="preserve"> </w:t>
      </w:r>
      <w:r w:rsidR="005F52C5">
        <w:rPr>
          <w:rFonts w:ascii="Source Sans Pro" w:hAnsi="Source Sans Pro"/>
          <w:color w:val="000000"/>
          <w:shd w:val="clear" w:color="auto" w:fill="FFFFFF"/>
        </w:rPr>
        <w:t>(</w:t>
      </w:r>
      <w:r w:rsidR="005F52C5">
        <w:t xml:space="preserve">Cf. </w:t>
      </w:r>
      <w:r w:rsidR="005F52C5" w:rsidRPr="00734A20">
        <w:rPr>
          <w:i/>
          <w:iCs/>
        </w:rPr>
        <w:t>Szarowicz v. Birenbaum</w:t>
      </w:r>
      <w:r w:rsidR="005F52C5">
        <w:t xml:space="preserve"> (2020) 58 Cal.App.5</w:t>
      </w:r>
      <w:r w:rsidR="009D55B1">
        <w:t>th</w:t>
      </w:r>
      <w:r w:rsidR="005F52C5">
        <w:t xml:space="preserve"> 146, 166 [ice hockey expert’s testimony that “open ice check</w:t>
      </w:r>
      <w:r w:rsidR="00A602E3">
        <w:t>[</w:t>
      </w:r>
      <w:r w:rsidR="005F52C5">
        <w:t>ing</w:t>
      </w:r>
      <w:r w:rsidR="00A602E3">
        <w:t>]</w:t>
      </w:r>
      <w:r w:rsidR="005F52C5">
        <w:t>” in a “no</w:t>
      </w:r>
      <w:r w:rsidR="00A602E3">
        <w:t>-</w:t>
      </w:r>
      <w:r w:rsidR="005F52C5">
        <w:t>check” game</w:t>
      </w:r>
      <w:r w:rsidR="009D55B1">
        <w:t xml:space="preserve"> increased the sport’s inherent risks </w:t>
      </w:r>
      <w:r w:rsidR="005F52C5">
        <w:t>raised triable issues of fact to defeat summary judgment].)</w:t>
      </w:r>
    </w:p>
    <w:p w14:paraId="2621224A" w14:textId="72CFA0BA" w:rsidR="00042E54" w:rsidRDefault="00C57AF0" w:rsidP="00C57AF0">
      <w:pPr>
        <w:tabs>
          <w:tab w:val="left" w:pos="1440"/>
          <w:tab w:val="left" w:pos="2880"/>
          <w:tab w:val="left" w:pos="4320"/>
          <w:tab w:val="left" w:pos="5760"/>
          <w:tab w:val="left" w:pos="7200"/>
        </w:tabs>
        <w:ind w:firstLine="720"/>
      </w:pPr>
      <w:r>
        <w:t>Appellant</w:t>
      </w:r>
      <w:r w:rsidR="006642FF">
        <w:t xml:space="preserve">’s expert </w:t>
      </w:r>
      <w:r w:rsidR="00946478">
        <w:t xml:space="preserve">merely </w:t>
      </w:r>
      <w:r w:rsidR="00071135">
        <w:t xml:space="preserve">described </w:t>
      </w:r>
      <w:r w:rsidR="00946478">
        <w:t xml:space="preserve">what could be done to reduce </w:t>
      </w:r>
      <w:r w:rsidR="00071135">
        <w:t xml:space="preserve">the </w:t>
      </w:r>
      <w:r w:rsidR="00946478">
        <w:t>risks</w:t>
      </w:r>
      <w:r w:rsidR="00071135">
        <w:t xml:space="preserve"> inherent in surfing</w:t>
      </w:r>
      <w:r w:rsidR="00946478">
        <w:t xml:space="preserve">. </w:t>
      </w:r>
      <w:r w:rsidR="00C64036">
        <w:t xml:space="preserve"> </w:t>
      </w:r>
      <w:r w:rsidR="00DC2D90">
        <w:t>Showing</w:t>
      </w:r>
      <w:r w:rsidR="007B6BAB">
        <w:t xml:space="preserve"> </w:t>
      </w:r>
      <w:r w:rsidR="00B21891">
        <w:t>respondent</w:t>
      </w:r>
      <w:r w:rsidR="0089048E">
        <w:t xml:space="preserve"> </w:t>
      </w:r>
      <w:r w:rsidR="0089048E" w:rsidRPr="007B6BAB">
        <w:t>could have</w:t>
      </w:r>
      <w:r w:rsidR="0089048E">
        <w:t xml:space="preserve"> </w:t>
      </w:r>
      <w:r w:rsidR="00DC2D90">
        <w:t>acted with more caution does not establish he acted recklessly</w:t>
      </w:r>
      <w:r w:rsidR="0089048E">
        <w:t xml:space="preserve">. </w:t>
      </w:r>
      <w:r w:rsidR="00946478">
        <w:t xml:space="preserve"> </w:t>
      </w:r>
      <w:r w:rsidR="004C2DF0" w:rsidRPr="009456DD">
        <w:t>Reckless</w:t>
      </w:r>
      <w:r w:rsidR="004C2DF0">
        <w:t xml:space="preserve"> conduct is more than “</w:t>
      </w:r>
      <w:r w:rsidR="00376397">
        <w:t>‘“</w:t>
      </w:r>
      <w:r w:rsidR="004C2DF0" w:rsidRPr="009456DD">
        <w:t>inadvertence</w:t>
      </w:r>
      <w:r w:rsidR="00376397">
        <w:t>”’</w:t>
      </w:r>
      <w:r w:rsidR="004C2DF0">
        <w:t>” or “</w:t>
      </w:r>
      <w:r w:rsidR="00376397">
        <w:t>‘“</w:t>
      </w:r>
      <w:r w:rsidR="004C2DF0">
        <w:t xml:space="preserve">a </w:t>
      </w:r>
      <w:r w:rsidR="004C2DF0" w:rsidRPr="009456DD">
        <w:t>failure to take precautions</w:t>
      </w:r>
      <w:r w:rsidR="004C2DF0">
        <w:t>.</w:t>
      </w:r>
      <w:r w:rsidR="00376397">
        <w:t>”’</w:t>
      </w:r>
      <w:r w:rsidR="004C2DF0">
        <w:t>”</w:t>
      </w:r>
      <w:r w:rsidR="00ED343C">
        <w:t xml:space="preserve"> </w:t>
      </w:r>
      <w:r w:rsidR="004C2DF0">
        <w:t xml:space="preserve"> (</w:t>
      </w:r>
      <w:r w:rsidR="004C2DF0" w:rsidRPr="009456DD">
        <w:rPr>
          <w:i/>
          <w:iCs/>
        </w:rPr>
        <w:t>Towns v. Davidson</w:t>
      </w:r>
      <w:r w:rsidR="00037BAB">
        <w:t xml:space="preserve">, </w:t>
      </w:r>
      <w:r w:rsidR="00037BAB">
        <w:rPr>
          <w:i/>
          <w:iCs/>
        </w:rPr>
        <w:t>supra</w:t>
      </w:r>
      <w:r w:rsidR="00037BAB">
        <w:t>,</w:t>
      </w:r>
      <w:r w:rsidR="004C2DF0" w:rsidRPr="009456DD">
        <w:t xml:space="preserve"> 147 Cal.App.4th </w:t>
      </w:r>
      <w:r w:rsidR="00037BAB">
        <w:t>at p.</w:t>
      </w:r>
      <w:r w:rsidR="004C2DF0" w:rsidRPr="009456DD">
        <w:t xml:space="preserve"> 470</w:t>
      </w:r>
      <w:r w:rsidR="004C2DF0">
        <w:t xml:space="preserve">, citing </w:t>
      </w:r>
      <w:r w:rsidR="004C2DF0" w:rsidRPr="009456DD">
        <w:rPr>
          <w:i/>
          <w:iCs/>
        </w:rPr>
        <w:t>Delaney v. Baker</w:t>
      </w:r>
      <w:r w:rsidR="004C2DF0" w:rsidRPr="009456DD">
        <w:t xml:space="preserve"> (1999) 20 Cal.4th </w:t>
      </w:r>
      <w:r w:rsidR="004C2DF0" w:rsidRPr="009456DD">
        <w:lastRenderedPageBreak/>
        <w:t>23, 31</w:t>
      </w:r>
      <w:r w:rsidR="00376397">
        <w:t>-</w:t>
      </w:r>
      <w:r w:rsidR="004C2DF0" w:rsidRPr="009456DD">
        <w:t>32</w:t>
      </w:r>
      <w:r w:rsidR="004C2DF0">
        <w:t xml:space="preserve">.) </w:t>
      </w:r>
      <w:r w:rsidR="00ED343C">
        <w:t xml:space="preserve"> </w:t>
      </w:r>
      <w:r w:rsidR="004C2DF0">
        <w:t>It</w:t>
      </w:r>
      <w:r w:rsidR="004C2DF0" w:rsidRPr="009456DD">
        <w:t xml:space="preserve"> </w:t>
      </w:r>
      <w:r w:rsidR="004C2DF0">
        <w:t>requires</w:t>
      </w:r>
      <w:r w:rsidR="004C2DF0" w:rsidRPr="009456DD">
        <w:t xml:space="preserve"> a </w:t>
      </w:r>
      <w:r w:rsidR="004C2DF0">
        <w:t>“</w:t>
      </w:r>
      <w:r w:rsidR="00376397">
        <w:t>‘“</w:t>
      </w:r>
      <w:r w:rsidR="004C2DF0" w:rsidRPr="009456DD">
        <w:t>deliberate disregard</w:t>
      </w:r>
      <w:r w:rsidR="004C2DF0">
        <w:t>”</w:t>
      </w:r>
      <w:r w:rsidR="004C2DF0" w:rsidRPr="009456DD">
        <w:t xml:space="preserve"> of the </w:t>
      </w:r>
      <w:r w:rsidR="004C2DF0">
        <w:t>“</w:t>
      </w:r>
      <w:r w:rsidR="004C2DF0" w:rsidRPr="009456DD">
        <w:t>high degree of probability</w:t>
      </w:r>
      <w:r w:rsidR="00376397">
        <w:t>”’</w:t>
      </w:r>
      <w:r w:rsidR="004C2DF0">
        <w:t>”</w:t>
      </w:r>
      <w:r w:rsidR="004C2DF0" w:rsidRPr="009456DD">
        <w:t xml:space="preserve"> that an injury will occur.</w:t>
      </w:r>
      <w:r w:rsidR="00ED343C">
        <w:t xml:space="preserve"> </w:t>
      </w:r>
      <w:r w:rsidR="004C2DF0" w:rsidRPr="009456DD">
        <w:t xml:space="preserve"> </w:t>
      </w:r>
      <w:r w:rsidR="004C2DF0">
        <w:t>(</w:t>
      </w:r>
      <w:r w:rsidR="004C2DF0">
        <w:rPr>
          <w:i/>
          <w:iCs/>
        </w:rPr>
        <w:t>I</w:t>
      </w:r>
      <w:r w:rsidR="00376397">
        <w:rPr>
          <w:i/>
          <w:iCs/>
        </w:rPr>
        <w:t>bi</w:t>
      </w:r>
      <w:r w:rsidR="004C2DF0">
        <w:rPr>
          <w:i/>
          <w:iCs/>
        </w:rPr>
        <w:t>d</w:t>
      </w:r>
      <w:r w:rsidR="004C2DF0">
        <w:t xml:space="preserve">.) </w:t>
      </w:r>
      <w:r w:rsidR="00ED343C">
        <w:t xml:space="preserve"> </w:t>
      </w:r>
      <w:r w:rsidR="00681F59">
        <w:t>Although b</w:t>
      </w:r>
      <w:r w:rsidR="00094F20">
        <w:t xml:space="preserve">oth </w:t>
      </w:r>
      <w:r w:rsidR="007F5587">
        <w:t xml:space="preserve">experts acknowledged </w:t>
      </w:r>
      <w:r w:rsidR="00B21891">
        <w:t>respondent</w:t>
      </w:r>
      <w:r w:rsidR="004E7BD1">
        <w:t xml:space="preserve"> may not have followed</w:t>
      </w:r>
      <w:r w:rsidR="007B6BAB">
        <w:t xml:space="preserve"> the rules of etiquette,</w:t>
      </w:r>
      <w:r w:rsidR="008F155E">
        <w:t xml:space="preserve"> </w:t>
      </w:r>
      <w:r w:rsidR="00681F59">
        <w:t>we are</w:t>
      </w:r>
      <w:r w:rsidR="007F5587">
        <w:t xml:space="preserve"> wary </w:t>
      </w:r>
      <w:r w:rsidR="007B6BAB">
        <w:t xml:space="preserve">of </w:t>
      </w:r>
      <w:r w:rsidR="007F5587">
        <w:t>rely</w:t>
      </w:r>
      <w:r w:rsidR="007B6BAB">
        <w:t>ing</w:t>
      </w:r>
      <w:r w:rsidR="007F5587">
        <w:t xml:space="preserve"> too heavily on </w:t>
      </w:r>
      <w:r w:rsidR="00094F20">
        <w:t>such guidelines</w:t>
      </w:r>
      <w:r w:rsidR="007F5587">
        <w:t xml:space="preserve"> </w:t>
      </w:r>
      <w:r w:rsidR="007B6BAB">
        <w:t xml:space="preserve">when defining the scope of an activity’s </w:t>
      </w:r>
      <w:r w:rsidR="007F5587">
        <w:t>inherent risk</w:t>
      </w:r>
      <w:r w:rsidR="007B6BAB">
        <w:t>s</w:t>
      </w:r>
      <w:r w:rsidR="007F5587">
        <w:t xml:space="preserve">. </w:t>
      </w:r>
      <w:r w:rsidR="00ED343C">
        <w:t xml:space="preserve"> </w:t>
      </w:r>
      <w:r w:rsidR="007F5587">
        <w:t>(</w:t>
      </w:r>
      <w:r w:rsidR="00681F59">
        <w:t>See</w:t>
      </w:r>
      <w:r w:rsidR="007B6BAB">
        <w:t>, e.g.,</w:t>
      </w:r>
      <w:r w:rsidR="00681F59">
        <w:t xml:space="preserve"> </w:t>
      </w:r>
      <w:r w:rsidR="007F5587">
        <w:rPr>
          <w:i/>
          <w:iCs/>
        </w:rPr>
        <w:t>Shin</w:t>
      </w:r>
      <w:r w:rsidR="00376397">
        <w:t xml:space="preserve">, </w:t>
      </w:r>
      <w:r w:rsidR="00376397">
        <w:rPr>
          <w:i/>
          <w:iCs/>
        </w:rPr>
        <w:t>supra</w:t>
      </w:r>
      <w:r w:rsidR="00376397">
        <w:t xml:space="preserve">, </w:t>
      </w:r>
      <w:r w:rsidR="007F5587">
        <w:t xml:space="preserve">42 Cal.4th </w:t>
      </w:r>
      <w:r w:rsidR="00376397">
        <w:t>at p.</w:t>
      </w:r>
      <w:r w:rsidR="007F5587">
        <w:t xml:space="preserve"> 497</w:t>
      </w:r>
      <w:r w:rsidR="005143C8">
        <w:t>, fn. 9</w:t>
      </w:r>
      <w:r w:rsidR="007F5587">
        <w:t xml:space="preserve"> </w:t>
      </w:r>
      <w:r w:rsidR="007F5587" w:rsidRPr="009C4279">
        <w:t>[</w:t>
      </w:r>
      <w:r w:rsidR="00CD1ECA">
        <w:t xml:space="preserve">failure to </w:t>
      </w:r>
      <w:r w:rsidR="00CD1ECA" w:rsidRPr="007B6BAB">
        <w:t xml:space="preserve">follow </w:t>
      </w:r>
      <w:r w:rsidR="00BA1D18" w:rsidRPr="001B37B3">
        <w:rPr>
          <w:szCs w:val="26"/>
          <w:shd w:val="clear" w:color="auto" w:fill="FFFFFF"/>
        </w:rPr>
        <w:t>golf</w:t>
      </w:r>
      <w:r w:rsidR="00734A20" w:rsidRPr="001B37B3">
        <w:rPr>
          <w:szCs w:val="26"/>
          <w:shd w:val="clear" w:color="auto" w:fill="FFFFFF"/>
        </w:rPr>
        <w:t xml:space="preserve"> etiquette</w:t>
      </w:r>
      <w:r w:rsidR="00C64036" w:rsidRPr="001B37B3">
        <w:rPr>
          <w:szCs w:val="26"/>
          <w:shd w:val="clear" w:color="auto" w:fill="FFFFFF"/>
        </w:rPr>
        <w:t xml:space="preserve"> </w:t>
      </w:r>
      <w:r w:rsidR="00BA1D18" w:rsidRPr="001B37B3">
        <w:rPr>
          <w:szCs w:val="26"/>
          <w:shd w:val="clear" w:color="auto" w:fill="FFFFFF"/>
        </w:rPr>
        <w:t>of yelling “fore” to minimize chance of hitting other golfers with ball does not justify imposing liability].)</w:t>
      </w:r>
      <w:r w:rsidR="007F5587" w:rsidRPr="007B6BAB">
        <w:t xml:space="preserve">  </w:t>
      </w:r>
    </w:p>
    <w:p w14:paraId="78C47620" w14:textId="2B2E038B" w:rsidR="00536863" w:rsidRDefault="00681F59" w:rsidP="00C57AF0">
      <w:pPr>
        <w:tabs>
          <w:tab w:val="left" w:pos="1440"/>
          <w:tab w:val="left" w:pos="2880"/>
          <w:tab w:val="left" w:pos="4320"/>
          <w:tab w:val="left" w:pos="5760"/>
          <w:tab w:val="left" w:pos="7200"/>
        </w:tabs>
        <w:ind w:firstLine="720"/>
      </w:pPr>
      <w:r>
        <w:t>The</w:t>
      </w:r>
      <w:r w:rsidR="00094F20">
        <w:t xml:space="preserve"> </w:t>
      </w:r>
      <w:r w:rsidR="00042E54">
        <w:t xml:space="preserve">undisputed </w:t>
      </w:r>
      <w:r w:rsidR="007F5587">
        <w:t xml:space="preserve">evidence </w:t>
      </w:r>
      <w:r>
        <w:t xml:space="preserve">here </w:t>
      </w:r>
      <w:r w:rsidR="006307B7">
        <w:t>showed</w:t>
      </w:r>
      <w:r w:rsidR="007F5587">
        <w:t xml:space="preserve"> that failure to follow the rules of etiquette is </w:t>
      </w:r>
      <w:r w:rsidR="00221D50">
        <w:t>common</w:t>
      </w:r>
      <w:r w:rsidR="007F5587">
        <w:t xml:space="preserve"> in the surfing community</w:t>
      </w:r>
      <w:r w:rsidR="004C2DF0">
        <w:t xml:space="preserve">. </w:t>
      </w:r>
      <w:r w:rsidR="00ED343C">
        <w:t xml:space="preserve"> </w:t>
      </w:r>
      <w:r w:rsidR="007B6BAB">
        <w:t>A</w:t>
      </w:r>
      <w:r w:rsidR="00C57AF0">
        <w:t>ppellant</w:t>
      </w:r>
      <w:r w:rsidR="00536863">
        <w:t xml:space="preserve"> admitted: </w:t>
      </w:r>
      <w:r w:rsidR="00972FC1">
        <w:t xml:space="preserve"> </w:t>
      </w:r>
      <w:r w:rsidR="00536863">
        <w:t xml:space="preserve">(1) he has witnessed other surfers riding a longboard without a leash; (2) a leash could obstruct some movement of an advanced surfer; (3) he has witnessed prior collisions between surfers; (4) he has witnessed another surfer failing to maintain control of their board; and (5) he personally has had surfers “drop-in” or “shoulder-hop” on his wave. </w:t>
      </w:r>
      <w:r w:rsidR="00286809">
        <w:t xml:space="preserve"> </w:t>
      </w:r>
      <w:r w:rsidR="00B21891">
        <w:t>Respondent</w:t>
      </w:r>
      <w:r w:rsidR="00762D09">
        <w:t xml:space="preserve">’s </w:t>
      </w:r>
      <w:r w:rsidR="007B6BAB">
        <w:t xml:space="preserve">similar </w:t>
      </w:r>
      <w:r w:rsidR="00762D09">
        <w:t>conduct</w:t>
      </w:r>
      <w:r w:rsidR="007B6BAB">
        <w:t>, it follows,</w:t>
      </w:r>
      <w:r w:rsidR="00762D09">
        <w:t xml:space="preserve"> </w:t>
      </w:r>
      <w:r w:rsidR="007B6BAB">
        <w:t>was not</w:t>
      </w:r>
      <w:r w:rsidR="00094F20">
        <w:t xml:space="preserve"> </w:t>
      </w:r>
      <w:r w:rsidR="00071135">
        <w:t xml:space="preserve">reckless or outside the range of the ordinary activity in surfing. </w:t>
      </w:r>
    </w:p>
    <w:p w14:paraId="26746446" w14:textId="59D79476" w:rsidR="00F975E3" w:rsidRPr="004E34FC" w:rsidRDefault="00ED343C" w:rsidP="00C57AF0">
      <w:pPr>
        <w:tabs>
          <w:tab w:val="left" w:pos="1440"/>
          <w:tab w:val="left" w:pos="2880"/>
          <w:tab w:val="left" w:pos="4320"/>
          <w:tab w:val="left" w:pos="5760"/>
          <w:tab w:val="left" w:pos="7200"/>
        </w:tabs>
        <w:ind w:firstLine="720"/>
      </w:pPr>
      <w:r w:rsidRPr="00F55AD1">
        <w:t>“</w:t>
      </w:r>
      <w:r>
        <w:t>‘</w:t>
      </w:r>
      <w:r w:rsidR="00F55AD1" w:rsidRPr="00F55AD1">
        <w:t>By eliminating liability for unintended accidents, the doctrine [of primary assumption of the risk] ensures that the fervor of athletic competition will not be chilled by the constant threat of litigation from every misstep, sharp turn and sudden stop.</w:t>
      </w:r>
      <w:r w:rsidR="00F55AD1">
        <w:t>’ [Citation].”</w:t>
      </w:r>
      <w:r>
        <w:t xml:space="preserve"> </w:t>
      </w:r>
      <w:r w:rsidR="00F55AD1">
        <w:t xml:space="preserve"> (</w:t>
      </w:r>
      <w:r w:rsidR="00F55AD1" w:rsidRPr="00F55AD1">
        <w:rPr>
          <w:i/>
          <w:iCs/>
        </w:rPr>
        <w:t>Cheong</w:t>
      </w:r>
      <w:r w:rsidR="00F55AD1">
        <w:t xml:space="preserve">, </w:t>
      </w:r>
      <w:r w:rsidR="00F55AD1">
        <w:rPr>
          <w:i/>
          <w:iCs/>
        </w:rPr>
        <w:t>supra</w:t>
      </w:r>
      <w:r w:rsidR="00F55AD1">
        <w:t>,</w:t>
      </w:r>
      <w:r w:rsidR="00F55AD1">
        <w:rPr>
          <w:i/>
          <w:iCs/>
        </w:rPr>
        <w:t xml:space="preserve"> </w:t>
      </w:r>
      <w:r w:rsidR="00F55AD1" w:rsidRPr="00F55AD1">
        <w:t xml:space="preserve">16 Cal.4th </w:t>
      </w:r>
      <w:r w:rsidR="00F55AD1">
        <w:t>at pp.</w:t>
      </w:r>
      <w:r w:rsidR="00F55AD1" w:rsidRPr="00F55AD1">
        <w:t>1071</w:t>
      </w:r>
      <w:r w:rsidR="00376397">
        <w:t>-</w:t>
      </w:r>
      <w:r w:rsidR="00F55AD1" w:rsidRPr="00F55AD1">
        <w:t>1072</w:t>
      </w:r>
      <w:r w:rsidR="00F55AD1">
        <w:t xml:space="preserve">.) </w:t>
      </w:r>
      <w:r w:rsidR="00681F59">
        <w:t xml:space="preserve"> </w:t>
      </w:r>
      <w:r w:rsidR="00762D09">
        <w:t>No</w:t>
      </w:r>
      <w:r w:rsidR="00681F59">
        <w:t xml:space="preserve"> trier of fact could reasonably find that </w:t>
      </w:r>
      <w:r w:rsidR="00B21891">
        <w:t>respondent</w:t>
      </w:r>
      <w:r w:rsidR="00681F59">
        <w:t xml:space="preserve">’s conduct fell outside of the protection of the primary assumption of risk doctrine.  </w:t>
      </w:r>
      <w:r w:rsidR="00042E54">
        <w:t>V</w:t>
      </w:r>
      <w:r w:rsidR="00AE7FD7">
        <w:t>igorous participation</w:t>
      </w:r>
      <w:r w:rsidR="007C32E2">
        <w:t xml:space="preserve"> in surfing </w:t>
      </w:r>
      <w:r w:rsidR="00042E54">
        <w:t>“</w:t>
      </w:r>
      <w:r w:rsidR="007C32E2">
        <w:t>likely would be chilled if legal liability were to be imposed</w:t>
      </w:r>
      <w:r w:rsidR="00E01182">
        <w:t xml:space="preserve">” </w:t>
      </w:r>
      <w:r w:rsidR="006307B7">
        <w:t xml:space="preserve">in these circumstances. </w:t>
      </w:r>
      <w:r w:rsidR="00EB21D9">
        <w:t xml:space="preserve"> </w:t>
      </w:r>
      <w:r w:rsidR="004E34FC">
        <w:t>(</w:t>
      </w:r>
      <w:r w:rsidR="004E34FC">
        <w:rPr>
          <w:i/>
          <w:iCs/>
        </w:rPr>
        <w:t>Knight</w:t>
      </w:r>
      <w:r w:rsidR="004E34FC">
        <w:t xml:space="preserve">, </w:t>
      </w:r>
      <w:r w:rsidR="004E34FC">
        <w:rPr>
          <w:i/>
          <w:iCs/>
        </w:rPr>
        <w:t>supra</w:t>
      </w:r>
      <w:r w:rsidR="004E34FC">
        <w:t>,</w:t>
      </w:r>
      <w:r w:rsidR="00376397">
        <w:t xml:space="preserve"> 3 Cal.4th</w:t>
      </w:r>
      <w:r w:rsidR="004E34FC">
        <w:t xml:space="preserve"> at p. 318.)</w:t>
      </w:r>
      <w:r w:rsidR="00A16C99">
        <w:t xml:space="preserve"> </w:t>
      </w:r>
      <w:r>
        <w:t xml:space="preserve"> </w:t>
      </w:r>
    </w:p>
    <w:p w14:paraId="13ABC9D3" w14:textId="62EE4F8E" w:rsidR="0000191B" w:rsidRDefault="00763B2B" w:rsidP="00403501">
      <w:pPr>
        <w:keepNext/>
        <w:tabs>
          <w:tab w:val="left" w:pos="1440"/>
          <w:tab w:val="left" w:pos="2880"/>
          <w:tab w:val="left" w:pos="4320"/>
          <w:tab w:val="left" w:pos="5760"/>
          <w:tab w:val="left" w:pos="7200"/>
        </w:tabs>
        <w:jc w:val="center"/>
      </w:pPr>
      <w:r>
        <w:lastRenderedPageBreak/>
        <w:t>DISPOSITION</w:t>
      </w:r>
    </w:p>
    <w:p w14:paraId="406A5149" w14:textId="0EAA88CC" w:rsidR="000F72D5" w:rsidRDefault="00763B2B" w:rsidP="004F3D39">
      <w:pPr>
        <w:tabs>
          <w:tab w:val="left" w:pos="1440"/>
          <w:tab w:val="left" w:pos="2880"/>
          <w:tab w:val="left" w:pos="4320"/>
          <w:tab w:val="left" w:pos="5760"/>
          <w:tab w:val="left" w:pos="7200"/>
        </w:tabs>
        <w:ind w:firstLine="720"/>
      </w:pPr>
      <w:r>
        <w:t>Judgment is affirmed</w:t>
      </w:r>
      <w:r w:rsidR="000F72D5">
        <w:t>.</w:t>
      </w:r>
      <w:r>
        <w:t xml:space="preserve"> </w:t>
      </w:r>
      <w:r w:rsidR="00EB21D9">
        <w:t xml:space="preserve"> </w:t>
      </w:r>
      <w:r w:rsidR="006E0C65">
        <w:t>R</w:t>
      </w:r>
      <w:r>
        <w:t xml:space="preserve">espondent shall recover </w:t>
      </w:r>
      <w:r w:rsidR="00AC2390">
        <w:t>his</w:t>
      </w:r>
      <w:r>
        <w:t xml:space="preserve"> costs on appeal.</w:t>
      </w:r>
      <w:r w:rsidR="00ED343C">
        <w:t xml:space="preserve">  </w:t>
      </w:r>
    </w:p>
    <w:p w14:paraId="49BD28BF" w14:textId="5AB5F1CC" w:rsidR="00B34D64" w:rsidRPr="00B34D64" w:rsidRDefault="00AC2390" w:rsidP="00AC2390">
      <w:pPr>
        <w:tabs>
          <w:tab w:val="left" w:pos="720"/>
          <w:tab w:val="left" w:pos="1440"/>
          <w:tab w:val="left" w:pos="2880"/>
          <w:tab w:val="left" w:pos="4320"/>
          <w:tab w:val="left" w:pos="5760"/>
          <w:tab w:val="left" w:pos="7200"/>
        </w:tabs>
        <w:rPr>
          <w:u w:val="single"/>
        </w:rPr>
      </w:pPr>
      <w:r>
        <w:tab/>
      </w:r>
      <w:r w:rsidR="00A602E3">
        <w:rPr>
          <w:u w:val="single"/>
        </w:rPr>
        <w:t>CERTIFIED FOR PUBLICATION</w:t>
      </w:r>
      <w:r w:rsidR="00B34D64">
        <w:rPr>
          <w:u w:val="single"/>
        </w:rPr>
        <w:t>.</w:t>
      </w:r>
    </w:p>
    <w:p w14:paraId="78D10F4F" w14:textId="77777777" w:rsidR="0064322B" w:rsidRDefault="0064322B" w:rsidP="008629E1">
      <w:pPr>
        <w:tabs>
          <w:tab w:val="left" w:pos="720"/>
          <w:tab w:val="left" w:pos="1440"/>
          <w:tab w:val="left" w:pos="2880"/>
          <w:tab w:val="left" w:pos="4320"/>
          <w:tab w:val="left" w:pos="5760"/>
          <w:tab w:val="left" w:pos="7200"/>
        </w:tabs>
        <w:spacing w:line="240" w:lineRule="auto"/>
      </w:pPr>
    </w:p>
    <w:p w14:paraId="0745476F" w14:textId="77777777" w:rsidR="005164CA" w:rsidRDefault="005164CA" w:rsidP="008629E1">
      <w:pPr>
        <w:tabs>
          <w:tab w:val="left" w:pos="720"/>
          <w:tab w:val="left" w:pos="2880"/>
          <w:tab w:val="left" w:pos="4320"/>
          <w:tab w:val="left" w:pos="5760"/>
          <w:tab w:val="left" w:pos="7200"/>
        </w:tabs>
        <w:spacing w:line="240" w:lineRule="auto"/>
        <w:ind w:left="4320"/>
      </w:pPr>
    </w:p>
    <w:p w14:paraId="2D6D0B8E" w14:textId="77777777" w:rsidR="008629E1" w:rsidRDefault="008629E1" w:rsidP="008629E1">
      <w:pPr>
        <w:tabs>
          <w:tab w:val="left" w:pos="720"/>
          <w:tab w:val="left" w:pos="2880"/>
          <w:tab w:val="left" w:pos="4320"/>
          <w:tab w:val="left" w:pos="5760"/>
          <w:tab w:val="left" w:pos="7200"/>
        </w:tabs>
        <w:spacing w:line="240" w:lineRule="auto"/>
        <w:ind w:left="4320"/>
      </w:pPr>
    </w:p>
    <w:p w14:paraId="109609C2" w14:textId="77777777" w:rsidR="008629E1" w:rsidRDefault="008629E1" w:rsidP="008629E1">
      <w:pPr>
        <w:tabs>
          <w:tab w:val="left" w:pos="720"/>
          <w:tab w:val="left" w:pos="2880"/>
          <w:tab w:val="left" w:pos="4320"/>
          <w:tab w:val="left" w:pos="5760"/>
          <w:tab w:val="left" w:pos="7200"/>
        </w:tabs>
        <w:spacing w:line="240" w:lineRule="auto"/>
        <w:ind w:left="4320"/>
      </w:pPr>
    </w:p>
    <w:p w14:paraId="07D21903" w14:textId="1D239A80" w:rsidR="00B34D64" w:rsidRDefault="00C50E21" w:rsidP="008629E1">
      <w:pPr>
        <w:tabs>
          <w:tab w:val="left" w:pos="720"/>
          <w:tab w:val="left" w:pos="2880"/>
          <w:tab w:val="left" w:pos="4320"/>
          <w:tab w:val="left" w:pos="5760"/>
          <w:tab w:val="left" w:pos="7200"/>
        </w:tabs>
        <w:spacing w:line="240" w:lineRule="auto"/>
        <w:ind w:left="4320"/>
      </w:pPr>
      <w:r>
        <w:t>CODY</w:t>
      </w:r>
      <w:r w:rsidR="00B34D64">
        <w:t>, J.</w:t>
      </w:r>
    </w:p>
    <w:p w14:paraId="22163799" w14:textId="77777777" w:rsidR="00B34D64" w:rsidRDefault="00B34D64" w:rsidP="008629E1">
      <w:pPr>
        <w:tabs>
          <w:tab w:val="left" w:pos="720"/>
          <w:tab w:val="left" w:pos="2880"/>
          <w:tab w:val="left" w:pos="4320"/>
          <w:tab w:val="left" w:pos="5760"/>
          <w:tab w:val="left" w:pos="7200"/>
        </w:tabs>
        <w:spacing w:line="240" w:lineRule="auto"/>
        <w:ind w:left="4320"/>
      </w:pPr>
    </w:p>
    <w:p w14:paraId="1BD8D610" w14:textId="77777777" w:rsidR="00037BAB" w:rsidRDefault="00037BAB" w:rsidP="008629E1">
      <w:pPr>
        <w:tabs>
          <w:tab w:val="left" w:pos="720"/>
          <w:tab w:val="left" w:pos="2880"/>
          <w:tab w:val="left" w:pos="4320"/>
          <w:tab w:val="left" w:pos="5760"/>
          <w:tab w:val="left" w:pos="7200"/>
        </w:tabs>
        <w:spacing w:line="240" w:lineRule="auto"/>
        <w:ind w:left="4320"/>
      </w:pPr>
    </w:p>
    <w:p w14:paraId="495FA234" w14:textId="77777777" w:rsidR="00B34D64" w:rsidRDefault="00B34D64" w:rsidP="008629E1">
      <w:pPr>
        <w:tabs>
          <w:tab w:val="left" w:pos="720"/>
          <w:tab w:val="left" w:pos="2880"/>
          <w:tab w:val="left" w:pos="4320"/>
          <w:tab w:val="left" w:pos="5760"/>
          <w:tab w:val="left" w:pos="7200"/>
        </w:tabs>
        <w:spacing w:line="240" w:lineRule="auto"/>
      </w:pPr>
      <w:r>
        <w:t>We concur:</w:t>
      </w:r>
    </w:p>
    <w:p w14:paraId="74DE7283" w14:textId="77777777" w:rsidR="00B34D64" w:rsidRDefault="00B34D64" w:rsidP="008629E1">
      <w:pPr>
        <w:tabs>
          <w:tab w:val="left" w:pos="720"/>
          <w:tab w:val="left" w:pos="2880"/>
          <w:tab w:val="left" w:pos="4320"/>
          <w:tab w:val="left" w:pos="5760"/>
          <w:tab w:val="left" w:pos="7200"/>
        </w:tabs>
        <w:spacing w:line="240" w:lineRule="auto"/>
      </w:pPr>
    </w:p>
    <w:p w14:paraId="14DC12B0" w14:textId="77777777" w:rsidR="005164CA" w:rsidRDefault="005164CA" w:rsidP="008629E1">
      <w:pPr>
        <w:tabs>
          <w:tab w:val="left" w:pos="720"/>
          <w:tab w:val="left" w:pos="2880"/>
          <w:tab w:val="left" w:pos="4320"/>
          <w:tab w:val="left" w:pos="5760"/>
          <w:tab w:val="left" w:pos="7200"/>
        </w:tabs>
        <w:spacing w:line="240" w:lineRule="auto"/>
      </w:pPr>
    </w:p>
    <w:p w14:paraId="682B8702" w14:textId="77777777" w:rsidR="008629E1" w:rsidRDefault="008629E1" w:rsidP="008629E1">
      <w:pPr>
        <w:tabs>
          <w:tab w:val="left" w:pos="720"/>
          <w:tab w:val="left" w:pos="2880"/>
          <w:tab w:val="left" w:pos="4320"/>
          <w:tab w:val="left" w:pos="5760"/>
          <w:tab w:val="left" w:pos="7200"/>
        </w:tabs>
        <w:spacing w:line="240" w:lineRule="auto"/>
      </w:pPr>
    </w:p>
    <w:p w14:paraId="70DE36DC" w14:textId="77777777" w:rsidR="00455C34" w:rsidRDefault="00AC2390" w:rsidP="008629E1">
      <w:pPr>
        <w:tabs>
          <w:tab w:val="left" w:pos="720"/>
          <w:tab w:val="left" w:pos="2880"/>
          <w:tab w:val="left" w:pos="4320"/>
          <w:tab w:val="left" w:pos="5760"/>
          <w:tab w:val="left" w:pos="7200"/>
        </w:tabs>
        <w:spacing w:line="240" w:lineRule="auto"/>
      </w:pPr>
      <w:r>
        <w:tab/>
      </w:r>
      <w:r w:rsidR="00B34D64">
        <w:t>GILBERT, P. J.</w:t>
      </w:r>
      <w:r w:rsidR="00BD7C0A">
        <w:tab/>
      </w:r>
      <w:r w:rsidR="00BD7C0A">
        <w:tab/>
      </w:r>
    </w:p>
    <w:p w14:paraId="433323A6" w14:textId="77777777" w:rsidR="00455C34" w:rsidRDefault="00455C34" w:rsidP="008629E1">
      <w:pPr>
        <w:tabs>
          <w:tab w:val="left" w:pos="720"/>
          <w:tab w:val="left" w:pos="2880"/>
          <w:tab w:val="left" w:pos="4320"/>
          <w:tab w:val="left" w:pos="5760"/>
          <w:tab w:val="left" w:pos="7200"/>
        </w:tabs>
        <w:spacing w:line="240" w:lineRule="auto"/>
      </w:pPr>
    </w:p>
    <w:p w14:paraId="32A28724" w14:textId="77777777" w:rsidR="00455C34" w:rsidRDefault="00455C34" w:rsidP="008629E1">
      <w:pPr>
        <w:tabs>
          <w:tab w:val="left" w:pos="720"/>
          <w:tab w:val="left" w:pos="2880"/>
          <w:tab w:val="left" w:pos="4320"/>
          <w:tab w:val="left" w:pos="5760"/>
          <w:tab w:val="left" w:pos="7200"/>
        </w:tabs>
        <w:spacing w:line="240" w:lineRule="auto"/>
      </w:pPr>
    </w:p>
    <w:p w14:paraId="1B858DFD" w14:textId="77777777" w:rsidR="00455C34" w:rsidRDefault="00455C34" w:rsidP="008629E1">
      <w:pPr>
        <w:tabs>
          <w:tab w:val="left" w:pos="720"/>
          <w:tab w:val="left" w:pos="2880"/>
          <w:tab w:val="left" w:pos="4320"/>
          <w:tab w:val="left" w:pos="5760"/>
          <w:tab w:val="left" w:pos="7200"/>
        </w:tabs>
        <w:spacing w:line="240" w:lineRule="auto"/>
      </w:pPr>
    </w:p>
    <w:p w14:paraId="2FD7B5DA" w14:textId="61E6E51E" w:rsidR="005164CA" w:rsidRDefault="00455C34" w:rsidP="00734A20">
      <w:pPr>
        <w:tabs>
          <w:tab w:val="left" w:pos="720"/>
          <w:tab w:val="left" w:pos="2880"/>
          <w:tab w:val="left" w:pos="4320"/>
          <w:tab w:val="left" w:pos="5760"/>
          <w:tab w:val="left" w:pos="7200"/>
        </w:tabs>
        <w:spacing w:line="240" w:lineRule="auto"/>
      </w:pPr>
      <w:r>
        <w:tab/>
      </w:r>
      <w:r w:rsidR="005164CA">
        <w:t>YEGAN, J.</w:t>
      </w:r>
      <w:r w:rsidR="00734A20">
        <w:t xml:space="preserve">  </w:t>
      </w:r>
    </w:p>
    <w:p w14:paraId="01682E96" w14:textId="3277F4E1" w:rsidR="0064322B" w:rsidRDefault="005164CA" w:rsidP="00AC2390">
      <w:pPr>
        <w:tabs>
          <w:tab w:val="left" w:pos="1440"/>
          <w:tab w:val="left" w:pos="2880"/>
          <w:tab w:val="left" w:pos="4320"/>
          <w:tab w:val="left" w:pos="5760"/>
          <w:tab w:val="left" w:pos="7200"/>
        </w:tabs>
        <w:jc w:val="center"/>
      </w:pPr>
      <w:r>
        <w:br w:type="page"/>
      </w:r>
      <w:r w:rsidR="0098122E">
        <w:lastRenderedPageBreak/>
        <w:t>Hon. Donna D. Geck</w:t>
      </w:r>
      <w:r w:rsidR="0064322B">
        <w:t>, Judge</w:t>
      </w:r>
    </w:p>
    <w:p w14:paraId="0607B72B" w14:textId="30EFC996" w:rsidR="0064322B" w:rsidRDefault="0064322B" w:rsidP="00AC2390">
      <w:pPr>
        <w:tabs>
          <w:tab w:val="left" w:pos="1440"/>
          <w:tab w:val="left" w:pos="2880"/>
          <w:tab w:val="left" w:pos="4320"/>
          <w:tab w:val="left" w:pos="5760"/>
          <w:tab w:val="left" w:pos="7200"/>
        </w:tabs>
        <w:jc w:val="center"/>
      </w:pPr>
      <w:r>
        <w:t xml:space="preserve">Superior Court County of </w:t>
      </w:r>
      <w:r w:rsidR="0098122E">
        <w:t>Santa Barbara</w:t>
      </w:r>
    </w:p>
    <w:p w14:paraId="09F583F3" w14:textId="794E1BAE" w:rsidR="00AC2390" w:rsidRDefault="00AC2390" w:rsidP="00AC2390">
      <w:pPr>
        <w:tabs>
          <w:tab w:val="left" w:pos="1440"/>
          <w:tab w:val="left" w:pos="2880"/>
          <w:tab w:val="left" w:pos="4320"/>
          <w:tab w:val="left" w:pos="5760"/>
          <w:tab w:val="left" w:pos="7200"/>
        </w:tabs>
        <w:jc w:val="center"/>
      </w:pPr>
      <w:r>
        <w:t>________________________________________</w:t>
      </w:r>
    </w:p>
    <w:p w14:paraId="710A9DCF" w14:textId="77777777" w:rsidR="0064322B" w:rsidRDefault="0064322B" w:rsidP="00AC2390">
      <w:pPr>
        <w:tabs>
          <w:tab w:val="left" w:pos="1440"/>
          <w:tab w:val="left" w:pos="2880"/>
          <w:tab w:val="left" w:pos="4320"/>
          <w:tab w:val="left" w:pos="5760"/>
          <w:tab w:val="left" w:pos="7200"/>
        </w:tabs>
        <w:jc w:val="center"/>
      </w:pPr>
    </w:p>
    <w:p w14:paraId="3F5504B3" w14:textId="76ED8A38" w:rsidR="0064322B" w:rsidRDefault="00221D50" w:rsidP="00112B4A">
      <w:pPr>
        <w:tabs>
          <w:tab w:val="left" w:pos="1440"/>
          <w:tab w:val="left" w:pos="2880"/>
          <w:tab w:val="left" w:pos="4320"/>
          <w:tab w:val="left" w:pos="5760"/>
          <w:tab w:val="left" w:pos="7200"/>
        </w:tabs>
        <w:ind w:firstLine="720"/>
      </w:pPr>
      <w:r>
        <w:t>Law Office of Eric A. Woosley</w:t>
      </w:r>
      <w:r w:rsidR="0064322B">
        <w:t xml:space="preserve">, </w:t>
      </w:r>
      <w:r>
        <w:t>Eric A. Woosley</w:t>
      </w:r>
      <w:r w:rsidR="00376397">
        <w:t>;</w:t>
      </w:r>
      <w:r>
        <w:t xml:space="preserve"> The Law Offices of Bradford D. Brown, Bradford D. Brown, </w:t>
      </w:r>
      <w:r w:rsidR="0064322B">
        <w:t>for Plaintiff and Appellant</w:t>
      </w:r>
      <w:r>
        <w:t>.</w:t>
      </w:r>
    </w:p>
    <w:p w14:paraId="3BA217E0" w14:textId="2390D199" w:rsidR="0064322B" w:rsidRDefault="00221D50" w:rsidP="00112B4A">
      <w:pPr>
        <w:tabs>
          <w:tab w:val="left" w:pos="1440"/>
          <w:tab w:val="left" w:pos="2880"/>
          <w:tab w:val="left" w:pos="4320"/>
          <w:tab w:val="left" w:pos="5760"/>
          <w:tab w:val="left" w:pos="7200"/>
        </w:tabs>
        <w:ind w:firstLine="720"/>
      </w:pPr>
      <w:r>
        <w:t>Freeman Mathis &amp; Gary, Albert K. Alikin, Christian E. Foy Nagy, and Christopher J. Fleissner,</w:t>
      </w:r>
      <w:r w:rsidR="00C50E21">
        <w:t xml:space="preserve"> for</w:t>
      </w:r>
      <w:r w:rsidR="00FE0588">
        <w:t xml:space="preserve"> Defendant and Respondent.</w:t>
      </w:r>
    </w:p>
    <w:p w14:paraId="678C0DC1" w14:textId="78C42D8F" w:rsidR="00FE0588" w:rsidRPr="006C7D8D" w:rsidRDefault="00FE0588" w:rsidP="00221D50">
      <w:pPr>
        <w:tabs>
          <w:tab w:val="left" w:pos="1440"/>
          <w:tab w:val="left" w:pos="2880"/>
          <w:tab w:val="left" w:pos="4320"/>
          <w:tab w:val="left" w:pos="5760"/>
          <w:tab w:val="left" w:pos="7200"/>
        </w:tabs>
      </w:pPr>
    </w:p>
    <w:sectPr w:rsidR="00FE0588" w:rsidRPr="006C7D8D" w:rsidSect="00286809">
      <w:headerReference w:type="even" r:id="rId6"/>
      <w:headerReference w:type="default" r:id="rId7"/>
      <w:footerReference w:type="even" r:id="rId8"/>
      <w:footerReference w:type="default" r:id="rId9"/>
      <w:headerReference w:type="first" r:id="rId10"/>
      <w:footerReference w:type="first" r:id="rId11"/>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6EBE" w14:textId="77777777" w:rsidR="003846D7" w:rsidRDefault="003846D7" w:rsidP="006C7D8D">
      <w:pPr>
        <w:spacing w:line="240" w:lineRule="auto"/>
      </w:pPr>
      <w:r>
        <w:separator/>
      </w:r>
    </w:p>
  </w:endnote>
  <w:endnote w:type="continuationSeparator" w:id="0">
    <w:p w14:paraId="77729455" w14:textId="77777777" w:rsidR="003846D7" w:rsidRDefault="003846D7" w:rsidP="006C7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A1B5" w14:textId="77777777" w:rsidR="00C8315F" w:rsidRDefault="00C83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BA98" w14:textId="21CA249D" w:rsidR="006C7D8D" w:rsidRDefault="006C7D8D" w:rsidP="006C7D8D">
    <w:pPr>
      <w:pStyle w:val="Footer"/>
      <w:jc w:val="center"/>
    </w:pPr>
    <w:r>
      <w:fldChar w:fldCharType="begin"/>
    </w:r>
    <w:r>
      <w:instrText xml:space="preserve"> PAGE  \* MERGEFORMAT </w:instrText>
    </w:r>
    <w:r>
      <w:fldChar w:fldCharType="separate"/>
    </w:r>
    <w:r w:rsidR="00F021A6">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02EF" w14:textId="77777777" w:rsidR="00C8315F" w:rsidRDefault="00C83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7E61" w14:textId="77777777" w:rsidR="003846D7" w:rsidRDefault="003846D7" w:rsidP="006C7D8D">
      <w:pPr>
        <w:spacing w:line="240" w:lineRule="auto"/>
      </w:pPr>
      <w:r>
        <w:separator/>
      </w:r>
    </w:p>
  </w:footnote>
  <w:footnote w:type="continuationSeparator" w:id="0">
    <w:p w14:paraId="60958973" w14:textId="77777777" w:rsidR="003846D7" w:rsidRDefault="003846D7" w:rsidP="006C7D8D">
      <w:pPr>
        <w:spacing w:line="240" w:lineRule="auto"/>
      </w:pPr>
      <w:r>
        <w:continuationSeparator/>
      </w:r>
    </w:p>
  </w:footnote>
  <w:footnote w:id="1">
    <w:p w14:paraId="6476F859" w14:textId="3E674AC2" w:rsidR="00CD1ECA" w:rsidRDefault="00CD1ECA" w:rsidP="0058524B">
      <w:pPr>
        <w:pStyle w:val="FootnoteText"/>
        <w:spacing w:line="240" w:lineRule="auto"/>
        <w:ind w:firstLine="720"/>
        <w:rPr>
          <w:sz w:val="26"/>
          <w:szCs w:val="26"/>
        </w:rPr>
      </w:pPr>
      <w:r w:rsidRPr="0058524B">
        <w:rPr>
          <w:rStyle w:val="FootnoteReference"/>
          <w:sz w:val="26"/>
          <w:szCs w:val="26"/>
        </w:rPr>
        <w:footnoteRef/>
      </w:r>
      <w:r w:rsidRPr="0058524B">
        <w:rPr>
          <w:sz w:val="26"/>
          <w:szCs w:val="26"/>
        </w:rPr>
        <w:t xml:space="preserve"> We rely on undisputed facts and allegations in the complaint.</w:t>
      </w:r>
    </w:p>
    <w:p w14:paraId="37297DB9" w14:textId="77777777" w:rsidR="0058524B" w:rsidRPr="0058524B" w:rsidRDefault="0058524B" w:rsidP="0058524B">
      <w:pPr>
        <w:pStyle w:val="FootnoteText"/>
        <w:spacing w:line="240" w:lineRule="auto"/>
        <w:ind w:firstLine="720"/>
        <w:rPr>
          <w:sz w:val="26"/>
          <w:szCs w:val="26"/>
        </w:rPr>
      </w:pPr>
    </w:p>
  </w:footnote>
  <w:footnote w:id="2">
    <w:p w14:paraId="307A9C37" w14:textId="3CF61901" w:rsidR="00147990" w:rsidRPr="00C80D92" w:rsidRDefault="00147990" w:rsidP="00C80D92">
      <w:pPr>
        <w:pStyle w:val="FootnoteText"/>
        <w:spacing w:line="240" w:lineRule="auto"/>
        <w:ind w:firstLine="720"/>
        <w:rPr>
          <w:sz w:val="26"/>
          <w:szCs w:val="26"/>
        </w:rPr>
      </w:pPr>
      <w:r w:rsidRPr="00C80D92">
        <w:rPr>
          <w:rStyle w:val="FootnoteReference"/>
          <w:sz w:val="26"/>
          <w:szCs w:val="26"/>
        </w:rPr>
        <w:footnoteRef/>
      </w:r>
      <w:r w:rsidRPr="00C80D92">
        <w:rPr>
          <w:sz w:val="26"/>
          <w:szCs w:val="26"/>
        </w:rPr>
        <w:t xml:space="preserve"> </w:t>
      </w:r>
      <w:r w:rsidR="0017432B" w:rsidRPr="009C4279">
        <w:rPr>
          <w:sz w:val="26"/>
          <w:szCs w:val="26"/>
        </w:rPr>
        <w:t xml:space="preserve">A longboard is a board that is “typically longer than nine feet in length.” </w:t>
      </w:r>
      <w:r w:rsidR="0017432B">
        <w:rPr>
          <w:sz w:val="26"/>
          <w:szCs w:val="26"/>
        </w:rPr>
        <w:t xml:space="preserve"> </w:t>
      </w:r>
      <w:r w:rsidR="007D19A5">
        <w:rPr>
          <w:sz w:val="26"/>
          <w:szCs w:val="26"/>
        </w:rPr>
        <w:t>(</w:t>
      </w:r>
      <w:r w:rsidR="0017432B" w:rsidRPr="009C4279">
        <w:rPr>
          <w:sz w:val="26"/>
          <w:szCs w:val="26"/>
        </w:rPr>
        <w:t>Paul Caprara, Surf</w:t>
      </w:r>
      <w:r w:rsidR="0017432B">
        <w:rPr>
          <w:sz w:val="26"/>
          <w:szCs w:val="26"/>
        </w:rPr>
        <w:t>’</w:t>
      </w:r>
      <w:r w:rsidR="0017432B" w:rsidRPr="009C4279">
        <w:rPr>
          <w:sz w:val="26"/>
          <w:szCs w:val="26"/>
        </w:rPr>
        <w:t>s Up:</w:t>
      </w:r>
      <w:r w:rsidR="0017432B">
        <w:rPr>
          <w:sz w:val="26"/>
          <w:szCs w:val="26"/>
        </w:rPr>
        <w:t xml:space="preserve"> </w:t>
      </w:r>
      <w:r w:rsidR="0017432B" w:rsidRPr="009C4279">
        <w:rPr>
          <w:sz w:val="26"/>
          <w:szCs w:val="26"/>
        </w:rPr>
        <w:t xml:space="preserve"> The Implications of Tort Liability in the Unregulated Sport of Surfing (2008) 44 Cal. Western L.Rev. 557, 5</w:t>
      </w:r>
      <w:r w:rsidR="0017432B">
        <w:rPr>
          <w:sz w:val="26"/>
          <w:szCs w:val="26"/>
        </w:rPr>
        <w:t>73, fn. 90 (Caprara)</w:t>
      </w:r>
      <w:r w:rsidR="0017432B" w:rsidRPr="009C4279">
        <w:rPr>
          <w:sz w:val="26"/>
          <w:szCs w:val="26"/>
        </w:rPr>
        <w:t>.</w:t>
      </w:r>
      <w:r w:rsidR="007D19A5">
        <w:rPr>
          <w:sz w:val="26"/>
          <w:szCs w:val="26"/>
        </w:rPr>
        <w:t>)</w:t>
      </w:r>
      <w:r w:rsidR="0017432B" w:rsidRPr="009C4279">
        <w:rPr>
          <w:sz w:val="26"/>
          <w:szCs w:val="26"/>
        </w:rPr>
        <w:t xml:space="preserve"> </w:t>
      </w:r>
      <w:r w:rsidR="0017432B">
        <w:rPr>
          <w:sz w:val="26"/>
          <w:szCs w:val="26"/>
        </w:rPr>
        <w:t xml:space="preserve"> Respondent</w:t>
      </w:r>
      <w:r w:rsidR="0017432B" w:rsidRPr="009C4279">
        <w:rPr>
          <w:sz w:val="26"/>
          <w:szCs w:val="26"/>
        </w:rPr>
        <w:t>’s longboard was 10 feet 4 inches long.</w:t>
      </w:r>
      <w:r w:rsidR="0017432B">
        <w:rPr>
          <w:sz w:val="26"/>
          <w:szCs w:val="26"/>
        </w:rPr>
        <w:t xml:space="preserve">  </w:t>
      </w:r>
      <w:r w:rsidRPr="00C80D92">
        <w:rPr>
          <w:sz w:val="26"/>
          <w:szCs w:val="26"/>
        </w:rPr>
        <w:t xml:space="preserve">A leash is a cord that attaches the ankle of the surfer to the tail end of </w:t>
      </w:r>
      <w:r w:rsidR="0017432B">
        <w:rPr>
          <w:sz w:val="26"/>
          <w:szCs w:val="26"/>
        </w:rPr>
        <w:t>the board.</w:t>
      </w:r>
    </w:p>
  </w:footnote>
  <w:footnote w:id="3">
    <w:p w14:paraId="58DE5DA4" w14:textId="77777777" w:rsidR="005D6123" w:rsidRDefault="005D6123" w:rsidP="005D6123">
      <w:pPr>
        <w:shd w:val="clear" w:color="auto" w:fill="FFFFFF"/>
        <w:spacing w:line="320" w:lineRule="atLeast"/>
        <w:ind w:firstLine="720"/>
        <w:rPr>
          <w:szCs w:val="26"/>
        </w:rPr>
      </w:pPr>
    </w:p>
    <w:p w14:paraId="4494F164" w14:textId="0DB5E8CB" w:rsidR="005D6123" w:rsidRPr="009C4279" w:rsidRDefault="005D6123" w:rsidP="001B37B3">
      <w:pPr>
        <w:shd w:val="clear" w:color="auto" w:fill="FFFFFF"/>
        <w:spacing w:line="320" w:lineRule="atLeast"/>
        <w:ind w:firstLine="720"/>
        <w:rPr>
          <w:rFonts w:ascii="Source Sans Pro" w:eastAsia="Times New Roman" w:hAnsi="Source Sans Pro"/>
          <w:color w:val="000000"/>
          <w:sz w:val="24"/>
          <w:szCs w:val="24"/>
        </w:rPr>
      </w:pPr>
      <w:r w:rsidRPr="00AC2390">
        <w:rPr>
          <w:rStyle w:val="FootnoteReference"/>
          <w:szCs w:val="26"/>
        </w:rPr>
        <w:footnoteRef/>
      </w:r>
      <w:r w:rsidRPr="00AC2390">
        <w:rPr>
          <w:szCs w:val="26"/>
        </w:rPr>
        <w:t xml:space="preserve"> </w:t>
      </w:r>
      <w:r w:rsidRPr="00606E2E">
        <w:rPr>
          <w:szCs w:val="26"/>
        </w:rPr>
        <w:t>“</w:t>
      </w:r>
      <w:r>
        <w:rPr>
          <w:szCs w:val="26"/>
        </w:rPr>
        <w:t>Dropping in</w:t>
      </w:r>
      <w:r w:rsidRPr="00606E2E">
        <w:rPr>
          <w:szCs w:val="26"/>
        </w:rPr>
        <w:t>” or “</w:t>
      </w:r>
      <w:r>
        <w:rPr>
          <w:szCs w:val="26"/>
        </w:rPr>
        <w:t>shoulder-hopping</w:t>
      </w:r>
      <w:r w:rsidRPr="00606E2E">
        <w:rPr>
          <w:szCs w:val="26"/>
        </w:rPr>
        <w:t>” describes a surfer getting in the right</w:t>
      </w:r>
      <w:r>
        <w:rPr>
          <w:szCs w:val="26"/>
        </w:rPr>
        <w:t xml:space="preserve"> </w:t>
      </w:r>
      <w:r w:rsidRPr="00606E2E">
        <w:rPr>
          <w:szCs w:val="26"/>
        </w:rPr>
        <w:t>of</w:t>
      </w:r>
      <w:r>
        <w:rPr>
          <w:szCs w:val="26"/>
        </w:rPr>
        <w:t xml:space="preserve"> </w:t>
      </w:r>
      <w:r w:rsidRPr="00606E2E">
        <w:rPr>
          <w:szCs w:val="26"/>
        </w:rPr>
        <w:t>way of another surfer</w:t>
      </w:r>
      <w:r>
        <w:rPr>
          <w:szCs w:val="26"/>
        </w:rPr>
        <w:t xml:space="preserve"> who is surfing the same wave</w:t>
      </w:r>
      <w:r w:rsidRPr="00606E2E">
        <w:rPr>
          <w:szCs w:val="26"/>
        </w:rPr>
        <w:t>.</w:t>
      </w:r>
      <w:r>
        <w:rPr>
          <w:szCs w:val="26"/>
        </w:rPr>
        <w:t>”</w:t>
      </w:r>
      <w:r w:rsidRPr="00606E2E">
        <w:rPr>
          <w:szCs w:val="26"/>
        </w:rPr>
        <w:t xml:space="preserve"> </w:t>
      </w:r>
      <w:r w:rsidR="00616193">
        <w:rPr>
          <w:szCs w:val="26"/>
        </w:rPr>
        <w:t xml:space="preserve"> </w:t>
      </w:r>
      <w:r>
        <w:rPr>
          <w:rFonts w:eastAsia="Times New Roman"/>
          <w:color w:val="000000"/>
          <w:szCs w:val="26"/>
        </w:rPr>
        <w:t>(</w:t>
      </w:r>
      <w:r w:rsidRPr="009C4279">
        <w:rPr>
          <w:rFonts w:eastAsia="Times New Roman"/>
          <w:color w:val="000000"/>
          <w:szCs w:val="26"/>
        </w:rPr>
        <w:t xml:space="preserve">Caprara, </w:t>
      </w:r>
      <w:r w:rsidRPr="002A1F63">
        <w:rPr>
          <w:rFonts w:eastAsia="Times New Roman"/>
          <w:i/>
          <w:iCs/>
          <w:color w:val="000000"/>
          <w:szCs w:val="26"/>
        </w:rPr>
        <w:t>supra</w:t>
      </w:r>
      <w:r>
        <w:rPr>
          <w:rFonts w:eastAsia="Times New Roman"/>
          <w:color w:val="000000"/>
          <w:szCs w:val="26"/>
        </w:rPr>
        <w:t xml:space="preserve">, </w:t>
      </w:r>
      <w:r w:rsidRPr="009C4279">
        <w:rPr>
          <w:rFonts w:eastAsia="Times New Roman"/>
          <w:color w:val="000000"/>
          <w:szCs w:val="26"/>
        </w:rPr>
        <w:t xml:space="preserve">44 Cal. Western L.Rev. </w:t>
      </w:r>
      <w:r>
        <w:rPr>
          <w:rFonts w:eastAsia="Times New Roman"/>
          <w:color w:val="000000"/>
          <w:szCs w:val="26"/>
        </w:rPr>
        <w:t>at p.</w:t>
      </w:r>
      <w:r w:rsidRPr="009C4279">
        <w:rPr>
          <w:rFonts w:eastAsia="Times New Roman"/>
          <w:color w:val="000000"/>
          <w:szCs w:val="26"/>
        </w:rPr>
        <w:t xml:space="preserve"> 571</w:t>
      </w:r>
      <w:r>
        <w:rPr>
          <w:rFonts w:eastAsia="Times New Roman"/>
          <w:color w:val="000000"/>
          <w:szCs w:val="26"/>
        </w:rPr>
        <w:t>.)</w:t>
      </w:r>
    </w:p>
  </w:footnote>
  <w:footnote w:id="4">
    <w:p w14:paraId="77D2791F" w14:textId="44B78EF3" w:rsidR="00E30A40" w:rsidRDefault="00E30A40" w:rsidP="006F007E">
      <w:pPr>
        <w:pStyle w:val="FootnoteText"/>
        <w:spacing w:line="240" w:lineRule="auto"/>
        <w:ind w:firstLine="720"/>
      </w:pPr>
      <w:r w:rsidRPr="00AC2390">
        <w:rPr>
          <w:rStyle w:val="FootnoteReference"/>
          <w:sz w:val="26"/>
          <w:szCs w:val="26"/>
        </w:rPr>
        <w:footnoteRef/>
      </w:r>
      <w:r>
        <w:t xml:space="preserve"> </w:t>
      </w:r>
      <w:r w:rsidRPr="00E30A40">
        <w:rPr>
          <w:sz w:val="26"/>
          <w:szCs w:val="26"/>
        </w:rPr>
        <w:t>All unlabeled statutory reference</w:t>
      </w:r>
      <w:r>
        <w:rPr>
          <w:sz w:val="26"/>
          <w:szCs w:val="26"/>
        </w:rPr>
        <w:t>s</w:t>
      </w:r>
      <w:r w:rsidRPr="00E30A40">
        <w:rPr>
          <w:sz w:val="26"/>
          <w:szCs w:val="26"/>
        </w:rPr>
        <w:t xml:space="preserve"> are to the Code of Civil Procedure unless otherwise stated.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F7BF" w14:textId="77777777" w:rsidR="00C8315F" w:rsidRDefault="00C83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9A87" w14:textId="77777777" w:rsidR="00C8315F" w:rsidRDefault="00C83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EA04" w14:textId="77777777" w:rsidR="00C8315F" w:rsidRDefault="00C83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8D"/>
    <w:rsid w:val="0000191B"/>
    <w:rsid w:val="0000573D"/>
    <w:rsid w:val="0000608B"/>
    <w:rsid w:val="0000633F"/>
    <w:rsid w:val="00011876"/>
    <w:rsid w:val="00012FAC"/>
    <w:rsid w:val="00013A3B"/>
    <w:rsid w:val="00014632"/>
    <w:rsid w:val="00016E35"/>
    <w:rsid w:val="00017549"/>
    <w:rsid w:val="0001788F"/>
    <w:rsid w:val="00021AFE"/>
    <w:rsid w:val="00023818"/>
    <w:rsid w:val="000241AE"/>
    <w:rsid w:val="00027BDC"/>
    <w:rsid w:val="0003042A"/>
    <w:rsid w:val="00032E81"/>
    <w:rsid w:val="000347C1"/>
    <w:rsid w:val="000357B9"/>
    <w:rsid w:val="00036E6A"/>
    <w:rsid w:val="00037BAB"/>
    <w:rsid w:val="00042E54"/>
    <w:rsid w:val="00046938"/>
    <w:rsid w:val="00050F8B"/>
    <w:rsid w:val="0006221C"/>
    <w:rsid w:val="00064AFF"/>
    <w:rsid w:val="000671CF"/>
    <w:rsid w:val="00071135"/>
    <w:rsid w:val="0007138F"/>
    <w:rsid w:val="00071EE8"/>
    <w:rsid w:val="00073251"/>
    <w:rsid w:val="00085BD9"/>
    <w:rsid w:val="0008743B"/>
    <w:rsid w:val="00091880"/>
    <w:rsid w:val="00091A0D"/>
    <w:rsid w:val="00092356"/>
    <w:rsid w:val="000927A7"/>
    <w:rsid w:val="00094C5E"/>
    <w:rsid w:val="00094F20"/>
    <w:rsid w:val="00095B6A"/>
    <w:rsid w:val="00095BB9"/>
    <w:rsid w:val="000975E4"/>
    <w:rsid w:val="000A4D52"/>
    <w:rsid w:val="000A4DF1"/>
    <w:rsid w:val="000A5676"/>
    <w:rsid w:val="000A5D89"/>
    <w:rsid w:val="000A71AB"/>
    <w:rsid w:val="000A79E5"/>
    <w:rsid w:val="000B0A9A"/>
    <w:rsid w:val="000B15E6"/>
    <w:rsid w:val="000B19BB"/>
    <w:rsid w:val="000B2D70"/>
    <w:rsid w:val="000B4478"/>
    <w:rsid w:val="000B4AF5"/>
    <w:rsid w:val="000B4FB7"/>
    <w:rsid w:val="000B5AE6"/>
    <w:rsid w:val="000B66F5"/>
    <w:rsid w:val="000C6652"/>
    <w:rsid w:val="000D7611"/>
    <w:rsid w:val="000D799D"/>
    <w:rsid w:val="000E19AB"/>
    <w:rsid w:val="000E22E3"/>
    <w:rsid w:val="000E36D5"/>
    <w:rsid w:val="000E3A6B"/>
    <w:rsid w:val="000E6C3C"/>
    <w:rsid w:val="000E7906"/>
    <w:rsid w:val="000E7B87"/>
    <w:rsid w:val="000F05BF"/>
    <w:rsid w:val="000F45EA"/>
    <w:rsid w:val="000F5FAE"/>
    <w:rsid w:val="000F649B"/>
    <w:rsid w:val="000F72D5"/>
    <w:rsid w:val="00100A5C"/>
    <w:rsid w:val="0010249D"/>
    <w:rsid w:val="00105C73"/>
    <w:rsid w:val="0010657F"/>
    <w:rsid w:val="00107F07"/>
    <w:rsid w:val="0011000A"/>
    <w:rsid w:val="00112B4A"/>
    <w:rsid w:val="00112C3D"/>
    <w:rsid w:val="00113CDD"/>
    <w:rsid w:val="001153FB"/>
    <w:rsid w:val="00116F44"/>
    <w:rsid w:val="001209F5"/>
    <w:rsid w:val="00120A6C"/>
    <w:rsid w:val="00124C25"/>
    <w:rsid w:val="00130E71"/>
    <w:rsid w:val="001335E0"/>
    <w:rsid w:val="0013433B"/>
    <w:rsid w:val="00135CCC"/>
    <w:rsid w:val="00137CED"/>
    <w:rsid w:val="00140491"/>
    <w:rsid w:val="00140C3A"/>
    <w:rsid w:val="00141625"/>
    <w:rsid w:val="00147990"/>
    <w:rsid w:val="00151368"/>
    <w:rsid w:val="00153444"/>
    <w:rsid w:val="001545D6"/>
    <w:rsid w:val="00154FFF"/>
    <w:rsid w:val="0015639D"/>
    <w:rsid w:val="0016057C"/>
    <w:rsid w:val="0016225C"/>
    <w:rsid w:val="001624AB"/>
    <w:rsid w:val="001650C7"/>
    <w:rsid w:val="00165288"/>
    <w:rsid w:val="00165488"/>
    <w:rsid w:val="00170452"/>
    <w:rsid w:val="00170B6D"/>
    <w:rsid w:val="00172F78"/>
    <w:rsid w:val="0017432B"/>
    <w:rsid w:val="001809E8"/>
    <w:rsid w:val="001825A6"/>
    <w:rsid w:val="00183F7D"/>
    <w:rsid w:val="00184ED2"/>
    <w:rsid w:val="001910E8"/>
    <w:rsid w:val="00194CA4"/>
    <w:rsid w:val="001A23CD"/>
    <w:rsid w:val="001A6A57"/>
    <w:rsid w:val="001B00B7"/>
    <w:rsid w:val="001B0EEE"/>
    <w:rsid w:val="001B157A"/>
    <w:rsid w:val="001B37B3"/>
    <w:rsid w:val="001B42CB"/>
    <w:rsid w:val="001B4783"/>
    <w:rsid w:val="001B64FE"/>
    <w:rsid w:val="001C13E6"/>
    <w:rsid w:val="001C1E99"/>
    <w:rsid w:val="001C2572"/>
    <w:rsid w:val="001C6315"/>
    <w:rsid w:val="001D1209"/>
    <w:rsid w:val="001D479E"/>
    <w:rsid w:val="001D63E2"/>
    <w:rsid w:val="001D70D3"/>
    <w:rsid w:val="001D7401"/>
    <w:rsid w:val="001E13D0"/>
    <w:rsid w:val="001E160A"/>
    <w:rsid w:val="001E1A0D"/>
    <w:rsid w:val="001E35EE"/>
    <w:rsid w:val="001E4BD6"/>
    <w:rsid w:val="001E68B1"/>
    <w:rsid w:val="001F2E47"/>
    <w:rsid w:val="002113A8"/>
    <w:rsid w:val="00214383"/>
    <w:rsid w:val="00221D50"/>
    <w:rsid w:val="00227A84"/>
    <w:rsid w:val="0023444B"/>
    <w:rsid w:val="00235202"/>
    <w:rsid w:val="0023539A"/>
    <w:rsid w:val="00237881"/>
    <w:rsid w:val="00237C70"/>
    <w:rsid w:val="002405A1"/>
    <w:rsid w:val="0024537A"/>
    <w:rsid w:val="0025199C"/>
    <w:rsid w:val="00251E99"/>
    <w:rsid w:val="00253B65"/>
    <w:rsid w:val="00254000"/>
    <w:rsid w:val="00265125"/>
    <w:rsid w:val="00266389"/>
    <w:rsid w:val="0027209D"/>
    <w:rsid w:val="00275A66"/>
    <w:rsid w:val="002767C4"/>
    <w:rsid w:val="00277CD6"/>
    <w:rsid w:val="00280E90"/>
    <w:rsid w:val="0028636C"/>
    <w:rsid w:val="00286809"/>
    <w:rsid w:val="00287150"/>
    <w:rsid w:val="00287601"/>
    <w:rsid w:val="00293F6D"/>
    <w:rsid w:val="00297843"/>
    <w:rsid w:val="002A04A5"/>
    <w:rsid w:val="002A0B44"/>
    <w:rsid w:val="002A0EFC"/>
    <w:rsid w:val="002A1F63"/>
    <w:rsid w:val="002A39B8"/>
    <w:rsid w:val="002A3B42"/>
    <w:rsid w:val="002A6C3B"/>
    <w:rsid w:val="002A7437"/>
    <w:rsid w:val="002A7A4F"/>
    <w:rsid w:val="002B02FF"/>
    <w:rsid w:val="002B3AD2"/>
    <w:rsid w:val="002B5BA5"/>
    <w:rsid w:val="002B6AA7"/>
    <w:rsid w:val="002C1539"/>
    <w:rsid w:val="002C2893"/>
    <w:rsid w:val="002C4D75"/>
    <w:rsid w:val="002C640E"/>
    <w:rsid w:val="002D0A4D"/>
    <w:rsid w:val="002D2141"/>
    <w:rsid w:val="002D480A"/>
    <w:rsid w:val="002D5CFD"/>
    <w:rsid w:val="002D77F7"/>
    <w:rsid w:val="002D7D8B"/>
    <w:rsid w:val="002E016C"/>
    <w:rsid w:val="002E1489"/>
    <w:rsid w:val="002E1F58"/>
    <w:rsid w:val="002E459A"/>
    <w:rsid w:val="002E4EEE"/>
    <w:rsid w:val="002E5BF9"/>
    <w:rsid w:val="002E5CE7"/>
    <w:rsid w:val="002E6E0C"/>
    <w:rsid w:val="002F364D"/>
    <w:rsid w:val="002F4CD8"/>
    <w:rsid w:val="002F5668"/>
    <w:rsid w:val="002F72CE"/>
    <w:rsid w:val="0030447F"/>
    <w:rsid w:val="00305DAC"/>
    <w:rsid w:val="003072BB"/>
    <w:rsid w:val="00312991"/>
    <w:rsid w:val="0031392C"/>
    <w:rsid w:val="003164D2"/>
    <w:rsid w:val="00317A97"/>
    <w:rsid w:val="00322CA5"/>
    <w:rsid w:val="00335B9F"/>
    <w:rsid w:val="00337637"/>
    <w:rsid w:val="003409FF"/>
    <w:rsid w:val="00341F42"/>
    <w:rsid w:val="0034699C"/>
    <w:rsid w:val="00350375"/>
    <w:rsid w:val="00351CDE"/>
    <w:rsid w:val="00356071"/>
    <w:rsid w:val="003634C6"/>
    <w:rsid w:val="00370FBB"/>
    <w:rsid w:val="00372FC8"/>
    <w:rsid w:val="003733FA"/>
    <w:rsid w:val="0037469E"/>
    <w:rsid w:val="00374F5B"/>
    <w:rsid w:val="00376397"/>
    <w:rsid w:val="00383B79"/>
    <w:rsid w:val="003846D7"/>
    <w:rsid w:val="0038525A"/>
    <w:rsid w:val="00387047"/>
    <w:rsid w:val="0039078A"/>
    <w:rsid w:val="0039573E"/>
    <w:rsid w:val="0039668C"/>
    <w:rsid w:val="003A0EB6"/>
    <w:rsid w:val="003A41C3"/>
    <w:rsid w:val="003A5E39"/>
    <w:rsid w:val="003A6F86"/>
    <w:rsid w:val="003B0647"/>
    <w:rsid w:val="003B2F44"/>
    <w:rsid w:val="003B34CB"/>
    <w:rsid w:val="003B433A"/>
    <w:rsid w:val="003C2EE1"/>
    <w:rsid w:val="003C3487"/>
    <w:rsid w:val="003C34DF"/>
    <w:rsid w:val="003D143F"/>
    <w:rsid w:val="003D168F"/>
    <w:rsid w:val="003D4FBD"/>
    <w:rsid w:val="003D6D7F"/>
    <w:rsid w:val="003E11D1"/>
    <w:rsid w:val="003E21A0"/>
    <w:rsid w:val="003E3115"/>
    <w:rsid w:val="003E6B59"/>
    <w:rsid w:val="003E76DF"/>
    <w:rsid w:val="003E7AD8"/>
    <w:rsid w:val="00401318"/>
    <w:rsid w:val="00402ECB"/>
    <w:rsid w:val="004034F8"/>
    <w:rsid w:val="00403501"/>
    <w:rsid w:val="004046D5"/>
    <w:rsid w:val="004065D0"/>
    <w:rsid w:val="0040667A"/>
    <w:rsid w:val="0041073F"/>
    <w:rsid w:val="0041195F"/>
    <w:rsid w:val="00413B90"/>
    <w:rsid w:val="004140AF"/>
    <w:rsid w:val="00420296"/>
    <w:rsid w:val="004211E0"/>
    <w:rsid w:val="00425E3F"/>
    <w:rsid w:val="00431AEC"/>
    <w:rsid w:val="004342FD"/>
    <w:rsid w:val="00434E6A"/>
    <w:rsid w:val="00435AA8"/>
    <w:rsid w:val="00442C23"/>
    <w:rsid w:val="00445E5F"/>
    <w:rsid w:val="004464DC"/>
    <w:rsid w:val="00450165"/>
    <w:rsid w:val="0045197A"/>
    <w:rsid w:val="004526ED"/>
    <w:rsid w:val="00452F97"/>
    <w:rsid w:val="00455C34"/>
    <w:rsid w:val="00455CC1"/>
    <w:rsid w:val="00456C80"/>
    <w:rsid w:val="00457C06"/>
    <w:rsid w:val="00460292"/>
    <w:rsid w:val="00460597"/>
    <w:rsid w:val="00460888"/>
    <w:rsid w:val="00462A65"/>
    <w:rsid w:val="00463834"/>
    <w:rsid w:val="00464221"/>
    <w:rsid w:val="00467072"/>
    <w:rsid w:val="004710FB"/>
    <w:rsid w:val="00473891"/>
    <w:rsid w:val="0047670F"/>
    <w:rsid w:val="004833D1"/>
    <w:rsid w:val="004839AC"/>
    <w:rsid w:val="00490B20"/>
    <w:rsid w:val="004A1542"/>
    <w:rsid w:val="004A35C3"/>
    <w:rsid w:val="004A534B"/>
    <w:rsid w:val="004B31B6"/>
    <w:rsid w:val="004B36AE"/>
    <w:rsid w:val="004B4A12"/>
    <w:rsid w:val="004C07B4"/>
    <w:rsid w:val="004C1FA1"/>
    <w:rsid w:val="004C240F"/>
    <w:rsid w:val="004C2DF0"/>
    <w:rsid w:val="004C5A05"/>
    <w:rsid w:val="004D0CDC"/>
    <w:rsid w:val="004D2485"/>
    <w:rsid w:val="004D2660"/>
    <w:rsid w:val="004D36F6"/>
    <w:rsid w:val="004D3BC1"/>
    <w:rsid w:val="004D6456"/>
    <w:rsid w:val="004E0669"/>
    <w:rsid w:val="004E1AFB"/>
    <w:rsid w:val="004E235D"/>
    <w:rsid w:val="004E3360"/>
    <w:rsid w:val="004E34FC"/>
    <w:rsid w:val="004E7BD1"/>
    <w:rsid w:val="004F2CF7"/>
    <w:rsid w:val="004F3BC7"/>
    <w:rsid w:val="004F3D39"/>
    <w:rsid w:val="004F44C4"/>
    <w:rsid w:val="004F5848"/>
    <w:rsid w:val="00503C0A"/>
    <w:rsid w:val="00503C4D"/>
    <w:rsid w:val="00507E58"/>
    <w:rsid w:val="005143C8"/>
    <w:rsid w:val="00515B96"/>
    <w:rsid w:val="005164CA"/>
    <w:rsid w:val="0051726F"/>
    <w:rsid w:val="00517D5E"/>
    <w:rsid w:val="00522186"/>
    <w:rsid w:val="00524CCA"/>
    <w:rsid w:val="005266F9"/>
    <w:rsid w:val="005318AE"/>
    <w:rsid w:val="00531EA3"/>
    <w:rsid w:val="00533CD5"/>
    <w:rsid w:val="00535F35"/>
    <w:rsid w:val="00536863"/>
    <w:rsid w:val="00537240"/>
    <w:rsid w:val="005379F3"/>
    <w:rsid w:val="005435DE"/>
    <w:rsid w:val="0054364F"/>
    <w:rsid w:val="00554E95"/>
    <w:rsid w:val="0055525B"/>
    <w:rsid w:val="005552AC"/>
    <w:rsid w:val="005561B1"/>
    <w:rsid w:val="005613EC"/>
    <w:rsid w:val="00564E12"/>
    <w:rsid w:val="0056534B"/>
    <w:rsid w:val="00567616"/>
    <w:rsid w:val="005740A8"/>
    <w:rsid w:val="00576145"/>
    <w:rsid w:val="00580B7E"/>
    <w:rsid w:val="00581315"/>
    <w:rsid w:val="00582DF6"/>
    <w:rsid w:val="00584AA9"/>
    <w:rsid w:val="0058524B"/>
    <w:rsid w:val="0058745A"/>
    <w:rsid w:val="00587CD0"/>
    <w:rsid w:val="00593AAF"/>
    <w:rsid w:val="005A201D"/>
    <w:rsid w:val="005A244A"/>
    <w:rsid w:val="005A3DE2"/>
    <w:rsid w:val="005A5F92"/>
    <w:rsid w:val="005B02C4"/>
    <w:rsid w:val="005B22FD"/>
    <w:rsid w:val="005B7BF4"/>
    <w:rsid w:val="005C0AC0"/>
    <w:rsid w:val="005C3156"/>
    <w:rsid w:val="005C4506"/>
    <w:rsid w:val="005C4705"/>
    <w:rsid w:val="005C6695"/>
    <w:rsid w:val="005D0DBD"/>
    <w:rsid w:val="005D5AD5"/>
    <w:rsid w:val="005D5AD6"/>
    <w:rsid w:val="005D6123"/>
    <w:rsid w:val="005D6B78"/>
    <w:rsid w:val="005E03C7"/>
    <w:rsid w:val="005E3D8C"/>
    <w:rsid w:val="005E57AB"/>
    <w:rsid w:val="005E659F"/>
    <w:rsid w:val="005E7396"/>
    <w:rsid w:val="005F0FDA"/>
    <w:rsid w:val="005F12C6"/>
    <w:rsid w:val="005F52C5"/>
    <w:rsid w:val="005F66BD"/>
    <w:rsid w:val="005F6C0D"/>
    <w:rsid w:val="005F717B"/>
    <w:rsid w:val="005F79B3"/>
    <w:rsid w:val="0060106F"/>
    <w:rsid w:val="00601E24"/>
    <w:rsid w:val="006038D1"/>
    <w:rsid w:val="00604BD9"/>
    <w:rsid w:val="00606E2E"/>
    <w:rsid w:val="006122CC"/>
    <w:rsid w:val="00612378"/>
    <w:rsid w:val="0061587C"/>
    <w:rsid w:val="00616193"/>
    <w:rsid w:val="006242E8"/>
    <w:rsid w:val="0062539F"/>
    <w:rsid w:val="00627DA3"/>
    <w:rsid w:val="00627E29"/>
    <w:rsid w:val="00627E2E"/>
    <w:rsid w:val="006307B7"/>
    <w:rsid w:val="00630CA3"/>
    <w:rsid w:val="00633052"/>
    <w:rsid w:val="00637606"/>
    <w:rsid w:val="006426C8"/>
    <w:rsid w:val="0064322B"/>
    <w:rsid w:val="00643400"/>
    <w:rsid w:val="00651184"/>
    <w:rsid w:val="00651F3A"/>
    <w:rsid w:val="006642FF"/>
    <w:rsid w:val="00667181"/>
    <w:rsid w:val="00667BE6"/>
    <w:rsid w:val="0067110D"/>
    <w:rsid w:val="006725B1"/>
    <w:rsid w:val="00674EBF"/>
    <w:rsid w:val="006770EE"/>
    <w:rsid w:val="006808F0"/>
    <w:rsid w:val="00681671"/>
    <w:rsid w:val="00681F59"/>
    <w:rsid w:val="00682961"/>
    <w:rsid w:val="006839D1"/>
    <w:rsid w:val="00684544"/>
    <w:rsid w:val="006847D2"/>
    <w:rsid w:val="0068644C"/>
    <w:rsid w:val="006874FA"/>
    <w:rsid w:val="00693018"/>
    <w:rsid w:val="006933A9"/>
    <w:rsid w:val="00693E70"/>
    <w:rsid w:val="00694467"/>
    <w:rsid w:val="0069655B"/>
    <w:rsid w:val="00697CCC"/>
    <w:rsid w:val="006A59CE"/>
    <w:rsid w:val="006B3842"/>
    <w:rsid w:val="006B51AE"/>
    <w:rsid w:val="006B6816"/>
    <w:rsid w:val="006C001F"/>
    <w:rsid w:val="006C34FB"/>
    <w:rsid w:val="006C460B"/>
    <w:rsid w:val="006C628F"/>
    <w:rsid w:val="006C7D8D"/>
    <w:rsid w:val="006D1C4A"/>
    <w:rsid w:val="006D2F25"/>
    <w:rsid w:val="006D694C"/>
    <w:rsid w:val="006E0C65"/>
    <w:rsid w:val="006E1F1E"/>
    <w:rsid w:val="006E4B6A"/>
    <w:rsid w:val="006F007E"/>
    <w:rsid w:val="006F025A"/>
    <w:rsid w:val="006F13E2"/>
    <w:rsid w:val="006F383B"/>
    <w:rsid w:val="006F4D10"/>
    <w:rsid w:val="006F51C3"/>
    <w:rsid w:val="007023C8"/>
    <w:rsid w:val="00702517"/>
    <w:rsid w:val="00703940"/>
    <w:rsid w:val="007045D6"/>
    <w:rsid w:val="007067A2"/>
    <w:rsid w:val="00707FFA"/>
    <w:rsid w:val="00710FE2"/>
    <w:rsid w:val="007118BF"/>
    <w:rsid w:val="00712B6F"/>
    <w:rsid w:val="00722F10"/>
    <w:rsid w:val="00724C61"/>
    <w:rsid w:val="00724F98"/>
    <w:rsid w:val="00727D4A"/>
    <w:rsid w:val="00730369"/>
    <w:rsid w:val="00731321"/>
    <w:rsid w:val="00732142"/>
    <w:rsid w:val="00734A20"/>
    <w:rsid w:val="007356AB"/>
    <w:rsid w:val="00741589"/>
    <w:rsid w:val="007460CB"/>
    <w:rsid w:val="00750069"/>
    <w:rsid w:val="007524A4"/>
    <w:rsid w:val="00754D8B"/>
    <w:rsid w:val="00755FA5"/>
    <w:rsid w:val="007620D6"/>
    <w:rsid w:val="00762D09"/>
    <w:rsid w:val="00763B2B"/>
    <w:rsid w:val="00764B03"/>
    <w:rsid w:val="00770AC9"/>
    <w:rsid w:val="00770FD6"/>
    <w:rsid w:val="00772265"/>
    <w:rsid w:val="0077266D"/>
    <w:rsid w:val="00780630"/>
    <w:rsid w:val="007839B1"/>
    <w:rsid w:val="00783DB8"/>
    <w:rsid w:val="00785137"/>
    <w:rsid w:val="00785CA9"/>
    <w:rsid w:val="00786089"/>
    <w:rsid w:val="0079161A"/>
    <w:rsid w:val="00793813"/>
    <w:rsid w:val="00794071"/>
    <w:rsid w:val="007946A2"/>
    <w:rsid w:val="007977D5"/>
    <w:rsid w:val="007A2F24"/>
    <w:rsid w:val="007A76DB"/>
    <w:rsid w:val="007B0346"/>
    <w:rsid w:val="007B27DD"/>
    <w:rsid w:val="007B6500"/>
    <w:rsid w:val="007B6635"/>
    <w:rsid w:val="007B69EF"/>
    <w:rsid w:val="007B6BAB"/>
    <w:rsid w:val="007B72F0"/>
    <w:rsid w:val="007B7509"/>
    <w:rsid w:val="007C1020"/>
    <w:rsid w:val="007C2D63"/>
    <w:rsid w:val="007C32E2"/>
    <w:rsid w:val="007C433A"/>
    <w:rsid w:val="007D1533"/>
    <w:rsid w:val="007D19A5"/>
    <w:rsid w:val="007D3795"/>
    <w:rsid w:val="007D5A8A"/>
    <w:rsid w:val="007D6506"/>
    <w:rsid w:val="007D6E57"/>
    <w:rsid w:val="007D71B1"/>
    <w:rsid w:val="007D7E99"/>
    <w:rsid w:val="007E14BF"/>
    <w:rsid w:val="007E1BF2"/>
    <w:rsid w:val="007E73A3"/>
    <w:rsid w:val="007F02A5"/>
    <w:rsid w:val="007F08BF"/>
    <w:rsid w:val="007F5587"/>
    <w:rsid w:val="007F771E"/>
    <w:rsid w:val="00800D3E"/>
    <w:rsid w:val="008021EB"/>
    <w:rsid w:val="0080371B"/>
    <w:rsid w:val="008053B7"/>
    <w:rsid w:val="00812549"/>
    <w:rsid w:val="008142ED"/>
    <w:rsid w:val="00815C91"/>
    <w:rsid w:val="00822693"/>
    <w:rsid w:val="00823286"/>
    <w:rsid w:val="00840E8D"/>
    <w:rsid w:val="00844127"/>
    <w:rsid w:val="0084535F"/>
    <w:rsid w:val="00850F25"/>
    <w:rsid w:val="008602C2"/>
    <w:rsid w:val="008629E1"/>
    <w:rsid w:val="008638F5"/>
    <w:rsid w:val="00870998"/>
    <w:rsid w:val="00877172"/>
    <w:rsid w:val="00877181"/>
    <w:rsid w:val="008806E7"/>
    <w:rsid w:val="00881714"/>
    <w:rsid w:val="00882832"/>
    <w:rsid w:val="00884819"/>
    <w:rsid w:val="0088729E"/>
    <w:rsid w:val="0089048E"/>
    <w:rsid w:val="0089263C"/>
    <w:rsid w:val="00893F6C"/>
    <w:rsid w:val="008A26B3"/>
    <w:rsid w:val="008A494E"/>
    <w:rsid w:val="008B0757"/>
    <w:rsid w:val="008B1520"/>
    <w:rsid w:val="008B1A6E"/>
    <w:rsid w:val="008B2317"/>
    <w:rsid w:val="008B232D"/>
    <w:rsid w:val="008B3C63"/>
    <w:rsid w:val="008B43AD"/>
    <w:rsid w:val="008B690E"/>
    <w:rsid w:val="008C4136"/>
    <w:rsid w:val="008C58E1"/>
    <w:rsid w:val="008D0171"/>
    <w:rsid w:val="008D1770"/>
    <w:rsid w:val="008E10A0"/>
    <w:rsid w:val="008E1451"/>
    <w:rsid w:val="008E3079"/>
    <w:rsid w:val="008E3565"/>
    <w:rsid w:val="008F005D"/>
    <w:rsid w:val="008F155E"/>
    <w:rsid w:val="008F34BF"/>
    <w:rsid w:val="008F40EC"/>
    <w:rsid w:val="008F6A60"/>
    <w:rsid w:val="008F76CE"/>
    <w:rsid w:val="00900B3F"/>
    <w:rsid w:val="00901237"/>
    <w:rsid w:val="00901696"/>
    <w:rsid w:val="00905849"/>
    <w:rsid w:val="00907A17"/>
    <w:rsid w:val="009134B3"/>
    <w:rsid w:val="00916CEC"/>
    <w:rsid w:val="00922956"/>
    <w:rsid w:val="00924C8A"/>
    <w:rsid w:val="00924E85"/>
    <w:rsid w:val="00926522"/>
    <w:rsid w:val="009267F6"/>
    <w:rsid w:val="00926D3B"/>
    <w:rsid w:val="00931241"/>
    <w:rsid w:val="00931F56"/>
    <w:rsid w:val="0093227C"/>
    <w:rsid w:val="0093376A"/>
    <w:rsid w:val="00934898"/>
    <w:rsid w:val="0093707F"/>
    <w:rsid w:val="009375E5"/>
    <w:rsid w:val="00940033"/>
    <w:rsid w:val="00941CFA"/>
    <w:rsid w:val="00941E48"/>
    <w:rsid w:val="00942411"/>
    <w:rsid w:val="009429BB"/>
    <w:rsid w:val="00943517"/>
    <w:rsid w:val="00944526"/>
    <w:rsid w:val="009456DD"/>
    <w:rsid w:val="00945B6B"/>
    <w:rsid w:val="00946478"/>
    <w:rsid w:val="00947B75"/>
    <w:rsid w:val="00947BA6"/>
    <w:rsid w:val="00950BA8"/>
    <w:rsid w:val="009522A0"/>
    <w:rsid w:val="00952EF3"/>
    <w:rsid w:val="00952FEF"/>
    <w:rsid w:val="00953941"/>
    <w:rsid w:val="009551A3"/>
    <w:rsid w:val="00955D94"/>
    <w:rsid w:val="00956FDC"/>
    <w:rsid w:val="009601B6"/>
    <w:rsid w:val="00961D16"/>
    <w:rsid w:val="00962F77"/>
    <w:rsid w:val="00963ACB"/>
    <w:rsid w:val="00963AEE"/>
    <w:rsid w:val="009657F5"/>
    <w:rsid w:val="00966A9F"/>
    <w:rsid w:val="00970568"/>
    <w:rsid w:val="00970A5D"/>
    <w:rsid w:val="00970F07"/>
    <w:rsid w:val="00972FC1"/>
    <w:rsid w:val="00976AAC"/>
    <w:rsid w:val="0098122E"/>
    <w:rsid w:val="00983D7F"/>
    <w:rsid w:val="0098536C"/>
    <w:rsid w:val="00994B62"/>
    <w:rsid w:val="009951B1"/>
    <w:rsid w:val="009A0B7A"/>
    <w:rsid w:val="009A4EAD"/>
    <w:rsid w:val="009A5639"/>
    <w:rsid w:val="009A5A53"/>
    <w:rsid w:val="009A6D8B"/>
    <w:rsid w:val="009A7C49"/>
    <w:rsid w:val="009B4E54"/>
    <w:rsid w:val="009B4FD5"/>
    <w:rsid w:val="009B6CE6"/>
    <w:rsid w:val="009B78F9"/>
    <w:rsid w:val="009C4279"/>
    <w:rsid w:val="009C702C"/>
    <w:rsid w:val="009C7D62"/>
    <w:rsid w:val="009D1998"/>
    <w:rsid w:val="009D3262"/>
    <w:rsid w:val="009D4117"/>
    <w:rsid w:val="009D55B1"/>
    <w:rsid w:val="009D560E"/>
    <w:rsid w:val="009D5F3F"/>
    <w:rsid w:val="009D63D8"/>
    <w:rsid w:val="009D7045"/>
    <w:rsid w:val="009E09AC"/>
    <w:rsid w:val="009E0C4A"/>
    <w:rsid w:val="009E489A"/>
    <w:rsid w:val="009E5834"/>
    <w:rsid w:val="009E6BB0"/>
    <w:rsid w:val="009E7C34"/>
    <w:rsid w:val="009F0B1A"/>
    <w:rsid w:val="009F105C"/>
    <w:rsid w:val="009F2B55"/>
    <w:rsid w:val="009F39A4"/>
    <w:rsid w:val="009F618F"/>
    <w:rsid w:val="009F6212"/>
    <w:rsid w:val="00A04EDF"/>
    <w:rsid w:val="00A053BE"/>
    <w:rsid w:val="00A06A26"/>
    <w:rsid w:val="00A06D94"/>
    <w:rsid w:val="00A1693E"/>
    <w:rsid w:val="00A16C99"/>
    <w:rsid w:val="00A23F78"/>
    <w:rsid w:val="00A26E2A"/>
    <w:rsid w:val="00A311A7"/>
    <w:rsid w:val="00A319FB"/>
    <w:rsid w:val="00A31D97"/>
    <w:rsid w:val="00A325B0"/>
    <w:rsid w:val="00A34AE9"/>
    <w:rsid w:val="00A40282"/>
    <w:rsid w:val="00A4184B"/>
    <w:rsid w:val="00A4239F"/>
    <w:rsid w:val="00A43657"/>
    <w:rsid w:val="00A43B48"/>
    <w:rsid w:val="00A44A07"/>
    <w:rsid w:val="00A5130C"/>
    <w:rsid w:val="00A5196B"/>
    <w:rsid w:val="00A602E3"/>
    <w:rsid w:val="00A62833"/>
    <w:rsid w:val="00A628D4"/>
    <w:rsid w:val="00A6324E"/>
    <w:rsid w:val="00A6513B"/>
    <w:rsid w:val="00A66673"/>
    <w:rsid w:val="00A66917"/>
    <w:rsid w:val="00A71070"/>
    <w:rsid w:val="00A73384"/>
    <w:rsid w:val="00A73722"/>
    <w:rsid w:val="00A7560B"/>
    <w:rsid w:val="00A77AD8"/>
    <w:rsid w:val="00A8251C"/>
    <w:rsid w:val="00A84EB1"/>
    <w:rsid w:val="00A86A06"/>
    <w:rsid w:val="00A87247"/>
    <w:rsid w:val="00A87642"/>
    <w:rsid w:val="00A90BE6"/>
    <w:rsid w:val="00A91BD7"/>
    <w:rsid w:val="00A93302"/>
    <w:rsid w:val="00A93D34"/>
    <w:rsid w:val="00A95054"/>
    <w:rsid w:val="00A95C89"/>
    <w:rsid w:val="00A96C5E"/>
    <w:rsid w:val="00A97927"/>
    <w:rsid w:val="00AA1AB4"/>
    <w:rsid w:val="00AA687A"/>
    <w:rsid w:val="00AB3C41"/>
    <w:rsid w:val="00AB48E3"/>
    <w:rsid w:val="00AB4E62"/>
    <w:rsid w:val="00AB58D9"/>
    <w:rsid w:val="00AC1538"/>
    <w:rsid w:val="00AC15AB"/>
    <w:rsid w:val="00AC2390"/>
    <w:rsid w:val="00AC7BC9"/>
    <w:rsid w:val="00AD1AD4"/>
    <w:rsid w:val="00AD2EC0"/>
    <w:rsid w:val="00AD5D87"/>
    <w:rsid w:val="00AE1F6D"/>
    <w:rsid w:val="00AE224C"/>
    <w:rsid w:val="00AE3002"/>
    <w:rsid w:val="00AE5293"/>
    <w:rsid w:val="00AE7FD7"/>
    <w:rsid w:val="00AF04E6"/>
    <w:rsid w:val="00AF0E89"/>
    <w:rsid w:val="00AF31A3"/>
    <w:rsid w:val="00AF5E73"/>
    <w:rsid w:val="00B03258"/>
    <w:rsid w:val="00B069C9"/>
    <w:rsid w:val="00B10A57"/>
    <w:rsid w:val="00B11706"/>
    <w:rsid w:val="00B11A80"/>
    <w:rsid w:val="00B13502"/>
    <w:rsid w:val="00B16425"/>
    <w:rsid w:val="00B16954"/>
    <w:rsid w:val="00B16D78"/>
    <w:rsid w:val="00B2034C"/>
    <w:rsid w:val="00B21891"/>
    <w:rsid w:val="00B22466"/>
    <w:rsid w:val="00B22C44"/>
    <w:rsid w:val="00B23202"/>
    <w:rsid w:val="00B23E72"/>
    <w:rsid w:val="00B255A6"/>
    <w:rsid w:val="00B25C78"/>
    <w:rsid w:val="00B269CA"/>
    <w:rsid w:val="00B301A8"/>
    <w:rsid w:val="00B30616"/>
    <w:rsid w:val="00B30AB9"/>
    <w:rsid w:val="00B34523"/>
    <w:rsid w:val="00B34A74"/>
    <w:rsid w:val="00B34C11"/>
    <w:rsid w:val="00B34D64"/>
    <w:rsid w:val="00B35558"/>
    <w:rsid w:val="00B355A2"/>
    <w:rsid w:val="00B37A62"/>
    <w:rsid w:val="00B43941"/>
    <w:rsid w:val="00B466C9"/>
    <w:rsid w:val="00B501E9"/>
    <w:rsid w:val="00B518BF"/>
    <w:rsid w:val="00B5645F"/>
    <w:rsid w:val="00B567F8"/>
    <w:rsid w:val="00B627BD"/>
    <w:rsid w:val="00B64057"/>
    <w:rsid w:val="00B65730"/>
    <w:rsid w:val="00B66984"/>
    <w:rsid w:val="00B71DA3"/>
    <w:rsid w:val="00B722E6"/>
    <w:rsid w:val="00B7458D"/>
    <w:rsid w:val="00B75B48"/>
    <w:rsid w:val="00B75EA5"/>
    <w:rsid w:val="00B762FB"/>
    <w:rsid w:val="00B77979"/>
    <w:rsid w:val="00B84414"/>
    <w:rsid w:val="00B847DC"/>
    <w:rsid w:val="00B84B63"/>
    <w:rsid w:val="00B85B16"/>
    <w:rsid w:val="00B8691D"/>
    <w:rsid w:val="00B93D02"/>
    <w:rsid w:val="00BA1D18"/>
    <w:rsid w:val="00BA27B7"/>
    <w:rsid w:val="00BA2C04"/>
    <w:rsid w:val="00BA49C5"/>
    <w:rsid w:val="00BA4F20"/>
    <w:rsid w:val="00BA6DFB"/>
    <w:rsid w:val="00BB14F5"/>
    <w:rsid w:val="00BB1B23"/>
    <w:rsid w:val="00BB3E23"/>
    <w:rsid w:val="00BB5389"/>
    <w:rsid w:val="00BB6AF4"/>
    <w:rsid w:val="00BC11C3"/>
    <w:rsid w:val="00BC277A"/>
    <w:rsid w:val="00BC44AB"/>
    <w:rsid w:val="00BD5E88"/>
    <w:rsid w:val="00BD7C0A"/>
    <w:rsid w:val="00BE382A"/>
    <w:rsid w:val="00BE5F6F"/>
    <w:rsid w:val="00BF11AC"/>
    <w:rsid w:val="00BF42B7"/>
    <w:rsid w:val="00BF51A5"/>
    <w:rsid w:val="00BF52BA"/>
    <w:rsid w:val="00BF6B13"/>
    <w:rsid w:val="00C02B55"/>
    <w:rsid w:val="00C038DC"/>
    <w:rsid w:val="00C05A8C"/>
    <w:rsid w:val="00C11687"/>
    <w:rsid w:val="00C120DA"/>
    <w:rsid w:val="00C14EBF"/>
    <w:rsid w:val="00C20B0B"/>
    <w:rsid w:val="00C21044"/>
    <w:rsid w:val="00C2380A"/>
    <w:rsid w:val="00C23CD9"/>
    <w:rsid w:val="00C256EC"/>
    <w:rsid w:val="00C260C7"/>
    <w:rsid w:val="00C26553"/>
    <w:rsid w:val="00C3008E"/>
    <w:rsid w:val="00C3223C"/>
    <w:rsid w:val="00C45889"/>
    <w:rsid w:val="00C45A62"/>
    <w:rsid w:val="00C4679E"/>
    <w:rsid w:val="00C46940"/>
    <w:rsid w:val="00C5026C"/>
    <w:rsid w:val="00C50E21"/>
    <w:rsid w:val="00C52F7C"/>
    <w:rsid w:val="00C56030"/>
    <w:rsid w:val="00C5675F"/>
    <w:rsid w:val="00C56F1A"/>
    <w:rsid w:val="00C57AF0"/>
    <w:rsid w:val="00C61B7C"/>
    <w:rsid w:val="00C64036"/>
    <w:rsid w:val="00C64580"/>
    <w:rsid w:val="00C6647B"/>
    <w:rsid w:val="00C7279C"/>
    <w:rsid w:val="00C7360B"/>
    <w:rsid w:val="00C73B0C"/>
    <w:rsid w:val="00C741AA"/>
    <w:rsid w:val="00C77383"/>
    <w:rsid w:val="00C80D92"/>
    <w:rsid w:val="00C8190E"/>
    <w:rsid w:val="00C824CF"/>
    <w:rsid w:val="00C8315F"/>
    <w:rsid w:val="00C840F1"/>
    <w:rsid w:val="00C86D9E"/>
    <w:rsid w:val="00C87D01"/>
    <w:rsid w:val="00C9579A"/>
    <w:rsid w:val="00CA3195"/>
    <w:rsid w:val="00CA3A81"/>
    <w:rsid w:val="00CA3ED5"/>
    <w:rsid w:val="00CA3FCC"/>
    <w:rsid w:val="00CB0029"/>
    <w:rsid w:val="00CB02A8"/>
    <w:rsid w:val="00CB3CC6"/>
    <w:rsid w:val="00CC29D4"/>
    <w:rsid w:val="00CC3380"/>
    <w:rsid w:val="00CC3E6C"/>
    <w:rsid w:val="00CC45BB"/>
    <w:rsid w:val="00CC5923"/>
    <w:rsid w:val="00CC61F4"/>
    <w:rsid w:val="00CC6AD7"/>
    <w:rsid w:val="00CD0432"/>
    <w:rsid w:val="00CD0D1C"/>
    <w:rsid w:val="00CD1A61"/>
    <w:rsid w:val="00CD1ECA"/>
    <w:rsid w:val="00CD2062"/>
    <w:rsid w:val="00CD69BD"/>
    <w:rsid w:val="00CD7D3E"/>
    <w:rsid w:val="00CE01C5"/>
    <w:rsid w:val="00CE1B80"/>
    <w:rsid w:val="00CE4C4F"/>
    <w:rsid w:val="00CE5DD5"/>
    <w:rsid w:val="00CE6A94"/>
    <w:rsid w:val="00CE73E6"/>
    <w:rsid w:val="00CF3726"/>
    <w:rsid w:val="00CF59B1"/>
    <w:rsid w:val="00D0170A"/>
    <w:rsid w:val="00D03AE4"/>
    <w:rsid w:val="00D04CC5"/>
    <w:rsid w:val="00D075AA"/>
    <w:rsid w:val="00D10822"/>
    <w:rsid w:val="00D1195C"/>
    <w:rsid w:val="00D12AA2"/>
    <w:rsid w:val="00D1317D"/>
    <w:rsid w:val="00D1398D"/>
    <w:rsid w:val="00D14280"/>
    <w:rsid w:val="00D168AB"/>
    <w:rsid w:val="00D16FF1"/>
    <w:rsid w:val="00D1756A"/>
    <w:rsid w:val="00D21B3B"/>
    <w:rsid w:val="00D21D4A"/>
    <w:rsid w:val="00D32FFE"/>
    <w:rsid w:val="00D35118"/>
    <w:rsid w:val="00D35CBD"/>
    <w:rsid w:val="00D43996"/>
    <w:rsid w:val="00D43DAC"/>
    <w:rsid w:val="00D44134"/>
    <w:rsid w:val="00D444E8"/>
    <w:rsid w:val="00D44919"/>
    <w:rsid w:val="00D4516F"/>
    <w:rsid w:val="00D5014F"/>
    <w:rsid w:val="00D53A03"/>
    <w:rsid w:val="00D54EE3"/>
    <w:rsid w:val="00D553BE"/>
    <w:rsid w:val="00D6323F"/>
    <w:rsid w:val="00D63CC3"/>
    <w:rsid w:val="00D66A92"/>
    <w:rsid w:val="00D66CA3"/>
    <w:rsid w:val="00D70A66"/>
    <w:rsid w:val="00D71A05"/>
    <w:rsid w:val="00D80077"/>
    <w:rsid w:val="00D80178"/>
    <w:rsid w:val="00D81410"/>
    <w:rsid w:val="00D8287F"/>
    <w:rsid w:val="00D82D02"/>
    <w:rsid w:val="00D845E4"/>
    <w:rsid w:val="00D85446"/>
    <w:rsid w:val="00D85D43"/>
    <w:rsid w:val="00D85E58"/>
    <w:rsid w:val="00D86EB1"/>
    <w:rsid w:val="00D90325"/>
    <w:rsid w:val="00D923B5"/>
    <w:rsid w:val="00D970EC"/>
    <w:rsid w:val="00D97995"/>
    <w:rsid w:val="00DA0FF5"/>
    <w:rsid w:val="00DA2825"/>
    <w:rsid w:val="00DA6239"/>
    <w:rsid w:val="00DA728C"/>
    <w:rsid w:val="00DB0646"/>
    <w:rsid w:val="00DB1722"/>
    <w:rsid w:val="00DB22E7"/>
    <w:rsid w:val="00DB7076"/>
    <w:rsid w:val="00DB7D87"/>
    <w:rsid w:val="00DC2D90"/>
    <w:rsid w:val="00DC384B"/>
    <w:rsid w:val="00DC5E6B"/>
    <w:rsid w:val="00DC7720"/>
    <w:rsid w:val="00DD2989"/>
    <w:rsid w:val="00DD3706"/>
    <w:rsid w:val="00DD3DD6"/>
    <w:rsid w:val="00DD42B4"/>
    <w:rsid w:val="00DD4F3A"/>
    <w:rsid w:val="00DD694D"/>
    <w:rsid w:val="00DE438D"/>
    <w:rsid w:val="00DF31A5"/>
    <w:rsid w:val="00DF655F"/>
    <w:rsid w:val="00E01182"/>
    <w:rsid w:val="00E0368B"/>
    <w:rsid w:val="00E03B75"/>
    <w:rsid w:val="00E05CC8"/>
    <w:rsid w:val="00E07390"/>
    <w:rsid w:val="00E0790E"/>
    <w:rsid w:val="00E10D18"/>
    <w:rsid w:val="00E115EB"/>
    <w:rsid w:val="00E12151"/>
    <w:rsid w:val="00E122F6"/>
    <w:rsid w:val="00E14B46"/>
    <w:rsid w:val="00E225EC"/>
    <w:rsid w:val="00E3002E"/>
    <w:rsid w:val="00E30A40"/>
    <w:rsid w:val="00E30DE2"/>
    <w:rsid w:val="00E318FA"/>
    <w:rsid w:val="00E32BC8"/>
    <w:rsid w:val="00E32EF5"/>
    <w:rsid w:val="00E34B12"/>
    <w:rsid w:val="00E3530B"/>
    <w:rsid w:val="00E36965"/>
    <w:rsid w:val="00E4037F"/>
    <w:rsid w:val="00E43618"/>
    <w:rsid w:val="00E44840"/>
    <w:rsid w:val="00E4556E"/>
    <w:rsid w:val="00E45C2B"/>
    <w:rsid w:val="00E6147F"/>
    <w:rsid w:val="00E616FF"/>
    <w:rsid w:val="00E6206B"/>
    <w:rsid w:val="00E62074"/>
    <w:rsid w:val="00E63B69"/>
    <w:rsid w:val="00E63D1F"/>
    <w:rsid w:val="00E63D54"/>
    <w:rsid w:val="00E63FB2"/>
    <w:rsid w:val="00E64406"/>
    <w:rsid w:val="00E67D09"/>
    <w:rsid w:val="00E72AD0"/>
    <w:rsid w:val="00E730BC"/>
    <w:rsid w:val="00E82A6F"/>
    <w:rsid w:val="00E837F4"/>
    <w:rsid w:val="00E863CE"/>
    <w:rsid w:val="00E86FAC"/>
    <w:rsid w:val="00E94BBB"/>
    <w:rsid w:val="00E9693E"/>
    <w:rsid w:val="00EA1DE1"/>
    <w:rsid w:val="00EA48AE"/>
    <w:rsid w:val="00EA6103"/>
    <w:rsid w:val="00EA6925"/>
    <w:rsid w:val="00EB095C"/>
    <w:rsid w:val="00EB21D9"/>
    <w:rsid w:val="00EB25C4"/>
    <w:rsid w:val="00EB2F50"/>
    <w:rsid w:val="00EB3287"/>
    <w:rsid w:val="00EB3E63"/>
    <w:rsid w:val="00EB3F72"/>
    <w:rsid w:val="00EB50D0"/>
    <w:rsid w:val="00EB6F5C"/>
    <w:rsid w:val="00EC4369"/>
    <w:rsid w:val="00EC6D4E"/>
    <w:rsid w:val="00ED343C"/>
    <w:rsid w:val="00ED507E"/>
    <w:rsid w:val="00ED61A0"/>
    <w:rsid w:val="00EE08DA"/>
    <w:rsid w:val="00EE3F13"/>
    <w:rsid w:val="00F0143A"/>
    <w:rsid w:val="00F021A6"/>
    <w:rsid w:val="00F02E39"/>
    <w:rsid w:val="00F06C24"/>
    <w:rsid w:val="00F07755"/>
    <w:rsid w:val="00F11E83"/>
    <w:rsid w:val="00F13320"/>
    <w:rsid w:val="00F16E6D"/>
    <w:rsid w:val="00F20492"/>
    <w:rsid w:val="00F207C8"/>
    <w:rsid w:val="00F2080D"/>
    <w:rsid w:val="00F21B0C"/>
    <w:rsid w:val="00F25734"/>
    <w:rsid w:val="00F25813"/>
    <w:rsid w:val="00F26FCE"/>
    <w:rsid w:val="00F32E42"/>
    <w:rsid w:val="00F344F3"/>
    <w:rsid w:val="00F34DAC"/>
    <w:rsid w:val="00F379AB"/>
    <w:rsid w:val="00F42651"/>
    <w:rsid w:val="00F447FC"/>
    <w:rsid w:val="00F458E4"/>
    <w:rsid w:val="00F501B3"/>
    <w:rsid w:val="00F5030A"/>
    <w:rsid w:val="00F51A86"/>
    <w:rsid w:val="00F52836"/>
    <w:rsid w:val="00F52D3A"/>
    <w:rsid w:val="00F531CF"/>
    <w:rsid w:val="00F5485B"/>
    <w:rsid w:val="00F55AD1"/>
    <w:rsid w:val="00F6165D"/>
    <w:rsid w:val="00F61E26"/>
    <w:rsid w:val="00F6201A"/>
    <w:rsid w:val="00F64884"/>
    <w:rsid w:val="00F64EC0"/>
    <w:rsid w:val="00F675BB"/>
    <w:rsid w:val="00F7333F"/>
    <w:rsid w:val="00F752EF"/>
    <w:rsid w:val="00F773FD"/>
    <w:rsid w:val="00F775BC"/>
    <w:rsid w:val="00F8030C"/>
    <w:rsid w:val="00F8062B"/>
    <w:rsid w:val="00F90583"/>
    <w:rsid w:val="00F96CF3"/>
    <w:rsid w:val="00F975E3"/>
    <w:rsid w:val="00FA1989"/>
    <w:rsid w:val="00FB1965"/>
    <w:rsid w:val="00FB2FEF"/>
    <w:rsid w:val="00FB387F"/>
    <w:rsid w:val="00FB3C71"/>
    <w:rsid w:val="00FB4322"/>
    <w:rsid w:val="00FC102F"/>
    <w:rsid w:val="00FC36F5"/>
    <w:rsid w:val="00FC7D2C"/>
    <w:rsid w:val="00FD13CA"/>
    <w:rsid w:val="00FD27B7"/>
    <w:rsid w:val="00FD2F5C"/>
    <w:rsid w:val="00FD352F"/>
    <w:rsid w:val="00FD4CFD"/>
    <w:rsid w:val="00FD4ECB"/>
    <w:rsid w:val="00FD50FF"/>
    <w:rsid w:val="00FD5A02"/>
    <w:rsid w:val="00FD775B"/>
    <w:rsid w:val="00FE0588"/>
    <w:rsid w:val="00FE3FC1"/>
    <w:rsid w:val="00FE634A"/>
    <w:rsid w:val="00FE7A97"/>
    <w:rsid w:val="00FF6428"/>
    <w:rsid w:val="00FF70E4"/>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4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rPr>
      <w:rFonts w:ascii="Century Schoolbook" w:hAnsi="Century Schoolbook"/>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8D"/>
    <w:pPr>
      <w:tabs>
        <w:tab w:val="center" w:pos="4680"/>
        <w:tab w:val="right" w:pos="9360"/>
      </w:tabs>
    </w:pPr>
  </w:style>
  <w:style w:type="character" w:customStyle="1" w:styleId="HeaderChar">
    <w:name w:val="Header Char"/>
    <w:link w:val="Header"/>
    <w:uiPriority w:val="99"/>
    <w:rsid w:val="006C7D8D"/>
    <w:rPr>
      <w:rFonts w:ascii="Century Schoolbook" w:hAnsi="Century Schoolbook"/>
      <w:sz w:val="26"/>
      <w:szCs w:val="22"/>
    </w:rPr>
  </w:style>
  <w:style w:type="paragraph" w:styleId="Footer">
    <w:name w:val="footer"/>
    <w:basedOn w:val="Normal"/>
    <w:link w:val="FooterChar"/>
    <w:uiPriority w:val="99"/>
    <w:unhideWhenUsed/>
    <w:rsid w:val="006C7D8D"/>
    <w:pPr>
      <w:tabs>
        <w:tab w:val="center" w:pos="4680"/>
        <w:tab w:val="right" w:pos="9360"/>
      </w:tabs>
    </w:pPr>
  </w:style>
  <w:style w:type="character" w:customStyle="1" w:styleId="FooterChar">
    <w:name w:val="Footer Char"/>
    <w:link w:val="Footer"/>
    <w:uiPriority w:val="99"/>
    <w:rsid w:val="006C7D8D"/>
    <w:rPr>
      <w:rFonts w:ascii="Century Schoolbook" w:hAnsi="Century Schoolbook"/>
      <w:sz w:val="26"/>
      <w:szCs w:val="22"/>
    </w:rPr>
  </w:style>
  <w:style w:type="paragraph" w:styleId="FootnoteText">
    <w:name w:val="footnote text"/>
    <w:basedOn w:val="Normal"/>
    <w:link w:val="FootnoteTextChar"/>
    <w:uiPriority w:val="99"/>
    <w:semiHidden/>
    <w:unhideWhenUsed/>
    <w:rsid w:val="00C56030"/>
    <w:rPr>
      <w:sz w:val="20"/>
      <w:szCs w:val="20"/>
    </w:rPr>
  </w:style>
  <w:style w:type="character" w:customStyle="1" w:styleId="FootnoteTextChar">
    <w:name w:val="Footnote Text Char"/>
    <w:link w:val="FootnoteText"/>
    <w:uiPriority w:val="99"/>
    <w:semiHidden/>
    <w:rsid w:val="00C56030"/>
    <w:rPr>
      <w:rFonts w:ascii="Century Schoolbook" w:hAnsi="Century Schoolbook"/>
    </w:rPr>
  </w:style>
  <w:style w:type="character" w:styleId="FootnoteReference">
    <w:name w:val="footnote reference"/>
    <w:uiPriority w:val="99"/>
    <w:semiHidden/>
    <w:unhideWhenUsed/>
    <w:rsid w:val="00C56030"/>
    <w:rPr>
      <w:vertAlign w:val="superscript"/>
    </w:rPr>
  </w:style>
  <w:style w:type="paragraph" w:styleId="Revision">
    <w:name w:val="Revision"/>
    <w:hidden/>
    <w:uiPriority w:val="99"/>
    <w:semiHidden/>
    <w:rsid w:val="00D97995"/>
    <w:rPr>
      <w:rFonts w:ascii="Century Schoolbook" w:hAnsi="Century Schoolbook"/>
      <w:sz w:val="26"/>
      <w:szCs w:val="22"/>
    </w:rPr>
  </w:style>
  <w:style w:type="character" w:styleId="CommentReference">
    <w:name w:val="annotation reference"/>
    <w:basedOn w:val="DefaultParagraphFont"/>
    <w:uiPriority w:val="99"/>
    <w:semiHidden/>
    <w:unhideWhenUsed/>
    <w:rsid w:val="0000608B"/>
    <w:rPr>
      <w:sz w:val="16"/>
      <w:szCs w:val="16"/>
    </w:rPr>
  </w:style>
  <w:style w:type="paragraph" w:styleId="CommentText">
    <w:name w:val="annotation text"/>
    <w:basedOn w:val="Normal"/>
    <w:link w:val="CommentTextChar"/>
    <w:uiPriority w:val="99"/>
    <w:unhideWhenUsed/>
    <w:rsid w:val="0000608B"/>
    <w:pPr>
      <w:spacing w:line="240" w:lineRule="auto"/>
    </w:pPr>
    <w:rPr>
      <w:sz w:val="20"/>
      <w:szCs w:val="20"/>
    </w:rPr>
  </w:style>
  <w:style w:type="character" w:customStyle="1" w:styleId="CommentTextChar">
    <w:name w:val="Comment Text Char"/>
    <w:basedOn w:val="DefaultParagraphFont"/>
    <w:link w:val="CommentText"/>
    <w:uiPriority w:val="99"/>
    <w:rsid w:val="0000608B"/>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00608B"/>
    <w:rPr>
      <w:b/>
      <w:bCs/>
    </w:rPr>
  </w:style>
  <w:style w:type="character" w:customStyle="1" w:styleId="CommentSubjectChar">
    <w:name w:val="Comment Subject Char"/>
    <w:basedOn w:val="CommentTextChar"/>
    <w:link w:val="CommentSubject"/>
    <w:uiPriority w:val="99"/>
    <w:semiHidden/>
    <w:rsid w:val="0000608B"/>
    <w:rPr>
      <w:rFonts w:ascii="Century Schoolbook" w:hAnsi="Century Schoolbook"/>
      <w:b/>
      <w:bCs/>
    </w:rPr>
  </w:style>
  <w:style w:type="character" w:customStyle="1" w:styleId="cosearchterm">
    <w:name w:val="co_searchterm"/>
    <w:basedOn w:val="DefaultParagraphFont"/>
    <w:rsid w:val="00BA1D18"/>
  </w:style>
  <w:style w:type="character" w:styleId="Hyperlink">
    <w:name w:val="Hyperlink"/>
    <w:basedOn w:val="DefaultParagraphFont"/>
    <w:uiPriority w:val="99"/>
    <w:unhideWhenUsed/>
    <w:rsid w:val="00535F35"/>
    <w:rPr>
      <w:color w:val="0000FF"/>
      <w:u w:val="single"/>
    </w:rPr>
  </w:style>
  <w:style w:type="character" w:customStyle="1" w:styleId="UnresolvedMention1">
    <w:name w:val="Unresolved Mention1"/>
    <w:basedOn w:val="DefaultParagraphFont"/>
    <w:uiPriority w:val="99"/>
    <w:semiHidden/>
    <w:unhideWhenUsed/>
    <w:rsid w:val="003B34CB"/>
    <w:rPr>
      <w:color w:val="605E5C"/>
      <w:shd w:val="clear" w:color="auto" w:fill="E1DFDD"/>
    </w:rPr>
  </w:style>
  <w:style w:type="paragraph" w:styleId="BalloonText">
    <w:name w:val="Balloon Text"/>
    <w:basedOn w:val="Normal"/>
    <w:link w:val="BalloonTextChar"/>
    <w:uiPriority w:val="99"/>
    <w:semiHidden/>
    <w:unhideWhenUsed/>
    <w:rsid w:val="00F021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30">
      <w:bodyDiv w:val="1"/>
      <w:marLeft w:val="0"/>
      <w:marRight w:val="0"/>
      <w:marTop w:val="0"/>
      <w:marBottom w:val="0"/>
      <w:divBdr>
        <w:top w:val="none" w:sz="0" w:space="0" w:color="auto"/>
        <w:left w:val="none" w:sz="0" w:space="0" w:color="auto"/>
        <w:bottom w:val="none" w:sz="0" w:space="0" w:color="auto"/>
        <w:right w:val="none" w:sz="0" w:space="0" w:color="auto"/>
      </w:divBdr>
      <w:divsChild>
        <w:div w:id="1961645983">
          <w:marLeft w:val="0"/>
          <w:marRight w:val="0"/>
          <w:marTop w:val="0"/>
          <w:marBottom w:val="0"/>
          <w:divBdr>
            <w:top w:val="none" w:sz="0" w:space="0" w:color="3D3D3D"/>
            <w:left w:val="none" w:sz="0" w:space="0" w:color="3D3D3D"/>
            <w:bottom w:val="none" w:sz="0" w:space="0" w:color="3D3D3D"/>
            <w:right w:val="none" w:sz="0" w:space="0" w:color="3D3D3D"/>
          </w:divBdr>
        </w:div>
      </w:divsChild>
    </w:div>
    <w:div w:id="233786747">
      <w:bodyDiv w:val="1"/>
      <w:marLeft w:val="0"/>
      <w:marRight w:val="0"/>
      <w:marTop w:val="0"/>
      <w:marBottom w:val="0"/>
      <w:divBdr>
        <w:top w:val="none" w:sz="0" w:space="0" w:color="auto"/>
        <w:left w:val="none" w:sz="0" w:space="0" w:color="auto"/>
        <w:bottom w:val="none" w:sz="0" w:space="0" w:color="auto"/>
        <w:right w:val="none" w:sz="0" w:space="0" w:color="auto"/>
      </w:divBdr>
      <w:divsChild>
        <w:div w:id="613170260">
          <w:marLeft w:val="0"/>
          <w:marRight w:val="0"/>
          <w:marTop w:val="0"/>
          <w:marBottom w:val="0"/>
          <w:divBdr>
            <w:top w:val="none" w:sz="0" w:space="0" w:color="3D3D3D"/>
            <w:left w:val="none" w:sz="0" w:space="0" w:color="3D3D3D"/>
            <w:bottom w:val="none" w:sz="0" w:space="0" w:color="3D3D3D"/>
            <w:right w:val="none" w:sz="0" w:space="0" w:color="3D3D3D"/>
          </w:divBdr>
          <w:divsChild>
            <w:div w:id="1154878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94677346">
      <w:bodyDiv w:val="1"/>
      <w:marLeft w:val="0"/>
      <w:marRight w:val="0"/>
      <w:marTop w:val="0"/>
      <w:marBottom w:val="0"/>
      <w:divBdr>
        <w:top w:val="none" w:sz="0" w:space="0" w:color="auto"/>
        <w:left w:val="none" w:sz="0" w:space="0" w:color="auto"/>
        <w:bottom w:val="none" w:sz="0" w:space="0" w:color="auto"/>
        <w:right w:val="none" w:sz="0" w:space="0" w:color="auto"/>
      </w:divBdr>
      <w:divsChild>
        <w:div w:id="517352021">
          <w:marLeft w:val="0"/>
          <w:marRight w:val="0"/>
          <w:marTop w:val="0"/>
          <w:marBottom w:val="0"/>
          <w:divBdr>
            <w:top w:val="none" w:sz="0" w:space="0" w:color="3D3D3D"/>
            <w:left w:val="none" w:sz="0" w:space="0" w:color="3D3D3D"/>
            <w:bottom w:val="none" w:sz="0" w:space="0" w:color="3D3D3D"/>
            <w:right w:val="none" w:sz="0" w:space="0" w:color="3D3D3D"/>
          </w:divBdr>
          <w:divsChild>
            <w:div w:id="7974083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7902464">
      <w:bodyDiv w:val="1"/>
      <w:marLeft w:val="0"/>
      <w:marRight w:val="0"/>
      <w:marTop w:val="0"/>
      <w:marBottom w:val="0"/>
      <w:divBdr>
        <w:top w:val="none" w:sz="0" w:space="0" w:color="auto"/>
        <w:left w:val="none" w:sz="0" w:space="0" w:color="auto"/>
        <w:bottom w:val="none" w:sz="0" w:space="0" w:color="auto"/>
        <w:right w:val="none" w:sz="0" w:space="0" w:color="auto"/>
      </w:divBdr>
      <w:divsChild>
        <w:div w:id="188225324">
          <w:marLeft w:val="0"/>
          <w:marRight w:val="0"/>
          <w:marTop w:val="0"/>
          <w:marBottom w:val="0"/>
          <w:divBdr>
            <w:top w:val="none" w:sz="0" w:space="0" w:color="3D3D3D"/>
            <w:left w:val="none" w:sz="0" w:space="0" w:color="3D3D3D"/>
            <w:bottom w:val="none" w:sz="0" w:space="0" w:color="3D3D3D"/>
            <w:right w:val="none" w:sz="0" w:space="0" w:color="3D3D3D"/>
          </w:divBdr>
          <w:divsChild>
            <w:div w:id="8778194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79658267">
      <w:bodyDiv w:val="1"/>
      <w:marLeft w:val="0"/>
      <w:marRight w:val="0"/>
      <w:marTop w:val="0"/>
      <w:marBottom w:val="0"/>
      <w:divBdr>
        <w:top w:val="none" w:sz="0" w:space="0" w:color="auto"/>
        <w:left w:val="none" w:sz="0" w:space="0" w:color="auto"/>
        <w:bottom w:val="none" w:sz="0" w:space="0" w:color="auto"/>
        <w:right w:val="none" w:sz="0" w:space="0" w:color="auto"/>
      </w:divBdr>
      <w:divsChild>
        <w:div w:id="203717501">
          <w:marLeft w:val="0"/>
          <w:marRight w:val="0"/>
          <w:marTop w:val="0"/>
          <w:marBottom w:val="0"/>
          <w:divBdr>
            <w:top w:val="none" w:sz="0" w:space="0" w:color="3D3D3D"/>
            <w:left w:val="none" w:sz="0" w:space="0" w:color="3D3D3D"/>
            <w:bottom w:val="none" w:sz="0" w:space="0" w:color="3D3D3D"/>
            <w:right w:val="none" w:sz="0" w:space="0" w:color="3D3D3D"/>
          </w:divBdr>
          <w:divsChild>
            <w:div w:id="213537131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6605378">
      <w:bodyDiv w:val="1"/>
      <w:marLeft w:val="0"/>
      <w:marRight w:val="0"/>
      <w:marTop w:val="0"/>
      <w:marBottom w:val="0"/>
      <w:divBdr>
        <w:top w:val="none" w:sz="0" w:space="0" w:color="auto"/>
        <w:left w:val="none" w:sz="0" w:space="0" w:color="auto"/>
        <w:bottom w:val="none" w:sz="0" w:space="0" w:color="auto"/>
        <w:right w:val="none" w:sz="0" w:space="0" w:color="auto"/>
      </w:divBdr>
      <w:divsChild>
        <w:div w:id="966205329">
          <w:marLeft w:val="0"/>
          <w:marRight w:val="0"/>
          <w:marTop w:val="0"/>
          <w:marBottom w:val="0"/>
          <w:divBdr>
            <w:top w:val="none" w:sz="0" w:space="0" w:color="3D3D3D"/>
            <w:left w:val="none" w:sz="0" w:space="0" w:color="3D3D3D"/>
            <w:bottom w:val="none" w:sz="0" w:space="0" w:color="3D3D3D"/>
            <w:right w:val="none" w:sz="0" w:space="0" w:color="3D3D3D"/>
          </w:divBdr>
          <w:divsChild>
            <w:div w:id="14026039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44093070">
      <w:bodyDiv w:val="1"/>
      <w:marLeft w:val="0"/>
      <w:marRight w:val="0"/>
      <w:marTop w:val="0"/>
      <w:marBottom w:val="0"/>
      <w:divBdr>
        <w:top w:val="none" w:sz="0" w:space="0" w:color="auto"/>
        <w:left w:val="none" w:sz="0" w:space="0" w:color="auto"/>
        <w:bottom w:val="none" w:sz="0" w:space="0" w:color="auto"/>
        <w:right w:val="none" w:sz="0" w:space="0" w:color="auto"/>
      </w:divBdr>
      <w:divsChild>
        <w:div w:id="619341041">
          <w:marLeft w:val="0"/>
          <w:marRight w:val="0"/>
          <w:marTop w:val="0"/>
          <w:marBottom w:val="0"/>
          <w:divBdr>
            <w:top w:val="none" w:sz="0" w:space="0" w:color="3D3D3D"/>
            <w:left w:val="none" w:sz="0" w:space="0" w:color="3D3D3D"/>
            <w:bottom w:val="none" w:sz="0" w:space="0" w:color="3D3D3D"/>
            <w:right w:val="none" w:sz="0" w:space="0" w:color="3D3D3D"/>
          </w:divBdr>
        </w:div>
      </w:divsChild>
    </w:div>
    <w:div w:id="679546710">
      <w:bodyDiv w:val="1"/>
      <w:marLeft w:val="0"/>
      <w:marRight w:val="0"/>
      <w:marTop w:val="0"/>
      <w:marBottom w:val="0"/>
      <w:divBdr>
        <w:top w:val="none" w:sz="0" w:space="0" w:color="auto"/>
        <w:left w:val="none" w:sz="0" w:space="0" w:color="auto"/>
        <w:bottom w:val="none" w:sz="0" w:space="0" w:color="auto"/>
        <w:right w:val="none" w:sz="0" w:space="0" w:color="auto"/>
      </w:divBdr>
      <w:divsChild>
        <w:div w:id="1760253365">
          <w:marLeft w:val="0"/>
          <w:marRight w:val="0"/>
          <w:marTop w:val="0"/>
          <w:marBottom w:val="0"/>
          <w:divBdr>
            <w:top w:val="none" w:sz="0" w:space="0" w:color="3D3D3D"/>
            <w:left w:val="none" w:sz="0" w:space="0" w:color="3D3D3D"/>
            <w:bottom w:val="none" w:sz="0" w:space="0" w:color="3D3D3D"/>
            <w:right w:val="none" w:sz="0" w:space="0" w:color="3D3D3D"/>
          </w:divBdr>
          <w:divsChild>
            <w:div w:id="13806686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7801087">
      <w:bodyDiv w:val="1"/>
      <w:marLeft w:val="0"/>
      <w:marRight w:val="0"/>
      <w:marTop w:val="0"/>
      <w:marBottom w:val="0"/>
      <w:divBdr>
        <w:top w:val="none" w:sz="0" w:space="0" w:color="auto"/>
        <w:left w:val="none" w:sz="0" w:space="0" w:color="auto"/>
        <w:bottom w:val="none" w:sz="0" w:space="0" w:color="auto"/>
        <w:right w:val="none" w:sz="0" w:space="0" w:color="auto"/>
      </w:divBdr>
      <w:divsChild>
        <w:div w:id="185481801">
          <w:marLeft w:val="0"/>
          <w:marRight w:val="0"/>
          <w:marTop w:val="0"/>
          <w:marBottom w:val="0"/>
          <w:divBdr>
            <w:top w:val="none" w:sz="0" w:space="0" w:color="3D3D3D"/>
            <w:left w:val="none" w:sz="0" w:space="0" w:color="3D3D3D"/>
            <w:bottom w:val="none" w:sz="0" w:space="0" w:color="3D3D3D"/>
            <w:right w:val="none" w:sz="0" w:space="0" w:color="3D3D3D"/>
          </w:divBdr>
          <w:divsChild>
            <w:div w:id="14805328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5125355">
      <w:bodyDiv w:val="1"/>
      <w:marLeft w:val="0"/>
      <w:marRight w:val="0"/>
      <w:marTop w:val="0"/>
      <w:marBottom w:val="0"/>
      <w:divBdr>
        <w:top w:val="none" w:sz="0" w:space="0" w:color="auto"/>
        <w:left w:val="none" w:sz="0" w:space="0" w:color="auto"/>
        <w:bottom w:val="none" w:sz="0" w:space="0" w:color="auto"/>
        <w:right w:val="none" w:sz="0" w:space="0" w:color="auto"/>
      </w:divBdr>
      <w:divsChild>
        <w:div w:id="1034234514">
          <w:marLeft w:val="0"/>
          <w:marRight w:val="0"/>
          <w:marTop w:val="0"/>
          <w:marBottom w:val="0"/>
          <w:divBdr>
            <w:top w:val="none" w:sz="0" w:space="0" w:color="3D3D3D"/>
            <w:left w:val="none" w:sz="0" w:space="0" w:color="3D3D3D"/>
            <w:bottom w:val="none" w:sz="0" w:space="0" w:color="3D3D3D"/>
            <w:right w:val="none" w:sz="0" w:space="0" w:color="3D3D3D"/>
          </w:divBdr>
          <w:divsChild>
            <w:div w:id="118782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1962623">
      <w:bodyDiv w:val="1"/>
      <w:marLeft w:val="0"/>
      <w:marRight w:val="0"/>
      <w:marTop w:val="0"/>
      <w:marBottom w:val="0"/>
      <w:divBdr>
        <w:top w:val="none" w:sz="0" w:space="0" w:color="auto"/>
        <w:left w:val="none" w:sz="0" w:space="0" w:color="auto"/>
        <w:bottom w:val="none" w:sz="0" w:space="0" w:color="auto"/>
        <w:right w:val="none" w:sz="0" w:space="0" w:color="auto"/>
      </w:divBdr>
      <w:divsChild>
        <w:div w:id="362365381">
          <w:marLeft w:val="0"/>
          <w:marRight w:val="0"/>
          <w:marTop w:val="0"/>
          <w:marBottom w:val="0"/>
          <w:divBdr>
            <w:top w:val="none" w:sz="0" w:space="0" w:color="3D3D3D"/>
            <w:left w:val="none" w:sz="0" w:space="0" w:color="3D3D3D"/>
            <w:bottom w:val="none" w:sz="0" w:space="0" w:color="3D3D3D"/>
            <w:right w:val="none" w:sz="0" w:space="0" w:color="3D3D3D"/>
          </w:divBdr>
          <w:divsChild>
            <w:div w:id="8745423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0329415">
      <w:bodyDiv w:val="1"/>
      <w:marLeft w:val="0"/>
      <w:marRight w:val="0"/>
      <w:marTop w:val="0"/>
      <w:marBottom w:val="0"/>
      <w:divBdr>
        <w:top w:val="none" w:sz="0" w:space="0" w:color="auto"/>
        <w:left w:val="none" w:sz="0" w:space="0" w:color="auto"/>
        <w:bottom w:val="none" w:sz="0" w:space="0" w:color="auto"/>
        <w:right w:val="none" w:sz="0" w:space="0" w:color="auto"/>
      </w:divBdr>
      <w:divsChild>
        <w:div w:id="668874350">
          <w:marLeft w:val="0"/>
          <w:marRight w:val="0"/>
          <w:marTop w:val="0"/>
          <w:marBottom w:val="0"/>
          <w:divBdr>
            <w:top w:val="none" w:sz="0" w:space="0" w:color="3D3D3D"/>
            <w:left w:val="none" w:sz="0" w:space="0" w:color="3D3D3D"/>
            <w:bottom w:val="none" w:sz="0" w:space="0" w:color="3D3D3D"/>
            <w:right w:val="none" w:sz="0" w:space="0" w:color="3D3D3D"/>
          </w:divBdr>
          <w:divsChild>
            <w:div w:id="5816415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4150704">
      <w:bodyDiv w:val="1"/>
      <w:marLeft w:val="0"/>
      <w:marRight w:val="0"/>
      <w:marTop w:val="0"/>
      <w:marBottom w:val="0"/>
      <w:divBdr>
        <w:top w:val="none" w:sz="0" w:space="0" w:color="auto"/>
        <w:left w:val="none" w:sz="0" w:space="0" w:color="auto"/>
        <w:bottom w:val="none" w:sz="0" w:space="0" w:color="auto"/>
        <w:right w:val="none" w:sz="0" w:space="0" w:color="auto"/>
      </w:divBdr>
      <w:divsChild>
        <w:div w:id="1421412521">
          <w:marLeft w:val="0"/>
          <w:marRight w:val="0"/>
          <w:marTop w:val="0"/>
          <w:marBottom w:val="0"/>
          <w:divBdr>
            <w:top w:val="none" w:sz="0" w:space="0" w:color="3D3D3D"/>
            <w:left w:val="none" w:sz="0" w:space="0" w:color="3D3D3D"/>
            <w:bottom w:val="none" w:sz="0" w:space="0" w:color="3D3D3D"/>
            <w:right w:val="none" w:sz="0" w:space="0" w:color="3D3D3D"/>
          </w:divBdr>
          <w:divsChild>
            <w:div w:id="15317248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8879702">
      <w:bodyDiv w:val="1"/>
      <w:marLeft w:val="0"/>
      <w:marRight w:val="0"/>
      <w:marTop w:val="0"/>
      <w:marBottom w:val="0"/>
      <w:divBdr>
        <w:top w:val="none" w:sz="0" w:space="0" w:color="auto"/>
        <w:left w:val="none" w:sz="0" w:space="0" w:color="auto"/>
        <w:bottom w:val="none" w:sz="0" w:space="0" w:color="auto"/>
        <w:right w:val="none" w:sz="0" w:space="0" w:color="auto"/>
      </w:divBdr>
      <w:divsChild>
        <w:div w:id="1131173956">
          <w:marLeft w:val="0"/>
          <w:marRight w:val="0"/>
          <w:marTop w:val="0"/>
          <w:marBottom w:val="0"/>
          <w:divBdr>
            <w:top w:val="none" w:sz="0" w:space="0" w:color="3D3D3D"/>
            <w:left w:val="none" w:sz="0" w:space="0" w:color="3D3D3D"/>
            <w:bottom w:val="none" w:sz="0" w:space="0" w:color="3D3D3D"/>
            <w:right w:val="none" w:sz="0" w:space="0" w:color="3D3D3D"/>
          </w:divBdr>
          <w:divsChild>
            <w:div w:id="3321475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5162275">
      <w:bodyDiv w:val="1"/>
      <w:marLeft w:val="0"/>
      <w:marRight w:val="0"/>
      <w:marTop w:val="0"/>
      <w:marBottom w:val="0"/>
      <w:divBdr>
        <w:top w:val="none" w:sz="0" w:space="0" w:color="auto"/>
        <w:left w:val="none" w:sz="0" w:space="0" w:color="auto"/>
        <w:bottom w:val="none" w:sz="0" w:space="0" w:color="auto"/>
        <w:right w:val="none" w:sz="0" w:space="0" w:color="auto"/>
      </w:divBdr>
      <w:divsChild>
        <w:div w:id="871504246">
          <w:marLeft w:val="0"/>
          <w:marRight w:val="0"/>
          <w:marTop w:val="0"/>
          <w:marBottom w:val="0"/>
          <w:divBdr>
            <w:top w:val="none" w:sz="0" w:space="0" w:color="3D3D3D"/>
            <w:left w:val="none" w:sz="0" w:space="0" w:color="3D3D3D"/>
            <w:bottom w:val="none" w:sz="0" w:space="0" w:color="3D3D3D"/>
            <w:right w:val="none" w:sz="0" w:space="0" w:color="3D3D3D"/>
          </w:divBdr>
          <w:divsChild>
            <w:div w:id="1651767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7480815">
      <w:bodyDiv w:val="1"/>
      <w:marLeft w:val="0"/>
      <w:marRight w:val="0"/>
      <w:marTop w:val="0"/>
      <w:marBottom w:val="0"/>
      <w:divBdr>
        <w:top w:val="none" w:sz="0" w:space="0" w:color="auto"/>
        <w:left w:val="none" w:sz="0" w:space="0" w:color="auto"/>
        <w:bottom w:val="none" w:sz="0" w:space="0" w:color="auto"/>
        <w:right w:val="none" w:sz="0" w:space="0" w:color="auto"/>
      </w:divBdr>
      <w:divsChild>
        <w:div w:id="735858272">
          <w:marLeft w:val="0"/>
          <w:marRight w:val="0"/>
          <w:marTop w:val="0"/>
          <w:marBottom w:val="0"/>
          <w:divBdr>
            <w:top w:val="none" w:sz="0" w:space="0" w:color="3D3D3D"/>
            <w:left w:val="none" w:sz="0" w:space="0" w:color="3D3D3D"/>
            <w:bottom w:val="none" w:sz="0" w:space="0" w:color="3D3D3D"/>
            <w:right w:val="none" w:sz="0" w:space="0" w:color="3D3D3D"/>
          </w:divBdr>
          <w:divsChild>
            <w:div w:id="5331591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9947099">
      <w:bodyDiv w:val="1"/>
      <w:marLeft w:val="0"/>
      <w:marRight w:val="0"/>
      <w:marTop w:val="0"/>
      <w:marBottom w:val="0"/>
      <w:divBdr>
        <w:top w:val="none" w:sz="0" w:space="0" w:color="auto"/>
        <w:left w:val="none" w:sz="0" w:space="0" w:color="auto"/>
        <w:bottom w:val="none" w:sz="0" w:space="0" w:color="auto"/>
        <w:right w:val="none" w:sz="0" w:space="0" w:color="auto"/>
      </w:divBdr>
      <w:divsChild>
        <w:div w:id="777411236">
          <w:marLeft w:val="0"/>
          <w:marRight w:val="0"/>
          <w:marTop w:val="0"/>
          <w:marBottom w:val="0"/>
          <w:divBdr>
            <w:top w:val="none" w:sz="0" w:space="0" w:color="3D3D3D"/>
            <w:left w:val="none" w:sz="0" w:space="0" w:color="3D3D3D"/>
            <w:bottom w:val="none" w:sz="0" w:space="0" w:color="3D3D3D"/>
            <w:right w:val="none" w:sz="0" w:space="0" w:color="3D3D3D"/>
          </w:divBdr>
          <w:divsChild>
            <w:div w:id="15541905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7737825">
      <w:bodyDiv w:val="1"/>
      <w:marLeft w:val="0"/>
      <w:marRight w:val="0"/>
      <w:marTop w:val="0"/>
      <w:marBottom w:val="0"/>
      <w:divBdr>
        <w:top w:val="none" w:sz="0" w:space="0" w:color="auto"/>
        <w:left w:val="none" w:sz="0" w:space="0" w:color="auto"/>
        <w:bottom w:val="none" w:sz="0" w:space="0" w:color="auto"/>
        <w:right w:val="none" w:sz="0" w:space="0" w:color="auto"/>
      </w:divBdr>
      <w:divsChild>
        <w:div w:id="240796389">
          <w:marLeft w:val="0"/>
          <w:marRight w:val="0"/>
          <w:marTop w:val="0"/>
          <w:marBottom w:val="0"/>
          <w:divBdr>
            <w:top w:val="none" w:sz="0" w:space="0" w:color="3D3D3D"/>
            <w:left w:val="none" w:sz="0" w:space="0" w:color="3D3D3D"/>
            <w:bottom w:val="none" w:sz="0" w:space="0" w:color="3D3D3D"/>
            <w:right w:val="none" w:sz="0" w:space="0" w:color="3D3D3D"/>
          </w:divBdr>
          <w:divsChild>
            <w:div w:id="7336955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13826</Characters>
  <Application>Microsoft Office Word</Application>
  <DocSecurity>0</DocSecurity>
  <Lines>318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2024-01-17T20:55:00Z</cp:lastPrinted>
  <dcterms:created xsi:type="dcterms:W3CDTF">2024-01-17T21:05:00Z</dcterms:created>
  <dcterms:modified xsi:type="dcterms:W3CDTF">2024-01-17T21:05:00Z</dcterms:modified>
  <cp:category/>
</cp:coreProperties>
</file>