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0FDF6" w14:textId="0BA59EB6" w:rsidR="009E65CC" w:rsidRPr="00FB6100" w:rsidRDefault="009E65CC" w:rsidP="000E4E41">
      <w:pPr>
        <w:spacing w:line="240" w:lineRule="auto"/>
        <w:rPr>
          <w:bCs/>
          <w:sz w:val="20"/>
          <w:szCs w:val="20"/>
        </w:rPr>
      </w:pPr>
      <w:r w:rsidRPr="00FB6100">
        <w:rPr>
          <w:bCs/>
          <w:sz w:val="20"/>
          <w:szCs w:val="20"/>
        </w:rPr>
        <w:t>Filed 12/29/</w:t>
      </w:r>
      <w:r w:rsidRPr="00FB6100">
        <w:rPr>
          <w:bCs/>
          <w:sz w:val="20"/>
          <w:szCs w:val="20"/>
        </w:rPr>
        <w:t>23</w:t>
      </w:r>
    </w:p>
    <w:p w14:paraId="23FB737A" w14:textId="77777777" w:rsidR="009E65CC" w:rsidRPr="00C57589" w:rsidRDefault="009E65CC" w:rsidP="00137D38">
      <w:pPr>
        <w:spacing w:line="240" w:lineRule="auto"/>
        <w:jc w:val="center"/>
        <w:rPr>
          <w:b/>
        </w:rPr>
      </w:pPr>
      <w:r w:rsidRPr="00C57589">
        <w:rPr>
          <w:b/>
        </w:rPr>
        <w:t>CERTIFIED FOR PUBLICATION</w:t>
      </w:r>
    </w:p>
    <w:p w14:paraId="0089D024" w14:textId="77777777" w:rsidR="009E65CC" w:rsidRPr="00C57589" w:rsidRDefault="009E65CC" w:rsidP="009B3506">
      <w:pPr>
        <w:spacing w:line="240" w:lineRule="auto"/>
      </w:pPr>
    </w:p>
    <w:p w14:paraId="42029526" w14:textId="77777777" w:rsidR="009E65CC" w:rsidRPr="00C57589" w:rsidRDefault="009E65CC" w:rsidP="00137D38">
      <w:pPr>
        <w:spacing w:line="240" w:lineRule="auto"/>
        <w:jc w:val="center"/>
      </w:pPr>
      <w:r w:rsidRPr="00C57589">
        <w:t>IN THE COURT OF APPEAL OF THE STATE OF CALIFORNIA</w:t>
      </w:r>
    </w:p>
    <w:p w14:paraId="7820A2C0" w14:textId="77777777" w:rsidR="009E65CC" w:rsidRPr="00C57589" w:rsidRDefault="009E65CC" w:rsidP="00137D38">
      <w:pPr>
        <w:spacing w:line="240" w:lineRule="auto"/>
        <w:jc w:val="center"/>
      </w:pPr>
    </w:p>
    <w:p w14:paraId="1710A427" w14:textId="77777777" w:rsidR="009E65CC" w:rsidRPr="00C57589" w:rsidRDefault="009E65CC" w:rsidP="00137D38">
      <w:pPr>
        <w:spacing w:line="240" w:lineRule="auto"/>
        <w:jc w:val="center"/>
      </w:pPr>
      <w:r w:rsidRPr="00C57589">
        <w:t>SECOND APPELLATE DISTRICT</w:t>
      </w:r>
    </w:p>
    <w:p w14:paraId="74761E24" w14:textId="77777777" w:rsidR="009E65CC" w:rsidRPr="00C57589" w:rsidRDefault="009E65CC" w:rsidP="00137D38">
      <w:pPr>
        <w:spacing w:line="240" w:lineRule="auto"/>
        <w:jc w:val="center"/>
      </w:pPr>
    </w:p>
    <w:p w14:paraId="726F5132" w14:textId="77777777" w:rsidR="009E65CC" w:rsidRPr="00C57589" w:rsidRDefault="009E65CC" w:rsidP="00137D38">
      <w:pPr>
        <w:spacing w:line="240" w:lineRule="auto"/>
        <w:jc w:val="center"/>
      </w:pPr>
      <w:r w:rsidRPr="00C57589">
        <w:t>DIVISION TWO</w:t>
      </w:r>
    </w:p>
    <w:p w14:paraId="338AF0C3" w14:textId="77777777" w:rsidR="009E65CC" w:rsidRPr="00C57589" w:rsidRDefault="009E65CC" w:rsidP="00137D38">
      <w:pPr>
        <w:spacing w:line="240" w:lineRule="auto"/>
        <w:jc w:val="center"/>
      </w:pPr>
    </w:p>
    <w:p w14:paraId="74433D95" w14:textId="77777777" w:rsidR="009E65CC" w:rsidRPr="00C57589" w:rsidRDefault="009E65CC" w:rsidP="00137D38">
      <w:pPr>
        <w:spacing w:line="240" w:lineRule="auto"/>
        <w:jc w:val="center"/>
      </w:pPr>
    </w:p>
    <w:tbl>
      <w:tblPr>
        <w:tblW w:w="0" w:type="auto"/>
        <w:tblLayout w:type="fixed"/>
        <w:tblLook w:val="0000" w:firstRow="0" w:lastRow="0" w:firstColumn="0" w:lastColumn="0" w:noHBand="0" w:noVBand="0"/>
      </w:tblPr>
      <w:tblGrid>
        <w:gridCol w:w="3960"/>
        <w:gridCol w:w="3960"/>
      </w:tblGrid>
      <w:tr w:rsidR="00FD4E9C" w14:paraId="2EE89438" w14:textId="77777777" w:rsidTr="00137D38">
        <w:tc>
          <w:tcPr>
            <w:tcW w:w="3960" w:type="dxa"/>
            <w:tcBorders>
              <w:bottom w:val="single" w:sz="4" w:space="0" w:color="auto"/>
              <w:right w:val="single" w:sz="4" w:space="0" w:color="auto"/>
            </w:tcBorders>
            <w:shd w:val="clear" w:color="auto" w:fill="auto"/>
          </w:tcPr>
          <w:p w14:paraId="529E67AD" w14:textId="77777777" w:rsidR="009E65CC" w:rsidRPr="00C57589" w:rsidRDefault="009E65CC" w:rsidP="00137D38">
            <w:pPr>
              <w:spacing w:line="240" w:lineRule="auto"/>
            </w:pPr>
            <w:r w:rsidRPr="00C57589">
              <w:t>JOSHUA ZAMORA GONZALES,</w:t>
            </w:r>
          </w:p>
          <w:p w14:paraId="21FC3D14" w14:textId="77777777" w:rsidR="009E65CC" w:rsidRPr="00C57589" w:rsidRDefault="009E65CC" w:rsidP="00137D38">
            <w:pPr>
              <w:spacing w:line="240" w:lineRule="auto"/>
            </w:pPr>
          </w:p>
          <w:p w14:paraId="64BFEAF3" w14:textId="77777777" w:rsidR="009E65CC" w:rsidRPr="00C57589" w:rsidRDefault="009E65CC" w:rsidP="00137D38">
            <w:pPr>
              <w:spacing w:line="240" w:lineRule="auto"/>
            </w:pPr>
            <w:r w:rsidRPr="00C57589">
              <w:tab/>
              <w:t>Plaintiff and Appellant,</w:t>
            </w:r>
          </w:p>
          <w:p w14:paraId="31A55F71" w14:textId="77777777" w:rsidR="009E65CC" w:rsidRPr="00C57589" w:rsidRDefault="009E65CC" w:rsidP="00137D38">
            <w:pPr>
              <w:spacing w:line="240" w:lineRule="auto"/>
            </w:pPr>
          </w:p>
          <w:p w14:paraId="304B52DC" w14:textId="77777777" w:rsidR="009E65CC" w:rsidRPr="00C57589" w:rsidRDefault="009E65CC" w:rsidP="00137D38">
            <w:pPr>
              <w:spacing w:line="240" w:lineRule="auto"/>
            </w:pPr>
            <w:r w:rsidRPr="00C57589">
              <w:tab/>
              <w:t>v.</w:t>
            </w:r>
          </w:p>
          <w:p w14:paraId="54B68F79" w14:textId="77777777" w:rsidR="009E65CC" w:rsidRPr="00C57589" w:rsidRDefault="009E65CC" w:rsidP="00137D38">
            <w:pPr>
              <w:spacing w:line="240" w:lineRule="auto"/>
            </w:pPr>
          </w:p>
          <w:p w14:paraId="7AAAEEB8" w14:textId="77777777" w:rsidR="009E65CC" w:rsidRPr="00C57589" w:rsidRDefault="009E65CC" w:rsidP="00137D38">
            <w:pPr>
              <w:spacing w:line="240" w:lineRule="auto"/>
            </w:pPr>
            <w:r w:rsidRPr="00C57589">
              <w:t>CALIFORNIA VICTIM COMPENSATION BOARD,</w:t>
            </w:r>
          </w:p>
          <w:p w14:paraId="0A94F9EA" w14:textId="77777777" w:rsidR="009E65CC" w:rsidRPr="00C57589" w:rsidRDefault="009E65CC" w:rsidP="00137D38">
            <w:pPr>
              <w:spacing w:line="240" w:lineRule="auto"/>
            </w:pPr>
          </w:p>
          <w:p w14:paraId="10443D3C" w14:textId="77777777" w:rsidR="009E65CC" w:rsidRPr="00C57589" w:rsidRDefault="009E65CC" w:rsidP="00137D38">
            <w:pPr>
              <w:spacing w:line="240" w:lineRule="auto"/>
            </w:pPr>
            <w:r w:rsidRPr="00C57589">
              <w:tab/>
              <w:t xml:space="preserve">Defendant and </w:t>
            </w:r>
            <w:proofErr w:type="gramStart"/>
            <w:r w:rsidRPr="00C57589">
              <w:t>Respondent</w:t>
            </w:r>
            <w:r w:rsidRPr="00C57589">
              <w:t>;</w:t>
            </w:r>
            <w:proofErr w:type="gramEnd"/>
          </w:p>
          <w:p w14:paraId="24EDD541" w14:textId="77777777" w:rsidR="009E65CC" w:rsidRPr="00C57589" w:rsidRDefault="009E65CC" w:rsidP="00137D38">
            <w:pPr>
              <w:spacing w:line="240" w:lineRule="auto"/>
            </w:pPr>
          </w:p>
          <w:p w14:paraId="531AE9C4" w14:textId="77777777" w:rsidR="009E65CC" w:rsidRPr="00C57589" w:rsidRDefault="009E65CC" w:rsidP="00137D38">
            <w:pPr>
              <w:spacing w:line="240" w:lineRule="auto"/>
            </w:pPr>
            <w:r w:rsidRPr="00C57589">
              <w:t>PEOPLE OF THE STATE OF CALIFORNIA,</w:t>
            </w:r>
          </w:p>
          <w:p w14:paraId="4A86E529" w14:textId="77777777" w:rsidR="009E65CC" w:rsidRPr="00C57589" w:rsidRDefault="009E65CC" w:rsidP="00137D38">
            <w:pPr>
              <w:spacing w:line="240" w:lineRule="auto"/>
            </w:pPr>
          </w:p>
          <w:p w14:paraId="34123162" w14:textId="77777777" w:rsidR="009E65CC" w:rsidRPr="00C57589" w:rsidRDefault="009E65CC" w:rsidP="00137D38">
            <w:pPr>
              <w:spacing w:line="240" w:lineRule="auto"/>
            </w:pPr>
            <w:r w:rsidRPr="00C57589">
              <w:t xml:space="preserve">           Real Party </w:t>
            </w:r>
            <w:r w:rsidRPr="00C57589">
              <w:t>i</w:t>
            </w:r>
            <w:r w:rsidRPr="00C57589">
              <w:t>n Interest.</w:t>
            </w:r>
          </w:p>
          <w:p w14:paraId="38FD4E20" w14:textId="77777777" w:rsidR="009E65CC" w:rsidRPr="00C57589" w:rsidRDefault="009E65CC" w:rsidP="00137D38">
            <w:pPr>
              <w:spacing w:line="240" w:lineRule="auto"/>
            </w:pPr>
          </w:p>
        </w:tc>
        <w:tc>
          <w:tcPr>
            <w:tcW w:w="3960" w:type="dxa"/>
            <w:tcBorders>
              <w:left w:val="single" w:sz="4" w:space="0" w:color="auto"/>
            </w:tcBorders>
            <w:shd w:val="clear" w:color="auto" w:fill="auto"/>
          </w:tcPr>
          <w:p w14:paraId="68AAED13" w14:textId="77777777" w:rsidR="009E65CC" w:rsidRPr="00C57589" w:rsidRDefault="009E65CC" w:rsidP="00137D38">
            <w:pPr>
              <w:spacing w:line="240" w:lineRule="auto"/>
            </w:pPr>
            <w:r w:rsidRPr="00C57589">
              <w:t xml:space="preserve">      B323360</w:t>
            </w:r>
          </w:p>
          <w:p w14:paraId="0055EEBD" w14:textId="77777777" w:rsidR="009E65CC" w:rsidRPr="00C57589" w:rsidRDefault="009E65CC" w:rsidP="00137D38">
            <w:pPr>
              <w:spacing w:line="240" w:lineRule="auto"/>
            </w:pPr>
          </w:p>
          <w:p w14:paraId="7BB46D4C" w14:textId="77777777" w:rsidR="009E65CC" w:rsidRPr="00C57589" w:rsidRDefault="009E65CC" w:rsidP="00137D38">
            <w:pPr>
              <w:spacing w:line="240" w:lineRule="auto"/>
            </w:pPr>
            <w:r w:rsidRPr="00C57589">
              <w:t xml:space="preserve">      (Los Angeles County</w:t>
            </w:r>
          </w:p>
          <w:p w14:paraId="53D1F5FE" w14:textId="77777777" w:rsidR="009E65CC" w:rsidRPr="00C57589" w:rsidRDefault="009E65CC" w:rsidP="00137D38">
            <w:pPr>
              <w:spacing w:line="240" w:lineRule="auto"/>
            </w:pPr>
            <w:r w:rsidRPr="00C57589">
              <w:t xml:space="preserve">      Super. Ct. No.    </w:t>
            </w:r>
          </w:p>
          <w:p w14:paraId="38D70364" w14:textId="77777777" w:rsidR="009E65CC" w:rsidRPr="00C57589" w:rsidRDefault="009E65CC" w:rsidP="00137D38">
            <w:pPr>
              <w:spacing w:line="240" w:lineRule="auto"/>
            </w:pPr>
            <w:r w:rsidRPr="00C57589">
              <w:t xml:space="preserve">      20STCP04185)</w:t>
            </w:r>
          </w:p>
          <w:p w14:paraId="2BA9DF4F" w14:textId="77777777" w:rsidR="009E65CC" w:rsidRPr="00C57589" w:rsidRDefault="009E65CC" w:rsidP="00137D38">
            <w:pPr>
              <w:spacing w:line="240" w:lineRule="auto"/>
            </w:pPr>
          </w:p>
        </w:tc>
      </w:tr>
    </w:tbl>
    <w:p w14:paraId="2B8AFCDD" w14:textId="77777777" w:rsidR="009E65CC" w:rsidRPr="00C57589" w:rsidRDefault="009E65CC" w:rsidP="00137D38"/>
    <w:p w14:paraId="0E137FEE" w14:textId="77777777" w:rsidR="009E65CC" w:rsidRPr="00C57589" w:rsidRDefault="009E65CC" w:rsidP="000C49BB">
      <w:pPr>
        <w:ind w:firstLine="720"/>
        <w:rPr>
          <w:rFonts w:eastAsia="Times New Roman" w:cs="Times New Roman"/>
          <w:szCs w:val="26"/>
        </w:rPr>
      </w:pPr>
      <w:r w:rsidRPr="00C57589">
        <w:rPr>
          <w:rFonts w:eastAsia="Times New Roman" w:cs="Times New Roman"/>
          <w:szCs w:val="26"/>
        </w:rPr>
        <w:t xml:space="preserve">APPEAL from a judgment of the Superior Court of Los Angeles County, Mary H. Strobel, Judge.  Affirmed.  </w:t>
      </w:r>
    </w:p>
    <w:p w14:paraId="1D1F988B" w14:textId="77777777" w:rsidR="009E65CC" w:rsidRPr="00C57589" w:rsidRDefault="009E65CC" w:rsidP="000C49BB">
      <w:pPr>
        <w:rPr>
          <w:rFonts w:eastAsia="Times New Roman" w:cs="Times New Roman"/>
          <w:szCs w:val="26"/>
        </w:rPr>
      </w:pPr>
      <w:r w:rsidRPr="00C57589">
        <w:rPr>
          <w:rFonts w:eastAsia="Times New Roman" w:cs="Times New Roman"/>
          <w:szCs w:val="26"/>
        </w:rPr>
        <w:tab/>
      </w:r>
    </w:p>
    <w:p w14:paraId="602BC01F" w14:textId="77777777" w:rsidR="009E65CC" w:rsidRPr="00C57589" w:rsidRDefault="009E65CC" w:rsidP="000C49BB">
      <w:pPr>
        <w:ind w:firstLine="720"/>
        <w:rPr>
          <w:rFonts w:eastAsia="Times New Roman" w:cs="Times New Roman"/>
          <w:szCs w:val="26"/>
        </w:rPr>
      </w:pPr>
      <w:r w:rsidRPr="00C57589">
        <w:rPr>
          <w:rFonts w:eastAsia="Times New Roman" w:cs="Times New Roman"/>
          <w:szCs w:val="26"/>
        </w:rPr>
        <w:t xml:space="preserve">The Law Offices of Jarrett Adams, </w:t>
      </w:r>
      <w:r w:rsidRPr="00C57589">
        <w:rPr>
          <w:rFonts w:eastAsia="Times New Roman" w:cs="Times New Roman"/>
          <w:szCs w:val="26"/>
        </w:rPr>
        <w:t xml:space="preserve">Jarrett Adams, </w:t>
      </w:r>
      <w:r w:rsidRPr="00C57589">
        <w:rPr>
          <w:rFonts w:eastAsia="Times New Roman" w:cs="Times New Roman"/>
          <w:szCs w:val="26"/>
        </w:rPr>
        <w:t xml:space="preserve">Lillian C. Gaither and </w:t>
      </w:r>
      <w:r w:rsidRPr="00C57589">
        <w:rPr>
          <w:rFonts w:eastAsia="Times New Roman" w:cs="Times New Roman"/>
          <w:szCs w:val="26"/>
        </w:rPr>
        <w:t xml:space="preserve">Megan D. Baca </w:t>
      </w:r>
      <w:r w:rsidRPr="00C57589">
        <w:rPr>
          <w:rFonts w:eastAsia="Times New Roman" w:cs="Times New Roman"/>
          <w:szCs w:val="26"/>
        </w:rPr>
        <w:t xml:space="preserve">for Plaintiff and Appellant. </w:t>
      </w:r>
    </w:p>
    <w:p w14:paraId="097644E0" w14:textId="77777777" w:rsidR="009E65CC" w:rsidRPr="00C57589" w:rsidRDefault="009E65CC" w:rsidP="000C49BB">
      <w:pPr>
        <w:ind w:firstLine="720"/>
        <w:rPr>
          <w:rFonts w:eastAsia="Times New Roman" w:cs="Times New Roman"/>
          <w:szCs w:val="26"/>
        </w:rPr>
      </w:pPr>
    </w:p>
    <w:p w14:paraId="193CF029" w14:textId="77777777" w:rsidR="009E65CC" w:rsidRPr="00C57589" w:rsidRDefault="009E65CC" w:rsidP="000C49BB">
      <w:pPr>
        <w:ind w:firstLine="720"/>
        <w:rPr>
          <w:rFonts w:eastAsia="Times New Roman" w:cs="Times New Roman"/>
          <w:szCs w:val="26"/>
        </w:rPr>
      </w:pPr>
      <w:r w:rsidRPr="00C57589">
        <w:rPr>
          <w:rFonts w:eastAsia="Times New Roman" w:cs="Times New Roman"/>
          <w:szCs w:val="26"/>
        </w:rPr>
        <w:lastRenderedPageBreak/>
        <w:t xml:space="preserve">Rob Bonta, Attorney General, Jodi L. </w:t>
      </w:r>
      <w:proofErr w:type="spellStart"/>
      <w:r w:rsidRPr="00C57589">
        <w:rPr>
          <w:rFonts w:eastAsia="Times New Roman" w:cs="Times New Roman"/>
          <w:szCs w:val="26"/>
        </w:rPr>
        <w:t>Cleesattle</w:t>
      </w:r>
      <w:proofErr w:type="spellEnd"/>
      <w:r w:rsidRPr="00C57589">
        <w:rPr>
          <w:rFonts w:eastAsia="Times New Roman" w:cs="Times New Roman"/>
          <w:szCs w:val="26"/>
        </w:rPr>
        <w:t xml:space="preserve">, Senior </w:t>
      </w:r>
      <w:r w:rsidRPr="00C57589">
        <w:rPr>
          <w:rFonts w:eastAsia="Times New Roman" w:cs="Times New Roman"/>
          <w:szCs w:val="26"/>
        </w:rPr>
        <w:t xml:space="preserve">Assistant </w:t>
      </w:r>
      <w:r w:rsidRPr="00C57589">
        <w:rPr>
          <w:rFonts w:eastAsia="Times New Roman" w:cs="Times New Roman"/>
          <w:szCs w:val="26"/>
        </w:rPr>
        <w:t xml:space="preserve">Attorney General, Donna M. Dean, Supervising Deputy Attorney General, and Andrew Huang, Deputy Attorney General, for Defendant and Respondent.  </w:t>
      </w:r>
    </w:p>
    <w:p w14:paraId="51D623DE" w14:textId="77777777" w:rsidR="009E65CC" w:rsidRPr="00C57589" w:rsidRDefault="009E65CC" w:rsidP="000C49BB">
      <w:pPr>
        <w:ind w:firstLine="720"/>
        <w:rPr>
          <w:rFonts w:eastAsia="Times New Roman" w:cs="Times New Roman"/>
          <w:szCs w:val="26"/>
        </w:rPr>
      </w:pPr>
    </w:p>
    <w:p w14:paraId="1F2AE6B9" w14:textId="77777777" w:rsidR="009E65CC" w:rsidRPr="00C57589" w:rsidRDefault="009E65CC" w:rsidP="000C49BB">
      <w:pPr>
        <w:ind w:firstLine="720"/>
        <w:rPr>
          <w:rFonts w:eastAsia="Times New Roman" w:cs="Times New Roman"/>
          <w:szCs w:val="26"/>
        </w:rPr>
      </w:pPr>
      <w:r w:rsidRPr="00C57589">
        <w:rPr>
          <w:rFonts w:eastAsia="Times New Roman" w:cs="Times New Roman"/>
          <w:szCs w:val="26"/>
        </w:rPr>
        <w:t>Rob Bonta, Attorney General, Lan</w:t>
      </w:r>
      <w:r w:rsidRPr="00C57589">
        <w:rPr>
          <w:rFonts w:eastAsia="Times New Roman" w:cs="Times New Roman"/>
          <w:szCs w:val="26"/>
        </w:rPr>
        <w:t>c</w:t>
      </w:r>
      <w:r w:rsidRPr="00C57589">
        <w:rPr>
          <w:rFonts w:eastAsia="Times New Roman" w:cs="Times New Roman"/>
          <w:szCs w:val="26"/>
        </w:rPr>
        <w:t xml:space="preserve">e E. Winters, Chief Assistant Attorney General, </w:t>
      </w:r>
      <w:r w:rsidRPr="00C57589">
        <w:rPr>
          <w:rFonts w:eastAsia="Times New Roman" w:cs="Times New Roman"/>
          <w:szCs w:val="26"/>
        </w:rPr>
        <w:t xml:space="preserve">Michael P. Farrell, Senior Assistant Attorney General, </w:t>
      </w:r>
      <w:r w:rsidRPr="00C57589">
        <w:rPr>
          <w:rFonts w:eastAsia="Times New Roman" w:cs="Times New Roman"/>
          <w:szCs w:val="26"/>
        </w:rPr>
        <w:t xml:space="preserve">Julie A. </w:t>
      </w:r>
      <w:proofErr w:type="spellStart"/>
      <w:r w:rsidRPr="00C57589">
        <w:rPr>
          <w:rFonts w:eastAsia="Times New Roman" w:cs="Times New Roman"/>
          <w:szCs w:val="26"/>
        </w:rPr>
        <w:t>Hokans</w:t>
      </w:r>
      <w:proofErr w:type="spellEnd"/>
      <w:r w:rsidRPr="00C57589">
        <w:rPr>
          <w:rFonts w:eastAsia="Times New Roman" w:cs="Times New Roman"/>
          <w:szCs w:val="26"/>
        </w:rPr>
        <w:t xml:space="preserve">, Supervising Deputy Attorney General, and Jessica C. Leal, Deputy Attorney General, for Real Party </w:t>
      </w:r>
      <w:r w:rsidRPr="00C57589">
        <w:rPr>
          <w:rFonts w:eastAsia="Times New Roman" w:cs="Times New Roman"/>
          <w:szCs w:val="26"/>
        </w:rPr>
        <w:t>i</w:t>
      </w:r>
      <w:r w:rsidRPr="00C57589">
        <w:rPr>
          <w:rFonts w:eastAsia="Times New Roman" w:cs="Times New Roman"/>
          <w:szCs w:val="26"/>
        </w:rPr>
        <w:t xml:space="preserve">n Interest.  </w:t>
      </w:r>
    </w:p>
    <w:p w14:paraId="4BE21056" w14:textId="77777777" w:rsidR="009E65CC" w:rsidRPr="00C57589" w:rsidRDefault="009E65CC" w:rsidP="000C49BB">
      <w:pPr>
        <w:ind w:firstLine="720"/>
        <w:rPr>
          <w:rFonts w:eastAsia="Times New Roman" w:cs="Times New Roman"/>
          <w:szCs w:val="26"/>
        </w:rPr>
      </w:pPr>
    </w:p>
    <w:p w14:paraId="3A9997DF" w14:textId="77777777" w:rsidR="009E65CC" w:rsidRPr="00C57589" w:rsidRDefault="009E65CC" w:rsidP="000C49BB">
      <w:pPr>
        <w:jc w:val="center"/>
        <w:rPr>
          <w:rFonts w:eastAsia="Times New Roman" w:cs="Times New Roman"/>
          <w:szCs w:val="26"/>
        </w:rPr>
      </w:pPr>
      <w:r w:rsidRPr="00C57589">
        <w:rPr>
          <w:rFonts w:eastAsia="Times New Roman" w:cs="Times New Roman"/>
          <w:szCs w:val="26"/>
        </w:rPr>
        <w:t>* * * * * *</w:t>
      </w:r>
    </w:p>
    <w:p w14:paraId="31641DAE" w14:textId="77777777" w:rsidR="009E65CC" w:rsidRPr="00C57589" w:rsidRDefault="009E65CC" w:rsidP="000C49BB">
      <w:r w:rsidRPr="00C57589">
        <w:rPr>
          <w:szCs w:val="26"/>
        </w:rPr>
        <w:tab/>
      </w:r>
      <w:r w:rsidRPr="00C57589">
        <w:t xml:space="preserve">In California, inmates who are exonerated of their crimes may apply to an administrative board for compensation for the time they were </w:t>
      </w:r>
      <w:r w:rsidRPr="00C57589">
        <w:t xml:space="preserve">erroneously </w:t>
      </w:r>
      <w:r w:rsidRPr="00C57589">
        <w:t>imprisoned.  (Pen. Code, § 4900 et seq.)</w:t>
      </w:r>
      <w:r>
        <w:rPr>
          <w:rStyle w:val="FootnoteReference"/>
          <w:b/>
          <w:bCs/>
        </w:rPr>
        <w:footnoteReference w:id="1"/>
      </w:r>
      <w:r w:rsidRPr="00C57589">
        <w:t xml:space="preserve">  Here, an inmate convicted as the shooter in a gang-related drive-by shooting applied for such compensation after the U</w:t>
      </w:r>
      <w:r w:rsidRPr="00C57589">
        <w:t xml:space="preserve">nited </w:t>
      </w:r>
      <w:r w:rsidRPr="00C57589">
        <w:t>S</w:t>
      </w:r>
      <w:r w:rsidRPr="00C57589">
        <w:t>tates</w:t>
      </w:r>
      <w:r w:rsidRPr="00C57589">
        <w:t xml:space="preserve"> Court of Appeals for the Ninth Circuit (the Ninth Circuit)</w:t>
      </w:r>
      <w:r w:rsidRPr="00C57589">
        <w:t xml:space="preserve"> granted the inmate’s habeas </w:t>
      </w:r>
      <w:r w:rsidRPr="00C57589">
        <w:t xml:space="preserve">corpus </w:t>
      </w:r>
      <w:r w:rsidRPr="00C57589">
        <w:t>petition and</w:t>
      </w:r>
      <w:r w:rsidRPr="00C57589">
        <w:t xml:space="preserve"> overturned his convictions </w:t>
      </w:r>
      <w:proofErr w:type="gramStart"/>
      <w:r w:rsidRPr="00C57589">
        <w:t>on the basis of</w:t>
      </w:r>
      <w:proofErr w:type="gramEnd"/>
      <w:r w:rsidRPr="00C57589">
        <w:t xml:space="preserve"> insufficiency of </w:t>
      </w:r>
      <w:r w:rsidRPr="00C57589">
        <w:t xml:space="preserve">the </w:t>
      </w:r>
      <w:r w:rsidRPr="00C57589">
        <w:t xml:space="preserve">evidence presented at trial.  Under the </w:t>
      </w:r>
      <w:r w:rsidRPr="00C57589">
        <w:t xml:space="preserve">pertinent </w:t>
      </w:r>
      <w:r w:rsidRPr="00C57589">
        <w:t>statutes in effect in 2020, an inmate’s entitlement to compensation</w:t>
      </w:r>
      <w:r w:rsidRPr="00C57589">
        <w:t xml:space="preserve"> in this situation</w:t>
      </w:r>
      <w:r w:rsidRPr="00C57589">
        <w:t xml:space="preserve"> turned on his ability to prove, by a preponderance of the evidence, his </w:t>
      </w:r>
      <w:r w:rsidRPr="00C57589">
        <w:t>“factual innocence.”  (</w:t>
      </w:r>
      <w:r w:rsidRPr="00C57589">
        <w:t xml:space="preserve">Former </w:t>
      </w:r>
      <w:r w:rsidRPr="00C57589">
        <w:t>§</w:t>
      </w:r>
      <w:r w:rsidRPr="00C57589">
        <w:t xml:space="preserve"> </w:t>
      </w:r>
      <w:r w:rsidRPr="00C57589">
        <w:t>1485.55</w:t>
      </w:r>
      <w:r w:rsidRPr="00C57589">
        <w:t>, subd. (b)</w:t>
      </w:r>
      <w:r w:rsidRPr="00C57589">
        <w:t xml:space="preserve">, Stats. 2019, </w:t>
      </w:r>
      <w:proofErr w:type="spellStart"/>
      <w:r w:rsidRPr="00C57589">
        <w:t>c</w:t>
      </w:r>
      <w:r w:rsidRPr="00C57589">
        <w:t>h</w:t>
      </w:r>
      <w:r w:rsidRPr="00C57589">
        <w:t>.</w:t>
      </w:r>
      <w:proofErr w:type="spellEnd"/>
      <w:r w:rsidRPr="00C57589">
        <w:t xml:space="preserve"> 473 (S</w:t>
      </w:r>
      <w:r w:rsidRPr="00C57589">
        <w:t>en</w:t>
      </w:r>
      <w:r w:rsidRPr="00C57589">
        <w:t>.</w:t>
      </w:r>
      <w:r w:rsidRPr="00C57589">
        <w:t xml:space="preserve"> </w:t>
      </w:r>
      <w:r w:rsidRPr="00C57589">
        <w:t>B</w:t>
      </w:r>
      <w:r w:rsidRPr="00C57589">
        <w:t>ill</w:t>
      </w:r>
      <w:r w:rsidRPr="00C57589">
        <w:t xml:space="preserve"> No. 26</w:t>
      </w:r>
      <w:r w:rsidRPr="00C57589">
        <w:t>9</w:t>
      </w:r>
      <w:r w:rsidRPr="00C57589">
        <w:t>), § 1, eff. Jan. 1, 2020; former §</w:t>
      </w:r>
      <w:r w:rsidRPr="00C57589">
        <w:t xml:space="preserve"> </w:t>
      </w:r>
      <w:r w:rsidRPr="00C57589">
        <w:t>4903, subd. (a)</w:t>
      </w:r>
      <w:r w:rsidRPr="00C57589">
        <w:t xml:space="preserve">, Stats. 2019, </w:t>
      </w:r>
      <w:proofErr w:type="spellStart"/>
      <w:r w:rsidRPr="00C57589">
        <w:t>c</w:t>
      </w:r>
      <w:r w:rsidRPr="00C57589">
        <w:t>h</w:t>
      </w:r>
      <w:r w:rsidRPr="00C57589">
        <w:t>.</w:t>
      </w:r>
      <w:proofErr w:type="spellEnd"/>
      <w:r w:rsidRPr="00C57589">
        <w:t xml:space="preserve"> 473 (S</w:t>
      </w:r>
      <w:r w:rsidRPr="00C57589">
        <w:t>en</w:t>
      </w:r>
      <w:r w:rsidRPr="00C57589">
        <w:t>.</w:t>
      </w:r>
      <w:r w:rsidRPr="00C57589">
        <w:t xml:space="preserve"> </w:t>
      </w:r>
      <w:r w:rsidRPr="00C57589">
        <w:t>B</w:t>
      </w:r>
      <w:r w:rsidRPr="00C57589">
        <w:t>ill</w:t>
      </w:r>
      <w:r w:rsidRPr="00C57589">
        <w:t xml:space="preserve"> No. 269), § 3, eff. Jan. 1, 2020</w:t>
      </w:r>
      <w:r w:rsidRPr="00C57589">
        <w:t xml:space="preserve">; </w:t>
      </w:r>
      <w:r w:rsidRPr="00C57589">
        <w:lastRenderedPageBreak/>
        <w:t>Cal. Code Reg</w:t>
      </w:r>
      <w:r w:rsidRPr="00C57589">
        <w:t>s</w:t>
      </w:r>
      <w:r w:rsidRPr="00C57589">
        <w:t>.,</w:t>
      </w:r>
      <w:r w:rsidRPr="00C57589">
        <w:t xml:space="preserve"> tit. 2,</w:t>
      </w:r>
      <w:r w:rsidRPr="00C57589">
        <w:t xml:space="preserve"> § 644</w:t>
      </w:r>
      <w:r w:rsidRPr="00C57589">
        <w:t xml:space="preserve">, subd. </w:t>
      </w:r>
      <w:r w:rsidRPr="00C57589">
        <w:t>(d).)</w:t>
      </w:r>
      <w:r>
        <w:rPr>
          <w:rStyle w:val="FootnoteReference"/>
          <w:b/>
          <w:bCs/>
        </w:rPr>
        <w:footnoteReference w:id="2"/>
      </w:r>
      <w:r w:rsidRPr="00C57589">
        <w:t xml:space="preserve">  In determining whether the inmate has carried this burden, the “factual findings and credibility determinations establishing the court’s basis for granting a writ of habeas corpus” are “binding”</w:t>
      </w:r>
      <w:r w:rsidRPr="00C57589">
        <w:t xml:space="preserve"> in the compensation proceeding before the board.</w:t>
      </w:r>
      <w:r w:rsidRPr="00C57589">
        <w:t xml:space="preserve">  (§§ 4903, subd. (b), 1485.5, subds. (c) &amp; (d).)  This appeal presents two questions.  First, does the conclusion of a </w:t>
      </w:r>
      <w:r w:rsidRPr="00C57589">
        <w:t xml:space="preserve">habeas </w:t>
      </w:r>
      <w:r w:rsidRPr="00C57589">
        <w:t>court granting relief that the evidence at trial was insufficient to support a</w:t>
      </w:r>
      <w:r w:rsidRPr="00C57589">
        <w:t>n</w:t>
      </w:r>
      <w:r w:rsidRPr="00C57589">
        <w:t xml:space="preserve"> </w:t>
      </w:r>
      <w:r w:rsidRPr="00C57589">
        <w:t xml:space="preserve">inmate’s </w:t>
      </w:r>
      <w:r w:rsidRPr="00C57589">
        <w:t xml:space="preserve">conviction beyond a reasonable doubt automatically </w:t>
      </w:r>
      <w:r w:rsidRPr="00C57589">
        <w:t xml:space="preserve">establish that </w:t>
      </w:r>
      <w:r w:rsidRPr="00C57589">
        <w:t xml:space="preserve">inmate’s </w:t>
      </w:r>
      <w:r w:rsidRPr="00C57589">
        <w:t xml:space="preserve">factual innocence by a preponderance of the evidence?  Second, do the </w:t>
      </w:r>
      <w:r w:rsidRPr="00C57589">
        <w:t xml:space="preserve">habeas </w:t>
      </w:r>
      <w:r w:rsidRPr="00C57589">
        <w:t xml:space="preserve">court’s </w:t>
      </w:r>
      <w:r w:rsidRPr="00C57589">
        <w:t xml:space="preserve">summary of the trial record as well as </w:t>
      </w:r>
      <w:r w:rsidRPr="00C57589">
        <w:t>commentary on the relative strength or weakness of the evidence</w:t>
      </w:r>
      <w:r w:rsidRPr="00C57589">
        <w:t xml:space="preserve"> in that record</w:t>
      </w:r>
      <w:r w:rsidRPr="00C57589">
        <w:t>—</w:t>
      </w:r>
      <w:proofErr w:type="gramStart"/>
      <w:r w:rsidRPr="00C57589">
        <w:t>in the course of</w:t>
      </w:r>
      <w:proofErr w:type="gramEnd"/>
      <w:r w:rsidRPr="00C57589">
        <w:t xml:space="preserve"> granting relief to the inmate—constitute “factual findings” that are </w:t>
      </w:r>
      <w:r w:rsidRPr="00C57589">
        <w:t>“</w:t>
      </w:r>
      <w:r w:rsidRPr="00C57589">
        <w:t>binding</w:t>
      </w:r>
      <w:r w:rsidRPr="00C57589">
        <w:t>”</w:t>
      </w:r>
      <w:r w:rsidRPr="00C57589">
        <w:t xml:space="preserve"> in the subsequent administrative proceeding to award that inmate compensation?  We hold that the answer to </w:t>
      </w:r>
      <w:r w:rsidRPr="00C57589">
        <w:t xml:space="preserve">each </w:t>
      </w:r>
      <w:r w:rsidRPr="00C57589">
        <w:t>question is “no.”  We further conclude that, even if the</w:t>
      </w:r>
      <w:r w:rsidRPr="00C57589">
        <w:t xml:space="preserve">re were </w:t>
      </w:r>
      <w:r w:rsidRPr="00C57589">
        <w:t xml:space="preserve">“factual </w:t>
      </w:r>
      <w:r w:rsidRPr="00C57589">
        <w:t>find</w:t>
      </w:r>
      <w:r w:rsidRPr="00C57589">
        <w:t>ings</w:t>
      </w:r>
      <w:r w:rsidRPr="00C57589">
        <w:t>”</w:t>
      </w:r>
      <w:r w:rsidRPr="00C57589">
        <w:t xml:space="preserve"> in this case, the board treated them as </w:t>
      </w:r>
      <w:r w:rsidRPr="00C57589">
        <w:t>binding</w:t>
      </w:r>
      <w:r w:rsidRPr="00C57589">
        <w:t xml:space="preserve">.  As a result, we agree with the trial court that the board’s denial of </w:t>
      </w:r>
      <w:r w:rsidRPr="00C57589">
        <w:t xml:space="preserve">compensation </w:t>
      </w:r>
      <w:r w:rsidRPr="00C57589">
        <w:t xml:space="preserve">to </w:t>
      </w:r>
      <w:r w:rsidRPr="00C57589">
        <w:t xml:space="preserve">the </w:t>
      </w:r>
      <w:r w:rsidRPr="00C57589">
        <w:t xml:space="preserve">exonerated inmate </w:t>
      </w:r>
      <w:r w:rsidRPr="00C57589">
        <w:t>in this case does not warrant the issuance of a writ of administrative mandamus and accordingly affirm.</w:t>
      </w:r>
    </w:p>
    <w:p w14:paraId="68D3639E" w14:textId="77777777" w:rsidR="009E65CC" w:rsidRPr="00C57589" w:rsidRDefault="009E65CC" w:rsidP="000C49BB"/>
    <w:p w14:paraId="10A18236" w14:textId="77777777" w:rsidR="009E65CC" w:rsidRPr="00C57589" w:rsidRDefault="009E65CC" w:rsidP="000C49BB"/>
    <w:p w14:paraId="1F0D14FB" w14:textId="77777777" w:rsidR="009E65CC" w:rsidRPr="00C57589" w:rsidRDefault="009E65CC" w:rsidP="000C49BB"/>
    <w:p w14:paraId="53EA9FF9" w14:textId="77777777" w:rsidR="009E65CC" w:rsidRPr="00C57589" w:rsidRDefault="009E65CC" w:rsidP="000C49BB">
      <w:pPr>
        <w:jc w:val="center"/>
      </w:pPr>
      <w:r w:rsidRPr="00C57589">
        <w:rPr>
          <w:b/>
          <w:bCs/>
        </w:rPr>
        <w:lastRenderedPageBreak/>
        <w:t>FACTS AND PROCEDURAL BACKGROUND</w:t>
      </w:r>
    </w:p>
    <w:p w14:paraId="6B07F589" w14:textId="77777777" w:rsidR="009E65CC" w:rsidRPr="00C57589" w:rsidRDefault="009E65CC" w:rsidP="000C49BB">
      <w:pPr>
        <w:rPr>
          <w:b/>
          <w:bCs/>
        </w:rPr>
      </w:pPr>
      <w:r w:rsidRPr="00C57589">
        <w:rPr>
          <w:b/>
          <w:bCs/>
        </w:rPr>
        <w:t>I.</w:t>
      </w:r>
      <w:r w:rsidRPr="00C57589">
        <w:rPr>
          <w:b/>
          <w:bCs/>
        </w:rPr>
        <w:tab/>
        <w:t>The Crime</w:t>
      </w:r>
    </w:p>
    <w:p w14:paraId="2B63800F" w14:textId="77777777" w:rsidR="009E65CC" w:rsidRPr="00C57589" w:rsidRDefault="009E65CC" w:rsidP="000C49BB">
      <w:r w:rsidRPr="00C57589">
        <w:tab/>
        <w:t xml:space="preserve">On </w:t>
      </w:r>
      <w:r w:rsidRPr="00C57589">
        <w:t xml:space="preserve">a </w:t>
      </w:r>
      <w:r w:rsidRPr="00C57589">
        <w:t xml:space="preserve">Saturday night in October 2008, three men </w:t>
      </w:r>
      <w:r w:rsidRPr="00C57589">
        <w:t xml:space="preserve">standing </w:t>
      </w:r>
      <w:r w:rsidRPr="00C57589">
        <w:t>on a street corner in a residential neighborhood down the block from a party were shot</w:t>
      </w:r>
      <w:r w:rsidRPr="00C57589">
        <w:t>.  The shooter fired</w:t>
      </w:r>
      <w:r w:rsidRPr="00C57589">
        <w:t xml:space="preserve"> from the backseat </w:t>
      </w:r>
      <w:r w:rsidRPr="00C57589">
        <w:t xml:space="preserve">of </w:t>
      </w:r>
      <w:r w:rsidRPr="00C57589">
        <w:t>a “black” or “dark-colored,</w:t>
      </w:r>
      <w:r w:rsidRPr="00C57589">
        <w:t>”</w:t>
      </w:r>
      <w:r w:rsidRPr="00C57589">
        <w:t xml:space="preserve"> newer model Cadillac with rims </w:t>
      </w:r>
      <w:r w:rsidRPr="00C57589">
        <w:t xml:space="preserve">and </w:t>
      </w:r>
      <w:r w:rsidRPr="00C57589">
        <w:t>three people</w:t>
      </w:r>
      <w:r w:rsidRPr="00C57589">
        <w:t xml:space="preserve"> riding</w:t>
      </w:r>
      <w:r w:rsidRPr="00C57589">
        <w:t xml:space="preserve"> inside.  The shooting was gang-related:  The men were “talking shit” to passersby, and </w:t>
      </w:r>
      <w:r w:rsidRPr="00C57589">
        <w:t xml:space="preserve">the </w:t>
      </w:r>
      <w:r w:rsidRPr="00C57589">
        <w:t xml:space="preserve">shooter </w:t>
      </w:r>
      <w:r w:rsidRPr="00C57589">
        <w:t>in the Cadillac made the archetypical gang challenge—demanding to know</w:t>
      </w:r>
      <w:r w:rsidRPr="00C57589">
        <w:t>,</w:t>
      </w:r>
      <w:r w:rsidRPr="00C57589">
        <w:t xml:space="preserve"> “Where you </w:t>
      </w:r>
      <w:proofErr w:type="gramStart"/>
      <w:r w:rsidRPr="00C57589">
        <w:t>fools</w:t>
      </w:r>
      <w:proofErr w:type="gramEnd"/>
      <w:r w:rsidRPr="00C57589">
        <w:t xml:space="preserve"> </w:t>
      </w:r>
      <w:r w:rsidRPr="00C57589">
        <w:t>from?”—before opening fire</w:t>
      </w:r>
      <w:r w:rsidRPr="00C57589">
        <w:t xml:space="preserve">. </w:t>
      </w:r>
      <w:r w:rsidRPr="00C57589">
        <w:t xml:space="preserve"> All three shooting victims survi</w:t>
      </w:r>
      <w:r w:rsidRPr="00C57589">
        <w:t>ved their wounds.</w:t>
      </w:r>
    </w:p>
    <w:p w14:paraId="23347985" w14:textId="77777777" w:rsidR="009E65CC" w:rsidRPr="00C57589" w:rsidRDefault="009E65CC" w:rsidP="000C49BB">
      <w:r w:rsidRPr="00C57589">
        <w:tab/>
        <w:t>No direct evidence tied Joshua Zamora Gonzales (</w:t>
      </w:r>
      <w:r w:rsidRPr="00C57589">
        <w:t>Gonzales</w:t>
      </w:r>
      <w:r w:rsidRPr="00C57589">
        <w:t xml:space="preserve">) to the shooting.  No witness, including none of the victims, positively identified </w:t>
      </w:r>
      <w:r w:rsidRPr="00C57589">
        <w:t xml:space="preserve">Gonzales </w:t>
      </w:r>
      <w:r w:rsidRPr="00C57589">
        <w:t>as the shooter.</w:t>
      </w:r>
      <w:r w:rsidRPr="00C57589">
        <w:t xml:space="preserve">  </w:t>
      </w:r>
      <w:r w:rsidRPr="00C57589">
        <w:t xml:space="preserve">One victim testified that </w:t>
      </w:r>
      <w:r w:rsidRPr="00C57589">
        <w:t xml:space="preserve">Gonzales </w:t>
      </w:r>
      <w:r w:rsidRPr="00C57589">
        <w:t xml:space="preserve">was </w:t>
      </w:r>
      <w:r w:rsidRPr="00C57589">
        <w:rPr>
          <w:i/>
          <w:iCs/>
        </w:rPr>
        <w:t>not</w:t>
      </w:r>
      <w:r w:rsidRPr="00C57589">
        <w:t xml:space="preserve"> the shooter, but subsequently clarified that he did not see who shot him.</w:t>
      </w:r>
      <w:r w:rsidRPr="00C57589">
        <w:t xml:space="preserve">  </w:t>
      </w:r>
      <w:r w:rsidRPr="00C57589">
        <w:t xml:space="preserve">A search of </w:t>
      </w:r>
      <w:r w:rsidRPr="00C57589">
        <w:t xml:space="preserve">Gonzales’s </w:t>
      </w:r>
      <w:r w:rsidRPr="00C57589">
        <w:t xml:space="preserve">home did not turn up </w:t>
      </w:r>
      <w:r w:rsidRPr="00C57589">
        <w:t xml:space="preserve">any </w:t>
      </w:r>
      <w:r w:rsidRPr="00C57589">
        <w:t xml:space="preserve">firearm </w:t>
      </w:r>
      <w:r w:rsidRPr="00C57589">
        <w:t>or firearm paraphernalia</w:t>
      </w:r>
      <w:r w:rsidRPr="00C57589">
        <w:t>.</w:t>
      </w:r>
      <w:r w:rsidRPr="00C57589">
        <w:t xml:space="preserve">  </w:t>
      </w:r>
      <w:r w:rsidRPr="00C57589">
        <w:t xml:space="preserve">No one came forward to say </w:t>
      </w:r>
      <w:r w:rsidRPr="00C57589">
        <w:t xml:space="preserve">Gonzales </w:t>
      </w:r>
      <w:r w:rsidRPr="00C57589">
        <w:t xml:space="preserve">was involved.  And </w:t>
      </w:r>
      <w:r w:rsidRPr="00C57589">
        <w:t>Gonzales</w:t>
      </w:r>
      <w:r w:rsidRPr="00C57589">
        <w:t>, in a post-arrest interview, denied being the shooter.</w:t>
      </w:r>
      <w:r w:rsidRPr="00C57589">
        <w:t xml:space="preserve"> </w:t>
      </w:r>
    </w:p>
    <w:p w14:paraId="2F26B464" w14:textId="77777777" w:rsidR="009E65CC" w:rsidRPr="00C57589" w:rsidRDefault="009E65CC" w:rsidP="00A150BA">
      <w:r w:rsidRPr="00C57589">
        <w:tab/>
        <w:t xml:space="preserve">Thus, all evidence of </w:t>
      </w:r>
      <w:r w:rsidRPr="00C57589">
        <w:t xml:space="preserve">Gonzales’s </w:t>
      </w:r>
      <w:r w:rsidRPr="00C57589">
        <w:t xml:space="preserve">involvement in the shooting was circumstantial.  </w:t>
      </w:r>
      <w:r w:rsidRPr="00C57589">
        <w:t xml:space="preserve">He </w:t>
      </w:r>
      <w:r w:rsidRPr="00C57589">
        <w:t>was present at the party.</w:t>
      </w:r>
      <w:r w:rsidRPr="00C57589">
        <w:t xml:space="preserve">  </w:t>
      </w:r>
      <w:r w:rsidRPr="00C57589">
        <w:t xml:space="preserve">He wore a baseball cap sporting </w:t>
      </w:r>
      <w:r w:rsidRPr="00C57589">
        <w:t xml:space="preserve">the Pittsburgh Pirates’ “P” </w:t>
      </w:r>
      <w:r w:rsidRPr="00C57589">
        <w:t xml:space="preserve">logo </w:t>
      </w:r>
      <w:r w:rsidRPr="00C57589">
        <w:t xml:space="preserve">signifying </w:t>
      </w:r>
      <w:r w:rsidRPr="00C57589">
        <w:t xml:space="preserve">the </w:t>
      </w:r>
      <w:proofErr w:type="spellStart"/>
      <w:r w:rsidRPr="00C57589">
        <w:t>Playboyz</w:t>
      </w:r>
      <w:proofErr w:type="spellEnd"/>
      <w:r w:rsidRPr="00C57589">
        <w:t xml:space="preserve"> street gang, bragged to other partygoers that he was a </w:t>
      </w:r>
      <w:r w:rsidRPr="00C57589">
        <w:t xml:space="preserve">member of the </w:t>
      </w:r>
      <w:proofErr w:type="spellStart"/>
      <w:r w:rsidRPr="00C57589">
        <w:t>Playboyz</w:t>
      </w:r>
      <w:proofErr w:type="spellEnd"/>
      <w:r w:rsidRPr="00C57589">
        <w:t xml:space="preserve"> gang</w:t>
      </w:r>
      <w:r w:rsidRPr="00C57589">
        <w:t xml:space="preserve"> who</w:t>
      </w:r>
      <w:r w:rsidRPr="00C57589">
        <w:t xml:space="preserve"> went by the moniker “Knuckles,” and had </w:t>
      </w:r>
      <w:r w:rsidRPr="00C57589">
        <w:t xml:space="preserve">also </w:t>
      </w:r>
      <w:r w:rsidRPr="00C57589">
        <w:t>previously told police he was a member of that gang.  The victims wore “L</w:t>
      </w:r>
      <w:r w:rsidRPr="00C57589">
        <w:t>.</w:t>
      </w:r>
      <w:r w:rsidRPr="00C57589">
        <w:t>A</w:t>
      </w:r>
      <w:r w:rsidRPr="00C57589">
        <w:t>.</w:t>
      </w:r>
      <w:r w:rsidRPr="00C57589">
        <w:t xml:space="preserve"> gear” wor</w:t>
      </w:r>
      <w:r w:rsidRPr="00C57589">
        <w:t>n</w:t>
      </w:r>
      <w:r w:rsidRPr="00C57589">
        <w:t xml:space="preserve"> by </w:t>
      </w:r>
      <w:r w:rsidRPr="00C57589">
        <w:t xml:space="preserve">one of </w:t>
      </w:r>
      <w:proofErr w:type="gramStart"/>
      <w:r w:rsidRPr="00C57589">
        <w:t xml:space="preserve">the </w:t>
      </w:r>
      <w:proofErr w:type="spellStart"/>
      <w:r w:rsidRPr="00C57589">
        <w:t>Playboyz’s</w:t>
      </w:r>
      <w:proofErr w:type="spellEnd"/>
      <w:proofErr w:type="gramEnd"/>
      <w:r w:rsidRPr="00C57589">
        <w:t xml:space="preserve"> </w:t>
      </w:r>
      <w:r w:rsidRPr="00C57589">
        <w:t>rival gang</w:t>
      </w:r>
      <w:r w:rsidRPr="00C57589">
        <w:t>s</w:t>
      </w:r>
      <w:r w:rsidRPr="00C57589">
        <w:t xml:space="preserve">.  </w:t>
      </w:r>
      <w:r w:rsidRPr="00C57589">
        <w:t xml:space="preserve">Gonzales </w:t>
      </w:r>
      <w:r w:rsidRPr="00C57589">
        <w:t xml:space="preserve">admitted to driving by the victims while in the backseat of a newer model Cadillac with rims and containing three people, although he claimed the </w:t>
      </w:r>
      <w:r w:rsidRPr="00C57589">
        <w:t xml:space="preserve">Cadillac </w:t>
      </w:r>
      <w:r w:rsidRPr="00C57589">
        <w:t>was “red</w:t>
      </w:r>
      <w:r w:rsidRPr="00C57589">
        <w:t>”</w:t>
      </w:r>
      <w:r w:rsidRPr="00C57589">
        <w:t xml:space="preserve"> </w:t>
      </w:r>
      <w:r w:rsidRPr="00C57589">
        <w:t>“</w:t>
      </w:r>
      <w:r w:rsidRPr="00C57589">
        <w:t>like a fire</w:t>
      </w:r>
      <w:r w:rsidRPr="00C57589">
        <w:t xml:space="preserve"> </w:t>
      </w:r>
      <w:r w:rsidRPr="00C57589">
        <w:t>truck</w:t>
      </w:r>
      <w:r w:rsidRPr="00C57589">
        <w:t xml:space="preserve">” or “light red.”  Moments </w:t>
      </w:r>
      <w:r w:rsidRPr="00C57589">
        <w:lastRenderedPageBreak/>
        <w:t>before the shooting, the victims “</w:t>
      </w:r>
      <w:r w:rsidRPr="00C57589">
        <w:t>start</w:t>
      </w:r>
      <w:r w:rsidRPr="00C57589">
        <w:t>ed</w:t>
      </w:r>
      <w:r w:rsidRPr="00C57589">
        <w:t xml:space="preserve"> </w:t>
      </w:r>
      <w:r w:rsidRPr="00C57589">
        <w:t>talk</w:t>
      </w:r>
      <w:r w:rsidRPr="00C57589">
        <w:t>ing</w:t>
      </w:r>
      <w:r w:rsidRPr="00C57589">
        <w:t xml:space="preserve"> shit” </w:t>
      </w:r>
      <w:r w:rsidRPr="00C57589">
        <w:rPr>
          <w:i/>
          <w:iCs/>
        </w:rPr>
        <w:t xml:space="preserve">to </w:t>
      </w:r>
      <w:r w:rsidRPr="00C57589">
        <w:rPr>
          <w:i/>
          <w:iCs/>
        </w:rPr>
        <w:t>Gonzales</w:t>
      </w:r>
      <w:r w:rsidRPr="00C57589">
        <w:t xml:space="preserve"> </w:t>
      </w:r>
      <w:r w:rsidRPr="00C57589">
        <w:t xml:space="preserve">and </w:t>
      </w:r>
      <w:r w:rsidRPr="00C57589">
        <w:t xml:space="preserve">Gonzales </w:t>
      </w:r>
      <w:r w:rsidRPr="00C57589">
        <w:t>responde</w:t>
      </w:r>
      <w:r w:rsidRPr="00C57589">
        <w:t>d, “</w:t>
      </w:r>
      <w:r w:rsidRPr="00C57589">
        <w:t>what’s up</w:t>
      </w:r>
      <w:r w:rsidRPr="00C57589">
        <w:t>.</w:t>
      </w:r>
      <w:r w:rsidRPr="00C57589">
        <w:t xml:space="preserve">”  </w:t>
      </w:r>
      <w:r w:rsidRPr="00C57589">
        <w:t xml:space="preserve">Gonzales </w:t>
      </w:r>
      <w:r w:rsidRPr="00C57589">
        <w:t xml:space="preserve">had two particles of gunshot residue on his right hand, although that residue—because the test was not conducted </w:t>
      </w:r>
      <w:r w:rsidRPr="00C57589">
        <w:t xml:space="preserve">until </w:t>
      </w:r>
      <w:r w:rsidRPr="00C57589">
        <w:t>12 hours</w:t>
      </w:r>
      <w:r w:rsidRPr="00C57589">
        <w:t xml:space="preserve"> after the shooting</w:t>
      </w:r>
      <w:r w:rsidRPr="00C57589">
        <w:t xml:space="preserve"> and </w:t>
      </w:r>
      <w:r w:rsidRPr="00C57589">
        <w:t xml:space="preserve">because Gonzales had </w:t>
      </w:r>
      <w:r w:rsidRPr="00C57589">
        <w:t>washed his hands in the interim—</w:t>
      </w:r>
      <w:r w:rsidRPr="00C57589">
        <w:t xml:space="preserve">was equally </w:t>
      </w:r>
      <w:r w:rsidRPr="00C57589">
        <w:t xml:space="preserve">consistent with </w:t>
      </w:r>
      <w:r w:rsidRPr="00C57589">
        <w:t xml:space="preserve">Gonzales </w:t>
      </w:r>
      <w:r w:rsidRPr="00C57589">
        <w:t xml:space="preserve">touching a surface with gunshot residue as with </w:t>
      </w:r>
      <w:r w:rsidRPr="00C57589">
        <w:t xml:space="preserve">Gonzales </w:t>
      </w:r>
      <w:r w:rsidRPr="00C57589">
        <w:t>firing a gun.</w:t>
      </w:r>
      <w:r w:rsidRPr="00C57589">
        <w:t xml:space="preserve">  </w:t>
      </w:r>
      <w:r w:rsidRPr="00C57589">
        <w:t xml:space="preserve">In his post-arrest interview, </w:t>
      </w:r>
      <w:r w:rsidRPr="00C57589">
        <w:t xml:space="preserve">Gonzales </w:t>
      </w:r>
      <w:r w:rsidRPr="00C57589">
        <w:t xml:space="preserve">also changed his story about </w:t>
      </w:r>
      <w:r w:rsidRPr="00C57589">
        <w:t>being present at</w:t>
      </w:r>
      <w:r w:rsidRPr="00C57589">
        <w:t xml:space="preserve"> the </w:t>
      </w:r>
      <w:r w:rsidRPr="00C57589">
        <w:t xml:space="preserve">location of the </w:t>
      </w:r>
      <w:r w:rsidRPr="00C57589">
        <w:t>shooting and interacting with the shooting victims</w:t>
      </w:r>
      <w:r w:rsidRPr="00C57589">
        <w:t xml:space="preserve"> and repeatedly refused to answer questions for fear </w:t>
      </w:r>
      <w:r w:rsidRPr="00C57589">
        <w:t>of being known as a “snitch</w:t>
      </w:r>
      <w:r w:rsidRPr="00C57589">
        <w:t>.</w:t>
      </w:r>
      <w:r w:rsidRPr="00C57589">
        <w:t>”</w:t>
      </w:r>
    </w:p>
    <w:p w14:paraId="7AE32855" w14:textId="77777777" w:rsidR="009E65CC" w:rsidRPr="00C57589" w:rsidRDefault="009E65CC" w:rsidP="00A150BA">
      <w:pPr>
        <w:rPr>
          <w:b/>
          <w:bCs/>
        </w:rPr>
      </w:pPr>
      <w:r w:rsidRPr="00C57589">
        <w:rPr>
          <w:b/>
          <w:bCs/>
        </w:rPr>
        <w:t>II.</w:t>
      </w:r>
      <w:r w:rsidRPr="00C57589">
        <w:rPr>
          <w:b/>
          <w:bCs/>
        </w:rPr>
        <w:tab/>
      </w:r>
      <w:r w:rsidRPr="00C57589">
        <w:rPr>
          <w:b/>
          <w:bCs/>
        </w:rPr>
        <w:t xml:space="preserve">Gonzales’s </w:t>
      </w:r>
      <w:r w:rsidRPr="00C57589">
        <w:rPr>
          <w:b/>
          <w:bCs/>
        </w:rPr>
        <w:t>Prosecution and Conviction</w:t>
      </w:r>
    </w:p>
    <w:p w14:paraId="778F3412" w14:textId="77777777" w:rsidR="009E65CC" w:rsidRPr="00C57589" w:rsidRDefault="009E65CC" w:rsidP="00A150BA">
      <w:r w:rsidRPr="00C57589">
        <w:tab/>
      </w:r>
      <w:r w:rsidRPr="00C57589">
        <w:t>T</w:t>
      </w:r>
      <w:r w:rsidRPr="00C57589">
        <w:t xml:space="preserve">he People charged </w:t>
      </w:r>
      <w:r w:rsidRPr="00C57589">
        <w:t xml:space="preserve">Gonzales </w:t>
      </w:r>
      <w:r w:rsidRPr="00C57589">
        <w:t>(in San Bernardino County) with three counts of attempted premeditated murder (§§ 187, subd. (a), 664), and shooting from a motor vehicle (§ 12034).</w:t>
      </w:r>
      <w:r w:rsidRPr="00C57589">
        <w:t xml:space="preserve">  </w:t>
      </w:r>
      <w:r w:rsidRPr="00C57589">
        <w:t xml:space="preserve">The People further alleged that </w:t>
      </w:r>
      <w:r w:rsidRPr="00C57589">
        <w:t xml:space="preserve">Gonzales </w:t>
      </w:r>
      <w:r w:rsidRPr="00C57589">
        <w:t>personally and intentionally discharged a firearm causing great bodily injury (§ 12022.53, subds. (b)-(d)), personally and intentionally discharged a firearm from a motor vehicle (§ 12022.55), and committed the charged crimes for the benefit of, at the direction o</w:t>
      </w:r>
      <w:r w:rsidRPr="00C57589">
        <w:t>f</w:t>
      </w:r>
      <w:r w:rsidRPr="00C57589">
        <w:t>, or in association with a c</w:t>
      </w:r>
      <w:r w:rsidRPr="00C57589">
        <w:t>riminal street gang (§ 186.22, subd. (b)(1)(C)).</w:t>
      </w:r>
    </w:p>
    <w:p w14:paraId="4BCD85A8" w14:textId="77777777" w:rsidR="009E65CC" w:rsidRPr="00C57589" w:rsidRDefault="009E65CC" w:rsidP="00A150BA">
      <w:r w:rsidRPr="00C57589">
        <w:tab/>
        <w:t xml:space="preserve">In December 2009, a jury convicted </w:t>
      </w:r>
      <w:r w:rsidRPr="00C57589">
        <w:t xml:space="preserve">Gonzales </w:t>
      </w:r>
      <w:r w:rsidRPr="00C57589">
        <w:t>of all charged crimes and found true the firearm and gang allegations.</w:t>
      </w:r>
    </w:p>
    <w:p w14:paraId="268D6642" w14:textId="77777777" w:rsidR="009E65CC" w:rsidRPr="00C57589" w:rsidRDefault="009E65CC" w:rsidP="00A150BA">
      <w:r w:rsidRPr="00C57589">
        <w:tab/>
        <w:t xml:space="preserve">In January 2010, the trial court sentenced </w:t>
      </w:r>
      <w:r w:rsidRPr="00C57589">
        <w:t xml:space="preserve">Gonzales </w:t>
      </w:r>
      <w:r w:rsidRPr="00C57589">
        <w:t>to prison for 86 years and eight months.</w:t>
      </w:r>
    </w:p>
    <w:p w14:paraId="1998BEDB" w14:textId="77777777" w:rsidR="009E65CC" w:rsidRPr="00C57589" w:rsidRDefault="009E65CC" w:rsidP="00A150BA">
      <w:pPr>
        <w:rPr>
          <w:b/>
          <w:bCs/>
        </w:rPr>
      </w:pPr>
      <w:r w:rsidRPr="00C57589">
        <w:rPr>
          <w:b/>
          <w:bCs/>
        </w:rPr>
        <w:t>III.</w:t>
      </w:r>
      <w:r w:rsidRPr="00C57589">
        <w:rPr>
          <w:b/>
          <w:bCs/>
        </w:rPr>
        <w:tab/>
        <w:t xml:space="preserve">Review of </w:t>
      </w:r>
      <w:r w:rsidRPr="00C57589">
        <w:rPr>
          <w:b/>
          <w:bCs/>
        </w:rPr>
        <w:t xml:space="preserve">Gonzales’s </w:t>
      </w:r>
      <w:r w:rsidRPr="00C57589">
        <w:rPr>
          <w:b/>
          <w:bCs/>
        </w:rPr>
        <w:t>Convictions</w:t>
      </w:r>
    </w:p>
    <w:p w14:paraId="13DE98F9" w14:textId="77777777" w:rsidR="009E65CC" w:rsidRPr="00C57589" w:rsidRDefault="009E65CC" w:rsidP="00A150BA">
      <w:pPr>
        <w:rPr>
          <w:b/>
          <w:bCs/>
          <w:i/>
          <w:iCs/>
        </w:rPr>
      </w:pPr>
      <w:r w:rsidRPr="00C57589">
        <w:tab/>
      </w:r>
      <w:r w:rsidRPr="00C57589">
        <w:rPr>
          <w:b/>
          <w:bCs/>
        </w:rPr>
        <w:t>A.</w:t>
      </w:r>
      <w:r w:rsidRPr="00C57589">
        <w:rPr>
          <w:b/>
          <w:bCs/>
        </w:rPr>
        <w:tab/>
      </w:r>
      <w:r w:rsidRPr="00C57589">
        <w:rPr>
          <w:b/>
          <w:bCs/>
          <w:i/>
          <w:iCs/>
        </w:rPr>
        <w:t>Direct appeal</w:t>
      </w:r>
    </w:p>
    <w:p w14:paraId="5D9F51E3" w14:textId="77777777" w:rsidR="009E65CC" w:rsidRPr="00C57589" w:rsidRDefault="009E65CC" w:rsidP="00A150BA">
      <w:r w:rsidRPr="00C57589">
        <w:tab/>
        <w:t xml:space="preserve">On direct appeal of his conviction, </w:t>
      </w:r>
      <w:r w:rsidRPr="00C57589">
        <w:t xml:space="preserve">Gonzales </w:t>
      </w:r>
      <w:r w:rsidRPr="00C57589">
        <w:t>challenged the sufficiency of the evidence underlying his convictions.</w:t>
      </w:r>
      <w:r w:rsidRPr="00C57589">
        <w:t xml:space="preserve">  </w:t>
      </w:r>
      <w:r w:rsidRPr="00C57589">
        <w:t xml:space="preserve">The California Court of Appeal, Fourth </w:t>
      </w:r>
      <w:r w:rsidRPr="00C57589">
        <w:t xml:space="preserve">Appellate </w:t>
      </w:r>
      <w:r w:rsidRPr="00C57589">
        <w:t xml:space="preserve">District, </w:t>
      </w:r>
      <w:r w:rsidRPr="00C57589">
        <w:t xml:space="preserve">held in an </w:t>
      </w:r>
      <w:r w:rsidRPr="00C57589">
        <w:lastRenderedPageBreak/>
        <w:t xml:space="preserve">unpublished opinion </w:t>
      </w:r>
      <w:r w:rsidRPr="00C57589">
        <w:t xml:space="preserve">that circumstantial evidence supported the jury’s finding that </w:t>
      </w:r>
      <w:r w:rsidRPr="00C57589">
        <w:t xml:space="preserve">Gonzales </w:t>
      </w:r>
      <w:r w:rsidRPr="00C57589">
        <w:t>was the shooter—namely, (1) a partygoer’</w:t>
      </w:r>
      <w:r w:rsidRPr="00C57589">
        <w:t>s</w:t>
      </w:r>
      <w:r w:rsidRPr="00C57589">
        <w:t xml:space="preserve"> testimony that </w:t>
      </w:r>
      <w:r w:rsidRPr="00C57589">
        <w:t xml:space="preserve">Gonzales </w:t>
      </w:r>
      <w:r w:rsidRPr="00C57589">
        <w:t xml:space="preserve">was “dressed like a </w:t>
      </w:r>
      <w:proofErr w:type="spellStart"/>
      <w:r w:rsidRPr="00C57589">
        <w:t>Playboyz</w:t>
      </w:r>
      <w:proofErr w:type="spellEnd"/>
      <w:r w:rsidRPr="00C57589">
        <w:t xml:space="preserve"> gang member and associating with other gang members”</w:t>
      </w:r>
      <w:r w:rsidRPr="00C57589">
        <w:t>;</w:t>
      </w:r>
      <w:r w:rsidRPr="00C57589">
        <w:t xml:space="preserve"> (2) </w:t>
      </w:r>
      <w:r w:rsidRPr="00C57589">
        <w:t xml:space="preserve">Gonzales’s </w:t>
      </w:r>
      <w:r w:rsidRPr="00C57589">
        <w:t>“admissions to the police that he attended the party, dressed as [the partygoer] described him, and that he was in a car, passing by a group of men on the street at the time of the shooting</w:t>
      </w:r>
      <w:r w:rsidRPr="00C57589">
        <w:t>”</w:t>
      </w:r>
      <w:r w:rsidRPr="00C57589">
        <w:t>;</w:t>
      </w:r>
      <w:r w:rsidRPr="00C57589">
        <w:t xml:space="preserve"> and (3)</w:t>
      </w:r>
      <w:r w:rsidRPr="00C57589">
        <w:t xml:space="preserve"> Gonzales’s</w:t>
      </w:r>
      <w:r w:rsidRPr="00C57589">
        <w:t xml:space="preserve"> “positive gunshot residue test.”</w:t>
      </w:r>
      <w:r w:rsidRPr="00C57589">
        <w:t xml:space="preserve">  (</w:t>
      </w:r>
      <w:r w:rsidRPr="00C57589">
        <w:rPr>
          <w:i/>
          <w:iCs/>
        </w:rPr>
        <w:t xml:space="preserve">People v. Gonzales </w:t>
      </w:r>
      <w:r w:rsidRPr="00C57589">
        <w:t>(June 3, 20</w:t>
      </w:r>
      <w:r w:rsidRPr="00C57589">
        <w:t>11, E050175) [</w:t>
      </w:r>
      <w:proofErr w:type="spellStart"/>
      <w:r w:rsidRPr="00C57589">
        <w:t>nonpub</w:t>
      </w:r>
      <w:proofErr w:type="spellEnd"/>
      <w:r w:rsidRPr="00C57589">
        <w:t>.</w:t>
      </w:r>
      <w:r w:rsidRPr="00C57589">
        <w:t xml:space="preserve"> </w:t>
      </w:r>
      <w:proofErr w:type="spellStart"/>
      <w:r w:rsidRPr="00C57589">
        <w:t>opn</w:t>
      </w:r>
      <w:proofErr w:type="spellEnd"/>
      <w:r w:rsidRPr="00C57589">
        <w:t>.</w:t>
      </w:r>
      <w:r w:rsidRPr="00C57589">
        <w:t xml:space="preserve">].)  </w:t>
      </w:r>
    </w:p>
    <w:p w14:paraId="44154B9B" w14:textId="77777777" w:rsidR="009E65CC" w:rsidRPr="00C57589" w:rsidRDefault="009E65CC" w:rsidP="00A150BA">
      <w:r w:rsidRPr="00C57589">
        <w:tab/>
        <w:t xml:space="preserve">The California Supreme Court denied </w:t>
      </w:r>
      <w:r w:rsidRPr="00C57589">
        <w:t xml:space="preserve">Gonzales’s </w:t>
      </w:r>
      <w:r w:rsidRPr="00C57589">
        <w:t>petition for review.</w:t>
      </w:r>
    </w:p>
    <w:p w14:paraId="0002407F" w14:textId="77777777" w:rsidR="009E65CC" w:rsidRPr="00C57589" w:rsidRDefault="009E65CC" w:rsidP="00A150BA">
      <w:pPr>
        <w:rPr>
          <w:b/>
          <w:bCs/>
          <w:i/>
          <w:iCs/>
        </w:rPr>
      </w:pPr>
      <w:r w:rsidRPr="00C57589">
        <w:tab/>
      </w:r>
      <w:r w:rsidRPr="00C57589">
        <w:rPr>
          <w:b/>
          <w:bCs/>
        </w:rPr>
        <w:t>B.</w:t>
      </w:r>
      <w:r w:rsidRPr="00C57589">
        <w:rPr>
          <w:b/>
          <w:bCs/>
        </w:rPr>
        <w:tab/>
      </w:r>
      <w:r w:rsidRPr="00C57589">
        <w:rPr>
          <w:b/>
          <w:bCs/>
          <w:i/>
          <w:iCs/>
        </w:rPr>
        <w:t>Federal habeas corpus review</w:t>
      </w:r>
      <w:r>
        <w:rPr>
          <w:rStyle w:val="FootnoteReference"/>
          <w:b/>
          <w:bCs/>
        </w:rPr>
        <w:footnoteReference w:id="3"/>
      </w:r>
    </w:p>
    <w:p w14:paraId="7170EAAD" w14:textId="77777777" w:rsidR="009E65CC" w:rsidRPr="00C57589" w:rsidRDefault="009E65CC" w:rsidP="00A150BA">
      <w:r w:rsidRPr="00C57589">
        <w:t xml:space="preserve"> </w:t>
      </w:r>
      <w:r w:rsidRPr="00C57589">
        <w:tab/>
      </w:r>
      <w:r w:rsidRPr="00C57589">
        <w:tab/>
        <w:t>1.</w:t>
      </w:r>
      <w:r w:rsidRPr="00C57589">
        <w:tab/>
      </w:r>
      <w:r w:rsidRPr="00C57589">
        <w:rPr>
          <w:i/>
          <w:iCs/>
        </w:rPr>
        <w:t>District Court proceedings</w:t>
      </w:r>
    </w:p>
    <w:p w14:paraId="13E7E4F0" w14:textId="77777777" w:rsidR="009E65CC" w:rsidRPr="00C57589" w:rsidRDefault="009E65CC" w:rsidP="00A150BA">
      <w:r w:rsidRPr="00C57589">
        <w:tab/>
      </w:r>
      <w:r w:rsidRPr="00C57589">
        <w:t xml:space="preserve">Gonzales </w:t>
      </w:r>
      <w:r w:rsidRPr="00C57589">
        <w:t xml:space="preserve">filed a petition for a writ of habeas corpus in the United States District Court </w:t>
      </w:r>
      <w:r w:rsidRPr="00C57589">
        <w:t>for</w:t>
      </w:r>
      <w:r w:rsidRPr="00C57589">
        <w:t xml:space="preserve"> the Central District of California.  Among other claims, </w:t>
      </w:r>
      <w:r w:rsidRPr="00C57589">
        <w:t xml:space="preserve">he </w:t>
      </w:r>
      <w:r w:rsidRPr="00C57589">
        <w:t xml:space="preserve">argued that his convictions were not supported by substantial evidence.  </w:t>
      </w:r>
      <w:r w:rsidRPr="00C57589">
        <w:t>In a July 2013 order, t</w:t>
      </w:r>
      <w:r w:rsidRPr="00C57589">
        <w:t xml:space="preserve">he court rejected </w:t>
      </w:r>
      <w:r w:rsidRPr="00C57589">
        <w:t xml:space="preserve">Gonzales’s </w:t>
      </w:r>
      <w:r w:rsidRPr="00C57589">
        <w:t>claim, “find[</w:t>
      </w:r>
      <w:proofErr w:type="spellStart"/>
      <w:r w:rsidRPr="00C57589">
        <w:t>ing</w:t>
      </w:r>
      <w:proofErr w:type="spellEnd"/>
      <w:r w:rsidRPr="00C57589">
        <w:t>] no defect in the state [appellate</w:t>
      </w:r>
      <w:r w:rsidRPr="00C57589">
        <w:t>]</w:t>
      </w:r>
      <w:r w:rsidRPr="00C57589">
        <w:t xml:space="preserve"> court’s analysis </w:t>
      </w:r>
      <w:r w:rsidRPr="00C57589">
        <w:t xml:space="preserve">and </w:t>
      </w:r>
      <w:r w:rsidRPr="00C57589">
        <w:t>determination” regarding the sufficiency of the evidence.</w:t>
      </w:r>
      <w:r w:rsidRPr="00C57589">
        <w:t xml:space="preserve">  (</w:t>
      </w:r>
      <w:r w:rsidRPr="00C57589">
        <w:rPr>
          <w:i/>
          <w:iCs/>
        </w:rPr>
        <w:t xml:space="preserve">Gonzales v. Gipson </w:t>
      </w:r>
      <w:r w:rsidRPr="00C57589">
        <w:t>(July 19, 2013, ED CV 12</w:t>
      </w:r>
      <w:r w:rsidRPr="00C57589">
        <w:t>-</w:t>
      </w:r>
      <w:r w:rsidRPr="00C57589">
        <w:t xml:space="preserve">862-BRO (PLA).)  </w:t>
      </w:r>
    </w:p>
    <w:p w14:paraId="424696CA" w14:textId="77777777" w:rsidR="009E65CC" w:rsidRPr="00C57589" w:rsidRDefault="009E65CC" w:rsidP="00A150BA">
      <w:r w:rsidRPr="00C57589">
        <w:tab/>
      </w:r>
      <w:r w:rsidRPr="00C57589">
        <w:tab/>
        <w:t>2.</w:t>
      </w:r>
      <w:r w:rsidRPr="00C57589">
        <w:tab/>
      </w:r>
      <w:r w:rsidRPr="00C57589">
        <w:rPr>
          <w:i/>
          <w:iCs/>
        </w:rPr>
        <w:t>Ninth Circuit proceedings</w:t>
      </w:r>
    </w:p>
    <w:p w14:paraId="2913A7CA" w14:textId="77777777" w:rsidR="009E65CC" w:rsidRPr="00C57589" w:rsidRDefault="009E65CC" w:rsidP="00A150BA">
      <w:r w:rsidRPr="00C57589">
        <w:tab/>
      </w:r>
      <w:r w:rsidRPr="00C57589">
        <w:t xml:space="preserve">Gonzales </w:t>
      </w:r>
      <w:r w:rsidRPr="00C57589">
        <w:t xml:space="preserve">appealed the denial of his habeas petition to the Ninth Circuit.  </w:t>
      </w:r>
    </w:p>
    <w:p w14:paraId="7218B324" w14:textId="77777777" w:rsidR="009E65CC" w:rsidRPr="00C57589" w:rsidRDefault="009E65CC" w:rsidP="00A150BA">
      <w:r w:rsidRPr="00C57589">
        <w:lastRenderedPageBreak/>
        <w:tab/>
      </w:r>
      <w:r w:rsidRPr="00C57589">
        <w:t>In August 2016, a</w:t>
      </w:r>
      <w:r w:rsidRPr="00C57589">
        <w:t xml:space="preserve"> three-judge panel initially affirmed the denial in a 2-1 decision, with one judge dissenting. </w:t>
      </w:r>
      <w:r w:rsidRPr="00C57589">
        <w:t xml:space="preserve"> (</w:t>
      </w:r>
      <w:r w:rsidRPr="00C57589">
        <w:rPr>
          <w:i/>
          <w:iCs/>
        </w:rPr>
        <w:t>Gonzales v. Gipson</w:t>
      </w:r>
      <w:r w:rsidRPr="00C57589">
        <w:t xml:space="preserve"> (9th Cir. 2016) 659 </w:t>
      </w:r>
      <w:proofErr w:type="spellStart"/>
      <w:r w:rsidRPr="00C57589">
        <w:t>Fed.Appx</w:t>
      </w:r>
      <w:proofErr w:type="spellEnd"/>
      <w:r w:rsidRPr="00C57589">
        <w:t>.</w:t>
      </w:r>
      <w:r w:rsidRPr="00C57589">
        <w:t xml:space="preserve"> </w:t>
      </w:r>
      <w:r w:rsidRPr="00C57589">
        <w:t xml:space="preserve">400.)  </w:t>
      </w:r>
    </w:p>
    <w:p w14:paraId="389D6636" w14:textId="77777777" w:rsidR="009E65CC" w:rsidRPr="00C57589" w:rsidRDefault="009E65CC" w:rsidP="00A150BA">
      <w:r w:rsidRPr="00C57589">
        <w:tab/>
      </w:r>
      <w:r w:rsidRPr="00C57589">
        <w:t xml:space="preserve">Gonzales </w:t>
      </w:r>
      <w:r w:rsidRPr="00C57589">
        <w:t>petition</w:t>
      </w:r>
      <w:r w:rsidRPr="00C57589">
        <w:t>ed</w:t>
      </w:r>
      <w:r w:rsidRPr="00C57589">
        <w:t xml:space="preserve"> for rehearing, and the </w:t>
      </w:r>
      <w:r w:rsidRPr="00C57589">
        <w:t>three</w:t>
      </w:r>
      <w:r w:rsidRPr="00C57589">
        <w:t>-judge panel granted the petition and issu</w:t>
      </w:r>
      <w:r w:rsidRPr="00C57589">
        <w:t>ed</w:t>
      </w:r>
      <w:r w:rsidRPr="00C57589">
        <w:t xml:space="preserve"> a new 2-1 decision</w:t>
      </w:r>
      <w:r w:rsidRPr="00C57589">
        <w:t xml:space="preserve"> in April 2017</w:t>
      </w:r>
      <w:r w:rsidRPr="00C57589">
        <w:t xml:space="preserve">. </w:t>
      </w:r>
      <w:r w:rsidRPr="00C57589">
        <w:t xml:space="preserve"> (</w:t>
      </w:r>
      <w:r w:rsidRPr="00C57589">
        <w:rPr>
          <w:i/>
          <w:iCs/>
        </w:rPr>
        <w:t xml:space="preserve">Gonzales v. Gipson </w:t>
      </w:r>
      <w:r w:rsidRPr="00C57589">
        <w:t xml:space="preserve">(9th Cir. 2017) 687 </w:t>
      </w:r>
      <w:proofErr w:type="spellStart"/>
      <w:r w:rsidRPr="00C57589">
        <w:t>Fed.Appx</w:t>
      </w:r>
      <w:proofErr w:type="spellEnd"/>
      <w:r w:rsidRPr="00C57589">
        <w:t>.</w:t>
      </w:r>
      <w:r w:rsidRPr="00C57589">
        <w:t xml:space="preserve"> </w:t>
      </w:r>
      <w:r w:rsidRPr="00C57589">
        <w:t xml:space="preserve">548.)  </w:t>
      </w:r>
      <w:r w:rsidRPr="00C57589">
        <w:t xml:space="preserve">In this decision (which was </w:t>
      </w:r>
      <w:r w:rsidRPr="00C57589">
        <w:t xml:space="preserve">later </w:t>
      </w:r>
      <w:r w:rsidRPr="00C57589">
        <w:t xml:space="preserve">modified), the two-judge majority ruled that “the evidence [was] constitutionally insufficient to support </w:t>
      </w:r>
      <w:r w:rsidRPr="00C57589">
        <w:t>Gonzales’s</w:t>
      </w:r>
      <w:r w:rsidRPr="00C57589">
        <w:t xml:space="preserve"> convictions.”  The majority then offered six reasons for this conclusion, each of which summarized and/or made observations about the trial record:</w:t>
      </w:r>
    </w:p>
    <w:p w14:paraId="09670275" w14:textId="77777777" w:rsidR="009E65CC" w:rsidRPr="00C57589" w:rsidRDefault="009E65CC" w:rsidP="00A150BA">
      <w:r w:rsidRPr="00C57589">
        <w:tab/>
        <w:t>●</w:t>
      </w:r>
      <w:r w:rsidRPr="00C57589">
        <w:tab/>
        <w:t xml:space="preserve">“First, no eyewitness testified that </w:t>
      </w:r>
      <w:r w:rsidRPr="00C57589">
        <w:t>Gonzales</w:t>
      </w:r>
      <w:r w:rsidRPr="00C57589">
        <w:t xml:space="preserve"> was the shooter or could identify any of the occupants of the vehicle from which the shots were fired.”</w:t>
      </w:r>
    </w:p>
    <w:p w14:paraId="4FD5F801" w14:textId="77777777" w:rsidR="009E65CC" w:rsidRPr="00C57589" w:rsidRDefault="009E65CC" w:rsidP="00A150BA">
      <w:r w:rsidRPr="00C57589">
        <w:tab/>
        <w:t>●</w:t>
      </w:r>
      <w:r w:rsidRPr="00C57589">
        <w:tab/>
        <w:t xml:space="preserve">“Second, testimony concerning </w:t>
      </w:r>
      <w:r w:rsidRPr="00C57589">
        <w:t>Gonzales’s</w:t>
      </w:r>
      <w:r w:rsidRPr="00C57589">
        <w:t xml:space="preserve"> baseball cap and gang affiliation does not distinguish him from other people present on the night of the shooting</w:t>
      </w:r>
      <w:proofErr w:type="gramStart"/>
      <w:r w:rsidRPr="00C57589">
        <w:t xml:space="preserve">. . . </w:t>
      </w:r>
      <w:r w:rsidRPr="00C57589">
        <w:t>.</w:t>
      </w:r>
      <w:proofErr w:type="gramEnd"/>
      <w:r w:rsidRPr="00C57589">
        <w:t xml:space="preserve">  </w:t>
      </w:r>
      <w:r w:rsidRPr="00C57589">
        <w:t xml:space="preserve">No witness testified that the shooter wore a baseball cap that matched the one </w:t>
      </w:r>
      <w:r w:rsidRPr="00C57589">
        <w:t>Gonzales</w:t>
      </w:r>
      <w:r w:rsidRPr="00C57589">
        <w:t xml:space="preserve"> wore that night.  The evidence did not establish that a person known as ‘Knuckles’ was connected with the shooting, nor that the victims were shot to benefit the </w:t>
      </w:r>
      <w:proofErr w:type="spellStart"/>
      <w:r w:rsidRPr="00C57589">
        <w:t>Playboyz</w:t>
      </w:r>
      <w:proofErr w:type="spellEnd"/>
      <w:r w:rsidRPr="00C57589">
        <w:t xml:space="preserve"> gang specifically.”</w:t>
      </w:r>
    </w:p>
    <w:p w14:paraId="5E980C5D" w14:textId="77777777" w:rsidR="009E65CC" w:rsidRPr="00C57589" w:rsidRDefault="009E65CC" w:rsidP="00A150BA">
      <w:r w:rsidRPr="00C57589">
        <w:tab/>
        <w:t>●</w:t>
      </w:r>
      <w:r w:rsidRPr="00C57589">
        <w:tab/>
        <w:t xml:space="preserve">“Third, witnesses’ descriptions of the car from which the shots were fired did not match descriptions of the car in which </w:t>
      </w:r>
      <w:r w:rsidRPr="00C57589">
        <w:t>Gonzales</w:t>
      </w:r>
      <w:r w:rsidRPr="00C57589">
        <w:t xml:space="preserve"> claimed he was a passenger” because </w:t>
      </w:r>
      <w:r w:rsidRPr="00C57589">
        <w:t xml:space="preserve">Gonzales </w:t>
      </w:r>
      <w:r w:rsidRPr="00C57589">
        <w:t xml:space="preserve">“consistently stated” he was in a “light red Cadillac,” while witnesses described a “black or dark colored” Cadillac.  Also, </w:t>
      </w:r>
      <w:r w:rsidRPr="00C57589">
        <w:t xml:space="preserve">Gonzales </w:t>
      </w:r>
      <w:r w:rsidRPr="00C57589">
        <w:t>“repeatedly denied ever shooting a gun.”</w:t>
      </w:r>
    </w:p>
    <w:p w14:paraId="0A1F2900" w14:textId="77777777" w:rsidR="009E65CC" w:rsidRPr="00C57589" w:rsidRDefault="009E65CC" w:rsidP="00A150BA">
      <w:r w:rsidRPr="00C57589">
        <w:tab/>
        <w:t>●</w:t>
      </w:r>
      <w:r w:rsidRPr="00C57589">
        <w:tab/>
        <w:t xml:space="preserve">“Fourth, although </w:t>
      </w:r>
      <w:r w:rsidRPr="00C57589">
        <w:t>Gonzales</w:t>
      </w:r>
      <w:r w:rsidRPr="00C57589">
        <w:t xml:space="preserve"> stated during his police station interview that he was the rear passenger in a car that </w:t>
      </w:r>
      <w:r w:rsidRPr="00C57589">
        <w:lastRenderedPageBreak/>
        <w:t xml:space="preserve">drove by some men on the street who were ‘talking </w:t>
      </w:r>
      <w:proofErr w:type="gramStart"/>
      <w:r w:rsidRPr="00C57589">
        <w:t>shit</w:t>
      </w:r>
      <w:proofErr w:type="gramEnd"/>
      <w:r w:rsidRPr="00C57589">
        <w:t>’ and that he later heard gunshots, he did not clearly admit that he exchanged words with or motioned to anyone from the backseat of his friend’s light red Cadillac.”</w:t>
      </w:r>
    </w:p>
    <w:p w14:paraId="687496FA" w14:textId="77777777" w:rsidR="009E65CC" w:rsidRPr="00C57589" w:rsidRDefault="009E65CC" w:rsidP="00A150BA">
      <w:r w:rsidRPr="00C57589">
        <w:tab/>
        <w:t>●</w:t>
      </w:r>
      <w:r w:rsidRPr="00C57589">
        <w:tab/>
        <w:t xml:space="preserve">“Fifth, the two particles of gunshot residue on </w:t>
      </w:r>
      <w:r w:rsidRPr="00C57589">
        <w:t>Gonzales’s</w:t>
      </w:r>
      <w:r w:rsidRPr="00C57589">
        <w:t xml:space="preserve"> right hand do not connect him to any gun fired on the night of the shooting” because, due to the delay in time and hand-washing, “it was just as likely the particles came from contacting a surface contaminated with gunshot residue as from firing a firearm, handling a firearm, or being in close proximity </w:t>
      </w:r>
      <w:r w:rsidRPr="00C57589">
        <w:t xml:space="preserve">to </w:t>
      </w:r>
      <w:r w:rsidRPr="00C57589">
        <w:t>a discharge</w:t>
      </w:r>
      <w:r w:rsidRPr="00C57589">
        <w:t>d</w:t>
      </w:r>
      <w:r w:rsidRPr="00C57589">
        <w:t xml:space="preserve"> firearm.”</w:t>
      </w:r>
    </w:p>
    <w:p w14:paraId="5BD0D494" w14:textId="77777777" w:rsidR="009E65CC" w:rsidRPr="00C57589" w:rsidRDefault="009E65CC" w:rsidP="00A150BA">
      <w:r w:rsidRPr="00C57589">
        <w:tab/>
        <w:t xml:space="preserve">● </w:t>
      </w:r>
      <w:r w:rsidRPr="00C57589">
        <w:tab/>
        <w:t xml:space="preserve">“Sixth, despite a thorough search, police officers found no weapons, bullets, gun magazines, gun cleaning devices, or other firearm paraphernalia </w:t>
      </w:r>
      <w:r w:rsidRPr="00C57589">
        <w:t>at Gonzales’s</w:t>
      </w:r>
      <w:r w:rsidRPr="00C57589">
        <w:t xml:space="preserve"> home.”</w:t>
      </w:r>
    </w:p>
    <w:p w14:paraId="757810D9" w14:textId="77777777" w:rsidR="009E65CC" w:rsidRPr="00C57589" w:rsidRDefault="009E65CC" w:rsidP="00A150BA">
      <w:r w:rsidRPr="00C57589">
        <w:tab/>
        <w:t xml:space="preserve">Because </w:t>
      </w:r>
      <w:r w:rsidRPr="00C57589">
        <w:t xml:space="preserve">Gonzales’s </w:t>
      </w:r>
      <w:r w:rsidRPr="00C57589">
        <w:t xml:space="preserve">“convictions rest on” what the two-judge majority characterized as “a speculative and weak chain of inferences that he was the shooter and that he personally discharged a firearm,” the majority reiterated its conclusion that </w:t>
      </w:r>
      <w:r w:rsidRPr="00C57589">
        <w:t xml:space="preserve">the </w:t>
      </w:r>
      <w:r w:rsidRPr="00C57589">
        <w:t xml:space="preserve">evidence at trial was “constitutionally insufficient” because it “does not permit any rational trier of fact to conclude that </w:t>
      </w:r>
      <w:r w:rsidRPr="00C57589">
        <w:t>Gonzales</w:t>
      </w:r>
      <w:r w:rsidRPr="00C57589">
        <w:t xml:space="preserve"> was guilty beyond a reasonable doubt.”</w:t>
      </w:r>
    </w:p>
    <w:p w14:paraId="1A2B41EE" w14:textId="77777777" w:rsidR="009E65CC" w:rsidRPr="00C57589" w:rsidRDefault="009E65CC" w:rsidP="00A150BA">
      <w:pPr>
        <w:rPr>
          <w:b/>
          <w:bCs/>
        </w:rPr>
      </w:pPr>
      <w:r w:rsidRPr="00C57589">
        <w:rPr>
          <w:b/>
          <w:bCs/>
        </w:rPr>
        <w:t>IV.</w:t>
      </w:r>
      <w:r w:rsidRPr="00C57589">
        <w:rPr>
          <w:b/>
          <w:bCs/>
        </w:rPr>
        <w:tab/>
        <w:t>Administrative Proceeding Seeking Compensation</w:t>
      </w:r>
    </w:p>
    <w:p w14:paraId="088D0CEC" w14:textId="77777777" w:rsidR="009E65CC" w:rsidRPr="00C57589" w:rsidRDefault="009E65CC" w:rsidP="00A150BA">
      <w:pPr>
        <w:rPr>
          <w:b/>
          <w:bCs/>
          <w:i/>
          <w:iCs/>
        </w:rPr>
      </w:pPr>
      <w:r w:rsidRPr="00C57589">
        <w:tab/>
      </w:r>
      <w:r w:rsidRPr="00C57589">
        <w:rPr>
          <w:b/>
          <w:bCs/>
        </w:rPr>
        <w:t>A.</w:t>
      </w:r>
      <w:r w:rsidRPr="00C57589">
        <w:rPr>
          <w:b/>
          <w:bCs/>
        </w:rPr>
        <w:tab/>
      </w:r>
      <w:r w:rsidRPr="00C57589">
        <w:rPr>
          <w:b/>
          <w:bCs/>
          <w:i/>
          <w:iCs/>
        </w:rPr>
        <w:t xml:space="preserve">Filing of </w:t>
      </w:r>
      <w:r w:rsidRPr="00C57589">
        <w:rPr>
          <w:b/>
          <w:bCs/>
          <w:i/>
          <w:iCs/>
        </w:rPr>
        <w:t>petition</w:t>
      </w:r>
      <w:r w:rsidRPr="00C57589">
        <w:rPr>
          <w:b/>
          <w:bCs/>
          <w:i/>
          <w:iCs/>
        </w:rPr>
        <w:t xml:space="preserve"> for compensation</w:t>
      </w:r>
    </w:p>
    <w:p w14:paraId="26357BD3" w14:textId="77777777" w:rsidR="009E65CC" w:rsidRPr="00C57589" w:rsidRDefault="009E65CC" w:rsidP="00A150BA">
      <w:r w:rsidRPr="00C57589">
        <w:tab/>
        <w:t xml:space="preserve">Following his release from custody on July 25, 2017, </w:t>
      </w:r>
      <w:r w:rsidRPr="00C57589">
        <w:t xml:space="preserve">Gonzales </w:t>
      </w:r>
      <w:r w:rsidRPr="00C57589">
        <w:t>in August 2017 filed a claim with the California Victim Compensation Board (the Board) seeking $</w:t>
      </w:r>
      <w:r w:rsidRPr="00C57589">
        <w:t>450,2</w:t>
      </w:r>
      <w:r w:rsidRPr="00C57589">
        <w:t>4</w:t>
      </w:r>
      <w:r w:rsidRPr="00C57589">
        <w:t>0</w:t>
      </w:r>
      <w:r w:rsidRPr="00C57589">
        <w:t xml:space="preserve"> in compensation for the 3,21</w:t>
      </w:r>
      <w:r w:rsidRPr="00C57589">
        <w:t>6</w:t>
      </w:r>
      <w:r w:rsidRPr="00C57589">
        <w:t xml:space="preserve"> days he was incarcerated under the now-invalid convictions.</w:t>
      </w:r>
    </w:p>
    <w:p w14:paraId="6CDC0911" w14:textId="77777777" w:rsidR="009E65CC" w:rsidRPr="00C57589" w:rsidRDefault="009E65CC" w:rsidP="00A150BA">
      <w:r w:rsidRPr="00C57589">
        <w:tab/>
        <w:t xml:space="preserve">The Board stayed the proceedings while </w:t>
      </w:r>
      <w:r w:rsidRPr="00C57589">
        <w:t xml:space="preserve">Gonzales </w:t>
      </w:r>
      <w:r w:rsidRPr="00C57589">
        <w:t xml:space="preserve">litigated a petition for a </w:t>
      </w:r>
      <w:r w:rsidRPr="00C57589">
        <w:t xml:space="preserve">finding </w:t>
      </w:r>
      <w:r w:rsidRPr="00C57589">
        <w:t>of his factual innocence in</w:t>
      </w:r>
      <w:r w:rsidRPr="00C57589">
        <w:t xml:space="preserve"> the</w:t>
      </w:r>
      <w:r w:rsidRPr="00C57589">
        <w:t xml:space="preserve"> San </w:t>
      </w:r>
      <w:r w:rsidRPr="00C57589">
        <w:lastRenderedPageBreak/>
        <w:t xml:space="preserve">Bernardino </w:t>
      </w:r>
      <w:r w:rsidRPr="00C57589">
        <w:t xml:space="preserve">County </w:t>
      </w:r>
      <w:r w:rsidRPr="00C57589">
        <w:t xml:space="preserve">Superior Court.  </w:t>
      </w:r>
      <w:r w:rsidRPr="00C57589">
        <w:t>After an evidentiary hearing at which Gonzales testified, t</w:t>
      </w:r>
      <w:r w:rsidRPr="00C57589">
        <w:t xml:space="preserve">he court denied his petition, finding that the sum total of evidence—including that </w:t>
      </w:r>
      <w:r w:rsidRPr="00C57589">
        <w:t xml:space="preserve">Gonzales </w:t>
      </w:r>
      <w:r w:rsidRPr="00C57589">
        <w:t xml:space="preserve">“was at the location [of the shooting], matched the description, was </w:t>
      </w:r>
      <w:r w:rsidRPr="00C57589">
        <w:t>w</w:t>
      </w:r>
      <w:r w:rsidRPr="00C57589">
        <w:t xml:space="preserve">earing a hat consistent with gang involvement, was untruthful [during his post-arrest interview],” and had “gunshot residue on his hand”—indicated that </w:t>
      </w:r>
      <w:r w:rsidRPr="00C57589">
        <w:t>Gonzales</w:t>
      </w:r>
      <w:r w:rsidRPr="00C57589">
        <w:t xml:space="preserve"> was,</w:t>
      </w:r>
      <w:r w:rsidRPr="00C57589">
        <w:t xml:space="preserve"> </w:t>
      </w:r>
      <w:r w:rsidRPr="00C57589">
        <w:t>“in fact, factually culpable and guilty.”</w:t>
      </w:r>
      <w:r>
        <w:rPr>
          <w:rStyle w:val="FootnoteReference"/>
          <w:b/>
          <w:bCs/>
        </w:rPr>
        <w:footnoteReference w:id="4"/>
      </w:r>
    </w:p>
    <w:p w14:paraId="5054D2F3" w14:textId="77777777" w:rsidR="009E65CC" w:rsidRPr="00C57589" w:rsidRDefault="009E65CC" w:rsidP="00A150BA">
      <w:pPr>
        <w:rPr>
          <w:b/>
          <w:bCs/>
          <w:i/>
          <w:iCs/>
        </w:rPr>
      </w:pPr>
      <w:r w:rsidRPr="00C57589">
        <w:tab/>
      </w:r>
      <w:r w:rsidRPr="00C57589">
        <w:rPr>
          <w:b/>
          <w:bCs/>
        </w:rPr>
        <w:t>B.</w:t>
      </w:r>
      <w:r w:rsidRPr="00C57589">
        <w:rPr>
          <w:b/>
          <w:bCs/>
        </w:rPr>
        <w:tab/>
      </w:r>
      <w:r w:rsidRPr="00C57589">
        <w:rPr>
          <w:b/>
          <w:bCs/>
          <w:i/>
          <w:iCs/>
        </w:rPr>
        <w:t>Hearing</w:t>
      </w:r>
    </w:p>
    <w:p w14:paraId="612DA531" w14:textId="77777777" w:rsidR="009E65CC" w:rsidRPr="00C57589" w:rsidRDefault="009E65CC" w:rsidP="00A150BA">
      <w:r w:rsidRPr="00C57589">
        <w:tab/>
        <w:t xml:space="preserve">At the behest of the Board, a hearing officer conducted an evidentiary hearing on </w:t>
      </w:r>
      <w:r w:rsidRPr="00C57589">
        <w:t xml:space="preserve">Gonzales’s </w:t>
      </w:r>
      <w:r w:rsidRPr="00C57589">
        <w:t xml:space="preserve">petition for compensation in April 2019.  </w:t>
      </w:r>
    </w:p>
    <w:p w14:paraId="2F273EBD" w14:textId="77777777" w:rsidR="009E65CC" w:rsidRPr="00C57589" w:rsidRDefault="009E65CC" w:rsidP="00A150BA">
      <w:r w:rsidRPr="00C57589">
        <w:tab/>
        <w:t>The People introduced an enhanced audio record</w:t>
      </w:r>
      <w:r w:rsidRPr="00C57589">
        <w:t>ing</w:t>
      </w:r>
      <w:r w:rsidRPr="00C57589">
        <w:t xml:space="preserve"> of </w:t>
      </w:r>
      <w:r w:rsidRPr="00C57589">
        <w:t xml:space="preserve">Gonzales’s </w:t>
      </w:r>
      <w:r w:rsidRPr="00C57589">
        <w:t xml:space="preserve">post-arrest interview, which </w:t>
      </w:r>
      <w:r w:rsidRPr="00C57589">
        <w:t xml:space="preserve">made it possible to hear and understand </w:t>
      </w:r>
      <w:r w:rsidRPr="00C57589">
        <w:t xml:space="preserve">a portion of </w:t>
      </w:r>
      <w:r w:rsidRPr="00C57589">
        <w:t xml:space="preserve">Gonzales’s </w:t>
      </w:r>
      <w:r w:rsidRPr="00C57589">
        <w:t xml:space="preserve">statement that was </w:t>
      </w:r>
      <w:r w:rsidRPr="00C57589">
        <w:t xml:space="preserve">previously </w:t>
      </w:r>
      <w:r w:rsidRPr="00C57589">
        <w:t>“inaudible”</w:t>
      </w:r>
      <w:r w:rsidRPr="00C57589">
        <w:t xml:space="preserve"> in the version</w:t>
      </w:r>
      <w:r w:rsidRPr="00C57589">
        <w:t xml:space="preserve"> that was part of </w:t>
      </w:r>
      <w:r w:rsidRPr="00C57589">
        <w:t>the trial record</w:t>
      </w:r>
      <w:r w:rsidRPr="00C57589">
        <w:t xml:space="preserve">; in that portion, Gonzales admitted that he had </w:t>
      </w:r>
      <w:r w:rsidRPr="00C57589">
        <w:t>asked the men on the street corner, “Oh, where</w:t>
      </w:r>
      <w:r w:rsidRPr="00C57589">
        <w:t xml:space="preserve"> are</w:t>
      </w:r>
      <w:r w:rsidRPr="00C57589">
        <w:t xml:space="preserve"> you fools from, dawg?” </w:t>
      </w:r>
    </w:p>
    <w:p w14:paraId="0F9EAEC2" w14:textId="77777777" w:rsidR="009E65CC" w:rsidRPr="00C57589" w:rsidRDefault="009E65CC" w:rsidP="00A150BA">
      <w:r w:rsidRPr="00C57589">
        <w:tab/>
      </w:r>
      <w:r w:rsidRPr="00C57589">
        <w:t xml:space="preserve">Gonzales </w:t>
      </w:r>
      <w:r w:rsidRPr="00C57589">
        <w:t xml:space="preserve">introduced an affidavit from </w:t>
      </w:r>
      <w:r w:rsidRPr="00C57589">
        <w:t>“</w:t>
      </w:r>
      <w:r w:rsidRPr="00C57589">
        <w:t>Dave Herrada</w:t>
      </w:r>
      <w:r w:rsidRPr="00C57589">
        <w:t>,</w:t>
      </w:r>
      <w:r w:rsidRPr="00C57589">
        <w:t>”</w:t>
      </w:r>
      <w:r w:rsidRPr="00C57589">
        <w:t xml:space="preserve"> who declared that he drove </w:t>
      </w:r>
      <w:r w:rsidRPr="00C57589">
        <w:t>his</w:t>
      </w:r>
      <w:r w:rsidRPr="00C57589">
        <w:t xml:space="preserve"> “light red colored Cadill</w:t>
      </w:r>
      <w:r w:rsidRPr="00C57589">
        <w:t>a</w:t>
      </w:r>
      <w:r w:rsidRPr="00C57589">
        <w:t xml:space="preserve">c” </w:t>
      </w:r>
      <w:r w:rsidRPr="00C57589">
        <w:t xml:space="preserve">the night of the party </w:t>
      </w:r>
      <w:r w:rsidRPr="00C57589">
        <w:t xml:space="preserve">and that no one from the car fired a firearm.  </w:t>
      </w:r>
      <w:r w:rsidRPr="00C57589">
        <w:t xml:space="preserve">Gonzales </w:t>
      </w:r>
      <w:r w:rsidRPr="00C57589">
        <w:t xml:space="preserve">did not call Herrada to the stand, so he was not subject to </w:t>
      </w:r>
      <w:r w:rsidRPr="00C57589">
        <w:t>cross-examination.</w:t>
      </w:r>
    </w:p>
    <w:p w14:paraId="55A2F0A3" w14:textId="77777777" w:rsidR="009E65CC" w:rsidRPr="00C57589" w:rsidRDefault="009E65CC" w:rsidP="00A150BA">
      <w:r w:rsidRPr="00C57589">
        <w:tab/>
      </w:r>
      <w:r w:rsidRPr="00C57589">
        <w:t xml:space="preserve">Gonzales </w:t>
      </w:r>
      <w:r w:rsidRPr="00C57589">
        <w:t xml:space="preserve">also testified.  </w:t>
      </w:r>
      <w:r w:rsidRPr="00C57589">
        <w:t xml:space="preserve">Gonzales </w:t>
      </w:r>
      <w:r w:rsidRPr="00C57589">
        <w:t>reaffirmed that he was at the party, that the men on the corner approached h</w:t>
      </w:r>
      <w:r w:rsidRPr="00C57589">
        <w:t>im</w:t>
      </w:r>
      <w:r w:rsidRPr="00C57589">
        <w:t xml:space="preserve"> and his friends “aggressively” as they drove by in a “light red Cadillac,” </w:t>
      </w:r>
      <w:r w:rsidRPr="00C57589">
        <w:t xml:space="preserve">and </w:t>
      </w:r>
      <w:r w:rsidRPr="00C57589">
        <w:t>that he and his friend</w:t>
      </w:r>
      <w:r w:rsidRPr="00C57589">
        <w:t>s</w:t>
      </w:r>
      <w:r w:rsidRPr="00C57589">
        <w:t xml:space="preserve"> ignored those men and drove off.  </w:t>
      </w:r>
      <w:r w:rsidRPr="00C57589">
        <w:t xml:space="preserve">Gonzales </w:t>
      </w:r>
      <w:r w:rsidRPr="00C57589">
        <w:t>denied asking the men</w:t>
      </w:r>
      <w:r w:rsidRPr="00C57589">
        <w:t>,</w:t>
      </w:r>
      <w:r w:rsidRPr="00C57589">
        <w:t xml:space="preserve"> “</w:t>
      </w:r>
      <w:r w:rsidRPr="00C57589">
        <w:t>[W]</w:t>
      </w:r>
      <w:r w:rsidRPr="00C57589">
        <w:t xml:space="preserve">here </w:t>
      </w:r>
      <w:r w:rsidRPr="00C57589">
        <w:t xml:space="preserve">are </w:t>
      </w:r>
      <w:r w:rsidRPr="00C57589">
        <w:t xml:space="preserve">you fools from?” </w:t>
      </w:r>
      <w:r w:rsidRPr="00C57589">
        <w:lastRenderedPageBreak/>
        <w:t xml:space="preserve">until he was confronted with the enhanced recording, at which point he admitted it.  </w:t>
      </w:r>
      <w:r w:rsidRPr="00C57589">
        <w:t xml:space="preserve">Gonzales </w:t>
      </w:r>
      <w:r w:rsidRPr="00C57589">
        <w:t xml:space="preserve">denied being a member of the </w:t>
      </w:r>
      <w:proofErr w:type="spellStart"/>
      <w:r w:rsidRPr="00C57589">
        <w:t>Playboyz</w:t>
      </w:r>
      <w:proofErr w:type="spellEnd"/>
      <w:r w:rsidRPr="00C57589">
        <w:t xml:space="preserve"> gang, but acknowledged that he had been photographed throwing </w:t>
      </w:r>
      <w:proofErr w:type="spellStart"/>
      <w:r w:rsidRPr="00C57589">
        <w:t>Playb</w:t>
      </w:r>
      <w:r w:rsidRPr="00C57589">
        <w:t>oyz</w:t>
      </w:r>
      <w:proofErr w:type="spellEnd"/>
      <w:r w:rsidRPr="00C57589">
        <w:t xml:space="preserve"> “gang signs,</w:t>
      </w:r>
      <w:r w:rsidRPr="00C57589">
        <w:t>”</w:t>
      </w:r>
      <w:r w:rsidRPr="00C57589">
        <w:t xml:space="preserve"> that he had registered as a </w:t>
      </w:r>
      <w:proofErr w:type="spellStart"/>
      <w:r w:rsidRPr="00C57589">
        <w:t>Playboyz</w:t>
      </w:r>
      <w:proofErr w:type="spellEnd"/>
      <w:r w:rsidRPr="00C57589">
        <w:t xml:space="preserve"> gang member with the police, that he </w:t>
      </w:r>
      <w:r w:rsidRPr="00C57589">
        <w:t>pro</w:t>
      </w:r>
      <w:r w:rsidRPr="00C57589">
        <w:t xml:space="preserve">claimed </w:t>
      </w:r>
      <w:r w:rsidRPr="00C57589">
        <w:t xml:space="preserve">himself </w:t>
      </w:r>
      <w:r w:rsidRPr="00C57589">
        <w:t>to be “Knuckle</w:t>
      </w:r>
      <w:r w:rsidRPr="00C57589">
        <w:t>s</w:t>
      </w:r>
      <w:r w:rsidRPr="00C57589">
        <w:t xml:space="preserve"> from </w:t>
      </w:r>
      <w:proofErr w:type="spellStart"/>
      <w:r w:rsidRPr="00C57589">
        <w:t>Playboyz</w:t>
      </w:r>
      <w:proofErr w:type="spellEnd"/>
      <w:r w:rsidRPr="00C57589">
        <w:t>” on</w:t>
      </w:r>
      <w:r w:rsidRPr="00C57589">
        <w:t xml:space="preserve"> a social media profile</w:t>
      </w:r>
      <w:r w:rsidRPr="00C57589">
        <w:t>, and that he had told the police in his post-arrest interview that he bragged to other partygoers he was “Knuc</w:t>
      </w:r>
      <w:r w:rsidRPr="00C57589">
        <w:t>k</w:t>
      </w:r>
      <w:r w:rsidRPr="00C57589">
        <w:t xml:space="preserve">les” with the </w:t>
      </w:r>
      <w:proofErr w:type="spellStart"/>
      <w:r w:rsidRPr="00C57589">
        <w:t>Playboyz</w:t>
      </w:r>
      <w:proofErr w:type="spellEnd"/>
      <w:r w:rsidRPr="00C57589">
        <w:t xml:space="preserve"> gang.</w:t>
      </w:r>
    </w:p>
    <w:p w14:paraId="66F684D7" w14:textId="77777777" w:rsidR="009E65CC" w:rsidRPr="00C57589" w:rsidRDefault="009E65CC" w:rsidP="00A150BA">
      <w:pPr>
        <w:rPr>
          <w:b/>
          <w:bCs/>
          <w:i/>
          <w:iCs/>
        </w:rPr>
      </w:pPr>
      <w:r w:rsidRPr="00C57589">
        <w:tab/>
      </w:r>
      <w:r w:rsidRPr="00C57589">
        <w:rPr>
          <w:b/>
          <w:bCs/>
        </w:rPr>
        <w:t>C.</w:t>
      </w:r>
      <w:r w:rsidRPr="00C57589">
        <w:rPr>
          <w:b/>
          <w:bCs/>
        </w:rPr>
        <w:tab/>
      </w:r>
      <w:r w:rsidRPr="00C57589">
        <w:rPr>
          <w:b/>
          <w:bCs/>
          <w:i/>
          <w:iCs/>
        </w:rPr>
        <w:t>Ruling</w:t>
      </w:r>
    </w:p>
    <w:p w14:paraId="1A530DF7" w14:textId="77777777" w:rsidR="009E65CC" w:rsidRPr="00C57589" w:rsidRDefault="009E65CC" w:rsidP="00A150BA">
      <w:r w:rsidRPr="00C57589">
        <w:tab/>
        <w:t xml:space="preserve">Following post-hearing briefing, the Board in September 2020 </w:t>
      </w:r>
      <w:r w:rsidRPr="00C57589">
        <w:t xml:space="preserve">adopted the hearing officer’s </w:t>
      </w:r>
      <w:r w:rsidRPr="00C57589">
        <w:t xml:space="preserve">31-page </w:t>
      </w:r>
      <w:r w:rsidRPr="00C57589">
        <w:t xml:space="preserve">ruling </w:t>
      </w:r>
      <w:r w:rsidRPr="00C57589">
        <w:t xml:space="preserve">denying </w:t>
      </w:r>
      <w:r w:rsidRPr="00C57589">
        <w:t xml:space="preserve">Gonzales’s </w:t>
      </w:r>
      <w:r w:rsidRPr="00C57589">
        <w:t xml:space="preserve">claim for compensation.  Specifically, the Board concluded that </w:t>
      </w:r>
      <w:r w:rsidRPr="00C57589">
        <w:t xml:space="preserve">Gonzales </w:t>
      </w:r>
      <w:r w:rsidRPr="00C57589">
        <w:t xml:space="preserve">“failed to satisfy his burden of proving he is more likely innocent, than </w:t>
      </w:r>
      <w:proofErr w:type="gramStart"/>
      <w:r w:rsidRPr="00C57589">
        <w:t>guilty</w:t>
      </w:r>
      <w:r w:rsidRPr="00C57589">
        <w:t>,</w:t>
      </w:r>
      <w:proofErr w:type="gramEnd"/>
      <w:r w:rsidRPr="00C57589">
        <w:t xml:space="preserve"> of his vacated convictions</w:t>
      </w:r>
      <w:r w:rsidRPr="00C57589">
        <w:t>” and “failed to demonstrate his innocence by a preponderance of evidence</w:t>
      </w:r>
      <w:r w:rsidRPr="00C57589">
        <w:t>.</w:t>
      </w:r>
      <w:r w:rsidRPr="00C57589">
        <w:t>”</w:t>
      </w:r>
    </w:p>
    <w:p w14:paraId="7F4B78BF" w14:textId="77777777" w:rsidR="009E65CC" w:rsidRPr="00C57589" w:rsidRDefault="009E65CC" w:rsidP="00A150BA">
      <w:r w:rsidRPr="00C57589">
        <w:tab/>
      </w:r>
      <w:r w:rsidRPr="00C57589">
        <w:t xml:space="preserve">The Board acknowledged—as </w:t>
      </w:r>
      <w:r w:rsidRPr="00C57589">
        <w:t xml:space="preserve">Gonzales </w:t>
      </w:r>
      <w:r w:rsidRPr="00C57589">
        <w:t xml:space="preserve">and the People </w:t>
      </w:r>
      <w:r w:rsidRPr="00C57589">
        <w:t>urged</w:t>
      </w:r>
      <w:r w:rsidRPr="00C57589">
        <w:t>—that it was bound by “any factual finding[s]” of the Ninth Circuit in granting habeas relief and by the San Bernardino</w:t>
      </w:r>
      <w:r w:rsidRPr="00C57589">
        <w:t xml:space="preserve"> County</w:t>
      </w:r>
      <w:r w:rsidRPr="00C57589">
        <w:t xml:space="preserve"> Superior Court in denying a finding of factual innocence, but found that those two </w:t>
      </w:r>
      <w:r w:rsidRPr="00C57589">
        <w:t xml:space="preserve">sets of </w:t>
      </w:r>
      <w:r w:rsidRPr="00C57589">
        <w:t>findings were “not necessarily inconsistent” because the Ninth Circuit’s ruling assessed whether the evidence at trial was sufficient to prove guilt beyond a reasonable doubt, while the Superior Court assessed whether the trial evidence an</w:t>
      </w:r>
      <w:r w:rsidRPr="00C57589">
        <w:t xml:space="preserve">d additional evidence proved that </w:t>
      </w:r>
      <w:r w:rsidRPr="00C57589">
        <w:t xml:space="preserve">Gonzales </w:t>
      </w:r>
      <w:r w:rsidRPr="00C57589">
        <w:t>was innocent by a preponderance of the evidence.  The Board went further by treating the Ninth Circuit’s “characterizations of the trial</w:t>
      </w:r>
      <w:r w:rsidRPr="00C57589">
        <w:t xml:space="preserve"> court</w:t>
      </w:r>
      <w:r w:rsidRPr="00C57589">
        <w:t xml:space="preserve"> record</w:t>
      </w:r>
      <w:r w:rsidRPr="00C57589">
        <w:t>”</w:t>
      </w:r>
      <w:r w:rsidRPr="00C57589">
        <w:t xml:space="preserve"> as “factual findings,</w:t>
      </w:r>
      <w:r w:rsidRPr="00C57589">
        <w:t>”</w:t>
      </w:r>
      <w:r w:rsidRPr="00C57589">
        <w:t xml:space="preserve"> and listed several of the characterizations set forth in the Ninth Circuit’s decision.</w:t>
      </w:r>
    </w:p>
    <w:p w14:paraId="0D642430" w14:textId="77777777" w:rsidR="009E65CC" w:rsidRPr="00C57589" w:rsidRDefault="009E65CC" w:rsidP="00A150BA">
      <w:r w:rsidRPr="00C57589">
        <w:lastRenderedPageBreak/>
        <w:tab/>
        <w:t xml:space="preserve">The Board </w:t>
      </w:r>
      <w:r w:rsidRPr="00C57589">
        <w:t xml:space="preserve">then </w:t>
      </w:r>
      <w:r w:rsidRPr="00C57589">
        <w:t xml:space="preserve">enumerated three reasons for its conclusion that </w:t>
      </w:r>
      <w:r w:rsidRPr="00C57589">
        <w:t xml:space="preserve">Gonzales </w:t>
      </w:r>
      <w:r w:rsidRPr="00C57589">
        <w:t>had not</w:t>
      </w:r>
      <w:r w:rsidRPr="00C57589">
        <w:t xml:space="preserve"> met his burden of</w:t>
      </w:r>
      <w:r w:rsidRPr="00C57589">
        <w:t xml:space="preserve"> establish</w:t>
      </w:r>
      <w:r w:rsidRPr="00C57589">
        <w:t>ing</w:t>
      </w:r>
      <w:r w:rsidRPr="00C57589">
        <w:t xml:space="preserve"> his factual innocence.  First, the Board set forth the evidence from the trial that circumstantially inculpated </w:t>
      </w:r>
      <w:r w:rsidRPr="00C57589">
        <w:t>Gonzales</w:t>
      </w:r>
      <w:r w:rsidRPr="00C57589">
        <w:t>, including (1) “his presence at the crime scene”</w:t>
      </w:r>
      <w:r w:rsidRPr="00C57589">
        <w:t>;</w:t>
      </w:r>
      <w:r w:rsidRPr="00C57589">
        <w:t xml:space="preserve"> (2) the “striking number of shared circumstances between </w:t>
      </w:r>
      <w:r w:rsidRPr="00C57589">
        <w:t>Gonzales</w:t>
      </w:r>
      <w:r w:rsidRPr="00C57589">
        <w:t xml:space="preserve"> and the shooter,” such as both leaving the party around the same time in a newer model Cadillac with rims </w:t>
      </w:r>
      <w:r w:rsidRPr="00C57589">
        <w:t xml:space="preserve">and </w:t>
      </w:r>
      <w:r w:rsidRPr="00C57589">
        <w:t xml:space="preserve">with three people in </w:t>
      </w:r>
      <w:r w:rsidRPr="00C57589">
        <w:t>it</w:t>
      </w:r>
      <w:r w:rsidRPr="00C57589">
        <w:t xml:space="preserve">, both being seated in the back seat of </w:t>
      </w:r>
      <w:r w:rsidRPr="00C57589">
        <w:t>the Cadillac, both wearing baseball caps, both passing the three men on the street corner at around the same time, and both asking the men where they were from</w:t>
      </w:r>
      <w:r w:rsidRPr="00C57589">
        <w:t>;</w:t>
      </w:r>
      <w:r w:rsidRPr="00C57589">
        <w:t xml:space="preserve"> </w:t>
      </w:r>
      <w:r w:rsidRPr="00C57589">
        <w:t xml:space="preserve">(3) the </w:t>
      </w:r>
      <w:r w:rsidRPr="00C57589">
        <w:t xml:space="preserve">presence of </w:t>
      </w:r>
      <w:r w:rsidRPr="00C57589">
        <w:t>two particles of gunshot residue on Gonzales’s hand</w:t>
      </w:r>
      <w:r w:rsidRPr="00C57589">
        <w:t>,</w:t>
      </w:r>
      <w:r w:rsidRPr="00C57589">
        <w:t xml:space="preserve"> “suggest[</w:t>
      </w:r>
      <w:proofErr w:type="spellStart"/>
      <w:r w:rsidRPr="00C57589">
        <w:t>ing</w:t>
      </w:r>
      <w:proofErr w:type="spellEnd"/>
      <w:r w:rsidRPr="00C57589">
        <w:t>] the possibility that he was the shooter”</w:t>
      </w:r>
      <w:r w:rsidRPr="00C57589">
        <w:t>;</w:t>
      </w:r>
      <w:r w:rsidRPr="00C57589">
        <w:t xml:space="preserve"> </w:t>
      </w:r>
      <w:r w:rsidRPr="00C57589">
        <w:t xml:space="preserve">and </w:t>
      </w:r>
      <w:r w:rsidRPr="00C57589">
        <w:t>(</w:t>
      </w:r>
      <w:r w:rsidRPr="00C57589">
        <w:t>4</w:t>
      </w:r>
      <w:r w:rsidRPr="00C57589">
        <w:t xml:space="preserve">) his status as “an admitted and documented” member of a street gang </w:t>
      </w:r>
      <w:r w:rsidRPr="00C57589">
        <w:t xml:space="preserve">in what was </w:t>
      </w:r>
      <w:r w:rsidRPr="00C57589">
        <w:t xml:space="preserve">a “gang-motivated” shooting. </w:t>
      </w:r>
      <w:r w:rsidRPr="00C57589">
        <w:t xml:space="preserve"> </w:t>
      </w:r>
      <w:r w:rsidRPr="00C57589">
        <w:t xml:space="preserve">Second, the Board found </w:t>
      </w:r>
      <w:r w:rsidRPr="00C57589">
        <w:t xml:space="preserve">Gonzales’s </w:t>
      </w:r>
      <w:r w:rsidRPr="00C57589">
        <w:t xml:space="preserve">testimony </w:t>
      </w:r>
      <w:r w:rsidRPr="00C57589">
        <w:t>before the hearing officer to be “not credible” given that he “falsely described” his criminal history, and given the sheer number of “patently inconsistent statements” he made about the shooting—</w:t>
      </w:r>
      <w:r w:rsidRPr="00C57589">
        <w:t>which included</w:t>
      </w:r>
      <w:r w:rsidRPr="00C57589">
        <w:t xml:space="preserve"> both “</w:t>
      </w:r>
      <w:proofErr w:type="spellStart"/>
      <w:r w:rsidRPr="00C57589">
        <w:t>admitt</w:t>
      </w:r>
      <w:proofErr w:type="spellEnd"/>
      <w:r w:rsidRPr="00C57589">
        <w:t>[</w:t>
      </w:r>
      <w:proofErr w:type="spellStart"/>
      <w:r w:rsidRPr="00C57589">
        <w:t>ing</w:t>
      </w:r>
      <w:proofErr w:type="spellEnd"/>
      <w:r w:rsidRPr="00C57589">
        <w:t xml:space="preserve">] and den[ying]” (1) “being a member of the </w:t>
      </w:r>
      <w:proofErr w:type="spellStart"/>
      <w:r w:rsidRPr="00C57589">
        <w:t>Playboyz</w:t>
      </w:r>
      <w:proofErr w:type="spellEnd"/>
      <w:r w:rsidRPr="00C57589">
        <w:t xml:space="preserve"> gang,” (2) “being present when shots were fired,” </w:t>
      </w:r>
      <w:r w:rsidRPr="00C57589">
        <w:t xml:space="preserve">and </w:t>
      </w:r>
      <w:r w:rsidRPr="00C57589">
        <w:t xml:space="preserve">(3) “asking the victims where they were from.”  Third, the Board found Herrada’s declaration “untrustworthy” because </w:t>
      </w:r>
      <w:r w:rsidRPr="00C57589">
        <w:t xml:space="preserve">(1) </w:t>
      </w:r>
      <w:r w:rsidRPr="00C57589">
        <w:t xml:space="preserve">his </w:t>
      </w:r>
      <w:r w:rsidRPr="00C57589">
        <w:t xml:space="preserve">name did not </w:t>
      </w:r>
      <w:r w:rsidRPr="00C57589">
        <w:t xml:space="preserve">exactly </w:t>
      </w:r>
      <w:r w:rsidRPr="00C57589">
        <w:t xml:space="preserve">match </w:t>
      </w:r>
      <w:r w:rsidRPr="00C57589">
        <w:t xml:space="preserve">the name </w:t>
      </w:r>
      <w:r w:rsidRPr="00C57589">
        <w:t xml:space="preserve">given by </w:t>
      </w:r>
      <w:r w:rsidRPr="00C57589">
        <w:t>Gonzales</w:t>
      </w:r>
      <w:r w:rsidRPr="00C57589">
        <w:t xml:space="preserve"> </w:t>
      </w:r>
      <w:r w:rsidRPr="00C57589">
        <w:t>as someone who was with him on the night of the shooting</w:t>
      </w:r>
      <w:r w:rsidRPr="00C57589">
        <w:t xml:space="preserve">; (2) </w:t>
      </w:r>
      <w:r w:rsidRPr="00C57589">
        <w:t>the declaration omits the name of the third person in the Cadillac</w:t>
      </w:r>
      <w:r w:rsidRPr="00C57589">
        <w:t>;</w:t>
      </w:r>
      <w:r w:rsidRPr="00C57589">
        <w:t xml:space="preserve"> and </w:t>
      </w:r>
      <w:r w:rsidRPr="00C57589">
        <w:t xml:space="preserve">(3) the </w:t>
      </w:r>
      <w:r w:rsidRPr="00C57589">
        <w:t xml:space="preserve">declaration contradicted some of </w:t>
      </w:r>
      <w:r w:rsidRPr="00C57589">
        <w:t xml:space="preserve">Gonzales’s </w:t>
      </w:r>
      <w:r w:rsidRPr="00C57589">
        <w:t>own statements</w:t>
      </w:r>
      <w:r w:rsidRPr="00C57589">
        <w:t>, which also were internally inconsistent</w:t>
      </w:r>
      <w:r w:rsidRPr="00C57589">
        <w:t>,</w:t>
      </w:r>
      <w:r w:rsidRPr="00C57589">
        <w:t xml:space="preserve"> regarding who owned and who drove the Cadillac</w:t>
      </w:r>
      <w:r w:rsidRPr="00C57589">
        <w:t xml:space="preserve"> </w:t>
      </w:r>
      <w:r w:rsidRPr="00C57589">
        <w:t xml:space="preserve">on </w:t>
      </w:r>
      <w:r w:rsidRPr="00C57589">
        <w:t>the night of the shooting</w:t>
      </w:r>
      <w:r w:rsidRPr="00C57589">
        <w:t>.</w:t>
      </w:r>
    </w:p>
    <w:p w14:paraId="55CCEF06" w14:textId="77777777" w:rsidR="009E65CC" w:rsidRPr="00C57589" w:rsidRDefault="009E65CC" w:rsidP="00A150BA">
      <w:pPr>
        <w:rPr>
          <w:b/>
          <w:bCs/>
        </w:rPr>
      </w:pPr>
      <w:r w:rsidRPr="00C57589">
        <w:rPr>
          <w:b/>
          <w:bCs/>
        </w:rPr>
        <w:lastRenderedPageBreak/>
        <w:t>V.</w:t>
      </w:r>
      <w:r w:rsidRPr="00C57589">
        <w:rPr>
          <w:b/>
          <w:bCs/>
        </w:rPr>
        <w:tab/>
        <w:t>Administrative Mandamus Proceedings</w:t>
      </w:r>
    </w:p>
    <w:p w14:paraId="31FA8BC0" w14:textId="77777777" w:rsidR="009E65CC" w:rsidRPr="00C57589" w:rsidRDefault="009E65CC" w:rsidP="00A150BA">
      <w:r w:rsidRPr="00C57589">
        <w:tab/>
        <w:t xml:space="preserve">In December 2020, </w:t>
      </w:r>
      <w:r w:rsidRPr="00C57589">
        <w:t xml:space="preserve">Gonzales </w:t>
      </w:r>
      <w:r w:rsidRPr="00C57589">
        <w:t xml:space="preserve">filed a petition for a writ of administrative mandamus in </w:t>
      </w:r>
      <w:r w:rsidRPr="00C57589">
        <w:t xml:space="preserve">the </w:t>
      </w:r>
      <w:r w:rsidRPr="00C57589">
        <w:t xml:space="preserve">Los Angeles </w:t>
      </w:r>
      <w:r w:rsidRPr="00C57589">
        <w:t xml:space="preserve">County </w:t>
      </w:r>
      <w:r w:rsidRPr="00C57589">
        <w:t>Superior Court seeking to overturn the Board’s denial of his claim for compensation.</w:t>
      </w:r>
      <w:r>
        <w:rPr>
          <w:rStyle w:val="FootnoteReference"/>
          <w:b/>
          <w:bCs/>
        </w:rPr>
        <w:footnoteReference w:id="5"/>
      </w:r>
      <w:r w:rsidRPr="00C57589">
        <w:rPr>
          <w:b/>
          <w:bCs/>
        </w:rPr>
        <w:t xml:space="preserve"> </w:t>
      </w:r>
      <w:r w:rsidRPr="00C57589">
        <w:t xml:space="preserve"> After the Board answered </w:t>
      </w:r>
      <w:r w:rsidRPr="00C57589">
        <w:t>the petition</w:t>
      </w:r>
      <w:r w:rsidRPr="00C57589">
        <w:t xml:space="preserve">, </w:t>
      </w:r>
      <w:r w:rsidRPr="00C57589">
        <w:t>Gonzales</w:t>
      </w:r>
      <w:r w:rsidRPr="00C57589">
        <w:t>, the Board</w:t>
      </w:r>
      <w:r w:rsidRPr="00C57589">
        <w:t>,</w:t>
      </w:r>
      <w:r w:rsidRPr="00C57589">
        <w:t xml:space="preserve"> and the People (as the real party in interest) </w:t>
      </w:r>
      <w:r w:rsidRPr="00C57589">
        <w:t xml:space="preserve">briefed </w:t>
      </w:r>
      <w:r w:rsidRPr="00C57589">
        <w:t>whether Gonzales was entitled to relief</w:t>
      </w:r>
      <w:r w:rsidRPr="00C57589">
        <w:t xml:space="preserve">.  The court convened a hearing in July 2022, and </w:t>
      </w:r>
      <w:r w:rsidRPr="00C57589">
        <w:t>issued a 16-page written ruling a week later.</w:t>
      </w:r>
    </w:p>
    <w:p w14:paraId="73D02508" w14:textId="77777777" w:rsidR="009E65CC" w:rsidRPr="00C57589" w:rsidRDefault="009E65CC" w:rsidP="00A150BA">
      <w:r w:rsidRPr="00C57589">
        <w:tab/>
        <w:t xml:space="preserve">The court ruled that the Board’s </w:t>
      </w:r>
      <w:r w:rsidRPr="00C57589">
        <w:t>denial of</w:t>
      </w:r>
      <w:r w:rsidRPr="00C57589">
        <w:t xml:space="preserve"> </w:t>
      </w:r>
      <w:r w:rsidRPr="00C57589">
        <w:t xml:space="preserve">Gonzales’s compensation claim </w:t>
      </w:r>
      <w:r w:rsidRPr="00C57589">
        <w:t xml:space="preserve">did not constitute a prejudicial abuse of discretion because it was “supported by substantial evidence.”  The court found that the Board had “give[n] ‘binding effect’” to both the Ninth Circuit’s </w:t>
      </w:r>
      <w:r w:rsidRPr="00C57589">
        <w:t xml:space="preserve">findings </w:t>
      </w:r>
      <w:r w:rsidRPr="00C57589">
        <w:t xml:space="preserve">and the San Bernardino </w:t>
      </w:r>
      <w:r w:rsidRPr="00C57589">
        <w:t xml:space="preserve">County </w:t>
      </w:r>
      <w:r w:rsidRPr="00C57589">
        <w:t xml:space="preserve">Superior Court’s </w:t>
      </w:r>
      <w:proofErr w:type="gramStart"/>
      <w:r w:rsidRPr="00C57589">
        <w:t>findings</w:t>
      </w:r>
      <w:r w:rsidRPr="00C57589">
        <w:t>, and</w:t>
      </w:r>
      <w:proofErr w:type="gramEnd"/>
      <w:r w:rsidRPr="00C57589">
        <w:t xml:space="preserve"> was able to do so because those two courts applied “different </w:t>
      </w:r>
      <w:r w:rsidRPr="00C57589">
        <w:t>. . .</w:t>
      </w:r>
      <w:r w:rsidRPr="00C57589">
        <w:t xml:space="preserve"> </w:t>
      </w:r>
      <w:r w:rsidRPr="00C57589">
        <w:t xml:space="preserve">standards.”  The court next found that the Board’s conclusion that </w:t>
      </w:r>
      <w:r w:rsidRPr="00C57589">
        <w:t xml:space="preserve">Gonzales </w:t>
      </w:r>
      <w:r w:rsidRPr="00C57589">
        <w:t>had not proven his factual innocence by a preponderance of the</w:t>
      </w:r>
      <w:r w:rsidRPr="00C57589">
        <w:t xml:space="preserve"> evidence was reasonable and supported by substantial evidence. </w:t>
      </w:r>
    </w:p>
    <w:p w14:paraId="13298D69" w14:textId="77777777" w:rsidR="009E65CC" w:rsidRPr="00C57589" w:rsidRDefault="009E65CC" w:rsidP="00A150BA">
      <w:pPr>
        <w:rPr>
          <w:b/>
          <w:bCs/>
        </w:rPr>
      </w:pPr>
      <w:r w:rsidRPr="00C57589">
        <w:rPr>
          <w:b/>
          <w:bCs/>
        </w:rPr>
        <w:t>VI.</w:t>
      </w:r>
      <w:r w:rsidRPr="00C57589">
        <w:rPr>
          <w:b/>
          <w:bCs/>
        </w:rPr>
        <w:tab/>
        <w:t>Appeal</w:t>
      </w:r>
    </w:p>
    <w:p w14:paraId="3C229F08" w14:textId="77777777" w:rsidR="009E65CC" w:rsidRPr="00C57589" w:rsidRDefault="009E65CC" w:rsidP="00A150BA">
      <w:r w:rsidRPr="00C57589">
        <w:tab/>
      </w:r>
      <w:r w:rsidRPr="00C57589">
        <w:t xml:space="preserve">Following the entry of judgment, </w:t>
      </w:r>
      <w:r w:rsidRPr="00C57589">
        <w:t xml:space="preserve">Gonzales </w:t>
      </w:r>
      <w:r w:rsidRPr="00C57589">
        <w:t>filed this timely appeal.</w:t>
      </w:r>
    </w:p>
    <w:p w14:paraId="173BBDFD" w14:textId="77777777" w:rsidR="009E65CC" w:rsidRPr="00C57589" w:rsidRDefault="009E65CC" w:rsidP="00A150BA"/>
    <w:p w14:paraId="69F462B5" w14:textId="77777777" w:rsidR="009E65CC" w:rsidRPr="00C57589" w:rsidRDefault="009E65CC" w:rsidP="00A150BA"/>
    <w:p w14:paraId="5F7BA4C0" w14:textId="77777777" w:rsidR="009E65CC" w:rsidRPr="00C57589" w:rsidRDefault="009E65CC" w:rsidP="00A150BA">
      <w:pPr>
        <w:jc w:val="center"/>
        <w:rPr>
          <w:b/>
          <w:bCs/>
        </w:rPr>
      </w:pPr>
      <w:r w:rsidRPr="00C57589">
        <w:rPr>
          <w:b/>
          <w:bCs/>
        </w:rPr>
        <w:lastRenderedPageBreak/>
        <w:t>DISCUSSION</w:t>
      </w:r>
    </w:p>
    <w:p w14:paraId="256C4247" w14:textId="77777777" w:rsidR="009E65CC" w:rsidRPr="00C57589" w:rsidRDefault="009E65CC" w:rsidP="00A150BA">
      <w:r w:rsidRPr="00C57589">
        <w:tab/>
      </w:r>
      <w:r w:rsidRPr="00C57589">
        <w:t xml:space="preserve">Gonzales </w:t>
      </w:r>
      <w:r w:rsidRPr="00C57589">
        <w:t xml:space="preserve">argues that the trial court erred in denying his </w:t>
      </w:r>
      <w:r w:rsidRPr="00C57589">
        <w:t xml:space="preserve">petition for a </w:t>
      </w:r>
      <w:r w:rsidRPr="00C57589">
        <w:t xml:space="preserve">writ of administrative mandamus </w:t>
      </w:r>
      <w:r w:rsidRPr="00C57589">
        <w:t>seeking to</w:t>
      </w:r>
      <w:r w:rsidRPr="00C57589">
        <w:t xml:space="preserve"> compel the Board to grant his claim for compensation for </w:t>
      </w:r>
      <w:r w:rsidRPr="00C57589">
        <w:t>erroneous conviction</w:t>
      </w:r>
      <w:r w:rsidRPr="00C57589">
        <w:t xml:space="preserve"> and</w:t>
      </w:r>
      <w:r w:rsidRPr="00C57589">
        <w:t xml:space="preserve"> </w:t>
      </w:r>
      <w:r w:rsidRPr="00C57589">
        <w:t>imprisonment</w:t>
      </w:r>
      <w:r w:rsidRPr="00C57589">
        <w:t>.</w:t>
      </w:r>
      <w:r>
        <w:rPr>
          <w:rStyle w:val="FootnoteReference"/>
          <w:b/>
          <w:bCs/>
        </w:rPr>
        <w:footnoteReference w:id="6"/>
      </w:r>
    </w:p>
    <w:p w14:paraId="4537602E" w14:textId="77777777" w:rsidR="009E65CC" w:rsidRPr="00C57589" w:rsidRDefault="009E65CC" w:rsidP="00A150BA">
      <w:pPr>
        <w:rPr>
          <w:b/>
          <w:bCs/>
        </w:rPr>
      </w:pPr>
      <w:r w:rsidRPr="00C57589">
        <w:rPr>
          <w:b/>
          <w:bCs/>
        </w:rPr>
        <w:t>I.</w:t>
      </w:r>
      <w:r w:rsidRPr="00C57589">
        <w:rPr>
          <w:b/>
          <w:bCs/>
        </w:rPr>
        <w:tab/>
        <w:t>Pertinent Law</w:t>
      </w:r>
    </w:p>
    <w:p w14:paraId="78719C00" w14:textId="77777777" w:rsidR="009E65CC" w:rsidRPr="00C57589" w:rsidRDefault="009E65CC" w:rsidP="00A150BA">
      <w:pPr>
        <w:rPr>
          <w:b/>
          <w:bCs/>
          <w:i/>
          <w:iCs/>
        </w:rPr>
      </w:pPr>
      <w:r w:rsidRPr="00C57589">
        <w:tab/>
      </w:r>
      <w:r w:rsidRPr="00C57589">
        <w:rPr>
          <w:b/>
          <w:bCs/>
        </w:rPr>
        <w:t>A.</w:t>
      </w:r>
      <w:r w:rsidRPr="00C57589">
        <w:rPr>
          <w:b/>
          <w:bCs/>
        </w:rPr>
        <w:tab/>
      </w:r>
      <w:r w:rsidRPr="00C57589">
        <w:rPr>
          <w:b/>
          <w:bCs/>
          <w:i/>
          <w:iCs/>
        </w:rPr>
        <w:t>Administrative mandamus</w:t>
      </w:r>
    </w:p>
    <w:p w14:paraId="397A9D4B" w14:textId="77777777" w:rsidR="009E65CC" w:rsidRPr="00C57589" w:rsidRDefault="009E65CC" w:rsidP="00A150BA">
      <w:r w:rsidRPr="00C57589">
        <w:tab/>
        <w:t xml:space="preserve">A person aggrieved by the ruling of an administrative agency may file a </w:t>
      </w:r>
      <w:r w:rsidRPr="00C57589">
        <w:t xml:space="preserve">petition for a </w:t>
      </w:r>
      <w:r w:rsidRPr="00C57589">
        <w:t>writ of administrative mandamus to invalidate that ruling.  (Code Civ. Proc., § 1094.5, subd. (a).)  As pertinent here, a writ will issue if the administrative agency has committed a “prejudicial abuse of discretion,” which exists when the ruling is “not supported by the [agency’s] findings” or those “findings are not supported by the evidence.”  (</w:t>
      </w:r>
      <w:r w:rsidRPr="00C57589">
        <w:rPr>
          <w:i/>
          <w:iCs/>
        </w:rPr>
        <w:t>Id.</w:t>
      </w:r>
      <w:r w:rsidRPr="00C57589">
        <w:t>, subd. (b).)  The degree of judicial scrutiny turns on the extent to which the agency’s ruling involves or substantially affects a “fundamental</w:t>
      </w:r>
      <w:r w:rsidRPr="00C57589">
        <w:t>, vested right.”  (</w:t>
      </w:r>
      <w:r w:rsidRPr="00C57589">
        <w:rPr>
          <w:i/>
          <w:iCs/>
        </w:rPr>
        <w:t>Bixby v. Pierno</w:t>
      </w:r>
      <w:r w:rsidRPr="00C57589">
        <w:t xml:space="preserve"> (1971) 4 Cal.3d 130, </w:t>
      </w:r>
      <w:r w:rsidRPr="00C57589">
        <w:t xml:space="preserve">139, </w:t>
      </w:r>
      <w:r w:rsidRPr="00C57589">
        <w:t xml:space="preserve">144; </w:t>
      </w:r>
      <w:r w:rsidRPr="00C57589">
        <w:rPr>
          <w:i/>
          <w:iCs/>
        </w:rPr>
        <w:t>Interstate Brands v. Unemployment Ins. Appeals Bd.</w:t>
      </w:r>
      <w:r w:rsidRPr="00C57589">
        <w:t xml:space="preserve"> (1980) 26 Cal.3d 770, 778.)  Where such rights are at stake, the trial court’s task is to independently evaluate whether the agency’s findings are supported by the record, and </w:t>
      </w:r>
      <w:r w:rsidRPr="00C57589">
        <w:rPr>
          <w:i/>
          <w:iCs/>
        </w:rPr>
        <w:t xml:space="preserve">our </w:t>
      </w:r>
      <w:r w:rsidRPr="00C57589">
        <w:t xml:space="preserve">task, in reviewing the grant or denial of such a writ, is to examine whether </w:t>
      </w:r>
      <w:r w:rsidRPr="00C57589">
        <w:rPr>
          <w:i/>
          <w:iCs/>
        </w:rPr>
        <w:t>the trial court’s</w:t>
      </w:r>
      <w:r w:rsidRPr="00C57589">
        <w:t xml:space="preserve"> ruling is supported by substantial evidence.  (</w:t>
      </w:r>
      <w:proofErr w:type="spellStart"/>
      <w:r w:rsidRPr="00C57589">
        <w:rPr>
          <w:i/>
          <w:iCs/>
        </w:rPr>
        <w:t>Berlinghieri</w:t>
      </w:r>
      <w:proofErr w:type="spellEnd"/>
      <w:r w:rsidRPr="00C57589">
        <w:rPr>
          <w:i/>
          <w:iCs/>
        </w:rPr>
        <w:t xml:space="preserve"> v. Department of Motor Vehicles</w:t>
      </w:r>
      <w:r w:rsidRPr="00C57589">
        <w:t xml:space="preserve"> (1983) 33 </w:t>
      </w:r>
      <w:r w:rsidRPr="00C57589">
        <w:lastRenderedPageBreak/>
        <w:t xml:space="preserve">Cal.3d 392, 395; </w:t>
      </w:r>
      <w:r w:rsidRPr="00C57589">
        <w:rPr>
          <w:i/>
          <w:iCs/>
        </w:rPr>
        <w:t>J</w:t>
      </w:r>
      <w:r w:rsidRPr="00C57589">
        <w:rPr>
          <w:i/>
          <w:iCs/>
        </w:rPr>
        <w:t>KH Enterprises, Inc. v. Department of Indus</w:t>
      </w:r>
      <w:r w:rsidRPr="00C57589">
        <w:rPr>
          <w:i/>
          <w:iCs/>
        </w:rPr>
        <w:t>trial</w:t>
      </w:r>
      <w:r w:rsidRPr="00C57589">
        <w:rPr>
          <w:i/>
          <w:iCs/>
        </w:rPr>
        <w:t xml:space="preserve"> Relations</w:t>
      </w:r>
      <w:r w:rsidRPr="00C57589">
        <w:t xml:space="preserve"> (2006) 142 Cal.App.4th 1046, 1057-1058.)  But where no such rights are at stake, the trial court’s task is to more deferentially evaluate whether the agency’s findings are supported by substantial evidence</w:t>
      </w:r>
      <w:r w:rsidRPr="00C57589">
        <w:t>,</w:t>
      </w:r>
      <w:r w:rsidRPr="00C57589">
        <w:t xml:space="preserve"> and </w:t>
      </w:r>
      <w:r w:rsidRPr="00C57589">
        <w:rPr>
          <w:i/>
          <w:iCs/>
        </w:rPr>
        <w:t>our</w:t>
      </w:r>
      <w:r w:rsidRPr="00C57589">
        <w:t xml:space="preserve"> task, in reviewing the grant or denial of such a writ, is to step into the trial court’s shoes and independently examine for ourselves whether </w:t>
      </w:r>
      <w:r w:rsidRPr="00C57589">
        <w:rPr>
          <w:i/>
          <w:iCs/>
        </w:rPr>
        <w:t xml:space="preserve">the agency’s </w:t>
      </w:r>
      <w:r w:rsidRPr="00C57589">
        <w:t>findings are supported by substantial evidence.  (</w:t>
      </w:r>
      <w:r w:rsidRPr="00C57589">
        <w:rPr>
          <w:i/>
          <w:iCs/>
        </w:rPr>
        <w:t>JKH Enterprises</w:t>
      </w:r>
      <w:r w:rsidRPr="00C57589">
        <w:t>,</w:t>
      </w:r>
      <w:r w:rsidRPr="00C57589">
        <w:rPr>
          <w:i/>
          <w:iCs/>
        </w:rPr>
        <w:t xml:space="preserve"> </w:t>
      </w:r>
      <w:r w:rsidRPr="00C57589">
        <w:t>at pp. 1057-105</w:t>
      </w:r>
      <w:r w:rsidRPr="00C57589">
        <w:t xml:space="preserve">8.)  </w:t>
      </w:r>
      <w:r w:rsidRPr="00C57589">
        <w:t>A</w:t>
      </w:r>
      <w:r w:rsidRPr="00C57589">
        <w:t>n exonerated inmate has no fundamental, vested right to compensation (</w:t>
      </w:r>
      <w:r w:rsidRPr="00C57589">
        <w:rPr>
          <w:i/>
          <w:iCs/>
        </w:rPr>
        <w:t>Tennison v. California Victim Comp. &amp; Government Claims Bd.</w:t>
      </w:r>
      <w:r w:rsidRPr="00C57589">
        <w:t xml:space="preserve"> (2007) 152 Cal.App.4th 1164, 1181-1182 (</w:t>
      </w:r>
      <w:r w:rsidRPr="00C57589">
        <w:rPr>
          <w:i/>
          <w:iCs/>
        </w:rPr>
        <w:t>Tennison</w:t>
      </w:r>
      <w:r w:rsidRPr="00C57589">
        <w:t xml:space="preserve">); </w:t>
      </w:r>
      <w:r w:rsidRPr="00C57589">
        <w:rPr>
          <w:i/>
          <w:iCs/>
        </w:rPr>
        <w:t>Madrigal v. California Victim Comp. &amp; Government Claims Bd.</w:t>
      </w:r>
      <w:r w:rsidRPr="00C57589">
        <w:t xml:space="preserve"> (2016) 6 Cal.App.5th 1108, 1113 (</w:t>
      </w:r>
      <w:r w:rsidRPr="00C57589">
        <w:rPr>
          <w:i/>
          <w:iCs/>
        </w:rPr>
        <w:t>Madrigal</w:t>
      </w:r>
      <w:r w:rsidRPr="00C57589">
        <w:t>)), so we employ the more deferential review (</w:t>
      </w:r>
      <w:r w:rsidRPr="00C57589">
        <w:rPr>
          <w:i/>
          <w:iCs/>
        </w:rPr>
        <w:t>Holmes v. California Victim Comp. &amp; Government Claims Bd.</w:t>
      </w:r>
      <w:r w:rsidRPr="00C57589">
        <w:t xml:space="preserve"> (2015) 239 Cal.App.</w:t>
      </w:r>
      <w:r w:rsidRPr="00C57589">
        <w:t xml:space="preserve">4th </w:t>
      </w:r>
      <w:r w:rsidRPr="00C57589">
        <w:t>1400, 1406 (</w:t>
      </w:r>
      <w:r w:rsidRPr="00C57589">
        <w:rPr>
          <w:i/>
          <w:iCs/>
        </w:rPr>
        <w:t>Holmes</w:t>
      </w:r>
      <w:r w:rsidRPr="00C57589">
        <w:t>)).  We independently review any subsidiary legal questions, including the mean</w:t>
      </w:r>
      <w:r w:rsidRPr="00C57589">
        <w:t>ing of statutes.  (</w:t>
      </w:r>
      <w:r w:rsidRPr="00C57589">
        <w:rPr>
          <w:i/>
          <w:iCs/>
        </w:rPr>
        <w:t xml:space="preserve">John v. Superior Court </w:t>
      </w:r>
      <w:r w:rsidRPr="00C57589">
        <w:t>(2016) 63 Cal.</w:t>
      </w:r>
      <w:r w:rsidRPr="00C57589">
        <w:t xml:space="preserve">4th </w:t>
      </w:r>
      <w:r w:rsidRPr="00C57589">
        <w:t>91, 95-96</w:t>
      </w:r>
      <w:r w:rsidRPr="00C57589">
        <w:t xml:space="preserve"> [meaning of statutes]; </w:t>
      </w:r>
      <w:r w:rsidRPr="00C57589">
        <w:rPr>
          <w:i/>
          <w:iCs/>
        </w:rPr>
        <w:t>City of San Diego v. Board of Trustees of Cal</w:t>
      </w:r>
      <w:r w:rsidRPr="00C57589">
        <w:rPr>
          <w:i/>
          <w:iCs/>
        </w:rPr>
        <w:t>ifornia</w:t>
      </w:r>
      <w:r w:rsidRPr="00C57589">
        <w:rPr>
          <w:i/>
          <w:iCs/>
        </w:rPr>
        <w:t xml:space="preserve"> State Univ</w:t>
      </w:r>
      <w:r w:rsidRPr="00C57589">
        <w:rPr>
          <w:i/>
          <w:iCs/>
        </w:rPr>
        <w:t>ersity</w:t>
      </w:r>
      <w:r w:rsidRPr="00C57589">
        <w:rPr>
          <w:i/>
          <w:iCs/>
        </w:rPr>
        <w:t xml:space="preserve"> </w:t>
      </w:r>
      <w:r w:rsidRPr="00C57589">
        <w:t>(2015) 61 Cal.</w:t>
      </w:r>
      <w:r w:rsidRPr="00C57589">
        <w:t xml:space="preserve">4th </w:t>
      </w:r>
      <w:r w:rsidRPr="00C57589">
        <w:t>945, 956 [legal questions reviewed de novo]</w:t>
      </w:r>
      <w:r w:rsidRPr="00C57589">
        <w:t>.)</w:t>
      </w:r>
    </w:p>
    <w:p w14:paraId="2FF1124D" w14:textId="77777777" w:rsidR="009E65CC" w:rsidRPr="00C57589" w:rsidRDefault="009E65CC" w:rsidP="00A150BA">
      <w:pPr>
        <w:rPr>
          <w:b/>
          <w:bCs/>
          <w:i/>
          <w:iCs/>
        </w:rPr>
      </w:pPr>
      <w:r w:rsidRPr="00C57589">
        <w:tab/>
      </w:r>
      <w:r w:rsidRPr="00C57589">
        <w:rPr>
          <w:b/>
          <w:bCs/>
        </w:rPr>
        <w:t>B.</w:t>
      </w:r>
      <w:r w:rsidRPr="00C57589">
        <w:rPr>
          <w:b/>
          <w:bCs/>
        </w:rPr>
        <w:tab/>
      </w:r>
      <w:r w:rsidRPr="00C57589">
        <w:rPr>
          <w:b/>
          <w:bCs/>
          <w:i/>
          <w:iCs/>
        </w:rPr>
        <w:t xml:space="preserve">Compensation for </w:t>
      </w:r>
      <w:r w:rsidRPr="00C57589">
        <w:rPr>
          <w:b/>
          <w:bCs/>
          <w:i/>
          <w:iCs/>
        </w:rPr>
        <w:t>e</w:t>
      </w:r>
      <w:r w:rsidRPr="00C57589">
        <w:rPr>
          <w:b/>
          <w:bCs/>
          <w:i/>
          <w:iCs/>
        </w:rPr>
        <w:t xml:space="preserve">rroneously </w:t>
      </w:r>
      <w:r w:rsidRPr="00C57589">
        <w:rPr>
          <w:b/>
          <w:bCs/>
          <w:i/>
          <w:iCs/>
        </w:rPr>
        <w:t>c</w:t>
      </w:r>
      <w:r w:rsidRPr="00C57589">
        <w:rPr>
          <w:b/>
          <w:bCs/>
          <w:i/>
          <w:iCs/>
        </w:rPr>
        <w:t xml:space="preserve">onvicted and </w:t>
      </w:r>
      <w:r w:rsidRPr="00C57589">
        <w:rPr>
          <w:b/>
          <w:bCs/>
          <w:i/>
          <w:iCs/>
        </w:rPr>
        <w:t>i</w:t>
      </w:r>
      <w:r w:rsidRPr="00C57589">
        <w:rPr>
          <w:b/>
          <w:bCs/>
          <w:i/>
          <w:iCs/>
        </w:rPr>
        <w:t>mprisoned</w:t>
      </w:r>
      <w:r w:rsidRPr="00C57589">
        <w:rPr>
          <w:b/>
          <w:bCs/>
          <w:i/>
          <w:iCs/>
        </w:rPr>
        <w:t xml:space="preserve"> </w:t>
      </w:r>
      <w:r w:rsidRPr="00C57589">
        <w:rPr>
          <w:b/>
          <w:bCs/>
          <w:i/>
          <w:iCs/>
        </w:rPr>
        <w:t>p</w:t>
      </w:r>
      <w:r w:rsidRPr="00C57589">
        <w:rPr>
          <w:b/>
          <w:bCs/>
          <w:i/>
          <w:iCs/>
        </w:rPr>
        <w:t>ersons</w:t>
      </w:r>
    </w:p>
    <w:p w14:paraId="4E57D576" w14:textId="77777777" w:rsidR="009E65CC" w:rsidRPr="00C57589" w:rsidRDefault="009E65CC" w:rsidP="00A150BA">
      <w:r w:rsidRPr="00C57589">
        <w:tab/>
        <w:t>“California has long had a system for compensating exonerated inmates for the time they spent unlawfully imprisoned” and thus “</w:t>
      </w:r>
      <w:r w:rsidRPr="00C57589">
        <w:t>‘</w:t>
      </w:r>
      <w:r w:rsidRPr="00C57589">
        <w:t>away from society, employment, and their loved ones.</w:t>
      </w:r>
      <w:r w:rsidRPr="00C57589">
        <w:t>’</w:t>
      </w:r>
      <w:r w:rsidRPr="00C57589">
        <w:t>”  (</w:t>
      </w:r>
      <w:r w:rsidRPr="00C57589">
        <w:rPr>
          <w:i/>
          <w:iCs/>
        </w:rPr>
        <w:t>People v. Etheridge</w:t>
      </w:r>
      <w:r w:rsidRPr="00C57589">
        <w:t xml:space="preserve"> (2015) 241 Cal.App.</w:t>
      </w:r>
      <w:r w:rsidRPr="00C57589">
        <w:t xml:space="preserve">4th </w:t>
      </w:r>
      <w:r w:rsidRPr="00C57589">
        <w:t>800, 80</w:t>
      </w:r>
      <w:r w:rsidRPr="00C57589">
        <w:t>6</w:t>
      </w:r>
      <w:r w:rsidRPr="00C57589">
        <w:t xml:space="preserve">; </w:t>
      </w:r>
      <w:r w:rsidRPr="00C57589">
        <w:rPr>
          <w:i/>
          <w:iCs/>
        </w:rPr>
        <w:t>Larsen v. Cal</w:t>
      </w:r>
      <w:r w:rsidRPr="00C57589">
        <w:rPr>
          <w:i/>
          <w:iCs/>
        </w:rPr>
        <w:t>ifornia</w:t>
      </w:r>
      <w:r w:rsidRPr="00C57589">
        <w:rPr>
          <w:i/>
          <w:iCs/>
        </w:rPr>
        <w:t xml:space="preserve"> Victim Comp. Bd.</w:t>
      </w:r>
      <w:r w:rsidRPr="00C57589">
        <w:t xml:space="preserve"> (2021) 64 Cal.App.</w:t>
      </w:r>
      <w:r w:rsidRPr="00C57589">
        <w:t xml:space="preserve">5th </w:t>
      </w:r>
      <w:r w:rsidRPr="00C57589">
        <w:t>112, 123 (</w:t>
      </w:r>
      <w:r w:rsidRPr="00C57589">
        <w:rPr>
          <w:i/>
          <w:iCs/>
        </w:rPr>
        <w:t>Larsen</w:t>
      </w:r>
      <w:r w:rsidRPr="00C57589">
        <w:t xml:space="preserve">); </w:t>
      </w:r>
      <w:r w:rsidRPr="00C57589">
        <w:rPr>
          <w:i/>
          <w:iCs/>
        </w:rPr>
        <w:t>Holmes</w:t>
      </w:r>
      <w:r w:rsidRPr="00C57589">
        <w:t>,</w:t>
      </w:r>
      <w:r w:rsidRPr="00C57589">
        <w:rPr>
          <w:i/>
          <w:iCs/>
        </w:rPr>
        <w:t xml:space="preserve"> supra</w:t>
      </w:r>
      <w:r w:rsidRPr="00C57589">
        <w:t>, 239 Cal.App</w:t>
      </w:r>
      <w:r w:rsidRPr="00C57589">
        <w:t xml:space="preserve">.4th </w:t>
      </w:r>
      <w:r w:rsidRPr="00C57589">
        <w:t xml:space="preserve">at p. </w:t>
      </w:r>
      <w:r w:rsidRPr="00C57589">
        <w:t xml:space="preserve">1405.)  That system is defined by various statutes (§§ 4900 et seq., </w:t>
      </w:r>
      <w:r w:rsidRPr="00C57589">
        <w:lastRenderedPageBreak/>
        <w:t>1485.5,</w:t>
      </w:r>
      <w:r w:rsidRPr="00C57589">
        <w:t xml:space="preserve"> </w:t>
      </w:r>
      <w:r w:rsidRPr="00C57589">
        <w:t xml:space="preserve">1485.55) </w:t>
      </w:r>
      <w:r w:rsidRPr="00C57589">
        <w:t xml:space="preserve">(the compensation statutes) </w:t>
      </w:r>
      <w:r w:rsidRPr="00C57589">
        <w:t>as well as regulations promulgated under those statutes (§ 49</w:t>
      </w:r>
      <w:r w:rsidRPr="00C57589">
        <w:t>0</w:t>
      </w:r>
      <w:r w:rsidRPr="00C57589">
        <w:t>6; Cal. Code Reg</w:t>
      </w:r>
      <w:r w:rsidRPr="00C57589">
        <w:t>s</w:t>
      </w:r>
      <w:r w:rsidRPr="00C57589">
        <w:t xml:space="preserve">., </w:t>
      </w:r>
      <w:r w:rsidRPr="00C57589">
        <w:t xml:space="preserve">tit. 2, </w:t>
      </w:r>
      <w:r w:rsidRPr="00C57589">
        <w:t xml:space="preserve">§ 640 et seq.).  Although those statutes have been recently amended, our Legislature has not expressly declared them to be retroactive to previously filed claims (§ 3; </w:t>
      </w:r>
      <w:proofErr w:type="spellStart"/>
      <w:r w:rsidRPr="00C57589">
        <w:rPr>
          <w:i/>
          <w:iCs/>
        </w:rPr>
        <w:t>Evan</w:t>
      </w:r>
      <w:r w:rsidRPr="00C57589">
        <w:rPr>
          <w:i/>
          <w:iCs/>
        </w:rPr>
        <w:t>gelatos</w:t>
      </w:r>
      <w:proofErr w:type="spellEnd"/>
      <w:r w:rsidRPr="00C57589">
        <w:rPr>
          <w:i/>
          <w:iCs/>
        </w:rPr>
        <w:t xml:space="preserve"> v. Superior Court </w:t>
      </w:r>
      <w:r w:rsidRPr="00C57589">
        <w:t>(1988) 44 Cal.3d 1188, 1208-1209</w:t>
      </w:r>
      <w:r w:rsidRPr="00C57589">
        <w:t xml:space="preserve">), so we describe the administrative system in place while </w:t>
      </w:r>
      <w:r w:rsidRPr="00C57589">
        <w:t xml:space="preserve">Gonzales’s </w:t>
      </w:r>
      <w:r w:rsidRPr="00C57589">
        <w:t>claim wa</w:t>
      </w:r>
      <w:r w:rsidRPr="00C57589">
        <w:t>s pending before the Board—that is, between August 2017 and September 2020.</w:t>
      </w:r>
    </w:p>
    <w:p w14:paraId="1AA4E045" w14:textId="77777777" w:rsidR="009E65CC" w:rsidRPr="00C57589" w:rsidRDefault="009E65CC" w:rsidP="00A150BA">
      <w:r w:rsidRPr="00C57589">
        <w:tab/>
        <w:t>Under that system, an inmate who has been “imprisoned in state prison” for “any part” of a felony sentence and who is “innocent of the crime” because</w:t>
      </w:r>
      <w:r w:rsidRPr="00C57589">
        <w:t>, among other things,</w:t>
      </w:r>
      <w:r w:rsidRPr="00C57589">
        <w:t xml:space="preserve"> the crime “was not committed by him</w:t>
      </w:r>
      <w:r w:rsidRPr="00C57589">
        <w:t>,</w:t>
      </w:r>
      <w:r w:rsidRPr="00C57589">
        <w:t xml:space="preserve">” may “present a claim” to the Board for compensation due to the “erroneous conviction </w:t>
      </w:r>
      <w:r w:rsidRPr="00C57589">
        <w:t xml:space="preserve">and </w:t>
      </w:r>
      <w:r w:rsidRPr="00C57589">
        <w:t>imprisonment.”</w:t>
      </w:r>
      <w:r>
        <w:rPr>
          <w:rStyle w:val="FootnoteReference"/>
          <w:b/>
          <w:bCs/>
        </w:rPr>
        <w:footnoteReference w:id="7"/>
      </w:r>
      <w:r w:rsidRPr="00C57589">
        <w:rPr>
          <w:b/>
          <w:bCs/>
        </w:rPr>
        <w:t xml:space="preserve"> </w:t>
      </w:r>
      <w:r w:rsidRPr="00C57589">
        <w:t xml:space="preserve"> (§ 4900.)  </w:t>
      </w:r>
    </w:p>
    <w:p w14:paraId="423C66B9" w14:textId="77777777" w:rsidR="009E65CC" w:rsidRPr="00C57589" w:rsidRDefault="009E65CC" w:rsidP="00A150BA">
      <w:r w:rsidRPr="00C57589">
        <w:tab/>
        <w:t xml:space="preserve">If the inmate has already obtained a finding of “actual innocence” </w:t>
      </w:r>
      <w:r w:rsidRPr="00C57589">
        <w:t xml:space="preserve">that </w:t>
      </w:r>
      <w:r w:rsidRPr="00C57589">
        <w:t>establish</w:t>
      </w:r>
      <w:r w:rsidRPr="00C57589">
        <w:t>es</w:t>
      </w:r>
      <w:r w:rsidRPr="00C57589">
        <w:t xml:space="preserve"> his “factual innocence by a preponderance of the evidence”—either as part of state or federal habeas relief or from a separately filed petition seeking a finding of actual innocence (under sections 851.8 or 851.8</w:t>
      </w:r>
      <w:r w:rsidRPr="00C57589">
        <w:t>6</w:t>
      </w:r>
      <w:r w:rsidRPr="00C57589">
        <w:t>)—then the Board is automatically obligated to recommend that the Legislature compensate the inmate without the need for any hearing.  (§</w:t>
      </w:r>
      <w:r w:rsidRPr="00C57589">
        <w:t>§</w:t>
      </w:r>
      <w:r w:rsidRPr="00C57589">
        <w:t xml:space="preserve"> 4902</w:t>
      </w:r>
      <w:r w:rsidRPr="00C57589">
        <w:t>,</w:t>
      </w:r>
      <w:r w:rsidRPr="00C57589">
        <w:t xml:space="preserve"> 1485.55, subds. (b), (c) &amp; (e), 851.865, subd. </w:t>
      </w:r>
      <w:r w:rsidRPr="00C57589">
        <w:lastRenderedPageBreak/>
        <w:t xml:space="preserve">(a); </w:t>
      </w:r>
      <w:r w:rsidRPr="00C57589">
        <w:rPr>
          <w:i/>
          <w:iCs/>
        </w:rPr>
        <w:t>Larsen</w:t>
      </w:r>
      <w:r w:rsidRPr="00C57589">
        <w:t>,</w:t>
      </w:r>
      <w:r w:rsidRPr="00C57589">
        <w:rPr>
          <w:i/>
          <w:iCs/>
        </w:rPr>
        <w:t xml:space="preserve"> supra</w:t>
      </w:r>
      <w:r w:rsidRPr="00C57589">
        <w:t xml:space="preserve">, 64 Cal.App.5th at pp. 123-124, 128-129 [finding </w:t>
      </w:r>
      <w:r w:rsidRPr="00C57589">
        <w:t xml:space="preserve">by </w:t>
      </w:r>
      <w:r w:rsidRPr="00C57589">
        <w:t xml:space="preserve">federal habeas court that inmate was “actually innocent” </w:t>
      </w:r>
      <w:proofErr w:type="gramStart"/>
      <w:r w:rsidRPr="00C57589">
        <w:t>in order to</w:t>
      </w:r>
      <w:proofErr w:type="gramEnd"/>
      <w:r w:rsidRPr="00C57589">
        <w:t xml:space="preserve"> overcome a procedural bar is equivalent to a finding of factual innocence by a preponderance of the evidence].)  </w:t>
      </w:r>
      <w:r w:rsidRPr="00C57589">
        <w:t>Making a prior judicial finding that the inmate is factually innocent preclusive makes sense, as doing so “streamline[s] the compensation process” and “ensure[s] consistency between the Board’s compensation determinations” and the “earlier court proceedings” that have already decided the “identical” question that is presented to</w:t>
      </w:r>
      <w:r w:rsidRPr="00C57589">
        <w:t xml:space="preserve"> the Board in the compensation proceedings.  (</w:t>
      </w:r>
      <w:r w:rsidRPr="00C57589">
        <w:rPr>
          <w:i/>
          <w:iCs/>
        </w:rPr>
        <w:t>Madrigal</w:t>
      </w:r>
      <w:r w:rsidRPr="00C57589">
        <w:t xml:space="preserve">, </w:t>
      </w:r>
      <w:r w:rsidRPr="00C57589">
        <w:rPr>
          <w:i/>
          <w:iCs/>
        </w:rPr>
        <w:t>supra</w:t>
      </w:r>
      <w:r w:rsidRPr="00C57589">
        <w:t xml:space="preserve">, 6 Cal.App.5th at p. 1118; </w:t>
      </w:r>
      <w:r w:rsidRPr="00C57589">
        <w:rPr>
          <w:i/>
          <w:iCs/>
        </w:rPr>
        <w:t>Tennison</w:t>
      </w:r>
      <w:r w:rsidRPr="00C57589">
        <w:t xml:space="preserve">, </w:t>
      </w:r>
      <w:r w:rsidRPr="00C57589">
        <w:rPr>
          <w:i/>
          <w:iCs/>
        </w:rPr>
        <w:t>supra</w:t>
      </w:r>
      <w:r w:rsidRPr="00C57589">
        <w:t xml:space="preserve">, 152 Cal.App.4th at p. 1175.)  </w:t>
      </w:r>
    </w:p>
    <w:p w14:paraId="223D8EC4" w14:textId="77777777" w:rsidR="009E65CC" w:rsidRPr="00C57589" w:rsidRDefault="009E65CC" w:rsidP="00A150BA">
      <w:r w:rsidRPr="00C57589">
        <w:tab/>
        <w:t xml:space="preserve">In all other instances, however, the Board </w:t>
      </w:r>
      <w:r w:rsidRPr="00C57589">
        <w:t xml:space="preserve">must </w:t>
      </w:r>
      <w:r w:rsidRPr="00C57589">
        <w:t>convene an evidentiary hearing before a hearing officer.  (Cal. Code Reg</w:t>
      </w:r>
      <w:r w:rsidRPr="00C57589">
        <w:t>s</w:t>
      </w:r>
      <w:r w:rsidRPr="00C57589">
        <w:t>.,</w:t>
      </w:r>
      <w:r w:rsidRPr="00C57589">
        <w:t xml:space="preserve"> tit. 2,</w:t>
      </w:r>
      <w:r w:rsidRPr="00C57589">
        <w:t xml:space="preserve"> § 64</w:t>
      </w:r>
      <w:r w:rsidRPr="00C57589">
        <w:t>4</w:t>
      </w:r>
      <w:r w:rsidRPr="00C57589">
        <w:t xml:space="preserve">, subd. (a).)  At that hearing, the inmate bears the burden of establishing, by a preponderance of the evidence, that they are “factually innocent” of the crime(s) for which they were </w:t>
      </w:r>
      <w:r w:rsidRPr="00C57589">
        <w:t xml:space="preserve">erroneously </w:t>
      </w:r>
      <w:r w:rsidRPr="00C57589">
        <w:t>imprisoned.</w:t>
      </w:r>
      <w:r>
        <w:rPr>
          <w:rStyle w:val="FootnoteReference"/>
          <w:b/>
          <w:bCs/>
        </w:rPr>
        <w:footnoteReference w:id="8"/>
      </w:r>
      <w:r w:rsidRPr="00C57589">
        <w:t xml:space="preserve">  (</w:t>
      </w:r>
      <w:r w:rsidRPr="00C57589">
        <w:t xml:space="preserve">§ 1485.55, subd. (b); </w:t>
      </w:r>
      <w:r w:rsidRPr="00C57589">
        <w:t>§ 4903, subd. (a); Cal. Code Reg</w:t>
      </w:r>
      <w:r w:rsidRPr="00C57589">
        <w:t>s</w:t>
      </w:r>
      <w:r w:rsidRPr="00C57589">
        <w:t>.,</w:t>
      </w:r>
      <w:r w:rsidRPr="00C57589">
        <w:t xml:space="preserve"> tit. 2,</w:t>
      </w:r>
      <w:r w:rsidRPr="00C57589">
        <w:t xml:space="preserve"> §§ 644, subd. (d)(1), 642, subd. (a)(3); </w:t>
      </w:r>
      <w:r w:rsidRPr="00C57589">
        <w:rPr>
          <w:i/>
          <w:iCs/>
        </w:rPr>
        <w:t>Holmes</w:t>
      </w:r>
      <w:r w:rsidRPr="00C57589">
        <w:t>,</w:t>
      </w:r>
      <w:r w:rsidRPr="00C57589">
        <w:rPr>
          <w:i/>
          <w:iCs/>
        </w:rPr>
        <w:t xml:space="preserve"> supra</w:t>
      </w:r>
      <w:r w:rsidRPr="00C57589">
        <w:t xml:space="preserve">, 239 Cal.App.4th </w:t>
      </w:r>
      <w:r w:rsidRPr="00C57589">
        <w:t>at pp.</w:t>
      </w:r>
      <w:r w:rsidRPr="00C57589">
        <w:t xml:space="preserve"> 1403, 1405; </w:t>
      </w:r>
      <w:r w:rsidRPr="00C57589">
        <w:rPr>
          <w:i/>
          <w:iCs/>
        </w:rPr>
        <w:t>Diola v. State Board of Control</w:t>
      </w:r>
      <w:r w:rsidRPr="00C57589">
        <w:t xml:space="preserve"> (1982) 135 Cal.App.3d 580, 588, fn. 7.)  The Board (through the hearing officer) may consider not only the prior record </w:t>
      </w:r>
      <w:r w:rsidRPr="00C57589">
        <w:t xml:space="preserve">from </w:t>
      </w:r>
      <w:r w:rsidRPr="00C57589">
        <w:t xml:space="preserve">the inmate’s </w:t>
      </w:r>
      <w:r w:rsidRPr="00C57589">
        <w:t>trial</w:t>
      </w:r>
      <w:r w:rsidRPr="00C57589">
        <w:t xml:space="preserve">, but also any new evidence </w:t>
      </w:r>
      <w:r w:rsidRPr="00C57589">
        <w:lastRenderedPageBreak/>
        <w:t>“relevant” to the question of the inmate’s factual innocence.  (Cal. Code Reg</w:t>
      </w:r>
      <w:r w:rsidRPr="00C57589">
        <w:t>s</w:t>
      </w:r>
      <w:r w:rsidRPr="00C57589">
        <w:t>.</w:t>
      </w:r>
      <w:r w:rsidRPr="00C57589">
        <w:t>, tit. 2,</w:t>
      </w:r>
      <w:r w:rsidRPr="00C57589">
        <w:t xml:space="preserve"> § 641</w:t>
      </w:r>
      <w:r w:rsidRPr="00C57589">
        <w:t>; § 4903, subd. (a).</w:t>
      </w:r>
      <w:r w:rsidRPr="00C57589">
        <w:t>)  But certain “factual findings an</w:t>
      </w:r>
      <w:r w:rsidRPr="00C57589">
        <w:t xml:space="preserve">d credibility determinations” are “binding” on the Board—namely, and as pertinent here, “the factual findings and credibility determinations establishing </w:t>
      </w:r>
      <w:r w:rsidRPr="00C57589">
        <w:t xml:space="preserve">the court’s </w:t>
      </w:r>
      <w:r w:rsidRPr="00C57589">
        <w:t xml:space="preserve">basis for </w:t>
      </w:r>
      <w:r w:rsidRPr="00C57589">
        <w:rPr>
          <w:i/>
          <w:iCs/>
        </w:rPr>
        <w:t>granting</w:t>
      </w:r>
      <w:r w:rsidRPr="00C57589">
        <w:t>” (1) “a writ of habeas corpus</w:t>
      </w:r>
      <w:r w:rsidRPr="00C57589">
        <w:t>,</w:t>
      </w:r>
      <w:r w:rsidRPr="00C57589">
        <w:t xml:space="preserve">” or (2) “an application for a certificate of factual innocence as described in Section 1485.5.”  (§ 4903, subd. (b), italics added; accord, § 1485.5, subd. (c) [“In a contested or uncontested proceeding [seeking a declaration of factual innocence], the express factual findings made by the court, including credibility determinations, </w:t>
      </w:r>
      <w:r w:rsidRPr="00C57589">
        <w:t>in considering</w:t>
      </w:r>
      <w:r w:rsidRPr="00C57589">
        <w:t xml:space="preserve"> a petition for habeas corpus . . . or an application for a certificate of factual innocence, shall be binding on the . . . Board”].)</w:t>
      </w:r>
      <w:r w:rsidRPr="00C57589">
        <w:rPr>
          <w:b/>
          <w:bCs/>
        </w:rPr>
        <w:t xml:space="preserve"> </w:t>
      </w:r>
      <w:r w:rsidRPr="00C57589">
        <w:t xml:space="preserve"> The </w:t>
      </w:r>
      <w:r w:rsidRPr="00C57589">
        <w:rPr>
          <w:i/>
          <w:iCs/>
        </w:rPr>
        <w:t>denial</w:t>
      </w:r>
      <w:r w:rsidRPr="00C57589">
        <w:t xml:space="preserve"> of an applicatio</w:t>
      </w:r>
      <w:r w:rsidRPr="00C57589">
        <w:t xml:space="preserve">n </w:t>
      </w:r>
      <w:r w:rsidRPr="00C57589">
        <w:t>f</w:t>
      </w:r>
      <w:r w:rsidRPr="00C57589">
        <w:t>o</w:t>
      </w:r>
      <w:r w:rsidRPr="00C57589">
        <w:t xml:space="preserve">r </w:t>
      </w:r>
      <w:r w:rsidRPr="00C57589">
        <w:t xml:space="preserve">a certificate of factual innocence, by contrast, is </w:t>
      </w:r>
      <w:r w:rsidRPr="00C57589">
        <w:rPr>
          <w:i/>
          <w:iCs/>
        </w:rPr>
        <w:t>not</w:t>
      </w:r>
      <w:r w:rsidRPr="00C57589">
        <w:t xml:space="preserve"> binding on the Board.  (§ 1485.</w:t>
      </w:r>
      <w:r w:rsidRPr="00C57589">
        <w:t>5</w:t>
      </w:r>
      <w:r w:rsidRPr="00C57589">
        <w:t>5, subd. (d) [</w:t>
      </w:r>
      <w:r w:rsidRPr="00C57589">
        <w:t>n</w:t>
      </w:r>
      <w:r w:rsidRPr="00C57589">
        <w:t xml:space="preserve">o </w:t>
      </w:r>
      <w:r w:rsidRPr="00C57589">
        <w:t>“presumption” “exist[s]” following the “failure to” “</w:t>
      </w:r>
      <w:r w:rsidRPr="00C57589">
        <w:t>obtain a favorable ruling”].)  If the inmate carries their burden,</w:t>
      </w:r>
      <w:r>
        <w:rPr>
          <w:rStyle w:val="FootnoteReference"/>
          <w:b/>
          <w:bCs/>
        </w:rPr>
        <w:footnoteReference w:id="9"/>
      </w:r>
      <w:r w:rsidRPr="00C57589">
        <w:t xml:space="preserve"> the Board must recommend that the Legislature compensate the inmate.  (§ 4904.)</w:t>
      </w:r>
    </w:p>
    <w:p w14:paraId="2E9ABA97" w14:textId="77777777" w:rsidR="009E65CC" w:rsidRPr="00C57589" w:rsidRDefault="009E65CC" w:rsidP="00A150BA">
      <w:r w:rsidRPr="00C57589">
        <w:tab/>
        <w:t xml:space="preserve">The statutorily prescribed rate of compensation is $140 per day of </w:t>
      </w:r>
      <w:r w:rsidRPr="00C57589">
        <w:t>incarceration served</w:t>
      </w:r>
      <w:r w:rsidRPr="00C57589">
        <w:t>, although the Legislature retains discretion not to award such compensation.  (</w:t>
      </w:r>
      <w:r w:rsidRPr="00C57589">
        <w:t>§ 4904.</w:t>
      </w:r>
      <w:r w:rsidRPr="00C57589">
        <w:t>)</w:t>
      </w:r>
    </w:p>
    <w:p w14:paraId="00F4EDFA" w14:textId="77777777" w:rsidR="009E65CC" w:rsidRPr="00C57589" w:rsidRDefault="009E65CC" w:rsidP="00A150BA"/>
    <w:p w14:paraId="4F5A4F5C" w14:textId="77777777" w:rsidR="009E65CC" w:rsidRPr="00C57589" w:rsidRDefault="009E65CC" w:rsidP="00A150BA"/>
    <w:p w14:paraId="56A35776" w14:textId="77777777" w:rsidR="009E65CC" w:rsidRPr="00C57589" w:rsidRDefault="009E65CC" w:rsidP="006166BC">
      <w:pPr>
        <w:rPr>
          <w:b/>
          <w:bCs/>
        </w:rPr>
      </w:pPr>
      <w:r w:rsidRPr="00C57589">
        <w:rPr>
          <w:b/>
          <w:bCs/>
        </w:rPr>
        <w:lastRenderedPageBreak/>
        <w:t>II.</w:t>
      </w:r>
      <w:r w:rsidRPr="00C57589">
        <w:rPr>
          <w:b/>
          <w:bCs/>
        </w:rPr>
        <w:tab/>
        <w:t>Analysis</w:t>
      </w:r>
    </w:p>
    <w:p w14:paraId="535F2368" w14:textId="77777777" w:rsidR="009E65CC" w:rsidRPr="00C57589" w:rsidRDefault="009E65CC" w:rsidP="0030698B">
      <w:r w:rsidRPr="00C57589">
        <w:tab/>
      </w:r>
      <w:proofErr w:type="gramStart"/>
      <w:r w:rsidRPr="00C57589">
        <w:t>In light of</w:t>
      </w:r>
      <w:proofErr w:type="gramEnd"/>
      <w:r w:rsidRPr="00C57589">
        <w:t xml:space="preserve"> these pertinent legal principles, the overarching question we confront is whether substantial evidence supports the Board’s ruling that Gonzales </w:t>
      </w:r>
      <w:r w:rsidRPr="00C57589">
        <w:t>failed to</w:t>
      </w:r>
      <w:r w:rsidRPr="00C57589">
        <w:t xml:space="preserve"> sustain his burden of proving his factual innocence of the attempted murder and firearm charges by a preponderance of the evidence.  Gonzales</w:t>
      </w:r>
      <w:r w:rsidRPr="00C57589">
        <w:t xml:space="preserve"> asserts we need not examine the substantiality of the evidence because he is entitled to administrative mandamus relief for three preliminary reasons.  </w:t>
      </w:r>
      <w:r w:rsidRPr="00C57589">
        <w:t>Specifically, he argues that (1) the Ninth Circuit’</w:t>
      </w:r>
      <w:r w:rsidRPr="00C57589">
        <w:t>s grant of habeas relief is synonymous with a finding of factual innocence, and automatically entitles him to compensation</w:t>
      </w:r>
      <w:r w:rsidRPr="00C57589">
        <w:t>;</w:t>
      </w:r>
      <w:r w:rsidRPr="00C57589">
        <w:t xml:space="preserve"> (2) the Board </w:t>
      </w:r>
      <w:r w:rsidRPr="00C57589">
        <w:t xml:space="preserve">erred by </w:t>
      </w:r>
      <w:r w:rsidRPr="00C57589">
        <w:t>not treat</w:t>
      </w:r>
      <w:r w:rsidRPr="00C57589">
        <w:t>ing</w:t>
      </w:r>
      <w:r w:rsidRPr="00C57589">
        <w:t xml:space="preserve"> the Ninth Circuit’s “factual findings” as “binding”</w:t>
      </w:r>
      <w:r w:rsidRPr="00C57589">
        <w:t>;</w:t>
      </w:r>
      <w:r w:rsidRPr="00C57589">
        <w:t xml:space="preserve"> and (3) the Board committed other procedural errors.  </w:t>
      </w:r>
      <w:r w:rsidRPr="00C57589">
        <w:t xml:space="preserve">Only </w:t>
      </w:r>
      <w:r w:rsidRPr="00C57589">
        <w:t>i</w:t>
      </w:r>
      <w:r w:rsidRPr="00C57589">
        <w:t>f these</w:t>
      </w:r>
      <w:r w:rsidRPr="00C57589">
        <w:t xml:space="preserve"> preliminary</w:t>
      </w:r>
      <w:r w:rsidRPr="00C57589">
        <w:t xml:space="preserve"> arguments fail</w:t>
      </w:r>
      <w:r w:rsidRPr="00C57589">
        <w:t xml:space="preserve"> </w:t>
      </w:r>
      <w:r w:rsidRPr="00C57589">
        <w:t xml:space="preserve">must </w:t>
      </w:r>
      <w:r w:rsidRPr="00C57589">
        <w:t xml:space="preserve">we </w:t>
      </w:r>
      <w:r w:rsidRPr="00C57589">
        <w:t xml:space="preserve">assess </w:t>
      </w:r>
      <w:r w:rsidRPr="00C57589">
        <w:t>the substantiality of the evidence supporting the Board’s ruling.</w:t>
      </w:r>
    </w:p>
    <w:p w14:paraId="03DE28F2" w14:textId="77777777" w:rsidR="009E65CC" w:rsidRPr="00C57589" w:rsidRDefault="009E65CC" w:rsidP="0030698B">
      <w:r w:rsidRPr="00C57589">
        <w:tab/>
      </w:r>
      <w:r w:rsidRPr="00C57589">
        <w:rPr>
          <w:b/>
          <w:bCs/>
        </w:rPr>
        <w:t>A</w:t>
      </w:r>
      <w:r w:rsidRPr="00C57589">
        <w:rPr>
          <w:b/>
          <w:bCs/>
        </w:rPr>
        <w:t>.</w:t>
      </w:r>
      <w:r w:rsidRPr="00C57589">
        <w:rPr>
          <w:b/>
          <w:bCs/>
        </w:rPr>
        <w:tab/>
      </w:r>
      <w:r w:rsidRPr="00C57589">
        <w:rPr>
          <w:b/>
          <w:bCs/>
          <w:i/>
          <w:iCs/>
        </w:rPr>
        <w:t xml:space="preserve">Does a grant of habeas relief based on insufficiency of the evidence compel a finding of the inmate’s factual </w:t>
      </w:r>
      <w:r w:rsidRPr="00C57589">
        <w:rPr>
          <w:b/>
          <w:bCs/>
          <w:i/>
          <w:iCs/>
        </w:rPr>
        <w:t>innocence by a preponderance of the evidence?</w:t>
      </w:r>
    </w:p>
    <w:p w14:paraId="7CD58F6C" w14:textId="77777777" w:rsidR="009E65CC" w:rsidRPr="00C57589" w:rsidRDefault="009E65CC" w:rsidP="0030698B">
      <w:r w:rsidRPr="00C57589">
        <w:tab/>
        <w:t>The answer is “no,” and we reach this conclusion for two reasons.</w:t>
      </w:r>
    </w:p>
    <w:p w14:paraId="27EC1553" w14:textId="77777777" w:rsidR="009E65CC" w:rsidRPr="00C57589" w:rsidRDefault="009E65CC" w:rsidP="0030698B">
      <w:r w:rsidRPr="00C57589">
        <w:tab/>
      </w:r>
      <w:bookmarkStart w:id="0" w:name="_Hlk145496306"/>
      <w:r w:rsidRPr="00C57589">
        <w:t>First, a court’s invalidation of a conviction due to insufficiency of the evidence is not equivalent to a finding of factual innocence.  A finding that the evidence was insufficient to support a conviction means only that there was not enough evidence presented at trial for a reasonable jury to find the inmate guilty beyond a reasonable doubt.  (</w:t>
      </w:r>
      <w:r w:rsidRPr="00C57589">
        <w:rPr>
          <w:i/>
          <w:iCs/>
        </w:rPr>
        <w:t>United States v. Powell</w:t>
      </w:r>
      <w:r w:rsidRPr="00C57589">
        <w:t xml:space="preserve"> (1984) 469 U.S. 57, 67; </w:t>
      </w:r>
      <w:r w:rsidRPr="00C57589">
        <w:rPr>
          <w:i/>
          <w:iCs/>
        </w:rPr>
        <w:t>People v. Covarrubias</w:t>
      </w:r>
      <w:r w:rsidRPr="00C57589">
        <w:t xml:space="preserve"> (2016) 1 Cal.5th 838, 891.)  Such a finding is different from the finding of </w:t>
      </w:r>
      <w:r w:rsidRPr="00C57589">
        <w:lastRenderedPageBreak/>
        <w:t>factual innocence</w:t>
      </w:r>
      <w:r w:rsidRPr="00C57589">
        <w:t xml:space="preserve"> that entitles an inmate to compensation in three significant ways.  </w:t>
      </w:r>
    </w:p>
    <w:p w14:paraId="26FAEAFE" w14:textId="77777777" w:rsidR="009E65CC" w:rsidRPr="00C57589" w:rsidRDefault="009E65CC" w:rsidP="0030698B">
      <w:r w:rsidRPr="00C57589">
        <w:tab/>
        <w:t>For starters, the standard of proof is not the same.  Rather than</w:t>
      </w:r>
      <w:r w:rsidRPr="00C57589">
        <w:t xml:space="preserve"> a habeas court’s task of assessing </w:t>
      </w:r>
      <w:r w:rsidRPr="00C57589">
        <w:t xml:space="preserve">whether the evidence is sufficient to support a finding of guilt </w:t>
      </w:r>
      <w:r w:rsidRPr="00C57589">
        <w:rPr>
          <w:i/>
          <w:iCs/>
        </w:rPr>
        <w:t>beyond a reasonable doubt</w:t>
      </w:r>
      <w:r w:rsidRPr="00C57589">
        <w:t>, the Board</w:t>
      </w:r>
      <w:r w:rsidRPr="00C57589">
        <w:t>’s task</w:t>
      </w:r>
      <w:r w:rsidRPr="00C57589">
        <w:t xml:space="preserve"> is </w:t>
      </w:r>
      <w:r w:rsidRPr="00C57589">
        <w:t xml:space="preserve">to examine </w:t>
      </w:r>
      <w:r w:rsidRPr="00C57589">
        <w:t xml:space="preserve">whether the </w:t>
      </w:r>
      <w:r w:rsidRPr="00C57589">
        <w:t xml:space="preserve">evidence is sufficient to support </w:t>
      </w:r>
      <w:r w:rsidRPr="00C57589">
        <w:t xml:space="preserve">a finding of innocence </w:t>
      </w:r>
      <w:r w:rsidRPr="00C57589">
        <w:rPr>
          <w:i/>
          <w:iCs/>
        </w:rPr>
        <w:t>by a preponderance of the evidence</w:t>
      </w:r>
      <w:r w:rsidRPr="00C57589">
        <w:t>.  The former requires that</w:t>
      </w:r>
      <w:r w:rsidRPr="00C57589">
        <w:t xml:space="preserve"> the</w:t>
      </w:r>
      <w:r w:rsidRPr="00C57589">
        <w:t xml:space="preserve"> evidence imbue the factfinder with an “abiding conviction” in the truth of the finding (CALCRIM No. 220); the latter requires merely that the evidence makes the finding more likely than not (e.g., </w:t>
      </w:r>
      <w:proofErr w:type="spellStart"/>
      <w:r w:rsidRPr="00C57589">
        <w:rPr>
          <w:i/>
          <w:iCs/>
        </w:rPr>
        <w:t>Masellis</w:t>
      </w:r>
      <w:proofErr w:type="spellEnd"/>
      <w:r w:rsidRPr="00C57589">
        <w:rPr>
          <w:i/>
          <w:iCs/>
        </w:rPr>
        <w:t xml:space="preserve"> v. Law Offic</w:t>
      </w:r>
      <w:r w:rsidRPr="00C57589">
        <w:rPr>
          <w:i/>
          <w:iCs/>
        </w:rPr>
        <w:t>e of Lesl</w:t>
      </w:r>
      <w:r w:rsidRPr="00C57589">
        <w:rPr>
          <w:i/>
          <w:iCs/>
        </w:rPr>
        <w:t>i</w:t>
      </w:r>
      <w:r w:rsidRPr="00C57589">
        <w:rPr>
          <w:i/>
          <w:iCs/>
        </w:rPr>
        <w:t>e F. Jensen</w:t>
      </w:r>
      <w:r w:rsidRPr="00C57589">
        <w:t xml:space="preserve"> (2020) 50 Cal.App.5th 1077, 1093).  This is why </w:t>
      </w:r>
      <w:r w:rsidRPr="00C57589">
        <w:t xml:space="preserve">a </w:t>
      </w:r>
      <w:r w:rsidRPr="00C57589">
        <w:t xml:space="preserve">person acquitted of </w:t>
      </w:r>
      <w:r w:rsidRPr="00C57589">
        <w:t xml:space="preserve">murder </w:t>
      </w:r>
      <w:r w:rsidRPr="00C57589">
        <w:t xml:space="preserve">may still be held civilly liable for wrongful death—evidence that is not enough to establish guilt by the higher standard can still establish liability by the lower standard.  </w:t>
      </w:r>
    </w:p>
    <w:p w14:paraId="0315E3F3" w14:textId="77777777" w:rsidR="009E65CC" w:rsidRPr="00C57589" w:rsidRDefault="009E65CC" w:rsidP="0030698B">
      <w:r w:rsidRPr="00C57589">
        <w:tab/>
        <w:t>Next, the burden of proof is not the same</w:t>
      </w:r>
      <w:r w:rsidRPr="00C57589">
        <w:t xml:space="preserve"> because it is assigned to a different party</w:t>
      </w:r>
      <w:r w:rsidRPr="00C57589">
        <w:t xml:space="preserve">.  Rather than </w:t>
      </w:r>
      <w:r w:rsidRPr="00C57589">
        <w:t xml:space="preserve">a habeas court’s task of </w:t>
      </w:r>
      <w:r w:rsidRPr="00C57589">
        <w:t xml:space="preserve">asking whether </w:t>
      </w:r>
      <w:r w:rsidRPr="00C57589">
        <w:rPr>
          <w:i/>
          <w:iCs/>
        </w:rPr>
        <w:t>the People</w:t>
      </w:r>
      <w:r w:rsidRPr="00C57589">
        <w:t xml:space="preserve"> proved the inmate’s </w:t>
      </w:r>
      <w:r w:rsidRPr="00C57589">
        <w:rPr>
          <w:i/>
          <w:iCs/>
        </w:rPr>
        <w:t>guilt</w:t>
      </w:r>
      <w:r w:rsidRPr="00C57589">
        <w:t>, the Board</w:t>
      </w:r>
      <w:r w:rsidRPr="00C57589">
        <w:t xml:space="preserve">’s task is to examine </w:t>
      </w:r>
      <w:r w:rsidRPr="00C57589">
        <w:t xml:space="preserve">whether </w:t>
      </w:r>
      <w:r w:rsidRPr="00C57589">
        <w:rPr>
          <w:i/>
          <w:iCs/>
        </w:rPr>
        <w:t>the inmate</w:t>
      </w:r>
      <w:r w:rsidRPr="00C57589">
        <w:t xml:space="preserve"> has proven his </w:t>
      </w:r>
      <w:r w:rsidRPr="00C57589">
        <w:rPr>
          <w:i/>
          <w:iCs/>
        </w:rPr>
        <w:t>factual innocence</w:t>
      </w:r>
      <w:r w:rsidRPr="00C57589">
        <w:t>.  This means that in cases where the evidence is in equipoise, that “tie” must be resolved against the inmate</w:t>
      </w:r>
      <w:r w:rsidRPr="00C57589">
        <w:t xml:space="preserve"> (as the party assigned the burden)</w:t>
      </w:r>
      <w:r w:rsidRPr="00C57589">
        <w:t xml:space="preserve"> and against relief—which further expands the universe of instances in which evidence insufficient to prove guilt beyond a reasonable doubt may </w:t>
      </w:r>
      <w:r w:rsidRPr="00C57589">
        <w:t>neve</w:t>
      </w:r>
      <w:r w:rsidRPr="00C57589">
        <w:t xml:space="preserve">rtheless </w:t>
      </w:r>
      <w:r w:rsidRPr="00C57589">
        <w:t>not entitle an inmate to a finding of factual innocence.  This is precisely what our Supreme Court, the United States Supreme Court, and every other court to consider the issue have consistently and uniformly concluded—namely, that a finding of legal insufficiency due to the “</w:t>
      </w:r>
      <w:r w:rsidRPr="00C57589">
        <w:t>‘</w:t>
      </w:r>
      <w:r w:rsidRPr="00C57589">
        <w:t>prosecution’s failure of proof</w:t>
      </w:r>
      <w:r w:rsidRPr="00C57589">
        <w:t>’</w:t>
      </w:r>
      <w:r w:rsidRPr="00C57589">
        <w:t xml:space="preserve">” at </w:t>
      </w:r>
      <w:r w:rsidRPr="00C57589">
        <w:lastRenderedPageBreak/>
        <w:t xml:space="preserve">trial is </w:t>
      </w:r>
      <w:r w:rsidRPr="00C57589">
        <w:rPr>
          <w:i/>
          <w:iCs/>
        </w:rPr>
        <w:t>not</w:t>
      </w:r>
      <w:r w:rsidRPr="00C57589">
        <w:t xml:space="preserve"> necessarily equivalent to a finding of factual innocence by a preponderance of the evidence.  (</w:t>
      </w:r>
      <w:r w:rsidRPr="00C57589">
        <w:rPr>
          <w:i/>
          <w:iCs/>
        </w:rPr>
        <w:t>People v. Adair</w:t>
      </w:r>
      <w:r w:rsidRPr="00C57589">
        <w:t xml:space="preserve"> (2003) 29 Cal.4th 895, 907; </w:t>
      </w:r>
      <w:r w:rsidRPr="00C57589">
        <w:rPr>
          <w:i/>
          <w:iCs/>
        </w:rPr>
        <w:t>Bousley v. United States</w:t>
      </w:r>
      <w:r w:rsidRPr="00C57589">
        <w:t xml:space="preserve"> (1998) 523 U.S. 614, 623 [distinguishing “</w:t>
      </w:r>
      <w:r w:rsidRPr="00C57589">
        <w:t xml:space="preserve">actual </w:t>
      </w:r>
      <w:r w:rsidRPr="00C57589">
        <w:t>innocence” requiring proof that “</w:t>
      </w:r>
      <w:r w:rsidRPr="00C57589">
        <w:t>‘</w:t>
      </w:r>
      <w:r w:rsidRPr="00C57589">
        <w:t>it is more likely than not that no reasonable juror would have convicted [an inmate]</w:t>
      </w:r>
      <w:r w:rsidRPr="00C57589">
        <w:t>’</w:t>
      </w:r>
      <w:r w:rsidRPr="00C57589">
        <w:t xml:space="preserve">” from “mere legal insufficiency” of the evidence at trial]; </w:t>
      </w:r>
      <w:r w:rsidRPr="00C57589">
        <w:rPr>
          <w:i/>
          <w:iCs/>
        </w:rPr>
        <w:t>Larsen</w:t>
      </w:r>
      <w:r w:rsidRPr="00C57589">
        <w:t xml:space="preserve">, </w:t>
      </w:r>
      <w:r w:rsidRPr="00C57589">
        <w:rPr>
          <w:i/>
          <w:iCs/>
        </w:rPr>
        <w:t>supra</w:t>
      </w:r>
      <w:r w:rsidRPr="00C57589">
        <w:t>, 64 Cal.App.5th at p. 131, fn. 11 [“a jury’s acquittal of a defendant after considering evidence admitte</w:t>
      </w:r>
      <w:r w:rsidRPr="00C57589">
        <w:t xml:space="preserve">d during a criminal trial is not a determination that the defendant is innocent, only that he or she is ‘not guilty’”].) </w:t>
      </w:r>
    </w:p>
    <w:p w14:paraId="79D6944D" w14:textId="77777777" w:rsidR="009E65CC" w:rsidRPr="00C57589" w:rsidRDefault="009E65CC" w:rsidP="0030698B">
      <w:r w:rsidRPr="00C57589">
        <w:tab/>
      </w:r>
      <w:r w:rsidRPr="00C57589">
        <w:t>A</w:t>
      </w:r>
      <w:r w:rsidRPr="00C57589">
        <w:t xml:space="preserve">nd significantly, the records in the two tribunals are not the same:  A </w:t>
      </w:r>
      <w:r w:rsidRPr="00C57589">
        <w:t xml:space="preserve">habeas </w:t>
      </w:r>
      <w:r w:rsidRPr="00C57589">
        <w:t xml:space="preserve">court reviewing the sufficiency of the evidence is limited to the trial record, while the Board is charged with considering the trial record </w:t>
      </w:r>
      <w:r w:rsidRPr="00C57589">
        <w:rPr>
          <w:i/>
          <w:iCs/>
        </w:rPr>
        <w:t>and</w:t>
      </w:r>
      <w:r w:rsidRPr="00C57589">
        <w:t xml:space="preserve"> any further “relevant” evidence the parties elect to present.  </w:t>
      </w:r>
      <w:r w:rsidRPr="00C57589">
        <w:t xml:space="preserve">(Cal. Code Regs., tit. 2, § 641, subd. (c).)  </w:t>
      </w:r>
      <w:r w:rsidRPr="00C57589">
        <w:t xml:space="preserve">What is more, this additional evidence includes some evidence that </w:t>
      </w:r>
      <w:r w:rsidRPr="00C57589">
        <w:t xml:space="preserve">may have been </w:t>
      </w:r>
      <w:r w:rsidRPr="00C57589">
        <w:t>excluded at trial.  (</w:t>
      </w:r>
      <w:r w:rsidRPr="00C57589">
        <w:rPr>
          <w:i/>
          <w:iCs/>
        </w:rPr>
        <w:t>Id.</w:t>
      </w:r>
      <w:r w:rsidRPr="00C57589">
        <w:t>, subd. (d) [“Evidence . . . may be admitted even though there is a commo</w:t>
      </w:r>
      <w:r w:rsidRPr="00C57589">
        <w:t xml:space="preserve">n law or statutory rule which might make its admission improper over objection in any other </w:t>
      </w:r>
      <w:proofErr w:type="gramStart"/>
      <w:r w:rsidRPr="00C57589">
        <w:t>proceeding”]</w:t>
      </w:r>
      <w:proofErr w:type="gramEnd"/>
      <w:r w:rsidRPr="00C57589">
        <w:t xml:space="preserve">.)  This leeway makes perfect sense, as the Board’s task is to get to the bottom of whether the inmate is </w:t>
      </w:r>
      <w:r w:rsidRPr="00C57589">
        <w:t xml:space="preserve">indeed </w:t>
      </w:r>
      <w:r w:rsidRPr="00C57589">
        <w:t xml:space="preserve">innocent of the crime.  Thus, </w:t>
      </w:r>
      <w:r w:rsidRPr="00C57589">
        <w:t xml:space="preserve">to illustrate, </w:t>
      </w:r>
      <w:r w:rsidRPr="00C57589">
        <w:t xml:space="preserve">an inmate who </w:t>
      </w:r>
      <w:r w:rsidRPr="00C57589">
        <w:t xml:space="preserve">persuades </w:t>
      </w:r>
      <w:r w:rsidRPr="00C57589">
        <w:t xml:space="preserve">a habeas court that the evidence </w:t>
      </w:r>
      <w:r w:rsidRPr="00C57589">
        <w:rPr>
          <w:i/>
          <w:iCs/>
        </w:rPr>
        <w:t>in the trial record</w:t>
      </w:r>
      <w:r w:rsidRPr="00C57589">
        <w:t xml:space="preserve"> was insufficient to convict him of distributing </w:t>
      </w:r>
      <w:r w:rsidRPr="00C57589">
        <w:t>narcotics</w:t>
      </w:r>
      <w:r w:rsidRPr="00C57589">
        <w:t xml:space="preserve"> </w:t>
      </w:r>
      <w:r w:rsidRPr="00C57589">
        <w:t xml:space="preserve">would not be entitled to a finding of </w:t>
      </w:r>
      <w:r w:rsidRPr="00C57589">
        <w:t xml:space="preserve">factual </w:t>
      </w:r>
      <w:r w:rsidRPr="00C57589">
        <w:t xml:space="preserve">innocence before the Board if a </w:t>
      </w:r>
      <w:r w:rsidRPr="00C57589">
        <w:t>tele</w:t>
      </w:r>
      <w:r w:rsidRPr="00C57589">
        <w:t xml:space="preserve">phone call </w:t>
      </w:r>
      <w:r w:rsidRPr="00C57589">
        <w:t>containing the inmate’</w:t>
      </w:r>
      <w:r w:rsidRPr="00C57589">
        <w:t>s confession and</w:t>
      </w:r>
      <w:r w:rsidRPr="00C57589">
        <w:t xml:space="preserve"> </w:t>
      </w:r>
      <w:r w:rsidRPr="00C57589">
        <w:t xml:space="preserve">recorded without permission in violation of </w:t>
      </w:r>
      <w:r w:rsidRPr="00C57589">
        <w:t>s</w:t>
      </w:r>
      <w:r w:rsidRPr="00C57589">
        <w:t xml:space="preserve">ection 632 </w:t>
      </w:r>
      <w:r w:rsidRPr="00C57589">
        <w:t>was</w:t>
      </w:r>
      <w:r w:rsidRPr="00C57589">
        <w:t xml:space="preserve"> </w:t>
      </w:r>
      <w:r w:rsidRPr="00C57589">
        <w:t xml:space="preserve">excluded at trial but admitted before the Board. </w:t>
      </w:r>
    </w:p>
    <w:bookmarkEnd w:id="0"/>
    <w:p w14:paraId="38044290" w14:textId="77777777" w:rsidR="009E65CC" w:rsidRPr="00C57589" w:rsidRDefault="009E65CC" w:rsidP="0030698B">
      <w:r w:rsidRPr="00C57589">
        <w:lastRenderedPageBreak/>
        <w:tab/>
        <w:t xml:space="preserve">Second, our Legislature’s recent amendment of the compensation statutes confirms that a court’s grant of relief on habeas corpus is </w:t>
      </w:r>
      <w:r w:rsidRPr="00C57589">
        <w:rPr>
          <w:i/>
          <w:iCs/>
        </w:rPr>
        <w:t>not</w:t>
      </w:r>
      <w:r w:rsidRPr="00C57589">
        <w:t xml:space="preserve"> the equivalent of an inmate proving his factual innocence by a preponderance of the evidence.  In 2021, our Legislature enacted Senate Bill </w:t>
      </w:r>
      <w:r w:rsidRPr="00C57589">
        <w:t xml:space="preserve">No. </w:t>
      </w:r>
      <w:r w:rsidRPr="00C57589">
        <w:t>446</w:t>
      </w:r>
      <w:r w:rsidRPr="00C57589">
        <w:t xml:space="preserve"> (2021-2022 Reg. Sess.)</w:t>
      </w:r>
      <w:r w:rsidRPr="00C57589">
        <w:t xml:space="preserve">, which for the first time erected a presumption that the dismissal of convictions following the grant of a </w:t>
      </w:r>
      <w:r w:rsidRPr="00C57589">
        <w:t xml:space="preserve">habeas </w:t>
      </w:r>
      <w:r w:rsidRPr="00C57589">
        <w:t xml:space="preserve">petition automatically entitles an inmate to compensation unless the People, at a Board </w:t>
      </w:r>
      <w:r w:rsidRPr="00C57589">
        <w:t>hearing, prove the inmate’s guilt by clear and convincing evidence.  (§ 4900, subd. (b),</w:t>
      </w:r>
      <w:r w:rsidRPr="00C57589">
        <w:t xml:space="preserve"> Stats. 2021, </w:t>
      </w:r>
      <w:proofErr w:type="spellStart"/>
      <w:r w:rsidRPr="00C57589">
        <w:t>c</w:t>
      </w:r>
      <w:r w:rsidRPr="00C57589">
        <w:t>h</w:t>
      </w:r>
      <w:r w:rsidRPr="00C57589">
        <w:t>.</w:t>
      </w:r>
      <w:proofErr w:type="spellEnd"/>
      <w:r w:rsidRPr="00C57589">
        <w:t xml:space="preserve"> 490 (S</w:t>
      </w:r>
      <w:r w:rsidRPr="00C57589">
        <w:t>en</w:t>
      </w:r>
      <w:r w:rsidRPr="00C57589">
        <w:t>.</w:t>
      </w:r>
      <w:r w:rsidRPr="00C57589">
        <w:t xml:space="preserve"> </w:t>
      </w:r>
      <w:r w:rsidRPr="00C57589">
        <w:t>B</w:t>
      </w:r>
      <w:r w:rsidRPr="00C57589">
        <w:t>ill</w:t>
      </w:r>
      <w:r w:rsidRPr="00C57589">
        <w:t xml:space="preserve"> No. 446), § 3, eff. Jan. 1, 2022; §</w:t>
      </w:r>
      <w:r w:rsidRPr="00C57589">
        <w:t xml:space="preserve"> 4902, subd. (d)</w:t>
      </w:r>
      <w:r w:rsidRPr="00C57589">
        <w:t xml:space="preserve">, Stats. 2021, </w:t>
      </w:r>
      <w:proofErr w:type="spellStart"/>
      <w:r w:rsidRPr="00C57589">
        <w:t>c</w:t>
      </w:r>
      <w:r w:rsidRPr="00C57589">
        <w:t>h</w:t>
      </w:r>
      <w:r w:rsidRPr="00C57589">
        <w:t>.</w:t>
      </w:r>
      <w:proofErr w:type="spellEnd"/>
      <w:r w:rsidRPr="00C57589">
        <w:t xml:space="preserve"> 490 (S</w:t>
      </w:r>
      <w:r w:rsidRPr="00C57589">
        <w:t>en</w:t>
      </w:r>
      <w:r w:rsidRPr="00C57589">
        <w:t>.</w:t>
      </w:r>
      <w:r w:rsidRPr="00C57589">
        <w:t xml:space="preserve"> </w:t>
      </w:r>
      <w:r w:rsidRPr="00C57589">
        <w:t>B</w:t>
      </w:r>
      <w:r w:rsidRPr="00C57589">
        <w:t>ill</w:t>
      </w:r>
      <w:r w:rsidRPr="00C57589">
        <w:t xml:space="preserve"> No. 446), § 4, eff. Jan. 1, 2022</w:t>
      </w:r>
      <w:r w:rsidRPr="00C57589">
        <w:t xml:space="preserve">.)  If, as Gonzales asserts, any grant of habeas relief already automatically entitles an inmate to compensation, Senate Bill </w:t>
      </w:r>
      <w:r w:rsidRPr="00C57589">
        <w:t xml:space="preserve">No. </w:t>
      </w:r>
      <w:r w:rsidRPr="00C57589">
        <w:t>446’s amendments would be entirely superfluous.  Because we do not presume that our Legislature engages in idle acts (</w:t>
      </w:r>
      <w:r w:rsidRPr="00C57589">
        <w:rPr>
          <w:i/>
          <w:iCs/>
        </w:rPr>
        <w:t>Elsner v. Uveges</w:t>
      </w:r>
      <w:r w:rsidRPr="00C57589">
        <w:t xml:space="preserve"> (2004) 34</w:t>
      </w:r>
      <w:r w:rsidRPr="00C57589">
        <w:t xml:space="preserve"> Cal.4th 915, 935 [amendment of statute is presumed to change its meaning and effect]; </w:t>
      </w:r>
      <w:r w:rsidRPr="00C57589">
        <w:rPr>
          <w:i/>
          <w:iCs/>
        </w:rPr>
        <w:t>Stockton Teachers Assn. CTA/NEA v. Stockton Unified School Dist.</w:t>
      </w:r>
      <w:r w:rsidRPr="00C57589">
        <w:t xml:space="preserve"> (2012) 204 Cal.App.4th 446, 461), our Legislature’s own actions confirm that a grant of habeas relief is not equivalent to a finding of actual innocence.</w:t>
      </w:r>
      <w:r>
        <w:rPr>
          <w:rStyle w:val="FootnoteReference"/>
          <w:b/>
          <w:bCs/>
          <w:szCs w:val="26"/>
        </w:rPr>
        <w:footnoteReference w:id="10"/>
      </w:r>
    </w:p>
    <w:p w14:paraId="167A7125" w14:textId="77777777" w:rsidR="009E65CC" w:rsidRPr="00C57589" w:rsidRDefault="009E65CC" w:rsidP="0030698B">
      <w:r w:rsidRPr="00C57589">
        <w:tab/>
      </w:r>
      <w:r w:rsidRPr="00C57589">
        <w:t xml:space="preserve">Gonzales resists this conclusion with one further argument.  Specifically, he makes the two-step argument that the Ninth Circuit’s finding of insufficient evidence compels a finding of </w:t>
      </w:r>
      <w:r w:rsidRPr="00C57589">
        <w:t>f</w:t>
      </w:r>
      <w:r w:rsidRPr="00C57589">
        <w:t>actual innocence because (1) a finding of legal insufficiency compel</w:t>
      </w:r>
      <w:r w:rsidRPr="00C57589">
        <w:t>s</w:t>
      </w:r>
      <w:r w:rsidRPr="00C57589">
        <w:t xml:space="preserve"> a finding of factual innocence under section 851.</w:t>
      </w:r>
      <w:r w:rsidRPr="00C57589">
        <w:t>8</w:t>
      </w:r>
      <w:r w:rsidRPr="00C57589">
        <w:t xml:space="preserve"> in </w:t>
      </w:r>
      <w:r w:rsidRPr="00C57589">
        <w:rPr>
          <w:i/>
          <w:iCs/>
        </w:rPr>
        <w:t>People v. McCann</w:t>
      </w:r>
      <w:r w:rsidRPr="00C57589">
        <w:t xml:space="preserve"> (2006) 1</w:t>
      </w:r>
      <w:r w:rsidRPr="00C57589">
        <w:t>4</w:t>
      </w:r>
      <w:r w:rsidRPr="00C57589">
        <w:t>1 Cal.App.4th 347, 355-358</w:t>
      </w:r>
      <w:r w:rsidRPr="00C57589">
        <w:t xml:space="preserve"> </w:t>
      </w:r>
      <w:r w:rsidRPr="00C57589">
        <w:lastRenderedPageBreak/>
        <w:t>(</w:t>
      </w:r>
      <w:r w:rsidRPr="00C57589">
        <w:rPr>
          <w:i/>
          <w:iCs/>
        </w:rPr>
        <w:t>McCann</w:t>
      </w:r>
      <w:r w:rsidRPr="00C57589">
        <w:t>)</w:t>
      </w:r>
      <w:r w:rsidRPr="00C57589">
        <w:t>;</w:t>
      </w:r>
      <w:r w:rsidRPr="00C57589">
        <w:t xml:space="preserve"> and (2) a finding of factual innocence under section 851.8 compels a finding of factual innocence under the compensation statutes.  Althoug</w:t>
      </w:r>
      <w:r w:rsidRPr="00C57589">
        <w:t>h the second step of Gonzales’s argument is correct (§</w:t>
      </w:r>
      <w:r w:rsidRPr="00C57589">
        <w:t>§</w:t>
      </w:r>
      <w:r w:rsidRPr="00C57589">
        <w:t xml:space="preserve"> 4902</w:t>
      </w:r>
      <w:r w:rsidRPr="00C57589">
        <w:t xml:space="preserve">, subd. (a), </w:t>
      </w:r>
      <w:r w:rsidRPr="00C57589">
        <w:t xml:space="preserve">1485.55, subds. (b), (c) &amp; (e), 851.865, subd. (a); </w:t>
      </w:r>
      <w:r w:rsidRPr="00C57589">
        <w:rPr>
          <w:i/>
          <w:iCs/>
        </w:rPr>
        <w:t>Tennison</w:t>
      </w:r>
      <w:r w:rsidRPr="00C57589">
        <w:t>,</w:t>
      </w:r>
      <w:r w:rsidRPr="00C57589">
        <w:t xml:space="preserve"> </w:t>
      </w:r>
      <w:r w:rsidRPr="00C57589">
        <w:rPr>
          <w:i/>
          <w:iCs/>
        </w:rPr>
        <w:t>supra</w:t>
      </w:r>
      <w:r w:rsidRPr="00C57589">
        <w:t>,</w:t>
      </w:r>
      <w:r w:rsidRPr="00C57589">
        <w:t xml:space="preserve"> 152 Cal.App.4th at p. 1175 [section 851.8 proceedings and proceedings for compensation “concern the identical issue: whether the evidence proves the defendant did not, </w:t>
      </w:r>
      <w:r w:rsidRPr="00C57589">
        <w:rPr>
          <w:i/>
          <w:iCs/>
        </w:rPr>
        <w:t>in fact</w:t>
      </w:r>
      <w:r w:rsidRPr="00C57589">
        <w:t xml:space="preserve">, commit a particular crime”]), the first step of his argument is incorrect:  </w:t>
      </w:r>
      <w:r w:rsidRPr="00C57589">
        <w:rPr>
          <w:i/>
          <w:iCs/>
        </w:rPr>
        <w:t>McCann</w:t>
      </w:r>
      <w:r w:rsidRPr="00C57589">
        <w:t xml:space="preserve"> does not establish a broad rule that a finding of legal insufficiency equates to a finding of factual innocence</w:t>
      </w:r>
      <w:r w:rsidRPr="00C57589">
        <w:t xml:space="preserve">. </w:t>
      </w:r>
      <w:r w:rsidRPr="00C57589">
        <w:t xml:space="preserve"> </w:t>
      </w:r>
      <w:r w:rsidRPr="00C57589">
        <w:t>I</w:t>
      </w:r>
      <w:r w:rsidRPr="00C57589">
        <w:t>nstead,</w:t>
      </w:r>
      <w:r w:rsidRPr="00C57589">
        <w:rPr>
          <w:i/>
          <w:iCs/>
        </w:rPr>
        <w:t xml:space="preserve"> McCann</w:t>
      </w:r>
      <w:r w:rsidRPr="00C57589">
        <w:t xml:space="preserve"> stands for a far narrower corollary that legal insufficiency equates to a finding of factual innocence when the insuffici</w:t>
      </w:r>
      <w:r w:rsidRPr="00C57589">
        <w:t xml:space="preserve">ency ruling rests on the finding that the </w:t>
      </w:r>
      <w:r w:rsidRPr="00C57589">
        <w:t xml:space="preserve">inmate </w:t>
      </w:r>
      <w:r w:rsidRPr="00C57589">
        <w:t>“</w:t>
      </w:r>
      <w:r w:rsidRPr="00C57589">
        <w:rPr>
          <w:i/>
          <w:iCs/>
        </w:rPr>
        <w:t>could not possibly have been guilty</w:t>
      </w:r>
      <w:r w:rsidRPr="00C57589">
        <w:t xml:space="preserve">” of the crime(s) at issue (in </w:t>
      </w:r>
      <w:r w:rsidRPr="00C57589">
        <w:rPr>
          <w:i/>
          <w:iCs/>
        </w:rPr>
        <w:t>McCann</w:t>
      </w:r>
      <w:r w:rsidRPr="00C57589">
        <w:t xml:space="preserve">, due to </w:t>
      </w:r>
      <w:r w:rsidRPr="00C57589">
        <w:t xml:space="preserve">the doctor-inmate having a valid license and due to </w:t>
      </w:r>
      <w:r w:rsidRPr="00C57589">
        <w:t>the expiration of the statute of limitations</w:t>
      </w:r>
      <w:r w:rsidRPr="00C57589">
        <w:t xml:space="preserve"> for a lesser</w:t>
      </w:r>
      <w:r w:rsidRPr="00C57589">
        <w:t xml:space="preserve"> </w:t>
      </w:r>
      <w:r w:rsidRPr="00C57589">
        <w:t>included offense</w:t>
      </w:r>
      <w:r w:rsidRPr="00C57589">
        <w:t>).  (</w:t>
      </w:r>
      <w:r w:rsidRPr="00C57589">
        <w:rPr>
          <w:i/>
          <w:iCs/>
        </w:rPr>
        <w:t>McCann</w:t>
      </w:r>
      <w:r w:rsidRPr="00C57589">
        <w:t>,</w:t>
      </w:r>
      <w:r w:rsidRPr="00C57589">
        <w:t xml:space="preserve"> at p. 358</w:t>
      </w:r>
      <w:r w:rsidRPr="00C57589">
        <w:t>, italics added</w:t>
      </w:r>
      <w:r w:rsidRPr="00C57589">
        <w:t xml:space="preserve">; </w:t>
      </w:r>
      <w:r w:rsidRPr="00C57589">
        <w:rPr>
          <w:i/>
          <w:iCs/>
        </w:rPr>
        <w:t>People v. Gerold</w:t>
      </w:r>
      <w:r w:rsidRPr="00C57589">
        <w:t xml:space="preserve"> (2009) 174 Cal.App.4th 781, 79</w:t>
      </w:r>
      <w:r w:rsidRPr="00C57589">
        <w:t>3</w:t>
      </w:r>
      <w:r w:rsidRPr="00C57589">
        <w:t xml:space="preserve"> [reading </w:t>
      </w:r>
      <w:r w:rsidRPr="00C57589">
        <w:rPr>
          <w:i/>
          <w:iCs/>
        </w:rPr>
        <w:t>McCann</w:t>
      </w:r>
      <w:r w:rsidRPr="00C57589">
        <w:t xml:space="preserve"> as standing solely for this narrower proposition].)  Because nothing indicates that Gonzales “could not possibly have been guilty” of the crimes in thi</w:t>
      </w:r>
      <w:r w:rsidRPr="00C57589">
        <w:t xml:space="preserve">s case, this case falls outside the boundaries of </w:t>
      </w:r>
      <w:r w:rsidRPr="00C57589">
        <w:rPr>
          <w:i/>
          <w:iCs/>
        </w:rPr>
        <w:t>McCann</w:t>
      </w:r>
      <w:r w:rsidRPr="00C57589">
        <w:t>’s corollary.</w:t>
      </w:r>
    </w:p>
    <w:p w14:paraId="72536251" w14:textId="77777777" w:rsidR="009E65CC" w:rsidRPr="00C57589" w:rsidRDefault="009E65CC" w:rsidP="0030698B">
      <w:pPr>
        <w:rPr>
          <w:b/>
          <w:bCs/>
          <w:i/>
          <w:iCs/>
        </w:rPr>
      </w:pPr>
      <w:r w:rsidRPr="00C57589">
        <w:tab/>
      </w:r>
      <w:r w:rsidRPr="00C57589">
        <w:rPr>
          <w:b/>
          <w:bCs/>
        </w:rPr>
        <w:t>B</w:t>
      </w:r>
      <w:r w:rsidRPr="00C57589">
        <w:rPr>
          <w:b/>
          <w:bCs/>
        </w:rPr>
        <w:t>.</w:t>
      </w:r>
      <w:r w:rsidRPr="00C57589">
        <w:rPr>
          <w:b/>
          <w:bCs/>
        </w:rPr>
        <w:tab/>
      </w:r>
      <w:r w:rsidRPr="00C57589">
        <w:rPr>
          <w:b/>
          <w:bCs/>
          <w:i/>
          <w:iCs/>
        </w:rPr>
        <w:t>Did the Board disregard the statutory mandate to treat the Ninth Circuit’s “factual findings” as “binding”?</w:t>
      </w:r>
    </w:p>
    <w:p w14:paraId="03EFC161" w14:textId="77777777" w:rsidR="009E65CC" w:rsidRPr="00C57589" w:rsidRDefault="009E65CC" w:rsidP="0030698B">
      <w:r w:rsidRPr="00C57589">
        <w:tab/>
        <w:t>To answer this question, we must ask two subsidiary questions</w:t>
      </w:r>
      <w:proofErr w:type="gramStart"/>
      <w:r w:rsidRPr="00C57589">
        <w:t>:  (</w:t>
      </w:r>
      <w:proofErr w:type="gramEnd"/>
      <w:r w:rsidRPr="00C57589">
        <w:t xml:space="preserve">1) </w:t>
      </w:r>
      <w:r w:rsidRPr="00C57589">
        <w:t>W</w:t>
      </w:r>
      <w:r w:rsidRPr="00C57589">
        <w:t xml:space="preserve">hat is a “factual finding” for </w:t>
      </w:r>
      <w:r w:rsidRPr="00C57589">
        <w:t>purposes of the compensation statutes</w:t>
      </w:r>
      <w:r w:rsidRPr="00C57589">
        <w:t>, and (2) did the Board disregard any such “factual findings”?</w:t>
      </w:r>
    </w:p>
    <w:p w14:paraId="1FDA54C5" w14:textId="77777777" w:rsidR="009E65CC" w:rsidRPr="00C57589" w:rsidRDefault="009E65CC" w:rsidP="0030698B">
      <w:r w:rsidRPr="00C57589">
        <w:lastRenderedPageBreak/>
        <w:tab/>
      </w:r>
      <w:r w:rsidRPr="00C57589">
        <w:tab/>
      </w:r>
      <w:r w:rsidRPr="00C57589">
        <w:t>1</w:t>
      </w:r>
      <w:r w:rsidRPr="00C57589">
        <w:t>.</w:t>
      </w:r>
      <w:r w:rsidRPr="00C57589">
        <w:tab/>
      </w:r>
      <w:r w:rsidRPr="00C57589">
        <w:rPr>
          <w:i/>
          <w:iCs/>
        </w:rPr>
        <w:t>What is a “factual finding” within the meaning of section 4903, subdivision (b)?</w:t>
      </w:r>
    </w:p>
    <w:p w14:paraId="15F2DBB1" w14:textId="77777777" w:rsidR="009E65CC" w:rsidRPr="00C57589" w:rsidRDefault="009E65CC" w:rsidP="0030698B">
      <w:r w:rsidRPr="00C57589">
        <w:tab/>
      </w:r>
      <w:bookmarkStart w:id="1" w:name="_Hlk152921565"/>
      <w:r w:rsidRPr="00C57589">
        <w:t>Section 4903, subdivision (b)</w:t>
      </w:r>
      <w:r w:rsidRPr="00C57589">
        <w:t>,</w:t>
      </w:r>
      <w:r w:rsidRPr="00C57589">
        <w:t xml:space="preserve"> </w:t>
      </w:r>
      <w:bookmarkEnd w:id="1"/>
      <w:r w:rsidRPr="00C57589">
        <w:t xml:space="preserve">requires the Board to treat as “binding” “the factual findings and credibility determinations establishing the </w:t>
      </w:r>
      <w:r w:rsidRPr="00C57589">
        <w:t xml:space="preserve">court’s </w:t>
      </w:r>
      <w:r w:rsidRPr="00C57589">
        <w:t xml:space="preserve">basis for </w:t>
      </w:r>
      <w:r w:rsidRPr="00C57589">
        <w:rPr>
          <w:i/>
          <w:iCs/>
        </w:rPr>
        <w:t>granting</w:t>
      </w:r>
      <w:r w:rsidRPr="00C57589">
        <w:t xml:space="preserve"> a writ of habeas corpus.”  </w:t>
      </w:r>
      <w:r w:rsidRPr="00C57589">
        <w:t xml:space="preserve">(Italics added.)  </w:t>
      </w:r>
      <w:r w:rsidRPr="00C57589">
        <w:t>The compensation statutes do not define “factual findings”; the closest analogue is the definition for “express factual findings” within the habeas statutes (and, specifically, in section 1485.5), which defines them as “findings established as the basis for the court’s ruling or order.”  (§ 1485.5, subd. (d).)  But does this re</w:t>
      </w:r>
      <w:r w:rsidRPr="00C57589">
        <w:t xml:space="preserve">fer to the </w:t>
      </w:r>
      <w:r w:rsidRPr="00C57589">
        <w:rPr>
          <w:i/>
          <w:iCs/>
        </w:rPr>
        <w:t xml:space="preserve">factual </w:t>
      </w:r>
      <w:r w:rsidRPr="00C57589">
        <w:t xml:space="preserve">basis for the court’s ruling, the </w:t>
      </w:r>
      <w:r w:rsidRPr="00C57589">
        <w:rPr>
          <w:i/>
          <w:iCs/>
        </w:rPr>
        <w:t>legal</w:t>
      </w:r>
      <w:r w:rsidRPr="00C57589">
        <w:t xml:space="preserve"> basis for that ruling, or both?</w:t>
      </w:r>
    </w:p>
    <w:p w14:paraId="20E2CBC7" w14:textId="77777777" w:rsidR="009E65CC" w:rsidRPr="00C57589" w:rsidRDefault="009E65CC" w:rsidP="0030698B">
      <w:r w:rsidRPr="00C57589">
        <w:tab/>
        <w:t xml:space="preserve">It clearly encompasses the </w:t>
      </w:r>
      <w:r w:rsidRPr="00C57589">
        <w:rPr>
          <w:i/>
          <w:iCs/>
        </w:rPr>
        <w:t>factual</w:t>
      </w:r>
      <w:r w:rsidRPr="00C57589">
        <w:t xml:space="preserve"> basis.  Thus, “factual findings and credibility determinations” by a habeas court certainly—and traditionally—include (1) the court’s ultimate findings of fact (such as</w:t>
      </w:r>
      <w:r w:rsidRPr="00C57589">
        <w:t xml:space="preserve"> that</w:t>
      </w:r>
      <w:r w:rsidRPr="00C57589">
        <w:t xml:space="preserve"> the evidence was insufficient to establish guilt beyond a reasonable doubt</w:t>
      </w:r>
      <w:r w:rsidRPr="00C57589">
        <w:t>,</w:t>
      </w:r>
      <w:r w:rsidRPr="00C57589">
        <w:t xml:space="preserve"> or</w:t>
      </w:r>
      <w:r w:rsidRPr="00C57589">
        <w:t xml:space="preserve"> that </w:t>
      </w:r>
      <w:r w:rsidRPr="00C57589">
        <w:t>trial counsel was constitutionally ineffective)</w:t>
      </w:r>
      <w:r w:rsidRPr="00C57589">
        <w:t>;</w:t>
      </w:r>
      <w:r w:rsidRPr="00C57589">
        <w:t xml:space="preserve"> and (2) the court’s subsidiary findings of fact and credibility determinations</w:t>
      </w:r>
      <w:r w:rsidRPr="00C57589">
        <w:t>, made</w:t>
      </w:r>
      <w:r w:rsidRPr="00C57589">
        <w:t xml:space="preserve"> after</w:t>
      </w:r>
      <w:r w:rsidRPr="00C57589">
        <w:t xml:space="preserve"> the court has </w:t>
      </w:r>
      <w:r w:rsidRPr="00C57589">
        <w:t>entertain</w:t>
      </w:r>
      <w:r w:rsidRPr="00C57589">
        <w:t xml:space="preserve">ed </w:t>
      </w:r>
      <w:r w:rsidRPr="00C57589">
        <w:t xml:space="preserve">new evidence that the court </w:t>
      </w:r>
      <w:r w:rsidRPr="00C57589">
        <w:t xml:space="preserve">has </w:t>
      </w:r>
      <w:r w:rsidRPr="00C57589">
        <w:t>observe</w:t>
      </w:r>
      <w:r w:rsidRPr="00C57589">
        <w:t>d</w:t>
      </w:r>
      <w:r w:rsidRPr="00C57589">
        <w:t xml:space="preserve"> firsthand during the habeas proceedings</w:t>
      </w:r>
      <w:r w:rsidRPr="00C57589">
        <w:t xml:space="preserve">, which is commonplace as many defendants seek habeas relief </w:t>
      </w:r>
      <w:r w:rsidRPr="00C57589">
        <w:t>on the basis of constitutional grounds that require additional factfinding beyond the trial record (such as</w:t>
      </w:r>
      <w:r w:rsidRPr="00C57589">
        <w:t xml:space="preserve"> constitutional claims involving wrongful withholding of </w:t>
      </w:r>
      <w:r w:rsidRPr="00C57589">
        <w:t xml:space="preserve">discovery, juror misconduct, or </w:t>
      </w:r>
      <w:r w:rsidRPr="00C57589">
        <w:t xml:space="preserve">the </w:t>
      </w:r>
      <w:r w:rsidRPr="00C57589">
        <w:t xml:space="preserve">ineffective assistance of counsel). </w:t>
      </w:r>
    </w:p>
    <w:p w14:paraId="37B046CB" w14:textId="77777777" w:rsidR="009E65CC" w:rsidRPr="00C57589" w:rsidRDefault="009E65CC" w:rsidP="0030698B">
      <w:r w:rsidRPr="00C57589">
        <w:tab/>
        <w:t xml:space="preserve">But do “factual findings and credibility determinations” also reach the </w:t>
      </w:r>
      <w:r w:rsidRPr="00C57589">
        <w:rPr>
          <w:i/>
          <w:iCs/>
        </w:rPr>
        <w:t>legal</w:t>
      </w:r>
      <w:r w:rsidRPr="00C57589">
        <w:t xml:space="preserve"> basis for the habeas court’s ruling?  More to the point, do “factual findings” include the habeas court’s summary of, observations about, and characterizations of the </w:t>
      </w:r>
      <w:r w:rsidRPr="00C57589">
        <w:lastRenderedPageBreak/>
        <w:t xml:space="preserve">trial record when the habeas court is </w:t>
      </w:r>
      <w:r w:rsidRPr="00C57589">
        <w:rPr>
          <w:i/>
          <w:iCs/>
        </w:rPr>
        <w:t>not</w:t>
      </w:r>
      <w:r w:rsidRPr="00C57589">
        <w:t xml:space="preserve"> finding </w:t>
      </w:r>
      <w:r w:rsidRPr="00C57589">
        <w:rPr>
          <w:i/>
          <w:iCs/>
        </w:rPr>
        <w:t xml:space="preserve">facts </w:t>
      </w:r>
      <w:r w:rsidRPr="00C57589">
        <w:t xml:space="preserve">after </w:t>
      </w:r>
      <w:r w:rsidRPr="00C57589">
        <w:t xml:space="preserve">entertaining </w:t>
      </w:r>
      <w:r w:rsidRPr="00C57589">
        <w:t xml:space="preserve">new evidence but is instead making a legal assessment, after reviewing the static record from the trial proceedings, </w:t>
      </w:r>
      <w:r w:rsidRPr="00C57589">
        <w:t xml:space="preserve">about </w:t>
      </w:r>
      <w:r w:rsidRPr="00C57589">
        <w:t>whether that record contains sufficient evidence to support a conviction?  In other words, if a habeas court summarizes the trial evidence or</w:t>
      </w:r>
      <w:r w:rsidRPr="00C57589">
        <w:t xml:space="preserve"> otherwise comments that some or </w:t>
      </w:r>
      <w:proofErr w:type="gramStart"/>
      <w:r w:rsidRPr="00C57589">
        <w:t>all of</w:t>
      </w:r>
      <w:proofErr w:type="gramEnd"/>
      <w:r w:rsidRPr="00C57589">
        <w:t xml:space="preserve"> the evidence is “weak” as part of its rationale for concluding that the evidence was insufficient, is that summary or commentary </w:t>
      </w:r>
      <w:r w:rsidRPr="00C57589">
        <w:rPr>
          <w:i/>
          <w:iCs/>
        </w:rPr>
        <w:t>itself</w:t>
      </w:r>
      <w:r w:rsidRPr="00C57589">
        <w:t xml:space="preserve"> a “factual finding”?</w:t>
      </w:r>
    </w:p>
    <w:p w14:paraId="0098A7C0" w14:textId="77777777" w:rsidR="009E65CC" w:rsidRPr="00C57589" w:rsidRDefault="009E65CC" w:rsidP="0030698B">
      <w:r w:rsidRPr="00C57589">
        <w:tab/>
        <w:t xml:space="preserve">We conclude the answer is “no” for three interrelated reasons.  </w:t>
      </w:r>
    </w:p>
    <w:p w14:paraId="7B682798" w14:textId="77777777" w:rsidR="009E65CC" w:rsidRPr="00C57589" w:rsidRDefault="009E65CC" w:rsidP="0030698B">
      <w:r w:rsidRPr="00C57589">
        <w:tab/>
        <w:t>First, the fact that a habeas court summarizes or comments on the static trial record is not enough to make that summary or commentary a “factual finding” of that court.  Courts make comments all the time that are not “factual findings”:  A court’s finding that a juvenile defendant suffers from “</w:t>
      </w:r>
      <w:r w:rsidRPr="00C57589">
        <w:t>‘</w:t>
      </w:r>
      <w:r w:rsidRPr="00C57589">
        <w:t>irreparable corruption</w:t>
      </w:r>
      <w:r w:rsidRPr="00C57589">
        <w:t>’</w:t>
      </w:r>
      <w:r w:rsidRPr="00C57589">
        <w:t>” warranting a lifetime sentence is not a “factual finding” (</w:t>
      </w:r>
      <w:r w:rsidRPr="00C57589">
        <w:rPr>
          <w:i/>
          <w:iCs/>
        </w:rPr>
        <w:t>People v. Blackwell</w:t>
      </w:r>
      <w:r w:rsidRPr="00C57589">
        <w:t xml:space="preserve"> (2016) 3 Cal.App.5th 166, 192); a court’s “observation[s]” or “remark[s]” about whether an item was an instrumentality of a crime is </w:t>
      </w:r>
      <w:r w:rsidRPr="00C57589">
        <w:t xml:space="preserve">not a “factual finding” (and is instead </w:t>
      </w:r>
      <w:r w:rsidRPr="00C57589">
        <w:t>a “legal determination</w:t>
      </w:r>
      <w:r w:rsidRPr="00C57589">
        <w:t>[]</w:t>
      </w:r>
      <w:r w:rsidRPr="00C57589">
        <w:t>”</w:t>
      </w:r>
      <w:r w:rsidRPr="00C57589">
        <w:t>)</w:t>
      </w:r>
      <w:r w:rsidRPr="00C57589">
        <w:t xml:space="preserve"> </w:t>
      </w:r>
      <w:r w:rsidRPr="00C57589">
        <w:t>(</w:t>
      </w:r>
      <w:r w:rsidRPr="00C57589">
        <w:rPr>
          <w:i/>
          <w:iCs/>
        </w:rPr>
        <w:t>People v. Nottoli</w:t>
      </w:r>
      <w:r w:rsidRPr="00C57589">
        <w:t xml:space="preserve"> (2011) 199 Cal.App.4th 531, 557, fn. 12); and a court’s commentary about the “subject of selective enforcement” in the course of ruling on a motion to suppress is not a “factual finding” (</w:t>
      </w:r>
      <w:r w:rsidRPr="00C57589">
        <w:rPr>
          <w:i/>
          <w:iCs/>
        </w:rPr>
        <w:t>People v. Superior Court (Brown)</w:t>
      </w:r>
      <w:r w:rsidRPr="00C57589">
        <w:t xml:space="preserve"> (1980) 111 Cal.App.3d 948, 952).  </w:t>
      </w:r>
    </w:p>
    <w:p w14:paraId="65C3F0EC" w14:textId="77777777" w:rsidR="009E65CC" w:rsidRPr="00C57589" w:rsidRDefault="009E65CC" w:rsidP="0030698B">
      <w:r w:rsidRPr="00C57589">
        <w:tab/>
        <w:t xml:space="preserve">Second, “factual findings” are typically findings that can be reviewed for substantial evidence (e.g., </w:t>
      </w:r>
      <w:r w:rsidRPr="00C57589">
        <w:rPr>
          <w:i/>
          <w:iCs/>
        </w:rPr>
        <w:t>City of San Marcos v. Loma San Marcos, LLC</w:t>
      </w:r>
      <w:r w:rsidRPr="00C57589">
        <w:t xml:space="preserve"> (2015) 234 Cal.App.4th 1045, 1053) and “credibility determinations” are determinations that are unreviewable unless the</w:t>
      </w:r>
      <w:r w:rsidRPr="00C57589">
        <w:t xml:space="preserve"> testimony at issue is</w:t>
      </w:r>
      <w:r w:rsidRPr="00C57589">
        <w:t xml:space="preserve"> “</w:t>
      </w:r>
      <w:r w:rsidRPr="00C57589">
        <w:t>‘“</w:t>
      </w:r>
      <w:r w:rsidRPr="00C57589">
        <w:t>physical</w:t>
      </w:r>
      <w:r w:rsidRPr="00C57589">
        <w:t>ly</w:t>
      </w:r>
      <w:r w:rsidRPr="00C57589">
        <w:t xml:space="preserve"> </w:t>
      </w:r>
      <w:r w:rsidRPr="00C57589">
        <w:lastRenderedPageBreak/>
        <w:t>impossible or inherently improbable</w:t>
      </w:r>
      <w:r w:rsidRPr="00C57589">
        <w:t>”’</w:t>
      </w:r>
      <w:r w:rsidRPr="00C57589">
        <w:t>” (</w:t>
      </w:r>
      <w:r w:rsidRPr="00C57589">
        <w:rPr>
          <w:i/>
          <w:iCs/>
        </w:rPr>
        <w:t>People v. Prunty</w:t>
      </w:r>
      <w:r w:rsidRPr="00C57589">
        <w:t xml:space="preserve"> (201</w:t>
      </w:r>
      <w:r w:rsidRPr="00C57589">
        <w:t>5</w:t>
      </w:r>
      <w:r w:rsidRPr="00C57589">
        <w:t>) 62 Cal.4th 59, 89</w:t>
      </w:r>
      <w:r w:rsidRPr="00C57589">
        <w:t xml:space="preserve"> (conc. &amp; dis. </w:t>
      </w:r>
      <w:proofErr w:type="spellStart"/>
      <w:r w:rsidRPr="00C57589">
        <w:t>opn</w:t>
      </w:r>
      <w:proofErr w:type="spellEnd"/>
      <w:r w:rsidRPr="00C57589">
        <w:t>. of Cantil-</w:t>
      </w:r>
      <w:r w:rsidRPr="00C57589">
        <w:t>Sakauye</w:t>
      </w:r>
      <w:r w:rsidRPr="00C57589">
        <w:t>, C.</w:t>
      </w:r>
      <w:proofErr w:type="gramStart"/>
      <w:r w:rsidRPr="00C57589">
        <w:t>J.)</w:t>
      </w:r>
      <w:proofErr w:type="gramEnd"/>
      <w:r w:rsidRPr="00C57589">
        <w:t xml:space="preserve">).  Such </w:t>
      </w:r>
      <w:proofErr w:type="gramStart"/>
      <w:r w:rsidRPr="00C57589">
        <w:t>deference</w:t>
      </w:r>
      <w:proofErr w:type="gramEnd"/>
      <w:r w:rsidRPr="00C57589">
        <w:t xml:space="preserve"> is accorded to these findings</w:t>
      </w:r>
      <w:r w:rsidRPr="00C57589">
        <w:t xml:space="preserve"> and determinations</w:t>
      </w:r>
      <w:r w:rsidRPr="00C57589">
        <w:t xml:space="preserve"> because</w:t>
      </w:r>
      <w:r w:rsidRPr="00C57589">
        <w:t xml:space="preserve"> the</w:t>
      </w:r>
      <w:r w:rsidRPr="00C57589">
        <w:t xml:space="preserve"> courts later reviewing </w:t>
      </w:r>
      <w:r w:rsidRPr="00C57589">
        <w:t>them</w:t>
      </w:r>
      <w:r w:rsidRPr="00C57589">
        <w:t xml:space="preserve"> were not </w:t>
      </w:r>
      <w:r w:rsidRPr="00C57589">
        <w:t xml:space="preserve">in the proverbial room </w:t>
      </w:r>
      <w:r w:rsidRPr="00C57589">
        <w:t>to hear and observe the evidence firsthand.  But</w:t>
      </w:r>
      <w:r w:rsidRPr="00C57589">
        <w:t xml:space="preserve"> a habeas court’s summary of the trial </w:t>
      </w:r>
      <w:r w:rsidRPr="00C57589">
        <w:t xml:space="preserve">record </w:t>
      </w:r>
      <w:r w:rsidRPr="00C57589">
        <w:t xml:space="preserve">or its commentary about the relative weakness of evidence based on that record is not something that the court observed firsthand, and such a summary or commentary is not a finding that can </w:t>
      </w:r>
      <w:r w:rsidRPr="00C57589">
        <w:t xml:space="preserve">be reviewed </w:t>
      </w:r>
      <w:r w:rsidRPr="00C57589">
        <w:t xml:space="preserve">in any meaningful way for substantial evidence or subjected to the standards for assessing credibility determinations.  This mismatch supports the notion that such </w:t>
      </w:r>
      <w:r w:rsidRPr="00C57589">
        <w:t xml:space="preserve">a summary </w:t>
      </w:r>
      <w:r w:rsidRPr="00C57589">
        <w:t xml:space="preserve">of </w:t>
      </w:r>
      <w:r w:rsidRPr="00C57589">
        <w:t xml:space="preserve">or </w:t>
      </w:r>
      <w:r w:rsidRPr="00C57589">
        <w:t xml:space="preserve">commentary </w:t>
      </w:r>
      <w:r w:rsidRPr="00C57589">
        <w:t xml:space="preserve">on the trial record </w:t>
      </w:r>
      <w:r w:rsidRPr="00C57589">
        <w:t xml:space="preserve">is not </w:t>
      </w:r>
      <w:r w:rsidRPr="00C57589">
        <w:t xml:space="preserve">itself </w:t>
      </w:r>
      <w:r w:rsidRPr="00C57589">
        <w:t>a “factual finding.”</w:t>
      </w:r>
    </w:p>
    <w:p w14:paraId="28FE791C" w14:textId="77777777" w:rsidR="009E65CC" w:rsidRPr="00C57589" w:rsidRDefault="009E65CC" w:rsidP="0030698B">
      <w:r w:rsidRPr="00C57589">
        <w:tab/>
        <w:t xml:space="preserve">Third and lastly, treating a habeas court’s summary </w:t>
      </w:r>
      <w:r w:rsidRPr="00C57589">
        <w:t xml:space="preserve">or </w:t>
      </w:r>
      <w:r w:rsidRPr="00C57589">
        <w:t xml:space="preserve">commentary about the trial record as “factual findings” or “credibility determinations” would make them “binding” on the Board, yet the Board is explicitly tasked with considering </w:t>
      </w:r>
      <w:r w:rsidRPr="00C57589">
        <w:rPr>
          <w:i/>
          <w:iCs/>
        </w:rPr>
        <w:t>new and additional evidence</w:t>
      </w:r>
      <w:r w:rsidRPr="00C57589">
        <w:t>.  If commentary about evidence</w:t>
      </w:r>
      <w:r w:rsidRPr="00C57589">
        <w:t xml:space="preserve"> in the trial record being “weak” proof</w:t>
      </w:r>
      <w:r w:rsidRPr="00C57589">
        <w:t xml:space="preserve"> on a particular issue </w:t>
      </w:r>
      <w:r w:rsidRPr="00C57589">
        <w:t xml:space="preserve">were </w:t>
      </w:r>
      <w:r w:rsidRPr="00C57589">
        <w:t xml:space="preserve">binding, then the introduction of new evidence on that issue in the Board proceedings would be pointless, thereby rendering the </w:t>
      </w:r>
      <w:r w:rsidRPr="00C57589">
        <w:t xml:space="preserve">evidentiary </w:t>
      </w:r>
      <w:r w:rsidRPr="00C57589">
        <w:t>provisions</w:t>
      </w:r>
      <w:r w:rsidRPr="00C57589">
        <w:t xml:space="preserve"> </w:t>
      </w:r>
      <w:r w:rsidRPr="00C57589">
        <w:t xml:space="preserve">in the compensation statutes governing </w:t>
      </w:r>
      <w:r w:rsidRPr="00C57589">
        <w:t>the Board</w:t>
      </w:r>
      <w:r w:rsidRPr="00C57589">
        <w:t>’s</w:t>
      </w:r>
      <w:r w:rsidRPr="00C57589">
        <w:t xml:space="preserve"> pr</w:t>
      </w:r>
      <w:r w:rsidRPr="00C57589">
        <w:t xml:space="preserve">oceedings superfluous.  Our task, however, is to give effect to </w:t>
      </w:r>
      <w:r w:rsidRPr="00C57589">
        <w:t xml:space="preserve">those </w:t>
      </w:r>
      <w:r w:rsidRPr="00C57589">
        <w:t>provisions—not to nerf them.  (</w:t>
      </w:r>
      <w:r w:rsidRPr="00C57589">
        <w:rPr>
          <w:i/>
          <w:iCs/>
        </w:rPr>
        <w:t>People v. Villatoro</w:t>
      </w:r>
      <w:r w:rsidRPr="00C57589">
        <w:t xml:space="preserve"> (2012) 54 Cal.4th 1152, 1173</w:t>
      </w:r>
      <w:r w:rsidRPr="00C57589">
        <w:t xml:space="preserve"> (conc. &amp; dis. </w:t>
      </w:r>
      <w:proofErr w:type="spellStart"/>
      <w:r w:rsidRPr="00C57589">
        <w:t>opn</w:t>
      </w:r>
      <w:proofErr w:type="spellEnd"/>
      <w:r w:rsidRPr="00C57589">
        <w:t>. of Corrigan, J.)</w:t>
      </w:r>
      <w:r w:rsidRPr="00C57589">
        <w:t xml:space="preserve">; </w:t>
      </w:r>
      <w:r w:rsidRPr="00C57589">
        <w:t xml:space="preserve">see also </w:t>
      </w:r>
      <w:r w:rsidRPr="00C57589">
        <w:rPr>
          <w:i/>
          <w:iCs/>
        </w:rPr>
        <w:t xml:space="preserve">Spanish Speaking Citizens’ Foundation, Inc. v. Low </w:t>
      </w:r>
      <w:r w:rsidRPr="00C57589">
        <w:t xml:space="preserve">(2000) 85 Cal.App.4th 1179, 1214 [rules governing interpretation of statutes </w:t>
      </w:r>
      <w:r w:rsidRPr="00C57589">
        <w:t xml:space="preserve">also </w:t>
      </w:r>
      <w:r w:rsidRPr="00C57589">
        <w:t>apply to regulations].</w:t>
      </w:r>
      <w:r w:rsidRPr="00C57589">
        <w:t>)</w:t>
      </w:r>
    </w:p>
    <w:p w14:paraId="4578E5D0" w14:textId="77777777" w:rsidR="009E65CC" w:rsidRPr="00C57589" w:rsidRDefault="009E65CC" w:rsidP="0030698B">
      <w:r w:rsidRPr="00C57589">
        <w:tab/>
        <w:t xml:space="preserve">Gonzales urges us to </w:t>
      </w:r>
      <w:r w:rsidRPr="00C57589">
        <w:t xml:space="preserve">treat </w:t>
      </w:r>
      <w:r w:rsidRPr="00C57589">
        <w:rPr>
          <w:i/>
          <w:iCs/>
        </w:rPr>
        <w:t>every</w:t>
      </w:r>
      <w:r w:rsidRPr="00C57589">
        <w:t xml:space="preserve"> comment a habeas court </w:t>
      </w:r>
      <w:r w:rsidRPr="00C57589">
        <w:t>makes as</w:t>
      </w:r>
      <w:r w:rsidRPr="00C57589">
        <w:t xml:space="preserve"> binding because that is the only way to ensure </w:t>
      </w:r>
      <w:r w:rsidRPr="00C57589">
        <w:lastRenderedPageBreak/>
        <w:t>consistency between the</w:t>
      </w:r>
      <w:r w:rsidRPr="00C57589">
        <w:t xml:space="preserve"> rulings of the</w:t>
      </w:r>
      <w:r w:rsidRPr="00C57589">
        <w:t xml:space="preserve"> court and the Board.  For support, he </w:t>
      </w:r>
      <w:r w:rsidRPr="00C57589">
        <w:t xml:space="preserve">relies on </w:t>
      </w:r>
      <w:r w:rsidRPr="00C57589">
        <w:rPr>
          <w:i/>
          <w:iCs/>
        </w:rPr>
        <w:t>Madrigal</w:t>
      </w:r>
      <w:r w:rsidRPr="00C57589">
        <w:t>,</w:t>
      </w:r>
      <w:r w:rsidRPr="00C57589">
        <w:rPr>
          <w:i/>
          <w:iCs/>
        </w:rPr>
        <w:t xml:space="preserve"> supra</w:t>
      </w:r>
      <w:r w:rsidRPr="00C57589">
        <w:t xml:space="preserve">, 6 Cal.App.5th 1108.  To be sure, </w:t>
      </w:r>
      <w:r w:rsidRPr="00C57589">
        <w:rPr>
          <w:i/>
          <w:iCs/>
        </w:rPr>
        <w:t>Madrigal</w:t>
      </w:r>
      <w:r w:rsidRPr="00C57589">
        <w:t xml:space="preserve"> held that a habeas court’s “</w:t>
      </w:r>
      <w:proofErr w:type="spellStart"/>
      <w:proofErr w:type="gramStart"/>
      <w:r w:rsidRPr="00C57589">
        <w:t>characteriz</w:t>
      </w:r>
      <w:proofErr w:type="spellEnd"/>
      <w:r w:rsidRPr="00C57589">
        <w:t>[</w:t>
      </w:r>
      <w:proofErr w:type="spellStart"/>
      <w:proofErr w:type="gramEnd"/>
      <w:r w:rsidRPr="00C57589">
        <w:t>ations</w:t>
      </w:r>
      <w:proofErr w:type="spellEnd"/>
      <w:r w:rsidRPr="00C57589">
        <w:t xml:space="preserve"> of] the relative strength of the defense and prosecution evidence” at trial constituted “factual findings” that were “binding” on the Board.  (</w:t>
      </w:r>
      <w:r w:rsidRPr="00C57589">
        <w:rPr>
          <w:i/>
          <w:iCs/>
        </w:rPr>
        <w:t>Id.</w:t>
      </w:r>
      <w:r w:rsidRPr="00C57589">
        <w:t xml:space="preserve"> at pp. 1118-1119.)  </w:t>
      </w:r>
      <w:r w:rsidRPr="00C57589">
        <w:rPr>
          <w:i/>
          <w:iCs/>
        </w:rPr>
        <w:t>Madrigal</w:t>
      </w:r>
      <w:r w:rsidRPr="00C57589">
        <w:t xml:space="preserve"> cited two reasons for its holding—namely, that (1) n</w:t>
      </w:r>
      <w:r w:rsidRPr="00C57589">
        <w:t xml:space="preserve">othing in section 4903 expressly says that “factual findings” do </w:t>
      </w:r>
      <w:r w:rsidRPr="00C57589">
        <w:rPr>
          <w:i/>
          <w:iCs/>
        </w:rPr>
        <w:t>not</w:t>
      </w:r>
      <w:r w:rsidRPr="00C57589">
        <w:t xml:space="preserve"> reach so far, and (2) giving the term an expansive ruling more broadly ensures consistency between the habeas court’s ruling and the Board’s ruling.  (</w:t>
      </w:r>
      <w:r w:rsidRPr="00C57589">
        <w:rPr>
          <w:i/>
          <w:iCs/>
        </w:rPr>
        <w:t>Ibid.</w:t>
      </w:r>
      <w:r w:rsidRPr="00C57589">
        <w:t xml:space="preserve">)  We are unpersuaded by </w:t>
      </w:r>
      <w:r w:rsidRPr="00C57589">
        <w:t xml:space="preserve">the </w:t>
      </w:r>
      <w:r w:rsidRPr="00C57589">
        <w:t xml:space="preserve">first reason because </w:t>
      </w:r>
      <w:r w:rsidRPr="00C57589">
        <w:rPr>
          <w:i/>
          <w:iCs/>
        </w:rPr>
        <w:t>Madrigal</w:t>
      </w:r>
      <w:r w:rsidRPr="00C57589">
        <w:t xml:space="preserve"> did not examine any of the considerations about the general concept of “factual findings” we have set forth above; from our perspective, nothing in section 4903 expressly shows an intent to adopt a definition of “factual finding</w:t>
      </w:r>
      <w:r w:rsidRPr="00C57589">
        <w:t xml:space="preserve">” that so </w:t>
      </w:r>
      <w:r w:rsidRPr="00C57589">
        <w:t xml:space="preserve">vastly </w:t>
      </w:r>
      <w:r w:rsidRPr="00C57589">
        <w:t xml:space="preserve">deviates from the general concept.  We are unpersuaded by </w:t>
      </w:r>
      <w:r w:rsidRPr="00C57589">
        <w:t xml:space="preserve">the </w:t>
      </w:r>
      <w:r w:rsidRPr="00C57589">
        <w:t>second reason as well because section 4903 did not purport to adopt a consistency</w:t>
      </w:r>
      <w:r w:rsidRPr="00C57589">
        <w:t>-</w:t>
      </w:r>
      <w:r w:rsidRPr="00C57589">
        <w:t>at</w:t>
      </w:r>
      <w:r w:rsidRPr="00C57589">
        <w:t>-</w:t>
      </w:r>
      <w:r w:rsidRPr="00C57589">
        <w:t>all</w:t>
      </w:r>
      <w:r w:rsidRPr="00C57589">
        <w:t>-</w:t>
      </w:r>
      <w:r w:rsidRPr="00C57589">
        <w:t>costs rule; had it wanted to, our Legislature could have declared “</w:t>
      </w:r>
      <w:r w:rsidRPr="00C57589">
        <w:rPr>
          <w:i/>
          <w:iCs/>
        </w:rPr>
        <w:t>all</w:t>
      </w:r>
      <w:r w:rsidRPr="00C57589">
        <w:t xml:space="preserve"> findings” or “all observations” or “all commentary” to be binding.  Instead, it limited its rule—and the consistency demanded by that rule—to ultimate findings of fact and to subsidiary “factual findings and credibility determinations.”  We decline to rewrite the statute to reach a broader universe of findings (</w:t>
      </w:r>
      <w:r w:rsidRPr="00C57589">
        <w:rPr>
          <w:i/>
          <w:iCs/>
        </w:rPr>
        <w:t>Jarm</w:t>
      </w:r>
      <w:r w:rsidRPr="00C57589">
        <w:rPr>
          <w:i/>
          <w:iCs/>
        </w:rPr>
        <w:t>a</w:t>
      </w:r>
      <w:r w:rsidRPr="00C57589">
        <w:rPr>
          <w:i/>
          <w:iCs/>
        </w:rPr>
        <w:t>n v. HCR ManorCare, Inc.</w:t>
      </w:r>
      <w:r w:rsidRPr="00C57589">
        <w:t xml:space="preserve"> (2020) 10 Cal.5th </w:t>
      </w:r>
      <w:r w:rsidRPr="00C57589">
        <w:t>375</w:t>
      </w:r>
      <w:r w:rsidRPr="00C57589">
        <w:t xml:space="preserve">, 392), and accordingly and respectfully part ways with </w:t>
      </w:r>
      <w:r w:rsidRPr="00C57589">
        <w:rPr>
          <w:i/>
          <w:iCs/>
        </w:rPr>
        <w:t>Madrigal</w:t>
      </w:r>
      <w:r w:rsidRPr="00C57589">
        <w:t xml:space="preserve">. </w:t>
      </w:r>
    </w:p>
    <w:p w14:paraId="4A1530B5" w14:textId="77777777" w:rsidR="009E65CC" w:rsidRPr="00C57589" w:rsidRDefault="009E65CC" w:rsidP="0030698B"/>
    <w:p w14:paraId="29FA68EC" w14:textId="77777777" w:rsidR="009E65CC" w:rsidRPr="00C57589" w:rsidRDefault="009E65CC" w:rsidP="0030698B"/>
    <w:p w14:paraId="0697DF0F" w14:textId="77777777" w:rsidR="009E65CC" w:rsidRPr="00C57589" w:rsidRDefault="009E65CC" w:rsidP="0030698B"/>
    <w:p w14:paraId="0B54F435" w14:textId="77777777" w:rsidR="009E65CC" w:rsidRPr="00C57589" w:rsidRDefault="009E65CC" w:rsidP="0030698B">
      <w:r w:rsidRPr="00C57589">
        <w:lastRenderedPageBreak/>
        <w:tab/>
      </w:r>
      <w:r w:rsidRPr="00C57589">
        <w:tab/>
      </w:r>
      <w:r w:rsidRPr="00C57589">
        <w:t>2</w:t>
      </w:r>
      <w:r w:rsidRPr="00C57589">
        <w:t>.</w:t>
      </w:r>
      <w:r w:rsidRPr="00C57589">
        <w:tab/>
      </w:r>
      <w:r w:rsidRPr="00C57589">
        <w:rPr>
          <w:i/>
          <w:iCs/>
        </w:rPr>
        <w:t xml:space="preserve">Did the </w:t>
      </w:r>
      <w:r w:rsidRPr="00C57589">
        <w:rPr>
          <w:i/>
          <w:iCs/>
        </w:rPr>
        <w:t>B</w:t>
      </w:r>
      <w:r w:rsidRPr="00C57589">
        <w:rPr>
          <w:i/>
          <w:iCs/>
        </w:rPr>
        <w:t>oard give “binding</w:t>
      </w:r>
      <w:r w:rsidRPr="00C57589">
        <w:rPr>
          <w:i/>
          <w:iCs/>
        </w:rPr>
        <w:t>”</w:t>
      </w:r>
      <w:r w:rsidRPr="00C57589">
        <w:rPr>
          <w:i/>
          <w:iCs/>
        </w:rPr>
        <w:t xml:space="preserve"> effect to any “factual finding</w:t>
      </w:r>
      <w:r w:rsidRPr="00C57589">
        <w:rPr>
          <w:i/>
          <w:iCs/>
        </w:rPr>
        <w:t>s</w:t>
      </w:r>
      <w:r w:rsidRPr="00C57589">
        <w:rPr>
          <w:i/>
          <w:iCs/>
        </w:rPr>
        <w:t>” or “credibility determination</w:t>
      </w:r>
      <w:r w:rsidRPr="00C57589">
        <w:rPr>
          <w:i/>
          <w:iCs/>
        </w:rPr>
        <w:t>s</w:t>
      </w:r>
      <w:r w:rsidRPr="00C57589">
        <w:rPr>
          <w:i/>
          <w:iCs/>
        </w:rPr>
        <w:t>” of the Ninth Circuit?</w:t>
      </w:r>
    </w:p>
    <w:p w14:paraId="552939BE" w14:textId="77777777" w:rsidR="009E65CC" w:rsidRPr="00C57589" w:rsidRDefault="009E65CC" w:rsidP="0030698B">
      <w:r w:rsidRPr="00C57589">
        <w:tab/>
      </w:r>
      <w:r w:rsidRPr="00C57589">
        <w:tab/>
      </w:r>
      <w:r w:rsidRPr="00C57589">
        <w:tab/>
        <w:t>(</w:t>
      </w:r>
      <w:proofErr w:type="spellStart"/>
      <w:r w:rsidRPr="00C57589">
        <w:t>i</w:t>
      </w:r>
      <w:proofErr w:type="spellEnd"/>
      <w:r w:rsidRPr="00C57589">
        <w:t>)</w:t>
      </w:r>
      <w:r w:rsidRPr="00C57589">
        <w:tab/>
        <w:t>Analysis</w:t>
      </w:r>
    </w:p>
    <w:p w14:paraId="29991979" w14:textId="77777777" w:rsidR="009E65CC" w:rsidRPr="00C57589" w:rsidRDefault="009E65CC" w:rsidP="0030698B">
      <w:r w:rsidRPr="00C57589">
        <w:tab/>
        <w:t xml:space="preserve">We conclude that the Board treated as “binding” the Ninth Circuit’s “factual findings” and “credibility determinations” as we have defined them above.  That is because the Board treated as binding the Ninth Circuit’s finding that there was legally insufficient evidence to convict Gonzales of attempted premeditated murder and shooting a firearm from a vehicle and because the </w:t>
      </w:r>
      <w:r w:rsidRPr="00C57589">
        <w:t xml:space="preserve">Ninth Circuit’s </w:t>
      </w:r>
      <w:r w:rsidRPr="00C57589">
        <w:t>further summary of</w:t>
      </w:r>
      <w:r w:rsidRPr="00C57589">
        <w:t xml:space="preserve"> </w:t>
      </w:r>
      <w:r w:rsidRPr="00C57589">
        <w:t>and commentary on</w:t>
      </w:r>
      <w:r w:rsidRPr="00C57589">
        <w:t xml:space="preserve"> </w:t>
      </w:r>
      <w:r w:rsidRPr="00C57589">
        <w:t>the trial record do not constitute “factual findings.”</w:t>
      </w:r>
      <w:r w:rsidRPr="00C57589">
        <w:t xml:space="preserve">  Gonzales resists this </w:t>
      </w:r>
      <w:r w:rsidRPr="00C57589">
        <w:t xml:space="preserve">latter </w:t>
      </w:r>
      <w:r w:rsidRPr="00C57589">
        <w:t>conclusion</w:t>
      </w:r>
      <w:r w:rsidRPr="00C57589">
        <w:t xml:space="preserve">, urging that the Ninth Circuit’s summary and commentary should be accorded the status of “factual findings” because the </w:t>
      </w:r>
      <w:r w:rsidRPr="00C57589">
        <w:t xml:space="preserve">Ninth </w:t>
      </w:r>
      <w:r w:rsidRPr="00C57589">
        <w:t>Circuit</w:t>
      </w:r>
      <w:r w:rsidRPr="00C57589">
        <w:t>’s</w:t>
      </w:r>
      <w:r w:rsidRPr="00C57589">
        <w:t xml:space="preserve"> detailed, “piece-by-piece” summary and commentary was a “rarity” that went “above and beyond” the typical analysis.  But the scarcity or depth of </w:t>
      </w:r>
      <w:r w:rsidRPr="00C57589">
        <w:t>a habeas court’s</w:t>
      </w:r>
      <w:r w:rsidRPr="00C57589">
        <w:t xml:space="preserve"> summary and commentary</w:t>
      </w:r>
      <w:r w:rsidRPr="00C57589">
        <w:t xml:space="preserve"> on the trial record</w:t>
      </w:r>
      <w:r w:rsidRPr="00C57589">
        <w:t xml:space="preserve"> does not </w:t>
      </w:r>
      <w:r w:rsidRPr="00C57589">
        <w:t>somehow tran</w:t>
      </w:r>
      <w:r w:rsidRPr="00C57589">
        <w:t>smute such summary and commentary into binding “factual findings.”</w:t>
      </w:r>
    </w:p>
    <w:p w14:paraId="7172FC90" w14:textId="77777777" w:rsidR="009E65CC" w:rsidRPr="00C57589" w:rsidRDefault="009E65CC" w:rsidP="0030698B">
      <w:r w:rsidRPr="00C57589">
        <w:tab/>
        <w:t xml:space="preserve">But even if we were to apply </w:t>
      </w:r>
      <w:r w:rsidRPr="00C57589">
        <w:rPr>
          <w:i/>
          <w:iCs/>
        </w:rPr>
        <w:t>Madrigal</w:t>
      </w:r>
      <w:r w:rsidRPr="00C57589">
        <w:t>’s more expansive definition of “factual findings,” we still conclude that the Board treated the Ninth Circuit’s summary of</w:t>
      </w:r>
      <w:r w:rsidRPr="00C57589">
        <w:t xml:space="preserve"> </w:t>
      </w:r>
      <w:r w:rsidRPr="00C57589">
        <w:t>and commentary on</w:t>
      </w:r>
      <w:r w:rsidRPr="00C57589">
        <w:t xml:space="preserve"> </w:t>
      </w:r>
      <w:r w:rsidRPr="00C57589">
        <w:t xml:space="preserve">the trial record as “binding.”  The Ninth Circuit’s summary and </w:t>
      </w:r>
      <w:r w:rsidRPr="00C57589">
        <w:t>commentary on the trial record can be grouped into three categories:</w:t>
      </w:r>
    </w:p>
    <w:p w14:paraId="635016B3" w14:textId="77777777" w:rsidR="009E65CC" w:rsidRPr="00C57589" w:rsidRDefault="009E65CC" w:rsidP="0030698B">
      <w:r w:rsidRPr="00C57589">
        <w:tab/>
        <w:t>●</w:t>
      </w:r>
      <w:r w:rsidRPr="00C57589">
        <w:tab/>
      </w:r>
      <w:r w:rsidRPr="00C57589">
        <w:rPr>
          <w:i/>
          <w:iCs/>
        </w:rPr>
        <w:t xml:space="preserve">Ninth Circuit’s summary of evidence </w:t>
      </w:r>
      <w:r w:rsidRPr="00C57589">
        <w:rPr>
          <w:i/>
          <w:iCs/>
          <w:u w:val="single"/>
        </w:rPr>
        <w:t>not</w:t>
      </w:r>
      <w:r w:rsidRPr="00C57589">
        <w:t xml:space="preserve"> </w:t>
      </w:r>
      <w:r w:rsidRPr="00C57589">
        <w:rPr>
          <w:i/>
          <w:iCs/>
        </w:rPr>
        <w:t>presented at trial.</w:t>
      </w:r>
      <w:r w:rsidRPr="00C57589">
        <w:t xml:space="preserve">  The Ninth Circuit commented that no witness identified </w:t>
      </w:r>
      <w:r w:rsidRPr="00C57589">
        <w:t xml:space="preserve">Gonzales </w:t>
      </w:r>
      <w:r w:rsidRPr="00C57589">
        <w:t>or any occupant of the Cadillac from which the shots were fired (as its “[f]</w:t>
      </w:r>
      <w:proofErr w:type="spellStart"/>
      <w:r w:rsidRPr="00C57589">
        <w:t>irst</w:t>
      </w:r>
      <w:proofErr w:type="spellEnd"/>
      <w:r w:rsidRPr="00C57589">
        <w:t xml:space="preserve">” reason), that no witness testified that </w:t>
      </w:r>
      <w:r w:rsidRPr="00C57589">
        <w:lastRenderedPageBreak/>
        <w:t>the shooter wore a baseball cap that matched the Pirates cap Gonzales wore that night (as part of its “[s]</w:t>
      </w:r>
      <w:proofErr w:type="spellStart"/>
      <w:r w:rsidRPr="00C57589">
        <w:t>econd</w:t>
      </w:r>
      <w:proofErr w:type="spellEnd"/>
      <w:r w:rsidRPr="00C57589">
        <w:t xml:space="preserve">” reason), that no witness testified that </w:t>
      </w:r>
      <w:r w:rsidRPr="00C57589">
        <w:t>any</w:t>
      </w:r>
      <w:r w:rsidRPr="00C57589">
        <w:t>one with Gonzales’</w:t>
      </w:r>
      <w:r w:rsidRPr="00C57589">
        <w:t>s</w:t>
      </w:r>
      <w:r w:rsidRPr="00C57589">
        <w:t xml:space="preserve"> moniker “Knuckles” was “connected with the shooting” (as another part of its “[s]</w:t>
      </w:r>
      <w:proofErr w:type="spellStart"/>
      <w:r w:rsidRPr="00C57589">
        <w:t>econd</w:t>
      </w:r>
      <w:proofErr w:type="spellEnd"/>
      <w:r w:rsidRPr="00C57589">
        <w:t xml:space="preserve">” </w:t>
      </w:r>
      <w:r w:rsidRPr="00C57589">
        <w:t xml:space="preserve">reason), that </w:t>
      </w:r>
      <w:r w:rsidRPr="00C57589">
        <w:t xml:space="preserve">Gonzales </w:t>
      </w:r>
      <w:r w:rsidRPr="00C57589">
        <w:t>denied being the shooter (as part of its “[t]</w:t>
      </w:r>
      <w:proofErr w:type="spellStart"/>
      <w:r w:rsidRPr="00C57589">
        <w:t>hird</w:t>
      </w:r>
      <w:proofErr w:type="spellEnd"/>
      <w:r w:rsidRPr="00C57589">
        <w:t>” reason), and that police never found any firearms or firearm paraphernalia at Gonzales’s house (as its “[s]</w:t>
      </w:r>
      <w:proofErr w:type="spellStart"/>
      <w:r w:rsidRPr="00C57589">
        <w:t>ixth</w:t>
      </w:r>
      <w:proofErr w:type="spellEnd"/>
      <w:r w:rsidRPr="00C57589">
        <w:t xml:space="preserve">” reason).  This commentary summarizes the absence of any </w:t>
      </w:r>
      <w:r w:rsidRPr="00C57589">
        <w:rPr>
          <w:i/>
          <w:iCs/>
        </w:rPr>
        <w:t>direct</w:t>
      </w:r>
      <w:r w:rsidRPr="00C57589">
        <w:t xml:space="preserve"> evidence of Gonzales’s involvement with the crime</w:t>
      </w:r>
      <w:r w:rsidRPr="00C57589">
        <w:t>s</w:t>
      </w:r>
      <w:r w:rsidRPr="00C57589">
        <w:t>.  The Board at no point indicated that any direct evidence tied Gonzales to the shooting; instead, the Board relied solely on the circumstantial evidence</w:t>
      </w:r>
      <w:r w:rsidRPr="00C57589">
        <w:t xml:space="preserve"> that refuted Gonzales’s claim of factual innocence</w:t>
      </w:r>
      <w:r w:rsidRPr="00C57589">
        <w:t>.  Acco</w:t>
      </w:r>
      <w:r w:rsidRPr="00C57589">
        <w:t>rdingly, the Board treated this commentary of the Ninth Circuit as binding.</w:t>
      </w:r>
    </w:p>
    <w:p w14:paraId="1283AA92" w14:textId="77777777" w:rsidR="009E65CC" w:rsidRPr="00C57589" w:rsidRDefault="009E65CC" w:rsidP="0030698B">
      <w:r w:rsidRPr="00C57589">
        <w:tab/>
        <w:t>●</w:t>
      </w:r>
      <w:r w:rsidRPr="00C57589">
        <w:tab/>
      </w:r>
      <w:r w:rsidRPr="00C57589">
        <w:rPr>
          <w:i/>
          <w:iCs/>
        </w:rPr>
        <w:t>Ninth Circuit’s commentary that certain pieces of circumstantial evidence, when examined individually, did not tie Gonzales to the crime(s).</w:t>
      </w:r>
      <w:r w:rsidRPr="00C57589">
        <w:t xml:space="preserve">  The Ninth Circuit also commented that Gonzales’s “gang affiliation” with the </w:t>
      </w:r>
      <w:proofErr w:type="spellStart"/>
      <w:r w:rsidRPr="00C57589">
        <w:t>Playboyz</w:t>
      </w:r>
      <w:proofErr w:type="spellEnd"/>
      <w:r w:rsidRPr="00C57589">
        <w:t xml:space="preserve"> and donning a baseball cap with the </w:t>
      </w:r>
      <w:proofErr w:type="spellStart"/>
      <w:r w:rsidRPr="00C57589">
        <w:t>Playboyz’s</w:t>
      </w:r>
      <w:proofErr w:type="spellEnd"/>
      <w:r w:rsidRPr="00C57589">
        <w:t xml:space="preserve"> self-appropriated logo did not by itself “distinguish [Gonzales] from other people present on the night of the shooting</w:t>
      </w:r>
      <w:r w:rsidRPr="00C57589">
        <w:t>”</w:t>
      </w:r>
      <w:r w:rsidRPr="00C57589">
        <w:t xml:space="preserve"> (as part of its “[s]</w:t>
      </w:r>
      <w:proofErr w:type="spellStart"/>
      <w:r w:rsidRPr="00C57589">
        <w:t>econd</w:t>
      </w:r>
      <w:proofErr w:type="spellEnd"/>
      <w:r w:rsidRPr="00C57589">
        <w:t xml:space="preserve">” reason), that the witnesses’ description of the </w:t>
      </w:r>
      <w:r w:rsidRPr="00C57589">
        <w:rPr>
          <w:i/>
          <w:iCs/>
        </w:rPr>
        <w:t>color</w:t>
      </w:r>
      <w:r w:rsidRPr="00C57589">
        <w:t xml:space="preserve"> of the Cadillac from which shots w</w:t>
      </w:r>
      <w:r w:rsidRPr="00C57589">
        <w:t>ere fired did not by itself mark Gonzales as the shoot</w:t>
      </w:r>
      <w:r w:rsidRPr="00C57589">
        <w:t>er</w:t>
      </w:r>
      <w:r w:rsidRPr="00C57589">
        <w:t xml:space="preserve"> because that description did not match Gonzales’s reporting of the color of the Cadillac in which he was a passenger (as part of its “[t]</w:t>
      </w:r>
      <w:proofErr w:type="spellStart"/>
      <w:r w:rsidRPr="00C57589">
        <w:t>hird</w:t>
      </w:r>
      <w:proofErr w:type="spellEnd"/>
      <w:r w:rsidRPr="00C57589">
        <w:t xml:space="preserve">” reason), and that the </w:t>
      </w:r>
      <w:r w:rsidRPr="00C57589">
        <w:t xml:space="preserve">presence of </w:t>
      </w:r>
      <w:r w:rsidRPr="00C57589">
        <w:t xml:space="preserve">two particles of gunshot residue on Gonzales’s right hand did not by itself establish that Gonzales used or was near a firearm that night because that small amount of residue was “just as likely” the result of touching a surface </w:t>
      </w:r>
      <w:r w:rsidRPr="00C57589">
        <w:t xml:space="preserve">contaminated with gunshot residue </w:t>
      </w:r>
      <w:r w:rsidRPr="00C57589">
        <w:t xml:space="preserve"> </w:t>
      </w:r>
      <w:r w:rsidRPr="00C57589">
        <w:lastRenderedPageBreak/>
        <w:t>(as its “[f]</w:t>
      </w:r>
      <w:proofErr w:type="spellStart"/>
      <w:r w:rsidRPr="00C57589">
        <w:t>if</w:t>
      </w:r>
      <w:r w:rsidRPr="00C57589">
        <w:t>th</w:t>
      </w:r>
      <w:proofErr w:type="spellEnd"/>
      <w:r w:rsidRPr="00C57589">
        <w:t xml:space="preserve"> reason”).  This commentary set forth the Ninth Circuit’s view that each of these items of circumstantial evidence were not, by themselves, sufficient to tie Gonzales to the crimes.  The Board at no point indicated to the contrary; instead, the Board accepted that commentary but went on to reason that Gonzales’s gang affiliation and wearing of gang</w:t>
      </w:r>
      <w:r w:rsidRPr="00C57589">
        <w:t xml:space="preserve"> </w:t>
      </w:r>
      <w:r w:rsidRPr="00C57589">
        <w:t>attire, his admitted presence in the backseat of a newer model Cadillac with rims at the very same time and location of the shooting, and the presence of gunsh</w:t>
      </w:r>
      <w:r w:rsidRPr="00C57589">
        <w:t>ot residue that was equally likely to be caused by his firing a gun as by other causes refuted Gonzales’</w:t>
      </w:r>
      <w:r w:rsidRPr="00C57589">
        <w:t>s</w:t>
      </w:r>
      <w:r w:rsidRPr="00C57589">
        <w:t xml:space="preserve"> claim of factual innocence </w:t>
      </w:r>
      <w:r w:rsidRPr="00C57589">
        <w:rPr>
          <w:i/>
          <w:iCs/>
        </w:rPr>
        <w:t xml:space="preserve">when that evidence was considered </w:t>
      </w:r>
      <w:r w:rsidRPr="00C57589">
        <w:rPr>
          <w:i/>
          <w:iCs/>
          <w:u w:val="single"/>
        </w:rPr>
        <w:t>collectively</w:t>
      </w:r>
      <w:r w:rsidRPr="00C57589">
        <w:t xml:space="preserve">.  </w:t>
      </w:r>
    </w:p>
    <w:p w14:paraId="603358D6" w14:textId="77777777" w:rsidR="009E65CC" w:rsidRPr="00C57589" w:rsidRDefault="009E65CC" w:rsidP="0030698B">
      <w:r w:rsidRPr="00C57589">
        <w:tab/>
        <w:t>●</w:t>
      </w:r>
      <w:r w:rsidRPr="00C57589">
        <w:tab/>
      </w:r>
      <w:r w:rsidRPr="00C57589">
        <w:rPr>
          <w:i/>
          <w:iCs/>
        </w:rPr>
        <w:t xml:space="preserve">Ninth Circuit’s summary of evidence that was superseded by additional evidence presented to the Board. </w:t>
      </w:r>
      <w:r w:rsidRPr="00C57589">
        <w:t xml:space="preserve"> The Ninth Circuit also commented that Gonzales “did not clearly admit” </w:t>
      </w:r>
      <w:r w:rsidRPr="00C57589">
        <w:t xml:space="preserve">during his post-arrest interview </w:t>
      </w:r>
      <w:r w:rsidRPr="00C57589">
        <w:t>that he exchanged words with the men on the street corner prior to the shooting</w:t>
      </w:r>
      <w:r w:rsidRPr="00C57589">
        <w:t xml:space="preserve"> (as its “[f]</w:t>
      </w:r>
      <w:proofErr w:type="spellStart"/>
      <w:r w:rsidRPr="00C57589">
        <w:t>ourth</w:t>
      </w:r>
      <w:proofErr w:type="spellEnd"/>
      <w:r w:rsidRPr="00C57589">
        <w:t xml:space="preserve"> reason”)</w:t>
      </w:r>
      <w:r w:rsidRPr="00C57589">
        <w:t xml:space="preserve">.  The Board acknowledged that the Ninth Circuit’s commentary was correct </w:t>
      </w:r>
      <w:r w:rsidRPr="00C57589">
        <w:rPr>
          <w:i/>
          <w:iCs/>
        </w:rPr>
        <w:t xml:space="preserve">on the trial record considered by the Ninth </w:t>
      </w:r>
      <w:proofErr w:type="gramStart"/>
      <w:r w:rsidRPr="00C57589">
        <w:rPr>
          <w:i/>
          <w:iCs/>
        </w:rPr>
        <w:t>Circuit</w:t>
      </w:r>
      <w:r w:rsidRPr="00C57589">
        <w:t>, and</w:t>
      </w:r>
      <w:proofErr w:type="gramEnd"/>
      <w:r w:rsidRPr="00C57589">
        <w:t xml:space="preserve"> accepted that commentary as binding.  But, consistent with the </w:t>
      </w:r>
      <w:r w:rsidRPr="00C57589">
        <w:t>evi</w:t>
      </w:r>
      <w:r w:rsidRPr="00C57589">
        <w:t xml:space="preserve">dentiary </w:t>
      </w:r>
      <w:r w:rsidRPr="00C57589">
        <w:t xml:space="preserve">procedures used in compensation proceedings, the People introduced to the Board </w:t>
      </w:r>
      <w:r w:rsidRPr="00C57589">
        <w:t xml:space="preserve">an </w:t>
      </w:r>
      <w:r w:rsidRPr="00C57589">
        <w:t xml:space="preserve">enhanced audio </w:t>
      </w:r>
      <w:r w:rsidRPr="00C57589">
        <w:t>file</w:t>
      </w:r>
      <w:r w:rsidRPr="00C57589">
        <w:t xml:space="preserve"> of </w:t>
      </w:r>
      <w:r w:rsidRPr="00C57589">
        <w:t xml:space="preserve">Gonzales’s </w:t>
      </w:r>
      <w:r w:rsidRPr="00C57589">
        <w:t xml:space="preserve">recorded </w:t>
      </w:r>
      <w:r w:rsidRPr="00C57589">
        <w:t>post-arrest interview</w:t>
      </w:r>
      <w:r w:rsidRPr="00C57589">
        <w:t>,</w:t>
      </w:r>
      <w:r w:rsidRPr="00C57589">
        <w:t xml:space="preserve"> </w:t>
      </w:r>
      <w:r w:rsidRPr="00C57589">
        <w:t xml:space="preserve">which (contrary to Gonzales’s representation at oral argument in this case) was not in the trial record before the Ninth Circuit, </w:t>
      </w:r>
      <w:r w:rsidRPr="00C57589">
        <w:t xml:space="preserve">in which Gonzales </w:t>
      </w:r>
      <w:r w:rsidRPr="00C57589">
        <w:rPr>
          <w:i/>
          <w:iCs/>
        </w:rPr>
        <w:t>did</w:t>
      </w:r>
      <w:r w:rsidRPr="00C57589">
        <w:t xml:space="preserve"> clearly admit that he asked those men, “Oh, where </w:t>
      </w:r>
      <w:r w:rsidRPr="00C57589">
        <w:t xml:space="preserve">are </w:t>
      </w:r>
      <w:r w:rsidRPr="00C57589">
        <w:t>you fools from, dawg?”—</w:t>
      </w:r>
      <w:r w:rsidRPr="00C57589">
        <w:t xml:space="preserve">which is </w:t>
      </w:r>
      <w:r w:rsidRPr="00C57589">
        <w:t xml:space="preserve">what witnesses heard the shooter ask those men before opening fire.  And when confronted with this new </w:t>
      </w:r>
      <w:r w:rsidRPr="00C57589">
        <w:t>evidence</w:t>
      </w:r>
      <w:r w:rsidRPr="00C57589">
        <w:t xml:space="preserve">, Gonzales admitted during his testimony before the Board that the </w:t>
      </w:r>
      <w:r w:rsidRPr="00C57589">
        <w:t xml:space="preserve">enhanced </w:t>
      </w:r>
      <w:r w:rsidRPr="00C57589">
        <w:t xml:space="preserve">audio </w:t>
      </w:r>
      <w:r w:rsidRPr="00C57589">
        <w:t xml:space="preserve">file </w:t>
      </w:r>
      <w:r w:rsidRPr="00C57589">
        <w:t xml:space="preserve">accurately recorded what he told the police.  Because, as noted </w:t>
      </w:r>
      <w:r w:rsidRPr="00C57589">
        <w:lastRenderedPageBreak/>
        <w:t xml:space="preserve">above, the compensation </w:t>
      </w:r>
      <w:r w:rsidRPr="00C57589">
        <w:t>hearing procedure</w:t>
      </w:r>
      <w:r w:rsidRPr="00C57589">
        <w:t xml:space="preserve"> </w:t>
      </w:r>
      <w:r w:rsidRPr="00C57589">
        <w:rPr>
          <w:i/>
          <w:iCs/>
        </w:rPr>
        <w:t>contemplate</w:t>
      </w:r>
      <w:r w:rsidRPr="00C57589">
        <w:rPr>
          <w:i/>
          <w:iCs/>
        </w:rPr>
        <w:t>s</w:t>
      </w:r>
      <w:r w:rsidRPr="00C57589">
        <w:t xml:space="preserve"> the introduction of new evidence before the Board, the Board did not err in giving effect to this </w:t>
      </w:r>
      <w:r w:rsidRPr="00C57589">
        <w:t xml:space="preserve">uncontroverted </w:t>
      </w:r>
      <w:r w:rsidRPr="00C57589">
        <w:t>new evidence</w:t>
      </w:r>
      <w:r w:rsidRPr="00C57589">
        <w:t xml:space="preserve"> over the Ninth Circuit’s finding</w:t>
      </w:r>
      <w:r w:rsidRPr="00C57589">
        <w:t>,</w:t>
      </w:r>
      <w:r w:rsidRPr="00C57589">
        <w:t xml:space="preserve"> </w:t>
      </w:r>
      <w:r w:rsidRPr="00C57589">
        <w:t xml:space="preserve">which was </w:t>
      </w:r>
      <w:r w:rsidRPr="00C57589">
        <w:t xml:space="preserve">based, by definition, on </w:t>
      </w:r>
      <w:r w:rsidRPr="00C57589">
        <w:t xml:space="preserve">a different and more limited record. </w:t>
      </w:r>
    </w:p>
    <w:p w14:paraId="2CE3F39E" w14:textId="77777777" w:rsidR="009E65CC" w:rsidRPr="00C57589" w:rsidRDefault="009E65CC" w:rsidP="0030698B">
      <w:r w:rsidRPr="00C57589">
        <w:tab/>
      </w:r>
      <w:r w:rsidRPr="00C57589">
        <w:tab/>
      </w:r>
      <w:r w:rsidRPr="00C57589">
        <w:tab/>
        <w:t>(ii)</w:t>
      </w:r>
      <w:r w:rsidRPr="00C57589">
        <w:tab/>
        <w:t>Gonzales’s argument</w:t>
      </w:r>
    </w:p>
    <w:p w14:paraId="4005C120" w14:textId="77777777" w:rsidR="009E65CC" w:rsidRPr="00C57589" w:rsidRDefault="009E65CC" w:rsidP="00523A9B">
      <w:pPr>
        <w:ind w:firstLine="720"/>
      </w:pPr>
      <w:r w:rsidRPr="00C57589">
        <w:t>Gonzales nevertheless maintains that the Board g</w:t>
      </w:r>
      <w:r w:rsidRPr="00C57589">
        <w:t>a</w:t>
      </w:r>
      <w:r w:rsidRPr="00C57589">
        <w:t>ve the Ninth Circuit’s commentary “lip service.”</w:t>
      </w:r>
      <w:r w:rsidRPr="00C57589">
        <w:t xml:space="preserve">  </w:t>
      </w:r>
      <w:r w:rsidRPr="00C57589">
        <w:t xml:space="preserve">More specifically, Gonzales argues that the Ninth Circuit made factual findings that the gunshot residue on his right hand, that he was wearing a baseball cap, that he was a gang member, and that he was present at the party were “not evidence of his guilt” </w:t>
      </w:r>
      <w:r w:rsidRPr="00C57589">
        <w:rPr>
          <w:i/>
          <w:iCs/>
        </w:rPr>
        <w:t>and</w:t>
      </w:r>
      <w:r w:rsidRPr="00C57589">
        <w:t xml:space="preserve"> that the Ninth Circuit made a factual finding “that no other evidence connected [him] to the shooting.”  These findings, Gonzales continues, obligated the trial court—and obligates us—to review the Bo</w:t>
      </w:r>
      <w:r w:rsidRPr="00C57589">
        <w:t>ard’s ruling not for substantial evidence but rather “through the lens of the [Ninth Circuit] that reversed [his] conviction.”</w:t>
      </w:r>
    </w:p>
    <w:p w14:paraId="37CEC277" w14:textId="77777777" w:rsidR="009E65CC" w:rsidRPr="00C57589" w:rsidRDefault="009E65CC" w:rsidP="0030698B">
      <w:r w:rsidRPr="00C57589">
        <w:tab/>
        <w:t xml:space="preserve">We reject Gonzales’s argument because its central premise is invalid.  Contrary to what Gonzales repeatedly says in his briefs, the Ninth Circuit did </w:t>
      </w:r>
      <w:r w:rsidRPr="00C57589">
        <w:rPr>
          <w:i/>
          <w:iCs/>
        </w:rPr>
        <w:t>not</w:t>
      </w:r>
      <w:r w:rsidRPr="00C57589">
        <w:t xml:space="preserve"> hold that the individual pieces of circumstantial evidence it addressed were “not evidence of </w:t>
      </w:r>
      <w:r w:rsidRPr="00C57589">
        <w:t xml:space="preserve">his </w:t>
      </w:r>
      <w:r w:rsidRPr="00C57589">
        <w:t>guilt.”  Rather, it held that each piece did not by itself tie Gonzales to the crimes.  In other words, the Ninth Circuit “found” that these individual pieces of circumstantial evidence were not</w:t>
      </w:r>
      <w:r w:rsidRPr="00C57589">
        <w:t>, on their own,</w:t>
      </w:r>
      <w:r w:rsidRPr="00C57589">
        <w:t xml:space="preserve"> </w:t>
      </w:r>
      <w:r w:rsidRPr="00C57589">
        <w:rPr>
          <w:i/>
          <w:iCs/>
        </w:rPr>
        <w:t>dispositive</w:t>
      </w:r>
      <w:r w:rsidRPr="00C57589">
        <w:t xml:space="preserve">; it never “found” that they were </w:t>
      </w:r>
      <w:r w:rsidRPr="00C57589">
        <w:rPr>
          <w:i/>
          <w:iCs/>
        </w:rPr>
        <w:t>irrelevant</w:t>
      </w:r>
      <w:r w:rsidRPr="00C57589">
        <w:t xml:space="preserve">.  Nor could it.  </w:t>
      </w:r>
      <w:bookmarkStart w:id="2" w:name="_Hlk145596351"/>
      <w:r w:rsidRPr="00C57589">
        <w:t xml:space="preserve">Gang affiliation by itself is not enough to convict, but it is certainly </w:t>
      </w:r>
      <w:r w:rsidRPr="00C57589">
        <w:rPr>
          <w:i/>
          <w:iCs/>
        </w:rPr>
        <w:t>relevant</w:t>
      </w:r>
      <w:r w:rsidRPr="00C57589">
        <w:t xml:space="preserve"> because it is evidence of motive.  (</w:t>
      </w:r>
      <w:r w:rsidRPr="00C57589">
        <w:rPr>
          <w:i/>
          <w:iCs/>
        </w:rPr>
        <w:t>People v.</w:t>
      </w:r>
      <w:r w:rsidRPr="00C57589">
        <w:rPr>
          <w:i/>
          <w:iCs/>
        </w:rPr>
        <w:t xml:space="preserve"> Duong </w:t>
      </w:r>
      <w:r w:rsidRPr="00C57589">
        <w:t xml:space="preserve">(2020) 10 Cal.5th 36, 64; </w:t>
      </w:r>
      <w:r w:rsidRPr="00C57589">
        <w:rPr>
          <w:i/>
          <w:iCs/>
        </w:rPr>
        <w:t>People v. Holmes</w:t>
      </w:r>
      <w:r w:rsidRPr="00C57589">
        <w:t xml:space="preserve"> (2022) 12 Cal.5th 719, 772</w:t>
      </w:r>
      <w:r w:rsidRPr="00C57589">
        <w:t xml:space="preserve">.)  Along the same lines, mere </w:t>
      </w:r>
      <w:r w:rsidRPr="00C57589">
        <w:lastRenderedPageBreak/>
        <w:t xml:space="preserve">presence at the scene of a crime is not enough to convict, but it is certainly </w:t>
      </w:r>
      <w:r w:rsidRPr="00C57589">
        <w:t xml:space="preserve">relevant as </w:t>
      </w:r>
      <w:r w:rsidRPr="00C57589">
        <w:t>evidence of opportunity.  (</w:t>
      </w:r>
      <w:r w:rsidRPr="00C57589">
        <w:t xml:space="preserve">See </w:t>
      </w:r>
      <w:r w:rsidRPr="00C57589">
        <w:rPr>
          <w:i/>
          <w:iCs/>
        </w:rPr>
        <w:t xml:space="preserve">People v. Campbell </w:t>
      </w:r>
      <w:r w:rsidRPr="00C57589">
        <w:t>(1994) 25 Cal.App.4th 402, 409</w:t>
      </w:r>
      <w:r w:rsidRPr="00C57589">
        <w:t xml:space="preserve"> [aiding and abetting]</w:t>
      </w:r>
      <w:r w:rsidRPr="00C57589">
        <w:t>.</w:t>
      </w:r>
      <w:r w:rsidRPr="00C57589">
        <w:t xml:space="preserve">)  </w:t>
      </w:r>
      <w:bookmarkEnd w:id="2"/>
      <w:r w:rsidRPr="00C57589">
        <w:t xml:space="preserve">The Board could and did logically treat as binding the Ninth </w:t>
      </w:r>
      <w:r w:rsidRPr="00C57589">
        <w:t>Circuit’s commentary about each individual piece of evidence while at the same time conclud</w:t>
      </w:r>
      <w:r w:rsidRPr="00C57589">
        <w:t>ing</w:t>
      </w:r>
      <w:r w:rsidRPr="00C57589">
        <w:t xml:space="preserve"> that, collectively, they refuted Gonzales’s claim of factual innocence because innocence—like guilt—is a function of the collective impact of the </w:t>
      </w:r>
      <w:r w:rsidRPr="00C57589">
        <w:rPr>
          <w:i/>
          <w:iCs/>
        </w:rPr>
        <w:t xml:space="preserve">totality </w:t>
      </w:r>
      <w:r w:rsidRPr="00C57589">
        <w:t>of the evidence, not the impact of each individual piece considered in isolation.  (</w:t>
      </w:r>
      <w:r w:rsidRPr="00C57589">
        <w:t xml:space="preserve">See </w:t>
      </w:r>
      <w:r w:rsidRPr="00C57589">
        <w:rPr>
          <w:i/>
          <w:iCs/>
        </w:rPr>
        <w:t xml:space="preserve">People v. Diaz </w:t>
      </w:r>
      <w:r w:rsidRPr="00C57589">
        <w:t>(1992) 3 Cal.4th 495, 53</w:t>
      </w:r>
      <w:r w:rsidRPr="00C57589">
        <w:t>7</w:t>
      </w:r>
      <w:r w:rsidRPr="00C57589">
        <w:t xml:space="preserve"> </w:t>
      </w:r>
      <w:r w:rsidRPr="00C57589">
        <w:t>[</w:t>
      </w:r>
      <w:r w:rsidRPr="00C57589">
        <w:t xml:space="preserve">item of evidence, though susceptible to a possible innocent explanation, was “link in </w:t>
      </w:r>
      <w:r w:rsidRPr="00C57589">
        <w:t xml:space="preserve">the </w:t>
      </w:r>
      <w:r w:rsidRPr="00C57589">
        <w:t>circumstantial chain of evidence” that, “c</w:t>
      </w:r>
      <w:r w:rsidRPr="00C57589">
        <w:t>onsidered in its entirety,” “pointed unerringly to” defendant’s guilt</w:t>
      </w:r>
      <w:r w:rsidRPr="00C57589">
        <w:t>].)</w:t>
      </w:r>
    </w:p>
    <w:p w14:paraId="120720E8" w14:textId="77777777" w:rsidR="009E65CC" w:rsidRPr="00C57589" w:rsidRDefault="009E65CC" w:rsidP="0030698B">
      <w:r w:rsidRPr="00C57589">
        <w:tab/>
      </w:r>
      <w:r w:rsidRPr="00C57589">
        <w:rPr>
          <w:b/>
          <w:bCs/>
        </w:rPr>
        <w:t>C</w:t>
      </w:r>
      <w:r w:rsidRPr="00C57589">
        <w:rPr>
          <w:b/>
          <w:bCs/>
        </w:rPr>
        <w:t>.</w:t>
      </w:r>
      <w:r w:rsidRPr="00C57589">
        <w:rPr>
          <w:b/>
          <w:bCs/>
        </w:rPr>
        <w:tab/>
      </w:r>
      <w:r w:rsidRPr="00C57589">
        <w:rPr>
          <w:b/>
          <w:bCs/>
          <w:i/>
          <w:iCs/>
        </w:rPr>
        <w:t xml:space="preserve">Did the Board commit other procedural errors?  </w:t>
      </w:r>
    </w:p>
    <w:p w14:paraId="3686174F" w14:textId="77777777" w:rsidR="009E65CC" w:rsidRPr="00C57589" w:rsidRDefault="009E65CC" w:rsidP="0030698B">
      <w:r w:rsidRPr="00C57589">
        <w:tab/>
        <w:t>Gonzales argues that the Board erred by making two further procedural errors.</w:t>
      </w:r>
    </w:p>
    <w:p w14:paraId="5138FFEC" w14:textId="77777777" w:rsidR="009E65CC" w:rsidRPr="00C57589" w:rsidRDefault="009E65CC" w:rsidP="0030698B">
      <w:r w:rsidRPr="00C57589">
        <w:tab/>
        <w:t>First, Gonzales urges that the Board held him to a higher burden of proof than preponderance of the evidence because, at one point in its 31-page ruling, the Board stated that “ample circumstantial evidence in the administrative record</w:t>
      </w:r>
      <w:r w:rsidRPr="00C57589">
        <w:t xml:space="preserve"> nevertheless</w:t>
      </w:r>
      <w:r w:rsidRPr="00C57589">
        <w:t xml:space="preserve"> suggests that Gonzales </w:t>
      </w:r>
      <w:r w:rsidRPr="00C57589">
        <w:rPr>
          <w:i/>
          <w:iCs/>
        </w:rPr>
        <w:t>might be guilty</w:t>
      </w:r>
      <w:r w:rsidRPr="00C57589">
        <w:t>.”  (Italics added.)  This argument is frivolous.  Even if we assume that the Board’s comment that Gonzales “might be guilty” is a different standard than whether he was “more likely than not</w:t>
      </w:r>
      <w:r w:rsidRPr="00C57589">
        <w:t>”</w:t>
      </w:r>
      <w:r w:rsidRPr="00C57589">
        <w:t xml:space="preserve"> factually innocent</w:t>
      </w:r>
      <w:r w:rsidRPr="00C57589">
        <w:t>,</w:t>
      </w:r>
      <w:r w:rsidRPr="00C57589">
        <w:t xml:space="preserve"> the Board elsewhere in its ruling repeatedly (that is, no fewer than five other times) cited this proper standard.  In these instances, we may—and do—comfortably conclude that the Board applied the proper standard of proof.  (</w:t>
      </w:r>
      <w:r w:rsidRPr="00C57589">
        <w:rPr>
          <w:i/>
          <w:iCs/>
        </w:rPr>
        <w:t>People v. Mayfield</w:t>
      </w:r>
      <w:r w:rsidRPr="00C57589">
        <w:t xml:space="preserve"> (1</w:t>
      </w:r>
      <w:r w:rsidRPr="00C57589">
        <w:t>993) 5 Cal.4th 142, 196 [where “</w:t>
      </w:r>
      <w:r w:rsidRPr="00C57589">
        <w:t>[</w:t>
      </w:r>
      <w:r w:rsidRPr="00C57589">
        <w:t>t</w:t>
      </w:r>
      <w:r w:rsidRPr="00C57589">
        <w:t>]</w:t>
      </w:r>
      <w:r w:rsidRPr="00C57589">
        <w:t xml:space="preserve">he record . . . as a whole” </w:t>
      </w:r>
      <w:r w:rsidRPr="00C57589">
        <w:t xml:space="preserve">indicates </w:t>
      </w:r>
      <w:r w:rsidRPr="00C57589">
        <w:lastRenderedPageBreak/>
        <w:t>that the “court” “applied the proper concept,” “isolated” “</w:t>
      </w:r>
      <w:proofErr w:type="gramStart"/>
      <w:r w:rsidRPr="00C57589">
        <w:t>misstate[</w:t>
      </w:r>
      <w:proofErr w:type="spellStart"/>
      <w:proofErr w:type="gramEnd"/>
      <w:r w:rsidRPr="00C57589">
        <w:t>ments</w:t>
      </w:r>
      <w:proofErr w:type="spellEnd"/>
      <w:r w:rsidRPr="00C57589">
        <w:t xml:space="preserve"> of</w:t>
      </w:r>
      <w:r w:rsidRPr="00C57589">
        <w:t>]</w:t>
      </w:r>
      <w:r w:rsidRPr="00C57589">
        <w:t xml:space="preserve"> the applicable standard” are to be disregarded].)</w:t>
      </w:r>
    </w:p>
    <w:p w14:paraId="12BEF2DA" w14:textId="77777777" w:rsidR="009E65CC" w:rsidRPr="00C57589" w:rsidRDefault="009E65CC" w:rsidP="0030698B">
      <w:r w:rsidRPr="00C57589">
        <w:tab/>
      </w:r>
      <w:r w:rsidRPr="00C57589">
        <w:t xml:space="preserve">Second, Gonzales asserts that the Board improperly gave binding effect to the San Bernardino </w:t>
      </w:r>
      <w:r w:rsidRPr="00C57589">
        <w:t xml:space="preserve">County </w:t>
      </w:r>
      <w:r w:rsidRPr="00C57589">
        <w:t xml:space="preserve">Superior Court’s finding that he was </w:t>
      </w:r>
      <w:r w:rsidRPr="00C57589">
        <w:rPr>
          <w:i/>
          <w:iCs/>
        </w:rPr>
        <w:t xml:space="preserve">not </w:t>
      </w:r>
      <w:r w:rsidRPr="00C57589">
        <w:t>factually innocen</w:t>
      </w:r>
      <w:r w:rsidRPr="00C57589">
        <w:t>t</w:t>
      </w:r>
      <w:r w:rsidRPr="00C57589">
        <w:t>, even though section 4903, subdivision (b)</w:t>
      </w:r>
      <w:r w:rsidRPr="00C57589">
        <w:t>,</w:t>
      </w:r>
      <w:r w:rsidRPr="00C57589">
        <w:t xml:space="preserve"> only gives binding effect to the “</w:t>
      </w:r>
      <w:proofErr w:type="gramStart"/>
      <w:r w:rsidRPr="00C57589">
        <w:t>grant</w:t>
      </w:r>
      <w:r w:rsidRPr="00C57589">
        <w:t>[</w:t>
      </w:r>
      <w:proofErr w:type="gramEnd"/>
      <w:r w:rsidRPr="00C57589">
        <w:t>]</w:t>
      </w:r>
      <w:r w:rsidRPr="00C57589">
        <w:t>” of a petition for factual innocence and section 1485.5</w:t>
      </w:r>
      <w:r w:rsidRPr="00C57589">
        <w:t>5</w:t>
      </w:r>
      <w:r w:rsidRPr="00C57589">
        <w:t>, subdivision (d)</w:t>
      </w:r>
      <w:r w:rsidRPr="00C57589">
        <w:t>,</w:t>
      </w:r>
      <w:r w:rsidRPr="00C57589">
        <w:t xml:space="preserve"> prohibit</w:t>
      </w:r>
      <w:r w:rsidRPr="00C57589">
        <w:t>s</w:t>
      </w:r>
      <w:r w:rsidRPr="00C57589">
        <w:t xml:space="preserve"> giving any effect to the denial of such a petition.  The Board did state that it was treating the San Bernardino </w:t>
      </w:r>
      <w:r w:rsidRPr="00C57589">
        <w:t xml:space="preserve">County </w:t>
      </w:r>
      <w:r w:rsidRPr="00C57589">
        <w:t>Superior Court’s finding as “binding.”  This is not surprisin</w:t>
      </w:r>
      <w:r w:rsidRPr="00C57589">
        <w:t xml:space="preserve">g, as both parties—including Gonzales—urged the Board to do so.  Even if </w:t>
      </w:r>
      <w:r w:rsidRPr="00C57589">
        <w:t xml:space="preserve">we </w:t>
      </w:r>
      <w:r w:rsidRPr="00C57589">
        <w:t xml:space="preserve">overlook that this error was apparently invited by Gonzales, the Board’s actions ended up speaking louder than its words:  Although the Board </w:t>
      </w:r>
      <w:r w:rsidRPr="00C57589">
        <w:rPr>
          <w:i/>
          <w:iCs/>
        </w:rPr>
        <w:t xml:space="preserve">stated </w:t>
      </w:r>
      <w:r w:rsidRPr="00C57589">
        <w:t xml:space="preserve">it was treating the San Bernardino </w:t>
      </w:r>
      <w:r w:rsidRPr="00C57589">
        <w:t xml:space="preserve">County </w:t>
      </w:r>
      <w:r w:rsidRPr="00C57589">
        <w:t>Superior Court’s denial of the factual innocence petition as binding, it did not actually do so</w:t>
      </w:r>
      <w:r w:rsidRPr="00C57589">
        <w:t>.</w:t>
      </w:r>
      <w:r w:rsidRPr="00C57589">
        <w:t xml:space="preserve">  Instead, it examined the original trial record, the evidence presented to the San Bernardino </w:t>
      </w:r>
      <w:r w:rsidRPr="00C57589">
        <w:t xml:space="preserve">County </w:t>
      </w:r>
      <w:r w:rsidRPr="00C57589">
        <w:t>Superior Court, and the evidence presented to t</w:t>
      </w:r>
      <w:r w:rsidRPr="00C57589">
        <w:t xml:space="preserve">he </w:t>
      </w:r>
      <w:r w:rsidRPr="00C57589">
        <w:t xml:space="preserve">hearing officer </w:t>
      </w:r>
      <w:r w:rsidRPr="00C57589">
        <w:t>and independently examined whether that evidence satisfied Gonzales’s burden of showing his factual innocence by a preponderance of the evidence.</w:t>
      </w:r>
    </w:p>
    <w:p w14:paraId="4277612C" w14:textId="77777777" w:rsidR="009E65CC" w:rsidRPr="00C57589" w:rsidRDefault="009E65CC" w:rsidP="0030698B">
      <w:r w:rsidRPr="00C57589">
        <w:tab/>
      </w:r>
      <w:r w:rsidRPr="00C57589">
        <w:rPr>
          <w:b/>
          <w:bCs/>
        </w:rPr>
        <w:t>D</w:t>
      </w:r>
      <w:r w:rsidRPr="00C57589">
        <w:rPr>
          <w:b/>
          <w:bCs/>
        </w:rPr>
        <w:t>.</w:t>
      </w:r>
      <w:r w:rsidRPr="00C57589">
        <w:rPr>
          <w:b/>
          <w:bCs/>
        </w:rPr>
        <w:tab/>
      </w:r>
      <w:r w:rsidRPr="00C57589">
        <w:rPr>
          <w:b/>
          <w:bCs/>
          <w:i/>
          <w:iCs/>
        </w:rPr>
        <w:t xml:space="preserve">Does substantial evidence support the Board’s </w:t>
      </w:r>
      <w:r w:rsidRPr="00C57589">
        <w:rPr>
          <w:b/>
          <w:bCs/>
          <w:i/>
          <w:iCs/>
        </w:rPr>
        <w:t xml:space="preserve">ruling </w:t>
      </w:r>
      <w:r w:rsidRPr="00C57589">
        <w:rPr>
          <w:b/>
          <w:bCs/>
          <w:i/>
          <w:iCs/>
        </w:rPr>
        <w:t xml:space="preserve">that Gonzales </w:t>
      </w:r>
      <w:r w:rsidRPr="00C57589">
        <w:rPr>
          <w:b/>
          <w:bCs/>
          <w:i/>
          <w:iCs/>
        </w:rPr>
        <w:t>failed to</w:t>
      </w:r>
      <w:r w:rsidRPr="00C57589">
        <w:rPr>
          <w:b/>
          <w:bCs/>
          <w:i/>
          <w:iCs/>
        </w:rPr>
        <w:t xml:space="preserve"> establish his factual innocence by a preponderance of the evidence?</w:t>
      </w:r>
    </w:p>
    <w:p w14:paraId="78D7B5DD" w14:textId="77777777" w:rsidR="009E65CC" w:rsidRPr="00C57589" w:rsidRDefault="009E65CC" w:rsidP="0030698B">
      <w:r w:rsidRPr="00C57589">
        <w:tab/>
        <w:t xml:space="preserve">Because we have concluded that none of Gonzales’s preliminary objections to the Board’s analysis have merit, we turn to the ultimate question presented in this appeal:  Does substantial evidence in the administrative record support the </w:t>
      </w:r>
      <w:r w:rsidRPr="00C57589">
        <w:lastRenderedPageBreak/>
        <w:t xml:space="preserve">Board’s </w:t>
      </w:r>
      <w:r w:rsidRPr="00C57589">
        <w:t xml:space="preserve">ruling </w:t>
      </w:r>
      <w:r w:rsidRPr="00C57589">
        <w:t xml:space="preserve">that Gonzales </w:t>
      </w:r>
      <w:r w:rsidRPr="00C57589">
        <w:t xml:space="preserve">failed to </w:t>
      </w:r>
      <w:r w:rsidRPr="00C57589">
        <w:t>prove his factual innocence by a preponderance of the evidence?</w:t>
      </w:r>
    </w:p>
    <w:p w14:paraId="0668DA2C" w14:textId="77777777" w:rsidR="009E65CC" w:rsidRPr="00C57589" w:rsidRDefault="009E65CC" w:rsidP="0030698B">
      <w:r w:rsidRPr="00C57589">
        <w:tab/>
        <w:t>We independently agree with the trial court that the answer is “yes.”</w:t>
      </w:r>
    </w:p>
    <w:p w14:paraId="7F867943" w14:textId="77777777" w:rsidR="009E65CC" w:rsidRPr="00C57589" w:rsidRDefault="009E65CC" w:rsidP="0030698B">
      <w:r w:rsidRPr="00C57589">
        <w:tab/>
      </w:r>
      <w:r w:rsidRPr="00C57589">
        <w:t xml:space="preserve">Deferring to the Board’s </w:t>
      </w:r>
      <w:r w:rsidRPr="00C57589">
        <w:t>findings based on</w:t>
      </w:r>
      <w:r w:rsidRPr="00C57589">
        <w:t xml:space="preserve"> the evidence and its credibility </w:t>
      </w:r>
      <w:r w:rsidRPr="00C57589">
        <w:t>determinations</w:t>
      </w:r>
      <w:r w:rsidRPr="00C57589">
        <w:t xml:space="preserve">, substantial evidence supports the Board’s </w:t>
      </w:r>
      <w:r w:rsidRPr="00C57589">
        <w:t xml:space="preserve">conclusion </w:t>
      </w:r>
      <w:r w:rsidRPr="00C57589">
        <w:t>that Gonzales did not carry</w:t>
      </w:r>
      <w:r w:rsidRPr="00C57589">
        <w:t xml:space="preserve"> </w:t>
      </w:r>
      <w:r w:rsidRPr="00C57589">
        <w:t xml:space="preserve">his burden of proving his factual innocence by a preponderance of the evidence.  To be sure, there was no direct evidence tying him to the shooting.  But the </w:t>
      </w:r>
      <w:proofErr w:type="gramStart"/>
      <w:r w:rsidRPr="00C57589">
        <w:t>sum total</w:t>
      </w:r>
      <w:proofErr w:type="gramEnd"/>
      <w:r w:rsidRPr="00C57589">
        <w:t xml:space="preserve"> of circumstantial evidence is sufficient to support a finding that he was not </w:t>
      </w:r>
      <w:r w:rsidRPr="00C57589">
        <w:t xml:space="preserve">likely </w:t>
      </w:r>
      <w:r w:rsidRPr="00C57589">
        <w:t>factually innocent.  The evidence showed that Gonzales was at the location where the s</w:t>
      </w:r>
      <w:r w:rsidRPr="00C57589">
        <w:t xml:space="preserve">hooting occurred </w:t>
      </w:r>
      <w:r w:rsidRPr="00C57589">
        <w:rPr>
          <w:i/>
          <w:iCs/>
        </w:rPr>
        <w:t>when it occurred</w:t>
      </w:r>
      <w:r w:rsidRPr="00C57589">
        <w:t xml:space="preserve">; that he was the backseat passenger in a newer model Cadillac with rims like the one from which witnesses saw shots fired; </w:t>
      </w:r>
      <w:r w:rsidRPr="00C57589">
        <w:t xml:space="preserve">that he had particles of gunshot residue on his hand that indicated he came in contact </w:t>
      </w:r>
      <w:r w:rsidRPr="00C57589">
        <w:t xml:space="preserve">with </w:t>
      </w:r>
      <w:r w:rsidRPr="00C57589">
        <w:t>a discharged firearm;</w:t>
      </w:r>
      <w:r>
        <w:rPr>
          <w:rStyle w:val="FootnoteReference"/>
          <w:b/>
          <w:bCs/>
        </w:rPr>
        <w:footnoteReference w:id="11"/>
      </w:r>
      <w:r w:rsidRPr="00C57589">
        <w:t xml:space="preserve"> </w:t>
      </w:r>
      <w:r w:rsidRPr="00C57589">
        <w:t xml:space="preserve">that he was at a minimum affiliated </w:t>
      </w:r>
      <w:r w:rsidRPr="00C57589">
        <w:lastRenderedPageBreak/>
        <w:t xml:space="preserve">or aligned with the </w:t>
      </w:r>
      <w:proofErr w:type="spellStart"/>
      <w:r w:rsidRPr="00C57589">
        <w:t>Playboyz</w:t>
      </w:r>
      <w:proofErr w:type="spellEnd"/>
      <w:r w:rsidRPr="00C57589">
        <w:t xml:space="preserve"> street gang and wearing their gang-themed </w:t>
      </w:r>
      <w:r w:rsidRPr="00C57589">
        <w:t>attire</w:t>
      </w:r>
      <w:r w:rsidRPr="00C57589">
        <w:t xml:space="preserve">, and that victims were wearing clothing affiliated with a different street gang; and that Gonzales asked the victims gang-related questions </w:t>
      </w:r>
      <w:r w:rsidRPr="00C57589">
        <w:t>(</w:t>
      </w:r>
      <w:r w:rsidRPr="00C57589">
        <w:t xml:space="preserve">“Oh, where </w:t>
      </w:r>
      <w:r w:rsidRPr="00C57589">
        <w:t xml:space="preserve">are </w:t>
      </w:r>
      <w:r w:rsidRPr="00C57589">
        <w:t>you fools from, dawg?”</w:t>
      </w:r>
      <w:r w:rsidRPr="00C57589">
        <w:t>)</w:t>
      </w:r>
      <w:r w:rsidRPr="00C57589">
        <w:t xml:space="preserve"> after they “talk</w:t>
      </w:r>
      <w:r w:rsidRPr="00C57589">
        <w:t>[</w:t>
      </w:r>
      <w:r w:rsidRPr="00C57589">
        <w:t>ed</w:t>
      </w:r>
      <w:r w:rsidRPr="00C57589">
        <w:t>]</w:t>
      </w:r>
      <w:r w:rsidRPr="00C57589">
        <w:t xml:space="preserve"> shit” to him, as witnesses had heard the shooter ask.  Although Gonzales told police in his post-arrest interview that the Cadillac </w:t>
      </w:r>
      <w:r w:rsidRPr="00C57589">
        <w:rPr>
          <w:i/>
          <w:iCs/>
        </w:rPr>
        <w:t>he</w:t>
      </w:r>
      <w:r w:rsidRPr="00C57589">
        <w:t xml:space="preserve"> was in was</w:t>
      </w:r>
      <w:r w:rsidRPr="00C57589">
        <w:t xml:space="preserve"> “red</w:t>
      </w:r>
      <w:r w:rsidRPr="00C57589">
        <w:t>”</w:t>
      </w:r>
      <w:r w:rsidRPr="00C57589">
        <w:t xml:space="preserve"> </w:t>
      </w:r>
      <w:r w:rsidRPr="00C57589">
        <w:t>“</w:t>
      </w:r>
      <w:r w:rsidRPr="00C57589">
        <w:t>like a fire</w:t>
      </w:r>
      <w:r w:rsidRPr="00C57589">
        <w:t xml:space="preserve"> </w:t>
      </w:r>
      <w:r w:rsidRPr="00C57589">
        <w:t>truck” or</w:t>
      </w:r>
      <w:r w:rsidRPr="00C57589">
        <w:t xml:space="preserve"> “light red” (rather t</w:t>
      </w:r>
      <w:r w:rsidRPr="00C57589">
        <w:t xml:space="preserve">han “black” or some other “dark” color as reported by witnesses), </w:t>
      </w:r>
      <w:r w:rsidRPr="00C57589">
        <w:t xml:space="preserve">although </w:t>
      </w:r>
      <w:r w:rsidRPr="00C57589">
        <w:t xml:space="preserve">Gonzales repeated that statement during his testimony before the San Bernardino </w:t>
      </w:r>
      <w:r w:rsidRPr="00C57589">
        <w:t xml:space="preserve">County </w:t>
      </w:r>
      <w:r w:rsidRPr="00C57589">
        <w:t>Superior Court and the Board, and</w:t>
      </w:r>
      <w:r w:rsidRPr="00C57589">
        <w:t xml:space="preserve"> although</w:t>
      </w:r>
      <w:r w:rsidRPr="00C57589">
        <w:t xml:space="preserve"> Gonzales’</w:t>
      </w:r>
      <w:r w:rsidRPr="00C57589">
        <w:t>s</w:t>
      </w:r>
      <w:r w:rsidRPr="00C57589">
        <w:t xml:space="preserve"> friend Herrada submitted a declaration indicating the same, it is not unreasonable </w:t>
      </w:r>
      <w:r w:rsidRPr="00C57589">
        <w:t xml:space="preserve">for a </w:t>
      </w:r>
      <w:r w:rsidRPr="00C57589">
        <w:t xml:space="preserve">red </w:t>
      </w:r>
      <w:r w:rsidRPr="00C57589">
        <w:t xml:space="preserve">car </w:t>
      </w:r>
      <w:r w:rsidRPr="00C57589">
        <w:t xml:space="preserve">to </w:t>
      </w:r>
      <w:r w:rsidRPr="00C57589">
        <w:t>appear “dark” when driving by during a nighttime exchange</w:t>
      </w:r>
      <w:r w:rsidRPr="00C57589">
        <w:t xml:space="preserve">.  Plus, </w:t>
      </w:r>
      <w:r w:rsidRPr="00C57589">
        <w:t xml:space="preserve">the Board found Gonzales’s testimony and Herrada’s declaration to be not </w:t>
      </w:r>
      <w:proofErr w:type="gramStart"/>
      <w:r w:rsidRPr="00C57589">
        <w:t>credible—a</w:t>
      </w:r>
      <w:proofErr w:type="gramEnd"/>
      <w:r w:rsidRPr="00C57589">
        <w:t xml:space="preserve"> finding to which we must defer and a finding t</w:t>
      </w:r>
      <w:r w:rsidRPr="00C57589">
        <w:t>hat is also ampl</w:t>
      </w:r>
      <w:r w:rsidRPr="00C57589">
        <w:t>y</w:t>
      </w:r>
      <w:r w:rsidRPr="00C57589">
        <w:t xml:space="preserve"> supported by the sheer number of times Gonzales changed his story.  Gonzales’s ever-changing statements are also reasonably viewed as circumstantial evidence of consciousness of guilt, which adds further weight to the Board’s determination </w:t>
      </w:r>
      <w:r w:rsidRPr="00C57589">
        <w:t xml:space="preserve">that </w:t>
      </w:r>
      <w:r w:rsidRPr="00C57589">
        <w:t xml:space="preserve">Gonzales </w:t>
      </w:r>
      <w:r w:rsidRPr="00C57589">
        <w:t xml:space="preserve">did </w:t>
      </w:r>
      <w:r w:rsidRPr="00C57589">
        <w:t>not establish his factual innocence by a preponderance of the evidence.</w:t>
      </w:r>
    </w:p>
    <w:p w14:paraId="64E6F0C8" w14:textId="77777777" w:rsidR="009E65CC" w:rsidRPr="00C57589" w:rsidRDefault="009E65CC" w:rsidP="0030698B">
      <w:r w:rsidRPr="00C57589">
        <w:tab/>
      </w:r>
      <w:r w:rsidRPr="00C57589">
        <w:t xml:space="preserve">Gonzales objects that the Board should not be able to make its own credibility </w:t>
      </w:r>
      <w:r w:rsidRPr="00C57589">
        <w:t xml:space="preserve">determinations </w:t>
      </w:r>
      <w:r w:rsidRPr="00C57589">
        <w:t xml:space="preserve">(and, relatedly, </w:t>
      </w:r>
      <w:r w:rsidRPr="00C57589">
        <w:t xml:space="preserve">that the Board </w:t>
      </w:r>
      <w:r w:rsidRPr="00C57589">
        <w:t xml:space="preserve">must defer to the Ninth Circuit’s “de facto” finding that </w:t>
      </w:r>
      <w:r w:rsidRPr="00C57589">
        <w:rPr>
          <w:i/>
          <w:iCs/>
        </w:rPr>
        <w:t>he</w:t>
      </w:r>
      <w:r w:rsidRPr="00C57589">
        <w:t xml:space="preserve"> was credible), but Gonzales is wrong.</w:t>
      </w:r>
      <w:r w:rsidRPr="00C57589">
        <w:t xml:space="preserve">  </w:t>
      </w:r>
      <w:r w:rsidRPr="00C57589">
        <w:t xml:space="preserve">The Board considered </w:t>
      </w:r>
      <w:r w:rsidRPr="00C57589">
        <w:rPr>
          <w:i/>
          <w:iCs/>
        </w:rPr>
        <w:t>new</w:t>
      </w:r>
      <w:r w:rsidRPr="00C57589">
        <w:t xml:space="preserve"> </w:t>
      </w:r>
      <w:proofErr w:type="gramStart"/>
      <w:r w:rsidRPr="00C57589">
        <w:t>evidence, and</w:t>
      </w:r>
      <w:proofErr w:type="gramEnd"/>
      <w:r w:rsidRPr="00C57589">
        <w:t xml:space="preserve"> is within its rights to evaluate whether that evidence is credible.  And the Ninth Circuit made no credibility </w:t>
      </w:r>
      <w:r w:rsidRPr="00C57589">
        <w:lastRenderedPageBreak/>
        <w:t xml:space="preserve">finding about Gonzales:  The Ninth Circuit </w:t>
      </w:r>
      <w:r w:rsidRPr="00C57589">
        <w:rPr>
          <w:i/>
          <w:iCs/>
        </w:rPr>
        <w:t>could not</w:t>
      </w:r>
      <w:r w:rsidRPr="00C57589">
        <w:t xml:space="preserve"> find Gonzales’s trial testimony credible because Gonzales did not testify at his tr</w:t>
      </w:r>
      <w:r w:rsidRPr="00C57589">
        <w:t xml:space="preserve">ial, and the Ninth Circuit </w:t>
      </w:r>
      <w:r w:rsidRPr="00C57589">
        <w:rPr>
          <w:i/>
          <w:iCs/>
        </w:rPr>
        <w:t>did not</w:t>
      </w:r>
      <w:r w:rsidRPr="00C57589">
        <w:t xml:space="preserve"> find his post-arrest statements credible (and instead commented on the inconsistency between his statements when accepted at face value and what other witnesses said about the color of the Cadillac).  </w:t>
      </w:r>
      <w:r w:rsidRPr="00C57589">
        <w:t xml:space="preserve">Gonzales additionally faults the Board’s finding that he was “not credible” </w:t>
      </w:r>
      <w:r w:rsidRPr="00C57589">
        <w:t>because it relied on inconsistencies made dur</w:t>
      </w:r>
      <w:r w:rsidRPr="00C57589">
        <w:t>ing his post-arrest interview because</w:t>
      </w:r>
      <w:r w:rsidRPr="00C57589">
        <w:t>, according to Gonzales,</w:t>
      </w:r>
      <w:r w:rsidRPr="00C57589">
        <w:t xml:space="preserve"> such interviews </w:t>
      </w:r>
      <w:r w:rsidRPr="00C57589">
        <w:t xml:space="preserve">are </w:t>
      </w:r>
      <w:r w:rsidRPr="00C57589">
        <w:t>inherently coercive</w:t>
      </w:r>
      <w:r w:rsidRPr="00C57589">
        <w:t xml:space="preserve"> and his interview specifically was coercive given he </w:t>
      </w:r>
      <w:r w:rsidRPr="00C57589">
        <w:t>was 17 years old at the time</w:t>
      </w:r>
      <w:r w:rsidRPr="00C57589">
        <w:t>,</w:t>
      </w:r>
      <w:r w:rsidRPr="00C57589">
        <w:t xml:space="preserve"> </w:t>
      </w:r>
      <w:r w:rsidRPr="00C57589">
        <w:t>but Gonzales ignores that he repeated many of his inconsistencies during his subsequent two stints on the witness stand (when he voluntar</w:t>
      </w:r>
      <w:r w:rsidRPr="00C57589">
        <w:t>il</w:t>
      </w:r>
      <w:r w:rsidRPr="00C57589">
        <w:t>y testified</w:t>
      </w:r>
      <w:r w:rsidRPr="00C57589">
        <w:t xml:space="preserve"> at ages 26 and 27 years old and</w:t>
      </w:r>
      <w:r w:rsidRPr="00C57589">
        <w:t xml:space="preserve"> with the assistance of counsel)</w:t>
      </w:r>
      <w:r w:rsidRPr="00C57589">
        <w:t xml:space="preserve"> </w:t>
      </w:r>
      <w:r w:rsidRPr="00C57589">
        <w:t xml:space="preserve">and ignores that we are not in a position to independently reweigh his credibility.  </w:t>
      </w:r>
      <w:r w:rsidRPr="00C57589">
        <w:t xml:space="preserve">Gonzales </w:t>
      </w:r>
      <w:r w:rsidRPr="00C57589">
        <w:t xml:space="preserve">additionally </w:t>
      </w:r>
      <w:r w:rsidRPr="00C57589">
        <w:t xml:space="preserve">asserts that his lack of credibility is not enough to conclude </w:t>
      </w:r>
      <w:r w:rsidRPr="00C57589">
        <w:t xml:space="preserve">that </w:t>
      </w:r>
      <w:r w:rsidRPr="00C57589">
        <w:t xml:space="preserve">he was not factually innocent.  Gonzales is </w:t>
      </w:r>
      <w:proofErr w:type="gramStart"/>
      <w:r w:rsidRPr="00C57589">
        <w:t>absolutely right</w:t>
      </w:r>
      <w:proofErr w:type="gramEnd"/>
      <w:r w:rsidRPr="00C57589">
        <w:t>:  It is inappropriate to take a</w:t>
      </w:r>
      <w:r w:rsidRPr="00C57589">
        <w:t xml:space="preserve"> “divide-and-conquer” approach that looks only at each piece of evidence in isolation.  (</w:t>
      </w:r>
      <w:r w:rsidRPr="00C57589">
        <w:rPr>
          <w:i/>
          <w:iCs/>
        </w:rPr>
        <w:t xml:space="preserve">United States v. Arvizu </w:t>
      </w:r>
      <w:r w:rsidRPr="00C57589">
        <w:t xml:space="preserve">(2002) 534 U.S. 266, 274; </w:t>
      </w:r>
      <w:r w:rsidRPr="00C57589">
        <w:rPr>
          <w:i/>
          <w:iCs/>
        </w:rPr>
        <w:t xml:space="preserve">People v. Barnes </w:t>
      </w:r>
      <w:r w:rsidRPr="00C57589">
        <w:t xml:space="preserve">(1986) 42 Cal.3d 284, 305 [looking to the “totality” of the evidence].)  </w:t>
      </w:r>
      <w:r w:rsidRPr="00C57589">
        <w:t xml:space="preserve">But the Board did not take that approach; instead, it examined the totality of the circumstantial evidence as well as its determinations about Gonzales’s and Herrada’s </w:t>
      </w:r>
      <w:proofErr w:type="gramStart"/>
      <w:r w:rsidRPr="00C57589">
        <w:t>credibility, and</w:t>
      </w:r>
      <w:proofErr w:type="gramEnd"/>
      <w:r w:rsidRPr="00C57589">
        <w:t xml:space="preserve"> found that—</w:t>
      </w:r>
      <w:r w:rsidRPr="00C57589">
        <w:t>collectively</w:t>
      </w:r>
      <w:r w:rsidRPr="00C57589">
        <w:t>—this evidence did not establish that Gonzales was more likely than not fac</w:t>
      </w:r>
      <w:r w:rsidRPr="00C57589">
        <w:t xml:space="preserve">tually innocent. </w:t>
      </w:r>
      <w:r w:rsidRPr="00C57589">
        <w:t xml:space="preserve"> </w:t>
      </w:r>
    </w:p>
    <w:p w14:paraId="0AB002CC" w14:textId="77777777" w:rsidR="009E65CC" w:rsidRPr="00C57589" w:rsidRDefault="009E65CC" w:rsidP="0030698B"/>
    <w:p w14:paraId="1D68134B" w14:textId="77777777" w:rsidR="009E65CC" w:rsidRPr="00C57589" w:rsidRDefault="009E65CC" w:rsidP="0030698B"/>
    <w:p w14:paraId="3CB8ED27" w14:textId="77777777" w:rsidR="009E65CC" w:rsidRPr="00C57589" w:rsidRDefault="009E65CC" w:rsidP="00283628">
      <w:pPr>
        <w:jc w:val="center"/>
        <w:rPr>
          <w:b/>
          <w:bCs/>
          <w:szCs w:val="26"/>
        </w:rPr>
      </w:pPr>
      <w:r w:rsidRPr="00C57589">
        <w:rPr>
          <w:b/>
          <w:bCs/>
          <w:szCs w:val="26"/>
        </w:rPr>
        <w:lastRenderedPageBreak/>
        <w:t>DISPOSITION</w:t>
      </w:r>
    </w:p>
    <w:p w14:paraId="1D6EC0E5" w14:textId="77777777" w:rsidR="009E65CC" w:rsidRPr="00C57589" w:rsidRDefault="009E65CC" w:rsidP="00E226FD">
      <w:pPr>
        <w:rPr>
          <w:szCs w:val="26"/>
        </w:rPr>
      </w:pPr>
      <w:r w:rsidRPr="00C57589">
        <w:rPr>
          <w:b/>
          <w:bCs/>
          <w:szCs w:val="26"/>
        </w:rPr>
        <w:tab/>
      </w:r>
      <w:r w:rsidRPr="00C57589">
        <w:rPr>
          <w:szCs w:val="26"/>
        </w:rPr>
        <w:t xml:space="preserve">The judgment is affirmed.  </w:t>
      </w:r>
      <w:r w:rsidRPr="00C57589">
        <w:rPr>
          <w:szCs w:val="26"/>
        </w:rPr>
        <w:t>The parties are to bear their own costs on appeal.</w:t>
      </w:r>
    </w:p>
    <w:p w14:paraId="3CEACEDC" w14:textId="77777777" w:rsidR="009E65CC" w:rsidRPr="00C57589" w:rsidRDefault="009E65CC" w:rsidP="00E226FD">
      <w:pPr>
        <w:ind w:firstLine="720"/>
        <w:rPr>
          <w:b/>
        </w:rPr>
      </w:pPr>
      <w:r w:rsidRPr="00C57589">
        <w:rPr>
          <w:b/>
          <w:u w:val="single"/>
        </w:rPr>
        <w:t>CERTIFIED FOR PUBLICATION.</w:t>
      </w:r>
    </w:p>
    <w:p w14:paraId="170E9435" w14:textId="77777777" w:rsidR="009E65CC" w:rsidRPr="00C57589" w:rsidRDefault="009E65CC" w:rsidP="00E226FD">
      <w:pPr>
        <w:ind w:firstLine="720"/>
        <w:rPr>
          <w:b/>
          <w:u w:val="single"/>
        </w:rPr>
      </w:pPr>
    </w:p>
    <w:p w14:paraId="25587745" w14:textId="77777777" w:rsidR="009E65CC" w:rsidRPr="00C57589" w:rsidRDefault="009E65CC" w:rsidP="00E226FD">
      <w:pPr>
        <w:ind w:firstLine="720"/>
        <w:rPr>
          <w:b/>
          <w:u w:val="single"/>
        </w:rPr>
      </w:pPr>
    </w:p>
    <w:p w14:paraId="4DE44684" w14:textId="77777777" w:rsidR="009E65CC" w:rsidRPr="00C57589" w:rsidRDefault="009E65CC" w:rsidP="00E226FD">
      <w:pPr>
        <w:rPr>
          <w:szCs w:val="26"/>
        </w:rPr>
      </w:pPr>
      <w:r w:rsidRPr="00C57589">
        <w:rPr>
          <w:szCs w:val="26"/>
        </w:rPr>
        <w:tab/>
      </w:r>
      <w:r w:rsidRPr="00C57589">
        <w:rPr>
          <w:szCs w:val="26"/>
        </w:rPr>
        <w:tab/>
      </w:r>
      <w:r w:rsidRPr="00C57589">
        <w:rPr>
          <w:szCs w:val="26"/>
        </w:rPr>
        <w:tab/>
      </w:r>
      <w:r w:rsidRPr="00C57589">
        <w:rPr>
          <w:szCs w:val="26"/>
        </w:rPr>
        <w:tab/>
      </w:r>
      <w:r w:rsidRPr="00C57589">
        <w:rPr>
          <w:szCs w:val="26"/>
        </w:rPr>
        <w:tab/>
      </w:r>
      <w:r w:rsidRPr="00C57589">
        <w:rPr>
          <w:szCs w:val="26"/>
        </w:rPr>
        <w:tab/>
        <w:t>______________________, J.</w:t>
      </w:r>
    </w:p>
    <w:p w14:paraId="4972157D" w14:textId="77777777" w:rsidR="009E65CC" w:rsidRPr="00C57589" w:rsidRDefault="009E65CC" w:rsidP="00E226FD">
      <w:pPr>
        <w:rPr>
          <w:szCs w:val="26"/>
        </w:rPr>
      </w:pPr>
      <w:r w:rsidRPr="00C57589">
        <w:rPr>
          <w:szCs w:val="26"/>
        </w:rPr>
        <w:tab/>
      </w:r>
      <w:r w:rsidRPr="00C57589">
        <w:rPr>
          <w:szCs w:val="26"/>
        </w:rPr>
        <w:tab/>
      </w:r>
      <w:r w:rsidRPr="00C57589">
        <w:rPr>
          <w:szCs w:val="26"/>
        </w:rPr>
        <w:tab/>
      </w:r>
      <w:r w:rsidRPr="00C57589">
        <w:rPr>
          <w:szCs w:val="26"/>
        </w:rPr>
        <w:tab/>
      </w:r>
      <w:r w:rsidRPr="00C57589">
        <w:rPr>
          <w:szCs w:val="26"/>
        </w:rPr>
        <w:tab/>
      </w:r>
      <w:r w:rsidRPr="00C57589">
        <w:rPr>
          <w:szCs w:val="26"/>
        </w:rPr>
        <w:tab/>
        <w:t>HOFFSTADT</w:t>
      </w:r>
    </w:p>
    <w:p w14:paraId="38AF2697" w14:textId="77777777" w:rsidR="009E65CC" w:rsidRPr="00C57589" w:rsidRDefault="009E65CC" w:rsidP="009B3506">
      <w:pPr>
        <w:tabs>
          <w:tab w:val="left" w:pos="2475"/>
        </w:tabs>
        <w:rPr>
          <w:szCs w:val="26"/>
        </w:rPr>
      </w:pPr>
      <w:r w:rsidRPr="00C57589">
        <w:rPr>
          <w:szCs w:val="26"/>
        </w:rPr>
        <w:tab/>
      </w:r>
    </w:p>
    <w:p w14:paraId="326841F4" w14:textId="77777777" w:rsidR="009E65CC" w:rsidRPr="00C57589" w:rsidRDefault="009E65CC" w:rsidP="00E226FD">
      <w:pPr>
        <w:pStyle w:val="Normal1"/>
        <w:widowControl w:val="0"/>
        <w:spacing w:line="288" w:lineRule="auto"/>
        <w:rPr>
          <w:rFonts w:ascii="Century Schoolbook" w:eastAsia="Century Schoolbook" w:hAnsi="Century Schoolbook" w:cs="Century Schoolbook"/>
          <w:sz w:val="26"/>
          <w:szCs w:val="26"/>
        </w:rPr>
      </w:pPr>
      <w:r w:rsidRPr="00C57589">
        <w:rPr>
          <w:rFonts w:ascii="Century Schoolbook" w:eastAsia="Century Schoolbook" w:hAnsi="Century Schoolbook" w:cs="Century Schoolbook"/>
          <w:sz w:val="26"/>
          <w:szCs w:val="26"/>
        </w:rPr>
        <w:t>We concur:</w:t>
      </w:r>
    </w:p>
    <w:p w14:paraId="64B6F1F9" w14:textId="77777777" w:rsidR="009E65CC" w:rsidRPr="00C57589" w:rsidRDefault="009E65CC" w:rsidP="00E226FD">
      <w:pPr>
        <w:pStyle w:val="Normal1"/>
        <w:widowControl w:val="0"/>
        <w:spacing w:line="288" w:lineRule="auto"/>
        <w:rPr>
          <w:rFonts w:ascii="Century Schoolbook" w:eastAsia="Century Schoolbook" w:hAnsi="Century Schoolbook" w:cs="Century Schoolbook"/>
          <w:sz w:val="26"/>
          <w:szCs w:val="26"/>
        </w:rPr>
      </w:pPr>
    </w:p>
    <w:p w14:paraId="596DD079" w14:textId="77777777" w:rsidR="009E65CC" w:rsidRPr="00C57589" w:rsidRDefault="009E65CC" w:rsidP="00E226FD">
      <w:pPr>
        <w:pStyle w:val="Normal1"/>
        <w:widowControl w:val="0"/>
        <w:spacing w:line="288" w:lineRule="auto"/>
        <w:rPr>
          <w:rFonts w:ascii="Century Schoolbook" w:eastAsia="Century Schoolbook" w:hAnsi="Century Schoolbook" w:cs="Century Schoolbook"/>
          <w:sz w:val="26"/>
          <w:szCs w:val="26"/>
        </w:rPr>
      </w:pPr>
    </w:p>
    <w:p w14:paraId="64E384D3" w14:textId="77777777" w:rsidR="009E65CC" w:rsidRPr="00C57589" w:rsidRDefault="009E65CC" w:rsidP="00E226FD">
      <w:pPr>
        <w:pStyle w:val="Normal1"/>
        <w:widowControl w:val="0"/>
        <w:spacing w:line="288" w:lineRule="auto"/>
        <w:rPr>
          <w:rFonts w:ascii="Century Schoolbook" w:eastAsia="Century Schoolbook" w:hAnsi="Century Schoolbook" w:cs="Century Schoolbook"/>
          <w:sz w:val="26"/>
          <w:szCs w:val="26"/>
        </w:rPr>
      </w:pPr>
      <w:r w:rsidRPr="00C57589">
        <w:rPr>
          <w:rFonts w:ascii="Century Schoolbook" w:eastAsia="Century Schoolbook" w:hAnsi="Century Schoolbook" w:cs="Century Schoolbook"/>
          <w:sz w:val="26"/>
          <w:szCs w:val="26"/>
        </w:rPr>
        <w:t>_________________________, P. J.</w:t>
      </w:r>
    </w:p>
    <w:p w14:paraId="076B8ED0" w14:textId="77777777" w:rsidR="009E65CC" w:rsidRPr="00C57589" w:rsidRDefault="009E65CC" w:rsidP="00E226FD">
      <w:pPr>
        <w:pStyle w:val="Normal1"/>
        <w:widowControl w:val="0"/>
        <w:spacing w:line="288" w:lineRule="auto"/>
        <w:rPr>
          <w:rFonts w:ascii="Century Schoolbook" w:eastAsia="Century Schoolbook" w:hAnsi="Century Schoolbook" w:cs="Century Schoolbook"/>
          <w:sz w:val="26"/>
          <w:szCs w:val="26"/>
        </w:rPr>
      </w:pPr>
      <w:r w:rsidRPr="00C57589">
        <w:rPr>
          <w:rFonts w:ascii="Century Schoolbook" w:eastAsia="Century Schoolbook" w:hAnsi="Century Schoolbook" w:cs="Century Schoolbook"/>
          <w:sz w:val="26"/>
          <w:szCs w:val="26"/>
        </w:rPr>
        <w:t>LUI</w:t>
      </w:r>
    </w:p>
    <w:p w14:paraId="44527437" w14:textId="77777777" w:rsidR="009E65CC" w:rsidRPr="00C57589" w:rsidRDefault="009E65CC" w:rsidP="00E226FD">
      <w:pPr>
        <w:pStyle w:val="Normal1"/>
        <w:widowControl w:val="0"/>
        <w:spacing w:line="288" w:lineRule="auto"/>
        <w:rPr>
          <w:rFonts w:ascii="Century Schoolbook" w:eastAsia="Century Schoolbook" w:hAnsi="Century Schoolbook" w:cs="Century Schoolbook"/>
          <w:sz w:val="26"/>
          <w:szCs w:val="26"/>
        </w:rPr>
      </w:pPr>
    </w:p>
    <w:p w14:paraId="2A4133BB" w14:textId="77777777" w:rsidR="009E65CC" w:rsidRPr="00C57589" w:rsidRDefault="009E65CC" w:rsidP="00E226FD">
      <w:pPr>
        <w:pStyle w:val="Normal1"/>
        <w:widowControl w:val="0"/>
        <w:spacing w:line="288" w:lineRule="auto"/>
        <w:rPr>
          <w:rFonts w:ascii="Century Schoolbook" w:eastAsia="Century Schoolbook" w:hAnsi="Century Schoolbook" w:cs="Century Schoolbook"/>
          <w:sz w:val="26"/>
          <w:szCs w:val="26"/>
        </w:rPr>
      </w:pPr>
    </w:p>
    <w:p w14:paraId="226A46EE" w14:textId="77777777" w:rsidR="009E65CC" w:rsidRPr="00C57589" w:rsidRDefault="009E65CC" w:rsidP="00E226FD">
      <w:pPr>
        <w:pStyle w:val="Normal1"/>
        <w:widowControl w:val="0"/>
        <w:spacing w:line="288" w:lineRule="auto"/>
        <w:rPr>
          <w:rFonts w:ascii="Century Schoolbook" w:eastAsia="Century Schoolbook" w:hAnsi="Century Schoolbook" w:cs="Century Schoolbook"/>
          <w:sz w:val="26"/>
          <w:szCs w:val="26"/>
        </w:rPr>
      </w:pPr>
      <w:r w:rsidRPr="00C57589">
        <w:rPr>
          <w:rFonts w:ascii="Century Schoolbook" w:eastAsia="Century Schoolbook" w:hAnsi="Century Schoolbook" w:cs="Century Schoolbook"/>
          <w:sz w:val="26"/>
          <w:szCs w:val="26"/>
        </w:rPr>
        <w:t>_________________________, J.</w:t>
      </w:r>
    </w:p>
    <w:p w14:paraId="622FE290" w14:textId="77777777" w:rsidR="009E65CC" w:rsidRPr="00A150BA" w:rsidRDefault="009E65CC" w:rsidP="00A150BA">
      <w:r w:rsidRPr="00C57589">
        <w:t>ASHMANN-GERST</w:t>
      </w:r>
    </w:p>
    <w:sectPr w:rsidR="00A150BA" w:rsidRPr="00A150BA" w:rsidSect="00137D38">
      <w:footerReference w:type="even" r:id="rId6"/>
      <w:footerReference w:type="default" r:id="rId7"/>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39D75" w14:textId="77777777" w:rsidR="009E65CC" w:rsidRDefault="009E65CC">
      <w:pPr>
        <w:spacing w:line="240" w:lineRule="auto"/>
      </w:pPr>
      <w:r>
        <w:separator/>
      </w:r>
    </w:p>
  </w:endnote>
  <w:endnote w:type="continuationSeparator" w:id="0">
    <w:p w14:paraId="427293E9" w14:textId="77777777" w:rsidR="009E65CC" w:rsidRDefault="009E65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45FB" w14:textId="77777777" w:rsidR="009E65CC" w:rsidRDefault="009E65CC" w:rsidP="00546CA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14:paraId="12716974" w14:textId="77777777" w:rsidR="009E65CC" w:rsidRDefault="009E6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1B32" w14:textId="77777777" w:rsidR="009E65CC" w:rsidRDefault="009E65CC" w:rsidP="00546CA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6E394A" w14:textId="77777777" w:rsidR="009E65CC" w:rsidRDefault="009E6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56F12" w14:textId="77777777" w:rsidR="009E65CC" w:rsidRDefault="009E65CC" w:rsidP="00137D38">
      <w:pPr>
        <w:spacing w:line="240" w:lineRule="auto"/>
      </w:pPr>
      <w:r>
        <w:continuationSeparator/>
      </w:r>
    </w:p>
  </w:footnote>
  <w:footnote w:type="continuationSeparator" w:id="0">
    <w:p w14:paraId="7E5BA153" w14:textId="77777777" w:rsidR="009E65CC" w:rsidRDefault="009E65CC" w:rsidP="00137D38">
      <w:pPr>
        <w:spacing w:line="240" w:lineRule="auto"/>
      </w:pPr>
      <w:r>
        <w:continuationSeparator/>
      </w:r>
    </w:p>
  </w:footnote>
  <w:footnote w:id="1">
    <w:p w14:paraId="62A2A1FC" w14:textId="77777777" w:rsidR="009E65CC" w:rsidRDefault="009E65CC" w:rsidP="00A150BA">
      <w:pPr>
        <w:pStyle w:val="FootnoteText"/>
      </w:pPr>
      <w:r w:rsidRPr="00180432">
        <w:rPr>
          <w:rStyle w:val="FootnoteReference"/>
          <w:b/>
          <w:bCs/>
          <w:vertAlign w:val="baseline"/>
        </w:rPr>
        <w:footnoteRef/>
      </w:r>
      <w:r w:rsidRPr="00180432">
        <w:rPr>
          <w:b/>
          <w:bCs/>
        </w:rPr>
        <w:t xml:space="preserve"> </w:t>
      </w:r>
      <w:r>
        <w:tab/>
      </w:r>
      <w:r w:rsidRPr="006C7558">
        <w:rPr>
          <w:sz w:val="26"/>
          <w:szCs w:val="26"/>
        </w:rPr>
        <w:t>All further statutory references are to the Penal Code unless otherwise indicated.</w:t>
      </w:r>
    </w:p>
  </w:footnote>
  <w:footnote w:id="2">
    <w:p w14:paraId="142D23C1" w14:textId="77777777" w:rsidR="009E65CC" w:rsidRDefault="009E65CC" w:rsidP="0062332F">
      <w:pPr>
        <w:pStyle w:val="FootnoteText"/>
      </w:pPr>
      <w:r w:rsidRPr="00702008">
        <w:rPr>
          <w:rStyle w:val="FootnoteReference"/>
          <w:b/>
          <w:bCs/>
          <w:vertAlign w:val="baseline"/>
        </w:rPr>
        <w:footnoteRef/>
      </w:r>
      <w:r w:rsidRPr="00702008">
        <w:rPr>
          <w:b/>
          <w:bCs/>
        </w:rPr>
        <w:t xml:space="preserve"> </w:t>
      </w:r>
      <w:r>
        <w:tab/>
      </w:r>
      <w:r w:rsidRPr="00702008">
        <w:rPr>
          <w:sz w:val="26"/>
          <w:szCs w:val="26"/>
        </w:rPr>
        <w:t xml:space="preserve">Unless otherwise noted, all further references to the statutes governing an inmate’s entitlement to compensation for </w:t>
      </w:r>
      <w:r>
        <w:rPr>
          <w:sz w:val="26"/>
          <w:szCs w:val="26"/>
        </w:rPr>
        <w:t xml:space="preserve">erroneous conviction and imprisonment </w:t>
      </w:r>
      <w:r w:rsidRPr="00702008">
        <w:rPr>
          <w:sz w:val="26"/>
          <w:szCs w:val="26"/>
        </w:rPr>
        <w:t xml:space="preserve">are to the statutes in effect </w:t>
      </w:r>
      <w:r>
        <w:rPr>
          <w:sz w:val="26"/>
          <w:szCs w:val="26"/>
        </w:rPr>
        <w:t xml:space="preserve">at the time the administrative proceedings in this case were conducted.  </w:t>
      </w:r>
    </w:p>
  </w:footnote>
  <w:footnote w:id="3">
    <w:p w14:paraId="22C16979" w14:textId="77777777" w:rsidR="009E65CC" w:rsidRPr="004E3325" w:rsidRDefault="009E65CC" w:rsidP="00A150BA">
      <w:pPr>
        <w:pStyle w:val="FootnoteText"/>
        <w:rPr>
          <w:sz w:val="26"/>
          <w:szCs w:val="26"/>
        </w:rPr>
      </w:pPr>
      <w:r w:rsidRPr="00180432">
        <w:rPr>
          <w:rStyle w:val="FootnoteReference"/>
          <w:b/>
          <w:bCs/>
          <w:vertAlign w:val="baseline"/>
        </w:rPr>
        <w:footnoteRef/>
      </w:r>
      <w:r w:rsidRPr="00180432">
        <w:rPr>
          <w:b/>
          <w:bCs/>
        </w:rPr>
        <w:t xml:space="preserve"> </w:t>
      </w:r>
      <w:r>
        <w:tab/>
      </w:r>
      <w:r>
        <w:rPr>
          <w:sz w:val="26"/>
          <w:szCs w:val="26"/>
        </w:rPr>
        <w:t>Gonzales</w:t>
      </w:r>
      <w:r w:rsidRPr="004E3325">
        <w:rPr>
          <w:sz w:val="26"/>
          <w:szCs w:val="26"/>
        </w:rPr>
        <w:t xml:space="preserve"> </w:t>
      </w:r>
      <w:r w:rsidRPr="004E3325">
        <w:rPr>
          <w:sz w:val="26"/>
          <w:szCs w:val="26"/>
        </w:rPr>
        <w:t>also filed a petition for writ of habeas corpus in California state court on Eighth Amendment grounds, but that petition was denied and that basis for relief is not at issue in this appeal.</w:t>
      </w:r>
    </w:p>
  </w:footnote>
  <w:footnote w:id="4">
    <w:p w14:paraId="70F80FEF" w14:textId="77777777" w:rsidR="009E65CC" w:rsidRPr="00BF3ACE" w:rsidRDefault="009E65CC" w:rsidP="00A150BA">
      <w:pPr>
        <w:pStyle w:val="FootnoteText"/>
        <w:rPr>
          <w:sz w:val="26"/>
          <w:szCs w:val="26"/>
        </w:rPr>
      </w:pPr>
      <w:r w:rsidRPr="00180432">
        <w:rPr>
          <w:rStyle w:val="FootnoteReference"/>
          <w:b/>
          <w:bCs/>
          <w:vertAlign w:val="baseline"/>
        </w:rPr>
        <w:footnoteRef/>
      </w:r>
      <w:r w:rsidRPr="00180432">
        <w:rPr>
          <w:b/>
          <w:bCs/>
        </w:rPr>
        <w:t xml:space="preserve"> </w:t>
      </w:r>
      <w:r>
        <w:tab/>
      </w:r>
      <w:r w:rsidRPr="00BF3ACE">
        <w:rPr>
          <w:sz w:val="26"/>
          <w:szCs w:val="26"/>
        </w:rPr>
        <w:t xml:space="preserve">The court also added its view that </w:t>
      </w:r>
      <w:r>
        <w:rPr>
          <w:sz w:val="26"/>
          <w:szCs w:val="26"/>
        </w:rPr>
        <w:t>Gonzales</w:t>
      </w:r>
      <w:r w:rsidRPr="00BF3ACE">
        <w:rPr>
          <w:sz w:val="26"/>
          <w:szCs w:val="26"/>
        </w:rPr>
        <w:t xml:space="preserve"> </w:t>
      </w:r>
      <w:r w:rsidRPr="00BF3ACE">
        <w:rPr>
          <w:sz w:val="26"/>
          <w:szCs w:val="26"/>
        </w:rPr>
        <w:t>“should still be in prison for this crime.”</w:t>
      </w:r>
    </w:p>
  </w:footnote>
  <w:footnote w:id="5">
    <w:p w14:paraId="778840E0" w14:textId="77777777" w:rsidR="009E65CC" w:rsidRDefault="009E65CC" w:rsidP="00A150BA">
      <w:pPr>
        <w:pStyle w:val="FootnoteText"/>
      </w:pPr>
      <w:r w:rsidRPr="009A432D">
        <w:rPr>
          <w:rStyle w:val="FootnoteReference"/>
          <w:b/>
          <w:bCs/>
          <w:vertAlign w:val="baseline"/>
        </w:rPr>
        <w:footnoteRef/>
      </w:r>
      <w:r w:rsidRPr="009A432D">
        <w:rPr>
          <w:b/>
          <w:bCs/>
        </w:rPr>
        <w:t xml:space="preserve"> </w:t>
      </w:r>
      <w:r>
        <w:tab/>
      </w:r>
      <w:r>
        <w:rPr>
          <w:sz w:val="26"/>
          <w:szCs w:val="26"/>
        </w:rPr>
        <w:t>Gonzales</w:t>
      </w:r>
      <w:r w:rsidRPr="002A1D21">
        <w:rPr>
          <w:sz w:val="26"/>
          <w:szCs w:val="26"/>
        </w:rPr>
        <w:t xml:space="preserve"> </w:t>
      </w:r>
      <w:r w:rsidRPr="002A1D21">
        <w:rPr>
          <w:sz w:val="26"/>
          <w:szCs w:val="26"/>
        </w:rPr>
        <w:t xml:space="preserve">also styled his petition as one for traditional mandamus, but that type of writ is unavailable where, as we conclude in </w:t>
      </w:r>
      <w:r>
        <w:rPr>
          <w:sz w:val="26"/>
          <w:szCs w:val="26"/>
        </w:rPr>
        <w:t>S</w:t>
      </w:r>
      <w:r w:rsidRPr="002A1D21">
        <w:rPr>
          <w:sz w:val="26"/>
          <w:szCs w:val="26"/>
        </w:rPr>
        <w:t>ection I of the Discussion below, an administrative agency</w:t>
      </w:r>
      <w:r>
        <w:rPr>
          <w:sz w:val="26"/>
          <w:szCs w:val="26"/>
        </w:rPr>
        <w:t xml:space="preserve"> holds an evidentiary hearing and</w:t>
      </w:r>
      <w:r w:rsidRPr="002A1D21">
        <w:rPr>
          <w:sz w:val="26"/>
          <w:szCs w:val="26"/>
        </w:rPr>
        <w:t xml:space="preserve"> is vested with discretion</w:t>
      </w:r>
      <w:r>
        <w:rPr>
          <w:sz w:val="26"/>
          <w:szCs w:val="26"/>
        </w:rPr>
        <w:t xml:space="preserve"> to determine the facts (and hence </w:t>
      </w:r>
      <w:r w:rsidRPr="002A1D21">
        <w:rPr>
          <w:sz w:val="26"/>
          <w:szCs w:val="26"/>
        </w:rPr>
        <w:t>does not have a ministerial duty to act in a certain way</w:t>
      </w:r>
      <w:r>
        <w:rPr>
          <w:sz w:val="26"/>
          <w:szCs w:val="26"/>
        </w:rPr>
        <w:t>)</w:t>
      </w:r>
      <w:r w:rsidRPr="002A1D21">
        <w:rPr>
          <w:sz w:val="26"/>
          <w:szCs w:val="26"/>
        </w:rPr>
        <w:t xml:space="preserve">.  </w:t>
      </w:r>
      <w:r>
        <w:rPr>
          <w:sz w:val="26"/>
          <w:szCs w:val="26"/>
        </w:rPr>
        <w:t>(</w:t>
      </w:r>
      <w:proofErr w:type="spellStart"/>
      <w:r>
        <w:rPr>
          <w:i/>
          <w:iCs/>
          <w:sz w:val="26"/>
          <w:szCs w:val="26"/>
        </w:rPr>
        <w:t>Bunnett</w:t>
      </w:r>
      <w:proofErr w:type="spellEnd"/>
      <w:r>
        <w:rPr>
          <w:i/>
          <w:iCs/>
          <w:sz w:val="26"/>
          <w:szCs w:val="26"/>
        </w:rPr>
        <w:t xml:space="preserve"> v. Regents of Univ</w:t>
      </w:r>
      <w:r>
        <w:rPr>
          <w:i/>
          <w:iCs/>
          <w:sz w:val="26"/>
          <w:szCs w:val="26"/>
        </w:rPr>
        <w:t>ersity</w:t>
      </w:r>
      <w:r>
        <w:rPr>
          <w:i/>
          <w:iCs/>
          <w:sz w:val="26"/>
          <w:szCs w:val="26"/>
        </w:rPr>
        <w:t xml:space="preserve"> of </w:t>
      </w:r>
      <w:r>
        <w:rPr>
          <w:i/>
          <w:iCs/>
          <w:sz w:val="26"/>
          <w:szCs w:val="26"/>
        </w:rPr>
        <w:t>Cal</w:t>
      </w:r>
      <w:r>
        <w:rPr>
          <w:i/>
          <w:iCs/>
          <w:sz w:val="26"/>
          <w:szCs w:val="26"/>
        </w:rPr>
        <w:t>ifornia</w:t>
      </w:r>
      <w:r>
        <w:rPr>
          <w:i/>
          <w:iCs/>
          <w:sz w:val="26"/>
          <w:szCs w:val="26"/>
        </w:rPr>
        <w:t xml:space="preserve"> </w:t>
      </w:r>
      <w:r>
        <w:rPr>
          <w:sz w:val="26"/>
          <w:szCs w:val="26"/>
        </w:rPr>
        <w:t>(1995) 35 Cal.App.4th 843, 848.)</w:t>
      </w:r>
    </w:p>
  </w:footnote>
  <w:footnote w:id="6">
    <w:p w14:paraId="412DD7B9" w14:textId="77777777" w:rsidR="009E65CC" w:rsidRPr="00537EED" w:rsidRDefault="009E65CC">
      <w:pPr>
        <w:pStyle w:val="FootnoteText"/>
      </w:pPr>
      <w:r w:rsidRPr="00A2431A">
        <w:rPr>
          <w:rStyle w:val="FootnoteReference"/>
          <w:b/>
          <w:bCs/>
          <w:vertAlign w:val="baseline"/>
        </w:rPr>
        <w:footnoteRef/>
      </w:r>
      <w:r w:rsidRPr="00A2431A">
        <w:rPr>
          <w:b/>
          <w:bCs/>
        </w:rPr>
        <w:t xml:space="preserve"> </w:t>
      </w:r>
      <w:r>
        <w:tab/>
      </w:r>
      <w:r w:rsidRPr="00A2431A">
        <w:rPr>
          <w:sz w:val="26"/>
          <w:szCs w:val="26"/>
        </w:rPr>
        <w:t xml:space="preserve">In his briefs on appeal, Gonzales </w:t>
      </w:r>
      <w:r w:rsidRPr="00A2431A">
        <w:rPr>
          <w:sz w:val="26"/>
          <w:szCs w:val="26"/>
        </w:rPr>
        <w:t xml:space="preserve">purports to also </w:t>
      </w:r>
      <w:r w:rsidRPr="00A2431A">
        <w:rPr>
          <w:sz w:val="26"/>
          <w:szCs w:val="26"/>
        </w:rPr>
        <w:t xml:space="preserve">challenge the San Bernadino </w:t>
      </w:r>
      <w:r>
        <w:rPr>
          <w:sz w:val="26"/>
          <w:szCs w:val="26"/>
        </w:rPr>
        <w:t xml:space="preserve">County </w:t>
      </w:r>
      <w:r w:rsidRPr="00A2431A">
        <w:rPr>
          <w:sz w:val="26"/>
          <w:szCs w:val="26"/>
        </w:rPr>
        <w:t xml:space="preserve">Superior Court’s </w:t>
      </w:r>
      <w:r w:rsidRPr="00A2431A">
        <w:rPr>
          <w:sz w:val="26"/>
          <w:szCs w:val="26"/>
        </w:rPr>
        <w:t xml:space="preserve">denial </w:t>
      </w:r>
      <w:r w:rsidRPr="00A2431A">
        <w:rPr>
          <w:sz w:val="26"/>
          <w:szCs w:val="26"/>
        </w:rPr>
        <w:t xml:space="preserve">of his </w:t>
      </w:r>
      <w:r w:rsidRPr="00A2431A">
        <w:rPr>
          <w:sz w:val="26"/>
          <w:szCs w:val="26"/>
        </w:rPr>
        <w:t>petition for a finding of factual innocence</w:t>
      </w:r>
      <w:r>
        <w:rPr>
          <w:sz w:val="26"/>
          <w:szCs w:val="26"/>
        </w:rPr>
        <w:t xml:space="preserve">, </w:t>
      </w:r>
      <w:r w:rsidRPr="00A2431A">
        <w:rPr>
          <w:sz w:val="26"/>
          <w:szCs w:val="26"/>
        </w:rPr>
        <w:t>but Gonzales forfeited any challenge to that ruling by failing to timely appeal it.</w:t>
      </w:r>
      <w:r>
        <w:rPr>
          <w:sz w:val="26"/>
          <w:szCs w:val="26"/>
        </w:rPr>
        <w:t xml:space="preserve">  (</w:t>
      </w:r>
      <w:r>
        <w:rPr>
          <w:i/>
          <w:iCs/>
          <w:sz w:val="26"/>
          <w:szCs w:val="26"/>
        </w:rPr>
        <w:t xml:space="preserve">In re </w:t>
      </w:r>
      <w:proofErr w:type="spellStart"/>
      <w:r>
        <w:rPr>
          <w:i/>
          <w:iCs/>
          <w:sz w:val="26"/>
          <w:szCs w:val="26"/>
        </w:rPr>
        <w:t>Baycol</w:t>
      </w:r>
      <w:proofErr w:type="spellEnd"/>
      <w:r>
        <w:rPr>
          <w:i/>
          <w:iCs/>
          <w:sz w:val="26"/>
          <w:szCs w:val="26"/>
        </w:rPr>
        <w:t xml:space="preserve"> Cases I &amp; II </w:t>
      </w:r>
      <w:r>
        <w:rPr>
          <w:sz w:val="26"/>
          <w:szCs w:val="26"/>
        </w:rPr>
        <w:t xml:space="preserve">(2011) 51 Cal.4th 751, 761, fn. 8 [“if an order is appealable, </w:t>
      </w:r>
      <w:r>
        <w:rPr>
          <w:sz w:val="26"/>
          <w:szCs w:val="26"/>
        </w:rPr>
        <w:t xml:space="preserve">appeal </w:t>
      </w:r>
      <w:r>
        <w:rPr>
          <w:sz w:val="26"/>
          <w:szCs w:val="26"/>
        </w:rPr>
        <w:t xml:space="preserve">must be taken or the right to appellate review is forfeited”].)  </w:t>
      </w:r>
    </w:p>
  </w:footnote>
  <w:footnote w:id="7">
    <w:p w14:paraId="16B9A1E9" w14:textId="77777777" w:rsidR="009E65CC" w:rsidRPr="001B37DB" w:rsidRDefault="009E65CC" w:rsidP="00A150BA">
      <w:pPr>
        <w:pStyle w:val="FootnoteText"/>
        <w:rPr>
          <w:sz w:val="26"/>
          <w:szCs w:val="26"/>
        </w:rPr>
      </w:pPr>
      <w:r w:rsidRPr="006166BC">
        <w:rPr>
          <w:rStyle w:val="FootnoteReference"/>
          <w:b/>
          <w:bCs/>
          <w:vertAlign w:val="baseline"/>
        </w:rPr>
        <w:footnoteRef/>
      </w:r>
      <w:r w:rsidRPr="006166BC">
        <w:rPr>
          <w:b/>
          <w:bCs/>
        </w:rPr>
        <w:t xml:space="preserve"> </w:t>
      </w:r>
      <w:r>
        <w:tab/>
      </w:r>
      <w:r w:rsidRPr="001B37DB">
        <w:rPr>
          <w:sz w:val="26"/>
          <w:szCs w:val="26"/>
        </w:rPr>
        <w:t xml:space="preserve">The statute of limitations for such claims changed on January </w:t>
      </w:r>
      <w:r>
        <w:rPr>
          <w:sz w:val="26"/>
          <w:szCs w:val="26"/>
        </w:rPr>
        <w:t xml:space="preserve">1, </w:t>
      </w:r>
      <w:r w:rsidRPr="001B37DB">
        <w:rPr>
          <w:sz w:val="26"/>
          <w:szCs w:val="26"/>
        </w:rPr>
        <w:t xml:space="preserve">2020, when our Legislature </w:t>
      </w:r>
      <w:r>
        <w:rPr>
          <w:sz w:val="26"/>
          <w:szCs w:val="26"/>
        </w:rPr>
        <w:t>increased</w:t>
      </w:r>
      <w:r w:rsidRPr="001B37DB">
        <w:rPr>
          <w:sz w:val="26"/>
          <w:szCs w:val="26"/>
        </w:rPr>
        <w:t xml:space="preserve"> the </w:t>
      </w:r>
      <w:r>
        <w:rPr>
          <w:sz w:val="26"/>
          <w:szCs w:val="26"/>
        </w:rPr>
        <w:t>li</w:t>
      </w:r>
      <w:r w:rsidRPr="001B37DB">
        <w:rPr>
          <w:sz w:val="26"/>
          <w:szCs w:val="26"/>
        </w:rPr>
        <w:t xml:space="preserve">mitations period </w:t>
      </w:r>
      <w:r>
        <w:rPr>
          <w:sz w:val="26"/>
          <w:szCs w:val="26"/>
        </w:rPr>
        <w:t xml:space="preserve">from two years </w:t>
      </w:r>
      <w:r w:rsidRPr="001B37DB">
        <w:rPr>
          <w:sz w:val="26"/>
          <w:szCs w:val="26"/>
        </w:rPr>
        <w:t>to ten years.  (Compare former § 4901</w:t>
      </w:r>
      <w:r>
        <w:rPr>
          <w:sz w:val="26"/>
          <w:szCs w:val="26"/>
        </w:rPr>
        <w:t xml:space="preserve">, Stats. 2016, </w:t>
      </w:r>
      <w:proofErr w:type="spellStart"/>
      <w:r>
        <w:rPr>
          <w:sz w:val="26"/>
          <w:szCs w:val="26"/>
        </w:rPr>
        <w:t>c</w:t>
      </w:r>
      <w:r>
        <w:rPr>
          <w:sz w:val="26"/>
          <w:szCs w:val="26"/>
        </w:rPr>
        <w:t>h</w:t>
      </w:r>
      <w:r>
        <w:rPr>
          <w:sz w:val="26"/>
          <w:szCs w:val="26"/>
        </w:rPr>
        <w:t>.</w:t>
      </w:r>
      <w:proofErr w:type="spellEnd"/>
      <w:r>
        <w:rPr>
          <w:sz w:val="26"/>
          <w:szCs w:val="26"/>
        </w:rPr>
        <w:t xml:space="preserve"> 31 (S</w:t>
      </w:r>
      <w:r>
        <w:rPr>
          <w:sz w:val="26"/>
          <w:szCs w:val="26"/>
        </w:rPr>
        <w:t>en</w:t>
      </w:r>
      <w:r>
        <w:rPr>
          <w:sz w:val="26"/>
          <w:szCs w:val="26"/>
        </w:rPr>
        <w:t>.</w:t>
      </w:r>
      <w:r>
        <w:rPr>
          <w:sz w:val="26"/>
          <w:szCs w:val="26"/>
        </w:rPr>
        <w:t xml:space="preserve"> </w:t>
      </w:r>
      <w:r>
        <w:rPr>
          <w:sz w:val="26"/>
          <w:szCs w:val="26"/>
        </w:rPr>
        <w:t>B</w:t>
      </w:r>
      <w:r>
        <w:rPr>
          <w:sz w:val="26"/>
          <w:szCs w:val="26"/>
        </w:rPr>
        <w:t>ill</w:t>
      </w:r>
      <w:r>
        <w:rPr>
          <w:sz w:val="26"/>
          <w:szCs w:val="26"/>
        </w:rPr>
        <w:t xml:space="preserve"> No. 836), § 251, </w:t>
      </w:r>
      <w:r w:rsidRPr="001B37DB">
        <w:rPr>
          <w:sz w:val="26"/>
          <w:szCs w:val="26"/>
        </w:rPr>
        <w:t xml:space="preserve">eff. </w:t>
      </w:r>
      <w:r>
        <w:rPr>
          <w:sz w:val="26"/>
          <w:szCs w:val="26"/>
        </w:rPr>
        <w:t>June 27</w:t>
      </w:r>
      <w:r w:rsidRPr="001B37DB">
        <w:rPr>
          <w:sz w:val="26"/>
          <w:szCs w:val="26"/>
        </w:rPr>
        <w:t>, 2016</w:t>
      </w:r>
      <w:r>
        <w:rPr>
          <w:sz w:val="26"/>
          <w:szCs w:val="26"/>
        </w:rPr>
        <w:t>,</w:t>
      </w:r>
      <w:r w:rsidRPr="001B37DB">
        <w:rPr>
          <w:sz w:val="26"/>
          <w:szCs w:val="26"/>
        </w:rPr>
        <w:t xml:space="preserve"> with § 4901</w:t>
      </w:r>
      <w:r>
        <w:rPr>
          <w:sz w:val="26"/>
          <w:szCs w:val="26"/>
        </w:rPr>
        <w:t xml:space="preserve">, Stats. 2019, </w:t>
      </w:r>
      <w:proofErr w:type="spellStart"/>
      <w:r>
        <w:rPr>
          <w:sz w:val="26"/>
          <w:szCs w:val="26"/>
        </w:rPr>
        <w:t>c</w:t>
      </w:r>
      <w:r>
        <w:rPr>
          <w:sz w:val="26"/>
          <w:szCs w:val="26"/>
        </w:rPr>
        <w:t>h</w:t>
      </w:r>
      <w:r>
        <w:rPr>
          <w:sz w:val="26"/>
          <w:szCs w:val="26"/>
        </w:rPr>
        <w:t>.</w:t>
      </w:r>
      <w:proofErr w:type="spellEnd"/>
      <w:r>
        <w:rPr>
          <w:sz w:val="26"/>
          <w:szCs w:val="26"/>
        </w:rPr>
        <w:t xml:space="preserve"> 473 (S</w:t>
      </w:r>
      <w:r>
        <w:rPr>
          <w:sz w:val="26"/>
          <w:szCs w:val="26"/>
        </w:rPr>
        <w:t>en</w:t>
      </w:r>
      <w:r>
        <w:rPr>
          <w:sz w:val="26"/>
          <w:szCs w:val="26"/>
        </w:rPr>
        <w:t>.</w:t>
      </w:r>
      <w:r>
        <w:rPr>
          <w:sz w:val="26"/>
          <w:szCs w:val="26"/>
        </w:rPr>
        <w:t xml:space="preserve"> </w:t>
      </w:r>
      <w:r>
        <w:rPr>
          <w:sz w:val="26"/>
          <w:szCs w:val="26"/>
        </w:rPr>
        <w:t>B</w:t>
      </w:r>
      <w:r>
        <w:rPr>
          <w:sz w:val="26"/>
          <w:szCs w:val="26"/>
        </w:rPr>
        <w:t>ill</w:t>
      </w:r>
      <w:r>
        <w:rPr>
          <w:sz w:val="26"/>
          <w:szCs w:val="26"/>
        </w:rPr>
        <w:t xml:space="preserve"> No. 269), § 2, </w:t>
      </w:r>
      <w:r w:rsidRPr="001B37DB">
        <w:rPr>
          <w:sz w:val="26"/>
          <w:szCs w:val="26"/>
        </w:rPr>
        <w:t xml:space="preserve">eff. Jan 1, 2020).)  Although the administrative proceedings in this case straddle this </w:t>
      </w:r>
      <w:r>
        <w:rPr>
          <w:sz w:val="26"/>
          <w:szCs w:val="26"/>
        </w:rPr>
        <w:t xml:space="preserve">legislative </w:t>
      </w:r>
      <w:r w:rsidRPr="001B37DB">
        <w:rPr>
          <w:sz w:val="26"/>
          <w:szCs w:val="26"/>
        </w:rPr>
        <w:t xml:space="preserve">change, </w:t>
      </w:r>
      <w:r>
        <w:rPr>
          <w:sz w:val="26"/>
          <w:szCs w:val="26"/>
        </w:rPr>
        <w:t>this</w:t>
      </w:r>
      <w:r w:rsidRPr="001B37DB">
        <w:rPr>
          <w:sz w:val="26"/>
          <w:szCs w:val="26"/>
        </w:rPr>
        <w:t xml:space="preserve"> </w:t>
      </w:r>
      <w:r w:rsidRPr="001B37DB">
        <w:rPr>
          <w:sz w:val="26"/>
          <w:szCs w:val="26"/>
        </w:rPr>
        <w:t xml:space="preserve">is </w:t>
      </w:r>
      <w:r>
        <w:rPr>
          <w:sz w:val="26"/>
          <w:szCs w:val="26"/>
        </w:rPr>
        <w:t xml:space="preserve">of </w:t>
      </w:r>
      <w:r w:rsidRPr="001B37DB">
        <w:rPr>
          <w:sz w:val="26"/>
          <w:szCs w:val="26"/>
        </w:rPr>
        <w:t xml:space="preserve">no consequence because </w:t>
      </w:r>
      <w:r>
        <w:rPr>
          <w:sz w:val="26"/>
          <w:szCs w:val="26"/>
        </w:rPr>
        <w:t>Gonzales</w:t>
      </w:r>
      <w:r w:rsidRPr="001B37DB">
        <w:rPr>
          <w:sz w:val="26"/>
          <w:szCs w:val="26"/>
        </w:rPr>
        <w:t xml:space="preserve"> </w:t>
      </w:r>
      <w:r w:rsidRPr="001B37DB">
        <w:rPr>
          <w:sz w:val="26"/>
          <w:szCs w:val="26"/>
        </w:rPr>
        <w:t>filed his claim within the two</w:t>
      </w:r>
      <w:r>
        <w:rPr>
          <w:sz w:val="26"/>
          <w:szCs w:val="26"/>
        </w:rPr>
        <w:t>-</w:t>
      </w:r>
      <w:r w:rsidRPr="001B37DB">
        <w:rPr>
          <w:sz w:val="26"/>
          <w:szCs w:val="26"/>
        </w:rPr>
        <w:t>year window.</w:t>
      </w:r>
    </w:p>
  </w:footnote>
  <w:footnote w:id="8">
    <w:p w14:paraId="6A8528FB" w14:textId="77777777" w:rsidR="009E65CC" w:rsidRPr="009D4226" w:rsidRDefault="009E65CC" w:rsidP="00A150BA">
      <w:pPr>
        <w:pStyle w:val="FootnoteText"/>
        <w:rPr>
          <w:rFonts w:cs="Times New Roman"/>
          <w:sz w:val="26"/>
          <w:szCs w:val="26"/>
        </w:rPr>
      </w:pPr>
      <w:r w:rsidRPr="006166BC">
        <w:rPr>
          <w:rStyle w:val="FootnoteReference"/>
          <w:b/>
          <w:bCs/>
          <w:vertAlign w:val="baseline"/>
        </w:rPr>
        <w:footnoteRef/>
      </w:r>
      <w:r w:rsidRPr="006166BC">
        <w:rPr>
          <w:b/>
          <w:bCs/>
        </w:rPr>
        <w:t xml:space="preserve"> </w:t>
      </w:r>
      <w:r>
        <w:tab/>
      </w:r>
      <w:r w:rsidRPr="009D4226">
        <w:rPr>
          <w:sz w:val="26"/>
          <w:szCs w:val="26"/>
        </w:rPr>
        <w:t xml:space="preserve">In a legislative amendment effective on January 1, 2022, the </w:t>
      </w:r>
      <w:r>
        <w:rPr>
          <w:i/>
          <w:iCs/>
          <w:sz w:val="26"/>
          <w:szCs w:val="26"/>
        </w:rPr>
        <w:t>People</w:t>
      </w:r>
      <w:r w:rsidRPr="009D4226">
        <w:rPr>
          <w:sz w:val="26"/>
          <w:szCs w:val="26"/>
        </w:rPr>
        <w:t xml:space="preserve"> </w:t>
      </w:r>
      <w:r w:rsidRPr="009D4226">
        <w:rPr>
          <w:sz w:val="26"/>
          <w:szCs w:val="26"/>
        </w:rPr>
        <w:t xml:space="preserve">now bear the burden of proving an inmate’s guilt by </w:t>
      </w:r>
      <w:r w:rsidRPr="009D4226">
        <w:rPr>
          <w:sz w:val="26"/>
          <w:szCs w:val="26"/>
        </w:rPr>
        <w:t>clear and convincing evidence if the inmate is exonerated through the grant of a writ of habeas corpus in state or federal court.  (</w:t>
      </w:r>
      <w:r w:rsidRPr="009D4226">
        <w:rPr>
          <w:rFonts w:cs="Times New Roman"/>
          <w:sz w:val="26"/>
          <w:szCs w:val="26"/>
        </w:rPr>
        <w:t>Former § 4900, subd. (b)</w:t>
      </w:r>
      <w:r>
        <w:rPr>
          <w:rFonts w:cs="Times New Roman"/>
          <w:sz w:val="26"/>
          <w:szCs w:val="26"/>
        </w:rPr>
        <w:t xml:space="preserve">, Stats. 2021, </w:t>
      </w:r>
      <w:proofErr w:type="spellStart"/>
      <w:r>
        <w:rPr>
          <w:rFonts w:cs="Times New Roman"/>
          <w:sz w:val="26"/>
          <w:szCs w:val="26"/>
        </w:rPr>
        <w:t>c</w:t>
      </w:r>
      <w:r>
        <w:rPr>
          <w:rFonts w:cs="Times New Roman"/>
          <w:sz w:val="26"/>
          <w:szCs w:val="26"/>
        </w:rPr>
        <w:t>h</w:t>
      </w:r>
      <w:r>
        <w:rPr>
          <w:rFonts w:cs="Times New Roman"/>
          <w:sz w:val="26"/>
          <w:szCs w:val="26"/>
        </w:rPr>
        <w:t>.</w:t>
      </w:r>
      <w:proofErr w:type="spellEnd"/>
      <w:r>
        <w:rPr>
          <w:rFonts w:cs="Times New Roman"/>
          <w:sz w:val="26"/>
          <w:szCs w:val="26"/>
        </w:rPr>
        <w:t xml:space="preserve"> 490 (S</w:t>
      </w:r>
      <w:r>
        <w:rPr>
          <w:rFonts w:cs="Times New Roman"/>
          <w:sz w:val="26"/>
          <w:szCs w:val="26"/>
        </w:rPr>
        <w:t>en</w:t>
      </w:r>
      <w:r>
        <w:rPr>
          <w:rFonts w:cs="Times New Roman"/>
          <w:sz w:val="26"/>
          <w:szCs w:val="26"/>
        </w:rPr>
        <w:t>.</w:t>
      </w:r>
      <w:r>
        <w:rPr>
          <w:rFonts w:cs="Times New Roman"/>
          <w:sz w:val="26"/>
          <w:szCs w:val="26"/>
        </w:rPr>
        <w:t xml:space="preserve"> </w:t>
      </w:r>
      <w:r>
        <w:rPr>
          <w:rFonts w:cs="Times New Roman"/>
          <w:sz w:val="26"/>
          <w:szCs w:val="26"/>
        </w:rPr>
        <w:t>B</w:t>
      </w:r>
      <w:r>
        <w:rPr>
          <w:rFonts w:cs="Times New Roman"/>
          <w:sz w:val="26"/>
          <w:szCs w:val="26"/>
        </w:rPr>
        <w:t>ill</w:t>
      </w:r>
      <w:r>
        <w:rPr>
          <w:rFonts w:cs="Times New Roman"/>
          <w:sz w:val="26"/>
          <w:szCs w:val="26"/>
        </w:rPr>
        <w:t xml:space="preserve"> No. 446), § 3, </w:t>
      </w:r>
      <w:r w:rsidRPr="009D4226">
        <w:rPr>
          <w:rFonts w:cs="Times New Roman"/>
          <w:sz w:val="26"/>
          <w:szCs w:val="26"/>
        </w:rPr>
        <w:t>eff. Jan. 1, 2022); former § 4902, subd. (d)</w:t>
      </w:r>
      <w:r>
        <w:rPr>
          <w:rFonts w:cs="Times New Roman"/>
          <w:sz w:val="26"/>
          <w:szCs w:val="26"/>
        </w:rPr>
        <w:t xml:space="preserve">, Stats. 2021, </w:t>
      </w:r>
      <w:proofErr w:type="spellStart"/>
      <w:r>
        <w:rPr>
          <w:rFonts w:cs="Times New Roman"/>
          <w:sz w:val="26"/>
          <w:szCs w:val="26"/>
        </w:rPr>
        <w:t>c</w:t>
      </w:r>
      <w:r>
        <w:rPr>
          <w:rFonts w:cs="Times New Roman"/>
          <w:sz w:val="26"/>
          <w:szCs w:val="26"/>
        </w:rPr>
        <w:t>h</w:t>
      </w:r>
      <w:r>
        <w:rPr>
          <w:rFonts w:cs="Times New Roman"/>
          <w:sz w:val="26"/>
          <w:szCs w:val="26"/>
        </w:rPr>
        <w:t>.</w:t>
      </w:r>
      <w:proofErr w:type="spellEnd"/>
      <w:r>
        <w:rPr>
          <w:rFonts w:cs="Times New Roman"/>
          <w:sz w:val="26"/>
          <w:szCs w:val="26"/>
        </w:rPr>
        <w:t xml:space="preserve"> 490 (S</w:t>
      </w:r>
      <w:r>
        <w:rPr>
          <w:rFonts w:cs="Times New Roman"/>
          <w:sz w:val="26"/>
          <w:szCs w:val="26"/>
        </w:rPr>
        <w:t>en</w:t>
      </w:r>
      <w:r>
        <w:rPr>
          <w:rFonts w:cs="Times New Roman"/>
          <w:sz w:val="26"/>
          <w:szCs w:val="26"/>
        </w:rPr>
        <w:t>.</w:t>
      </w:r>
      <w:r>
        <w:rPr>
          <w:rFonts w:cs="Times New Roman"/>
          <w:sz w:val="26"/>
          <w:szCs w:val="26"/>
        </w:rPr>
        <w:t xml:space="preserve"> </w:t>
      </w:r>
      <w:r>
        <w:rPr>
          <w:rFonts w:cs="Times New Roman"/>
          <w:sz w:val="26"/>
          <w:szCs w:val="26"/>
        </w:rPr>
        <w:t>B</w:t>
      </w:r>
      <w:r>
        <w:rPr>
          <w:rFonts w:cs="Times New Roman"/>
          <w:sz w:val="26"/>
          <w:szCs w:val="26"/>
        </w:rPr>
        <w:t>ill</w:t>
      </w:r>
      <w:r>
        <w:rPr>
          <w:rFonts w:cs="Times New Roman"/>
          <w:sz w:val="26"/>
          <w:szCs w:val="26"/>
        </w:rPr>
        <w:t xml:space="preserve"> No. 446), § 4, </w:t>
      </w:r>
      <w:r w:rsidRPr="009D4226">
        <w:rPr>
          <w:rFonts w:cs="Times New Roman"/>
          <w:sz w:val="26"/>
          <w:szCs w:val="26"/>
        </w:rPr>
        <w:t>eff. Jan. 1, 2022; Cal. Code Reg</w:t>
      </w:r>
      <w:r>
        <w:rPr>
          <w:rFonts w:cs="Times New Roman"/>
          <w:sz w:val="26"/>
          <w:szCs w:val="26"/>
        </w:rPr>
        <w:t>s</w:t>
      </w:r>
      <w:r w:rsidRPr="009D4226">
        <w:rPr>
          <w:rFonts w:cs="Times New Roman"/>
          <w:sz w:val="26"/>
          <w:szCs w:val="26"/>
        </w:rPr>
        <w:t>.,</w:t>
      </w:r>
      <w:r>
        <w:rPr>
          <w:rFonts w:cs="Times New Roman"/>
          <w:sz w:val="26"/>
          <w:szCs w:val="26"/>
        </w:rPr>
        <w:t xml:space="preserve"> tit. 2,</w:t>
      </w:r>
      <w:r w:rsidRPr="009D4226">
        <w:rPr>
          <w:rFonts w:cs="Times New Roman"/>
          <w:sz w:val="26"/>
          <w:szCs w:val="26"/>
        </w:rPr>
        <w:t xml:space="preserve"> § 644, subd. (e).)</w:t>
      </w:r>
    </w:p>
  </w:footnote>
  <w:footnote w:id="9">
    <w:p w14:paraId="11820E03" w14:textId="77777777" w:rsidR="009E65CC" w:rsidRDefault="009E65CC">
      <w:pPr>
        <w:pStyle w:val="FootnoteText"/>
      </w:pPr>
      <w:r w:rsidRPr="009A432D">
        <w:rPr>
          <w:rStyle w:val="FootnoteReference"/>
          <w:b/>
          <w:bCs/>
          <w:vertAlign w:val="baseline"/>
        </w:rPr>
        <w:footnoteRef/>
      </w:r>
      <w:r w:rsidRPr="009A432D">
        <w:rPr>
          <w:b/>
          <w:bCs/>
        </w:rPr>
        <w:t xml:space="preserve"> </w:t>
      </w:r>
      <w:r>
        <w:tab/>
      </w:r>
      <w:r w:rsidRPr="009A432D">
        <w:rPr>
          <w:sz w:val="26"/>
          <w:szCs w:val="26"/>
        </w:rPr>
        <w:t xml:space="preserve">In addition to establishing innocence by a preponderance of the evidence, the inmate also must show </w:t>
      </w:r>
      <w:r w:rsidRPr="009A432D">
        <w:rPr>
          <w:sz w:val="26"/>
          <w:szCs w:val="26"/>
        </w:rPr>
        <w:t xml:space="preserve">“the </w:t>
      </w:r>
      <w:r w:rsidRPr="009A432D">
        <w:rPr>
          <w:sz w:val="26"/>
          <w:szCs w:val="26"/>
        </w:rPr>
        <w:t>pecuniary</w:t>
      </w:r>
      <w:r w:rsidRPr="009A432D">
        <w:rPr>
          <w:sz w:val="26"/>
          <w:szCs w:val="26"/>
        </w:rPr>
        <w:t xml:space="preserve"> injury” they </w:t>
      </w:r>
      <w:r w:rsidRPr="009A432D">
        <w:rPr>
          <w:sz w:val="26"/>
          <w:szCs w:val="26"/>
        </w:rPr>
        <w:t>sustained</w:t>
      </w:r>
      <w:r w:rsidRPr="009A432D">
        <w:rPr>
          <w:sz w:val="26"/>
          <w:szCs w:val="26"/>
        </w:rPr>
        <w:t xml:space="preserve"> </w:t>
      </w:r>
      <w:proofErr w:type="gramStart"/>
      <w:r w:rsidRPr="009A432D">
        <w:rPr>
          <w:sz w:val="26"/>
          <w:szCs w:val="26"/>
        </w:rPr>
        <w:t>as a result of</w:t>
      </w:r>
      <w:proofErr w:type="gramEnd"/>
      <w:r w:rsidRPr="009A432D">
        <w:rPr>
          <w:sz w:val="26"/>
          <w:szCs w:val="26"/>
        </w:rPr>
        <w:t xml:space="preserve"> the “erroneous conviction and imprisonment.”  (§</w:t>
      </w:r>
      <w:r w:rsidRPr="009A432D">
        <w:rPr>
          <w:sz w:val="26"/>
          <w:szCs w:val="26"/>
        </w:rPr>
        <w:t>§</w:t>
      </w:r>
      <w:r>
        <w:rPr>
          <w:sz w:val="26"/>
          <w:szCs w:val="26"/>
        </w:rPr>
        <w:t xml:space="preserve"> </w:t>
      </w:r>
      <w:r w:rsidRPr="009A432D">
        <w:rPr>
          <w:sz w:val="26"/>
          <w:szCs w:val="26"/>
        </w:rPr>
        <w:t>4903, subd. (a)</w:t>
      </w:r>
      <w:r w:rsidRPr="009A432D">
        <w:rPr>
          <w:sz w:val="26"/>
          <w:szCs w:val="26"/>
        </w:rPr>
        <w:t xml:space="preserve">, </w:t>
      </w:r>
      <w:r w:rsidRPr="009A432D">
        <w:rPr>
          <w:sz w:val="26"/>
          <w:szCs w:val="26"/>
        </w:rPr>
        <w:t>4900</w:t>
      </w:r>
      <w:r>
        <w:rPr>
          <w:sz w:val="26"/>
          <w:szCs w:val="26"/>
        </w:rPr>
        <w:t xml:space="preserve">, </w:t>
      </w:r>
      <w:r w:rsidRPr="009A432D">
        <w:rPr>
          <w:sz w:val="26"/>
          <w:szCs w:val="26"/>
        </w:rPr>
        <w:t>4904.)  That second element is not at issue here, where the People stipulated to Gonzales’s pecuniary injury if he first proved his factual innocence.</w:t>
      </w:r>
      <w:r>
        <w:t xml:space="preserve">  </w:t>
      </w:r>
    </w:p>
  </w:footnote>
  <w:footnote w:id="10">
    <w:p w14:paraId="456040FD" w14:textId="77777777" w:rsidR="009E65CC" w:rsidRDefault="009E65CC" w:rsidP="0030698B">
      <w:pPr>
        <w:pStyle w:val="FootnoteText"/>
      </w:pPr>
      <w:r w:rsidRPr="0070658D">
        <w:rPr>
          <w:rStyle w:val="FootnoteReference"/>
          <w:b/>
          <w:bCs/>
          <w:vertAlign w:val="baseline"/>
        </w:rPr>
        <w:footnoteRef/>
      </w:r>
      <w:r w:rsidRPr="0070658D">
        <w:rPr>
          <w:b/>
          <w:bCs/>
        </w:rPr>
        <w:t xml:space="preserve"> </w:t>
      </w:r>
      <w:r>
        <w:tab/>
      </w:r>
      <w:r w:rsidRPr="008E2CE9">
        <w:rPr>
          <w:sz w:val="26"/>
          <w:szCs w:val="26"/>
        </w:rPr>
        <w:t xml:space="preserve">This is also why we reject Gonzales’s argument, raised for the first time in his reply brief, that Senate Bill </w:t>
      </w:r>
      <w:r>
        <w:rPr>
          <w:sz w:val="26"/>
          <w:szCs w:val="26"/>
        </w:rPr>
        <w:t xml:space="preserve">No. </w:t>
      </w:r>
      <w:r w:rsidRPr="008E2CE9">
        <w:rPr>
          <w:sz w:val="26"/>
          <w:szCs w:val="26"/>
        </w:rPr>
        <w:t xml:space="preserve">446 merely </w:t>
      </w:r>
      <w:r>
        <w:rPr>
          <w:sz w:val="26"/>
          <w:szCs w:val="26"/>
        </w:rPr>
        <w:t>clarified</w:t>
      </w:r>
      <w:r w:rsidRPr="008E2CE9">
        <w:rPr>
          <w:sz w:val="26"/>
          <w:szCs w:val="26"/>
        </w:rPr>
        <w:t xml:space="preserve"> </w:t>
      </w:r>
      <w:r w:rsidRPr="008E2CE9">
        <w:rPr>
          <w:sz w:val="26"/>
          <w:szCs w:val="26"/>
        </w:rPr>
        <w:t>existing law.</w:t>
      </w:r>
      <w:r>
        <w:t xml:space="preserve">  </w:t>
      </w:r>
    </w:p>
  </w:footnote>
  <w:footnote w:id="11">
    <w:p w14:paraId="18A9F0B8" w14:textId="77777777" w:rsidR="009E65CC" w:rsidRDefault="009E65CC">
      <w:pPr>
        <w:pStyle w:val="FootnoteText"/>
      </w:pPr>
      <w:r w:rsidRPr="00C57589">
        <w:rPr>
          <w:rStyle w:val="FootnoteReference"/>
          <w:b/>
          <w:bCs/>
          <w:vertAlign w:val="baseline"/>
        </w:rPr>
        <w:footnoteRef/>
      </w:r>
      <w:r w:rsidRPr="00C57589">
        <w:t xml:space="preserve"> </w:t>
      </w:r>
      <w:r w:rsidRPr="00C57589">
        <w:tab/>
      </w:r>
      <w:r w:rsidRPr="00C57589">
        <w:rPr>
          <w:sz w:val="26"/>
          <w:szCs w:val="26"/>
        </w:rPr>
        <w:t xml:space="preserve">Gonzales is incorrect </w:t>
      </w:r>
      <w:r w:rsidRPr="00C57589">
        <w:rPr>
          <w:sz w:val="26"/>
          <w:szCs w:val="26"/>
        </w:rPr>
        <w:t>in his repeated characterization of</w:t>
      </w:r>
      <w:r w:rsidRPr="00C57589">
        <w:rPr>
          <w:sz w:val="26"/>
          <w:szCs w:val="26"/>
        </w:rPr>
        <w:t xml:space="preserve"> the </w:t>
      </w:r>
      <w:r w:rsidRPr="00C57589">
        <w:rPr>
          <w:sz w:val="26"/>
          <w:szCs w:val="26"/>
        </w:rPr>
        <w:t>trial record</w:t>
      </w:r>
      <w:r w:rsidRPr="00C57589">
        <w:rPr>
          <w:sz w:val="26"/>
          <w:szCs w:val="26"/>
        </w:rPr>
        <w:t xml:space="preserve"> as establishing that the particles of gunshot residue “more than likely” came from him touching a surface contaminated with gunshot residue rather than </w:t>
      </w:r>
      <w:r w:rsidRPr="00C57589">
        <w:rPr>
          <w:sz w:val="26"/>
          <w:szCs w:val="26"/>
        </w:rPr>
        <w:t xml:space="preserve">from </w:t>
      </w:r>
      <w:r w:rsidRPr="00C57589">
        <w:rPr>
          <w:sz w:val="26"/>
          <w:szCs w:val="26"/>
        </w:rPr>
        <w:t>him discharging a firearm.</w:t>
      </w:r>
      <w:r w:rsidRPr="00C57589">
        <w:rPr>
          <w:sz w:val="26"/>
          <w:szCs w:val="26"/>
        </w:rPr>
        <w:t xml:space="preserve">  </w:t>
      </w:r>
      <w:r w:rsidRPr="00C57589">
        <w:rPr>
          <w:sz w:val="26"/>
          <w:szCs w:val="26"/>
        </w:rPr>
        <w:t xml:space="preserve">The technician who analyzed the gunshot residue kit testified </w:t>
      </w:r>
      <w:r w:rsidRPr="00C57589">
        <w:rPr>
          <w:sz w:val="26"/>
          <w:szCs w:val="26"/>
        </w:rPr>
        <w:t xml:space="preserve">at </w:t>
      </w:r>
      <w:r w:rsidRPr="00C57589">
        <w:rPr>
          <w:sz w:val="26"/>
          <w:szCs w:val="26"/>
        </w:rPr>
        <w:t>the</w:t>
      </w:r>
      <w:r w:rsidRPr="00C57589">
        <w:rPr>
          <w:sz w:val="26"/>
          <w:szCs w:val="26"/>
        </w:rPr>
        <w:t xml:space="preserve"> </w:t>
      </w:r>
      <w:r w:rsidRPr="00C57589">
        <w:rPr>
          <w:sz w:val="26"/>
          <w:szCs w:val="26"/>
        </w:rPr>
        <w:t xml:space="preserve">2009 </w:t>
      </w:r>
      <w:r w:rsidRPr="00C57589">
        <w:rPr>
          <w:sz w:val="26"/>
          <w:szCs w:val="26"/>
        </w:rPr>
        <w:t xml:space="preserve">jury trial that Gonzales </w:t>
      </w:r>
      <w:r w:rsidRPr="00C57589">
        <w:rPr>
          <w:sz w:val="26"/>
          <w:szCs w:val="26"/>
        </w:rPr>
        <w:t>either “fired a firearm, handled a firearm, ha</w:t>
      </w:r>
      <w:r w:rsidRPr="00C57589">
        <w:rPr>
          <w:sz w:val="26"/>
          <w:szCs w:val="26"/>
        </w:rPr>
        <w:t>[</w:t>
      </w:r>
      <w:r w:rsidRPr="00C57589">
        <w:rPr>
          <w:sz w:val="26"/>
          <w:szCs w:val="26"/>
        </w:rPr>
        <w:t>d</w:t>
      </w:r>
      <w:r w:rsidRPr="00C57589">
        <w:rPr>
          <w:sz w:val="26"/>
          <w:szCs w:val="26"/>
        </w:rPr>
        <w:t>]</w:t>
      </w:r>
      <w:r w:rsidRPr="00C57589">
        <w:rPr>
          <w:sz w:val="26"/>
          <w:szCs w:val="26"/>
        </w:rPr>
        <w:t xml:space="preserve"> been in close proximity of [a] discharged firearm, [or] contacted a surface that contain[ed] gunshot residue,</w:t>
      </w:r>
      <w:r w:rsidRPr="00C57589">
        <w:rPr>
          <w:sz w:val="26"/>
          <w:szCs w:val="26"/>
        </w:rPr>
        <w:t>”</w:t>
      </w:r>
      <w:r w:rsidRPr="00C57589">
        <w:rPr>
          <w:sz w:val="26"/>
          <w:szCs w:val="26"/>
        </w:rPr>
        <w:t xml:space="preserve"> but </w:t>
      </w:r>
      <w:r w:rsidRPr="00C57589">
        <w:rPr>
          <w:sz w:val="26"/>
          <w:szCs w:val="26"/>
        </w:rPr>
        <w:t xml:space="preserve">the technician </w:t>
      </w:r>
      <w:r w:rsidRPr="00C57589">
        <w:rPr>
          <w:sz w:val="26"/>
          <w:szCs w:val="26"/>
        </w:rPr>
        <w:t>could not “tell” “which of those four options</w:t>
      </w:r>
      <w:r w:rsidRPr="00C57589">
        <w:rPr>
          <w:sz w:val="26"/>
          <w:szCs w:val="26"/>
        </w:rPr>
        <w:t xml:space="preserve"> [</w:t>
      </w:r>
      <w:r w:rsidRPr="00C57589">
        <w:rPr>
          <w:sz w:val="26"/>
          <w:szCs w:val="26"/>
        </w:rPr>
        <w:t>was</w:t>
      </w:r>
      <w:r w:rsidRPr="00C57589">
        <w:rPr>
          <w:sz w:val="26"/>
          <w:szCs w:val="26"/>
        </w:rPr>
        <w:t xml:space="preserve">] </w:t>
      </w:r>
      <w:r w:rsidRPr="00C57589">
        <w:rPr>
          <w:sz w:val="26"/>
          <w:szCs w:val="26"/>
        </w:rPr>
        <w:t>in play” in this case</w:t>
      </w:r>
      <w:r w:rsidRPr="00C57589">
        <w:rPr>
          <w:sz w:val="26"/>
          <w:szCs w:val="26"/>
        </w:rPr>
        <w:t>.</w:t>
      </w:r>
      <w:r w:rsidRPr="00C57589">
        <w:rPr>
          <w:sz w:val="26"/>
          <w:szCs w:val="26"/>
        </w:rPr>
        <w:t xml:space="preserve">  The </w:t>
      </w:r>
      <w:r w:rsidRPr="00C57589">
        <w:rPr>
          <w:sz w:val="26"/>
          <w:szCs w:val="26"/>
        </w:rPr>
        <w:t xml:space="preserve">Ninth Circuit’s summary of </w:t>
      </w:r>
      <w:r w:rsidRPr="00C57589">
        <w:rPr>
          <w:sz w:val="26"/>
          <w:szCs w:val="26"/>
        </w:rPr>
        <w:t>the trial evidence</w:t>
      </w:r>
      <w:r w:rsidRPr="00C57589">
        <w:rPr>
          <w:sz w:val="26"/>
          <w:szCs w:val="26"/>
        </w:rPr>
        <w:t xml:space="preserve">—that </w:t>
      </w:r>
      <w:r w:rsidRPr="00C57589">
        <w:rPr>
          <w:sz w:val="26"/>
          <w:szCs w:val="26"/>
        </w:rPr>
        <w:t>any one of those options was “just as likely” the cause as the others—</w:t>
      </w:r>
      <w:r w:rsidRPr="00C57589">
        <w:rPr>
          <w:sz w:val="26"/>
          <w:szCs w:val="26"/>
        </w:rPr>
        <w:t>is</w:t>
      </w:r>
      <w:r w:rsidRPr="00C57589">
        <w:rPr>
          <w:sz w:val="26"/>
          <w:szCs w:val="26"/>
        </w:rPr>
        <w:t xml:space="preserve"> consistent with that testimony</w:t>
      </w:r>
      <w:r w:rsidRPr="00C57589">
        <w:rPr>
          <w:sz w:val="26"/>
          <w:szCs w:val="26"/>
        </w:rPr>
        <w:t>.</w:t>
      </w:r>
      <w:r w:rsidRPr="00C57589">
        <w:rPr>
          <w:sz w:val="26"/>
          <w:szCs w:val="26"/>
        </w:rPr>
        <w:t xml:space="preserve">  </w:t>
      </w:r>
      <w:r w:rsidRPr="00C57589">
        <w:rPr>
          <w:sz w:val="26"/>
          <w:szCs w:val="26"/>
        </w:rPr>
        <w:t xml:space="preserve">Thus, </w:t>
      </w:r>
      <w:r w:rsidRPr="00C57589">
        <w:rPr>
          <w:sz w:val="26"/>
          <w:szCs w:val="26"/>
        </w:rPr>
        <w:t>it was Gonzales’s burden to put on new evidence before the Board substantiating his theor</w:t>
      </w:r>
      <w:r w:rsidRPr="00C57589">
        <w:rPr>
          <w:sz w:val="26"/>
          <w:szCs w:val="26"/>
        </w:rPr>
        <w:t>y—contrary to the trial record—that the particles “more tha</w:t>
      </w:r>
      <w:r w:rsidRPr="00C57589">
        <w:rPr>
          <w:sz w:val="26"/>
          <w:szCs w:val="26"/>
        </w:rPr>
        <w:t>n</w:t>
      </w:r>
      <w:r w:rsidRPr="00C57589">
        <w:rPr>
          <w:sz w:val="26"/>
          <w:szCs w:val="26"/>
        </w:rPr>
        <w:t xml:space="preserve"> likely” came from an innocent source.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9C"/>
    <w:rsid w:val="00234CBB"/>
    <w:rsid w:val="009E65CC"/>
    <w:rsid w:val="00BF7C4E"/>
    <w:rsid w:val="00FB6100"/>
    <w:rsid w:val="00FD4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0" w:line="288" w:lineRule="auto"/>
    </w:pPr>
    <w:rPr>
      <w:rFonts w:ascii="Century Schoolbook" w:hAnsi="Century Schoolbook"/>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D38"/>
    <w:pPr>
      <w:tabs>
        <w:tab w:val="center" w:pos="4680"/>
        <w:tab w:val="right" w:pos="9360"/>
      </w:tabs>
      <w:spacing w:line="240" w:lineRule="auto"/>
    </w:pPr>
  </w:style>
  <w:style w:type="character" w:customStyle="1" w:styleId="HeaderChar">
    <w:name w:val="Header Char"/>
    <w:basedOn w:val="DefaultParagraphFont"/>
    <w:link w:val="Header"/>
    <w:uiPriority w:val="99"/>
    <w:rsid w:val="00137D38"/>
    <w:rPr>
      <w:rFonts w:ascii="Century Schoolbook" w:hAnsi="Century Schoolbook"/>
      <w:sz w:val="26"/>
    </w:rPr>
  </w:style>
  <w:style w:type="paragraph" w:styleId="Footer">
    <w:name w:val="footer"/>
    <w:basedOn w:val="Normal"/>
    <w:link w:val="FooterChar"/>
    <w:uiPriority w:val="99"/>
    <w:unhideWhenUsed/>
    <w:rsid w:val="00137D38"/>
    <w:pPr>
      <w:tabs>
        <w:tab w:val="center" w:pos="4680"/>
        <w:tab w:val="right" w:pos="9360"/>
      </w:tabs>
      <w:spacing w:line="240" w:lineRule="auto"/>
    </w:pPr>
  </w:style>
  <w:style w:type="character" w:customStyle="1" w:styleId="FooterChar">
    <w:name w:val="Footer Char"/>
    <w:basedOn w:val="DefaultParagraphFont"/>
    <w:link w:val="Footer"/>
    <w:uiPriority w:val="99"/>
    <w:rsid w:val="00137D38"/>
    <w:rPr>
      <w:rFonts w:ascii="Century Schoolbook" w:hAnsi="Century Schoolbook"/>
      <w:sz w:val="26"/>
    </w:rPr>
  </w:style>
  <w:style w:type="character" w:styleId="PageNumber">
    <w:name w:val="page number"/>
    <w:basedOn w:val="DefaultParagraphFont"/>
    <w:uiPriority w:val="99"/>
    <w:semiHidden/>
    <w:unhideWhenUsed/>
    <w:rsid w:val="00137D38"/>
  </w:style>
  <w:style w:type="paragraph" w:styleId="FootnoteText">
    <w:name w:val="footnote text"/>
    <w:basedOn w:val="Normal"/>
    <w:link w:val="FootnoteTextChar"/>
    <w:uiPriority w:val="99"/>
    <w:unhideWhenUsed/>
    <w:rsid w:val="00A150BA"/>
    <w:pPr>
      <w:spacing w:line="240" w:lineRule="auto"/>
    </w:pPr>
    <w:rPr>
      <w:sz w:val="20"/>
      <w:szCs w:val="20"/>
    </w:rPr>
  </w:style>
  <w:style w:type="character" w:customStyle="1" w:styleId="FootnoteTextChar">
    <w:name w:val="Footnote Text Char"/>
    <w:basedOn w:val="DefaultParagraphFont"/>
    <w:link w:val="FootnoteText"/>
    <w:uiPriority w:val="99"/>
    <w:rsid w:val="00A150BA"/>
    <w:rPr>
      <w:rFonts w:ascii="Century Schoolbook" w:hAnsi="Century Schoolbook"/>
      <w:sz w:val="20"/>
      <w:szCs w:val="20"/>
    </w:rPr>
  </w:style>
  <w:style w:type="character" w:styleId="FootnoteReference">
    <w:name w:val="footnote reference"/>
    <w:basedOn w:val="DefaultParagraphFont"/>
    <w:uiPriority w:val="99"/>
    <w:semiHidden/>
    <w:unhideWhenUsed/>
    <w:rsid w:val="00A150BA"/>
    <w:rPr>
      <w:vertAlign w:val="superscript"/>
    </w:rPr>
  </w:style>
  <w:style w:type="paragraph" w:styleId="ListParagraph">
    <w:name w:val="List Paragraph"/>
    <w:basedOn w:val="Normal"/>
    <w:uiPriority w:val="34"/>
    <w:qFormat/>
    <w:rsid w:val="00A150BA"/>
    <w:pPr>
      <w:ind w:left="720"/>
      <w:contextualSpacing/>
    </w:pPr>
  </w:style>
  <w:style w:type="paragraph" w:customStyle="1" w:styleId="Normal1">
    <w:name w:val="Normal1"/>
    <w:rsid w:val="00E226FD"/>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1C405E"/>
    <w:pPr>
      <w:spacing w:after="0" w:line="240" w:lineRule="auto"/>
    </w:pPr>
    <w:rPr>
      <w:rFonts w:ascii="Century Schoolbook" w:hAnsi="Century Schoolbook"/>
      <w:sz w:val="26"/>
    </w:rPr>
  </w:style>
  <w:style w:type="character" w:styleId="CommentReference">
    <w:name w:val="annotation reference"/>
    <w:basedOn w:val="DefaultParagraphFont"/>
    <w:uiPriority w:val="99"/>
    <w:semiHidden/>
    <w:unhideWhenUsed/>
    <w:rsid w:val="00343DBD"/>
    <w:rPr>
      <w:sz w:val="16"/>
      <w:szCs w:val="16"/>
    </w:rPr>
  </w:style>
  <w:style w:type="paragraph" w:styleId="CommentText">
    <w:name w:val="annotation text"/>
    <w:basedOn w:val="Normal"/>
    <w:link w:val="CommentTextChar"/>
    <w:uiPriority w:val="99"/>
    <w:unhideWhenUsed/>
    <w:rsid w:val="00343DBD"/>
    <w:pPr>
      <w:spacing w:line="240" w:lineRule="auto"/>
    </w:pPr>
    <w:rPr>
      <w:sz w:val="20"/>
      <w:szCs w:val="20"/>
    </w:rPr>
  </w:style>
  <w:style w:type="character" w:customStyle="1" w:styleId="CommentTextChar">
    <w:name w:val="Comment Text Char"/>
    <w:basedOn w:val="DefaultParagraphFont"/>
    <w:link w:val="CommentText"/>
    <w:uiPriority w:val="99"/>
    <w:rsid w:val="00343DBD"/>
    <w:rPr>
      <w:rFonts w:ascii="Century Schoolbook" w:hAnsi="Century Schoolbook"/>
      <w:sz w:val="20"/>
      <w:szCs w:val="20"/>
    </w:rPr>
  </w:style>
  <w:style w:type="paragraph" w:styleId="CommentSubject">
    <w:name w:val="annotation subject"/>
    <w:basedOn w:val="CommentText"/>
    <w:next w:val="CommentText"/>
    <w:link w:val="CommentSubjectChar"/>
    <w:uiPriority w:val="99"/>
    <w:semiHidden/>
    <w:unhideWhenUsed/>
    <w:rsid w:val="00343DBD"/>
    <w:rPr>
      <w:b/>
      <w:bCs/>
    </w:rPr>
  </w:style>
  <w:style w:type="character" w:customStyle="1" w:styleId="CommentSubjectChar">
    <w:name w:val="Comment Subject Char"/>
    <w:basedOn w:val="CommentTextChar"/>
    <w:link w:val="CommentSubject"/>
    <w:uiPriority w:val="99"/>
    <w:semiHidden/>
    <w:rsid w:val="00343DBD"/>
    <w:rPr>
      <w:rFonts w:ascii="Century Schoolbook" w:hAnsi="Century School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8786</Words>
  <Characters>46900</Characters>
  <Application>Microsoft Office Word</Application>
  <DocSecurity>0</DocSecurity>
  <Lines>1008</Lines>
  <Paragraphs>128</Paragraphs>
  <ScaleCrop>false</ScaleCrop>
  <HeadingPairs>
    <vt:vector size="2" baseType="variant">
      <vt:variant>
        <vt:lpstr>Title</vt:lpstr>
      </vt:variant>
      <vt:variant>
        <vt:i4>1</vt:i4>
      </vt:variant>
    </vt:vector>
  </HeadingPairs>
  <TitlesOfParts>
    <vt:vector size="1" baseType="lpstr">
      <vt:lpstr>12/29/2023</vt:lpstr>
    </vt:vector>
  </TitlesOfParts>
  <Manager/>
  <Company/>
  <LinksUpToDate>false</LinksUpToDate>
  <CharactersWithSpaces>55914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2023-12-29T22:42:00Z</dcterms:created>
  <dcterms:modified xsi:type="dcterms:W3CDTF">2023-12-29T22:42:00Z</dcterms:modified>
  <cp:category/>
</cp:coreProperties>
</file>