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C583" w14:textId="48AE8467" w:rsidR="00301393" w:rsidRPr="006A3567" w:rsidRDefault="00461399" w:rsidP="00337C47">
      <w:pPr>
        <w:spacing w:line="240" w:lineRule="auto"/>
        <w:rPr>
          <w:bCs/>
          <w:sz w:val="20"/>
          <w:szCs w:val="20"/>
        </w:rPr>
      </w:pPr>
      <w:r w:rsidRPr="006A3567">
        <w:rPr>
          <w:bCs/>
          <w:sz w:val="20"/>
          <w:szCs w:val="20"/>
        </w:rPr>
        <w:t>Filed 3/30/</w:t>
      </w:r>
      <w:r w:rsidRPr="006A3567">
        <w:rPr>
          <w:bCs/>
          <w:sz w:val="20"/>
          <w:szCs w:val="20"/>
        </w:rPr>
        <w:t>23</w:t>
      </w:r>
    </w:p>
    <w:p w14:paraId="1DCFDC07" w14:textId="77777777" w:rsidR="0026723A" w:rsidRDefault="00461399" w:rsidP="0026723A">
      <w:pPr>
        <w:spacing w:line="240" w:lineRule="auto"/>
        <w:jc w:val="center"/>
        <w:rPr>
          <w:b/>
        </w:rPr>
      </w:pPr>
      <w:r>
        <w:rPr>
          <w:b/>
        </w:rPr>
        <w:t xml:space="preserve">CERTIFIED FOR </w:t>
      </w:r>
      <w:r>
        <w:rPr>
          <w:b/>
        </w:rPr>
        <w:t xml:space="preserve">PARTIAL </w:t>
      </w:r>
      <w:r w:rsidRPr="0026723A">
        <w:rPr>
          <w:b/>
        </w:rPr>
        <w:t>PUBLICATION</w:t>
      </w:r>
      <w:r>
        <w:rPr>
          <w:rStyle w:val="FootnoteReference"/>
          <w:position w:val="8"/>
        </w:rPr>
        <w:footnoteReference w:customMarkFollows="1" w:id="2"/>
        <w:t>*</w:t>
      </w:r>
    </w:p>
    <w:p w14:paraId="4A38BD2D" w14:textId="77777777" w:rsidR="00352965" w:rsidRDefault="00461399" w:rsidP="00352965">
      <w:pPr>
        <w:spacing w:line="240" w:lineRule="auto"/>
        <w:jc w:val="center"/>
      </w:pPr>
    </w:p>
    <w:p w14:paraId="7DBE4FDF" w14:textId="77777777" w:rsidR="00CE7EE4" w:rsidRDefault="00461399" w:rsidP="00CE7EE4">
      <w:pPr>
        <w:spacing w:line="240" w:lineRule="auto"/>
        <w:jc w:val="center"/>
      </w:pPr>
      <w:r>
        <w:t>IN THE COURT OF APPEAL OF THE STATE OF CALIFORNIA</w:t>
      </w:r>
    </w:p>
    <w:p w14:paraId="090B06C4" w14:textId="77777777" w:rsidR="00CE7EE4" w:rsidRDefault="00461399" w:rsidP="00CE7EE4">
      <w:pPr>
        <w:spacing w:line="240" w:lineRule="auto"/>
        <w:jc w:val="center"/>
      </w:pPr>
    </w:p>
    <w:p w14:paraId="070F3E49" w14:textId="77777777" w:rsidR="00CE7EE4" w:rsidRDefault="00461399" w:rsidP="00CE7EE4">
      <w:pPr>
        <w:spacing w:line="240" w:lineRule="auto"/>
        <w:jc w:val="center"/>
      </w:pPr>
      <w:r>
        <w:t>SECOND APPELLATE DISTRICT</w:t>
      </w:r>
    </w:p>
    <w:p w14:paraId="6ED52905" w14:textId="77777777" w:rsidR="00CE7EE4" w:rsidRDefault="00461399" w:rsidP="00CE7EE4">
      <w:pPr>
        <w:spacing w:line="240" w:lineRule="auto"/>
        <w:jc w:val="center"/>
      </w:pPr>
    </w:p>
    <w:p w14:paraId="02938EFE" w14:textId="77777777" w:rsidR="00CE7EE4" w:rsidRDefault="00461399" w:rsidP="00CE7EE4">
      <w:pPr>
        <w:spacing w:line="240" w:lineRule="auto"/>
        <w:jc w:val="center"/>
      </w:pPr>
      <w:r>
        <w:t>DIVISION ONE</w:t>
      </w:r>
    </w:p>
    <w:p w14:paraId="71E16895" w14:textId="77777777" w:rsidR="00CE7EE4" w:rsidRDefault="00461399" w:rsidP="00CE7EE4">
      <w:pPr>
        <w:spacing w:line="240" w:lineRule="auto"/>
        <w:jc w:val="center"/>
      </w:pPr>
    </w:p>
    <w:p w14:paraId="6F7612D1" w14:textId="77777777" w:rsidR="00CE7EE4" w:rsidRDefault="00461399" w:rsidP="00CE7EE4">
      <w:pPr>
        <w:spacing w:line="240" w:lineRule="auto"/>
        <w:jc w:val="center"/>
      </w:pPr>
    </w:p>
    <w:tbl>
      <w:tblPr>
        <w:tblW w:w="8370" w:type="dxa"/>
        <w:tblLayout w:type="fixed"/>
        <w:tblLook w:val="0000" w:firstRow="0" w:lastRow="0" w:firstColumn="0" w:lastColumn="0" w:noHBand="0" w:noVBand="0"/>
      </w:tblPr>
      <w:tblGrid>
        <w:gridCol w:w="4410"/>
        <w:gridCol w:w="3960"/>
      </w:tblGrid>
      <w:tr w:rsidR="00597146" w14:paraId="3123DD77" w14:textId="77777777" w:rsidTr="00A85A7B">
        <w:tc>
          <w:tcPr>
            <w:tcW w:w="4410" w:type="dxa"/>
            <w:tcBorders>
              <w:bottom w:val="single" w:sz="4" w:space="0" w:color="auto"/>
              <w:right w:val="single" w:sz="4" w:space="0" w:color="auto"/>
            </w:tcBorders>
            <w:shd w:val="clear" w:color="auto" w:fill="auto"/>
          </w:tcPr>
          <w:p w14:paraId="1FBCC20E" w14:textId="77777777" w:rsidR="00CE7EE4" w:rsidRDefault="00461399">
            <w:pPr>
              <w:spacing w:line="240" w:lineRule="auto"/>
            </w:pPr>
            <w:r>
              <w:t>K.</w:t>
            </w:r>
            <w:r>
              <w:t>R.</w:t>
            </w:r>
            <w:r>
              <w:t>,</w:t>
            </w:r>
          </w:p>
          <w:p w14:paraId="276D5CBE" w14:textId="77777777" w:rsidR="00CE7EE4" w:rsidRDefault="00461399">
            <w:pPr>
              <w:spacing w:line="240" w:lineRule="auto"/>
            </w:pPr>
          </w:p>
          <w:p w14:paraId="298BADB5" w14:textId="77777777" w:rsidR="00CE7EE4" w:rsidRDefault="00461399">
            <w:pPr>
              <w:spacing w:line="240" w:lineRule="auto"/>
            </w:pPr>
            <w:r>
              <w:tab/>
              <w:t>Petitioner,</w:t>
            </w:r>
          </w:p>
          <w:p w14:paraId="6E93B392" w14:textId="77777777" w:rsidR="00CE7EE4" w:rsidRDefault="00461399">
            <w:pPr>
              <w:spacing w:line="240" w:lineRule="auto"/>
            </w:pPr>
          </w:p>
          <w:p w14:paraId="335CD86F" w14:textId="77777777" w:rsidR="00CE7EE4" w:rsidRDefault="00461399">
            <w:pPr>
              <w:spacing w:line="240" w:lineRule="auto"/>
            </w:pPr>
            <w:r>
              <w:tab/>
              <w:t>v.</w:t>
            </w:r>
          </w:p>
          <w:p w14:paraId="0BE7DF7D" w14:textId="77777777" w:rsidR="00CE7EE4" w:rsidRDefault="00461399">
            <w:pPr>
              <w:spacing w:line="240" w:lineRule="auto"/>
            </w:pPr>
          </w:p>
          <w:p w14:paraId="5975649F" w14:textId="77777777" w:rsidR="00CE7EE4" w:rsidRDefault="00461399">
            <w:pPr>
              <w:spacing w:line="240" w:lineRule="auto"/>
            </w:pPr>
            <w:r>
              <w:t>THE SUPERIOR COURT OF LOS ANGELES COUNTY,</w:t>
            </w:r>
          </w:p>
          <w:p w14:paraId="07A21A08" w14:textId="77777777" w:rsidR="00CE7EE4" w:rsidRDefault="00461399">
            <w:pPr>
              <w:spacing w:line="240" w:lineRule="auto"/>
            </w:pPr>
          </w:p>
          <w:p w14:paraId="70CD5874" w14:textId="77777777" w:rsidR="00CE7EE4" w:rsidRDefault="00461399">
            <w:pPr>
              <w:spacing w:line="240" w:lineRule="auto"/>
            </w:pPr>
            <w:r>
              <w:tab/>
              <w:t>Respondent;</w:t>
            </w:r>
          </w:p>
          <w:p w14:paraId="10C75926" w14:textId="77777777" w:rsidR="00CE7EE4" w:rsidRDefault="00461399">
            <w:pPr>
              <w:spacing w:line="240" w:lineRule="auto"/>
            </w:pPr>
          </w:p>
          <w:p w14:paraId="4AB3B5C9" w14:textId="5ACB36D9" w:rsidR="00CE7EE4" w:rsidRDefault="00461399">
            <w:pPr>
              <w:spacing w:line="240" w:lineRule="auto"/>
            </w:pPr>
            <w:r>
              <w:t>THE PEOPLE</w:t>
            </w:r>
            <w:r>
              <w:t>,</w:t>
            </w:r>
          </w:p>
          <w:p w14:paraId="6B51B596" w14:textId="77777777" w:rsidR="00CE7EE4" w:rsidRDefault="00461399">
            <w:pPr>
              <w:spacing w:line="240" w:lineRule="auto"/>
            </w:pPr>
          </w:p>
          <w:p w14:paraId="38B025F7" w14:textId="77777777" w:rsidR="00CE7EE4" w:rsidRDefault="00461399">
            <w:pPr>
              <w:spacing w:line="240" w:lineRule="auto"/>
            </w:pPr>
            <w:r>
              <w:tab/>
              <w:t>Real Party in Interest.</w:t>
            </w:r>
          </w:p>
          <w:p w14:paraId="58AD52EA" w14:textId="77777777" w:rsidR="00CE7EE4" w:rsidRDefault="00461399">
            <w:pPr>
              <w:spacing w:line="240" w:lineRule="auto"/>
            </w:pPr>
          </w:p>
        </w:tc>
        <w:tc>
          <w:tcPr>
            <w:tcW w:w="3960" w:type="dxa"/>
            <w:tcBorders>
              <w:left w:val="single" w:sz="4" w:space="0" w:color="auto"/>
            </w:tcBorders>
            <w:shd w:val="clear" w:color="auto" w:fill="auto"/>
          </w:tcPr>
          <w:p w14:paraId="0C52C137" w14:textId="77777777" w:rsidR="00CE7EE4" w:rsidRDefault="00461399">
            <w:pPr>
              <w:spacing w:line="240" w:lineRule="auto"/>
            </w:pPr>
            <w:r>
              <w:t xml:space="preserve">      B</w:t>
            </w:r>
            <w:r>
              <w:t>321655</w:t>
            </w:r>
          </w:p>
          <w:p w14:paraId="5DCB052A" w14:textId="77777777" w:rsidR="00CE7EE4" w:rsidRDefault="00461399">
            <w:pPr>
              <w:spacing w:line="240" w:lineRule="auto"/>
            </w:pPr>
          </w:p>
          <w:p w14:paraId="50920036" w14:textId="77777777" w:rsidR="00E96A2F" w:rsidRDefault="00461399">
            <w:pPr>
              <w:spacing w:line="240" w:lineRule="auto"/>
            </w:pPr>
            <w:r>
              <w:t xml:space="preserve">      (Los Angeles County</w:t>
            </w:r>
          </w:p>
          <w:p w14:paraId="0C1EFD4C" w14:textId="77777777" w:rsidR="00CE7EE4" w:rsidRDefault="00461399">
            <w:pPr>
              <w:spacing w:line="240" w:lineRule="auto"/>
            </w:pPr>
            <w:r>
              <w:t xml:space="preserve">       Super. Ct. No. </w:t>
            </w:r>
            <w:r>
              <w:t>FJ</w:t>
            </w:r>
            <w:r>
              <w:t>57352</w:t>
            </w:r>
            <w:r>
              <w:t>)</w:t>
            </w:r>
          </w:p>
          <w:p w14:paraId="1BE812BF" w14:textId="77777777" w:rsidR="00CE7EE4" w:rsidRDefault="00461399">
            <w:pPr>
              <w:spacing w:line="240" w:lineRule="auto"/>
            </w:pPr>
          </w:p>
        </w:tc>
      </w:tr>
    </w:tbl>
    <w:p w14:paraId="47F3DAEC" w14:textId="4B7664BF" w:rsidR="00352965" w:rsidRDefault="00461399" w:rsidP="00352965">
      <w:pPr>
        <w:spacing w:line="240" w:lineRule="auto"/>
      </w:pPr>
    </w:p>
    <w:p w14:paraId="1803C476" w14:textId="77777777" w:rsidR="005C5BEE" w:rsidRDefault="005C5BEE" w:rsidP="00352965">
      <w:pPr>
        <w:spacing w:line="240" w:lineRule="auto"/>
      </w:pPr>
    </w:p>
    <w:p w14:paraId="71226E84" w14:textId="77777777" w:rsidR="00352965" w:rsidRDefault="00461399">
      <w:r>
        <w:tab/>
      </w:r>
      <w:r>
        <w:t>ORIGINAL PROCEEDINGS</w:t>
      </w:r>
      <w:r>
        <w:t>; petition for writ of mand</w:t>
      </w:r>
      <w:r>
        <w:t xml:space="preserve">ate.  </w:t>
      </w:r>
      <w:r>
        <w:t>Christopher Smith</w:t>
      </w:r>
      <w:r w:rsidRPr="00490A35">
        <w:t>,</w:t>
      </w:r>
      <w:r w:rsidRPr="00D16015">
        <w:t xml:space="preserve"> Judge.  </w:t>
      </w:r>
      <w:r>
        <w:t>Petition denied</w:t>
      </w:r>
      <w:r>
        <w:t>.</w:t>
      </w:r>
    </w:p>
    <w:p w14:paraId="50F6B58A" w14:textId="77777777" w:rsidR="00352965" w:rsidRDefault="00461399">
      <w:r>
        <w:tab/>
      </w:r>
      <w:r>
        <w:t>Cyn Yamasiro</w:t>
      </w:r>
      <w:r>
        <w:t>, Mark</w:t>
      </w:r>
      <w:r w:rsidRPr="004500D3">
        <w:t>é</w:t>
      </w:r>
      <w:r>
        <w:t>ta Sims</w:t>
      </w:r>
      <w:r>
        <w:t xml:space="preserve">, and </w:t>
      </w:r>
      <w:r>
        <w:t>Martin Lijtmaer</w:t>
      </w:r>
      <w:r>
        <w:t xml:space="preserve"> for </w:t>
      </w:r>
      <w:r>
        <w:t>Petitioner</w:t>
      </w:r>
      <w:r>
        <w:t>.</w:t>
      </w:r>
    </w:p>
    <w:p w14:paraId="239F4514" w14:textId="77777777" w:rsidR="001114E9" w:rsidRDefault="00461399">
      <w:r>
        <w:lastRenderedPageBreak/>
        <w:tab/>
        <w:t>No appearance for Respondent</w:t>
      </w:r>
      <w:r>
        <w:t>.</w:t>
      </w:r>
    </w:p>
    <w:p w14:paraId="3029D0DB" w14:textId="77777777" w:rsidR="00352965" w:rsidRDefault="00461399" w:rsidP="0039475E">
      <w:r>
        <w:tab/>
      </w:r>
      <w:r>
        <w:t>George Gasc</w:t>
      </w:r>
      <w:r w:rsidRPr="0039475E">
        <w:t>ó</w:t>
      </w:r>
      <w:r>
        <w:t>n</w:t>
      </w:r>
      <w:r>
        <w:t>, District Attorney, Tracey Whitney</w:t>
      </w:r>
      <w:r>
        <w:t xml:space="preserve"> and Felicia Shu, Deputy District Attorneys, for Real Party in Interest</w:t>
      </w:r>
      <w:r>
        <w:t>.</w:t>
      </w:r>
    </w:p>
    <w:p w14:paraId="4F3E2B10" w14:textId="77777777" w:rsidR="00352965" w:rsidRDefault="00461399" w:rsidP="008956FF">
      <w:pPr>
        <w:spacing w:before="120" w:after="240"/>
        <w:jc w:val="center"/>
      </w:pPr>
      <w:r w:rsidRPr="00AD4CBF">
        <w:t>_____________</w:t>
      </w:r>
      <w:r>
        <w:t>______</w:t>
      </w:r>
      <w:r w:rsidRPr="00AD4CBF">
        <w:t>__</w:t>
      </w:r>
    </w:p>
    <w:p w14:paraId="1F06E5EC" w14:textId="77777777" w:rsidR="00832137" w:rsidRDefault="00461399" w:rsidP="00832137">
      <w:r>
        <w:tab/>
        <w:t xml:space="preserve">In 2018, </w:t>
      </w:r>
      <w:r>
        <w:t>t</w:t>
      </w:r>
      <w:r w:rsidRPr="00167E86">
        <w:t xml:space="preserve">he Legislature </w:t>
      </w:r>
      <w:r>
        <w:t xml:space="preserve">enacted Assembly Bill </w:t>
      </w:r>
      <w:r w:rsidRPr="005118E9">
        <w:t>N</w:t>
      </w:r>
      <w:r w:rsidRPr="005118E9">
        <w:t>o. 1214 (2017-2018 Reg. Sess.) (Stats. 2018, ch. 991)</w:t>
      </w:r>
      <w:r>
        <w:t xml:space="preserve">, which </w:t>
      </w:r>
      <w:r w:rsidRPr="00167E86">
        <w:t xml:space="preserve">repealed the </w:t>
      </w:r>
      <w:r>
        <w:t xml:space="preserve">then </w:t>
      </w:r>
      <w:r>
        <w:t xml:space="preserve">existing statute governing </w:t>
      </w:r>
      <w:r>
        <w:t xml:space="preserve">competency proceedings in juvenile delinquency cases and replaced it with </w:t>
      </w:r>
      <w:r>
        <w:t>a new</w:t>
      </w:r>
      <w:r>
        <w:t xml:space="preserve"> version,</w:t>
      </w:r>
      <w:r>
        <w:t xml:space="preserve"> </w:t>
      </w:r>
      <w:r>
        <w:t>Welfare and Institutions Code section 709.</w:t>
      </w:r>
      <w:r>
        <w:rPr>
          <w:rStyle w:val="FootnoteReference"/>
          <w:position w:val="8"/>
        </w:rPr>
        <w:footnoteReference w:id="3"/>
      </w:r>
      <w:r>
        <w:t xml:space="preserve"> </w:t>
      </w:r>
      <w:r>
        <w:t xml:space="preserve"> </w:t>
      </w:r>
      <w:r>
        <w:t xml:space="preserve">According to </w:t>
      </w:r>
      <w:r>
        <w:t>the bill’s author</w:t>
      </w:r>
      <w:r>
        <w:t xml:space="preserve">, the purpose of the </w:t>
      </w:r>
      <w:r>
        <w:t>bill</w:t>
      </w:r>
      <w:r>
        <w:t xml:space="preserve"> was </w:t>
      </w:r>
      <w:r>
        <w:t>to eliminate situations in which juveniles</w:t>
      </w:r>
      <w:r>
        <w:t xml:space="preserve"> found not competent to stand trial </w:t>
      </w:r>
      <w:r>
        <w:t>“</w:t>
      </w:r>
      <w:r w:rsidRPr="0059638F">
        <w:t>remain</w:t>
      </w:r>
      <w:r>
        <w:t>[ed]</w:t>
      </w:r>
      <w:r w:rsidRPr="0059638F">
        <w:t xml:space="preserve"> in </w:t>
      </w:r>
      <w:r>
        <w:t>[juvenile]</w:t>
      </w:r>
      <w:r w:rsidRPr="0059638F">
        <w:t xml:space="preserve"> hall without clear timelines governing the length of remediation services.</w:t>
      </w:r>
      <w:r>
        <w:t>”  (</w:t>
      </w:r>
      <w:r w:rsidRPr="00E05402">
        <w:t>Sen. Com. on Pub. Saf., Ana</w:t>
      </w:r>
      <w:r w:rsidRPr="00E05402">
        <w:t>lysis of Assem. Bill No. 1214</w:t>
      </w:r>
      <w:r>
        <w:t xml:space="preserve"> </w:t>
      </w:r>
      <w:r>
        <w:t>(2017-2018 Reg. Sess.)</w:t>
      </w:r>
      <w:r>
        <w:t xml:space="preserve"> June 26, 2018, p. 7.)</w:t>
      </w:r>
      <w:r>
        <w:t xml:space="preserve">  </w:t>
      </w:r>
      <w:r>
        <w:t xml:space="preserve">To that end, the new version of the statute </w:t>
      </w:r>
      <w:r>
        <w:t xml:space="preserve">provides that for juveniles, </w:t>
      </w:r>
      <w:r>
        <w:t>“</w:t>
      </w:r>
      <w:r w:rsidRPr="00832137">
        <w:t>the total remediation period shall not exceed one year from the finding of incompetency</w:t>
      </w:r>
      <w:r>
        <w:t>.”  (§</w:t>
      </w:r>
      <w:r>
        <w:t> </w:t>
      </w:r>
      <w:r>
        <w:t>709, subd. (</w:t>
      </w:r>
      <w:r>
        <w:t>h)(3).</w:t>
      </w:r>
      <w:r>
        <w:t>)</w:t>
      </w:r>
    </w:p>
    <w:p w14:paraId="66AF51CB" w14:textId="77777777" w:rsidR="001A66F2" w:rsidRDefault="00461399" w:rsidP="00832137">
      <w:r>
        <w:tab/>
        <w:t>In this case,</w:t>
      </w:r>
      <w:r>
        <w:t xml:space="preserve"> almost 15 months elapsed from the time the juvenile court found</w:t>
      </w:r>
      <w:r>
        <w:t xml:space="preserve"> </w:t>
      </w:r>
      <w:r>
        <w:t xml:space="preserve">petitioner </w:t>
      </w:r>
      <w:r>
        <w:t>K.</w:t>
      </w:r>
      <w:r>
        <w:t>R.</w:t>
      </w:r>
      <w:r>
        <w:t xml:space="preserve"> incompetent to stand trial</w:t>
      </w:r>
      <w:r>
        <w:t xml:space="preserve"> and referred him for remediation</w:t>
      </w:r>
      <w:r>
        <w:t xml:space="preserve">, </w:t>
      </w:r>
      <w:r>
        <w:t>until</w:t>
      </w:r>
      <w:r>
        <w:t xml:space="preserve"> the court</w:t>
      </w:r>
      <w:r>
        <w:t xml:space="preserve"> determined that </w:t>
      </w:r>
      <w:r>
        <w:t>he had been restored to competency</w:t>
      </w:r>
      <w:r>
        <w:t xml:space="preserve"> and </w:t>
      </w:r>
      <w:r>
        <w:t xml:space="preserve">reinstated the </w:t>
      </w:r>
      <w:r>
        <w:t>proceedings.</w:t>
      </w:r>
      <w:r>
        <w:t xml:space="preserve">  </w:t>
      </w:r>
      <w:r>
        <w:t xml:space="preserve">K.R </w:t>
      </w:r>
      <w:r>
        <w:t>remained in juvenile hall for that entire period.</w:t>
      </w:r>
      <w:r>
        <w:t xml:space="preserve">  </w:t>
      </w:r>
      <w:r>
        <w:t xml:space="preserve">He filed a </w:t>
      </w:r>
      <w:r>
        <w:t>writ petition argu</w:t>
      </w:r>
      <w:r>
        <w:t>ing</w:t>
      </w:r>
      <w:r>
        <w:t xml:space="preserve"> that th</w:t>
      </w:r>
      <w:r>
        <w:t xml:space="preserve">e court lost jurisdiction </w:t>
      </w:r>
      <w:r>
        <w:t xml:space="preserve">when </w:t>
      </w:r>
      <w:r>
        <w:t xml:space="preserve">it failed to make a final ruling on his competency </w:t>
      </w:r>
      <w:r>
        <w:t>by</w:t>
      </w:r>
      <w:r>
        <w:t xml:space="preserve"> the </w:t>
      </w:r>
      <w:r>
        <w:t>one-year deadlin</w:t>
      </w:r>
      <w:r>
        <w:t>e</w:t>
      </w:r>
      <w:r>
        <w:t xml:space="preserve"> for remediation</w:t>
      </w:r>
      <w:r>
        <w:t xml:space="preserve"> services</w:t>
      </w:r>
      <w:r>
        <w:t xml:space="preserve">, and was </w:t>
      </w:r>
      <w:r>
        <w:t>required to dismiss the case at that point</w:t>
      </w:r>
      <w:r>
        <w:t xml:space="preserve">.  In the alternative, he argues </w:t>
      </w:r>
      <w:r>
        <w:t xml:space="preserve">the </w:t>
      </w:r>
      <w:r>
        <w:lastRenderedPageBreak/>
        <w:t>court erred by allowing the prosecution to employ its own expert to examine him</w:t>
      </w:r>
      <w:r>
        <w:t>, and asks us to order the juvenile court to strike the expert’s testimony.</w:t>
      </w:r>
    </w:p>
    <w:p w14:paraId="6EE1C863" w14:textId="77777777" w:rsidR="00401107" w:rsidRDefault="00461399" w:rsidP="00FF3BAB">
      <w:pPr>
        <w:ind w:firstLine="720"/>
      </w:pPr>
      <w:r>
        <w:t>We</w:t>
      </w:r>
      <w:r>
        <w:t xml:space="preserve"> disagree</w:t>
      </w:r>
      <w:r>
        <w:t xml:space="preserve"> with both </w:t>
      </w:r>
      <w:r>
        <w:t>arguments</w:t>
      </w:r>
      <w:r>
        <w:t xml:space="preserve">.  </w:t>
      </w:r>
      <w:r>
        <w:t>In the published portion of our opinion</w:t>
      </w:r>
      <w:r>
        <w:t>, we hold that a</w:t>
      </w:r>
      <w:r>
        <w:t xml:space="preserve">lthough section 709 establishes a maximum </w:t>
      </w:r>
      <w:r>
        <w:t xml:space="preserve">period </w:t>
      </w:r>
      <w:r>
        <w:t xml:space="preserve">of one year of remediation, </w:t>
      </w:r>
      <w:r>
        <w:t xml:space="preserve">the </w:t>
      </w:r>
      <w:r>
        <w:t>juvenile court’s</w:t>
      </w:r>
      <w:r>
        <w:t xml:space="preserve"> jurisdiction</w:t>
      </w:r>
      <w:r>
        <w:t xml:space="preserve"> continues for</w:t>
      </w:r>
      <w:r>
        <w:t xml:space="preserve"> </w:t>
      </w:r>
      <w:r>
        <w:t xml:space="preserve">a reasonable period afterward </w:t>
      </w:r>
      <w:r>
        <w:t xml:space="preserve">for the court to </w:t>
      </w:r>
      <w:r>
        <w:t>resolve any dispu</w:t>
      </w:r>
      <w:r>
        <w:t xml:space="preserve">te </w:t>
      </w:r>
      <w:r>
        <w:t>still existing at the end of that period</w:t>
      </w:r>
      <w:r>
        <w:t xml:space="preserve"> </w:t>
      </w:r>
      <w:r>
        <w:t>over</w:t>
      </w:r>
      <w:r>
        <w:t xml:space="preserve"> whether the minor has attained competency.</w:t>
      </w:r>
      <w:r>
        <w:t xml:space="preserve">  </w:t>
      </w:r>
      <w:r>
        <w:t>Even if this was not the case, section 709</w:t>
      </w:r>
      <w:r>
        <w:t xml:space="preserve"> permits</w:t>
      </w:r>
      <w:r>
        <w:t xml:space="preserve"> a co</w:t>
      </w:r>
      <w:r>
        <w:t>u</w:t>
      </w:r>
      <w:r>
        <w:t>rt to keep</w:t>
      </w:r>
      <w:r>
        <w:t xml:space="preserve"> </w:t>
      </w:r>
      <w:r>
        <w:t>juveniles accused of certain serious offenses (including several</w:t>
      </w:r>
      <w:r>
        <w:t xml:space="preserve"> with which </w:t>
      </w:r>
      <w:r>
        <w:t xml:space="preserve">K.R. </w:t>
      </w:r>
      <w:r>
        <w:t xml:space="preserve">was charged) </w:t>
      </w:r>
      <w:r>
        <w:t>in</w:t>
      </w:r>
      <w:r>
        <w:t xml:space="preserve"> secure confinement past the one</w:t>
      </w:r>
      <w:r>
        <w:t>-</w:t>
      </w:r>
      <w:r>
        <w:t>year</w:t>
      </w:r>
      <w:r>
        <w:t xml:space="preserve"> remediation period</w:t>
      </w:r>
      <w:r>
        <w:t xml:space="preserve"> for conclusion of competency proceedings.  </w:t>
      </w:r>
      <w:r>
        <w:t xml:space="preserve">We also </w:t>
      </w:r>
      <w:r>
        <w:t>find that section 709 does not preclude the parties from seeking</w:t>
      </w:r>
      <w:r>
        <w:t xml:space="preserve"> the appointment of</w:t>
      </w:r>
      <w:r>
        <w:t xml:space="preserve"> their own expert</w:t>
      </w:r>
      <w:r>
        <w:t>(s)</w:t>
      </w:r>
      <w:r>
        <w:t xml:space="preserve"> after</w:t>
      </w:r>
      <w:r>
        <w:t xml:space="preserve"> the initial competency hearing</w:t>
      </w:r>
      <w:r>
        <w:t xml:space="preserve">.  In the unpublished portion, we hold </w:t>
      </w:r>
      <w:r>
        <w:t xml:space="preserve">that </w:t>
      </w:r>
      <w:r>
        <w:t xml:space="preserve">K.R. </w:t>
      </w:r>
      <w:r>
        <w:t xml:space="preserve">has not demonstrated prejudicial error </w:t>
      </w:r>
      <w:r>
        <w:t xml:space="preserve">from </w:t>
      </w:r>
      <w:r>
        <w:t xml:space="preserve">his </w:t>
      </w:r>
      <w:r>
        <w:t>examination by a</w:t>
      </w:r>
      <w:r>
        <w:t xml:space="preserve"> prosecution expert</w:t>
      </w:r>
      <w:r>
        <w:t>.</w:t>
      </w:r>
    </w:p>
    <w:p w14:paraId="66D17087" w14:textId="77777777" w:rsidR="00462275" w:rsidRDefault="00461399" w:rsidP="00176C77">
      <w:pPr>
        <w:pStyle w:val="Heading1"/>
        <w:spacing w:line="288" w:lineRule="auto"/>
      </w:pPr>
      <w:r>
        <w:t xml:space="preserve">I.  </w:t>
      </w:r>
      <w:r>
        <w:t>FACTS AND PROCEEDINGS BELOW</w:t>
      </w:r>
    </w:p>
    <w:p w14:paraId="0BD6E0E9" w14:textId="77777777" w:rsidR="005B2B62" w:rsidRDefault="00461399" w:rsidP="00955524">
      <w:pPr>
        <w:ind w:firstLine="720"/>
      </w:pPr>
      <w:r w:rsidRPr="00FF6A9E">
        <w:t>On August 27, 2020, the People filed a juvenile delinquency</w:t>
      </w:r>
      <w:r w:rsidRPr="00FF6A9E">
        <w:t xml:space="preserve"> petition under section 602 alleging that </w:t>
      </w:r>
      <w:r>
        <w:t>K.R.</w:t>
      </w:r>
      <w:r w:rsidRPr="00FF6A9E">
        <w:t xml:space="preserve"> committed murder, in violation of Penal Code section 187</w:t>
      </w:r>
      <w:r>
        <w:t>,</w:t>
      </w:r>
      <w:r>
        <w:t xml:space="preserve"> subdivision (a)</w:t>
      </w:r>
      <w:r>
        <w:t xml:space="preserve"> </w:t>
      </w:r>
      <w:r w:rsidRPr="00FF6A9E">
        <w:t>(count 1)</w:t>
      </w:r>
      <w:r w:rsidRPr="00FF6A9E">
        <w:t>; home invasion robbery (</w:t>
      </w:r>
      <w:r>
        <w:rPr>
          <w:i/>
          <w:iCs/>
        </w:rPr>
        <w:t>id</w:t>
      </w:r>
      <w:r>
        <w:t>.</w:t>
      </w:r>
      <w:r w:rsidRPr="00FF6A9E">
        <w:t>, §</w:t>
      </w:r>
      <w:r>
        <w:t> </w:t>
      </w:r>
      <w:r w:rsidRPr="00FF6A9E">
        <w:t>211</w:t>
      </w:r>
      <w:r>
        <w:t>;</w:t>
      </w:r>
      <w:r w:rsidRPr="00701959">
        <w:t xml:space="preserve"> </w:t>
      </w:r>
      <w:r w:rsidRPr="00FF6A9E">
        <w:t xml:space="preserve">counts 2 </w:t>
      </w:r>
      <w:r>
        <w:t>&amp;</w:t>
      </w:r>
      <w:r w:rsidRPr="00FF6A9E">
        <w:t xml:space="preserve"> 3</w:t>
      </w:r>
      <w:r w:rsidRPr="00FF6A9E">
        <w:t>); and residential burglary (</w:t>
      </w:r>
      <w:r>
        <w:rPr>
          <w:i/>
          <w:iCs/>
        </w:rPr>
        <w:t>id</w:t>
      </w:r>
      <w:r>
        <w:t>.</w:t>
      </w:r>
      <w:r w:rsidRPr="00FF6A9E">
        <w:t>, §</w:t>
      </w:r>
      <w:r>
        <w:t> </w:t>
      </w:r>
      <w:r w:rsidRPr="00FF6A9E">
        <w:t>459</w:t>
      </w:r>
      <w:r>
        <w:t>;</w:t>
      </w:r>
      <w:r w:rsidRPr="000E274E">
        <w:t xml:space="preserve"> </w:t>
      </w:r>
      <w:r w:rsidRPr="00FF6A9E">
        <w:t>count 4</w:t>
      </w:r>
      <w:r w:rsidRPr="00FF6A9E">
        <w:t xml:space="preserve">).  </w:t>
      </w:r>
      <w:r>
        <w:t>K.R.</w:t>
      </w:r>
      <w:r w:rsidRPr="00FF6A9E">
        <w:t xml:space="preserve"> was 17 years old at the time of the alleged </w:t>
      </w:r>
      <w:r>
        <w:t>offenses</w:t>
      </w:r>
      <w:r w:rsidRPr="00FF6A9E">
        <w:t>.</w:t>
      </w:r>
    </w:p>
    <w:p w14:paraId="4D7EF368" w14:textId="77777777" w:rsidR="00200E2D" w:rsidRDefault="00461399" w:rsidP="00955524">
      <w:pPr>
        <w:ind w:firstLine="720"/>
      </w:pPr>
      <w:r>
        <w:t>K.R.</w:t>
      </w:r>
      <w:r>
        <w:t xml:space="preserve">’s attorney expressed a doubt about </w:t>
      </w:r>
      <w:r>
        <w:t>K.R.</w:t>
      </w:r>
      <w:r>
        <w:t>’s competency</w:t>
      </w:r>
      <w:r>
        <w:t>, and t</w:t>
      </w:r>
      <w:r>
        <w:t>he court appointed a</w:t>
      </w:r>
      <w:r>
        <w:t xml:space="preserve"> psychologist</w:t>
      </w:r>
      <w:r>
        <w:t xml:space="preserve"> to examine </w:t>
      </w:r>
      <w:r>
        <w:t>K.R</w:t>
      </w:r>
      <w:r>
        <w:t xml:space="preserve">.  </w:t>
      </w:r>
      <w:r>
        <w:t xml:space="preserve">The </w:t>
      </w:r>
      <w:r>
        <w:t>psychologist</w:t>
      </w:r>
      <w:r>
        <w:t xml:space="preserve"> </w:t>
      </w:r>
      <w:r>
        <w:t xml:space="preserve">found that </w:t>
      </w:r>
      <w:r>
        <w:t>K.R.</w:t>
      </w:r>
      <w:r>
        <w:t xml:space="preserve"> had a developmental disability</w:t>
      </w:r>
      <w:r>
        <w:t>, and that as a result,</w:t>
      </w:r>
      <w:r>
        <w:t xml:space="preserve"> </w:t>
      </w:r>
      <w:r>
        <w:t>K.R.</w:t>
      </w:r>
      <w:r>
        <w:t xml:space="preserve"> </w:t>
      </w:r>
      <w:r>
        <w:t xml:space="preserve">was unable to consult with counsel and assist in preparing his defense.  </w:t>
      </w:r>
      <w:r>
        <w:t>N</w:t>
      </w:r>
      <w:r>
        <w:t>evertheless</w:t>
      </w:r>
      <w:r>
        <w:t>, the psychologist</w:t>
      </w:r>
      <w:r>
        <w:t xml:space="preserve"> </w:t>
      </w:r>
      <w:r>
        <w:lastRenderedPageBreak/>
        <w:t xml:space="preserve">believed </w:t>
      </w:r>
      <w:r>
        <w:t>K.R.</w:t>
      </w:r>
      <w:r>
        <w:t xml:space="preserve"> could be remediated</w:t>
      </w:r>
      <w:r>
        <w:t>—</w:t>
      </w:r>
      <w:r>
        <w:t>that is, restored to competency</w:t>
      </w:r>
      <w:r>
        <w:t>.</w:t>
      </w:r>
    </w:p>
    <w:p w14:paraId="1A4CAF6E" w14:textId="77777777" w:rsidR="00EE67AA" w:rsidRPr="00831075" w:rsidRDefault="00461399" w:rsidP="005F35A3">
      <w:pPr>
        <w:ind w:firstLine="720"/>
      </w:pPr>
      <w:r>
        <w:t xml:space="preserve">The parties submitted on the </w:t>
      </w:r>
      <w:r>
        <w:t>expert’s report, and o</w:t>
      </w:r>
      <w:r w:rsidRPr="00B76BA2">
        <w:t>n May</w:t>
      </w:r>
      <w:r>
        <w:t> </w:t>
      </w:r>
      <w:r w:rsidRPr="00B76BA2">
        <w:t>13,</w:t>
      </w:r>
      <w:r>
        <w:t xml:space="preserve"> 2021,</w:t>
      </w:r>
      <w:r w:rsidRPr="00B76BA2">
        <w:t xml:space="preserve"> the</w:t>
      </w:r>
      <w:r>
        <w:t xml:space="preserve"> </w:t>
      </w:r>
      <w:r w:rsidRPr="00B76BA2">
        <w:t>court fo</w:t>
      </w:r>
      <w:r w:rsidRPr="00B76BA2">
        <w:t xml:space="preserve">und </w:t>
      </w:r>
      <w:r>
        <w:t>K.R.</w:t>
      </w:r>
      <w:r w:rsidRPr="00B76BA2">
        <w:t xml:space="preserve"> incompetent</w:t>
      </w:r>
      <w:r>
        <w:t xml:space="preserve"> to stand trial</w:t>
      </w:r>
      <w:r>
        <w:t xml:space="preserve"> and </w:t>
      </w:r>
      <w:r>
        <w:t>referred him to remediatio</w:t>
      </w:r>
      <w:r>
        <w:t xml:space="preserve">n services in the hope of restoring </w:t>
      </w:r>
      <w:r w:rsidRPr="00831075">
        <w:t>him to competency</w:t>
      </w:r>
      <w:r w:rsidRPr="00831075">
        <w:t>.</w:t>
      </w:r>
      <w:r w:rsidRPr="00831075">
        <w:t xml:space="preserve"> </w:t>
      </w:r>
      <w:r w:rsidRPr="00831075">
        <w:t xml:space="preserve"> </w:t>
      </w:r>
      <w:r w:rsidRPr="00831075">
        <w:t xml:space="preserve">According to employees </w:t>
      </w:r>
      <w:r w:rsidRPr="00831075">
        <w:t>at the remediation program</w:t>
      </w:r>
      <w:r w:rsidRPr="00831075">
        <w:t>, and in part</w:t>
      </w:r>
      <w:r w:rsidRPr="00831075">
        <w:t xml:space="preserve"> due to Covid-19 pandemic related procedures</w:t>
      </w:r>
      <w:r w:rsidRPr="00831075">
        <w:t xml:space="preserve">, </w:t>
      </w:r>
      <w:r>
        <w:t>K.R.</w:t>
      </w:r>
      <w:r w:rsidRPr="00831075">
        <w:t xml:space="preserve"> did not begin receiving </w:t>
      </w:r>
      <w:r w:rsidRPr="00831075">
        <w:t>remediation services</w:t>
      </w:r>
      <w:r w:rsidRPr="00831075">
        <w:t xml:space="preserve"> until </w:t>
      </w:r>
      <w:r w:rsidRPr="00831075">
        <w:t>approximately three</w:t>
      </w:r>
      <w:r w:rsidRPr="00831075">
        <w:t xml:space="preserve"> months later</w:t>
      </w:r>
      <w:r w:rsidRPr="00831075">
        <w:t xml:space="preserve">, in </w:t>
      </w:r>
      <w:r w:rsidRPr="00831075">
        <w:t>August</w:t>
      </w:r>
      <w:r w:rsidRPr="00831075">
        <w:t>.</w:t>
      </w:r>
    </w:p>
    <w:p w14:paraId="0AF2CFDA" w14:textId="77777777" w:rsidR="002E3DAE" w:rsidRDefault="00461399" w:rsidP="002443BD">
      <w:pPr>
        <w:ind w:firstLine="720"/>
      </w:pPr>
      <w:r w:rsidRPr="00831075">
        <w:t>Section 709, subdivision (h)(1) calls for an evidentiary</w:t>
      </w:r>
      <w:r>
        <w:t xml:space="preserve"> hearing </w:t>
      </w:r>
      <w:r>
        <w:t>“[w]</w:t>
      </w:r>
      <w:r w:rsidRPr="009E62EF">
        <w:t xml:space="preserve">ithin six months of the initial receipt </w:t>
      </w:r>
      <w:r w:rsidRPr="009E62EF">
        <w:t>of a recommendation</w:t>
      </w:r>
      <w:r>
        <w:t>” for remediation</w:t>
      </w:r>
      <w:r>
        <w:t xml:space="preserve"> to determine “</w:t>
      </w:r>
      <w:r w:rsidRPr="00B2097A">
        <w:t>whether the minor is remediated or is able to be remediated</w:t>
      </w:r>
      <w:r>
        <w:t xml:space="preserve">.”  The court </w:t>
      </w:r>
      <w:r>
        <w:t xml:space="preserve">timely </w:t>
      </w:r>
      <w:r>
        <w:t>conducted</w:t>
      </w:r>
      <w:r>
        <w:t xml:space="preserve"> </w:t>
      </w:r>
      <w:r>
        <w:t>this hearing in October 2021</w:t>
      </w:r>
      <w:r>
        <w:t xml:space="preserve"> </w:t>
      </w:r>
      <w:r>
        <w:t>and</w:t>
      </w:r>
      <w:r>
        <w:t xml:space="preserve"> found</w:t>
      </w:r>
      <w:r>
        <w:t xml:space="preserve"> that </w:t>
      </w:r>
      <w:r>
        <w:t>K.R.</w:t>
      </w:r>
      <w:r>
        <w:t xml:space="preserve"> remained incompetent, but</w:t>
      </w:r>
      <w:r>
        <w:t xml:space="preserve"> that he was likely to</w:t>
      </w:r>
      <w:r>
        <w:t xml:space="preserve"> be remediated, and</w:t>
      </w:r>
      <w:r>
        <w:t xml:space="preserve"> ordered him to return to remediation.  </w:t>
      </w:r>
      <w:r>
        <w:t>K.R.</w:t>
      </w:r>
      <w:r>
        <w:t xml:space="preserve"> </w:t>
      </w:r>
      <w:r>
        <w:t xml:space="preserve">thereafter </w:t>
      </w:r>
      <w:r>
        <w:t>continued to receive remediation services</w:t>
      </w:r>
      <w:r>
        <w:t xml:space="preserve"> over the next several months</w:t>
      </w:r>
      <w:r>
        <w:t xml:space="preserve">. </w:t>
      </w:r>
      <w:r>
        <w:t xml:space="preserve"> </w:t>
      </w:r>
      <w:r>
        <w:t xml:space="preserve">During that time, </w:t>
      </w:r>
      <w:r>
        <w:t>K.R.</w:t>
      </w:r>
      <w:r>
        <w:t xml:space="preserve"> was examined by two court-appointed </w:t>
      </w:r>
      <w:r>
        <w:t>psychologists</w:t>
      </w:r>
      <w:r>
        <w:t>, both of whom</w:t>
      </w:r>
      <w:r>
        <w:t xml:space="preserve"> concluded t</w:t>
      </w:r>
      <w:r>
        <w:t xml:space="preserve">hat he was not </w:t>
      </w:r>
      <w:r>
        <w:t>competent and was not likely to be restored to competency.</w:t>
      </w:r>
    </w:p>
    <w:p w14:paraId="201C9D36" w14:textId="77777777" w:rsidR="0028301A" w:rsidRDefault="00461399" w:rsidP="002443BD">
      <w:pPr>
        <w:ind w:firstLine="720"/>
      </w:pPr>
      <w:r>
        <w:t>W</w:t>
      </w:r>
      <w:r>
        <w:t>ith the one-year</w:t>
      </w:r>
      <w:r>
        <w:t xml:space="preserve"> statutory</w:t>
      </w:r>
      <w:r>
        <w:t xml:space="preserve"> deadline</w:t>
      </w:r>
      <w:r>
        <w:t xml:space="preserve"> for remediation</w:t>
      </w:r>
      <w:r>
        <w:t xml:space="preserve"> looming, the People filed a motion </w:t>
      </w:r>
      <w:r>
        <w:t>on April 8, 2022</w:t>
      </w:r>
      <w:r>
        <w:t>,</w:t>
      </w:r>
      <w:r>
        <w:t xml:space="preserve"> to have </w:t>
      </w:r>
      <w:r>
        <w:t>K.R.</w:t>
      </w:r>
      <w:r>
        <w:t xml:space="preserve"> examined by </w:t>
      </w:r>
      <w:r>
        <w:t xml:space="preserve">a psychologist </w:t>
      </w:r>
      <w:r>
        <w:t xml:space="preserve">retained </w:t>
      </w:r>
      <w:r>
        <w:t xml:space="preserve">by the People.  </w:t>
      </w:r>
      <w:r>
        <w:t>K.R.</w:t>
      </w:r>
      <w:r>
        <w:t>’s attorney objected</w:t>
      </w:r>
      <w:r>
        <w:t xml:space="preserve">, </w:t>
      </w:r>
      <w:r>
        <w:t xml:space="preserve">arguing </w:t>
      </w:r>
      <w:r>
        <w:t xml:space="preserve">that </w:t>
      </w:r>
      <w:r>
        <w:t xml:space="preserve">section 709 does not allow the People to retain an expert to evaluate a minor </w:t>
      </w:r>
      <w:r>
        <w:t>after the initial competency hearing</w:t>
      </w:r>
      <w:r>
        <w:t>,</w:t>
      </w:r>
      <w:r>
        <w:t xml:space="preserve"> </w:t>
      </w:r>
      <w:r>
        <w:t xml:space="preserve">and that the prosecutor had not complied with </w:t>
      </w:r>
      <w:r>
        <w:t>the requirement</w:t>
      </w:r>
      <w:r>
        <w:t>s</w:t>
      </w:r>
      <w:r>
        <w:t xml:space="preserve"> to meet and confer and to</w:t>
      </w:r>
      <w:r>
        <w:t xml:space="preserve"> inform </w:t>
      </w:r>
      <w:r>
        <w:t xml:space="preserve">defense counsel </w:t>
      </w:r>
      <w:r>
        <w:t>in advance abou</w:t>
      </w:r>
      <w:r>
        <w:t>t the name of the expert</w:t>
      </w:r>
      <w:r>
        <w:t>, and the time, manner, and scope of the evaluation.</w:t>
      </w:r>
    </w:p>
    <w:p w14:paraId="04C7F13E" w14:textId="77777777" w:rsidR="000213C9" w:rsidRDefault="00461399" w:rsidP="0072772F">
      <w:pPr>
        <w:ind w:firstLine="720"/>
      </w:pPr>
      <w:r>
        <w:lastRenderedPageBreak/>
        <w:t xml:space="preserve">The </w:t>
      </w:r>
      <w:r>
        <w:t xml:space="preserve">juvenile court </w:t>
      </w:r>
      <w:r>
        <w:t xml:space="preserve">ultimately </w:t>
      </w:r>
      <w:r>
        <w:t>overruled the objection</w:t>
      </w:r>
      <w:r>
        <w:t xml:space="preserve">, but </w:t>
      </w:r>
      <w:r>
        <w:t>the litigation on the issue delayed the process</w:t>
      </w:r>
      <w:r>
        <w:t>.  T</w:t>
      </w:r>
      <w:r>
        <w:t xml:space="preserve">he People’s </w:t>
      </w:r>
      <w:r>
        <w:t xml:space="preserve">psychologist </w:t>
      </w:r>
      <w:r>
        <w:t xml:space="preserve">did not examine </w:t>
      </w:r>
      <w:r>
        <w:t>K.R.</w:t>
      </w:r>
      <w:r>
        <w:t xml:space="preserve"> until </w:t>
      </w:r>
      <w:r w:rsidRPr="00B50BBB">
        <w:t>May 9</w:t>
      </w:r>
      <w:r>
        <w:t>,</w:t>
      </w:r>
      <w:r>
        <w:t xml:space="preserve"> 2022</w:t>
      </w:r>
      <w:r>
        <w:t>,</w:t>
      </w:r>
      <w:r>
        <w:t xml:space="preserve"> </w:t>
      </w:r>
      <w:r>
        <w:t>and did not file her report</w:t>
      </w:r>
      <w:r>
        <w:t xml:space="preserve"> </w:t>
      </w:r>
      <w:r>
        <w:t xml:space="preserve">opining </w:t>
      </w:r>
      <w:r w:rsidRPr="00B50BBB">
        <w:t xml:space="preserve">that </w:t>
      </w:r>
      <w:r>
        <w:t>K.R.</w:t>
      </w:r>
      <w:r w:rsidRPr="00B50BBB">
        <w:t xml:space="preserve"> was competent to stand trial</w:t>
      </w:r>
      <w:r>
        <w:t xml:space="preserve"> until May 11</w:t>
      </w:r>
      <w:r>
        <w:t>, 2022</w:t>
      </w:r>
      <w:r>
        <w:t>.</w:t>
      </w:r>
      <w:r w:rsidRPr="00B50BBB">
        <w:t xml:space="preserve"> </w:t>
      </w:r>
      <w:r>
        <w:t xml:space="preserve"> </w:t>
      </w:r>
      <w:r>
        <w:t xml:space="preserve">At a hearing on May 12, 2022, </w:t>
      </w:r>
      <w:r>
        <w:t>K.R.</w:t>
      </w:r>
      <w:r>
        <w:t xml:space="preserve">’s attorney argued the juvenile </w:t>
      </w:r>
      <w:r>
        <w:t xml:space="preserve">court should dismiss the </w:t>
      </w:r>
      <w:r>
        <w:t xml:space="preserve">petition because section 709 permitted only one year of remediation, </w:t>
      </w:r>
      <w:r>
        <w:t>and that period expire</w:t>
      </w:r>
      <w:r>
        <w:t>d</w:t>
      </w:r>
      <w:r>
        <w:t xml:space="preserve"> the following day on May</w:t>
      </w:r>
      <w:r>
        <w:t xml:space="preserve"> </w:t>
      </w:r>
      <w:r>
        <w:t>13, 2022.  The juvenile court denied the motion without prejudice</w:t>
      </w:r>
      <w:r>
        <w:t>, and continued the matter to May 18, 2022</w:t>
      </w:r>
      <w:r>
        <w:t>,</w:t>
      </w:r>
      <w:r>
        <w:t xml:space="preserve"> to hear from the competing experts</w:t>
      </w:r>
      <w:r>
        <w:t>.</w:t>
      </w:r>
    </w:p>
    <w:p w14:paraId="057E9C16" w14:textId="77777777" w:rsidR="00BC001F" w:rsidRDefault="00461399" w:rsidP="0072772F">
      <w:pPr>
        <w:ind w:firstLine="720"/>
      </w:pPr>
      <w:r>
        <w:t xml:space="preserve">At </w:t>
      </w:r>
      <w:r>
        <w:t xml:space="preserve">the </w:t>
      </w:r>
      <w:r>
        <w:t xml:space="preserve">hearing </w:t>
      </w:r>
      <w:r>
        <w:t xml:space="preserve">on </w:t>
      </w:r>
      <w:r>
        <w:t>May</w:t>
      </w:r>
      <w:r>
        <w:t xml:space="preserve"> 18, 2022</w:t>
      </w:r>
      <w:r>
        <w:t>,</w:t>
      </w:r>
      <w:r>
        <w:t xml:space="preserve"> </w:t>
      </w:r>
      <w:r>
        <w:t>the judge to whom the case was</w:t>
      </w:r>
      <w:r>
        <w:t xml:space="preserve"> assigned </w:t>
      </w:r>
      <w:r>
        <w:t xml:space="preserve">recused </w:t>
      </w:r>
      <w:r>
        <w:t>himself</w:t>
      </w:r>
      <w:r>
        <w:t xml:space="preserve"> in the middle of the evidentiary hearing</w:t>
      </w:r>
      <w:r>
        <w:t xml:space="preserve"> </w:t>
      </w:r>
      <w:r>
        <w:t xml:space="preserve">after learning that </w:t>
      </w:r>
      <w:r>
        <w:t xml:space="preserve">he </w:t>
      </w:r>
      <w:r>
        <w:t xml:space="preserve">was acquainted </w:t>
      </w:r>
      <w:r>
        <w:t>with one of the</w:t>
      </w:r>
      <w:r>
        <w:t xml:space="preserve"> percipient witness</w:t>
      </w:r>
      <w:r>
        <w:t>es</w:t>
      </w:r>
      <w:r>
        <w:t xml:space="preserve"> in the case.  </w:t>
      </w:r>
      <w:r>
        <w:t>The matter was then reassigned to another judicial officer</w:t>
      </w:r>
      <w:r>
        <w:t xml:space="preserve">, who </w:t>
      </w:r>
      <w:r>
        <w:t>reconvened the hearing on Ma</w:t>
      </w:r>
      <w:r>
        <w:t xml:space="preserve">y 20, </w:t>
      </w:r>
      <w:r>
        <w:t>2022.</w:t>
      </w:r>
      <w:r>
        <w:t xml:space="preserve"> </w:t>
      </w:r>
      <w:r>
        <w:t xml:space="preserve"> </w:t>
      </w:r>
      <w:r>
        <w:t>At the May</w:t>
      </w:r>
      <w:r>
        <w:t xml:space="preserve"> </w:t>
      </w:r>
      <w:r>
        <w:t xml:space="preserve">20, 2022 hearing, </w:t>
      </w:r>
      <w:r>
        <w:t>K.R.</w:t>
      </w:r>
      <w:r>
        <w:t>’s attorney renewed the motion to dismiss</w:t>
      </w:r>
      <w:r>
        <w:t xml:space="preserve">, </w:t>
      </w:r>
      <w:r>
        <w:t>and</w:t>
      </w:r>
      <w:r>
        <w:t xml:space="preserve"> </w:t>
      </w:r>
      <w:r>
        <w:t>the juvenile court</w:t>
      </w:r>
      <w:r>
        <w:t xml:space="preserve"> again denied</w:t>
      </w:r>
      <w:r>
        <w:t xml:space="preserve"> it</w:t>
      </w:r>
      <w:r>
        <w:t>.</w:t>
      </w:r>
    </w:p>
    <w:p w14:paraId="6536B32F" w14:textId="77777777" w:rsidR="00857165" w:rsidRDefault="00461399" w:rsidP="007527AF">
      <w:pPr>
        <w:ind w:firstLine="720"/>
      </w:pPr>
      <w:r>
        <w:t>K.R.</w:t>
      </w:r>
      <w:r>
        <w:t xml:space="preserve"> filed the instant petition for a writ of mandate on </w:t>
      </w:r>
      <w:r>
        <w:t>July</w:t>
      </w:r>
      <w:r>
        <w:t> </w:t>
      </w:r>
      <w:r>
        <w:t xml:space="preserve">15, 2022.  </w:t>
      </w:r>
      <w:r>
        <w:t>While the writ petition was pending,</w:t>
      </w:r>
      <w:r>
        <w:t xml:space="preserve"> </w:t>
      </w:r>
      <w:r>
        <w:t>t</w:t>
      </w:r>
      <w:r w:rsidRPr="00BC001F">
        <w:t>he juvenile court</w:t>
      </w:r>
      <w:r>
        <w:t xml:space="preserve"> </w:t>
      </w:r>
      <w:r>
        <w:t>foun</w:t>
      </w:r>
      <w:r>
        <w:t>d</w:t>
      </w:r>
      <w:r>
        <w:t xml:space="preserve"> </w:t>
      </w:r>
      <w:r>
        <w:t>on August 11, 2022</w:t>
      </w:r>
      <w:r>
        <w:t>,</w:t>
      </w:r>
      <w:r>
        <w:t xml:space="preserve"> that </w:t>
      </w:r>
      <w:r>
        <w:t>K.R.</w:t>
      </w:r>
      <w:r>
        <w:t xml:space="preserve"> was</w:t>
      </w:r>
      <w:r w:rsidRPr="00BC001F">
        <w:t xml:space="preserve"> competent</w:t>
      </w:r>
      <w:r>
        <w:t xml:space="preserve"> to stand trial</w:t>
      </w:r>
      <w:r w:rsidRPr="00BC001F">
        <w:t>.</w:t>
      </w:r>
      <w:r>
        <w:rPr>
          <w:rStyle w:val="FootnoteReference"/>
          <w:position w:val="8"/>
        </w:rPr>
        <w:footnoteReference w:id="4"/>
      </w:r>
    </w:p>
    <w:p w14:paraId="7E84FEF1" w14:textId="77777777" w:rsidR="00857165" w:rsidRPr="00857165" w:rsidRDefault="00461399" w:rsidP="00176C77">
      <w:pPr>
        <w:pStyle w:val="Heading1"/>
        <w:spacing w:line="288" w:lineRule="auto"/>
      </w:pPr>
      <w:r>
        <w:lastRenderedPageBreak/>
        <w:t xml:space="preserve">II.  </w:t>
      </w:r>
      <w:r w:rsidRPr="00857165">
        <w:t>DISCUSSION</w:t>
      </w:r>
    </w:p>
    <w:p w14:paraId="4F3560D5" w14:textId="77777777" w:rsidR="00857165" w:rsidRPr="00857165" w:rsidRDefault="00461399" w:rsidP="00176C77">
      <w:pPr>
        <w:pStyle w:val="Heading2"/>
        <w:spacing w:before="0" w:after="0" w:line="288" w:lineRule="auto"/>
      </w:pPr>
      <w:r w:rsidRPr="00857165">
        <w:t>A.</w:t>
      </w:r>
      <w:r w:rsidRPr="00857165">
        <w:tab/>
        <w:t>Background on Section 709</w:t>
      </w:r>
    </w:p>
    <w:p w14:paraId="4DD099D4" w14:textId="77777777" w:rsidR="00DE0E1B" w:rsidRPr="00857165" w:rsidRDefault="00461399" w:rsidP="00857165">
      <w:pPr>
        <w:ind w:firstLine="720"/>
      </w:pPr>
      <w:r>
        <w:t>Because this case turns almost entirely on the interpretation of s</w:t>
      </w:r>
      <w:r w:rsidRPr="00857165">
        <w:t>ection 709</w:t>
      </w:r>
      <w:r>
        <w:t xml:space="preserve">, we begin by </w:t>
      </w:r>
      <w:r>
        <w:t xml:space="preserve">describing the </w:t>
      </w:r>
      <w:r>
        <w:t>aspects of th</w:t>
      </w:r>
      <w:r>
        <w:t>at</w:t>
      </w:r>
      <w:r>
        <w:t xml:space="preserve"> </w:t>
      </w:r>
      <w:r>
        <w:t>statute</w:t>
      </w:r>
      <w:r>
        <w:t xml:space="preserve"> relevant to this case</w:t>
      </w:r>
      <w:r>
        <w:t>.</w:t>
      </w:r>
    </w:p>
    <w:p w14:paraId="56AA3AAC" w14:textId="77777777" w:rsidR="00857165" w:rsidRPr="00857165" w:rsidRDefault="00461399" w:rsidP="00857165">
      <w:pPr>
        <w:ind w:firstLine="720"/>
      </w:pPr>
      <w:r>
        <w:t>Proceedings under section 709 are</w:t>
      </w:r>
      <w:r>
        <w:t xml:space="preserve"> triggered when </w:t>
      </w:r>
      <w:r>
        <w:t xml:space="preserve">any party or the court itself </w:t>
      </w:r>
      <w:r w:rsidRPr="00857165">
        <w:t>express</w:t>
      </w:r>
      <w:r>
        <w:t>es</w:t>
      </w:r>
      <w:r w:rsidRPr="00857165">
        <w:t xml:space="preserve"> a doubt as to the minor’s competency.  (§</w:t>
      </w:r>
      <w:r>
        <w:t> </w:t>
      </w:r>
      <w:r w:rsidRPr="00857165">
        <w:t xml:space="preserve">709, subd. (a)(3).)  “If the court finds substantial evidence </w:t>
      </w:r>
      <w:r>
        <w:t>raises</w:t>
      </w:r>
      <w:r>
        <w:t xml:space="preserve"> </w:t>
      </w:r>
      <w:r w:rsidRPr="00857165">
        <w:t>a doubt as to the minor’s compet</w:t>
      </w:r>
      <w:r w:rsidRPr="00857165">
        <w:t xml:space="preserve">ency, the </w:t>
      </w:r>
      <w:r>
        <w:t xml:space="preserve">[delinquency] </w:t>
      </w:r>
      <w:r w:rsidRPr="00857165">
        <w:t>proceedings shall be suspended.”  (</w:t>
      </w:r>
      <w:r w:rsidRPr="00857165">
        <w:rPr>
          <w:i/>
        </w:rPr>
        <w:t>Ibid.</w:t>
      </w:r>
      <w:r w:rsidRPr="00857165">
        <w:t xml:space="preserve">; accord, </w:t>
      </w:r>
      <w:r w:rsidRPr="00857165">
        <w:rPr>
          <w:i/>
          <w:iCs/>
        </w:rPr>
        <w:t>id.</w:t>
      </w:r>
      <w:r w:rsidRPr="00857165">
        <w:t>, subd. (a)(1).)</w:t>
      </w:r>
    </w:p>
    <w:p w14:paraId="5B99BE76" w14:textId="77777777" w:rsidR="00857165" w:rsidRPr="00857165" w:rsidRDefault="00461399" w:rsidP="00857165">
      <w:pPr>
        <w:ind w:firstLine="720"/>
      </w:pPr>
      <w:r w:rsidRPr="00857165">
        <w:t xml:space="preserve">At this point, </w:t>
      </w:r>
      <w:r>
        <w:t>unless the parties</w:t>
      </w:r>
      <w:r w:rsidRPr="00857165">
        <w:t xml:space="preserve"> stipulate to a finding of incompetency or agree to submit on the issue, “the court shall appoint an expert to evaluate the minor</w:t>
      </w:r>
      <w:r w:rsidRPr="00857165">
        <w:t xml:space="preserve"> and determine whether the minor suffers from a mental illness, mental disorder, developmental disability, developmental immaturity, or other condition affecting competency and, if so, whether the minor is incompetent.”  (§</w:t>
      </w:r>
      <w:r>
        <w:t> </w:t>
      </w:r>
      <w:r w:rsidRPr="00857165">
        <w:t>709, subd. (b)(1).)  In addition</w:t>
      </w:r>
      <w:r w:rsidRPr="00857165">
        <w:t xml:space="preserve"> to the court-appointed expert, “</w:t>
      </w:r>
      <w:r>
        <w:t>T</w:t>
      </w:r>
      <w:r w:rsidRPr="00857165">
        <w:t>he district attorney or minor’s counsel may retain or seek the appointment of additional qualified experts who may testify during the competency hearing.</w:t>
      </w:r>
      <w:r>
        <w:t> .</w:t>
      </w:r>
      <w:r>
        <w:t> . .</w:t>
      </w:r>
      <w:r w:rsidRPr="00857165">
        <w:t>”  (</w:t>
      </w:r>
      <w:r w:rsidRPr="00857165">
        <w:rPr>
          <w:i/>
          <w:iCs/>
        </w:rPr>
        <w:t>Id.</w:t>
      </w:r>
      <w:r w:rsidRPr="00857165">
        <w:t xml:space="preserve">, subd. (b)(6).)  If the </w:t>
      </w:r>
      <w:r>
        <w:t>People</w:t>
      </w:r>
      <w:r w:rsidRPr="00857165">
        <w:t xml:space="preserve"> choose to retain or appo</w:t>
      </w:r>
      <w:r w:rsidRPr="00857165">
        <w:t xml:space="preserve">int an expert, </w:t>
      </w:r>
      <w:r>
        <w:t>they</w:t>
      </w:r>
      <w:r w:rsidRPr="00857165">
        <w:t xml:space="preserve"> must first obtain “an order from the juvenile court after petitioning the court for an order pursuant to the Civil Discovery Act.”  (</w:t>
      </w:r>
      <w:r w:rsidRPr="00857165">
        <w:rPr>
          <w:i/>
        </w:rPr>
        <w:t>Ibid.</w:t>
      </w:r>
      <w:r w:rsidRPr="00857165">
        <w:t>)</w:t>
      </w:r>
    </w:p>
    <w:p w14:paraId="342C96E0" w14:textId="77777777" w:rsidR="00857165" w:rsidRPr="00857165" w:rsidRDefault="00461399" w:rsidP="00857165">
      <w:pPr>
        <w:ind w:firstLine="720"/>
      </w:pPr>
      <w:r w:rsidRPr="00857165">
        <w:t xml:space="preserve">Unless the parties stipulate that the minor is incompetent or agree to submit the matter on the </w:t>
      </w:r>
      <w:r w:rsidRPr="00857165">
        <w:t xml:space="preserve">basis of the expert’s finding that the minor is incompetent, the court must hold an evidentiary hearing at which it is “presumed that the minor is mentally competent, unless it is proven by a preponderance of the evidence </w:t>
      </w:r>
      <w:r w:rsidRPr="00857165">
        <w:lastRenderedPageBreak/>
        <w:t>that the minor is mentally incompe</w:t>
      </w:r>
      <w:r w:rsidRPr="00857165">
        <w:t>tent.”  (§</w:t>
      </w:r>
      <w:r>
        <w:t> </w:t>
      </w:r>
      <w:r w:rsidRPr="00857165">
        <w:t>709, subd. (c).)  If the court finds the minor competent, it must reinstate proceedings.  (</w:t>
      </w:r>
      <w:r>
        <w:rPr>
          <w:i/>
          <w:iCs/>
        </w:rPr>
        <w:t>Id.</w:t>
      </w:r>
      <w:r w:rsidRPr="00857165">
        <w:t>, subd. (d).)</w:t>
      </w:r>
    </w:p>
    <w:p w14:paraId="2DA4D955" w14:textId="77777777" w:rsidR="00857165" w:rsidRPr="00857165" w:rsidRDefault="00461399" w:rsidP="00857165">
      <w:pPr>
        <w:ind w:firstLine="720"/>
      </w:pPr>
      <w:r>
        <w:t>U</w:t>
      </w:r>
      <w:r w:rsidRPr="00857165">
        <w:t xml:space="preserve">pon a finding of incompetence, “all proceedings shall remain suspended for a period of time that is no longer than reasonably necessary </w:t>
      </w:r>
      <w:r w:rsidRPr="00857165">
        <w:t>to determine whether there is a substantial probability that the minor will attain competency in the foreseeable future, or the court no longer retains jurisdiction and the case must be dismissed.”</w:t>
      </w:r>
      <w:r>
        <w:t xml:space="preserve">  (§</w:t>
      </w:r>
      <w:r>
        <w:t> </w:t>
      </w:r>
      <w:r>
        <w:t>709, subd. (e).)</w:t>
      </w:r>
    </w:p>
    <w:p w14:paraId="28325012" w14:textId="77777777" w:rsidR="00857165" w:rsidRPr="00857165" w:rsidRDefault="00461399" w:rsidP="00857165">
      <w:pPr>
        <w:ind w:firstLine="720"/>
      </w:pPr>
      <w:r w:rsidRPr="00857165">
        <w:t>Under subdivision (f)</w:t>
      </w:r>
      <w:r>
        <w:t xml:space="preserve"> of section 709</w:t>
      </w:r>
      <w:r w:rsidRPr="00857165">
        <w:t xml:space="preserve">, if the minor is alleged to have committed only misdemeanor offenses, “the petition shall be dismissed” upon a finding of incompetency.  In cases involving </w:t>
      </w:r>
      <w:r>
        <w:t xml:space="preserve">incompetent minors accused of </w:t>
      </w:r>
      <w:r>
        <w:t>at least one felony</w:t>
      </w:r>
      <w:r w:rsidRPr="00857165">
        <w:t xml:space="preserve">, “the court shall refer the minor </w:t>
      </w:r>
      <w:r w:rsidRPr="00857165">
        <w:t>to services designed to help the minor attain competency, unless the court finds that competency cannot be achieved within the foreseeable future.”  (</w:t>
      </w:r>
      <w:r w:rsidRPr="00857165">
        <w:rPr>
          <w:i/>
          <w:iCs/>
        </w:rPr>
        <w:t>Id.</w:t>
      </w:r>
      <w:r w:rsidRPr="00857165">
        <w:t>, subd. (g)(1).)  The court must order these remediation services to be “provided in the least restrict</w:t>
      </w:r>
      <w:r w:rsidRPr="00857165">
        <w:t>ive environment consistent with public safety,” and must consider alternatives to confinement in juvenile hall.  (</w:t>
      </w:r>
      <w:r w:rsidRPr="00857165">
        <w:rPr>
          <w:i/>
        </w:rPr>
        <w:t>Ibid.</w:t>
      </w:r>
      <w:r w:rsidRPr="00857165">
        <w:t>)</w:t>
      </w:r>
    </w:p>
    <w:p w14:paraId="2D36933D" w14:textId="77777777" w:rsidR="00857165" w:rsidRPr="00857165" w:rsidRDefault="00461399" w:rsidP="00857165">
      <w:pPr>
        <w:ind w:firstLine="720"/>
      </w:pPr>
      <w:r w:rsidRPr="00857165">
        <w:t xml:space="preserve">Unless all </w:t>
      </w:r>
      <w:r>
        <w:t>“</w:t>
      </w:r>
      <w:r w:rsidRPr="00857165">
        <w:t>parties stipulate</w:t>
      </w:r>
      <w:r>
        <w:t xml:space="preserve"> to,</w:t>
      </w:r>
      <w:r w:rsidRPr="00857165">
        <w:t xml:space="preserve"> or agree to the recommendation of</w:t>
      </w:r>
      <w:r>
        <w:t>,</w:t>
      </w:r>
      <w:r w:rsidRPr="00857165">
        <w:t xml:space="preserve"> the remediation program,</w:t>
      </w:r>
      <w:r>
        <w:t>”</w:t>
      </w:r>
      <w:r w:rsidRPr="00857165">
        <w:t xml:space="preserve"> “[w]ithin six months of the initial receipt of a recommendation by the designated person or entity”</w:t>
      </w:r>
      <w:r>
        <w:rPr>
          <w:rStyle w:val="FootnoteReference"/>
          <w:position w:val="8"/>
        </w:rPr>
        <w:footnoteReference w:id="5"/>
      </w:r>
      <w:r w:rsidRPr="00857165">
        <w:t xml:space="preserve"> the court must hold another </w:t>
      </w:r>
      <w:r w:rsidRPr="00857165">
        <w:lastRenderedPageBreak/>
        <w:t xml:space="preserve">evidentiary hearing to determine “whether the minor is remediated or is able to be remediated.”  (§ 709, subd. (h)(1).)  The </w:t>
      </w:r>
      <w:r w:rsidRPr="00857165">
        <w:t xml:space="preserve">statute contemplates three </w:t>
      </w:r>
      <w:r>
        <w:t xml:space="preserve">possible </w:t>
      </w:r>
      <w:r w:rsidRPr="00857165">
        <w:t>outcomes from this hearing.  First, “</w:t>
      </w:r>
      <w:r>
        <w:t>I</w:t>
      </w:r>
      <w:r w:rsidRPr="00857165">
        <w:t>f the court finds that the minor has been remediated, the court shall reinstate the proceedings.”  (</w:t>
      </w:r>
      <w:r w:rsidRPr="00857165">
        <w:rPr>
          <w:i/>
          <w:iCs/>
        </w:rPr>
        <w:t>Id.</w:t>
      </w:r>
      <w:r w:rsidRPr="00857165">
        <w:t>, subd. (h)(2).)  On the other hand, “</w:t>
      </w:r>
      <w:r>
        <w:t>I</w:t>
      </w:r>
      <w:r w:rsidRPr="00857165">
        <w:t>f the court finds that the minor will no</w:t>
      </w:r>
      <w:r w:rsidRPr="00857165">
        <w:t>t achieve competency within six months, the court shall dismiss the petition.”  (</w:t>
      </w:r>
      <w:r w:rsidRPr="00857165">
        <w:rPr>
          <w:i/>
          <w:iCs/>
        </w:rPr>
        <w:t>Id.</w:t>
      </w:r>
      <w:r w:rsidRPr="00857165">
        <w:t>, subd. (h)(4).)</w:t>
      </w:r>
    </w:p>
    <w:p w14:paraId="21BB56B1" w14:textId="77777777" w:rsidR="00857165" w:rsidRDefault="00461399" w:rsidP="00857165">
      <w:pPr>
        <w:ind w:firstLine="720"/>
      </w:pPr>
      <w:r w:rsidRPr="00857165">
        <w:t>The third possibility is that “the court finds that the minor has not yet been remediated, but is likely to be remediated within six months.”  (§</w:t>
      </w:r>
      <w:r>
        <w:t> </w:t>
      </w:r>
      <w:r w:rsidRPr="00857165">
        <w:t>709, subd</w:t>
      </w:r>
      <w:r w:rsidRPr="00857165">
        <w:t>. (h)(3).)  In this instance, “the court shall order the minor to return to the remediation program.  However, the total remediation period shall not exceed one year from the finding of incompetency and secure confinement shall not exceed the limit specifi</w:t>
      </w:r>
      <w:r w:rsidRPr="00857165">
        <w:t>ed in” subdivision (h)(5)(A).  (</w:t>
      </w:r>
      <w:r w:rsidRPr="00857165">
        <w:rPr>
          <w:i/>
          <w:iCs/>
        </w:rPr>
        <w:t>Id.</w:t>
      </w:r>
      <w:r w:rsidRPr="00857165">
        <w:t xml:space="preserve">, subd. (h)(3).)  Subdivision (h)(5)(A) in turn provides that “[s]ecure confinement shall not extend beyond six months from the finding of incompetence,” </w:t>
      </w:r>
      <w:r>
        <w:t>unless</w:t>
      </w:r>
      <w:r w:rsidRPr="00857165">
        <w:t xml:space="preserve"> the court considers several factors and determines “that it </w:t>
      </w:r>
      <w:r w:rsidRPr="00857165">
        <w:t>is in the best interests of the minor and the public’s safety for the minor to remain in secure confinement.”  (</w:t>
      </w:r>
      <w:r w:rsidRPr="00857165">
        <w:rPr>
          <w:i/>
          <w:iCs/>
        </w:rPr>
        <w:t>Id.</w:t>
      </w:r>
      <w:r w:rsidRPr="00857165">
        <w:t xml:space="preserve">, subd. (h)(5)(B).)  In cases where the minor is alleged to have </w:t>
      </w:r>
      <w:r w:rsidRPr="00857165">
        <w:lastRenderedPageBreak/>
        <w:t>committed certain serious offenses</w:t>
      </w:r>
      <w:r>
        <w:t xml:space="preserve"> (which include some of the charges agains</w:t>
      </w:r>
      <w:r>
        <w:t xml:space="preserve">t </w:t>
      </w:r>
      <w:r>
        <w:t>K.R.</w:t>
      </w:r>
      <w:r>
        <w:t xml:space="preserve"> in this case</w:t>
      </w:r>
      <w:r>
        <w:t>)</w:t>
      </w:r>
      <w:r w:rsidRPr="00857165">
        <w:t>,</w:t>
      </w:r>
      <w:r>
        <w:rPr>
          <w:rStyle w:val="FootnoteReference"/>
          <w:position w:val="8"/>
        </w:rPr>
        <w:footnoteReference w:id="6"/>
      </w:r>
      <w:r w:rsidRPr="00857165">
        <w:t xml:space="preserve"> the court may “order secure confinement of a minor for up to an additional year, not to exceed 18 months from the finding of incompetence.”  (</w:t>
      </w:r>
      <w:r w:rsidRPr="00857165">
        <w:rPr>
          <w:i/>
          <w:iCs/>
        </w:rPr>
        <w:t>Id.</w:t>
      </w:r>
      <w:r w:rsidRPr="00857165">
        <w:t>, subd. (h)(5)(C).)</w:t>
      </w:r>
    </w:p>
    <w:p w14:paraId="2AF97B60" w14:textId="77777777" w:rsidR="009C79F8" w:rsidRDefault="00461399" w:rsidP="00C3618D">
      <w:pPr>
        <w:ind w:firstLine="720"/>
        <w:rPr>
          <w:rFonts w:eastAsia="Calibri"/>
        </w:rPr>
      </w:pPr>
      <w:r>
        <w:t>Section 709 does not explicitly provide for any additional competen</w:t>
      </w:r>
      <w:r>
        <w:t xml:space="preserve">cy hearings after the </w:t>
      </w:r>
      <w:r>
        <w:t>six-month hearing described in subdivision (h)(4).</w:t>
      </w:r>
      <w:r>
        <w:rPr>
          <w:rStyle w:val="FootnoteReference"/>
          <w:position w:val="8"/>
        </w:rPr>
        <w:footnoteReference w:id="7"/>
      </w:r>
      <w:r>
        <w:t xml:space="preserve">  </w:t>
      </w:r>
      <w:r>
        <w:rPr>
          <w:rFonts w:eastAsia="Calibri"/>
        </w:rPr>
        <w:t>Neither party here disputes the propriety of a hearing after additional remediation is ordered pursuant to section 709, subdivision (h)(3).</w:t>
      </w:r>
      <w:r>
        <w:rPr>
          <w:rFonts w:eastAsia="Calibri"/>
        </w:rPr>
        <w:t xml:space="preserve">  </w:t>
      </w:r>
      <w:r w:rsidRPr="00A7791B">
        <w:t xml:space="preserve">In </w:t>
      </w:r>
      <w:r>
        <w:t xml:space="preserve">certain </w:t>
      </w:r>
      <w:r w:rsidRPr="00A7791B">
        <w:t xml:space="preserve">cases involving incompetent </w:t>
      </w:r>
      <w:r w:rsidRPr="00A7791B">
        <w:t>adult defendants, courts have held that if “the statutes do not authorize . . . a [competency] hearing, the court’s convening of one . . . exceed[s] its jurisdiction.”  (</w:t>
      </w:r>
      <w:r w:rsidRPr="00A7791B">
        <w:rPr>
          <w:i/>
          <w:iCs/>
        </w:rPr>
        <w:t>People v. Quiroz</w:t>
      </w:r>
      <w:r w:rsidRPr="00A7791B">
        <w:t xml:space="preserve"> (2016) 244 Cal.App.4th 1371, 1380; accord, </w:t>
      </w:r>
      <w:r w:rsidRPr="00A7791B">
        <w:rPr>
          <w:i/>
          <w:iCs/>
        </w:rPr>
        <w:t>In re Taitano</w:t>
      </w:r>
      <w:r w:rsidRPr="00A7791B">
        <w:t xml:space="preserve"> (2017) 13 Ca</w:t>
      </w:r>
      <w:r w:rsidRPr="00A7791B">
        <w:t>l.App.5th 233, 249</w:t>
      </w:r>
      <w:r>
        <w:t>-</w:t>
      </w:r>
      <w:r w:rsidRPr="00A7791B">
        <w:t>256.)</w:t>
      </w:r>
      <w:r>
        <w:t xml:space="preserve">  </w:t>
      </w:r>
      <w:r>
        <w:t>But</w:t>
      </w:r>
      <w:r>
        <w:t xml:space="preserve"> as our Supreme Court has made clear, </w:t>
      </w:r>
      <w:r>
        <w:t xml:space="preserve">these cases are “not applicable where there </w:t>
      </w:r>
      <w:r w:rsidRPr="00795D15">
        <w:rPr>
          <w:i/>
          <w:iCs/>
        </w:rPr>
        <w:t>is</w:t>
      </w:r>
      <w:r>
        <w:t xml:space="preserve"> a statutory basis for holding a competency hearing.”  (</w:t>
      </w:r>
      <w:r w:rsidRPr="0020266C">
        <w:rPr>
          <w:i/>
          <w:iCs/>
        </w:rPr>
        <w:t>Jackson v. Superior Court</w:t>
      </w:r>
      <w:r>
        <w:t xml:space="preserve"> (</w:t>
      </w:r>
      <w:r>
        <w:t xml:space="preserve">2017) 4 Cal.5th 96, </w:t>
      </w:r>
      <w:r>
        <w:t>107</w:t>
      </w:r>
      <w:r>
        <w:t xml:space="preserve">.)  </w:t>
      </w:r>
      <w:r>
        <w:t xml:space="preserve">For example, the statutory scheme for adults does not </w:t>
      </w:r>
      <w:r>
        <w:t>expressly require a</w:t>
      </w:r>
      <w:r>
        <w:t xml:space="preserve"> court</w:t>
      </w:r>
      <w:r>
        <w:t xml:space="preserve"> hearing to determine whether competence has been restored </w:t>
      </w:r>
      <w:r>
        <w:t>a</w:t>
      </w:r>
      <w:r>
        <w:t>fter</w:t>
      </w:r>
      <w:r>
        <w:t xml:space="preserve"> state health officials file a certificate attesting </w:t>
      </w:r>
      <w:r>
        <w:t xml:space="preserve">to </w:t>
      </w:r>
      <w:r>
        <w:t>such restoration</w:t>
      </w:r>
      <w:r>
        <w:t>.  (</w:t>
      </w:r>
      <w:r w:rsidRPr="00795D15">
        <w:rPr>
          <w:i/>
          <w:iCs/>
        </w:rPr>
        <w:t>People v. Carr</w:t>
      </w:r>
      <w:r>
        <w:t xml:space="preserve"> (</w:t>
      </w:r>
      <w:r>
        <w:t xml:space="preserve">2021) 59 Cal.App.5th </w:t>
      </w:r>
      <w:r>
        <w:t>1136, 1144.)</w:t>
      </w:r>
      <w:r>
        <w:t xml:space="preserve">  </w:t>
      </w:r>
      <w:r>
        <w:lastRenderedPageBreak/>
        <w:t xml:space="preserve">But </w:t>
      </w:r>
      <w:r>
        <w:t xml:space="preserve">such hearings are proper and necessary </w:t>
      </w:r>
      <w:r>
        <w:t xml:space="preserve">even though </w:t>
      </w:r>
      <w:r>
        <w:t xml:space="preserve">they are </w:t>
      </w:r>
      <w:r>
        <w:t xml:space="preserve">not expressly mentioned </w:t>
      </w:r>
      <w:r>
        <w:t xml:space="preserve">because </w:t>
      </w:r>
      <w:r>
        <w:t>th</w:t>
      </w:r>
      <w:r>
        <w:t>e statutory structure “</w:t>
      </w:r>
      <w:r>
        <w:t> </w:t>
      </w:r>
      <w:r>
        <w:t>‘indicate[s]</w:t>
      </w:r>
      <w:r>
        <w:t xml:space="preserve"> </w:t>
      </w:r>
      <w:r>
        <w:t>a legislative intention that such a hearing be afforded.</w:t>
      </w:r>
      <w:r>
        <w:t>’</w:t>
      </w:r>
      <w:r>
        <w:t xml:space="preserve"> </w:t>
      </w:r>
      <w:r>
        <w:t xml:space="preserve"> [Citation</w:t>
      </w:r>
      <w:r>
        <w:t>s</w:t>
      </w:r>
      <w:r>
        <w:t>.]”</w:t>
      </w:r>
      <w:r>
        <w:t xml:space="preserve">  (</w:t>
      </w:r>
      <w:r w:rsidRPr="00795D15">
        <w:rPr>
          <w:i/>
          <w:iCs/>
        </w:rPr>
        <w:t>Ibid</w:t>
      </w:r>
      <w:r>
        <w:t>.)</w:t>
      </w:r>
    </w:p>
    <w:p w14:paraId="3FFED8C2" w14:textId="77777777" w:rsidR="009162CC" w:rsidRPr="00254539" w:rsidRDefault="00461399" w:rsidP="00D4294D">
      <w:pPr>
        <w:ind w:firstLine="720"/>
        <w:rPr>
          <w:rFonts w:eastAsia="Calibri"/>
        </w:rPr>
      </w:pPr>
      <w:r>
        <w:rPr>
          <w:rFonts w:eastAsia="Calibri"/>
        </w:rPr>
        <w:t>Similarly, section 709 c</w:t>
      </w:r>
      <w:r>
        <w:rPr>
          <w:rFonts w:eastAsia="Calibri"/>
        </w:rPr>
        <w:t xml:space="preserve">ontemplates </w:t>
      </w:r>
      <w:r>
        <w:t xml:space="preserve">a further competency hearing such as the one that occurred </w:t>
      </w:r>
      <w:r>
        <w:rPr>
          <w:rFonts w:eastAsia="Calibri"/>
        </w:rPr>
        <w:t xml:space="preserve">in this matter, </w:t>
      </w:r>
      <w:r>
        <w:rPr>
          <w:rFonts w:eastAsia="Calibri"/>
        </w:rPr>
        <w:t xml:space="preserve">and </w:t>
      </w:r>
      <w:r>
        <w:rPr>
          <w:rFonts w:eastAsia="Calibri"/>
        </w:rPr>
        <w:t xml:space="preserve">absurd results would ensue if we </w:t>
      </w:r>
      <w:r>
        <w:rPr>
          <w:rFonts w:eastAsia="Calibri"/>
        </w:rPr>
        <w:t xml:space="preserve">rejected the possibility of </w:t>
      </w:r>
      <w:r>
        <w:rPr>
          <w:rFonts w:eastAsia="Calibri"/>
        </w:rPr>
        <w:t xml:space="preserve">such </w:t>
      </w:r>
      <w:r>
        <w:rPr>
          <w:rFonts w:eastAsia="Calibri"/>
        </w:rPr>
        <w:t xml:space="preserve">a </w:t>
      </w:r>
      <w:r>
        <w:rPr>
          <w:rFonts w:eastAsia="Calibri"/>
        </w:rPr>
        <w:t xml:space="preserve">hearing even though </w:t>
      </w:r>
      <w:r>
        <w:rPr>
          <w:rFonts w:eastAsia="Calibri"/>
        </w:rPr>
        <w:t>it</w:t>
      </w:r>
      <w:r>
        <w:rPr>
          <w:rFonts w:eastAsia="Calibri"/>
        </w:rPr>
        <w:t xml:space="preserve"> is not </w:t>
      </w:r>
      <w:r>
        <w:rPr>
          <w:rFonts w:eastAsia="Calibri"/>
        </w:rPr>
        <w:t xml:space="preserve">expressly mentioned </w:t>
      </w:r>
      <w:r>
        <w:rPr>
          <w:rFonts w:eastAsia="Calibri"/>
        </w:rPr>
        <w:t>in the statute.</w:t>
      </w:r>
      <w:r>
        <w:rPr>
          <w:rFonts w:eastAsia="Calibri"/>
        </w:rPr>
        <w:t xml:space="preserve">  As noted above, </w:t>
      </w:r>
      <w:r>
        <w:rPr>
          <w:rFonts w:eastAsia="Calibri"/>
        </w:rPr>
        <w:t>section 709 sp</w:t>
      </w:r>
      <w:r>
        <w:rPr>
          <w:rFonts w:eastAsia="Calibri"/>
        </w:rPr>
        <w:t xml:space="preserve">ecifies </w:t>
      </w:r>
      <w:r>
        <w:rPr>
          <w:rFonts w:eastAsia="Calibri"/>
        </w:rPr>
        <w:t>that an evidentiary hearing shall take place within</w:t>
      </w:r>
      <w:r>
        <w:rPr>
          <w:rFonts w:eastAsia="Calibri"/>
        </w:rPr>
        <w:t xml:space="preserve"> the first</w:t>
      </w:r>
      <w:r>
        <w:rPr>
          <w:rFonts w:eastAsia="Calibri"/>
        </w:rPr>
        <w:t xml:space="preserve"> six months </w:t>
      </w:r>
      <w:r>
        <w:rPr>
          <w:rFonts w:eastAsia="Calibri"/>
        </w:rPr>
        <w:t xml:space="preserve">of the initial recommendation </w:t>
      </w:r>
      <w:r>
        <w:rPr>
          <w:rFonts w:eastAsia="Calibri"/>
        </w:rPr>
        <w:t>from the “designated person or entity</w:t>
      </w:r>
      <w:r>
        <w:rPr>
          <w:rFonts w:eastAsia="Calibri"/>
        </w:rPr>
        <w:t xml:space="preserve">” </w:t>
      </w:r>
      <w:r>
        <w:rPr>
          <w:rFonts w:eastAsia="Calibri"/>
        </w:rPr>
        <w:t>if there is any dispute</w:t>
      </w:r>
      <w:r>
        <w:rPr>
          <w:rFonts w:eastAsia="Calibri"/>
        </w:rPr>
        <w:t xml:space="preserve"> whether the juvenile has been remediated</w:t>
      </w:r>
      <w:r>
        <w:rPr>
          <w:rFonts w:eastAsia="Calibri"/>
        </w:rPr>
        <w:t>.  (§</w:t>
      </w:r>
      <w:r>
        <w:rPr>
          <w:rFonts w:eastAsia="Calibri"/>
        </w:rPr>
        <w:t> </w:t>
      </w:r>
      <w:r>
        <w:rPr>
          <w:rFonts w:eastAsia="Calibri"/>
        </w:rPr>
        <w:t>709, subd. (h)(1)</w:t>
      </w:r>
      <w:r>
        <w:rPr>
          <w:rFonts w:eastAsia="Calibri"/>
        </w:rPr>
        <w:t>.)</w:t>
      </w:r>
      <w:r>
        <w:rPr>
          <w:rFonts w:eastAsia="Calibri"/>
        </w:rPr>
        <w:t xml:space="preserve">  At that hearing</w:t>
      </w:r>
      <w:r>
        <w:rPr>
          <w:rFonts w:eastAsia="Calibri"/>
        </w:rPr>
        <w:t xml:space="preserve"> the court </w:t>
      </w:r>
      <w:r>
        <w:rPr>
          <w:rFonts w:eastAsia="Calibri"/>
        </w:rPr>
        <w:t>“shall</w:t>
      </w:r>
      <w:r>
        <w:rPr>
          <w:rFonts w:eastAsia="Calibri"/>
        </w:rPr>
        <w:t xml:space="preserve"> order </w:t>
      </w:r>
      <w:r>
        <w:rPr>
          <w:rFonts w:eastAsia="Calibri"/>
        </w:rPr>
        <w:t>the minor to return to the remediation program</w:t>
      </w:r>
      <w:r>
        <w:rPr>
          <w:rFonts w:eastAsia="Calibri"/>
        </w:rPr>
        <w:t>” if the court finds it likely the minor</w:t>
      </w:r>
      <w:r>
        <w:rPr>
          <w:rFonts w:eastAsia="Calibri"/>
        </w:rPr>
        <w:t xml:space="preserve"> will be remediated within six additional months (</w:t>
      </w:r>
      <w:r>
        <w:rPr>
          <w:rFonts w:eastAsia="Calibri"/>
        </w:rPr>
        <w:t>§</w:t>
      </w:r>
      <w:r>
        <w:rPr>
          <w:rFonts w:eastAsia="Calibri"/>
        </w:rPr>
        <w:t> </w:t>
      </w:r>
      <w:r>
        <w:rPr>
          <w:rFonts w:eastAsia="Calibri"/>
        </w:rPr>
        <w:t>709, subd. (h)(3)</w:t>
      </w:r>
      <w:r>
        <w:rPr>
          <w:rFonts w:eastAsia="Calibri"/>
        </w:rPr>
        <w:t>.</w:t>
      </w:r>
      <w:r>
        <w:rPr>
          <w:rFonts w:eastAsia="Calibri"/>
        </w:rPr>
        <w:t>)</w:t>
      </w:r>
      <w:r>
        <w:rPr>
          <w:rFonts w:eastAsia="Calibri"/>
        </w:rPr>
        <w:t xml:space="preserve">  </w:t>
      </w:r>
      <w:r>
        <w:rPr>
          <w:rFonts w:eastAsia="Calibri"/>
        </w:rPr>
        <w:t>Given this statutory language, a</w:t>
      </w:r>
      <w:r w:rsidRPr="00FA16DE">
        <w:rPr>
          <w:rFonts w:eastAsia="Calibri"/>
        </w:rPr>
        <w:t>s the court in</w:t>
      </w:r>
      <w:r>
        <w:rPr>
          <w:rFonts w:eastAsia="Calibri"/>
        </w:rPr>
        <w:t xml:space="preserve"> </w:t>
      </w:r>
      <w:r w:rsidRPr="00FE00D8">
        <w:rPr>
          <w:i/>
          <w:iCs/>
        </w:rPr>
        <w:t>J.J.</w:t>
      </w:r>
      <w:r>
        <w:rPr>
          <w:i/>
          <w:iCs/>
        </w:rPr>
        <w:t xml:space="preserve"> v. Superior Court</w:t>
      </w:r>
      <w:r>
        <w:t xml:space="preserve"> (2021)</w:t>
      </w:r>
      <w:r w:rsidRPr="00FE00D8">
        <w:t xml:space="preserve"> 65 Cal.App.5th </w:t>
      </w:r>
      <w:r>
        <w:t>222</w:t>
      </w:r>
      <w:r>
        <w:t xml:space="preserve"> (</w:t>
      </w:r>
      <w:r>
        <w:rPr>
          <w:i/>
          <w:iCs/>
        </w:rPr>
        <w:t>J.J.</w:t>
      </w:r>
      <w:r>
        <w:t>)</w:t>
      </w:r>
      <w:r w:rsidRPr="00FA16DE">
        <w:rPr>
          <w:rFonts w:eastAsia="Calibri"/>
        </w:rPr>
        <w:t xml:space="preserve"> noted,</w:t>
      </w:r>
      <w:r w:rsidRPr="00FA16DE">
        <w:rPr>
          <w:rFonts w:eastAsia="Calibri"/>
          <w:i/>
          <w:iCs/>
        </w:rPr>
        <w:t xml:space="preserve"> </w:t>
      </w:r>
      <w:r w:rsidRPr="00FA16DE">
        <w:rPr>
          <w:rFonts w:eastAsia="Calibri"/>
        </w:rPr>
        <w:t>“common sense suggests there must be some sort of hearing approximately 12 months after the initial finding of incompetency, because without a determination of the juvenile’s competence at the 12-m</w:t>
      </w:r>
      <w:r w:rsidRPr="00FA16DE">
        <w:rPr>
          <w:rFonts w:eastAsia="Calibri"/>
        </w:rPr>
        <w:t xml:space="preserve">onth mark, there would be little purpose for extending the remediation period to that mark.”  </w:t>
      </w:r>
      <w:r w:rsidRPr="00CB6994">
        <w:rPr>
          <w:rFonts w:eastAsia="Calibri"/>
        </w:rPr>
        <w:t>(</w:t>
      </w:r>
      <w:r w:rsidRPr="00CB6994">
        <w:rPr>
          <w:rFonts w:eastAsia="Calibri"/>
          <w:i/>
        </w:rPr>
        <w:t>Id.</w:t>
      </w:r>
      <w:r w:rsidRPr="00CB6994">
        <w:rPr>
          <w:rFonts w:eastAsia="Calibri"/>
        </w:rPr>
        <w:t xml:space="preserve"> at p.</w:t>
      </w:r>
      <w:r>
        <w:rPr>
          <w:rFonts w:eastAsia="Calibri"/>
        </w:rPr>
        <w:t> </w:t>
      </w:r>
      <w:r w:rsidRPr="00FA16DE">
        <w:rPr>
          <w:rFonts w:eastAsia="Calibri"/>
        </w:rPr>
        <w:t xml:space="preserve">232.)  Indeed, it is at least arguable that continued confinement </w:t>
      </w:r>
      <w:r>
        <w:rPr>
          <w:rFonts w:eastAsia="Calibri"/>
        </w:rPr>
        <w:t xml:space="preserve">for remediation </w:t>
      </w:r>
      <w:r w:rsidRPr="00FA16DE">
        <w:rPr>
          <w:rFonts w:eastAsia="Calibri"/>
        </w:rPr>
        <w:t xml:space="preserve">after six months can withstand constitutional scrutiny only if there </w:t>
      </w:r>
      <w:r w:rsidRPr="00FA16DE">
        <w:rPr>
          <w:rFonts w:eastAsia="Calibri"/>
        </w:rPr>
        <w:t xml:space="preserve">is a possibility of a further competency hearing.  Otherwise, a minor’s continued confinement might violate </w:t>
      </w:r>
      <w:r>
        <w:rPr>
          <w:rFonts w:eastAsia="Calibri"/>
        </w:rPr>
        <w:t>constitutional restrictions</w:t>
      </w:r>
      <w:r w:rsidRPr="00FA16DE">
        <w:rPr>
          <w:rFonts w:eastAsia="Calibri"/>
        </w:rPr>
        <w:t xml:space="preserve"> </w:t>
      </w:r>
      <w:r w:rsidRPr="00FA16DE">
        <w:rPr>
          <w:rFonts w:eastAsia="Calibri"/>
        </w:rPr>
        <w:t>on confining an incompetent defendant “more than the reasonable period of time necessary to determine whether there is a</w:t>
      </w:r>
      <w:r w:rsidRPr="00FA16DE">
        <w:rPr>
          <w:rFonts w:eastAsia="Calibri"/>
        </w:rPr>
        <w:t xml:space="preserve"> substantial probability that he will attain that capacity in the foreseeable </w:t>
      </w:r>
      <w:r w:rsidRPr="00FA16DE">
        <w:rPr>
          <w:rFonts w:eastAsia="Calibri"/>
        </w:rPr>
        <w:lastRenderedPageBreak/>
        <w:t>future.”  (</w:t>
      </w:r>
      <w:r w:rsidRPr="00FA16DE">
        <w:rPr>
          <w:rFonts w:eastAsia="Calibri"/>
          <w:i/>
          <w:iCs/>
        </w:rPr>
        <w:t>Jackson v. Indiana</w:t>
      </w:r>
      <w:r w:rsidRPr="00FA16DE">
        <w:rPr>
          <w:rFonts w:eastAsia="Calibri"/>
        </w:rPr>
        <w:t xml:space="preserve"> (1972) 406 U.S. 715, 738</w:t>
      </w:r>
      <w:r>
        <w:rPr>
          <w:rFonts w:eastAsia="Calibri"/>
        </w:rPr>
        <w:t xml:space="preserve"> [92 S.Ct. 1845, 32 L.Ed.2d 435]</w:t>
      </w:r>
      <w:r w:rsidRPr="00FA16DE">
        <w:rPr>
          <w:rFonts w:eastAsia="Calibri"/>
        </w:rPr>
        <w:t xml:space="preserve">; accord, </w:t>
      </w:r>
      <w:r w:rsidRPr="00FA16DE">
        <w:rPr>
          <w:rFonts w:eastAsia="Calibri"/>
          <w:i/>
          <w:iCs/>
        </w:rPr>
        <w:t>In re Davis</w:t>
      </w:r>
      <w:r w:rsidRPr="00FA16DE">
        <w:rPr>
          <w:rFonts w:eastAsia="Calibri"/>
        </w:rPr>
        <w:t xml:space="preserve"> (1973) 8 Cal.3d 798, 801.)</w:t>
      </w:r>
    </w:p>
    <w:p w14:paraId="2ECE5DE0" w14:textId="77777777" w:rsidR="0065621A" w:rsidRDefault="00461399" w:rsidP="00176C77">
      <w:pPr>
        <w:pStyle w:val="Heading2"/>
        <w:spacing w:after="0" w:line="288" w:lineRule="auto"/>
      </w:pPr>
      <w:r>
        <w:t>B.</w:t>
      </w:r>
      <w:r>
        <w:tab/>
      </w:r>
      <w:r>
        <w:t xml:space="preserve">Section 709 </w:t>
      </w:r>
      <w:r>
        <w:t xml:space="preserve">Does Not Require Dismissal </w:t>
      </w:r>
      <w:r>
        <w:t>i</w:t>
      </w:r>
      <w:r>
        <w:t xml:space="preserve">f </w:t>
      </w:r>
      <w:r>
        <w:t xml:space="preserve">Competency Related </w:t>
      </w:r>
      <w:r>
        <w:t xml:space="preserve">Legal </w:t>
      </w:r>
      <w:r>
        <w:t>Proceedings Are Not Concluded within One Year</w:t>
      </w:r>
    </w:p>
    <w:p w14:paraId="3DF41438" w14:textId="77777777" w:rsidR="00BF316C" w:rsidRDefault="00461399" w:rsidP="00F912F0">
      <w:pPr>
        <w:rPr>
          <w:rFonts w:eastAsia="Calibri"/>
        </w:rPr>
      </w:pPr>
      <w:r>
        <w:tab/>
      </w:r>
      <w:r>
        <w:rPr>
          <w:rFonts w:eastAsia="Calibri"/>
        </w:rPr>
        <w:t>K.R.</w:t>
      </w:r>
      <w:r>
        <w:rPr>
          <w:rFonts w:eastAsia="Calibri"/>
        </w:rPr>
        <w:t xml:space="preserve"> </w:t>
      </w:r>
      <w:r>
        <w:rPr>
          <w:rFonts w:eastAsia="Calibri"/>
        </w:rPr>
        <w:t xml:space="preserve">argues that the one-year remediation limit in </w:t>
      </w:r>
      <w:r>
        <w:rPr>
          <w:rFonts w:eastAsia="Calibri"/>
        </w:rPr>
        <w:t>section 709</w:t>
      </w:r>
      <w:r>
        <w:rPr>
          <w:rFonts w:eastAsia="Calibri"/>
        </w:rPr>
        <w:t>, subdivision (h)(3) is absolute</w:t>
      </w:r>
      <w:r>
        <w:rPr>
          <w:rFonts w:eastAsia="Calibri"/>
        </w:rPr>
        <w:t>, and that</w:t>
      </w:r>
      <w:r>
        <w:rPr>
          <w:rFonts w:eastAsia="Calibri"/>
        </w:rPr>
        <w:t xml:space="preserve"> </w:t>
      </w:r>
      <w:r>
        <w:t>“</w:t>
      </w:r>
      <w:r>
        <w:t>O</w:t>
      </w:r>
      <w:r w:rsidRPr="00A65AED">
        <w:t xml:space="preserve">nce 12 months </w:t>
      </w:r>
      <w:r>
        <w:t>[have passed]</w:t>
      </w:r>
      <w:r w:rsidRPr="00A65AED">
        <w:t xml:space="preserve"> and the prosecution has not established that the client has been remediated, the juvenile court loses jurisdiction, and the juvenile petition must be dismissed.</w:t>
      </w:r>
      <w:r>
        <w:t xml:space="preserve">”  </w:t>
      </w:r>
      <w:r>
        <w:rPr>
          <w:rFonts w:eastAsia="Calibri"/>
        </w:rPr>
        <w:t>Under section 709, subdivision (e), the court may suspend proceedings “</w:t>
      </w:r>
      <w:r w:rsidRPr="00A07D1B">
        <w:rPr>
          <w:rFonts w:eastAsia="Calibri"/>
        </w:rPr>
        <w:t xml:space="preserve">for a period of time </w:t>
      </w:r>
      <w:r w:rsidRPr="00A07D1B">
        <w:rPr>
          <w:rFonts w:eastAsia="Calibri"/>
        </w:rPr>
        <w:t>that is no longer than reasonably necessary to determine whether there is a substantial probability that the minor will attain competency in the foreseeable future, or the court no longer retains jurisdiction and the case must be dismissed.</w:t>
      </w:r>
      <w:r>
        <w:rPr>
          <w:rFonts w:eastAsia="Calibri"/>
        </w:rPr>
        <w:t xml:space="preserve">”  According to </w:t>
      </w:r>
      <w:r>
        <w:rPr>
          <w:rFonts w:eastAsia="Calibri"/>
        </w:rPr>
        <w:t>K.R.</w:t>
      </w:r>
      <w:r>
        <w:rPr>
          <w:rFonts w:eastAsia="Calibri"/>
        </w:rPr>
        <w:t xml:space="preserve">, </w:t>
      </w:r>
      <w:r>
        <w:rPr>
          <w:rFonts w:eastAsia="Calibri"/>
        </w:rPr>
        <w:t>by limiting the remediation period to no more than one year</w:t>
      </w:r>
      <w:r>
        <w:rPr>
          <w:rFonts w:eastAsia="Calibri"/>
        </w:rPr>
        <w:t xml:space="preserve">, </w:t>
      </w:r>
      <w:r>
        <w:rPr>
          <w:rFonts w:eastAsia="Calibri"/>
        </w:rPr>
        <w:t>the Legislature has</w:t>
      </w:r>
      <w:r>
        <w:rPr>
          <w:rFonts w:eastAsia="Calibri"/>
        </w:rPr>
        <w:t xml:space="preserve"> </w:t>
      </w:r>
      <w:r>
        <w:rPr>
          <w:rFonts w:eastAsia="Calibri"/>
        </w:rPr>
        <w:t>set a maximum for the</w:t>
      </w:r>
      <w:r>
        <w:rPr>
          <w:rFonts w:eastAsia="Calibri"/>
        </w:rPr>
        <w:t xml:space="preserve"> </w:t>
      </w:r>
      <w:r>
        <w:rPr>
          <w:rFonts w:eastAsia="Calibri"/>
        </w:rPr>
        <w:t xml:space="preserve">period reasonably necessary </w:t>
      </w:r>
      <w:r>
        <w:rPr>
          <w:rFonts w:eastAsia="Calibri"/>
        </w:rPr>
        <w:t xml:space="preserve">to determine whether the minor will attain competency, and </w:t>
      </w:r>
      <w:r>
        <w:rPr>
          <w:rFonts w:eastAsia="Calibri"/>
        </w:rPr>
        <w:t xml:space="preserve">at that point, the </w:t>
      </w:r>
      <w:r>
        <w:rPr>
          <w:rFonts w:eastAsia="Calibri"/>
        </w:rPr>
        <w:t>court must dismiss the case.</w:t>
      </w:r>
    </w:p>
    <w:p w14:paraId="57B88AE0" w14:textId="77777777" w:rsidR="00811875" w:rsidRDefault="00461399" w:rsidP="00F912F0">
      <w:pPr>
        <w:rPr>
          <w:rFonts w:eastAsia="Calibri"/>
        </w:rPr>
      </w:pPr>
      <w:r>
        <w:rPr>
          <w:rFonts w:eastAsia="Calibri"/>
        </w:rPr>
        <w:tab/>
      </w:r>
      <w:r w:rsidRPr="008D6BC1">
        <w:rPr>
          <w:rFonts w:eastAsia="Calibri"/>
        </w:rPr>
        <w:t>Issues of s</w:t>
      </w:r>
      <w:r w:rsidRPr="008D6BC1">
        <w:rPr>
          <w:rFonts w:eastAsia="Calibri"/>
        </w:rPr>
        <w:t xml:space="preserve">tatutory construction are questions of law </w:t>
      </w:r>
      <w:r>
        <w:rPr>
          <w:rFonts w:eastAsia="Calibri"/>
        </w:rPr>
        <w:t xml:space="preserve">subject to </w:t>
      </w:r>
      <w:r w:rsidRPr="008D6BC1">
        <w:rPr>
          <w:rFonts w:eastAsia="Calibri"/>
        </w:rPr>
        <w:t xml:space="preserve">a de novo standard of review. </w:t>
      </w:r>
      <w:r>
        <w:rPr>
          <w:rFonts w:eastAsia="Calibri"/>
        </w:rPr>
        <w:t xml:space="preserve"> </w:t>
      </w:r>
      <w:r w:rsidRPr="008D6BC1">
        <w:rPr>
          <w:rFonts w:eastAsia="Calibri"/>
        </w:rPr>
        <w:t>(</w:t>
      </w:r>
      <w:r w:rsidRPr="00C4522C">
        <w:rPr>
          <w:rFonts w:eastAsia="Calibri"/>
          <w:i/>
          <w:iCs/>
        </w:rPr>
        <w:t>California Teachers Assn. v. San Diego Community College Dist</w:t>
      </w:r>
      <w:r w:rsidRPr="008D6BC1">
        <w:rPr>
          <w:rFonts w:eastAsia="Calibri"/>
        </w:rPr>
        <w:t>. (1981) 28 Cal.3d 692, 699.)</w:t>
      </w:r>
      <w:r>
        <w:rPr>
          <w:rFonts w:eastAsia="Calibri"/>
        </w:rPr>
        <w:t xml:space="preserve">  </w:t>
      </w:r>
      <w:r>
        <w:rPr>
          <w:rFonts w:eastAsia="Calibri"/>
        </w:rPr>
        <w:t>“ ‘</w:t>
      </w:r>
      <w:r w:rsidRPr="0003082D">
        <w:rPr>
          <w:rFonts w:eastAsia="Calibri"/>
        </w:rPr>
        <w:t xml:space="preserve">We consider first the words of a statute, as the most reliable </w:t>
      </w:r>
      <w:r w:rsidRPr="0003082D">
        <w:rPr>
          <w:rFonts w:eastAsia="Calibri"/>
        </w:rPr>
        <w:t>indicator of legislative intent.</w:t>
      </w:r>
      <w:r>
        <w:rPr>
          <w:rFonts w:eastAsia="Calibri"/>
        </w:rPr>
        <w:t>’ ”</w:t>
      </w:r>
      <w:r>
        <w:rPr>
          <w:rFonts w:eastAsia="Calibri"/>
        </w:rPr>
        <w:t xml:space="preserve"> </w:t>
      </w:r>
      <w:r w:rsidRPr="0003082D">
        <w:rPr>
          <w:rFonts w:eastAsia="Calibri"/>
        </w:rPr>
        <w:t xml:space="preserve"> (</w:t>
      </w:r>
      <w:r w:rsidRPr="00C4522C">
        <w:rPr>
          <w:rFonts w:eastAsia="Calibri"/>
          <w:i/>
          <w:iCs/>
        </w:rPr>
        <w:t>California Building Industry Assn. v. State Water Resources Control Bd</w:t>
      </w:r>
      <w:r w:rsidRPr="0003082D">
        <w:rPr>
          <w:rFonts w:eastAsia="Calibri"/>
        </w:rPr>
        <w:t xml:space="preserve">. (2018) 4 Cal.5th 1032, 1041.) </w:t>
      </w:r>
      <w:r>
        <w:rPr>
          <w:rFonts w:eastAsia="Calibri"/>
        </w:rPr>
        <w:t xml:space="preserve"> </w:t>
      </w:r>
      <w:r w:rsidRPr="0003082D">
        <w:rPr>
          <w:rFonts w:eastAsia="Calibri"/>
        </w:rPr>
        <w:t>“ ‘ “We interpret relevant terms in light of their ordinary meaning, while also taking account of any related provi</w:t>
      </w:r>
      <w:r w:rsidRPr="0003082D">
        <w:rPr>
          <w:rFonts w:eastAsia="Calibri"/>
        </w:rPr>
        <w:t>sions and the overall structure of the statutory scheme to determine what interpretation best advances the Legislature</w:t>
      </w:r>
      <w:r>
        <w:rPr>
          <w:rFonts w:eastAsia="Calibri"/>
        </w:rPr>
        <w:t>’</w:t>
      </w:r>
      <w:r w:rsidRPr="0003082D">
        <w:rPr>
          <w:rFonts w:eastAsia="Calibri"/>
        </w:rPr>
        <w:t xml:space="preserve">s underlying </w:t>
      </w:r>
      <w:r w:rsidRPr="0003082D">
        <w:rPr>
          <w:rFonts w:eastAsia="Calibri"/>
        </w:rPr>
        <w:lastRenderedPageBreak/>
        <w:t>purpose.” ’</w:t>
      </w:r>
      <w:r>
        <w:rPr>
          <w:rFonts w:eastAsia="Calibri"/>
        </w:rPr>
        <w:t xml:space="preserve"> </w:t>
      </w:r>
      <w:r w:rsidRPr="0003082D">
        <w:rPr>
          <w:rFonts w:eastAsia="Calibri"/>
        </w:rPr>
        <w:t xml:space="preserve"> [Citation.]</w:t>
      </w:r>
      <w:r>
        <w:rPr>
          <w:rFonts w:eastAsia="Calibri"/>
        </w:rPr>
        <w:t xml:space="preserve"> </w:t>
      </w:r>
      <w:r w:rsidRPr="0003082D">
        <w:rPr>
          <w:rFonts w:eastAsia="Calibri"/>
        </w:rPr>
        <w:t xml:space="preserve"> ‘If we find the statutory language ambiguous or subject to more than one interpretation, we may lo</w:t>
      </w:r>
      <w:r w:rsidRPr="0003082D">
        <w:rPr>
          <w:rFonts w:eastAsia="Calibri"/>
        </w:rPr>
        <w:t xml:space="preserve">ok to extrinsic aids, including legislative history or purpose to inform our views.’ </w:t>
      </w:r>
      <w:r>
        <w:rPr>
          <w:rFonts w:eastAsia="Calibri"/>
        </w:rPr>
        <w:t xml:space="preserve"> [Citation</w:t>
      </w:r>
      <w:r>
        <w:rPr>
          <w:rFonts w:eastAsia="Calibri"/>
        </w:rPr>
        <w:t>.]</w:t>
      </w:r>
      <w:r w:rsidRPr="0003082D">
        <w:rPr>
          <w:rFonts w:eastAsia="Calibri"/>
        </w:rPr>
        <w:t xml:space="preserve">” </w:t>
      </w:r>
      <w:r>
        <w:rPr>
          <w:rFonts w:eastAsia="Calibri"/>
        </w:rPr>
        <w:t xml:space="preserve"> </w:t>
      </w:r>
      <w:r w:rsidRPr="0003082D">
        <w:rPr>
          <w:rFonts w:eastAsia="Calibri"/>
        </w:rPr>
        <w:t>(</w:t>
      </w:r>
      <w:r w:rsidRPr="00C4522C">
        <w:rPr>
          <w:rFonts w:eastAsia="Calibri"/>
          <w:i/>
          <w:iCs/>
        </w:rPr>
        <w:t>In re A.N</w:t>
      </w:r>
      <w:r w:rsidRPr="0003082D">
        <w:rPr>
          <w:rFonts w:eastAsia="Calibri"/>
        </w:rPr>
        <w:t>. (2020) 9 Cal.5th 343, 351-352.)</w:t>
      </w:r>
    </w:p>
    <w:p w14:paraId="5DB487BE" w14:textId="77777777" w:rsidR="006819EB" w:rsidRDefault="00461399" w:rsidP="00B42EDA">
      <w:pPr>
        <w:rPr>
          <w:rFonts w:eastAsia="Calibri"/>
        </w:rPr>
      </w:pPr>
      <w:r>
        <w:rPr>
          <w:rFonts w:eastAsia="Calibri"/>
        </w:rPr>
        <w:tab/>
      </w:r>
      <w:r>
        <w:rPr>
          <w:rFonts w:eastAsia="Calibri"/>
        </w:rPr>
        <w:t xml:space="preserve">Looking first to the words of </w:t>
      </w:r>
      <w:r>
        <w:rPr>
          <w:rFonts w:eastAsia="Calibri"/>
        </w:rPr>
        <w:t>s</w:t>
      </w:r>
      <w:r>
        <w:rPr>
          <w:rFonts w:eastAsia="Calibri"/>
        </w:rPr>
        <w:t>ection 709, s</w:t>
      </w:r>
      <w:r>
        <w:rPr>
          <w:rFonts w:eastAsia="Calibri"/>
        </w:rPr>
        <w:t>ubdivision (h)(3) sets a maximum time for</w:t>
      </w:r>
      <w:r>
        <w:rPr>
          <w:rFonts w:eastAsia="Calibri"/>
        </w:rPr>
        <w:t xml:space="preserve"> </w:t>
      </w:r>
      <w:r>
        <w:rPr>
          <w:rFonts w:eastAsia="Calibri"/>
        </w:rPr>
        <w:t>remediation</w:t>
      </w:r>
      <w:r>
        <w:rPr>
          <w:rFonts w:eastAsia="Calibri"/>
        </w:rPr>
        <w:t xml:space="preserve">, </w:t>
      </w:r>
      <w:r>
        <w:rPr>
          <w:rFonts w:eastAsia="Calibri"/>
        </w:rPr>
        <w:t>but it neith</w:t>
      </w:r>
      <w:r>
        <w:rPr>
          <w:rFonts w:eastAsia="Calibri"/>
        </w:rPr>
        <w:t>er states nor implies</w:t>
      </w:r>
      <w:r>
        <w:rPr>
          <w:rFonts w:eastAsia="Calibri"/>
        </w:rPr>
        <w:t xml:space="preserve"> that </w:t>
      </w:r>
      <w:r>
        <w:rPr>
          <w:rFonts w:eastAsia="Calibri"/>
        </w:rPr>
        <w:t>the court loses jurisdiction at the end of the remediation period.</w:t>
      </w:r>
      <w:r>
        <w:rPr>
          <w:rFonts w:eastAsia="Calibri"/>
        </w:rPr>
        <w:t xml:space="preserve">  </w:t>
      </w:r>
      <w:r>
        <w:rPr>
          <w:rFonts w:eastAsia="Calibri"/>
        </w:rPr>
        <w:t>S</w:t>
      </w:r>
      <w:r>
        <w:rPr>
          <w:rFonts w:eastAsia="Calibri"/>
        </w:rPr>
        <w:t>ubdivision (e)</w:t>
      </w:r>
      <w:r>
        <w:rPr>
          <w:rFonts w:eastAsia="Calibri"/>
        </w:rPr>
        <w:t xml:space="preserve"> indicates that the court must dismiss </w:t>
      </w:r>
      <w:r>
        <w:rPr>
          <w:rFonts w:eastAsia="Calibri"/>
        </w:rPr>
        <w:t xml:space="preserve">a case after it loses jurisdiction, but it </w:t>
      </w:r>
      <w:r>
        <w:rPr>
          <w:rFonts w:eastAsia="Calibri"/>
        </w:rPr>
        <w:t xml:space="preserve">does not </w:t>
      </w:r>
      <w:r>
        <w:rPr>
          <w:rFonts w:eastAsia="Calibri"/>
        </w:rPr>
        <w:t>set a condition for the loss of jurisdiction</w:t>
      </w:r>
      <w:r>
        <w:rPr>
          <w:rFonts w:eastAsia="Calibri"/>
        </w:rPr>
        <w:t>.</w:t>
      </w:r>
      <w:r>
        <w:rPr>
          <w:rFonts w:eastAsia="Calibri"/>
        </w:rPr>
        <w:t xml:space="preserve">  </w:t>
      </w:r>
      <w:r>
        <w:rPr>
          <w:rFonts w:eastAsia="Calibri"/>
        </w:rPr>
        <w:t>Two addi</w:t>
      </w:r>
      <w:r>
        <w:rPr>
          <w:rFonts w:eastAsia="Calibri"/>
        </w:rPr>
        <w:t xml:space="preserve">tional provisions of section 709 do require the juvenile court to dismiss a petition in circumstances not applicable here.  Under subdivision (f), </w:t>
      </w:r>
      <w:r>
        <w:rPr>
          <w:rFonts w:eastAsia="Calibri"/>
        </w:rPr>
        <w:t>the court must</w:t>
      </w:r>
      <w:r>
        <w:rPr>
          <w:rFonts w:eastAsia="Calibri"/>
        </w:rPr>
        <w:t xml:space="preserve"> dismiss the case</w:t>
      </w:r>
      <w:r>
        <w:rPr>
          <w:rFonts w:eastAsia="Calibri"/>
        </w:rPr>
        <w:t xml:space="preserve"> </w:t>
      </w:r>
      <w:r>
        <w:rPr>
          <w:rFonts w:eastAsia="Calibri"/>
        </w:rPr>
        <w:t xml:space="preserve">if a minor who is accused of only misdemeanor offenses is found to be </w:t>
      </w:r>
      <w:r>
        <w:rPr>
          <w:rFonts w:eastAsia="Calibri"/>
        </w:rPr>
        <w:t>incompetent</w:t>
      </w:r>
      <w:r>
        <w:rPr>
          <w:rFonts w:eastAsia="Calibri"/>
        </w:rPr>
        <w:t xml:space="preserve">, and </w:t>
      </w:r>
      <w:r>
        <w:rPr>
          <w:rFonts w:eastAsia="Calibri"/>
        </w:rPr>
        <w:t>the same is true under subdivision (h)(4)</w:t>
      </w:r>
      <w:r>
        <w:rPr>
          <w:rFonts w:eastAsia="Calibri"/>
        </w:rPr>
        <w:t xml:space="preserve"> if </w:t>
      </w:r>
      <w:r>
        <w:rPr>
          <w:rFonts w:eastAsia="Calibri"/>
        </w:rPr>
        <w:t>the court finds at the six</w:t>
      </w:r>
      <w:r>
        <w:rPr>
          <w:rFonts w:eastAsia="Calibri"/>
        </w:rPr>
        <w:t>-</w:t>
      </w:r>
      <w:r>
        <w:rPr>
          <w:rFonts w:eastAsia="Calibri"/>
        </w:rPr>
        <w:t>month hearing that the minor is unlikely to be remediated within six more months</w:t>
      </w:r>
      <w:r>
        <w:rPr>
          <w:rFonts w:eastAsia="Calibri"/>
        </w:rPr>
        <w:t>.</w:t>
      </w:r>
      <w:r>
        <w:rPr>
          <w:rFonts w:eastAsia="Calibri"/>
        </w:rPr>
        <w:t xml:space="preserve">  If the Legislature had meant </w:t>
      </w:r>
      <w:r>
        <w:rPr>
          <w:rFonts w:eastAsia="Calibri"/>
        </w:rPr>
        <w:t>to require a dismissal at the end of the remediation pe</w:t>
      </w:r>
      <w:r>
        <w:rPr>
          <w:rFonts w:eastAsia="Calibri"/>
        </w:rPr>
        <w:t xml:space="preserve">riod, it </w:t>
      </w:r>
      <w:r>
        <w:rPr>
          <w:rFonts w:eastAsia="Calibri"/>
        </w:rPr>
        <w:t xml:space="preserve">presumably </w:t>
      </w:r>
      <w:r>
        <w:rPr>
          <w:rFonts w:eastAsia="Calibri"/>
        </w:rPr>
        <w:t xml:space="preserve">would have </w:t>
      </w:r>
      <w:r>
        <w:rPr>
          <w:rFonts w:eastAsia="Calibri"/>
        </w:rPr>
        <w:t>said so.</w:t>
      </w:r>
      <w:r>
        <w:rPr>
          <w:rFonts w:eastAsia="Calibri"/>
        </w:rPr>
        <w:t xml:space="preserve">  (E.g., </w:t>
      </w:r>
      <w:r w:rsidRPr="006C18C3">
        <w:rPr>
          <w:rFonts w:eastAsia="Calibri"/>
          <w:i/>
          <w:iCs/>
        </w:rPr>
        <w:t>Delta Stewardship Council Cases</w:t>
      </w:r>
      <w:r>
        <w:rPr>
          <w:rFonts w:eastAsia="Calibri"/>
        </w:rPr>
        <w:t xml:space="preserve"> (2020) 48 Cal.App.5th 1014,</w:t>
      </w:r>
      <w:r>
        <w:rPr>
          <w:rFonts w:eastAsia="Calibri"/>
        </w:rPr>
        <w:t xml:space="preserve"> 1052</w:t>
      </w:r>
      <w:r w:rsidRPr="00130165">
        <w:rPr>
          <w:rFonts w:eastAsia="Calibri"/>
        </w:rPr>
        <w:t>.</w:t>
      </w:r>
      <w:r>
        <w:rPr>
          <w:rFonts w:eastAsia="Calibri"/>
        </w:rPr>
        <w:t>)</w:t>
      </w:r>
    </w:p>
    <w:p w14:paraId="71C87217" w14:textId="77777777" w:rsidR="002973C7" w:rsidRDefault="00461399" w:rsidP="00B42EDA">
      <w:pPr>
        <w:rPr>
          <w:rFonts w:eastAsia="Calibri"/>
        </w:rPr>
      </w:pPr>
      <w:r>
        <w:rPr>
          <w:rFonts w:eastAsia="Calibri"/>
        </w:rPr>
        <w:tab/>
      </w:r>
      <w:r>
        <w:rPr>
          <w:rFonts w:eastAsia="Calibri"/>
        </w:rPr>
        <w:t xml:space="preserve">We also disagree with </w:t>
      </w:r>
      <w:r>
        <w:rPr>
          <w:rFonts w:eastAsia="Calibri"/>
        </w:rPr>
        <w:t>K.R.</w:t>
      </w:r>
      <w:r>
        <w:rPr>
          <w:rFonts w:eastAsia="Calibri"/>
        </w:rPr>
        <w:t xml:space="preserve">’s contention that the court’s holding in </w:t>
      </w:r>
      <w:r>
        <w:rPr>
          <w:rFonts w:eastAsia="Calibri"/>
          <w:i/>
          <w:iCs/>
        </w:rPr>
        <w:t>J.J.</w:t>
      </w:r>
      <w:r>
        <w:rPr>
          <w:rFonts w:eastAsia="Calibri"/>
        </w:rPr>
        <w:t xml:space="preserve"> supports his position.  </w:t>
      </w:r>
      <w:r>
        <w:rPr>
          <w:rFonts w:eastAsia="Calibri"/>
        </w:rPr>
        <w:t>In that case, following an evidentiary hear</w:t>
      </w:r>
      <w:r>
        <w:rPr>
          <w:rFonts w:eastAsia="Calibri"/>
        </w:rPr>
        <w:t>ing, the juvenile court found the remediation services provided over the prior 12</w:t>
      </w:r>
      <w:r>
        <w:rPr>
          <w:rFonts w:eastAsia="Calibri"/>
        </w:rPr>
        <w:t>-</w:t>
      </w:r>
      <w:r>
        <w:rPr>
          <w:rFonts w:eastAsia="Calibri"/>
        </w:rPr>
        <w:t xml:space="preserve">month period had not restored the minor to competency.  </w:t>
      </w:r>
      <w:r>
        <w:rPr>
          <w:rFonts w:eastAsia="Calibri"/>
        </w:rPr>
        <w:t>(</w:t>
      </w:r>
      <w:r>
        <w:rPr>
          <w:rFonts w:eastAsia="Calibri"/>
          <w:i/>
          <w:iCs/>
        </w:rPr>
        <w:t>J.J.</w:t>
      </w:r>
      <w:r>
        <w:rPr>
          <w:rFonts w:eastAsia="Calibri"/>
        </w:rPr>
        <w:t>,</w:t>
      </w:r>
      <w:r w:rsidRPr="00657C9B">
        <w:rPr>
          <w:rFonts w:eastAsia="Calibri"/>
        </w:rPr>
        <w:t xml:space="preserve"> </w:t>
      </w:r>
      <w:r w:rsidRPr="00657C9B">
        <w:rPr>
          <w:rFonts w:eastAsia="Calibri"/>
          <w:i/>
        </w:rPr>
        <w:t>supra</w:t>
      </w:r>
      <w:r w:rsidRPr="00657C9B">
        <w:rPr>
          <w:rFonts w:eastAsia="Calibri"/>
        </w:rPr>
        <w:t>,</w:t>
      </w:r>
      <w:r>
        <w:rPr>
          <w:rFonts w:eastAsia="Calibri"/>
        </w:rPr>
        <w:t xml:space="preserve"> 65 Cal.App.5th at pp.</w:t>
      </w:r>
      <w:r>
        <w:rPr>
          <w:rFonts w:eastAsia="Calibri"/>
        </w:rPr>
        <w:t xml:space="preserve"> </w:t>
      </w:r>
      <w:r>
        <w:rPr>
          <w:rFonts w:eastAsia="Calibri"/>
        </w:rPr>
        <w:t>226</w:t>
      </w:r>
      <w:r>
        <w:rPr>
          <w:rFonts w:eastAsia="Calibri"/>
        </w:rPr>
        <w:t>-</w:t>
      </w:r>
      <w:r>
        <w:rPr>
          <w:rFonts w:eastAsia="Calibri"/>
        </w:rPr>
        <w:t>227.)</w:t>
      </w:r>
      <w:r>
        <w:rPr>
          <w:rFonts w:eastAsia="Calibri"/>
        </w:rPr>
        <w:t xml:space="preserve"> </w:t>
      </w:r>
      <w:r>
        <w:rPr>
          <w:rFonts w:eastAsia="Calibri"/>
        </w:rPr>
        <w:t xml:space="preserve"> The </w:t>
      </w:r>
      <w:r>
        <w:rPr>
          <w:rFonts w:eastAsia="Calibri"/>
        </w:rPr>
        <w:t>C</w:t>
      </w:r>
      <w:r>
        <w:rPr>
          <w:rFonts w:eastAsia="Calibri"/>
        </w:rPr>
        <w:t xml:space="preserve">ourt of </w:t>
      </w:r>
      <w:r>
        <w:rPr>
          <w:rFonts w:eastAsia="Calibri"/>
        </w:rPr>
        <w:t>A</w:t>
      </w:r>
      <w:r>
        <w:rPr>
          <w:rFonts w:eastAsia="Calibri"/>
        </w:rPr>
        <w:t>ppeal held that</w:t>
      </w:r>
      <w:r>
        <w:rPr>
          <w:rFonts w:eastAsia="Calibri"/>
        </w:rPr>
        <w:t xml:space="preserve"> at that point, the juvenile court was required to release </w:t>
      </w:r>
      <w:r>
        <w:rPr>
          <w:rFonts w:eastAsia="Calibri"/>
        </w:rPr>
        <w:t xml:space="preserve">the minor from custody and dismiss the petition.  </w:t>
      </w:r>
      <w:r w:rsidRPr="00E36A1A">
        <w:rPr>
          <w:rFonts w:eastAsia="Calibri"/>
        </w:rPr>
        <w:t>(</w:t>
      </w:r>
      <w:r w:rsidRPr="00E36A1A">
        <w:rPr>
          <w:rFonts w:eastAsia="Calibri"/>
          <w:i/>
        </w:rPr>
        <w:t>Id.</w:t>
      </w:r>
      <w:r w:rsidRPr="00E36A1A">
        <w:rPr>
          <w:rFonts w:eastAsia="Calibri"/>
        </w:rPr>
        <w:t xml:space="preserve"> at p.</w:t>
      </w:r>
      <w:r>
        <w:rPr>
          <w:rFonts w:eastAsia="Calibri"/>
        </w:rPr>
        <w:t xml:space="preserve"> 225.)  </w:t>
      </w:r>
      <w:r>
        <w:rPr>
          <w:rFonts w:eastAsia="Calibri"/>
        </w:rPr>
        <w:t>The court reasoned that</w:t>
      </w:r>
      <w:r>
        <w:rPr>
          <w:rFonts w:eastAsia="Calibri"/>
        </w:rPr>
        <w:t>,</w:t>
      </w:r>
      <w:r>
        <w:rPr>
          <w:rFonts w:eastAsia="Calibri"/>
        </w:rPr>
        <w:t xml:space="preserve"> </w:t>
      </w:r>
      <w:r>
        <w:rPr>
          <w:rFonts w:eastAsia="Calibri"/>
        </w:rPr>
        <w:t>“</w:t>
      </w:r>
      <w:r>
        <w:rPr>
          <w:rFonts w:eastAsia="Calibri"/>
        </w:rPr>
        <w:t>S</w:t>
      </w:r>
      <w:r w:rsidRPr="00967FBA">
        <w:rPr>
          <w:rFonts w:eastAsia="Calibri"/>
        </w:rPr>
        <w:t>ince a juvenile court must dismiss a juvenile proceeding at the six-</w:t>
      </w:r>
      <w:r w:rsidRPr="00967FBA">
        <w:rPr>
          <w:rFonts w:eastAsia="Calibri"/>
        </w:rPr>
        <w:lastRenderedPageBreak/>
        <w:t>month hearing if there is no likel</w:t>
      </w:r>
      <w:r w:rsidRPr="00967FBA">
        <w:rPr>
          <w:rFonts w:eastAsia="Calibri"/>
        </w:rPr>
        <w:t>ihood the juvenile</w:t>
      </w:r>
      <w:r>
        <w:rPr>
          <w:rFonts w:eastAsia="Calibri"/>
        </w:rPr>
        <w:t xml:space="preserve"> </w:t>
      </w:r>
      <w:r w:rsidRPr="00967FBA">
        <w:rPr>
          <w:rFonts w:eastAsia="Calibri"/>
          <w:i/>
          <w:iCs/>
        </w:rPr>
        <w:t>will</w:t>
      </w:r>
      <w:r>
        <w:rPr>
          <w:rFonts w:eastAsia="Calibri"/>
        </w:rPr>
        <w:t xml:space="preserve"> </w:t>
      </w:r>
      <w:r w:rsidRPr="00967FBA">
        <w:rPr>
          <w:rFonts w:eastAsia="Calibri"/>
        </w:rPr>
        <w:t>be remediated by the end of</w:t>
      </w:r>
      <w:r>
        <w:rPr>
          <w:rFonts w:eastAsia="Calibri"/>
        </w:rPr>
        <w:t xml:space="preserve"> </w:t>
      </w:r>
      <w:r w:rsidRPr="00967FBA">
        <w:rPr>
          <w:rFonts w:eastAsia="Calibri"/>
        </w:rPr>
        <w:t>the 12-month remediation period (§</w:t>
      </w:r>
      <w:r>
        <w:rPr>
          <w:rFonts w:eastAsia="Calibri"/>
        </w:rPr>
        <w:t> </w:t>
      </w:r>
      <w:r w:rsidRPr="00967FBA">
        <w:rPr>
          <w:rFonts w:eastAsia="Calibri"/>
        </w:rPr>
        <w:t>709, subd. (h)(4)), it makes sense that the court must</w:t>
      </w:r>
      <w:r>
        <w:rPr>
          <w:rFonts w:eastAsia="Calibri"/>
        </w:rPr>
        <w:t xml:space="preserve"> </w:t>
      </w:r>
      <w:r w:rsidRPr="00967FBA">
        <w:rPr>
          <w:rFonts w:eastAsia="Calibri"/>
        </w:rPr>
        <w:t>dismiss the petition at the 12-month hearing where the juvenile</w:t>
      </w:r>
      <w:r>
        <w:rPr>
          <w:rFonts w:eastAsia="Calibri"/>
        </w:rPr>
        <w:t xml:space="preserve"> </w:t>
      </w:r>
      <w:r w:rsidRPr="00967FBA">
        <w:rPr>
          <w:rFonts w:eastAsia="Calibri"/>
          <w:i/>
          <w:iCs/>
        </w:rPr>
        <w:t>has not</w:t>
      </w:r>
      <w:r w:rsidRPr="00967FBA">
        <w:rPr>
          <w:rFonts w:eastAsia="Calibri"/>
        </w:rPr>
        <w:t>, in fact, been remediated by the end of th</w:t>
      </w:r>
      <w:r w:rsidRPr="00967FBA">
        <w:rPr>
          <w:rFonts w:eastAsia="Calibri"/>
        </w:rPr>
        <w:t>e 12-month remediation period.</w:t>
      </w:r>
      <w:r>
        <w:rPr>
          <w:rFonts w:eastAsia="Calibri"/>
        </w:rPr>
        <w:t xml:space="preserve">”  </w:t>
      </w:r>
      <w:r w:rsidRPr="00967FBA">
        <w:rPr>
          <w:rFonts w:eastAsia="Calibri"/>
        </w:rPr>
        <w:t>(</w:t>
      </w:r>
      <w:r w:rsidRPr="00967FBA">
        <w:rPr>
          <w:rFonts w:eastAsia="Calibri"/>
          <w:i/>
        </w:rPr>
        <w:t>Id.</w:t>
      </w:r>
      <w:r w:rsidRPr="00967FBA">
        <w:rPr>
          <w:rFonts w:eastAsia="Calibri"/>
        </w:rPr>
        <w:t xml:space="preserve"> at pp.</w:t>
      </w:r>
      <w:r>
        <w:rPr>
          <w:rFonts w:eastAsia="Calibri"/>
        </w:rPr>
        <w:t xml:space="preserve"> </w:t>
      </w:r>
      <w:r>
        <w:rPr>
          <w:rFonts w:eastAsia="Calibri"/>
        </w:rPr>
        <w:t>233</w:t>
      </w:r>
      <w:r>
        <w:rPr>
          <w:rFonts w:eastAsia="Calibri"/>
        </w:rPr>
        <w:t>-</w:t>
      </w:r>
      <w:r>
        <w:rPr>
          <w:rFonts w:eastAsia="Calibri"/>
        </w:rPr>
        <w:t xml:space="preserve">234.)  Here, unlike in </w:t>
      </w:r>
      <w:r>
        <w:rPr>
          <w:rFonts w:eastAsia="Calibri"/>
          <w:i/>
          <w:iCs/>
        </w:rPr>
        <w:t>J.J.</w:t>
      </w:r>
      <w:r>
        <w:rPr>
          <w:rFonts w:eastAsia="Calibri"/>
        </w:rPr>
        <w:t xml:space="preserve">, the court made no finding that </w:t>
      </w:r>
      <w:r>
        <w:rPr>
          <w:rFonts w:eastAsia="Calibri"/>
        </w:rPr>
        <w:t>K.R.</w:t>
      </w:r>
      <w:r>
        <w:rPr>
          <w:rFonts w:eastAsia="Calibri"/>
        </w:rPr>
        <w:t xml:space="preserve"> </w:t>
      </w:r>
      <w:r>
        <w:rPr>
          <w:rFonts w:eastAsia="Calibri"/>
        </w:rPr>
        <w:t xml:space="preserve">remained incompetent </w:t>
      </w:r>
      <w:r>
        <w:rPr>
          <w:rFonts w:eastAsia="Calibri"/>
        </w:rPr>
        <w:t>at the end of one year</w:t>
      </w:r>
      <w:r>
        <w:rPr>
          <w:rFonts w:eastAsia="Calibri"/>
        </w:rPr>
        <w:t>.  I</w:t>
      </w:r>
      <w:r>
        <w:rPr>
          <w:rFonts w:eastAsia="Calibri"/>
        </w:rPr>
        <w:t xml:space="preserve">nstead, the court was in the process of resolving a dispute </w:t>
      </w:r>
      <w:r>
        <w:rPr>
          <w:rFonts w:eastAsia="Calibri"/>
        </w:rPr>
        <w:t xml:space="preserve">between the parties </w:t>
      </w:r>
      <w:r>
        <w:rPr>
          <w:rFonts w:eastAsia="Calibri"/>
        </w:rPr>
        <w:t>regarding</w:t>
      </w:r>
      <w:r>
        <w:rPr>
          <w:rFonts w:eastAsia="Calibri"/>
        </w:rPr>
        <w:t xml:space="preserve"> whether </w:t>
      </w:r>
      <w:r>
        <w:rPr>
          <w:rFonts w:eastAsia="Calibri"/>
        </w:rPr>
        <w:t>K.R.</w:t>
      </w:r>
      <w:r>
        <w:rPr>
          <w:rFonts w:eastAsia="Calibri"/>
        </w:rPr>
        <w:t xml:space="preserve"> was competent</w:t>
      </w:r>
      <w:r>
        <w:rPr>
          <w:rFonts w:eastAsia="Calibri"/>
        </w:rPr>
        <w:t xml:space="preserve"> following remediation</w:t>
      </w:r>
      <w:r>
        <w:rPr>
          <w:rFonts w:eastAsia="Calibri"/>
        </w:rPr>
        <w:t xml:space="preserve">.  Thus, the </w:t>
      </w:r>
      <w:r>
        <w:rPr>
          <w:rFonts w:eastAsia="Calibri"/>
        </w:rPr>
        <w:t xml:space="preserve">requirement to dismiss the case under </w:t>
      </w:r>
      <w:r>
        <w:rPr>
          <w:rFonts w:eastAsia="Calibri"/>
        </w:rPr>
        <w:t>sectio</w:t>
      </w:r>
      <w:r>
        <w:rPr>
          <w:rFonts w:eastAsia="Calibri"/>
        </w:rPr>
        <w:t xml:space="preserve">n 709, </w:t>
      </w:r>
      <w:r>
        <w:rPr>
          <w:rFonts w:eastAsia="Calibri"/>
        </w:rPr>
        <w:t>subdivision (h)(4)</w:t>
      </w:r>
      <w:r>
        <w:rPr>
          <w:rFonts w:eastAsia="Calibri"/>
        </w:rPr>
        <w:t xml:space="preserve"> was not yet triggered</w:t>
      </w:r>
      <w:r>
        <w:rPr>
          <w:rFonts w:eastAsia="Calibri"/>
        </w:rPr>
        <w:t>.</w:t>
      </w:r>
    </w:p>
    <w:p w14:paraId="31CDD60A" w14:textId="77777777" w:rsidR="006D1BA1" w:rsidRDefault="00461399" w:rsidP="00197ED2">
      <w:pPr>
        <w:rPr>
          <w:rFonts w:eastAsia="Calibri"/>
        </w:rPr>
      </w:pPr>
      <w:r>
        <w:rPr>
          <w:rFonts w:eastAsia="Calibri"/>
        </w:rPr>
        <w:tab/>
      </w:r>
      <w:r>
        <w:rPr>
          <w:rFonts w:eastAsia="Calibri"/>
        </w:rPr>
        <w:t>K.R.</w:t>
      </w:r>
      <w:r>
        <w:rPr>
          <w:rFonts w:eastAsia="Calibri"/>
        </w:rPr>
        <w:t>’s inte</w:t>
      </w:r>
      <w:r>
        <w:rPr>
          <w:rFonts w:eastAsia="Calibri"/>
        </w:rPr>
        <w:t xml:space="preserve">rpretation of </w:t>
      </w:r>
      <w:r>
        <w:rPr>
          <w:rFonts w:eastAsia="Calibri"/>
        </w:rPr>
        <w:t>section 709’s</w:t>
      </w:r>
      <w:r>
        <w:rPr>
          <w:rFonts w:eastAsia="Calibri"/>
        </w:rPr>
        <w:t xml:space="preserve"> </w:t>
      </w:r>
      <w:r>
        <w:rPr>
          <w:rFonts w:eastAsia="Calibri"/>
        </w:rPr>
        <w:t xml:space="preserve">maximum 12-month </w:t>
      </w:r>
      <w:r>
        <w:rPr>
          <w:rFonts w:eastAsia="Calibri"/>
        </w:rPr>
        <w:t>“remediation period</w:t>
      </w:r>
      <w:r>
        <w:rPr>
          <w:rFonts w:eastAsia="Calibri"/>
        </w:rPr>
        <w:t>”</w:t>
      </w:r>
      <w:r>
        <w:rPr>
          <w:rFonts w:eastAsia="Calibri"/>
        </w:rPr>
        <w:t xml:space="preserve"> </w:t>
      </w:r>
      <w:r>
        <w:rPr>
          <w:rFonts w:eastAsia="Calibri"/>
        </w:rPr>
        <w:t xml:space="preserve">further </w:t>
      </w:r>
      <w:r>
        <w:rPr>
          <w:rFonts w:eastAsia="Calibri"/>
        </w:rPr>
        <w:t xml:space="preserve">does not accord with </w:t>
      </w:r>
      <w:r>
        <w:rPr>
          <w:rFonts w:eastAsia="Calibri"/>
        </w:rPr>
        <w:t xml:space="preserve">the purpose </w:t>
      </w:r>
      <w:r>
        <w:rPr>
          <w:rFonts w:eastAsia="Calibri"/>
        </w:rPr>
        <w:t xml:space="preserve">of </w:t>
      </w:r>
      <w:r>
        <w:rPr>
          <w:rFonts w:eastAsia="Calibri"/>
        </w:rPr>
        <w:t>that time frame</w:t>
      </w:r>
      <w:r>
        <w:rPr>
          <w:rFonts w:eastAsia="Calibri"/>
        </w:rPr>
        <w:t xml:space="preserve">.  </w:t>
      </w:r>
      <w:r>
        <w:rPr>
          <w:rFonts w:eastAsia="Calibri"/>
        </w:rPr>
        <w:t xml:space="preserve">Although section 709 does not define the “remediation period,” the legislative history shows that it is the period during which </w:t>
      </w:r>
      <w:r>
        <w:rPr>
          <w:rFonts w:eastAsia="Calibri"/>
        </w:rPr>
        <w:t xml:space="preserve">juveniles are provided services designed to restore them to competency.  </w:t>
      </w:r>
      <w:r w:rsidRPr="00C81224">
        <w:rPr>
          <w:rFonts w:eastAsia="Calibri"/>
        </w:rPr>
        <w:t>(</w:t>
      </w:r>
      <w:r>
        <w:rPr>
          <w:rFonts w:eastAsia="Calibri"/>
        </w:rPr>
        <w:t xml:space="preserve">E.g., </w:t>
      </w:r>
      <w:r w:rsidRPr="00C81224">
        <w:rPr>
          <w:rFonts w:eastAsia="Calibri"/>
        </w:rPr>
        <w:t>Cal</w:t>
      </w:r>
      <w:r>
        <w:rPr>
          <w:rFonts w:eastAsia="Calibri"/>
        </w:rPr>
        <w:t>.</w:t>
      </w:r>
      <w:r w:rsidRPr="00C81224">
        <w:rPr>
          <w:rFonts w:eastAsia="Calibri"/>
        </w:rPr>
        <w:t xml:space="preserve"> Bill Analysis, </w:t>
      </w:r>
      <w:r>
        <w:rPr>
          <w:rFonts w:eastAsia="Calibri"/>
        </w:rPr>
        <w:t>Assem</w:t>
      </w:r>
      <w:r>
        <w:rPr>
          <w:rFonts w:eastAsia="Calibri"/>
        </w:rPr>
        <w:t>.</w:t>
      </w:r>
      <w:r>
        <w:rPr>
          <w:rFonts w:eastAsia="Calibri"/>
        </w:rPr>
        <w:t xml:space="preserve"> Conc</w:t>
      </w:r>
      <w:r>
        <w:rPr>
          <w:rFonts w:eastAsia="Calibri"/>
        </w:rPr>
        <w:t>.</w:t>
      </w:r>
      <w:r>
        <w:rPr>
          <w:rFonts w:eastAsia="Calibri"/>
        </w:rPr>
        <w:t xml:space="preserve"> in </w:t>
      </w:r>
      <w:r w:rsidRPr="00C81224">
        <w:rPr>
          <w:rFonts w:eastAsia="Calibri"/>
        </w:rPr>
        <w:t>Sen</w:t>
      </w:r>
      <w:r>
        <w:rPr>
          <w:rFonts w:eastAsia="Calibri"/>
        </w:rPr>
        <w:t>.</w:t>
      </w:r>
      <w:r w:rsidRPr="00C81224">
        <w:rPr>
          <w:rFonts w:eastAsia="Calibri"/>
        </w:rPr>
        <w:t xml:space="preserve"> </w:t>
      </w:r>
      <w:r>
        <w:rPr>
          <w:rFonts w:eastAsia="Calibri"/>
        </w:rPr>
        <w:t>Amend</w:t>
      </w:r>
      <w:r>
        <w:rPr>
          <w:rFonts w:eastAsia="Calibri"/>
        </w:rPr>
        <w:t>.</w:t>
      </w:r>
      <w:r w:rsidRPr="00C81224">
        <w:rPr>
          <w:rFonts w:eastAsia="Calibri"/>
        </w:rPr>
        <w:t xml:space="preserve">, </w:t>
      </w:r>
      <w:r w:rsidRPr="00C81224">
        <w:rPr>
          <w:rFonts w:eastAsia="Calibri"/>
        </w:rPr>
        <w:t>Assem</w:t>
      </w:r>
      <w:r>
        <w:rPr>
          <w:rFonts w:eastAsia="Calibri"/>
        </w:rPr>
        <w:t>.</w:t>
      </w:r>
      <w:r w:rsidRPr="00C81224">
        <w:rPr>
          <w:rFonts w:eastAsia="Calibri"/>
        </w:rPr>
        <w:t xml:space="preserve"> Bill </w:t>
      </w:r>
      <w:r>
        <w:rPr>
          <w:rFonts w:eastAsia="Calibri"/>
        </w:rPr>
        <w:t xml:space="preserve">No. </w:t>
      </w:r>
      <w:r w:rsidRPr="00C81224">
        <w:rPr>
          <w:rFonts w:eastAsia="Calibri"/>
        </w:rPr>
        <w:t>1214</w:t>
      </w:r>
      <w:r>
        <w:rPr>
          <w:rFonts w:eastAsia="Calibri"/>
        </w:rPr>
        <w:t xml:space="preserve"> (</w:t>
      </w:r>
      <w:r w:rsidRPr="00C81224">
        <w:rPr>
          <w:rFonts w:eastAsia="Calibri"/>
        </w:rPr>
        <w:t>2017-2018</w:t>
      </w:r>
      <w:r>
        <w:rPr>
          <w:rFonts w:eastAsia="Calibri"/>
        </w:rPr>
        <w:t xml:space="preserve"> </w:t>
      </w:r>
      <w:r w:rsidRPr="00C81224">
        <w:rPr>
          <w:rFonts w:eastAsia="Calibri"/>
        </w:rPr>
        <w:t>Reg</w:t>
      </w:r>
      <w:r>
        <w:rPr>
          <w:rFonts w:eastAsia="Calibri"/>
        </w:rPr>
        <w:t>.</w:t>
      </w:r>
      <w:r w:rsidRPr="00C81224">
        <w:rPr>
          <w:rFonts w:eastAsia="Calibri"/>
        </w:rPr>
        <w:t xml:space="preserve"> Sess</w:t>
      </w:r>
      <w:r>
        <w:rPr>
          <w:rFonts w:eastAsia="Calibri"/>
        </w:rPr>
        <w:t>.)</w:t>
      </w:r>
      <w:r w:rsidRPr="00C81224">
        <w:rPr>
          <w:rFonts w:eastAsia="Calibri"/>
        </w:rPr>
        <w:t xml:space="preserve"> </w:t>
      </w:r>
      <w:r>
        <w:rPr>
          <w:rFonts w:eastAsia="Calibri"/>
        </w:rPr>
        <w:t xml:space="preserve">Aug. </w:t>
      </w:r>
      <w:r>
        <w:rPr>
          <w:rFonts w:eastAsia="Calibri"/>
        </w:rPr>
        <w:t>28</w:t>
      </w:r>
      <w:r>
        <w:rPr>
          <w:rFonts w:eastAsia="Calibri"/>
        </w:rPr>
        <w:t>, 2018</w:t>
      </w:r>
      <w:r w:rsidRPr="00C81224">
        <w:rPr>
          <w:rFonts w:eastAsia="Calibri"/>
        </w:rPr>
        <w:t>, p.</w:t>
      </w:r>
      <w:r>
        <w:rPr>
          <w:rFonts w:eastAsia="Calibri"/>
        </w:rPr>
        <w:t xml:space="preserve"> </w:t>
      </w:r>
      <w:r>
        <w:rPr>
          <w:rFonts w:eastAsia="Calibri"/>
        </w:rPr>
        <w:t>6;</w:t>
      </w:r>
      <w:r>
        <w:rPr>
          <w:rFonts w:eastAsia="Calibri"/>
        </w:rPr>
        <w:t xml:space="preserve"> Sen. Com. on Public Safety, com. on Assem. Bill No.</w:t>
      </w:r>
      <w:r>
        <w:rPr>
          <w:rFonts w:eastAsia="Calibri"/>
        </w:rPr>
        <w:t xml:space="preserve"> </w:t>
      </w:r>
      <w:r>
        <w:rPr>
          <w:rFonts w:eastAsia="Calibri"/>
        </w:rPr>
        <w:t xml:space="preserve">1214 (2017-2018 Reg. Sess.) June 26, 2018, </w:t>
      </w:r>
      <w:r>
        <w:rPr>
          <w:rFonts w:eastAsia="Calibri"/>
        </w:rPr>
        <w:t>p</w:t>
      </w:r>
      <w:r>
        <w:rPr>
          <w:rFonts w:eastAsia="Calibri"/>
        </w:rPr>
        <w:t>p.</w:t>
      </w:r>
      <w:r>
        <w:rPr>
          <w:rFonts w:eastAsia="Calibri"/>
        </w:rPr>
        <w:t xml:space="preserve"> 5-6, 9</w:t>
      </w:r>
      <w:r>
        <w:rPr>
          <w:rFonts w:eastAsia="Calibri"/>
        </w:rPr>
        <w:t>.</w:t>
      </w:r>
      <w:r>
        <w:rPr>
          <w:rFonts w:eastAsia="Calibri"/>
        </w:rPr>
        <w:t>)</w:t>
      </w:r>
      <w:bookmarkStart w:id="0" w:name="_Hlk127263716"/>
      <w:r>
        <w:rPr>
          <w:rFonts w:eastAsia="Calibri"/>
        </w:rPr>
        <w:t xml:space="preserve">  </w:t>
      </w:r>
      <w:bookmarkEnd w:id="0"/>
      <w:r>
        <w:rPr>
          <w:rFonts w:eastAsia="Calibri"/>
        </w:rPr>
        <w:t>K.R.</w:t>
      </w:r>
      <w:r>
        <w:rPr>
          <w:rFonts w:eastAsia="Calibri"/>
        </w:rPr>
        <w:t>’s interpretation</w:t>
      </w:r>
      <w:r>
        <w:rPr>
          <w:rFonts w:eastAsia="Calibri"/>
        </w:rPr>
        <w:t xml:space="preserve"> of section 709</w:t>
      </w:r>
      <w:r>
        <w:rPr>
          <w:rFonts w:eastAsia="Calibri"/>
        </w:rPr>
        <w:t xml:space="preserve"> </w:t>
      </w:r>
      <w:r>
        <w:rPr>
          <w:rFonts w:eastAsia="Calibri"/>
        </w:rPr>
        <w:t xml:space="preserve">thus </w:t>
      </w:r>
      <w:r>
        <w:rPr>
          <w:rFonts w:eastAsia="Calibri"/>
        </w:rPr>
        <w:t>pose</w:t>
      </w:r>
      <w:r>
        <w:rPr>
          <w:rFonts w:eastAsia="Calibri"/>
        </w:rPr>
        <w:t>s</w:t>
      </w:r>
      <w:r>
        <w:rPr>
          <w:rFonts w:eastAsia="Calibri"/>
        </w:rPr>
        <w:t xml:space="preserve"> a practical</w:t>
      </w:r>
      <w:r>
        <w:rPr>
          <w:rFonts w:eastAsia="Calibri"/>
        </w:rPr>
        <w:t xml:space="preserve"> problem:  </w:t>
      </w:r>
      <w:r w:rsidRPr="00600BCC">
        <w:rPr>
          <w:rFonts w:eastAsia="Calibri"/>
        </w:rPr>
        <w:t>A</w:t>
      </w:r>
      <w:r>
        <w:rPr>
          <w:rFonts w:eastAsia="Calibri"/>
        </w:rPr>
        <w:t xml:space="preserve"> </w:t>
      </w:r>
      <w:r>
        <w:rPr>
          <w:rFonts w:eastAsia="Calibri"/>
        </w:rPr>
        <w:t>competency hearing</w:t>
      </w:r>
      <w:r w:rsidRPr="00600BCC">
        <w:rPr>
          <w:rFonts w:eastAsia="Calibri"/>
        </w:rPr>
        <w:t xml:space="preserve"> </w:t>
      </w:r>
      <w:r>
        <w:rPr>
          <w:rFonts w:eastAsia="Calibri"/>
        </w:rPr>
        <w:t xml:space="preserve">cannot be </w:t>
      </w:r>
      <w:r>
        <w:rPr>
          <w:rFonts w:eastAsia="Calibri"/>
        </w:rPr>
        <w:t>completed instantaneously</w:t>
      </w:r>
      <w:r>
        <w:rPr>
          <w:rFonts w:eastAsia="Calibri"/>
        </w:rPr>
        <w:t xml:space="preserve"> upon the </w:t>
      </w:r>
      <w:r>
        <w:rPr>
          <w:rFonts w:eastAsia="Calibri"/>
        </w:rPr>
        <w:t>completion of remediation services</w:t>
      </w:r>
      <w:r w:rsidRPr="00600BCC">
        <w:rPr>
          <w:rFonts w:eastAsia="Calibri"/>
        </w:rPr>
        <w:t>.</w:t>
      </w:r>
      <w:r>
        <w:rPr>
          <w:rFonts w:eastAsia="Calibri"/>
        </w:rPr>
        <w:t xml:space="preserve"> </w:t>
      </w:r>
      <w:r>
        <w:rPr>
          <w:rFonts w:eastAsia="Calibri"/>
        </w:rPr>
        <w:t xml:space="preserve"> Adopting </w:t>
      </w:r>
      <w:r>
        <w:rPr>
          <w:rFonts w:eastAsia="Calibri"/>
        </w:rPr>
        <w:t>K.R.</w:t>
      </w:r>
      <w:r>
        <w:rPr>
          <w:rFonts w:eastAsia="Calibri"/>
        </w:rPr>
        <w:t xml:space="preserve">’s position would effectively </w:t>
      </w:r>
      <w:r>
        <w:rPr>
          <w:rFonts w:eastAsia="Calibri"/>
        </w:rPr>
        <w:t>downsize the statutory remediation period to something meaningfully shorter</w:t>
      </w:r>
      <w:r>
        <w:rPr>
          <w:rFonts w:eastAsia="Calibri"/>
        </w:rPr>
        <w:t>, particularly when competency is contested</w:t>
      </w:r>
      <w:r>
        <w:rPr>
          <w:rFonts w:eastAsia="Calibri"/>
        </w:rPr>
        <w:t>.</w:t>
      </w:r>
      <w:r>
        <w:rPr>
          <w:rFonts w:eastAsia="Calibri"/>
        </w:rPr>
        <w:t xml:space="preserve">  </w:t>
      </w:r>
      <w:r>
        <w:rPr>
          <w:rFonts w:eastAsia="Calibri"/>
        </w:rPr>
        <w:t xml:space="preserve">In order to </w:t>
      </w:r>
      <w:r>
        <w:rPr>
          <w:rFonts w:eastAsia="Calibri"/>
        </w:rPr>
        <w:t>allow enough time to hold a</w:t>
      </w:r>
      <w:r>
        <w:rPr>
          <w:rFonts w:eastAsia="Calibri"/>
        </w:rPr>
        <w:t xml:space="preserve"> hearing and mak</w:t>
      </w:r>
      <w:r>
        <w:rPr>
          <w:rFonts w:eastAsia="Calibri"/>
        </w:rPr>
        <w:t>e a ruling</w:t>
      </w:r>
      <w:r>
        <w:rPr>
          <w:rFonts w:eastAsia="Calibri"/>
        </w:rPr>
        <w:t xml:space="preserve"> within one year of the initial finding of incompetency</w:t>
      </w:r>
      <w:r>
        <w:rPr>
          <w:rFonts w:eastAsia="Calibri"/>
        </w:rPr>
        <w:t>, the court would need to</w:t>
      </w:r>
      <w:r>
        <w:rPr>
          <w:rFonts w:eastAsia="Calibri"/>
        </w:rPr>
        <w:t xml:space="preserve"> schedule the hearing to</w:t>
      </w:r>
      <w:r>
        <w:rPr>
          <w:rFonts w:eastAsia="Calibri"/>
        </w:rPr>
        <w:t xml:space="preserve"> begin</w:t>
      </w:r>
      <w:r>
        <w:rPr>
          <w:rFonts w:eastAsia="Calibri"/>
        </w:rPr>
        <w:t xml:space="preserve"> before the deadline</w:t>
      </w:r>
      <w:r>
        <w:rPr>
          <w:rFonts w:eastAsia="Calibri"/>
        </w:rPr>
        <w:t xml:space="preserve">, including allotting enough time to conclude the hearing and rule before the </w:t>
      </w:r>
      <w:r>
        <w:rPr>
          <w:rFonts w:eastAsia="Calibri"/>
        </w:rPr>
        <w:lastRenderedPageBreak/>
        <w:t>one</w:t>
      </w:r>
      <w:r>
        <w:rPr>
          <w:rFonts w:eastAsia="Calibri"/>
        </w:rPr>
        <w:t>-</w:t>
      </w:r>
      <w:r>
        <w:rPr>
          <w:rFonts w:eastAsia="Calibri"/>
        </w:rPr>
        <w:t>year mark</w:t>
      </w:r>
      <w:r>
        <w:rPr>
          <w:rFonts w:eastAsia="Calibri"/>
        </w:rPr>
        <w:t xml:space="preserve"> (and as illustrated here</w:t>
      </w:r>
      <w:r>
        <w:rPr>
          <w:rFonts w:eastAsia="Calibri"/>
        </w:rPr>
        <w:t xml:space="preserve">, an additional buffer in case </w:t>
      </w:r>
      <w:r>
        <w:rPr>
          <w:rFonts w:eastAsia="Calibri"/>
        </w:rPr>
        <w:t xml:space="preserve">something unexpected arose that delayed </w:t>
      </w:r>
      <w:r>
        <w:rPr>
          <w:rFonts w:eastAsia="Calibri"/>
        </w:rPr>
        <w:t>the court or counsel timely conclud</w:t>
      </w:r>
      <w:r>
        <w:rPr>
          <w:rFonts w:eastAsia="Calibri"/>
        </w:rPr>
        <w:t>ing</w:t>
      </w:r>
      <w:r>
        <w:rPr>
          <w:rFonts w:eastAsia="Calibri"/>
        </w:rPr>
        <w:t xml:space="preserve"> the hearing)</w:t>
      </w:r>
      <w:r>
        <w:rPr>
          <w:rFonts w:eastAsia="Calibri"/>
        </w:rPr>
        <w:t xml:space="preserve">.  That would mean the last </w:t>
      </w:r>
      <w:r>
        <w:rPr>
          <w:rFonts w:eastAsia="Calibri"/>
        </w:rPr>
        <w:t>portion</w:t>
      </w:r>
      <w:r>
        <w:rPr>
          <w:rFonts w:eastAsia="Calibri"/>
        </w:rPr>
        <w:t xml:space="preserve"> of </w:t>
      </w:r>
      <w:r>
        <w:rPr>
          <w:rFonts w:eastAsia="Calibri"/>
        </w:rPr>
        <w:t xml:space="preserve">the </w:t>
      </w:r>
      <w:r>
        <w:rPr>
          <w:rFonts w:eastAsia="Calibri"/>
        </w:rPr>
        <w:t xml:space="preserve">remediation </w:t>
      </w:r>
      <w:r>
        <w:rPr>
          <w:rFonts w:eastAsia="Calibri"/>
        </w:rPr>
        <w:t xml:space="preserve">period </w:t>
      </w:r>
      <w:r>
        <w:rPr>
          <w:rFonts w:eastAsia="Calibri"/>
        </w:rPr>
        <w:t xml:space="preserve">would be </w:t>
      </w:r>
      <w:r>
        <w:rPr>
          <w:rFonts w:eastAsia="Calibri"/>
        </w:rPr>
        <w:t>effectively unavailable</w:t>
      </w:r>
      <w:r>
        <w:rPr>
          <w:rFonts w:eastAsia="Calibri"/>
        </w:rPr>
        <w:t xml:space="preserve">, because even if </w:t>
      </w:r>
      <w:r>
        <w:rPr>
          <w:rFonts w:eastAsia="Calibri"/>
        </w:rPr>
        <w:t>a minor attained compe</w:t>
      </w:r>
      <w:r>
        <w:rPr>
          <w:rFonts w:eastAsia="Calibri"/>
        </w:rPr>
        <w:t xml:space="preserve">tency during that time, it would not be possible to </w:t>
      </w:r>
      <w:r>
        <w:rPr>
          <w:rFonts w:eastAsia="Calibri"/>
        </w:rPr>
        <w:t xml:space="preserve">complete a hearing and reinstate proceedings before the deadline. </w:t>
      </w:r>
      <w:r>
        <w:rPr>
          <w:rFonts w:eastAsia="Calibri"/>
        </w:rPr>
        <w:t xml:space="preserve"> </w:t>
      </w:r>
      <w:r>
        <w:rPr>
          <w:rFonts w:eastAsia="Calibri"/>
        </w:rPr>
        <w:t>The Legislature may set any maximum remediation period it chooses</w:t>
      </w:r>
      <w:r>
        <w:rPr>
          <w:rFonts w:eastAsia="Calibri"/>
        </w:rPr>
        <w:t xml:space="preserve"> consistent with constitutional restraints</w:t>
      </w:r>
      <w:r>
        <w:rPr>
          <w:rFonts w:eastAsia="Calibri"/>
        </w:rPr>
        <w:t xml:space="preserve">, but </w:t>
      </w:r>
      <w:r>
        <w:rPr>
          <w:rFonts w:eastAsia="Calibri"/>
        </w:rPr>
        <w:t xml:space="preserve">to allow </w:t>
      </w:r>
      <w:r>
        <w:rPr>
          <w:rFonts w:eastAsia="Calibri"/>
        </w:rPr>
        <w:t xml:space="preserve">for </w:t>
      </w:r>
      <w:r>
        <w:rPr>
          <w:rFonts w:eastAsia="Calibri"/>
        </w:rPr>
        <w:t xml:space="preserve">the possibility of restoration of competence up to the end of that period, </w:t>
      </w:r>
      <w:r>
        <w:rPr>
          <w:rFonts w:eastAsia="Calibri"/>
        </w:rPr>
        <w:t>there must be some</w:t>
      </w:r>
      <w:r>
        <w:rPr>
          <w:rFonts w:eastAsia="Calibri"/>
        </w:rPr>
        <w:t xml:space="preserve"> allowance for </w:t>
      </w:r>
      <w:r>
        <w:rPr>
          <w:rFonts w:eastAsia="Calibri"/>
        </w:rPr>
        <w:t>a competency hearing after the remediation</w:t>
      </w:r>
      <w:r>
        <w:rPr>
          <w:rFonts w:eastAsia="Calibri"/>
        </w:rPr>
        <w:t xml:space="preserve"> period has expired</w:t>
      </w:r>
      <w:r>
        <w:rPr>
          <w:rFonts w:eastAsia="Calibri"/>
        </w:rPr>
        <w:t xml:space="preserve"> if the entirety of that period </w:t>
      </w:r>
      <w:r>
        <w:rPr>
          <w:rFonts w:eastAsia="Calibri"/>
        </w:rPr>
        <w:t>is necessary for remediation services</w:t>
      </w:r>
      <w:r>
        <w:rPr>
          <w:rFonts w:eastAsia="Calibri"/>
        </w:rPr>
        <w:t>.</w:t>
      </w:r>
      <w:r>
        <w:rPr>
          <w:rStyle w:val="FootnoteReference"/>
          <w:rFonts w:eastAsia="Calibri"/>
          <w:position w:val="8"/>
        </w:rPr>
        <w:footnoteReference w:id="8"/>
      </w:r>
    </w:p>
    <w:p w14:paraId="409916DF" w14:textId="77777777" w:rsidR="003D740D" w:rsidRDefault="00461399" w:rsidP="006B7AF9">
      <w:pPr>
        <w:ind w:firstLine="720"/>
        <w:rPr>
          <w:rFonts w:eastAsia="Calibri"/>
        </w:rPr>
      </w:pPr>
      <w:r>
        <w:rPr>
          <w:rFonts w:eastAsia="Calibri"/>
        </w:rPr>
        <w:t>The author of</w:t>
      </w:r>
      <w:r>
        <w:rPr>
          <w:rFonts w:eastAsia="Calibri"/>
        </w:rPr>
        <w:t xml:space="preserve"> </w:t>
      </w:r>
      <w:r>
        <w:rPr>
          <w:rFonts w:eastAsia="Calibri"/>
        </w:rPr>
        <w:t xml:space="preserve">Assembly Bill No. </w:t>
      </w:r>
      <w:r>
        <w:rPr>
          <w:rFonts w:eastAsia="Calibri"/>
        </w:rPr>
        <w:t>1214</w:t>
      </w:r>
      <w:r>
        <w:rPr>
          <w:rFonts w:eastAsia="Calibri"/>
        </w:rPr>
        <w:t xml:space="preserve"> stated that the bill was</w:t>
      </w:r>
      <w:r>
        <w:rPr>
          <w:rFonts w:eastAsia="Calibri"/>
        </w:rPr>
        <w:t xml:space="preserve"> intended to </w:t>
      </w:r>
      <w:r>
        <w:rPr>
          <w:rFonts w:eastAsia="Calibri"/>
        </w:rPr>
        <w:t>ensure that “</w:t>
      </w:r>
      <w:r w:rsidRPr="00FB5930">
        <w:rPr>
          <w:rFonts w:eastAsia="Calibri"/>
        </w:rPr>
        <w:t xml:space="preserve">vulnerable kids receive appropriate </w:t>
      </w:r>
      <w:r w:rsidRPr="00FB5930">
        <w:rPr>
          <w:rFonts w:eastAsia="Calibri"/>
        </w:rPr>
        <w:lastRenderedPageBreak/>
        <w:t>services</w:t>
      </w:r>
      <w:r>
        <w:rPr>
          <w:rFonts w:eastAsia="Calibri"/>
        </w:rPr>
        <w:t xml:space="preserve"> </w:t>
      </w:r>
      <w:r w:rsidRPr="00FB5930">
        <w:rPr>
          <w:rFonts w:eastAsia="Calibri"/>
        </w:rPr>
        <w:t xml:space="preserve">. . . within a reasonable time frame in order to get them out of </w:t>
      </w:r>
      <w:r>
        <w:rPr>
          <w:rFonts w:eastAsia="Calibri"/>
        </w:rPr>
        <w:t>[juvenile]</w:t>
      </w:r>
      <w:r w:rsidRPr="00FB5930">
        <w:rPr>
          <w:rFonts w:eastAsia="Calibri"/>
        </w:rPr>
        <w:t xml:space="preserve"> hall and in proper placement and care going forward.</w:t>
      </w:r>
      <w:r>
        <w:rPr>
          <w:rFonts w:eastAsia="Calibri"/>
        </w:rPr>
        <w:t>”  (</w:t>
      </w:r>
      <w:r>
        <w:rPr>
          <w:rFonts w:eastAsia="Calibri"/>
        </w:rPr>
        <w:t>Sen</w:t>
      </w:r>
      <w:r>
        <w:rPr>
          <w:rFonts w:eastAsia="Calibri"/>
        </w:rPr>
        <w:t>.</w:t>
      </w:r>
      <w:r>
        <w:rPr>
          <w:rFonts w:eastAsia="Calibri"/>
        </w:rPr>
        <w:t xml:space="preserve"> C</w:t>
      </w:r>
      <w:r>
        <w:rPr>
          <w:rFonts w:eastAsia="Calibri"/>
        </w:rPr>
        <w:t>om</w:t>
      </w:r>
      <w:r>
        <w:rPr>
          <w:rFonts w:eastAsia="Calibri"/>
        </w:rPr>
        <w:t>.</w:t>
      </w:r>
      <w:r>
        <w:rPr>
          <w:rFonts w:eastAsia="Calibri"/>
        </w:rPr>
        <w:t xml:space="preserve"> on Public Safety</w:t>
      </w:r>
      <w:r>
        <w:rPr>
          <w:rFonts w:eastAsia="Calibri"/>
        </w:rPr>
        <w:t>,</w:t>
      </w:r>
      <w:r>
        <w:rPr>
          <w:rFonts w:eastAsia="Calibri"/>
        </w:rPr>
        <w:t xml:space="preserve"> com. on Assem. Bill No.</w:t>
      </w:r>
      <w:r>
        <w:rPr>
          <w:rFonts w:eastAsia="Calibri"/>
        </w:rPr>
        <w:t> </w:t>
      </w:r>
      <w:r>
        <w:rPr>
          <w:rFonts w:eastAsia="Calibri"/>
        </w:rPr>
        <w:t>1214</w:t>
      </w:r>
      <w:r>
        <w:rPr>
          <w:rFonts w:eastAsia="Calibri"/>
        </w:rPr>
        <w:t xml:space="preserve">, </w:t>
      </w:r>
      <w:r>
        <w:rPr>
          <w:rFonts w:eastAsia="Calibri"/>
          <w:i/>
          <w:iCs/>
        </w:rPr>
        <w:t>supra</w:t>
      </w:r>
      <w:r>
        <w:rPr>
          <w:rFonts w:eastAsia="Calibri"/>
        </w:rPr>
        <w:t>,</w:t>
      </w:r>
      <w:r>
        <w:rPr>
          <w:rFonts w:eastAsia="Calibri"/>
        </w:rPr>
        <w:t xml:space="preserve"> p.</w:t>
      </w:r>
      <w:r>
        <w:rPr>
          <w:rFonts w:eastAsia="Calibri"/>
        </w:rPr>
        <w:t xml:space="preserve"> </w:t>
      </w:r>
      <w:r>
        <w:rPr>
          <w:rFonts w:eastAsia="Calibri"/>
        </w:rPr>
        <w:t>7.)</w:t>
      </w:r>
      <w:r>
        <w:rPr>
          <w:rFonts w:eastAsia="Calibri"/>
        </w:rPr>
        <w:t xml:space="preserve">  The legislative history further notes that</w:t>
      </w:r>
      <w:r>
        <w:rPr>
          <w:rFonts w:eastAsia="Calibri"/>
        </w:rPr>
        <w:t xml:space="preserve"> </w:t>
      </w:r>
      <w:r>
        <w:rPr>
          <w:rFonts w:eastAsia="Calibri"/>
        </w:rPr>
        <w:t>“</w:t>
      </w:r>
      <w:r>
        <w:rPr>
          <w:rFonts w:eastAsia="Calibri"/>
        </w:rPr>
        <w:t>R</w:t>
      </w:r>
      <w:r w:rsidRPr="006B7AF9">
        <w:rPr>
          <w:rFonts w:eastAsia="Calibri"/>
        </w:rPr>
        <w:t>esearch on remediation</w:t>
      </w:r>
      <w:r>
        <w:rPr>
          <w:rFonts w:eastAsia="Calibri"/>
        </w:rPr>
        <w:t xml:space="preserve"> </w:t>
      </w:r>
      <w:r w:rsidRPr="006B7AF9">
        <w:rPr>
          <w:rFonts w:eastAsia="Calibri"/>
        </w:rPr>
        <w:t>services suggest</w:t>
      </w:r>
      <w:r>
        <w:rPr>
          <w:rFonts w:eastAsia="Calibri"/>
        </w:rPr>
        <w:t>s</w:t>
      </w:r>
      <w:r w:rsidRPr="006B7AF9">
        <w:rPr>
          <w:rFonts w:eastAsia="Calibri"/>
        </w:rPr>
        <w:t xml:space="preserve"> a majority of youth can be</w:t>
      </w:r>
      <w:r>
        <w:rPr>
          <w:rFonts w:eastAsia="Calibri"/>
        </w:rPr>
        <w:t xml:space="preserve"> </w:t>
      </w:r>
      <w:r w:rsidRPr="006B7AF9">
        <w:rPr>
          <w:rFonts w:eastAsia="Calibri"/>
        </w:rPr>
        <w:t xml:space="preserve">remediated prior </w:t>
      </w:r>
      <w:r>
        <w:rPr>
          <w:rFonts w:eastAsia="Calibri"/>
        </w:rPr>
        <w:t>[</w:t>
      </w:r>
      <w:r w:rsidRPr="006B7AF9">
        <w:rPr>
          <w:rFonts w:eastAsia="Calibri"/>
        </w:rPr>
        <w:t>to</w:t>
      </w:r>
      <w:r>
        <w:rPr>
          <w:rFonts w:eastAsia="Calibri"/>
        </w:rPr>
        <w:t>]</w:t>
      </w:r>
      <w:r w:rsidRPr="006B7AF9">
        <w:rPr>
          <w:rFonts w:eastAsia="Calibri"/>
        </w:rPr>
        <w:t xml:space="preserve"> a year if they are able to be</w:t>
      </w:r>
      <w:r>
        <w:rPr>
          <w:rFonts w:eastAsia="Calibri"/>
        </w:rPr>
        <w:t xml:space="preserve"> </w:t>
      </w:r>
      <w:r w:rsidRPr="006B7AF9">
        <w:rPr>
          <w:rFonts w:eastAsia="Calibri"/>
        </w:rPr>
        <w:t>remediated</w:t>
      </w:r>
      <w:r>
        <w:rPr>
          <w:rFonts w:eastAsia="Calibri"/>
        </w:rPr>
        <w:t>”</w:t>
      </w:r>
      <w:r>
        <w:rPr>
          <w:rFonts w:eastAsia="Calibri"/>
        </w:rPr>
        <w:t xml:space="preserve"> (</w:t>
      </w:r>
      <w:r>
        <w:rPr>
          <w:rFonts w:eastAsia="Calibri"/>
          <w:i/>
          <w:iCs/>
        </w:rPr>
        <w:t>i</w:t>
      </w:r>
      <w:r w:rsidRPr="00644D68">
        <w:rPr>
          <w:rFonts w:eastAsia="Calibri"/>
          <w:i/>
          <w:iCs/>
        </w:rPr>
        <w:t>d</w:t>
      </w:r>
      <w:r>
        <w:rPr>
          <w:rFonts w:eastAsia="Calibri"/>
        </w:rPr>
        <w:t xml:space="preserve">. at p. 9), </w:t>
      </w:r>
      <w:r>
        <w:rPr>
          <w:rFonts w:eastAsia="Calibri"/>
        </w:rPr>
        <w:t xml:space="preserve">so </w:t>
      </w:r>
      <w:r>
        <w:rPr>
          <w:rFonts w:eastAsia="Calibri"/>
        </w:rPr>
        <w:t>a</w:t>
      </w:r>
      <w:r>
        <w:rPr>
          <w:rFonts w:eastAsia="Calibri"/>
        </w:rPr>
        <w:t xml:space="preserve"> </w:t>
      </w:r>
      <w:r>
        <w:rPr>
          <w:rFonts w:eastAsia="Calibri"/>
        </w:rPr>
        <w:t>hearing</w:t>
      </w:r>
      <w:r>
        <w:rPr>
          <w:rFonts w:eastAsia="Calibri"/>
        </w:rPr>
        <w:t xml:space="preserve"> on whether a juvenile was restored to competency that takes place</w:t>
      </w:r>
      <w:r>
        <w:rPr>
          <w:rFonts w:eastAsia="Calibri"/>
        </w:rPr>
        <w:t xml:space="preserve"> after the 12-month period should occur infrequently</w:t>
      </w:r>
      <w:r>
        <w:rPr>
          <w:rFonts w:eastAsia="Calibri"/>
        </w:rPr>
        <w:t xml:space="preserve"> because it will be the rare case where rem</w:t>
      </w:r>
      <w:r>
        <w:rPr>
          <w:rFonts w:eastAsia="Calibri"/>
        </w:rPr>
        <w:t>ediation services consume</w:t>
      </w:r>
      <w:r>
        <w:rPr>
          <w:rFonts w:eastAsia="Calibri"/>
        </w:rPr>
        <w:t xml:space="preserve"> the entire 12-month period</w:t>
      </w:r>
      <w:r>
        <w:rPr>
          <w:rFonts w:eastAsia="Calibri"/>
        </w:rPr>
        <w:t>.</w:t>
      </w:r>
      <w:r>
        <w:rPr>
          <w:rFonts w:eastAsia="Calibri"/>
        </w:rPr>
        <w:t xml:space="preserve">  </w:t>
      </w:r>
      <w:r>
        <w:rPr>
          <w:rFonts w:eastAsia="Calibri"/>
        </w:rPr>
        <w:t>Given the facts before us, w</w:t>
      </w:r>
      <w:r>
        <w:rPr>
          <w:rFonts w:eastAsia="Calibri"/>
        </w:rPr>
        <w:t xml:space="preserve">e do not believe it violates </w:t>
      </w:r>
      <w:r>
        <w:rPr>
          <w:rFonts w:eastAsia="Calibri"/>
        </w:rPr>
        <w:t xml:space="preserve">either </w:t>
      </w:r>
      <w:r>
        <w:rPr>
          <w:rFonts w:eastAsia="Calibri"/>
        </w:rPr>
        <w:t xml:space="preserve">the letter or spirit of </w:t>
      </w:r>
      <w:r>
        <w:rPr>
          <w:rFonts w:eastAsia="Calibri"/>
        </w:rPr>
        <w:t>section 709</w:t>
      </w:r>
      <w:r>
        <w:rPr>
          <w:rFonts w:eastAsia="Calibri"/>
        </w:rPr>
        <w:t xml:space="preserve"> to </w:t>
      </w:r>
      <w:r>
        <w:rPr>
          <w:rFonts w:eastAsia="Calibri"/>
        </w:rPr>
        <w:t xml:space="preserve">allow for a reasonable period of time after the expiration of the remediation period </w:t>
      </w:r>
      <w:r>
        <w:rPr>
          <w:rFonts w:eastAsia="Calibri"/>
        </w:rPr>
        <w:t xml:space="preserve">for the court to </w:t>
      </w:r>
      <w:r>
        <w:rPr>
          <w:rFonts w:eastAsia="Calibri"/>
        </w:rPr>
        <w:t xml:space="preserve">conduct </w:t>
      </w:r>
      <w:r>
        <w:rPr>
          <w:rFonts w:eastAsia="Calibri"/>
        </w:rPr>
        <w:t xml:space="preserve">a competency </w:t>
      </w:r>
      <w:r>
        <w:rPr>
          <w:rFonts w:eastAsia="Calibri"/>
        </w:rPr>
        <w:t>hearing.</w:t>
      </w:r>
      <w:r>
        <w:rPr>
          <w:rFonts w:eastAsia="Calibri"/>
        </w:rPr>
        <w:t xml:space="preserve">  </w:t>
      </w:r>
      <w:r>
        <w:rPr>
          <w:rFonts w:eastAsia="Calibri"/>
        </w:rPr>
        <w:t>The court may suspend proceedings “</w:t>
      </w:r>
      <w:r w:rsidRPr="003D740D">
        <w:rPr>
          <w:rFonts w:eastAsia="Calibri"/>
        </w:rPr>
        <w:t>no longer than reasonably necessary to determine whether there is a substantial probability that the minor will attain competency in the foreseeable future</w:t>
      </w:r>
      <w:r>
        <w:rPr>
          <w:rFonts w:eastAsia="Calibri"/>
        </w:rPr>
        <w:t>.”  (§</w:t>
      </w:r>
      <w:r>
        <w:rPr>
          <w:rFonts w:eastAsia="Calibri"/>
        </w:rPr>
        <w:t> </w:t>
      </w:r>
      <w:r>
        <w:rPr>
          <w:rFonts w:eastAsia="Calibri"/>
        </w:rPr>
        <w:t xml:space="preserve">709, subd. (e).)  </w:t>
      </w:r>
      <w:r>
        <w:rPr>
          <w:rFonts w:eastAsia="Calibri"/>
        </w:rPr>
        <w:t xml:space="preserve">A hearing to determine </w:t>
      </w:r>
      <w:r>
        <w:rPr>
          <w:rFonts w:eastAsia="Calibri"/>
        </w:rPr>
        <w:t>whether the minor actually has regained competency</w:t>
      </w:r>
      <w:r>
        <w:rPr>
          <w:rFonts w:eastAsia="Calibri"/>
        </w:rPr>
        <w:t xml:space="preserve"> </w:t>
      </w:r>
      <w:r>
        <w:rPr>
          <w:rFonts w:eastAsia="Calibri"/>
        </w:rPr>
        <w:t>after receiving</w:t>
      </w:r>
      <w:r>
        <w:rPr>
          <w:rFonts w:eastAsia="Calibri"/>
        </w:rPr>
        <w:t xml:space="preserve"> r</w:t>
      </w:r>
      <w:r>
        <w:rPr>
          <w:rFonts w:eastAsia="Calibri"/>
        </w:rPr>
        <w:t>emediation services</w:t>
      </w:r>
      <w:r>
        <w:rPr>
          <w:rFonts w:eastAsia="Calibri"/>
        </w:rPr>
        <w:t xml:space="preserve"> </w:t>
      </w:r>
      <w:r>
        <w:rPr>
          <w:rFonts w:eastAsia="Calibri"/>
        </w:rPr>
        <w:t xml:space="preserve">is necessary to determine whether the </w:t>
      </w:r>
      <w:r>
        <w:rPr>
          <w:rFonts w:eastAsia="Calibri"/>
        </w:rPr>
        <w:t>suspension of proceedings may end.</w:t>
      </w:r>
    </w:p>
    <w:p w14:paraId="4C0F4FAA" w14:textId="77777777" w:rsidR="009C42B1" w:rsidRDefault="00461399" w:rsidP="00A207C6">
      <w:pPr>
        <w:ind w:firstLine="720"/>
        <w:rPr>
          <w:rFonts w:eastAsia="Calibri"/>
        </w:rPr>
      </w:pPr>
      <w:bookmarkStart w:id="2" w:name="_Hlk127438211"/>
      <w:r>
        <w:rPr>
          <w:rFonts w:eastAsia="Calibri"/>
        </w:rPr>
        <w:t xml:space="preserve">To the extent </w:t>
      </w:r>
      <w:r>
        <w:rPr>
          <w:rFonts w:eastAsia="Calibri"/>
        </w:rPr>
        <w:t>a court hearing</w:t>
      </w:r>
      <w:r>
        <w:rPr>
          <w:rFonts w:eastAsia="Calibri"/>
        </w:rPr>
        <w:t xml:space="preserve"> address</w:t>
      </w:r>
      <w:r>
        <w:rPr>
          <w:rFonts w:eastAsia="Calibri"/>
        </w:rPr>
        <w:t>ing</w:t>
      </w:r>
      <w:r>
        <w:rPr>
          <w:rFonts w:eastAsia="Calibri"/>
        </w:rPr>
        <w:t xml:space="preserve"> whether competency has b</w:t>
      </w:r>
      <w:r>
        <w:rPr>
          <w:rFonts w:eastAsia="Calibri"/>
        </w:rPr>
        <w:t xml:space="preserve">een restored </w:t>
      </w:r>
      <w:r>
        <w:rPr>
          <w:rFonts w:eastAsia="Calibri"/>
        </w:rPr>
        <w:t>concludes after t</w:t>
      </w:r>
      <w:r>
        <w:rPr>
          <w:rFonts w:eastAsia="Calibri"/>
        </w:rPr>
        <w:t>he applicable statutory pe</w:t>
      </w:r>
      <w:r>
        <w:rPr>
          <w:rFonts w:eastAsia="Calibri"/>
        </w:rPr>
        <w:t>riod for remediation services, a</w:t>
      </w:r>
      <w:r>
        <w:rPr>
          <w:rFonts w:eastAsia="Calibri"/>
        </w:rPr>
        <w:t xml:space="preserve">ny </w:t>
      </w:r>
      <w:r>
        <w:rPr>
          <w:rFonts w:eastAsia="Calibri"/>
        </w:rPr>
        <w:t xml:space="preserve">such </w:t>
      </w:r>
      <w:r>
        <w:rPr>
          <w:rFonts w:eastAsia="Calibri"/>
        </w:rPr>
        <w:t>delays must account for the requirement that “</w:t>
      </w:r>
      <w:r>
        <w:rPr>
          <w:rFonts w:eastAsia="Calibri"/>
        </w:rPr>
        <w:t xml:space="preserve"> ‘</w:t>
      </w:r>
      <w:r>
        <w:rPr>
          <w:rFonts w:eastAsia="Calibri"/>
        </w:rPr>
        <w:t xml:space="preserve">continued commitment [of an incompetent </w:t>
      </w:r>
      <w:r w:rsidRPr="00E23F37">
        <w:rPr>
          <w:rFonts w:eastAsia="Calibri"/>
        </w:rPr>
        <w:t>defendant</w:t>
      </w:r>
      <w:r>
        <w:rPr>
          <w:rFonts w:eastAsia="Calibri"/>
        </w:rPr>
        <w:t>]</w:t>
      </w:r>
      <w:r w:rsidRPr="00E23F37">
        <w:rPr>
          <w:rFonts w:eastAsia="Calibri"/>
        </w:rPr>
        <w:t xml:space="preserve"> must be justified by progress toward [the] goal</w:t>
      </w:r>
      <w:r>
        <w:rPr>
          <w:rFonts w:eastAsia="Calibri"/>
        </w:rPr>
        <w:t xml:space="preserve">’ </w:t>
      </w:r>
      <w:r w:rsidRPr="00E23F37">
        <w:rPr>
          <w:rFonts w:eastAsia="Calibri"/>
        </w:rPr>
        <w:t>” of restoring him to competence.  (</w:t>
      </w:r>
      <w:r w:rsidRPr="00E23F37">
        <w:rPr>
          <w:rFonts w:eastAsia="Calibri"/>
          <w:i/>
          <w:iCs/>
        </w:rPr>
        <w:t xml:space="preserve">In re </w:t>
      </w:r>
      <w:r w:rsidRPr="00E23F37">
        <w:rPr>
          <w:rFonts w:eastAsia="Calibri"/>
          <w:i/>
          <w:iCs/>
        </w:rPr>
        <w:t>Davis</w:t>
      </w:r>
      <w:r>
        <w:rPr>
          <w:rFonts w:eastAsia="Calibri"/>
        </w:rPr>
        <w:t xml:space="preserve">, </w:t>
      </w:r>
      <w:r w:rsidRPr="000F679D">
        <w:rPr>
          <w:rFonts w:eastAsia="Calibri"/>
          <w:i/>
          <w:iCs/>
        </w:rPr>
        <w:t>supra</w:t>
      </w:r>
      <w:r>
        <w:rPr>
          <w:rFonts w:eastAsia="Calibri"/>
        </w:rPr>
        <w:t xml:space="preserve">, </w:t>
      </w:r>
      <w:r w:rsidRPr="00E23F37">
        <w:rPr>
          <w:rFonts w:eastAsia="Calibri"/>
        </w:rPr>
        <w:t xml:space="preserve">8 Cal.3d </w:t>
      </w:r>
      <w:r>
        <w:rPr>
          <w:rFonts w:eastAsia="Calibri"/>
        </w:rPr>
        <w:t>at p.</w:t>
      </w:r>
      <w:r w:rsidRPr="00E23F37">
        <w:rPr>
          <w:rFonts w:eastAsia="Calibri"/>
        </w:rPr>
        <w:t xml:space="preserve"> 804</w:t>
      </w:r>
      <w:r>
        <w:rPr>
          <w:rFonts w:eastAsia="Calibri"/>
        </w:rPr>
        <w:t xml:space="preserve">; accord </w:t>
      </w:r>
      <w:r>
        <w:rPr>
          <w:rFonts w:eastAsia="Calibri"/>
          <w:i/>
          <w:iCs/>
        </w:rPr>
        <w:t>J.J.</w:t>
      </w:r>
      <w:r w:rsidRPr="00AE71C7">
        <w:rPr>
          <w:rFonts w:eastAsia="Calibri"/>
        </w:rPr>
        <w:t xml:space="preserve">, </w:t>
      </w:r>
      <w:r w:rsidRPr="00AE71C7">
        <w:rPr>
          <w:rFonts w:eastAsia="Calibri"/>
          <w:i/>
        </w:rPr>
        <w:t>supra</w:t>
      </w:r>
      <w:r w:rsidRPr="00AE71C7">
        <w:rPr>
          <w:rFonts w:eastAsia="Calibri"/>
        </w:rPr>
        <w:t>,</w:t>
      </w:r>
      <w:r>
        <w:rPr>
          <w:rFonts w:eastAsia="Calibri"/>
        </w:rPr>
        <w:t xml:space="preserve"> 65 Cal.App.5</w:t>
      </w:r>
      <w:r>
        <w:rPr>
          <w:rFonts w:eastAsia="Calibri"/>
        </w:rPr>
        <w:t>th</w:t>
      </w:r>
      <w:r>
        <w:rPr>
          <w:rFonts w:eastAsia="Calibri"/>
        </w:rPr>
        <w:t xml:space="preserve"> at pp. 238</w:t>
      </w:r>
      <w:r>
        <w:rPr>
          <w:rFonts w:eastAsia="Calibri"/>
        </w:rPr>
        <w:t>-</w:t>
      </w:r>
      <w:r>
        <w:rPr>
          <w:rFonts w:eastAsia="Calibri"/>
        </w:rPr>
        <w:t>239</w:t>
      </w:r>
      <w:r w:rsidRPr="00E23F37">
        <w:rPr>
          <w:rFonts w:eastAsia="Calibri"/>
        </w:rPr>
        <w:t>.)</w:t>
      </w:r>
      <w:r>
        <w:rPr>
          <w:rFonts w:eastAsia="Calibri"/>
        </w:rPr>
        <w:t xml:space="preserve">  </w:t>
      </w:r>
      <w:bookmarkEnd w:id="2"/>
      <w:r>
        <w:rPr>
          <w:rFonts w:eastAsia="Calibri"/>
        </w:rPr>
        <w:t xml:space="preserve">The three-month delay </w:t>
      </w:r>
      <w:r>
        <w:rPr>
          <w:rFonts w:eastAsia="Calibri"/>
        </w:rPr>
        <w:t xml:space="preserve">from the end of the remediation period </w:t>
      </w:r>
      <w:r>
        <w:rPr>
          <w:rFonts w:eastAsia="Calibri"/>
        </w:rPr>
        <w:t xml:space="preserve">until </w:t>
      </w:r>
      <w:r>
        <w:rPr>
          <w:rFonts w:eastAsia="Calibri"/>
        </w:rPr>
        <w:t>the court</w:t>
      </w:r>
      <w:r>
        <w:rPr>
          <w:rFonts w:eastAsia="Calibri"/>
        </w:rPr>
        <w:t>’s</w:t>
      </w:r>
      <w:r>
        <w:rPr>
          <w:rFonts w:eastAsia="Calibri"/>
        </w:rPr>
        <w:t xml:space="preserve"> rul</w:t>
      </w:r>
      <w:r>
        <w:rPr>
          <w:rFonts w:eastAsia="Calibri"/>
        </w:rPr>
        <w:t>ing</w:t>
      </w:r>
      <w:r>
        <w:rPr>
          <w:rFonts w:eastAsia="Calibri"/>
        </w:rPr>
        <w:t xml:space="preserve"> that </w:t>
      </w:r>
      <w:r>
        <w:rPr>
          <w:rFonts w:eastAsia="Calibri"/>
        </w:rPr>
        <w:t>K.R.</w:t>
      </w:r>
      <w:r>
        <w:rPr>
          <w:rFonts w:eastAsia="Calibri"/>
        </w:rPr>
        <w:t xml:space="preserve"> was competent to stand trial </w:t>
      </w:r>
      <w:r>
        <w:rPr>
          <w:rFonts w:eastAsia="Calibri"/>
        </w:rPr>
        <w:t xml:space="preserve">was </w:t>
      </w:r>
      <w:r>
        <w:rPr>
          <w:rFonts w:eastAsia="Calibri"/>
        </w:rPr>
        <w:t xml:space="preserve">admittedly </w:t>
      </w:r>
      <w:r>
        <w:rPr>
          <w:rFonts w:eastAsia="Calibri"/>
        </w:rPr>
        <w:t>long</w:t>
      </w:r>
      <w:r>
        <w:rPr>
          <w:rFonts w:eastAsia="Calibri"/>
        </w:rPr>
        <w:t xml:space="preserve">, but in the circumstances of this </w:t>
      </w:r>
      <w:r w:rsidRPr="00831075">
        <w:rPr>
          <w:rFonts w:eastAsia="Calibri"/>
        </w:rPr>
        <w:t>case</w:t>
      </w:r>
      <w:r w:rsidRPr="00831075">
        <w:rPr>
          <w:rFonts w:eastAsia="Calibri"/>
        </w:rPr>
        <w:t xml:space="preserve">, </w:t>
      </w:r>
      <w:r w:rsidRPr="00831075">
        <w:rPr>
          <w:rFonts w:eastAsia="Calibri"/>
        </w:rPr>
        <w:lastRenderedPageBreak/>
        <w:t>the delay</w:t>
      </w:r>
      <w:r w:rsidRPr="00831075">
        <w:rPr>
          <w:rFonts w:eastAsia="Calibri"/>
        </w:rPr>
        <w:t xml:space="preserve"> </w:t>
      </w:r>
      <w:r w:rsidRPr="00831075">
        <w:rPr>
          <w:rFonts w:eastAsia="Calibri"/>
        </w:rPr>
        <w:t xml:space="preserve">was </w:t>
      </w:r>
      <w:r w:rsidRPr="00831075">
        <w:rPr>
          <w:rFonts w:eastAsia="Calibri"/>
        </w:rPr>
        <w:t>not unreasonable</w:t>
      </w:r>
      <w:r w:rsidRPr="00831075">
        <w:rPr>
          <w:rFonts w:eastAsia="Calibri"/>
        </w:rPr>
        <w:t>.</w:t>
      </w:r>
      <w:r w:rsidRPr="00831075">
        <w:rPr>
          <w:rFonts w:eastAsia="Calibri"/>
        </w:rPr>
        <w:t xml:space="preserve">  Nearly the entire </w:t>
      </w:r>
      <w:r w:rsidRPr="00831075">
        <w:rPr>
          <w:rFonts w:eastAsia="Calibri"/>
        </w:rPr>
        <w:t>12-</w:t>
      </w:r>
      <w:r>
        <w:rPr>
          <w:rFonts w:eastAsia="Calibri"/>
        </w:rPr>
        <w:t>month</w:t>
      </w:r>
      <w:r>
        <w:rPr>
          <w:rFonts w:eastAsia="Calibri"/>
        </w:rPr>
        <w:t xml:space="preserve"> period was</w:t>
      </w:r>
      <w:r>
        <w:rPr>
          <w:rFonts w:eastAsia="Calibri"/>
        </w:rPr>
        <w:t xml:space="preserve"> used here because of delays from the Covid-19 pandemic, and</w:t>
      </w:r>
      <w:r>
        <w:rPr>
          <w:rFonts w:eastAsia="Calibri"/>
        </w:rPr>
        <w:t xml:space="preserve"> because</w:t>
      </w:r>
      <w:r>
        <w:rPr>
          <w:rFonts w:eastAsia="Calibri"/>
        </w:rPr>
        <w:t xml:space="preserve"> l</w:t>
      </w:r>
      <w:r>
        <w:rPr>
          <w:rFonts w:eastAsia="Calibri"/>
        </w:rPr>
        <w:t>itigation over the People’s expert delayed that expert e</w:t>
      </w:r>
      <w:r>
        <w:rPr>
          <w:rFonts w:eastAsia="Calibri"/>
        </w:rPr>
        <w:t xml:space="preserve">xamining </w:t>
      </w:r>
      <w:r>
        <w:rPr>
          <w:rFonts w:eastAsia="Calibri"/>
        </w:rPr>
        <w:t>K.R.</w:t>
      </w:r>
      <w:r>
        <w:rPr>
          <w:rFonts w:eastAsia="Calibri"/>
        </w:rPr>
        <w:t xml:space="preserve"> and preparing a report.</w:t>
      </w:r>
      <w:r>
        <w:rPr>
          <w:rFonts w:eastAsia="Calibri"/>
        </w:rPr>
        <w:t xml:space="preserve">  </w:t>
      </w:r>
      <w:r>
        <w:rPr>
          <w:rFonts w:eastAsia="Calibri"/>
        </w:rPr>
        <w:t>Once the hearing began, t</w:t>
      </w:r>
      <w:r>
        <w:rPr>
          <w:rFonts w:eastAsia="Calibri"/>
        </w:rPr>
        <w:t xml:space="preserve">he judge presiding over the case </w:t>
      </w:r>
      <w:r>
        <w:rPr>
          <w:rFonts w:eastAsia="Calibri"/>
        </w:rPr>
        <w:t xml:space="preserve">recused </w:t>
      </w:r>
      <w:r>
        <w:rPr>
          <w:rFonts w:eastAsia="Calibri"/>
        </w:rPr>
        <w:t xml:space="preserve">himself </w:t>
      </w:r>
      <w:r>
        <w:rPr>
          <w:rFonts w:eastAsia="Calibri"/>
        </w:rPr>
        <w:t>i</w:t>
      </w:r>
      <w:r>
        <w:rPr>
          <w:rFonts w:eastAsia="Calibri"/>
        </w:rPr>
        <w:t>n the midst of the he</w:t>
      </w:r>
      <w:r>
        <w:rPr>
          <w:rFonts w:eastAsia="Calibri"/>
        </w:rPr>
        <w:t xml:space="preserve">aring </w:t>
      </w:r>
      <w:r>
        <w:rPr>
          <w:rFonts w:eastAsia="Calibri"/>
        </w:rPr>
        <w:t xml:space="preserve">after learning </w:t>
      </w:r>
      <w:r>
        <w:rPr>
          <w:rFonts w:eastAsia="Calibri"/>
        </w:rPr>
        <w:t xml:space="preserve">that he </w:t>
      </w:r>
      <w:r>
        <w:rPr>
          <w:rFonts w:eastAsia="Calibri"/>
        </w:rPr>
        <w:t xml:space="preserve">was acquainted with a percipient witness in the case, and </w:t>
      </w:r>
      <w:r>
        <w:rPr>
          <w:rFonts w:eastAsia="Calibri"/>
        </w:rPr>
        <w:t xml:space="preserve">it required some time before the </w:t>
      </w:r>
      <w:r>
        <w:rPr>
          <w:rFonts w:eastAsia="Calibri"/>
        </w:rPr>
        <w:t>new judge coul</w:t>
      </w:r>
      <w:r>
        <w:rPr>
          <w:rFonts w:eastAsia="Calibri"/>
        </w:rPr>
        <w:t xml:space="preserve">d </w:t>
      </w:r>
      <w:r>
        <w:rPr>
          <w:rFonts w:eastAsia="Calibri"/>
        </w:rPr>
        <w:t xml:space="preserve">conclude the </w:t>
      </w:r>
      <w:r>
        <w:rPr>
          <w:rFonts w:eastAsia="Calibri"/>
        </w:rPr>
        <w:t>proceedings.</w:t>
      </w:r>
    </w:p>
    <w:p w14:paraId="027000C2" w14:textId="77777777" w:rsidR="003D31D7" w:rsidRDefault="00461399" w:rsidP="00A207C6">
      <w:pPr>
        <w:ind w:firstLine="720"/>
        <w:rPr>
          <w:rFonts w:eastAsia="Calibri"/>
        </w:rPr>
      </w:pPr>
      <w:r w:rsidRPr="00831075">
        <w:rPr>
          <w:rFonts w:eastAsia="Calibri"/>
        </w:rPr>
        <w:t xml:space="preserve">Our holding on this question should not be interpreted as a </w:t>
      </w:r>
      <w:r w:rsidRPr="00831075">
        <w:rPr>
          <w:rFonts w:eastAsia="Calibri"/>
        </w:rPr>
        <w:t>license</w:t>
      </w:r>
      <w:r w:rsidRPr="00831075">
        <w:rPr>
          <w:rFonts w:eastAsia="Calibri"/>
        </w:rPr>
        <w:t xml:space="preserve"> </w:t>
      </w:r>
      <w:r w:rsidRPr="00831075">
        <w:rPr>
          <w:rFonts w:eastAsia="Calibri"/>
        </w:rPr>
        <w:t xml:space="preserve">to </w:t>
      </w:r>
      <w:r w:rsidRPr="00831075">
        <w:rPr>
          <w:rFonts w:eastAsia="Calibri"/>
        </w:rPr>
        <w:t xml:space="preserve">indulge delay </w:t>
      </w:r>
      <w:r w:rsidRPr="00831075">
        <w:rPr>
          <w:rFonts w:eastAsia="Calibri"/>
        </w:rPr>
        <w:t>and</w:t>
      </w:r>
      <w:r w:rsidRPr="00831075">
        <w:rPr>
          <w:rFonts w:eastAsia="Calibri"/>
        </w:rPr>
        <w:t xml:space="preserve"> </w:t>
      </w:r>
      <w:r w:rsidRPr="00831075">
        <w:rPr>
          <w:rFonts w:eastAsia="Calibri"/>
        </w:rPr>
        <w:t xml:space="preserve">hold minors in secure confinement </w:t>
      </w:r>
      <w:r w:rsidRPr="00831075">
        <w:rPr>
          <w:rFonts w:eastAsia="Calibri"/>
        </w:rPr>
        <w:t xml:space="preserve">for any </w:t>
      </w:r>
      <w:r w:rsidRPr="00831075">
        <w:rPr>
          <w:rFonts w:eastAsia="Calibri"/>
        </w:rPr>
        <w:t xml:space="preserve">extended </w:t>
      </w:r>
      <w:r w:rsidRPr="00831075">
        <w:rPr>
          <w:rFonts w:eastAsia="Calibri"/>
        </w:rPr>
        <w:t>period</w:t>
      </w:r>
      <w:r w:rsidRPr="00831075">
        <w:rPr>
          <w:rFonts w:eastAsia="Calibri"/>
        </w:rPr>
        <w:t xml:space="preserve"> following the conclusion of remediation services</w:t>
      </w:r>
      <w:r w:rsidRPr="00831075">
        <w:rPr>
          <w:rFonts w:eastAsia="Calibri"/>
        </w:rPr>
        <w:t xml:space="preserve">.  </w:t>
      </w:r>
      <w:r w:rsidRPr="00831075">
        <w:rPr>
          <w:rFonts w:eastAsia="Calibri"/>
        </w:rPr>
        <w:t xml:space="preserve">The circumstances in this case represent the exception, not the rule.  In most instances, </w:t>
      </w:r>
      <w:r w:rsidRPr="00831075">
        <w:rPr>
          <w:rFonts w:eastAsia="Calibri"/>
        </w:rPr>
        <w:t xml:space="preserve">juvenile courts </w:t>
      </w:r>
      <w:r w:rsidRPr="00831075">
        <w:rPr>
          <w:rFonts w:eastAsia="Calibri"/>
        </w:rPr>
        <w:t xml:space="preserve">should be </w:t>
      </w:r>
      <w:r w:rsidRPr="00831075">
        <w:rPr>
          <w:rFonts w:eastAsia="Calibri"/>
        </w:rPr>
        <w:t xml:space="preserve">able to make a final determination regarding a minor’s competency </w:t>
      </w:r>
      <w:r w:rsidRPr="00831075">
        <w:rPr>
          <w:rFonts w:eastAsia="Calibri"/>
        </w:rPr>
        <w:t xml:space="preserve">before the one-year </w:t>
      </w:r>
      <w:r w:rsidRPr="00831075">
        <w:rPr>
          <w:rFonts w:eastAsia="Calibri"/>
        </w:rPr>
        <w:t>remediation period has expired</w:t>
      </w:r>
      <w:r w:rsidRPr="00831075">
        <w:rPr>
          <w:rFonts w:eastAsia="Calibri"/>
        </w:rPr>
        <w:t xml:space="preserve">, or </w:t>
      </w:r>
      <w:r w:rsidRPr="00831075">
        <w:rPr>
          <w:rFonts w:eastAsia="Calibri"/>
        </w:rPr>
        <w:t xml:space="preserve">very </w:t>
      </w:r>
      <w:r w:rsidRPr="00831075">
        <w:rPr>
          <w:rFonts w:eastAsia="Calibri"/>
        </w:rPr>
        <w:t>soon thereafte</w:t>
      </w:r>
      <w:r w:rsidRPr="00831075">
        <w:rPr>
          <w:rFonts w:eastAsia="Calibri"/>
        </w:rPr>
        <w:t>r</w:t>
      </w:r>
      <w:r w:rsidRPr="00831075">
        <w:rPr>
          <w:rFonts w:eastAsia="Calibri"/>
        </w:rPr>
        <w:t xml:space="preserve">.  </w:t>
      </w:r>
      <w:r w:rsidRPr="00831075">
        <w:rPr>
          <w:rFonts w:eastAsia="Calibri"/>
        </w:rPr>
        <w:t xml:space="preserve">It is possible that our analysis </w:t>
      </w:r>
      <w:r w:rsidRPr="00831075">
        <w:rPr>
          <w:rFonts w:eastAsia="Calibri"/>
        </w:rPr>
        <w:t xml:space="preserve">in this case </w:t>
      </w:r>
      <w:r w:rsidRPr="00831075">
        <w:rPr>
          <w:rFonts w:eastAsia="Calibri"/>
        </w:rPr>
        <w:t>would be different if the</w:t>
      </w:r>
      <w:r w:rsidRPr="00831075">
        <w:rPr>
          <w:rFonts w:eastAsia="Calibri"/>
        </w:rPr>
        <w:t xml:space="preserve"> juvenile court</w:t>
      </w:r>
      <w:r w:rsidRPr="00831075">
        <w:rPr>
          <w:rFonts w:eastAsia="Calibri"/>
        </w:rPr>
        <w:t xml:space="preserve"> had not </w:t>
      </w:r>
      <w:r w:rsidRPr="00831075">
        <w:rPr>
          <w:rFonts w:eastAsia="Calibri"/>
        </w:rPr>
        <w:t>had</w:t>
      </w:r>
      <w:r w:rsidRPr="00831075">
        <w:rPr>
          <w:rFonts w:eastAsia="Calibri"/>
        </w:rPr>
        <w:t xml:space="preserve"> a compelling justification for </w:t>
      </w:r>
      <w:r w:rsidRPr="00831075">
        <w:rPr>
          <w:rFonts w:eastAsia="Calibri"/>
        </w:rPr>
        <w:t xml:space="preserve">the </w:t>
      </w:r>
      <w:r w:rsidRPr="00831075">
        <w:rPr>
          <w:rFonts w:eastAsia="Calibri"/>
        </w:rPr>
        <w:t>delay</w:t>
      </w:r>
      <w:r w:rsidRPr="00831075">
        <w:rPr>
          <w:rFonts w:eastAsia="Calibri"/>
        </w:rPr>
        <w:t xml:space="preserve"> here </w:t>
      </w:r>
      <w:r w:rsidRPr="00831075">
        <w:rPr>
          <w:rFonts w:eastAsia="Calibri"/>
        </w:rPr>
        <w:t>before</w:t>
      </w:r>
      <w:r w:rsidRPr="00831075">
        <w:rPr>
          <w:rFonts w:eastAsia="Calibri"/>
        </w:rPr>
        <w:t xml:space="preserve"> </w:t>
      </w:r>
      <w:r w:rsidRPr="00831075">
        <w:rPr>
          <w:rFonts w:eastAsia="Calibri"/>
        </w:rPr>
        <w:t xml:space="preserve">the </w:t>
      </w:r>
      <w:r w:rsidRPr="00831075">
        <w:rPr>
          <w:rFonts w:eastAsia="Calibri"/>
        </w:rPr>
        <w:t>final ruling.</w:t>
      </w:r>
    </w:p>
    <w:p w14:paraId="1DD9B758" w14:textId="77777777" w:rsidR="00FF0AB6" w:rsidRDefault="00461399" w:rsidP="00865F91">
      <w:pPr>
        <w:ind w:firstLine="720"/>
      </w:pPr>
      <w:r>
        <w:rPr>
          <w:rFonts w:eastAsia="Calibri"/>
        </w:rPr>
        <w:t xml:space="preserve">Even if </w:t>
      </w:r>
      <w:r>
        <w:rPr>
          <w:rFonts w:eastAsia="Calibri"/>
        </w:rPr>
        <w:t>section 709 is read to require</w:t>
      </w:r>
      <w:r>
        <w:rPr>
          <w:rFonts w:eastAsia="Calibri"/>
        </w:rPr>
        <w:t xml:space="preserve"> the court’s</w:t>
      </w:r>
      <w:r>
        <w:rPr>
          <w:rFonts w:eastAsia="Calibri"/>
        </w:rPr>
        <w:t xml:space="preserve"> adjudication of whether </w:t>
      </w:r>
      <w:r>
        <w:rPr>
          <w:rFonts w:eastAsia="Calibri"/>
        </w:rPr>
        <w:t>remedia</w:t>
      </w:r>
      <w:r>
        <w:rPr>
          <w:rFonts w:eastAsia="Calibri"/>
        </w:rPr>
        <w:t xml:space="preserve">tion services have restored competency </w:t>
      </w:r>
      <w:r>
        <w:rPr>
          <w:rFonts w:eastAsia="Calibri"/>
        </w:rPr>
        <w:t xml:space="preserve">also </w:t>
      </w:r>
      <w:r>
        <w:rPr>
          <w:rFonts w:eastAsia="Calibri"/>
        </w:rPr>
        <w:t xml:space="preserve">must conclude </w:t>
      </w:r>
      <w:r>
        <w:rPr>
          <w:rFonts w:eastAsia="Calibri"/>
        </w:rPr>
        <w:t xml:space="preserve">during the 12-month maximum for remediation services, </w:t>
      </w:r>
      <w:r>
        <w:rPr>
          <w:rFonts w:eastAsia="Calibri"/>
        </w:rPr>
        <w:t xml:space="preserve">dismissal here was not warranted.  </w:t>
      </w:r>
      <w:r>
        <w:t>S</w:t>
      </w:r>
      <w:r w:rsidRPr="00A1045F">
        <w:t>ection 709, subdivision (h)(5</w:t>
      </w:r>
      <w:r>
        <w:t>)(C)</w:t>
      </w:r>
      <w:r w:rsidRPr="00A1045F">
        <w:t xml:space="preserve"> allows the juvenile court to order minors accused of serious offenses to remain in “secure confinement .</w:t>
      </w:r>
      <w:r>
        <w:t> </w:t>
      </w:r>
      <w:r w:rsidRPr="00A1045F">
        <w:t>.</w:t>
      </w:r>
      <w:r>
        <w:t> </w:t>
      </w:r>
      <w:r w:rsidRPr="00A1045F">
        <w:t>. for up to .</w:t>
      </w:r>
      <w:r>
        <w:t> </w:t>
      </w:r>
      <w:r w:rsidRPr="00A1045F">
        <w:t>.</w:t>
      </w:r>
      <w:r>
        <w:t> </w:t>
      </w:r>
      <w:r w:rsidRPr="00A1045F">
        <w:t xml:space="preserve">. 18 months from the [initial] finding of incompetence.”  </w:t>
      </w:r>
      <w:r>
        <w:t>T</w:t>
      </w:r>
      <w:r w:rsidRPr="00A1045F">
        <w:t xml:space="preserve">he People </w:t>
      </w:r>
      <w:r>
        <w:t xml:space="preserve">acknowledge that </w:t>
      </w:r>
      <w:r w:rsidRPr="00A1045F">
        <w:t>subdivision (h)(5</w:t>
      </w:r>
      <w:r>
        <w:t>)</w:t>
      </w:r>
      <w:r>
        <w:t xml:space="preserve">(C) </w:t>
      </w:r>
      <w:r>
        <w:t xml:space="preserve">does not </w:t>
      </w:r>
      <w:r w:rsidRPr="00A1045F">
        <w:t>exten</w:t>
      </w:r>
      <w:r>
        <w:t>d</w:t>
      </w:r>
      <w:r w:rsidRPr="00A1045F">
        <w:t xml:space="preserve"> the</w:t>
      </w:r>
      <w:r>
        <w:t xml:space="preserve"> maxi</w:t>
      </w:r>
      <w:r>
        <w:t>mum</w:t>
      </w:r>
      <w:r w:rsidRPr="00A1045F">
        <w:t xml:space="preserve"> remediation period</w:t>
      </w:r>
      <w:r>
        <w:t xml:space="preserve"> beyond 12 months</w:t>
      </w:r>
      <w:r w:rsidRPr="00A1045F">
        <w:t xml:space="preserve">, </w:t>
      </w:r>
      <w:r>
        <w:t xml:space="preserve">and we agree.  Nor does it permit </w:t>
      </w:r>
      <w:r>
        <w:t xml:space="preserve">continuing to confine a juvenile after the court has determined remediation services </w:t>
      </w:r>
      <w:r>
        <w:t xml:space="preserve">as set forth in section 709 have not or </w:t>
      </w:r>
      <w:r>
        <w:t>will</w:t>
      </w:r>
      <w:r>
        <w:t xml:space="preserve"> not restore a </w:t>
      </w:r>
      <w:r>
        <w:lastRenderedPageBreak/>
        <w:t>juvenile to competency.</w:t>
      </w:r>
      <w:r>
        <w:t xml:space="preserve">  (See </w:t>
      </w:r>
      <w:r w:rsidRPr="008233FC">
        <w:rPr>
          <w:i/>
          <w:iCs/>
        </w:rPr>
        <w:t>J.J</w:t>
      </w:r>
      <w:r>
        <w:t xml:space="preserve">., </w:t>
      </w:r>
      <w:r w:rsidRPr="008233FC">
        <w:rPr>
          <w:i/>
          <w:iCs/>
        </w:rPr>
        <w:t>s</w:t>
      </w:r>
      <w:r w:rsidRPr="008233FC">
        <w:rPr>
          <w:i/>
          <w:iCs/>
        </w:rPr>
        <w:t>upra</w:t>
      </w:r>
      <w:r>
        <w:t>, 65 Cal.App.5</w:t>
      </w:r>
      <w:r>
        <w:t>th</w:t>
      </w:r>
      <w:r>
        <w:t xml:space="preserve"> at p.</w:t>
      </w:r>
      <w:r>
        <w:t> </w:t>
      </w:r>
      <w:r>
        <w:t>242.)</w:t>
      </w:r>
      <w:r>
        <w:t xml:space="preserve">  But </w:t>
      </w:r>
      <w:r>
        <w:t xml:space="preserve">subdivision (h)(5)(C) did permit </w:t>
      </w:r>
      <w:r w:rsidRPr="00A1045F">
        <w:t xml:space="preserve">the juvenile court to detain </w:t>
      </w:r>
      <w:r>
        <w:t>K.R.</w:t>
      </w:r>
      <w:r w:rsidRPr="00A1045F">
        <w:t xml:space="preserve"> to resolve issues involving his competence </w:t>
      </w:r>
      <w:r>
        <w:t>past the 12-month remediation period</w:t>
      </w:r>
      <w:r>
        <w:t xml:space="preserve"> with reasonable </w:t>
      </w:r>
      <w:r>
        <w:t>promptness</w:t>
      </w:r>
      <w:r>
        <w:t>.</w:t>
      </w:r>
    </w:p>
    <w:p w14:paraId="445B6C89" w14:textId="77777777" w:rsidR="001050D4" w:rsidRDefault="00461399" w:rsidP="007E0161">
      <w:pPr>
        <w:ind w:firstLine="720"/>
      </w:pPr>
      <w:r>
        <w:t>K.R.</w:t>
      </w:r>
      <w:r>
        <w:t xml:space="preserve"> argues that </w:t>
      </w:r>
      <w:r>
        <w:t xml:space="preserve">section 709, </w:t>
      </w:r>
      <w:r>
        <w:t>subdivision (h)(5)(A) places a restriction on the application of</w:t>
      </w:r>
      <w:r>
        <w:t xml:space="preserve"> subdivision (h)(5)(C)</w:t>
      </w:r>
      <w:r>
        <w:t xml:space="preserve">.  </w:t>
      </w:r>
      <w:r>
        <w:t>S</w:t>
      </w:r>
      <w:r>
        <w:t>ubdivision (h)(5)(A)</w:t>
      </w:r>
      <w:r>
        <w:t xml:space="preserve"> sets forth</w:t>
      </w:r>
      <w:r>
        <w:t xml:space="preserve"> </w:t>
      </w:r>
      <w:r>
        <w:t>several factors</w:t>
      </w:r>
      <w:r>
        <w:rPr>
          <w:rStyle w:val="FootnoteReference"/>
          <w:position w:val="8"/>
        </w:rPr>
        <w:footnoteReference w:id="9"/>
      </w:r>
      <w:r>
        <w:t xml:space="preserve"> </w:t>
      </w:r>
      <w:r>
        <w:t xml:space="preserve">the court must </w:t>
      </w:r>
      <w:r>
        <w:lastRenderedPageBreak/>
        <w:t xml:space="preserve">consider </w:t>
      </w:r>
      <w:r>
        <w:t xml:space="preserve">before ordering the secure confinement of a minor beyond six months, one of which is </w:t>
      </w:r>
      <w:r>
        <w:t>“[w]</w:t>
      </w:r>
      <w:r w:rsidRPr="007E0161">
        <w:t>here the minor will have the best chance of obtaining competence</w:t>
      </w:r>
      <w:r>
        <w:t>.”  (§</w:t>
      </w:r>
      <w:r>
        <w:t> </w:t>
      </w:r>
      <w:r>
        <w:t xml:space="preserve">709, subd. (h)(5)(A)(i).)  Because </w:t>
      </w:r>
      <w:r>
        <w:t>K.R.</w:t>
      </w:r>
      <w:r>
        <w:t xml:space="preserve"> was no longer receiving remediation services </w:t>
      </w:r>
      <w:r>
        <w:t>beyond the</w:t>
      </w:r>
      <w:r>
        <w:t xml:space="preserve"> </w:t>
      </w:r>
      <w:r>
        <w:t>one</w:t>
      </w:r>
      <w:r>
        <w:t>-</w:t>
      </w:r>
      <w:r>
        <w:t xml:space="preserve">year </w:t>
      </w:r>
      <w:r>
        <w:t>mark</w:t>
      </w:r>
      <w:r>
        <w:t xml:space="preserve">, he argues </w:t>
      </w:r>
      <w:r>
        <w:t xml:space="preserve">that </w:t>
      </w:r>
      <w:r>
        <w:t>the</w:t>
      </w:r>
      <w:r>
        <w:t xml:space="preserve"> possibility of helping him obtain competence </w:t>
      </w:r>
      <w:r>
        <w:t>could no longer justify his</w:t>
      </w:r>
      <w:r>
        <w:t xml:space="preserve"> </w:t>
      </w:r>
      <w:r>
        <w:t>secure confinement.</w:t>
      </w:r>
    </w:p>
    <w:p w14:paraId="025F8BC8" w14:textId="77777777" w:rsidR="006A7FEF" w:rsidRDefault="00461399" w:rsidP="002A0666">
      <w:pPr>
        <w:ind w:firstLine="720"/>
      </w:pPr>
      <w:r>
        <w:t xml:space="preserve">This argument proves too much.  </w:t>
      </w:r>
      <w:r>
        <w:t xml:space="preserve">As we noted above, we agree with </w:t>
      </w:r>
      <w:r>
        <w:t>K.R.</w:t>
      </w:r>
      <w:r>
        <w:t xml:space="preserve"> that </w:t>
      </w:r>
      <w:r>
        <w:t>section 709, subdivision (h)(3) establishes a one-year</w:t>
      </w:r>
      <w:r>
        <w:t xml:space="preserve"> maximum remediation period</w:t>
      </w:r>
      <w:r>
        <w:t>.</w:t>
      </w:r>
      <w:r>
        <w:t xml:space="preserve"> </w:t>
      </w:r>
      <w:r>
        <w:t xml:space="preserve"> </w:t>
      </w:r>
      <w:r>
        <w:t>But the Legislature, in enacting subdivision (h)</w:t>
      </w:r>
      <w:r>
        <w:t>(5)(C), plainly intended for juvenile courts</w:t>
      </w:r>
      <w:r>
        <w:t>, in appropriate cases, “</w:t>
      </w:r>
      <w:r w:rsidRPr="0087002A">
        <w:t xml:space="preserve">to order secure confinement of a minor for up to </w:t>
      </w:r>
      <w:r>
        <w:t xml:space="preserve">. . . </w:t>
      </w:r>
      <w:r w:rsidRPr="0087002A">
        <w:t>18 months from the finding of incompetence</w:t>
      </w:r>
      <w:r>
        <w:t>,</w:t>
      </w:r>
      <w:r>
        <w:t>”</w:t>
      </w:r>
      <w:r>
        <w:t xml:space="preserve"> i.e., </w:t>
      </w:r>
      <w:r>
        <w:t>aft</w:t>
      </w:r>
      <w:r>
        <w:t>er the end of remediation.</w:t>
      </w:r>
      <w:r>
        <w:t xml:space="preserve">  </w:t>
      </w:r>
      <w:r>
        <w:t>K.R.</w:t>
      </w:r>
      <w:r>
        <w:t xml:space="preserve">’s interpretation would </w:t>
      </w:r>
      <w:r>
        <w:t>effectively write subdivision (h)(5)(C) out of the statute</w:t>
      </w:r>
      <w:r>
        <w:t>.  We mus</w:t>
      </w:r>
      <w:r>
        <w:t>t avoid a statutory “</w:t>
      </w:r>
      <w:r>
        <w:t xml:space="preserve"> </w:t>
      </w:r>
      <w:r>
        <w:t>‘</w:t>
      </w:r>
      <w:r w:rsidRPr="009A16BE">
        <w:t>construction making some words</w:t>
      </w:r>
      <w:r>
        <w:t xml:space="preserve"> </w:t>
      </w:r>
      <w:r w:rsidRPr="009A16BE">
        <w:t>surplusage</w:t>
      </w:r>
      <w:r>
        <w:t>’</w:t>
      </w:r>
      <w:r>
        <w:t xml:space="preserve"> </w:t>
      </w:r>
      <w:r>
        <w:t>” (</w:t>
      </w:r>
      <w:r w:rsidRPr="009A16BE">
        <w:rPr>
          <w:i/>
          <w:iCs/>
        </w:rPr>
        <w:t>People v. Valencia</w:t>
      </w:r>
      <w:r>
        <w:t xml:space="preserve"> </w:t>
      </w:r>
      <w:r w:rsidRPr="009A16BE">
        <w:t>(2017) 3 Cal.5th 347, 357</w:t>
      </w:r>
      <w:r>
        <w:t>)</w:t>
      </w:r>
      <w:r>
        <w:t>, “</w:t>
      </w:r>
      <w:r w:rsidRPr="002A0666">
        <w:t xml:space="preserve">and every </w:t>
      </w:r>
      <w:r w:rsidRPr="002A0666">
        <w:t>word should be given some significance, leaving no part useless or devoid of meaning.</w:t>
      </w:r>
      <w:r>
        <w:t>”  (</w:t>
      </w:r>
      <w:r w:rsidRPr="002A0666">
        <w:rPr>
          <w:i/>
          <w:iCs/>
        </w:rPr>
        <w:t>City and County of San Francisco v. Farrell</w:t>
      </w:r>
      <w:r>
        <w:t xml:space="preserve"> </w:t>
      </w:r>
      <w:r w:rsidRPr="002A0666">
        <w:t>(1982) 32 Cal.3d 47, 54</w:t>
      </w:r>
      <w:r>
        <w:t>.)</w:t>
      </w:r>
    </w:p>
    <w:p w14:paraId="26821A20" w14:textId="77777777" w:rsidR="00057F95" w:rsidRPr="00C83F56" w:rsidRDefault="00461399" w:rsidP="008C64A7">
      <w:pPr>
        <w:ind w:firstLine="720"/>
      </w:pPr>
      <w:r w:rsidRPr="008A61EA">
        <w:t xml:space="preserve">We therefore interpret section 709, subdivision (h)(5)(A)(i) as </w:t>
      </w:r>
      <w:r w:rsidRPr="008A61EA">
        <w:t>defin</w:t>
      </w:r>
      <w:r w:rsidRPr="008A61EA">
        <w:t xml:space="preserve">ing one of several </w:t>
      </w:r>
      <w:r w:rsidRPr="008A61EA">
        <w:t xml:space="preserve">relevant </w:t>
      </w:r>
      <w:r w:rsidRPr="008A61EA">
        <w:t xml:space="preserve">factors the court should </w:t>
      </w:r>
      <w:r w:rsidRPr="008A61EA">
        <w:t xml:space="preserve">consider when </w:t>
      </w:r>
      <w:r w:rsidRPr="008A61EA">
        <w:t>deciding whether to order continued secure confinement, not a</w:t>
      </w:r>
      <w:r w:rsidRPr="008A61EA">
        <w:t>n absolute requirement</w:t>
      </w:r>
      <w:r w:rsidRPr="008A61EA">
        <w:t xml:space="preserve">.  When </w:t>
      </w:r>
      <w:r w:rsidRPr="008A61EA">
        <w:t xml:space="preserve">a minor is accused of </w:t>
      </w:r>
      <w:r w:rsidRPr="008A61EA">
        <w:t>serious</w:t>
      </w:r>
      <w:r w:rsidRPr="008A61EA">
        <w:t xml:space="preserve"> offense</w:t>
      </w:r>
      <w:r w:rsidRPr="008A61EA">
        <w:t>s,</w:t>
      </w:r>
      <w:r w:rsidRPr="008A61EA">
        <w:t xml:space="preserve"> section 70</w:t>
      </w:r>
      <w:r w:rsidRPr="008A61EA">
        <w:t>9</w:t>
      </w:r>
      <w:r w:rsidRPr="008A61EA">
        <w:t>, subdivision (</w:t>
      </w:r>
      <w:r w:rsidRPr="008A61EA">
        <w:t>h)(5)(A)</w:t>
      </w:r>
      <w:r w:rsidRPr="008A61EA">
        <w:t>(i) does not bar the court from ordering secure conf</w:t>
      </w:r>
      <w:r w:rsidRPr="008A61EA">
        <w:t>inement beyond the end of the remediation period</w:t>
      </w:r>
      <w:r w:rsidRPr="008A61EA">
        <w:t xml:space="preserve"> under th</w:t>
      </w:r>
      <w:r w:rsidRPr="008A61EA">
        <w:t xml:space="preserve">e particular </w:t>
      </w:r>
      <w:r w:rsidRPr="00831075">
        <w:lastRenderedPageBreak/>
        <w:t>circumstances of this case</w:t>
      </w:r>
      <w:r w:rsidRPr="00831075">
        <w:t xml:space="preserve"> to conclude a competency hearing following the conclusion of remediation services</w:t>
      </w:r>
      <w:r w:rsidRPr="00831075">
        <w:t>.</w:t>
      </w:r>
      <w:r>
        <w:rPr>
          <w:rStyle w:val="FootnoteReference"/>
          <w:position w:val="8"/>
        </w:rPr>
        <w:footnoteReference w:id="10"/>
      </w:r>
    </w:p>
    <w:p w14:paraId="68310661" w14:textId="77777777" w:rsidR="00CD6B08" w:rsidRDefault="00461399" w:rsidP="00176C77">
      <w:pPr>
        <w:pStyle w:val="Heading2"/>
        <w:spacing w:after="0" w:line="288" w:lineRule="auto"/>
        <w:rPr>
          <w:rFonts w:eastAsia="Calibri"/>
        </w:rPr>
      </w:pPr>
      <w:r>
        <w:rPr>
          <w:rFonts w:eastAsia="Calibri"/>
        </w:rPr>
        <w:t>C.</w:t>
      </w:r>
      <w:r>
        <w:rPr>
          <w:rFonts w:eastAsia="Calibri"/>
        </w:rPr>
        <w:tab/>
      </w:r>
      <w:r>
        <w:rPr>
          <w:rFonts w:eastAsia="Calibri"/>
        </w:rPr>
        <w:t xml:space="preserve">The Juvenile Court Did Not Err by </w:t>
      </w:r>
      <w:r>
        <w:rPr>
          <w:rFonts w:eastAsia="Calibri"/>
        </w:rPr>
        <w:t xml:space="preserve">Allowing the People to </w:t>
      </w:r>
      <w:r>
        <w:rPr>
          <w:rFonts w:eastAsia="Calibri"/>
        </w:rPr>
        <w:t xml:space="preserve">Retain </w:t>
      </w:r>
      <w:r>
        <w:rPr>
          <w:rFonts w:eastAsia="Calibri"/>
        </w:rPr>
        <w:t xml:space="preserve">an Expert to Evaluate </w:t>
      </w:r>
      <w:r>
        <w:rPr>
          <w:rFonts w:eastAsia="Calibri"/>
        </w:rPr>
        <w:t>K.R.</w:t>
      </w:r>
    </w:p>
    <w:p w14:paraId="3BCEB664" w14:textId="77777777" w:rsidR="00FE5983" w:rsidRDefault="00461399" w:rsidP="005B632C">
      <w:pPr>
        <w:rPr>
          <w:rFonts w:eastAsia="Calibri"/>
        </w:rPr>
      </w:pPr>
      <w:r>
        <w:rPr>
          <w:rFonts w:eastAsia="Calibri"/>
        </w:rPr>
        <w:tab/>
      </w:r>
      <w:r>
        <w:rPr>
          <w:rFonts w:eastAsia="Calibri"/>
        </w:rPr>
        <w:t>K.R.</w:t>
      </w:r>
      <w:r>
        <w:rPr>
          <w:rFonts w:eastAsia="Calibri"/>
        </w:rPr>
        <w:t xml:space="preserve"> argues that the juvenile court erred by allowing </w:t>
      </w:r>
      <w:r>
        <w:rPr>
          <w:rFonts w:eastAsia="Calibri"/>
        </w:rPr>
        <w:t xml:space="preserve">an expert appointed by the People to evaluate </w:t>
      </w:r>
      <w:r>
        <w:rPr>
          <w:rFonts w:eastAsia="Calibri"/>
        </w:rPr>
        <w:t>him</w:t>
      </w:r>
      <w:r>
        <w:rPr>
          <w:rFonts w:eastAsia="Calibri"/>
        </w:rPr>
        <w:t xml:space="preserve"> </w:t>
      </w:r>
      <w:r>
        <w:rPr>
          <w:rFonts w:eastAsia="Calibri"/>
        </w:rPr>
        <w:t xml:space="preserve">in May 2022, </w:t>
      </w:r>
      <w:r>
        <w:rPr>
          <w:rFonts w:eastAsia="Calibri"/>
        </w:rPr>
        <w:t xml:space="preserve">almost one year after the court initially found him incompetent.  </w:t>
      </w:r>
      <w:r>
        <w:rPr>
          <w:rFonts w:eastAsia="Calibri"/>
        </w:rPr>
        <w:t xml:space="preserve">According to </w:t>
      </w:r>
      <w:r>
        <w:rPr>
          <w:rFonts w:eastAsia="Calibri"/>
        </w:rPr>
        <w:t>K.</w:t>
      </w:r>
      <w:r>
        <w:rPr>
          <w:rFonts w:eastAsia="Calibri"/>
        </w:rPr>
        <w:t>R.</w:t>
      </w:r>
      <w:r>
        <w:rPr>
          <w:rFonts w:eastAsia="Calibri"/>
        </w:rPr>
        <w:t xml:space="preserve">, the </w:t>
      </w:r>
      <w:r>
        <w:rPr>
          <w:rFonts w:eastAsia="Calibri"/>
        </w:rPr>
        <w:t xml:space="preserve">examination was </w:t>
      </w:r>
      <w:r>
        <w:rPr>
          <w:rFonts w:eastAsia="Calibri"/>
        </w:rPr>
        <w:t xml:space="preserve">improper because it came </w:t>
      </w:r>
      <w:r>
        <w:rPr>
          <w:rFonts w:eastAsia="Calibri"/>
        </w:rPr>
        <w:t xml:space="preserve">too late, </w:t>
      </w:r>
      <w:r>
        <w:rPr>
          <w:rFonts w:eastAsia="Calibri"/>
        </w:rPr>
        <w:t xml:space="preserve">was contrary to the terms of </w:t>
      </w:r>
      <w:r>
        <w:rPr>
          <w:rFonts w:eastAsia="Calibri"/>
        </w:rPr>
        <w:t xml:space="preserve">section 709, and </w:t>
      </w:r>
      <w:r>
        <w:rPr>
          <w:rFonts w:eastAsia="Calibri"/>
        </w:rPr>
        <w:t>because</w:t>
      </w:r>
      <w:r>
        <w:rPr>
          <w:rFonts w:eastAsia="Calibri"/>
        </w:rPr>
        <w:t xml:space="preserve"> </w:t>
      </w:r>
      <w:r>
        <w:rPr>
          <w:rFonts w:eastAsia="Calibri"/>
        </w:rPr>
        <w:t>the</w:t>
      </w:r>
      <w:r>
        <w:rPr>
          <w:rFonts w:eastAsia="Calibri"/>
        </w:rPr>
        <w:t xml:space="preserve"> People failed to </w:t>
      </w:r>
      <w:r>
        <w:rPr>
          <w:rFonts w:eastAsia="Calibri"/>
        </w:rPr>
        <w:t xml:space="preserve">comply with the </w:t>
      </w:r>
      <w:r>
        <w:rPr>
          <w:rFonts w:eastAsia="Calibri"/>
        </w:rPr>
        <w:t>Civil</w:t>
      </w:r>
      <w:r>
        <w:rPr>
          <w:rFonts w:eastAsia="Calibri"/>
        </w:rPr>
        <w:t xml:space="preserve"> Discovery Act </w:t>
      </w:r>
      <w:r>
        <w:rPr>
          <w:rFonts w:eastAsia="Calibri"/>
        </w:rPr>
        <w:t>in petitioning the court</w:t>
      </w:r>
      <w:r>
        <w:rPr>
          <w:rFonts w:eastAsia="Calibri"/>
        </w:rPr>
        <w:t xml:space="preserve"> for the examination.</w:t>
      </w:r>
      <w:r>
        <w:rPr>
          <w:rFonts w:eastAsia="Calibri"/>
        </w:rPr>
        <w:t xml:space="preserve">  </w:t>
      </w:r>
      <w:r w:rsidRPr="00EE4B31">
        <w:rPr>
          <w:rFonts w:eastAsia="Calibri"/>
        </w:rPr>
        <w:t>We agree</w:t>
      </w:r>
      <w:r>
        <w:rPr>
          <w:rFonts w:eastAsia="Calibri"/>
        </w:rPr>
        <w:t xml:space="preserve"> with </w:t>
      </w:r>
      <w:r>
        <w:rPr>
          <w:rFonts w:eastAsia="Calibri"/>
        </w:rPr>
        <w:t>K.R.</w:t>
      </w:r>
      <w:r>
        <w:rPr>
          <w:rFonts w:eastAsia="Calibri"/>
        </w:rPr>
        <w:t xml:space="preserve"> that th</w:t>
      </w:r>
      <w:r>
        <w:rPr>
          <w:rFonts w:eastAsia="Calibri"/>
        </w:rPr>
        <w:t xml:space="preserve">e </w:t>
      </w:r>
      <w:r>
        <w:rPr>
          <w:rFonts w:eastAsia="Calibri"/>
        </w:rPr>
        <w:t>prosecutor acted improperly in failing to comply with the Civil Discovery Act, but we disagree that this</w:t>
      </w:r>
      <w:r>
        <w:rPr>
          <w:rFonts w:eastAsia="Calibri"/>
        </w:rPr>
        <w:t xml:space="preserve"> requires ordering the juvenile court to strike the </w:t>
      </w:r>
      <w:r>
        <w:rPr>
          <w:rFonts w:eastAsia="Calibri"/>
        </w:rPr>
        <w:t>expert’s testimony</w:t>
      </w:r>
      <w:r>
        <w:rPr>
          <w:rFonts w:eastAsia="Calibri"/>
        </w:rPr>
        <w:t>.</w:t>
      </w:r>
      <w:r>
        <w:rPr>
          <w:rStyle w:val="FootnoteReference"/>
          <w:rFonts w:eastAsia="Calibri"/>
          <w:position w:val="8"/>
        </w:rPr>
        <w:footnoteReference w:id="11"/>
      </w:r>
    </w:p>
    <w:p w14:paraId="0437FD8A" w14:textId="77777777" w:rsidR="002F76D3" w:rsidRPr="00176C77" w:rsidRDefault="00461399" w:rsidP="00176C77">
      <w:pPr>
        <w:pStyle w:val="Heading3"/>
        <w:numPr>
          <w:ilvl w:val="0"/>
          <w:numId w:val="5"/>
        </w:numPr>
        <w:spacing w:before="60" w:after="60" w:line="288" w:lineRule="auto"/>
        <w:ind w:left="1440" w:hanging="720"/>
        <w:rPr>
          <w:rFonts w:eastAsia="Calibri"/>
          <w:b w:val="0"/>
          <w:bCs w:val="0"/>
          <w:i/>
          <w:iCs/>
        </w:rPr>
      </w:pPr>
      <w:r w:rsidRPr="00176C77">
        <w:rPr>
          <w:rFonts w:eastAsia="Calibri"/>
          <w:b w:val="0"/>
          <w:bCs w:val="0"/>
          <w:i/>
          <w:iCs/>
        </w:rPr>
        <w:lastRenderedPageBreak/>
        <w:t>Relevant Proceedings</w:t>
      </w:r>
    </w:p>
    <w:p w14:paraId="73063720" w14:textId="77777777" w:rsidR="002A2403" w:rsidRDefault="00461399" w:rsidP="00AE3170">
      <w:pPr>
        <w:ind w:firstLine="720"/>
        <w:rPr>
          <w:rFonts w:eastAsia="Calibri"/>
        </w:rPr>
      </w:pPr>
      <w:r>
        <w:rPr>
          <w:rFonts w:eastAsia="Calibri"/>
        </w:rPr>
        <w:t xml:space="preserve">On April </w:t>
      </w:r>
      <w:r>
        <w:rPr>
          <w:rFonts w:eastAsia="Calibri"/>
        </w:rPr>
        <w:t>8</w:t>
      </w:r>
      <w:r>
        <w:rPr>
          <w:rFonts w:eastAsia="Calibri"/>
        </w:rPr>
        <w:t>,</w:t>
      </w:r>
      <w:r>
        <w:rPr>
          <w:rFonts w:eastAsia="Calibri"/>
        </w:rPr>
        <w:t xml:space="preserve"> 2022</w:t>
      </w:r>
      <w:r>
        <w:rPr>
          <w:rFonts w:eastAsia="Calibri"/>
        </w:rPr>
        <w:t>,</w:t>
      </w:r>
      <w:r>
        <w:rPr>
          <w:rFonts w:eastAsia="Calibri"/>
        </w:rPr>
        <w:t xml:space="preserve"> </w:t>
      </w:r>
      <w:r>
        <w:rPr>
          <w:rFonts w:eastAsia="Calibri"/>
        </w:rPr>
        <w:t xml:space="preserve">after a court-appointed psychologist </w:t>
      </w:r>
      <w:r>
        <w:rPr>
          <w:rFonts w:eastAsia="Calibri"/>
        </w:rPr>
        <w:t>fi</w:t>
      </w:r>
      <w:r>
        <w:rPr>
          <w:rFonts w:eastAsia="Calibri"/>
        </w:rPr>
        <w:t xml:space="preserve">led a report concluding that </w:t>
      </w:r>
      <w:r>
        <w:rPr>
          <w:rFonts w:eastAsia="Calibri"/>
        </w:rPr>
        <w:t>K.R.</w:t>
      </w:r>
      <w:r>
        <w:rPr>
          <w:rFonts w:eastAsia="Calibri"/>
        </w:rPr>
        <w:t xml:space="preserve"> was incompetent and unlikely to attain competency </w:t>
      </w:r>
      <w:r>
        <w:rPr>
          <w:rFonts w:eastAsia="Calibri"/>
        </w:rPr>
        <w:t>in the foreseeable future</w:t>
      </w:r>
      <w:r>
        <w:rPr>
          <w:rFonts w:eastAsia="Calibri"/>
        </w:rPr>
        <w:t>,</w:t>
      </w:r>
      <w:r>
        <w:rPr>
          <w:rFonts w:eastAsia="Calibri"/>
        </w:rPr>
        <w:t xml:space="preserve"> </w:t>
      </w:r>
      <w:r>
        <w:rPr>
          <w:rFonts w:eastAsia="Calibri"/>
        </w:rPr>
        <w:t xml:space="preserve">the </w:t>
      </w:r>
      <w:r>
        <w:rPr>
          <w:rFonts w:eastAsia="Calibri"/>
        </w:rPr>
        <w:t>People</w:t>
      </w:r>
      <w:r>
        <w:rPr>
          <w:rFonts w:eastAsia="Calibri"/>
        </w:rPr>
        <w:t xml:space="preserve"> filed </w:t>
      </w:r>
      <w:r>
        <w:rPr>
          <w:rFonts w:eastAsia="Calibri"/>
        </w:rPr>
        <w:t xml:space="preserve">a motion to appoint </w:t>
      </w:r>
      <w:r>
        <w:rPr>
          <w:rFonts w:eastAsia="Calibri"/>
        </w:rPr>
        <w:t>their</w:t>
      </w:r>
      <w:r>
        <w:rPr>
          <w:rFonts w:eastAsia="Calibri"/>
        </w:rPr>
        <w:t xml:space="preserve"> own </w:t>
      </w:r>
      <w:r>
        <w:rPr>
          <w:rFonts w:eastAsia="Calibri"/>
        </w:rPr>
        <w:t xml:space="preserve">expert to evaluate </w:t>
      </w:r>
      <w:r>
        <w:rPr>
          <w:rFonts w:eastAsia="Calibri"/>
        </w:rPr>
        <w:t>K.R</w:t>
      </w:r>
      <w:r>
        <w:rPr>
          <w:rFonts w:eastAsia="Calibri"/>
        </w:rPr>
        <w:t xml:space="preserve">.  </w:t>
      </w:r>
      <w:r>
        <w:rPr>
          <w:rFonts w:eastAsia="Calibri"/>
        </w:rPr>
        <w:t xml:space="preserve">The court granted the motion, </w:t>
      </w:r>
      <w:r>
        <w:rPr>
          <w:rFonts w:eastAsia="Calibri"/>
        </w:rPr>
        <w:t>and</w:t>
      </w:r>
      <w:r>
        <w:rPr>
          <w:rFonts w:eastAsia="Calibri"/>
        </w:rPr>
        <w:t xml:space="preserve"> on April 20 signed an order to </w:t>
      </w:r>
      <w:r w:rsidRPr="00831075">
        <w:rPr>
          <w:rFonts w:eastAsia="Calibri"/>
        </w:rPr>
        <w:t>allow</w:t>
      </w:r>
      <w:r w:rsidRPr="00831075">
        <w:rPr>
          <w:rFonts w:eastAsia="Calibri"/>
        </w:rPr>
        <w:t xml:space="preserve"> the expert</w:t>
      </w:r>
      <w:r w:rsidRPr="00831075">
        <w:rPr>
          <w:rFonts w:eastAsia="Calibri"/>
        </w:rPr>
        <w:t>, Dr. Kelli Ward,</w:t>
      </w:r>
      <w:r w:rsidRPr="00831075">
        <w:rPr>
          <w:rFonts w:eastAsia="Calibri"/>
        </w:rPr>
        <w:t xml:space="preserve"> to</w:t>
      </w:r>
      <w:r w:rsidRPr="00831075">
        <w:rPr>
          <w:rFonts w:eastAsia="Calibri"/>
        </w:rPr>
        <w:t xml:space="preserve"> examine </w:t>
      </w:r>
      <w:r>
        <w:rPr>
          <w:rFonts w:eastAsia="Calibri"/>
        </w:rPr>
        <w:t>K.R</w:t>
      </w:r>
      <w:r w:rsidRPr="00831075">
        <w:rPr>
          <w:rFonts w:eastAsia="Calibri"/>
        </w:rPr>
        <w:t xml:space="preserve">.  </w:t>
      </w:r>
      <w:r w:rsidRPr="00831075">
        <w:rPr>
          <w:rFonts w:eastAsia="Calibri"/>
        </w:rPr>
        <w:t>On April</w:t>
      </w:r>
      <w:r>
        <w:rPr>
          <w:rFonts w:eastAsia="Calibri"/>
        </w:rPr>
        <w:t xml:space="preserve"> </w:t>
      </w:r>
      <w:r w:rsidRPr="00831075">
        <w:rPr>
          <w:rFonts w:eastAsia="Calibri"/>
        </w:rPr>
        <w:t xml:space="preserve">22, the court </w:t>
      </w:r>
      <w:r w:rsidRPr="00831075">
        <w:rPr>
          <w:rFonts w:eastAsia="Calibri"/>
        </w:rPr>
        <w:t>granted a defense motion for its own expert, Dr. David Contreras</w:t>
      </w:r>
      <w:r w:rsidRPr="00831075">
        <w:rPr>
          <w:rFonts w:eastAsia="Calibri"/>
        </w:rPr>
        <w:t>, to evaluate</w:t>
      </w:r>
      <w:r>
        <w:rPr>
          <w:rFonts w:eastAsia="Calibri"/>
        </w:rPr>
        <w:t xml:space="preserve"> K.R</w:t>
      </w:r>
      <w:r w:rsidRPr="00831075">
        <w:rPr>
          <w:rFonts w:eastAsia="Calibri"/>
        </w:rPr>
        <w:t xml:space="preserve">.  </w:t>
      </w:r>
      <w:r w:rsidRPr="00831075">
        <w:rPr>
          <w:rFonts w:eastAsia="Calibri"/>
        </w:rPr>
        <w:t>Ward went to juvenile</w:t>
      </w:r>
      <w:r>
        <w:rPr>
          <w:rFonts w:eastAsia="Calibri"/>
        </w:rPr>
        <w:t xml:space="preserve"> hall on April 26 to examine </w:t>
      </w:r>
      <w:r>
        <w:rPr>
          <w:rFonts w:eastAsia="Calibri"/>
        </w:rPr>
        <w:t>K.R.</w:t>
      </w:r>
      <w:r>
        <w:rPr>
          <w:rFonts w:eastAsia="Calibri"/>
        </w:rPr>
        <w:t>, but he ref</w:t>
      </w:r>
      <w:r>
        <w:rPr>
          <w:rFonts w:eastAsia="Calibri"/>
        </w:rPr>
        <w:t xml:space="preserve">used to speak with her on advice of counsel.  </w:t>
      </w:r>
      <w:r>
        <w:rPr>
          <w:rFonts w:eastAsia="Calibri"/>
        </w:rPr>
        <w:t>K.R.</w:t>
      </w:r>
      <w:r>
        <w:rPr>
          <w:rFonts w:eastAsia="Calibri"/>
        </w:rPr>
        <w:t xml:space="preserve">’s attorney </w:t>
      </w:r>
      <w:r>
        <w:rPr>
          <w:rFonts w:eastAsia="Calibri"/>
        </w:rPr>
        <w:t>objected to the examination on the ground</w:t>
      </w:r>
      <w:r>
        <w:rPr>
          <w:rFonts w:eastAsia="Calibri"/>
        </w:rPr>
        <w:t>s</w:t>
      </w:r>
      <w:r>
        <w:rPr>
          <w:rFonts w:eastAsia="Calibri"/>
        </w:rPr>
        <w:t xml:space="preserve"> that </w:t>
      </w:r>
      <w:r>
        <w:rPr>
          <w:rFonts w:eastAsia="Calibri"/>
        </w:rPr>
        <w:t>he</w:t>
      </w:r>
      <w:r>
        <w:rPr>
          <w:rFonts w:eastAsia="Calibri"/>
        </w:rPr>
        <w:t xml:space="preserve"> had not received notice of the court’s order,</w:t>
      </w:r>
      <w:r>
        <w:rPr>
          <w:rFonts w:eastAsia="Calibri"/>
        </w:rPr>
        <w:t xml:space="preserve"> </w:t>
      </w:r>
      <w:r>
        <w:rPr>
          <w:rFonts w:eastAsia="Calibri"/>
        </w:rPr>
        <w:t xml:space="preserve">and that the </w:t>
      </w:r>
      <w:r>
        <w:rPr>
          <w:rFonts w:eastAsia="Calibri"/>
        </w:rPr>
        <w:t xml:space="preserve">prosecutor had not </w:t>
      </w:r>
      <w:r>
        <w:rPr>
          <w:rFonts w:eastAsia="Calibri"/>
        </w:rPr>
        <w:t xml:space="preserve">specified </w:t>
      </w:r>
      <w:r>
        <w:rPr>
          <w:rFonts w:eastAsia="Calibri"/>
        </w:rPr>
        <w:t xml:space="preserve">the time, place, manner, and scope of the examination, </w:t>
      </w:r>
      <w:r>
        <w:rPr>
          <w:rFonts w:eastAsia="Calibri"/>
        </w:rPr>
        <w:t>as required by section 709</w:t>
      </w:r>
      <w:r>
        <w:rPr>
          <w:rFonts w:eastAsia="Calibri"/>
        </w:rPr>
        <w:t>.</w:t>
      </w:r>
      <w:r>
        <w:rPr>
          <w:rFonts w:eastAsia="Calibri"/>
        </w:rPr>
        <w:t xml:space="preserve">  </w:t>
      </w:r>
      <w:r>
        <w:rPr>
          <w:rFonts w:eastAsia="Calibri"/>
        </w:rPr>
        <w:t>At a hearing on April 2</w:t>
      </w:r>
      <w:r>
        <w:rPr>
          <w:rFonts w:eastAsia="Calibri"/>
        </w:rPr>
        <w:t xml:space="preserve">9, the court </w:t>
      </w:r>
      <w:r>
        <w:rPr>
          <w:rFonts w:eastAsia="Calibri"/>
        </w:rPr>
        <w:t>found that</w:t>
      </w:r>
      <w:r>
        <w:rPr>
          <w:rFonts w:eastAsia="Calibri"/>
        </w:rPr>
        <w:t xml:space="preserve"> although the </w:t>
      </w:r>
      <w:r>
        <w:rPr>
          <w:rFonts w:eastAsia="Calibri"/>
        </w:rPr>
        <w:t>motion did not comply with the terms of the statute,</w:t>
      </w:r>
      <w:r>
        <w:rPr>
          <w:rFonts w:eastAsia="Calibri"/>
        </w:rPr>
        <w:t xml:space="preserve"> </w:t>
      </w:r>
      <w:r>
        <w:rPr>
          <w:rFonts w:eastAsia="Calibri"/>
        </w:rPr>
        <w:t>K.R.</w:t>
      </w:r>
      <w:r>
        <w:rPr>
          <w:rFonts w:eastAsia="Calibri"/>
        </w:rPr>
        <w:t>’s attorney had</w:t>
      </w:r>
      <w:r>
        <w:rPr>
          <w:rFonts w:eastAsia="Calibri"/>
        </w:rPr>
        <w:t xml:space="preserve"> subsequently</w:t>
      </w:r>
      <w:r>
        <w:rPr>
          <w:rFonts w:eastAsia="Calibri"/>
        </w:rPr>
        <w:t xml:space="preserve"> been provided with the necessary information</w:t>
      </w:r>
      <w:r>
        <w:rPr>
          <w:rFonts w:eastAsia="Calibri"/>
        </w:rPr>
        <w:t xml:space="preserve">.  The court </w:t>
      </w:r>
      <w:r>
        <w:rPr>
          <w:rFonts w:eastAsia="Calibri"/>
        </w:rPr>
        <w:t>ordered the examination to go ahead.</w:t>
      </w:r>
    </w:p>
    <w:p w14:paraId="507DB5F8" w14:textId="77777777" w:rsidR="00401053" w:rsidRDefault="00461399" w:rsidP="00401053">
      <w:pPr>
        <w:ind w:firstLine="720"/>
        <w:rPr>
          <w:rFonts w:eastAsia="Calibri"/>
        </w:rPr>
      </w:pPr>
      <w:r>
        <w:rPr>
          <w:rFonts w:eastAsia="Calibri"/>
        </w:rPr>
        <w:t xml:space="preserve">Ward examined </w:t>
      </w:r>
      <w:r>
        <w:rPr>
          <w:rFonts w:eastAsia="Calibri"/>
        </w:rPr>
        <w:t>K.R.</w:t>
      </w:r>
      <w:r>
        <w:rPr>
          <w:rFonts w:eastAsia="Calibri"/>
        </w:rPr>
        <w:t xml:space="preserve"> on May 9, 2022.  </w:t>
      </w:r>
      <w:r>
        <w:rPr>
          <w:rFonts w:eastAsia="Calibri"/>
        </w:rPr>
        <w:t>She</w:t>
      </w:r>
      <w:r>
        <w:rPr>
          <w:rFonts w:eastAsia="Calibri"/>
        </w:rPr>
        <w:t xml:space="preserve"> </w:t>
      </w:r>
      <w:r>
        <w:rPr>
          <w:rFonts w:eastAsia="Calibri"/>
        </w:rPr>
        <w:t xml:space="preserve">conducted several tests </w:t>
      </w:r>
      <w:r>
        <w:rPr>
          <w:rFonts w:eastAsia="Calibri"/>
        </w:rPr>
        <w:t xml:space="preserve">on </w:t>
      </w:r>
      <w:r>
        <w:rPr>
          <w:rFonts w:eastAsia="Calibri"/>
        </w:rPr>
        <w:t>K.R.</w:t>
      </w:r>
      <w:r>
        <w:rPr>
          <w:rFonts w:eastAsia="Calibri"/>
        </w:rPr>
        <w:t xml:space="preserve"> that the previous experts had not</w:t>
      </w:r>
      <w:r>
        <w:rPr>
          <w:rFonts w:eastAsia="Calibri"/>
        </w:rPr>
        <w:t xml:space="preserve"> </w:t>
      </w:r>
      <w:r>
        <w:rPr>
          <w:rFonts w:eastAsia="Calibri"/>
        </w:rPr>
        <w:t xml:space="preserve">employed.  In addition, </w:t>
      </w:r>
      <w:r>
        <w:rPr>
          <w:rFonts w:eastAsia="Calibri"/>
        </w:rPr>
        <w:t xml:space="preserve">Ward did not use the </w:t>
      </w:r>
      <w:r>
        <w:rPr>
          <w:rFonts w:eastAsia="Calibri"/>
        </w:rPr>
        <w:t>Juvenile A</w:t>
      </w:r>
      <w:r>
        <w:rPr>
          <w:rFonts w:eastAsia="Calibri"/>
        </w:rPr>
        <w:t xml:space="preserve">djudicative Competence Interview (JACI), a test that </w:t>
      </w:r>
      <w:r>
        <w:rPr>
          <w:rFonts w:eastAsia="Calibri"/>
        </w:rPr>
        <w:t xml:space="preserve">all of the previous experts had employed.  Ward concluded that </w:t>
      </w:r>
      <w:r>
        <w:rPr>
          <w:rFonts w:eastAsia="Calibri"/>
        </w:rPr>
        <w:t>K.R.</w:t>
      </w:r>
      <w:r>
        <w:rPr>
          <w:rFonts w:eastAsia="Calibri"/>
        </w:rPr>
        <w:t xml:space="preserve"> was competent to stand trial</w:t>
      </w:r>
      <w:r>
        <w:rPr>
          <w:rFonts w:eastAsia="Calibri"/>
        </w:rPr>
        <w:t xml:space="preserve">, and that he had </w:t>
      </w:r>
      <w:r>
        <w:rPr>
          <w:rFonts w:eastAsia="Calibri"/>
        </w:rPr>
        <w:t xml:space="preserve">been malingering, or feigning </w:t>
      </w:r>
      <w:r>
        <w:rPr>
          <w:rFonts w:eastAsia="Calibri"/>
        </w:rPr>
        <w:t>a</w:t>
      </w:r>
      <w:r>
        <w:rPr>
          <w:rFonts w:eastAsia="Calibri"/>
        </w:rPr>
        <w:t xml:space="preserve"> developmental</w:t>
      </w:r>
      <w:r>
        <w:rPr>
          <w:rFonts w:eastAsia="Calibri"/>
        </w:rPr>
        <w:t xml:space="preserve"> disability, in order to avoid </w:t>
      </w:r>
      <w:r>
        <w:rPr>
          <w:rFonts w:eastAsia="Calibri"/>
        </w:rPr>
        <w:t>going to tria</w:t>
      </w:r>
      <w:r>
        <w:rPr>
          <w:rFonts w:eastAsia="Calibri"/>
        </w:rPr>
        <w:t xml:space="preserve">l.  </w:t>
      </w:r>
      <w:r>
        <w:rPr>
          <w:rFonts w:eastAsia="Calibri"/>
        </w:rPr>
        <w:t xml:space="preserve">In </w:t>
      </w:r>
      <w:r>
        <w:rPr>
          <w:rFonts w:eastAsia="Calibri"/>
        </w:rPr>
        <w:lastRenderedPageBreak/>
        <w:t xml:space="preserve">reaching this conclusion, Ward relied on several </w:t>
      </w:r>
      <w:r>
        <w:rPr>
          <w:rFonts w:eastAsia="Calibri"/>
        </w:rPr>
        <w:t xml:space="preserve">apparent inconsistencies in </w:t>
      </w:r>
      <w:r>
        <w:rPr>
          <w:rFonts w:eastAsia="Calibri"/>
        </w:rPr>
        <w:t>K.R.</w:t>
      </w:r>
      <w:r>
        <w:rPr>
          <w:rFonts w:eastAsia="Calibri"/>
        </w:rPr>
        <w:t>’s behavior</w:t>
      </w:r>
      <w:r>
        <w:rPr>
          <w:rFonts w:eastAsia="Calibri"/>
        </w:rPr>
        <w:t xml:space="preserve">, as well as on </w:t>
      </w:r>
      <w:r>
        <w:rPr>
          <w:rFonts w:eastAsia="Calibri"/>
        </w:rPr>
        <w:t>tests administered by Ward herself and by prior evaluators</w:t>
      </w:r>
      <w:r>
        <w:rPr>
          <w:rFonts w:eastAsia="Calibri"/>
        </w:rPr>
        <w:t>.</w:t>
      </w:r>
    </w:p>
    <w:p w14:paraId="01BAC1F1" w14:textId="77777777" w:rsidR="0047590A" w:rsidRDefault="00461399" w:rsidP="00E97EBE">
      <w:pPr>
        <w:ind w:firstLine="720"/>
        <w:rPr>
          <w:rFonts w:eastAsia="Calibri"/>
        </w:rPr>
      </w:pPr>
      <w:r w:rsidRPr="00831075">
        <w:rPr>
          <w:rFonts w:eastAsia="Calibri"/>
        </w:rPr>
        <w:t>Ward noted that i</w:t>
      </w:r>
      <w:r w:rsidRPr="00831075">
        <w:rPr>
          <w:rFonts w:eastAsia="Calibri"/>
        </w:rPr>
        <w:t xml:space="preserve">n </w:t>
      </w:r>
      <w:r w:rsidRPr="00831075">
        <w:rPr>
          <w:rFonts w:eastAsia="Calibri"/>
        </w:rPr>
        <w:t xml:space="preserve">recorded </w:t>
      </w:r>
      <w:r w:rsidRPr="00831075">
        <w:rPr>
          <w:rFonts w:eastAsia="Calibri"/>
        </w:rPr>
        <w:t>jailhouse</w:t>
      </w:r>
      <w:r w:rsidRPr="00831075">
        <w:rPr>
          <w:rFonts w:eastAsia="Calibri"/>
        </w:rPr>
        <w:t xml:space="preserve"> conversations</w:t>
      </w:r>
      <w:r>
        <w:rPr>
          <w:rStyle w:val="FootnoteReference"/>
          <w:rFonts w:eastAsia="Calibri"/>
        </w:rPr>
        <w:footnoteReference w:id="12"/>
      </w:r>
      <w:r w:rsidRPr="00831075">
        <w:rPr>
          <w:rFonts w:eastAsia="Calibri"/>
        </w:rPr>
        <w:t xml:space="preserve"> with</w:t>
      </w:r>
      <w:r>
        <w:rPr>
          <w:rFonts w:eastAsia="Calibri"/>
        </w:rPr>
        <w:t xml:space="preserve"> a fellow inmate, </w:t>
      </w:r>
      <w:r>
        <w:rPr>
          <w:rFonts w:eastAsia="Calibri"/>
        </w:rPr>
        <w:t>K.R.</w:t>
      </w:r>
      <w:r>
        <w:rPr>
          <w:rFonts w:eastAsia="Calibri"/>
        </w:rPr>
        <w:t xml:space="preserve"> appeared to understand a great deal about </w:t>
      </w:r>
      <w:r>
        <w:rPr>
          <w:rFonts w:eastAsia="Calibri"/>
        </w:rPr>
        <w:t>the justice syste</w:t>
      </w:r>
      <w:r>
        <w:rPr>
          <w:rFonts w:eastAsia="Calibri"/>
        </w:rPr>
        <w:t>m</w:t>
      </w:r>
      <w:r>
        <w:rPr>
          <w:rFonts w:eastAsia="Calibri"/>
        </w:rPr>
        <w:t xml:space="preserve">.  He </w:t>
      </w:r>
      <w:r>
        <w:rPr>
          <w:rFonts w:eastAsia="Calibri"/>
        </w:rPr>
        <w:t xml:space="preserve">knew that </w:t>
      </w:r>
      <w:r>
        <w:rPr>
          <w:rFonts w:eastAsia="Calibri"/>
        </w:rPr>
        <w:t>he could be held for</w:t>
      </w:r>
      <w:r>
        <w:rPr>
          <w:rFonts w:eastAsia="Calibri"/>
        </w:rPr>
        <w:t xml:space="preserve"> no more than</w:t>
      </w:r>
      <w:r>
        <w:rPr>
          <w:rFonts w:eastAsia="Calibri"/>
        </w:rPr>
        <w:t xml:space="preserve"> 72 hours without being charged with a crime, worried that he might be charged as an adult because he was 18 years old at th</w:t>
      </w:r>
      <w:r>
        <w:rPr>
          <w:rFonts w:eastAsia="Calibri"/>
        </w:rPr>
        <w:t xml:space="preserve">e </w:t>
      </w:r>
      <w:r>
        <w:rPr>
          <w:rFonts w:eastAsia="Calibri"/>
        </w:rPr>
        <w:t>time of his arrest</w:t>
      </w:r>
      <w:r>
        <w:rPr>
          <w:rFonts w:eastAsia="Calibri"/>
        </w:rPr>
        <w:t xml:space="preserve">, </w:t>
      </w:r>
      <w:r>
        <w:rPr>
          <w:rFonts w:eastAsia="Calibri"/>
        </w:rPr>
        <w:t>and</w:t>
      </w:r>
      <w:r>
        <w:rPr>
          <w:rFonts w:eastAsia="Calibri"/>
        </w:rPr>
        <w:t xml:space="preserve"> knew to exercise his </w:t>
      </w:r>
      <w:r>
        <w:rPr>
          <w:rFonts w:eastAsia="Calibri"/>
          <w:i/>
          <w:iCs/>
        </w:rPr>
        <w:t>Miranda</w:t>
      </w:r>
      <w:r>
        <w:rPr>
          <w:rFonts w:eastAsia="Calibri"/>
        </w:rPr>
        <w:t xml:space="preserve"> rights to avoid giving </w:t>
      </w:r>
      <w:r>
        <w:rPr>
          <w:rFonts w:eastAsia="Calibri"/>
        </w:rPr>
        <w:t xml:space="preserve">the police information.  </w:t>
      </w:r>
      <w:r>
        <w:rPr>
          <w:rFonts w:eastAsia="Calibri"/>
        </w:rPr>
        <w:t xml:space="preserve">He believed he could </w:t>
      </w:r>
      <w:r>
        <w:rPr>
          <w:rFonts w:eastAsia="Calibri"/>
        </w:rPr>
        <w:t>beat the</w:t>
      </w:r>
      <w:r>
        <w:rPr>
          <w:rFonts w:eastAsia="Calibri"/>
        </w:rPr>
        <w:t xml:space="preserve"> </w:t>
      </w:r>
      <w:r>
        <w:rPr>
          <w:rFonts w:eastAsia="Calibri"/>
        </w:rPr>
        <w:t xml:space="preserve">case because O.J. Simpson had been acquitted even though the police discovered blood on his clothing.  </w:t>
      </w:r>
      <w:r>
        <w:rPr>
          <w:rFonts w:eastAsia="Calibri"/>
        </w:rPr>
        <w:t xml:space="preserve">He also told the other inmate that </w:t>
      </w:r>
      <w:r>
        <w:rPr>
          <w:rFonts w:eastAsia="Calibri"/>
        </w:rPr>
        <w:t xml:space="preserve">he was considered “retarded,” and that </w:t>
      </w:r>
      <w:r>
        <w:rPr>
          <w:rFonts w:eastAsia="Calibri"/>
        </w:rPr>
        <w:t>if he could not</w:t>
      </w:r>
      <w:r>
        <w:rPr>
          <w:rFonts w:eastAsia="Calibri"/>
        </w:rPr>
        <w:t xml:space="preserve"> </w:t>
      </w:r>
      <w:r>
        <w:rPr>
          <w:rFonts w:eastAsia="Calibri"/>
        </w:rPr>
        <w:t>beat the charges</w:t>
      </w:r>
      <w:r>
        <w:rPr>
          <w:rFonts w:eastAsia="Calibri"/>
        </w:rPr>
        <w:t xml:space="preserve"> by other means, he would use </w:t>
      </w:r>
      <w:r>
        <w:rPr>
          <w:rFonts w:eastAsia="Calibri"/>
        </w:rPr>
        <w:t>the Regional Cent</w:t>
      </w:r>
      <w:r>
        <w:rPr>
          <w:rFonts w:eastAsia="Calibri"/>
        </w:rPr>
        <w:t>er</w:t>
      </w:r>
      <w:r>
        <w:rPr>
          <w:rFonts w:eastAsia="Calibri"/>
        </w:rPr>
        <w:t xml:space="preserve">—where juveniles are </w:t>
      </w:r>
      <w:r>
        <w:rPr>
          <w:rFonts w:eastAsia="Calibri"/>
        </w:rPr>
        <w:t>diagnosed with developmental disabilities—as a fallback</w:t>
      </w:r>
      <w:r>
        <w:rPr>
          <w:rFonts w:eastAsia="Calibri"/>
        </w:rPr>
        <w:t xml:space="preserve"> </w:t>
      </w:r>
      <w:r>
        <w:rPr>
          <w:rFonts w:eastAsia="Calibri"/>
        </w:rPr>
        <w:t>to fight the ca</w:t>
      </w:r>
      <w:r>
        <w:rPr>
          <w:rFonts w:eastAsia="Calibri"/>
        </w:rPr>
        <w:t xml:space="preserve">se.  </w:t>
      </w:r>
      <w:r>
        <w:rPr>
          <w:rFonts w:eastAsia="Calibri"/>
        </w:rPr>
        <w:t xml:space="preserve">Ward also reviewed </w:t>
      </w:r>
      <w:r w:rsidRPr="00831075">
        <w:rPr>
          <w:rFonts w:eastAsia="Calibri"/>
        </w:rPr>
        <w:t xml:space="preserve">recordings of phone calls between </w:t>
      </w:r>
      <w:r>
        <w:rPr>
          <w:rFonts w:eastAsia="Calibri"/>
        </w:rPr>
        <w:t>K.R.</w:t>
      </w:r>
      <w:r w:rsidRPr="00831075">
        <w:rPr>
          <w:rFonts w:eastAsia="Calibri"/>
        </w:rPr>
        <w:t xml:space="preserve"> and his mother</w:t>
      </w:r>
      <w:r w:rsidRPr="00831075">
        <w:rPr>
          <w:rFonts w:eastAsia="Calibri"/>
        </w:rPr>
        <w:t>,</w:t>
      </w:r>
      <w:r>
        <w:rPr>
          <w:rStyle w:val="FootnoteReference"/>
          <w:rFonts w:eastAsia="Calibri"/>
        </w:rPr>
        <w:footnoteReference w:id="13"/>
      </w:r>
      <w:r w:rsidRPr="00831075">
        <w:rPr>
          <w:rFonts w:eastAsia="Calibri"/>
        </w:rPr>
        <w:t xml:space="preserve"> in</w:t>
      </w:r>
      <w:r>
        <w:rPr>
          <w:rFonts w:eastAsia="Calibri"/>
        </w:rPr>
        <w:t xml:space="preserve"> </w:t>
      </w:r>
      <w:r>
        <w:rPr>
          <w:rFonts w:eastAsia="Calibri"/>
        </w:rPr>
        <w:lastRenderedPageBreak/>
        <w:t xml:space="preserve">which </w:t>
      </w:r>
      <w:r>
        <w:rPr>
          <w:rFonts w:eastAsia="Calibri"/>
        </w:rPr>
        <w:t>K.R.</w:t>
      </w:r>
      <w:r>
        <w:rPr>
          <w:rFonts w:eastAsia="Calibri"/>
        </w:rPr>
        <w:t xml:space="preserve"> reported what had happened </w:t>
      </w:r>
      <w:r>
        <w:rPr>
          <w:rFonts w:eastAsia="Calibri"/>
        </w:rPr>
        <w:t>in court that day</w:t>
      </w:r>
      <w:r>
        <w:rPr>
          <w:rFonts w:eastAsia="Calibri"/>
        </w:rPr>
        <w:t xml:space="preserve">, suggesting that he </w:t>
      </w:r>
      <w:r>
        <w:rPr>
          <w:rFonts w:eastAsia="Calibri"/>
        </w:rPr>
        <w:t>un</w:t>
      </w:r>
      <w:r>
        <w:rPr>
          <w:rFonts w:eastAsia="Calibri"/>
        </w:rPr>
        <w:t xml:space="preserve">derstood the </w:t>
      </w:r>
      <w:r>
        <w:rPr>
          <w:rFonts w:eastAsia="Calibri"/>
        </w:rPr>
        <w:t xml:space="preserve">proceedings.  </w:t>
      </w:r>
      <w:r>
        <w:rPr>
          <w:rFonts w:eastAsia="Calibri"/>
        </w:rPr>
        <w:t>K.R.</w:t>
      </w:r>
      <w:r>
        <w:rPr>
          <w:rFonts w:eastAsia="Calibri"/>
        </w:rPr>
        <w:t xml:space="preserve"> knew</w:t>
      </w:r>
      <w:r>
        <w:rPr>
          <w:rFonts w:eastAsia="Calibri"/>
        </w:rPr>
        <w:t xml:space="preserve"> that he would be sent home if the court </w:t>
      </w:r>
      <w:r>
        <w:rPr>
          <w:rFonts w:eastAsia="Calibri"/>
        </w:rPr>
        <w:t xml:space="preserve">ultimately </w:t>
      </w:r>
      <w:r>
        <w:rPr>
          <w:rFonts w:eastAsia="Calibri"/>
        </w:rPr>
        <w:t xml:space="preserve">found him incompetent.  </w:t>
      </w:r>
      <w:r>
        <w:rPr>
          <w:rFonts w:eastAsia="Calibri"/>
        </w:rPr>
        <w:t xml:space="preserve">According to Ward, </w:t>
      </w:r>
      <w:r>
        <w:rPr>
          <w:rFonts w:eastAsia="Calibri"/>
        </w:rPr>
        <w:t>K.R.</w:t>
      </w:r>
      <w:r>
        <w:rPr>
          <w:rFonts w:eastAsia="Calibri"/>
        </w:rPr>
        <w:t xml:space="preserve">’s behavior in these </w:t>
      </w:r>
      <w:r>
        <w:rPr>
          <w:rFonts w:eastAsia="Calibri"/>
        </w:rPr>
        <w:t xml:space="preserve">recordings </w:t>
      </w:r>
      <w:r>
        <w:rPr>
          <w:rFonts w:eastAsia="Calibri"/>
        </w:rPr>
        <w:t xml:space="preserve">indicated that </w:t>
      </w:r>
      <w:r>
        <w:rPr>
          <w:rFonts w:eastAsia="Calibri"/>
        </w:rPr>
        <w:t xml:space="preserve">he </w:t>
      </w:r>
      <w:r>
        <w:rPr>
          <w:rFonts w:eastAsia="Calibri"/>
        </w:rPr>
        <w:t xml:space="preserve">was capable of </w:t>
      </w:r>
      <w:r>
        <w:rPr>
          <w:rFonts w:eastAsia="Calibri"/>
        </w:rPr>
        <w:t xml:space="preserve">a level of planning </w:t>
      </w:r>
      <w:r>
        <w:rPr>
          <w:rFonts w:eastAsia="Calibri"/>
        </w:rPr>
        <w:t>and</w:t>
      </w:r>
      <w:r>
        <w:rPr>
          <w:rFonts w:eastAsia="Calibri"/>
        </w:rPr>
        <w:t xml:space="preserve"> </w:t>
      </w:r>
      <w:r>
        <w:rPr>
          <w:rFonts w:eastAsia="Calibri"/>
        </w:rPr>
        <w:t xml:space="preserve">thinking </w:t>
      </w:r>
      <w:r>
        <w:rPr>
          <w:rFonts w:eastAsia="Calibri"/>
        </w:rPr>
        <w:t xml:space="preserve">inconsistent with </w:t>
      </w:r>
      <w:r>
        <w:rPr>
          <w:rFonts w:eastAsia="Calibri"/>
        </w:rPr>
        <w:t>his previous diagnoses.</w:t>
      </w:r>
    </w:p>
    <w:p w14:paraId="74AEDBAB" w14:textId="77777777" w:rsidR="001242E4" w:rsidRDefault="00461399" w:rsidP="005B632C">
      <w:pPr>
        <w:rPr>
          <w:rFonts w:eastAsia="Calibri"/>
        </w:rPr>
      </w:pPr>
      <w:r>
        <w:rPr>
          <w:rFonts w:eastAsia="Calibri"/>
        </w:rPr>
        <w:tab/>
        <w:t xml:space="preserve">Ward also </w:t>
      </w:r>
      <w:r>
        <w:rPr>
          <w:rFonts w:eastAsia="Calibri"/>
        </w:rPr>
        <w:t xml:space="preserve">pointed to </w:t>
      </w:r>
      <w:r>
        <w:rPr>
          <w:rFonts w:eastAsia="Calibri"/>
        </w:rPr>
        <w:t xml:space="preserve">test results </w:t>
      </w:r>
      <w:r>
        <w:rPr>
          <w:rFonts w:eastAsia="Calibri"/>
        </w:rPr>
        <w:t xml:space="preserve">that she believed were </w:t>
      </w:r>
      <w:r>
        <w:rPr>
          <w:rFonts w:eastAsia="Calibri"/>
        </w:rPr>
        <w:t>indicative of</w:t>
      </w:r>
      <w:r>
        <w:rPr>
          <w:rFonts w:eastAsia="Calibri"/>
        </w:rPr>
        <w:t xml:space="preserve"> malingering.  </w:t>
      </w:r>
      <w:r>
        <w:rPr>
          <w:rFonts w:eastAsia="Calibri"/>
        </w:rPr>
        <w:t xml:space="preserve">One of the previous evaluators </w:t>
      </w:r>
      <w:r>
        <w:rPr>
          <w:rFonts w:eastAsia="Calibri"/>
        </w:rPr>
        <w:t xml:space="preserve">administered a memory test designed to </w:t>
      </w:r>
      <w:r>
        <w:rPr>
          <w:rFonts w:eastAsia="Calibri"/>
        </w:rPr>
        <w:t>screen for malingering.</w:t>
      </w:r>
      <w:r>
        <w:rPr>
          <w:rFonts w:eastAsia="Calibri"/>
        </w:rPr>
        <w:t xml:space="preserve">  </w:t>
      </w:r>
      <w:r>
        <w:rPr>
          <w:rFonts w:eastAsia="Calibri"/>
        </w:rPr>
        <w:t>K.R.</w:t>
      </w:r>
      <w:r>
        <w:rPr>
          <w:rFonts w:eastAsia="Calibri"/>
        </w:rPr>
        <w:t xml:space="preserve"> took the test three times an</w:t>
      </w:r>
      <w:r>
        <w:rPr>
          <w:rFonts w:eastAsia="Calibri"/>
        </w:rPr>
        <w:t>d</w:t>
      </w:r>
      <w:r>
        <w:rPr>
          <w:rFonts w:eastAsia="Calibri"/>
        </w:rPr>
        <w:t xml:space="preserve"> scored well </w:t>
      </w:r>
      <w:r>
        <w:rPr>
          <w:rFonts w:eastAsia="Calibri"/>
        </w:rPr>
        <w:t>within a range</w:t>
      </w:r>
      <w:r>
        <w:rPr>
          <w:rFonts w:eastAsia="Calibri"/>
        </w:rPr>
        <w:t xml:space="preserve"> indicating malingering</w:t>
      </w:r>
      <w:r>
        <w:rPr>
          <w:rFonts w:eastAsia="Calibri"/>
        </w:rPr>
        <w:t xml:space="preserve">.  His scores were </w:t>
      </w:r>
      <w:r>
        <w:rPr>
          <w:rFonts w:eastAsia="Calibri"/>
        </w:rPr>
        <w:t>consistent with those</w:t>
      </w:r>
      <w:r>
        <w:rPr>
          <w:rFonts w:eastAsia="Calibri"/>
        </w:rPr>
        <w:t xml:space="preserve"> someone</w:t>
      </w:r>
      <w:r>
        <w:rPr>
          <w:rFonts w:eastAsia="Calibri"/>
        </w:rPr>
        <w:t xml:space="preserve"> could achieve by</w:t>
      </w:r>
      <w:r>
        <w:rPr>
          <w:rFonts w:eastAsia="Calibri"/>
        </w:rPr>
        <w:t xml:space="preserve"> choosing answers at random.  </w:t>
      </w:r>
      <w:r>
        <w:rPr>
          <w:rFonts w:eastAsia="Calibri"/>
        </w:rPr>
        <w:t xml:space="preserve">On another occasion, </w:t>
      </w:r>
      <w:r>
        <w:rPr>
          <w:rFonts w:eastAsia="Calibri"/>
        </w:rPr>
        <w:t xml:space="preserve">when attempting a test requiring him to put blocks together to form a shape, </w:t>
      </w:r>
      <w:r>
        <w:rPr>
          <w:rFonts w:eastAsia="Calibri"/>
        </w:rPr>
        <w:t>K.R.</w:t>
      </w:r>
      <w:r>
        <w:rPr>
          <w:rFonts w:eastAsia="Calibri"/>
        </w:rPr>
        <w:t xml:space="preserve"> appeared to perform the test correctly at first, then </w:t>
      </w:r>
      <w:r>
        <w:rPr>
          <w:rFonts w:eastAsia="Calibri"/>
        </w:rPr>
        <w:t xml:space="preserve">took the blocks apart and </w:t>
      </w:r>
      <w:r>
        <w:rPr>
          <w:rFonts w:eastAsia="Calibri"/>
        </w:rPr>
        <w:t xml:space="preserve">rearranged them incorrectly.  </w:t>
      </w:r>
      <w:r>
        <w:rPr>
          <w:rFonts w:eastAsia="Calibri"/>
        </w:rPr>
        <w:t xml:space="preserve">Ward believed </w:t>
      </w:r>
      <w:r>
        <w:rPr>
          <w:rFonts w:eastAsia="Calibri"/>
        </w:rPr>
        <w:t>K.R.</w:t>
      </w:r>
      <w:r>
        <w:rPr>
          <w:rFonts w:eastAsia="Calibri"/>
        </w:rPr>
        <w:t>’s</w:t>
      </w:r>
      <w:r>
        <w:rPr>
          <w:rFonts w:eastAsia="Calibri"/>
        </w:rPr>
        <w:t xml:space="preserve"> inconsistent</w:t>
      </w:r>
      <w:r>
        <w:rPr>
          <w:rFonts w:eastAsia="Calibri"/>
        </w:rPr>
        <w:t xml:space="preserve"> performance on </w:t>
      </w:r>
      <w:r>
        <w:rPr>
          <w:rFonts w:eastAsia="Calibri"/>
        </w:rPr>
        <w:t xml:space="preserve">cognitive </w:t>
      </w:r>
      <w:r>
        <w:rPr>
          <w:rFonts w:eastAsia="Calibri"/>
        </w:rPr>
        <w:t>tests w</w:t>
      </w:r>
      <w:r>
        <w:rPr>
          <w:rFonts w:eastAsia="Calibri"/>
        </w:rPr>
        <w:t xml:space="preserve">as also likely due to malingering.  </w:t>
      </w:r>
      <w:r>
        <w:rPr>
          <w:rFonts w:eastAsia="Calibri"/>
        </w:rPr>
        <w:t xml:space="preserve">In elementary school, </w:t>
      </w:r>
      <w:r>
        <w:rPr>
          <w:rFonts w:eastAsia="Calibri"/>
        </w:rPr>
        <w:t>K.R.</w:t>
      </w:r>
      <w:r>
        <w:rPr>
          <w:rFonts w:eastAsia="Calibri"/>
        </w:rPr>
        <w:t xml:space="preserve"> had </w:t>
      </w:r>
      <w:r>
        <w:rPr>
          <w:rFonts w:eastAsia="Calibri"/>
        </w:rPr>
        <w:t>scored</w:t>
      </w:r>
      <w:r>
        <w:rPr>
          <w:rFonts w:eastAsia="Calibri"/>
        </w:rPr>
        <w:t xml:space="preserve"> a 92,</w:t>
      </w:r>
      <w:r>
        <w:rPr>
          <w:rFonts w:eastAsia="Calibri"/>
        </w:rPr>
        <w:t xml:space="preserve"> in the average range, on</w:t>
      </w:r>
      <w:r>
        <w:rPr>
          <w:rFonts w:eastAsia="Calibri"/>
        </w:rPr>
        <w:t xml:space="preserve"> a cognitive assessment test</w:t>
      </w:r>
      <w:r>
        <w:rPr>
          <w:rFonts w:eastAsia="Calibri"/>
        </w:rPr>
        <w:t>,</w:t>
      </w:r>
      <w:r>
        <w:rPr>
          <w:rFonts w:eastAsia="Calibri"/>
        </w:rPr>
        <w:t xml:space="preserve"> </w:t>
      </w:r>
      <w:r>
        <w:rPr>
          <w:rFonts w:eastAsia="Calibri"/>
        </w:rPr>
        <w:t>but</w:t>
      </w:r>
      <w:r>
        <w:rPr>
          <w:rFonts w:eastAsia="Calibri"/>
        </w:rPr>
        <w:t xml:space="preserve"> </w:t>
      </w:r>
      <w:r>
        <w:rPr>
          <w:rFonts w:eastAsia="Calibri"/>
        </w:rPr>
        <w:t xml:space="preserve">when he was administered </w:t>
      </w:r>
      <w:r>
        <w:rPr>
          <w:rFonts w:eastAsia="Calibri"/>
        </w:rPr>
        <w:t>a</w:t>
      </w:r>
      <w:r>
        <w:rPr>
          <w:rFonts w:eastAsia="Calibri"/>
        </w:rPr>
        <w:t xml:space="preserve">n IQ test at age 14 during his first </w:t>
      </w:r>
      <w:r>
        <w:rPr>
          <w:rFonts w:eastAsia="Calibri"/>
        </w:rPr>
        <w:t xml:space="preserve">juvenile delinquency proceedings, his score dropped to 52.  </w:t>
      </w:r>
      <w:r>
        <w:rPr>
          <w:rFonts w:eastAsia="Calibri"/>
        </w:rPr>
        <w:t xml:space="preserve">Ward administered another IQ test during her evaluation, on which </w:t>
      </w:r>
      <w:r>
        <w:rPr>
          <w:rFonts w:eastAsia="Calibri"/>
        </w:rPr>
        <w:t>K.R.</w:t>
      </w:r>
      <w:r>
        <w:rPr>
          <w:rFonts w:eastAsia="Calibri"/>
        </w:rPr>
        <w:t xml:space="preserve"> sco</w:t>
      </w:r>
      <w:r>
        <w:rPr>
          <w:rFonts w:eastAsia="Calibri"/>
        </w:rPr>
        <w:t>red a 6</w:t>
      </w:r>
      <w:r>
        <w:rPr>
          <w:rFonts w:eastAsia="Calibri"/>
        </w:rPr>
        <w:t>7</w:t>
      </w:r>
      <w:r>
        <w:rPr>
          <w:rFonts w:eastAsia="Calibri"/>
        </w:rPr>
        <w:t xml:space="preserve">.  </w:t>
      </w:r>
      <w:r>
        <w:rPr>
          <w:rFonts w:eastAsia="Calibri"/>
        </w:rPr>
        <w:t xml:space="preserve">According to Ward, </w:t>
      </w:r>
      <w:r>
        <w:rPr>
          <w:rFonts w:eastAsia="Calibri"/>
        </w:rPr>
        <w:t xml:space="preserve">unless </w:t>
      </w:r>
      <w:r>
        <w:rPr>
          <w:rFonts w:eastAsia="Calibri"/>
        </w:rPr>
        <w:t>K.R.</w:t>
      </w:r>
      <w:r>
        <w:rPr>
          <w:rFonts w:eastAsia="Calibri"/>
        </w:rPr>
        <w:t xml:space="preserve"> had suffered</w:t>
      </w:r>
      <w:r>
        <w:rPr>
          <w:rFonts w:eastAsia="Calibri"/>
        </w:rPr>
        <w:t xml:space="preserve"> </w:t>
      </w:r>
      <w:r>
        <w:rPr>
          <w:rFonts w:eastAsia="Calibri"/>
        </w:rPr>
        <w:t>brain</w:t>
      </w:r>
      <w:r>
        <w:rPr>
          <w:rFonts w:eastAsia="Calibri"/>
        </w:rPr>
        <w:t xml:space="preserve"> damage or other significant </w:t>
      </w:r>
      <w:r>
        <w:rPr>
          <w:rFonts w:eastAsia="Calibri"/>
        </w:rPr>
        <w:lastRenderedPageBreak/>
        <w:t>trauma</w:t>
      </w:r>
      <w:r>
        <w:rPr>
          <w:rFonts w:eastAsia="Calibri"/>
        </w:rPr>
        <w:t xml:space="preserve"> between tests, variations of that </w:t>
      </w:r>
      <w:r>
        <w:rPr>
          <w:rFonts w:eastAsia="Calibri"/>
        </w:rPr>
        <w:t>magnitude</w:t>
      </w:r>
      <w:r>
        <w:rPr>
          <w:rFonts w:eastAsia="Calibri"/>
        </w:rPr>
        <w:t xml:space="preserve"> </w:t>
      </w:r>
      <w:r>
        <w:rPr>
          <w:rFonts w:eastAsia="Calibri"/>
        </w:rPr>
        <w:t>could only be explained by</w:t>
      </w:r>
      <w:r>
        <w:rPr>
          <w:rFonts w:eastAsia="Calibri"/>
        </w:rPr>
        <w:t xml:space="preserve"> “motivational issues</w:t>
      </w:r>
      <w:r>
        <w:rPr>
          <w:rFonts w:eastAsia="Calibri"/>
        </w:rPr>
        <w:t>.</w:t>
      </w:r>
      <w:r>
        <w:rPr>
          <w:rFonts w:eastAsia="Calibri"/>
        </w:rPr>
        <w:t>”</w:t>
      </w:r>
    </w:p>
    <w:p w14:paraId="732E13E6" w14:textId="77777777" w:rsidR="000E5343" w:rsidRDefault="00461399" w:rsidP="005B632C">
      <w:pPr>
        <w:rPr>
          <w:rFonts w:eastAsia="Calibri"/>
        </w:rPr>
      </w:pPr>
      <w:r>
        <w:rPr>
          <w:rFonts w:eastAsia="Calibri"/>
        </w:rPr>
        <w:tab/>
        <w:t xml:space="preserve">Ward concluded that </w:t>
      </w:r>
      <w:r>
        <w:rPr>
          <w:rFonts w:eastAsia="Calibri"/>
        </w:rPr>
        <w:t>K.R.</w:t>
      </w:r>
      <w:r>
        <w:rPr>
          <w:rFonts w:eastAsia="Calibri"/>
        </w:rPr>
        <w:t xml:space="preserve"> </w:t>
      </w:r>
      <w:r>
        <w:rPr>
          <w:rFonts w:eastAsia="Calibri"/>
        </w:rPr>
        <w:t xml:space="preserve">was able to understand and assist his attorney in court proceedings, </w:t>
      </w:r>
      <w:r>
        <w:rPr>
          <w:rFonts w:eastAsia="Calibri"/>
        </w:rPr>
        <w:t xml:space="preserve">that he did not suffer from a developmental disability, </w:t>
      </w:r>
      <w:r>
        <w:rPr>
          <w:rFonts w:eastAsia="Calibri"/>
        </w:rPr>
        <w:t>and that he was competent</w:t>
      </w:r>
      <w:r>
        <w:rPr>
          <w:rFonts w:eastAsia="Calibri"/>
        </w:rPr>
        <w:t xml:space="preserve"> to stand trial.</w:t>
      </w:r>
    </w:p>
    <w:p w14:paraId="49BE5B29" w14:textId="77777777" w:rsidR="00E83166" w:rsidRPr="0043735F" w:rsidRDefault="00461399" w:rsidP="005B632C">
      <w:pPr>
        <w:rPr>
          <w:rFonts w:eastAsia="Calibri"/>
        </w:rPr>
      </w:pPr>
      <w:r>
        <w:rPr>
          <w:rFonts w:eastAsia="Calibri"/>
        </w:rPr>
        <w:tab/>
      </w:r>
      <w:r w:rsidRPr="0043735F">
        <w:rPr>
          <w:rFonts w:eastAsia="Calibri"/>
        </w:rPr>
        <w:t xml:space="preserve">The defense expert, Contreras, </w:t>
      </w:r>
      <w:r w:rsidRPr="0043735F">
        <w:rPr>
          <w:rFonts w:eastAsia="Calibri"/>
        </w:rPr>
        <w:t xml:space="preserve">reviewed the same </w:t>
      </w:r>
      <w:r w:rsidRPr="0043735F">
        <w:rPr>
          <w:rFonts w:eastAsia="Calibri"/>
        </w:rPr>
        <w:t>phone recordings and jail transcripts b</w:t>
      </w:r>
      <w:r w:rsidRPr="0043735F">
        <w:rPr>
          <w:rFonts w:eastAsia="Calibri"/>
        </w:rPr>
        <w:t>ut reached the opposite conclusion.  He</w:t>
      </w:r>
      <w:r w:rsidRPr="0043735F">
        <w:rPr>
          <w:rFonts w:eastAsia="Calibri"/>
        </w:rPr>
        <w:t xml:space="preserve"> acknowledged that </w:t>
      </w:r>
      <w:r w:rsidRPr="0043735F">
        <w:rPr>
          <w:rFonts w:eastAsia="Calibri"/>
        </w:rPr>
        <w:t>these transcripts “showed that [</w:t>
      </w:r>
      <w:r>
        <w:rPr>
          <w:rFonts w:eastAsia="Calibri"/>
        </w:rPr>
        <w:t>K.R.</w:t>
      </w:r>
      <w:r w:rsidRPr="0043735F">
        <w:rPr>
          <w:rFonts w:eastAsia="Calibri"/>
        </w:rPr>
        <w:t>] had awareness of what was potentially going on in his case</w:t>
      </w:r>
      <w:r w:rsidRPr="0043735F">
        <w:rPr>
          <w:rFonts w:eastAsia="Calibri"/>
        </w:rPr>
        <w:t xml:space="preserve">,” </w:t>
      </w:r>
      <w:r w:rsidRPr="0043735F">
        <w:rPr>
          <w:rFonts w:eastAsia="Calibri"/>
        </w:rPr>
        <w:t>but</w:t>
      </w:r>
      <w:r w:rsidRPr="0043735F">
        <w:rPr>
          <w:rFonts w:eastAsia="Calibri"/>
        </w:rPr>
        <w:t xml:space="preserve"> </w:t>
      </w:r>
      <w:r w:rsidRPr="0043735F">
        <w:rPr>
          <w:rFonts w:eastAsia="Calibri"/>
        </w:rPr>
        <w:t>this was not sufficient to establish competency.  Contreras</w:t>
      </w:r>
      <w:r w:rsidRPr="0043735F">
        <w:rPr>
          <w:rFonts w:eastAsia="Calibri"/>
        </w:rPr>
        <w:t xml:space="preserve"> noted that in the phone calls, </w:t>
      </w:r>
      <w:r>
        <w:rPr>
          <w:rFonts w:eastAsia="Calibri"/>
        </w:rPr>
        <w:t>K.R.</w:t>
      </w:r>
      <w:r w:rsidRPr="0043735F">
        <w:rPr>
          <w:rFonts w:eastAsia="Calibri"/>
        </w:rPr>
        <w:t xml:space="preserve"> often seemed not to </w:t>
      </w:r>
      <w:r w:rsidRPr="0043735F">
        <w:rPr>
          <w:rFonts w:eastAsia="Calibri"/>
        </w:rPr>
        <w:t xml:space="preserve">remember </w:t>
      </w:r>
      <w:r w:rsidRPr="0043735F">
        <w:rPr>
          <w:rFonts w:eastAsia="Calibri"/>
        </w:rPr>
        <w:t>details about what had happened in court that day</w:t>
      </w:r>
      <w:r w:rsidRPr="0043735F">
        <w:rPr>
          <w:rFonts w:eastAsia="Calibri"/>
        </w:rPr>
        <w:t>.</w:t>
      </w:r>
      <w:r w:rsidRPr="0043735F">
        <w:rPr>
          <w:rFonts w:eastAsia="Calibri"/>
        </w:rPr>
        <w:t xml:space="preserve"> </w:t>
      </w:r>
      <w:r w:rsidRPr="0043735F">
        <w:rPr>
          <w:rFonts w:eastAsia="Calibri"/>
        </w:rPr>
        <w:t xml:space="preserve"> </w:t>
      </w:r>
      <w:r w:rsidRPr="0043735F">
        <w:rPr>
          <w:rFonts w:eastAsia="Calibri"/>
        </w:rPr>
        <w:t xml:space="preserve">In addition, in the recordings </w:t>
      </w:r>
      <w:r>
        <w:rPr>
          <w:rFonts w:eastAsia="Calibri"/>
        </w:rPr>
        <w:t>K.R.</w:t>
      </w:r>
      <w:r w:rsidRPr="0043735F">
        <w:rPr>
          <w:rFonts w:eastAsia="Calibri"/>
        </w:rPr>
        <w:t xml:space="preserve"> </w:t>
      </w:r>
      <w:r w:rsidRPr="0043735F">
        <w:rPr>
          <w:rFonts w:eastAsia="Calibri"/>
        </w:rPr>
        <w:t>seemed to genuinely want to learn about his case</w:t>
      </w:r>
      <w:r w:rsidRPr="0043735F">
        <w:rPr>
          <w:rFonts w:eastAsia="Calibri"/>
        </w:rPr>
        <w:t xml:space="preserve">, something Contreras viewed as inconsistent with </w:t>
      </w:r>
      <w:r w:rsidRPr="0043735F">
        <w:rPr>
          <w:rFonts w:eastAsia="Calibri"/>
        </w:rPr>
        <w:t>malingering</w:t>
      </w:r>
      <w:r w:rsidRPr="0043735F">
        <w:rPr>
          <w:rFonts w:eastAsia="Calibri"/>
        </w:rPr>
        <w:t xml:space="preserve">.  </w:t>
      </w:r>
      <w:r w:rsidRPr="0043735F">
        <w:rPr>
          <w:rFonts w:eastAsia="Calibri"/>
        </w:rPr>
        <w:t xml:space="preserve">To have maintained </w:t>
      </w:r>
      <w:r w:rsidRPr="0043735F">
        <w:rPr>
          <w:rFonts w:eastAsia="Calibri"/>
        </w:rPr>
        <w:t xml:space="preserve">a charade of </w:t>
      </w:r>
      <w:r w:rsidRPr="0043735F">
        <w:rPr>
          <w:rFonts w:eastAsia="Calibri"/>
        </w:rPr>
        <w:t xml:space="preserve">ignorance over the entire course of the case “would reflect a level of sophistication that would be vastly </w:t>
      </w:r>
      <w:r w:rsidRPr="0043735F">
        <w:rPr>
          <w:rFonts w:eastAsia="Calibri"/>
        </w:rPr>
        <w:t>inconsistent with past educational records, psycholog</w:t>
      </w:r>
      <w:r w:rsidRPr="0043735F">
        <w:rPr>
          <w:rFonts w:eastAsia="Calibri"/>
        </w:rPr>
        <w:t>ical testing, and previous behavioral observations.”</w:t>
      </w:r>
    </w:p>
    <w:p w14:paraId="26BC106F" w14:textId="77777777" w:rsidR="00477346" w:rsidRDefault="00461399" w:rsidP="005B632C">
      <w:pPr>
        <w:rPr>
          <w:rFonts w:eastAsia="Calibri"/>
        </w:rPr>
      </w:pPr>
      <w:r w:rsidRPr="0043735F">
        <w:rPr>
          <w:rFonts w:eastAsia="Calibri"/>
        </w:rPr>
        <w:tab/>
        <w:t xml:space="preserve">The juvenile court </w:t>
      </w:r>
      <w:r w:rsidRPr="0043735F">
        <w:rPr>
          <w:rFonts w:eastAsia="Calibri"/>
        </w:rPr>
        <w:t>did not agree with all of Ward’s</w:t>
      </w:r>
      <w:r>
        <w:rPr>
          <w:rFonts w:eastAsia="Calibri"/>
        </w:rPr>
        <w:t xml:space="preserve"> conclusions.  In particular</w:t>
      </w:r>
      <w:r>
        <w:rPr>
          <w:rFonts w:eastAsia="Calibri"/>
        </w:rPr>
        <w:t xml:space="preserve">, the court found that </w:t>
      </w:r>
      <w:r>
        <w:rPr>
          <w:rFonts w:eastAsia="Calibri"/>
        </w:rPr>
        <w:t>K.R.</w:t>
      </w:r>
      <w:r>
        <w:rPr>
          <w:rFonts w:eastAsia="Calibri"/>
        </w:rPr>
        <w:t xml:space="preserve"> did suffer from a</w:t>
      </w:r>
      <w:r>
        <w:rPr>
          <w:rFonts w:eastAsia="Calibri"/>
        </w:rPr>
        <w:t>n intellectual</w:t>
      </w:r>
      <w:r>
        <w:rPr>
          <w:rFonts w:eastAsia="Calibri"/>
        </w:rPr>
        <w:t xml:space="preserve"> disabilit</w:t>
      </w:r>
      <w:r>
        <w:rPr>
          <w:rFonts w:eastAsia="Calibri"/>
        </w:rPr>
        <w:t>y, “particularly as it applies to his ability to proce</w:t>
      </w:r>
      <w:r>
        <w:rPr>
          <w:rFonts w:eastAsia="Calibri"/>
        </w:rPr>
        <w:t xml:space="preserve">ss learning a language.”  </w:t>
      </w:r>
      <w:r>
        <w:rPr>
          <w:rFonts w:eastAsia="Calibri"/>
        </w:rPr>
        <w:t>But the court found the jail recordings persuasive</w:t>
      </w:r>
      <w:r>
        <w:rPr>
          <w:rFonts w:eastAsia="Calibri"/>
        </w:rPr>
        <w:t xml:space="preserve">, indicating that </w:t>
      </w:r>
      <w:r>
        <w:rPr>
          <w:rFonts w:eastAsia="Calibri"/>
        </w:rPr>
        <w:t>K.R.</w:t>
      </w:r>
      <w:r>
        <w:rPr>
          <w:rFonts w:eastAsia="Calibri"/>
        </w:rPr>
        <w:t xml:space="preserve"> understood the way the court system worked and his rights within it.  On that basis, </w:t>
      </w:r>
      <w:r>
        <w:rPr>
          <w:rFonts w:eastAsia="Calibri"/>
        </w:rPr>
        <w:t xml:space="preserve">the court found that </w:t>
      </w:r>
      <w:r>
        <w:rPr>
          <w:rFonts w:eastAsia="Calibri"/>
        </w:rPr>
        <w:t>K.R.</w:t>
      </w:r>
      <w:r>
        <w:rPr>
          <w:rFonts w:eastAsia="Calibri"/>
        </w:rPr>
        <w:t xml:space="preserve"> was competent to assist his counsel and unders</w:t>
      </w:r>
      <w:r>
        <w:rPr>
          <w:rFonts w:eastAsia="Calibri"/>
        </w:rPr>
        <w:t>tand the proceedings.</w:t>
      </w:r>
    </w:p>
    <w:p w14:paraId="17CF3251" w14:textId="77777777" w:rsidR="00E34CD1" w:rsidRPr="00176C77" w:rsidRDefault="00461399" w:rsidP="00176C77">
      <w:pPr>
        <w:pStyle w:val="Heading3"/>
        <w:spacing w:before="60" w:after="60" w:line="288" w:lineRule="auto"/>
        <w:ind w:left="1440"/>
        <w:rPr>
          <w:rFonts w:eastAsia="Calibri"/>
          <w:b w:val="0"/>
          <w:bCs w:val="0"/>
        </w:rPr>
      </w:pPr>
      <w:r w:rsidRPr="00176C77">
        <w:rPr>
          <w:rFonts w:eastAsia="Calibri"/>
          <w:b w:val="0"/>
          <w:bCs w:val="0"/>
        </w:rPr>
        <w:lastRenderedPageBreak/>
        <w:t>2.</w:t>
      </w:r>
      <w:r w:rsidRPr="00176C77">
        <w:rPr>
          <w:rFonts w:eastAsia="Calibri"/>
          <w:b w:val="0"/>
          <w:bCs w:val="0"/>
        </w:rPr>
        <w:tab/>
      </w:r>
      <w:r w:rsidRPr="00176C77">
        <w:rPr>
          <w:rFonts w:eastAsia="Calibri"/>
          <w:b w:val="0"/>
          <w:bCs w:val="0"/>
          <w:i/>
          <w:iCs/>
        </w:rPr>
        <w:t>The Examination Was Not Contrary to</w:t>
      </w:r>
      <w:r w:rsidRPr="00176C77">
        <w:rPr>
          <w:rFonts w:eastAsia="Calibri"/>
          <w:b w:val="0"/>
          <w:bCs w:val="0"/>
          <w:i/>
          <w:iCs/>
        </w:rPr>
        <w:t xml:space="preserve"> the Terms of</w:t>
      </w:r>
      <w:r w:rsidRPr="00176C77">
        <w:rPr>
          <w:rFonts w:eastAsia="Calibri"/>
          <w:b w:val="0"/>
          <w:bCs w:val="0"/>
          <w:i/>
          <w:iCs/>
        </w:rPr>
        <w:t xml:space="preserve"> Section 709</w:t>
      </w:r>
    </w:p>
    <w:p w14:paraId="02CA058D" w14:textId="77777777" w:rsidR="00E27EEB" w:rsidRPr="00E27EEB" w:rsidRDefault="00461399" w:rsidP="00E27EEB">
      <w:pPr>
        <w:rPr>
          <w:rFonts w:eastAsia="Calibri"/>
        </w:rPr>
      </w:pPr>
      <w:r>
        <w:rPr>
          <w:rFonts w:eastAsia="Calibri"/>
        </w:rPr>
        <w:tab/>
      </w:r>
      <w:r>
        <w:rPr>
          <w:rFonts w:eastAsia="Calibri"/>
        </w:rPr>
        <w:t>T</w:t>
      </w:r>
      <w:r>
        <w:rPr>
          <w:rFonts w:eastAsia="Calibri"/>
        </w:rPr>
        <w:t>wo different subdivisions of s</w:t>
      </w:r>
      <w:r>
        <w:rPr>
          <w:rFonts w:eastAsia="Calibri"/>
        </w:rPr>
        <w:t>ection 709</w:t>
      </w:r>
      <w:r>
        <w:rPr>
          <w:rFonts w:eastAsia="Calibri"/>
        </w:rPr>
        <w:t xml:space="preserve"> </w:t>
      </w:r>
      <w:r>
        <w:rPr>
          <w:rFonts w:eastAsia="Calibri"/>
        </w:rPr>
        <w:t>provide for evidentiary hearings.  Subdivision (c) addresses the initial determination of the minor’s competency</w:t>
      </w:r>
      <w:r>
        <w:rPr>
          <w:rFonts w:eastAsia="Calibri"/>
        </w:rPr>
        <w:t xml:space="preserve">.  It states that, unless the parties stipulate </w:t>
      </w:r>
      <w:r>
        <w:rPr>
          <w:rFonts w:eastAsia="Calibri"/>
        </w:rPr>
        <w:t>that the minor is incompetent, “[t]</w:t>
      </w:r>
      <w:r w:rsidRPr="004B0ED7">
        <w:rPr>
          <w:rFonts w:eastAsia="Calibri"/>
        </w:rPr>
        <w:t>he question of the minor</w:t>
      </w:r>
      <w:r>
        <w:rPr>
          <w:rFonts w:eastAsia="Calibri"/>
        </w:rPr>
        <w:t>’</w:t>
      </w:r>
      <w:r w:rsidRPr="004B0ED7">
        <w:rPr>
          <w:rFonts w:eastAsia="Calibri"/>
        </w:rPr>
        <w:t>s competency shall be determined at an evidentiary hearing</w:t>
      </w:r>
      <w:r>
        <w:rPr>
          <w:rFonts w:eastAsia="Calibri"/>
        </w:rPr>
        <w:t>.”  Subdivision (h)(1) provides for a second evidentiary hearing a</w:t>
      </w:r>
      <w:r>
        <w:rPr>
          <w:rFonts w:eastAsia="Calibri"/>
        </w:rPr>
        <w:t>fter six months.</w:t>
      </w:r>
      <w:r>
        <w:rPr>
          <w:rStyle w:val="FootnoteReference"/>
          <w:rFonts w:eastAsia="Calibri"/>
          <w:position w:val="8"/>
        </w:rPr>
        <w:footnoteReference w:id="14"/>
      </w:r>
      <w:r>
        <w:rPr>
          <w:rFonts w:eastAsia="Calibri"/>
        </w:rPr>
        <w:t xml:space="preserve"> </w:t>
      </w:r>
      <w:r>
        <w:rPr>
          <w:rFonts w:eastAsia="Calibri"/>
        </w:rPr>
        <w:t xml:space="preserve"> </w:t>
      </w:r>
      <w:r>
        <w:rPr>
          <w:rFonts w:eastAsia="Calibri"/>
        </w:rPr>
        <w:t>A th</w:t>
      </w:r>
      <w:r>
        <w:rPr>
          <w:rFonts w:eastAsia="Calibri"/>
        </w:rPr>
        <w:t xml:space="preserve">ird provision, subdivision (b)(6), </w:t>
      </w:r>
      <w:r>
        <w:rPr>
          <w:rFonts w:eastAsia="Calibri"/>
        </w:rPr>
        <w:t xml:space="preserve">allows </w:t>
      </w:r>
      <w:r>
        <w:rPr>
          <w:rFonts w:eastAsia="Calibri"/>
        </w:rPr>
        <w:t xml:space="preserve">“[t]he </w:t>
      </w:r>
      <w:r w:rsidRPr="00E27EEB">
        <w:rPr>
          <w:rFonts w:eastAsia="Calibri"/>
        </w:rPr>
        <w:t>district attorney or minor</w:t>
      </w:r>
      <w:r>
        <w:rPr>
          <w:rFonts w:eastAsia="Calibri"/>
        </w:rPr>
        <w:t>’</w:t>
      </w:r>
      <w:r w:rsidRPr="00E27EEB">
        <w:rPr>
          <w:rFonts w:eastAsia="Calibri"/>
        </w:rPr>
        <w:t xml:space="preserve">s counsel </w:t>
      </w:r>
      <w:r>
        <w:rPr>
          <w:rFonts w:eastAsia="Calibri"/>
        </w:rPr>
        <w:t>[to]</w:t>
      </w:r>
      <w:r w:rsidRPr="00E27EEB">
        <w:rPr>
          <w:rFonts w:eastAsia="Calibri"/>
        </w:rPr>
        <w:t xml:space="preserve"> retain or seek the appointment of additional qualified experts who may testify during the competency hearing.</w:t>
      </w:r>
      <w:r>
        <w:rPr>
          <w:rFonts w:eastAsia="Calibri"/>
        </w:rPr>
        <w:t>”</w:t>
      </w:r>
    </w:p>
    <w:p w14:paraId="1B43A793" w14:textId="77777777" w:rsidR="00053B1F" w:rsidRDefault="00461399" w:rsidP="00E52DE7">
      <w:pPr>
        <w:ind w:firstLine="720"/>
        <w:rPr>
          <w:rFonts w:eastAsia="Calibri"/>
        </w:rPr>
      </w:pPr>
      <w:r>
        <w:rPr>
          <w:rFonts w:eastAsia="Calibri"/>
        </w:rPr>
        <w:t>K.R.</w:t>
      </w:r>
      <w:r>
        <w:rPr>
          <w:rFonts w:eastAsia="Calibri"/>
        </w:rPr>
        <w:t xml:space="preserve"> </w:t>
      </w:r>
      <w:r w:rsidRPr="00826BA8">
        <w:rPr>
          <w:rFonts w:eastAsia="Calibri"/>
        </w:rPr>
        <w:t>contends that the</w:t>
      </w:r>
      <w:r>
        <w:rPr>
          <w:rFonts w:eastAsia="Calibri"/>
        </w:rPr>
        <w:t xml:space="preserve"> </w:t>
      </w:r>
      <w:r w:rsidRPr="00826BA8">
        <w:rPr>
          <w:rFonts w:eastAsia="Calibri"/>
        </w:rPr>
        <w:t xml:space="preserve">parties are allowed to appoint </w:t>
      </w:r>
      <w:r w:rsidRPr="00826BA8">
        <w:rPr>
          <w:rFonts w:eastAsia="Calibri"/>
        </w:rPr>
        <w:t>their own experts only at the initial evidentiary hearing.</w:t>
      </w:r>
      <w:r>
        <w:rPr>
          <w:rFonts w:eastAsia="Calibri"/>
        </w:rPr>
        <w:t xml:space="preserve">  We disagree.  Nothing in the statute</w:t>
      </w:r>
      <w:r>
        <w:rPr>
          <w:rFonts w:eastAsia="Calibri"/>
        </w:rPr>
        <w:t xml:space="preserve"> </w:t>
      </w:r>
      <w:r>
        <w:rPr>
          <w:rFonts w:eastAsia="Calibri"/>
        </w:rPr>
        <w:t xml:space="preserve">suggests that </w:t>
      </w:r>
      <w:r>
        <w:rPr>
          <w:rFonts w:eastAsia="Calibri"/>
        </w:rPr>
        <w:t>different</w:t>
      </w:r>
      <w:r>
        <w:rPr>
          <w:rFonts w:eastAsia="Calibri"/>
        </w:rPr>
        <w:t xml:space="preserve"> evidentiary hearings should proceed by different rules.  </w:t>
      </w:r>
      <w:r>
        <w:rPr>
          <w:rFonts w:eastAsia="Calibri"/>
        </w:rPr>
        <w:t>To</w:t>
      </w:r>
      <w:r>
        <w:rPr>
          <w:rFonts w:eastAsia="Calibri"/>
        </w:rPr>
        <w:t xml:space="preserve"> the contrary</w:t>
      </w:r>
      <w:r>
        <w:rPr>
          <w:rFonts w:eastAsia="Calibri"/>
        </w:rPr>
        <w:t>,</w:t>
      </w:r>
      <w:r>
        <w:rPr>
          <w:rFonts w:eastAsia="Calibri"/>
        </w:rPr>
        <w:t xml:space="preserve"> </w:t>
      </w:r>
      <w:r>
        <w:rPr>
          <w:rFonts w:eastAsia="Calibri"/>
        </w:rPr>
        <w:t>se</w:t>
      </w:r>
      <w:r>
        <w:rPr>
          <w:rFonts w:eastAsia="Calibri"/>
        </w:rPr>
        <w:t xml:space="preserve">ction 709, </w:t>
      </w:r>
      <w:r>
        <w:rPr>
          <w:rFonts w:eastAsia="Calibri"/>
        </w:rPr>
        <w:t>s</w:t>
      </w:r>
      <w:r>
        <w:rPr>
          <w:rFonts w:eastAsia="Calibri"/>
        </w:rPr>
        <w:t xml:space="preserve">ubdivision (h)(1) </w:t>
      </w:r>
      <w:r>
        <w:rPr>
          <w:rFonts w:eastAsia="Calibri"/>
        </w:rPr>
        <w:t>state</w:t>
      </w:r>
      <w:r>
        <w:rPr>
          <w:rFonts w:eastAsia="Calibri"/>
        </w:rPr>
        <w:t>s that “</w:t>
      </w:r>
      <w:r>
        <w:rPr>
          <w:rFonts w:eastAsia="Calibri"/>
        </w:rPr>
        <w:t>[t]</w:t>
      </w:r>
      <w:r w:rsidRPr="000B66BC">
        <w:rPr>
          <w:rFonts w:eastAsia="Calibri"/>
        </w:rPr>
        <w:t xml:space="preserve">he </w:t>
      </w:r>
      <w:r w:rsidRPr="000B66BC">
        <w:rPr>
          <w:rFonts w:eastAsia="Calibri"/>
        </w:rPr>
        <w:t>provisions of subdivision (c) shall apply at this stage of the proceedings.</w:t>
      </w:r>
      <w:r>
        <w:rPr>
          <w:rFonts w:eastAsia="Calibri"/>
        </w:rPr>
        <w:t xml:space="preserve">”  </w:t>
      </w:r>
      <w:r>
        <w:rPr>
          <w:rFonts w:eastAsia="Calibri"/>
        </w:rPr>
        <w:t>K.R.</w:t>
      </w:r>
      <w:r>
        <w:rPr>
          <w:rFonts w:eastAsia="Calibri"/>
        </w:rPr>
        <w:t xml:space="preserve"> notes that </w:t>
      </w:r>
      <w:r>
        <w:rPr>
          <w:rFonts w:eastAsia="Calibri"/>
        </w:rPr>
        <w:t>the provision allowing the parties to appoint their own experts does not appear in subdivision (c)</w:t>
      </w:r>
      <w:r>
        <w:rPr>
          <w:rFonts w:eastAsia="Calibri"/>
        </w:rPr>
        <w:t>, but rather in</w:t>
      </w:r>
      <w:r>
        <w:rPr>
          <w:rFonts w:eastAsia="Calibri"/>
        </w:rPr>
        <w:t xml:space="preserve"> subdivision (b)(6)</w:t>
      </w:r>
      <w:r>
        <w:rPr>
          <w:rFonts w:eastAsia="Calibri"/>
        </w:rPr>
        <w:t>.</w:t>
      </w:r>
      <w:r>
        <w:rPr>
          <w:rFonts w:eastAsia="Calibri"/>
        </w:rPr>
        <w:t xml:space="preserve">  Because</w:t>
      </w:r>
      <w:r>
        <w:rPr>
          <w:rFonts w:eastAsia="Calibri"/>
        </w:rPr>
        <w:t xml:space="preserve"> most of the provisi</w:t>
      </w:r>
      <w:r>
        <w:rPr>
          <w:rFonts w:eastAsia="Calibri"/>
        </w:rPr>
        <w:t xml:space="preserve">ons in subdivision (b) </w:t>
      </w:r>
      <w:r>
        <w:rPr>
          <w:rFonts w:eastAsia="Calibri"/>
        </w:rPr>
        <w:t xml:space="preserve">describe the expert’s role at the initial competency hearing, </w:t>
      </w:r>
      <w:r>
        <w:rPr>
          <w:rFonts w:eastAsia="Calibri"/>
        </w:rPr>
        <w:lastRenderedPageBreak/>
        <w:t>and because</w:t>
      </w:r>
      <w:r>
        <w:rPr>
          <w:rFonts w:eastAsia="Calibri"/>
        </w:rPr>
        <w:t xml:space="preserve"> subdivision (h)(1) does not explicitly </w:t>
      </w:r>
      <w:r>
        <w:rPr>
          <w:rFonts w:eastAsia="Calibri"/>
        </w:rPr>
        <w:t>mention subdivision</w:t>
      </w:r>
      <w:r>
        <w:rPr>
          <w:rFonts w:eastAsia="Calibri"/>
        </w:rPr>
        <w:t xml:space="preserve"> (b)</w:t>
      </w:r>
      <w:r>
        <w:rPr>
          <w:rFonts w:eastAsia="Calibri"/>
        </w:rPr>
        <w:t>, K.R. argues that</w:t>
      </w:r>
      <w:r>
        <w:rPr>
          <w:rFonts w:eastAsia="Calibri"/>
        </w:rPr>
        <w:t xml:space="preserve"> </w:t>
      </w:r>
      <w:r>
        <w:rPr>
          <w:rFonts w:eastAsia="Calibri"/>
        </w:rPr>
        <w:t xml:space="preserve">the </w:t>
      </w:r>
      <w:r>
        <w:rPr>
          <w:rFonts w:eastAsia="Calibri"/>
        </w:rPr>
        <w:t>People’s right</w:t>
      </w:r>
      <w:r>
        <w:rPr>
          <w:rFonts w:eastAsia="Calibri"/>
        </w:rPr>
        <w:t xml:space="preserve"> under subdivision (b)(6)</w:t>
      </w:r>
      <w:r>
        <w:rPr>
          <w:rFonts w:eastAsia="Calibri"/>
        </w:rPr>
        <w:t xml:space="preserve"> to employ an expert to examine a</w:t>
      </w:r>
      <w:r>
        <w:rPr>
          <w:rFonts w:eastAsia="Calibri"/>
        </w:rPr>
        <w:t xml:space="preserve"> m</w:t>
      </w:r>
      <w:r>
        <w:rPr>
          <w:rFonts w:eastAsia="Calibri"/>
        </w:rPr>
        <w:t>inor</w:t>
      </w:r>
      <w:r>
        <w:rPr>
          <w:rFonts w:eastAsia="Calibri"/>
        </w:rPr>
        <w:t xml:space="preserve"> </w:t>
      </w:r>
      <w:r>
        <w:rPr>
          <w:rFonts w:eastAsia="Calibri"/>
        </w:rPr>
        <w:t>do</w:t>
      </w:r>
      <w:r>
        <w:rPr>
          <w:rFonts w:eastAsia="Calibri"/>
        </w:rPr>
        <w:t>es</w:t>
      </w:r>
      <w:r>
        <w:rPr>
          <w:rFonts w:eastAsia="Calibri"/>
        </w:rPr>
        <w:t xml:space="preserve"> not apply at a subsequent hearing</w:t>
      </w:r>
      <w:r>
        <w:rPr>
          <w:rFonts w:eastAsia="Calibri"/>
        </w:rPr>
        <w:t>.</w:t>
      </w:r>
      <w:r>
        <w:rPr>
          <w:rFonts w:eastAsia="Calibri"/>
        </w:rPr>
        <w:t xml:space="preserve">  Although </w:t>
      </w:r>
      <w:r>
        <w:rPr>
          <w:rFonts w:eastAsia="Calibri"/>
        </w:rPr>
        <w:t>K.R.</w:t>
      </w:r>
      <w:r>
        <w:rPr>
          <w:rFonts w:eastAsia="Calibri"/>
        </w:rPr>
        <w:t xml:space="preserve"> does not say so</w:t>
      </w:r>
      <w:r>
        <w:rPr>
          <w:rFonts w:eastAsia="Calibri"/>
        </w:rPr>
        <w:t>,</w:t>
      </w:r>
      <w:r>
        <w:rPr>
          <w:rFonts w:eastAsia="Calibri"/>
        </w:rPr>
        <w:t xml:space="preserve"> the logic of this</w:t>
      </w:r>
      <w:r>
        <w:rPr>
          <w:rFonts w:eastAsia="Calibri"/>
        </w:rPr>
        <w:t xml:space="preserve"> argument</w:t>
      </w:r>
      <w:r>
        <w:rPr>
          <w:rFonts w:eastAsia="Calibri"/>
        </w:rPr>
        <w:t xml:space="preserve">, if </w:t>
      </w:r>
      <w:r w:rsidRPr="0043735F">
        <w:rPr>
          <w:rFonts w:eastAsia="Calibri"/>
        </w:rPr>
        <w:t>accepted, would also</w:t>
      </w:r>
      <w:r w:rsidRPr="0043735F">
        <w:rPr>
          <w:rFonts w:eastAsia="Calibri"/>
        </w:rPr>
        <w:t xml:space="preserve"> read section 709 to</w:t>
      </w:r>
      <w:r w:rsidRPr="0043735F">
        <w:rPr>
          <w:rFonts w:eastAsia="Calibri"/>
        </w:rPr>
        <w:t xml:space="preserve"> bar </w:t>
      </w:r>
      <w:r w:rsidRPr="0043735F">
        <w:rPr>
          <w:rFonts w:eastAsia="Calibri"/>
        </w:rPr>
        <w:t>a juvenile from</w:t>
      </w:r>
      <w:r>
        <w:rPr>
          <w:rFonts w:eastAsia="Calibri"/>
        </w:rPr>
        <w:t xml:space="preserve"> retaining his or her own expert after the</w:t>
      </w:r>
      <w:r>
        <w:rPr>
          <w:rFonts w:eastAsia="Calibri"/>
        </w:rPr>
        <w:t xml:space="preserve"> initial competency hearing.</w:t>
      </w:r>
    </w:p>
    <w:p w14:paraId="0D807279" w14:textId="77777777" w:rsidR="00B25CF6" w:rsidRDefault="00461399" w:rsidP="00206CA1">
      <w:pPr>
        <w:ind w:firstLine="720"/>
        <w:rPr>
          <w:rFonts w:eastAsia="Calibri"/>
        </w:rPr>
      </w:pPr>
      <w:r>
        <w:rPr>
          <w:rFonts w:eastAsia="Calibri"/>
        </w:rPr>
        <w:t xml:space="preserve">This argument attempts to parse the text of the statute too finely.  </w:t>
      </w:r>
      <w:r>
        <w:rPr>
          <w:rFonts w:eastAsia="Calibri"/>
        </w:rPr>
        <w:t>Section 709, s</w:t>
      </w:r>
      <w:r>
        <w:rPr>
          <w:rFonts w:eastAsia="Calibri"/>
        </w:rPr>
        <w:t>ubdivision (h)(1)</w:t>
      </w:r>
      <w:r>
        <w:rPr>
          <w:rFonts w:eastAsia="Calibri"/>
        </w:rPr>
        <w:t>, in stating</w:t>
      </w:r>
      <w:r>
        <w:rPr>
          <w:rFonts w:eastAsia="Calibri"/>
        </w:rPr>
        <w:t xml:space="preserve"> that “</w:t>
      </w:r>
      <w:r>
        <w:rPr>
          <w:rFonts w:eastAsia="Calibri"/>
        </w:rPr>
        <w:t>[</w:t>
      </w:r>
      <w:r>
        <w:rPr>
          <w:rFonts w:eastAsia="Calibri"/>
        </w:rPr>
        <w:t>t</w:t>
      </w:r>
      <w:r>
        <w:rPr>
          <w:rFonts w:eastAsia="Calibri"/>
        </w:rPr>
        <w:t>]</w:t>
      </w:r>
      <w:r>
        <w:rPr>
          <w:rFonts w:eastAsia="Calibri"/>
        </w:rPr>
        <w:t>he provisions of subdivision (c) shall apply,”</w:t>
      </w:r>
      <w:r>
        <w:rPr>
          <w:rFonts w:eastAsia="Calibri"/>
        </w:rPr>
        <w:t xml:space="preserve"> implies that the rules for proceedings under subdivision (</w:t>
      </w:r>
      <w:r>
        <w:rPr>
          <w:rFonts w:eastAsia="Calibri"/>
        </w:rPr>
        <w:t>c)</w:t>
      </w:r>
      <w:r>
        <w:rPr>
          <w:rFonts w:eastAsia="Calibri"/>
        </w:rPr>
        <w:t>, including those pertaining to the role of experts,</w:t>
      </w:r>
      <w:r>
        <w:rPr>
          <w:rFonts w:eastAsia="Calibri"/>
        </w:rPr>
        <w:t xml:space="preserve"> also apply.  </w:t>
      </w:r>
      <w:r>
        <w:rPr>
          <w:rFonts w:eastAsia="Calibri"/>
        </w:rPr>
        <w:t xml:space="preserve">Furthermore, </w:t>
      </w:r>
      <w:r>
        <w:rPr>
          <w:rFonts w:eastAsia="Calibri"/>
        </w:rPr>
        <w:t>subdivision (b)(6)</w:t>
      </w:r>
      <w:r>
        <w:rPr>
          <w:rFonts w:eastAsia="Calibri"/>
        </w:rPr>
        <w:t xml:space="preserve"> </w:t>
      </w:r>
      <w:r>
        <w:rPr>
          <w:rFonts w:eastAsia="Calibri"/>
        </w:rPr>
        <w:t>states that</w:t>
      </w:r>
      <w:r>
        <w:rPr>
          <w:rFonts w:eastAsia="Calibri"/>
        </w:rPr>
        <w:t xml:space="preserve"> </w:t>
      </w:r>
      <w:r>
        <w:rPr>
          <w:rFonts w:eastAsia="Calibri"/>
        </w:rPr>
        <w:t xml:space="preserve">the parties </w:t>
      </w:r>
      <w:r>
        <w:rPr>
          <w:rFonts w:eastAsia="Calibri"/>
        </w:rPr>
        <w:t>may</w:t>
      </w:r>
      <w:r>
        <w:rPr>
          <w:rFonts w:eastAsia="Calibri"/>
        </w:rPr>
        <w:t xml:space="preserve"> retain their own experts to “testify during the competency hearing,”</w:t>
      </w:r>
      <w:r>
        <w:rPr>
          <w:rFonts w:eastAsia="Calibri"/>
        </w:rPr>
        <w:t xml:space="preserve"> </w:t>
      </w:r>
      <w:r>
        <w:rPr>
          <w:rFonts w:eastAsia="Calibri"/>
        </w:rPr>
        <w:t>without specifying the first competency hearing only.</w:t>
      </w:r>
      <w:r>
        <w:rPr>
          <w:rFonts w:eastAsia="Calibri"/>
        </w:rPr>
        <w:t xml:space="preserve">  </w:t>
      </w:r>
      <w:r>
        <w:rPr>
          <w:rFonts w:eastAsia="Calibri"/>
        </w:rPr>
        <w:t xml:space="preserve">The </w:t>
      </w:r>
      <w:r>
        <w:rPr>
          <w:rFonts w:eastAsia="Calibri"/>
        </w:rPr>
        <w:t>other provisions in subdivision (b) a</w:t>
      </w:r>
      <w:r>
        <w:rPr>
          <w:rFonts w:eastAsia="Calibri"/>
        </w:rPr>
        <w:t>ppear primarily aimed at defining</w:t>
      </w:r>
      <w:r>
        <w:rPr>
          <w:rFonts w:eastAsia="Calibri"/>
        </w:rPr>
        <w:t xml:space="preserve"> the</w:t>
      </w:r>
      <w:r>
        <w:rPr>
          <w:rFonts w:eastAsia="Calibri"/>
        </w:rPr>
        <w:t xml:space="preserve"> qualifications</w:t>
      </w:r>
      <w:r>
        <w:rPr>
          <w:rFonts w:eastAsia="Calibri"/>
        </w:rPr>
        <w:t xml:space="preserve"> and conduct </w:t>
      </w:r>
      <w:r>
        <w:rPr>
          <w:rFonts w:eastAsia="Calibri"/>
        </w:rPr>
        <w:t>of</w:t>
      </w:r>
      <w:r>
        <w:rPr>
          <w:rFonts w:eastAsia="Calibri"/>
        </w:rPr>
        <w:t xml:space="preserve"> appointed</w:t>
      </w:r>
      <w:r>
        <w:rPr>
          <w:rFonts w:eastAsia="Calibri"/>
        </w:rPr>
        <w:t xml:space="preserve"> experts at the first competency hearing, but there is no reason they </w:t>
      </w:r>
      <w:r>
        <w:rPr>
          <w:rFonts w:eastAsia="Calibri"/>
        </w:rPr>
        <w:t>w</w:t>
      </w:r>
      <w:r>
        <w:rPr>
          <w:rFonts w:eastAsia="Calibri"/>
        </w:rPr>
        <w:t xml:space="preserve">ould not also apply to experts who testify at subsequent </w:t>
      </w:r>
      <w:r>
        <w:rPr>
          <w:rFonts w:eastAsia="Calibri"/>
        </w:rPr>
        <w:t>hearings.</w:t>
      </w:r>
    </w:p>
    <w:p w14:paraId="13B43BB0" w14:textId="77777777" w:rsidR="005F7334" w:rsidRDefault="00461399" w:rsidP="00E6040E">
      <w:pPr>
        <w:ind w:firstLine="720"/>
        <w:rPr>
          <w:rFonts w:eastAsia="Calibri"/>
        </w:rPr>
      </w:pPr>
      <w:r>
        <w:rPr>
          <w:rFonts w:eastAsia="Calibri"/>
        </w:rPr>
        <w:t>We note t</w:t>
      </w:r>
      <w:r>
        <w:rPr>
          <w:rFonts w:eastAsia="Calibri"/>
        </w:rPr>
        <w:t xml:space="preserve">he circumstances of this case suggest that the appointment of a party’s own expert </w:t>
      </w:r>
      <w:r>
        <w:rPr>
          <w:rFonts w:eastAsia="Calibri"/>
        </w:rPr>
        <w:t xml:space="preserve">can sometimes </w:t>
      </w:r>
      <w:r>
        <w:rPr>
          <w:rFonts w:eastAsia="Calibri"/>
        </w:rPr>
        <w:t xml:space="preserve">be more useful </w:t>
      </w:r>
      <w:r>
        <w:rPr>
          <w:rFonts w:eastAsia="Calibri"/>
        </w:rPr>
        <w:t xml:space="preserve">at </w:t>
      </w:r>
      <w:r>
        <w:rPr>
          <w:rFonts w:eastAsia="Calibri"/>
        </w:rPr>
        <w:t>a later</w:t>
      </w:r>
      <w:r>
        <w:rPr>
          <w:rFonts w:eastAsia="Calibri"/>
        </w:rPr>
        <w:t xml:space="preserve"> hearing</w:t>
      </w:r>
      <w:r>
        <w:rPr>
          <w:rFonts w:eastAsia="Calibri"/>
        </w:rPr>
        <w:t xml:space="preserve"> than at the initial hearing</w:t>
      </w:r>
      <w:r>
        <w:rPr>
          <w:rFonts w:eastAsia="Calibri"/>
        </w:rPr>
        <w:t xml:space="preserve">.  </w:t>
      </w:r>
      <w:r>
        <w:rPr>
          <w:rFonts w:eastAsia="Calibri"/>
        </w:rPr>
        <w:t>I</w:t>
      </w:r>
      <w:r>
        <w:rPr>
          <w:rFonts w:eastAsia="Calibri"/>
        </w:rPr>
        <w:t>ssues surrounding a minor’s competency</w:t>
      </w:r>
      <w:r>
        <w:rPr>
          <w:rFonts w:eastAsia="Calibri"/>
        </w:rPr>
        <w:t xml:space="preserve"> </w:t>
      </w:r>
      <w:r>
        <w:rPr>
          <w:rFonts w:eastAsia="Calibri"/>
        </w:rPr>
        <w:t>that were not</w:t>
      </w:r>
      <w:r>
        <w:rPr>
          <w:rFonts w:eastAsia="Calibri"/>
        </w:rPr>
        <w:t xml:space="preserve"> initially</w:t>
      </w:r>
      <w:r>
        <w:rPr>
          <w:rFonts w:eastAsia="Calibri"/>
        </w:rPr>
        <w:t xml:space="preserve"> apparent</w:t>
      </w:r>
      <w:r>
        <w:rPr>
          <w:rFonts w:eastAsia="Calibri"/>
        </w:rPr>
        <w:t xml:space="preserve"> may</w:t>
      </w:r>
      <w:r>
        <w:rPr>
          <w:rFonts w:eastAsia="Calibri"/>
        </w:rPr>
        <w:t xml:space="preserve"> surface several months later</w:t>
      </w:r>
      <w:r>
        <w:rPr>
          <w:rFonts w:eastAsia="Calibri"/>
        </w:rPr>
        <w:t>.</w:t>
      </w:r>
      <w:r>
        <w:rPr>
          <w:rFonts w:eastAsia="Calibri"/>
        </w:rPr>
        <w:t xml:space="preserve">  I</w:t>
      </w:r>
      <w:r>
        <w:rPr>
          <w:rFonts w:eastAsia="Calibri"/>
        </w:rPr>
        <w:t>n a similar situation in</w:t>
      </w:r>
      <w:r>
        <w:rPr>
          <w:rFonts w:eastAsia="Calibri"/>
        </w:rPr>
        <w:t xml:space="preserve"> a case involving </w:t>
      </w:r>
      <w:r>
        <w:rPr>
          <w:rFonts w:eastAsia="Calibri"/>
        </w:rPr>
        <w:t xml:space="preserve">competency proceedings for an adult defendant, the court in </w:t>
      </w:r>
      <w:r w:rsidRPr="007713E1">
        <w:rPr>
          <w:rFonts w:eastAsia="Calibri"/>
          <w:i/>
          <w:iCs/>
        </w:rPr>
        <w:t>Baqleh v. Superior Court</w:t>
      </w:r>
      <w:r w:rsidRPr="007713E1">
        <w:rPr>
          <w:rFonts w:eastAsia="Calibri"/>
        </w:rPr>
        <w:t xml:space="preserve"> (2002) 100 Cal.App.4th 478</w:t>
      </w:r>
      <w:r>
        <w:rPr>
          <w:rFonts w:eastAsia="Calibri"/>
        </w:rPr>
        <w:t xml:space="preserve"> rejected applying the text of the statute narrowly to </w:t>
      </w:r>
      <w:r>
        <w:rPr>
          <w:rFonts w:eastAsia="Calibri"/>
        </w:rPr>
        <w:t>bar an examinat</w:t>
      </w:r>
      <w:r>
        <w:rPr>
          <w:rFonts w:eastAsia="Calibri"/>
        </w:rPr>
        <w:t xml:space="preserve">ion by the prosecution’s expert.  </w:t>
      </w:r>
      <w:r>
        <w:rPr>
          <w:rFonts w:eastAsia="Calibri"/>
        </w:rPr>
        <w:t>The defendant argued that because the statute</w:t>
      </w:r>
      <w:r>
        <w:rPr>
          <w:rFonts w:eastAsia="Calibri"/>
        </w:rPr>
        <w:t xml:space="preserve">s did not explicitly allow for </w:t>
      </w:r>
      <w:r>
        <w:rPr>
          <w:rFonts w:eastAsia="Calibri"/>
        </w:rPr>
        <w:t xml:space="preserve">the prosecution’s expert to examine the defendant, no </w:t>
      </w:r>
      <w:r>
        <w:rPr>
          <w:rFonts w:eastAsia="Calibri"/>
        </w:rPr>
        <w:lastRenderedPageBreak/>
        <w:t xml:space="preserve">examination was permitted.  </w:t>
      </w:r>
      <w:r w:rsidRPr="00345A74">
        <w:rPr>
          <w:rFonts w:eastAsia="Calibri"/>
        </w:rPr>
        <w:t>(</w:t>
      </w:r>
      <w:r w:rsidRPr="00345A74">
        <w:rPr>
          <w:rFonts w:eastAsia="Calibri"/>
          <w:i/>
        </w:rPr>
        <w:t>Id.</w:t>
      </w:r>
      <w:r w:rsidRPr="00345A74">
        <w:rPr>
          <w:rFonts w:eastAsia="Calibri"/>
        </w:rPr>
        <w:t xml:space="preserve"> at p.</w:t>
      </w:r>
      <w:r>
        <w:rPr>
          <w:rFonts w:eastAsia="Calibri"/>
        </w:rPr>
        <w:t xml:space="preserve"> </w:t>
      </w:r>
      <w:r>
        <w:rPr>
          <w:rFonts w:eastAsia="Calibri"/>
        </w:rPr>
        <w:t xml:space="preserve">489.) </w:t>
      </w:r>
      <w:r>
        <w:rPr>
          <w:rFonts w:eastAsia="Calibri"/>
        </w:rPr>
        <w:t xml:space="preserve"> </w:t>
      </w:r>
      <w:r>
        <w:rPr>
          <w:rFonts w:eastAsia="Calibri"/>
        </w:rPr>
        <w:t xml:space="preserve">The court disagreed:  </w:t>
      </w:r>
      <w:r>
        <w:rPr>
          <w:rFonts w:eastAsia="Calibri"/>
        </w:rPr>
        <w:t>“</w:t>
      </w:r>
      <w:r w:rsidRPr="005F7334">
        <w:rPr>
          <w:rFonts w:eastAsia="Calibri"/>
        </w:rPr>
        <w:t xml:space="preserve">Considering that a </w:t>
      </w:r>
      <w:r w:rsidRPr="005F7334">
        <w:rPr>
          <w:rFonts w:eastAsia="Calibri"/>
        </w:rPr>
        <w:t>party that wished to dispute the opinion of a court-appointed expert would be unable to do so effectively without the use of its own expert, the absence of an express statutory restriction on the use of such experts renders it highly implausible that the L</w:t>
      </w:r>
      <w:r w:rsidRPr="005F7334">
        <w:rPr>
          <w:rFonts w:eastAsia="Calibri"/>
        </w:rPr>
        <w:t>egislature intended any such restriction.</w:t>
      </w:r>
      <w:r>
        <w:rPr>
          <w:rFonts w:eastAsia="Calibri"/>
        </w:rPr>
        <w:t xml:space="preserve">”  </w:t>
      </w:r>
      <w:r w:rsidRPr="00C770EB">
        <w:rPr>
          <w:rFonts w:eastAsia="Calibri"/>
        </w:rPr>
        <w:t>(</w:t>
      </w:r>
      <w:r w:rsidRPr="00C770EB">
        <w:rPr>
          <w:rFonts w:eastAsia="Calibri"/>
          <w:i/>
        </w:rPr>
        <w:t>Id.</w:t>
      </w:r>
      <w:r w:rsidRPr="00C770EB">
        <w:rPr>
          <w:rFonts w:eastAsia="Calibri"/>
        </w:rPr>
        <w:t xml:space="preserve"> at p.</w:t>
      </w:r>
      <w:r>
        <w:rPr>
          <w:rFonts w:eastAsia="Calibri"/>
        </w:rPr>
        <w:t xml:space="preserve"> </w:t>
      </w:r>
      <w:r w:rsidRPr="005F7334">
        <w:rPr>
          <w:rFonts w:eastAsia="Calibri"/>
        </w:rPr>
        <w:t>490</w:t>
      </w:r>
      <w:r>
        <w:rPr>
          <w:rFonts w:eastAsia="Calibri"/>
        </w:rPr>
        <w:t>.)</w:t>
      </w:r>
      <w:r>
        <w:rPr>
          <w:rFonts w:eastAsia="Calibri"/>
        </w:rPr>
        <w:t xml:space="preserve">  The same logic counsels in favor of allowing </w:t>
      </w:r>
      <w:r>
        <w:rPr>
          <w:rFonts w:eastAsia="Calibri"/>
        </w:rPr>
        <w:t xml:space="preserve">the parties to </w:t>
      </w:r>
      <w:r>
        <w:rPr>
          <w:rFonts w:eastAsia="Calibri"/>
        </w:rPr>
        <w:t>retain</w:t>
      </w:r>
      <w:r>
        <w:rPr>
          <w:rFonts w:eastAsia="Calibri"/>
        </w:rPr>
        <w:t xml:space="preserve"> their own experts </w:t>
      </w:r>
      <w:r>
        <w:rPr>
          <w:rFonts w:eastAsia="Calibri"/>
        </w:rPr>
        <w:t xml:space="preserve">to examine the minor and testify </w:t>
      </w:r>
      <w:r>
        <w:rPr>
          <w:rFonts w:eastAsia="Calibri"/>
        </w:rPr>
        <w:t xml:space="preserve">at all evidentiary hearings </w:t>
      </w:r>
      <w:r>
        <w:rPr>
          <w:rFonts w:eastAsia="Calibri"/>
        </w:rPr>
        <w:t xml:space="preserve">in </w:t>
      </w:r>
      <w:r>
        <w:rPr>
          <w:rFonts w:eastAsia="Calibri"/>
        </w:rPr>
        <w:t>competency proceedings for minors.</w:t>
      </w:r>
    </w:p>
    <w:p w14:paraId="04629D77" w14:textId="77777777" w:rsidR="00A640F0" w:rsidRPr="00176C77" w:rsidRDefault="00461399" w:rsidP="00176C77">
      <w:pPr>
        <w:pStyle w:val="Heading3"/>
        <w:spacing w:before="60" w:after="60" w:line="288" w:lineRule="auto"/>
        <w:ind w:left="1440"/>
        <w:rPr>
          <w:rFonts w:eastAsia="Calibri"/>
          <w:b w:val="0"/>
          <w:bCs w:val="0"/>
        </w:rPr>
      </w:pPr>
      <w:r w:rsidRPr="00176C77">
        <w:rPr>
          <w:rFonts w:eastAsia="Calibri"/>
          <w:b w:val="0"/>
          <w:bCs w:val="0"/>
        </w:rPr>
        <w:t>3.</w:t>
      </w:r>
      <w:r w:rsidRPr="00176C77">
        <w:rPr>
          <w:rFonts w:eastAsia="Calibri"/>
          <w:b w:val="0"/>
          <w:bCs w:val="0"/>
        </w:rPr>
        <w:tab/>
      </w:r>
      <w:r w:rsidRPr="00176C77">
        <w:rPr>
          <w:rFonts w:eastAsia="Calibri"/>
          <w:b w:val="0"/>
          <w:bCs w:val="0"/>
          <w:i/>
          <w:iCs/>
        </w:rPr>
        <w:t xml:space="preserve">The </w:t>
      </w:r>
      <w:r w:rsidRPr="00176C77">
        <w:rPr>
          <w:rFonts w:eastAsia="Calibri"/>
          <w:b w:val="0"/>
          <w:bCs w:val="0"/>
          <w:i/>
          <w:iCs/>
        </w:rPr>
        <w:t>Peo</w:t>
      </w:r>
      <w:r w:rsidRPr="00176C77">
        <w:rPr>
          <w:rFonts w:eastAsia="Calibri"/>
          <w:b w:val="0"/>
          <w:bCs w:val="0"/>
          <w:i/>
          <w:iCs/>
        </w:rPr>
        <w:t xml:space="preserve">ple Were Not </w:t>
      </w:r>
      <w:r w:rsidRPr="00176C77">
        <w:rPr>
          <w:rFonts w:eastAsia="Calibri"/>
          <w:b w:val="0"/>
          <w:bCs w:val="0"/>
          <w:i/>
          <w:iCs/>
        </w:rPr>
        <w:t xml:space="preserve">Dilatory in Seeking to </w:t>
      </w:r>
      <w:r w:rsidRPr="00176C77">
        <w:rPr>
          <w:rFonts w:eastAsia="Calibri"/>
          <w:b w:val="0"/>
          <w:bCs w:val="0"/>
          <w:i/>
          <w:iCs/>
        </w:rPr>
        <w:t>Appoint their Own Expert</w:t>
      </w:r>
    </w:p>
    <w:p w14:paraId="563F9F7E" w14:textId="77777777" w:rsidR="000700E2" w:rsidRDefault="00461399" w:rsidP="00A640F0">
      <w:pPr>
        <w:rPr>
          <w:rFonts w:eastAsia="Calibri"/>
        </w:rPr>
      </w:pPr>
      <w:r>
        <w:rPr>
          <w:rFonts w:eastAsia="Calibri"/>
        </w:rPr>
        <w:tab/>
      </w:r>
      <w:r>
        <w:rPr>
          <w:rFonts w:eastAsia="Calibri"/>
        </w:rPr>
        <w:t>K.R.</w:t>
      </w:r>
      <w:r>
        <w:rPr>
          <w:rFonts w:eastAsia="Calibri"/>
        </w:rPr>
        <w:t xml:space="preserve"> contends that the </w:t>
      </w:r>
      <w:r>
        <w:rPr>
          <w:rFonts w:eastAsia="Calibri"/>
        </w:rPr>
        <w:t xml:space="preserve">trial court </w:t>
      </w:r>
      <w:r>
        <w:rPr>
          <w:rFonts w:eastAsia="Calibri"/>
        </w:rPr>
        <w:t xml:space="preserve">erred by </w:t>
      </w:r>
      <w:r>
        <w:rPr>
          <w:rFonts w:eastAsia="Calibri"/>
        </w:rPr>
        <w:t xml:space="preserve">allowing the </w:t>
      </w:r>
      <w:r>
        <w:rPr>
          <w:rFonts w:eastAsia="Calibri"/>
        </w:rPr>
        <w:t>remediation period</w:t>
      </w:r>
      <w:r>
        <w:rPr>
          <w:rFonts w:eastAsia="Calibri"/>
        </w:rPr>
        <w:t xml:space="preserve"> to be extended as a result of</w:t>
      </w:r>
      <w:r>
        <w:rPr>
          <w:rFonts w:eastAsia="Calibri"/>
        </w:rPr>
        <w:t xml:space="preserve"> </w:t>
      </w:r>
      <w:r>
        <w:rPr>
          <w:rFonts w:eastAsia="Calibri"/>
        </w:rPr>
        <w:t xml:space="preserve">the People’s </w:t>
      </w:r>
      <w:r>
        <w:rPr>
          <w:rFonts w:eastAsia="Calibri"/>
        </w:rPr>
        <w:t>expert</w:t>
      </w:r>
      <w:r>
        <w:rPr>
          <w:rFonts w:eastAsia="Calibri"/>
        </w:rPr>
        <w:t>’s</w:t>
      </w:r>
      <w:r>
        <w:rPr>
          <w:rFonts w:eastAsia="Calibri"/>
        </w:rPr>
        <w:t xml:space="preserve"> examin</w:t>
      </w:r>
      <w:r>
        <w:rPr>
          <w:rFonts w:eastAsia="Calibri"/>
        </w:rPr>
        <w:t>ation of</w:t>
      </w:r>
      <w:r>
        <w:rPr>
          <w:rFonts w:eastAsia="Calibri"/>
        </w:rPr>
        <w:t xml:space="preserve"> </w:t>
      </w:r>
      <w:r>
        <w:rPr>
          <w:rFonts w:eastAsia="Calibri"/>
        </w:rPr>
        <w:t>K.R</w:t>
      </w:r>
      <w:r>
        <w:rPr>
          <w:rFonts w:eastAsia="Calibri"/>
        </w:rPr>
        <w:t xml:space="preserve">.  </w:t>
      </w:r>
      <w:r>
        <w:rPr>
          <w:rFonts w:eastAsia="Calibri"/>
        </w:rPr>
        <w:t>We</w:t>
      </w:r>
      <w:r>
        <w:rPr>
          <w:rFonts w:eastAsia="Calibri"/>
        </w:rPr>
        <w:t xml:space="preserve"> disagree.  As we explained above</w:t>
      </w:r>
      <w:r>
        <w:rPr>
          <w:rFonts w:eastAsia="Calibri"/>
        </w:rPr>
        <w:t xml:space="preserve"> (see Discussion</w:t>
      </w:r>
      <w:r>
        <w:rPr>
          <w:rFonts w:eastAsia="Calibri"/>
        </w:rPr>
        <w:t>,</w:t>
      </w:r>
      <w:r>
        <w:rPr>
          <w:rFonts w:eastAsia="Calibri"/>
        </w:rPr>
        <w:t xml:space="preserve"> </w:t>
      </w:r>
      <w:r>
        <w:rPr>
          <w:rFonts w:eastAsia="Calibri"/>
        </w:rPr>
        <w:t>p</w:t>
      </w:r>
      <w:r>
        <w:rPr>
          <w:rFonts w:eastAsia="Calibri"/>
        </w:rPr>
        <w:t xml:space="preserve">art B, </w:t>
      </w:r>
      <w:r>
        <w:rPr>
          <w:rFonts w:eastAsia="Calibri"/>
          <w:i/>
          <w:iCs/>
        </w:rPr>
        <w:t>ante</w:t>
      </w:r>
      <w:r>
        <w:rPr>
          <w:rFonts w:eastAsia="Calibri"/>
        </w:rPr>
        <w:t>)</w:t>
      </w:r>
      <w:r>
        <w:rPr>
          <w:rFonts w:eastAsia="Calibri"/>
        </w:rPr>
        <w:t xml:space="preserve">, </w:t>
      </w:r>
      <w:r>
        <w:rPr>
          <w:rFonts w:eastAsia="Calibri"/>
        </w:rPr>
        <w:t xml:space="preserve">the court is not required to dismiss a </w:t>
      </w:r>
      <w:r>
        <w:rPr>
          <w:rFonts w:eastAsia="Calibri"/>
        </w:rPr>
        <w:t xml:space="preserve">case immediately </w:t>
      </w:r>
      <w:r>
        <w:rPr>
          <w:rFonts w:eastAsia="Calibri"/>
        </w:rPr>
        <w:t xml:space="preserve">when the remediation period expires </w:t>
      </w:r>
      <w:r>
        <w:rPr>
          <w:rFonts w:eastAsia="Calibri"/>
        </w:rPr>
        <w:t>without a finding that the minor has attained competency.</w:t>
      </w:r>
      <w:r>
        <w:rPr>
          <w:rFonts w:eastAsia="Calibri"/>
        </w:rPr>
        <w:t xml:space="preserve">  </w:t>
      </w:r>
      <w:r>
        <w:rPr>
          <w:rFonts w:eastAsia="Calibri"/>
        </w:rPr>
        <w:t>In this case, there is no indication th</w:t>
      </w:r>
      <w:r>
        <w:rPr>
          <w:rFonts w:eastAsia="Calibri"/>
        </w:rPr>
        <w:t>at the prosecution waited an unnecessarily long time before seeking to retain an expert to examine</w:t>
      </w:r>
      <w:r>
        <w:rPr>
          <w:rFonts w:eastAsia="Calibri"/>
        </w:rPr>
        <w:t xml:space="preserve"> </w:t>
      </w:r>
      <w:r>
        <w:rPr>
          <w:rFonts w:eastAsia="Calibri"/>
        </w:rPr>
        <w:t>K.R.</w:t>
      </w:r>
      <w:r>
        <w:rPr>
          <w:rFonts w:eastAsia="Calibri"/>
        </w:rPr>
        <w:t xml:space="preserve">, nor that the expert’s </w:t>
      </w:r>
      <w:r>
        <w:rPr>
          <w:rFonts w:eastAsia="Calibri"/>
        </w:rPr>
        <w:t>evaluation</w:t>
      </w:r>
      <w:r>
        <w:rPr>
          <w:rFonts w:eastAsia="Calibri"/>
        </w:rPr>
        <w:t xml:space="preserve"> unduly delayed the case.</w:t>
      </w:r>
    </w:p>
    <w:p w14:paraId="61D686A1" w14:textId="77777777" w:rsidR="005009F6" w:rsidRDefault="00461399" w:rsidP="00A640F0">
      <w:pPr>
        <w:rPr>
          <w:rFonts w:eastAsia="Calibri"/>
        </w:rPr>
      </w:pPr>
      <w:r>
        <w:rPr>
          <w:rFonts w:eastAsia="Calibri"/>
        </w:rPr>
        <w:tab/>
      </w:r>
      <w:r>
        <w:rPr>
          <w:rFonts w:eastAsia="Calibri"/>
        </w:rPr>
        <w:t>K.R.</w:t>
      </w:r>
      <w:r>
        <w:rPr>
          <w:rFonts w:eastAsia="Calibri"/>
        </w:rPr>
        <w:t xml:space="preserve"> proposes no standard for judging whether </w:t>
      </w:r>
      <w:r>
        <w:rPr>
          <w:rFonts w:eastAsia="Calibri"/>
        </w:rPr>
        <w:t>a</w:t>
      </w:r>
      <w:r>
        <w:rPr>
          <w:rFonts w:eastAsia="Calibri"/>
        </w:rPr>
        <w:t xml:space="preserve"> request to appoint an expert has come too late.</w:t>
      </w:r>
      <w:r>
        <w:rPr>
          <w:rFonts w:eastAsia="Calibri"/>
        </w:rPr>
        <w:t xml:space="preserve">  </w:t>
      </w:r>
      <w:r>
        <w:rPr>
          <w:rFonts w:eastAsia="Calibri"/>
        </w:rPr>
        <w:t xml:space="preserve">In the absence of any statutory limitation on the time to appoint an expert, we must defer to the discretion of the </w:t>
      </w:r>
      <w:r>
        <w:rPr>
          <w:rFonts w:eastAsia="Calibri"/>
        </w:rPr>
        <w:t>juvenile</w:t>
      </w:r>
      <w:r>
        <w:rPr>
          <w:rFonts w:eastAsia="Calibri"/>
        </w:rPr>
        <w:t xml:space="preserve"> court in setting a limit, and in this case we perceive no abuse of that discretio</w:t>
      </w:r>
      <w:r>
        <w:rPr>
          <w:rFonts w:eastAsia="Calibri"/>
        </w:rPr>
        <w:t xml:space="preserve">n.  </w:t>
      </w:r>
      <w:r>
        <w:rPr>
          <w:rFonts w:eastAsia="Calibri"/>
        </w:rPr>
        <w:t xml:space="preserve">The </w:t>
      </w:r>
      <w:r>
        <w:rPr>
          <w:rFonts w:eastAsia="Calibri"/>
        </w:rPr>
        <w:t>People</w:t>
      </w:r>
      <w:r>
        <w:rPr>
          <w:rFonts w:eastAsia="Calibri"/>
        </w:rPr>
        <w:t xml:space="preserve"> first sought to retain</w:t>
      </w:r>
      <w:r>
        <w:rPr>
          <w:rFonts w:eastAsia="Calibri"/>
        </w:rPr>
        <w:t xml:space="preserve"> </w:t>
      </w:r>
      <w:r>
        <w:rPr>
          <w:rFonts w:eastAsia="Calibri"/>
        </w:rPr>
        <w:t>their</w:t>
      </w:r>
      <w:r>
        <w:rPr>
          <w:rFonts w:eastAsia="Calibri"/>
        </w:rPr>
        <w:t xml:space="preserve"> expert</w:t>
      </w:r>
      <w:r>
        <w:rPr>
          <w:rFonts w:eastAsia="Calibri"/>
        </w:rPr>
        <w:t xml:space="preserve"> on</w:t>
      </w:r>
      <w:r>
        <w:rPr>
          <w:rFonts w:eastAsia="Calibri"/>
        </w:rPr>
        <w:t xml:space="preserve"> </w:t>
      </w:r>
      <w:r w:rsidRPr="00836A96">
        <w:rPr>
          <w:rFonts w:eastAsia="Calibri"/>
        </w:rPr>
        <w:t>April 8</w:t>
      </w:r>
      <w:r>
        <w:rPr>
          <w:rFonts w:eastAsia="Calibri"/>
        </w:rPr>
        <w:t>, 2022</w:t>
      </w:r>
      <w:r>
        <w:rPr>
          <w:rFonts w:eastAsia="Calibri"/>
        </w:rPr>
        <w:t xml:space="preserve">, </w:t>
      </w:r>
      <w:r>
        <w:rPr>
          <w:rFonts w:eastAsia="Calibri"/>
        </w:rPr>
        <w:t xml:space="preserve">the day after the court’s appointed expert, </w:t>
      </w:r>
      <w:r>
        <w:rPr>
          <w:rFonts w:eastAsia="Calibri"/>
        </w:rPr>
        <w:t>Dr. Oona Appel, testified that</w:t>
      </w:r>
      <w:r>
        <w:rPr>
          <w:rFonts w:eastAsia="Calibri"/>
        </w:rPr>
        <w:t>, in her opinion,</w:t>
      </w:r>
      <w:r>
        <w:rPr>
          <w:rFonts w:eastAsia="Calibri"/>
        </w:rPr>
        <w:t xml:space="preserve"> </w:t>
      </w:r>
      <w:r>
        <w:rPr>
          <w:rFonts w:eastAsia="Calibri"/>
        </w:rPr>
        <w:t>K.R.</w:t>
      </w:r>
      <w:r>
        <w:rPr>
          <w:rFonts w:eastAsia="Calibri"/>
        </w:rPr>
        <w:t xml:space="preserve"> was incompetent and unlikely to attain </w:t>
      </w:r>
      <w:r>
        <w:rPr>
          <w:rFonts w:eastAsia="Calibri"/>
        </w:rPr>
        <w:lastRenderedPageBreak/>
        <w:t xml:space="preserve">competency within the foreseeable future.  </w:t>
      </w:r>
      <w:r>
        <w:rPr>
          <w:rFonts w:eastAsia="Calibri"/>
        </w:rPr>
        <w:t>The pros</w:t>
      </w:r>
      <w:r>
        <w:rPr>
          <w:rFonts w:eastAsia="Calibri"/>
        </w:rPr>
        <w:t xml:space="preserve">ecution might have anticipated the need to retain its own expert sooner—Appel filed </w:t>
      </w:r>
      <w:r>
        <w:rPr>
          <w:rFonts w:eastAsia="Calibri"/>
        </w:rPr>
        <w:t>her report with the court</w:t>
      </w:r>
      <w:r>
        <w:rPr>
          <w:rFonts w:eastAsia="Calibri"/>
        </w:rPr>
        <w:t xml:space="preserve"> in late February, with an update on March</w:t>
      </w:r>
      <w:r>
        <w:rPr>
          <w:rFonts w:eastAsia="Calibri"/>
        </w:rPr>
        <w:t xml:space="preserve"> 8—</w:t>
      </w:r>
      <w:r>
        <w:rPr>
          <w:rFonts w:eastAsia="Calibri"/>
        </w:rPr>
        <w:t xml:space="preserve">but the prosecutor </w:t>
      </w:r>
      <w:r>
        <w:rPr>
          <w:rFonts w:eastAsia="Calibri"/>
        </w:rPr>
        <w:t>may have</w:t>
      </w:r>
      <w:r>
        <w:rPr>
          <w:rFonts w:eastAsia="Calibri"/>
        </w:rPr>
        <w:t xml:space="preserve"> recognize</w:t>
      </w:r>
      <w:r>
        <w:rPr>
          <w:rFonts w:eastAsia="Calibri"/>
        </w:rPr>
        <w:t>d</w:t>
      </w:r>
      <w:r>
        <w:rPr>
          <w:rFonts w:eastAsia="Calibri"/>
        </w:rPr>
        <w:t xml:space="preserve"> that she needed to retain her own expert only after </w:t>
      </w:r>
      <w:r>
        <w:rPr>
          <w:rFonts w:eastAsia="Calibri"/>
        </w:rPr>
        <w:t>examining A</w:t>
      </w:r>
      <w:r>
        <w:rPr>
          <w:rFonts w:eastAsia="Calibri"/>
        </w:rPr>
        <w:t xml:space="preserve">ppel at the hearing on April 7.  </w:t>
      </w:r>
      <w:r>
        <w:rPr>
          <w:rFonts w:eastAsia="Calibri"/>
        </w:rPr>
        <w:t xml:space="preserve">Nearly </w:t>
      </w:r>
      <w:r>
        <w:rPr>
          <w:rFonts w:eastAsia="Calibri"/>
        </w:rPr>
        <w:t>a month of litigation</w:t>
      </w:r>
      <w:r>
        <w:rPr>
          <w:rFonts w:eastAsia="Calibri"/>
        </w:rPr>
        <w:t xml:space="preserve"> ensued</w:t>
      </w:r>
      <w:r>
        <w:rPr>
          <w:rFonts w:eastAsia="Calibri"/>
        </w:rPr>
        <w:t xml:space="preserve"> over the question of whether </w:t>
      </w:r>
      <w:r>
        <w:rPr>
          <w:rFonts w:eastAsia="Calibri"/>
        </w:rPr>
        <w:t xml:space="preserve">Ward, </w:t>
      </w:r>
      <w:r>
        <w:rPr>
          <w:rFonts w:eastAsia="Calibri"/>
        </w:rPr>
        <w:t xml:space="preserve">the </w:t>
      </w:r>
      <w:r>
        <w:rPr>
          <w:rFonts w:eastAsia="Calibri"/>
        </w:rPr>
        <w:t>People’s expert</w:t>
      </w:r>
      <w:r>
        <w:rPr>
          <w:rFonts w:eastAsia="Calibri"/>
        </w:rPr>
        <w:t>,</w:t>
      </w:r>
      <w:r>
        <w:rPr>
          <w:rFonts w:eastAsia="Calibri"/>
        </w:rPr>
        <w:t xml:space="preserve"> should be allowed to examine </w:t>
      </w:r>
      <w:r>
        <w:rPr>
          <w:rFonts w:eastAsia="Calibri"/>
        </w:rPr>
        <w:t>K.R.</w:t>
      </w:r>
      <w:r>
        <w:rPr>
          <w:rFonts w:eastAsia="Calibri"/>
        </w:rPr>
        <w:t>,</w:t>
      </w:r>
      <w:r>
        <w:rPr>
          <w:rFonts w:eastAsia="Calibri"/>
        </w:rPr>
        <w:t xml:space="preserve"> but even so,</w:t>
      </w:r>
      <w:r>
        <w:rPr>
          <w:rFonts w:eastAsia="Calibri"/>
        </w:rPr>
        <w:t xml:space="preserve"> </w:t>
      </w:r>
      <w:r>
        <w:rPr>
          <w:rFonts w:eastAsia="Calibri"/>
        </w:rPr>
        <w:t xml:space="preserve">Ward </w:t>
      </w:r>
      <w:r>
        <w:rPr>
          <w:rFonts w:eastAsia="Calibri"/>
        </w:rPr>
        <w:t xml:space="preserve">managed to </w:t>
      </w:r>
      <w:r>
        <w:rPr>
          <w:rFonts w:eastAsia="Calibri"/>
        </w:rPr>
        <w:t xml:space="preserve">conduct her examination and file her report </w:t>
      </w:r>
      <w:r>
        <w:rPr>
          <w:rFonts w:eastAsia="Calibri"/>
        </w:rPr>
        <w:t xml:space="preserve">within a few days, just </w:t>
      </w:r>
      <w:r>
        <w:rPr>
          <w:rFonts w:eastAsia="Calibri"/>
        </w:rPr>
        <w:t>before</w:t>
      </w:r>
      <w:r>
        <w:rPr>
          <w:rFonts w:eastAsia="Calibri"/>
        </w:rPr>
        <w:t xml:space="preserve"> the </w:t>
      </w:r>
      <w:r w:rsidRPr="00836A96">
        <w:rPr>
          <w:rFonts w:eastAsia="Calibri"/>
        </w:rPr>
        <w:t>May 1</w:t>
      </w:r>
      <w:r w:rsidRPr="00836A96">
        <w:rPr>
          <w:rFonts w:eastAsia="Calibri"/>
        </w:rPr>
        <w:t>3</w:t>
      </w:r>
      <w:r>
        <w:rPr>
          <w:rFonts w:eastAsia="Calibri"/>
        </w:rPr>
        <w:t xml:space="preserve"> </w:t>
      </w:r>
      <w:r>
        <w:rPr>
          <w:rFonts w:eastAsia="Calibri"/>
        </w:rPr>
        <w:t xml:space="preserve">end of the remediation period.  </w:t>
      </w:r>
      <w:r>
        <w:rPr>
          <w:rFonts w:eastAsia="Calibri"/>
        </w:rPr>
        <w:t xml:space="preserve">The </w:t>
      </w:r>
      <w:r>
        <w:rPr>
          <w:rFonts w:eastAsia="Calibri"/>
        </w:rPr>
        <w:t xml:space="preserve">court most likely would have issued its final ruling on </w:t>
      </w:r>
      <w:r>
        <w:rPr>
          <w:rFonts w:eastAsia="Calibri"/>
        </w:rPr>
        <w:t>K.R.</w:t>
      </w:r>
      <w:r>
        <w:rPr>
          <w:rFonts w:eastAsia="Calibri"/>
        </w:rPr>
        <w:t>’s competency</w:t>
      </w:r>
      <w:r>
        <w:rPr>
          <w:rFonts w:eastAsia="Calibri"/>
        </w:rPr>
        <w:t xml:space="preserve"> sooner, except that the judge assigned to the case re</w:t>
      </w:r>
      <w:r>
        <w:rPr>
          <w:rFonts w:eastAsia="Calibri"/>
        </w:rPr>
        <w:t xml:space="preserve">cused </w:t>
      </w:r>
      <w:r>
        <w:rPr>
          <w:rFonts w:eastAsia="Calibri"/>
        </w:rPr>
        <w:t>h</w:t>
      </w:r>
      <w:r>
        <w:rPr>
          <w:rFonts w:eastAsia="Calibri"/>
        </w:rPr>
        <w:t>im</w:t>
      </w:r>
      <w:r>
        <w:rPr>
          <w:rFonts w:eastAsia="Calibri"/>
        </w:rPr>
        <w:t>self from the case</w:t>
      </w:r>
      <w:r>
        <w:rPr>
          <w:rFonts w:eastAsia="Calibri"/>
        </w:rPr>
        <w:t xml:space="preserve"> </w:t>
      </w:r>
      <w:r>
        <w:rPr>
          <w:rFonts w:eastAsia="Calibri"/>
        </w:rPr>
        <w:t>during Ward’s testimony</w:t>
      </w:r>
      <w:r>
        <w:rPr>
          <w:rFonts w:eastAsia="Calibri"/>
        </w:rPr>
        <w:t xml:space="preserve"> </w:t>
      </w:r>
      <w:r w:rsidRPr="00FB216F">
        <w:rPr>
          <w:rFonts w:eastAsia="Calibri"/>
        </w:rPr>
        <w:t>on May</w:t>
      </w:r>
      <w:r>
        <w:rPr>
          <w:rFonts w:eastAsia="Calibri"/>
        </w:rPr>
        <w:t xml:space="preserve"> </w:t>
      </w:r>
      <w:r w:rsidRPr="00FB216F">
        <w:rPr>
          <w:rFonts w:eastAsia="Calibri"/>
        </w:rPr>
        <w:t>18</w:t>
      </w:r>
      <w:r>
        <w:rPr>
          <w:rFonts w:eastAsia="Calibri"/>
        </w:rPr>
        <w:t xml:space="preserve"> after </w:t>
      </w:r>
      <w:r>
        <w:rPr>
          <w:rFonts w:eastAsia="Calibri"/>
        </w:rPr>
        <w:t xml:space="preserve">realizing that he </w:t>
      </w:r>
      <w:r>
        <w:rPr>
          <w:rFonts w:eastAsia="Calibri"/>
        </w:rPr>
        <w:t>was acquainted with one of the percipient witnesses.</w:t>
      </w:r>
    </w:p>
    <w:p w14:paraId="7DF7B0DE" w14:textId="77777777" w:rsidR="00265029" w:rsidRPr="00B359C0" w:rsidRDefault="00461399" w:rsidP="00A640F0">
      <w:pPr>
        <w:rPr>
          <w:rFonts w:eastAsia="Calibri"/>
        </w:rPr>
      </w:pPr>
      <w:r>
        <w:rPr>
          <w:rFonts w:eastAsia="Calibri"/>
        </w:rPr>
        <w:tab/>
      </w:r>
      <w:r w:rsidRPr="0043735F">
        <w:rPr>
          <w:rFonts w:eastAsia="Calibri"/>
        </w:rPr>
        <w:t xml:space="preserve">To be sure, the prosecutor might have </w:t>
      </w:r>
      <w:r w:rsidRPr="0043735F">
        <w:rPr>
          <w:rFonts w:eastAsia="Calibri"/>
        </w:rPr>
        <w:t>been able to reduce some of the delays in the case by requesting to appoint a</w:t>
      </w:r>
      <w:r w:rsidRPr="0043735F">
        <w:rPr>
          <w:rFonts w:eastAsia="Calibri"/>
        </w:rPr>
        <w:t xml:space="preserve"> prosecu</w:t>
      </w:r>
      <w:r w:rsidRPr="0043735F">
        <w:rPr>
          <w:rFonts w:eastAsia="Calibri"/>
        </w:rPr>
        <w:t>tion</w:t>
      </w:r>
      <w:r w:rsidRPr="0043735F">
        <w:rPr>
          <w:rFonts w:eastAsia="Calibri"/>
        </w:rPr>
        <w:t xml:space="preserve"> expert sooner, or by providing </w:t>
      </w:r>
      <w:r w:rsidRPr="0043735F">
        <w:rPr>
          <w:rFonts w:eastAsia="Calibri"/>
        </w:rPr>
        <w:t xml:space="preserve">the transcripts of the </w:t>
      </w:r>
      <w:r w:rsidRPr="0043735F">
        <w:rPr>
          <w:rFonts w:eastAsia="Calibri"/>
          <w:i/>
          <w:iCs/>
        </w:rPr>
        <w:t>Perkins</w:t>
      </w:r>
      <w:r w:rsidRPr="0043735F">
        <w:rPr>
          <w:rFonts w:eastAsia="Calibri"/>
        </w:rPr>
        <w:t xml:space="preserve"> operation to </w:t>
      </w:r>
      <w:r w:rsidRPr="0043735F">
        <w:rPr>
          <w:rFonts w:eastAsia="Calibri"/>
        </w:rPr>
        <w:t>Appel</w:t>
      </w:r>
      <w:r w:rsidRPr="0043735F">
        <w:rPr>
          <w:rFonts w:eastAsia="Calibri"/>
        </w:rPr>
        <w:t xml:space="preserve">.  But this </w:t>
      </w:r>
      <w:r w:rsidRPr="0043735F">
        <w:rPr>
          <w:rFonts w:eastAsia="Calibri"/>
        </w:rPr>
        <w:t>does not mean</w:t>
      </w:r>
      <w:r w:rsidRPr="0043735F">
        <w:rPr>
          <w:rFonts w:eastAsia="Calibri"/>
        </w:rPr>
        <w:t xml:space="preserve"> the juvenile court abused its discretion by</w:t>
      </w:r>
      <w:r w:rsidRPr="0043735F">
        <w:rPr>
          <w:rFonts w:eastAsia="Calibri"/>
        </w:rPr>
        <w:t xml:space="preserve"> allowing the appointment of a prosecution expert in April 2022.</w:t>
      </w:r>
    </w:p>
    <w:p w14:paraId="22492172" w14:textId="77777777" w:rsidR="009973AD" w:rsidRPr="00176C77" w:rsidRDefault="00461399" w:rsidP="00176C77">
      <w:pPr>
        <w:pStyle w:val="Heading3"/>
        <w:spacing w:before="60" w:after="60" w:line="288" w:lineRule="auto"/>
        <w:ind w:left="1440"/>
        <w:rPr>
          <w:rFonts w:eastAsia="Calibri"/>
          <w:b w:val="0"/>
          <w:bCs w:val="0"/>
        </w:rPr>
      </w:pPr>
      <w:r w:rsidRPr="00176C77">
        <w:rPr>
          <w:rFonts w:eastAsia="Calibri"/>
          <w:b w:val="0"/>
          <w:bCs w:val="0"/>
        </w:rPr>
        <w:t>4.</w:t>
      </w:r>
      <w:r w:rsidRPr="00176C77">
        <w:rPr>
          <w:rFonts w:eastAsia="Calibri"/>
          <w:b w:val="0"/>
          <w:bCs w:val="0"/>
        </w:rPr>
        <w:tab/>
      </w:r>
      <w:r w:rsidRPr="00176C77">
        <w:rPr>
          <w:rFonts w:eastAsia="Calibri"/>
          <w:b w:val="0"/>
          <w:bCs w:val="0"/>
          <w:i/>
          <w:iCs/>
        </w:rPr>
        <w:t xml:space="preserve">The People’s Failure to Comply with the Civil Discovery Act when Appointing its Expert Did Not Prejudice </w:t>
      </w:r>
      <w:r>
        <w:rPr>
          <w:rFonts w:eastAsia="Calibri"/>
          <w:b w:val="0"/>
          <w:bCs w:val="0"/>
          <w:i/>
          <w:iCs/>
        </w:rPr>
        <w:t>K.R.</w:t>
      </w:r>
    </w:p>
    <w:p w14:paraId="6A94E25C" w14:textId="77777777" w:rsidR="00A567B0" w:rsidRDefault="00461399" w:rsidP="00A567B0">
      <w:pPr>
        <w:rPr>
          <w:rFonts w:eastAsia="Calibri"/>
        </w:rPr>
      </w:pPr>
      <w:r>
        <w:rPr>
          <w:rFonts w:eastAsia="Calibri"/>
        </w:rPr>
        <w:tab/>
      </w:r>
      <w:r>
        <w:rPr>
          <w:rFonts w:eastAsia="Calibri"/>
        </w:rPr>
        <w:t>W</w:t>
      </w:r>
      <w:r>
        <w:rPr>
          <w:rFonts w:eastAsia="Calibri"/>
        </w:rPr>
        <w:t xml:space="preserve">hen the People intend to appoint </w:t>
      </w:r>
      <w:r>
        <w:rPr>
          <w:rFonts w:eastAsia="Calibri"/>
        </w:rPr>
        <w:t>an expert to examine a minor, they must fir</w:t>
      </w:r>
      <w:r>
        <w:rPr>
          <w:rFonts w:eastAsia="Calibri"/>
        </w:rPr>
        <w:t xml:space="preserve">st </w:t>
      </w:r>
      <w:r>
        <w:rPr>
          <w:rFonts w:eastAsia="Calibri"/>
        </w:rPr>
        <w:t>“</w:t>
      </w:r>
      <w:r w:rsidRPr="00B1486B">
        <w:rPr>
          <w:rFonts w:eastAsia="Calibri"/>
        </w:rPr>
        <w:t>petition</w:t>
      </w:r>
      <w:r>
        <w:rPr>
          <w:rFonts w:eastAsia="Calibri"/>
        </w:rPr>
        <w:t>[ ]</w:t>
      </w:r>
      <w:r w:rsidRPr="00B1486B">
        <w:rPr>
          <w:rFonts w:eastAsia="Calibri"/>
        </w:rPr>
        <w:t xml:space="preserve"> the court for an order pursuant to the Civil Discovery Act (Title 4 (commencing with Section 2016.010) of Part 4 of the Code of Civil Procedure).</w:t>
      </w:r>
      <w:r>
        <w:rPr>
          <w:rFonts w:eastAsia="Calibri"/>
        </w:rPr>
        <w:t>”</w:t>
      </w:r>
      <w:r>
        <w:rPr>
          <w:rFonts w:eastAsia="Calibri"/>
        </w:rPr>
        <w:t xml:space="preserve">  (</w:t>
      </w:r>
      <w:r>
        <w:rPr>
          <w:rFonts w:eastAsia="Calibri"/>
        </w:rPr>
        <w:t>§</w:t>
      </w:r>
      <w:r>
        <w:rPr>
          <w:rFonts w:eastAsia="Calibri"/>
        </w:rPr>
        <w:t> </w:t>
      </w:r>
      <w:r>
        <w:rPr>
          <w:rFonts w:eastAsia="Calibri"/>
        </w:rPr>
        <w:t xml:space="preserve">709, subd. (b)(6); see also </w:t>
      </w:r>
      <w:r w:rsidRPr="00373F57">
        <w:rPr>
          <w:rFonts w:eastAsia="Calibri"/>
          <w:i/>
          <w:iCs/>
        </w:rPr>
        <w:t>Baqleh v. Superior Court</w:t>
      </w:r>
      <w:r w:rsidRPr="0011049D">
        <w:rPr>
          <w:rFonts w:eastAsia="Calibri"/>
        </w:rPr>
        <w:t xml:space="preserve">, </w:t>
      </w:r>
      <w:r w:rsidRPr="0011049D">
        <w:rPr>
          <w:rFonts w:eastAsia="Calibri"/>
          <w:i/>
        </w:rPr>
        <w:t>supra</w:t>
      </w:r>
      <w:r w:rsidRPr="0011049D">
        <w:rPr>
          <w:rFonts w:eastAsia="Calibri"/>
        </w:rPr>
        <w:t>,</w:t>
      </w:r>
      <w:r>
        <w:rPr>
          <w:rFonts w:eastAsia="Calibri"/>
        </w:rPr>
        <w:t xml:space="preserve"> </w:t>
      </w:r>
      <w:r w:rsidRPr="00373F57">
        <w:rPr>
          <w:rFonts w:eastAsia="Calibri"/>
        </w:rPr>
        <w:t xml:space="preserve">100 Cal.App.4th </w:t>
      </w:r>
      <w:r>
        <w:rPr>
          <w:rFonts w:eastAsia="Calibri"/>
        </w:rPr>
        <w:t>at p.</w:t>
      </w:r>
      <w:r w:rsidRPr="00373F57">
        <w:rPr>
          <w:rFonts w:eastAsia="Calibri"/>
        </w:rPr>
        <w:t xml:space="preserve"> 491</w:t>
      </w:r>
      <w:r>
        <w:rPr>
          <w:rFonts w:eastAsia="Calibri"/>
        </w:rPr>
        <w:t xml:space="preserve"> [holding that the Civil Discovery Act applies </w:t>
      </w:r>
      <w:r>
        <w:rPr>
          <w:rFonts w:eastAsia="Calibri"/>
        </w:rPr>
        <w:t>to examinations in</w:t>
      </w:r>
      <w:r>
        <w:rPr>
          <w:rFonts w:eastAsia="Calibri"/>
        </w:rPr>
        <w:t xml:space="preserve"> adult competency hearings].)</w:t>
      </w:r>
      <w:r>
        <w:rPr>
          <w:rFonts w:eastAsia="Calibri"/>
        </w:rPr>
        <w:t xml:space="preserve">  </w:t>
      </w:r>
      <w:r>
        <w:rPr>
          <w:rFonts w:eastAsia="Calibri"/>
        </w:rPr>
        <w:t xml:space="preserve">The relevant </w:t>
      </w:r>
      <w:r>
        <w:rPr>
          <w:rFonts w:eastAsia="Calibri"/>
        </w:rPr>
        <w:lastRenderedPageBreak/>
        <w:t xml:space="preserve">section of the Civil Discovery Act for this purpose is Code of Civil Procedure section 2032.310, which provides that </w:t>
      </w:r>
      <w:r>
        <w:rPr>
          <w:rFonts w:eastAsia="Calibri"/>
        </w:rPr>
        <w:t xml:space="preserve">when </w:t>
      </w:r>
      <w:r>
        <w:rPr>
          <w:rFonts w:eastAsia="Calibri"/>
        </w:rPr>
        <w:t xml:space="preserve">a party seeks </w:t>
      </w:r>
      <w:r>
        <w:rPr>
          <w:rFonts w:eastAsia="Calibri"/>
        </w:rPr>
        <w:t xml:space="preserve">to </w:t>
      </w:r>
      <w:r>
        <w:rPr>
          <w:rFonts w:eastAsia="Calibri"/>
        </w:rPr>
        <w:t xml:space="preserve">conduct a mental examination, it must file a motion </w:t>
      </w:r>
      <w:r>
        <w:rPr>
          <w:rFonts w:eastAsia="Calibri"/>
        </w:rPr>
        <w:t>“</w:t>
      </w:r>
      <w:r w:rsidRPr="00A567B0">
        <w:rPr>
          <w:rFonts w:eastAsia="Calibri"/>
        </w:rPr>
        <w:t>specify</w:t>
      </w:r>
      <w:r>
        <w:rPr>
          <w:rFonts w:eastAsia="Calibri"/>
        </w:rPr>
        <w:t>[ing]</w:t>
      </w:r>
      <w:r w:rsidRPr="00A567B0">
        <w:rPr>
          <w:rFonts w:eastAsia="Calibri"/>
        </w:rPr>
        <w:t xml:space="preserve"> the time, place, manner, conditions, scope, and nature of the examination, as well as the identity and the specialty, if any, of the person or persons who will perform the e</w:t>
      </w:r>
      <w:r w:rsidRPr="00A567B0">
        <w:rPr>
          <w:rFonts w:eastAsia="Calibri"/>
        </w:rPr>
        <w:t xml:space="preserve">xamination. </w:t>
      </w:r>
      <w:r>
        <w:rPr>
          <w:rFonts w:eastAsia="Calibri"/>
        </w:rPr>
        <w:t xml:space="preserve"> </w:t>
      </w:r>
      <w:r w:rsidRPr="00A567B0">
        <w:rPr>
          <w:rFonts w:eastAsia="Calibri"/>
        </w:rPr>
        <w:t xml:space="preserve">The motion shall be accompanied by a meet and confer declaration under </w:t>
      </w:r>
      <w:r>
        <w:rPr>
          <w:rFonts w:eastAsia="Calibri"/>
        </w:rPr>
        <w:t>[s]</w:t>
      </w:r>
      <w:r w:rsidRPr="00A567B0">
        <w:rPr>
          <w:rFonts w:eastAsia="Calibri"/>
        </w:rPr>
        <w:t>ection 2016.040.</w:t>
      </w:r>
      <w:r>
        <w:rPr>
          <w:rFonts w:eastAsia="Calibri"/>
        </w:rPr>
        <w:t>”  (</w:t>
      </w:r>
      <w:r w:rsidRPr="00A567B0">
        <w:rPr>
          <w:rFonts w:eastAsia="Calibri"/>
        </w:rPr>
        <w:t>Code Civ. Proc., §</w:t>
      </w:r>
      <w:r>
        <w:rPr>
          <w:rFonts w:eastAsia="Calibri"/>
        </w:rPr>
        <w:t> </w:t>
      </w:r>
      <w:r w:rsidRPr="00A567B0">
        <w:rPr>
          <w:rFonts w:eastAsia="Calibri"/>
        </w:rPr>
        <w:t>2032.310</w:t>
      </w:r>
      <w:r>
        <w:rPr>
          <w:rFonts w:eastAsia="Calibri"/>
        </w:rPr>
        <w:t>, subd. (b).)</w:t>
      </w:r>
    </w:p>
    <w:p w14:paraId="6CBCDC5B" w14:textId="77777777" w:rsidR="002D6779" w:rsidRDefault="00461399" w:rsidP="00A567B0">
      <w:pPr>
        <w:rPr>
          <w:rFonts w:eastAsia="Calibri"/>
        </w:rPr>
      </w:pPr>
      <w:r>
        <w:rPr>
          <w:rFonts w:eastAsia="Calibri"/>
        </w:rPr>
        <w:tab/>
        <w:t xml:space="preserve">We agree with </w:t>
      </w:r>
      <w:r>
        <w:rPr>
          <w:rFonts w:eastAsia="Calibri"/>
        </w:rPr>
        <w:t>K.R.</w:t>
      </w:r>
      <w:r>
        <w:rPr>
          <w:rFonts w:eastAsia="Calibri"/>
        </w:rPr>
        <w:t xml:space="preserve"> that the People in this case failed to comply with the statute.  </w:t>
      </w:r>
      <w:r>
        <w:rPr>
          <w:rFonts w:eastAsia="Calibri"/>
        </w:rPr>
        <w:t>On April 8, 2022, the P</w:t>
      </w:r>
      <w:r>
        <w:rPr>
          <w:rFonts w:eastAsia="Calibri"/>
        </w:rPr>
        <w:t xml:space="preserve">eople filed their motion seeking to retain an expert to evaluate </w:t>
      </w:r>
      <w:r>
        <w:rPr>
          <w:rFonts w:eastAsia="Calibri"/>
        </w:rPr>
        <w:t>K.R.</w:t>
      </w:r>
      <w:r>
        <w:rPr>
          <w:rFonts w:eastAsia="Calibri"/>
        </w:rPr>
        <w:t xml:space="preserve">, but </w:t>
      </w:r>
      <w:r>
        <w:rPr>
          <w:rFonts w:eastAsia="Calibri"/>
        </w:rPr>
        <w:t xml:space="preserve">did not include </w:t>
      </w:r>
      <w:r w:rsidRPr="0035259A">
        <w:rPr>
          <w:rFonts w:eastAsia="Calibri"/>
        </w:rPr>
        <w:t xml:space="preserve">a meet and confer declaration </w:t>
      </w:r>
      <w:r>
        <w:rPr>
          <w:rFonts w:eastAsia="Calibri"/>
        </w:rPr>
        <w:t>or any</w:t>
      </w:r>
      <w:r w:rsidRPr="0035259A">
        <w:rPr>
          <w:rFonts w:eastAsia="Calibri"/>
        </w:rPr>
        <w:t xml:space="preserve"> of the information regarding the examination specified in Code of Civil Procedure section 2032.310.</w:t>
      </w:r>
      <w:r>
        <w:rPr>
          <w:rFonts w:eastAsia="Calibri"/>
        </w:rPr>
        <w:t xml:space="preserve"> </w:t>
      </w:r>
      <w:r>
        <w:rPr>
          <w:rFonts w:eastAsia="Calibri"/>
        </w:rPr>
        <w:t xml:space="preserve"> </w:t>
      </w:r>
      <w:r>
        <w:rPr>
          <w:rFonts w:eastAsia="Calibri"/>
        </w:rPr>
        <w:t>On April 20, the court sign</w:t>
      </w:r>
      <w:r>
        <w:rPr>
          <w:rFonts w:eastAsia="Calibri"/>
        </w:rPr>
        <w:t xml:space="preserve">ed an order instructing </w:t>
      </w:r>
      <w:r>
        <w:rPr>
          <w:rFonts w:eastAsia="Calibri"/>
        </w:rPr>
        <w:t xml:space="preserve">the probation department and </w:t>
      </w:r>
      <w:r>
        <w:rPr>
          <w:rFonts w:eastAsia="Calibri"/>
        </w:rPr>
        <w:t>K.R.</w:t>
      </w:r>
      <w:r>
        <w:rPr>
          <w:rFonts w:eastAsia="Calibri"/>
        </w:rPr>
        <w:t xml:space="preserve"> to allow the expert to examine </w:t>
      </w:r>
      <w:r>
        <w:rPr>
          <w:rFonts w:eastAsia="Calibri"/>
        </w:rPr>
        <w:t>K.R.</w:t>
      </w:r>
      <w:r>
        <w:rPr>
          <w:rFonts w:eastAsia="Calibri"/>
        </w:rPr>
        <w:t xml:space="preserve">, but </w:t>
      </w:r>
      <w:r>
        <w:rPr>
          <w:rFonts w:eastAsia="Calibri"/>
        </w:rPr>
        <w:t>K.R.</w:t>
      </w:r>
      <w:r>
        <w:rPr>
          <w:rFonts w:eastAsia="Calibri"/>
        </w:rPr>
        <w:t xml:space="preserve">’s attorney told the court that he </w:t>
      </w:r>
      <w:r>
        <w:rPr>
          <w:rFonts w:eastAsia="Calibri"/>
        </w:rPr>
        <w:t xml:space="preserve">was not aware </w:t>
      </w:r>
      <w:r>
        <w:rPr>
          <w:rFonts w:eastAsia="Calibri"/>
        </w:rPr>
        <w:t>of the order</w:t>
      </w:r>
      <w:r>
        <w:rPr>
          <w:rFonts w:eastAsia="Calibri"/>
        </w:rPr>
        <w:t xml:space="preserve"> until </w:t>
      </w:r>
      <w:r>
        <w:rPr>
          <w:rFonts w:eastAsia="Calibri"/>
        </w:rPr>
        <w:t>Ward</w:t>
      </w:r>
      <w:r>
        <w:rPr>
          <w:rFonts w:eastAsia="Calibri"/>
        </w:rPr>
        <w:t xml:space="preserve"> went to the juvenile hall to conduct the examination, and </w:t>
      </w:r>
      <w:r>
        <w:rPr>
          <w:rFonts w:eastAsia="Calibri"/>
        </w:rPr>
        <w:t>K.R.</w:t>
      </w:r>
      <w:r>
        <w:rPr>
          <w:rFonts w:eastAsia="Calibri"/>
        </w:rPr>
        <w:t xml:space="preserve"> called him.</w:t>
      </w:r>
      <w:r>
        <w:rPr>
          <w:rFonts w:eastAsia="Calibri"/>
        </w:rPr>
        <w:t xml:space="preserve">  </w:t>
      </w:r>
      <w:r>
        <w:rPr>
          <w:rFonts w:eastAsia="Calibri"/>
        </w:rPr>
        <w:t>K.R.</w:t>
      </w:r>
      <w:r>
        <w:rPr>
          <w:rFonts w:eastAsia="Calibri"/>
        </w:rPr>
        <w:t xml:space="preserve">’s attorney instructed </w:t>
      </w:r>
      <w:r>
        <w:rPr>
          <w:rFonts w:eastAsia="Calibri"/>
        </w:rPr>
        <w:t>K.R.</w:t>
      </w:r>
      <w:r>
        <w:rPr>
          <w:rFonts w:eastAsia="Calibri"/>
        </w:rPr>
        <w:t xml:space="preserve"> not to participate in the examination</w:t>
      </w:r>
      <w:r>
        <w:rPr>
          <w:rFonts w:eastAsia="Calibri"/>
        </w:rPr>
        <w:t>, and the court held a hearing to resolve the matter.</w:t>
      </w:r>
      <w:r>
        <w:rPr>
          <w:rFonts w:eastAsia="Calibri"/>
        </w:rPr>
        <w:t xml:space="preserve">  At the hearing,</w:t>
      </w:r>
      <w:r>
        <w:rPr>
          <w:rFonts w:eastAsia="Calibri"/>
        </w:rPr>
        <w:t xml:space="preserve"> the court granted</w:t>
      </w:r>
      <w:r>
        <w:rPr>
          <w:rFonts w:eastAsia="Calibri"/>
        </w:rPr>
        <w:t xml:space="preserve"> the motion to allow t</w:t>
      </w:r>
      <w:r>
        <w:rPr>
          <w:rFonts w:eastAsia="Calibri"/>
        </w:rPr>
        <w:t xml:space="preserve">he People’s expert to examine </w:t>
      </w:r>
      <w:r>
        <w:rPr>
          <w:rFonts w:eastAsia="Calibri"/>
        </w:rPr>
        <w:t>K.R.</w:t>
      </w:r>
      <w:r>
        <w:rPr>
          <w:rFonts w:eastAsia="Calibri"/>
        </w:rPr>
        <w:t>, even though</w:t>
      </w:r>
      <w:r>
        <w:rPr>
          <w:rFonts w:eastAsia="Calibri"/>
        </w:rPr>
        <w:t xml:space="preserve"> the prosecutor</w:t>
      </w:r>
      <w:r>
        <w:rPr>
          <w:rFonts w:eastAsia="Calibri"/>
        </w:rPr>
        <w:t xml:space="preserve"> never filed a motion that complied with the Civil Discovery Act</w:t>
      </w:r>
      <w:r>
        <w:rPr>
          <w:rFonts w:eastAsia="Calibri"/>
        </w:rPr>
        <w:t>.</w:t>
      </w:r>
    </w:p>
    <w:p w14:paraId="245E6F58" w14:textId="77777777" w:rsidR="00EF77EA" w:rsidRDefault="00461399" w:rsidP="00EF77EA">
      <w:pPr>
        <w:rPr>
          <w:rFonts w:eastAsia="Calibri"/>
        </w:rPr>
      </w:pPr>
      <w:r>
        <w:rPr>
          <w:rFonts w:eastAsia="Calibri"/>
        </w:rPr>
        <w:tab/>
        <w:t>If the juvenile court erred by granting the</w:t>
      </w:r>
      <w:r>
        <w:rPr>
          <w:rFonts w:eastAsia="Calibri"/>
        </w:rPr>
        <w:t xml:space="preserve"> motion</w:t>
      </w:r>
      <w:r>
        <w:rPr>
          <w:rFonts w:eastAsia="Calibri"/>
        </w:rPr>
        <w:t xml:space="preserve"> in these circumstances</w:t>
      </w:r>
      <w:r>
        <w:rPr>
          <w:rFonts w:eastAsia="Calibri"/>
        </w:rPr>
        <w:t>, however,</w:t>
      </w:r>
      <w:r>
        <w:rPr>
          <w:rFonts w:eastAsia="Calibri"/>
        </w:rPr>
        <w:t xml:space="preserve"> the</w:t>
      </w:r>
      <w:r>
        <w:rPr>
          <w:rFonts w:eastAsia="Calibri"/>
        </w:rPr>
        <w:t xml:space="preserve"> error was harmless.</w:t>
      </w:r>
      <w:r>
        <w:rPr>
          <w:rStyle w:val="FootnoteReference"/>
          <w:rFonts w:eastAsia="Calibri"/>
          <w:position w:val="8"/>
        </w:rPr>
        <w:footnoteReference w:id="15"/>
      </w:r>
      <w:r>
        <w:rPr>
          <w:rFonts w:eastAsia="Calibri"/>
        </w:rPr>
        <w:t xml:space="preserve">  </w:t>
      </w:r>
      <w:r>
        <w:rPr>
          <w:rFonts w:eastAsia="Calibri"/>
        </w:rPr>
        <w:t xml:space="preserve">Although the </w:t>
      </w:r>
      <w:r>
        <w:rPr>
          <w:rFonts w:eastAsia="Calibri"/>
        </w:rPr>
        <w:lastRenderedPageBreak/>
        <w:t>Peo</w:t>
      </w:r>
      <w:r>
        <w:rPr>
          <w:rFonts w:eastAsia="Calibri"/>
        </w:rPr>
        <w:t xml:space="preserve">ple’s motion was defective, </w:t>
      </w:r>
      <w:r>
        <w:rPr>
          <w:rFonts w:eastAsia="Calibri"/>
        </w:rPr>
        <w:t>K.R.</w:t>
      </w:r>
      <w:r>
        <w:rPr>
          <w:rFonts w:eastAsia="Calibri"/>
        </w:rPr>
        <w:t xml:space="preserve">’s attorney was able to learn the relevant information </w:t>
      </w:r>
      <w:r>
        <w:rPr>
          <w:rFonts w:eastAsia="Calibri"/>
        </w:rPr>
        <w:t>and challenge the scope of the evaluation before it occurred</w:t>
      </w:r>
      <w:r>
        <w:rPr>
          <w:rFonts w:eastAsia="Calibri"/>
        </w:rPr>
        <w:t>.</w:t>
      </w:r>
      <w:r>
        <w:rPr>
          <w:rFonts w:eastAsia="Calibri"/>
        </w:rPr>
        <w:t xml:space="preserve">  </w:t>
      </w:r>
      <w:r>
        <w:rPr>
          <w:rFonts w:eastAsia="Calibri"/>
        </w:rPr>
        <w:t xml:space="preserve">The </w:t>
      </w:r>
      <w:r>
        <w:rPr>
          <w:rFonts w:eastAsia="Calibri"/>
        </w:rPr>
        <w:t xml:space="preserve">prosecutor gave </w:t>
      </w:r>
      <w:r>
        <w:rPr>
          <w:rFonts w:eastAsia="Calibri"/>
        </w:rPr>
        <w:t>K.R.</w:t>
      </w:r>
      <w:r>
        <w:rPr>
          <w:rFonts w:eastAsia="Calibri"/>
        </w:rPr>
        <w:t xml:space="preserve">’s attorney a copy of Ward’s </w:t>
      </w:r>
      <w:r>
        <w:rPr>
          <w:rFonts w:eastAsia="Calibri"/>
        </w:rPr>
        <w:t>cur</w:t>
      </w:r>
      <w:r>
        <w:rPr>
          <w:rFonts w:eastAsia="Calibri"/>
        </w:rPr>
        <w:t>riculum vitae</w:t>
      </w:r>
      <w:r>
        <w:rPr>
          <w:rFonts w:eastAsia="Calibri"/>
        </w:rPr>
        <w:t xml:space="preserve"> </w:t>
      </w:r>
      <w:r>
        <w:rPr>
          <w:rFonts w:eastAsia="Calibri"/>
        </w:rPr>
        <w:t xml:space="preserve">before the hearing, and </w:t>
      </w:r>
      <w:r>
        <w:rPr>
          <w:rFonts w:eastAsia="Calibri"/>
        </w:rPr>
        <w:t>K.R.</w:t>
      </w:r>
      <w:r>
        <w:rPr>
          <w:rFonts w:eastAsia="Calibri"/>
        </w:rPr>
        <w:t>’s attorney spoke with Ward about the tests she planned to conduct</w:t>
      </w:r>
      <w:r>
        <w:rPr>
          <w:rFonts w:eastAsia="Calibri"/>
        </w:rPr>
        <w:t xml:space="preserve">.  </w:t>
      </w:r>
      <w:r w:rsidRPr="0072293D">
        <w:rPr>
          <w:rFonts w:eastAsia="Calibri"/>
        </w:rPr>
        <w:t>Afterward, he acknowledged that Ward “does seem qualified pursuant to the statute,” and that “she’s perfectly acceptable as an evaluator in this kind of case.”</w:t>
      </w:r>
      <w:r w:rsidRPr="0072293D">
        <w:rPr>
          <w:rFonts w:eastAsia="Calibri"/>
        </w:rPr>
        <w:t xml:space="preserve">  </w:t>
      </w:r>
      <w:r>
        <w:rPr>
          <w:rFonts w:eastAsia="Calibri"/>
        </w:rPr>
        <w:t>K.R.</w:t>
      </w:r>
      <w:r>
        <w:rPr>
          <w:rFonts w:eastAsia="Calibri"/>
        </w:rPr>
        <w:t xml:space="preserve"> argues that </w:t>
      </w:r>
      <w:r>
        <w:rPr>
          <w:rFonts w:eastAsia="Calibri"/>
        </w:rPr>
        <w:t>th</w:t>
      </w:r>
      <w:r>
        <w:rPr>
          <w:rFonts w:eastAsia="Calibri"/>
        </w:rPr>
        <w:t>e prosecutor’s disclosure</w:t>
      </w:r>
      <w:r>
        <w:rPr>
          <w:rFonts w:eastAsia="Calibri"/>
        </w:rPr>
        <w:t xml:space="preserve"> was insufficient because </w:t>
      </w:r>
      <w:r>
        <w:rPr>
          <w:rFonts w:eastAsia="Calibri"/>
        </w:rPr>
        <w:t>Ward</w:t>
      </w:r>
      <w:r>
        <w:rPr>
          <w:rFonts w:eastAsia="Calibri"/>
        </w:rPr>
        <w:t xml:space="preserve"> told his attorney about “certain tests that she would possibly administer,” </w:t>
      </w:r>
      <w:r>
        <w:rPr>
          <w:rFonts w:eastAsia="Calibri"/>
        </w:rPr>
        <w:t xml:space="preserve">but </w:t>
      </w:r>
      <w:r>
        <w:rPr>
          <w:rFonts w:eastAsia="Calibri"/>
        </w:rPr>
        <w:t xml:space="preserve">did not say exactly which tests she would use </w:t>
      </w:r>
      <w:r>
        <w:rPr>
          <w:rFonts w:eastAsia="Calibri"/>
        </w:rPr>
        <w:t>“</w:t>
      </w:r>
      <w:r w:rsidRPr="00EF77EA">
        <w:rPr>
          <w:rFonts w:eastAsia="Calibri"/>
        </w:rPr>
        <w:t>because it depended</w:t>
      </w:r>
      <w:r>
        <w:rPr>
          <w:rFonts w:eastAsia="Calibri"/>
        </w:rPr>
        <w:t xml:space="preserve"> </w:t>
      </w:r>
      <w:r w:rsidRPr="00EF77EA">
        <w:rPr>
          <w:rFonts w:eastAsia="Calibri"/>
        </w:rPr>
        <w:t xml:space="preserve">. . . on how the evaluation was </w:t>
      </w:r>
      <w:r>
        <w:rPr>
          <w:rFonts w:eastAsia="Calibri"/>
        </w:rPr>
        <w:t xml:space="preserve">going.”  </w:t>
      </w:r>
      <w:r>
        <w:rPr>
          <w:rFonts w:eastAsia="Calibri"/>
        </w:rPr>
        <w:t xml:space="preserve">Ward’s answer seems reasonable in light of the complexities of a </w:t>
      </w:r>
      <w:r>
        <w:rPr>
          <w:rFonts w:eastAsia="Calibri"/>
        </w:rPr>
        <w:t>psychological exam, and we have no reason to believe she would have been able to produce a more complete</w:t>
      </w:r>
      <w:r>
        <w:rPr>
          <w:rFonts w:eastAsia="Calibri"/>
        </w:rPr>
        <w:t xml:space="preserve"> answer if the People’s motion had complied with the </w:t>
      </w:r>
      <w:r>
        <w:rPr>
          <w:rFonts w:eastAsia="Calibri"/>
        </w:rPr>
        <w:t>Civil Discovery Act.</w:t>
      </w:r>
      <w:r>
        <w:rPr>
          <w:rStyle w:val="FootnoteReference"/>
          <w:rFonts w:eastAsia="Calibri"/>
          <w:position w:val="8"/>
        </w:rPr>
        <w:footnoteReference w:id="16"/>
      </w:r>
    </w:p>
    <w:p w14:paraId="55E2462E" w14:textId="77777777" w:rsidR="0022007C" w:rsidRDefault="00461399" w:rsidP="0022007C">
      <w:pPr>
        <w:ind w:firstLine="720"/>
        <w:rPr>
          <w:rFonts w:eastAsia="Calibri"/>
        </w:rPr>
      </w:pPr>
      <w:r>
        <w:rPr>
          <w:rFonts w:eastAsia="Calibri"/>
        </w:rPr>
        <w:lastRenderedPageBreak/>
        <w:t>K.</w:t>
      </w:r>
      <w:r>
        <w:rPr>
          <w:rFonts w:eastAsia="Calibri"/>
        </w:rPr>
        <w:t>R.</w:t>
      </w:r>
      <w:r w:rsidRPr="0022007C">
        <w:rPr>
          <w:rFonts w:eastAsia="Calibri"/>
        </w:rPr>
        <w:t xml:space="preserve"> argues that if the motion had complied with the Civil Discovery Act, it would have revealed that Ward did not intend to use the JACI during the examination</w:t>
      </w:r>
      <w:r>
        <w:rPr>
          <w:rFonts w:eastAsia="Calibri"/>
        </w:rPr>
        <w:t>.</w:t>
      </w:r>
      <w:r>
        <w:rPr>
          <w:rFonts w:eastAsia="Calibri"/>
        </w:rPr>
        <w:t xml:space="preserve">  </w:t>
      </w:r>
      <w:r w:rsidRPr="00AB1976">
        <w:rPr>
          <w:rFonts w:eastAsia="Calibri"/>
        </w:rPr>
        <w:t xml:space="preserve">The superior court’s protocols </w:t>
      </w:r>
      <w:r>
        <w:rPr>
          <w:rFonts w:eastAsia="Calibri"/>
        </w:rPr>
        <w:t xml:space="preserve">for </w:t>
      </w:r>
      <w:r>
        <w:rPr>
          <w:rFonts w:eastAsia="Calibri"/>
        </w:rPr>
        <w:t xml:space="preserve">juvenile competency proceedings </w:t>
      </w:r>
      <w:r w:rsidRPr="00AB1976">
        <w:rPr>
          <w:rFonts w:eastAsia="Calibri"/>
        </w:rPr>
        <w:t>state that when a panel expe</w:t>
      </w:r>
      <w:r w:rsidRPr="00AB1976">
        <w:rPr>
          <w:rFonts w:eastAsia="Calibri"/>
        </w:rPr>
        <w:t>rt examines a juvenile, the JACI “shall be used unless its use is contraindicated.”  (Protocol</w:t>
      </w:r>
      <w:r w:rsidRPr="00226A40">
        <w:rPr>
          <w:rFonts w:eastAsia="Calibri"/>
        </w:rPr>
        <w:t xml:space="preserve">, </w:t>
      </w:r>
      <w:r w:rsidRPr="00226A40">
        <w:rPr>
          <w:rFonts w:eastAsia="Calibri"/>
          <w:i/>
        </w:rPr>
        <w:t>supra</w:t>
      </w:r>
      <w:r w:rsidRPr="00226A40">
        <w:rPr>
          <w:rFonts w:eastAsia="Calibri"/>
        </w:rPr>
        <w:t>,</w:t>
      </w:r>
      <w:r>
        <w:rPr>
          <w:rFonts w:eastAsia="Calibri"/>
        </w:rPr>
        <w:t xml:space="preserve"> </w:t>
      </w:r>
      <w:r w:rsidRPr="00AB1976">
        <w:rPr>
          <w:rFonts w:eastAsia="Calibri"/>
        </w:rPr>
        <w:t xml:space="preserve">at p. 4.)  </w:t>
      </w:r>
      <w:r>
        <w:rPr>
          <w:rFonts w:eastAsia="Calibri"/>
        </w:rPr>
        <w:t xml:space="preserve">We disagree that Ward’s failure to use the JACI </w:t>
      </w:r>
      <w:r>
        <w:rPr>
          <w:rFonts w:eastAsia="Calibri"/>
        </w:rPr>
        <w:t xml:space="preserve">was </w:t>
      </w:r>
      <w:r>
        <w:rPr>
          <w:rFonts w:eastAsia="Calibri"/>
        </w:rPr>
        <w:t xml:space="preserve">a valid basis for challenging her examination of </w:t>
      </w:r>
      <w:r>
        <w:rPr>
          <w:rFonts w:eastAsia="Calibri"/>
        </w:rPr>
        <w:t>K.R</w:t>
      </w:r>
      <w:r>
        <w:rPr>
          <w:rFonts w:eastAsia="Calibri"/>
        </w:rPr>
        <w:t>.</w:t>
      </w:r>
      <w:r w:rsidRPr="0022007C">
        <w:rPr>
          <w:rFonts w:eastAsia="Calibri"/>
        </w:rPr>
        <w:t xml:space="preserve">  </w:t>
      </w:r>
      <w:r>
        <w:rPr>
          <w:rFonts w:eastAsia="Calibri"/>
        </w:rPr>
        <w:t>T</w:t>
      </w:r>
      <w:r w:rsidRPr="0022007C">
        <w:rPr>
          <w:rFonts w:eastAsia="Calibri"/>
        </w:rPr>
        <w:t>he court protocols “may serve as useful guidance concerning the placement, detention, and treatment of minors found incompetent in delinquency proceedings.  But [they do] not independently give rise t</w:t>
      </w:r>
      <w:r w:rsidRPr="0022007C">
        <w:rPr>
          <w:rFonts w:eastAsia="Calibri"/>
        </w:rPr>
        <w:t>o any claim for relief because [they do] not by [themselves] have any binding force of law.  (</w:t>
      </w:r>
      <w:r w:rsidRPr="0022007C">
        <w:rPr>
          <w:rFonts w:eastAsia="Calibri"/>
          <w:i/>
          <w:iCs/>
        </w:rPr>
        <w:t>In re Albert C.</w:t>
      </w:r>
      <w:r w:rsidRPr="0022007C">
        <w:rPr>
          <w:rFonts w:eastAsia="Calibri"/>
        </w:rPr>
        <w:t xml:space="preserve"> (2017) 3 Cal.5th 483, 492.)  Second, by their own terms, the protocols require use of the JACI in examinations by panel experts, and they do not p</w:t>
      </w:r>
      <w:r w:rsidRPr="0022007C">
        <w:rPr>
          <w:rFonts w:eastAsia="Calibri"/>
        </w:rPr>
        <w:t>urport to apply to experts retained by one of the parties.</w:t>
      </w:r>
      <w:r>
        <w:rPr>
          <w:rFonts w:eastAsia="Calibri"/>
        </w:rPr>
        <w:t xml:space="preserve">  There is no reason to believe the court would have required Ward to use the JACI in her examination if the issue had been presented.</w:t>
      </w:r>
    </w:p>
    <w:p w14:paraId="64AB29ED" w14:textId="77777777" w:rsidR="0066021A" w:rsidRDefault="00461399" w:rsidP="00594A48">
      <w:pPr>
        <w:ind w:firstLine="720"/>
        <w:rPr>
          <w:rFonts w:eastAsia="Calibri"/>
        </w:rPr>
      </w:pPr>
      <w:r>
        <w:rPr>
          <w:rFonts w:eastAsia="Calibri"/>
        </w:rPr>
        <w:t>K.R.</w:t>
      </w:r>
      <w:r>
        <w:rPr>
          <w:rFonts w:eastAsia="Calibri"/>
        </w:rPr>
        <w:t xml:space="preserve"> also </w:t>
      </w:r>
      <w:r>
        <w:rPr>
          <w:rFonts w:eastAsia="Calibri"/>
        </w:rPr>
        <w:t xml:space="preserve">objects to Ward’s </w:t>
      </w:r>
      <w:r>
        <w:rPr>
          <w:rFonts w:eastAsia="Calibri"/>
        </w:rPr>
        <w:t xml:space="preserve">employment of </w:t>
      </w:r>
      <w:r w:rsidRPr="00F0728A">
        <w:rPr>
          <w:rFonts w:eastAsia="Calibri"/>
        </w:rPr>
        <w:t xml:space="preserve">“interrogation” of </w:t>
      </w:r>
      <w:r>
        <w:rPr>
          <w:rFonts w:eastAsia="Calibri"/>
        </w:rPr>
        <w:t>K.</w:t>
      </w:r>
      <w:r>
        <w:rPr>
          <w:rFonts w:eastAsia="Calibri"/>
        </w:rPr>
        <w:t>R.</w:t>
      </w:r>
      <w:r>
        <w:rPr>
          <w:rFonts w:eastAsia="Calibri"/>
        </w:rPr>
        <w:t xml:space="preserve"> in her evaluation.  </w:t>
      </w:r>
      <w:r>
        <w:rPr>
          <w:rFonts w:eastAsia="Calibri"/>
        </w:rPr>
        <w:t xml:space="preserve">In making this argument, </w:t>
      </w:r>
      <w:r>
        <w:rPr>
          <w:rFonts w:eastAsia="Calibri"/>
        </w:rPr>
        <w:t>K.R.</w:t>
      </w:r>
      <w:r>
        <w:rPr>
          <w:rFonts w:eastAsia="Calibri"/>
        </w:rPr>
        <w:t xml:space="preserve"> refers to a section of Ward’s testimony in which she stated, “</w:t>
      </w:r>
      <w:r>
        <w:rPr>
          <w:rFonts w:eastAsia="Calibri"/>
        </w:rPr>
        <w:t>o</w:t>
      </w:r>
      <w:r>
        <w:rPr>
          <w:rFonts w:eastAsia="Calibri"/>
        </w:rPr>
        <w:t xml:space="preserve">ne of the things that I </w:t>
      </w:r>
      <w:r w:rsidRPr="00BC58B4">
        <w:rPr>
          <w:rFonts w:eastAsia="Calibri"/>
        </w:rPr>
        <w:t xml:space="preserve">always ask people that </w:t>
      </w:r>
      <w:r>
        <w:rPr>
          <w:rFonts w:eastAsia="Calibri"/>
        </w:rPr>
        <w:t>I’</w:t>
      </w:r>
      <w:r w:rsidRPr="00BC58B4">
        <w:rPr>
          <w:rFonts w:eastAsia="Calibri"/>
        </w:rPr>
        <w:t xml:space="preserve">m evaluating for competency is, </w:t>
      </w:r>
      <w:r>
        <w:rPr>
          <w:rFonts w:eastAsia="Calibri"/>
        </w:rPr>
        <w:t>‘</w:t>
      </w:r>
      <w:r w:rsidRPr="00BC58B4">
        <w:rPr>
          <w:rFonts w:eastAsia="Calibri"/>
        </w:rPr>
        <w:t xml:space="preserve">what do you </w:t>
      </w:r>
      <w:r>
        <w:rPr>
          <w:rFonts w:eastAsia="Calibri"/>
        </w:rPr>
        <w:t>say happened</w:t>
      </w:r>
      <w:r>
        <w:rPr>
          <w:rFonts w:eastAsia="Calibri"/>
        </w:rPr>
        <w:t>?</w:t>
      </w:r>
      <w:r>
        <w:rPr>
          <w:rFonts w:eastAsia="Calibri"/>
        </w:rPr>
        <w:t>’</w:t>
      </w:r>
      <w:r>
        <w:rPr>
          <w:rFonts w:eastAsia="Calibri"/>
        </w:rPr>
        <w:t xml:space="preserve"> </w:t>
      </w:r>
      <w:r>
        <w:rPr>
          <w:rFonts w:eastAsia="Calibri"/>
        </w:rPr>
        <w:t>”</w:t>
      </w:r>
      <w:r>
        <w:rPr>
          <w:rFonts w:eastAsia="Calibri"/>
        </w:rPr>
        <w:t xml:space="preserve">  </w:t>
      </w:r>
      <w:r>
        <w:rPr>
          <w:rFonts w:eastAsia="Calibri"/>
        </w:rPr>
        <w:t>Ward recounted that</w:t>
      </w:r>
      <w:r>
        <w:rPr>
          <w:rFonts w:eastAsia="Calibri"/>
        </w:rPr>
        <w:t xml:space="preserve"> when</w:t>
      </w:r>
      <w:r>
        <w:rPr>
          <w:rFonts w:eastAsia="Calibri"/>
        </w:rPr>
        <w:t xml:space="preserve"> </w:t>
      </w:r>
      <w:r>
        <w:rPr>
          <w:rFonts w:eastAsia="Calibri"/>
        </w:rPr>
        <w:t>K.R.</w:t>
      </w:r>
      <w:r>
        <w:rPr>
          <w:rFonts w:eastAsia="Calibri"/>
        </w:rPr>
        <w:t xml:space="preserve"> responded to this questio</w:t>
      </w:r>
      <w:r>
        <w:rPr>
          <w:rFonts w:eastAsia="Calibri"/>
        </w:rPr>
        <w:t xml:space="preserve">n, </w:t>
      </w:r>
      <w:r>
        <w:rPr>
          <w:rFonts w:eastAsia="Calibri"/>
        </w:rPr>
        <w:t>“</w:t>
      </w:r>
      <w:r>
        <w:rPr>
          <w:rFonts w:eastAsia="Calibri"/>
        </w:rPr>
        <w:t>he</w:t>
      </w:r>
      <w:r>
        <w:rPr>
          <w:rFonts w:eastAsia="Calibri"/>
        </w:rPr>
        <w:t xml:space="preserve"> </w:t>
      </w:r>
      <w:r w:rsidRPr="006D57CF">
        <w:rPr>
          <w:rFonts w:eastAsia="Calibri"/>
        </w:rPr>
        <w:t>said he didn</w:t>
      </w:r>
      <w:r>
        <w:rPr>
          <w:rFonts w:eastAsia="Calibri"/>
        </w:rPr>
        <w:t>’</w:t>
      </w:r>
      <w:r w:rsidRPr="006D57CF">
        <w:rPr>
          <w:rFonts w:eastAsia="Calibri"/>
        </w:rPr>
        <w:t xml:space="preserve">t do it. </w:t>
      </w:r>
      <w:r>
        <w:rPr>
          <w:rFonts w:eastAsia="Calibri"/>
        </w:rPr>
        <w:t xml:space="preserve"> </w:t>
      </w:r>
      <w:r w:rsidRPr="006D57CF">
        <w:rPr>
          <w:rFonts w:eastAsia="Calibri"/>
        </w:rPr>
        <w:t>He didn</w:t>
      </w:r>
      <w:r>
        <w:rPr>
          <w:rFonts w:eastAsia="Calibri"/>
        </w:rPr>
        <w:t>’</w:t>
      </w:r>
      <w:r w:rsidRPr="006D57CF">
        <w:rPr>
          <w:rFonts w:eastAsia="Calibri"/>
        </w:rPr>
        <w:t>t kill anybody, which is an alternative</w:t>
      </w:r>
      <w:r>
        <w:rPr>
          <w:rFonts w:eastAsia="Calibri"/>
        </w:rPr>
        <w:t xml:space="preserve"> </w:t>
      </w:r>
      <w:r w:rsidRPr="0053371F">
        <w:rPr>
          <w:rFonts w:eastAsia="Calibri"/>
        </w:rPr>
        <w:t xml:space="preserve">explanation for his behavior. </w:t>
      </w:r>
      <w:r>
        <w:rPr>
          <w:rFonts w:eastAsia="Calibri"/>
        </w:rPr>
        <w:t xml:space="preserve"> </w:t>
      </w:r>
      <w:r w:rsidRPr="0053371F">
        <w:rPr>
          <w:rFonts w:eastAsia="Calibri"/>
        </w:rPr>
        <w:t>And he also</w:t>
      </w:r>
      <w:r>
        <w:rPr>
          <w:rFonts w:eastAsia="Calibri"/>
        </w:rPr>
        <w:t xml:space="preserve"> says he had </w:t>
      </w:r>
      <w:r w:rsidRPr="0053371F">
        <w:rPr>
          <w:rFonts w:eastAsia="Calibri"/>
        </w:rPr>
        <w:t>no memory of anything that happened that day</w:t>
      </w:r>
      <w:r>
        <w:rPr>
          <w:rFonts w:eastAsia="Calibri"/>
        </w:rPr>
        <w:t xml:space="preserve">.”  </w:t>
      </w:r>
      <w:r>
        <w:rPr>
          <w:rFonts w:eastAsia="Calibri"/>
        </w:rPr>
        <w:t xml:space="preserve">There is no indication that Ward asked </w:t>
      </w:r>
      <w:r>
        <w:rPr>
          <w:rFonts w:eastAsia="Calibri"/>
        </w:rPr>
        <w:t>K.R.</w:t>
      </w:r>
      <w:r>
        <w:rPr>
          <w:rFonts w:eastAsia="Calibri"/>
        </w:rPr>
        <w:t xml:space="preserve"> a</w:t>
      </w:r>
      <w:r>
        <w:rPr>
          <w:rFonts w:eastAsia="Calibri"/>
        </w:rPr>
        <w:t xml:space="preserve">nything more about his </w:t>
      </w:r>
      <w:r>
        <w:rPr>
          <w:rFonts w:eastAsia="Calibri"/>
        </w:rPr>
        <w:t>participation in the alleged offenses</w:t>
      </w:r>
      <w:r>
        <w:rPr>
          <w:rFonts w:eastAsia="Calibri"/>
        </w:rPr>
        <w:t xml:space="preserve">, and </w:t>
      </w:r>
      <w:r>
        <w:rPr>
          <w:rFonts w:eastAsia="Calibri"/>
        </w:rPr>
        <w:t xml:space="preserve">we are aware of nothing else in the record that would </w:t>
      </w:r>
      <w:r>
        <w:rPr>
          <w:rFonts w:eastAsia="Calibri"/>
        </w:rPr>
        <w:t xml:space="preserve">constitute an interrogation.  </w:t>
      </w:r>
      <w:r>
        <w:rPr>
          <w:rFonts w:eastAsia="Calibri"/>
        </w:rPr>
        <w:t>K.R.</w:t>
      </w:r>
      <w:r>
        <w:rPr>
          <w:rFonts w:eastAsia="Calibri"/>
        </w:rPr>
        <w:t xml:space="preserve"> cites no authority </w:t>
      </w:r>
      <w:r>
        <w:rPr>
          <w:rFonts w:eastAsia="Calibri"/>
        </w:rPr>
        <w:t xml:space="preserve">to </w:t>
      </w:r>
      <w:r>
        <w:rPr>
          <w:rFonts w:eastAsia="Calibri"/>
        </w:rPr>
        <w:lastRenderedPageBreak/>
        <w:t xml:space="preserve">support his claim that Ward’s question was improper.  </w:t>
      </w:r>
      <w:r>
        <w:rPr>
          <w:rFonts w:eastAsia="Calibri"/>
        </w:rPr>
        <w:t xml:space="preserve">To the contrary, </w:t>
      </w:r>
      <w:r>
        <w:rPr>
          <w:rFonts w:eastAsia="Calibri"/>
        </w:rPr>
        <w:t>the Supr</w:t>
      </w:r>
      <w:r>
        <w:rPr>
          <w:rFonts w:eastAsia="Calibri"/>
        </w:rPr>
        <w:t>eme Court has recognized that “</w:t>
      </w:r>
      <w:r w:rsidRPr="00B57032">
        <w:rPr>
          <w:rFonts w:eastAsia="Calibri"/>
        </w:rPr>
        <w:t>determining a</w:t>
      </w:r>
      <w:r>
        <w:rPr>
          <w:rFonts w:eastAsia="Calibri"/>
        </w:rPr>
        <w:t xml:space="preserve"> </w:t>
      </w:r>
      <w:r w:rsidRPr="00B57032">
        <w:rPr>
          <w:rFonts w:eastAsia="Calibri"/>
        </w:rPr>
        <w:t>defendant</w:t>
      </w:r>
      <w:r>
        <w:rPr>
          <w:rFonts w:eastAsia="Calibri"/>
        </w:rPr>
        <w:t>’</w:t>
      </w:r>
      <w:r w:rsidRPr="00B57032">
        <w:rPr>
          <w:rFonts w:eastAsia="Calibri"/>
        </w:rPr>
        <w:t>s</w:t>
      </w:r>
      <w:r>
        <w:rPr>
          <w:rFonts w:eastAsia="Calibri"/>
        </w:rPr>
        <w:t xml:space="preserve"> </w:t>
      </w:r>
      <w:r w:rsidRPr="00B57032">
        <w:rPr>
          <w:rFonts w:eastAsia="Calibri"/>
        </w:rPr>
        <w:t>mental</w:t>
      </w:r>
      <w:r>
        <w:rPr>
          <w:rFonts w:eastAsia="Calibri"/>
        </w:rPr>
        <w:t xml:space="preserve"> </w:t>
      </w:r>
      <w:r w:rsidRPr="00B57032">
        <w:rPr>
          <w:rFonts w:eastAsia="Calibri"/>
        </w:rPr>
        <w:t>competency</w:t>
      </w:r>
      <w:r>
        <w:rPr>
          <w:rFonts w:eastAsia="Calibri"/>
        </w:rPr>
        <w:t xml:space="preserve"> </w:t>
      </w:r>
      <w:r w:rsidRPr="00B57032">
        <w:rPr>
          <w:rFonts w:eastAsia="Calibri"/>
        </w:rPr>
        <w:t>requires an assessment of the</w:t>
      </w:r>
      <w:r>
        <w:rPr>
          <w:rFonts w:eastAsia="Calibri"/>
        </w:rPr>
        <w:t xml:space="preserve"> </w:t>
      </w:r>
      <w:r w:rsidRPr="00B57032">
        <w:rPr>
          <w:rFonts w:eastAsia="Calibri"/>
        </w:rPr>
        <w:t>defendant</w:t>
      </w:r>
      <w:r>
        <w:rPr>
          <w:rFonts w:eastAsia="Calibri"/>
        </w:rPr>
        <w:t>’</w:t>
      </w:r>
      <w:r w:rsidRPr="00B57032">
        <w:rPr>
          <w:rFonts w:eastAsia="Calibri"/>
        </w:rPr>
        <w:t>s</w:t>
      </w:r>
      <w:r>
        <w:rPr>
          <w:rFonts w:eastAsia="Calibri"/>
        </w:rPr>
        <w:t xml:space="preserve"> </w:t>
      </w:r>
      <w:r w:rsidRPr="00B57032">
        <w:rPr>
          <w:rFonts w:eastAsia="Calibri"/>
        </w:rPr>
        <w:t xml:space="preserve">ability to understand the nature of the proceedings and to assist counsel in conducting a defense. </w:t>
      </w:r>
      <w:r>
        <w:rPr>
          <w:rFonts w:eastAsia="Calibri"/>
        </w:rPr>
        <w:t xml:space="preserve"> </w:t>
      </w:r>
      <w:r w:rsidRPr="00B57032">
        <w:rPr>
          <w:rFonts w:eastAsia="Calibri"/>
        </w:rPr>
        <w:t>(</w:t>
      </w:r>
      <w:r>
        <w:rPr>
          <w:rFonts w:eastAsia="Calibri"/>
        </w:rPr>
        <w:t xml:space="preserve">[Pen. Code,] </w:t>
      </w:r>
      <w:r w:rsidRPr="00B57032">
        <w:rPr>
          <w:rFonts w:eastAsia="Calibri"/>
        </w:rPr>
        <w:t>§</w:t>
      </w:r>
      <w:r>
        <w:rPr>
          <w:rFonts w:eastAsia="Calibri"/>
        </w:rPr>
        <w:t> </w:t>
      </w:r>
      <w:r w:rsidRPr="00B57032">
        <w:rPr>
          <w:rFonts w:eastAsia="Calibri"/>
        </w:rPr>
        <w:t xml:space="preserve">1367, subd. (a).) </w:t>
      </w:r>
      <w:r>
        <w:rPr>
          <w:rFonts w:eastAsia="Calibri"/>
        </w:rPr>
        <w:t xml:space="preserve"> </w:t>
      </w:r>
      <w:r w:rsidRPr="00B57032">
        <w:rPr>
          <w:rFonts w:eastAsia="Calibri"/>
        </w:rPr>
        <w:t xml:space="preserve">To </w:t>
      </w:r>
      <w:r w:rsidRPr="00B57032">
        <w:rPr>
          <w:rFonts w:eastAsia="Calibri"/>
        </w:rPr>
        <w:t>make this assessment, the mental health</w:t>
      </w:r>
      <w:r>
        <w:rPr>
          <w:rFonts w:eastAsia="Calibri"/>
        </w:rPr>
        <w:t xml:space="preserve"> </w:t>
      </w:r>
      <w:r w:rsidRPr="00B57032">
        <w:rPr>
          <w:rFonts w:eastAsia="Calibri"/>
        </w:rPr>
        <w:t>expert</w:t>
      </w:r>
      <w:r>
        <w:rPr>
          <w:rFonts w:eastAsia="Calibri"/>
        </w:rPr>
        <w:t xml:space="preserve"> </w:t>
      </w:r>
      <w:r w:rsidRPr="00B57032">
        <w:rPr>
          <w:rFonts w:eastAsia="Calibri"/>
        </w:rPr>
        <w:t>will want to evaluate the</w:t>
      </w:r>
      <w:r>
        <w:rPr>
          <w:rFonts w:eastAsia="Calibri"/>
        </w:rPr>
        <w:t xml:space="preserve"> </w:t>
      </w:r>
      <w:r w:rsidRPr="00B57032">
        <w:rPr>
          <w:rFonts w:eastAsia="Calibri"/>
        </w:rPr>
        <w:t>defendant</w:t>
      </w:r>
      <w:r>
        <w:rPr>
          <w:rFonts w:eastAsia="Calibri"/>
        </w:rPr>
        <w:t>’</w:t>
      </w:r>
      <w:r w:rsidRPr="00B57032">
        <w:rPr>
          <w:rFonts w:eastAsia="Calibri"/>
        </w:rPr>
        <w:t>s</w:t>
      </w:r>
      <w:r>
        <w:rPr>
          <w:rFonts w:eastAsia="Calibri"/>
        </w:rPr>
        <w:t xml:space="preserve"> </w:t>
      </w:r>
      <w:r w:rsidRPr="00B57032">
        <w:rPr>
          <w:rFonts w:eastAsia="Calibri"/>
        </w:rPr>
        <w:t>ability to discuss the facts of the case, even though the</w:t>
      </w:r>
      <w:r>
        <w:rPr>
          <w:rFonts w:eastAsia="Calibri"/>
        </w:rPr>
        <w:t xml:space="preserve"> </w:t>
      </w:r>
      <w:r w:rsidRPr="00B57032">
        <w:rPr>
          <w:rFonts w:eastAsia="Calibri"/>
        </w:rPr>
        <w:t>defendant</w:t>
      </w:r>
      <w:r>
        <w:rPr>
          <w:rFonts w:eastAsia="Calibri"/>
        </w:rPr>
        <w:t>’</w:t>
      </w:r>
      <w:r w:rsidRPr="00B57032">
        <w:rPr>
          <w:rFonts w:eastAsia="Calibri"/>
        </w:rPr>
        <w:t>s</w:t>
      </w:r>
      <w:r>
        <w:rPr>
          <w:rFonts w:eastAsia="Calibri"/>
        </w:rPr>
        <w:t xml:space="preserve"> </w:t>
      </w:r>
      <w:r w:rsidRPr="00B57032">
        <w:rPr>
          <w:rFonts w:eastAsia="Calibri"/>
        </w:rPr>
        <w:t xml:space="preserve">guilt of the offense charged is not relevant to the inquiry.” </w:t>
      </w:r>
      <w:r>
        <w:rPr>
          <w:rFonts w:eastAsia="Calibri"/>
        </w:rPr>
        <w:t xml:space="preserve"> (</w:t>
      </w:r>
      <w:r w:rsidRPr="00B57032">
        <w:rPr>
          <w:rFonts w:eastAsia="Calibri"/>
          <w:i/>
          <w:iCs/>
        </w:rPr>
        <w:t>People v. Pokovich</w:t>
      </w:r>
      <w:r>
        <w:rPr>
          <w:rFonts w:eastAsia="Calibri"/>
          <w:i/>
          <w:iCs/>
        </w:rPr>
        <w:t xml:space="preserve"> </w:t>
      </w:r>
      <w:r w:rsidRPr="00B57032">
        <w:rPr>
          <w:rFonts w:eastAsia="Calibri"/>
        </w:rPr>
        <w:t xml:space="preserve">(2006) 39 Cal.4th </w:t>
      </w:r>
      <w:r w:rsidRPr="00B57032">
        <w:rPr>
          <w:rFonts w:eastAsia="Calibri"/>
        </w:rPr>
        <w:t>1240, 1251</w:t>
      </w:r>
      <w:r>
        <w:rPr>
          <w:rFonts w:eastAsia="Calibri"/>
        </w:rPr>
        <w:t>.)</w:t>
      </w:r>
      <w:r>
        <w:rPr>
          <w:rFonts w:eastAsia="Calibri"/>
        </w:rPr>
        <w:t xml:space="preserve">  </w:t>
      </w:r>
      <w:r>
        <w:rPr>
          <w:rFonts w:eastAsia="Calibri"/>
        </w:rPr>
        <w:t>Q</w:t>
      </w:r>
      <w:r>
        <w:rPr>
          <w:rFonts w:eastAsia="Calibri"/>
        </w:rPr>
        <w:t>uestions</w:t>
      </w:r>
      <w:r>
        <w:rPr>
          <w:rFonts w:eastAsia="Calibri"/>
        </w:rPr>
        <w:t xml:space="preserve"> from a prosecution expert</w:t>
      </w:r>
      <w:r>
        <w:rPr>
          <w:rFonts w:eastAsia="Calibri"/>
        </w:rPr>
        <w:t xml:space="preserve"> about the crime</w:t>
      </w:r>
      <w:r>
        <w:rPr>
          <w:rFonts w:eastAsia="Calibri"/>
        </w:rPr>
        <w:t xml:space="preserve"> in the course of a mandatory evaluation</w:t>
      </w:r>
      <w:r>
        <w:rPr>
          <w:rFonts w:eastAsia="Calibri"/>
        </w:rPr>
        <w:t xml:space="preserve"> do not violate the defendant’s </w:t>
      </w:r>
      <w:r>
        <w:rPr>
          <w:rFonts w:eastAsia="Calibri"/>
        </w:rPr>
        <w:t>privilege against self-incrimination</w:t>
      </w:r>
      <w:r>
        <w:rPr>
          <w:rFonts w:eastAsia="Calibri"/>
        </w:rPr>
        <w:t xml:space="preserve"> so long as “</w:t>
      </w:r>
      <w:r w:rsidRPr="0066021A">
        <w:rPr>
          <w:rFonts w:eastAsia="Calibri"/>
        </w:rPr>
        <w:t>the</w:t>
      </w:r>
      <w:r>
        <w:rPr>
          <w:rFonts w:eastAsia="Calibri"/>
        </w:rPr>
        <w:t xml:space="preserve"> </w:t>
      </w:r>
      <w:r w:rsidRPr="0066021A">
        <w:rPr>
          <w:rFonts w:eastAsia="Calibri"/>
        </w:rPr>
        <w:t>defendant</w:t>
      </w:r>
      <w:r>
        <w:rPr>
          <w:rFonts w:eastAsia="Calibri"/>
        </w:rPr>
        <w:t>’</w:t>
      </w:r>
      <w:r w:rsidRPr="0066021A">
        <w:rPr>
          <w:rFonts w:eastAsia="Calibri"/>
        </w:rPr>
        <w:t>s</w:t>
      </w:r>
      <w:r>
        <w:rPr>
          <w:rFonts w:eastAsia="Calibri"/>
        </w:rPr>
        <w:t xml:space="preserve"> </w:t>
      </w:r>
      <w:r w:rsidRPr="0066021A">
        <w:rPr>
          <w:rFonts w:eastAsia="Calibri"/>
        </w:rPr>
        <w:t>statements during the</w:t>
      </w:r>
      <w:r>
        <w:rPr>
          <w:rFonts w:eastAsia="Calibri"/>
        </w:rPr>
        <w:t xml:space="preserve"> </w:t>
      </w:r>
      <w:r w:rsidRPr="0066021A">
        <w:rPr>
          <w:rFonts w:eastAsia="Calibri"/>
        </w:rPr>
        <w:t>examination</w:t>
      </w:r>
      <w:r>
        <w:rPr>
          <w:rFonts w:eastAsia="Calibri"/>
        </w:rPr>
        <w:t xml:space="preserve"> </w:t>
      </w:r>
      <w:r w:rsidRPr="0066021A">
        <w:rPr>
          <w:rFonts w:eastAsia="Calibri"/>
        </w:rPr>
        <w:t>are inadmissible for</w:t>
      </w:r>
      <w:r w:rsidRPr="0066021A">
        <w:rPr>
          <w:rFonts w:eastAsia="Calibri"/>
        </w:rPr>
        <w:t xml:space="preserve"> any purpose at trial</w:t>
      </w:r>
      <w:r>
        <w:rPr>
          <w:rFonts w:eastAsia="Calibri"/>
        </w:rPr>
        <w:t xml:space="preserve">.”  </w:t>
      </w:r>
      <w:r w:rsidRPr="00B37F41">
        <w:rPr>
          <w:rFonts w:eastAsia="Calibri"/>
        </w:rPr>
        <w:t>(</w:t>
      </w:r>
      <w:r w:rsidRPr="00B37F41">
        <w:rPr>
          <w:rFonts w:eastAsia="Calibri"/>
          <w:i/>
        </w:rPr>
        <w:t>Id.</w:t>
      </w:r>
      <w:r w:rsidRPr="00B37F41">
        <w:rPr>
          <w:rFonts w:eastAsia="Calibri"/>
        </w:rPr>
        <w:t xml:space="preserve"> at p.</w:t>
      </w:r>
      <w:r>
        <w:rPr>
          <w:rFonts w:eastAsia="Calibri"/>
        </w:rPr>
        <w:t xml:space="preserve"> </w:t>
      </w:r>
      <w:r>
        <w:rPr>
          <w:rFonts w:eastAsia="Calibri"/>
        </w:rPr>
        <w:t>1252.)</w:t>
      </w:r>
      <w:r>
        <w:rPr>
          <w:rFonts w:eastAsia="Calibri"/>
        </w:rPr>
        <w:t xml:space="preserve">  We see no reason a different rule would apply in juvenile delinquency proceedings</w:t>
      </w:r>
      <w:r>
        <w:rPr>
          <w:rFonts w:eastAsia="Calibri"/>
        </w:rPr>
        <w:t>.</w:t>
      </w:r>
    </w:p>
    <w:p w14:paraId="1574536C" w14:textId="77777777" w:rsidR="00D14B64" w:rsidRDefault="00461399" w:rsidP="00594A48">
      <w:pPr>
        <w:ind w:firstLine="720"/>
        <w:rPr>
          <w:rFonts w:eastAsia="Calibri"/>
        </w:rPr>
      </w:pPr>
      <w:r>
        <w:rPr>
          <w:rFonts w:eastAsia="Calibri"/>
        </w:rPr>
        <w:t>At the end of the hearing where the court ordered Ward’s examination to proceed, the court stated that</w:t>
      </w:r>
      <w:r>
        <w:rPr>
          <w:rFonts w:eastAsia="Calibri"/>
        </w:rPr>
        <w:t>,</w:t>
      </w:r>
      <w:r>
        <w:rPr>
          <w:rFonts w:eastAsia="Calibri"/>
        </w:rPr>
        <w:t xml:space="preserve"> </w:t>
      </w:r>
      <w:r w:rsidRPr="00BE455A">
        <w:rPr>
          <w:rFonts w:eastAsia="Calibri"/>
        </w:rPr>
        <w:t>“</w:t>
      </w:r>
      <w:r>
        <w:rPr>
          <w:rFonts w:eastAsia="Calibri"/>
        </w:rPr>
        <w:t>T</w:t>
      </w:r>
      <w:r w:rsidRPr="00BE455A">
        <w:rPr>
          <w:rFonts w:eastAsia="Calibri"/>
        </w:rPr>
        <w:t xml:space="preserve">he time, place, </w:t>
      </w:r>
      <w:r w:rsidRPr="00BE455A">
        <w:rPr>
          <w:rFonts w:eastAsia="Calibri"/>
        </w:rPr>
        <w:t>manner, conditions, and scope of the examination have now been discussed with the parties on the record, as have the expert</w:t>
      </w:r>
      <w:r>
        <w:rPr>
          <w:rFonts w:eastAsia="Calibri"/>
        </w:rPr>
        <w:t>’</w:t>
      </w:r>
      <w:r w:rsidRPr="00BE455A">
        <w:rPr>
          <w:rFonts w:eastAsia="Calibri"/>
        </w:rPr>
        <w:t xml:space="preserve">s qualifications and proposed scope of examination.  This reality provides the court with some assurances that </w:t>
      </w:r>
      <w:r>
        <w:rPr>
          <w:rFonts w:eastAsia="Calibri"/>
        </w:rPr>
        <w:t>K.R.</w:t>
      </w:r>
      <w:r>
        <w:rPr>
          <w:rFonts w:eastAsia="Calibri"/>
        </w:rPr>
        <w:t>’</w:t>
      </w:r>
      <w:r w:rsidRPr="00BE455A">
        <w:rPr>
          <w:rFonts w:eastAsia="Calibri"/>
        </w:rPr>
        <w:t>s statutory righ</w:t>
      </w:r>
      <w:r w:rsidRPr="00BE455A">
        <w:rPr>
          <w:rFonts w:eastAsia="Calibri"/>
        </w:rPr>
        <w:t>ts under the civil discovery statute have been duly considered.”</w:t>
      </w:r>
      <w:r>
        <w:rPr>
          <w:rFonts w:eastAsia="Calibri"/>
        </w:rPr>
        <w:t xml:space="preserve">  </w:t>
      </w:r>
      <w:r>
        <w:rPr>
          <w:rFonts w:eastAsia="Calibri"/>
        </w:rPr>
        <w:t xml:space="preserve">The court’s </w:t>
      </w:r>
      <w:r>
        <w:rPr>
          <w:rFonts w:eastAsia="Calibri"/>
        </w:rPr>
        <w:t xml:space="preserve">assessment seems </w:t>
      </w:r>
      <w:r>
        <w:rPr>
          <w:rFonts w:eastAsia="Calibri"/>
        </w:rPr>
        <w:t>general</w:t>
      </w:r>
      <w:r>
        <w:rPr>
          <w:rFonts w:eastAsia="Calibri"/>
        </w:rPr>
        <w:t xml:space="preserve">ly accurate, even if the </w:t>
      </w:r>
      <w:r>
        <w:rPr>
          <w:rFonts w:eastAsia="Calibri"/>
        </w:rPr>
        <w:t>prosecutor did not fulfill the requirements of section 709, subdivision (b)(6) in filing her motion.</w:t>
      </w:r>
    </w:p>
    <w:p w14:paraId="2AB12669" w14:textId="77777777" w:rsidR="006804A2" w:rsidRDefault="00461399" w:rsidP="00334963">
      <w:pPr>
        <w:ind w:firstLine="720"/>
        <w:rPr>
          <w:rFonts w:eastAsia="Calibri"/>
        </w:rPr>
      </w:pPr>
      <w:r>
        <w:rPr>
          <w:rFonts w:eastAsia="Calibri"/>
        </w:rPr>
        <w:t>When Ward testifie</w:t>
      </w:r>
      <w:r>
        <w:rPr>
          <w:rFonts w:eastAsia="Calibri"/>
        </w:rPr>
        <w:t xml:space="preserve">d, </w:t>
      </w:r>
      <w:r>
        <w:rPr>
          <w:rFonts w:eastAsia="Calibri"/>
        </w:rPr>
        <w:t>K.R.</w:t>
      </w:r>
      <w:r>
        <w:rPr>
          <w:rFonts w:eastAsia="Calibri"/>
        </w:rPr>
        <w:t xml:space="preserve">’s attorney </w:t>
      </w:r>
      <w:r>
        <w:rPr>
          <w:rFonts w:eastAsia="Calibri"/>
        </w:rPr>
        <w:t xml:space="preserve">cross-examined </w:t>
      </w:r>
      <w:r w:rsidRPr="0043735F">
        <w:rPr>
          <w:rFonts w:eastAsia="Calibri"/>
        </w:rPr>
        <w:t>her extensively</w:t>
      </w:r>
      <w:r w:rsidRPr="0043735F">
        <w:rPr>
          <w:rFonts w:eastAsia="Calibri"/>
        </w:rPr>
        <w:t>.</w:t>
      </w:r>
      <w:r w:rsidRPr="0043735F">
        <w:rPr>
          <w:rFonts w:eastAsia="Calibri"/>
        </w:rPr>
        <w:t xml:space="preserve"> </w:t>
      </w:r>
      <w:r w:rsidRPr="0043735F">
        <w:rPr>
          <w:rFonts w:eastAsia="Calibri"/>
        </w:rPr>
        <w:t xml:space="preserve"> In addition, </w:t>
      </w:r>
      <w:r>
        <w:rPr>
          <w:rFonts w:eastAsia="Calibri"/>
        </w:rPr>
        <w:t>K.R.</w:t>
      </w:r>
      <w:r w:rsidRPr="0043735F">
        <w:rPr>
          <w:rFonts w:eastAsia="Calibri"/>
        </w:rPr>
        <w:t xml:space="preserve">’s own expert, Contreras, </w:t>
      </w:r>
      <w:r w:rsidRPr="0043735F">
        <w:rPr>
          <w:rFonts w:eastAsia="Calibri"/>
        </w:rPr>
        <w:t xml:space="preserve">responded to Ward’s report and explained why he believed Ward was wrong.  </w:t>
      </w:r>
      <w:r w:rsidRPr="0043735F">
        <w:rPr>
          <w:rFonts w:eastAsia="Calibri"/>
        </w:rPr>
        <w:t xml:space="preserve">These responses were </w:t>
      </w:r>
      <w:r w:rsidRPr="0043735F">
        <w:rPr>
          <w:rFonts w:eastAsia="Calibri"/>
        </w:rPr>
        <w:t xml:space="preserve">apparently effective.  </w:t>
      </w:r>
      <w:r w:rsidRPr="0043735F">
        <w:rPr>
          <w:rFonts w:eastAsia="Calibri"/>
        </w:rPr>
        <w:t>In</w:t>
      </w:r>
      <w:r>
        <w:rPr>
          <w:rFonts w:eastAsia="Calibri"/>
        </w:rPr>
        <w:t xml:space="preserve"> explaining its </w:t>
      </w:r>
      <w:r>
        <w:rPr>
          <w:rFonts w:eastAsia="Calibri"/>
        </w:rPr>
        <w:lastRenderedPageBreak/>
        <w:t xml:space="preserve">ruling that </w:t>
      </w:r>
      <w:r>
        <w:rPr>
          <w:rFonts w:eastAsia="Calibri"/>
        </w:rPr>
        <w:t>K.R.</w:t>
      </w:r>
      <w:r>
        <w:rPr>
          <w:rFonts w:eastAsia="Calibri"/>
        </w:rPr>
        <w:t xml:space="preserve"> was compete</w:t>
      </w:r>
      <w:r>
        <w:rPr>
          <w:rFonts w:eastAsia="Calibri"/>
        </w:rPr>
        <w:t xml:space="preserve">nt to stand trial, the court </w:t>
      </w:r>
      <w:r>
        <w:rPr>
          <w:rFonts w:eastAsia="Calibri"/>
        </w:rPr>
        <w:t>stated that it disagreed with Ward</w:t>
      </w:r>
      <w:r>
        <w:rPr>
          <w:rFonts w:eastAsia="Calibri"/>
        </w:rPr>
        <w:t>’s conclusion</w:t>
      </w:r>
      <w:r>
        <w:rPr>
          <w:rFonts w:eastAsia="Calibri"/>
        </w:rPr>
        <w:t xml:space="preserve"> </w:t>
      </w:r>
      <w:r>
        <w:rPr>
          <w:rFonts w:eastAsia="Calibri"/>
        </w:rPr>
        <w:t xml:space="preserve">that </w:t>
      </w:r>
      <w:r>
        <w:rPr>
          <w:rFonts w:eastAsia="Calibri"/>
        </w:rPr>
        <w:t>K.R.</w:t>
      </w:r>
      <w:r>
        <w:rPr>
          <w:rFonts w:eastAsia="Calibri"/>
        </w:rPr>
        <w:t xml:space="preserve"> did not have an intellectual disability</w:t>
      </w:r>
      <w:r>
        <w:rPr>
          <w:rFonts w:eastAsia="Calibri"/>
        </w:rPr>
        <w:t xml:space="preserve">.  </w:t>
      </w:r>
      <w:r>
        <w:rPr>
          <w:rFonts w:eastAsia="Calibri"/>
        </w:rPr>
        <w:t>The court did not rely on Ward’s evaluations and test results</w:t>
      </w:r>
      <w:r>
        <w:rPr>
          <w:rFonts w:eastAsia="Calibri"/>
        </w:rPr>
        <w:t>.  Instead, what “tip[ped] the scale for the court” was</w:t>
      </w:r>
      <w:r>
        <w:rPr>
          <w:rFonts w:eastAsia="Calibri"/>
        </w:rPr>
        <w:t xml:space="preserve"> </w:t>
      </w:r>
      <w:r>
        <w:rPr>
          <w:rFonts w:eastAsia="Calibri"/>
        </w:rPr>
        <w:t>listening</w:t>
      </w:r>
      <w:r>
        <w:rPr>
          <w:rFonts w:eastAsia="Calibri"/>
        </w:rPr>
        <w:t xml:space="preserve"> the </w:t>
      </w:r>
      <w:r>
        <w:rPr>
          <w:rFonts w:eastAsia="Calibri"/>
        </w:rPr>
        <w:t xml:space="preserve">recordings of </w:t>
      </w:r>
      <w:r>
        <w:rPr>
          <w:rFonts w:eastAsia="Calibri"/>
        </w:rPr>
        <w:t>K.R.</w:t>
      </w:r>
      <w:r>
        <w:rPr>
          <w:rFonts w:eastAsia="Calibri"/>
        </w:rPr>
        <w:t xml:space="preserve"> speaking with fellow inmates and with his mother</w:t>
      </w:r>
      <w:r>
        <w:rPr>
          <w:rFonts w:eastAsia="Calibri"/>
        </w:rPr>
        <w:t xml:space="preserve">, </w:t>
      </w:r>
      <w:r>
        <w:rPr>
          <w:rFonts w:eastAsia="Calibri"/>
        </w:rPr>
        <w:t xml:space="preserve">in conversations indicating that </w:t>
      </w:r>
      <w:r>
        <w:rPr>
          <w:rFonts w:eastAsia="Calibri"/>
        </w:rPr>
        <w:t xml:space="preserve">he understood the court proceedings and </w:t>
      </w:r>
      <w:r>
        <w:rPr>
          <w:rFonts w:eastAsia="Calibri"/>
        </w:rPr>
        <w:t>“that he could use his eligibility as a regional center consumer to get the case dismissed</w:t>
      </w:r>
      <w:r>
        <w:rPr>
          <w:rFonts w:eastAsia="Calibri"/>
        </w:rPr>
        <w:t>.</w:t>
      </w:r>
      <w:r>
        <w:rPr>
          <w:rFonts w:eastAsia="Calibri"/>
        </w:rPr>
        <w:t>”</w:t>
      </w:r>
      <w:r>
        <w:rPr>
          <w:rFonts w:eastAsia="Calibri"/>
        </w:rPr>
        <w:t xml:space="preserve">  </w:t>
      </w:r>
      <w:r>
        <w:rPr>
          <w:rFonts w:eastAsia="Calibri"/>
        </w:rPr>
        <w:t>The re</w:t>
      </w:r>
      <w:r>
        <w:rPr>
          <w:rFonts w:eastAsia="Calibri"/>
        </w:rPr>
        <w:t xml:space="preserve">cord does not show that if </w:t>
      </w:r>
      <w:r>
        <w:rPr>
          <w:rFonts w:eastAsia="Calibri"/>
        </w:rPr>
        <w:t xml:space="preserve">the People’s motion had complied with the Civil Discovery Act, or even if Ward had not examined </w:t>
      </w:r>
      <w:r>
        <w:rPr>
          <w:rFonts w:eastAsia="Calibri"/>
        </w:rPr>
        <w:t>K.R.</w:t>
      </w:r>
      <w:r>
        <w:rPr>
          <w:rFonts w:eastAsia="Calibri"/>
        </w:rPr>
        <w:t xml:space="preserve"> at all, </w:t>
      </w:r>
      <w:r>
        <w:rPr>
          <w:rFonts w:eastAsia="Calibri"/>
        </w:rPr>
        <w:t>there is a reasonable probability that he would have attained a better outcome.</w:t>
      </w:r>
    </w:p>
    <w:p w14:paraId="691B4B41" w14:textId="77777777" w:rsidR="007C33E0" w:rsidRPr="007C33E0" w:rsidRDefault="00461399" w:rsidP="005D31C1">
      <w:pPr>
        <w:pStyle w:val="Heading1"/>
        <w:keepNext w:val="0"/>
        <w:keepLines w:val="0"/>
        <w:spacing w:line="288" w:lineRule="auto"/>
        <w:rPr>
          <w:rFonts w:eastAsia="Calibri"/>
        </w:rPr>
      </w:pPr>
      <w:r w:rsidRPr="007C33E0">
        <w:rPr>
          <w:rFonts w:eastAsia="Calibri"/>
        </w:rPr>
        <w:t>DISPOSITION</w:t>
      </w:r>
    </w:p>
    <w:p w14:paraId="5722F6E5" w14:textId="77777777" w:rsidR="007C33E0" w:rsidRPr="007C33E0" w:rsidRDefault="00461399" w:rsidP="007C33E0">
      <w:pPr>
        <w:rPr>
          <w:rFonts w:eastAsia="Calibri"/>
        </w:rPr>
      </w:pPr>
      <w:r w:rsidRPr="007C33E0">
        <w:rPr>
          <w:rFonts w:eastAsia="Calibri"/>
        </w:rPr>
        <w:tab/>
        <w:t xml:space="preserve">The </w:t>
      </w:r>
      <w:r>
        <w:rPr>
          <w:rFonts w:eastAsia="Calibri"/>
        </w:rPr>
        <w:t>petition for writ of ma</w:t>
      </w:r>
      <w:r>
        <w:rPr>
          <w:rFonts w:eastAsia="Calibri"/>
        </w:rPr>
        <w:t>ndate is denied.</w:t>
      </w:r>
    </w:p>
    <w:p w14:paraId="736699D0" w14:textId="77777777" w:rsidR="007C33E0" w:rsidRPr="007C33E0" w:rsidRDefault="00461399" w:rsidP="007A2206">
      <w:pPr>
        <w:spacing w:before="120"/>
        <w:rPr>
          <w:rFonts w:eastAsia="Calibri"/>
          <w:u w:val="single"/>
        </w:rPr>
      </w:pPr>
      <w:r w:rsidRPr="007C33E0">
        <w:rPr>
          <w:rFonts w:eastAsia="Calibri"/>
        </w:rPr>
        <w:tab/>
      </w:r>
      <w:r>
        <w:rPr>
          <w:rFonts w:eastAsia="Calibri"/>
        </w:rPr>
        <w:t>CERTIF</w:t>
      </w:r>
      <w:r>
        <w:rPr>
          <w:rFonts w:eastAsia="Calibri"/>
        </w:rPr>
        <w:t>IED FOR PARTIAL PUBLICATION</w:t>
      </w:r>
    </w:p>
    <w:p w14:paraId="4227AC9C" w14:textId="77777777" w:rsidR="007C33E0" w:rsidRPr="007C33E0" w:rsidRDefault="00461399" w:rsidP="007A2206">
      <w:pPr>
        <w:spacing w:line="240" w:lineRule="auto"/>
        <w:rPr>
          <w:rFonts w:eastAsia="Calibri"/>
        </w:rPr>
      </w:pPr>
    </w:p>
    <w:p w14:paraId="0715B3D1" w14:textId="77777777" w:rsidR="007C33E0" w:rsidRPr="007C33E0" w:rsidRDefault="00461399" w:rsidP="007A2206">
      <w:pPr>
        <w:spacing w:line="240" w:lineRule="auto"/>
        <w:rPr>
          <w:rFonts w:eastAsia="Calibri"/>
        </w:rPr>
      </w:pPr>
    </w:p>
    <w:p w14:paraId="66A015EA" w14:textId="77777777" w:rsidR="007C33E0" w:rsidRDefault="00461399" w:rsidP="007A2206">
      <w:pPr>
        <w:spacing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7C33E0">
        <w:rPr>
          <w:rFonts w:eastAsia="Calibri"/>
        </w:rPr>
        <w:t>WEINGART, J.</w:t>
      </w:r>
    </w:p>
    <w:p w14:paraId="2675ACAB" w14:textId="77777777" w:rsidR="007C33E0" w:rsidRDefault="00461399" w:rsidP="007A2206">
      <w:pPr>
        <w:spacing w:line="240" w:lineRule="auto"/>
        <w:rPr>
          <w:rFonts w:eastAsia="Calibri"/>
        </w:rPr>
      </w:pPr>
    </w:p>
    <w:p w14:paraId="0B6DDCDD" w14:textId="77777777" w:rsidR="007C33E0" w:rsidRPr="007C33E0" w:rsidRDefault="00461399" w:rsidP="007A2206">
      <w:pPr>
        <w:spacing w:line="240" w:lineRule="auto"/>
        <w:rPr>
          <w:rFonts w:eastAsia="Calibri"/>
        </w:rPr>
      </w:pPr>
    </w:p>
    <w:p w14:paraId="10BEBB5E" w14:textId="77777777" w:rsidR="007C33E0" w:rsidRPr="007C33E0" w:rsidRDefault="00461399" w:rsidP="007A2206">
      <w:pPr>
        <w:spacing w:line="240" w:lineRule="auto"/>
        <w:rPr>
          <w:rFonts w:eastAsia="Calibri"/>
        </w:rPr>
      </w:pPr>
      <w:r w:rsidRPr="007C33E0">
        <w:rPr>
          <w:rFonts w:eastAsia="Calibri"/>
        </w:rPr>
        <w:t>We concur:</w:t>
      </w:r>
    </w:p>
    <w:p w14:paraId="0026B7A8" w14:textId="77777777" w:rsidR="007C33E0" w:rsidRPr="007C33E0" w:rsidRDefault="00461399" w:rsidP="007A2206">
      <w:pPr>
        <w:spacing w:line="240" w:lineRule="auto"/>
        <w:rPr>
          <w:rFonts w:eastAsia="Calibri"/>
        </w:rPr>
      </w:pPr>
    </w:p>
    <w:p w14:paraId="6860457A" w14:textId="77777777" w:rsidR="007C33E0" w:rsidRPr="007C33E0" w:rsidRDefault="00461399" w:rsidP="007A2206">
      <w:pPr>
        <w:spacing w:line="240" w:lineRule="auto"/>
        <w:rPr>
          <w:rFonts w:eastAsia="Calibri"/>
        </w:rPr>
      </w:pPr>
    </w:p>
    <w:p w14:paraId="505641EC" w14:textId="77777777" w:rsidR="007C33E0" w:rsidRPr="007C33E0" w:rsidRDefault="00461399" w:rsidP="007A2206">
      <w:pPr>
        <w:spacing w:line="240" w:lineRule="auto"/>
        <w:rPr>
          <w:rFonts w:eastAsia="Calibri"/>
        </w:rPr>
      </w:pPr>
    </w:p>
    <w:p w14:paraId="182BD27A" w14:textId="77777777" w:rsidR="003F6E68" w:rsidRDefault="00461399" w:rsidP="007A2206">
      <w:pPr>
        <w:spacing w:line="240" w:lineRule="auto"/>
        <w:rPr>
          <w:rFonts w:eastAsia="Calibri"/>
        </w:rPr>
      </w:pPr>
      <w:r w:rsidRPr="007C33E0">
        <w:rPr>
          <w:rFonts w:eastAsia="Calibri"/>
        </w:rPr>
        <w:tab/>
      </w:r>
      <w:r w:rsidRPr="007C33E0">
        <w:rPr>
          <w:rFonts w:eastAsia="Calibri"/>
        </w:rPr>
        <w:tab/>
        <w:t>CHANEY, J.</w:t>
      </w:r>
    </w:p>
    <w:p w14:paraId="643660B2" w14:textId="77777777" w:rsidR="003F6E68" w:rsidRDefault="00461399" w:rsidP="007A2206">
      <w:pPr>
        <w:spacing w:line="240" w:lineRule="auto"/>
        <w:rPr>
          <w:rFonts w:eastAsia="Calibri"/>
        </w:rPr>
      </w:pPr>
    </w:p>
    <w:p w14:paraId="1528665B" w14:textId="77777777" w:rsidR="003F6E68" w:rsidRDefault="00461399" w:rsidP="007A2206">
      <w:pPr>
        <w:spacing w:line="240" w:lineRule="auto"/>
        <w:rPr>
          <w:rFonts w:eastAsia="Calibri"/>
        </w:rPr>
      </w:pPr>
    </w:p>
    <w:p w14:paraId="49EB74CB" w14:textId="77777777" w:rsidR="003F6E68" w:rsidRDefault="00461399" w:rsidP="007A2206">
      <w:pPr>
        <w:spacing w:line="240" w:lineRule="auto"/>
        <w:rPr>
          <w:rFonts w:eastAsia="Calibri"/>
        </w:rPr>
      </w:pPr>
    </w:p>
    <w:p w14:paraId="68EC7160" w14:textId="77777777" w:rsidR="000A17D8" w:rsidRPr="00650CCB" w:rsidRDefault="00461399" w:rsidP="007A2206">
      <w:pPr>
        <w:spacing w:line="240" w:lineRule="auto"/>
        <w:rPr>
          <w:rFonts w:eastAsia="Calibri"/>
        </w:rPr>
      </w:pPr>
      <w:r>
        <w:rPr>
          <w:rFonts w:eastAsia="Calibri"/>
        </w:rPr>
        <w:tab/>
      </w:r>
      <w:r w:rsidRPr="007C33E0">
        <w:rPr>
          <w:rFonts w:eastAsia="Calibri"/>
        </w:rPr>
        <w:tab/>
        <w:t>BENDIX, Acting P. J.</w:t>
      </w:r>
    </w:p>
    <w:sectPr w:rsidR="000A17D8" w:rsidRPr="00650CCB" w:rsidSect="00FB4933">
      <w:headerReference w:type="even" r:id="rId7"/>
      <w:headerReference w:type="default" r:id="rId8"/>
      <w:footerReference w:type="even" r:id="rId9"/>
      <w:footerReference w:type="default" r:id="rId10"/>
      <w:headerReference w:type="first" r:id="rId11"/>
      <w:footerReference w:type="first" r:id="rId12"/>
      <w:pgSz w:w="12240" w:h="15840"/>
      <w:pgMar w:top="2160" w:right="2160" w:bottom="2160" w:left="21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CA9B" w14:textId="77777777" w:rsidR="00000000" w:rsidRDefault="00461399">
      <w:pPr>
        <w:spacing w:line="240" w:lineRule="auto"/>
      </w:pPr>
      <w:r>
        <w:separator/>
      </w:r>
    </w:p>
  </w:endnote>
  <w:endnote w:type="continuationSeparator" w:id="0">
    <w:p w14:paraId="001CDBBC" w14:textId="77777777" w:rsidR="00000000" w:rsidRDefault="00461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F044" w14:textId="77777777" w:rsidR="00C3791B" w:rsidRDefault="00461399" w:rsidP="00EA63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0324795" w14:textId="77777777" w:rsidR="00C3791B" w:rsidRDefault="00461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FBDB" w14:textId="77777777" w:rsidR="00C3791B" w:rsidRDefault="00461399" w:rsidP="00EA63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34</w:t>
    </w:r>
    <w:r>
      <w:rPr>
        <w:rStyle w:val="PageNumber"/>
      </w:rPr>
      <w:fldChar w:fldCharType="end"/>
    </w:r>
  </w:p>
  <w:p w14:paraId="059AF3E1" w14:textId="77777777" w:rsidR="00C3791B" w:rsidRDefault="00461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FFB5" w14:textId="77777777" w:rsidR="00851152" w:rsidRDefault="00461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63B7" w14:textId="77777777" w:rsidR="0029113A" w:rsidRPr="009D62F4" w:rsidRDefault="00461399" w:rsidP="009D62F4">
      <w:pPr>
        <w:pStyle w:val="Footer"/>
      </w:pPr>
      <w:r>
        <w:separator/>
      </w:r>
    </w:p>
  </w:footnote>
  <w:footnote w:type="continuationSeparator" w:id="0">
    <w:p w14:paraId="7AEB109D" w14:textId="77777777" w:rsidR="0029113A" w:rsidRDefault="00461399" w:rsidP="002D3CD6">
      <w:r>
        <w:continuationSeparator/>
      </w:r>
    </w:p>
  </w:footnote>
  <w:footnote w:type="continuationNotice" w:id="1">
    <w:p w14:paraId="61430B37" w14:textId="77777777" w:rsidR="0029113A" w:rsidRDefault="00461399">
      <w:pPr>
        <w:spacing w:line="240" w:lineRule="auto"/>
      </w:pPr>
    </w:p>
  </w:footnote>
  <w:footnote w:id="2">
    <w:p w14:paraId="513C4BFC" w14:textId="77777777" w:rsidR="00514E72" w:rsidRDefault="00461399" w:rsidP="009D62F4">
      <w:pPr>
        <w:pStyle w:val="FootnoteText"/>
        <w:spacing w:after="120"/>
      </w:pPr>
      <w:r w:rsidRPr="009D62F4">
        <w:rPr>
          <w:rStyle w:val="FootnoteReference"/>
          <w:position w:val="8"/>
        </w:rPr>
        <w:t>*</w:t>
      </w:r>
      <w:r>
        <w:t xml:space="preserve"> </w:t>
      </w:r>
      <w:r w:rsidRPr="00514E72">
        <w:t xml:space="preserve">Pursuant to California Rules of Court, rule 8.1100, this opinion is certified for publication with the exception of parts </w:t>
      </w:r>
      <w:r>
        <w:t>II.C.3</w:t>
      </w:r>
      <w:r>
        <w:t xml:space="preserve"> and II.C.4</w:t>
      </w:r>
      <w:r w:rsidRPr="00514E72">
        <w:t>.</w:t>
      </w:r>
    </w:p>
  </w:footnote>
  <w:footnote w:id="3">
    <w:p w14:paraId="113BE648" w14:textId="77777777" w:rsidR="009E4D0B" w:rsidRDefault="00461399" w:rsidP="009D62F4">
      <w:pPr>
        <w:pStyle w:val="FootnoteText"/>
        <w:spacing w:after="120"/>
      </w:pPr>
      <w:r w:rsidRPr="00E95D90">
        <w:rPr>
          <w:rStyle w:val="FootnoteReference"/>
          <w:position w:val="8"/>
        </w:rPr>
        <w:footnoteRef/>
      </w:r>
      <w:r>
        <w:t xml:space="preserve"> Unless otherwise specified, subsequent statutory references are to the Welfare and Institutions Code.</w:t>
      </w:r>
    </w:p>
  </w:footnote>
  <w:footnote w:id="4">
    <w:p w14:paraId="41FE0291" w14:textId="77777777" w:rsidR="007527AF" w:rsidRDefault="00461399" w:rsidP="009D62F4">
      <w:pPr>
        <w:pStyle w:val="FootnoteText"/>
        <w:spacing w:after="120"/>
      </w:pPr>
      <w:r w:rsidRPr="00C73F0A">
        <w:rPr>
          <w:rStyle w:val="FootnoteReference"/>
          <w:position w:val="8"/>
        </w:rPr>
        <w:footnoteRef/>
      </w:r>
      <w:r>
        <w:t xml:space="preserve"> We take j</w:t>
      </w:r>
      <w:r>
        <w:t>udicial notice of the juvenile court’s ruling.</w:t>
      </w:r>
    </w:p>
  </w:footnote>
  <w:footnote w:id="5">
    <w:p w14:paraId="48B5472C" w14:textId="77777777" w:rsidR="009C7294" w:rsidRDefault="00461399" w:rsidP="009D62F4">
      <w:pPr>
        <w:pStyle w:val="FootnoteText"/>
        <w:spacing w:after="120"/>
      </w:pPr>
      <w:r w:rsidRPr="00E83717">
        <w:rPr>
          <w:rStyle w:val="FootnoteReference"/>
          <w:position w:val="8"/>
        </w:rPr>
        <w:footnoteRef/>
      </w:r>
      <w:r>
        <w:t xml:space="preserve"> </w:t>
      </w:r>
      <w:r w:rsidRPr="009C7294">
        <w:t xml:space="preserve">The statute does not clearly </w:t>
      </w:r>
      <w:r>
        <w:t>identify</w:t>
      </w:r>
      <w:r w:rsidRPr="009C7294">
        <w:t xml:space="preserve"> </w:t>
      </w:r>
      <w:r w:rsidRPr="009C7294">
        <w:t xml:space="preserve">who the “designated person or entity” is whose “recommendation” triggers the beginning of the six-month time period for the second evidentiary hearing.  </w:t>
      </w:r>
      <w:r>
        <w:t xml:space="preserve">The juvenile court </w:t>
      </w:r>
      <w:r>
        <w:t>inferred that the six-month clock began running upon the receipt of the</w:t>
      </w:r>
      <w:r>
        <w:t xml:space="preserve"> initial report of the court-appointed expert, who </w:t>
      </w:r>
      <w:r>
        <w:t>must “</w:t>
      </w:r>
      <w:r w:rsidRPr="00303F51">
        <w:t>make recommendations regarding the type of remediation services that would be effective in assisting the mino</w:t>
      </w:r>
      <w:r w:rsidRPr="00303F51">
        <w:t>r in attaining competency.</w:t>
      </w:r>
      <w:r>
        <w:t xml:space="preserve">”  </w:t>
      </w:r>
      <w:r w:rsidRPr="009C7294">
        <w:t>(§</w:t>
      </w:r>
      <w:r>
        <w:t> </w:t>
      </w:r>
      <w:r w:rsidRPr="009C7294">
        <w:t>709, subd. (b)(3)</w:t>
      </w:r>
      <w:r>
        <w:t>.</w:t>
      </w:r>
      <w:r w:rsidRPr="009C7294">
        <w:t>)</w:t>
      </w:r>
      <w:r>
        <w:t xml:space="preserve">  The</w:t>
      </w:r>
      <w:r>
        <w:t xml:space="preserve"> Los Ang</w:t>
      </w:r>
      <w:r>
        <w:t>e</w:t>
      </w:r>
      <w:r>
        <w:t>les Superior Court protocols on juvenile competency hearings</w:t>
      </w:r>
      <w:r>
        <w:t xml:space="preserve"> interpret the</w:t>
      </w:r>
      <w:r>
        <w:t xml:space="preserve"> statute the same way.</w:t>
      </w:r>
      <w:r>
        <w:t xml:space="preserve">  (</w:t>
      </w:r>
      <w:r>
        <w:t>Greenberg, P.</w:t>
      </w:r>
      <w:r>
        <w:t xml:space="preserve"> </w:t>
      </w:r>
      <w:r>
        <w:t xml:space="preserve">J., Competency to Stand Trial </w:t>
      </w:r>
      <w:r>
        <w:t>Protocol</w:t>
      </w:r>
      <w:r>
        <w:t xml:space="preserve"> (Mar. 6, 2019)</w:t>
      </w:r>
      <w:r>
        <w:t xml:space="preserve"> p. 8</w:t>
      </w:r>
      <w:r>
        <w:t xml:space="preserve"> (Protocol</w:t>
      </w:r>
      <w:r>
        <w:t>)</w:t>
      </w:r>
      <w:r>
        <w:t xml:space="preserve"> &lt;</w:t>
      </w:r>
      <w:r w:rsidRPr="00B07B92">
        <w:t>https:/</w:t>
      </w:r>
      <w:r w:rsidRPr="00B07B92">
        <w:t>/www.lacourt.org/division/juvenile/pdf/CompetencyProtocol.pdf</w:t>
      </w:r>
      <w:r>
        <w:t>&gt;</w:t>
      </w:r>
      <w:r>
        <w:t xml:space="preserve"> [as of Mar. </w:t>
      </w:r>
      <w:r>
        <w:t>2</w:t>
      </w:r>
      <w:r>
        <w:t>8</w:t>
      </w:r>
      <w:r>
        <w:t>, 2023]</w:t>
      </w:r>
      <w:r>
        <w:t>.)</w:t>
      </w:r>
      <w:r>
        <w:t xml:space="preserve"> </w:t>
      </w:r>
      <w:r>
        <w:t xml:space="preserve"> </w:t>
      </w:r>
      <w:r>
        <w:t xml:space="preserve">We </w:t>
      </w:r>
      <w:r>
        <w:t>take judicial notice of this document.</w:t>
      </w:r>
    </w:p>
  </w:footnote>
  <w:footnote w:id="6">
    <w:p w14:paraId="6D783C4C" w14:textId="77777777" w:rsidR="00D6637F" w:rsidRDefault="00461399" w:rsidP="009D62F4">
      <w:pPr>
        <w:pStyle w:val="FootnoteText"/>
        <w:spacing w:after="120"/>
      </w:pPr>
      <w:r w:rsidRPr="00E83717">
        <w:rPr>
          <w:rStyle w:val="FootnoteReference"/>
          <w:position w:val="8"/>
        </w:rPr>
        <w:footnoteRef/>
      </w:r>
      <w:r>
        <w:t xml:space="preserve"> </w:t>
      </w:r>
      <w:r w:rsidRPr="00D6637F">
        <w:t xml:space="preserve">These offenses are listed in section 707, subdivision (b) and include, as relevant to this case, </w:t>
      </w:r>
      <w:r>
        <w:t xml:space="preserve">the </w:t>
      </w:r>
      <w:r w:rsidRPr="00D6637F">
        <w:t>murder and robbery</w:t>
      </w:r>
      <w:r>
        <w:t xml:space="preserve"> charges against </w:t>
      </w:r>
      <w:r>
        <w:t>K.R</w:t>
      </w:r>
      <w:r w:rsidRPr="00D6637F">
        <w:t>.</w:t>
      </w:r>
    </w:p>
  </w:footnote>
  <w:footnote w:id="7">
    <w:p w14:paraId="38AE1D3B" w14:textId="77777777" w:rsidR="009A5DCB" w:rsidRDefault="00461399" w:rsidP="009D62F4">
      <w:pPr>
        <w:pStyle w:val="FootnoteText"/>
        <w:spacing w:after="120"/>
      </w:pPr>
      <w:r w:rsidRPr="00E83717">
        <w:rPr>
          <w:rStyle w:val="FootnoteReference"/>
          <w:position w:val="8"/>
        </w:rPr>
        <w:footnoteRef/>
      </w:r>
      <w:r>
        <w:t xml:space="preserve"> </w:t>
      </w:r>
      <w:r>
        <w:t>The statute does provide</w:t>
      </w:r>
      <w:r>
        <w:t xml:space="preserve"> that </w:t>
      </w:r>
      <w:r>
        <w:t>the juvenile court “</w:t>
      </w:r>
      <w:r w:rsidRPr="009A5DCB">
        <w:t>shall review remediation services at least every 30 calendar days for minors in custody and every 45 calendar days for minors out of custody prior to the expiration of the total reme</w:t>
      </w:r>
      <w:r w:rsidRPr="009A5DCB">
        <w:t>diation period</w:t>
      </w:r>
      <w:r>
        <w:t xml:space="preserve">.”  </w:t>
      </w:r>
      <w:r>
        <w:t>(§</w:t>
      </w:r>
      <w:r>
        <w:t> </w:t>
      </w:r>
      <w:r>
        <w:t>709, subd. (g)(1).)</w:t>
      </w:r>
      <w:r>
        <w:t>.</w:t>
      </w:r>
    </w:p>
  </w:footnote>
  <w:footnote w:id="8">
    <w:p w14:paraId="0AA43063" w14:textId="77777777" w:rsidR="00E74DDD" w:rsidRDefault="00461399" w:rsidP="009D62F4">
      <w:pPr>
        <w:pStyle w:val="FootnoteText"/>
        <w:spacing w:after="120"/>
      </w:pPr>
      <w:r w:rsidRPr="00D9431F">
        <w:rPr>
          <w:rStyle w:val="FootnoteReference"/>
          <w:position w:val="8"/>
        </w:rPr>
        <w:footnoteRef/>
      </w:r>
      <w:r>
        <w:t xml:space="preserve"> </w:t>
      </w:r>
      <w:r w:rsidRPr="00A943A0">
        <w:t xml:space="preserve">We note </w:t>
      </w:r>
      <w:r>
        <w:t>the Courts of Appeal are currently split on</w:t>
      </w:r>
      <w:r>
        <w:t xml:space="preserve"> a similar issue involving adults, namel</w:t>
      </w:r>
      <w:r>
        <w:t>y</w:t>
      </w:r>
      <w:r>
        <w:t xml:space="preserve"> whether </w:t>
      </w:r>
      <w:r>
        <w:t>the maximum commitment period under Penal Code section</w:t>
      </w:r>
      <w:r>
        <w:t xml:space="preserve"> 137</w:t>
      </w:r>
      <w:r>
        <w:t>0</w:t>
      </w:r>
      <w:r>
        <w:t>.1</w:t>
      </w:r>
      <w:r>
        <w:t>, subdivision (c)(1)</w:t>
      </w:r>
      <w:r>
        <w:t xml:space="preserve"> for </w:t>
      </w:r>
      <w:r>
        <w:t>remediation services</w:t>
      </w:r>
      <w:r>
        <w:t xml:space="preserve"> incl</w:t>
      </w:r>
      <w:r>
        <w:t xml:space="preserve">udes </w:t>
      </w:r>
      <w:r>
        <w:t xml:space="preserve">the period </w:t>
      </w:r>
      <w:r>
        <w:t xml:space="preserve">up to and including </w:t>
      </w:r>
      <w:r>
        <w:t>the court mak</w:t>
      </w:r>
      <w:r>
        <w:t>ing</w:t>
      </w:r>
      <w:r>
        <w:t xml:space="preserve"> its own determination </w:t>
      </w:r>
      <w:r>
        <w:t>whether</w:t>
      </w:r>
      <w:r>
        <w:t xml:space="preserve"> competency</w:t>
      </w:r>
      <w:r>
        <w:t xml:space="preserve"> has been restored</w:t>
      </w:r>
      <w:r>
        <w:t xml:space="preserve">.  </w:t>
      </w:r>
      <w:r>
        <w:t xml:space="preserve">(Compare </w:t>
      </w:r>
      <w:r w:rsidRPr="00420B8C">
        <w:rPr>
          <w:i/>
          <w:iCs/>
        </w:rPr>
        <w:t>Rodriguez v. Superior Court</w:t>
      </w:r>
      <w:r>
        <w:t xml:space="preserve"> </w:t>
      </w:r>
      <w:r w:rsidRPr="00420B8C">
        <w:t>(2021) 70 Cal.App.5th 628</w:t>
      </w:r>
      <w:r>
        <w:t xml:space="preserve"> [</w:t>
      </w:r>
      <w:r>
        <w:t>commitment period end</w:t>
      </w:r>
      <w:r>
        <w:t xml:space="preserve">s when certificate of restoration filed], </w:t>
      </w:r>
      <w:r>
        <w:t xml:space="preserve">review granted </w:t>
      </w:r>
      <w:r>
        <w:t>Jan. 5, 2022, S272129</w:t>
      </w:r>
      <w:r>
        <w:t>,</w:t>
      </w:r>
      <w:r>
        <w:t xml:space="preserve"> with </w:t>
      </w:r>
      <w:r w:rsidRPr="00EF2FB3">
        <w:rPr>
          <w:i/>
          <w:iCs/>
        </w:rPr>
        <w:t>People v. Carr</w:t>
      </w:r>
      <w:r>
        <w:t xml:space="preserve">, </w:t>
      </w:r>
      <w:r w:rsidRPr="00EF2FB3">
        <w:rPr>
          <w:i/>
          <w:iCs/>
        </w:rPr>
        <w:t>supra</w:t>
      </w:r>
      <w:r>
        <w:t xml:space="preserve">, 59 Cal.App.5th </w:t>
      </w:r>
      <w:r>
        <w:t>1136</w:t>
      </w:r>
      <w:r>
        <w:t xml:space="preserve"> [</w:t>
      </w:r>
      <w:r>
        <w:t xml:space="preserve">commitment period </w:t>
      </w:r>
      <w:r>
        <w:t>includes time</w:t>
      </w:r>
      <w:r>
        <w:t xml:space="preserve"> until </w:t>
      </w:r>
      <w:r>
        <w:t xml:space="preserve">trial </w:t>
      </w:r>
      <w:r>
        <w:t>court</w:t>
      </w:r>
      <w:r>
        <w:t xml:space="preserve"> makes finding whether </w:t>
      </w:r>
      <w:r>
        <w:t xml:space="preserve">a </w:t>
      </w:r>
      <w:r>
        <w:t xml:space="preserve">defendant </w:t>
      </w:r>
      <w:r>
        <w:t xml:space="preserve">is </w:t>
      </w:r>
      <w:r>
        <w:t>restored to competency</w:t>
      </w:r>
      <w:r>
        <w:t>].</w:t>
      </w:r>
      <w:r>
        <w:t>)</w:t>
      </w:r>
      <w:r>
        <w:t xml:space="preserve">  As shown by the above, we find </w:t>
      </w:r>
      <w:r>
        <w:t xml:space="preserve">the analogous reasoning of </w:t>
      </w:r>
      <w:r w:rsidRPr="00EF2FB3">
        <w:rPr>
          <w:i/>
          <w:iCs/>
        </w:rPr>
        <w:t>Rodriguez</w:t>
      </w:r>
      <w:r>
        <w:t xml:space="preserve"> mo</w:t>
      </w:r>
      <w:r>
        <w:t>re persuasive</w:t>
      </w:r>
      <w:r>
        <w:t xml:space="preserve"> that </w:t>
      </w:r>
      <w:r>
        <w:t xml:space="preserve">the </w:t>
      </w:r>
      <w:r>
        <w:t xml:space="preserve">juvenile “remediation period,” like the adult </w:t>
      </w:r>
      <w:r>
        <w:t>commitment period</w:t>
      </w:r>
      <w:r>
        <w:t>,</w:t>
      </w:r>
      <w:bookmarkStart w:id="1" w:name="_Hlk129008739"/>
      <w:r>
        <w:t xml:space="preserve"> “</w:t>
      </w:r>
      <w:r w:rsidRPr="004A5E76">
        <w:t>cover</w:t>
      </w:r>
      <w:r>
        <w:t>[s]</w:t>
      </w:r>
      <w:r w:rsidRPr="004A5E76">
        <w:t xml:space="preserve"> only the time the defendant actually receives treatment to restore his or her competence</w:t>
      </w:r>
      <w:r>
        <w:t>” and “</w:t>
      </w:r>
      <w:r w:rsidRPr="004A5E76">
        <w:t xml:space="preserve">not to the entire period before the trial court’s </w:t>
      </w:r>
      <w:r>
        <w:t xml:space="preserve">[finding] </w:t>
      </w:r>
      <w:r>
        <w:t>. .</w:t>
      </w:r>
      <w:r>
        <w:t xml:space="preserve"> . </w:t>
      </w:r>
      <w:r w:rsidRPr="004A5E76">
        <w:t>of restoration to competence</w:t>
      </w:r>
      <w:r>
        <w:t>.</w:t>
      </w:r>
      <w:r>
        <w:t>”  (</w:t>
      </w:r>
      <w:r>
        <w:rPr>
          <w:i/>
          <w:iCs/>
        </w:rPr>
        <w:t>Rodrigue</w:t>
      </w:r>
      <w:r>
        <w:rPr>
          <w:i/>
          <w:iCs/>
        </w:rPr>
        <w:t>z</w:t>
      </w:r>
      <w:r>
        <w:t xml:space="preserve">, </w:t>
      </w:r>
      <w:r>
        <w:rPr>
          <w:i/>
          <w:iCs/>
        </w:rPr>
        <w:t>supra</w:t>
      </w:r>
      <w:r>
        <w:t>,</w:t>
      </w:r>
      <w:r>
        <w:t xml:space="preserve"> </w:t>
      </w:r>
      <w:r>
        <w:t>at p. 654.)</w:t>
      </w:r>
      <w:bookmarkEnd w:id="1"/>
    </w:p>
  </w:footnote>
  <w:footnote w:id="9">
    <w:p w14:paraId="57E0F22C" w14:textId="77777777" w:rsidR="0072053C" w:rsidRDefault="00461399" w:rsidP="001326C4">
      <w:pPr>
        <w:pStyle w:val="FootnoteText"/>
        <w:spacing w:after="120"/>
      </w:pPr>
      <w:r w:rsidRPr="001326C4">
        <w:rPr>
          <w:rStyle w:val="FootnoteReference"/>
          <w:position w:val="8"/>
        </w:rPr>
        <w:footnoteRef/>
      </w:r>
      <w:r>
        <w:t xml:space="preserve"> </w:t>
      </w:r>
      <w:r>
        <w:t>K.R</w:t>
      </w:r>
      <w:r>
        <w:t xml:space="preserve"> </w:t>
      </w:r>
      <w:r>
        <w:t xml:space="preserve">also </w:t>
      </w:r>
      <w:r>
        <w:t>contend</w:t>
      </w:r>
      <w:r>
        <w:t xml:space="preserve">s </w:t>
      </w:r>
      <w:r>
        <w:t xml:space="preserve">that </w:t>
      </w:r>
      <w:r>
        <w:t xml:space="preserve">his continued confinement was improper because the juvenile court did not </w:t>
      </w:r>
      <w:r>
        <w:t xml:space="preserve">make specific findings on </w:t>
      </w:r>
      <w:r>
        <w:t xml:space="preserve">these factors.  </w:t>
      </w:r>
      <w:r>
        <w:t>He</w:t>
      </w:r>
      <w:r>
        <w:t xml:space="preserve"> has</w:t>
      </w:r>
      <w:r>
        <w:t xml:space="preserve"> forfeited this </w:t>
      </w:r>
      <w:r>
        <w:t>argument</w:t>
      </w:r>
      <w:r>
        <w:t xml:space="preserve"> by failing to object</w:t>
      </w:r>
      <w:r>
        <w:t xml:space="preserve"> before the juvenile court.</w:t>
      </w:r>
      <w:r>
        <w:t xml:space="preserve">  At a hearing on October 13, 2021, the court stated</w:t>
      </w:r>
      <w:r>
        <w:t xml:space="preserve"> as follows:  “The court has . . . considered the factors </w:t>
      </w:r>
      <w:r>
        <w:t>set forth in [section] 709[, subdivision (h)(5)(</w:t>
      </w:r>
      <w:r>
        <w:t>A)] . . . and finds that upon consideration of the</w:t>
      </w:r>
      <w:r>
        <w:t xml:space="preserve">se factors . . . </w:t>
      </w:r>
      <w:r>
        <w:t xml:space="preserve">it is in the best interest of </w:t>
      </w:r>
      <w:r>
        <w:t>K.R.</w:t>
      </w:r>
      <w:r>
        <w:t xml:space="preserve"> and the public safety for him to remain in his current custodial facility.”  </w:t>
      </w:r>
      <w:r>
        <w:t>K.R.</w:t>
      </w:r>
      <w:r>
        <w:t>’s attorney did not ask the court to clarify</w:t>
      </w:r>
      <w:r>
        <w:t xml:space="preserve"> its ruling</w:t>
      </w:r>
      <w:r>
        <w:t xml:space="preserve"> or ap</w:t>
      </w:r>
      <w:r>
        <w:t xml:space="preserve">ply each factor listed in subdivision (h)(5)(A) individually. </w:t>
      </w:r>
      <w:r>
        <w:t xml:space="preserve"> </w:t>
      </w:r>
      <w:r>
        <w:t>At another hearing o</w:t>
      </w:r>
      <w:r>
        <w:t xml:space="preserve">n May 12, 2022, the eve of the expiration of the one-year </w:t>
      </w:r>
      <w:r>
        <w:t xml:space="preserve">remediation period, the court </w:t>
      </w:r>
      <w:r>
        <w:t>stated, “This case involves an offense listed in subdivision (b) of [section] 707.</w:t>
      </w:r>
      <w:r>
        <w:t> . . </w:t>
      </w:r>
      <w:r>
        <w:t>.</w:t>
      </w:r>
      <w:r>
        <w:t xml:space="preserve">  </w:t>
      </w:r>
      <w:r>
        <w:t>[¶]  The court finds that it is necessary and in the best</w:t>
      </w:r>
      <w:r>
        <w:t xml:space="preserve"> interest of </w:t>
      </w:r>
      <w:r>
        <w:t>K.R.</w:t>
      </w:r>
      <w:r>
        <w:t xml:space="preserve"> and the public safety to order secure confinement of </w:t>
      </w:r>
      <w:r>
        <w:t>K.R.</w:t>
      </w:r>
      <w:r>
        <w:t xml:space="preserve"> . . . until the hearing is concluded over the defense objection.”  </w:t>
      </w:r>
      <w:r>
        <w:t>K</w:t>
      </w:r>
      <w:r>
        <w:t>.R.</w:t>
      </w:r>
      <w:r>
        <w:t xml:space="preserve">’s attorney had objected to the </w:t>
      </w:r>
      <w:r>
        <w:t xml:space="preserve">extension of </w:t>
      </w:r>
      <w:r>
        <w:t>K.R.</w:t>
      </w:r>
      <w:r>
        <w:t>’s confinement beyond one year</w:t>
      </w:r>
      <w:r>
        <w:t>,</w:t>
      </w:r>
      <w:r>
        <w:t xml:space="preserve"> </w:t>
      </w:r>
      <w:r>
        <w:t xml:space="preserve">but did not </w:t>
      </w:r>
      <w:r>
        <w:t xml:space="preserve">argue that </w:t>
      </w:r>
      <w:r>
        <w:t>the court’s ruling was improper for failing to consider all of the factors in section 709, subdivision (h)(</w:t>
      </w:r>
      <w:r>
        <w:t>5)(A)</w:t>
      </w:r>
      <w:r>
        <w:t xml:space="preserve"> explicitly</w:t>
      </w:r>
      <w:r>
        <w:t>.</w:t>
      </w:r>
      <w:r>
        <w:t xml:space="preserve">  The purpose of the forfeiture rule is “</w:t>
      </w:r>
      <w:r w:rsidRPr="002A6D8A">
        <w:t>to</w:t>
      </w:r>
      <w:r>
        <w:t xml:space="preserve"> </w:t>
      </w:r>
      <w:r w:rsidRPr="002A6D8A">
        <w:t>allow</w:t>
      </w:r>
      <w:r>
        <w:t xml:space="preserve"> </w:t>
      </w:r>
      <w:r w:rsidRPr="002A6D8A">
        <w:t>the trial</w:t>
      </w:r>
      <w:r>
        <w:t xml:space="preserve"> </w:t>
      </w:r>
      <w:r w:rsidRPr="002A6D8A">
        <w:t>court</w:t>
      </w:r>
      <w:r>
        <w:t xml:space="preserve"> </w:t>
      </w:r>
      <w:r w:rsidRPr="002A6D8A">
        <w:t>to</w:t>
      </w:r>
      <w:r>
        <w:t xml:space="preserve"> </w:t>
      </w:r>
      <w:r w:rsidRPr="002A6D8A">
        <w:t>correct</w:t>
      </w:r>
      <w:r>
        <w:t xml:space="preserve"> </w:t>
      </w:r>
      <w:r w:rsidRPr="002A6D8A">
        <w:t>its</w:t>
      </w:r>
      <w:r>
        <w:t xml:space="preserve"> </w:t>
      </w:r>
      <w:r w:rsidRPr="002A6D8A">
        <w:t>errors</w:t>
      </w:r>
      <w:r>
        <w:t xml:space="preserve"> </w:t>
      </w:r>
      <w:r w:rsidRPr="002A6D8A">
        <w:t xml:space="preserve">and </w:t>
      </w:r>
      <w:r>
        <w:t>‘</w:t>
      </w:r>
      <w:r w:rsidRPr="002A6D8A">
        <w:t>to prevent gamesmanship by the defense.</w:t>
      </w:r>
      <w:r>
        <w:t>’</w:t>
      </w:r>
      <w:r>
        <w:t xml:space="preserve"> </w:t>
      </w:r>
      <w:r w:rsidRPr="002A6D8A">
        <w:t>”</w:t>
      </w:r>
      <w:r>
        <w:t xml:space="preserve">  (</w:t>
      </w:r>
      <w:r w:rsidRPr="002A6D8A">
        <w:rPr>
          <w:i/>
          <w:iCs/>
        </w:rPr>
        <w:t>People v. Arredondo</w:t>
      </w:r>
      <w:r>
        <w:t xml:space="preserve"> </w:t>
      </w:r>
      <w:r w:rsidRPr="002A6D8A">
        <w:t>(2019) 8 Cal.5th 694, 710</w:t>
      </w:r>
      <w:r>
        <w:t xml:space="preserve">.)  </w:t>
      </w:r>
      <w:r>
        <w:t xml:space="preserve">By waiting until this writ petition to </w:t>
      </w:r>
      <w:r>
        <w:t>address the issu</w:t>
      </w:r>
      <w:r>
        <w:t xml:space="preserve">e, </w:t>
      </w:r>
      <w:r>
        <w:t>K.R.</w:t>
      </w:r>
      <w:r>
        <w:t xml:space="preserve"> has prevented the court from</w:t>
      </w:r>
      <w:r>
        <w:t xml:space="preserve"> considering the question or explaining its reasoning in the first instance</w:t>
      </w:r>
      <w:r>
        <w:t>.</w:t>
      </w:r>
    </w:p>
  </w:footnote>
  <w:footnote w:id="10">
    <w:p w14:paraId="6BB76244" w14:textId="77777777" w:rsidR="0001275A" w:rsidRDefault="00461399" w:rsidP="0001275A">
      <w:pPr>
        <w:pStyle w:val="FootnoteText"/>
        <w:spacing w:after="120"/>
      </w:pPr>
      <w:r w:rsidRPr="00831075">
        <w:rPr>
          <w:rStyle w:val="FootnoteReference"/>
          <w:position w:val="8"/>
        </w:rPr>
        <w:footnoteRef/>
      </w:r>
      <w:r w:rsidRPr="00831075">
        <w:t xml:space="preserve"> Our decision on this issue is l</w:t>
      </w:r>
      <w:r w:rsidRPr="00831075">
        <w:t>imited to the circumstances of this case.  We need not and do not decide whether section 709, subdivision (h)(5)(C) allows for secure confinement of minors beyond the one-year remediation period in any other situation</w:t>
      </w:r>
      <w:r w:rsidRPr="00831075">
        <w:t xml:space="preserve"> or for any other reason</w:t>
      </w:r>
      <w:r w:rsidRPr="00831075">
        <w:t>.</w:t>
      </w:r>
    </w:p>
  </w:footnote>
  <w:footnote w:id="11">
    <w:p w14:paraId="7541B433" w14:textId="77777777" w:rsidR="009969CC" w:rsidRDefault="00461399" w:rsidP="009D62F4">
      <w:pPr>
        <w:pStyle w:val="FootnoteText"/>
        <w:spacing w:after="120"/>
      </w:pPr>
      <w:r w:rsidRPr="001326C4">
        <w:rPr>
          <w:rStyle w:val="FootnoteReference"/>
          <w:position w:val="8"/>
        </w:rPr>
        <w:footnoteRef/>
      </w:r>
      <w:r>
        <w:t xml:space="preserve"> </w:t>
      </w:r>
      <w:r>
        <w:t xml:space="preserve">The People </w:t>
      </w:r>
      <w:r>
        <w:t xml:space="preserve">argue that we should reject these arguments as untimely.  </w:t>
      </w:r>
      <w:r>
        <w:t>“</w:t>
      </w:r>
      <w:r w:rsidRPr="009969CC">
        <w:t>Appellate courts generally require that nonstatutory writ petitions be filed within 60 days of service of the challenged order, i.e., the same 60</w:t>
      </w:r>
      <w:r>
        <w:t>-</w:t>
      </w:r>
      <w:r w:rsidRPr="009969CC">
        <w:t>day period applicable to appeals.</w:t>
      </w:r>
      <w:r>
        <w:t>”  (</w:t>
      </w:r>
      <w:r w:rsidRPr="009969CC">
        <w:rPr>
          <w:i/>
          <w:iCs/>
        </w:rPr>
        <w:t xml:space="preserve">St. Mary v. </w:t>
      </w:r>
      <w:r w:rsidRPr="009969CC">
        <w:rPr>
          <w:i/>
          <w:iCs/>
        </w:rPr>
        <w:t>Superior Court</w:t>
      </w:r>
      <w:r>
        <w:t xml:space="preserve"> </w:t>
      </w:r>
      <w:r w:rsidRPr="009969CC">
        <w:t xml:space="preserve">(2014) 223 Cal.App.4th 762, </w:t>
      </w:r>
      <w:r>
        <w:t>771-</w:t>
      </w:r>
      <w:r w:rsidRPr="009969CC">
        <w:t>772</w:t>
      </w:r>
      <w:r>
        <w:t>, fn. 14</w:t>
      </w:r>
      <w:r>
        <w:t>.)  In this case, the juvenile court</w:t>
      </w:r>
      <w:r>
        <w:t xml:space="preserve"> </w:t>
      </w:r>
      <w:r>
        <w:t xml:space="preserve">issued its order allowing the People’s expert to examine </w:t>
      </w:r>
      <w:r>
        <w:t>K.R.</w:t>
      </w:r>
      <w:r>
        <w:t xml:space="preserve"> on April</w:t>
      </w:r>
      <w:r>
        <w:t xml:space="preserve"> </w:t>
      </w:r>
      <w:r>
        <w:t xml:space="preserve">29, 2022.  </w:t>
      </w:r>
      <w:r>
        <w:t>K.R.</w:t>
      </w:r>
      <w:r>
        <w:t xml:space="preserve"> filed his writ petition</w:t>
      </w:r>
      <w:r>
        <w:t xml:space="preserve"> </w:t>
      </w:r>
      <w:r w:rsidRPr="00794827">
        <w:t>78 days later</w:t>
      </w:r>
      <w:r>
        <w:t>,</w:t>
      </w:r>
      <w:r>
        <w:t xml:space="preserve"> </w:t>
      </w:r>
      <w:r>
        <w:t>on July 15</w:t>
      </w:r>
      <w:r>
        <w:t xml:space="preserve">.  </w:t>
      </w:r>
      <w:r>
        <w:t>But we</w:t>
      </w:r>
      <w:r>
        <w:t xml:space="preserve"> have “</w:t>
      </w:r>
      <w:r w:rsidRPr="0067064B">
        <w:t>discretio</w:t>
      </w:r>
      <w:r w:rsidRPr="0067064B">
        <w:t>n to hear a writ petition beyond the 60</w:t>
      </w:r>
      <w:r>
        <w:t>-</w:t>
      </w:r>
      <w:r w:rsidRPr="0067064B">
        <w:t>day period</w:t>
      </w:r>
      <w:r>
        <w:t>.</w:t>
      </w:r>
      <w:r>
        <w:t>”</w:t>
      </w:r>
      <w:r>
        <w:t xml:space="preserve">  (</w:t>
      </w:r>
      <w:r w:rsidRPr="0067064B">
        <w:rPr>
          <w:i/>
          <w:iCs/>
        </w:rPr>
        <w:t>People v. Superior Court (Lopez)</w:t>
      </w:r>
      <w:r>
        <w:t xml:space="preserve"> </w:t>
      </w:r>
      <w:r w:rsidRPr="0067064B">
        <w:t>(2005) 125 Cal.App.4th 1558, 1563</w:t>
      </w:r>
      <w:r>
        <w:t xml:space="preserve">.)  Because there </w:t>
      </w:r>
      <w:r>
        <w:t xml:space="preserve">is no indication that the relatively minor delay in the filing of the petition has prejudiced the People, </w:t>
      </w:r>
      <w:r>
        <w:t>and the wri</w:t>
      </w:r>
      <w:r>
        <w:t>t was timely with regard to the</w:t>
      </w:r>
      <w:r>
        <w:t xml:space="preserve"> motion to dismiss pursuant to</w:t>
      </w:r>
      <w:r>
        <w:t xml:space="preserve"> section 709, </w:t>
      </w:r>
      <w:r>
        <w:t xml:space="preserve">we will </w:t>
      </w:r>
      <w:r>
        <w:t>exercise our discretion to address the issues surrounding the expert’s evaluation on the merits.</w:t>
      </w:r>
    </w:p>
  </w:footnote>
  <w:footnote w:id="12">
    <w:p w14:paraId="74AAFF23" w14:textId="77777777" w:rsidR="002C569A" w:rsidRPr="00831075" w:rsidRDefault="00461399" w:rsidP="003A3C9B">
      <w:pPr>
        <w:pStyle w:val="FootnoteText"/>
        <w:spacing w:after="120"/>
      </w:pPr>
      <w:r w:rsidRPr="00831075">
        <w:rPr>
          <w:rStyle w:val="FootnoteReference"/>
          <w:position w:val="8"/>
        </w:rPr>
        <w:footnoteRef/>
      </w:r>
      <w:r w:rsidRPr="00831075">
        <w:t xml:space="preserve"> </w:t>
      </w:r>
      <w:r w:rsidRPr="00831075">
        <w:t xml:space="preserve">At oral argument, </w:t>
      </w:r>
      <w:r>
        <w:t>K.R.</w:t>
      </w:r>
      <w:r w:rsidRPr="00831075">
        <w:t>’s attorney acknowledged having received the transcr</w:t>
      </w:r>
      <w:r w:rsidRPr="00831075">
        <w:t>ipts of th</w:t>
      </w:r>
      <w:r w:rsidRPr="00831075">
        <w:t>e recordings from th</w:t>
      </w:r>
      <w:r w:rsidRPr="00831075">
        <w:t xml:space="preserve">is </w:t>
      </w:r>
      <w:r w:rsidRPr="00831075">
        <w:rPr>
          <w:i/>
          <w:iCs/>
        </w:rPr>
        <w:t>Perkins</w:t>
      </w:r>
      <w:r w:rsidRPr="00831075">
        <w:t xml:space="preserve"> operation (see</w:t>
      </w:r>
      <w:r w:rsidRPr="00831075">
        <w:t xml:space="preserve"> </w:t>
      </w:r>
      <w:r w:rsidRPr="00831075">
        <w:rPr>
          <w:i/>
          <w:iCs/>
        </w:rPr>
        <w:t>Illinois v. Perkins</w:t>
      </w:r>
      <w:r w:rsidRPr="00831075">
        <w:t xml:space="preserve"> (1990) 496 U.S. 292</w:t>
      </w:r>
      <w:r w:rsidRPr="00831075">
        <w:t xml:space="preserve"> [110 S.Ct. 2394, 110 L.Ed.2d 243] (</w:t>
      </w:r>
      <w:r w:rsidRPr="00831075">
        <w:rPr>
          <w:i/>
          <w:iCs/>
        </w:rPr>
        <w:t>Perkins</w:t>
      </w:r>
      <w:r w:rsidRPr="00831075">
        <w:t>)</w:t>
      </w:r>
      <w:r w:rsidRPr="00831075">
        <w:t xml:space="preserve">) </w:t>
      </w:r>
      <w:r w:rsidRPr="00831075">
        <w:t>in discovery at an earlier stage of the case</w:t>
      </w:r>
      <w:r w:rsidRPr="00831075">
        <w:t>.  The</w:t>
      </w:r>
      <w:r w:rsidRPr="00831075">
        <w:t xml:space="preserve"> </w:t>
      </w:r>
      <w:r w:rsidRPr="00831075">
        <w:t xml:space="preserve">court-appointed experts </w:t>
      </w:r>
      <w:r w:rsidRPr="00831075">
        <w:t xml:space="preserve">who examined </w:t>
      </w:r>
      <w:r>
        <w:t>K.R.</w:t>
      </w:r>
      <w:r w:rsidRPr="00831075">
        <w:t xml:space="preserve"> initially and </w:t>
      </w:r>
      <w:r w:rsidRPr="00831075">
        <w:t xml:space="preserve">after six months of remediation </w:t>
      </w:r>
      <w:r>
        <w:t>seemingly</w:t>
      </w:r>
      <w:r w:rsidRPr="00831075">
        <w:t xml:space="preserve"> </w:t>
      </w:r>
      <w:r w:rsidRPr="00831075">
        <w:t>did not have access to these transcripts</w:t>
      </w:r>
      <w:r w:rsidRPr="00831075">
        <w:t>, however</w:t>
      </w:r>
      <w:r w:rsidRPr="00831075">
        <w:t xml:space="preserve">, as apparently neither the prosecutor </w:t>
      </w:r>
      <w:r w:rsidRPr="0043735F">
        <w:t>n</w:t>
      </w:r>
      <w:r w:rsidRPr="00831075">
        <w:t>or defense counsel provided them to those experts</w:t>
      </w:r>
      <w:r w:rsidRPr="00831075">
        <w:t>.</w:t>
      </w:r>
    </w:p>
  </w:footnote>
  <w:footnote w:id="13">
    <w:p w14:paraId="5F0AD03C" w14:textId="77777777" w:rsidR="00BB583B" w:rsidRDefault="00461399" w:rsidP="006329B6">
      <w:pPr>
        <w:pStyle w:val="FootnoteText"/>
        <w:spacing w:after="120"/>
      </w:pPr>
      <w:r w:rsidRPr="00831075">
        <w:rPr>
          <w:rStyle w:val="FootnoteReference"/>
          <w:position w:val="8"/>
        </w:rPr>
        <w:footnoteRef/>
      </w:r>
      <w:r w:rsidRPr="00831075">
        <w:t xml:space="preserve"> </w:t>
      </w:r>
      <w:r w:rsidRPr="00831075">
        <w:t>Ward stated that she</w:t>
      </w:r>
      <w:r w:rsidRPr="00831075">
        <w:t xml:space="preserve"> received recordings of approximately</w:t>
      </w:r>
      <w:r w:rsidRPr="00831075">
        <w:t xml:space="preserve"> eight phone calls</w:t>
      </w:r>
      <w:r w:rsidRPr="00831075">
        <w:t xml:space="preserve">, two of which she included in her </w:t>
      </w:r>
      <w:r w:rsidRPr="0043735F">
        <w:t xml:space="preserve">report.  </w:t>
      </w:r>
      <w:r w:rsidRPr="0043735F">
        <w:t xml:space="preserve">The </w:t>
      </w:r>
      <w:r w:rsidRPr="0043735F">
        <w:t xml:space="preserve">two calls described in Ward’s testimony and report appear to have been </w:t>
      </w:r>
      <w:r>
        <w:t xml:space="preserve">outgoing calls from juvenile hall </w:t>
      </w:r>
      <w:r w:rsidRPr="0043735F">
        <w:t xml:space="preserve">recorded shortly after court hearings on December 2 and December 16, 2021.  </w:t>
      </w:r>
      <w:r w:rsidRPr="0043735F">
        <w:t>Contreras,</w:t>
      </w:r>
      <w:r w:rsidRPr="0043735F">
        <w:t xml:space="preserve"> the defense expert,</w:t>
      </w:r>
      <w:r w:rsidRPr="0043735F">
        <w:t xml:space="preserve"> stated that he listened to recordings of 13 phone calls.  </w:t>
      </w:r>
      <w:r w:rsidRPr="0043735F">
        <w:t>It is not clear from the record when the other calls took place, nor when the prosecution o</w:t>
      </w:r>
      <w:r w:rsidRPr="0043735F">
        <w:t xml:space="preserve">btained the recordings of them.  Thus, we cannot determine whether it would have been possible to provide recordings of </w:t>
      </w:r>
      <w:r w:rsidRPr="0043735F">
        <w:t>any</w:t>
      </w:r>
      <w:r w:rsidRPr="0043735F">
        <w:t xml:space="preserve"> calls to </w:t>
      </w:r>
      <w:r w:rsidRPr="0043735F">
        <w:t>either of the previous</w:t>
      </w:r>
      <w:r w:rsidRPr="0043735F">
        <w:t xml:space="preserve"> court-appointed</w:t>
      </w:r>
      <w:r w:rsidRPr="0043735F">
        <w:t xml:space="preserve"> experts.</w:t>
      </w:r>
    </w:p>
  </w:footnote>
  <w:footnote w:id="14">
    <w:p w14:paraId="3CE364A4" w14:textId="77777777" w:rsidR="000C0D48" w:rsidRPr="00BD038A" w:rsidRDefault="00461399" w:rsidP="009D62F4">
      <w:pPr>
        <w:pStyle w:val="FootnoteText"/>
        <w:spacing w:after="120"/>
      </w:pPr>
      <w:r w:rsidRPr="001326C4">
        <w:rPr>
          <w:rStyle w:val="FootnoteReference"/>
          <w:position w:val="8"/>
        </w:rPr>
        <w:footnoteRef/>
      </w:r>
      <w:r>
        <w:t xml:space="preserve"> In this case, the </w:t>
      </w:r>
      <w:r>
        <w:t>evaluation by a prosecution expert took place in the co</w:t>
      </w:r>
      <w:r>
        <w:t>ntext of</w:t>
      </w:r>
      <w:r>
        <w:t xml:space="preserve"> </w:t>
      </w:r>
      <w:r>
        <w:t xml:space="preserve">a </w:t>
      </w:r>
      <w:r>
        <w:t>third</w:t>
      </w:r>
      <w:r>
        <w:t xml:space="preserve"> competency hearing near the end of the one-year remediation period.  As we explain above (see Discussion, part A, </w:t>
      </w:r>
      <w:r>
        <w:rPr>
          <w:i/>
          <w:iCs/>
        </w:rPr>
        <w:t>ante</w:t>
      </w:r>
      <w:r>
        <w:t xml:space="preserve">), section 709 implicitly allows for </w:t>
      </w:r>
      <w:r>
        <w:t xml:space="preserve">such hearings to occur.  </w:t>
      </w:r>
      <w:r>
        <w:t>In the absence of explicit instructions from the Legislatur</w:t>
      </w:r>
      <w:r>
        <w:t xml:space="preserve">e, we assume the rules applicable to </w:t>
      </w:r>
      <w:r>
        <w:t xml:space="preserve">six-month </w:t>
      </w:r>
      <w:r>
        <w:t>hearings under subdivision (h)(1) also apply to subsequent competency hearings.</w:t>
      </w:r>
    </w:p>
  </w:footnote>
  <w:footnote w:id="15">
    <w:p w14:paraId="7A98AF0E" w14:textId="77777777" w:rsidR="000C3CA4" w:rsidRPr="00FB32DA" w:rsidRDefault="00461399" w:rsidP="009D62F4">
      <w:pPr>
        <w:pStyle w:val="FootnoteText"/>
        <w:spacing w:after="120"/>
      </w:pPr>
      <w:r w:rsidRPr="00C313D2">
        <w:rPr>
          <w:rStyle w:val="FootnoteReference"/>
          <w:position w:val="8"/>
        </w:rPr>
        <w:footnoteRef/>
      </w:r>
      <w:r>
        <w:t xml:space="preserve"> Because </w:t>
      </w:r>
      <w:r>
        <w:t>K.R.</w:t>
      </w:r>
      <w:r>
        <w:t>’s claim is based solely on the application of state statutes, we review</w:t>
      </w:r>
      <w:r>
        <w:t xml:space="preserve"> for harmless error</w:t>
      </w:r>
      <w:r>
        <w:t xml:space="preserve"> under the </w:t>
      </w:r>
      <w:r>
        <w:rPr>
          <w:i/>
          <w:iCs/>
        </w:rPr>
        <w:t>Watson</w:t>
      </w:r>
      <w:r>
        <w:t xml:space="preserve"> standa</w:t>
      </w:r>
      <w:r>
        <w:t>rd.</w:t>
      </w:r>
      <w:r>
        <w:t xml:space="preserve">  (</w:t>
      </w:r>
      <w:r w:rsidRPr="000C3CA4">
        <w:rPr>
          <w:i/>
          <w:iCs/>
        </w:rPr>
        <w:t>People v. Epps</w:t>
      </w:r>
      <w:r>
        <w:t xml:space="preserve"> </w:t>
      </w:r>
      <w:r w:rsidRPr="000C3CA4">
        <w:t>(2001) 25 Cal.4th 19, 29</w:t>
      </w:r>
      <w:r>
        <w:t>.)</w:t>
      </w:r>
      <w:r>
        <w:t xml:space="preserve">  That is,</w:t>
      </w:r>
      <w:r>
        <w:t xml:space="preserve"> he must show that “</w:t>
      </w:r>
      <w:r w:rsidRPr="00E8712F">
        <w:t>it is reasonably probable that a result more favorable to the appealing party would have been reached in the absence of the error.</w:t>
      </w:r>
      <w:r>
        <w:t>”  (</w:t>
      </w:r>
      <w:r w:rsidRPr="00E8712F">
        <w:rPr>
          <w:i/>
          <w:iCs/>
        </w:rPr>
        <w:t>People v. Watson</w:t>
      </w:r>
      <w:r>
        <w:t xml:space="preserve"> </w:t>
      </w:r>
      <w:r w:rsidRPr="00E8712F">
        <w:t>(1956) 46 Cal.2d 818, 836</w:t>
      </w:r>
      <w:r>
        <w:t>.)</w:t>
      </w:r>
    </w:p>
  </w:footnote>
  <w:footnote w:id="16">
    <w:p w14:paraId="4E80B73A" w14:textId="77777777" w:rsidR="000F1315" w:rsidRDefault="00461399" w:rsidP="009D62F4">
      <w:pPr>
        <w:pStyle w:val="FootnoteText"/>
        <w:spacing w:after="120"/>
      </w:pPr>
      <w:r w:rsidRPr="00C313D2">
        <w:rPr>
          <w:rStyle w:val="FootnoteReference"/>
          <w:position w:val="8"/>
        </w:rPr>
        <w:footnoteRef/>
      </w:r>
      <w:r>
        <w:t xml:space="preserve"> The court’s effort to ameliorate the inadequacies of the prosecutor’s motion distinguishes this case from </w:t>
      </w:r>
      <w:r w:rsidRPr="0039444E">
        <w:rPr>
          <w:i/>
          <w:iCs/>
        </w:rPr>
        <w:t>Baqleh v. Superior Court</w:t>
      </w:r>
      <w:r w:rsidRPr="0039444E">
        <w:t xml:space="preserve">, </w:t>
      </w:r>
      <w:r w:rsidRPr="0039444E">
        <w:rPr>
          <w:i/>
        </w:rPr>
        <w:t>supra</w:t>
      </w:r>
      <w:r w:rsidRPr="0039444E">
        <w:t xml:space="preserve">, 100 Cal.App.4th 478.  In </w:t>
      </w:r>
      <w:r>
        <w:rPr>
          <w:i/>
          <w:iCs/>
        </w:rPr>
        <w:t>Baqleh</w:t>
      </w:r>
      <w:r w:rsidRPr="0039444E">
        <w:t xml:space="preserve">, </w:t>
      </w:r>
      <w:r>
        <w:t xml:space="preserve">as here, </w:t>
      </w:r>
      <w:r w:rsidRPr="0039444E">
        <w:t xml:space="preserve">the prosecution </w:t>
      </w:r>
      <w:r>
        <w:t>failed to comply with the Civil Discovery Act in seeki</w:t>
      </w:r>
      <w:r>
        <w:t xml:space="preserve">ng to employ an expert to evaluate an incompetent defendant.  The court granted the defendant’s writ petition and blocked the evaluation </w:t>
      </w:r>
      <w:r w:rsidRPr="0039444E">
        <w:t>because, “</w:t>
      </w:r>
      <w:r>
        <w:t>A</w:t>
      </w:r>
      <w:r w:rsidRPr="0039444E">
        <w:t>mong other things, the order permits unspecified individuals to examine petitioner at times and places of th</w:t>
      </w:r>
      <w:r w:rsidRPr="0039444E">
        <w:t xml:space="preserve">eir choosing with respect to matters that may be unrelated to his competence to stand trial.”  </w:t>
      </w:r>
      <w:r w:rsidRPr="006875BC">
        <w:t>(</w:t>
      </w:r>
      <w:r w:rsidRPr="001E0871">
        <w:rPr>
          <w:i/>
          <w:iCs/>
        </w:rPr>
        <w:t>Baqleh</w:t>
      </w:r>
      <w:r>
        <w:t xml:space="preserve">, </w:t>
      </w:r>
      <w:r w:rsidRPr="001E0871">
        <w:rPr>
          <w:i/>
          <w:iCs/>
        </w:rPr>
        <w:t>supra</w:t>
      </w:r>
      <w:r>
        <w:t xml:space="preserve">, </w:t>
      </w:r>
      <w:r w:rsidRPr="001E0871">
        <w:t>at</w:t>
      </w:r>
      <w:r w:rsidRPr="006875BC">
        <w:t xml:space="preserve"> p.</w:t>
      </w:r>
      <w:r>
        <w:t> </w:t>
      </w:r>
      <w:r>
        <w:t>492.)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A12E" w14:textId="77777777" w:rsidR="00851152" w:rsidRDefault="00461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F738" w14:textId="77777777" w:rsidR="00851152" w:rsidRDefault="004613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D7A7" w14:textId="77777777" w:rsidR="00851152" w:rsidRDefault="00461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CD1"/>
    <w:multiLevelType w:val="hybridMultilevel"/>
    <w:tmpl w:val="7ADA68FE"/>
    <w:lvl w:ilvl="0" w:tplc="E798425A">
      <w:start w:val="1"/>
      <w:numFmt w:val="upperLetter"/>
      <w:lvlText w:val="%1."/>
      <w:lvlJc w:val="left"/>
      <w:pPr>
        <w:ind w:left="1080" w:hanging="720"/>
      </w:pPr>
      <w:rPr>
        <w:rFonts w:hint="default"/>
        <w:i w:val="0"/>
      </w:rPr>
    </w:lvl>
    <w:lvl w:ilvl="1" w:tplc="DB5E4A22" w:tentative="1">
      <w:start w:val="1"/>
      <w:numFmt w:val="lowerLetter"/>
      <w:lvlText w:val="%2."/>
      <w:lvlJc w:val="left"/>
      <w:pPr>
        <w:ind w:left="1440" w:hanging="360"/>
      </w:pPr>
    </w:lvl>
    <w:lvl w:ilvl="2" w:tplc="8D4E6074" w:tentative="1">
      <w:start w:val="1"/>
      <w:numFmt w:val="lowerRoman"/>
      <w:lvlText w:val="%3."/>
      <w:lvlJc w:val="right"/>
      <w:pPr>
        <w:ind w:left="2160" w:hanging="180"/>
      </w:pPr>
    </w:lvl>
    <w:lvl w:ilvl="3" w:tplc="D3FCE8D4" w:tentative="1">
      <w:start w:val="1"/>
      <w:numFmt w:val="decimal"/>
      <w:lvlText w:val="%4."/>
      <w:lvlJc w:val="left"/>
      <w:pPr>
        <w:ind w:left="2880" w:hanging="360"/>
      </w:pPr>
    </w:lvl>
    <w:lvl w:ilvl="4" w:tplc="D3089888" w:tentative="1">
      <w:start w:val="1"/>
      <w:numFmt w:val="lowerLetter"/>
      <w:lvlText w:val="%5."/>
      <w:lvlJc w:val="left"/>
      <w:pPr>
        <w:ind w:left="3600" w:hanging="360"/>
      </w:pPr>
    </w:lvl>
    <w:lvl w:ilvl="5" w:tplc="1ADCD1DA" w:tentative="1">
      <w:start w:val="1"/>
      <w:numFmt w:val="lowerRoman"/>
      <w:lvlText w:val="%6."/>
      <w:lvlJc w:val="right"/>
      <w:pPr>
        <w:ind w:left="4320" w:hanging="180"/>
      </w:pPr>
    </w:lvl>
    <w:lvl w:ilvl="6" w:tplc="39168898" w:tentative="1">
      <w:start w:val="1"/>
      <w:numFmt w:val="decimal"/>
      <w:lvlText w:val="%7."/>
      <w:lvlJc w:val="left"/>
      <w:pPr>
        <w:ind w:left="5040" w:hanging="360"/>
      </w:pPr>
    </w:lvl>
    <w:lvl w:ilvl="7" w:tplc="B3E8622E" w:tentative="1">
      <w:start w:val="1"/>
      <w:numFmt w:val="lowerLetter"/>
      <w:lvlText w:val="%8."/>
      <w:lvlJc w:val="left"/>
      <w:pPr>
        <w:ind w:left="5760" w:hanging="360"/>
      </w:pPr>
    </w:lvl>
    <w:lvl w:ilvl="8" w:tplc="1680B5B4" w:tentative="1">
      <w:start w:val="1"/>
      <w:numFmt w:val="lowerRoman"/>
      <w:lvlText w:val="%9."/>
      <w:lvlJc w:val="right"/>
      <w:pPr>
        <w:ind w:left="6480" w:hanging="180"/>
      </w:pPr>
    </w:lvl>
  </w:abstractNum>
  <w:abstractNum w:abstractNumId="1" w15:restartNumberingAfterBreak="0">
    <w:nsid w:val="077261E5"/>
    <w:multiLevelType w:val="hybridMultilevel"/>
    <w:tmpl w:val="C1382338"/>
    <w:lvl w:ilvl="0" w:tplc="C3842314">
      <w:start w:val="1"/>
      <w:numFmt w:val="bullet"/>
      <w:lvlText w:val=""/>
      <w:lvlJc w:val="left"/>
      <w:pPr>
        <w:ind w:left="720" w:hanging="360"/>
      </w:pPr>
      <w:rPr>
        <w:rFonts w:ascii="Symbol" w:hAnsi="Symbol" w:hint="default"/>
      </w:rPr>
    </w:lvl>
    <w:lvl w:ilvl="1" w:tplc="3B12AA44" w:tentative="1">
      <w:start w:val="1"/>
      <w:numFmt w:val="bullet"/>
      <w:lvlText w:val="o"/>
      <w:lvlJc w:val="left"/>
      <w:pPr>
        <w:ind w:left="1440" w:hanging="360"/>
      </w:pPr>
      <w:rPr>
        <w:rFonts w:ascii="Courier New" w:hAnsi="Courier New" w:cs="Courier New" w:hint="default"/>
      </w:rPr>
    </w:lvl>
    <w:lvl w:ilvl="2" w:tplc="9836F744" w:tentative="1">
      <w:start w:val="1"/>
      <w:numFmt w:val="bullet"/>
      <w:lvlText w:val=""/>
      <w:lvlJc w:val="left"/>
      <w:pPr>
        <w:ind w:left="2160" w:hanging="360"/>
      </w:pPr>
      <w:rPr>
        <w:rFonts w:ascii="Wingdings" w:hAnsi="Wingdings" w:hint="default"/>
      </w:rPr>
    </w:lvl>
    <w:lvl w:ilvl="3" w:tplc="9422463C" w:tentative="1">
      <w:start w:val="1"/>
      <w:numFmt w:val="bullet"/>
      <w:lvlText w:val=""/>
      <w:lvlJc w:val="left"/>
      <w:pPr>
        <w:ind w:left="2880" w:hanging="360"/>
      </w:pPr>
      <w:rPr>
        <w:rFonts w:ascii="Symbol" w:hAnsi="Symbol" w:hint="default"/>
      </w:rPr>
    </w:lvl>
    <w:lvl w:ilvl="4" w:tplc="F6DAC9BE" w:tentative="1">
      <w:start w:val="1"/>
      <w:numFmt w:val="bullet"/>
      <w:lvlText w:val="o"/>
      <w:lvlJc w:val="left"/>
      <w:pPr>
        <w:ind w:left="3600" w:hanging="360"/>
      </w:pPr>
      <w:rPr>
        <w:rFonts w:ascii="Courier New" w:hAnsi="Courier New" w:cs="Courier New" w:hint="default"/>
      </w:rPr>
    </w:lvl>
    <w:lvl w:ilvl="5" w:tplc="32BA980E" w:tentative="1">
      <w:start w:val="1"/>
      <w:numFmt w:val="bullet"/>
      <w:lvlText w:val=""/>
      <w:lvlJc w:val="left"/>
      <w:pPr>
        <w:ind w:left="4320" w:hanging="360"/>
      </w:pPr>
      <w:rPr>
        <w:rFonts w:ascii="Wingdings" w:hAnsi="Wingdings" w:hint="default"/>
      </w:rPr>
    </w:lvl>
    <w:lvl w:ilvl="6" w:tplc="DD244D38" w:tentative="1">
      <w:start w:val="1"/>
      <w:numFmt w:val="bullet"/>
      <w:lvlText w:val=""/>
      <w:lvlJc w:val="left"/>
      <w:pPr>
        <w:ind w:left="5040" w:hanging="360"/>
      </w:pPr>
      <w:rPr>
        <w:rFonts w:ascii="Symbol" w:hAnsi="Symbol" w:hint="default"/>
      </w:rPr>
    </w:lvl>
    <w:lvl w:ilvl="7" w:tplc="D49AD57E" w:tentative="1">
      <w:start w:val="1"/>
      <w:numFmt w:val="bullet"/>
      <w:lvlText w:val="o"/>
      <w:lvlJc w:val="left"/>
      <w:pPr>
        <w:ind w:left="5760" w:hanging="360"/>
      </w:pPr>
      <w:rPr>
        <w:rFonts w:ascii="Courier New" w:hAnsi="Courier New" w:cs="Courier New" w:hint="default"/>
      </w:rPr>
    </w:lvl>
    <w:lvl w:ilvl="8" w:tplc="D9EA66D6" w:tentative="1">
      <w:start w:val="1"/>
      <w:numFmt w:val="bullet"/>
      <w:lvlText w:val=""/>
      <w:lvlJc w:val="left"/>
      <w:pPr>
        <w:ind w:left="6480" w:hanging="360"/>
      </w:pPr>
      <w:rPr>
        <w:rFonts w:ascii="Wingdings" w:hAnsi="Wingdings" w:hint="default"/>
      </w:rPr>
    </w:lvl>
  </w:abstractNum>
  <w:abstractNum w:abstractNumId="2" w15:restartNumberingAfterBreak="0">
    <w:nsid w:val="213931B4"/>
    <w:multiLevelType w:val="hybridMultilevel"/>
    <w:tmpl w:val="2D2678E0"/>
    <w:lvl w:ilvl="0" w:tplc="EE9EC86A">
      <w:start w:val="1"/>
      <w:numFmt w:val="decimal"/>
      <w:lvlText w:val="%1."/>
      <w:lvlJc w:val="left"/>
      <w:pPr>
        <w:ind w:left="1080" w:hanging="360"/>
      </w:pPr>
      <w:rPr>
        <w:rFonts w:hint="default"/>
        <w:i w:val="0"/>
      </w:rPr>
    </w:lvl>
    <w:lvl w:ilvl="1" w:tplc="380A61D6" w:tentative="1">
      <w:start w:val="1"/>
      <w:numFmt w:val="lowerLetter"/>
      <w:lvlText w:val="%2."/>
      <w:lvlJc w:val="left"/>
      <w:pPr>
        <w:ind w:left="1800" w:hanging="360"/>
      </w:pPr>
    </w:lvl>
    <w:lvl w:ilvl="2" w:tplc="A5DEC460" w:tentative="1">
      <w:start w:val="1"/>
      <w:numFmt w:val="lowerRoman"/>
      <w:lvlText w:val="%3."/>
      <w:lvlJc w:val="right"/>
      <w:pPr>
        <w:ind w:left="2520" w:hanging="180"/>
      </w:pPr>
    </w:lvl>
    <w:lvl w:ilvl="3" w:tplc="46B861C6" w:tentative="1">
      <w:start w:val="1"/>
      <w:numFmt w:val="decimal"/>
      <w:lvlText w:val="%4."/>
      <w:lvlJc w:val="left"/>
      <w:pPr>
        <w:ind w:left="3240" w:hanging="360"/>
      </w:pPr>
    </w:lvl>
    <w:lvl w:ilvl="4" w:tplc="69020162" w:tentative="1">
      <w:start w:val="1"/>
      <w:numFmt w:val="lowerLetter"/>
      <w:lvlText w:val="%5."/>
      <w:lvlJc w:val="left"/>
      <w:pPr>
        <w:ind w:left="3960" w:hanging="360"/>
      </w:pPr>
    </w:lvl>
    <w:lvl w:ilvl="5" w:tplc="61487428" w:tentative="1">
      <w:start w:val="1"/>
      <w:numFmt w:val="lowerRoman"/>
      <w:lvlText w:val="%6."/>
      <w:lvlJc w:val="right"/>
      <w:pPr>
        <w:ind w:left="4680" w:hanging="180"/>
      </w:pPr>
    </w:lvl>
    <w:lvl w:ilvl="6" w:tplc="9878CBB4" w:tentative="1">
      <w:start w:val="1"/>
      <w:numFmt w:val="decimal"/>
      <w:lvlText w:val="%7."/>
      <w:lvlJc w:val="left"/>
      <w:pPr>
        <w:ind w:left="5400" w:hanging="360"/>
      </w:pPr>
    </w:lvl>
    <w:lvl w:ilvl="7" w:tplc="570E126A" w:tentative="1">
      <w:start w:val="1"/>
      <w:numFmt w:val="lowerLetter"/>
      <w:lvlText w:val="%8."/>
      <w:lvlJc w:val="left"/>
      <w:pPr>
        <w:ind w:left="6120" w:hanging="360"/>
      </w:pPr>
    </w:lvl>
    <w:lvl w:ilvl="8" w:tplc="EE4A2D46" w:tentative="1">
      <w:start w:val="1"/>
      <w:numFmt w:val="lowerRoman"/>
      <w:lvlText w:val="%9."/>
      <w:lvlJc w:val="right"/>
      <w:pPr>
        <w:ind w:left="6840" w:hanging="180"/>
      </w:pPr>
    </w:lvl>
  </w:abstractNum>
  <w:abstractNum w:abstractNumId="3" w15:restartNumberingAfterBreak="0">
    <w:nsid w:val="32DA1476"/>
    <w:multiLevelType w:val="hybridMultilevel"/>
    <w:tmpl w:val="2382B790"/>
    <w:lvl w:ilvl="0" w:tplc="BC7A3808">
      <w:start w:val="1"/>
      <w:numFmt w:val="decimal"/>
      <w:lvlText w:val="%1."/>
      <w:lvlJc w:val="left"/>
      <w:pPr>
        <w:ind w:left="720" w:hanging="360"/>
      </w:pPr>
      <w:rPr>
        <w:rFonts w:hint="default"/>
      </w:rPr>
    </w:lvl>
    <w:lvl w:ilvl="1" w:tplc="06DCA510" w:tentative="1">
      <w:start w:val="1"/>
      <w:numFmt w:val="lowerLetter"/>
      <w:lvlText w:val="%2."/>
      <w:lvlJc w:val="left"/>
      <w:pPr>
        <w:ind w:left="1440" w:hanging="360"/>
      </w:pPr>
    </w:lvl>
    <w:lvl w:ilvl="2" w:tplc="0752503E" w:tentative="1">
      <w:start w:val="1"/>
      <w:numFmt w:val="lowerRoman"/>
      <w:lvlText w:val="%3."/>
      <w:lvlJc w:val="right"/>
      <w:pPr>
        <w:ind w:left="2160" w:hanging="180"/>
      </w:pPr>
    </w:lvl>
    <w:lvl w:ilvl="3" w:tplc="C31C8784" w:tentative="1">
      <w:start w:val="1"/>
      <w:numFmt w:val="decimal"/>
      <w:lvlText w:val="%4."/>
      <w:lvlJc w:val="left"/>
      <w:pPr>
        <w:ind w:left="2880" w:hanging="360"/>
      </w:pPr>
    </w:lvl>
    <w:lvl w:ilvl="4" w:tplc="4AB8E318" w:tentative="1">
      <w:start w:val="1"/>
      <w:numFmt w:val="lowerLetter"/>
      <w:lvlText w:val="%5."/>
      <w:lvlJc w:val="left"/>
      <w:pPr>
        <w:ind w:left="3600" w:hanging="360"/>
      </w:pPr>
    </w:lvl>
    <w:lvl w:ilvl="5" w:tplc="AE14C4AC" w:tentative="1">
      <w:start w:val="1"/>
      <w:numFmt w:val="lowerRoman"/>
      <w:lvlText w:val="%6."/>
      <w:lvlJc w:val="right"/>
      <w:pPr>
        <w:ind w:left="4320" w:hanging="180"/>
      </w:pPr>
    </w:lvl>
    <w:lvl w:ilvl="6" w:tplc="79345F9C" w:tentative="1">
      <w:start w:val="1"/>
      <w:numFmt w:val="decimal"/>
      <w:lvlText w:val="%7."/>
      <w:lvlJc w:val="left"/>
      <w:pPr>
        <w:ind w:left="5040" w:hanging="360"/>
      </w:pPr>
    </w:lvl>
    <w:lvl w:ilvl="7" w:tplc="655E57E6" w:tentative="1">
      <w:start w:val="1"/>
      <w:numFmt w:val="lowerLetter"/>
      <w:lvlText w:val="%8."/>
      <w:lvlJc w:val="left"/>
      <w:pPr>
        <w:ind w:left="5760" w:hanging="360"/>
      </w:pPr>
    </w:lvl>
    <w:lvl w:ilvl="8" w:tplc="6C8EF97A" w:tentative="1">
      <w:start w:val="1"/>
      <w:numFmt w:val="lowerRoman"/>
      <w:lvlText w:val="%9."/>
      <w:lvlJc w:val="right"/>
      <w:pPr>
        <w:ind w:left="6480" w:hanging="180"/>
      </w:pPr>
    </w:lvl>
  </w:abstractNum>
  <w:abstractNum w:abstractNumId="4" w15:restartNumberingAfterBreak="0">
    <w:nsid w:val="57954492"/>
    <w:multiLevelType w:val="hybridMultilevel"/>
    <w:tmpl w:val="D446FF76"/>
    <w:lvl w:ilvl="0" w:tplc="9FFC3140">
      <w:start w:val="7"/>
      <w:numFmt w:val="bullet"/>
      <w:lvlText w:val="-"/>
      <w:lvlJc w:val="left"/>
      <w:pPr>
        <w:ind w:left="1080" w:hanging="360"/>
      </w:pPr>
      <w:rPr>
        <w:rFonts w:ascii="Century Schoolbook" w:eastAsiaTheme="minorHAnsi" w:hAnsi="Century Schoolbook" w:cstheme="minorBidi" w:hint="default"/>
      </w:rPr>
    </w:lvl>
    <w:lvl w:ilvl="1" w:tplc="C96016CC" w:tentative="1">
      <w:start w:val="1"/>
      <w:numFmt w:val="bullet"/>
      <w:lvlText w:val="o"/>
      <w:lvlJc w:val="left"/>
      <w:pPr>
        <w:ind w:left="1800" w:hanging="360"/>
      </w:pPr>
      <w:rPr>
        <w:rFonts w:ascii="Courier New" w:hAnsi="Courier New" w:cs="Courier New" w:hint="default"/>
      </w:rPr>
    </w:lvl>
    <w:lvl w:ilvl="2" w:tplc="D9B44A0E" w:tentative="1">
      <w:start w:val="1"/>
      <w:numFmt w:val="bullet"/>
      <w:lvlText w:val=""/>
      <w:lvlJc w:val="left"/>
      <w:pPr>
        <w:ind w:left="2520" w:hanging="360"/>
      </w:pPr>
      <w:rPr>
        <w:rFonts w:ascii="Wingdings" w:hAnsi="Wingdings" w:hint="default"/>
      </w:rPr>
    </w:lvl>
    <w:lvl w:ilvl="3" w:tplc="5C823A32" w:tentative="1">
      <w:start w:val="1"/>
      <w:numFmt w:val="bullet"/>
      <w:lvlText w:val=""/>
      <w:lvlJc w:val="left"/>
      <w:pPr>
        <w:ind w:left="3240" w:hanging="360"/>
      </w:pPr>
      <w:rPr>
        <w:rFonts w:ascii="Symbol" w:hAnsi="Symbol" w:hint="default"/>
      </w:rPr>
    </w:lvl>
    <w:lvl w:ilvl="4" w:tplc="05200DE2" w:tentative="1">
      <w:start w:val="1"/>
      <w:numFmt w:val="bullet"/>
      <w:lvlText w:val="o"/>
      <w:lvlJc w:val="left"/>
      <w:pPr>
        <w:ind w:left="3960" w:hanging="360"/>
      </w:pPr>
      <w:rPr>
        <w:rFonts w:ascii="Courier New" w:hAnsi="Courier New" w:cs="Courier New" w:hint="default"/>
      </w:rPr>
    </w:lvl>
    <w:lvl w:ilvl="5" w:tplc="DA881280" w:tentative="1">
      <w:start w:val="1"/>
      <w:numFmt w:val="bullet"/>
      <w:lvlText w:val=""/>
      <w:lvlJc w:val="left"/>
      <w:pPr>
        <w:ind w:left="4680" w:hanging="360"/>
      </w:pPr>
      <w:rPr>
        <w:rFonts w:ascii="Wingdings" w:hAnsi="Wingdings" w:hint="default"/>
      </w:rPr>
    </w:lvl>
    <w:lvl w:ilvl="6" w:tplc="15EEB304" w:tentative="1">
      <w:start w:val="1"/>
      <w:numFmt w:val="bullet"/>
      <w:lvlText w:val=""/>
      <w:lvlJc w:val="left"/>
      <w:pPr>
        <w:ind w:left="5400" w:hanging="360"/>
      </w:pPr>
      <w:rPr>
        <w:rFonts w:ascii="Symbol" w:hAnsi="Symbol" w:hint="default"/>
      </w:rPr>
    </w:lvl>
    <w:lvl w:ilvl="7" w:tplc="2A2A146C" w:tentative="1">
      <w:start w:val="1"/>
      <w:numFmt w:val="bullet"/>
      <w:lvlText w:val="o"/>
      <w:lvlJc w:val="left"/>
      <w:pPr>
        <w:ind w:left="6120" w:hanging="360"/>
      </w:pPr>
      <w:rPr>
        <w:rFonts w:ascii="Courier New" w:hAnsi="Courier New" w:cs="Courier New" w:hint="default"/>
      </w:rPr>
    </w:lvl>
    <w:lvl w:ilvl="8" w:tplc="B7B642F0" w:tentative="1">
      <w:start w:val="1"/>
      <w:numFmt w:val="bullet"/>
      <w:lvlText w:val=""/>
      <w:lvlJc w:val="left"/>
      <w:pPr>
        <w:ind w:left="6840" w:hanging="360"/>
      </w:pPr>
      <w:rPr>
        <w:rFonts w:ascii="Wingdings" w:hAnsi="Wingdings" w:hint="default"/>
      </w:rPr>
    </w:lvl>
  </w:abstractNum>
  <w:num w:numId="1" w16cid:durableId="1679698486">
    <w:abstractNumId w:val="1"/>
  </w:num>
  <w:num w:numId="2" w16cid:durableId="1088191145">
    <w:abstractNumId w:val="3"/>
  </w:num>
  <w:num w:numId="3" w16cid:durableId="1959683046">
    <w:abstractNumId w:val="4"/>
  </w:num>
  <w:num w:numId="4" w16cid:durableId="593591938">
    <w:abstractNumId w:val="0"/>
  </w:num>
  <w:num w:numId="5" w16cid:durableId="542786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defaultTabStop w:val="720"/>
  <w:drawingGridHorizontalSpacing w:val="13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46"/>
    <w:rsid w:val="00461399"/>
    <w:rsid w:val="00597146"/>
    <w:rsid w:val="005C5BEE"/>
  </w:rsids>
  <m:mathPr>
    <m:mathFont m:val="Cambria Math"/>
    <m:brkBin m:val="before"/>
    <m:brkBinSub m:val="--"/>
    <m:smallFrac m:val="0"/>
    <m:dispDef/>
    <m:lMargin m:val="0"/>
    <m:rMargin m:val="0"/>
    <m:defJc m:val="centerGroup"/>
    <m:wrapIndent m:val="1440"/>
    <m:intLim m:val="subSup"/>
    <m:naryLim m:val="undOvr"/>
  </m:mathPr>
  <w:themeFontLang w:val="en-US" w:bidi="mn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4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930"/>
    <w:pPr>
      <w:adjustRightInd w:val="0"/>
      <w:spacing w:line="288" w:lineRule="auto"/>
      <w:textAlignment w:val="baseline"/>
    </w:pPr>
    <w:rPr>
      <w:rFonts w:ascii="Century Schoolbook" w:hAnsi="Century Schoolbook"/>
      <w:sz w:val="26"/>
      <w:szCs w:val="22"/>
    </w:rPr>
  </w:style>
  <w:style w:type="paragraph" w:styleId="Heading1">
    <w:name w:val="heading 1"/>
    <w:basedOn w:val="Normal"/>
    <w:next w:val="Normal"/>
    <w:link w:val="Heading1Char"/>
    <w:uiPriority w:val="9"/>
    <w:qFormat/>
    <w:rsid w:val="00AD227A"/>
    <w:pPr>
      <w:keepNext/>
      <w:keepLines/>
      <w:spacing w:before="120" w:after="120" w:line="360" w:lineRule="auto"/>
      <w:jc w:val="center"/>
      <w:outlineLvl w:val="0"/>
    </w:pPr>
    <w:rPr>
      <w:b/>
      <w:bCs/>
      <w:szCs w:val="26"/>
    </w:rPr>
  </w:style>
  <w:style w:type="paragraph" w:styleId="Heading2">
    <w:name w:val="heading 2"/>
    <w:basedOn w:val="Normal"/>
    <w:next w:val="Normal"/>
    <w:link w:val="Heading2Char"/>
    <w:uiPriority w:val="9"/>
    <w:unhideWhenUsed/>
    <w:qFormat/>
    <w:rsid w:val="000F25F4"/>
    <w:pPr>
      <w:keepNext/>
      <w:keepLines/>
      <w:spacing w:before="120" w:after="120" w:line="360" w:lineRule="auto"/>
      <w:ind w:left="720" w:hanging="720"/>
      <w:outlineLvl w:val="1"/>
    </w:pPr>
    <w:rPr>
      <w:b/>
      <w:bCs/>
      <w:szCs w:val="26"/>
    </w:rPr>
  </w:style>
  <w:style w:type="paragraph" w:styleId="Heading3">
    <w:name w:val="heading 3"/>
    <w:basedOn w:val="Heading2"/>
    <w:next w:val="Normal"/>
    <w:link w:val="Heading3Char"/>
    <w:uiPriority w:val="9"/>
    <w:unhideWhenUsed/>
    <w:qFormat/>
    <w:rsid w:val="00DF0520"/>
    <w:pPr>
      <w:ind w:left="18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27A"/>
    <w:rPr>
      <w:rFonts w:ascii="Century Schoolbook" w:eastAsia="Times New Roman" w:hAnsi="Century Schoolbook" w:cs="Times New Roman"/>
      <w:b/>
      <w:bCs/>
      <w:sz w:val="26"/>
      <w:szCs w:val="26"/>
    </w:rPr>
  </w:style>
  <w:style w:type="paragraph" w:styleId="FootnoteText">
    <w:name w:val="footnote text"/>
    <w:basedOn w:val="Normal"/>
    <w:link w:val="FootnoteTextChar"/>
    <w:uiPriority w:val="99"/>
    <w:unhideWhenUsed/>
    <w:rsid w:val="0094132C"/>
    <w:pPr>
      <w:spacing w:line="240" w:lineRule="auto"/>
      <w:ind w:firstLine="720"/>
    </w:pPr>
    <w:rPr>
      <w:szCs w:val="20"/>
    </w:rPr>
  </w:style>
  <w:style w:type="character" w:customStyle="1" w:styleId="FootnoteTextChar">
    <w:name w:val="Footnote Text Char"/>
    <w:link w:val="FootnoteText"/>
    <w:uiPriority w:val="99"/>
    <w:rsid w:val="0094132C"/>
    <w:rPr>
      <w:rFonts w:ascii="Century Schoolbook" w:hAnsi="Century Schoolbook" w:cs="Times New Roman"/>
      <w:sz w:val="26"/>
      <w:szCs w:val="20"/>
    </w:rPr>
  </w:style>
  <w:style w:type="character" w:styleId="FootnoteReference">
    <w:name w:val="footnote reference"/>
    <w:uiPriority w:val="99"/>
    <w:semiHidden/>
    <w:unhideWhenUsed/>
    <w:rsid w:val="0094132C"/>
    <w:rPr>
      <w:rFonts w:ascii="Century Schoolbook" w:hAnsi="Century Schoolbook"/>
      <w:b/>
      <w:position w:val="6"/>
      <w:sz w:val="20"/>
      <w:vertAlign w:val="baseline"/>
    </w:rPr>
  </w:style>
  <w:style w:type="paragraph" w:customStyle="1" w:styleId="OverallHeader">
    <w:name w:val="Overall Header"/>
    <w:basedOn w:val="Normal"/>
    <w:next w:val="Normal"/>
    <w:link w:val="OverallHeaderChar"/>
    <w:qFormat/>
    <w:rsid w:val="007C762F"/>
    <w:pPr>
      <w:spacing w:line="240" w:lineRule="auto"/>
      <w:jc w:val="center"/>
    </w:pPr>
    <w:rPr>
      <w:b/>
      <w:szCs w:val="26"/>
    </w:rPr>
  </w:style>
  <w:style w:type="character" w:customStyle="1" w:styleId="OverallHeaderChar">
    <w:name w:val="Overall Header Char"/>
    <w:link w:val="OverallHeader"/>
    <w:rsid w:val="007C762F"/>
    <w:rPr>
      <w:rFonts w:ascii="Century Schoolbook" w:hAnsi="Century Schoolbook" w:cs="Times New Roman"/>
      <w:b/>
      <w:sz w:val="26"/>
      <w:szCs w:val="26"/>
    </w:rPr>
  </w:style>
  <w:style w:type="paragraph" w:customStyle="1" w:styleId="Style1">
    <w:name w:val="Style1"/>
    <w:basedOn w:val="Normal"/>
    <w:link w:val="Style1Char"/>
    <w:qFormat/>
    <w:rsid w:val="007C762F"/>
    <w:pPr>
      <w:spacing w:line="240" w:lineRule="auto"/>
      <w:jc w:val="center"/>
    </w:pPr>
    <w:rPr>
      <w:szCs w:val="26"/>
    </w:rPr>
  </w:style>
  <w:style w:type="character" w:customStyle="1" w:styleId="Style1Char">
    <w:name w:val="Style1 Char"/>
    <w:link w:val="Style1"/>
    <w:rsid w:val="007C762F"/>
    <w:rPr>
      <w:rFonts w:ascii="Century Schoolbook" w:hAnsi="Century Schoolbook" w:cs="Times New Roman"/>
      <w:sz w:val="26"/>
      <w:szCs w:val="26"/>
    </w:rPr>
  </w:style>
  <w:style w:type="paragraph" w:customStyle="1" w:styleId="OverallHeading">
    <w:name w:val="Overall Heading"/>
    <w:next w:val="Normal"/>
    <w:link w:val="OverallHeadingChar"/>
    <w:qFormat/>
    <w:rsid w:val="007C762F"/>
    <w:pPr>
      <w:spacing w:line="288" w:lineRule="auto"/>
    </w:pPr>
    <w:rPr>
      <w:rFonts w:ascii="Century Schoolbook" w:hAnsi="Century Schoolbook"/>
      <w:sz w:val="26"/>
      <w:szCs w:val="26"/>
    </w:rPr>
  </w:style>
  <w:style w:type="character" w:customStyle="1" w:styleId="OverallHeadingChar">
    <w:name w:val="Overall Heading Char"/>
    <w:link w:val="OverallHeading"/>
    <w:rsid w:val="007C762F"/>
    <w:rPr>
      <w:rFonts w:ascii="Century Schoolbook" w:hAnsi="Century Schoolbook" w:cs="Times New Roman"/>
      <w:sz w:val="26"/>
      <w:szCs w:val="26"/>
    </w:rPr>
  </w:style>
  <w:style w:type="character" w:customStyle="1" w:styleId="Heading2Char">
    <w:name w:val="Heading 2 Char"/>
    <w:link w:val="Heading2"/>
    <w:uiPriority w:val="9"/>
    <w:rsid w:val="000F25F4"/>
    <w:rPr>
      <w:rFonts w:ascii="Century Schoolbook" w:hAnsi="Century Schoolbook"/>
      <w:b/>
      <w:bCs/>
      <w:sz w:val="26"/>
      <w:szCs w:val="26"/>
    </w:rPr>
  </w:style>
  <w:style w:type="paragraph" w:styleId="Header">
    <w:name w:val="header"/>
    <w:basedOn w:val="Normal"/>
    <w:link w:val="HeaderChar"/>
    <w:uiPriority w:val="99"/>
    <w:unhideWhenUsed/>
    <w:rsid w:val="00352965"/>
    <w:pPr>
      <w:tabs>
        <w:tab w:val="center" w:pos="4680"/>
        <w:tab w:val="right" w:pos="9360"/>
      </w:tabs>
    </w:pPr>
  </w:style>
  <w:style w:type="character" w:customStyle="1" w:styleId="HeaderChar">
    <w:name w:val="Header Char"/>
    <w:basedOn w:val="DefaultParagraphFont"/>
    <w:link w:val="Header"/>
    <w:uiPriority w:val="99"/>
    <w:rsid w:val="00352965"/>
    <w:rPr>
      <w:rFonts w:ascii="Century Schoolbook" w:hAnsi="Century Schoolbook"/>
      <w:sz w:val="26"/>
      <w:szCs w:val="22"/>
    </w:rPr>
  </w:style>
  <w:style w:type="paragraph" w:styleId="Footer">
    <w:name w:val="footer"/>
    <w:basedOn w:val="Normal"/>
    <w:link w:val="FooterChar"/>
    <w:uiPriority w:val="99"/>
    <w:unhideWhenUsed/>
    <w:rsid w:val="00352965"/>
    <w:pPr>
      <w:tabs>
        <w:tab w:val="center" w:pos="4680"/>
        <w:tab w:val="right" w:pos="9360"/>
      </w:tabs>
    </w:pPr>
  </w:style>
  <w:style w:type="character" w:customStyle="1" w:styleId="FooterChar">
    <w:name w:val="Footer Char"/>
    <w:basedOn w:val="DefaultParagraphFont"/>
    <w:link w:val="Footer"/>
    <w:uiPriority w:val="99"/>
    <w:rsid w:val="00352965"/>
    <w:rPr>
      <w:rFonts w:ascii="Century Schoolbook" w:hAnsi="Century Schoolbook"/>
      <w:sz w:val="26"/>
      <w:szCs w:val="22"/>
    </w:rPr>
  </w:style>
  <w:style w:type="character" w:styleId="PageNumber">
    <w:name w:val="page number"/>
    <w:basedOn w:val="DefaultParagraphFont"/>
    <w:uiPriority w:val="99"/>
    <w:semiHidden/>
    <w:unhideWhenUsed/>
    <w:rsid w:val="00352965"/>
  </w:style>
  <w:style w:type="character" w:styleId="Hyperlink">
    <w:name w:val="Hyperlink"/>
    <w:basedOn w:val="DefaultParagraphFont"/>
    <w:uiPriority w:val="99"/>
    <w:unhideWhenUsed/>
    <w:rsid w:val="00E4109C"/>
    <w:rPr>
      <w:color w:val="0000FF" w:themeColor="hyperlink"/>
      <w:u w:val="single"/>
    </w:rPr>
  </w:style>
  <w:style w:type="paragraph" w:styleId="BalloonText">
    <w:name w:val="Balloon Text"/>
    <w:basedOn w:val="Normal"/>
    <w:link w:val="BalloonTextChar"/>
    <w:uiPriority w:val="99"/>
    <w:semiHidden/>
    <w:unhideWhenUsed/>
    <w:rsid w:val="008B2623"/>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B2623"/>
    <w:rPr>
      <w:rFonts w:ascii="Times New Roman" w:hAnsi="Times New Roman"/>
      <w:sz w:val="18"/>
      <w:szCs w:val="18"/>
    </w:rPr>
  </w:style>
  <w:style w:type="character" w:customStyle="1" w:styleId="Heading3Char">
    <w:name w:val="Heading 3 Char"/>
    <w:basedOn w:val="DefaultParagraphFont"/>
    <w:link w:val="Heading3"/>
    <w:uiPriority w:val="9"/>
    <w:rsid w:val="00DF0520"/>
    <w:rPr>
      <w:rFonts w:ascii="Century Schoolbook" w:hAnsi="Century Schoolbook"/>
      <w:b/>
      <w:bCs/>
      <w:sz w:val="26"/>
      <w:szCs w:val="26"/>
    </w:rPr>
  </w:style>
  <w:style w:type="paragraph" w:styleId="NormalWeb">
    <w:name w:val="Normal (Web)"/>
    <w:basedOn w:val="Normal"/>
    <w:uiPriority w:val="99"/>
    <w:semiHidden/>
    <w:unhideWhenUsed/>
    <w:rsid w:val="00DA4B65"/>
    <w:rPr>
      <w:rFonts w:ascii="Times New Roman" w:hAnsi="Times New Roman"/>
      <w:sz w:val="24"/>
      <w:szCs w:val="24"/>
    </w:rPr>
  </w:style>
  <w:style w:type="paragraph" w:styleId="Revision">
    <w:name w:val="Revision"/>
    <w:hidden/>
    <w:uiPriority w:val="99"/>
    <w:semiHidden/>
    <w:rsid w:val="0045320D"/>
    <w:rPr>
      <w:rFonts w:ascii="Century Schoolbook" w:hAnsi="Century Schoolbook"/>
      <w:sz w:val="26"/>
      <w:szCs w:val="22"/>
    </w:rPr>
  </w:style>
  <w:style w:type="paragraph" w:styleId="ListParagraph">
    <w:name w:val="List Paragraph"/>
    <w:basedOn w:val="Normal"/>
    <w:uiPriority w:val="34"/>
    <w:qFormat/>
    <w:rsid w:val="00D47CF2"/>
    <w:pPr>
      <w:ind w:left="720"/>
      <w:contextualSpacing/>
    </w:pPr>
  </w:style>
  <w:style w:type="character" w:customStyle="1" w:styleId="UnresolvedMention1">
    <w:name w:val="Unresolved Mention1"/>
    <w:basedOn w:val="DefaultParagraphFont"/>
    <w:uiPriority w:val="99"/>
    <w:semiHidden/>
    <w:unhideWhenUsed/>
    <w:rsid w:val="005943AF"/>
    <w:rPr>
      <w:color w:val="605E5C"/>
      <w:shd w:val="clear" w:color="auto" w:fill="E1DFDD"/>
    </w:rPr>
  </w:style>
  <w:style w:type="character" w:customStyle="1" w:styleId="UnresolvedMention2">
    <w:name w:val="Unresolved Mention2"/>
    <w:basedOn w:val="DefaultParagraphFont"/>
    <w:uiPriority w:val="99"/>
    <w:semiHidden/>
    <w:unhideWhenUsed/>
    <w:rsid w:val="00AB2F09"/>
    <w:rPr>
      <w:color w:val="605E5C"/>
      <w:shd w:val="clear" w:color="auto" w:fill="E1DFDD"/>
    </w:rPr>
  </w:style>
  <w:style w:type="character" w:styleId="CommentReference">
    <w:name w:val="annotation reference"/>
    <w:basedOn w:val="DefaultParagraphFont"/>
    <w:uiPriority w:val="99"/>
    <w:semiHidden/>
    <w:unhideWhenUsed/>
    <w:rsid w:val="00F74F3D"/>
    <w:rPr>
      <w:sz w:val="16"/>
      <w:szCs w:val="16"/>
    </w:rPr>
  </w:style>
  <w:style w:type="paragraph" w:styleId="CommentText">
    <w:name w:val="annotation text"/>
    <w:basedOn w:val="Normal"/>
    <w:link w:val="CommentTextChar"/>
    <w:uiPriority w:val="99"/>
    <w:unhideWhenUsed/>
    <w:rsid w:val="00F74F3D"/>
    <w:pPr>
      <w:spacing w:line="240" w:lineRule="auto"/>
    </w:pPr>
    <w:rPr>
      <w:sz w:val="20"/>
      <w:szCs w:val="20"/>
    </w:rPr>
  </w:style>
  <w:style w:type="character" w:customStyle="1" w:styleId="CommentTextChar">
    <w:name w:val="Comment Text Char"/>
    <w:basedOn w:val="DefaultParagraphFont"/>
    <w:link w:val="CommentText"/>
    <w:uiPriority w:val="99"/>
    <w:rsid w:val="00F74F3D"/>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F74F3D"/>
    <w:rPr>
      <w:b/>
      <w:bCs/>
    </w:rPr>
  </w:style>
  <w:style w:type="character" w:customStyle="1" w:styleId="CommentSubjectChar">
    <w:name w:val="Comment Subject Char"/>
    <w:basedOn w:val="CommentTextChar"/>
    <w:link w:val="CommentSubject"/>
    <w:uiPriority w:val="99"/>
    <w:semiHidden/>
    <w:rsid w:val="00F74F3D"/>
    <w:rPr>
      <w:rFonts w:ascii="Century Schoolbook" w:hAnsi="Century Schoolbook"/>
      <w:b/>
      <w:bCs/>
    </w:rPr>
  </w:style>
  <w:style w:type="character" w:styleId="FollowedHyperlink">
    <w:name w:val="FollowedHyperlink"/>
    <w:basedOn w:val="DefaultParagraphFont"/>
    <w:uiPriority w:val="99"/>
    <w:semiHidden/>
    <w:unhideWhenUsed/>
    <w:rsid w:val="007E17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7465</Words>
  <Characters>38949</Characters>
  <Application>Microsoft Office Word</Application>
  <DocSecurity>0</DocSecurity>
  <Lines>821</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2023-03-30T20:26:00Z</dcterms:created>
  <dcterms:modified xsi:type="dcterms:W3CDTF">2023-03-30T20:26:00Z</dcterms:modified>
  <cp:category/>
</cp:coreProperties>
</file>