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3001C1" w:rsidRPr="003001C1" w:rsidP="003001C1" w14:paraId="27FDC6AA" w14:textId="2C76F95B">
      <w:pPr>
        <w:spacing w:line="240" w:lineRule="auto"/>
        <w:rPr>
          <w:rFonts w:eastAsia="Calibri"/>
          <w:bCs/>
          <w:kern w:val="2"/>
          <w:sz w:val="20"/>
          <w:szCs w:val="20"/>
          <w:lang w:eastAsia="en-US"/>
        </w:rPr>
      </w:pPr>
      <w:r>
        <w:rPr>
          <w:rFonts w:eastAsia="Calibri"/>
          <w:bCs/>
          <w:kern w:val="2"/>
          <w:sz w:val="20"/>
          <w:szCs w:val="20"/>
          <w:lang w:eastAsia="en-US"/>
        </w:rPr>
        <w:t>Filed 10/27/23</w:t>
      </w:r>
    </w:p>
    <w:p w:rsidR="001359B1" w:rsidP="003001C1" w14:paraId="00029D6F" w14:textId="2FBAAFFA">
      <w:pPr>
        <w:spacing w:line="240" w:lineRule="auto"/>
        <w:jc w:val="center"/>
        <w:rPr>
          <w:rFonts w:eastAsia="Calibri"/>
          <w:b/>
          <w:kern w:val="2"/>
          <w:szCs w:val="26"/>
          <w:lang w:eastAsia="en-US"/>
        </w:rPr>
      </w:pPr>
      <w:r>
        <w:rPr>
          <w:rFonts w:eastAsia="Calibri"/>
          <w:b/>
          <w:kern w:val="2"/>
          <w:szCs w:val="26"/>
          <w:u w:val="single"/>
          <w:lang w:eastAsia="en-US"/>
        </w:rPr>
        <w:t>CERTIFIED FOR PUBLICATION</w:t>
      </w:r>
    </w:p>
    <w:p w:rsidR="003001C1" w:rsidRPr="003001C1" w:rsidP="003001C1" w14:paraId="3A7182FB" w14:textId="77777777">
      <w:pPr>
        <w:spacing w:line="240" w:lineRule="auto"/>
      </w:pPr>
    </w:p>
    <w:p w:rsidR="001359B1" w:rsidRPr="000566EE" w:rsidP="001359B1" w14:paraId="498605A3" w14:textId="35930D1E">
      <w:pPr>
        <w:spacing w:line="240" w:lineRule="auto"/>
      </w:pPr>
    </w:p>
    <w:p w:rsidR="000566EE" w:rsidRPr="000566EE" w:rsidP="000566EE" w14:paraId="05C1D088" w14:textId="77777777">
      <w:pPr>
        <w:spacing w:line="240" w:lineRule="auto"/>
        <w:jc w:val="center"/>
      </w:pPr>
      <w:r w:rsidRPr="000566EE">
        <w:t>IN THE COURT OF APPEAL OF THE STATE OF CALIFORNIA</w:t>
      </w:r>
    </w:p>
    <w:p w:rsidR="000566EE" w:rsidRPr="000566EE" w:rsidP="000566EE" w14:paraId="7769B48A" w14:textId="77777777">
      <w:pPr>
        <w:spacing w:line="240" w:lineRule="auto"/>
        <w:jc w:val="center"/>
      </w:pPr>
    </w:p>
    <w:p w:rsidR="000566EE" w:rsidRPr="000566EE" w:rsidP="000566EE" w14:paraId="2D4008BF" w14:textId="77777777">
      <w:pPr>
        <w:spacing w:line="240" w:lineRule="auto"/>
        <w:jc w:val="center"/>
      </w:pPr>
      <w:r w:rsidRPr="000566EE">
        <w:t>SECOND APPELLATE DISTRICT</w:t>
      </w:r>
    </w:p>
    <w:p w:rsidR="000566EE" w:rsidRPr="000566EE" w:rsidP="000566EE" w14:paraId="0C9C4F8C" w14:textId="77777777">
      <w:pPr>
        <w:spacing w:line="240" w:lineRule="auto"/>
        <w:jc w:val="center"/>
      </w:pPr>
    </w:p>
    <w:p w:rsidR="000566EE" w:rsidRPr="000566EE" w:rsidP="000566EE" w14:paraId="63A45E43" w14:textId="77777777">
      <w:pPr>
        <w:spacing w:line="240" w:lineRule="auto"/>
        <w:jc w:val="center"/>
      </w:pPr>
      <w:r w:rsidRPr="000566EE">
        <w:t>DIVISION FOUR</w:t>
      </w:r>
    </w:p>
    <w:p w:rsidR="001359B1" w:rsidRPr="000566EE" w:rsidP="001359B1" w14:paraId="656AF5A3" w14:textId="77777777">
      <w:pPr>
        <w:spacing w:line="240" w:lineRule="auto"/>
      </w:pPr>
    </w:p>
    <w:p w:rsidR="007A636B" w:rsidRPr="000566EE" w:rsidP="007A636B" w14:paraId="6D8F5F0D" w14:textId="77777777">
      <w:pPr>
        <w:spacing w:line="240" w:lineRule="auto"/>
        <w:jc w:val="center"/>
      </w:pPr>
    </w:p>
    <w:tbl>
      <w:tblPr>
        <w:tblW w:w="10008" w:type="dxa"/>
        <w:tblInd w:w="0" w:type="dxa"/>
        <w:tblLayout w:type="fixed"/>
        <w:tblCellMar>
          <w:top w:w="0" w:type="dxa"/>
          <w:left w:w="108" w:type="dxa"/>
          <w:bottom w:w="0" w:type="dxa"/>
          <w:right w:w="108" w:type="dxa"/>
        </w:tblCellMar>
        <w:tblLook w:val="0000"/>
      </w:tblPr>
      <w:tblGrid>
        <w:gridCol w:w="4230"/>
        <w:gridCol w:w="5778"/>
      </w:tblGrid>
      <w:tr w14:paraId="3ED9E997" w14:textId="77777777" w:rsidTr="000566EE">
        <w:tblPrEx>
          <w:tblW w:w="10008" w:type="dxa"/>
          <w:tblInd w:w="0" w:type="dxa"/>
          <w:tblLayout w:type="fixed"/>
          <w:tblCellMar>
            <w:top w:w="0" w:type="dxa"/>
            <w:left w:w="108" w:type="dxa"/>
            <w:bottom w:w="0" w:type="dxa"/>
            <w:right w:w="108" w:type="dxa"/>
          </w:tblCellMar>
          <w:tblLook w:val="0000"/>
        </w:tblPrEx>
        <w:tc>
          <w:tcPr>
            <w:tcW w:w="4230" w:type="dxa"/>
            <w:vMerge w:val="restart"/>
            <w:tcBorders>
              <w:right w:val="single" w:sz="4" w:space="0" w:color="auto"/>
            </w:tcBorders>
            <w:shd w:val="clear" w:color="auto" w:fill="auto"/>
          </w:tcPr>
          <w:p w:rsidR="00775EC2" w:rsidRPr="000566EE" w:rsidP="003F7EBC" w14:paraId="66D75B80" w14:textId="34DE9029">
            <w:pPr>
              <w:spacing w:after="0" w:line="240" w:lineRule="auto"/>
              <w:contextualSpacing/>
              <w:rPr>
                <w:rStyle w:val="DefaultParagraphFont"/>
                <w:rFonts w:ascii="Century Schoolbook" w:eastAsia="Times New Roman" w:hAnsi="Century Schoolbook" w:cs="Times New Roman"/>
                <w:sz w:val="26"/>
                <w:szCs w:val="26"/>
                <w:lang w:val="en-US" w:eastAsia="zh-CN" w:bidi="ar-SA"/>
              </w:rPr>
            </w:pPr>
            <w:r w:rsidRPr="000566EE">
              <w:rPr>
                <w:rFonts w:ascii="Century Schoolbook" w:eastAsia="Times New Roman" w:hAnsi="Century Schoolbook" w:cs="Times New Roman"/>
                <w:sz w:val="26"/>
                <w:szCs w:val="26"/>
                <w:lang w:val="en-US" w:eastAsia="zh-CN" w:bidi="ar-SA"/>
              </w:rPr>
              <w:t xml:space="preserve">YES IN MY BACK YARD </w:t>
            </w:r>
            <w:r w:rsidRPr="000566EE" w:rsidR="00E9370E">
              <w:rPr>
                <w:rFonts w:ascii="Century Schoolbook" w:eastAsia="Times New Roman" w:hAnsi="Century Schoolbook" w:cs="Times New Roman"/>
                <w:sz w:val="26"/>
                <w:szCs w:val="26"/>
                <w:lang w:val="en-US" w:eastAsia="zh-CN" w:bidi="ar-SA"/>
              </w:rPr>
              <w:t>et al.,</w:t>
            </w:r>
          </w:p>
          <w:p w:rsidR="00775EC2" w:rsidRPr="000566EE" w:rsidP="003F7EBC" w14:paraId="6EDE18C3" w14:textId="77777777">
            <w:pPr>
              <w:spacing w:after="0" w:line="240" w:lineRule="auto"/>
              <w:ind w:left="720"/>
              <w:contextualSpacing/>
              <w:rPr>
                <w:rStyle w:val="DefaultParagraphFont"/>
                <w:rFonts w:ascii="Century Schoolbook" w:eastAsia="Times New Roman" w:hAnsi="Century Schoolbook" w:cs="Times New Roman"/>
                <w:sz w:val="26"/>
                <w:szCs w:val="26"/>
                <w:lang w:val="en-US" w:eastAsia="zh-CN" w:bidi="ar-SA"/>
              </w:rPr>
            </w:pPr>
          </w:p>
          <w:p w:rsidR="00775EC2" w:rsidRPr="000566EE" w:rsidP="003F7EBC" w14:paraId="5968D3D2" w14:textId="759CD405">
            <w:pPr>
              <w:spacing w:after="0" w:line="240" w:lineRule="auto"/>
              <w:ind w:left="720"/>
              <w:contextualSpacing/>
              <w:rPr>
                <w:rStyle w:val="DefaultParagraphFont"/>
                <w:rFonts w:ascii="Century Schoolbook" w:eastAsia="Times New Roman" w:hAnsi="Century Schoolbook" w:cs="Times New Roman"/>
                <w:sz w:val="26"/>
                <w:szCs w:val="26"/>
                <w:lang w:val="en-US" w:eastAsia="zh-CN" w:bidi="ar-SA"/>
              </w:rPr>
            </w:pPr>
            <w:r w:rsidRPr="000566EE">
              <w:rPr>
                <w:rFonts w:ascii="Century Schoolbook" w:eastAsia="Times New Roman" w:hAnsi="Century Schoolbook" w:cs="Times New Roman"/>
                <w:sz w:val="26"/>
                <w:szCs w:val="26"/>
                <w:lang w:val="en-US" w:eastAsia="zh-CN" w:bidi="ar-SA"/>
              </w:rPr>
              <w:t>Plaintiff</w:t>
            </w:r>
            <w:r w:rsidRPr="000566EE" w:rsidR="00743AFF">
              <w:rPr>
                <w:rFonts w:ascii="Century Schoolbook" w:eastAsia="Times New Roman" w:hAnsi="Century Schoolbook" w:cs="Times New Roman"/>
                <w:sz w:val="26"/>
                <w:szCs w:val="26"/>
                <w:lang w:val="en-US" w:eastAsia="zh-CN" w:bidi="ar-SA"/>
              </w:rPr>
              <w:t>s</w:t>
            </w:r>
            <w:r w:rsidRPr="000566EE">
              <w:rPr>
                <w:rFonts w:ascii="Century Schoolbook" w:eastAsia="Times New Roman" w:hAnsi="Century Schoolbook" w:cs="Times New Roman"/>
                <w:sz w:val="26"/>
                <w:szCs w:val="26"/>
                <w:lang w:val="en-US" w:eastAsia="zh-CN" w:bidi="ar-SA"/>
              </w:rPr>
              <w:t xml:space="preserve"> and Respondent</w:t>
            </w:r>
            <w:r w:rsidRPr="000566EE" w:rsidR="00743AFF">
              <w:rPr>
                <w:rFonts w:ascii="Century Schoolbook" w:eastAsia="Times New Roman" w:hAnsi="Century Schoolbook" w:cs="Times New Roman"/>
                <w:sz w:val="26"/>
                <w:szCs w:val="26"/>
                <w:lang w:val="en-US" w:eastAsia="zh-CN" w:bidi="ar-SA"/>
              </w:rPr>
              <w:t>s</w:t>
            </w:r>
            <w:r w:rsidRPr="000566EE">
              <w:rPr>
                <w:rFonts w:ascii="Century Schoolbook" w:eastAsia="Times New Roman" w:hAnsi="Century Schoolbook" w:cs="Times New Roman"/>
                <w:sz w:val="26"/>
                <w:szCs w:val="26"/>
                <w:lang w:val="en-US" w:eastAsia="zh-CN" w:bidi="ar-SA"/>
              </w:rPr>
              <w:t>,</w:t>
            </w:r>
          </w:p>
          <w:p w:rsidR="00775EC2" w:rsidRPr="000566EE" w:rsidP="003F7EBC" w14:paraId="2592F72F" w14:textId="77777777">
            <w:pPr>
              <w:spacing w:after="0" w:line="240" w:lineRule="auto"/>
              <w:contextualSpacing/>
              <w:rPr>
                <w:rStyle w:val="DefaultParagraphFont"/>
                <w:rFonts w:ascii="Century Schoolbook" w:eastAsia="Times New Roman" w:hAnsi="Century Schoolbook" w:cs="Times New Roman"/>
                <w:sz w:val="26"/>
                <w:szCs w:val="26"/>
                <w:lang w:val="en-US" w:eastAsia="zh-CN" w:bidi="ar-SA"/>
              </w:rPr>
            </w:pPr>
          </w:p>
          <w:p w:rsidR="00775EC2" w:rsidRPr="000566EE" w:rsidP="003F7EBC" w14:paraId="12217C07" w14:textId="77777777">
            <w:pPr>
              <w:spacing w:after="0" w:line="240" w:lineRule="auto"/>
              <w:ind w:left="720"/>
              <w:contextualSpacing/>
              <w:rPr>
                <w:rStyle w:val="DefaultParagraphFont"/>
                <w:rFonts w:ascii="Century Schoolbook" w:eastAsia="Times New Roman" w:hAnsi="Century Schoolbook" w:cs="Times New Roman"/>
                <w:sz w:val="26"/>
                <w:szCs w:val="26"/>
                <w:lang w:val="en-US" w:eastAsia="zh-CN" w:bidi="ar-SA"/>
              </w:rPr>
            </w:pPr>
            <w:r w:rsidRPr="000566EE">
              <w:rPr>
                <w:rFonts w:ascii="Century Schoolbook" w:eastAsia="Times New Roman" w:hAnsi="Century Schoolbook" w:cs="Times New Roman"/>
                <w:sz w:val="26"/>
                <w:szCs w:val="26"/>
                <w:lang w:val="en-US" w:eastAsia="zh-CN" w:bidi="ar-SA"/>
              </w:rPr>
              <w:t>v.</w:t>
            </w:r>
          </w:p>
          <w:p w:rsidR="00775EC2" w:rsidRPr="000566EE" w:rsidP="003F7EBC" w14:paraId="299FC3A1" w14:textId="77777777">
            <w:pPr>
              <w:spacing w:after="0" w:line="240" w:lineRule="auto"/>
              <w:contextualSpacing/>
              <w:rPr>
                <w:rStyle w:val="DefaultParagraphFont"/>
                <w:rFonts w:ascii="Century Schoolbook" w:eastAsia="Times New Roman" w:hAnsi="Century Schoolbook" w:cs="Times New Roman"/>
                <w:sz w:val="26"/>
                <w:szCs w:val="26"/>
                <w:lang w:val="en-US" w:eastAsia="zh-CN" w:bidi="ar-SA"/>
              </w:rPr>
            </w:pPr>
          </w:p>
          <w:p w:rsidR="00775EC2" w:rsidRPr="000566EE" w:rsidP="003F7EBC" w14:paraId="0FD81A0C" w14:textId="594D4644">
            <w:pPr>
              <w:spacing w:after="0" w:line="240" w:lineRule="auto"/>
              <w:contextualSpacing/>
              <w:rPr>
                <w:rStyle w:val="DefaultParagraphFont"/>
                <w:rFonts w:ascii="Century Schoolbook" w:eastAsia="Times New Roman" w:hAnsi="Century Schoolbook" w:cs="Times New Roman"/>
                <w:sz w:val="26"/>
                <w:szCs w:val="26"/>
                <w:lang w:val="en-US" w:eastAsia="zh-CN" w:bidi="ar-SA"/>
              </w:rPr>
            </w:pPr>
            <w:r w:rsidRPr="000566EE">
              <w:rPr>
                <w:rFonts w:ascii="Century Schoolbook" w:eastAsia="Times New Roman" w:hAnsi="Century Schoolbook" w:cs="Times New Roman"/>
                <w:sz w:val="26"/>
                <w:szCs w:val="26"/>
                <w:lang w:val="en-US" w:eastAsia="zh-CN" w:bidi="ar-SA"/>
              </w:rPr>
              <w:t>CITY OF CULVER CITY</w:t>
            </w:r>
            <w:r w:rsidRPr="000566EE" w:rsidR="004129AD">
              <w:rPr>
                <w:rFonts w:ascii="Century Schoolbook" w:eastAsia="Times New Roman" w:hAnsi="Century Schoolbook" w:cs="Times New Roman"/>
                <w:sz w:val="26"/>
                <w:szCs w:val="26"/>
                <w:lang w:val="en-US" w:eastAsia="zh-CN" w:bidi="ar-SA"/>
              </w:rPr>
              <w:t xml:space="preserve"> et al.,</w:t>
            </w:r>
          </w:p>
          <w:p w:rsidR="00775EC2" w:rsidRPr="000566EE" w:rsidP="003F7EBC" w14:paraId="706C090F" w14:textId="77777777">
            <w:pPr>
              <w:spacing w:after="0" w:line="240" w:lineRule="auto"/>
              <w:contextualSpacing/>
              <w:rPr>
                <w:rStyle w:val="DefaultParagraphFont"/>
                <w:rFonts w:ascii="Century Schoolbook" w:eastAsia="Times New Roman" w:hAnsi="Century Schoolbook" w:cs="Times New Roman"/>
                <w:sz w:val="26"/>
                <w:szCs w:val="26"/>
                <w:lang w:val="en-US" w:eastAsia="zh-CN" w:bidi="ar-SA"/>
              </w:rPr>
            </w:pPr>
          </w:p>
          <w:p w:rsidR="00775EC2" w:rsidRPr="000566EE" w:rsidP="003F7EBC" w14:paraId="7BA48852" w14:textId="3DF2F746">
            <w:pPr>
              <w:spacing w:after="0" w:line="240" w:lineRule="auto"/>
              <w:ind w:left="720"/>
              <w:contextualSpacing/>
              <w:rPr>
                <w:rStyle w:val="DefaultParagraphFont"/>
                <w:rFonts w:ascii="Century Schoolbook" w:eastAsia="Times New Roman" w:hAnsi="Century Schoolbook" w:cs="Times New Roman"/>
                <w:sz w:val="26"/>
                <w:szCs w:val="26"/>
                <w:lang w:val="en-US" w:eastAsia="zh-CN" w:bidi="ar-SA"/>
              </w:rPr>
            </w:pPr>
            <w:r w:rsidRPr="000566EE">
              <w:rPr>
                <w:rFonts w:ascii="Century Schoolbook" w:eastAsia="Times New Roman" w:hAnsi="Century Schoolbook" w:cs="Times New Roman"/>
                <w:sz w:val="26"/>
                <w:szCs w:val="26"/>
                <w:lang w:val="en-US" w:eastAsia="zh-CN" w:bidi="ar-SA"/>
              </w:rPr>
              <w:t>Defendant</w:t>
            </w:r>
            <w:r w:rsidRPr="000566EE" w:rsidR="00B3028B">
              <w:rPr>
                <w:rFonts w:ascii="Century Schoolbook" w:eastAsia="Times New Roman" w:hAnsi="Century Schoolbook" w:cs="Times New Roman"/>
                <w:sz w:val="26"/>
                <w:szCs w:val="26"/>
                <w:lang w:val="en-US" w:eastAsia="zh-CN" w:bidi="ar-SA"/>
              </w:rPr>
              <w:t>s</w:t>
            </w:r>
            <w:r w:rsidRPr="000566EE">
              <w:rPr>
                <w:rFonts w:ascii="Century Schoolbook" w:eastAsia="Times New Roman" w:hAnsi="Century Schoolbook" w:cs="Times New Roman"/>
                <w:sz w:val="26"/>
                <w:szCs w:val="26"/>
                <w:lang w:val="en-US" w:eastAsia="zh-CN" w:bidi="ar-SA"/>
              </w:rPr>
              <w:t xml:space="preserve"> and Appellant</w:t>
            </w:r>
            <w:r w:rsidRPr="000566EE" w:rsidR="00B3028B">
              <w:rPr>
                <w:rFonts w:ascii="Century Schoolbook" w:eastAsia="Times New Roman" w:hAnsi="Century Schoolbook" w:cs="Times New Roman"/>
                <w:sz w:val="26"/>
                <w:szCs w:val="26"/>
                <w:lang w:val="en-US" w:eastAsia="zh-CN" w:bidi="ar-SA"/>
              </w:rPr>
              <w:t>s</w:t>
            </w:r>
            <w:r w:rsidRPr="000566EE" w:rsidR="00945BBF">
              <w:rPr>
                <w:rFonts w:ascii="Century Schoolbook" w:eastAsia="Times New Roman" w:hAnsi="Century Schoolbook" w:cs="Times New Roman"/>
                <w:sz w:val="26"/>
                <w:szCs w:val="26"/>
                <w:lang w:val="en-US" w:eastAsia="zh-CN" w:bidi="ar-SA"/>
              </w:rPr>
              <w:t>.</w:t>
            </w:r>
          </w:p>
          <w:p w:rsidR="00775EC2" w:rsidRPr="000566EE" w:rsidP="004F01E4" w14:paraId="03BCF020" w14:textId="77777777">
            <w:pPr>
              <w:spacing w:after="0" w:line="240" w:lineRule="auto"/>
              <w:contextualSpacing/>
              <w:rPr>
                <w:rStyle w:val="DefaultParagraphFont"/>
                <w:rFonts w:ascii="Century Schoolbook" w:eastAsia="Times New Roman" w:hAnsi="Century Schoolbook" w:cs="Times New Roman"/>
                <w:sz w:val="26"/>
                <w:szCs w:val="26"/>
                <w:lang w:val="en-US" w:eastAsia="zh-CN" w:bidi="ar-SA"/>
              </w:rPr>
            </w:pPr>
          </w:p>
        </w:tc>
        <w:tc>
          <w:tcPr>
            <w:tcW w:w="5778" w:type="dxa"/>
            <w:tcBorders>
              <w:left w:val="single" w:sz="4" w:space="0" w:color="auto"/>
            </w:tcBorders>
            <w:shd w:val="clear" w:color="auto" w:fill="auto"/>
          </w:tcPr>
          <w:p w:rsidR="00775EC2" w:rsidRPr="000566EE" w:rsidP="003F7EBC" w14:paraId="02549BB3" w14:textId="553062AE">
            <w:pPr>
              <w:spacing w:after="0" w:line="240" w:lineRule="auto"/>
              <w:rPr>
                <w:rStyle w:val="DefaultParagraphFont"/>
                <w:rFonts w:ascii="Century Schoolbook" w:eastAsia="Times New Roman" w:hAnsi="Century Schoolbook" w:cs="Times New Roman"/>
                <w:sz w:val="26"/>
                <w:szCs w:val="26"/>
                <w:lang w:val="en-US" w:eastAsia="zh-CN" w:bidi="ar-SA"/>
              </w:rPr>
            </w:pPr>
            <w:r w:rsidRPr="000566EE">
              <w:rPr>
                <w:rFonts w:ascii="Century Schoolbook" w:eastAsia="Times New Roman" w:hAnsi="Century Schoolbook" w:cs="Times New Roman"/>
                <w:sz w:val="26"/>
                <w:szCs w:val="26"/>
                <w:lang w:val="en-US" w:eastAsia="zh-CN" w:bidi="ar-SA"/>
              </w:rPr>
              <w:t xml:space="preserve">      </w:t>
            </w:r>
            <w:r w:rsidRPr="000566EE" w:rsidR="006564DB">
              <w:rPr>
                <w:rFonts w:ascii="Century Schoolbook" w:eastAsia="Times New Roman" w:hAnsi="Century Schoolbook" w:cs="Times New Roman"/>
                <w:sz w:val="26"/>
                <w:szCs w:val="26"/>
                <w:lang w:val="en-US" w:eastAsia="zh-CN" w:bidi="ar-SA"/>
              </w:rPr>
              <w:t>B321477</w:t>
            </w:r>
            <w:r w:rsidRPr="000566EE" w:rsidR="00110377">
              <w:rPr>
                <w:rFonts w:ascii="Century Schoolbook" w:eastAsia="Times New Roman" w:hAnsi="Century Schoolbook" w:cs="Times New Roman"/>
                <w:sz w:val="26"/>
                <w:szCs w:val="26"/>
                <w:lang w:val="en-US" w:eastAsia="zh-CN" w:bidi="ar-SA"/>
              </w:rPr>
              <w:t xml:space="preserve"> c</w:t>
            </w:r>
            <w:r w:rsidRPr="000566EE" w:rsidR="00A066F1">
              <w:rPr>
                <w:rFonts w:ascii="Century Schoolbook" w:eastAsia="Times New Roman" w:hAnsi="Century Schoolbook" w:cs="Times New Roman"/>
                <w:sz w:val="26"/>
                <w:szCs w:val="26"/>
                <w:lang w:val="en-US" w:eastAsia="zh-CN" w:bidi="ar-SA"/>
              </w:rPr>
              <w:t>onsolidated with</w:t>
            </w:r>
            <w:r w:rsidRPr="000566EE" w:rsidR="00110377">
              <w:rPr>
                <w:rFonts w:ascii="Century Schoolbook" w:eastAsia="Times New Roman" w:hAnsi="Century Schoolbook" w:cs="Times New Roman"/>
                <w:sz w:val="26"/>
                <w:szCs w:val="26"/>
                <w:lang w:val="en-US" w:eastAsia="zh-CN" w:bidi="ar-SA"/>
              </w:rPr>
              <w:t xml:space="preserve"> B325606</w:t>
            </w:r>
          </w:p>
          <w:p w:rsidR="00775EC2" w:rsidRPr="000566EE" w:rsidP="003F7EBC" w14:paraId="02E5CB9E" w14:textId="77777777">
            <w:pPr>
              <w:spacing w:after="0" w:line="240" w:lineRule="auto"/>
              <w:rPr>
                <w:rStyle w:val="DefaultParagraphFont"/>
                <w:rFonts w:ascii="Century Schoolbook" w:eastAsia="Times New Roman" w:hAnsi="Century Schoolbook" w:cs="Times New Roman"/>
                <w:sz w:val="26"/>
                <w:szCs w:val="26"/>
                <w:lang w:val="en-US" w:eastAsia="zh-CN" w:bidi="ar-SA"/>
              </w:rPr>
            </w:pPr>
            <w:r w:rsidRPr="000566EE">
              <w:rPr>
                <w:rFonts w:ascii="Century Schoolbook" w:eastAsia="Times New Roman" w:hAnsi="Century Schoolbook" w:cs="Times New Roman"/>
                <w:sz w:val="26"/>
                <w:szCs w:val="26"/>
                <w:lang w:val="en-US" w:eastAsia="zh-CN" w:bidi="ar-SA"/>
              </w:rPr>
              <w:t xml:space="preserve">      (Los Angeles County</w:t>
            </w:r>
          </w:p>
          <w:p w:rsidR="00775EC2" w:rsidRPr="000566EE" w:rsidP="003F7EBC" w14:paraId="44C1189C" w14:textId="5C717BD4">
            <w:pPr>
              <w:spacing w:after="0" w:line="240" w:lineRule="auto"/>
              <w:rPr>
                <w:rStyle w:val="DefaultParagraphFont"/>
                <w:rFonts w:ascii="Century Schoolbook" w:eastAsia="Times New Roman" w:hAnsi="Century Schoolbook" w:cs="Times New Roman"/>
                <w:sz w:val="26"/>
                <w:szCs w:val="26"/>
                <w:lang w:val="en-US" w:eastAsia="zh-CN" w:bidi="ar-SA"/>
              </w:rPr>
            </w:pPr>
            <w:r w:rsidRPr="000566EE">
              <w:rPr>
                <w:rFonts w:ascii="Century Schoolbook" w:eastAsia="Times New Roman" w:hAnsi="Century Schoolbook" w:cs="Times New Roman"/>
                <w:sz w:val="26"/>
                <w:szCs w:val="26"/>
                <w:lang w:val="en-US" w:eastAsia="zh-CN" w:bidi="ar-SA"/>
              </w:rPr>
              <w:t xml:space="preserve">       Super. Ct. No. </w:t>
            </w:r>
            <w:r w:rsidRPr="000566EE" w:rsidR="006564DB">
              <w:rPr>
                <w:rFonts w:ascii="Century Schoolbook" w:eastAsia="Times New Roman" w:hAnsi="Century Schoolbook" w:cs="Times New Roman"/>
                <w:sz w:val="26"/>
                <w:szCs w:val="26"/>
                <w:lang w:val="en-US" w:eastAsia="zh-CN" w:bidi="ar-SA"/>
              </w:rPr>
              <w:t>20STCV43253</w:t>
            </w:r>
            <w:r w:rsidRPr="000566EE">
              <w:rPr>
                <w:rFonts w:ascii="Century Schoolbook" w:eastAsia="Times New Roman" w:hAnsi="Century Schoolbook" w:cs="Times New Roman"/>
                <w:sz w:val="26"/>
                <w:szCs w:val="26"/>
                <w:lang w:val="en-US" w:eastAsia="zh-CN" w:bidi="ar-SA"/>
              </w:rPr>
              <w:t>)</w:t>
            </w:r>
          </w:p>
        </w:tc>
      </w:tr>
      <w:tr w14:paraId="56830F29" w14:textId="77777777" w:rsidTr="000566EE">
        <w:tblPrEx>
          <w:tblW w:w="10008" w:type="dxa"/>
          <w:tblInd w:w="0" w:type="dxa"/>
          <w:tblLayout w:type="fixed"/>
          <w:tblCellMar>
            <w:top w:w="0" w:type="dxa"/>
            <w:left w:w="108" w:type="dxa"/>
            <w:bottom w:w="0" w:type="dxa"/>
            <w:right w:w="108" w:type="dxa"/>
          </w:tblCellMar>
          <w:tblLook w:val="0000"/>
        </w:tblPrEx>
        <w:tc>
          <w:tcPr>
            <w:tcW w:w="4230" w:type="dxa"/>
            <w:vMerge/>
            <w:tcBorders>
              <w:bottom w:val="single" w:sz="4" w:space="0" w:color="auto"/>
              <w:right w:val="single" w:sz="4" w:space="0" w:color="auto"/>
            </w:tcBorders>
            <w:shd w:val="clear" w:color="auto" w:fill="auto"/>
          </w:tcPr>
          <w:p w:rsidR="00775EC2" w:rsidRPr="000566EE" w:rsidP="003F7EBC" w14:paraId="48E31EA5" w14:textId="77777777">
            <w:pPr>
              <w:spacing w:after="0" w:line="240" w:lineRule="auto"/>
              <w:contextualSpacing/>
              <w:rPr>
                <w:rStyle w:val="DefaultParagraphFont"/>
                <w:rFonts w:ascii="Century Schoolbook" w:eastAsia="Times New Roman" w:hAnsi="Century Schoolbook" w:cs="Times New Roman"/>
                <w:sz w:val="26"/>
                <w:szCs w:val="26"/>
                <w:lang w:val="en-US" w:eastAsia="zh-CN" w:bidi="ar-SA"/>
              </w:rPr>
            </w:pPr>
          </w:p>
        </w:tc>
        <w:tc>
          <w:tcPr>
            <w:tcW w:w="5778" w:type="dxa"/>
            <w:tcBorders>
              <w:left w:val="single" w:sz="4" w:space="0" w:color="auto"/>
            </w:tcBorders>
            <w:shd w:val="clear" w:color="auto" w:fill="auto"/>
          </w:tcPr>
          <w:p w:rsidR="00775EC2" w:rsidRPr="000566EE" w:rsidP="003F7EBC" w14:paraId="4C1B8325" w14:textId="77777777">
            <w:pPr>
              <w:spacing w:after="0" w:line="240" w:lineRule="auto"/>
              <w:rPr>
                <w:rStyle w:val="DefaultParagraphFont"/>
                <w:rFonts w:ascii="Century Schoolbook" w:eastAsia="Times New Roman" w:hAnsi="Century Schoolbook" w:cs="Times New Roman"/>
                <w:sz w:val="26"/>
                <w:szCs w:val="26"/>
                <w:lang w:val="en-US" w:eastAsia="zh-CN" w:bidi="ar-SA"/>
              </w:rPr>
            </w:pPr>
          </w:p>
        </w:tc>
      </w:tr>
    </w:tbl>
    <w:p w:rsidR="00A57AD2" w:rsidRPr="000566EE" w:rsidP="003F7EBC" w14:paraId="7CE9873C" w14:textId="77777777">
      <w:pPr>
        <w:spacing w:line="240" w:lineRule="auto"/>
        <w:contextualSpacing/>
        <w:rPr>
          <w:szCs w:val="26"/>
        </w:rPr>
      </w:pPr>
    </w:p>
    <w:p w:rsidR="00A57AD2" w:rsidRPr="000566EE" w:rsidP="000566EE" w14:paraId="25F605DB" w14:textId="21425862">
      <w:pPr>
        <w:ind w:firstLine="720"/>
        <w:contextualSpacing/>
        <w:rPr>
          <w:szCs w:val="26"/>
        </w:rPr>
      </w:pPr>
      <w:r w:rsidRPr="000566EE">
        <w:rPr>
          <w:szCs w:val="26"/>
        </w:rPr>
        <w:t>APPEAL</w:t>
      </w:r>
      <w:r w:rsidRPr="000566EE" w:rsidR="008D45AD">
        <w:rPr>
          <w:szCs w:val="26"/>
        </w:rPr>
        <w:t xml:space="preserve"> from a judgment and </w:t>
      </w:r>
      <w:r w:rsidRPr="000566EE">
        <w:rPr>
          <w:szCs w:val="26"/>
        </w:rPr>
        <w:t xml:space="preserve">order of the Superior Court of Los Angeles County, </w:t>
      </w:r>
      <w:r w:rsidRPr="000566EE" w:rsidR="00D65E62">
        <w:rPr>
          <w:szCs w:val="26"/>
        </w:rPr>
        <w:t>Mary H. Strobel</w:t>
      </w:r>
      <w:r w:rsidRPr="000566EE">
        <w:rPr>
          <w:szCs w:val="26"/>
        </w:rPr>
        <w:t xml:space="preserve">, Judge.  </w:t>
      </w:r>
      <w:r w:rsidRPr="000566EE" w:rsidR="002C30C9">
        <w:rPr>
          <w:szCs w:val="26"/>
        </w:rPr>
        <w:t>Affirmed</w:t>
      </w:r>
      <w:r w:rsidRPr="000566EE">
        <w:rPr>
          <w:szCs w:val="26"/>
        </w:rPr>
        <w:t>.</w:t>
      </w:r>
    </w:p>
    <w:p w:rsidR="00A57AD2" w:rsidRPr="000566EE" w:rsidP="000566EE" w14:paraId="6A4B5C2D" w14:textId="13292B7C">
      <w:pPr>
        <w:ind w:firstLine="720"/>
        <w:contextualSpacing/>
        <w:rPr>
          <w:szCs w:val="26"/>
        </w:rPr>
      </w:pPr>
      <w:r w:rsidRPr="000566EE">
        <w:rPr>
          <w:szCs w:val="26"/>
        </w:rPr>
        <w:t>Aleshire &amp; Wynder</w:t>
      </w:r>
      <w:r w:rsidRPr="000566EE" w:rsidR="00DD21F5">
        <w:rPr>
          <w:szCs w:val="26"/>
        </w:rPr>
        <w:t xml:space="preserve">, </w:t>
      </w:r>
      <w:r w:rsidRPr="000566EE" w:rsidR="00F44AE0">
        <w:rPr>
          <w:szCs w:val="26"/>
        </w:rPr>
        <w:t xml:space="preserve">June S. Ailin </w:t>
      </w:r>
      <w:r w:rsidRPr="000566EE" w:rsidR="00991EF0">
        <w:rPr>
          <w:szCs w:val="26"/>
        </w:rPr>
        <w:t xml:space="preserve">and </w:t>
      </w:r>
      <w:r w:rsidRPr="000566EE" w:rsidR="00E50C4A">
        <w:rPr>
          <w:szCs w:val="26"/>
        </w:rPr>
        <w:t xml:space="preserve">Pam K. Lee </w:t>
      </w:r>
      <w:r w:rsidRPr="000566EE">
        <w:rPr>
          <w:szCs w:val="26"/>
        </w:rPr>
        <w:t xml:space="preserve">for </w:t>
      </w:r>
      <w:r w:rsidRPr="000566EE" w:rsidR="008039A3">
        <w:rPr>
          <w:szCs w:val="26"/>
        </w:rPr>
        <w:t>Defendants and Appellants</w:t>
      </w:r>
      <w:r w:rsidRPr="000566EE">
        <w:rPr>
          <w:szCs w:val="26"/>
        </w:rPr>
        <w:t>.</w:t>
      </w:r>
    </w:p>
    <w:p w:rsidR="00A4054D" w:rsidRPr="000566EE" w:rsidP="000566EE" w14:paraId="28B9A268" w14:textId="7784F261">
      <w:pPr>
        <w:ind w:firstLine="720"/>
        <w:contextualSpacing/>
        <w:rPr>
          <w:szCs w:val="26"/>
        </w:rPr>
      </w:pPr>
      <w:r w:rsidRPr="000566EE">
        <w:rPr>
          <w:szCs w:val="26"/>
        </w:rPr>
        <w:t xml:space="preserve">Patterson &amp; O’Neill, </w:t>
      </w:r>
      <w:r w:rsidRPr="000566EE" w:rsidR="00540F27">
        <w:rPr>
          <w:szCs w:val="26"/>
        </w:rPr>
        <w:t>Ryan J. Patterson and Brian O</w:t>
      </w:r>
      <w:r w:rsidRPr="000566EE" w:rsidR="0095621E">
        <w:rPr>
          <w:szCs w:val="26"/>
        </w:rPr>
        <w:t>’</w:t>
      </w:r>
      <w:r w:rsidRPr="000566EE" w:rsidR="00540F27">
        <w:rPr>
          <w:szCs w:val="26"/>
        </w:rPr>
        <w:t>Neill</w:t>
      </w:r>
      <w:r>
        <w:rPr>
          <w:szCs w:val="26"/>
        </w:rPr>
        <w:t xml:space="preserve"> </w:t>
      </w:r>
      <w:r w:rsidRPr="000566EE" w:rsidR="003F7EBC">
        <w:rPr>
          <w:szCs w:val="26"/>
        </w:rPr>
        <w:t xml:space="preserve">for </w:t>
      </w:r>
      <w:r w:rsidRPr="000566EE" w:rsidR="00A24DC2">
        <w:rPr>
          <w:szCs w:val="26"/>
        </w:rPr>
        <w:t xml:space="preserve">Plaintiffs and </w:t>
      </w:r>
      <w:r w:rsidRPr="000566EE" w:rsidR="003F7EBC">
        <w:rPr>
          <w:szCs w:val="26"/>
        </w:rPr>
        <w:t>Respondent</w:t>
      </w:r>
      <w:r w:rsidRPr="000566EE" w:rsidR="00540F27">
        <w:rPr>
          <w:szCs w:val="26"/>
        </w:rPr>
        <w:t>s</w:t>
      </w:r>
      <w:r w:rsidRPr="000566EE" w:rsidR="00ED7D17">
        <w:rPr>
          <w:szCs w:val="26"/>
        </w:rPr>
        <w:t>.</w:t>
      </w:r>
    </w:p>
    <w:p w:rsidR="000566EE" w:rsidRPr="000566EE" w:rsidP="000566EE" w14:paraId="5DEE0D8A" w14:textId="77777777">
      <w:pPr>
        <w:ind w:firstLine="720"/>
        <w:contextualSpacing/>
        <w:rPr>
          <w:szCs w:val="26"/>
        </w:rPr>
      </w:pPr>
    </w:p>
    <w:p w:rsidR="00665CB7" w:rsidRPr="000566EE" w:rsidP="000566EE" w14:paraId="6B617A8A" w14:textId="0EF3E525">
      <w:pPr>
        <w:jc w:val="center"/>
      </w:pPr>
      <w:r w:rsidRPr="000566EE">
        <w:rPr>
          <w:szCs w:val="26"/>
        </w:rPr>
        <w:t>__________________________</w:t>
      </w:r>
    </w:p>
    <w:p w:rsidR="00123A8E" w:rsidRPr="000566EE" w:rsidP="000566EE" w14:paraId="07636459" w14:textId="006CE378">
      <w:pPr>
        <w:ind w:firstLine="720"/>
        <w:contextualSpacing/>
        <w:rPr>
          <w:szCs w:val="26"/>
        </w:rPr>
      </w:pPr>
      <w:r w:rsidRPr="000566EE">
        <w:rPr>
          <w:szCs w:val="26"/>
        </w:rPr>
        <w:t xml:space="preserve">The Housing Crisis Act </w:t>
      </w:r>
      <w:r w:rsidRPr="000566EE" w:rsidR="00647D8B">
        <w:rPr>
          <w:szCs w:val="26"/>
        </w:rPr>
        <w:t xml:space="preserve">of 2019 </w:t>
      </w:r>
      <w:r w:rsidRPr="000566EE">
        <w:rPr>
          <w:szCs w:val="26"/>
        </w:rPr>
        <w:t>(the Act), codified at Government Code section</w:t>
      </w:r>
      <w:r w:rsidRPr="000566EE" w:rsidR="002C6B44">
        <w:rPr>
          <w:szCs w:val="26"/>
        </w:rPr>
        <w:t> </w:t>
      </w:r>
      <w:r w:rsidRPr="000566EE">
        <w:rPr>
          <w:szCs w:val="26"/>
        </w:rPr>
        <w:t>66300 et seq.,</w:t>
      </w:r>
      <w:r>
        <w:rPr>
          <w:rStyle w:val="FootnoteReference"/>
          <w:szCs w:val="26"/>
        </w:rPr>
        <w:footnoteReference w:id="3"/>
      </w:r>
      <w:r w:rsidRPr="000566EE">
        <w:rPr>
          <w:szCs w:val="26"/>
        </w:rPr>
        <w:t xml:space="preserve"> is among the measures that the California Legislature has adopted to address the </w:t>
      </w:r>
      <w:r w:rsidRPr="000566EE" w:rsidR="002B12DE">
        <w:rPr>
          <w:szCs w:val="26"/>
        </w:rPr>
        <w:t xml:space="preserve">state’s </w:t>
      </w:r>
      <w:r w:rsidRPr="000566EE">
        <w:rPr>
          <w:szCs w:val="26"/>
        </w:rPr>
        <w:t xml:space="preserve">housing </w:t>
      </w:r>
      <w:r w:rsidRPr="000566EE" w:rsidR="00E24CD9">
        <w:rPr>
          <w:szCs w:val="26"/>
        </w:rPr>
        <w:t>shortage</w:t>
      </w:r>
      <w:r w:rsidRPr="000566EE" w:rsidR="002B12DE">
        <w:rPr>
          <w:szCs w:val="26"/>
        </w:rPr>
        <w:t xml:space="preserve">.  </w:t>
      </w:r>
      <w:r w:rsidRPr="000566EE" w:rsidR="00845B9C">
        <w:rPr>
          <w:szCs w:val="26"/>
        </w:rPr>
        <w:t>Subdivision</w:t>
      </w:r>
      <w:r w:rsidRPr="000566EE" w:rsidR="002C6B44">
        <w:rPr>
          <w:szCs w:val="26"/>
        </w:rPr>
        <w:t> </w:t>
      </w:r>
      <w:r w:rsidRPr="000566EE" w:rsidR="00845B9C">
        <w:rPr>
          <w:szCs w:val="26"/>
        </w:rPr>
        <w:t>(b)(1)(A)</w:t>
      </w:r>
      <w:r w:rsidRPr="000566EE" w:rsidR="00072FAE">
        <w:rPr>
          <w:szCs w:val="26"/>
        </w:rPr>
        <w:t xml:space="preserve"> of section</w:t>
      </w:r>
      <w:r w:rsidRPr="000566EE" w:rsidR="002C6B44">
        <w:rPr>
          <w:szCs w:val="26"/>
        </w:rPr>
        <w:t> </w:t>
      </w:r>
      <w:r w:rsidRPr="000566EE" w:rsidR="00072FAE">
        <w:rPr>
          <w:szCs w:val="26"/>
        </w:rPr>
        <w:t xml:space="preserve">66300 prohibits affected cities </w:t>
      </w:r>
      <w:r w:rsidRPr="000566EE" w:rsidR="00800CB6">
        <w:rPr>
          <w:szCs w:val="26"/>
        </w:rPr>
        <w:t xml:space="preserve">from </w:t>
      </w:r>
      <w:r w:rsidRPr="000566EE" w:rsidR="00EC2544">
        <w:rPr>
          <w:szCs w:val="26"/>
        </w:rPr>
        <w:t xml:space="preserve">(1) </w:t>
      </w:r>
      <w:r w:rsidRPr="000566EE" w:rsidR="00800CB6">
        <w:rPr>
          <w:szCs w:val="26"/>
        </w:rPr>
        <w:t xml:space="preserve">enacting any </w:t>
      </w:r>
      <w:r w:rsidRPr="000566EE" w:rsidR="00BB1D50">
        <w:rPr>
          <w:szCs w:val="26"/>
        </w:rPr>
        <w:t>policy</w:t>
      </w:r>
      <w:r w:rsidRPr="000566EE" w:rsidR="00800CB6">
        <w:rPr>
          <w:szCs w:val="26"/>
        </w:rPr>
        <w:t xml:space="preserve"> that changes the zoning of parcels to “a less intensive </w:t>
      </w:r>
      <w:r w:rsidRPr="000566EE" w:rsidR="00CF2EAD">
        <w:rPr>
          <w:szCs w:val="26"/>
        </w:rPr>
        <w:t>use</w:t>
      </w:r>
      <w:r w:rsidRPr="000566EE" w:rsidR="00E21BA6">
        <w:rPr>
          <w:szCs w:val="26"/>
        </w:rPr>
        <w:t xml:space="preserve">” </w:t>
      </w:r>
      <w:r w:rsidRPr="000566EE" w:rsidR="00C222C3">
        <w:rPr>
          <w:szCs w:val="26"/>
        </w:rPr>
        <w:t xml:space="preserve">or </w:t>
      </w:r>
      <w:r w:rsidRPr="000566EE" w:rsidR="00EC2544">
        <w:rPr>
          <w:szCs w:val="26"/>
        </w:rPr>
        <w:t xml:space="preserve">(2) </w:t>
      </w:r>
      <w:r w:rsidRPr="000566EE" w:rsidR="00E21BA6">
        <w:rPr>
          <w:szCs w:val="26"/>
        </w:rPr>
        <w:t>“</w:t>
      </w:r>
      <w:r w:rsidRPr="000566EE" w:rsidR="00C222C3">
        <w:rPr>
          <w:szCs w:val="26"/>
        </w:rPr>
        <w:t>reducing the intensity of land use</w:t>
      </w:r>
      <w:r w:rsidRPr="000566EE" w:rsidR="00571254">
        <w:rPr>
          <w:szCs w:val="26"/>
        </w:rPr>
        <w:t xml:space="preserve">” </w:t>
      </w:r>
      <w:r w:rsidRPr="000566EE" w:rsidR="00A679D5">
        <w:rPr>
          <w:szCs w:val="26"/>
        </w:rPr>
        <w:t xml:space="preserve">within a zoning district </w:t>
      </w:r>
      <w:r w:rsidRPr="000566EE" w:rsidR="00571254">
        <w:rPr>
          <w:szCs w:val="26"/>
        </w:rPr>
        <w:t>to below what was allowed under zoning ordinances in effect on January</w:t>
      </w:r>
      <w:r w:rsidRPr="000566EE" w:rsidR="0099133D">
        <w:rPr>
          <w:szCs w:val="26"/>
        </w:rPr>
        <w:t> </w:t>
      </w:r>
      <w:r w:rsidRPr="000566EE" w:rsidR="00571254">
        <w:rPr>
          <w:szCs w:val="26"/>
        </w:rPr>
        <w:t xml:space="preserve">1, 2018.  </w:t>
      </w:r>
      <w:r w:rsidRPr="000566EE" w:rsidR="00230EDE">
        <w:rPr>
          <w:szCs w:val="26"/>
        </w:rPr>
        <w:t xml:space="preserve">In </w:t>
      </w:r>
      <w:r w:rsidRPr="000566EE" w:rsidR="009F36FC">
        <w:rPr>
          <w:szCs w:val="26"/>
        </w:rPr>
        <w:t>July 2020, defendants City of Culver City and the City Council of the City of Culver City (City Council) (collectively, the City) adopted Ordinance No. 2020-010 (the Ordinance), which amended the City’s zoning code</w:t>
      </w:r>
      <w:r w:rsidRPr="000566EE" w:rsidR="00EC2544">
        <w:rPr>
          <w:szCs w:val="26"/>
        </w:rPr>
        <w:t>, changing</w:t>
      </w:r>
      <w:r w:rsidRPr="000566EE" w:rsidR="009F36FC">
        <w:rPr>
          <w:szCs w:val="26"/>
        </w:rPr>
        <w:t xml:space="preserve"> development standards in </w:t>
      </w:r>
      <w:r w:rsidRPr="000566EE" w:rsidR="009860AF">
        <w:rPr>
          <w:szCs w:val="26"/>
        </w:rPr>
        <w:t>its</w:t>
      </w:r>
      <w:r w:rsidRPr="000566EE" w:rsidR="009F36FC">
        <w:rPr>
          <w:szCs w:val="26"/>
        </w:rPr>
        <w:t xml:space="preserve"> </w:t>
      </w:r>
      <w:r w:rsidRPr="000566EE" w:rsidR="001B2914">
        <w:rPr>
          <w:szCs w:val="26"/>
        </w:rPr>
        <w:t>single-family</w:t>
      </w:r>
      <w:r w:rsidRPr="000566EE" w:rsidR="009F36FC">
        <w:rPr>
          <w:szCs w:val="26"/>
        </w:rPr>
        <w:t xml:space="preserve"> residential</w:t>
      </w:r>
      <w:r w:rsidRPr="000566EE" w:rsidR="0039338D">
        <w:rPr>
          <w:szCs w:val="26"/>
        </w:rPr>
        <w:t>, or R-1,</w:t>
      </w:r>
      <w:r w:rsidRPr="000566EE" w:rsidR="009F36FC">
        <w:rPr>
          <w:szCs w:val="26"/>
        </w:rPr>
        <w:t xml:space="preserve"> zone.  Among other changes, the Ordinance reduced the allowable </w:t>
      </w:r>
      <w:r w:rsidRPr="000566EE" w:rsidR="00EC568D">
        <w:rPr>
          <w:szCs w:val="26"/>
        </w:rPr>
        <w:t xml:space="preserve">floor area ratio (FAR) </w:t>
      </w:r>
      <w:r w:rsidRPr="000566EE" w:rsidR="00E23765">
        <w:rPr>
          <w:szCs w:val="26"/>
        </w:rPr>
        <w:t xml:space="preserve">for primary residences </w:t>
      </w:r>
      <w:r w:rsidRPr="000566EE" w:rsidR="009F36FC">
        <w:rPr>
          <w:szCs w:val="26"/>
        </w:rPr>
        <w:t>from .6</w:t>
      </w:r>
      <w:r w:rsidRPr="000566EE" w:rsidR="002208BE">
        <w:rPr>
          <w:szCs w:val="26"/>
        </w:rPr>
        <w:t>0</w:t>
      </w:r>
      <w:r w:rsidRPr="000566EE" w:rsidR="009F36FC">
        <w:rPr>
          <w:szCs w:val="26"/>
        </w:rPr>
        <w:t xml:space="preserve"> to .45</w:t>
      </w:r>
      <w:r w:rsidRPr="000566EE" w:rsidR="0033645A">
        <w:rPr>
          <w:szCs w:val="26"/>
        </w:rPr>
        <w:t xml:space="preserve">, </w:t>
      </w:r>
      <w:r w:rsidRPr="000566EE" w:rsidR="006C3AD9">
        <w:rPr>
          <w:szCs w:val="26"/>
        </w:rPr>
        <w:t>decreasing</w:t>
      </w:r>
      <w:r w:rsidRPr="000566EE" w:rsidR="0033645A">
        <w:rPr>
          <w:szCs w:val="26"/>
        </w:rPr>
        <w:t xml:space="preserve"> the</w:t>
      </w:r>
      <w:r w:rsidRPr="000566EE" w:rsidR="00122BF5">
        <w:rPr>
          <w:szCs w:val="26"/>
        </w:rPr>
        <w:t xml:space="preserve"> square footage </w:t>
      </w:r>
      <w:r w:rsidRPr="000566EE" w:rsidR="0033645A">
        <w:rPr>
          <w:szCs w:val="26"/>
        </w:rPr>
        <w:t xml:space="preserve">of </w:t>
      </w:r>
      <w:r w:rsidRPr="000566EE" w:rsidR="00122BF5">
        <w:rPr>
          <w:szCs w:val="26"/>
        </w:rPr>
        <w:t xml:space="preserve">a </w:t>
      </w:r>
      <w:r w:rsidRPr="000566EE" w:rsidR="0033645A">
        <w:rPr>
          <w:szCs w:val="26"/>
        </w:rPr>
        <w:t>house that could be built on a lot</w:t>
      </w:r>
      <w:r w:rsidRPr="000566EE" w:rsidR="009F36FC">
        <w:rPr>
          <w:szCs w:val="26"/>
        </w:rPr>
        <w:t>.</w:t>
      </w:r>
      <w:r w:rsidRPr="000566EE" w:rsidR="002208BE">
        <w:rPr>
          <w:szCs w:val="26"/>
        </w:rPr>
        <w:t xml:space="preserve">  </w:t>
      </w:r>
      <w:r w:rsidRPr="000566EE" w:rsidR="001B6F5A">
        <w:rPr>
          <w:szCs w:val="26"/>
        </w:rPr>
        <w:t>Plaintiff</w:t>
      </w:r>
      <w:r w:rsidRPr="000566EE" w:rsidR="00CF0E50">
        <w:rPr>
          <w:szCs w:val="26"/>
        </w:rPr>
        <w:t>s</w:t>
      </w:r>
      <w:r w:rsidRPr="000566EE" w:rsidR="00DD2422">
        <w:rPr>
          <w:szCs w:val="26"/>
        </w:rPr>
        <w:t xml:space="preserve"> </w:t>
      </w:r>
      <w:r w:rsidRPr="000566EE" w:rsidR="002A7FC1">
        <w:rPr>
          <w:szCs w:val="26"/>
        </w:rPr>
        <w:t xml:space="preserve">Yes In My Back Yard and Sonja </w:t>
      </w:r>
      <w:r w:rsidRPr="000566EE" w:rsidR="00AD1CEA">
        <w:rPr>
          <w:szCs w:val="26"/>
        </w:rPr>
        <w:t>Trauss (Trauss) (collectively, YIMBY)</w:t>
      </w:r>
      <w:r w:rsidRPr="000566EE" w:rsidR="00E30D37">
        <w:rPr>
          <w:szCs w:val="26"/>
        </w:rPr>
        <w:t xml:space="preserve"> filed a petition for writ of mandate</w:t>
      </w:r>
      <w:r w:rsidRPr="000566EE" w:rsidR="00E87BAB">
        <w:rPr>
          <w:szCs w:val="26"/>
        </w:rPr>
        <w:t xml:space="preserve"> </w:t>
      </w:r>
      <w:r w:rsidRPr="000566EE" w:rsidR="00BE0C2E">
        <w:rPr>
          <w:szCs w:val="26"/>
        </w:rPr>
        <w:t xml:space="preserve">seeking </w:t>
      </w:r>
      <w:r w:rsidRPr="000566EE" w:rsidR="007E3300">
        <w:rPr>
          <w:szCs w:val="26"/>
        </w:rPr>
        <w:t xml:space="preserve">an order </w:t>
      </w:r>
      <w:r w:rsidRPr="000566EE" w:rsidR="005C6F23">
        <w:rPr>
          <w:szCs w:val="26"/>
        </w:rPr>
        <w:t xml:space="preserve">declaring </w:t>
      </w:r>
      <w:r w:rsidRPr="000566EE" w:rsidR="00756090">
        <w:rPr>
          <w:szCs w:val="26"/>
        </w:rPr>
        <w:t xml:space="preserve">the Ordinance </w:t>
      </w:r>
      <w:r w:rsidRPr="000566EE" w:rsidR="007E3300">
        <w:rPr>
          <w:szCs w:val="26"/>
        </w:rPr>
        <w:t>void</w:t>
      </w:r>
      <w:r w:rsidRPr="000566EE" w:rsidR="00E1107D">
        <w:rPr>
          <w:szCs w:val="26"/>
        </w:rPr>
        <w:t xml:space="preserve">.  </w:t>
      </w:r>
      <w:r w:rsidRPr="000566EE" w:rsidR="008827FA">
        <w:rPr>
          <w:szCs w:val="26"/>
        </w:rPr>
        <w:t xml:space="preserve">Following a hearing on the petition, the trial court determined the Ordinance </w:t>
      </w:r>
      <w:r w:rsidRPr="000566EE" w:rsidR="00051B52">
        <w:rPr>
          <w:szCs w:val="26"/>
        </w:rPr>
        <w:t>violated section</w:t>
      </w:r>
      <w:r w:rsidRPr="000566EE" w:rsidR="009D1669">
        <w:rPr>
          <w:szCs w:val="26"/>
        </w:rPr>
        <w:t> </w:t>
      </w:r>
      <w:r w:rsidRPr="000566EE" w:rsidR="00051B52">
        <w:rPr>
          <w:szCs w:val="26"/>
        </w:rPr>
        <w:t>66300</w:t>
      </w:r>
      <w:r w:rsidRPr="000566EE" w:rsidR="00D921E1">
        <w:rPr>
          <w:szCs w:val="26"/>
        </w:rPr>
        <w:t xml:space="preserve"> </w:t>
      </w:r>
      <w:r w:rsidRPr="000566EE" w:rsidR="00051B52">
        <w:rPr>
          <w:szCs w:val="26"/>
        </w:rPr>
        <w:t xml:space="preserve">because </w:t>
      </w:r>
      <w:r w:rsidRPr="000566EE" w:rsidR="006A21C4">
        <w:rPr>
          <w:szCs w:val="26"/>
        </w:rPr>
        <w:t xml:space="preserve">the FAR </w:t>
      </w:r>
      <w:r w:rsidRPr="000566EE" w:rsidR="00CB4316">
        <w:rPr>
          <w:szCs w:val="26"/>
        </w:rPr>
        <w:t xml:space="preserve">reduction </w:t>
      </w:r>
      <w:r w:rsidRPr="000566EE" w:rsidR="002F527F">
        <w:rPr>
          <w:szCs w:val="26"/>
        </w:rPr>
        <w:t xml:space="preserve">impermissibly </w:t>
      </w:r>
      <w:r w:rsidRPr="000566EE" w:rsidR="00051B52">
        <w:rPr>
          <w:szCs w:val="26"/>
        </w:rPr>
        <w:t xml:space="preserve">reduced the </w:t>
      </w:r>
      <w:r w:rsidRPr="000566EE" w:rsidR="0062283C">
        <w:rPr>
          <w:szCs w:val="26"/>
        </w:rPr>
        <w:t>intensity of land use</w:t>
      </w:r>
      <w:r w:rsidRPr="000566EE" w:rsidR="004F4BE3">
        <w:rPr>
          <w:szCs w:val="26"/>
        </w:rPr>
        <w:t xml:space="preserve">.  </w:t>
      </w:r>
      <w:r w:rsidRPr="000566EE" w:rsidR="0033645A">
        <w:rPr>
          <w:szCs w:val="26"/>
        </w:rPr>
        <w:t>W</w:t>
      </w:r>
      <w:r w:rsidRPr="000566EE" w:rsidR="00B26269">
        <w:rPr>
          <w:szCs w:val="26"/>
        </w:rPr>
        <w:t>e affirm</w:t>
      </w:r>
      <w:r w:rsidRPr="000566EE" w:rsidR="00BE55D8">
        <w:rPr>
          <w:szCs w:val="26"/>
        </w:rPr>
        <w:t xml:space="preserve"> the judgment</w:t>
      </w:r>
      <w:r w:rsidRPr="000566EE" w:rsidR="00B26269">
        <w:rPr>
          <w:szCs w:val="26"/>
        </w:rPr>
        <w:t>.</w:t>
      </w:r>
    </w:p>
    <w:p w:rsidR="005D2C5A" w:rsidP="000566EE" w14:paraId="7AB0E2E6" w14:textId="4301E731">
      <w:pPr>
        <w:ind w:firstLine="720"/>
        <w:contextualSpacing/>
        <w:rPr>
          <w:szCs w:val="26"/>
        </w:rPr>
      </w:pPr>
      <w:r w:rsidRPr="000566EE">
        <w:rPr>
          <w:szCs w:val="26"/>
        </w:rPr>
        <w:t>Additionally, the City appeals from a post-judgment order awarding YIMBY attorney fees pursuant to Code of Civil Procedure section</w:t>
      </w:r>
      <w:r w:rsidRPr="000566EE" w:rsidR="009E79B2">
        <w:rPr>
          <w:szCs w:val="26"/>
        </w:rPr>
        <w:t> </w:t>
      </w:r>
      <w:r w:rsidRPr="000566EE">
        <w:rPr>
          <w:szCs w:val="26"/>
        </w:rPr>
        <w:t xml:space="preserve">1021.5.  </w:t>
      </w:r>
      <w:r w:rsidRPr="000566EE" w:rsidR="00111A78">
        <w:rPr>
          <w:szCs w:val="26"/>
        </w:rPr>
        <w:t>The City contends that</w:t>
      </w:r>
      <w:r w:rsidRPr="000566EE" w:rsidR="00927613">
        <w:rPr>
          <w:szCs w:val="26"/>
        </w:rPr>
        <w:t xml:space="preserve"> </w:t>
      </w:r>
      <w:r w:rsidRPr="000566EE" w:rsidR="00C957F8">
        <w:rPr>
          <w:szCs w:val="26"/>
        </w:rPr>
        <w:t xml:space="preserve">even if the judgment is affirmed, </w:t>
      </w:r>
      <w:r w:rsidRPr="000566EE" w:rsidR="00265332">
        <w:rPr>
          <w:szCs w:val="26"/>
        </w:rPr>
        <w:t xml:space="preserve">the fee award was not warranted because it is questionable whether the judgment benefits a significant </w:t>
      </w:r>
      <w:r w:rsidRPr="000566EE" w:rsidR="00CC1A4F">
        <w:rPr>
          <w:szCs w:val="26"/>
        </w:rPr>
        <w:t>segment of the public</w:t>
      </w:r>
      <w:r w:rsidRPr="000566EE" w:rsidR="00FA46C9">
        <w:rPr>
          <w:szCs w:val="26"/>
        </w:rPr>
        <w:t xml:space="preserve">.  Further, the City asserts the court </w:t>
      </w:r>
      <w:r w:rsidRPr="000566EE" w:rsidR="00FA46C9">
        <w:rPr>
          <w:szCs w:val="26"/>
        </w:rPr>
        <w:t xml:space="preserve">considered improper factors in applying </w:t>
      </w:r>
      <w:r w:rsidRPr="000566EE" w:rsidR="0068160B">
        <w:rPr>
          <w:szCs w:val="26"/>
        </w:rPr>
        <w:t>a multiplier to the lodestar amount.  We disagree and affirm</w:t>
      </w:r>
      <w:r w:rsidRPr="000566EE" w:rsidR="005172FA">
        <w:rPr>
          <w:szCs w:val="26"/>
        </w:rPr>
        <w:t xml:space="preserve"> the fee award</w:t>
      </w:r>
      <w:r w:rsidRPr="000566EE" w:rsidR="0068160B">
        <w:rPr>
          <w:szCs w:val="26"/>
        </w:rPr>
        <w:t>.</w:t>
      </w:r>
    </w:p>
    <w:p w:rsidR="000566EE" w:rsidRPr="000566EE" w:rsidP="000566EE" w14:paraId="3B0F19F1" w14:textId="77777777">
      <w:pPr>
        <w:ind w:firstLine="720"/>
        <w:contextualSpacing/>
        <w:rPr>
          <w:szCs w:val="26"/>
        </w:rPr>
      </w:pPr>
    </w:p>
    <w:p w:rsidR="00A57AD2" w:rsidRPr="000566EE" w:rsidP="000566EE" w14:paraId="25E61382" w14:textId="77777777">
      <w:pPr>
        <w:contextualSpacing/>
        <w:jc w:val="center"/>
        <w:rPr>
          <w:b/>
          <w:szCs w:val="26"/>
        </w:rPr>
      </w:pPr>
      <w:r w:rsidRPr="000566EE">
        <w:rPr>
          <w:b/>
          <w:szCs w:val="26"/>
        </w:rPr>
        <w:t>FACTUAL AND PROCEDURAL BACKGROUND</w:t>
      </w:r>
    </w:p>
    <w:p w:rsidR="001F765C" w:rsidRPr="000566EE" w:rsidP="000566EE" w14:paraId="06872E0F" w14:textId="545779A6">
      <w:pPr>
        <w:ind w:left="720" w:hanging="720"/>
        <w:contextualSpacing/>
        <w:rPr>
          <w:b/>
          <w:i/>
          <w:szCs w:val="26"/>
        </w:rPr>
      </w:pPr>
      <w:r w:rsidRPr="000566EE">
        <w:rPr>
          <w:b/>
          <w:iCs/>
          <w:szCs w:val="26"/>
        </w:rPr>
        <w:t>A.</w:t>
      </w:r>
      <w:r w:rsidRPr="000566EE">
        <w:rPr>
          <w:b/>
          <w:iCs/>
          <w:szCs w:val="26"/>
        </w:rPr>
        <w:tab/>
      </w:r>
      <w:r w:rsidRPr="000566EE" w:rsidR="00CC1815">
        <w:rPr>
          <w:b/>
          <w:iCs/>
          <w:szCs w:val="26"/>
        </w:rPr>
        <w:t xml:space="preserve">The City’s </w:t>
      </w:r>
      <w:r w:rsidRPr="000566EE" w:rsidR="004C3AFE">
        <w:rPr>
          <w:b/>
          <w:iCs/>
          <w:szCs w:val="26"/>
        </w:rPr>
        <w:t xml:space="preserve">Study on </w:t>
      </w:r>
      <w:r w:rsidRPr="000566EE" w:rsidR="00CC1815">
        <w:rPr>
          <w:b/>
          <w:iCs/>
          <w:szCs w:val="26"/>
        </w:rPr>
        <w:t>Residential Development Standards</w:t>
      </w:r>
      <w:r w:rsidRPr="000566EE" w:rsidR="004C3AFE">
        <w:rPr>
          <w:b/>
          <w:iCs/>
          <w:szCs w:val="26"/>
        </w:rPr>
        <w:t xml:space="preserve"> </w:t>
      </w:r>
      <w:r w:rsidRPr="000566EE" w:rsidR="00D14F0E">
        <w:rPr>
          <w:b/>
          <w:iCs/>
          <w:szCs w:val="26"/>
        </w:rPr>
        <w:t xml:space="preserve"> </w:t>
      </w:r>
    </w:p>
    <w:p w:rsidR="005909C7" w:rsidRPr="000566EE" w:rsidP="000566EE" w14:paraId="4F8D6D99" w14:textId="5A13E88B">
      <w:pPr>
        <w:ind w:firstLine="720"/>
        <w:contextualSpacing/>
        <w:rPr>
          <w:bCs/>
          <w:iCs/>
          <w:szCs w:val="26"/>
        </w:rPr>
      </w:pPr>
      <w:r w:rsidRPr="000566EE">
        <w:rPr>
          <w:bCs/>
          <w:iCs/>
          <w:szCs w:val="26"/>
        </w:rPr>
        <w:t>In July</w:t>
      </w:r>
      <w:r w:rsidRPr="000566EE" w:rsidR="00966259">
        <w:rPr>
          <w:bCs/>
          <w:iCs/>
          <w:szCs w:val="26"/>
        </w:rPr>
        <w:t> </w:t>
      </w:r>
      <w:r w:rsidRPr="000566EE">
        <w:rPr>
          <w:bCs/>
          <w:iCs/>
          <w:szCs w:val="26"/>
        </w:rPr>
        <w:t>2017, the City retained</w:t>
      </w:r>
      <w:r w:rsidRPr="000566EE" w:rsidR="00051E0E">
        <w:rPr>
          <w:bCs/>
          <w:iCs/>
          <w:szCs w:val="26"/>
        </w:rPr>
        <w:t xml:space="preserve"> </w:t>
      </w:r>
      <w:r w:rsidRPr="000566EE" w:rsidR="00B02CE6">
        <w:rPr>
          <w:bCs/>
          <w:iCs/>
          <w:szCs w:val="26"/>
        </w:rPr>
        <w:t xml:space="preserve">John Kaliski Architects (JKA) to study </w:t>
      </w:r>
      <w:r w:rsidRPr="000566EE" w:rsidR="00EC2544">
        <w:rPr>
          <w:bCs/>
          <w:iCs/>
          <w:szCs w:val="26"/>
        </w:rPr>
        <w:t xml:space="preserve">how </w:t>
      </w:r>
      <w:r w:rsidRPr="000566EE" w:rsidR="00221311">
        <w:rPr>
          <w:bCs/>
          <w:iCs/>
          <w:szCs w:val="26"/>
        </w:rPr>
        <w:t xml:space="preserve">to address community concerns regarding </w:t>
      </w:r>
      <w:r w:rsidRPr="000566EE" w:rsidR="00040CE2">
        <w:rPr>
          <w:bCs/>
          <w:iCs/>
          <w:szCs w:val="26"/>
        </w:rPr>
        <w:t xml:space="preserve">“mansionization” </w:t>
      </w:r>
      <w:r w:rsidRPr="000566EE" w:rsidR="00A319A6">
        <w:rPr>
          <w:bCs/>
          <w:iCs/>
          <w:szCs w:val="26"/>
        </w:rPr>
        <w:t xml:space="preserve">in </w:t>
      </w:r>
      <w:r w:rsidRPr="000566EE" w:rsidR="00503EE6">
        <w:rPr>
          <w:bCs/>
          <w:iCs/>
          <w:szCs w:val="26"/>
        </w:rPr>
        <w:t>its</w:t>
      </w:r>
      <w:r w:rsidRPr="000566EE" w:rsidR="00040CE2">
        <w:rPr>
          <w:bCs/>
          <w:iCs/>
          <w:szCs w:val="26"/>
        </w:rPr>
        <w:t xml:space="preserve"> R-1 </w:t>
      </w:r>
      <w:r w:rsidRPr="000566EE" w:rsidR="00AA1F55">
        <w:rPr>
          <w:bCs/>
          <w:iCs/>
          <w:szCs w:val="26"/>
        </w:rPr>
        <w:t>neighborhoods</w:t>
      </w:r>
      <w:r w:rsidRPr="000566EE" w:rsidR="00040CE2">
        <w:rPr>
          <w:bCs/>
          <w:iCs/>
          <w:szCs w:val="26"/>
        </w:rPr>
        <w:t>.</w:t>
      </w:r>
      <w:r w:rsidRPr="000566EE" w:rsidR="00A319A6">
        <w:rPr>
          <w:bCs/>
          <w:iCs/>
          <w:szCs w:val="26"/>
        </w:rPr>
        <w:t xml:space="preserve"> </w:t>
      </w:r>
      <w:r w:rsidRPr="000566EE" w:rsidR="00F13738">
        <w:rPr>
          <w:bCs/>
          <w:iCs/>
          <w:szCs w:val="26"/>
        </w:rPr>
        <w:t xml:space="preserve"> </w:t>
      </w:r>
      <w:r w:rsidRPr="000566EE" w:rsidR="004A67BC">
        <w:rPr>
          <w:bCs/>
          <w:iCs/>
          <w:szCs w:val="26"/>
        </w:rPr>
        <w:t>Based on input</w:t>
      </w:r>
      <w:r w:rsidRPr="000566EE" w:rsidR="00FC3A00">
        <w:rPr>
          <w:bCs/>
          <w:iCs/>
          <w:szCs w:val="26"/>
        </w:rPr>
        <w:t xml:space="preserve"> from residents</w:t>
      </w:r>
      <w:r w:rsidRPr="000566EE" w:rsidR="004A67BC">
        <w:rPr>
          <w:bCs/>
          <w:iCs/>
          <w:szCs w:val="26"/>
        </w:rPr>
        <w:t xml:space="preserve">, </w:t>
      </w:r>
      <w:r w:rsidRPr="000566EE" w:rsidR="00D82153">
        <w:rPr>
          <w:bCs/>
          <w:iCs/>
          <w:szCs w:val="26"/>
        </w:rPr>
        <w:t xml:space="preserve">JKA </w:t>
      </w:r>
      <w:r w:rsidRPr="000566EE" w:rsidR="006C3AD9">
        <w:rPr>
          <w:bCs/>
          <w:iCs/>
          <w:szCs w:val="26"/>
        </w:rPr>
        <w:t xml:space="preserve">recommended amendments to </w:t>
      </w:r>
      <w:r w:rsidRPr="000566EE" w:rsidR="00CE7CB9">
        <w:rPr>
          <w:bCs/>
          <w:iCs/>
          <w:szCs w:val="26"/>
        </w:rPr>
        <w:t xml:space="preserve">the City’s R-1 development </w:t>
      </w:r>
      <w:r w:rsidRPr="000566EE" w:rsidR="001E2E45">
        <w:rPr>
          <w:bCs/>
          <w:iCs/>
          <w:szCs w:val="26"/>
        </w:rPr>
        <w:t>standards</w:t>
      </w:r>
      <w:r w:rsidRPr="000566EE" w:rsidR="00E96B25">
        <w:rPr>
          <w:bCs/>
          <w:iCs/>
          <w:szCs w:val="26"/>
        </w:rPr>
        <w:t xml:space="preserve"> </w:t>
      </w:r>
      <w:r w:rsidRPr="000566EE" w:rsidR="006C3AD9">
        <w:rPr>
          <w:bCs/>
          <w:iCs/>
          <w:szCs w:val="26"/>
        </w:rPr>
        <w:t>that would</w:t>
      </w:r>
      <w:r w:rsidRPr="000566EE" w:rsidR="00EC2544">
        <w:rPr>
          <w:bCs/>
          <w:iCs/>
          <w:szCs w:val="26"/>
        </w:rPr>
        <w:t xml:space="preserve"> </w:t>
      </w:r>
      <w:r w:rsidRPr="000566EE" w:rsidR="00811DA8">
        <w:rPr>
          <w:bCs/>
          <w:iCs/>
          <w:szCs w:val="26"/>
        </w:rPr>
        <w:t xml:space="preserve">reduce </w:t>
      </w:r>
      <w:r w:rsidRPr="000566EE" w:rsidR="005759B8">
        <w:rPr>
          <w:bCs/>
          <w:iCs/>
          <w:szCs w:val="26"/>
        </w:rPr>
        <w:t xml:space="preserve">the square footage of a </w:t>
      </w:r>
      <w:r w:rsidRPr="000566EE" w:rsidR="00811DA8">
        <w:rPr>
          <w:bCs/>
          <w:iCs/>
          <w:szCs w:val="26"/>
        </w:rPr>
        <w:t xml:space="preserve">house </w:t>
      </w:r>
      <w:r w:rsidRPr="000566EE" w:rsidR="005759B8">
        <w:rPr>
          <w:bCs/>
          <w:iCs/>
          <w:szCs w:val="26"/>
        </w:rPr>
        <w:t xml:space="preserve">that </w:t>
      </w:r>
      <w:r w:rsidRPr="000566EE" w:rsidR="00811DA8">
        <w:rPr>
          <w:bCs/>
          <w:iCs/>
          <w:szCs w:val="26"/>
        </w:rPr>
        <w:t>could be built on a lot.</w:t>
      </w:r>
      <w:r w:rsidRPr="000566EE" w:rsidR="003F43DC">
        <w:rPr>
          <w:bCs/>
          <w:iCs/>
          <w:szCs w:val="26"/>
        </w:rPr>
        <w:t xml:space="preserve">  </w:t>
      </w:r>
      <w:r w:rsidRPr="000566EE" w:rsidR="00811DA8">
        <w:rPr>
          <w:bCs/>
          <w:iCs/>
          <w:szCs w:val="26"/>
        </w:rPr>
        <w:t xml:space="preserve">This </w:t>
      </w:r>
      <w:r w:rsidRPr="000566EE" w:rsidR="00790E11">
        <w:rPr>
          <w:bCs/>
          <w:iCs/>
          <w:szCs w:val="26"/>
        </w:rPr>
        <w:t>includ</w:t>
      </w:r>
      <w:r w:rsidRPr="000566EE" w:rsidR="00811DA8">
        <w:rPr>
          <w:bCs/>
          <w:iCs/>
          <w:szCs w:val="26"/>
        </w:rPr>
        <w:t>ed</w:t>
      </w:r>
      <w:r w:rsidRPr="000566EE" w:rsidR="00790E11">
        <w:rPr>
          <w:bCs/>
          <w:iCs/>
          <w:szCs w:val="26"/>
        </w:rPr>
        <w:t xml:space="preserve"> changing the FAR from .6</w:t>
      </w:r>
      <w:r w:rsidRPr="000566EE" w:rsidR="00197C95">
        <w:rPr>
          <w:bCs/>
          <w:iCs/>
          <w:szCs w:val="26"/>
        </w:rPr>
        <w:t xml:space="preserve">0 to .45 for lots </w:t>
      </w:r>
      <w:r w:rsidRPr="000566EE" w:rsidR="00EC2544">
        <w:rPr>
          <w:bCs/>
          <w:iCs/>
          <w:szCs w:val="26"/>
        </w:rPr>
        <w:t xml:space="preserve">of </w:t>
      </w:r>
      <w:r w:rsidRPr="000566EE" w:rsidR="00197C95">
        <w:rPr>
          <w:bCs/>
          <w:iCs/>
          <w:szCs w:val="26"/>
        </w:rPr>
        <w:t>less than 10,000 square feet</w:t>
      </w:r>
      <w:r w:rsidRPr="000566EE" w:rsidR="006D6C78">
        <w:rPr>
          <w:bCs/>
          <w:iCs/>
          <w:szCs w:val="26"/>
        </w:rPr>
        <w:t xml:space="preserve"> and </w:t>
      </w:r>
      <w:r w:rsidRPr="000566EE" w:rsidR="00E96B25">
        <w:rPr>
          <w:bCs/>
          <w:iCs/>
          <w:szCs w:val="26"/>
        </w:rPr>
        <w:t xml:space="preserve">to </w:t>
      </w:r>
      <w:r w:rsidRPr="000566EE" w:rsidR="006D6C78">
        <w:rPr>
          <w:bCs/>
          <w:iCs/>
          <w:szCs w:val="26"/>
        </w:rPr>
        <w:t xml:space="preserve">.35 for lots </w:t>
      </w:r>
      <w:r w:rsidRPr="000566EE" w:rsidR="00EC2544">
        <w:rPr>
          <w:bCs/>
          <w:iCs/>
          <w:szCs w:val="26"/>
        </w:rPr>
        <w:t xml:space="preserve">of </w:t>
      </w:r>
      <w:r w:rsidRPr="000566EE">
        <w:rPr>
          <w:bCs/>
          <w:iCs/>
          <w:szCs w:val="26"/>
        </w:rPr>
        <w:t xml:space="preserve">10,000 square feet </w:t>
      </w:r>
      <w:r w:rsidRPr="000566EE" w:rsidR="00EC2544">
        <w:rPr>
          <w:bCs/>
          <w:iCs/>
          <w:szCs w:val="26"/>
        </w:rPr>
        <w:t>or more</w:t>
      </w:r>
      <w:r w:rsidRPr="000566EE" w:rsidR="00EF5BA6">
        <w:rPr>
          <w:bCs/>
          <w:iCs/>
          <w:szCs w:val="26"/>
        </w:rPr>
        <w:t xml:space="preserve">. </w:t>
      </w:r>
      <w:r w:rsidRPr="000566EE" w:rsidR="00BE3CB9">
        <w:rPr>
          <w:bCs/>
          <w:iCs/>
          <w:szCs w:val="26"/>
        </w:rPr>
        <w:t xml:space="preserve"> In developing its draft recommendations, JKA defined FAR as ratio of floor area to total lot area.   </w:t>
      </w:r>
    </w:p>
    <w:p w:rsidR="006A18A4" w:rsidRPr="000566EE" w:rsidP="000566EE" w14:paraId="354738D8" w14:textId="5EB86AF9">
      <w:pPr>
        <w:ind w:firstLine="720"/>
        <w:contextualSpacing/>
        <w:rPr>
          <w:bCs/>
          <w:iCs/>
          <w:szCs w:val="26"/>
        </w:rPr>
      </w:pPr>
      <w:r w:rsidRPr="000566EE">
        <w:rPr>
          <w:bCs/>
          <w:iCs/>
          <w:szCs w:val="26"/>
        </w:rPr>
        <w:t xml:space="preserve">A joint study session </w:t>
      </w:r>
      <w:r w:rsidRPr="000566EE" w:rsidR="00F96DFE">
        <w:rPr>
          <w:bCs/>
          <w:iCs/>
          <w:szCs w:val="26"/>
        </w:rPr>
        <w:t>with</w:t>
      </w:r>
      <w:r w:rsidRPr="000566EE">
        <w:rPr>
          <w:bCs/>
          <w:iCs/>
          <w:szCs w:val="26"/>
        </w:rPr>
        <w:t xml:space="preserve"> </w:t>
      </w:r>
      <w:r w:rsidRPr="000566EE" w:rsidR="006137CE">
        <w:rPr>
          <w:bCs/>
          <w:iCs/>
          <w:szCs w:val="26"/>
        </w:rPr>
        <w:t xml:space="preserve">the </w:t>
      </w:r>
      <w:r w:rsidRPr="000566EE">
        <w:rPr>
          <w:bCs/>
          <w:iCs/>
          <w:szCs w:val="26"/>
        </w:rPr>
        <w:t xml:space="preserve">City Council and </w:t>
      </w:r>
      <w:r w:rsidRPr="000566EE" w:rsidR="00F96DFE">
        <w:rPr>
          <w:bCs/>
          <w:iCs/>
          <w:szCs w:val="26"/>
        </w:rPr>
        <w:t xml:space="preserve">Planning Commission took place </w:t>
      </w:r>
      <w:r w:rsidRPr="000566EE" w:rsidR="00C27313">
        <w:rPr>
          <w:bCs/>
          <w:iCs/>
          <w:szCs w:val="26"/>
        </w:rPr>
        <w:t>in May</w:t>
      </w:r>
      <w:r w:rsidRPr="000566EE" w:rsidR="00BA62AD">
        <w:rPr>
          <w:bCs/>
          <w:iCs/>
          <w:szCs w:val="26"/>
        </w:rPr>
        <w:t> </w:t>
      </w:r>
      <w:r w:rsidRPr="000566EE" w:rsidR="00F96DFE">
        <w:rPr>
          <w:bCs/>
          <w:iCs/>
          <w:szCs w:val="26"/>
        </w:rPr>
        <w:t xml:space="preserve">2019, </w:t>
      </w:r>
      <w:r w:rsidRPr="000566EE" w:rsidR="00DF15C8">
        <w:rPr>
          <w:bCs/>
          <w:iCs/>
          <w:szCs w:val="26"/>
        </w:rPr>
        <w:t xml:space="preserve">where </w:t>
      </w:r>
      <w:r w:rsidRPr="000566EE" w:rsidR="0019705E">
        <w:rPr>
          <w:bCs/>
          <w:iCs/>
          <w:szCs w:val="26"/>
        </w:rPr>
        <w:t>JKA’s survey f</w:t>
      </w:r>
      <w:r w:rsidRPr="000566EE" w:rsidR="00DF15C8">
        <w:rPr>
          <w:bCs/>
          <w:iCs/>
          <w:szCs w:val="26"/>
        </w:rPr>
        <w:t>indings were presented, which included</w:t>
      </w:r>
      <w:r w:rsidRPr="000566EE" w:rsidR="0019705E">
        <w:rPr>
          <w:bCs/>
          <w:iCs/>
          <w:szCs w:val="26"/>
        </w:rPr>
        <w:t xml:space="preserve"> </w:t>
      </w:r>
      <w:r w:rsidRPr="000566EE" w:rsidR="00105B7D">
        <w:rPr>
          <w:bCs/>
          <w:iCs/>
          <w:szCs w:val="26"/>
        </w:rPr>
        <w:t>the</w:t>
      </w:r>
      <w:r w:rsidRPr="000566EE" w:rsidR="001D172F">
        <w:rPr>
          <w:bCs/>
          <w:iCs/>
          <w:szCs w:val="26"/>
        </w:rPr>
        <w:t xml:space="preserve"> opinion </w:t>
      </w:r>
      <w:r w:rsidRPr="000566EE" w:rsidR="0019705E">
        <w:rPr>
          <w:bCs/>
          <w:iCs/>
          <w:szCs w:val="26"/>
        </w:rPr>
        <w:t xml:space="preserve">that “[h]ouses that maximize the existing zoning envelope and allowable [FAR] are consistently disliked across all neighborhoods.”  </w:t>
      </w:r>
      <w:r w:rsidRPr="000566EE" w:rsidR="001D172F">
        <w:rPr>
          <w:bCs/>
          <w:iCs/>
          <w:szCs w:val="26"/>
        </w:rPr>
        <w:t>I</w:t>
      </w:r>
      <w:r w:rsidRPr="000566EE" w:rsidR="002F51C0">
        <w:rPr>
          <w:bCs/>
          <w:iCs/>
          <w:szCs w:val="26"/>
        </w:rPr>
        <w:t xml:space="preserve">t was noted that the draft </w:t>
      </w:r>
      <w:r w:rsidRPr="000566EE" w:rsidR="008D1AAE">
        <w:rPr>
          <w:bCs/>
          <w:iCs/>
          <w:szCs w:val="26"/>
        </w:rPr>
        <w:t>recommendations</w:t>
      </w:r>
      <w:r w:rsidRPr="000566EE" w:rsidR="00CB18CC">
        <w:rPr>
          <w:bCs/>
          <w:iCs/>
          <w:szCs w:val="26"/>
        </w:rPr>
        <w:t>’</w:t>
      </w:r>
      <w:r w:rsidRPr="000566EE" w:rsidR="002F51C0">
        <w:rPr>
          <w:bCs/>
          <w:iCs/>
          <w:szCs w:val="26"/>
        </w:rPr>
        <w:t xml:space="preserve"> goal was to “[p]romote </w:t>
      </w:r>
      <w:r w:rsidRPr="000566EE" w:rsidR="001C5B79">
        <w:rPr>
          <w:bCs/>
          <w:iCs/>
          <w:szCs w:val="26"/>
        </w:rPr>
        <w:t xml:space="preserve">neighborhood compatibility by maintaining the existing character and scale of Culver City’s single-family residential neighborhoods.”  </w:t>
      </w:r>
      <w:r w:rsidRPr="000566EE" w:rsidR="000A3899">
        <w:rPr>
          <w:bCs/>
          <w:iCs/>
          <w:szCs w:val="26"/>
        </w:rPr>
        <w:t>The staff report for the joint study session</w:t>
      </w:r>
      <w:r w:rsidRPr="000566EE" w:rsidR="009079C4">
        <w:rPr>
          <w:bCs/>
          <w:iCs/>
          <w:szCs w:val="26"/>
        </w:rPr>
        <w:t xml:space="preserve"> </w:t>
      </w:r>
      <w:r w:rsidRPr="000566EE" w:rsidR="006F0F44">
        <w:rPr>
          <w:bCs/>
          <w:iCs/>
          <w:szCs w:val="26"/>
        </w:rPr>
        <w:t xml:space="preserve">also </w:t>
      </w:r>
      <w:r w:rsidRPr="000566EE" w:rsidR="009079C4">
        <w:rPr>
          <w:bCs/>
          <w:iCs/>
          <w:szCs w:val="26"/>
        </w:rPr>
        <w:t xml:space="preserve">noted that the </w:t>
      </w:r>
      <w:r w:rsidRPr="000566EE" w:rsidR="00154DF7">
        <w:rPr>
          <w:bCs/>
          <w:iCs/>
          <w:szCs w:val="26"/>
        </w:rPr>
        <w:t xml:space="preserve">City Council </w:t>
      </w:r>
      <w:r w:rsidRPr="000566EE" w:rsidR="009079C4">
        <w:rPr>
          <w:bCs/>
          <w:iCs/>
          <w:szCs w:val="26"/>
        </w:rPr>
        <w:t xml:space="preserve">and </w:t>
      </w:r>
      <w:r w:rsidRPr="000566EE" w:rsidR="00154DF7">
        <w:rPr>
          <w:bCs/>
          <w:iCs/>
          <w:szCs w:val="26"/>
        </w:rPr>
        <w:t xml:space="preserve">Planning Commission </w:t>
      </w:r>
      <w:r w:rsidRPr="000566EE" w:rsidR="006F0F44">
        <w:rPr>
          <w:bCs/>
          <w:iCs/>
          <w:szCs w:val="26"/>
        </w:rPr>
        <w:t>needed to consider how accessory structures, such as additional dwelling units</w:t>
      </w:r>
      <w:r w:rsidRPr="000566EE" w:rsidR="00867251">
        <w:rPr>
          <w:bCs/>
          <w:iCs/>
          <w:szCs w:val="26"/>
        </w:rPr>
        <w:t xml:space="preserve"> (ADUs)</w:t>
      </w:r>
      <w:r w:rsidRPr="000566EE" w:rsidR="00BE00E7">
        <w:rPr>
          <w:bCs/>
          <w:iCs/>
          <w:szCs w:val="26"/>
        </w:rPr>
        <w:t>, contributed to lot coverage and FAR</w:t>
      </w:r>
      <w:r w:rsidRPr="000566EE" w:rsidR="006C3AD9">
        <w:rPr>
          <w:bCs/>
          <w:iCs/>
          <w:szCs w:val="26"/>
        </w:rPr>
        <w:t>.</w:t>
      </w:r>
      <w:r w:rsidRPr="000566EE" w:rsidR="000043B2">
        <w:rPr>
          <w:bCs/>
          <w:iCs/>
          <w:szCs w:val="26"/>
        </w:rPr>
        <w:t xml:space="preserve"> </w:t>
      </w:r>
      <w:r w:rsidRPr="000566EE" w:rsidR="00CC2266">
        <w:rPr>
          <w:bCs/>
          <w:iCs/>
          <w:szCs w:val="26"/>
        </w:rPr>
        <w:t xml:space="preserve"> </w:t>
      </w:r>
    </w:p>
    <w:p w:rsidR="000A08ED" w:rsidP="000566EE" w14:paraId="478F74C9" w14:textId="54AAF04B">
      <w:pPr>
        <w:contextualSpacing/>
        <w:rPr>
          <w:bCs/>
          <w:iCs/>
          <w:szCs w:val="26"/>
        </w:rPr>
      </w:pPr>
    </w:p>
    <w:p w:rsidR="00917E08" w:rsidRPr="000566EE" w:rsidP="000566EE" w14:paraId="3CD14164" w14:textId="77777777">
      <w:pPr>
        <w:contextualSpacing/>
        <w:rPr>
          <w:bCs/>
          <w:iCs/>
          <w:szCs w:val="26"/>
        </w:rPr>
      </w:pPr>
    </w:p>
    <w:p w:rsidR="00933EA5" w:rsidRPr="000566EE" w:rsidP="000566EE" w14:paraId="67C37231" w14:textId="3A2D92F3">
      <w:pPr>
        <w:ind w:left="720" w:hanging="720"/>
        <w:contextualSpacing/>
        <w:rPr>
          <w:b/>
          <w:i/>
          <w:szCs w:val="26"/>
        </w:rPr>
      </w:pPr>
      <w:r w:rsidRPr="000566EE">
        <w:rPr>
          <w:b/>
          <w:iCs/>
          <w:szCs w:val="26"/>
        </w:rPr>
        <w:t>B.</w:t>
      </w:r>
      <w:r w:rsidRPr="000566EE">
        <w:rPr>
          <w:b/>
          <w:iCs/>
          <w:szCs w:val="26"/>
        </w:rPr>
        <w:tab/>
      </w:r>
      <w:r w:rsidRPr="000566EE" w:rsidR="00C0294F">
        <w:rPr>
          <w:b/>
          <w:iCs/>
          <w:szCs w:val="26"/>
        </w:rPr>
        <w:t>The City Council Votes to Reduce FAR to .45</w:t>
      </w:r>
    </w:p>
    <w:p w:rsidR="00C0294F" w:rsidRPr="000566EE" w:rsidP="000566EE" w14:paraId="6B2C73F6" w14:textId="713D19F2">
      <w:pPr>
        <w:ind w:firstLine="720"/>
        <w:contextualSpacing/>
        <w:rPr>
          <w:bCs/>
          <w:iCs/>
          <w:szCs w:val="26"/>
        </w:rPr>
      </w:pPr>
      <w:r w:rsidRPr="000566EE">
        <w:rPr>
          <w:bCs/>
          <w:iCs/>
          <w:szCs w:val="26"/>
        </w:rPr>
        <w:t>In</w:t>
      </w:r>
      <w:r w:rsidRPr="000566EE" w:rsidR="00D4315B">
        <w:rPr>
          <w:bCs/>
          <w:iCs/>
          <w:szCs w:val="26"/>
        </w:rPr>
        <w:t xml:space="preserve"> January</w:t>
      </w:r>
      <w:r w:rsidRPr="000566EE" w:rsidR="00A67B17">
        <w:rPr>
          <w:bCs/>
          <w:iCs/>
          <w:szCs w:val="26"/>
        </w:rPr>
        <w:t> </w:t>
      </w:r>
      <w:r w:rsidRPr="000566EE" w:rsidR="00D4315B">
        <w:rPr>
          <w:bCs/>
          <w:iCs/>
          <w:szCs w:val="26"/>
        </w:rPr>
        <w:t xml:space="preserve">2020, </w:t>
      </w:r>
      <w:r w:rsidRPr="000566EE" w:rsidR="00F34BB8">
        <w:rPr>
          <w:bCs/>
          <w:iCs/>
          <w:szCs w:val="26"/>
        </w:rPr>
        <w:t xml:space="preserve">City staff </w:t>
      </w:r>
      <w:r w:rsidRPr="000566EE" w:rsidR="00A44C2D">
        <w:rPr>
          <w:bCs/>
          <w:iCs/>
          <w:szCs w:val="26"/>
        </w:rPr>
        <w:t>presented revised recommendations from JKA to the City’s Planning Commission</w:t>
      </w:r>
      <w:r w:rsidRPr="000566EE" w:rsidR="001575CB">
        <w:rPr>
          <w:bCs/>
          <w:iCs/>
          <w:szCs w:val="26"/>
        </w:rPr>
        <w:t xml:space="preserve"> for amendments to </w:t>
      </w:r>
      <w:r w:rsidRPr="000566EE" w:rsidR="0096711B">
        <w:rPr>
          <w:bCs/>
          <w:iCs/>
          <w:szCs w:val="26"/>
        </w:rPr>
        <w:t xml:space="preserve">R-1 </w:t>
      </w:r>
      <w:r w:rsidRPr="000566EE" w:rsidR="00351B72">
        <w:rPr>
          <w:bCs/>
          <w:iCs/>
          <w:szCs w:val="26"/>
        </w:rPr>
        <w:t xml:space="preserve">development standards. </w:t>
      </w:r>
      <w:r w:rsidRPr="000566EE" w:rsidR="00EA0E71">
        <w:rPr>
          <w:bCs/>
          <w:iCs/>
          <w:szCs w:val="26"/>
        </w:rPr>
        <w:t xml:space="preserve"> </w:t>
      </w:r>
      <w:r w:rsidRPr="000566EE" w:rsidR="00364167">
        <w:rPr>
          <w:bCs/>
          <w:iCs/>
          <w:szCs w:val="26"/>
        </w:rPr>
        <w:t>The re</w:t>
      </w:r>
      <w:r w:rsidRPr="000566EE" w:rsidR="004C39B2">
        <w:rPr>
          <w:bCs/>
          <w:iCs/>
          <w:szCs w:val="26"/>
        </w:rPr>
        <w:t xml:space="preserve">commendations included </w:t>
      </w:r>
      <w:r w:rsidRPr="000566EE" w:rsidR="00F66B55">
        <w:rPr>
          <w:bCs/>
          <w:iCs/>
          <w:szCs w:val="26"/>
        </w:rPr>
        <w:t>reducing the FAR in R-1 zoned neighborhoods from .60 to .45</w:t>
      </w:r>
      <w:r w:rsidRPr="000566EE" w:rsidR="006E2D93">
        <w:rPr>
          <w:bCs/>
          <w:iCs/>
          <w:szCs w:val="26"/>
        </w:rPr>
        <w:t xml:space="preserve"> for all lot sizes</w:t>
      </w:r>
      <w:r w:rsidRPr="000566EE" w:rsidR="004A29C3">
        <w:rPr>
          <w:bCs/>
          <w:iCs/>
          <w:szCs w:val="26"/>
        </w:rPr>
        <w:t xml:space="preserve">.  </w:t>
      </w:r>
      <w:r w:rsidRPr="000566EE" w:rsidR="00D73A5A">
        <w:rPr>
          <w:bCs/>
          <w:iCs/>
          <w:szCs w:val="26"/>
        </w:rPr>
        <w:t xml:space="preserve">The City staff report </w:t>
      </w:r>
      <w:r w:rsidRPr="000566EE" w:rsidR="00A64134">
        <w:rPr>
          <w:bCs/>
          <w:iCs/>
          <w:szCs w:val="26"/>
        </w:rPr>
        <w:t>for</w:t>
      </w:r>
      <w:r w:rsidRPr="000566EE" w:rsidR="007631F8">
        <w:rPr>
          <w:bCs/>
          <w:iCs/>
          <w:szCs w:val="26"/>
        </w:rPr>
        <w:t xml:space="preserve"> the meeting </w:t>
      </w:r>
      <w:r w:rsidRPr="000566EE" w:rsidR="00913CBE">
        <w:rPr>
          <w:bCs/>
          <w:iCs/>
          <w:szCs w:val="26"/>
        </w:rPr>
        <w:t>stated,</w:t>
      </w:r>
      <w:r w:rsidRPr="000566EE" w:rsidR="000541C6">
        <w:rPr>
          <w:bCs/>
          <w:iCs/>
          <w:szCs w:val="26"/>
        </w:rPr>
        <w:t xml:space="preserve"> “</w:t>
      </w:r>
      <w:r w:rsidR="001F2848">
        <w:rPr>
          <w:bCs/>
          <w:iCs/>
          <w:szCs w:val="26"/>
        </w:rPr>
        <w:t>T</w:t>
      </w:r>
      <w:r w:rsidRPr="000566EE" w:rsidR="000541C6">
        <w:rPr>
          <w:bCs/>
          <w:iCs/>
          <w:szCs w:val="26"/>
        </w:rPr>
        <w:t xml:space="preserve">he intent of the proposed FAR reduction </w:t>
      </w:r>
      <w:r w:rsidRPr="000566EE" w:rsidR="00E35C19">
        <w:rPr>
          <w:bCs/>
          <w:iCs/>
          <w:szCs w:val="26"/>
        </w:rPr>
        <w:t>[was]</w:t>
      </w:r>
      <w:r w:rsidRPr="000566EE" w:rsidR="000541C6">
        <w:rPr>
          <w:bCs/>
          <w:iCs/>
          <w:szCs w:val="26"/>
        </w:rPr>
        <w:t xml:space="preserve"> to reduce bulk and mass of new structures as a part of overall allowable square footage.” </w:t>
      </w:r>
      <w:r w:rsidRPr="000566EE" w:rsidR="00282120">
        <w:rPr>
          <w:bCs/>
          <w:iCs/>
          <w:szCs w:val="26"/>
        </w:rPr>
        <w:t xml:space="preserve"> </w:t>
      </w:r>
      <w:r w:rsidRPr="000566EE" w:rsidR="00E36175">
        <w:rPr>
          <w:bCs/>
          <w:iCs/>
          <w:szCs w:val="26"/>
        </w:rPr>
        <w:t>A</w:t>
      </w:r>
      <w:r w:rsidRPr="000566EE" w:rsidR="00A70B24">
        <w:rPr>
          <w:bCs/>
          <w:iCs/>
          <w:szCs w:val="26"/>
        </w:rPr>
        <w:t>fter noting that state laws</w:t>
      </w:r>
      <w:r w:rsidRPr="000566EE" w:rsidR="00B33F84">
        <w:rPr>
          <w:bCs/>
          <w:iCs/>
          <w:szCs w:val="26"/>
        </w:rPr>
        <w:t xml:space="preserve"> removed local governments’ ability to </w:t>
      </w:r>
      <w:r w:rsidRPr="000566EE" w:rsidR="00014E5A">
        <w:rPr>
          <w:bCs/>
          <w:iCs/>
          <w:szCs w:val="26"/>
        </w:rPr>
        <w:t xml:space="preserve">count </w:t>
      </w:r>
      <w:r w:rsidRPr="000566EE" w:rsidR="008B743B">
        <w:rPr>
          <w:bCs/>
          <w:iCs/>
          <w:szCs w:val="26"/>
        </w:rPr>
        <w:t>ADUs’ square footage</w:t>
      </w:r>
      <w:r w:rsidRPr="000566EE" w:rsidR="0058773D">
        <w:rPr>
          <w:bCs/>
          <w:iCs/>
          <w:szCs w:val="26"/>
        </w:rPr>
        <w:t xml:space="preserve"> toward</w:t>
      </w:r>
      <w:r w:rsidRPr="000566EE" w:rsidR="00D8493E">
        <w:rPr>
          <w:bCs/>
          <w:iCs/>
          <w:szCs w:val="26"/>
        </w:rPr>
        <w:t xml:space="preserve">s </w:t>
      </w:r>
      <w:r w:rsidRPr="000566EE" w:rsidR="00C52EFC">
        <w:rPr>
          <w:bCs/>
          <w:iCs/>
          <w:szCs w:val="26"/>
        </w:rPr>
        <w:t xml:space="preserve">allowable </w:t>
      </w:r>
      <w:r w:rsidRPr="000566EE" w:rsidR="00D8493E">
        <w:rPr>
          <w:bCs/>
          <w:iCs/>
          <w:szCs w:val="26"/>
        </w:rPr>
        <w:t>FAR,</w:t>
      </w:r>
      <w:r w:rsidRPr="000566EE" w:rsidR="007A4F6F">
        <w:rPr>
          <w:bCs/>
          <w:iCs/>
          <w:szCs w:val="26"/>
        </w:rPr>
        <w:t xml:space="preserve"> </w:t>
      </w:r>
      <w:r w:rsidRPr="000566EE" w:rsidR="009F1923">
        <w:rPr>
          <w:bCs/>
          <w:iCs/>
          <w:szCs w:val="26"/>
        </w:rPr>
        <w:t xml:space="preserve">the staff report </w:t>
      </w:r>
      <w:r w:rsidRPr="000566EE" w:rsidR="007A4F6F">
        <w:rPr>
          <w:bCs/>
          <w:iCs/>
          <w:szCs w:val="26"/>
        </w:rPr>
        <w:t>indicated the “original intent of the reco</w:t>
      </w:r>
      <w:r w:rsidRPr="000566EE" w:rsidR="005C3F32">
        <w:rPr>
          <w:bCs/>
          <w:iCs/>
          <w:szCs w:val="26"/>
        </w:rPr>
        <w:t xml:space="preserve">mmended </w:t>
      </w:r>
      <w:r w:rsidRPr="000566EE" w:rsidR="00886FC3">
        <w:rPr>
          <w:bCs/>
          <w:iCs/>
          <w:szCs w:val="26"/>
        </w:rPr>
        <w:t>FAR</w:t>
      </w:r>
      <w:r w:rsidRPr="000566EE" w:rsidR="00AD05AF">
        <w:rPr>
          <w:bCs/>
          <w:iCs/>
          <w:szCs w:val="26"/>
        </w:rPr>
        <w:t xml:space="preserve"> </w:t>
      </w:r>
      <w:r w:rsidRPr="000566EE" w:rsidR="000C611F">
        <w:rPr>
          <w:bCs/>
          <w:iCs/>
          <w:szCs w:val="26"/>
        </w:rPr>
        <w:t>[</w:t>
      </w:r>
      <w:r w:rsidRPr="000566EE" w:rsidR="00AD05AF">
        <w:rPr>
          <w:bCs/>
          <w:iCs/>
          <w:szCs w:val="26"/>
        </w:rPr>
        <w:t>was undermined</w:t>
      </w:r>
      <w:r w:rsidRPr="000566EE" w:rsidR="000C611F">
        <w:rPr>
          <w:bCs/>
          <w:iCs/>
          <w:szCs w:val="26"/>
        </w:rPr>
        <w:t>]</w:t>
      </w:r>
      <w:r w:rsidRPr="000566EE" w:rsidR="009F1923">
        <w:rPr>
          <w:bCs/>
          <w:iCs/>
          <w:szCs w:val="26"/>
        </w:rPr>
        <w:t>,</w:t>
      </w:r>
      <w:r w:rsidRPr="000566EE" w:rsidR="00AD05AF">
        <w:rPr>
          <w:bCs/>
          <w:iCs/>
          <w:szCs w:val="26"/>
        </w:rPr>
        <w:t>”</w:t>
      </w:r>
      <w:r w:rsidRPr="000566EE" w:rsidR="002D2F56">
        <w:rPr>
          <w:bCs/>
          <w:iCs/>
          <w:szCs w:val="26"/>
        </w:rPr>
        <w:t xml:space="preserve"> </w:t>
      </w:r>
      <w:r w:rsidRPr="000566EE" w:rsidR="009F1923">
        <w:rPr>
          <w:bCs/>
          <w:iCs/>
          <w:szCs w:val="26"/>
        </w:rPr>
        <w:t xml:space="preserve">so </w:t>
      </w:r>
      <w:r w:rsidRPr="000566EE" w:rsidR="00A64134">
        <w:rPr>
          <w:bCs/>
          <w:iCs/>
          <w:szCs w:val="26"/>
        </w:rPr>
        <w:t xml:space="preserve">although </w:t>
      </w:r>
      <w:r w:rsidRPr="000566EE" w:rsidR="00CC7E2C">
        <w:rPr>
          <w:bCs/>
          <w:iCs/>
          <w:szCs w:val="26"/>
        </w:rPr>
        <w:t>a</w:t>
      </w:r>
      <w:r w:rsidRPr="000566EE" w:rsidR="004645D5">
        <w:rPr>
          <w:bCs/>
          <w:iCs/>
          <w:szCs w:val="26"/>
        </w:rPr>
        <w:t xml:space="preserve"> </w:t>
      </w:r>
      <w:r w:rsidRPr="000566EE" w:rsidR="00CC7E2C">
        <w:rPr>
          <w:bCs/>
          <w:iCs/>
          <w:szCs w:val="26"/>
        </w:rPr>
        <w:t xml:space="preserve">FAR reduction of .50 had previously been discussed, </w:t>
      </w:r>
      <w:r w:rsidRPr="000566EE" w:rsidR="008A5CCB">
        <w:rPr>
          <w:bCs/>
          <w:iCs/>
          <w:szCs w:val="26"/>
        </w:rPr>
        <w:t xml:space="preserve">City staff was recommending </w:t>
      </w:r>
      <w:r w:rsidRPr="000566EE" w:rsidR="000B79E6">
        <w:rPr>
          <w:bCs/>
          <w:iCs/>
          <w:szCs w:val="26"/>
        </w:rPr>
        <w:t xml:space="preserve">a FAR reduction </w:t>
      </w:r>
      <w:r w:rsidRPr="000566EE" w:rsidR="00F209E3">
        <w:rPr>
          <w:bCs/>
          <w:iCs/>
          <w:szCs w:val="26"/>
        </w:rPr>
        <w:t>to .45</w:t>
      </w:r>
      <w:r w:rsidRPr="000566EE" w:rsidR="009F1923">
        <w:rPr>
          <w:bCs/>
          <w:iCs/>
          <w:szCs w:val="26"/>
        </w:rPr>
        <w:t xml:space="preserve">. </w:t>
      </w:r>
      <w:r w:rsidRPr="000566EE" w:rsidR="002D2F56">
        <w:rPr>
          <w:bCs/>
          <w:iCs/>
          <w:szCs w:val="26"/>
        </w:rPr>
        <w:t xml:space="preserve"> </w:t>
      </w:r>
      <w:r w:rsidRPr="000566EE" w:rsidR="00811DA8">
        <w:rPr>
          <w:bCs/>
          <w:iCs/>
          <w:szCs w:val="26"/>
        </w:rPr>
        <w:t xml:space="preserve">In other words, </w:t>
      </w:r>
      <w:r w:rsidRPr="000566EE" w:rsidR="000D779D">
        <w:rPr>
          <w:bCs/>
          <w:iCs/>
          <w:szCs w:val="26"/>
        </w:rPr>
        <w:t xml:space="preserve">the recommendation was to </w:t>
      </w:r>
      <w:r w:rsidRPr="000566EE" w:rsidR="00811DA8">
        <w:rPr>
          <w:bCs/>
          <w:iCs/>
          <w:szCs w:val="26"/>
        </w:rPr>
        <w:t>reduce</w:t>
      </w:r>
      <w:r w:rsidRPr="000566EE" w:rsidR="000D779D">
        <w:rPr>
          <w:bCs/>
          <w:iCs/>
          <w:szCs w:val="26"/>
        </w:rPr>
        <w:t xml:space="preserve"> FAR</w:t>
      </w:r>
      <w:r w:rsidRPr="000566EE" w:rsidR="00811DA8">
        <w:rPr>
          <w:bCs/>
          <w:iCs/>
          <w:szCs w:val="26"/>
        </w:rPr>
        <w:t xml:space="preserve"> from .50 to .45 to account for the fact that ADU</w:t>
      </w:r>
      <w:r w:rsidRPr="000566EE" w:rsidR="000D779D">
        <w:rPr>
          <w:bCs/>
          <w:iCs/>
          <w:szCs w:val="26"/>
        </w:rPr>
        <w:t>s</w:t>
      </w:r>
      <w:r w:rsidRPr="000566EE" w:rsidR="00811DA8">
        <w:rPr>
          <w:bCs/>
          <w:iCs/>
          <w:szCs w:val="26"/>
        </w:rPr>
        <w:t xml:space="preserve"> could not be </w:t>
      </w:r>
      <w:r w:rsidRPr="000566EE" w:rsidR="000D779D">
        <w:rPr>
          <w:bCs/>
          <w:iCs/>
          <w:szCs w:val="26"/>
        </w:rPr>
        <w:t xml:space="preserve">included </w:t>
      </w:r>
      <w:r w:rsidRPr="000566EE" w:rsidR="00811DA8">
        <w:rPr>
          <w:bCs/>
          <w:iCs/>
          <w:szCs w:val="26"/>
        </w:rPr>
        <w:t>in calculating FAR.</w:t>
      </w:r>
      <w:r w:rsidRPr="000566EE" w:rsidR="000B37E8">
        <w:rPr>
          <w:bCs/>
          <w:iCs/>
          <w:szCs w:val="26"/>
        </w:rPr>
        <w:t xml:space="preserve">  </w:t>
      </w:r>
      <w:r w:rsidRPr="000566EE" w:rsidR="00814161">
        <w:rPr>
          <w:bCs/>
          <w:iCs/>
          <w:szCs w:val="26"/>
        </w:rPr>
        <w:t xml:space="preserve">The </w:t>
      </w:r>
      <w:r w:rsidRPr="000566EE" w:rsidR="00403E86">
        <w:rPr>
          <w:bCs/>
          <w:iCs/>
          <w:szCs w:val="26"/>
        </w:rPr>
        <w:t xml:space="preserve">City’s </w:t>
      </w:r>
      <w:r w:rsidRPr="000566EE" w:rsidR="00814161">
        <w:rPr>
          <w:bCs/>
          <w:iCs/>
          <w:szCs w:val="26"/>
        </w:rPr>
        <w:t>Planning Commission</w:t>
      </w:r>
      <w:r w:rsidRPr="000566EE" w:rsidR="00641B6D">
        <w:rPr>
          <w:bCs/>
          <w:iCs/>
          <w:szCs w:val="26"/>
        </w:rPr>
        <w:t xml:space="preserve">, however, </w:t>
      </w:r>
      <w:r w:rsidRPr="000566EE" w:rsidR="00827AEC">
        <w:rPr>
          <w:bCs/>
          <w:iCs/>
          <w:szCs w:val="26"/>
        </w:rPr>
        <w:t>recommended</w:t>
      </w:r>
      <w:r w:rsidRPr="000566EE" w:rsidR="00956F25">
        <w:rPr>
          <w:bCs/>
          <w:iCs/>
          <w:szCs w:val="26"/>
        </w:rPr>
        <w:t xml:space="preserve"> </w:t>
      </w:r>
      <w:r w:rsidRPr="000566EE" w:rsidR="00FC4962">
        <w:rPr>
          <w:bCs/>
          <w:iCs/>
          <w:szCs w:val="26"/>
        </w:rPr>
        <w:t xml:space="preserve">FAR </w:t>
      </w:r>
      <w:r w:rsidRPr="000566EE" w:rsidR="00D24802">
        <w:rPr>
          <w:bCs/>
          <w:iCs/>
          <w:szCs w:val="26"/>
        </w:rPr>
        <w:t xml:space="preserve">be reduced to .50, instead of the </w:t>
      </w:r>
      <w:r w:rsidRPr="000566EE" w:rsidR="00334B7F">
        <w:rPr>
          <w:bCs/>
          <w:iCs/>
          <w:szCs w:val="26"/>
        </w:rPr>
        <w:t xml:space="preserve">staff’s </w:t>
      </w:r>
      <w:r w:rsidRPr="000566EE" w:rsidR="00D24802">
        <w:rPr>
          <w:bCs/>
          <w:iCs/>
          <w:szCs w:val="26"/>
        </w:rPr>
        <w:t xml:space="preserve">proposed .45. </w:t>
      </w:r>
    </w:p>
    <w:p w:rsidR="007435AB" w:rsidRPr="000566EE" w:rsidP="000566EE" w14:paraId="55148C86" w14:textId="50195F7C">
      <w:pPr>
        <w:ind w:firstLine="720"/>
        <w:contextualSpacing/>
        <w:rPr>
          <w:bCs/>
          <w:iCs/>
          <w:szCs w:val="26"/>
        </w:rPr>
      </w:pPr>
      <w:r w:rsidRPr="000566EE">
        <w:rPr>
          <w:bCs/>
          <w:iCs/>
          <w:szCs w:val="26"/>
        </w:rPr>
        <w:t xml:space="preserve">The </w:t>
      </w:r>
      <w:r w:rsidRPr="000566EE" w:rsidR="000B45E5">
        <w:rPr>
          <w:bCs/>
          <w:iCs/>
          <w:szCs w:val="26"/>
        </w:rPr>
        <w:t xml:space="preserve">City Council </w:t>
      </w:r>
      <w:r w:rsidRPr="000566EE" w:rsidR="005D34F4">
        <w:rPr>
          <w:bCs/>
          <w:iCs/>
          <w:szCs w:val="26"/>
        </w:rPr>
        <w:t xml:space="preserve">held a public hearing </w:t>
      </w:r>
      <w:r w:rsidRPr="000566EE" w:rsidR="00491265">
        <w:rPr>
          <w:bCs/>
          <w:iCs/>
          <w:szCs w:val="26"/>
        </w:rPr>
        <w:t xml:space="preserve">on the Planning Commission’s recommendation </w:t>
      </w:r>
      <w:r w:rsidRPr="000566EE" w:rsidR="00D22102">
        <w:rPr>
          <w:bCs/>
          <w:iCs/>
          <w:szCs w:val="26"/>
        </w:rPr>
        <w:t>in</w:t>
      </w:r>
      <w:r w:rsidRPr="000566EE" w:rsidR="00491265">
        <w:rPr>
          <w:bCs/>
          <w:iCs/>
          <w:szCs w:val="26"/>
        </w:rPr>
        <w:t xml:space="preserve"> May 2020 and </w:t>
      </w:r>
      <w:r w:rsidRPr="000566EE" w:rsidR="00A140D8">
        <w:rPr>
          <w:bCs/>
          <w:iCs/>
          <w:szCs w:val="26"/>
        </w:rPr>
        <w:t xml:space="preserve">introduced </w:t>
      </w:r>
      <w:r w:rsidRPr="000566EE" w:rsidR="00491265">
        <w:rPr>
          <w:bCs/>
          <w:iCs/>
          <w:szCs w:val="26"/>
        </w:rPr>
        <w:t xml:space="preserve">the Ordinance.  </w:t>
      </w:r>
      <w:r w:rsidRPr="000566EE" w:rsidR="00A0487E">
        <w:rPr>
          <w:bCs/>
          <w:iCs/>
          <w:szCs w:val="26"/>
        </w:rPr>
        <w:t xml:space="preserve">The Draft of the Ordinance </w:t>
      </w:r>
      <w:r w:rsidRPr="000566EE" w:rsidR="004D24C6">
        <w:rPr>
          <w:bCs/>
          <w:iCs/>
          <w:szCs w:val="26"/>
        </w:rPr>
        <w:t>read</w:t>
      </w:r>
      <w:r w:rsidRPr="000566EE" w:rsidR="00A80D91">
        <w:rPr>
          <w:bCs/>
          <w:iCs/>
          <w:szCs w:val="26"/>
        </w:rPr>
        <w:t>, “</w:t>
      </w:r>
      <w:r w:rsidR="00CC418D">
        <w:rPr>
          <w:bCs/>
          <w:iCs/>
          <w:szCs w:val="26"/>
        </w:rPr>
        <w:t>T</w:t>
      </w:r>
      <w:r w:rsidRPr="000566EE" w:rsidR="00A80D91">
        <w:rPr>
          <w:bCs/>
          <w:iCs/>
          <w:szCs w:val="26"/>
        </w:rPr>
        <w:t xml:space="preserve">he proposed Zoning Code Amendment is intended to reduce incompatible mass and bulk of new single-family housing </w:t>
      </w:r>
      <w:r w:rsidRPr="000566EE" w:rsidR="00B54F8F">
        <w:rPr>
          <w:bCs/>
          <w:iCs/>
          <w:szCs w:val="26"/>
        </w:rPr>
        <w:t xml:space="preserve">[in] </w:t>
      </w:r>
      <w:r w:rsidRPr="000566EE" w:rsidR="00A80D91">
        <w:rPr>
          <w:bCs/>
          <w:iCs/>
          <w:szCs w:val="26"/>
        </w:rPr>
        <w:t>Culver City.</w:t>
      </w:r>
      <w:r w:rsidRPr="000566EE" w:rsidR="00784F4D">
        <w:rPr>
          <w:bCs/>
          <w:iCs/>
          <w:szCs w:val="26"/>
        </w:rPr>
        <w:t> . .</w:t>
      </w:r>
      <w:r w:rsidRPr="000566EE" w:rsidR="0073063D">
        <w:rPr>
          <w:bCs/>
          <w:iCs/>
          <w:szCs w:val="26"/>
        </w:rPr>
        <w:t xml:space="preserve"> . </w:t>
      </w:r>
      <w:r w:rsidRPr="000566EE" w:rsidR="001A144E">
        <w:rPr>
          <w:bCs/>
          <w:iCs/>
          <w:szCs w:val="26"/>
        </w:rPr>
        <w:t xml:space="preserve"> </w:t>
      </w:r>
      <w:r w:rsidRPr="000566EE" w:rsidR="0073063D">
        <w:rPr>
          <w:bCs/>
          <w:iCs/>
          <w:szCs w:val="26"/>
        </w:rPr>
        <w:t>The existing Zoning Code language allows for single-family home</w:t>
      </w:r>
      <w:r w:rsidRPr="000566EE" w:rsidR="008A3454">
        <w:rPr>
          <w:bCs/>
          <w:iCs/>
          <w:szCs w:val="26"/>
        </w:rPr>
        <w:t xml:space="preserve"> </w:t>
      </w:r>
      <w:r w:rsidRPr="000566EE" w:rsidR="00F77F05">
        <w:rPr>
          <w:bCs/>
          <w:iCs/>
          <w:szCs w:val="26"/>
        </w:rPr>
        <w:t>[</w:t>
      </w:r>
      <w:r w:rsidRPr="000566EE" w:rsidR="00C0455B">
        <w:rPr>
          <w:bCs/>
          <w:iCs/>
          <w:szCs w:val="26"/>
        </w:rPr>
        <w:t> </w:t>
      </w:r>
      <w:r w:rsidRPr="000566EE" w:rsidR="00893C95">
        <w:rPr>
          <w:bCs/>
          <w:iCs/>
          <w:szCs w:val="26"/>
        </w:rPr>
        <w:t>]</w:t>
      </w:r>
      <w:r w:rsidRPr="000566EE" w:rsidR="0073063D">
        <w:rPr>
          <w:bCs/>
          <w:iCs/>
          <w:szCs w:val="26"/>
        </w:rPr>
        <w:t xml:space="preserve"> construction that does not fit existing neighborhood character.  The proposed Zoning Code Amendment will modify single</w:t>
      </w:r>
      <w:r w:rsidRPr="000566EE" w:rsidR="00A87F0B">
        <w:rPr>
          <w:bCs/>
          <w:iCs/>
          <w:szCs w:val="26"/>
        </w:rPr>
        <w:t>[-]</w:t>
      </w:r>
      <w:r w:rsidRPr="000566EE" w:rsidR="0073063D">
        <w:rPr>
          <w:bCs/>
          <w:iCs/>
          <w:szCs w:val="26"/>
        </w:rPr>
        <w:t xml:space="preserve">family residential zone standards to regulate buildings that are more compatible with existing surroundings.”  </w:t>
      </w:r>
      <w:r w:rsidRPr="000566EE" w:rsidR="00657E16">
        <w:rPr>
          <w:bCs/>
          <w:iCs/>
          <w:szCs w:val="26"/>
        </w:rPr>
        <w:t>The City</w:t>
      </w:r>
      <w:r w:rsidRPr="000566EE" w:rsidR="00A6697B">
        <w:rPr>
          <w:bCs/>
          <w:iCs/>
          <w:szCs w:val="26"/>
        </w:rPr>
        <w:t>’s</w:t>
      </w:r>
      <w:r w:rsidRPr="000566EE" w:rsidR="00657E16">
        <w:rPr>
          <w:bCs/>
          <w:iCs/>
          <w:szCs w:val="26"/>
        </w:rPr>
        <w:t xml:space="preserve"> Planning Manager </w:t>
      </w:r>
      <w:r w:rsidRPr="000566EE">
        <w:rPr>
          <w:bCs/>
          <w:iCs/>
          <w:szCs w:val="26"/>
        </w:rPr>
        <w:t>explained that “[t]he driving force behind [the proposed changes</w:t>
      </w:r>
      <w:r w:rsidRPr="000566EE" w:rsidR="00D452CC">
        <w:rPr>
          <w:bCs/>
          <w:iCs/>
          <w:szCs w:val="26"/>
        </w:rPr>
        <w:t xml:space="preserve"> was</w:t>
      </w:r>
      <w:r w:rsidRPr="000566EE">
        <w:rPr>
          <w:bCs/>
          <w:iCs/>
          <w:szCs w:val="26"/>
        </w:rPr>
        <w:t>] residents’ concerns of the size and scale of new construction</w:t>
      </w:r>
      <w:r w:rsidRPr="000566EE" w:rsidR="006C3AD9">
        <w:rPr>
          <w:bCs/>
          <w:iCs/>
          <w:szCs w:val="26"/>
        </w:rPr>
        <w:t>.</w:t>
      </w:r>
      <w:r w:rsidRPr="000566EE" w:rsidR="00645DB6">
        <w:rPr>
          <w:bCs/>
          <w:iCs/>
          <w:szCs w:val="26"/>
        </w:rPr>
        <w:t xml:space="preserve">” </w:t>
      </w:r>
      <w:r w:rsidRPr="000566EE" w:rsidR="00006612">
        <w:rPr>
          <w:bCs/>
          <w:iCs/>
          <w:szCs w:val="26"/>
        </w:rPr>
        <w:t xml:space="preserve">  </w:t>
      </w:r>
    </w:p>
    <w:p w:rsidR="000822D5" w:rsidRPr="000566EE" w:rsidP="000566EE" w14:paraId="46B474FA" w14:textId="258134A1">
      <w:pPr>
        <w:contextualSpacing/>
        <w:rPr>
          <w:bCs/>
          <w:iCs/>
          <w:szCs w:val="26"/>
        </w:rPr>
      </w:pPr>
      <w:r w:rsidRPr="000566EE">
        <w:rPr>
          <w:bCs/>
          <w:iCs/>
          <w:szCs w:val="26"/>
        </w:rPr>
        <w:tab/>
      </w:r>
      <w:r w:rsidRPr="000566EE" w:rsidR="0055179A">
        <w:rPr>
          <w:bCs/>
          <w:iCs/>
          <w:szCs w:val="26"/>
        </w:rPr>
        <w:t xml:space="preserve">While </w:t>
      </w:r>
      <w:r w:rsidRPr="000566EE" w:rsidR="00CB4FFA">
        <w:rPr>
          <w:bCs/>
          <w:iCs/>
          <w:szCs w:val="26"/>
        </w:rPr>
        <w:t>addressing</w:t>
      </w:r>
      <w:r w:rsidRPr="000566EE" w:rsidR="0055179A">
        <w:rPr>
          <w:bCs/>
          <w:iCs/>
          <w:szCs w:val="26"/>
        </w:rPr>
        <w:t xml:space="preserve"> whether the FAR should be reduced to</w:t>
      </w:r>
      <w:r w:rsidRPr="000566EE" w:rsidR="00543316">
        <w:rPr>
          <w:bCs/>
          <w:iCs/>
          <w:szCs w:val="26"/>
        </w:rPr>
        <w:t xml:space="preserve"> .</w:t>
      </w:r>
      <w:r w:rsidRPr="000566EE" w:rsidR="0055179A">
        <w:rPr>
          <w:bCs/>
          <w:iCs/>
          <w:szCs w:val="26"/>
        </w:rPr>
        <w:t>5</w:t>
      </w:r>
      <w:r w:rsidRPr="000566EE" w:rsidR="00543316">
        <w:rPr>
          <w:bCs/>
          <w:iCs/>
          <w:szCs w:val="26"/>
        </w:rPr>
        <w:t xml:space="preserve">0 </w:t>
      </w:r>
      <w:r w:rsidRPr="000566EE" w:rsidR="0055179A">
        <w:rPr>
          <w:bCs/>
          <w:iCs/>
          <w:szCs w:val="26"/>
        </w:rPr>
        <w:t>or</w:t>
      </w:r>
      <w:r w:rsidRPr="000566EE" w:rsidR="00543316">
        <w:rPr>
          <w:bCs/>
          <w:iCs/>
          <w:szCs w:val="26"/>
        </w:rPr>
        <w:t xml:space="preserve"> .45</w:t>
      </w:r>
      <w:r w:rsidRPr="000566EE" w:rsidR="0055179A">
        <w:rPr>
          <w:bCs/>
          <w:iCs/>
          <w:szCs w:val="26"/>
        </w:rPr>
        <w:t>, o</w:t>
      </w:r>
      <w:r w:rsidRPr="000566EE" w:rsidR="00286E6D">
        <w:rPr>
          <w:bCs/>
          <w:iCs/>
          <w:szCs w:val="26"/>
        </w:rPr>
        <w:t>ne Council</w:t>
      </w:r>
      <w:r w:rsidRPr="000566EE" w:rsidR="00F92625">
        <w:rPr>
          <w:bCs/>
          <w:iCs/>
          <w:szCs w:val="26"/>
        </w:rPr>
        <w:t>member explained that the difference between a .50 and .45 FAR is about 250 to 270 square feet</w:t>
      </w:r>
      <w:r w:rsidRPr="000566EE" w:rsidR="003B766A">
        <w:rPr>
          <w:bCs/>
          <w:iCs/>
          <w:szCs w:val="26"/>
        </w:rPr>
        <w:t xml:space="preserve">, which the </w:t>
      </w:r>
      <w:r w:rsidRPr="000566EE" w:rsidR="00182511">
        <w:rPr>
          <w:bCs/>
          <w:iCs/>
          <w:szCs w:val="26"/>
        </w:rPr>
        <w:t>Councilmember described as “one extra bedroom</w:t>
      </w:r>
      <w:r w:rsidRPr="000566EE" w:rsidR="00F34AE5">
        <w:rPr>
          <w:bCs/>
          <w:iCs/>
          <w:szCs w:val="26"/>
        </w:rPr>
        <w:t xml:space="preserve">.” </w:t>
      </w:r>
      <w:r w:rsidRPr="000566EE" w:rsidR="00E96DCE">
        <w:rPr>
          <w:bCs/>
          <w:iCs/>
          <w:szCs w:val="26"/>
        </w:rPr>
        <w:t xml:space="preserve"> </w:t>
      </w:r>
      <w:r w:rsidRPr="000566EE" w:rsidR="00D076CB">
        <w:rPr>
          <w:bCs/>
          <w:iCs/>
          <w:szCs w:val="26"/>
        </w:rPr>
        <w:t xml:space="preserve">Another Councilmember </w:t>
      </w:r>
      <w:r w:rsidRPr="000566EE" w:rsidR="00B63285">
        <w:rPr>
          <w:bCs/>
          <w:iCs/>
          <w:szCs w:val="26"/>
        </w:rPr>
        <w:t xml:space="preserve">said that the change from .50 to .45 had to </w:t>
      </w:r>
      <w:r w:rsidRPr="000566EE" w:rsidR="00EA203F">
        <w:rPr>
          <w:bCs/>
          <w:iCs/>
          <w:szCs w:val="26"/>
        </w:rPr>
        <w:t>do with “the fact that ADUs will not count towards FAR</w:t>
      </w:r>
      <w:r w:rsidRPr="000566EE" w:rsidR="00EB14D9">
        <w:rPr>
          <w:bCs/>
          <w:iCs/>
          <w:szCs w:val="26"/>
        </w:rPr>
        <w:t>,</w:t>
      </w:r>
      <w:r w:rsidRPr="000566EE" w:rsidR="00EA203F">
        <w:rPr>
          <w:bCs/>
          <w:iCs/>
          <w:szCs w:val="26"/>
        </w:rPr>
        <w:t>”</w:t>
      </w:r>
      <w:r w:rsidRPr="000566EE" w:rsidR="00EB14D9">
        <w:rPr>
          <w:bCs/>
          <w:iCs/>
          <w:szCs w:val="26"/>
        </w:rPr>
        <w:t xml:space="preserve"> </w:t>
      </w:r>
      <w:r w:rsidRPr="000566EE" w:rsidR="003A40EA">
        <w:rPr>
          <w:bCs/>
          <w:iCs/>
          <w:szCs w:val="26"/>
        </w:rPr>
        <w:t xml:space="preserve">so </w:t>
      </w:r>
      <w:r w:rsidRPr="000566EE" w:rsidR="00EB14D9">
        <w:rPr>
          <w:bCs/>
          <w:iCs/>
          <w:szCs w:val="26"/>
        </w:rPr>
        <w:t xml:space="preserve">some ground was lost </w:t>
      </w:r>
      <w:r w:rsidRPr="000566EE" w:rsidR="006D1F32">
        <w:rPr>
          <w:bCs/>
          <w:iCs/>
          <w:szCs w:val="26"/>
        </w:rPr>
        <w:t xml:space="preserve">“in terms of the original goals of the mansionization ordinance.” </w:t>
      </w:r>
      <w:r w:rsidRPr="000566EE" w:rsidR="000619FF">
        <w:rPr>
          <w:bCs/>
          <w:iCs/>
          <w:szCs w:val="26"/>
        </w:rPr>
        <w:t xml:space="preserve"> </w:t>
      </w:r>
      <w:r w:rsidRPr="000566EE" w:rsidR="00F338AF">
        <w:rPr>
          <w:bCs/>
          <w:iCs/>
          <w:szCs w:val="26"/>
        </w:rPr>
        <w:t xml:space="preserve">The City Council </w:t>
      </w:r>
      <w:r w:rsidRPr="000566EE" w:rsidR="003774C9">
        <w:rPr>
          <w:bCs/>
          <w:iCs/>
          <w:szCs w:val="26"/>
        </w:rPr>
        <w:t>decided</w:t>
      </w:r>
      <w:r w:rsidRPr="000566EE" w:rsidR="00F338AF">
        <w:rPr>
          <w:bCs/>
          <w:iCs/>
          <w:szCs w:val="26"/>
        </w:rPr>
        <w:t xml:space="preserve"> to set </w:t>
      </w:r>
      <w:r w:rsidRPr="000566EE" w:rsidR="00F42931">
        <w:rPr>
          <w:bCs/>
          <w:iCs/>
          <w:szCs w:val="26"/>
        </w:rPr>
        <w:t>the F</w:t>
      </w:r>
      <w:r w:rsidRPr="000566EE" w:rsidR="00F338AF">
        <w:rPr>
          <w:bCs/>
          <w:iCs/>
          <w:szCs w:val="26"/>
        </w:rPr>
        <w:t>AR at .45</w:t>
      </w:r>
      <w:r w:rsidRPr="000566EE" w:rsidR="00F42931">
        <w:rPr>
          <w:bCs/>
          <w:iCs/>
          <w:szCs w:val="26"/>
        </w:rPr>
        <w:t xml:space="preserve"> and to adopt</w:t>
      </w:r>
      <w:r w:rsidRPr="000566EE" w:rsidR="007305A5">
        <w:rPr>
          <w:bCs/>
          <w:iCs/>
          <w:szCs w:val="26"/>
        </w:rPr>
        <w:t xml:space="preserve"> the other changes</w:t>
      </w:r>
      <w:r w:rsidRPr="000566EE" w:rsidR="00BC0F6F">
        <w:rPr>
          <w:bCs/>
          <w:iCs/>
          <w:szCs w:val="26"/>
        </w:rPr>
        <w:t xml:space="preserve"> </w:t>
      </w:r>
      <w:r w:rsidRPr="000566EE" w:rsidR="007305A5">
        <w:rPr>
          <w:bCs/>
          <w:iCs/>
          <w:szCs w:val="26"/>
        </w:rPr>
        <w:t>recommended by the Planning Commission.</w:t>
      </w:r>
      <w:r w:rsidRPr="000566EE" w:rsidR="004E2A2E">
        <w:rPr>
          <w:bCs/>
          <w:iCs/>
          <w:szCs w:val="26"/>
        </w:rPr>
        <w:t xml:space="preserve"> </w:t>
      </w:r>
    </w:p>
    <w:p w:rsidR="00C724B4" w:rsidRPr="000566EE" w:rsidP="000566EE" w14:paraId="70EF2B12" w14:textId="77777777">
      <w:pPr>
        <w:contextualSpacing/>
        <w:rPr>
          <w:bCs/>
          <w:iCs/>
          <w:szCs w:val="26"/>
        </w:rPr>
      </w:pPr>
    </w:p>
    <w:p w:rsidR="004542D2" w:rsidRPr="000566EE" w:rsidP="000566EE" w14:paraId="52FC4D40" w14:textId="50E3A5F5">
      <w:pPr>
        <w:contextualSpacing/>
        <w:rPr>
          <w:bCs/>
          <w:iCs/>
          <w:szCs w:val="26"/>
        </w:rPr>
      </w:pPr>
      <w:r w:rsidRPr="000566EE">
        <w:rPr>
          <w:b/>
          <w:iCs/>
          <w:szCs w:val="26"/>
        </w:rPr>
        <w:t>C.</w:t>
      </w:r>
      <w:r w:rsidRPr="000566EE">
        <w:rPr>
          <w:b/>
          <w:iCs/>
          <w:szCs w:val="26"/>
        </w:rPr>
        <w:tab/>
      </w:r>
      <w:r w:rsidRPr="000566EE" w:rsidR="003E4219">
        <w:rPr>
          <w:b/>
          <w:iCs/>
          <w:szCs w:val="26"/>
        </w:rPr>
        <w:t>YIMBY Comment</w:t>
      </w:r>
      <w:r w:rsidRPr="000566EE" w:rsidR="00780578">
        <w:rPr>
          <w:b/>
          <w:iCs/>
          <w:szCs w:val="26"/>
        </w:rPr>
        <w:t>s</w:t>
      </w:r>
      <w:r w:rsidRPr="000566EE" w:rsidR="00BD5D94">
        <w:rPr>
          <w:b/>
          <w:iCs/>
          <w:szCs w:val="26"/>
        </w:rPr>
        <w:t xml:space="preserve"> on the Ordinance</w:t>
      </w:r>
    </w:p>
    <w:p w:rsidR="001D12DF" w:rsidRPr="000566EE" w:rsidP="000566EE" w14:paraId="038A36C5" w14:textId="69B55696">
      <w:pPr>
        <w:ind w:firstLine="720"/>
        <w:contextualSpacing/>
        <w:rPr>
          <w:bCs/>
          <w:iCs/>
          <w:szCs w:val="26"/>
        </w:rPr>
      </w:pPr>
      <w:r w:rsidRPr="000566EE">
        <w:rPr>
          <w:bCs/>
          <w:iCs/>
          <w:szCs w:val="26"/>
        </w:rPr>
        <w:t>After the Ordinance was introduced</w:t>
      </w:r>
      <w:r w:rsidRPr="000566EE" w:rsidR="00C85470">
        <w:rPr>
          <w:bCs/>
          <w:iCs/>
          <w:szCs w:val="26"/>
        </w:rPr>
        <w:t xml:space="preserve">, YIMBY </w:t>
      </w:r>
      <w:r w:rsidRPr="000566EE" w:rsidR="00B2198E">
        <w:rPr>
          <w:bCs/>
          <w:iCs/>
          <w:szCs w:val="26"/>
        </w:rPr>
        <w:t xml:space="preserve">submitted </w:t>
      </w:r>
      <w:r w:rsidRPr="000566EE" w:rsidR="00C917EA">
        <w:rPr>
          <w:bCs/>
          <w:iCs/>
          <w:szCs w:val="26"/>
        </w:rPr>
        <w:t xml:space="preserve">a letter </w:t>
      </w:r>
      <w:r w:rsidRPr="000566EE" w:rsidR="00023FE5">
        <w:rPr>
          <w:bCs/>
          <w:iCs/>
          <w:szCs w:val="26"/>
        </w:rPr>
        <w:t>commenting on</w:t>
      </w:r>
      <w:r w:rsidRPr="000566EE" w:rsidR="003D7BE0">
        <w:rPr>
          <w:bCs/>
          <w:iCs/>
          <w:szCs w:val="26"/>
        </w:rPr>
        <w:t xml:space="preserve"> </w:t>
      </w:r>
      <w:r w:rsidRPr="000566EE" w:rsidR="000768BF">
        <w:rPr>
          <w:bCs/>
          <w:iCs/>
          <w:szCs w:val="26"/>
        </w:rPr>
        <w:t>it</w:t>
      </w:r>
      <w:r w:rsidRPr="000566EE" w:rsidR="000D4E32">
        <w:rPr>
          <w:bCs/>
          <w:iCs/>
          <w:szCs w:val="26"/>
        </w:rPr>
        <w:t xml:space="preserve">.  </w:t>
      </w:r>
      <w:r w:rsidRPr="000566EE" w:rsidR="00F811E1">
        <w:rPr>
          <w:bCs/>
          <w:iCs/>
          <w:szCs w:val="26"/>
        </w:rPr>
        <w:t xml:space="preserve">YIMBY </w:t>
      </w:r>
      <w:r w:rsidRPr="000566EE" w:rsidR="00B12A4B">
        <w:rPr>
          <w:bCs/>
          <w:iCs/>
          <w:szCs w:val="26"/>
        </w:rPr>
        <w:t>expressed</w:t>
      </w:r>
      <w:r w:rsidRPr="000566EE" w:rsidR="008C2608">
        <w:rPr>
          <w:bCs/>
          <w:iCs/>
          <w:szCs w:val="26"/>
        </w:rPr>
        <w:t xml:space="preserve"> </w:t>
      </w:r>
      <w:r w:rsidRPr="000566EE" w:rsidR="00AB7CCB">
        <w:rPr>
          <w:bCs/>
          <w:iCs/>
          <w:szCs w:val="26"/>
        </w:rPr>
        <w:t xml:space="preserve">“that the recently approved reduction in </w:t>
      </w:r>
      <w:r w:rsidRPr="000566EE" w:rsidR="00B12A4B">
        <w:rPr>
          <w:bCs/>
          <w:iCs/>
          <w:szCs w:val="26"/>
        </w:rPr>
        <w:t>[FAR]</w:t>
      </w:r>
      <w:r w:rsidRPr="000566EE" w:rsidR="00AB7CCB">
        <w:rPr>
          <w:bCs/>
          <w:iCs/>
          <w:szCs w:val="26"/>
        </w:rPr>
        <w:t xml:space="preserve"> and setback modifications</w:t>
      </w:r>
      <w:r w:rsidRPr="000566EE" w:rsidR="00B93D98">
        <w:rPr>
          <w:bCs/>
          <w:iCs/>
          <w:szCs w:val="26"/>
        </w:rPr>
        <w:t>,</w:t>
      </w:r>
      <w:r w:rsidRPr="000566EE" w:rsidR="00473D81">
        <w:rPr>
          <w:bCs/>
          <w:iCs/>
          <w:szCs w:val="26"/>
        </w:rPr>
        <w:t> </w:t>
      </w:r>
      <w:r w:rsidRPr="000566EE" w:rsidR="00B93D98">
        <w:rPr>
          <w:bCs/>
          <w:iCs/>
          <w:szCs w:val="26"/>
        </w:rPr>
        <w:t xml:space="preserve">. . . </w:t>
      </w:r>
      <w:r w:rsidRPr="000566EE" w:rsidR="00AB7CCB">
        <w:rPr>
          <w:bCs/>
          <w:iCs/>
          <w:szCs w:val="26"/>
        </w:rPr>
        <w:t>before the City Council on the consent calendar, violate</w:t>
      </w:r>
      <w:r w:rsidRPr="000566EE" w:rsidR="00E238DF">
        <w:rPr>
          <w:bCs/>
          <w:iCs/>
          <w:szCs w:val="26"/>
        </w:rPr>
        <w:t>[d]</w:t>
      </w:r>
      <w:r w:rsidRPr="000566EE" w:rsidR="00AB7CCB">
        <w:rPr>
          <w:bCs/>
          <w:iCs/>
          <w:szCs w:val="26"/>
        </w:rPr>
        <w:t xml:space="preserve"> the Housing Crisis Act of 2019 (Gov Code §</w:t>
      </w:r>
      <w:r w:rsidRPr="000566EE" w:rsidR="00BD1A21">
        <w:rPr>
          <w:bCs/>
          <w:iCs/>
          <w:szCs w:val="26"/>
        </w:rPr>
        <w:t> </w:t>
      </w:r>
      <w:r w:rsidRPr="000566EE" w:rsidR="00AB7CCB">
        <w:rPr>
          <w:bCs/>
          <w:iCs/>
          <w:szCs w:val="26"/>
        </w:rPr>
        <w:t xml:space="preserve">66300).” </w:t>
      </w:r>
      <w:r w:rsidRPr="000566EE" w:rsidR="00C47AFE">
        <w:rPr>
          <w:bCs/>
          <w:iCs/>
          <w:szCs w:val="26"/>
        </w:rPr>
        <w:t xml:space="preserve"> </w:t>
      </w:r>
      <w:r w:rsidRPr="000566EE" w:rsidR="00AD0B3F">
        <w:rPr>
          <w:bCs/>
          <w:iCs/>
          <w:szCs w:val="26"/>
        </w:rPr>
        <w:t xml:space="preserve">Among other things, the letter </w:t>
      </w:r>
      <w:r w:rsidRPr="005A4486" w:rsidR="00AD0B3F">
        <w:rPr>
          <w:bCs/>
          <w:iCs/>
          <w:szCs w:val="26"/>
        </w:rPr>
        <w:t>assert</w:t>
      </w:r>
      <w:r w:rsidRPr="005A4486" w:rsidR="00CB5A1F">
        <w:rPr>
          <w:bCs/>
          <w:iCs/>
          <w:szCs w:val="26"/>
        </w:rPr>
        <w:t>ed,</w:t>
      </w:r>
      <w:r w:rsidRPr="005A4486" w:rsidR="00AD0B3F">
        <w:rPr>
          <w:bCs/>
          <w:iCs/>
          <w:szCs w:val="26"/>
        </w:rPr>
        <w:t xml:space="preserve"> “</w:t>
      </w:r>
      <w:r w:rsidRPr="005A4486" w:rsidR="00CB5A1F">
        <w:rPr>
          <w:bCs/>
          <w:iCs/>
          <w:szCs w:val="26"/>
        </w:rPr>
        <w:t>[</w:t>
      </w:r>
      <w:r w:rsidRPr="000566EE" w:rsidR="00CB5A1F">
        <w:rPr>
          <w:bCs/>
          <w:iCs/>
          <w:szCs w:val="26"/>
        </w:rPr>
        <w:t>T]</w:t>
      </w:r>
      <w:r w:rsidRPr="000566EE" w:rsidR="00DB7F3E">
        <w:rPr>
          <w:bCs/>
          <w:iCs/>
          <w:szCs w:val="26"/>
        </w:rPr>
        <w:t>he</w:t>
      </w:r>
      <w:r w:rsidRPr="000566EE" w:rsidR="001E2C33">
        <w:rPr>
          <w:bCs/>
          <w:iCs/>
          <w:szCs w:val="26"/>
        </w:rPr>
        <w:t xml:space="preserve"> </w:t>
      </w:r>
      <w:r w:rsidRPr="000566EE" w:rsidR="00DB7F3E">
        <w:rPr>
          <w:bCs/>
          <w:iCs/>
          <w:szCs w:val="26"/>
        </w:rPr>
        <w:t xml:space="preserve">reduction in permitted </w:t>
      </w:r>
      <w:r w:rsidRPr="000566EE" w:rsidR="004904FA">
        <w:rPr>
          <w:bCs/>
          <w:iCs/>
          <w:szCs w:val="26"/>
        </w:rPr>
        <w:t>[FAR]</w:t>
      </w:r>
      <w:r w:rsidRPr="000566EE" w:rsidR="00DB7F3E">
        <w:rPr>
          <w:bCs/>
          <w:iCs/>
          <w:szCs w:val="26"/>
        </w:rPr>
        <w:t xml:space="preserve"> from .60 to .45 would clearly</w:t>
      </w:r>
      <w:r w:rsidRPr="000566EE" w:rsidR="001E2C33">
        <w:rPr>
          <w:bCs/>
          <w:iCs/>
          <w:szCs w:val="26"/>
        </w:rPr>
        <w:t xml:space="preserve"> </w:t>
      </w:r>
      <w:r w:rsidRPr="000566EE" w:rsidR="00DB7F3E">
        <w:rPr>
          <w:bCs/>
          <w:iCs/>
          <w:szCs w:val="26"/>
        </w:rPr>
        <w:t>reduce the intensity of</w:t>
      </w:r>
      <w:r w:rsidRPr="000566EE" w:rsidR="001E2C33">
        <w:rPr>
          <w:bCs/>
          <w:iCs/>
          <w:szCs w:val="26"/>
        </w:rPr>
        <w:t xml:space="preserve"> </w:t>
      </w:r>
      <w:r w:rsidRPr="000566EE" w:rsidR="00DB7F3E">
        <w:rPr>
          <w:bCs/>
          <w:iCs/>
          <w:szCs w:val="26"/>
        </w:rPr>
        <w:t>residential use in the affected zones.</w:t>
      </w:r>
      <w:r w:rsidRPr="000566EE" w:rsidR="001E2C33">
        <w:rPr>
          <w:bCs/>
          <w:iCs/>
          <w:szCs w:val="26"/>
        </w:rPr>
        <w:t xml:space="preserve">”  </w:t>
      </w:r>
      <w:r w:rsidRPr="000566EE" w:rsidR="00BF2B44">
        <w:rPr>
          <w:bCs/>
          <w:iCs/>
          <w:szCs w:val="26"/>
        </w:rPr>
        <w:t xml:space="preserve">YIMBY further </w:t>
      </w:r>
      <w:r w:rsidRPr="000566EE" w:rsidR="004145E1">
        <w:rPr>
          <w:bCs/>
          <w:iCs/>
          <w:szCs w:val="26"/>
        </w:rPr>
        <w:t>communicated</w:t>
      </w:r>
      <w:r w:rsidRPr="000566EE" w:rsidR="00BF2B44">
        <w:rPr>
          <w:bCs/>
          <w:iCs/>
          <w:szCs w:val="26"/>
        </w:rPr>
        <w:t>, “</w:t>
      </w:r>
      <w:r w:rsidRPr="000566EE" w:rsidR="00CB5A1F">
        <w:rPr>
          <w:bCs/>
          <w:iCs/>
          <w:szCs w:val="26"/>
        </w:rPr>
        <w:t>L</w:t>
      </w:r>
      <w:r w:rsidRPr="000566EE" w:rsidR="00BF2B44">
        <w:rPr>
          <w:bCs/>
          <w:iCs/>
          <w:szCs w:val="26"/>
        </w:rPr>
        <w:t>ower FAR and excessive setbacks result in smaller homes with fewer bedrooms, limit options for ADU placement, and disincentivize development.”</w:t>
      </w:r>
    </w:p>
    <w:p w:rsidR="00F13F6E" w:rsidRPr="000566EE" w:rsidP="000566EE" w14:paraId="412F2582" w14:textId="476C678B">
      <w:pPr>
        <w:contextualSpacing/>
        <w:rPr>
          <w:bCs/>
          <w:iCs/>
          <w:szCs w:val="26"/>
        </w:rPr>
      </w:pPr>
      <w:r w:rsidRPr="000566EE">
        <w:rPr>
          <w:bCs/>
          <w:iCs/>
          <w:szCs w:val="26"/>
        </w:rPr>
        <w:tab/>
      </w:r>
      <w:r w:rsidRPr="000566EE" w:rsidR="004C28BD">
        <w:rPr>
          <w:bCs/>
          <w:iCs/>
          <w:szCs w:val="26"/>
        </w:rPr>
        <w:t xml:space="preserve">At a City Council meeting </w:t>
      </w:r>
      <w:r w:rsidRPr="000566EE" w:rsidR="003D0180">
        <w:rPr>
          <w:bCs/>
          <w:iCs/>
          <w:szCs w:val="26"/>
        </w:rPr>
        <w:t>in</w:t>
      </w:r>
      <w:r w:rsidRPr="000566EE" w:rsidR="004C28BD">
        <w:rPr>
          <w:bCs/>
          <w:iCs/>
          <w:szCs w:val="26"/>
        </w:rPr>
        <w:t xml:space="preserve"> June</w:t>
      </w:r>
      <w:r w:rsidRPr="000566EE" w:rsidR="001D709D">
        <w:rPr>
          <w:bCs/>
          <w:iCs/>
          <w:szCs w:val="26"/>
        </w:rPr>
        <w:t> </w:t>
      </w:r>
      <w:r w:rsidRPr="000566EE" w:rsidR="004C28BD">
        <w:rPr>
          <w:bCs/>
          <w:iCs/>
          <w:szCs w:val="26"/>
        </w:rPr>
        <w:t xml:space="preserve">2020, </w:t>
      </w:r>
      <w:r w:rsidRPr="000566EE" w:rsidR="00B96662">
        <w:rPr>
          <w:bCs/>
          <w:iCs/>
          <w:szCs w:val="26"/>
        </w:rPr>
        <w:t>a</w:t>
      </w:r>
      <w:r w:rsidRPr="000566EE" w:rsidR="00E90848">
        <w:rPr>
          <w:bCs/>
          <w:iCs/>
          <w:szCs w:val="26"/>
        </w:rPr>
        <w:t xml:space="preserve">doption </w:t>
      </w:r>
      <w:r w:rsidRPr="000566EE" w:rsidR="00400C94">
        <w:rPr>
          <w:bCs/>
          <w:iCs/>
          <w:szCs w:val="26"/>
        </w:rPr>
        <w:t>of the Ordinance was postponed</w:t>
      </w:r>
      <w:r w:rsidRPr="000566EE" w:rsidR="0065614D">
        <w:rPr>
          <w:bCs/>
          <w:iCs/>
          <w:szCs w:val="26"/>
        </w:rPr>
        <w:t xml:space="preserve"> to </w:t>
      </w:r>
      <w:r w:rsidRPr="000566EE" w:rsidR="00533A02">
        <w:rPr>
          <w:bCs/>
          <w:iCs/>
          <w:szCs w:val="26"/>
        </w:rPr>
        <w:t xml:space="preserve">allow City staff time to consult with the </w:t>
      </w:r>
      <w:r w:rsidRPr="000566EE" w:rsidR="00671732">
        <w:rPr>
          <w:bCs/>
          <w:iCs/>
          <w:szCs w:val="26"/>
        </w:rPr>
        <w:t>California Department of Housing and Community Development</w:t>
      </w:r>
      <w:r w:rsidRPr="000566EE" w:rsidR="00757262">
        <w:rPr>
          <w:bCs/>
          <w:iCs/>
          <w:szCs w:val="26"/>
        </w:rPr>
        <w:t xml:space="preserve"> </w:t>
      </w:r>
      <w:r w:rsidRPr="000566EE" w:rsidR="00E105A5">
        <w:rPr>
          <w:bCs/>
          <w:iCs/>
          <w:szCs w:val="26"/>
        </w:rPr>
        <w:t>(the Department</w:t>
      </w:r>
      <w:r w:rsidRPr="000566EE" w:rsidR="00D80F88">
        <w:rPr>
          <w:bCs/>
          <w:iCs/>
          <w:szCs w:val="26"/>
        </w:rPr>
        <w:t xml:space="preserve"> of Housing</w:t>
      </w:r>
      <w:r w:rsidRPr="000566EE" w:rsidR="00E105A5">
        <w:rPr>
          <w:bCs/>
          <w:iCs/>
          <w:szCs w:val="26"/>
        </w:rPr>
        <w:t xml:space="preserve">) </w:t>
      </w:r>
      <w:r w:rsidRPr="000566EE" w:rsidR="00757262">
        <w:rPr>
          <w:bCs/>
          <w:iCs/>
          <w:szCs w:val="26"/>
        </w:rPr>
        <w:t xml:space="preserve">and </w:t>
      </w:r>
      <w:r w:rsidRPr="000566EE" w:rsidR="008F3B35">
        <w:rPr>
          <w:bCs/>
          <w:iCs/>
          <w:szCs w:val="26"/>
        </w:rPr>
        <w:t>to contact</w:t>
      </w:r>
      <w:r w:rsidRPr="000566EE" w:rsidR="00757262">
        <w:rPr>
          <w:bCs/>
          <w:iCs/>
          <w:szCs w:val="26"/>
        </w:rPr>
        <w:t xml:space="preserve"> </w:t>
      </w:r>
      <w:r w:rsidRPr="000566EE" w:rsidR="00FB196C">
        <w:rPr>
          <w:bCs/>
          <w:iCs/>
          <w:szCs w:val="26"/>
        </w:rPr>
        <w:t>Trauss</w:t>
      </w:r>
      <w:r w:rsidRPr="000566EE" w:rsidR="00671732">
        <w:rPr>
          <w:bCs/>
          <w:iCs/>
          <w:szCs w:val="26"/>
        </w:rPr>
        <w:t xml:space="preserve">. </w:t>
      </w:r>
      <w:r w:rsidRPr="000566EE" w:rsidR="00757262">
        <w:rPr>
          <w:bCs/>
          <w:iCs/>
          <w:szCs w:val="26"/>
        </w:rPr>
        <w:t xml:space="preserve"> </w:t>
      </w:r>
      <w:r w:rsidRPr="000566EE" w:rsidR="00E32C69">
        <w:rPr>
          <w:bCs/>
          <w:iCs/>
          <w:szCs w:val="26"/>
        </w:rPr>
        <w:t>The City</w:t>
      </w:r>
      <w:r w:rsidRPr="000566EE" w:rsidR="005F7245">
        <w:rPr>
          <w:bCs/>
          <w:iCs/>
          <w:szCs w:val="26"/>
        </w:rPr>
        <w:t>’s</w:t>
      </w:r>
      <w:r w:rsidRPr="000566EE" w:rsidR="00E32C69">
        <w:rPr>
          <w:bCs/>
          <w:iCs/>
          <w:szCs w:val="26"/>
        </w:rPr>
        <w:t xml:space="preserve"> Planning Manager </w:t>
      </w:r>
      <w:r w:rsidRPr="000566EE" w:rsidR="00612C42">
        <w:rPr>
          <w:bCs/>
          <w:iCs/>
          <w:szCs w:val="26"/>
        </w:rPr>
        <w:t>emailed</w:t>
      </w:r>
      <w:r w:rsidRPr="000566EE" w:rsidR="00E105A5">
        <w:rPr>
          <w:bCs/>
          <w:iCs/>
          <w:szCs w:val="26"/>
        </w:rPr>
        <w:t xml:space="preserve"> the Department</w:t>
      </w:r>
      <w:r w:rsidRPr="000566EE" w:rsidR="009466A8">
        <w:rPr>
          <w:bCs/>
          <w:iCs/>
          <w:szCs w:val="26"/>
        </w:rPr>
        <w:t xml:space="preserve"> </w:t>
      </w:r>
      <w:r w:rsidRPr="000566EE" w:rsidR="00F07676">
        <w:rPr>
          <w:bCs/>
          <w:iCs/>
          <w:szCs w:val="26"/>
        </w:rPr>
        <w:t>of Housing</w:t>
      </w:r>
      <w:r w:rsidRPr="000566EE" w:rsidR="00B47715">
        <w:rPr>
          <w:bCs/>
          <w:iCs/>
          <w:szCs w:val="26"/>
        </w:rPr>
        <w:t>,</w:t>
      </w:r>
      <w:r w:rsidRPr="000566EE" w:rsidR="00F07676">
        <w:rPr>
          <w:bCs/>
          <w:iCs/>
          <w:szCs w:val="26"/>
        </w:rPr>
        <w:t xml:space="preserve"> </w:t>
      </w:r>
      <w:r w:rsidRPr="000566EE" w:rsidR="00224970">
        <w:rPr>
          <w:bCs/>
          <w:iCs/>
          <w:szCs w:val="26"/>
        </w:rPr>
        <w:t xml:space="preserve">seeking guidance about </w:t>
      </w:r>
      <w:r w:rsidRPr="000566EE" w:rsidR="00E405D9">
        <w:rPr>
          <w:bCs/>
          <w:iCs/>
          <w:szCs w:val="26"/>
        </w:rPr>
        <w:t xml:space="preserve">how </w:t>
      </w:r>
      <w:r w:rsidRPr="000566EE" w:rsidR="00224970">
        <w:rPr>
          <w:bCs/>
          <w:iCs/>
          <w:szCs w:val="26"/>
        </w:rPr>
        <w:t xml:space="preserve">the </w:t>
      </w:r>
      <w:r w:rsidRPr="000566EE" w:rsidR="00B81ADE">
        <w:rPr>
          <w:bCs/>
          <w:iCs/>
          <w:szCs w:val="26"/>
        </w:rPr>
        <w:t xml:space="preserve">Act </w:t>
      </w:r>
      <w:r w:rsidRPr="000566EE" w:rsidR="00940B59">
        <w:rPr>
          <w:bCs/>
          <w:iCs/>
          <w:szCs w:val="26"/>
        </w:rPr>
        <w:t>affected</w:t>
      </w:r>
      <w:r w:rsidRPr="000566EE" w:rsidR="00B81ADE">
        <w:rPr>
          <w:bCs/>
          <w:iCs/>
          <w:szCs w:val="26"/>
        </w:rPr>
        <w:t xml:space="preserve"> the </w:t>
      </w:r>
      <w:r w:rsidRPr="000566EE" w:rsidR="00224970">
        <w:rPr>
          <w:bCs/>
          <w:iCs/>
          <w:szCs w:val="26"/>
        </w:rPr>
        <w:t>Ordinance</w:t>
      </w:r>
      <w:r w:rsidRPr="000566EE" w:rsidR="00265FBC">
        <w:rPr>
          <w:bCs/>
          <w:iCs/>
          <w:szCs w:val="26"/>
        </w:rPr>
        <w:t xml:space="preserve">. </w:t>
      </w:r>
      <w:r w:rsidRPr="000566EE" w:rsidR="00512CC0">
        <w:rPr>
          <w:bCs/>
          <w:iCs/>
          <w:szCs w:val="26"/>
        </w:rPr>
        <w:t xml:space="preserve"> </w:t>
      </w:r>
      <w:r w:rsidRPr="000566EE" w:rsidR="005446CF">
        <w:rPr>
          <w:bCs/>
          <w:iCs/>
          <w:szCs w:val="26"/>
        </w:rPr>
        <w:t xml:space="preserve">In response, the Department </w:t>
      </w:r>
      <w:r w:rsidRPr="000566EE" w:rsidR="00F07676">
        <w:rPr>
          <w:bCs/>
          <w:iCs/>
          <w:szCs w:val="26"/>
        </w:rPr>
        <w:t xml:space="preserve">of Housing </w:t>
      </w:r>
      <w:r w:rsidRPr="000566EE" w:rsidR="00622218">
        <w:rPr>
          <w:bCs/>
          <w:iCs/>
          <w:szCs w:val="26"/>
        </w:rPr>
        <w:t>wrote</w:t>
      </w:r>
      <w:r w:rsidRPr="000566EE" w:rsidR="00514938">
        <w:rPr>
          <w:bCs/>
          <w:iCs/>
          <w:szCs w:val="26"/>
        </w:rPr>
        <w:t xml:space="preserve"> that </w:t>
      </w:r>
      <w:r w:rsidRPr="000566EE" w:rsidR="005671CE">
        <w:rPr>
          <w:bCs/>
          <w:iCs/>
          <w:szCs w:val="26"/>
        </w:rPr>
        <w:t xml:space="preserve">the </w:t>
      </w:r>
      <w:r w:rsidRPr="000566EE" w:rsidR="00F04A32">
        <w:rPr>
          <w:bCs/>
          <w:iCs/>
          <w:szCs w:val="26"/>
        </w:rPr>
        <w:t>Act “ta[lk]s about intensity of uses,” and that the Ordinance c</w:t>
      </w:r>
      <w:r w:rsidRPr="000566EE" w:rsidR="00E0343B">
        <w:rPr>
          <w:bCs/>
          <w:iCs/>
          <w:szCs w:val="26"/>
        </w:rPr>
        <w:t xml:space="preserve">ould impact the number of bedrooms that could be built, which “might trigger the less intensive use provision.” </w:t>
      </w:r>
      <w:r w:rsidRPr="000566EE" w:rsidR="005E0057">
        <w:rPr>
          <w:bCs/>
          <w:iCs/>
          <w:szCs w:val="26"/>
        </w:rPr>
        <w:t xml:space="preserve"> The Department </w:t>
      </w:r>
      <w:r w:rsidRPr="000566EE" w:rsidR="00F07676">
        <w:rPr>
          <w:bCs/>
          <w:iCs/>
          <w:szCs w:val="26"/>
        </w:rPr>
        <w:t xml:space="preserve">of Housing </w:t>
      </w:r>
      <w:r w:rsidRPr="000566EE" w:rsidR="005E0057">
        <w:rPr>
          <w:bCs/>
          <w:iCs/>
          <w:szCs w:val="26"/>
        </w:rPr>
        <w:t xml:space="preserve">did not take a </w:t>
      </w:r>
      <w:r w:rsidRPr="000566EE" w:rsidR="00CB5A1F">
        <w:rPr>
          <w:bCs/>
          <w:iCs/>
          <w:szCs w:val="26"/>
        </w:rPr>
        <w:t xml:space="preserve">formal </w:t>
      </w:r>
      <w:r w:rsidRPr="000566EE" w:rsidR="005E0057">
        <w:rPr>
          <w:bCs/>
          <w:iCs/>
          <w:szCs w:val="26"/>
        </w:rPr>
        <w:t xml:space="preserve">position on whether the Ordinance violated the Act.   </w:t>
      </w:r>
    </w:p>
    <w:p w:rsidR="00C6771A" w:rsidRPr="000566EE" w:rsidP="000566EE" w14:paraId="0E054C56" w14:textId="046FC06A">
      <w:pPr>
        <w:contextualSpacing/>
        <w:rPr>
          <w:bCs/>
          <w:iCs/>
          <w:szCs w:val="26"/>
        </w:rPr>
      </w:pPr>
    </w:p>
    <w:p w:rsidR="00F13F6E" w:rsidRPr="000566EE" w:rsidP="000566EE" w14:paraId="3ACBB957" w14:textId="6F27D69B">
      <w:pPr>
        <w:contextualSpacing/>
        <w:rPr>
          <w:bCs/>
          <w:iCs/>
          <w:szCs w:val="26"/>
        </w:rPr>
      </w:pPr>
      <w:r w:rsidRPr="000566EE">
        <w:rPr>
          <w:b/>
          <w:iCs/>
          <w:szCs w:val="26"/>
        </w:rPr>
        <w:t>D.</w:t>
      </w:r>
      <w:r w:rsidRPr="000566EE">
        <w:rPr>
          <w:b/>
          <w:iCs/>
          <w:szCs w:val="26"/>
        </w:rPr>
        <w:tab/>
        <w:t>The</w:t>
      </w:r>
      <w:r w:rsidRPr="000566EE" w:rsidR="00356811">
        <w:rPr>
          <w:b/>
          <w:iCs/>
          <w:szCs w:val="26"/>
        </w:rPr>
        <w:t xml:space="preserve"> Ordinance is Adopted</w:t>
      </w:r>
    </w:p>
    <w:p w:rsidR="00F13F6E" w:rsidRPr="000566EE" w:rsidP="000566EE" w14:paraId="20F148B8" w14:textId="6B68C8E1">
      <w:pPr>
        <w:contextualSpacing/>
        <w:rPr>
          <w:bCs/>
          <w:iCs/>
          <w:szCs w:val="26"/>
        </w:rPr>
      </w:pPr>
      <w:r w:rsidRPr="000566EE">
        <w:rPr>
          <w:bCs/>
          <w:iCs/>
          <w:szCs w:val="26"/>
        </w:rPr>
        <w:tab/>
      </w:r>
      <w:r w:rsidRPr="000566EE" w:rsidR="009800FB">
        <w:rPr>
          <w:bCs/>
          <w:iCs/>
          <w:szCs w:val="26"/>
        </w:rPr>
        <w:t>The City Council voted unanimously to approve the Ordinance</w:t>
      </w:r>
      <w:r w:rsidRPr="000566EE" w:rsidR="007D480D">
        <w:rPr>
          <w:bCs/>
          <w:iCs/>
          <w:szCs w:val="26"/>
        </w:rPr>
        <w:t xml:space="preserve"> in July 2020</w:t>
      </w:r>
      <w:r w:rsidRPr="000566EE" w:rsidR="009800FB">
        <w:rPr>
          <w:bCs/>
          <w:iCs/>
          <w:szCs w:val="26"/>
        </w:rPr>
        <w:t xml:space="preserve">. </w:t>
      </w:r>
      <w:r w:rsidRPr="000566EE" w:rsidR="0041088B">
        <w:rPr>
          <w:bCs/>
          <w:iCs/>
          <w:szCs w:val="26"/>
        </w:rPr>
        <w:t xml:space="preserve"> </w:t>
      </w:r>
      <w:r w:rsidRPr="000566EE" w:rsidR="006765D3">
        <w:rPr>
          <w:bCs/>
          <w:iCs/>
          <w:szCs w:val="26"/>
        </w:rPr>
        <w:t xml:space="preserve">The staff report for the </w:t>
      </w:r>
      <w:r w:rsidRPr="000566EE" w:rsidR="0015087C">
        <w:rPr>
          <w:bCs/>
          <w:iCs/>
          <w:szCs w:val="26"/>
        </w:rPr>
        <w:t>City Council</w:t>
      </w:r>
      <w:r w:rsidRPr="000566EE" w:rsidR="0027024F">
        <w:rPr>
          <w:bCs/>
          <w:iCs/>
          <w:szCs w:val="26"/>
        </w:rPr>
        <w:t xml:space="preserve"> </w:t>
      </w:r>
      <w:r w:rsidRPr="000566EE" w:rsidR="006765D3">
        <w:rPr>
          <w:bCs/>
          <w:iCs/>
          <w:szCs w:val="26"/>
        </w:rPr>
        <w:t>meeting</w:t>
      </w:r>
      <w:r w:rsidRPr="000566EE" w:rsidR="00AB4672">
        <w:rPr>
          <w:bCs/>
          <w:iCs/>
          <w:szCs w:val="26"/>
        </w:rPr>
        <w:t xml:space="preserve"> </w:t>
      </w:r>
      <w:r w:rsidRPr="000566EE" w:rsidR="004A15AD">
        <w:rPr>
          <w:bCs/>
          <w:iCs/>
          <w:szCs w:val="26"/>
        </w:rPr>
        <w:t>claimed</w:t>
      </w:r>
      <w:r w:rsidRPr="000566EE" w:rsidR="00AB4672">
        <w:rPr>
          <w:bCs/>
          <w:iCs/>
          <w:szCs w:val="26"/>
        </w:rPr>
        <w:t xml:space="preserve"> that the </w:t>
      </w:r>
      <w:r w:rsidRPr="000566EE" w:rsidR="00B41FAC">
        <w:rPr>
          <w:bCs/>
          <w:iCs/>
          <w:szCs w:val="26"/>
        </w:rPr>
        <w:t>Ordinance was consistent with the Act</w:t>
      </w:r>
      <w:r w:rsidRPr="000566EE" w:rsidR="005807F1">
        <w:rPr>
          <w:bCs/>
          <w:iCs/>
          <w:szCs w:val="26"/>
        </w:rPr>
        <w:t xml:space="preserve"> since </w:t>
      </w:r>
      <w:r w:rsidRPr="000566EE" w:rsidR="004A15AD">
        <w:rPr>
          <w:bCs/>
          <w:iCs/>
          <w:szCs w:val="26"/>
        </w:rPr>
        <w:t xml:space="preserve">it facilitated construction of ADUs and Junior ADUs (JADUs), </w:t>
      </w:r>
      <w:r w:rsidRPr="000566EE" w:rsidR="00A34824">
        <w:rPr>
          <w:bCs/>
          <w:iCs/>
          <w:szCs w:val="26"/>
        </w:rPr>
        <w:t xml:space="preserve">did not reduce the number of units that could be built on a lot, </w:t>
      </w:r>
      <w:r w:rsidRPr="000566EE" w:rsidR="00B90A2F">
        <w:rPr>
          <w:bCs/>
          <w:iCs/>
          <w:szCs w:val="26"/>
        </w:rPr>
        <w:t xml:space="preserve">and </w:t>
      </w:r>
      <w:r w:rsidRPr="000566EE" w:rsidR="00594E2A">
        <w:rPr>
          <w:bCs/>
          <w:iCs/>
          <w:szCs w:val="26"/>
        </w:rPr>
        <w:t xml:space="preserve">did not decrease the total </w:t>
      </w:r>
      <w:r w:rsidRPr="000566EE" w:rsidR="008A6906">
        <w:rPr>
          <w:bCs/>
          <w:iCs/>
          <w:szCs w:val="26"/>
        </w:rPr>
        <w:t xml:space="preserve">square footage allowed on a lot. </w:t>
      </w:r>
      <w:r w:rsidRPr="000566EE" w:rsidR="007B64BA">
        <w:rPr>
          <w:bCs/>
          <w:iCs/>
          <w:szCs w:val="26"/>
        </w:rPr>
        <w:t xml:space="preserve"> </w:t>
      </w:r>
    </w:p>
    <w:p w:rsidR="00527E07" w:rsidRPr="000566EE" w:rsidP="000566EE" w14:paraId="4B0B04A0" w14:textId="77777777">
      <w:pPr>
        <w:contextualSpacing/>
        <w:rPr>
          <w:bCs/>
          <w:iCs/>
          <w:szCs w:val="26"/>
        </w:rPr>
      </w:pPr>
    </w:p>
    <w:p w:rsidR="00527E07" w:rsidRPr="000566EE" w:rsidP="000566EE" w14:paraId="4DEC3C89" w14:textId="3FEBA70C">
      <w:pPr>
        <w:contextualSpacing/>
        <w:rPr>
          <w:bCs/>
          <w:iCs/>
          <w:szCs w:val="26"/>
        </w:rPr>
      </w:pPr>
      <w:r w:rsidRPr="000566EE">
        <w:rPr>
          <w:b/>
          <w:iCs/>
          <w:szCs w:val="26"/>
        </w:rPr>
        <w:t>E.</w:t>
      </w:r>
      <w:r w:rsidRPr="000566EE">
        <w:rPr>
          <w:b/>
          <w:iCs/>
          <w:szCs w:val="26"/>
        </w:rPr>
        <w:tab/>
      </w:r>
      <w:r w:rsidRPr="000566EE" w:rsidR="00EF7161">
        <w:rPr>
          <w:b/>
          <w:iCs/>
          <w:szCs w:val="26"/>
        </w:rPr>
        <w:t>Petition for Writ of Mandate</w:t>
      </w:r>
    </w:p>
    <w:p w:rsidR="00527E07" w:rsidRPr="000566EE" w:rsidP="000566EE" w14:paraId="7AFCC3B0" w14:textId="4BC132BB">
      <w:pPr>
        <w:ind w:firstLine="720"/>
        <w:contextualSpacing/>
        <w:rPr>
          <w:bCs/>
          <w:iCs/>
          <w:szCs w:val="26"/>
        </w:rPr>
      </w:pPr>
      <w:r w:rsidRPr="000566EE">
        <w:rPr>
          <w:bCs/>
          <w:iCs/>
          <w:szCs w:val="26"/>
        </w:rPr>
        <w:t>After the Ordinance was adopted</w:t>
      </w:r>
      <w:r w:rsidRPr="000566EE" w:rsidR="008A0B7B">
        <w:rPr>
          <w:bCs/>
          <w:iCs/>
          <w:szCs w:val="26"/>
        </w:rPr>
        <w:t>,</w:t>
      </w:r>
      <w:r w:rsidRPr="000566EE">
        <w:rPr>
          <w:bCs/>
          <w:iCs/>
          <w:szCs w:val="26"/>
        </w:rPr>
        <w:t xml:space="preserve"> </w:t>
      </w:r>
      <w:r w:rsidRPr="000566EE" w:rsidR="00C13F09">
        <w:rPr>
          <w:bCs/>
          <w:iCs/>
          <w:szCs w:val="26"/>
        </w:rPr>
        <w:t>YIMBY filed a petition</w:t>
      </w:r>
      <w:r w:rsidRPr="000566EE">
        <w:rPr>
          <w:bCs/>
          <w:iCs/>
          <w:szCs w:val="26"/>
        </w:rPr>
        <w:t xml:space="preserve"> for writ of mandate, prohibition, or other extraordinary relief</w:t>
      </w:r>
      <w:r w:rsidRPr="000566EE" w:rsidR="007A01FB">
        <w:rPr>
          <w:bCs/>
          <w:iCs/>
          <w:szCs w:val="26"/>
        </w:rPr>
        <w:t>; complaint for declaratory relief</w:t>
      </w:r>
      <w:r w:rsidRPr="000566EE" w:rsidR="00C90754">
        <w:rPr>
          <w:bCs/>
          <w:iCs/>
          <w:szCs w:val="26"/>
        </w:rPr>
        <w:t>; and request for immediate stay</w:t>
      </w:r>
      <w:r w:rsidRPr="000566EE" w:rsidR="008A0B7B">
        <w:rPr>
          <w:bCs/>
          <w:iCs/>
          <w:szCs w:val="26"/>
        </w:rPr>
        <w:t xml:space="preserve"> against the City</w:t>
      </w:r>
      <w:r w:rsidRPr="000566EE" w:rsidR="00C90754">
        <w:rPr>
          <w:bCs/>
          <w:iCs/>
          <w:szCs w:val="26"/>
        </w:rPr>
        <w:t xml:space="preserve">. </w:t>
      </w:r>
      <w:r w:rsidRPr="000566EE" w:rsidR="00943C21">
        <w:rPr>
          <w:bCs/>
          <w:iCs/>
          <w:szCs w:val="26"/>
        </w:rPr>
        <w:t xml:space="preserve"> </w:t>
      </w:r>
      <w:r w:rsidRPr="000566EE" w:rsidR="00811018">
        <w:rPr>
          <w:bCs/>
          <w:iCs/>
          <w:szCs w:val="26"/>
        </w:rPr>
        <w:t>YIMBY alleged that the City violated section</w:t>
      </w:r>
      <w:r w:rsidRPr="000566EE" w:rsidR="00AD5869">
        <w:rPr>
          <w:bCs/>
          <w:iCs/>
          <w:szCs w:val="26"/>
        </w:rPr>
        <w:t> </w:t>
      </w:r>
      <w:r w:rsidRPr="000566EE" w:rsidR="00811018">
        <w:rPr>
          <w:bCs/>
          <w:iCs/>
          <w:szCs w:val="26"/>
        </w:rPr>
        <w:t xml:space="preserve">66300’s </w:t>
      </w:r>
      <w:r w:rsidRPr="000566EE" w:rsidR="002951EB">
        <w:rPr>
          <w:bCs/>
          <w:iCs/>
          <w:szCs w:val="26"/>
        </w:rPr>
        <w:t xml:space="preserve">“explicit prohibition against ‘reducing the intensity of land use’ by enacting an ordinance that reduces </w:t>
      </w:r>
      <w:r w:rsidRPr="000566EE" w:rsidR="000C78B7">
        <w:rPr>
          <w:bCs/>
          <w:iCs/>
          <w:szCs w:val="26"/>
        </w:rPr>
        <w:t>‘[FAR]</w:t>
      </w:r>
      <w:r w:rsidRPr="000566EE" w:rsidR="00462D27">
        <w:rPr>
          <w:bCs/>
          <w:iCs/>
          <w:szCs w:val="26"/>
        </w:rPr>
        <w:t>,</w:t>
      </w:r>
      <w:r w:rsidRPr="000566EE" w:rsidR="000C78B7">
        <w:rPr>
          <w:bCs/>
          <w:iCs/>
          <w:szCs w:val="26"/>
        </w:rPr>
        <w:t>’”</w:t>
      </w:r>
      <w:r w:rsidRPr="000566EE" w:rsidR="00462D27">
        <w:rPr>
          <w:bCs/>
          <w:iCs/>
          <w:szCs w:val="26"/>
        </w:rPr>
        <w:t xml:space="preserve"> and that </w:t>
      </w:r>
      <w:r w:rsidRPr="000566EE" w:rsidR="00EC2B33">
        <w:rPr>
          <w:bCs/>
          <w:iCs/>
          <w:szCs w:val="26"/>
        </w:rPr>
        <w:t>the Ordinance result</w:t>
      </w:r>
      <w:r w:rsidRPr="000566EE" w:rsidR="007D50BE">
        <w:rPr>
          <w:bCs/>
          <w:iCs/>
          <w:szCs w:val="26"/>
        </w:rPr>
        <w:t>ed</w:t>
      </w:r>
      <w:r w:rsidRPr="000566EE" w:rsidR="00EC2B33">
        <w:rPr>
          <w:bCs/>
          <w:iCs/>
          <w:szCs w:val="26"/>
        </w:rPr>
        <w:t xml:space="preserve"> in a reduction of up to three million square feet of residential capacity within the City.  </w:t>
      </w:r>
      <w:r w:rsidRPr="000566EE" w:rsidR="003C2649">
        <w:rPr>
          <w:bCs/>
          <w:iCs/>
          <w:szCs w:val="26"/>
        </w:rPr>
        <w:t xml:space="preserve">The </w:t>
      </w:r>
      <w:r w:rsidRPr="000566EE" w:rsidR="003F721D">
        <w:rPr>
          <w:bCs/>
          <w:iCs/>
          <w:szCs w:val="26"/>
        </w:rPr>
        <w:t xml:space="preserve">petition sought an order directing the City to </w:t>
      </w:r>
      <w:r w:rsidRPr="000566EE" w:rsidR="00ED044F">
        <w:rPr>
          <w:bCs/>
          <w:iCs/>
          <w:szCs w:val="26"/>
        </w:rPr>
        <w:t xml:space="preserve">refrain from enforcing </w:t>
      </w:r>
      <w:r w:rsidRPr="000566EE" w:rsidR="003012A3">
        <w:rPr>
          <w:bCs/>
          <w:iCs/>
          <w:szCs w:val="26"/>
        </w:rPr>
        <w:t xml:space="preserve">the Ordinance </w:t>
      </w:r>
      <w:r w:rsidRPr="000566EE" w:rsidR="00ED044F">
        <w:rPr>
          <w:bCs/>
          <w:iCs/>
          <w:szCs w:val="26"/>
        </w:rPr>
        <w:t xml:space="preserve">and declaring </w:t>
      </w:r>
      <w:r w:rsidRPr="000566EE" w:rsidR="003012A3">
        <w:rPr>
          <w:bCs/>
          <w:iCs/>
          <w:szCs w:val="26"/>
        </w:rPr>
        <w:t>it</w:t>
      </w:r>
      <w:r w:rsidRPr="000566EE" w:rsidR="00ED044F">
        <w:rPr>
          <w:bCs/>
          <w:iCs/>
          <w:szCs w:val="26"/>
        </w:rPr>
        <w:t xml:space="preserve"> void.  </w:t>
      </w:r>
    </w:p>
    <w:p w:rsidR="00B9299A" w:rsidRPr="000566EE" w:rsidP="000566EE" w14:paraId="76B9BAD0" w14:textId="6E43897D">
      <w:pPr>
        <w:ind w:firstLine="720"/>
        <w:contextualSpacing/>
        <w:rPr>
          <w:bCs/>
          <w:iCs/>
          <w:szCs w:val="26"/>
        </w:rPr>
      </w:pPr>
      <w:r w:rsidRPr="000566EE">
        <w:rPr>
          <w:bCs/>
          <w:iCs/>
          <w:szCs w:val="26"/>
        </w:rPr>
        <w:t>The trial court held a</w:t>
      </w:r>
      <w:r w:rsidRPr="000566EE" w:rsidR="0056354F">
        <w:rPr>
          <w:bCs/>
          <w:iCs/>
          <w:szCs w:val="26"/>
        </w:rPr>
        <w:t xml:space="preserve"> hearing on the petition for writ of mandate</w:t>
      </w:r>
      <w:r w:rsidRPr="000566EE" w:rsidR="00BC23C6">
        <w:rPr>
          <w:bCs/>
          <w:iCs/>
          <w:szCs w:val="26"/>
        </w:rPr>
        <w:t xml:space="preserve"> </w:t>
      </w:r>
      <w:r w:rsidRPr="000566EE" w:rsidR="000D779D">
        <w:rPr>
          <w:bCs/>
          <w:iCs/>
          <w:szCs w:val="26"/>
        </w:rPr>
        <w:t>and</w:t>
      </w:r>
      <w:r w:rsidRPr="000566EE" w:rsidR="00791048">
        <w:rPr>
          <w:bCs/>
          <w:iCs/>
          <w:szCs w:val="26"/>
        </w:rPr>
        <w:t xml:space="preserve"> </w:t>
      </w:r>
      <w:r w:rsidRPr="000566EE" w:rsidR="00BC23C6">
        <w:rPr>
          <w:bCs/>
          <w:iCs/>
          <w:szCs w:val="26"/>
        </w:rPr>
        <w:t xml:space="preserve">ruled that </w:t>
      </w:r>
      <w:r w:rsidRPr="000566EE" w:rsidR="008F2F4E">
        <w:rPr>
          <w:bCs/>
          <w:iCs/>
          <w:szCs w:val="26"/>
        </w:rPr>
        <w:t>the Ordinance violated sec</w:t>
      </w:r>
      <w:r w:rsidRPr="000566EE" w:rsidR="00D34586">
        <w:rPr>
          <w:bCs/>
          <w:iCs/>
          <w:szCs w:val="26"/>
        </w:rPr>
        <w:t>tion</w:t>
      </w:r>
      <w:r w:rsidRPr="000566EE" w:rsidR="00ED1782">
        <w:rPr>
          <w:bCs/>
          <w:iCs/>
          <w:szCs w:val="26"/>
        </w:rPr>
        <w:t> </w:t>
      </w:r>
      <w:r w:rsidRPr="000566EE" w:rsidR="00D34586">
        <w:rPr>
          <w:bCs/>
          <w:iCs/>
          <w:szCs w:val="26"/>
        </w:rPr>
        <w:t>66300</w:t>
      </w:r>
      <w:r w:rsidRPr="000566EE" w:rsidR="001D55DB">
        <w:rPr>
          <w:bCs/>
          <w:iCs/>
          <w:szCs w:val="26"/>
        </w:rPr>
        <w:t xml:space="preserve">. </w:t>
      </w:r>
      <w:r w:rsidRPr="000566EE" w:rsidR="00A85C39">
        <w:rPr>
          <w:bCs/>
          <w:iCs/>
          <w:szCs w:val="26"/>
        </w:rPr>
        <w:t xml:space="preserve"> </w:t>
      </w:r>
      <w:r w:rsidRPr="000566EE" w:rsidR="00C467AA">
        <w:rPr>
          <w:bCs/>
          <w:iCs/>
          <w:szCs w:val="26"/>
        </w:rPr>
        <w:t xml:space="preserve">The court </w:t>
      </w:r>
      <w:r w:rsidRPr="000566EE" w:rsidR="00CB5A1F">
        <w:rPr>
          <w:bCs/>
          <w:iCs/>
          <w:szCs w:val="26"/>
        </w:rPr>
        <w:t xml:space="preserve">found </w:t>
      </w:r>
      <w:r w:rsidRPr="000566EE" w:rsidR="00C467AA">
        <w:rPr>
          <w:bCs/>
          <w:iCs/>
          <w:szCs w:val="26"/>
        </w:rPr>
        <w:t xml:space="preserve">that the </w:t>
      </w:r>
      <w:r w:rsidRPr="000566EE" w:rsidR="00350828">
        <w:rPr>
          <w:bCs/>
          <w:iCs/>
          <w:szCs w:val="26"/>
        </w:rPr>
        <w:t xml:space="preserve">Act was </w:t>
      </w:r>
      <w:r w:rsidRPr="000566EE" w:rsidR="0033196B">
        <w:rPr>
          <w:bCs/>
          <w:iCs/>
          <w:szCs w:val="26"/>
        </w:rPr>
        <w:t xml:space="preserve">clear and </w:t>
      </w:r>
      <w:r w:rsidRPr="000566EE" w:rsidR="00146268">
        <w:rPr>
          <w:bCs/>
          <w:iCs/>
          <w:szCs w:val="26"/>
        </w:rPr>
        <w:t>unambiguous</w:t>
      </w:r>
      <w:r w:rsidRPr="000566EE" w:rsidR="00415658">
        <w:rPr>
          <w:bCs/>
          <w:iCs/>
          <w:szCs w:val="26"/>
        </w:rPr>
        <w:t xml:space="preserve"> and </w:t>
      </w:r>
      <w:r w:rsidRPr="000566EE" w:rsidR="00146268">
        <w:rPr>
          <w:bCs/>
          <w:iCs/>
          <w:szCs w:val="26"/>
        </w:rPr>
        <w:t xml:space="preserve">generally </w:t>
      </w:r>
      <w:r w:rsidRPr="000566EE" w:rsidR="00415658">
        <w:rPr>
          <w:bCs/>
          <w:iCs/>
          <w:szCs w:val="26"/>
        </w:rPr>
        <w:t xml:space="preserve">prohibited </w:t>
      </w:r>
      <w:r w:rsidRPr="000566EE" w:rsidR="00146268">
        <w:rPr>
          <w:bCs/>
          <w:iCs/>
          <w:szCs w:val="26"/>
        </w:rPr>
        <w:t xml:space="preserve">reductions in FAR. </w:t>
      </w:r>
      <w:r w:rsidRPr="000566EE" w:rsidR="007B7BAB">
        <w:rPr>
          <w:bCs/>
          <w:iCs/>
          <w:szCs w:val="26"/>
        </w:rPr>
        <w:t xml:space="preserve"> The court rejected the City’s argument that </w:t>
      </w:r>
      <w:r w:rsidRPr="000566EE" w:rsidR="00D60C55">
        <w:rPr>
          <w:bCs/>
          <w:iCs/>
          <w:szCs w:val="26"/>
        </w:rPr>
        <w:t>the Act applied only to changes</w:t>
      </w:r>
      <w:r w:rsidRPr="000566EE" w:rsidR="00255D79">
        <w:rPr>
          <w:bCs/>
          <w:iCs/>
          <w:szCs w:val="26"/>
        </w:rPr>
        <w:t xml:space="preserve"> that lower density, finding that the </w:t>
      </w:r>
      <w:r w:rsidRPr="000566EE" w:rsidR="00AB0A83">
        <w:rPr>
          <w:bCs/>
          <w:iCs/>
          <w:szCs w:val="26"/>
        </w:rPr>
        <w:t xml:space="preserve">statutory language </w:t>
      </w:r>
      <w:r w:rsidRPr="000566EE" w:rsidR="00160C72">
        <w:rPr>
          <w:bCs/>
          <w:iCs/>
          <w:szCs w:val="26"/>
        </w:rPr>
        <w:t>demonstrated</w:t>
      </w:r>
      <w:r w:rsidRPr="000566EE" w:rsidR="00AB0A83">
        <w:rPr>
          <w:bCs/>
          <w:iCs/>
          <w:szCs w:val="26"/>
        </w:rPr>
        <w:t xml:space="preserve"> the Legislature intended for section</w:t>
      </w:r>
      <w:r w:rsidRPr="000566EE" w:rsidR="008A6A74">
        <w:rPr>
          <w:bCs/>
          <w:iCs/>
          <w:szCs w:val="26"/>
        </w:rPr>
        <w:t> </w:t>
      </w:r>
      <w:r w:rsidRPr="000566EE" w:rsidR="00AB0A83">
        <w:rPr>
          <w:bCs/>
          <w:iCs/>
          <w:szCs w:val="26"/>
        </w:rPr>
        <w:t>66300</w:t>
      </w:r>
      <w:r w:rsidRPr="000566EE" w:rsidR="00B077AE">
        <w:rPr>
          <w:bCs/>
          <w:iCs/>
          <w:szCs w:val="26"/>
        </w:rPr>
        <w:t xml:space="preserve"> to cast a wide net to prohibit any standard that could lessen the intensity of housing. </w:t>
      </w:r>
      <w:r w:rsidRPr="000566EE" w:rsidR="003B4C1F">
        <w:rPr>
          <w:bCs/>
          <w:iCs/>
          <w:szCs w:val="26"/>
        </w:rPr>
        <w:t xml:space="preserve"> </w:t>
      </w:r>
      <w:r w:rsidRPr="000566EE" w:rsidR="0048777D">
        <w:rPr>
          <w:bCs/>
          <w:iCs/>
          <w:szCs w:val="26"/>
        </w:rPr>
        <w:t xml:space="preserve">In addition, </w:t>
      </w:r>
      <w:r w:rsidRPr="000566EE" w:rsidR="00D5406D">
        <w:rPr>
          <w:bCs/>
          <w:iCs/>
          <w:szCs w:val="26"/>
        </w:rPr>
        <w:t>the court found the Ordinance</w:t>
      </w:r>
      <w:r w:rsidRPr="000566EE" w:rsidR="0050721E">
        <w:rPr>
          <w:bCs/>
          <w:iCs/>
          <w:szCs w:val="26"/>
        </w:rPr>
        <w:t xml:space="preserve"> did, in fact, reduce FAR within the City, and that YIMBY </w:t>
      </w:r>
      <w:r w:rsidRPr="000566EE" w:rsidR="00160C72">
        <w:rPr>
          <w:bCs/>
          <w:iCs/>
          <w:szCs w:val="26"/>
        </w:rPr>
        <w:t>proved</w:t>
      </w:r>
      <w:r w:rsidRPr="000566EE" w:rsidR="008A4948">
        <w:rPr>
          <w:bCs/>
          <w:iCs/>
          <w:szCs w:val="26"/>
        </w:rPr>
        <w:t xml:space="preserve"> that </w:t>
      </w:r>
      <w:r w:rsidRPr="000566EE" w:rsidR="00826AE3">
        <w:rPr>
          <w:bCs/>
          <w:iCs/>
          <w:szCs w:val="26"/>
        </w:rPr>
        <w:t xml:space="preserve">the pre-Ordinance </w:t>
      </w:r>
      <w:r w:rsidRPr="000566EE" w:rsidR="00E4276A">
        <w:rPr>
          <w:bCs/>
          <w:iCs/>
          <w:szCs w:val="26"/>
        </w:rPr>
        <w:t xml:space="preserve">.60 </w:t>
      </w:r>
      <w:r w:rsidRPr="000566EE" w:rsidR="00826AE3">
        <w:rPr>
          <w:bCs/>
          <w:iCs/>
          <w:szCs w:val="26"/>
        </w:rPr>
        <w:t>FAR</w:t>
      </w:r>
      <w:r w:rsidRPr="000566EE" w:rsidR="00E4276A">
        <w:rPr>
          <w:bCs/>
          <w:iCs/>
          <w:szCs w:val="26"/>
        </w:rPr>
        <w:t xml:space="preserve"> </w:t>
      </w:r>
      <w:r w:rsidRPr="000566EE" w:rsidR="00927015">
        <w:rPr>
          <w:bCs/>
          <w:iCs/>
          <w:szCs w:val="26"/>
        </w:rPr>
        <w:t>did not preclude development of ADUs</w:t>
      </w:r>
      <w:r w:rsidRPr="000566EE" w:rsidR="00F35C13">
        <w:rPr>
          <w:bCs/>
          <w:iCs/>
          <w:szCs w:val="26"/>
        </w:rPr>
        <w:t xml:space="preserve"> </w:t>
      </w:r>
      <w:r w:rsidRPr="000566EE" w:rsidR="00467AA2">
        <w:rPr>
          <w:bCs/>
          <w:iCs/>
          <w:szCs w:val="26"/>
        </w:rPr>
        <w:t xml:space="preserve">or JADUs </w:t>
      </w:r>
      <w:r w:rsidRPr="000566EE" w:rsidR="00F35C13">
        <w:rPr>
          <w:bCs/>
          <w:iCs/>
          <w:szCs w:val="26"/>
        </w:rPr>
        <w:t>in the R-1 zone</w:t>
      </w:r>
      <w:r w:rsidRPr="000566EE" w:rsidR="00B369A1">
        <w:rPr>
          <w:bCs/>
          <w:iCs/>
          <w:szCs w:val="26"/>
        </w:rPr>
        <w:t>, which the City did not rebut</w:t>
      </w:r>
      <w:r w:rsidRPr="000566EE" w:rsidR="00927015">
        <w:rPr>
          <w:bCs/>
          <w:iCs/>
          <w:szCs w:val="26"/>
        </w:rPr>
        <w:t xml:space="preserve">. </w:t>
      </w:r>
      <w:r w:rsidRPr="000566EE" w:rsidR="007F78B2">
        <w:rPr>
          <w:bCs/>
          <w:iCs/>
          <w:szCs w:val="26"/>
        </w:rPr>
        <w:t xml:space="preserve"> </w:t>
      </w:r>
      <w:r w:rsidRPr="000566EE" w:rsidR="004D43DF">
        <w:rPr>
          <w:bCs/>
          <w:iCs/>
          <w:szCs w:val="26"/>
        </w:rPr>
        <w:t xml:space="preserve">Judgment was entered in YIMBY’s favor, and the court issued a peremptory writ of mandate ordering the City to repeal </w:t>
      </w:r>
      <w:r w:rsidRPr="000566EE" w:rsidR="001D00F7">
        <w:rPr>
          <w:bCs/>
          <w:iCs/>
          <w:szCs w:val="26"/>
        </w:rPr>
        <w:t>the Ordinance in its entirety.</w:t>
      </w:r>
      <w:r>
        <w:rPr>
          <w:rStyle w:val="FootnoteReference"/>
          <w:bCs/>
          <w:iCs/>
          <w:szCs w:val="26"/>
        </w:rPr>
        <w:footnoteReference w:id="4"/>
      </w:r>
      <w:r w:rsidRPr="000566EE" w:rsidR="001D00F7">
        <w:rPr>
          <w:bCs/>
          <w:iCs/>
          <w:szCs w:val="26"/>
        </w:rPr>
        <w:t xml:space="preserve">  </w:t>
      </w:r>
      <w:r w:rsidRPr="000566EE" w:rsidR="00DE1070">
        <w:rPr>
          <w:bCs/>
          <w:iCs/>
          <w:szCs w:val="26"/>
        </w:rPr>
        <w:t xml:space="preserve"> </w:t>
      </w:r>
    </w:p>
    <w:p w:rsidR="00B9299A" w:rsidRPr="000566EE" w:rsidP="000566EE" w14:paraId="2F478A7E" w14:textId="77777777">
      <w:pPr>
        <w:contextualSpacing/>
        <w:rPr>
          <w:bCs/>
          <w:iCs/>
          <w:szCs w:val="26"/>
        </w:rPr>
      </w:pPr>
    </w:p>
    <w:p w:rsidR="00527E07" w:rsidRPr="000566EE" w:rsidP="000566EE" w14:paraId="39F57155" w14:textId="4795025D">
      <w:pPr>
        <w:contextualSpacing/>
        <w:rPr>
          <w:bCs/>
          <w:iCs/>
          <w:szCs w:val="26"/>
        </w:rPr>
      </w:pPr>
      <w:r w:rsidRPr="000566EE">
        <w:rPr>
          <w:b/>
          <w:iCs/>
          <w:szCs w:val="26"/>
        </w:rPr>
        <w:t>F.</w:t>
      </w:r>
      <w:r w:rsidRPr="000566EE">
        <w:rPr>
          <w:b/>
          <w:iCs/>
          <w:szCs w:val="26"/>
        </w:rPr>
        <w:tab/>
      </w:r>
      <w:r w:rsidRPr="000566EE" w:rsidR="00B02CB8">
        <w:rPr>
          <w:b/>
          <w:iCs/>
          <w:szCs w:val="26"/>
        </w:rPr>
        <w:t>Attorney Fee</w:t>
      </w:r>
      <w:r w:rsidR="00CC418D">
        <w:rPr>
          <w:b/>
          <w:iCs/>
          <w:szCs w:val="26"/>
        </w:rPr>
        <w:t>s</w:t>
      </w:r>
    </w:p>
    <w:p w:rsidR="001B5ED6" w:rsidRPr="000566EE" w:rsidP="000566EE" w14:paraId="7DABC8FB" w14:textId="68345D4F">
      <w:pPr>
        <w:contextualSpacing/>
        <w:rPr>
          <w:bCs/>
          <w:iCs/>
          <w:szCs w:val="26"/>
        </w:rPr>
      </w:pPr>
      <w:r w:rsidRPr="000566EE">
        <w:rPr>
          <w:bCs/>
          <w:iCs/>
          <w:szCs w:val="26"/>
        </w:rPr>
        <w:tab/>
      </w:r>
      <w:r w:rsidRPr="000566EE" w:rsidR="00E9288D">
        <w:rPr>
          <w:bCs/>
          <w:iCs/>
          <w:szCs w:val="26"/>
        </w:rPr>
        <w:t xml:space="preserve">Following post-judgment briefing, </w:t>
      </w:r>
      <w:r w:rsidRPr="000566EE" w:rsidR="000C5738">
        <w:rPr>
          <w:bCs/>
          <w:iCs/>
          <w:szCs w:val="26"/>
        </w:rPr>
        <w:t>YIMBY was awarded $131,813.58 in attorney fees pursuant to the private attorney general fee statute, Code of Civil Procedure section</w:t>
      </w:r>
      <w:r w:rsidR="003D108C">
        <w:rPr>
          <w:bCs/>
          <w:iCs/>
          <w:szCs w:val="26"/>
        </w:rPr>
        <w:t> </w:t>
      </w:r>
      <w:r w:rsidRPr="000566EE" w:rsidR="000C5738">
        <w:rPr>
          <w:bCs/>
          <w:iCs/>
          <w:szCs w:val="26"/>
        </w:rPr>
        <w:t xml:space="preserve">1021.5. </w:t>
      </w:r>
      <w:r w:rsidRPr="000566EE" w:rsidR="00B72318">
        <w:rPr>
          <w:bCs/>
          <w:iCs/>
          <w:szCs w:val="26"/>
        </w:rPr>
        <w:t xml:space="preserve"> This was based on a lodestar amount of $90,405 for work performed on the merits of the case, $9,310 for work on the motion for attorney fees, and $</w:t>
      </w:r>
      <w:r w:rsidRPr="000566EE" w:rsidR="00E50E6F">
        <w:rPr>
          <w:bCs/>
          <w:iCs/>
          <w:szCs w:val="26"/>
        </w:rPr>
        <w:t>9,497</w:t>
      </w:r>
      <w:r w:rsidRPr="000566EE" w:rsidR="00B72318">
        <w:rPr>
          <w:bCs/>
          <w:iCs/>
          <w:szCs w:val="26"/>
        </w:rPr>
        <w:t xml:space="preserve">.33 for work performed after the filing of the motion.  </w:t>
      </w:r>
      <w:r w:rsidRPr="000566EE" w:rsidR="00457CE3">
        <w:rPr>
          <w:bCs/>
          <w:iCs/>
          <w:szCs w:val="26"/>
        </w:rPr>
        <w:t>T</w:t>
      </w:r>
      <w:r w:rsidRPr="000566EE" w:rsidR="00C659CD">
        <w:rPr>
          <w:bCs/>
          <w:iCs/>
          <w:szCs w:val="26"/>
        </w:rPr>
        <w:t xml:space="preserve">he court </w:t>
      </w:r>
      <w:r w:rsidRPr="000566EE" w:rsidR="0085013E">
        <w:rPr>
          <w:bCs/>
          <w:iCs/>
          <w:szCs w:val="26"/>
        </w:rPr>
        <w:t>a</w:t>
      </w:r>
      <w:r w:rsidRPr="000566EE" w:rsidR="00B02EC5">
        <w:rPr>
          <w:bCs/>
          <w:iCs/>
          <w:szCs w:val="26"/>
        </w:rPr>
        <w:t>pplied</w:t>
      </w:r>
      <w:r w:rsidRPr="000566EE" w:rsidR="00C659CD">
        <w:rPr>
          <w:bCs/>
          <w:iCs/>
          <w:szCs w:val="26"/>
        </w:rPr>
        <w:t xml:space="preserve"> a 1.25 multiplier to the lodestar </w:t>
      </w:r>
      <w:r w:rsidRPr="000566EE" w:rsidR="00A85691">
        <w:rPr>
          <w:bCs/>
          <w:iCs/>
          <w:szCs w:val="26"/>
        </w:rPr>
        <w:t xml:space="preserve">only </w:t>
      </w:r>
      <w:r w:rsidRPr="000566EE" w:rsidR="00C659CD">
        <w:rPr>
          <w:bCs/>
          <w:iCs/>
          <w:szCs w:val="26"/>
        </w:rPr>
        <w:t xml:space="preserve">for the work performed on the merits </w:t>
      </w:r>
      <w:r w:rsidR="00071D03">
        <w:rPr>
          <w:bCs/>
          <w:iCs/>
          <w:szCs w:val="26"/>
        </w:rPr>
        <w:t>(</w:t>
      </w:r>
      <w:r w:rsidRPr="000566EE" w:rsidR="00C11386">
        <w:rPr>
          <w:bCs/>
          <w:iCs/>
          <w:szCs w:val="26"/>
        </w:rPr>
        <w:t xml:space="preserve">($90,405 x 1.25) + $9,310 + </w:t>
      </w:r>
      <w:r w:rsidRPr="000566EE" w:rsidR="008A765F">
        <w:rPr>
          <w:bCs/>
          <w:iCs/>
          <w:szCs w:val="26"/>
        </w:rPr>
        <w:t>$9,497</w:t>
      </w:r>
      <w:r w:rsidRPr="000566EE" w:rsidR="00C11386">
        <w:rPr>
          <w:bCs/>
          <w:iCs/>
          <w:szCs w:val="26"/>
        </w:rPr>
        <w:t>.33</w:t>
      </w:r>
      <w:r w:rsidR="00071D03">
        <w:rPr>
          <w:bCs/>
          <w:iCs/>
          <w:szCs w:val="26"/>
        </w:rPr>
        <w:t>)</w:t>
      </w:r>
      <w:r w:rsidRPr="000566EE" w:rsidR="00C659CD">
        <w:rPr>
          <w:bCs/>
          <w:iCs/>
          <w:szCs w:val="26"/>
        </w:rPr>
        <w:t xml:space="preserve">.  </w:t>
      </w:r>
      <w:r w:rsidRPr="000566EE" w:rsidR="004E6770">
        <w:rPr>
          <w:bCs/>
          <w:iCs/>
          <w:szCs w:val="26"/>
        </w:rPr>
        <w:t xml:space="preserve">The City timely appealed from the judgment and the order awarding fees. </w:t>
      </w:r>
      <w:r w:rsidRPr="000566EE" w:rsidR="00FE4FC3">
        <w:rPr>
          <w:bCs/>
          <w:iCs/>
          <w:szCs w:val="26"/>
        </w:rPr>
        <w:t xml:space="preserve"> </w:t>
      </w:r>
      <w:r w:rsidRPr="000566EE" w:rsidR="004E6770">
        <w:rPr>
          <w:bCs/>
          <w:iCs/>
          <w:szCs w:val="26"/>
        </w:rPr>
        <w:t xml:space="preserve">We consolidated the appeals. </w:t>
      </w:r>
    </w:p>
    <w:p w:rsidR="003C10A8" w:rsidRPr="000566EE" w:rsidP="000566EE" w14:paraId="7BBBF46E" w14:textId="77777777">
      <w:pPr>
        <w:contextualSpacing/>
        <w:rPr>
          <w:szCs w:val="26"/>
        </w:rPr>
      </w:pPr>
    </w:p>
    <w:p w:rsidR="00F95AFA" w:rsidRPr="000566EE" w:rsidP="000566EE" w14:paraId="749D1FF0" w14:textId="77777777">
      <w:pPr>
        <w:keepNext/>
        <w:contextualSpacing/>
        <w:jc w:val="center"/>
        <w:rPr>
          <w:b/>
          <w:szCs w:val="26"/>
        </w:rPr>
      </w:pPr>
      <w:r w:rsidRPr="000566EE">
        <w:rPr>
          <w:b/>
          <w:szCs w:val="26"/>
        </w:rPr>
        <w:t>DISCUSSION</w:t>
      </w:r>
    </w:p>
    <w:p w:rsidR="00D54458" w:rsidRPr="005F5007" w:rsidP="005F5007" w14:paraId="47C98C84" w14:textId="0E1BC9EB">
      <w:pPr>
        <w:keepNext/>
        <w:contextualSpacing/>
        <w:rPr>
          <w:b/>
          <w:szCs w:val="26"/>
        </w:rPr>
      </w:pPr>
      <w:r w:rsidRPr="000566EE">
        <w:rPr>
          <w:b/>
          <w:szCs w:val="26"/>
        </w:rPr>
        <w:t>A</w:t>
      </w:r>
      <w:r w:rsidRPr="000566EE" w:rsidR="00031FA4">
        <w:rPr>
          <w:b/>
          <w:szCs w:val="26"/>
        </w:rPr>
        <w:t>.</w:t>
      </w:r>
      <w:r w:rsidRPr="000566EE" w:rsidR="00031FA4">
        <w:rPr>
          <w:b/>
          <w:szCs w:val="26"/>
        </w:rPr>
        <w:tab/>
      </w:r>
      <w:r w:rsidRPr="000566EE" w:rsidR="004803E7">
        <w:rPr>
          <w:b/>
          <w:szCs w:val="26"/>
        </w:rPr>
        <w:t>The Writ of Mandate</w:t>
      </w:r>
    </w:p>
    <w:p w:rsidR="007D4097" w:rsidRPr="000566EE" w:rsidP="00D54458" w14:paraId="0EC2C30F" w14:textId="15B7D094">
      <w:pPr>
        <w:ind w:firstLine="720"/>
        <w:contextualSpacing/>
        <w:rPr>
          <w:color w:val="000000"/>
          <w:szCs w:val="26"/>
          <w:shd w:val="clear" w:color="auto" w:fill="FFFFFF"/>
          <w:lang w:eastAsia="en-US"/>
        </w:rPr>
      </w:pPr>
      <w:r w:rsidRPr="00E22F67">
        <w:rPr>
          <w:color w:val="000000"/>
          <w:szCs w:val="26"/>
          <w:shd w:val="clear" w:color="auto" w:fill="FFFFFF"/>
          <w:lang w:eastAsia="en-US"/>
        </w:rPr>
        <w:t>1.</w:t>
      </w:r>
      <w:r w:rsidRPr="00E22F67">
        <w:rPr>
          <w:color w:val="000000"/>
          <w:szCs w:val="26"/>
          <w:shd w:val="clear" w:color="auto" w:fill="FFFFFF"/>
          <w:lang w:eastAsia="en-US"/>
        </w:rPr>
        <w:tab/>
      </w:r>
      <w:r w:rsidRPr="00E22F67" w:rsidR="004803E7">
        <w:rPr>
          <w:i/>
          <w:iCs/>
          <w:color w:val="000000"/>
          <w:szCs w:val="26"/>
          <w:shd w:val="clear" w:color="auto" w:fill="FFFFFF"/>
          <w:lang w:eastAsia="en-US"/>
        </w:rPr>
        <w:t>Standard of Review</w:t>
      </w:r>
      <w:r w:rsidRPr="000566EE" w:rsidR="00AB2AE1">
        <w:rPr>
          <w:i/>
          <w:iCs/>
          <w:color w:val="000000"/>
          <w:szCs w:val="26"/>
          <w:shd w:val="clear" w:color="auto" w:fill="FFFFFF"/>
          <w:lang w:eastAsia="en-US"/>
        </w:rPr>
        <w:t xml:space="preserve"> </w:t>
      </w:r>
    </w:p>
    <w:p w:rsidR="00C56F1B" w:rsidRPr="000566EE" w:rsidP="000566EE" w14:paraId="309D1441" w14:textId="2975F0E4">
      <w:pPr>
        <w:ind w:firstLine="720"/>
        <w:contextualSpacing/>
        <w:rPr>
          <w:color w:val="000000"/>
          <w:szCs w:val="26"/>
          <w:bdr w:val="none" w:sz="0" w:space="0" w:color="auto" w:frame="1"/>
          <w:shd w:val="clear" w:color="auto" w:fill="FFFFFF"/>
        </w:rPr>
      </w:pPr>
      <w:r w:rsidRPr="000566EE">
        <w:rPr>
          <w:color w:val="000000"/>
          <w:szCs w:val="26"/>
          <w:bdr w:val="none" w:sz="0" w:space="0" w:color="auto" w:frame="1"/>
          <w:shd w:val="clear" w:color="auto" w:fill="FFFFFF"/>
        </w:rPr>
        <w:t xml:space="preserve">A zoning ordinance </w:t>
      </w:r>
      <w:r w:rsidRPr="000566EE" w:rsidR="00064E2D">
        <w:rPr>
          <w:color w:val="000000"/>
          <w:szCs w:val="26"/>
          <w:bdr w:val="none" w:sz="0" w:space="0" w:color="auto" w:frame="1"/>
          <w:shd w:val="clear" w:color="auto" w:fill="FFFFFF"/>
        </w:rPr>
        <w:t xml:space="preserve">is a legislative act that is reviewable by writ of mandate.  </w:t>
      </w:r>
      <w:r w:rsidRPr="000566EE" w:rsidR="00D54026">
        <w:rPr>
          <w:color w:val="000000"/>
          <w:szCs w:val="26"/>
          <w:bdr w:val="none" w:sz="0" w:space="0" w:color="auto" w:frame="1"/>
          <w:shd w:val="clear" w:color="auto" w:fill="FFFFFF"/>
        </w:rPr>
        <w:t>(</w:t>
      </w:r>
      <w:r w:rsidRPr="000566EE" w:rsidR="00D54026">
        <w:rPr>
          <w:i/>
          <w:iCs/>
          <w:color w:val="000000"/>
          <w:szCs w:val="26"/>
          <w:bdr w:val="none" w:sz="0" w:space="0" w:color="auto" w:frame="1"/>
          <w:shd w:val="clear" w:color="auto" w:fill="FFFFFF"/>
        </w:rPr>
        <w:t>Arnel Dev. Co. v. City of Costa Mesa</w:t>
      </w:r>
      <w:r w:rsidRPr="000566EE" w:rsidR="00D54026">
        <w:rPr>
          <w:color w:val="000000"/>
          <w:szCs w:val="26"/>
          <w:bdr w:val="none" w:sz="0" w:space="0" w:color="auto" w:frame="1"/>
          <w:shd w:val="clear" w:color="auto" w:fill="FFFFFF"/>
        </w:rPr>
        <w:t xml:space="preserve"> (1980) 28 Cal.3d 511, 521</w:t>
      </w:r>
      <w:r w:rsidRPr="000566EE" w:rsidR="00211202">
        <w:rPr>
          <w:color w:val="000000"/>
          <w:szCs w:val="26"/>
          <w:bdr w:val="none" w:sz="0" w:space="0" w:color="auto" w:frame="1"/>
          <w:shd w:val="clear" w:color="auto" w:fill="FFFFFF"/>
        </w:rPr>
        <w:t xml:space="preserve">; see </w:t>
      </w:r>
      <w:r w:rsidRPr="000566EE" w:rsidR="00925FAC">
        <w:rPr>
          <w:color w:val="000000"/>
          <w:szCs w:val="26"/>
          <w:bdr w:val="none" w:sz="0" w:space="0" w:color="auto" w:frame="1"/>
          <w:shd w:val="clear" w:color="auto" w:fill="FFFFFF"/>
        </w:rPr>
        <w:t xml:space="preserve">also </w:t>
      </w:r>
      <w:r w:rsidRPr="000566EE" w:rsidR="00211202">
        <w:rPr>
          <w:i/>
          <w:iCs/>
          <w:color w:val="000000"/>
          <w:szCs w:val="26"/>
          <w:bdr w:val="none" w:sz="0" w:space="0" w:color="auto" w:frame="1"/>
          <w:shd w:val="clear" w:color="auto" w:fill="FFFFFF"/>
        </w:rPr>
        <w:t>Jolicoeur v. Mihaly</w:t>
      </w:r>
      <w:r w:rsidRPr="000566EE" w:rsidR="00211202">
        <w:rPr>
          <w:color w:val="000000"/>
          <w:szCs w:val="26"/>
          <w:bdr w:val="none" w:sz="0" w:space="0" w:color="auto" w:frame="1"/>
          <w:shd w:val="clear" w:color="auto" w:fill="FFFFFF"/>
        </w:rPr>
        <w:t xml:space="preserve"> (1971) 5 Cal.3d 565, 570, fn. 2</w:t>
      </w:r>
      <w:r w:rsidRPr="000566EE" w:rsidR="001F60F4">
        <w:rPr>
          <w:color w:val="000000"/>
          <w:szCs w:val="26"/>
          <w:bdr w:val="none" w:sz="0" w:space="0" w:color="auto" w:frame="1"/>
          <w:shd w:val="clear" w:color="auto" w:fill="FFFFFF"/>
        </w:rPr>
        <w:t xml:space="preserve"> [noting that mandamus is appropriate for challenging the validity of statutes or official acts].) </w:t>
      </w:r>
      <w:r w:rsidRPr="000566EE" w:rsidR="00AF7D70">
        <w:rPr>
          <w:color w:val="000000"/>
          <w:szCs w:val="26"/>
          <w:bdr w:val="none" w:sz="0" w:space="0" w:color="auto" w:frame="1"/>
          <w:shd w:val="clear" w:color="auto" w:fill="FFFFFF"/>
        </w:rPr>
        <w:t xml:space="preserve"> </w:t>
      </w:r>
      <w:r w:rsidRPr="000566EE" w:rsidR="00067F4F">
        <w:rPr>
          <w:color w:val="000000"/>
          <w:szCs w:val="26"/>
          <w:bdr w:val="none" w:sz="0" w:space="0" w:color="auto" w:frame="1"/>
          <w:shd w:val="clear" w:color="auto" w:fill="FFFFFF"/>
        </w:rPr>
        <w:t>In a</w:t>
      </w:r>
      <w:r w:rsidRPr="000566EE" w:rsidR="007F034B">
        <w:rPr>
          <w:color w:val="000000"/>
          <w:szCs w:val="26"/>
          <w:bdr w:val="none" w:sz="0" w:space="0" w:color="auto" w:frame="1"/>
          <w:shd w:val="clear" w:color="auto" w:fill="FFFFFF"/>
        </w:rPr>
        <w:t xml:space="preserve"> traditional mandamus </w:t>
      </w:r>
      <w:r w:rsidRPr="000566EE" w:rsidR="00067F4F">
        <w:rPr>
          <w:color w:val="000000"/>
          <w:szCs w:val="26"/>
          <w:bdr w:val="none" w:sz="0" w:space="0" w:color="auto" w:frame="1"/>
          <w:shd w:val="clear" w:color="auto" w:fill="FFFFFF"/>
        </w:rPr>
        <w:t xml:space="preserve">proceeding </w:t>
      </w:r>
      <w:r w:rsidRPr="000566EE" w:rsidR="007F034B">
        <w:rPr>
          <w:color w:val="000000"/>
          <w:szCs w:val="26"/>
          <w:bdr w:val="none" w:sz="0" w:space="0" w:color="auto" w:frame="1"/>
          <w:shd w:val="clear" w:color="auto" w:fill="FFFFFF"/>
        </w:rPr>
        <w:t>(Code Civ. Proc.</w:t>
      </w:r>
      <w:r w:rsidRPr="000566EE" w:rsidR="006B69EF">
        <w:rPr>
          <w:color w:val="000000"/>
          <w:szCs w:val="26"/>
          <w:bdr w:val="none" w:sz="0" w:space="0" w:color="auto" w:frame="1"/>
          <w:shd w:val="clear" w:color="auto" w:fill="FFFFFF"/>
        </w:rPr>
        <w:t>,</w:t>
      </w:r>
      <w:r w:rsidRPr="000566EE" w:rsidR="007F034B">
        <w:rPr>
          <w:color w:val="000000"/>
          <w:szCs w:val="26"/>
          <w:bdr w:val="none" w:sz="0" w:space="0" w:color="auto" w:frame="1"/>
          <w:shd w:val="clear" w:color="auto" w:fill="FFFFFF"/>
        </w:rPr>
        <w:t xml:space="preserve"> §</w:t>
      </w:r>
      <w:r w:rsidRPr="000566EE" w:rsidR="00364DF9">
        <w:rPr>
          <w:color w:val="000000"/>
          <w:szCs w:val="26"/>
          <w:bdr w:val="none" w:sz="0" w:space="0" w:color="auto" w:frame="1"/>
          <w:shd w:val="clear" w:color="auto" w:fill="FFFFFF"/>
        </w:rPr>
        <w:t> </w:t>
      </w:r>
      <w:r w:rsidRPr="000566EE" w:rsidR="007F034B">
        <w:rPr>
          <w:color w:val="000000"/>
          <w:szCs w:val="26"/>
          <w:bdr w:val="none" w:sz="0" w:space="0" w:color="auto" w:frame="1"/>
          <w:shd w:val="clear" w:color="auto" w:fill="FFFFFF"/>
        </w:rPr>
        <w:t>1085)</w:t>
      </w:r>
      <w:r w:rsidRPr="000566EE" w:rsidR="00550683">
        <w:rPr>
          <w:color w:val="000000"/>
          <w:szCs w:val="26"/>
          <w:bdr w:val="none" w:sz="0" w:space="0" w:color="auto" w:frame="1"/>
          <w:shd w:val="clear" w:color="auto" w:fill="FFFFFF"/>
        </w:rPr>
        <w:t>,</w:t>
      </w:r>
      <w:r w:rsidRPr="000566EE" w:rsidR="00E87BAB">
        <w:rPr>
          <w:bCs/>
          <w:iCs/>
          <w:szCs w:val="26"/>
        </w:rPr>
        <w:t xml:space="preserve"> </w:t>
      </w:r>
      <w:r w:rsidRPr="000566EE" w:rsidR="00863F67">
        <w:rPr>
          <w:color w:val="000000"/>
          <w:szCs w:val="26"/>
          <w:bdr w:val="none" w:sz="0" w:space="0" w:color="auto" w:frame="1"/>
          <w:shd w:val="clear" w:color="auto" w:fill="FFFFFF"/>
        </w:rPr>
        <w:t>“‘our review is limited to a determination of whether the agency</w:t>
      </w:r>
      <w:r w:rsidRPr="000566EE" w:rsidR="00C666F7">
        <w:rPr>
          <w:color w:val="000000"/>
          <w:szCs w:val="26"/>
          <w:bdr w:val="none" w:sz="0" w:space="0" w:color="auto" w:frame="1"/>
          <w:shd w:val="clear" w:color="auto" w:fill="FFFFFF"/>
        </w:rPr>
        <w:t>’</w:t>
      </w:r>
      <w:r w:rsidRPr="000566EE" w:rsidR="00863F67">
        <w:rPr>
          <w:color w:val="000000"/>
          <w:szCs w:val="26"/>
          <w:bdr w:val="none" w:sz="0" w:space="0" w:color="auto" w:frame="1"/>
          <w:shd w:val="clear" w:color="auto" w:fill="FFFFFF"/>
        </w:rPr>
        <w:t>s decision was arbitrary, capricious, entirely lacking in evidentiary support, unlawful, or</w:t>
      </w:r>
      <w:r w:rsidRPr="000566EE" w:rsidR="00004ABD">
        <w:rPr>
          <w:color w:val="000000"/>
          <w:szCs w:val="26"/>
          <w:bdr w:val="none" w:sz="0" w:space="0" w:color="auto" w:frame="1"/>
          <w:shd w:val="clear" w:color="auto" w:fill="FFFFFF"/>
        </w:rPr>
        <w:t xml:space="preserve"> </w:t>
      </w:r>
      <w:r w:rsidRPr="000566EE" w:rsidR="00863F67">
        <w:rPr>
          <w:color w:val="000000"/>
          <w:szCs w:val="26"/>
          <w:bdr w:val="none" w:sz="0" w:space="0" w:color="auto" w:frame="1"/>
          <w:shd w:val="clear" w:color="auto" w:fill="FFFFFF"/>
        </w:rPr>
        <w:t xml:space="preserve">procedurally unfair. </w:t>
      </w:r>
      <w:r w:rsidRPr="000566EE" w:rsidR="00C666F7">
        <w:rPr>
          <w:color w:val="000000"/>
          <w:szCs w:val="26"/>
          <w:bdr w:val="none" w:sz="0" w:space="0" w:color="auto" w:frame="1"/>
          <w:shd w:val="clear" w:color="auto" w:fill="FFFFFF"/>
        </w:rPr>
        <w:t xml:space="preserve"> </w:t>
      </w:r>
      <w:r w:rsidRPr="000566EE" w:rsidR="00863F67">
        <w:rPr>
          <w:color w:val="000000"/>
          <w:szCs w:val="26"/>
          <w:bdr w:val="none" w:sz="0" w:space="0" w:color="auto" w:frame="1"/>
          <w:shd w:val="clear" w:color="auto" w:fill="FFFFFF"/>
        </w:rPr>
        <w:t>[Citation.]</w:t>
      </w:r>
      <w:r w:rsidRPr="000566EE" w:rsidR="00C666F7">
        <w:rPr>
          <w:color w:val="000000"/>
          <w:szCs w:val="26"/>
          <w:bdr w:val="none" w:sz="0" w:space="0" w:color="auto" w:frame="1"/>
          <w:shd w:val="clear" w:color="auto" w:fill="FFFFFF"/>
        </w:rPr>
        <w:t xml:space="preserve">  </w:t>
      </w:r>
      <w:r w:rsidRPr="000566EE" w:rsidR="00863F67">
        <w:rPr>
          <w:color w:val="000000"/>
          <w:szCs w:val="26"/>
          <w:bdr w:val="none" w:sz="0" w:space="0" w:color="auto" w:frame="1"/>
          <w:shd w:val="clear" w:color="auto" w:fill="FFFFFF"/>
        </w:rPr>
        <w:t>Independent review is required, however, where the issue involves statutory or regulatory construction, such as whether the agency</w:t>
      </w:r>
      <w:r w:rsidRPr="000566EE" w:rsidR="003B6B7E">
        <w:rPr>
          <w:color w:val="000000"/>
          <w:szCs w:val="26"/>
          <w:bdr w:val="none" w:sz="0" w:space="0" w:color="auto" w:frame="1"/>
          <w:shd w:val="clear" w:color="auto" w:fill="FFFFFF"/>
        </w:rPr>
        <w:t>’</w:t>
      </w:r>
      <w:r w:rsidRPr="000566EE" w:rsidR="00863F67">
        <w:rPr>
          <w:color w:val="000000"/>
          <w:szCs w:val="26"/>
          <w:bdr w:val="none" w:sz="0" w:space="0" w:color="auto" w:frame="1"/>
          <w:shd w:val="clear" w:color="auto" w:fill="FFFFFF"/>
        </w:rPr>
        <w:t xml:space="preserve">s action was consistent with applicable law. </w:t>
      </w:r>
      <w:r w:rsidRPr="000566EE" w:rsidR="003B6B7E">
        <w:rPr>
          <w:color w:val="000000"/>
          <w:szCs w:val="26"/>
          <w:bdr w:val="none" w:sz="0" w:space="0" w:color="auto" w:frame="1"/>
          <w:shd w:val="clear" w:color="auto" w:fill="FFFFFF"/>
        </w:rPr>
        <w:t xml:space="preserve"> </w:t>
      </w:r>
      <w:r w:rsidRPr="000566EE" w:rsidR="00863F67">
        <w:rPr>
          <w:color w:val="000000"/>
          <w:szCs w:val="26"/>
          <w:bdr w:val="none" w:sz="0" w:space="0" w:color="auto" w:frame="1"/>
          <w:shd w:val="clear" w:color="auto" w:fill="FFFFFF"/>
        </w:rPr>
        <w:t>[Citation.]</w:t>
      </w:r>
      <w:r w:rsidRPr="000566EE" w:rsidR="00BF5F8F">
        <w:rPr>
          <w:color w:val="000000"/>
          <w:szCs w:val="26"/>
          <w:bdr w:val="none" w:sz="0" w:space="0" w:color="auto" w:frame="1"/>
          <w:shd w:val="clear" w:color="auto" w:fill="FFFFFF"/>
        </w:rPr>
        <w:t>’”  (</w:t>
      </w:r>
      <w:r w:rsidRPr="000566EE" w:rsidR="00BF5F8F">
        <w:rPr>
          <w:i/>
          <w:iCs/>
          <w:color w:val="000000"/>
          <w:szCs w:val="26"/>
          <w:bdr w:val="none" w:sz="0" w:space="0" w:color="auto" w:frame="1"/>
          <w:shd w:val="clear" w:color="auto" w:fill="FFFFFF"/>
        </w:rPr>
        <w:t>Protect Our Neighborhoods v. City of Palm Springs</w:t>
      </w:r>
      <w:r w:rsidRPr="000566EE" w:rsidR="00BF5F8F">
        <w:rPr>
          <w:color w:val="000000"/>
          <w:szCs w:val="26"/>
          <w:bdr w:val="none" w:sz="0" w:space="0" w:color="auto" w:frame="1"/>
          <w:shd w:val="clear" w:color="auto" w:fill="FFFFFF"/>
        </w:rPr>
        <w:t xml:space="preserve"> (2022) 73 Cal.App.5th </w:t>
      </w:r>
      <w:r w:rsidRPr="000566EE" w:rsidR="002C5B4C">
        <w:rPr>
          <w:color w:val="000000"/>
          <w:szCs w:val="26"/>
          <w:bdr w:val="none" w:sz="0" w:space="0" w:color="auto" w:frame="1"/>
          <w:shd w:val="clear" w:color="auto" w:fill="FFFFFF"/>
        </w:rPr>
        <w:t>667, 676</w:t>
      </w:r>
      <w:r w:rsidRPr="000566EE" w:rsidR="00BF19A4">
        <w:rPr>
          <w:color w:val="000000"/>
          <w:szCs w:val="26"/>
          <w:bdr w:val="none" w:sz="0" w:space="0" w:color="auto" w:frame="1"/>
          <w:shd w:val="clear" w:color="auto" w:fill="FFFFFF"/>
        </w:rPr>
        <w:t>;</w:t>
      </w:r>
      <w:r w:rsidRPr="000566EE" w:rsidR="008A1F53">
        <w:rPr>
          <w:color w:val="000000"/>
          <w:szCs w:val="26"/>
          <w:bdr w:val="none" w:sz="0" w:space="0" w:color="auto" w:frame="1"/>
          <w:shd w:val="clear" w:color="auto" w:fill="FFFFFF"/>
        </w:rPr>
        <w:t xml:space="preserve"> </w:t>
      </w:r>
      <w:r w:rsidRPr="000566EE" w:rsidR="00BF19A4">
        <w:rPr>
          <w:color w:val="000000"/>
          <w:szCs w:val="26"/>
          <w:bdr w:val="none" w:sz="0" w:space="0" w:color="auto" w:frame="1"/>
          <w:shd w:val="clear" w:color="auto" w:fill="FFFFFF"/>
        </w:rPr>
        <w:t xml:space="preserve">see also </w:t>
      </w:r>
      <w:r w:rsidRPr="000566EE" w:rsidR="00BF19A4">
        <w:rPr>
          <w:i/>
          <w:iCs/>
          <w:color w:val="000000"/>
          <w:szCs w:val="26"/>
          <w:bdr w:val="none" w:sz="0" w:space="0" w:color="auto" w:frame="1"/>
          <w:shd w:val="clear" w:color="auto" w:fill="FFFFFF"/>
        </w:rPr>
        <w:t>California Charter Schools Assn. v. City of Huntington Park</w:t>
      </w:r>
      <w:r w:rsidRPr="000566EE" w:rsidR="00BF19A4">
        <w:rPr>
          <w:color w:val="000000"/>
          <w:szCs w:val="26"/>
          <w:bdr w:val="none" w:sz="0" w:space="0" w:color="auto" w:frame="1"/>
          <w:shd w:val="clear" w:color="auto" w:fill="FFFFFF"/>
        </w:rPr>
        <w:t xml:space="preserve"> (2019) 35 Cal.App.5th 362, 369 [</w:t>
      </w:r>
      <w:r w:rsidRPr="000566EE" w:rsidR="008A1F53">
        <w:rPr>
          <w:color w:val="000000"/>
          <w:szCs w:val="26"/>
          <w:bdr w:val="none" w:sz="0" w:space="0" w:color="auto" w:frame="1"/>
          <w:shd w:val="clear" w:color="auto" w:fill="FFFFFF"/>
        </w:rPr>
        <w:t>“Under Code of Civil Procedure section</w:t>
      </w:r>
      <w:r w:rsidRPr="000566EE" w:rsidR="00D748E4">
        <w:rPr>
          <w:color w:val="000000"/>
          <w:szCs w:val="26"/>
          <w:bdr w:val="none" w:sz="0" w:space="0" w:color="auto" w:frame="1"/>
          <w:shd w:val="clear" w:color="auto" w:fill="FFFFFF"/>
        </w:rPr>
        <w:t> </w:t>
      </w:r>
      <w:r w:rsidRPr="000566EE" w:rsidR="008A1F53">
        <w:rPr>
          <w:color w:val="000000"/>
          <w:szCs w:val="26"/>
          <w:bdr w:val="none" w:sz="0" w:space="0" w:color="auto" w:frame="1"/>
          <w:shd w:val="clear" w:color="auto" w:fill="FFFFFF"/>
        </w:rPr>
        <w:t>1085, when the relevant facts are undisputed, and the issue is one of statutory interpretation, the question is one of law for which we employ our independent review”</w:t>
      </w:r>
      <w:r w:rsidRPr="000566EE" w:rsidR="00BF19A4">
        <w:rPr>
          <w:color w:val="000000"/>
          <w:szCs w:val="26"/>
          <w:bdr w:val="none" w:sz="0" w:space="0" w:color="auto" w:frame="1"/>
          <w:shd w:val="clear" w:color="auto" w:fill="FFFFFF"/>
        </w:rPr>
        <w:t>].</w:t>
      </w:r>
      <w:r w:rsidRPr="000566EE" w:rsidR="006A4832">
        <w:rPr>
          <w:color w:val="000000"/>
          <w:szCs w:val="26"/>
          <w:bdr w:val="none" w:sz="0" w:space="0" w:color="auto" w:frame="1"/>
          <w:shd w:val="clear" w:color="auto" w:fill="FFFFFF"/>
        </w:rPr>
        <w:t>)</w:t>
      </w:r>
      <w:r w:rsidRPr="000566EE" w:rsidR="00FC73C1">
        <w:rPr>
          <w:color w:val="000000"/>
          <w:szCs w:val="26"/>
          <w:bdr w:val="none" w:sz="0" w:space="0" w:color="auto" w:frame="1"/>
          <w:shd w:val="clear" w:color="auto" w:fill="FFFFFF"/>
        </w:rPr>
        <w:t xml:space="preserve"> </w:t>
      </w:r>
    </w:p>
    <w:p w:rsidR="00573A79" w:rsidRPr="000566EE" w:rsidP="000566EE" w14:paraId="64EF75DF" w14:textId="77777777">
      <w:pPr>
        <w:contextualSpacing/>
        <w:rPr>
          <w:color w:val="000000"/>
          <w:szCs w:val="26"/>
          <w:bdr w:val="none" w:sz="0" w:space="0" w:color="auto" w:frame="1"/>
          <w:shd w:val="clear" w:color="auto" w:fill="FFFFFF"/>
        </w:rPr>
      </w:pPr>
    </w:p>
    <w:p w:rsidR="00B8607B" w:rsidRPr="000566EE" w:rsidP="000566EE" w14:paraId="5E6012C2" w14:textId="2F449D7D">
      <w:pPr>
        <w:ind w:left="1440" w:hanging="720"/>
        <w:contextualSpacing/>
        <w:rPr>
          <w:color w:val="000000"/>
          <w:szCs w:val="26"/>
          <w:bdr w:val="none" w:sz="0" w:space="0" w:color="auto" w:frame="1"/>
          <w:shd w:val="clear" w:color="auto" w:fill="FFFFFF"/>
        </w:rPr>
      </w:pPr>
      <w:r w:rsidRPr="000566EE">
        <w:rPr>
          <w:color w:val="000000"/>
          <w:szCs w:val="26"/>
          <w:bdr w:val="none" w:sz="0" w:space="0" w:color="auto" w:frame="1"/>
          <w:shd w:val="clear" w:color="auto" w:fill="FFFFFF"/>
        </w:rPr>
        <w:t>2.</w:t>
      </w:r>
      <w:r w:rsidRPr="000566EE">
        <w:rPr>
          <w:color w:val="000000"/>
          <w:szCs w:val="26"/>
          <w:bdr w:val="none" w:sz="0" w:space="0" w:color="auto" w:frame="1"/>
          <w:shd w:val="clear" w:color="auto" w:fill="FFFFFF"/>
        </w:rPr>
        <w:tab/>
      </w:r>
      <w:r w:rsidRPr="000566EE" w:rsidR="00F25D8D">
        <w:rPr>
          <w:i/>
          <w:iCs/>
          <w:color w:val="000000"/>
          <w:szCs w:val="26"/>
          <w:bdr w:val="none" w:sz="0" w:space="0" w:color="auto" w:frame="1"/>
          <w:shd w:val="clear" w:color="auto" w:fill="FFFFFF"/>
        </w:rPr>
        <w:t xml:space="preserve">The Ordinance </w:t>
      </w:r>
      <w:r w:rsidRPr="000566EE">
        <w:rPr>
          <w:i/>
          <w:iCs/>
          <w:color w:val="000000"/>
          <w:szCs w:val="26"/>
          <w:bdr w:val="none" w:sz="0" w:space="0" w:color="auto" w:frame="1"/>
          <w:shd w:val="clear" w:color="auto" w:fill="FFFFFF"/>
        </w:rPr>
        <w:t xml:space="preserve">Violates </w:t>
      </w:r>
      <w:r w:rsidRPr="000566EE" w:rsidR="00F25D8D">
        <w:rPr>
          <w:i/>
          <w:iCs/>
          <w:color w:val="000000"/>
          <w:szCs w:val="26"/>
          <w:bdr w:val="none" w:sz="0" w:space="0" w:color="auto" w:frame="1"/>
          <w:shd w:val="clear" w:color="auto" w:fill="FFFFFF"/>
        </w:rPr>
        <w:t>Section 66300</w:t>
      </w:r>
      <w:r w:rsidRPr="000566EE" w:rsidR="00B464BF">
        <w:rPr>
          <w:i/>
          <w:iCs/>
          <w:color w:val="000000"/>
          <w:szCs w:val="26"/>
          <w:bdr w:val="none" w:sz="0" w:space="0" w:color="auto" w:frame="1"/>
          <w:shd w:val="clear" w:color="auto" w:fill="FFFFFF"/>
        </w:rPr>
        <w:t>’s Plain Language</w:t>
      </w:r>
    </w:p>
    <w:p w:rsidR="00286074" w:rsidRPr="000566EE" w:rsidP="000566EE" w14:paraId="0FD8470E" w14:textId="09817444">
      <w:pPr>
        <w:ind w:firstLine="720"/>
        <w:contextualSpacing/>
        <w:rPr>
          <w:color w:val="000000"/>
          <w:szCs w:val="26"/>
          <w:bdr w:val="none" w:sz="0" w:space="0" w:color="auto" w:frame="1"/>
          <w:shd w:val="clear" w:color="auto" w:fill="FFFFFF"/>
        </w:rPr>
      </w:pPr>
      <w:r w:rsidRPr="000566EE">
        <w:rPr>
          <w:color w:val="000000"/>
          <w:szCs w:val="26"/>
          <w:bdr w:val="none" w:sz="0" w:space="0" w:color="auto" w:frame="1"/>
          <w:shd w:val="clear" w:color="auto" w:fill="FFFFFF"/>
        </w:rPr>
        <w:t xml:space="preserve">The </w:t>
      </w:r>
      <w:r w:rsidRPr="000566EE" w:rsidR="00445791">
        <w:rPr>
          <w:color w:val="000000"/>
          <w:szCs w:val="26"/>
          <w:bdr w:val="none" w:sz="0" w:space="0" w:color="auto" w:frame="1"/>
          <w:shd w:val="clear" w:color="auto" w:fill="FFFFFF"/>
        </w:rPr>
        <w:t xml:space="preserve">City </w:t>
      </w:r>
      <w:r w:rsidRPr="000566EE" w:rsidR="009E2597">
        <w:rPr>
          <w:color w:val="000000"/>
          <w:szCs w:val="26"/>
          <w:bdr w:val="none" w:sz="0" w:space="0" w:color="auto" w:frame="1"/>
          <w:shd w:val="clear" w:color="auto" w:fill="FFFFFF"/>
        </w:rPr>
        <w:t>asserts</w:t>
      </w:r>
      <w:r w:rsidRPr="000566EE" w:rsidR="00445791">
        <w:rPr>
          <w:color w:val="000000"/>
          <w:szCs w:val="26"/>
          <w:bdr w:val="none" w:sz="0" w:space="0" w:color="auto" w:frame="1"/>
          <w:shd w:val="clear" w:color="auto" w:fill="FFFFFF"/>
        </w:rPr>
        <w:t xml:space="preserve"> </w:t>
      </w:r>
      <w:r w:rsidRPr="000566EE" w:rsidR="00AA32FD">
        <w:rPr>
          <w:color w:val="000000"/>
          <w:szCs w:val="26"/>
          <w:bdr w:val="none" w:sz="0" w:space="0" w:color="auto" w:frame="1"/>
          <w:shd w:val="clear" w:color="auto" w:fill="FFFFFF"/>
        </w:rPr>
        <w:t xml:space="preserve">that </w:t>
      </w:r>
      <w:r w:rsidRPr="000566EE" w:rsidR="00B763DF">
        <w:rPr>
          <w:color w:val="000000"/>
          <w:szCs w:val="26"/>
          <w:bdr w:val="none" w:sz="0" w:space="0" w:color="auto" w:frame="1"/>
          <w:shd w:val="clear" w:color="auto" w:fill="FFFFFF"/>
        </w:rPr>
        <w:t>section</w:t>
      </w:r>
      <w:r w:rsidRPr="000566EE" w:rsidR="00E61395">
        <w:rPr>
          <w:color w:val="000000"/>
          <w:szCs w:val="26"/>
          <w:bdr w:val="none" w:sz="0" w:space="0" w:color="auto" w:frame="1"/>
          <w:shd w:val="clear" w:color="auto" w:fill="FFFFFF"/>
        </w:rPr>
        <w:t> </w:t>
      </w:r>
      <w:r w:rsidRPr="000566EE" w:rsidR="00B763DF">
        <w:rPr>
          <w:color w:val="000000"/>
          <w:szCs w:val="26"/>
          <w:bdr w:val="none" w:sz="0" w:space="0" w:color="auto" w:frame="1"/>
          <w:shd w:val="clear" w:color="auto" w:fill="FFFFFF"/>
        </w:rPr>
        <w:t>66300</w:t>
      </w:r>
      <w:r w:rsidRPr="000566EE" w:rsidR="00760751">
        <w:rPr>
          <w:color w:val="000000"/>
          <w:szCs w:val="26"/>
          <w:bdr w:val="none" w:sz="0" w:space="0" w:color="auto" w:frame="1"/>
          <w:shd w:val="clear" w:color="auto" w:fill="FFFFFF"/>
        </w:rPr>
        <w:t xml:space="preserve"> </w:t>
      </w:r>
      <w:r w:rsidRPr="000566EE" w:rsidR="00B763DF">
        <w:rPr>
          <w:color w:val="000000"/>
          <w:szCs w:val="26"/>
          <w:bdr w:val="none" w:sz="0" w:space="0" w:color="auto" w:frame="1"/>
          <w:shd w:val="clear" w:color="auto" w:fill="FFFFFF"/>
        </w:rPr>
        <w:t xml:space="preserve">is </w:t>
      </w:r>
      <w:r w:rsidRPr="000566EE" w:rsidR="00C3269A">
        <w:rPr>
          <w:color w:val="000000"/>
          <w:szCs w:val="26"/>
          <w:bdr w:val="none" w:sz="0" w:space="0" w:color="auto" w:frame="1"/>
          <w:shd w:val="clear" w:color="auto" w:fill="FFFFFF"/>
        </w:rPr>
        <w:t>ambiguous</w:t>
      </w:r>
      <w:r w:rsidRPr="000566EE" w:rsidR="008D55C9">
        <w:rPr>
          <w:color w:val="000000"/>
          <w:szCs w:val="26"/>
          <w:bdr w:val="none" w:sz="0" w:space="0" w:color="auto" w:frame="1"/>
          <w:shd w:val="clear" w:color="auto" w:fill="FFFFFF"/>
        </w:rPr>
        <w:t xml:space="preserve">, </w:t>
      </w:r>
      <w:r w:rsidRPr="000566EE" w:rsidR="00470D84">
        <w:rPr>
          <w:color w:val="000000"/>
          <w:szCs w:val="26"/>
          <w:bdr w:val="none" w:sz="0" w:space="0" w:color="auto" w:frame="1"/>
          <w:shd w:val="clear" w:color="auto" w:fill="FFFFFF"/>
        </w:rPr>
        <w:t xml:space="preserve">such that we must look at legislative materials to ascertain the </w:t>
      </w:r>
      <w:r w:rsidRPr="000566EE" w:rsidR="009045F0">
        <w:rPr>
          <w:color w:val="000000"/>
          <w:szCs w:val="26"/>
          <w:bdr w:val="none" w:sz="0" w:space="0" w:color="auto" w:frame="1"/>
          <w:shd w:val="clear" w:color="auto" w:fill="FFFFFF"/>
        </w:rPr>
        <w:t>Legislature’s objective</w:t>
      </w:r>
      <w:r w:rsidRPr="000566EE" w:rsidR="00C3269A">
        <w:rPr>
          <w:color w:val="000000"/>
          <w:szCs w:val="26"/>
          <w:bdr w:val="none" w:sz="0" w:space="0" w:color="auto" w:frame="1"/>
          <w:shd w:val="clear" w:color="auto" w:fill="FFFFFF"/>
        </w:rPr>
        <w:t xml:space="preserve">. </w:t>
      </w:r>
      <w:r w:rsidRPr="000566EE" w:rsidR="008522C7">
        <w:rPr>
          <w:color w:val="000000"/>
          <w:szCs w:val="26"/>
          <w:bdr w:val="none" w:sz="0" w:space="0" w:color="auto" w:frame="1"/>
          <w:shd w:val="clear" w:color="auto" w:fill="FFFFFF"/>
        </w:rPr>
        <w:t xml:space="preserve"> </w:t>
      </w:r>
      <w:r w:rsidRPr="000566EE" w:rsidR="008534C6">
        <w:rPr>
          <w:color w:val="000000"/>
          <w:szCs w:val="26"/>
          <w:bdr w:val="none" w:sz="0" w:space="0" w:color="auto" w:frame="1"/>
          <w:shd w:val="clear" w:color="auto" w:fill="FFFFFF"/>
        </w:rPr>
        <w:t xml:space="preserve">YIMBY, however, </w:t>
      </w:r>
      <w:r w:rsidRPr="000566EE" w:rsidR="00DC1C8D">
        <w:rPr>
          <w:color w:val="000000"/>
          <w:szCs w:val="26"/>
          <w:bdr w:val="none" w:sz="0" w:space="0" w:color="auto" w:frame="1"/>
          <w:shd w:val="clear" w:color="auto" w:fill="FFFFFF"/>
        </w:rPr>
        <w:t>a</w:t>
      </w:r>
      <w:r w:rsidRPr="000566EE" w:rsidR="00B07646">
        <w:rPr>
          <w:color w:val="000000"/>
          <w:szCs w:val="26"/>
          <w:bdr w:val="none" w:sz="0" w:space="0" w:color="auto" w:frame="1"/>
          <w:shd w:val="clear" w:color="auto" w:fill="FFFFFF"/>
        </w:rPr>
        <w:t>rgues</w:t>
      </w:r>
      <w:r w:rsidRPr="000566EE" w:rsidR="008534C6">
        <w:rPr>
          <w:color w:val="000000"/>
          <w:szCs w:val="26"/>
          <w:bdr w:val="none" w:sz="0" w:space="0" w:color="auto" w:frame="1"/>
          <w:shd w:val="clear" w:color="auto" w:fill="FFFFFF"/>
        </w:rPr>
        <w:t xml:space="preserve"> that </w:t>
      </w:r>
      <w:r w:rsidRPr="000566EE" w:rsidR="000A6E1F">
        <w:rPr>
          <w:color w:val="000000"/>
          <w:szCs w:val="26"/>
          <w:bdr w:val="none" w:sz="0" w:space="0" w:color="auto" w:frame="1"/>
          <w:shd w:val="clear" w:color="auto" w:fill="FFFFFF"/>
        </w:rPr>
        <w:t xml:space="preserve">the Act’s plain language </w:t>
      </w:r>
      <w:r w:rsidRPr="000566EE" w:rsidR="001062D1">
        <w:rPr>
          <w:color w:val="000000"/>
          <w:szCs w:val="26"/>
          <w:bdr w:val="none" w:sz="0" w:space="0" w:color="auto" w:frame="1"/>
          <w:shd w:val="clear" w:color="auto" w:fill="FFFFFF"/>
        </w:rPr>
        <w:t>prohibits reduction</w:t>
      </w:r>
      <w:r w:rsidRPr="000566EE" w:rsidR="00015091">
        <w:rPr>
          <w:color w:val="000000"/>
          <w:szCs w:val="26"/>
          <w:bdr w:val="none" w:sz="0" w:space="0" w:color="auto" w:frame="1"/>
          <w:shd w:val="clear" w:color="auto" w:fill="FFFFFF"/>
        </w:rPr>
        <w:t>s</w:t>
      </w:r>
      <w:r w:rsidRPr="000566EE" w:rsidR="001062D1">
        <w:rPr>
          <w:color w:val="000000"/>
          <w:szCs w:val="26"/>
          <w:bdr w:val="none" w:sz="0" w:space="0" w:color="auto" w:frame="1"/>
          <w:shd w:val="clear" w:color="auto" w:fill="FFFFFF"/>
        </w:rPr>
        <w:t xml:space="preserve"> in FAR</w:t>
      </w:r>
      <w:r w:rsidRPr="000566EE" w:rsidR="00C94F98">
        <w:rPr>
          <w:color w:val="000000"/>
          <w:szCs w:val="26"/>
          <w:bdr w:val="none" w:sz="0" w:space="0" w:color="auto" w:frame="1"/>
          <w:shd w:val="clear" w:color="auto" w:fill="FFFFFF"/>
        </w:rPr>
        <w:t xml:space="preserve">, unless </w:t>
      </w:r>
      <w:r w:rsidRPr="000566EE" w:rsidR="000D0AB3">
        <w:rPr>
          <w:color w:val="000000"/>
          <w:szCs w:val="26"/>
          <w:bdr w:val="none" w:sz="0" w:space="0" w:color="auto" w:frame="1"/>
          <w:shd w:val="clear" w:color="auto" w:fill="FFFFFF"/>
        </w:rPr>
        <w:t>a stated exception</w:t>
      </w:r>
      <w:r w:rsidRPr="000566EE" w:rsidR="009E34C8">
        <w:rPr>
          <w:color w:val="000000"/>
          <w:szCs w:val="26"/>
          <w:bdr w:val="none" w:sz="0" w:space="0" w:color="auto" w:frame="1"/>
          <w:shd w:val="clear" w:color="auto" w:fill="FFFFFF"/>
        </w:rPr>
        <w:t xml:space="preserve"> is satisfied</w:t>
      </w:r>
      <w:r w:rsidRPr="000566EE" w:rsidR="001062D1">
        <w:rPr>
          <w:color w:val="000000"/>
          <w:szCs w:val="26"/>
          <w:bdr w:val="none" w:sz="0" w:space="0" w:color="auto" w:frame="1"/>
          <w:shd w:val="clear" w:color="auto" w:fill="FFFFFF"/>
        </w:rPr>
        <w:t xml:space="preserve">.  We agree with YIMBY. </w:t>
      </w:r>
    </w:p>
    <w:p w:rsidR="00315402" w:rsidRPr="000566EE" w:rsidP="000566EE" w14:paraId="401B3C19" w14:textId="2586FB72">
      <w:pPr>
        <w:ind w:firstLine="720"/>
        <w:contextualSpacing/>
        <w:rPr>
          <w:color w:val="000000"/>
          <w:szCs w:val="26"/>
          <w:bdr w:val="none" w:sz="0" w:space="0" w:color="auto" w:frame="1"/>
          <w:shd w:val="clear" w:color="auto" w:fill="FFFFFF"/>
        </w:rPr>
      </w:pPr>
      <w:r w:rsidRPr="000566EE">
        <w:rPr>
          <w:color w:val="000000"/>
          <w:szCs w:val="26"/>
          <w:bdr w:val="none" w:sz="0" w:space="0" w:color="auto" w:frame="1"/>
          <w:shd w:val="clear" w:color="auto" w:fill="FFFFFF"/>
        </w:rPr>
        <w:t>“The fundamental rule of statutory construction is that the court should ascertain the intent of the Legislature so as to effectuate the purpose of the statute.”  (</w:t>
      </w:r>
      <w:r w:rsidRPr="000566EE">
        <w:rPr>
          <w:i/>
          <w:iCs/>
          <w:color w:val="000000"/>
          <w:szCs w:val="26"/>
          <w:bdr w:val="none" w:sz="0" w:space="0" w:color="auto" w:frame="1"/>
          <w:shd w:val="clear" w:color="auto" w:fill="FFFFFF"/>
        </w:rPr>
        <w:t>Law Office of Carlos R. Perez v. Whittier Union High School District</w:t>
      </w:r>
      <w:r w:rsidRPr="000566EE">
        <w:rPr>
          <w:color w:val="000000"/>
          <w:szCs w:val="26"/>
          <w:bdr w:val="none" w:sz="0" w:space="0" w:color="auto" w:frame="1"/>
          <w:shd w:val="clear" w:color="auto" w:fill="FFFFFF"/>
        </w:rPr>
        <w:t xml:space="preserve"> (2023) 87 Cal.App.5th 463, 472.)  </w:t>
      </w:r>
      <w:r w:rsidRPr="000566EE" w:rsidR="003F5A97">
        <w:rPr>
          <w:color w:val="000000"/>
          <w:szCs w:val="26"/>
          <w:bdr w:val="none" w:sz="0" w:space="0" w:color="auto" w:frame="1"/>
          <w:shd w:val="clear" w:color="auto" w:fill="FFFFFF"/>
        </w:rPr>
        <w:t>We begin with the statutory language because it is generally the most reliable indicator of legislative intent.  (</w:t>
      </w:r>
      <w:r w:rsidRPr="000566EE" w:rsidR="002237AC">
        <w:rPr>
          <w:i/>
          <w:iCs/>
          <w:color w:val="000000"/>
          <w:szCs w:val="26"/>
          <w:bdr w:val="none" w:sz="0" w:space="0" w:color="auto" w:frame="1"/>
          <w:shd w:val="clear" w:color="auto" w:fill="FFFFFF"/>
        </w:rPr>
        <w:t>City of Alhambra v. County of Los Angeles</w:t>
      </w:r>
      <w:r w:rsidRPr="000566EE" w:rsidR="002237AC">
        <w:rPr>
          <w:color w:val="000000"/>
          <w:szCs w:val="26"/>
          <w:bdr w:val="none" w:sz="0" w:space="0" w:color="auto" w:frame="1"/>
          <w:shd w:val="clear" w:color="auto" w:fill="FFFFFF"/>
        </w:rPr>
        <w:t xml:space="preserve"> (2012) 55 Cal.4th 707, </w:t>
      </w:r>
      <w:r w:rsidRPr="000566EE" w:rsidR="00314060">
        <w:rPr>
          <w:color w:val="000000"/>
          <w:szCs w:val="26"/>
          <w:bdr w:val="none" w:sz="0" w:space="0" w:color="auto" w:frame="1"/>
          <w:shd w:val="clear" w:color="auto" w:fill="FFFFFF"/>
        </w:rPr>
        <w:t>718–719</w:t>
      </w:r>
      <w:r w:rsidRPr="000566EE" w:rsidR="0091373C">
        <w:rPr>
          <w:color w:val="000000"/>
          <w:szCs w:val="26"/>
          <w:bdr w:val="none" w:sz="0" w:space="0" w:color="auto" w:frame="1"/>
          <w:shd w:val="clear" w:color="auto" w:fill="FFFFFF"/>
        </w:rPr>
        <w:t xml:space="preserve"> (</w:t>
      </w:r>
      <w:r w:rsidRPr="000566EE" w:rsidR="0091373C">
        <w:rPr>
          <w:i/>
          <w:iCs/>
          <w:color w:val="000000"/>
          <w:szCs w:val="26"/>
          <w:bdr w:val="none" w:sz="0" w:space="0" w:color="auto" w:frame="1"/>
          <w:shd w:val="clear" w:color="auto" w:fill="FFFFFF"/>
        </w:rPr>
        <w:t>City of Alhambra</w:t>
      </w:r>
      <w:r w:rsidRPr="000566EE" w:rsidR="0091373C">
        <w:rPr>
          <w:color w:val="000000"/>
          <w:szCs w:val="26"/>
          <w:bdr w:val="none" w:sz="0" w:space="0" w:color="auto" w:frame="1"/>
          <w:shd w:val="clear" w:color="auto" w:fill="FFFFFF"/>
        </w:rPr>
        <w:t>)</w:t>
      </w:r>
      <w:r w:rsidRPr="000566EE" w:rsidR="00213CB2">
        <w:rPr>
          <w:color w:val="000000"/>
          <w:szCs w:val="26"/>
          <w:bdr w:val="none" w:sz="0" w:space="0" w:color="auto" w:frame="1"/>
          <w:shd w:val="clear" w:color="auto" w:fill="FFFFFF"/>
        </w:rPr>
        <w:t xml:space="preserve">; </w:t>
      </w:r>
      <w:r w:rsidRPr="000566EE" w:rsidR="005E0F43">
        <w:rPr>
          <w:i/>
          <w:iCs/>
          <w:color w:val="000000"/>
          <w:szCs w:val="26"/>
          <w:bdr w:val="none" w:sz="0" w:space="0" w:color="auto" w:frame="1"/>
          <w:shd w:val="clear" w:color="auto" w:fill="FFFFFF"/>
        </w:rPr>
        <w:t>DeNike v. Mathew Enterprise, Inc.</w:t>
      </w:r>
      <w:r w:rsidRPr="000566EE" w:rsidR="005E0F43">
        <w:rPr>
          <w:color w:val="000000"/>
          <w:szCs w:val="26"/>
          <w:bdr w:val="none" w:sz="0" w:space="0" w:color="auto" w:frame="1"/>
          <w:shd w:val="clear" w:color="auto" w:fill="FFFFFF"/>
        </w:rPr>
        <w:t xml:space="preserve"> (2022) </w:t>
      </w:r>
      <w:r w:rsidRPr="000566EE" w:rsidR="00452741">
        <w:rPr>
          <w:color w:val="000000"/>
          <w:szCs w:val="26"/>
          <w:bdr w:val="none" w:sz="0" w:space="0" w:color="auto" w:frame="1"/>
          <w:shd w:val="clear" w:color="auto" w:fill="FFFFFF"/>
        </w:rPr>
        <w:t>76 Cal.App.5th 371, 378</w:t>
      </w:r>
      <w:r w:rsidRPr="000566EE" w:rsidR="00E90031">
        <w:rPr>
          <w:color w:val="000000"/>
          <w:szCs w:val="26"/>
          <w:bdr w:val="none" w:sz="0" w:space="0" w:color="auto" w:frame="1"/>
          <w:shd w:val="clear" w:color="auto" w:fill="FFFFFF"/>
        </w:rPr>
        <w:t xml:space="preserve"> (</w:t>
      </w:r>
      <w:r w:rsidRPr="000566EE" w:rsidR="00E90031">
        <w:rPr>
          <w:i/>
          <w:iCs/>
          <w:color w:val="000000"/>
          <w:szCs w:val="26"/>
          <w:bdr w:val="none" w:sz="0" w:space="0" w:color="auto" w:frame="1"/>
          <w:shd w:val="clear" w:color="auto" w:fill="FFFFFF"/>
        </w:rPr>
        <w:t>DeNike</w:t>
      </w:r>
      <w:r w:rsidRPr="000566EE" w:rsidR="00E90031">
        <w:rPr>
          <w:color w:val="000000"/>
          <w:szCs w:val="26"/>
          <w:bdr w:val="none" w:sz="0" w:space="0" w:color="auto" w:frame="1"/>
          <w:shd w:val="clear" w:color="auto" w:fill="FFFFFF"/>
        </w:rPr>
        <w:t>)</w:t>
      </w:r>
      <w:r w:rsidRPr="000566EE" w:rsidR="00452741">
        <w:rPr>
          <w:color w:val="000000"/>
          <w:szCs w:val="26"/>
          <w:bdr w:val="none" w:sz="0" w:space="0" w:color="auto" w:frame="1"/>
          <w:shd w:val="clear" w:color="auto" w:fill="FFFFFF"/>
        </w:rPr>
        <w:t xml:space="preserve">.)  </w:t>
      </w:r>
      <w:r w:rsidRPr="000566EE" w:rsidR="00EE3BC8">
        <w:rPr>
          <w:color w:val="000000"/>
          <w:szCs w:val="26"/>
          <w:bdr w:val="none" w:sz="0" w:space="0" w:color="auto" w:frame="1"/>
          <w:shd w:val="clear" w:color="auto" w:fill="FFFFFF"/>
        </w:rPr>
        <w:t>“</w:t>
      </w:r>
      <w:r w:rsidRPr="000566EE" w:rsidR="00B7537A">
        <w:rPr>
          <w:color w:val="000000"/>
          <w:szCs w:val="26"/>
          <w:bdr w:val="none" w:sz="0" w:space="0" w:color="auto" w:frame="1"/>
          <w:shd w:val="clear" w:color="auto" w:fill="FFFFFF"/>
        </w:rPr>
        <w:t xml:space="preserve">The law of statutory interpretation instructs us to apply the usual and ordinary meaning of words unless a definition is provided within the statute itself. </w:t>
      </w:r>
      <w:r w:rsidRPr="000566EE" w:rsidR="0037251E">
        <w:rPr>
          <w:color w:val="000000"/>
          <w:szCs w:val="26"/>
          <w:bdr w:val="none" w:sz="0" w:space="0" w:color="auto" w:frame="1"/>
          <w:shd w:val="clear" w:color="auto" w:fill="FFFFFF"/>
        </w:rPr>
        <w:t xml:space="preserve"> </w:t>
      </w:r>
      <w:r w:rsidRPr="000566EE" w:rsidR="00B7537A">
        <w:rPr>
          <w:color w:val="000000"/>
          <w:szCs w:val="26"/>
          <w:bdr w:val="none" w:sz="0" w:space="0" w:color="auto" w:frame="1"/>
          <w:shd w:val="clear" w:color="auto" w:fill="FFFFFF"/>
        </w:rPr>
        <w:t>Internal definitions are controlling.</w:t>
      </w:r>
      <w:r w:rsidRPr="000566EE" w:rsidR="00EE3BC8">
        <w:rPr>
          <w:color w:val="000000"/>
          <w:szCs w:val="26"/>
          <w:bdr w:val="none" w:sz="0" w:space="0" w:color="auto" w:frame="1"/>
          <w:shd w:val="clear" w:color="auto" w:fill="FFFFFF"/>
        </w:rPr>
        <w:t>”</w:t>
      </w:r>
      <w:r w:rsidRPr="000566EE" w:rsidR="00B7537A">
        <w:rPr>
          <w:color w:val="000000"/>
          <w:szCs w:val="26"/>
          <w:bdr w:val="none" w:sz="0" w:space="0" w:color="auto" w:frame="1"/>
          <w:shd w:val="clear" w:color="auto" w:fill="FFFFFF"/>
        </w:rPr>
        <w:t xml:space="preserve">  (</w:t>
      </w:r>
      <w:r w:rsidRPr="000566EE" w:rsidR="00B7537A">
        <w:rPr>
          <w:i/>
          <w:iCs/>
          <w:color w:val="000000"/>
          <w:szCs w:val="26"/>
          <w:bdr w:val="none" w:sz="0" w:space="0" w:color="auto" w:frame="1"/>
          <w:shd w:val="clear" w:color="auto" w:fill="FFFFFF"/>
        </w:rPr>
        <w:t>Witt Home Ranch, Inc. v. County of Sonoma</w:t>
      </w:r>
      <w:r w:rsidRPr="000566EE" w:rsidR="00B7537A">
        <w:rPr>
          <w:color w:val="000000"/>
          <w:szCs w:val="26"/>
          <w:bdr w:val="none" w:sz="0" w:space="0" w:color="auto" w:frame="1"/>
          <w:shd w:val="clear" w:color="auto" w:fill="FFFFFF"/>
        </w:rPr>
        <w:t xml:space="preserve"> (2008) 165 Cal.App.4th 543, 559</w:t>
      </w:r>
      <w:r w:rsidRPr="000566EE" w:rsidR="00083B01">
        <w:rPr>
          <w:color w:val="000000"/>
          <w:szCs w:val="26"/>
          <w:bdr w:val="none" w:sz="0" w:space="0" w:color="auto" w:frame="1"/>
          <w:shd w:val="clear" w:color="auto" w:fill="FFFFFF"/>
        </w:rPr>
        <w:t xml:space="preserve"> (</w:t>
      </w:r>
      <w:r w:rsidRPr="000566EE" w:rsidR="00083B01">
        <w:rPr>
          <w:i/>
          <w:iCs/>
          <w:color w:val="000000"/>
          <w:szCs w:val="26"/>
          <w:bdr w:val="none" w:sz="0" w:space="0" w:color="auto" w:frame="1"/>
          <w:shd w:val="clear" w:color="auto" w:fill="FFFFFF"/>
        </w:rPr>
        <w:t>Witt</w:t>
      </w:r>
      <w:r w:rsidRPr="000566EE" w:rsidR="00976A00">
        <w:rPr>
          <w:i/>
          <w:iCs/>
          <w:color w:val="000000"/>
          <w:szCs w:val="26"/>
          <w:bdr w:val="none" w:sz="0" w:space="0" w:color="auto" w:frame="1"/>
          <w:shd w:val="clear" w:color="auto" w:fill="FFFFFF"/>
        </w:rPr>
        <w:t xml:space="preserve"> Home Ranch</w:t>
      </w:r>
      <w:r w:rsidRPr="000566EE" w:rsidR="00352C2C">
        <w:rPr>
          <w:color w:val="000000"/>
          <w:szCs w:val="26"/>
          <w:bdr w:val="none" w:sz="0" w:space="0" w:color="auto" w:frame="1"/>
          <w:shd w:val="clear" w:color="auto" w:fill="FFFFFF"/>
        </w:rPr>
        <w:t>)</w:t>
      </w:r>
      <w:r w:rsidRPr="000566EE" w:rsidR="00065BA0">
        <w:rPr>
          <w:color w:val="000000"/>
          <w:szCs w:val="26"/>
          <w:bdr w:val="none" w:sz="0" w:space="0" w:color="auto" w:frame="1"/>
          <w:shd w:val="clear" w:color="auto" w:fill="FFFFFF"/>
        </w:rPr>
        <w:t xml:space="preserve">.  </w:t>
      </w:r>
      <w:r w:rsidRPr="000566EE" w:rsidR="00C44367">
        <w:rPr>
          <w:color w:val="000000"/>
          <w:szCs w:val="26"/>
          <w:bdr w:val="none" w:sz="0" w:space="0" w:color="auto" w:frame="1"/>
          <w:shd w:val="clear" w:color="auto" w:fill="FFFFFF"/>
        </w:rPr>
        <w:t>“If the words themselves are not ambiguous, we presume the Legislature meant what it said, and the statute’s plain meaning governs</w:t>
      </w:r>
      <w:r w:rsidRPr="000566EE" w:rsidR="00412AE3">
        <w:rPr>
          <w:color w:val="000000"/>
          <w:szCs w:val="26"/>
          <w:bdr w:val="none" w:sz="0" w:space="0" w:color="auto" w:frame="1"/>
          <w:shd w:val="clear" w:color="auto" w:fill="FFFFFF"/>
        </w:rPr>
        <w:t>.</w:t>
      </w:r>
      <w:r w:rsidRPr="000566EE" w:rsidR="00F34EE4">
        <w:rPr>
          <w:color w:val="000000"/>
          <w:szCs w:val="26"/>
          <w:bdr w:val="none" w:sz="0" w:space="0" w:color="auto" w:frame="1"/>
          <w:shd w:val="clear" w:color="auto" w:fill="FFFFFF"/>
        </w:rPr>
        <w:t>”</w:t>
      </w:r>
      <w:r w:rsidRPr="000566EE" w:rsidR="00B21C95">
        <w:rPr>
          <w:color w:val="000000"/>
          <w:szCs w:val="26"/>
          <w:bdr w:val="none" w:sz="0" w:space="0" w:color="auto" w:frame="1"/>
          <w:shd w:val="clear" w:color="auto" w:fill="FFFFFF"/>
        </w:rPr>
        <w:t xml:space="preserve">  (</w:t>
      </w:r>
      <w:r w:rsidRPr="000566EE" w:rsidR="007F6250">
        <w:rPr>
          <w:i/>
          <w:iCs/>
          <w:color w:val="000000"/>
          <w:szCs w:val="26"/>
          <w:bdr w:val="none" w:sz="0" w:space="0" w:color="auto" w:frame="1"/>
          <w:shd w:val="clear" w:color="auto" w:fill="FFFFFF"/>
        </w:rPr>
        <w:t>DeNike</w:t>
      </w:r>
      <w:r w:rsidRPr="000566EE" w:rsidR="007F6250">
        <w:rPr>
          <w:color w:val="000000"/>
          <w:szCs w:val="26"/>
          <w:bdr w:val="none" w:sz="0" w:space="0" w:color="auto" w:frame="1"/>
          <w:shd w:val="clear" w:color="auto" w:fill="FFFFFF"/>
        </w:rPr>
        <w:t xml:space="preserve">, </w:t>
      </w:r>
      <w:r w:rsidRPr="000566EE" w:rsidR="007F6250">
        <w:rPr>
          <w:i/>
          <w:iCs/>
          <w:color w:val="000000"/>
          <w:szCs w:val="26"/>
          <w:bdr w:val="none" w:sz="0" w:space="0" w:color="auto" w:frame="1"/>
          <w:shd w:val="clear" w:color="auto" w:fill="FFFFFF"/>
        </w:rPr>
        <w:t>supra</w:t>
      </w:r>
      <w:r w:rsidRPr="000566EE" w:rsidR="007F6250">
        <w:rPr>
          <w:color w:val="000000"/>
          <w:szCs w:val="26"/>
          <w:bdr w:val="none" w:sz="0" w:space="0" w:color="auto" w:frame="1"/>
          <w:shd w:val="clear" w:color="auto" w:fill="FFFFFF"/>
        </w:rPr>
        <w:t>,</w:t>
      </w:r>
      <w:r w:rsidRPr="000566EE" w:rsidR="00A762DB">
        <w:rPr>
          <w:color w:val="000000"/>
          <w:szCs w:val="26"/>
          <w:bdr w:val="none" w:sz="0" w:space="0" w:color="auto" w:frame="1"/>
          <w:shd w:val="clear" w:color="auto" w:fill="FFFFFF"/>
        </w:rPr>
        <w:t xml:space="preserve"> </w:t>
      </w:r>
      <w:r w:rsidRPr="000566EE" w:rsidR="007F6250">
        <w:rPr>
          <w:color w:val="000000"/>
          <w:szCs w:val="26"/>
          <w:bdr w:val="none" w:sz="0" w:space="0" w:color="auto" w:frame="1"/>
          <w:shd w:val="clear" w:color="auto" w:fill="FFFFFF"/>
        </w:rPr>
        <w:t xml:space="preserve">76 Cal.App.5th </w:t>
      </w:r>
      <w:r w:rsidRPr="000566EE" w:rsidR="00A762DB">
        <w:rPr>
          <w:color w:val="000000"/>
          <w:szCs w:val="26"/>
          <w:bdr w:val="none" w:sz="0" w:space="0" w:color="auto" w:frame="1"/>
          <w:shd w:val="clear" w:color="auto" w:fill="FFFFFF"/>
        </w:rPr>
        <w:t>at p. 378</w:t>
      </w:r>
      <w:r w:rsidRPr="000566EE" w:rsidR="0031144E">
        <w:rPr>
          <w:color w:val="000000"/>
          <w:szCs w:val="26"/>
          <w:bdr w:val="none" w:sz="0" w:space="0" w:color="auto" w:frame="1"/>
          <w:shd w:val="clear" w:color="auto" w:fill="FFFFFF"/>
        </w:rPr>
        <w:t xml:space="preserve">; </w:t>
      </w:r>
      <w:r w:rsidRPr="000566EE" w:rsidR="00F01AC7">
        <w:rPr>
          <w:color w:val="000000"/>
          <w:szCs w:val="26"/>
          <w:bdr w:val="none" w:sz="0" w:space="0" w:color="auto" w:frame="1"/>
          <w:shd w:val="clear" w:color="auto" w:fill="FFFFFF"/>
        </w:rPr>
        <w:t>see also</w:t>
      </w:r>
      <w:r w:rsidRPr="000566EE" w:rsidR="00BC3FCE">
        <w:rPr>
          <w:color w:val="000000"/>
          <w:szCs w:val="26"/>
          <w:bdr w:val="none" w:sz="0" w:space="0" w:color="auto" w:frame="1"/>
          <w:shd w:val="clear" w:color="auto" w:fill="FFFFFF"/>
        </w:rPr>
        <w:t xml:space="preserve"> </w:t>
      </w:r>
      <w:r w:rsidRPr="000566EE" w:rsidR="0031144E">
        <w:rPr>
          <w:i/>
          <w:iCs/>
          <w:color w:val="000000"/>
          <w:szCs w:val="26"/>
          <w:bdr w:val="none" w:sz="0" w:space="0" w:color="auto" w:frame="1"/>
          <w:shd w:val="clear" w:color="auto" w:fill="FFFFFF"/>
        </w:rPr>
        <w:t>City of Alhambra</w:t>
      </w:r>
      <w:r w:rsidRPr="000566EE" w:rsidR="00C32CE4">
        <w:rPr>
          <w:color w:val="000000"/>
          <w:szCs w:val="26"/>
          <w:bdr w:val="none" w:sz="0" w:space="0" w:color="auto" w:frame="1"/>
          <w:shd w:val="clear" w:color="auto" w:fill="FFFFFF"/>
        </w:rPr>
        <w:t xml:space="preserve">, </w:t>
      </w:r>
      <w:r w:rsidRPr="000566EE" w:rsidR="00C32CE4">
        <w:rPr>
          <w:i/>
          <w:iCs/>
          <w:color w:val="000000"/>
          <w:szCs w:val="26"/>
          <w:bdr w:val="none" w:sz="0" w:space="0" w:color="auto" w:frame="1"/>
          <w:shd w:val="clear" w:color="auto" w:fill="FFFFFF"/>
        </w:rPr>
        <w:t>supra</w:t>
      </w:r>
      <w:r w:rsidRPr="000566EE" w:rsidR="00C32CE4">
        <w:rPr>
          <w:color w:val="000000"/>
          <w:szCs w:val="26"/>
          <w:bdr w:val="none" w:sz="0" w:space="0" w:color="auto" w:frame="1"/>
          <w:shd w:val="clear" w:color="auto" w:fill="FFFFFF"/>
        </w:rPr>
        <w:t xml:space="preserve">, </w:t>
      </w:r>
      <w:r w:rsidRPr="000566EE" w:rsidR="0031144E">
        <w:rPr>
          <w:color w:val="000000"/>
          <w:szCs w:val="26"/>
          <w:bdr w:val="none" w:sz="0" w:space="0" w:color="auto" w:frame="1"/>
          <w:shd w:val="clear" w:color="auto" w:fill="FFFFFF"/>
        </w:rPr>
        <w:t xml:space="preserve">55 Cal.4th </w:t>
      </w:r>
      <w:r w:rsidRPr="000566EE" w:rsidR="00C32CE4">
        <w:rPr>
          <w:color w:val="000000"/>
          <w:szCs w:val="26"/>
          <w:bdr w:val="none" w:sz="0" w:space="0" w:color="auto" w:frame="1"/>
          <w:shd w:val="clear" w:color="auto" w:fill="FFFFFF"/>
        </w:rPr>
        <w:t>at p.</w:t>
      </w:r>
      <w:r w:rsidRPr="000566EE" w:rsidR="00E806EE">
        <w:rPr>
          <w:color w:val="000000"/>
          <w:szCs w:val="26"/>
          <w:bdr w:val="none" w:sz="0" w:space="0" w:color="auto" w:frame="1"/>
          <w:shd w:val="clear" w:color="auto" w:fill="FFFFFF"/>
        </w:rPr>
        <w:t xml:space="preserve"> </w:t>
      </w:r>
      <w:r w:rsidRPr="000566EE" w:rsidR="007E4419">
        <w:rPr>
          <w:color w:val="000000"/>
          <w:szCs w:val="26"/>
          <w:bdr w:val="none" w:sz="0" w:space="0" w:color="auto" w:frame="1"/>
          <w:shd w:val="clear" w:color="auto" w:fill="FFFFFF"/>
        </w:rPr>
        <w:t xml:space="preserve">719 </w:t>
      </w:r>
      <w:r w:rsidRPr="000566EE" w:rsidR="00E806EE">
        <w:rPr>
          <w:color w:val="000000"/>
          <w:szCs w:val="26"/>
          <w:bdr w:val="none" w:sz="0" w:space="0" w:color="auto" w:frame="1"/>
          <w:shd w:val="clear" w:color="auto" w:fill="FFFFFF"/>
        </w:rPr>
        <w:t>[</w:t>
      </w:r>
      <w:r w:rsidRPr="000566EE" w:rsidR="0031144E">
        <w:rPr>
          <w:color w:val="000000"/>
          <w:szCs w:val="26"/>
          <w:bdr w:val="none" w:sz="0" w:space="0" w:color="auto" w:frame="1"/>
          <w:shd w:val="clear" w:color="auto" w:fill="FFFFFF"/>
        </w:rPr>
        <w:t>“‘We consider extrinsic aids, such as legislative history, only if the statutory language is reasonably subject to multiple interpretations’”</w:t>
      </w:r>
      <w:r w:rsidRPr="000566EE" w:rsidR="00E806EE">
        <w:rPr>
          <w:color w:val="000000"/>
          <w:szCs w:val="26"/>
          <w:bdr w:val="none" w:sz="0" w:space="0" w:color="auto" w:frame="1"/>
          <w:shd w:val="clear" w:color="auto" w:fill="FFFFFF"/>
        </w:rPr>
        <w:t>].)</w:t>
      </w:r>
      <w:r w:rsidRPr="000566EE" w:rsidR="0031144E">
        <w:rPr>
          <w:color w:val="000000"/>
          <w:szCs w:val="26"/>
          <w:bdr w:val="none" w:sz="0" w:space="0" w:color="auto" w:frame="1"/>
          <w:shd w:val="clear" w:color="auto" w:fill="FFFFFF"/>
        </w:rPr>
        <w:t xml:space="preserve"> </w:t>
      </w:r>
    </w:p>
    <w:p w:rsidR="00177D51" w:rsidRPr="000566EE" w:rsidP="000566EE" w14:paraId="7B79CDFF" w14:textId="11787AD9">
      <w:pPr>
        <w:ind w:firstLine="720"/>
        <w:contextualSpacing/>
        <w:rPr>
          <w:bCs/>
          <w:iCs/>
          <w:szCs w:val="26"/>
        </w:rPr>
      </w:pPr>
      <w:r w:rsidRPr="000566EE">
        <w:rPr>
          <w:bCs/>
          <w:iCs/>
          <w:szCs w:val="26"/>
        </w:rPr>
        <w:t xml:space="preserve">In response to California’s housing crisis, the Legislature </w:t>
      </w:r>
      <w:r w:rsidRPr="000566EE" w:rsidR="00523014">
        <w:rPr>
          <w:bCs/>
          <w:iCs/>
          <w:szCs w:val="26"/>
        </w:rPr>
        <w:t>adopted</w:t>
      </w:r>
      <w:r w:rsidRPr="000566EE">
        <w:rPr>
          <w:bCs/>
          <w:iCs/>
          <w:szCs w:val="26"/>
        </w:rPr>
        <w:t xml:space="preserve"> the Act, effective January 1, 2020.  (</w:t>
      </w:r>
      <w:r w:rsidRPr="000566EE" w:rsidR="00F34EE4">
        <w:rPr>
          <w:bCs/>
          <w:iCs/>
          <w:szCs w:val="26"/>
        </w:rPr>
        <w:t>Stats. 2019</w:t>
      </w:r>
      <w:r w:rsidRPr="000566EE" w:rsidR="002E4669">
        <w:rPr>
          <w:bCs/>
          <w:iCs/>
          <w:szCs w:val="26"/>
        </w:rPr>
        <w:t>, c</w:t>
      </w:r>
      <w:r w:rsidRPr="000566EE">
        <w:rPr>
          <w:bCs/>
          <w:iCs/>
          <w:szCs w:val="26"/>
        </w:rPr>
        <w:t>h.</w:t>
      </w:r>
      <w:r w:rsidRPr="000566EE" w:rsidR="002E4669">
        <w:rPr>
          <w:bCs/>
          <w:iCs/>
          <w:szCs w:val="26"/>
        </w:rPr>
        <w:t> </w:t>
      </w:r>
      <w:r w:rsidRPr="000566EE">
        <w:rPr>
          <w:bCs/>
          <w:iCs/>
          <w:szCs w:val="26"/>
        </w:rPr>
        <w:t>654</w:t>
      </w:r>
      <w:r w:rsidRPr="000566EE" w:rsidR="002E4669">
        <w:rPr>
          <w:bCs/>
          <w:iCs/>
          <w:szCs w:val="26"/>
        </w:rPr>
        <w:t>,</w:t>
      </w:r>
      <w:r w:rsidRPr="000566EE">
        <w:rPr>
          <w:bCs/>
          <w:iCs/>
          <w:szCs w:val="26"/>
        </w:rPr>
        <w:t xml:space="preserve"> §</w:t>
      </w:r>
      <w:r w:rsidRPr="000566EE" w:rsidR="002E4669">
        <w:rPr>
          <w:bCs/>
          <w:iCs/>
          <w:szCs w:val="26"/>
        </w:rPr>
        <w:t> </w:t>
      </w:r>
      <w:r w:rsidRPr="000566EE">
        <w:rPr>
          <w:bCs/>
          <w:iCs/>
          <w:szCs w:val="26"/>
        </w:rPr>
        <w:t>13</w:t>
      </w:r>
      <w:r w:rsidRPr="000566EE" w:rsidR="00F61CCB">
        <w:rPr>
          <w:bCs/>
          <w:iCs/>
          <w:szCs w:val="26"/>
        </w:rPr>
        <w:t xml:space="preserve"> </w:t>
      </w:r>
      <w:r w:rsidRPr="000566EE" w:rsidR="002E4669">
        <w:rPr>
          <w:bCs/>
          <w:iCs/>
          <w:szCs w:val="26"/>
        </w:rPr>
        <w:t>(Sen. Bill No. 330)</w:t>
      </w:r>
      <w:r w:rsidRPr="000566EE">
        <w:rPr>
          <w:bCs/>
          <w:iCs/>
          <w:szCs w:val="26"/>
        </w:rPr>
        <w:t>.)  The Legislature declared that the housing crisis was harming families in numerous ways, including increas</w:t>
      </w:r>
      <w:r w:rsidRPr="000566EE" w:rsidR="00F935AB">
        <w:rPr>
          <w:bCs/>
          <w:iCs/>
          <w:szCs w:val="26"/>
        </w:rPr>
        <w:t>ing</w:t>
      </w:r>
      <w:r w:rsidRPr="000566EE">
        <w:rPr>
          <w:bCs/>
          <w:iCs/>
          <w:szCs w:val="26"/>
        </w:rPr>
        <w:t xml:space="preserve"> poverty and homelessness, driv</w:t>
      </w:r>
      <w:r w:rsidRPr="000566EE" w:rsidR="0006353D">
        <w:rPr>
          <w:bCs/>
          <w:iCs/>
          <w:szCs w:val="26"/>
        </w:rPr>
        <w:t>ing</w:t>
      </w:r>
      <w:r w:rsidRPr="000566EE">
        <w:rPr>
          <w:bCs/>
          <w:iCs/>
          <w:szCs w:val="26"/>
        </w:rPr>
        <w:t xml:space="preserve"> families out of the state</w:t>
      </w:r>
      <w:r w:rsidRPr="000566EE" w:rsidR="00095041">
        <w:rPr>
          <w:bCs/>
          <w:iCs/>
          <w:szCs w:val="26"/>
        </w:rPr>
        <w:t>, and forcing lower</w:t>
      </w:r>
      <w:r w:rsidRPr="000566EE" w:rsidR="000C20F3">
        <w:rPr>
          <w:bCs/>
          <w:iCs/>
          <w:szCs w:val="26"/>
        </w:rPr>
        <w:t>-</w:t>
      </w:r>
      <w:r w:rsidRPr="000566EE" w:rsidR="00095041">
        <w:rPr>
          <w:bCs/>
          <w:iCs/>
          <w:szCs w:val="26"/>
        </w:rPr>
        <w:t>income residents into crowded and unsafe housing</w:t>
      </w:r>
      <w:r w:rsidRPr="000566EE">
        <w:rPr>
          <w:bCs/>
          <w:iCs/>
          <w:szCs w:val="26"/>
        </w:rPr>
        <w:t xml:space="preserve">.  </w:t>
      </w:r>
      <w:bookmarkStart w:id="0" w:name="_Hlk145577599"/>
      <w:r w:rsidRPr="00AA0846">
        <w:rPr>
          <w:bCs/>
          <w:iCs/>
          <w:szCs w:val="26"/>
        </w:rPr>
        <w:t>(</w:t>
      </w:r>
      <w:r w:rsidRPr="00AA0846" w:rsidR="000C20F3">
        <w:rPr>
          <w:bCs/>
          <w:i/>
          <w:szCs w:val="26"/>
        </w:rPr>
        <w:t>I</w:t>
      </w:r>
      <w:r w:rsidRPr="00AA0846" w:rsidR="00CF7F0B">
        <w:rPr>
          <w:bCs/>
          <w:i/>
          <w:szCs w:val="26"/>
        </w:rPr>
        <w:t>bi</w:t>
      </w:r>
      <w:r w:rsidRPr="00AA0846" w:rsidR="000C20F3">
        <w:rPr>
          <w:bCs/>
          <w:i/>
          <w:szCs w:val="26"/>
        </w:rPr>
        <w:t>d</w:t>
      </w:r>
      <w:r w:rsidRPr="00AA0846" w:rsidR="00F22DE9">
        <w:rPr>
          <w:bCs/>
          <w:i/>
          <w:szCs w:val="26"/>
        </w:rPr>
        <w:t>.</w:t>
      </w:r>
      <w:r w:rsidRPr="00AA0846">
        <w:rPr>
          <w:bCs/>
          <w:iCs/>
          <w:szCs w:val="26"/>
        </w:rPr>
        <w:t>)</w:t>
      </w:r>
      <w:bookmarkEnd w:id="0"/>
      <w:r w:rsidRPr="000566EE">
        <w:rPr>
          <w:bCs/>
          <w:iCs/>
          <w:szCs w:val="26"/>
        </w:rPr>
        <w:t xml:space="preserve"> </w:t>
      </w:r>
    </w:p>
    <w:p w:rsidR="00B5278E" w:rsidRPr="000566EE" w:rsidP="000566EE" w14:paraId="06FD3F3C" w14:textId="0FDE7C89">
      <w:pPr>
        <w:ind w:firstLine="720"/>
        <w:contextualSpacing/>
        <w:rPr>
          <w:bCs/>
          <w:iCs/>
          <w:szCs w:val="26"/>
        </w:rPr>
      </w:pPr>
      <w:r w:rsidRPr="000566EE">
        <w:rPr>
          <w:bCs/>
          <w:iCs/>
          <w:szCs w:val="26"/>
        </w:rPr>
        <w:t>As originally enacted in 2020, section</w:t>
      </w:r>
      <w:r w:rsidRPr="000566EE" w:rsidR="00230CB0">
        <w:rPr>
          <w:bCs/>
          <w:iCs/>
          <w:szCs w:val="26"/>
        </w:rPr>
        <w:t> </w:t>
      </w:r>
      <w:r w:rsidRPr="000566EE">
        <w:rPr>
          <w:bCs/>
          <w:iCs/>
          <w:szCs w:val="26"/>
        </w:rPr>
        <w:t>66300, subdivision</w:t>
      </w:r>
      <w:r w:rsidRPr="000566EE" w:rsidR="00230CB0">
        <w:rPr>
          <w:bCs/>
          <w:iCs/>
          <w:szCs w:val="26"/>
        </w:rPr>
        <w:t> </w:t>
      </w:r>
      <w:r w:rsidRPr="000566EE">
        <w:rPr>
          <w:bCs/>
          <w:iCs/>
          <w:szCs w:val="26"/>
        </w:rPr>
        <w:t xml:space="preserve">(b)(1)(A), of the Act </w:t>
      </w:r>
      <w:r w:rsidRPr="000566EE" w:rsidR="00B21918">
        <w:rPr>
          <w:bCs/>
          <w:iCs/>
          <w:szCs w:val="26"/>
        </w:rPr>
        <w:t xml:space="preserve">precluded </w:t>
      </w:r>
      <w:r w:rsidRPr="000566EE" w:rsidR="003E5E03">
        <w:rPr>
          <w:bCs/>
          <w:iCs/>
          <w:szCs w:val="26"/>
        </w:rPr>
        <w:t xml:space="preserve">an affected city from enacting a development policy, standard, or condition </w:t>
      </w:r>
      <w:r w:rsidRPr="000566EE" w:rsidR="0013652F">
        <w:rPr>
          <w:bCs/>
          <w:iCs/>
          <w:szCs w:val="26"/>
        </w:rPr>
        <w:t>that had the effect of “</w:t>
      </w:r>
      <w:r w:rsidRPr="000566EE">
        <w:rPr>
          <w:bCs/>
          <w:iCs/>
          <w:szCs w:val="26"/>
        </w:rPr>
        <w:t xml:space="preserve">[c]hanging the general plan land use designation, specific plan land use designation, or zoning of a parcel or parcels of property to a less intensive use or reducing the intensity of land use within an existing general plan land use designation, specific plan land use designation, or zoning district </w:t>
      </w:r>
      <w:r w:rsidRPr="000566EE" w:rsidR="00F22DE9">
        <w:rPr>
          <w:bCs/>
          <w:iCs/>
          <w:szCs w:val="26"/>
        </w:rPr>
        <w:t xml:space="preserve">in effect at the time of the proposed change, </w:t>
      </w:r>
      <w:r w:rsidRPr="000566EE">
        <w:rPr>
          <w:bCs/>
          <w:iCs/>
          <w:szCs w:val="26"/>
        </w:rPr>
        <w:t>below what was allowed under the land use designation and zoning ordinances of the affected county or affected city, as applicable, as in effect on January</w:t>
      </w:r>
      <w:r w:rsidRPr="000566EE" w:rsidR="00230CB0">
        <w:rPr>
          <w:bCs/>
          <w:iCs/>
          <w:szCs w:val="26"/>
        </w:rPr>
        <w:t> </w:t>
      </w:r>
      <w:r w:rsidRPr="000566EE">
        <w:rPr>
          <w:bCs/>
          <w:iCs/>
          <w:szCs w:val="26"/>
        </w:rPr>
        <w:t>1, 2018.</w:t>
      </w:r>
      <w:r w:rsidRPr="000566EE" w:rsidR="00B07646">
        <w:rPr>
          <w:bCs/>
          <w:iCs/>
          <w:szCs w:val="26"/>
        </w:rPr>
        <w:t>”  The Act also defined what a “less intensive use” was:  “</w:t>
      </w:r>
      <w:r w:rsidRPr="000566EE">
        <w:rPr>
          <w:bCs/>
          <w:iCs/>
          <w:szCs w:val="26"/>
        </w:rPr>
        <w:t xml:space="preserve">For purposes of this subparagraph, </w:t>
      </w:r>
      <w:r w:rsidRPr="000566EE" w:rsidR="00CF73AD">
        <w:rPr>
          <w:bCs/>
          <w:iCs/>
          <w:szCs w:val="26"/>
        </w:rPr>
        <w:t>‘</w:t>
      </w:r>
      <w:r w:rsidRPr="000566EE">
        <w:rPr>
          <w:bCs/>
          <w:iCs/>
          <w:szCs w:val="26"/>
        </w:rPr>
        <w:t>less intensive use</w:t>
      </w:r>
      <w:r w:rsidRPr="000566EE" w:rsidR="00CF73AD">
        <w:rPr>
          <w:bCs/>
          <w:iCs/>
          <w:szCs w:val="26"/>
        </w:rPr>
        <w:t>’</w:t>
      </w:r>
      <w:r w:rsidRPr="000566EE">
        <w:rPr>
          <w:bCs/>
          <w:iCs/>
          <w:szCs w:val="26"/>
        </w:rPr>
        <w:t xml:space="preserve"> includes, but is not limited to, reductions to height, density, or floor area ratio, new or increased open space or lot size requirements, or new or increased setback requirements, minimum frontage requirements, or maximum lot coverage limitations, or anything that would lessen the intensity of housing.</w:t>
      </w:r>
      <w:bookmarkStart w:id="1" w:name="_Hlk144991171"/>
      <w:r w:rsidRPr="000566EE">
        <w:rPr>
          <w:bCs/>
          <w:iCs/>
          <w:szCs w:val="26"/>
        </w:rPr>
        <w:t xml:space="preserve">”  </w:t>
      </w:r>
      <w:r w:rsidRPr="000566EE" w:rsidR="006710ED">
        <w:rPr>
          <w:color w:val="000000"/>
          <w:szCs w:val="26"/>
          <w:bdr w:val="none" w:sz="0" w:space="0" w:color="auto" w:frame="1"/>
          <w:shd w:val="clear" w:color="auto" w:fill="FFFFFF"/>
        </w:rPr>
        <w:t>(</w:t>
      </w:r>
      <w:r w:rsidRPr="000566EE" w:rsidR="00FA4CEA">
        <w:rPr>
          <w:color w:val="000000"/>
          <w:szCs w:val="26"/>
          <w:bdr w:val="none" w:sz="0" w:space="0" w:color="auto" w:frame="1"/>
          <w:shd w:val="clear" w:color="auto" w:fill="FFFFFF"/>
        </w:rPr>
        <w:t xml:space="preserve">Stats. 2019, ch. 654, </w:t>
      </w:r>
      <w:r w:rsidRPr="000566EE" w:rsidR="006007A3">
        <w:rPr>
          <w:color w:val="000000"/>
          <w:szCs w:val="26"/>
          <w:bdr w:val="none" w:sz="0" w:space="0" w:color="auto" w:frame="1"/>
          <w:shd w:val="clear" w:color="auto" w:fill="FFFFFF"/>
        </w:rPr>
        <w:t>§</w:t>
      </w:r>
      <w:r w:rsidRPr="000566EE" w:rsidR="00FA4CEA">
        <w:rPr>
          <w:color w:val="000000"/>
          <w:szCs w:val="26"/>
          <w:bdr w:val="none" w:sz="0" w:space="0" w:color="auto" w:frame="1"/>
          <w:shd w:val="clear" w:color="auto" w:fill="FFFFFF"/>
        </w:rPr>
        <w:t> </w:t>
      </w:r>
      <w:r w:rsidRPr="000566EE" w:rsidR="006007A3">
        <w:rPr>
          <w:color w:val="000000"/>
          <w:szCs w:val="26"/>
          <w:bdr w:val="none" w:sz="0" w:space="0" w:color="auto" w:frame="1"/>
          <w:shd w:val="clear" w:color="auto" w:fill="FFFFFF"/>
        </w:rPr>
        <w:t>13</w:t>
      </w:r>
      <w:r w:rsidRPr="000566EE" w:rsidR="00FA4CEA">
        <w:rPr>
          <w:color w:val="000000"/>
          <w:szCs w:val="26"/>
          <w:bdr w:val="none" w:sz="0" w:space="0" w:color="auto" w:frame="1"/>
          <w:shd w:val="clear" w:color="auto" w:fill="FFFFFF"/>
        </w:rPr>
        <w:t xml:space="preserve"> (Sen. Bill No. 33</w:t>
      </w:r>
      <w:r w:rsidRPr="00AA0846" w:rsidR="00FA4CEA">
        <w:rPr>
          <w:color w:val="000000"/>
          <w:szCs w:val="26"/>
          <w:bdr w:val="none" w:sz="0" w:space="0" w:color="auto" w:frame="1"/>
          <w:shd w:val="clear" w:color="auto" w:fill="FFFFFF"/>
        </w:rPr>
        <w:t>0)</w:t>
      </w:r>
      <w:r w:rsidRPr="00AA0846" w:rsidR="000E1762">
        <w:rPr>
          <w:color w:val="000000"/>
          <w:szCs w:val="26"/>
          <w:bdr w:val="none" w:sz="0" w:space="0" w:color="auto" w:frame="1"/>
          <w:shd w:val="clear" w:color="auto" w:fill="FFFFFF"/>
        </w:rPr>
        <w:t>.</w:t>
      </w:r>
      <w:r w:rsidRPr="00AA0846" w:rsidR="00D64635">
        <w:rPr>
          <w:color w:val="000000"/>
          <w:szCs w:val="26"/>
          <w:bdr w:val="none" w:sz="0" w:space="0" w:color="auto" w:frame="1"/>
          <w:shd w:val="clear" w:color="auto" w:fill="FFFFFF"/>
        </w:rPr>
        <w:t>)</w:t>
      </w:r>
      <w:bookmarkEnd w:id="1"/>
      <w:r w:rsidRPr="000566EE">
        <w:rPr>
          <w:bCs/>
          <w:iCs/>
          <w:szCs w:val="26"/>
        </w:rPr>
        <w:t xml:space="preserve"> </w:t>
      </w:r>
    </w:p>
    <w:p w:rsidR="00E61C6C" w:rsidRPr="000566EE" w:rsidP="000566EE" w14:paraId="42C65CF7" w14:textId="0DC9F12C">
      <w:pPr>
        <w:ind w:firstLine="720"/>
        <w:contextualSpacing/>
        <w:rPr>
          <w:bCs/>
          <w:iCs/>
          <w:szCs w:val="26"/>
        </w:rPr>
      </w:pPr>
      <w:r w:rsidRPr="000566EE">
        <w:rPr>
          <w:bCs/>
          <w:iCs/>
          <w:szCs w:val="26"/>
        </w:rPr>
        <w:t>As amended in 2022, subdivision</w:t>
      </w:r>
      <w:r w:rsidRPr="000566EE" w:rsidR="00740FE9">
        <w:rPr>
          <w:bCs/>
          <w:iCs/>
          <w:szCs w:val="26"/>
        </w:rPr>
        <w:t> </w:t>
      </w:r>
      <w:r w:rsidRPr="000566EE">
        <w:rPr>
          <w:bCs/>
          <w:iCs/>
          <w:szCs w:val="26"/>
        </w:rPr>
        <w:t xml:space="preserve">(b)(1)(A) </w:t>
      </w:r>
      <w:r w:rsidRPr="000566EE" w:rsidR="00641853">
        <w:rPr>
          <w:bCs/>
          <w:iCs/>
          <w:szCs w:val="26"/>
        </w:rPr>
        <w:t xml:space="preserve">prohibits </w:t>
      </w:r>
      <w:r w:rsidRPr="000566EE" w:rsidR="00782E04">
        <w:rPr>
          <w:bCs/>
          <w:iCs/>
          <w:szCs w:val="26"/>
        </w:rPr>
        <w:t>an affected city</w:t>
      </w:r>
      <w:r>
        <w:rPr>
          <w:rStyle w:val="FootnoteReference"/>
          <w:bCs/>
          <w:iCs/>
          <w:szCs w:val="26"/>
        </w:rPr>
        <w:footnoteReference w:id="5"/>
      </w:r>
      <w:r w:rsidRPr="000566EE" w:rsidR="00782E04">
        <w:rPr>
          <w:bCs/>
          <w:iCs/>
          <w:szCs w:val="26"/>
        </w:rPr>
        <w:t xml:space="preserve"> from enacting a development policy, standard, or condition that has the effect of “</w:t>
      </w:r>
      <w:r w:rsidRPr="000566EE" w:rsidR="00EB79F9">
        <w:rPr>
          <w:bCs/>
          <w:iCs/>
          <w:szCs w:val="26"/>
        </w:rPr>
        <w:t xml:space="preserve">[c]hanging the general plan land use designation, specific plan land use designation, or zoning of a parcel or parcels of property to a less intensive use or reducing the intensity of land use within an existing general plan land use designation, specific plan land use designation, or zoning district </w:t>
      </w:r>
      <w:r w:rsidRPr="000566EE" w:rsidR="00EB79F9">
        <w:rPr>
          <w:bCs/>
          <w:i/>
          <w:szCs w:val="26"/>
        </w:rPr>
        <w:t>in effect at the time of the proposed change</w:t>
      </w:r>
      <w:r w:rsidRPr="000566EE" w:rsidR="00EB79F9">
        <w:rPr>
          <w:bCs/>
          <w:iCs/>
          <w:szCs w:val="26"/>
        </w:rPr>
        <w:t xml:space="preserve">, below what was allowed under the land use designation </w:t>
      </w:r>
      <w:r w:rsidRPr="000566EE" w:rsidR="00EB79F9">
        <w:rPr>
          <w:bCs/>
          <w:i/>
          <w:szCs w:val="26"/>
        </w:rPr>
        <w:t>or</w:t>
      </w:r>
      <w:r w:rsidRPr="000566EE" w:rsidR="00EB79F9">
        <w:rPr>
          <w:bCs/>
          <w:iCs/>
          <w:szCs w:val="26"/>
        </w:rPr>
        <w:t xml:space="preserve"> zoning ordinances of the affected county or affected city, as applicable, as in effect on January</w:t>
      </w:r>
      <w:r w:rsidRPr="000566EE" w:rsidR="00740FE9">
        <w:rPr>
          <w:bCs/>
          <w:iCs/>
          <w:szCs w:val="26"/>
        </w:rPr>
        <w:t> </w:t>
      </w:r>
      <w:r w:rsidRPr="000566EE" w:rsidR="00EB79F9">
        <w:rPr>
          <w:bCs/>
          <w:iCs/>
          <w:szCs w:val="26"/>
        </w:rPr>
        <w:t>1, 2018</w:t>
      </w:r>
      <w:r w:rsidRPr="000566EE" w:rsidR="004E27AB">
        <w:rPr>
          <w:bCs/>
          <w:iCs/>
          <w:szCs w:val="26"/>
        </w:rPr>
        <w:t>.</w:t>
      </w:r>
      <w:r w:rsidRPr="000566EE" w:rsidR="00B42CD2">
        <w:rPr>
          <w:bCs/>
          <w:iCs/>
          <w:szCs w:val="26"/>
        </w:rPr>
        <w:t xml:space="preserve">”  </w:t>
      </w:r>
      <w:r w:rsidRPr="000566EE" w:rsidR="00F12DF4">
        <w:rPr>
          <w:bCs/>
          <w:iCs/>
          <w:szCs w:val="26"/>
        </w:rPr>
        <w:t>(Italics added</w:t>
      </w:r>
      <w:r w:rsidRPr="000566EE" w:rsidR="00A56CF8">
        <w:rPr>
          <w:bCs/>
          <w:iCs/>
          <w:szCs w:val="26"/>
        </w:rPr>
        <w:t xml:space="preserve"> to highlight changes</w:t>
      </w:r>
      <w:r w:rsidRPr="000566EE" w:rsidR="00F12DF4">
        <w:rPr>
          <w:bCs/>
          <w:iCs/>
          <w:szCs w:val="26"/>
        </w:rPr>
        <w:t xml:space="preserve">.)  </w:t>
      </w:r>
      <w:r w:rsidRPr="000566EE" w:rsidR="00B42CD2">
        <w:rPr>
          <w:bCs/>
          <w:iCs/>
          <w:szCs w:val="26"/>
        </w:rPr>
        <w:t>The amendment clarified that</w:t>
      </w:r>
      <w:r w:rsidRPr="000566EE" w:rsidR="00BC564D">
        <w:rPr>
          <w:bCs/>
          <w:iCs/>
          <w:szCs w:val="26"/>
        </w:rPr>
        <w:t xml:space="preserve"> </w:t>
      </w:r>
      <w:r w:rsidRPr="000566EE" w:rsidR="00B42CD2">
        <w:rPr>
          <w:bCs/>
          <w:iCs/>
          <w:szCs w:val="26"/>
        </w:rPr>
        <w:t>“</w:t>
      </w:r>
      <w:r w:rsidRPr="000566EE" w:rsidR="00BC564D">
        <w:rPr>
          <w:bCs/>
          <w:iCs/>
          <w:szCs w:val="26"/>
        </w:rPr>
        <w:t>‘</w:t>
      </w:r>
      <w:r w:rsidRPr="000566EE" w:rsidR="00BC564D">
        <w:rPr>
          <w:bCs/>
          <w:i/>
          <w:szCs w:val="26"/>
        </w:rPr>
        <w:t>reducing the intensity of land use</w:t>
      </w:r>
      <w:r w:rsidRPr="000566EE" w:rsidR="00BC564D">
        <w:rPr>
          <w:bCs/>
          <w:iCs/>
          <w:szCs w:val="26"/>
        </w:rPr>
        <w:t xml:space="preserve">’ includes, but is not limited to, reductions to height, density, or floor area ratio, new or increased open space or lot size requirements, new or increased setback requirements, minimum frontage requirements, or maximum lot </w:t>
      </w:r>
      <w:r w:rsidRPr="00B51415" w:rsidR="00BC564D">
        <w:rPr>
          <w:bCs/>
          <w:iCs/>
          <w:szCs w:val="26"/>
        </w:rPr>
        <w:t>coverage limitations, or</w:t>
      </w:r>
      <w:r w:rsidRPr="00B51415" w:rsidR="00BC564D">
        <w:rPr>
          <w:bCs/>
          <w:i/>
          <w:szCs w:val="26"/>
        </w:rPr>
        <w:t xml:space="preserve"> any other action that would individually or cumulatively reduce the site’s residential development capacity</w:t>
      </w:r>
      <w:r w:rsidRPr="00B51415" w:rsidR="00BC564D">
        <w:rPr>
          <w:bCs/>
          <w:iCs/>
          <w:szCs w:val="26"/>
        </w:rPr>
        <w:t>.”</w:t>
      </w:r>
      <w:r w:rsidRPr="000566EE" w:rsidR="00BC564D">
        <w:rPr>
          <w:bCs/>
          <w:iCs/>
          <w:szCs w:val="26"/>
        </w:rPr>
        <w:t xml:space="preserve">  </w:t>
      </w:r>
      <w:r w:rsidRPr="000566EE" w:rsidR="00F40826">
        <w:rPr>
          <w:bCs/>
          <w:iCs/>
          <w:szCs w:val="26"/>
        </w:rPr>
        <w:t>(I</w:t>
      </w:r>
      <w:r w:rsidRPr="000566EE" w:rsidR="00D17866">
        <w:rPr>
          <w:bCs/>
          <w:iCs/>
          <w:szCs w:val="26"/>
        </w:rPr>
        <w:t>talics added</w:t>
      </w:r>
      <w:r w:rsidRPr="000566EE" w:rsidR="0040113A">
        <w:rPr>
          <w:bCs/>
          <w:iCs/>
          <w:szCs w:val="26"/>
        </w:rPr>
        <w:t xml:space="preserve"> to highlight changes</w:t>
      </w:r>
      <w:r w:rsidRPr="000566EE" w:rsidR="003E17DC">
        <w:rPr>
          <w:bCs/>
          <w:iCs/>
          <w:szCs w:val="26"/>
        </w:rPr>
        <w:t>.)</w:t>
      </w:r>
      <w:r>
        <w:rPr>
          <w:rStyle w:val="FootnoteReference"/>
          <w:color w:val="000000"/>
          <w:szCs w:val="26"/>
          <w:bdr w:val="none" w:sz="0" w:space="0" w:color="auto" w:frame="1"/>
          <w:shd w:val="clear" w:color="auto" w:fill="FFFFFF"/>
        </w:rPr>
        <w:footnoteReference w:id="6"/>
      </w:r>
    </w:p>
    <w:p w:rsidR="00675C60" w:rsidRPr="000566EE" w:rsidP="000566EE" w14:paraId="38926D5F" w14:textId="7B9A65E7">
      <w:pPr>
        <w:ind w:firstLine="720"/>
        <w:contextualSpacing/>
        <w:rPr>
          <w:bCs/>
          <w:iCs/>
          <w:szCs w:val="26"/>
        </w:rPr>
      </w:pPr>
      <w:r w:rsidRPr="000566EE">
        <w:rPr>
          <w:color w:val="000000"/>
          <w:szCs w:val="26"/>
          <w:bdr w:val="none" w:sz="0" w:space="0" w:color="auto" w:frame="1"/>
          <w:shd w:val="clear" w:color="auto" w:fill="FFFFFF"/>
        </w:rPr>
        <w:t>Accordingly, i</w:t>
      </w:r>
      <w:r w:rsidRPr="000566EE" w:rsidR="00A31A5C">
        <w:rPr>
          <w:color w:val="000000"/>
          <w:szCs w:val="26"/>
          <w:bdr w:val="none" w:sz="0" w:space="0" w:color="auto" w:frame="1"/>
          <w:shd w:val="clear" w:color="auto" w:fill="FFFFFF"/>
        </w:rPr>
        <w:t>n enacting the Act, t</w:t>
      </w:r>
      <w:r w:rsidRPr="000566EE" w:rsidR="0038627F">
        <w:rPr>
          <w:color w:val="000000"/>
          <w:szCs w:val="26"/>
          <w:bdr w:val="none" w:sz="0" w:space="0" w:color="auto" w:frame="1"/>
          <w:shd w:val="clear" w:color="auto" w:fill="FFFFFF"/>
        </w:rPr>
        <w:t>he Legislature</w:t>
      </w:r>
      <w:r w:rsidRPr="000566EE" w:rsidR="008E6C40">
        <w:rPr>
          <w:color w:val="000000"/>
          <w:szCs w:val="26"/>
          <w:bdr w:val="none" w:sz="0" w:space="0" w:color="auto" w:frame="1"/>
          <w:shd w:val="clear" w:color="auto" w:fill="FFFFFF"/>
        </w:rPr>
        <w:t xml:space="preserve"> </w:t>
      </w:r>
      <w:r w:rsidRPr="000566EE" w:rsidR="0038627F">
        <w:rPr>
          <w:color w:val="000000"/>
          <w:szCs w:val="26"/>
          <w:bdr w:val="none" w:sz="0" w:space="0" w:color="auto" w:frame="1"/>
          <w:shd w:val="clear" w:color="auto" w:fill="FFFFFF"/>
        </w:rPr>
        <w:t>declared that a “‘less intensive use’</w:t>
      </w:r>
      <w:r w:rsidRPr="000566EE">
        <w:rPr>
          <w:color w:val="000000"/>
          <w:szCs w:val="26"/>
          <w:bdr w:val="none" w:sz="0" w:space="0" w:color="auto" w:frame="1"/>
          <w:shd w:val="clear" w:color="auto" w:fill="FFFFFF"/>
        </w:rPr>
        <w:t xml:space="preserve"> </w:t>
      </w:r>
      <w:r w:rsidRPr="000566EE" w:rsidR="0038627F">
        <w:rPr>
          <w:color w:val="000000"/>
          <w:szCs w:val="26"/>
          <w:bdr w:val="none" w:sz="0" w:space="0" w:color="auto" w:frame="1"/>
          <w:shd w:val="clear" w:color="auto" w:fill="FFFFFF"/>
        </w:rPr>
        <w:t>includes</w:t>
      </w:r>
      <w:r w:rsidRPr="000566EE" w:rsidR="000C7981">
        <w:rPr>
          <w:color w:val="000000"/>
          <w:szCs w:val="26"/>
          <w:bdr w:val="none" w:sz="0" w:space="0" w:color="auto" w:frame="1"/>
          <w:shd w:val="clear" w:color="auto" w:fill="FFFFFF"/>
        </w:rPr>
        <w:t> </w:t>
      </w:r>
      <w:r w:rsidRPr="000566EE" w:rsidR="0038627F">
        <w:rPr>
          <w:color w:val="000000"/>
          <w:szCs w:val="26"/>
          <w:bdr w:val="none" w:sz="0" w:space="0" w:color="auto" w:frame="1"/>
          <w:shd w:val="clear" w:color="auto" w:fill="FFFFFF"/>
        </w:rPr>
        <w:t>.</w:t>
      </w:r>
      <w:r w:rsidRPr="000566EE" w:rsidR="000C7981">
        <w:rPr>
          <w:color w:val="000000"/>
          <w:szCs w:val="26"/>
          <w:bdr w:val="none" w:sz="0" w:space="0" w:color="auto" w:frame="1"/>
          <w:shd w:val="clear" w:color="auto" w:fill="FFFFFF"/>
        </w:rPr>
        <w:t> </w:t>
      </w:r>
      <w:r w:rsidRPr="000566EE" w:rsidR="0038627F">
        <w:rPr>
          <w:color w:val="000000"/>
          <w:szCs w:val="26"/>
          <w:bdr w:val="none" w:sz="0" w:space="0" w:color="auto" w:frame="1"/>
          <w:shd w:val="clear" w:color="auto" w:fill="FFFFFF"/>
        </w:rPr>
        <w:t>.</w:t>
      </w:r>
      <w:r w:rsidRPr="000566EE" w:rsidR="000C7981">
        <w:rPr>
          <w:color w:val="000000"/>
          <w:szCs w:val="26"/>
          <w:bdr w:val="none" w:sz="0" w:space="0" w:color="auto" w:frame="1"/>
          <w:shd w:val="clear" w:color="auto" w:fill="FFFFFF"/>
        </w:rPr>
        <w:t> </w:t>
      </w:r>
      <w:r w:rsidRPr="000566EE" w:rsidR="0038627F">
        <w:rPr>
          <w:color w:val="000000"/>
          <w:szCs w:val="26"/>
          <w:bdr w:val="none" w:sz="0" w:space="0" w:color="auto" w:frame="1"/>
          <w:shd w:val="clear" w:color="auto" w:fill="FFFFFF"/>
        </w:rPr>
        <w:t xml:space="preserve">. reductions to height, density, </w:t>
      </w:r>
      <w:r w:rsidRPr="000566EE" w:rsidR="0038627F">
        <w:rPr>
          <w:i/>
          <w:iCs/>
          <w:color w:val="000000"/>
          <w:szCs w:val="26"/>
          <w:bdr w:val="none" w:sz="0" w:space="0" w:color="auto" w:frame="1"/>
          <w:shd w:val="clear" w:color="auto" w:fill="FFFFFF"/>
        </w:rPr>
        <w:t>or</w:t>
      </w:r>
      <w:r w:rsidRPr="000566EE" w:rsidR="0038627F">
        <w:rPr>
          <w:color w:val="000000"/>
          <w:szCs w:val="26"/>
          <w:bdr w:val="none" w:sz="0" w:space="0" w:color="auto" w:frame="1"/>
          <w:shd w:val="clear" w:color="auto" w:fill="FFFFFF"/>
        </w:rPr>
        <w:t xml:space="preserve"> </w:t>
      </w:r>
      <w:r w:rsidRPr="000566EE" w:rsidR="0038627F">
        <w:rPr>
          <w:i/>
          <w:iCs/>
          <w:color w:val="000000"/>
          <w:szCs w:val="26"/>
          <w:bdr w:val="none" w:sz="0" w:space="0" w:color="auto" w:frame="1"/>
          <w:shd w:val="clear" w:color="auto" w:fill="FFFFFF"/>
        </w:rPr>
        <w:t>floor area ratio</w:t>
      </w:r>
      <w:r w:rsidRPr="000566EE" w:rsidR="000C7981">
        <w:rPr>
          <w:color w:val="000000"/>
          <w:szCs w:val="26"/>
          <w:bdr w:val="none" w:sz="0" w:space="0" w:color="auto" w:frame="1"/>
          <w:shd w:val="clear" w:color="auto" w:fill="FFFFFF"/>
        </w:rPr>
        <w:t> </w:t>
      </w:r>
      <w:r w:rsidRPr="000566EE" w:rsidR="0038627F">
        <w:rPr>
          <w:color w:val="000000"/>
          <w:szCs w:val="26"/>
          <w:bdr w:val="none" w:sz="0" w:space="0" w:color="auto" w:frame="1"/>
          <w:shd w:val="clear" w:color="auto" w:fill="FFFFFF"/>
        </w:rPr>
        <w:t>.</w:t>
      </w:r>
      <w:r w:rsidRPr="000566EE" w:rsidR="000C7981">
        <w:rPr>
          <w:color w:val="000000"/>
          <w:szCs w:val="26"/>
          <w:bdr w:val="none" w:sz="0" w:space="0" w:color="auto" w:frame="1"/>
          <w:shd w:val="clear" w:color="auto" w:fill="FFFFFF"/>
        </w:rPr>
        <w:t> </w:t>
      </w:r>
      <w:r w:rsidRPr="000566EE" w:rsidR="0038627F">
        <w:rPr>
          <w:color w:val="000000"/>
          <w:szCs w:val="26"/>
          <w:bdr w:val="none" w:sz="0" w:space="0" w:color="auto" w:frame="1"/>
          <w:shd w:val="clear" w:color="auto" w:fill="FFFFFF"/>
        </w:rPr>
        <w:t>.</w:t>
      </w:r>
      <w:r w:rsidRPr="000566EE" w:rsidR="000C7981">
        <w:rPr>
          <w:color w:val="000000"/>
          <w:szCs w:val="26"/>
          <w:bdr w:val="none" w:sz="0" w:space="0" w:color="auto" w:frame="1"/>
          <w:shd w:val="clear" w:color="auto" w:fill="FFFFFF"/>
        </w:rPr>
        <w:t> </w:t>
      </w:r>
      <w:r w:rsidRPr="000566EE" w:rsidR="0038627F">
        <w:rPr>
          <w:color w:val="000000"/>
          <w:szCs w:val="26"/>
          <w:bdr w:val="none" w:sz="0" w:space="0" w:color="auto" w:frame="1"/>
          <w:shd w:val="clear" w:color="auto" w:fill="FFFFFF"/>
        </w:rPr>
        <w:t xml:space="preserve">. or anything that would lessen the intensity of housing.”  </w:t>
      </w:r>
      <w:r w:rsidRPr="000566EE" w:rsidR="008E6C40">
        <w:rPr>
          <w:color w:val="000000"/>
          <w:szCs w:val="26"/>
          <w:bdr w:val="none" w:sz="0" w:space="0" w:color="auto" w:frame="1"/>
          <w:shd w:val="clear" w:color="auto" w:fill="FFFFFF"/>
        </w:rPr>
        <w:t>(</w:t>
      </w:r>
      <w:r w:rsidRPr="000566EE" w:rsidR="00927752">
        <w:rPr>
          <w:color w:val="000000"/>
          <w:szCs w:val="26"/>
          <w:bdr w:val="none" w:sz="0" w:space="0" w:color="auto" w:frame="1"/>
          <w:shd w:val="clear" w:color="auto" w:fill="FFFFFF"/>
        </w:rPr>
        <w:t>Stats. 2019, ch.</w:t>
      </w:r>
      <w:r w:rsidRPr="000566EE" w:rsidR="00F14DC7">
        <w:rPr>
          <w:color w:val="000000"/>
          <w:szCs w:val="26"/>
          <w:bdr w:val="none" w:sz="0" w:space="0" w:color="auto" w:frame="1"/>
          <w:shd w:val="clear" w:color="auto" w:fill="FFFFFF"/>
        </w:rPr>
        <w:t> </w:t>
      </w:r>
      <w:r w:rsidRPr="000566EE" w:rsidR="00927752">
        <w:rPr>
          <w:color w:val="000000"/>
          <w:szCs w:val="26"/>
          <w:bdr w:val="none" w:sz="0" w:space="0" w:color="auto" w:frame="1"/>
          <w:shd w:val="clear" w:color="auto" w:fill="FFFFFF"/>
        </w:rPr>
        <w:t xml:space="preserve">654, </w:t>
      </w:r>
      <w:r w:rsidRPr="000566EE" w:rsidR="008E6C40">
        <w:rPr>
          <w:color w:val="000000"/>
          <w:szCs w:val="26"/>
          <w:bdr w:val="none" w:sz="0" w:space="0" w:color="auto" w:frame="1"/>
          <w:shd w:val="clear" w:color="auto" w:fill="FFFFFF"/>
        </w:rPr>
        <w:t>§</w:t>
      </w:r>
      <w:r w:rsidRPr="000566EE" w:rsidR="00F14DC7">
        <w:rPr>
          <w:color w:val="000000"/>
          <w:szCs w:val="26"/>
          <w:bdr w:val="none" w:sz="0" w:space="0" w:color="auto" w:frame="1"/>
          <w:shd w:val="clear" w:color="auto" w:fill="FFFFFF"/>
        </w:rPr>
        <w:t> </w:t>
      </w:r>
      <w:r w:rsidRPr="000566EE" w:rsidR="008E6C40">
        <w:rPr>
          <w:color w:val="000000"/>
          <w:szCs w:val="26"/>
          <w:bdr w:val="none" w:sz="0" w:space="0" w:color="auto" w:frame="1"/>
          <w:shd w:val="clear" w:color="auto" w:fill="FFFFFF"/>
        </w:rPr>
        <w:t>13</w:t>
      </w:r>
      <w:r w:rsidRPr="000566EE" w:rsidR="00F14DC7">
        <w:rPr>
          <w:color w:val="000000"/>
          <w:szCs w:val="26"/>
          <w:bdr w:val="none" w:sz="0" w:space="0" w:color="auto" w:frame="1"/>
          <w:shd w:val="clear" w:color="auto" w:fill="FFFFFF"/>
        </w:rPr>
        <w:t xml:space="preserve"> (Sen. Bill No. 330)</w:t>
      </w:r>
      <w:r w:rsidRPr="000566EE" w:rsidR="003D7E1D">
        <w:rPr>
          <w:color w:val="000000"/>
          <w:szCs w:val="26"/>
          <w:bdr w:val="none" w:sz="0" w:space="0" w:color="auto" w:frame="1"/>
          <w:shd w:val="clear" w:color="auto" w:fill="FFFFFF"/>
        </w:rPr>
        <w:t>, italics added</w:t>
      </w:r>
      <w:r w:rsidRPr="000566EE" w:rsidR="008E6C40">
        <w:rPr>
          <w:color w:val="000000"/>
          <w:szCs w:val="26"/>
          <w:bdr w:val="none" w:sz="0" w:space="0" w:color="auto" w:frame="1"/>
          <w:shd w:val="clear" w:color="auto" w:fill="FFFFFF"/>
        </w:rPr>
        <w:t xml:space="preserve">.)  </w:t>
      </w:r>
      <w:r w:rsidRPr="000566EE" w:rsidR="00846305">
        <w:rPr>
          <w:color w:val="000000"/>
          <w:szCs w:val="26"/>
          <w:bdr w:val="none" w:sz="0" w:space="0" w:color="auto" w:frame="1"/>
          <w:shd w:val="clear" w:color="auto" w:fill="FFFFFF"/>
        </w:rPr>
        <w:t xml:space="preserve">As amended, </w:t>
      </w:r>
      <w:r w:rsidRPr="000566EE" w:rsidR="00947DF3">
        <w:rPr>
          <w:color w:val="000000"/>
          <w:szCs w:val="26"/>
          <w:bdr w:val="none" w:sz="0" w:space="0" w:color="auto" w:frame="1"/>
          <w:shd w:val="clear" w:color="auto" w:fill="FFFFFF"/>
        </w:rPr>
        <w:t>section</w:t>
      </w:r>
      <w:r w:rsidRPr="000566EE" w:rsidR="000C7981">
        <w:rPr>
          <w:color w:val="000000"/>
          <w:szCs w:val="26"/>
          <w:bdr w:val="none" w:sz="0" w:space="0" w:color="auto" w:frame="1"/>
          <w:shd w:val="clear" w:color="auto" w:fill="FFFFFF"/>
        </w:rPr>
        <w:t> </w:t>
      </w:r>
      <w:r w:rsidRPr="000566EE" w:rsidR="00947DF3">
        <w:rPr>
          <w:color w:val="000000"/>
          <w:szCs w:val="26"/>
          <w:bdr w:val="none" w:sz="0" w:space="0" w:color="auto" w:frame="1"/>
          <w:shd w:val="clear" w:color="auto" w:fill="FFFFFF"/>
        </w:rPr>
        <w:t>663</w:t>
      </w:r>
      <w:r w:rsidRPr="000566EE" w:rsidR="0024491D">
        <w:rPr>
          <w:color w:val="000000"/>
          <w:szCs w:val="26"/>
          <w:bdr w:val="none" w:sz="0" w:space="0" w:color="auto" w:frame="1"/>
          <w:shd w:val="clear" w:color="auto" w:fill="FFFFFF"/>
        </w:rPr>
        <w:t>0</w:t>
      </w:r>
      <w:r w:rsidRPr="000566EE" w:rsidR="00947DF3">
        <w:rPr>
          <w:color w:val="000000"/>
          <w:szCs w:val="26"/>
          <w:bdr w:val="none" w:sz="0" w:space="0" w:color="auto" w:frame="1"/>
          <w:shd w:val="clear" w:color="auto" w:fill="FFFFFF"/>
        </w:rPr>
        <w:t xml:space="preserve">0, </w:t>
      </w:r>
      <w:r w:rsidRPr="000566EE" w:rsidR="00405D7D">
        <w:rPr>
          <w:color w:val="000000"/>
          <w:szCs w:val="26"/>
          <w:bdr w:val="none" w:sz="0" w:space="0" w:color="auto" w:frame="1"/>
          <w:shd w:val="clear" w:color="auto" w:fill="FFFFFF"/>
        </w:rPr>
        <w:t>subdivision</w:t>
      </w:r>
      <w:r w:rsidRPr="000566EE" w:rsidR="000C7981">
        <w:rPr>
          <w:color w:val="000000"/>
          <w:szCs w:val="26"/>
          <w:bdr w:val="none" w:sz="0" w:space="0" w:color="auto" w:frame="1"/>
          <w:shd w:val="clear" w:color="auto" w:fill="FFFFFF"/>
        </w:rPr>
        <w:t> </w:t>
      </w:r>
      <w:r w:rsidRPr="000566EE" w:rsidR="00405D7D">
        <w:rPr>
          <w:color w:val="000000"/>
          <w:szCs w:val="26"/>
          <w:bdr w:val="none" w:sz="0" w:space="0" w:color="auto" w:frame="1"/>
          <w:shd w:val="clear" w:color="auto" w:fill="FFFFFF"/>
        </w:rPr>
        <w:t>(b)(1)(A)</w:t>
      </w:r>
      <w:r w:rsidRPr="000566EE" w:rsidR="00947DF3">
        <w:rPr>
          <w:color w:val="000000"/>
          <w:szCs w:val="26"/>
          <w:bdr w:val="none" w:sz="0" w:space="0" w:color="auto" w:frame="1"/>
          <w:shd w:val="clear" w:color="auto" w:fill="FFFFFF"/>
        </w:rPr>
        <w:t>,</w:t>
      </w:r>
      <w:r w:rsidRPr="000566EE" w:rsidR="00405D7D">
        <w:rPr>
          <w:color w:val="000000"/>
          <w:szCs w:val="26"/>
          <w:bdr w:val="none" w:sz="0" w:space="0" w:color="auto" w:frame="1"/>
          <w:shd w:val="clear" w:color="auto" w:fill="FFFFFF"/>
        </w:rPr>
        <w:t xml:space="preserve"> </w:t>
      </w:r>
      <w:r w:rsidRPr="000566EE" w:rsidR="00F9180C">
        <w:rPr>
          <w:color w:val="000000"/>
          <w:szCs w:val="26"/>
          <w:bdr w:val="none" w:sz="0" w:space="0" w:color="auto" w:frame="1"/>
          <w:shd w:val="clear" w:color="auto" w:fill="FFFFFF"/>
        </w:rPr>
        <w:t>almost identically</w:t>
      </w:r>
      <w:r w:rsidRPr="000566EE" w:rsidR="00405D7D">
        <w:rPr>
          <w:color w:val="000000"/>
          <w:szCs w:val="26"/>
          <w:bdr w:val="none" w:sz="0" w:space="0" w:color="auto" w:frame="1"/>
          <w:shd w:val="clear" w:color="auto" w:fill="FFFFFF"/>
        </w:rPr>
        <w:t xml:space="preserve"> defines “</w:t>
      </w:r>
      <w:r w:rsidRPr="000566EE" w:rsidR="00F14DC7">
        <w:rPr>
          <w:color w:val="000000"/>
          <w:szCs w:val="26"/>
          <w:bdr w:val="none" w:sz="0" w:space="0" w:color="auto" w:frame="1"/>
          <w:shd w:val="clear" w:color="auto" w:fill="FFFFFF"/>
        </w:rPr>
        <w:t>‘</w:t>
      </w:r>
      <w:r w:rsidRPr="000566EE" w:rsidR="00405D7D">
        <w:rPr>
          <w:color w:val="000000"/>
          <w:szCs w:val="26"/>
          <w:bdr w:val="none" w:sz="0" w:space="0" w:color="auto" w:frame="1"/>
          <w:shd w:val="clear" w:color="auto" w:fill="FFFFFF"/>
        </w:rPr>
        <w:t>reducing the intensity of land use</w:t>
      </w:r>
      <w:r w:rsidRPr="000566EE" w:rsidR="002225D5">
        <w:rPr>
          <w:color w:val="000000"/>
          <w:szCs w:val="26"/>
          <w:bdr w:val="none" w:sz="0" w:space="0" w:color="auto" w:frame="1"/>
          <w:shd w:val="clear" w:color="auto" w:fill="FFFFFF"/>
        </w:rPr>
        <w:t>’</w:t>
      </w:r>
      <w:r w:rsidRPr="000566EE" w:rsidR="00EC555B">
        <w:rPr>
          <w:color w:val="000000"/>
          <w:szCs w:val="26"/>
          <w:bdr w:val="none" w:sz="0" w:space="0" w:color="auto" w:frame="1"/>
          <w:shd w:val="clear" w:color="auto" w:fill="FFFFFF"/>
        </w:rPr>
        <w:t xml:space="preserve">” </w:t>
      </w:r>
      <w:r w:rsidRPr="000566EE" w:rsidR="00A42680">
        <w:rPr>
          <w:color w:val="000000"/>
          <w:szCs w:val="26"/>
          <w:bdr w:val="none" w:sz="0" w:space="0" w:color="auto" w:frame="1"/>
          <w:shd w:val="clear" w:color="auto" w:fill="FFFFFF"/>
        </w:rPr>
        <w:t>as including</w:t>
      </w:r>
      <w:r w:rsidRPr="000566EE" w:rsidR="00EC555B">
        <w:rPr>
          <w:color w:val="000000"/>
          <w:szCs w:val="26"/>
          <w:bdr w:val="none" w:sz="0" w:space="0" w:color="auto" w:frame="1"/>
          <w:shd w:val="clear" w:color="auto" w:fill="FFFFFF"/>
        </w:rPr>
        <w:t xml:space="preserve"> </w:t>
      </w:r>
      <w:r w:rsidRPr="000566EE" w:rsidR="009C6A0C">
        <w:rPr>
          <w:color w:val="000000"/>
          <w:szCs w:val="26"/>
          <w:bdr w:val="none" w:sz="0" w:space="0" w:color="auto" w:frame="1"/>
          <w:shd w:val="clear" w:color="auto" w:fill="FFFFFF"/>
        </w:rPr>
        <w:t xml:space="preserve">“reductions to height, density, </w:t>
      </w:r>
      <w:r w:rsidRPr="000566EE" w:rsidR="009C6A0C">
        <w:rPr>
          <w:i/>
          <w:iCs/>
          <w:color w:val="000000"/>
          <w:szCs w:val="26"/>
          <w:bdr w:val="none" w:sz="0" w:space="0" w:color="auto" w:frame="1"/>
          <w:shd w:val="clear" w:color="auto" w:fill="FFFFFF"/>
        </w:rPr>
        <w:t>or</w:t>
      </w:r>
      <w:r w:rsidRPr="000566EE" w:rsidR="009C6A0C">
        <w:rPr>
          <w:color w:val="000000"/>
          <w:szCs w:val="26"/>
          <w:bdr w:val="none" w:sz="0" w:space="0" w:color="auto" w:frame="1"/>
          <w:shd w:val="clear" w:color="auto" w:fill="FFFFFF"/>
        </w:rPr>
        <w:t xml:space="preserve"> </w:t>
      </w:r>
      <w:r w:rsidRPr="000566EE" w:rsidR="009C6A0C">
        <w:rPr>
          <w:i/>
          <w:iCs/>
          <w:color w:val="000000"/>
          <w:szCs w:val="26"/>
          <w:bdr w:val="none" w:sz="0" w:space="0" w:color="auto" w:frame="1"/>
          <w:shd w:val="clear" w:color="auto" w:fill="FFFFFF"/>
        </w:rPr>
        <w:t>floor area ratio</w:t>
      </w:r>
      <w:r w:rsidRPr="000566EE" w:rsidR="002225D5">
        <w:rPr>
          <w:color w:val="000000"/>
          <w:szCs w:val="26"/>
          <w:bdr w:val="none" w:sz="0" w:space="0" w:color="auto" w:frame="1"/>
          <w:shd w:val="clear" w:color="auto" w:fill="FFFFFF"/>
        </w:rPr>
        <w:t> </w:t>
      </w:r>
      <w:r w:rsidRPr="000566EE" w:rsidR="009C6A0C">
        <w:rPr>
          <w:color w:val="000000"/>
          <w:szCs w:val="26"/>
          <w:bdr w:val="none" w:sz="0" w:space="0" w:color="auto" w:frame="1"/>
          <w:shd w:val="clear" w:color="auto" w:fill="FFFFFF"/>
        </w:rPr>
        <w:t>.</w:t>
      </w:r>
      <w:r w:rsidRPr="000566EE" w:rsidR="00946C8A">
        <w:rPr>
          <w:color w:val="000000"/>
          <w:szCs w:val="26"/>
          <w:bdr w:val="none" w:sz="0" w:space="0" w:color="auto" w:frame="1"/>
          <w:shd w:val="clear" w:color="auto" w:fill="FFFFFF"/>
        </w:rPr>
        <w:t> . .</w:t>
      </w:r>
      <w:r w:rsidRPr="000566EE" w:rsidR="00A42B73">
        <w:rPr>
          <w:color w:val="000000"/>
          <w:szCs w:val="26"/>
          <w:bdr w:val="none" w:sz="0" w:space="0" w:color="auto" w:frame="1"/>
          <w:shd w:val="clear" w:color="auto" w:fill="FFFFFF"/>
        </w:rPr>
        <w:t xml:space="preserve"> </w:t>
      </w:r>
      <w:r w:rsidRPr="000566EE" w:rsidR="00DC1494">
        <w:rPr>
          <w:color w:val="000000"/>
          <w:szCs w:val="26"/>
          <w:bdr w:val="none" w:sz="0" w:space="0" w:color="auto" w:frame="1"/>
          <w:shd w:val="clear" w:color="auto" w:fill="FFFFFF"/>
        </w:rPr>
        <w:t xml:space="preserve">or </w:t>
      </w:r>
      <w:r w:rsidRPr="000566EE" w:rsidR="00A42B73">
        <w:rPr>
          <w:color w:val="000000"/>
          <w:szCs w:val="26"/>
          <w:bdr w:val="none" w:sz="0" w:space="0" w:color="auto" w:frame="1"/>
          <w:shd w:val="clear" w:color="auto" w:fill="FFFFFF"/>
        </w:rPr>
        <w:t>any other action that would individually or cumulatively reduce the site</w:t>
      </w:r>
      <w:r w:rsidRPr="000566EE" w:rsidR="00824B14">
        <w:rPr>
          <w:color w:val="000000"/>
          <w:szCs w:val="26"/>
          <w:bdr w:val="none" w:sz="0" w:space="0" w:color="auto" w:frame="1"/>
          <w:shd w:val="clear" w:color="auto" w:fill="FFFFFF"/>
        </w:rPr>
        <w:t>’</w:t>
      </w:r>
      <w:r w:rsidRPr="000566EE" w:rsidR="00A42B73">
        <w:rPr>
          <w:color w:val="000000"/>
          <w:szCs w:val="26"/>
          <w:bdr w:val="none" w:sz="0" w:space="0" w:color="auto" w:frame="1"/>
          <w:shd w:val="clear" w:color="auto" w:fill="FFFFFF"/>
        </w:rPr>
        <w:t>s residential development capacity.</w:t>
      </w:r>
      <w:r w:rsidRPr="000566EE" w:rsidR="009C6A0C">
        <w:rPr>
          <w:color w:val="000000"/>
          <w:szCs w:val="26"/>
          <w:bdr w:val="none" w:sz="0" w:space="0" w:color="auto" w:frame="1"/>
          <w:shd w:val="clear" w:color="auto" w:fill="FFFFFF"/>
        </w:rPr>
        <w:t xml:space="preserve">”  </w:t>
      </w:r>
      <w:r w:rsidRPr="000566EE" w:rsidR="002B2239">
        <w:rPr>
          <w:color w:val="000000"/>
          <w:szCs w:val="26"/>
          <w:bdr w:val="none" w:sz="0" w:space="0" w:color="auto" w:frame="1"/>
          <w:shd w:val="clear" w:color="auto" w:fill="FFFFFF"/>
        </w:rPr>
        <w:t xml:space="preserve">(Italics added.)  </w:t>
      </w:r>
      <w:r w:rsidRPr="000566EE" w:rsidR="00F2253F">
        <w:rPr>
          <w:color w:val="000000"/>
          <w:szCs w:val="26"/>
          <w:bdr w:val="none" w:sz="0" w:space="0" w:color="auto" w:frame="1"/>
          <w:shd w:val="clear" w:color="auto" w:fill="FFFFFF"/>
        </w:rPr>
        <w:t xml:space="preserve">The use of the disjunctive “or” </w:t>
      </w:r>
      <w:r w:rsidRPr="000566EE" w:rsidR="00A5082A">
        <w:rPr>
          <w:color w:val="000000"/>
          <w:szCs w:val="26"/>
          <w:bdr w:val="none" w:sz="0" w:space="0" w:color="auto" w:frame="1"/>
          <w:shd w:val="clear" w:color="auto" w:fill="FFFFFF"/>
        </w:rPr>
        <w:t xml:space="preserve">reflects a legislative intent that </w:t>
      </w:r>
      <w:r w:rsidRPr="000566EE" w:rsidR="0058123A">
        <w:rPr>
          <w:color w:val="000000"/>
          <w:szCs w:val="26"/>
          <w:bdr w:val="none" w:sz="0" w:space="0" w:color="auto" w:frame="1"/>
          <w:shd w:val="clear" w:color="auto" w:fill="FFFFFF"/>
        </w:rPr>
        <w:t xml:space="preserve">a single </w:t>
      </w:r>
      <w:r w:rsidRPr="000566EE" w:rsidR="00127A5D">
        <w:rPr>
          <w:color w:val="000000"/>
          <w:szCs w:val="26"/>
          <w:bdr w:val="none" w:sz="0" w:space="0" w:color="auto" w:frame="1"/>
          <w:shd w:val="clear" w:color="auto" w:fill="FFFFFF"/>
        </w:rPr>
        <w:t>event</w:t>
      </w:r>
      <w:r w:rsidRPr="000566EE" w:rsidR="00AD4F66">
        <w:rPr>
          <w:color w:val="000000"/>
          <w:szCs w:val="26"/>
          <w:bdr w:val="none" w:sz="0" w:space="0" w:color="auto" w:frame="1"/>
          <w:shd w:val="clear" w:color="auto" w:fill="FFFFFF"/>
        </w:rPr>
        <w:t>,</w:t>
      </w:r>
      <w:r w:rsidRPr="000566EE" w:rsidR="00127A5D">
        <w:rPr>
          <w:color w:val="000000"/>
          <w:szCs w:val="26"/>
          <w:bdr w:val="none" w:sz="0" w:space="0" w:color="auto" w:frame="1"/>
          <w:shd w:val="clear" w:color="auto" w:fill="FFFFFF"/>
        </w:rPr>
        <w:t xml:space="preserve"> </w:t>
      </w:r>
      <w:r w:rsidRPr="000566EE" w:rsidR="00E9297A">
        <w:rPr>
          <w:color w:val="000000"/>
          <w:szCs w:val="26"/>
          <w:bdr w:val="none" w:sz="0" w:space="0" w:color="auto" w:frame="1"/>
          <w:shd w:val="clear" w:color="auto" w:fill="FFFFFF"/>
        </w:rPr>
        <w:t xml:space="preserve">including a reduction in FAR, </w:t>
      </w:r>
      <w:r w:rsidRPr="000566EE" w:rsidR="00127A5D">
        <w:rPr>
          <w:color w:val="000000"/>
          <w:szCs w:val="26"/>
          <w:bdr w:val="none" w:sz="0" w:space="0" w:color="auto" w:frame="1"/>
          <w:shd w:val="clear" w:color="auto" w:fill="FFFFFF"/>
        </w:rPr>
        <w:t xml:space="preserve">standing alone, </w:t>
      </w:r>
      <w:r w:rsidRPr="000566EE" w:rsidR="00C6210C">
        <w:rPr>
          <w:color w:val="000000"/>
          <w:szCs w:val="26"/>
          <w:bdr w:val="none" w:sz="0" w:space="0" w:color="auto" w:frame="1"/>
          <w:shd w:val="clear" w:color="auto" w:fill="FFFFFF"/>
        </w:rPr>
        <w:t>constitute</w:t>
      </w:r>
      <w:r w:rsidRPr="000566EE" w:rsidR="00655BC7">
        <w:rPr>
          <w:color w:val="000000"/>
          <w:szCs w:val="26"/>
          <w:bdr w:val="none" w:sz="0" w:space="0" w:color="auto" w:frame="1"/>
          <w:shd w:val="clear" w:color="auto" w:fill="FFFFFF"/>
        </w:rPr>
        <w:t>s</w:t>
      </w:r>
      <w:r w:rsidRPr="000566EE" w:rsidR="00C6210C">
        <w:rPr>
          <w:color w:val="000000"/>
          <w:szCs w:val="26"/>
          <w:bdr w:val="none" w:sz="0" w:space="0" w:color="auto" w:frame="1"/>
          <w:shd w:val="clear" w:color="auto" w:fill="FFFFFF"/>
        </w:rPr>
        <w:t xml:space="preserve"> </w:t>
      </w:r>
      <w:r w:rsidRPr="000566EE" w:rsidR="00770089">
        <w:rPr>
          <w:color w:val="000000"/>
          <w:szCs w:val="26"/>
          <w:bdr w:val="none" w:sz="0" w:space="0" w:color="auto" w:frame="1"/>
          <w:shd w:val="clear" w:color="auto" w:fill="FFFFFF"/>
        </w:rPr>
        <w:t xml:space="preserve">an act </w:t>
      </w:r>
      <w:r w:rsidRPr="000566EE" w:rsidR="00130A17">
        <w:rPr>
          <w:color w:val="000000"/>
          <w:szCs w:val="26"/>
          <w:bdr w:val="none" w:sz="0" w:space="0" w:color="auto" w:frame="1"/>
          <w:shd w:val="clear" w:color="auto" w:fill="FFFFFF"/>
        </w:rPr>
        <w:t>“</w:t>
      </w:r>
      <w:r w:rsidRPr="000566EE" w:rsidR="00C6210C">
        <w:rPr>
          <w:color w:val="000000"/>
          <w:szCs w:val="26"/>
          <w:bdr w:val="none" w:sz="0" w:space="0" w:color="auto" w:frame="1"/>
          <w:shd w:val="clear" w:color="auto" w:fill="FFFFFF"/>
        </w:rPr>
        <w:t>reducing the intensity of land use.</w:t>
      </w:r>
      <w:r w:rsidRPr="000566EE" w:rsidR="00130A17">
        <w:rPr>
          <w:color w:val="000000"/>
          <w:szCs w:val="26"/>
          <w:bdr w:val="none" w:sz="0" w:space="0" w:color="auto" w:frame="1"/>
          <w:shd w:val="clear" w:color="auto" w:fill="FFFFFF"/>
        </w:rPr>
        <w:t>”</w:t>
      </w:r>
      <w:r w:rsidRPr="000566EE" w:rsidR="00C6210C">
        <w:rPr>
          <w:color w:val="000000"/>
          <w:szCs w:val="26"/>
          <w:bdr w:val="none" w:sz="0" w:space="0" w:color="auto" w:frame="1"/>
          <w:shd w:val="clear" w:color="auto" w:fill="FFFFFF"/>
        </w:rPr>
        <w:t xml:space="preserve">  </w:t>
      </w:r>
      <w:r w:rsidRPr="000566EE" w:rsidR="005F2882">
        <w:rPr>
          <w:color w:val="000000"/>
          <w:szCs w:val="26"/>
          <w:bdr w:val="none" w:sz="0" w:space="0" w:color="auto" w:frame="1"/>
          <w:shd w:val="clear" w:color="auto" w:fill="FFFFFF"/>
        </w:rPr>
        <w:t>(</w:t>
      </w:r>
      <w:r w:rsidRPr="000566EE" w:rsidR="005F2882">
        <w:rPr>
          <w:i/>
          <w:iCs/>
          <w:color w:val="000000"/>
          <w:szCs w:val="26"/>
          <w:bdr w:val="none" w:sz="0" w:space="0" w:color="auto" w:frame="1"/>
          <w:shd w:val="clear" w:color="auto" w:fill="FFFFFF"/>
        </w:rPr>
        <w:t xml:space="preserve">Kray Cabling Co. </w:t>
      </w:r>
      <w:r w:rsidRPr="000566EE" w:rsidR="00F30795">
        <w:rPr>
          <w:i/>
          <w:iCs/>
          <w:color w:val="000000"/>
          <w:szCs w:val="26"/>
          <w:bdr w:val="none" w:sz="0" w:space="0" w:color="auto" w:frame="1"/>
          <w:shd w:val="clear" w:color="auto" w:fill="FFFFFF"/>
        </w:rPr>
        <w:t>v. County of Contra</w:t>
      </w:r>
      <w:r w:rsidRPr="000566EE" w:rsidR="00F30795">
        <w:rPr>
          <w:color w:val="000000"/>
          <w:szCs w:val="26"/>
          <w:bdr w:val="none" w:sz="0" w:space="0" w:color="auto" w:frame="1"/>
          <w:shd w:val="clear" w:color="auto" w:fill="FFFFFF"/>
        </w:rPr>
        <w:t xml:space="preserve"> </w:t>
      </w:r>
      <w:r w:rsidRPr="000566EE" w:rsidR="00F30795">
        <w:rPr>
          <w:i/>
          <w:iCs/>
          <w:color w:val="000000"/>
          <w:szCs w:val="26"/>
          <w:bdr w:val="none" w:sz="0" w:space="0" w:color="auto" w:frame="1"/>
          <w:shd w:val="clear" w:color="auto" w:fill="FFFFFF"/>
        </w:rPr>
        <w:t>Costa</w:t>
      </w:r>
      <w:r w:rsidRPr="000566EE" w:rsidR="00F30795">
        <w:rPr>
          <w:color w:val="000000"/>
          <w:szCs w:val="26"/>
          <w:bdr w:val="none" w:sz="0" w:space="0" w:color="auto" w:frame="1"/>
          <w:shd w:val="clear" w:color="auto" w:fill="FFFFFF"/>
        </w:rPr>
        <w:t xml:space="preserve"> (1995) 39 Cal.App.4th 1588, 1593 [“</w:t>
      </w:r>
      <w:r w:rsidRPr="000566EE" w:rsidR="0040047B">
        <w:rPr>
          <w:color w:val="000000"/>
          <w:szCs w:val="26"/>
          <w:bdr w:val="none" w:sz="0" w:space="0" w:color="auto" w:frame="1"/>
          <w:shd w:val="clear" w:color="auto" w:fill="FFFFFF"/>
        </w:rPr>
        <w:t>The ordinary, familiar meaning of ‘or’ is a delineation of alternatives”]</w:t>
      </w:r>
      <w:r w:rsidRPr="000566EE" w:rsidR="001227BF">
        <w:rPr>
          <w:color w:val="000000"/>
          <w:szCs w:val="26"/>
          <w:bdr w:val="none" w:sz="0" w:space="0" w:color="auto" w:frame="1"/>
          <w:shd w:val="clear" w:color="auto" w:fill="FFFFFF"/>
        </w:rPr>
        <w:t>.)</w:t>
      </w:r>
      <w:r w:rsidRPr="000566EE" w:rsidR="0090052D">
        <w:rPr>
          <w:color w:val="000000"/>
          <w:szCs w:val="26"/>
          <w:bdr w:val="none" w:sz="0" w:space="0" w:color="auto" w:frame="1"/>
          <w:shd w:val="clear" w:color="auto" w:fill="FFFFFF"/>
        </w:rPr>
        <w:t xml:space="preserve"> </w:t>
      </w:r>
      <w:r w:rsidRPr="000566EE" w:rsidR="006706EA">
        <w:rPr>
          <w:color w:val="000000"/>
          <w:szCs w:val="26"/>
          <w:bdr w:val="none" w:sz="0" w:space="0" w:color="auto" w:frame="1"/>
          <w:shd w:val="clear" w:color="auto" w:fill="FFFFFF"/>
        </w:rPr>
        <w:t xml:space="preserve"> The City does not dispute that the Ordinance reduced the allowed FAR for single-family residences in the R-1 zone to below what was permitted under the City’s zoning ordinance in effect on January</w:t>
      </w:r>
      <w:r w:rsidRPr="000566EE" w:rsidR="0021105D">
        <w:rPr>
          <w:color w:val="000000"/>
          <w:szCs w:val="26"/>
          <w:bdr w:val="none" w:sz="0" w:space="0" w:color="auto" w:frame="1"/>
          <w:shd w:val="clear" w:color="auto" w:fill="FFFFFF"/>
        </w:rPr>
        <w:t> </w:t>
      </w:r>
      <w:r w:rsidRPr="000566EE" w:rsidR="006706EA">
        <w:rPr>
          <w:color w:val="000000"/>
          <w:szCs w:val="26"/>
          <w:bdr w:val="none" w:sz="0" w:space="0" w:color="auto" w:frame="1"/>
          <w:shd w:val="clear" w:color="auto" w:fill="FFFFFF"/>
        </w:rPr>
        <w:t>1, 2018.</w:t>
      </w:r>
    </w:p>
    <w:p w:rsidR="004C5AA5" w:rsidRPr="000566EE" w:rsidP="000566EE" w14:paraId="5B9C477E" w14:textId="7FED875D">
      <w:pPr>
        <w:ind w:firstLine="720"/>
        <w:contextualSpacing/>
        <w:rPr>
          <w:color w:val="000000"/>
          <w:szCs w:val="26"/>
          <w:bdr w:val="none" w:sz="0" w:space="0" w:color="auto" w:frame="1"/>
          <w:shd w:val="clear" w:color="auto" w:fill="FFFFFF"/>
        </w:rPr>
      </w:pPr>
      <w:r w:rsidRPr="000566EE">
        <w:rPr>
          <w:color w:val="000000"/>
          <w:szCs w:val="26"/>
          <w:bdr w:val="none" w:sz="0" w:space="0" w:color="auto" w:frame="1"/>
          <w:shd w:val="clear" w:color="auto" w:fill="FFFFFF"/>
        </w:rPr>
        <w:t xml:space="preserve">The City </w:t>
      </w:r>
      <w:r w:rsidRPr="000566EE" w:rsidR="000336DE">
        <w:rPr>
          <w:color w:val="000000"/>
          <w:szCs w:val="26"/>
          <w:bdr w:val="none" w:sz="0" w:space="0" w:color="auto" w:frame="1"/>
          <w:shd w:val="clear" w:color="auto" w:fill="FFFFFF"/>
        </w:rPr>
        <w:t>cites</w:t>
      </w:r>
      <w:r w:rsidRPr="000566EE" w:rsidR="009F0094">
        <w:rPr>
          <w:color w:val="000000"/>
          <w:szCs w:val="26"/>
          <w:bdr w:val="none" w:sz="0" w:space="0" w:color="auto" w:frame="1"/>
          <w:shd w:val="clear" w:color="auto" w:fill="FFFFFF"/>
        </w:rPr>
        <w:t xml:space="preserve"> </w:t>
      </w:r>
      <w:r w:rsidRPr="000566EE" w:rsidR="00244F60">
        <w:rPr>
          <w:color w:val="000000"/>
          <w:szCs w:val="26"/>
          <w:bdr w:val="none" w:sz="0" w:space="0" w:color="auto" w:frame="1"/>
          <w:shd w:val="clear" w:color="auto" w:fill="FFFFFF"/>
        </w:rPr>
        <w:t xml:space="preserve">extensively </w:t>
      </w:r>
      <w:r w:rsidRPr="000566EE" w:rsidR="009F0094">
        <w:rPr>
          <w:color w:val="000000"/>
          <w:szCs w:val="26"/>
          <w:bdr w:val="none" w:sz="0" w:space="0" w:color="auto" w:frame="1"/>
          <w:shd w:val="clear" w:color="auto" w:fill="FFFFFF"/>
        </w:rPr>
        <w:t xml:space="preserve">to a </w:t>
      </w:r>
      <w:r w:rsidRPr="000566EE" w:rsidR="00244F60">
        <w:rPr>
          <w:color w:val="000000"/>
          <w:szCs w:val="26"/>
          <w:bdr w:val="none" w:sz="0" w:space="0" w:color="auto" w:frame="1"/>
          <w:shd w:val="clear" w:color="auto" w:fill="FFFFFF"/>
        </w:rPr>
        <w:t>general-purpose</w:t>
      </w:r>
      <w:r w:rsidRPr="000566EE" w:rsidR="009F0094">
        <w:rPr>
          <w:color w:val="000000"/>
          <w:szCs w:val="26"/>
          <w:bdr w:val="none" w:sz="0" w:space="0" w:color="auto" w:frame="1"/>
          <w:shd w:val="clear" w:color="auto" w:fill="FFFFFF"/>
        </w:rPr>
        <w:t xml:space="preserve"> dictionary</w:t>
      </w:r>
      <w:r w:rsidRPr="000566EE" w:rsidR="003F638D">
        <w:rPr>
          <w:color w:val="000000"/>
          <w:szCs w:val="26"/>
          <w:bdr w:val="none" w:sz="0" w:space="0" w:color="auto" w:frame="1"/>
          <w:shd w:val="clear" w:color="auto" w:fill="FFFFFF"/>
        </w:rPr>
        <w:t xml:space="preserve"> and a specialized dictionary focused on land use planning </w:t>
      </w:r>
      <w:r w:rsidRPr="000566EE" w:rsidR="006B43A1">
        <w:rPr>
          <w:color w:val="000000"/>
          <w:szCs w:val="26"/>
          <w:bdr w:val="none" w:sz="0" w:space="0" w:color="auto" w:frame="1"/>
          <w:shd w:val="clear" w:color="auto" w:fill="FFFFFF"/>
        </w:rPr>
        <w:t>to argue</w:t>
      </w:r>
      <w:r w:rsidRPr="000566EE" w:rsidR="003F638D">
        <w:rPr>
          <w:color w:val="000000"/>
          <w:szCs w:val="26"/>
          <w:bdr w:val="none" w:sz="0" w:space="0" w:color="auto" w:frame="1"/>
          <w:shd w:val="clear" w:color="auto" w:fill="FFFFFF"/>
        </w:rPr>
        <w:t xml:space="preserve"> </w:t>
      </w:r>
      <w:r w:rsidRPr="000566EE" w:rsidR="007D1B4F">
        <w:rPr>
          <w:color w:val="000000"/>
          <w:szCs w:val="26"/>
          <w:bdr w:val="none" w:sz="0" w:space="0" w:color="auto" w:frame="1"/>
          <w:shd w:val="clear" w:color="auto" w:fill="FFFFFF"/>
        </w:rPr>
        <w:t xml:space="preserve">the </w:t>
      </w:r>
      <w:r w:rsidRPr="000566EE" w:rsidR="00DE2027">
        <w:rPr>
          <w:color w:val="000000"/>
          <w:szCs w:val="26"/>
          <w:bdr w:val="none" w:sz="0" w:space="0" w:color="auto" w:frame="1"/>
          <w:shd w:val="clear" w:color="auto" w:fill="FFFFFF"/>
        </w:rPr>
        <w:t>terms</w:t>
      </w:r>
      <w:r w:rsidRPr="000566EE" w:rsidR="007D1B4F">
        <w:rPr>
          <w:color w:val="000000"/>
          <w:szCs w:val="26"/>
          <w:bdr w:val="none" w:sz="0" w:space="0" w:color="auto" w:frame="1"/>
          <w:shd w:val="clear" w:color="auto" w:fill="FFFFFF"/>
        </w:rPr>
        <w:t xml:space="preserve"> </w:t>
      </w:r>
      <w:r w:rsidRPr="000566EE" w:rsidR="00961228">
        <w:rPr>
          <w:color w:val="000000"/>
          <w:szCs w:val="26"/>
          <w:bdr w:val="none" w:sz="0" w:space="0" w:color="auto" w:frame="1"/>
          <w:shd w:val="clear" w:color="auto" w:fill="FFFFFF"/>
        </w:rPr>
        <w:t>“</w:t>
      </w:r>
      <w:r w:rsidRPr="000566EE" w:rsidR="00711256">
        <w:rPr>
          <w:color w:val="000000"/>
          <w:szCs w:val="26"/>
          <w:bdr w:val="none" w:sz="0" w:space="0" w:color="auto" w:frame="1"/>
          <w:shd w:val="clear" w:color="auto" w:fill="FFFFFF"/>
        </w:rPr>
        <w:t>density</w:t>
      </w:r>
      <w:r w:rsidRPr="000566EE" w:rsidR="00961228">
        <w:rPr>
          <w:color w:val="000000"/>
          <w:szCs w:val="26"/>
          <w:bdr w:val="none" w:sz="0" w:space="0" w:color="auto" w:frame="1"/>
          <w:shd w:val="clear" w:color="auto" w:fill="FFFFFF"/>
        </w:rPr>
        <w:t xml:space="preserve">” </w:t>
      </w:r>
      <w:r w:rsidRPr="000566EE" w:rsidR="005B0748">
        <w:rPr>
          <w:color w:val="000000"/>
          <w:szCs w:val="26"/>
          <w:bdr w:val="none" w:sz="0" w:space="0" w:color="auto" w:frame="1"/>
          <w:shd w:val="clear" w:color="auto" w:fill="FFFFFF"/>
        </w:rPr>
        <w:t xml:space="preserve">and </w:t>
      </w:r>
      <w:r w:rsidRPr="000566EE" w:rsidR="00961228">
        <w:rPr>
          <w:color w:val="000000"/>
          <w:szCs w:val="26"/>
          <w:bdr w:val="none" w:sz="0" w:space="0" w:color="auto" w:frame="1"/>
          <w:shd w:val="clear" w:color="auto" w:fill="FFFFFF"/>
        </w:rPr>
        <w:t>“</w:t>
      </w:r>
      <w:r w:rsidRPr="000566EE" w:rsidR="00711256">
        <w:rPr>
          <w:color w:val="000000"/>
          <w:szCs w:val="26"/>
          <w:bdr w:val="none" w:sz="0" w:space="0" w:color="auto" w:frame="1"/>
          <w:shd w:val="clear" w:color="auto" w:fill="FFFFFF"/>
        </w:rPr>
        <w:t>intensity</w:t>
      </w:r>
      <w:r w:rsidRPr="000566EE" w:rsidR="00E50E40">
        <w:rPr>
          <w:color w:val="000000"/>
          <w:szCs w:val="26"/>
          <w:bdr w:val="none" w:sz="0" w:space="0" w:color="auto" w:frame="1"/>
          <w:shd w:val="clear" w:color="auto" w:fill="FFFFFF"/>
        </w:rPr>
        <w:t>,</w:t>
      </w:r>
      <w:r w:rsidRPr="000566EE" w:rsidR="00961228">
        <w:rPr>
          <w:color w:val="000000"/>
          <w:szCs w:val="26"/>
          <w:bdr w:val="none" w:sz="0" w:space="0" w:color="auto" w:frame="1"/>
          <w:shd w:val="clear" w:color="auto" w:fill="FFFFFF"/>
        </w:rPr>
        <w:t>”</w:t>
      </w:r>
      <w:r w:rsidRPr="000566EE" w:rsidR="00711256">
        <w:rPr>
          <w:color w:val="000000"/>
          <w:szCs w:val="26"/>
          <w:bdr w:val="none" w:sz="0" w:space="0" w:color="auto" w:frame="1"/>
          <w:shd w:val="clear" w:color="auto" w:fill="FFFFFF"/>
        </w:rPr>
        <w:t xml:space="preserve"> </w:t>
      </w:r>
      <w:r w:rsidRPr="000566EE" w:rsidR="007C1C45">
        <w:rPr>
          <w:color w:val="000000"/>
          <w:szCs w:val="26"/>
          <w:bdr w:val="none" w:sz="0" w:space="0" w:color="auto" w:frame="1"/>
          <w:shd w:val="clear" w:color="auto" w:fill="FFFFFF"/>
        </w:rPr>
        <w:t xml:space="preserve">as </w:t>
      </w:r>
      <w:r w:rsidRPr="000566EE" w:rsidR="008C2BA7">
        <w:rPr>
          <w:color w:val="000000"/>
          <w:szCs w:val="26"/>
          <w:bdr w:val="none" w:sz="0" w:space="0" w:color="auto" w:frame="1"/>
          <w:shd w:val="clear" w:color="auto" w:fill="FFFFFF"/>
        </w:rPr>
        <w:t>used in the Act</w:t>
      </w:r>
      <w:r w:rsidRPr="000566EE" w:rsidR="00E50E40">
        <w:rPr>
          <w:color w:val="000000"/>
          <w:szCs w:val="26"/>
          <w:bdr w:val="none" w:sz="0" w:space="0" w:color="auto" w:frame="1"/>
          <w:shd w:val="clear" w:color="auto" w:fill="FFFFFF"/>
        </w:rPr>
        <w:t>,</w:t>
      </w:r>
      <w:r w:rsidRPr="000566EE" w:rsidR="008C2BA7">
        <w:rPr>
          <w:color w:val="000000"/>
          <w:szCs w:val="26"/>
          <w:bdr w:val="none" w:sz="0" w:space="0" w:color="auto" w:frame="1"/>
          <w:shd w:val="clear" w:color="auto" w:fill="FFFFFF"/>
        </w:rPr>
        <w:t xml:space="preserve"> </w:t>
      </w:r>
      <w:r w:rsidRPr="000566EE" w:rsidR="00711256">
        <w:rPr>
          <w:color w:val="000000"/>
          <w:szCs w:val="26"/>
          <w:bdr w:val="none" w:sz="0" w:space="0" w:color="auto" w:frame="1"/>
          <w:shd w:val="clear" w:color="auto" w:fill="FFFFFF"/>
        </w:rPr>
        <w:t>are ambiguous</w:t>
      </w:r>
      <w:r w:rsidRPr="000566EE" w:rsidR="002D65F8">
        <w:rPr>
          <w:color w:val="000000"/>
          <w:szCs w:val="26"/>
          <w:bdr w:val="none" w:sz="0" w:space="0" w:color="auto" w:frame="1"/>
          <w:shd w:val="clear" w:color="auto" w:fill="FFFFFF"/>
        </w:rPr>
        <w:t xml:space="preserve">.  The City claims </w:t>
      </w:r>
      <w:r w:rsidRPr="000566EE" w:rsidR="004D6515">
        <w:rPr>
          <w:color w:val="000000"/>
          <w:szCs w:val="26"/>
          <w:bdr w:val="none" w:sz="0" w:space="0" w:color="auto" w:frame="1"/>
          <w:shd w:val="clear" w:color="auto" w:fill="FFFFFF"/>
        </w:rPr>
        <w:t xml:space="preserve">that </w:t>
      </w:r>
      <w:r w:rsidRPr="000566EE" w:rsidR="008F486F">
        <w:rPr>
          <w:color w:val="000000"/>
          <w:szCs w:val="26"/>
          <w:bdr w:val="none" w:sz="0" w:space="0" w:color="auto" w:frame="1"/>
          <w:shd w:val="clear" w:color="auto" w:fill="FFFFFF"/>
        </w:rPr>
        <w:t xml:space="preserve">the Legislature intended </w:t>
      </w:r>
      <w:r w:rsidRPr="000566EE" w:rsidR="006B43A1">
        <w:rPr>
          <w:color w:val="000000"/>
          <w:szCs w:val="26"/>
          <w:bdr w:val="none" w:sz="0" w:space="0" w:color="auto" w:frame="1"/>
          <w:shd w:val="clear" w:color="auto" w:fill="FFFFFF"/>
        </w:rPr>
        <w:t xml:space="preserve">that </w:t>
      </w:r>
      <w:r w:rsidRPr="000566EE" w:rsidR="00A61DCB">
        <w:rPr>
          <w:color w:val="000000"/>
          <w:szCs w:val="26"/>
          <w:bdr w:val="none" w:sz="0" w:space="0" w:color="auto" w:frame="1"/>
          <w:shd w:val="clear" w:color="auto" w:fill="FFFFFF"/>
        </w:rPr>
        <w:t>only a zoning change that reduces density</w:t>
      </w:r>
      <w:r w:rsidRPr="000566EE" w:rsidR="005C6D2B">
        <w:rPr>
          <w:color w:val="000000"/>
          <w:szCs w:val="26"/>
          <w:bdr w:val="none" w:sz="0" w:space="0" w:color="auto" w:frame="1"/>
          <w:shd w:val="clear" w:color="auto" w:fill="FFFFFF"/>
        </w:rPr>
        <w:t xml:space="preserve">, </w:t>
      </w:r>
      <w:r w:rsidRPr="000566EE" w:rsidR="002D65F8">
        <w:rPr>
          <w:color w:val="000000"/>
          <w:szCs w:val="26"/>
          <w:bdr w:val="none" w:sz="0" w:space="0" w:color="auto" w:frame="1"/>
          <w:shd w:val="clear" w:color="auto" w:fill="FFFFFF"/>
        </w:rPr>
        <w:t xml:space="preserve">meaning the number of housing </w:t>
      </w:r>
      <w:r w:rsidRPr="002A6D4F" w:rsidR="002D65F8">
        <w:rPr>
          <w:color w:val="000000"/>
          <w:szCs w:val="26"/>
          <w:bdr w:val="none" w:sz="0" w:space="0" w:color="auto" w:frame="1"/>
          <w:shd w:val="clear" w:color="auto" w:fill="FFFFFF"/>
        </w:rPr>
        <w:t>units</w:t>
      </w:r>
      <w:r w:rsidRPr="002A6D4F" w:rsidR="00EF2A4D">
        <w:rPr>
          <w:color w:val="000000"/>
          <w:szCs w:val="26"/>
          <w:bdr w:val="none" w:sz="0" w:space="0" w:color="auto" w:frame="1"/>
          <w:shd w:val="clear" w:color="auto" w:fill="FFFFFF"/>
        </w:rPr>
        <w:t>,</w:t>
      </w:r>
      <w:r w:rsidRPr="000566EE" w:rsidR="005C6D2B">
        <w:rPr>
          <w:color w:val="000000"/>
          <w:szCs w:val="26"/>
          <w:bdr w:val="none" w:sz="0" w:space="0" w:color="auto" w:frame="1"/>
          <w:shd w:val="clear" w:color="auto" w:fill="FFFFFF"/>
        </w:rPr>
        <w:t xml:space="preserve"> </w:t>
      </w:r>
      <w:r w:rsidRPr="000566EE" w:rsidR="00A61DCB">
        <w:rPr>
          <w:color w:val="000000"/>
          <w:szCs w:val="26"/>
          <w:bdr w:val="none" w:sz="0" w:space="0" w:color="auto" w:frame="1"/>
          <w:shd w:val="clear" w:color="auto" w:fill="FFFFFF"/>
        </w:rPr>
        <w:t>violate</w:t>
      </w:r>
      <w:r w:rsidRPr="000566EE" w:rsidR="002D65F8">
        <w:rPr>
          <w:color w:val="000000"/>
          <w:szCs w:val="26"/>
          <w:bdr w:val="none" w:sz="0" w:space="0" w:color="auto" w:frame="1"/>
          <w:shd w:val="clear" w:color="auto" w:fill="FFFFFF"/>
        </w:rPr>
        <w:t>s</w:t>
      </w:r>
      <w:r w:rsidRPr="000566EE" w:rsidR="00A61DCB">
        <w:rPr>
          <w:color w:val="000000"/>
          <w:szCs w:val="26"/>
          <w:bdr w:val="none" w:sz="0" w:space="0" w:color="auto" w:frame="1"/>
          <w:shd w:val="clear" w:color="auto" w:fill="FFFFFF"/>
        </w:rPr>
        <w:t xml:space="preserve"> section</w:t>
      </w:r>
      <w:r w:rsidRPr="000566EE" w:rsidR="0021105D">
        <w:rPr>
          <w:color w:val="000000"/>
          <w:szCs w:val="26"/>
          <w:bdr w:val="none" w:sz="0" w:space="0" w:color="auto" w:frame="1"/>
          <w:shd w:val="clear" w:color="auto" w:fill="FFFFFF"/>
        </w:rPr>
        <w:t> </w:t>
      </w:r>
      <w:r w:rsidRPr="000566EE" w:rsidR="00A61DCB">
        <w:rPr>
          <w:color w:val="000000"/>
          <w:szCs w:val="26"/>
          <w:bdr w:val="none" w:sz="0" w:space="0" w:color="auto" w:frame="1"/>
          <w:shd w:val="clear" w:color="auto" w:fill="FFFFFF"/>
        </w:rPr>
        <w:t>66300</w:t>
      </w:r>
      <w:r w:rsidRPr="000566EE" w:rsidR="00B96E45">
        <w:rPr>
          <w:color w:val="000000"/>
          <w:szCs w:val="26"/>
          <w:bdr w:val="none" w:sz="0" w:space="0" w:color="auto" w:frame="1"/>
          <w:shd w:val="clear" w:color="auto" w:fill="FFFFFF"/>
        </w:rPr>
        <w:t>; it therefore remains free to enact zoning changes that reduce</w:t>
      </w:r>
      <w:r w:rsidRPr="000566EE" w:rsidR="00F65666">
        <w:rPr>
          <w:color w:val="000000"/>
          <w:szCs w:val="26"/>
          <w:bdr w:val="none" w:sz="0" w:space="0" w:color="auto" w:frame="1"/>
          <w:shd w:val="clear" w:color="auto" w:fill="FFFFFF"/>
        </w:rPr>
        <w:t xml:space="preserve"> the capacity of dwellings to house people.  However, there </w:t>
      </w:r>
      <w:r w:rsidRPr="000566EE" w:rsidR="00593F40">
        <w:rPr>
          <w:color w:val="000000"/>
          <w:szCs w:val="26"/>
          <w:bdr w:val="none" w:sz="0" w:space="0" w:color="auto" w:frame="1"/>
          <w:shd w:val="clear" w:color="auto" w:fill="FFFFFF"/>
        </w:rPr>
        <w:t xml:space="preserve">is no need to </w:t>
      </w:r>
      <w:r w:rsidRPr="000566EE" w:rsidR="009D49B3">
        <w:rPr>
          <w:color w:val="000000"/>
          <w:szCs w:val="26"/>
          <w:bdr w:val="none" w:sz="0" w:space="0" w:color="auto" w:frame="1"/>
          <w:shd w:val="clear" w:color="auto" w:fill="FFFFFF"/>
        </w:rPr>
        <w:t xml:space="preserve">look at how other sources define </w:t>
      </w:r>
      <w:r w:rsidRPr="000566EE" w:rsidR="00733CC4">
        <w:rPr>
          <w:color w:val="000000"/>
          <w:szCs w:val="26"/>
          <w:bdr w:val="none" w:sz="0" w:space="0" w:color="auto" w:frame="1"/>
          <w:shd w:val="clear" w:color="auto" w:fill="FFFFFF"/>
        </w:rPr>
        <w:t>“density” and “intensity,”</w:t>
      </w:r>
      <w:r w:rsidRPr="000566EE" w:rsidR="00F004BE">
        <w:rPr>
          <w:color w:val="000000"/>
          <w:szCs w:val="26"/>
          <w:bdr w:val="none" w:sz="0" w:space="0" w:color="auto" w:frame="1"/>
          <w:shd w:val="clear" w:color="auto" w:fill="FFFFFF"/>
        </w:rPr>
        <w:t xml:space="preserve"> as the </w:t>
      </w:r>
      <w:r w:rsidRPr="000566EE" w:rsidR="00FF0BD6">
        <w:rPr>
          <w:color w:val="000000"/>
          <w:szCs w:val="26"/>
          <w:bdr w:val="none" w:sz="0" w:space="0" w:color="auto" w:frame="1"/>
          <w:shd w:val="clear" w:color="auto" w:fill="FFFFFF"/>
        </w:rPr>
        <w:t>statutory</w:t>
      </w:r>
      <w:r w:rsidRPr="000566EE" w:rsidR="00F004BE">
        <w:rPr>
          <w:color w:val="000000"/>
          <w:szCs w:val="26"/>
          <w:bdr w:val="none" w:sz="0" w:space="0" w:color="auto" w:frame="1"/>
          <w:shd w:val="clear" w:color="auto" w:fill="FFFFFF"/>
        </w:rPr>
        <w:t xml:space="preserve"> definition for </w:t>
      </w:r>
      <w:r w:rsidRPr="000566EE" w:rsidR="00244F60">
        <w:rPr>
          <w:color w:val="000000"/>
          <w:szCs w:val="26"/>
          <w:bdr w:val="none" w:sz="0" w:space="0" w:color="auto" w:frame="1"/>
          <w:shd w:val="clear" w:color="auto" w:fill="FFFFFF"/>
        </w:rPr>
        <w:t>“</w:t>
      </w:r>
      <w:r w:rsidRPr="000566EE" w:rsidR="00F004BE">
        <w:rPr>
          <w:color w:val="000000"/>
          <w:szCs w:val="26"/>
          <w:bdr w:val="none" w:sz="0" w:space="0" w:color="auto" w:frame="1"/>
          <w:shd w:val="clear" w:color="auto" w:fill="FFFFFF"/>
        </w:rPr>
        <w:t>reducing the intensity of land use</w:t>
      </w:r>
      <w:r w:rsidRPr="000566EE" w:rsidR="00244F60">
        <w:rPr>
          <w:color w:val="000000"/>
          <w:szCs w:val="26"/>
          <w:bdr w:val="none" w:sz="0" w:space="0" w:color="auto" w:frame="1"/>
          <w:shd w:val="clear" w:color="auto" w:fill="FFFFFF"/>
        </w:rPr>
        <w:t>”</w:t>
      </w:r>
      <w:r w:rsidRPr="000566EE" w:rsidR="00F004BE">
        <w:rPr>
          <w:color w:val="000000"/>
          <w:szCs w:val="26"/>
          <w:bdr w:val="none" w:sz="0" w:space="0" w:color="auto" w:frame="1"/>
          <w:shd w:val="clear" w:color="auto" w:fill="FFFFFF"/>
        </w:rPr>
        <w:t xml:space="preserve"> </w:t>
      </w:r>
      <w:r w:rsidRPr="000566EE" w:rsidR="007C7106">
        <w:rPr>
          <w:color w:val="000000"/>
          <w:szCs w:val="26"/>
          <w:bdr w:val="none" w:sz="0" w:space="0" w:color="auto" w:frame="1"/>
          <w:shd w:val="clear" w:color="auto" w:fill="FFFFFF"/>
        </w:rPr>
        <w:t xml:space="preserve">found in the Act itself </w:t>
      </w:r>
      <w:r w:rsidRPr="000566EE" w:rsidR="00F004BE">
        <w:rPr>
          <w:color w:val="000000"/>
          <w:szCs w:val="26"/>
          <w:bdr w:val="none" w:sz="0" w:space="0" w:color="auto" w:frame="1"/>
          <w:shd w:val="clear" w:color="auto" w:fill="FFFFFF"/>
        </w:rPr>
        <w:t>is controlling.  (</w:t>
      </w:r>
      <w:r w:rsidRPr="000566EE" w:rsidR="00F004BE">
        <w:rPr>
          <w:i/>
          <w:iCs/>
          <w:color w:val="000000"/>
          <w:szCs w:val="26"/>
          <w:bdr w:val="none" w:sz="0" w:space="0" w:color="auto" w:frame="1"/>
          <w:shd w:val="clear" w:color="auto" w:fill="FFFFFF"/>
        </w:rPr>
        <w:t>Witt Home Ranch</w:t>
      </w:r>
      <w:r w:rsidRPr="000566EE" w:rsidR="00F004BE">
        <w:rPr>
          <w:color w:val="000000"/>
          <w:szCs w:val="26"/>
          <w:bdr w:val="none" w:sz="0" w:space="0" w:color="auto" w:frame="1"/>
          <w:shd w:val="clear" w:color="auto" w:fill="FFFFFF"/>
        </w:rPr>
        <w:t xml:space="preserve">, </w:t>
      </w:r>
      <w:r w:rsidRPr="000566EE" w:rsidR="00F004BE">
        <w:rPr>
          <w:i/>
          <w:iCs/>
          <w:color w:val="000000"/>
          <w:szCs w:val="26"/>
          <w:bdr w:val="none" w:sz="0" w:space="0" w:color="auto" w:frame="1"/>
          <w:shd w:val="clear" w:color="auto" w:fill="FFFFFF"/>
        </w:rPr>
        <w:t>supra</w:t>
      </w:r>
      <w:r w:rsidRPr="000566EE" w:rsidR="00F004BE">
        <w:rPr>
          <w:color w:val="000000"/>
          <w:szCs w:val="26"/>
          <w:bdr w:val="none" w:sz="0" w:space="0" w:color="auto" w:frame="1"/>
          <w:shd w:val="clear" w:color="auto" w:fill="FFFFFF"/>
        </w:rPr>
        <w:t xml:space="preserve">, 165 Cal.App.4th at p. 559; </w:t>
      </w:r>
      <w:r w:rsidRPr="000566EE" w:rsidR="00F004BE">
        <w:rPr>
          <w:i/>
          <w:iCs/>
          <w:color w:val="000000"/>
          <w:szCs w:val="26"/>
          <w:bdr w:val="none" w:sz="0" w:space="0" w:color="auto" w:frame="1"/>
          <w:shd w:val="clear" w:color="auto" w:fill="FFFFFF"/>
        </w:rPr>
        <w:t>Kim v. Reins International California, Inc.</w:t>
      </w:r>
      <w:r w:rsidRPr="000566EE" w:rsidR="00F004BE">
        <w:rPr>
          <w:color w:val="000000"/>
          <w:szCs w:val="26"/>
          <w:bdr w:val="none" w:sz="0" w:space="0" w:color="auto" w:frame="1"/>
          <w:shd w:val="clear" w:color="auto" w:fill="FFFFFF"/>
        </w:rPr>
        <w:t xml:space="preserve"> (2020) 9 Cal.5th 73, 84.)</w:t>
      </w:r>
      <w:r w:rsidRPr="000566EE" w:rsidR="001634EB">
        <w:rPr>
          <w:color w:val="000000"/>
          <w:szCs w:val="26"/>
          <w:bdr w:val="none" w:sz="0" w:space="0" w:color="auto" w:frame="1"/>
          <w:shd w:val="clear" w:color="auto" w:fill="FFFFFF"/>
        </w:rPr>
        <w:t xml:space="preserve">  </w:t>
      </w:r>
      <w:r w:rsidRPr="000566EE" w:rsidR="00AF0BB9">
        <w:rPr>
          <w:color w:val="000000"/>
          <w:szCs w:val="26"/>
          <w:bdr w:val="none" w:sz="0" w:space="0" w:color="auto" w:frame="1"/>
          <w:shd w:val="clear" w:color="auto" w:fill="FFFFFF"/>
        </w:rPr>
        <w:t>“</w:t>
      </w:r>
      <w:r w:rsidRPr="000566EE" w:rsidR="00FD1EAF">
        <w:rPr>
          <w:color w:val="000000"/>
          <w:szCs w:val="26"/>
          <w:bdr w:val="none" w:sz="0" w:space="0" w:color="auto" w:frame="1"/>
          <w:shd w:val="clear" w:color="auto" w:fill="FFFFFF"/>
        </w:rPr>
        <w:t>Courts accord great weight to statutory definitions because they presume such definitions accurately reflect legislative intent.</w:t>
      </w:r>
      <w:r w:rsidRPr="000566EE" w:rsidR="00AF0BB9">
        <w:rPr>
          <w:color w:val="000000"/>
          <w:szCs w:val="26"/>
          <w:bdr w:val="none" w:sz="0" w:space="0" w:color="auto" w:frame="1"/>
          <w:shd w:val="clear" w:color="auto" w:fill="FFFFFF"/>
        </w:rPr>
        <w:t xml:space="preserve"> </w:t>
      </w:r>
      <w:r w:rsidRPr="000566EE" w:rsidR="00FD1EAF">
        <w:rPr>
          <w:color w:val="000000"/>
          <w:szCs w:val="26"/>
          <w:bdr w:val="none" w:sz="0" w:space="0" w:color="auto" w:frame="1"/>
          <w:shd w:val="clear" w:color="auto" w:fill="FFFFFF"/>
        </w:rPr>
        <w:t xml:space="preserve"> A statute itself furnishes the best evidence of its own meaning, and if an act</w:t>
      </w:r>
      <w:r w:rsidRPr="000566EE" w:rsidR="00EA5736">
        <w:rPr>
          <w:color w:val="000000"/>
          <w:szCs w:val="26"/>
          <w:bdr w:val="none" w:sz="0" w:space="0" w:color="auto" w:frame="1"/>
          <w:shd w:val="clear" w:color="auto" w:fill="FFFFFF"/>
        </w:rPr>
        <w:t>’</w:t>
      </w:r>
      <w:r w:rsidRPr="000566EE" w:rsidR="00FD1EAF">
        <w:rPr>
          <w:color w:val="000000"/>
          <w:szCs w:val="26"/>
          <w:bdr w:val="none" w:sz="0" w:space="0" w:color="auto" w:frame="1"/>
          <w:shd w:val="clear" w:color="auto" w:fill="FFFFFF"/>
        </w:rPr>
        <w:t xml:space="preserve">s intent can be ascertained clearly from its own provisions, that intent prevails and courts do not resort to other aids for construction. </w:t>
      </w:r>
      <w:r w:rsidRPr="000566EE" w:rsidR="001A06F1">
        <w:rPr>
          <w:color w:val="000000"/>
          <w:szCs w:val="26"/>
          <w:bdr w:val="none" w:sz="0" w:space="0" w:color="auto" w:frame="1"/>
          <w:shd w:val="clear" w:color="auto" w:fill="FFFFFF"/>
        </w:rPr>
        <w:t xml:space="preserve"> </w:t>
      </w:r>
      <w:r w:rsidRPr="000566EE" w:rsidR="00FD1EAF">
        <w:rPr>
          <w:color w:val="000000"/>
          <w:szCs w:val="26"/>
          <w:bdr w:val="none" w:sz="0" w:space="0" w:color="auto" w:frame="1"/>
          <w:shd w:val="clear" w:color="auto" w:fill="FFFFFF"/>
        </w:rPr>
        <w:t>A legislature, best knowing its own intent, which defines the meaning of a word, not only exercises its legislative power, but does so with the explicit goal to provide a correct understanding of its intention, and thus to facilitate the primary judicial inquiry of statutory interpretation.</w:t>
      </w:r>
      <w:r w:rsidRPr="000566EE" w:rsidR="004E14C7">
        <w:rPr>
          <w:color w:val="000000"/>
          <w:szCs w:val="26"/>
          <w:bdr w:val="none" w:sz="0" w:space="0" w:color="auto" w:frame="1"/>
          <w:shd w:val="clear" w:color="auto" w:fill="FFFFFF"/>
        </w:rPr>
        <w:t>”  (</w:t>
      </w:r>
      <w:r w:rsidRPr="000566EE" w:rsidR="00D80401">
        <w:rPr>
          <w:color w:val="000000"/>
          <w:szCs w:val="26"/>
          <w:bdr w:val="none" w:sz="0" w:space="0" w:color="auto" w:frame="1"/>
          <w:shd w:val="clear" w:color="auto" w:fill="FFFFFF"/>
        </w:rPr>
        <w:t xml:space="preserve">Singer, </w:t>
      </w:r>
      <w:r w:rsidRPr="000566EE" w:rsidR="00CD030B">
        <w:rPr>
          <w:color w:val="000000"/>
          <w:szCs w:val="26"/>
          <w:bdr w:val="none" w:sz="0" w:space="0" w:color="auto" w:frame="1"/>
          <w:shd w:val="clear" w:color="auto" w:fill="FFFFFF"/>
        </w:rPr>
        <w:t xml:space="preserve">2A </w:t>
      </w:r>
      <w:r w:rsidRPr="000566EE" w:rsidR="00D80401">
        <w:rPr>
          <w:color w:val="000000"/>
          <w:szCs w:val="26"/>
          <w:bdr w:val="none" w:sz="0" w:space="0" w:color="auto" w:frame="1"/>
          <w:shd w:val="clear" w:color="auto" w:fill="FFFFFF"/>
        </w:rPr>
        <w:t xml:space="preserve">Sutherland Statutes and Statutory Construction (7th ed. </w:t>
      </w:r>
      <w:r w:rsidRPr="000566EE" w:rsidR="00B64113">
        <w:rPr>
          <w:color w:val="000000"/>
          <w:szCs w:val="26"/>
          <w:bdr w:val="none" w:sz="0" w:space="0" w:color="auto" w:frame="1"/>
          <w:shd w:val="clear" w:color="auto" w:fill="FFFFFF"/>
        </w:rPr>
        <w:t>2022</w:t>
      </w:r>
      <w:r w:rsidRPr="000566EE" w:rsidR="00D80401">
        <w:rPr>
          <w:color w:val="000000"/>
          <w:szCs w:val="26"/>
          <w:bdr w:val="none" w:sz="0" w:space="0" w:color="auto" w:frame="1"/>
          <w:shd w:val="clear" w:color="auto" w:fill="FFFFFF"/>
        </w:rPr>
        <w:t>) §</w:t>
      </w:r>
      <w:r w:rsidRPr="000566EE" w:rsidR="00757D9C">
        <w:rPr>
          <w:color w:val="000000"/>
          <w:szCs w:val="26"/>
          <w:bdr w:val="none" w:sz="0" w:space="0" w:color="auto" w:frame="1"/>
          <w:shd w:val="clear" w:color="auto" w:fill="FFFFFF"/>
        </w:rPr>
        <w:t> </w:t>
      </w:r>
      <w:r w:rsidRPr="000566EE" w:rsidR="00C60865">
        <w:rPr>
          <w:color w:val="000000"/>
          <w:szCs w:val="26"/>
          <w:bdr w:val="none" w:sz="0" w:space="0" w:color="auto" w:frame="1"/>
          <w:shd w:val="clear" w:color="auto" w:fill="FFFFFF"/>
        </w:rPr>
        <w:t>47</w:t>
      </w:r>
      <w:r w:rsidRPr="000566EE" w:rsidR="00D80401">
        <w:rPr>
          <w:color w:val="000000"/>
          <w:szCs w:val="26"/>
          <w:bdr w:val="none" w:sz="0" w:space="0" w:color="auto" w:frame="1"/>
          <w:shd w:val="clear" w:color="auto" w:fill="FFFFFF"/>
        </w:rPr>
        <w:t>:</w:t>
      </w:r>
      <w:r w:rsidRPr="000566EE" w:rsidR="00C60865">
        <w:rPr>
          <w:color w:val="000000"/>
          <w:szCs w:val="26"/>
          <w:bdr w:val="none" w:sz="0" w:space="0" w:color="auto" w:frame="1"/>
          <w:shd w:val="clear" w:color="auto" w:fill="FFFFFF"/>
        </w:rPr>
        <w:t>7</w:t>
      </w:r>
      <w:r w:rsidRPr="000566EE" w:rsidR="00733CC4">
        <w:rPr>
          <w:color w:val="000000"/>
          <w:szCs w:val="26"/>
          <w:bdr w:val="none" w:sz="0" w:space="0" w:color="auto" w:frame="1"/>
          <w:shd w:val="clear" w:color="auto" w:fill="FFFFFF"/>
        </w:rPr>
        <w:t>, fn. omitted</w:t>
      </w:r>
      <w:r w:rsidRPr="000566EE" w:rsidR="00C60865">
        <w:rPr>
          <w:color w:val="000000"/>
          <w:szCs w:val="26"/>
          <w:bdr w:val="none" w:sz="0" w:space="0" w:color="auto" w:frame="1"/>
          <w:shd w:val="clear" w:color="auto" w:fill="FFFFFF"/>
        </w:rPr>
        <w:t>.)</w:t>
      </w:r>
      <w:r w:rsidRPr="000566EE" w:rsidR="00D558A2">
        <w:rPr>
          <w:color w:val="000000"/>
          <w:szCs w:val="26"/>
          <w:bdr w:val="none" w:sz="0" w:space="0" w:color="auto" w:frame="1"/>
          <w:shd w:val="clear" w:color="auto" w:fill="FFFFFF"/>
        </w:rPr>
        <w:t xml:space="preserve">  </w:t>
      </w:r>
      <w:r w:rsidRPr="000566EE" w:rsidR="00136F81">
        <w:rPr>
          <w:color w:val="000000"/>
          <w:szCs w:val="26"/>
          <w:bdr w:val="none" w:sz="0" w:space="0" w:color="auto" w:frame="1"/>
          <w:shd w:val="clear" w:color="auto" w:fill="FFFFFF"/>
        </w:rPr>
        <w:t xml:space="preserve">  </w:t>
      </w:r>
      <w:r w:rsidRPr="000566EE" w:rsidR="00610751">
        <w:rPr>
          <w:color w:val="000000"/>
          <w:szCs w:val="26"/>
          <w:bdr w:val="none" w:sz="0" w:space="0" w:color="auto" w:frame="1"/>
          <w:shd w:val="clear" w:color="auto" w:fill="FFFFFF"/>
        </w:rPr>
        <w:t xml:space="preserve">   </w:t>
      </w:r>
    </w:p>
    <w:p w:rsidR="00EB6C4B" w:rsidRPr="000566EE" w:rsidP="000566EE" w14:paraId="0296468B" w14:textId="12AF7E47">
      <w:pPr>
        <w:ind w:firstLine="720"/>
        <w:contextualSpacing/>
        <w:rPr>
          <w:color w:val="000000"/>
          <w:szCs w:val="26"/>
          <w:bdr w:val="none" w:sz="0" w:space="0" w:color="auto" w:frame="1"/>
          <w:shd w:val="clear" w:color="auto" w:fill="FFFFFF"/>
        </w:rPr>
      </w:pPr>
      <w:r w:rsidRPr="000566EE">
        <w:rPr>
          <w:color w:val="000000"/>
          <w:szCs w:val="26"/>
          <w:bdr w:val="none" w:sz="0" w:space="0" w:color="auto" w:frame="1"/>
          <w:shd w:val="clear" w:color="auto" w:fill="FFFFFF"/>
        </w:rPr>
        <w:t>Further</w:t>
      </w:r>
      <w:r w:rsidRPr="000566EE" w:rsidR="00130190">
        <w:rPr>
          <w:color w:val="000000"/>
          <w:szCs w:val="26"/>
          <w:bdr w:val="none" w:sz="0" w:space="0" w:color="auto" w:frame="1"/>
          <w:shd w:val="clear" w:color="auto" w:fill="FFFFFF"/>
        </w:rPr>
        <w:t xml:space="preserve">, </w:t>
      </w:r>
      <w:r w:rsidRPr="000566EE" w:rsidR="00FF6A6C">
        <w:rPr>
          <w:color w:val="000000"/>
          <w:szCs w:val="26"/>
          <w:bdr w:val="none" w:sz="0" w:space="0" w:color="auto" w:frame="1"/>
          <w:shd w:val="clear" w:color="auto" w:fill="FFFFFF"/>
        </w:rPr>
        <w:t>t</w:t>
      </w:r>
      <w:r w:rsidRPr="000566EE" w:rsidR="002F55EB">
        <w:rPr>
          <w:color w:val="000000"/>
          <w:szCs w:val="26"/>
          <w:bdr w:val="none" w:sz="0" w:space="0" w:color="auto" w:frame="1"/>
          <w:shd w:val="clear" w:color="auto" w:fill="FFFFFF"/>
        </w:rPr>
        <w:t xml:space="preserve">he Legislature </w:t>
      </w:r>
      <w:r w:rsidRPr="000566EE" w:rsidR="00DD5595">
        <w:rPr>
          <w:color w:val="000000"/>
          <w:szCs w:val="26"/>
          <w:bdr w:val="none" w:sz="0" w:space="0" w:color="auto" w:frame="1"/>
          <w:shd w:val="clear" w:color="auto" w:fill="FFFFFF"/>
        </w:rPr>
        <w:t>employed both terms,</w:t>
      </w:r>
      <w:r w:rsidRPr="000566EE" w:rsidR="00EA233C">
        <w:rPr>
          <w:color w:val="000000"/>
          <w:szCs w:val="26"/>
          <w:bdr w:val="none" w:sz="0" w:space="0" w:color="auto" w:frame="1"/>
          <w:shd w:val="clear" w:color="auto" w:fill="FFFFFF"/>
        </w:rPr>
        <w:t xml:space="preserve"> </w:t>
      </w:r>
      <w:r w:rsidRPr="000566EE">
        <w:rPr>
          <w:color w:val="000000"/>
          <w:szCs w:val="26"/>
          <w:bdr w:val="none" w:sz="0" w:space="0" w:color="auto" w:frame="1"/>
          <w:shd w:val="clear" w:color="auto" w:fill="FFFFFF"/>
        </w:rPr>
        <w:t>“intensity” and “density</w:t>
      </w:r>
      <w:r w:rsidRPr="000566EE" w:rsidR="00DD5595">
        <w:rPr>
          <w:color w:val="000000"/>
          <w:szCs w:val="26"/>
          <w:bdr w:val="none" w:sz="0" w:space="0" w:color="auto" w:frame="1"/>
          <w:shd w:val="clear" w:color="auto" w:fill="FFFFFF"/>
        </w:rPr>
        <w:t>,</w:t>
      </w:r>
      <w:r w:rsidRPr="000566EE">
        <w:rPr>
          <w:color w:val="000000"/>
          <w:szCs w:val="26"/>
          <w:bdr w:val="none" w:sz="0" w:space="0" w:color="auto" w:frame="1"/>
          <w:shd w:val="clear" w:color="auto" w:fill="FFFFFF"/>
        </w:rPr>
        <w:t xml:space="preserve">” </w:t>
      </w:r>
      <w:r w:rsidRPr="000566EE" w:rsidR="00CD1C91">
        <w:rPr>
          <w:color w:val="000000"/>
          <w:szCs w:val="26"/>
          <w:bdr w:val="none" w:sz="0" w:space="0" w:color="auto" w:frame="1"/>
          <w:shd w:val="clear" w:color="auto" w:fill="FFFFFF"/>
        </w:rPr>
        <w:t>in subdivision (b)(1)(A)</w:t>
      </w:r>
      <w:r w:rsidRPr="000566EE" w:rsidR="00063EEA">
        <w:rPr>
          <w:color w:val="000000"/>
          <w:szCs w:val="26"/>
          <w:bdr w:val="none" w:sz="0" w:space="0" w:color="auto" w:frame="1"/>
          <w:shd w:val="clear" w:color="auto" w:fill="FFFFFF"/>
        </w:rPr>
        <w:t xml:space="preserve"> </w:t>
      </w:r>
      <w:r w:rsidRPr="000566EE" w:rsidR="00CB74D6">
        <w:rPr>
          <w:color w:val="000000"/>
          <w:szCs w:val="26"/>
          <w:bdr w:val="none" w:sz="0" w:space="0" w:color="auto" w:frame="1"/>
          <w:shd w:val="clear" w:color="auto" w:fill="FFFFFF"/>
        </w:rPr>
        <w:t>(</w:t>
      </w:r>
      <w:r w:rsidRPr="000566EE" w:rsidR="00466588">
        <w:rPr>
          <w:color w:val="000000"/>
          <w:szCs w:val="26"/>
          <w:bdr w:val="none" w:sz="0" w:space="0" w:color="auto" w:frame="1"/>
          <w:shd w:val="clear" w:color="auto" w:fill="FFFFFF"/>
        </w:rPr>
        <w:t>“</w:t>
      </w:r>
      <w:r w:rsidRPr="000566EE" w:rsidR="00425E87">
        <w:rPr>
          <w:color w:val="000000"/>
          <w:szCs w:val="26"/>
          <w:bdr w:val="none" w:sz="0" w:space="0" w:color="auto" w:frame="1"/>
          <w:shd w:val="clear" w:color="auto" w:fill="FFFFFF"/>
        </w:rPr>
        <w:t>‘</w:t>
      </w:r>
      <w:r w:rsidRPr="000566EE" w:rsidR="00466588">
        <w:rPr>
          <w:color w:val="000000"/>
          <w:szCs w:val="26"/>
          <w:bdr w:val="none" w:sz="0" w:space="0" w:color="auto" w:frame="1"/>
          <w:shd w:val="clear" w:color="auto" w:fill="FFFFFF"/>
        </w:rPr>
        <w:t xml:space="preserve">reducing the </w:t>
      </w:r>
      <w:r w:rsidRPr="000566EE" w:rsidR="00466588">
        <w:rPr>
          <w:i/>
          <w:iCs/>
          <w:color w:val="000000"/>
          <w:szCs w:val="26"/>
          <w:bdr w:val="none" w:sz="0" w:space="0" w:color="auto" w:frame="1"/>
          <w:shd w:val="clear" w:color="auto" w:fill="FFFFFF"/>
        </w:rPr>
        <w:t>intensity</w:t>
      </w:r>
      <w:r w:rsidRPr="000566EE" w:rsidR="00466588">
        <w:rPr>
          <w:color w:val="000000"/>
          <w:szCs w:val="26"/>
          <w:bdr w:val="none" w:sz="0" w:space="0" w:color="auto" w:frame="1"/>
          <w:shd w:val="clear" w:color="auto" w:fill="FFFFFF"/>
        </w:rPr>
        <w:t xml:space="preserve"> of land use</w:t>
      </w:r>
      <w:r w:rsidRPr="000566EE" w:rsidR="00425E87">
        <w:rPr>
          <w:color w:val="000000"/>
          <w:szCs w:val="26"/>
          <w:bdr w:val="none" w:sz="0" w:space="0" w:color="auto" w:frame="1"/>
          <w:shd w:val="clear" w:color="auto" w:fill="FFFFFF"/>
        </w:rPr>
        <w:t xml:space="preserve">’ </w:t>
      </w:r>
      <w:r w:rsidRPr="000566EE" w:rsidR="00884388">
        <w:rPr>
          <w:color w:val="000000"/>
          <w:szCs w:val="26"/>
          <w:bdr w:val="none" w:sz="0" w:space="0" w:color="auto" w:frame="1"/>
          <w:shd w:val="clear" w:color="auto" w:fill="FFFFFF"/>
        </w:rPr>
        <w:t xml:space="preserve">includes, but is not limited to, reductions to height, </w:t>
      </w:r>
      <w:r w:rsidRPr="000566EE" w:rsidR="00884388">
        <w:rPr>
          <w:i/>
          <w:iCs/>
          <w:color w:val="000000"/>
          <w:szCs w:val="26"/>
          <w:bdr w:val="none" w:sz="0" w:space="0" w:color="auto" w:frame="1"/>
          <w:shd w:val="clear" w:color="auto" w:fill="FFFFFF"/>
        </w:rPr>
        <w:t>density</w:t>
      </w:r>
      <w:r w:rsidRPr="000566EE" w:rsidR="00884388">
        <w:rPr>
          <w:color w:val="000000"/>
          <w:szCs w:val="26"/>
          <w:bdr w:val="none" w:sz="0" w:space="0" w:color="auto" w:frame="1"/>
          <w:shd w:val="clear" w:color="auto" w:fill="FFFFFF"/>
        </w:rPr>
        <w:t>, or floor area ratio</w:t>
      </w:r>
      <w:r w:rsidRPr="000566EE" w:rsidR="00A01BCE">
        <w:rPr>
          <w:color w:val="000000"/>
          <w:szCs w:val="26"/>
          <w:bdr w:val="none" w:sz="0" w:space="0" w:color="auto" w:frame="1"/>
          <w:shd w:val="clear" w:color="auto" w:fill="FFFFFF"/>
        </w:rPr>
        <w:t> </w:t>
      </w:r>
      <w:r w:rsidRPr="000566EE" w:rsidR="001165DB">
        <w:rPr>
          <w:color w:val="000000"/>
          <w:szCs w:val="26"/>
          <w:bdr w:val="none" w:sz="0" w:space="0" w:color="auto" w:frame="1"/>
          <w:shd w:val="clear" w:color="auto" w:fill="FFFFFF"/>
        </w:rPr>
        <w:t>. . . ”</w:t>
      </w:r>
      <w:r w:rsidRPr="000566EE" w:rsidR="00B94E58">
        <w:rPr>
          <w:color w:val="000000"/>
          <w:szCs w:val="26"/>
          <w:bdr w:val="none" w:sz="0" w:space="0" w:color="auto" w:frame="1"/>
          <w:shd w:val="clear" w:color="auto" w:fill="FFFFFF"/>
        </w:rPr>
        <w:t xml:space="preserve"> (italics added)</w:t>
      </w:r>
      <w:r w:rsidRPr="000566EE" w:rsidR="00CB74D6">
        <w:rPr>
          <w:color w:val="000000"/>
          <w:szCs w:val="26"/>
          <w:bdr w:val="none" w:sz="0" w:space="0" w:color="auto" w:frame="1"/>
          <w:shd w:val="clear" w:color="auto" w:fill="FFFFFF"/>
        </w:rPr>
        <w:t>)</w:t>
      </w:r>
      <w:r w:rsidRPr="000566EE" w:rsidR="00B859AA">
        <w:rPr>
          <w:color w:val="000000"/>
          <w:szCs w:val="26"/>
          <w:bdr w:val="none" w:sz="0" w:space="0" w:color="auto" w:frame="1"/>
          <w:shd w:val="clear" w:color="auto" w:fill="FFFFFF"/>
        </w:rPr>
        <w:t>.</w:t>
      </w:r>
      <w:r w:rsidRPr="000566EE" w:rsidR="00A86586">
        <w:rPr>
          <w:color w:val="000000"/>
          <w:szCs w:val="26"/>
          <w:bdr w:val="none" w:sz="0" w:space="0" w:color="auto" w:frame="1"/>
          <w:shd w:val="clear" w:color="auto" w:fill="FFFFFF"/>
        </w:rPr>
        <w:t xml:space="preserve">  </w:t>
      </w:r>
      <w:r w:rsidRPr="000566EE" w:rsidR="00F156D8">
        <w:rPr>
          <w:color w:val="000000"/>
          <w:szCs w:val="26"/>
          <w:bdr w:val="none" w:sz="0" w:space="0" w:color="auto" w:frame="1"/>
          <w:shd w:val="clear" w:color="auto" w:fill="FFFFFF"/>
        </w:rPr>
        <w:t>Had the Legislature intended for subdivision</w:t>
      </w:r>
      <w:r w:rsidR="005018BB">
        <w:rPr>
          <w:color w:val="000000"/>
          <w:szCs w:val="26"/>
          <w:bdr w:val="none" w:sz="0" w:space="0" w:color="auto" w:frame="1"/>
          <w:shd w:val="clear" w:color="auto" w:fill="FFFFFF"/>
        </w:rPr>
        <w:t> </w:t>
      </w:r>
      <w:r w:rsidRPr="000566EE" w:rsidR="00F156D8">
        <w:rPr>
          <w:color w:val="000000"/>
          <w:szCs w:val="26"/>
          <w:bdr w:val="none" w:sz="0" w:space="0" w:color="auto" w:frame="1"/>
          <w:shd w:val="clear" w:color="auto" w:fill="FFFFFF"/>
        </w:rPr>
        <w:t xml:space="preserve">(b)(1)(A) to apply only to zoning changes that lower density, it </w:t>
      </w:r>
      <w:r w:rsidRPr="000566EE" w:rsidR="00616D7D">
        <w:rPr>
          <w:color w:val="000000"/>
          <w:szCs w:val="26"/>
          <w:bdr w:val="none" w:sz="0" w:space="0" w:color="auto" w:frame="1"/>
          <w:shd w:val="clear" w:color="auto" w:fill="FFFFFF"/>
        </w:rPr>
        <w:t>c</w:t>
      </w:r>
      <w:r w:rsidRPr="000566EE" w:rsidR="00F156D8">
        <w:rPr>
          <w:color w:val="000000"/>
          <w:szCs w:val="26"/>
          <w:bdr w:val="none" w:sz="0" w:space="0" w:color="auto" w:frame="1"/>
          <w:shd w:val="clear" w:color="auto" w:fill="FFFFFF"/>
        </w:rPr>
        <w:t xml:space="preserve">ould have </w:t>
      </w:r>
      <w:r w:rsidRPr="000566EE" w:rsidR="00483F03">
        <w:rPr>
          <w:color w:val="000000"/>
          <w:szCs w:val="26"/>
          <w:bdr w:val="none" w:sz="0" w:space="0" w:color="auto" w:frame="1"/>
          <w:shd w:val="clear" w:color="auto" w:fill="FFFFFF"/>
        </w:rPr>
        <w:t>used the term “density” alone.</w:t>
      </w:r>
      <w:r w:rsidRPr="000566EE" w:rsidR="0060012E">
        <w:rPr>
          <w:color w:val="000000"/>
          <w:szCs w:val="26"/>
          <w:bdr w:val="none" w:sz="0" w:space="0" w:color="auto" w:frame="1"/>
          <w:shd w:val="clear" w:color="auto" w:fill="FFFFFF"/>
        </w:rPr>
        <w:t xml:space="preserve">  </w:t>
      </w:r>
      <w:r w:rsidRPr="000566EE">
        <w:rPr>
          <w:color w:val="000000"/>
          <w:szCs w:val="26"/>
          <w:bdr w:val="none" w:sz="0" w:space="0" w:color="auto" w:frame="1"/>
          <w:shd w:val="clear" w:color="auto" w:fill="FFFFFF"/>
        </w:rPr>
        <w:t>To interpret subdivision</w:t>
      </w:r>
      <w:r w:rsidR="005018BB">
        <w:rPr>
          <w:color w:val="000000"/>
          <w:szCs w:val="26"/>
          <w:bdr w:val="none" w:sz="0" w:space="0" w:color="auto" w:frame="1"/>
          <w:shd w:val="clear" w:color="auto" w:fill="FFFFFF"/>
        </w:rPr>
        <w:t> </w:t>
      </w:r>
      <w:r w:rsidRPr="000566EE">
        <w:rPr>
          <w:color w:val="000000"/>
          <w:szCs w:val="26"/>
          <w:bdr w:val="none" w:sz="0" w:space="0" w:color="auto" w:frame="1"/>
          <w:shd w:val="clear" w:color="auto" w:fill="FFFFFF"/>
        </w:rPr>
        <w:t>(b)(1)(A) in the manner suggested by the City</w:t>
      </w:r>
      <w:r w:rsidRPr="000566EE" w:rsidR="005E3985">
        <w:rPr>
          <w:color w:val="000000"/>
          <w:szCs w:val="26"/>
          <w:bdr w:val="none" w:sz="0" w:space="0" w:color="auto" w:frame="1"/>
          <w:shd w:val="clear" w:color="auto" w:fill="FFFFFF"/>
        </w:rPr>
        <w:t>—</w:t>
      </w:r>
      <w:r w:rsidRPr="000566EE">
        <w:rPr>
          <w:color w:val="000000"/>
          <w:szCs w:val="26"/>
          <w:bdr w:val="none" w:sz="0" w:space="0" w:color="auto" w:frame="1"/>
          <w:shd w:val="clear" w:color="auto" w:fill="FFFFFF"/>
        </w:rPr>
        <w:t xml:space="preserve">so that </w:t>
      </w:r>
      <w:r w:rsidRPr="000566EE" w:rsidR="00176899">
        <w:rPr>
          <w:color w:val="000000"/>
          <w:szCs w:val="26"/>
          <w:bdr w:val="none" w:sz="0" w:space="0" w:color="auto" w:frame="1"/>
          <w:shd w:val="clear" w:color="auto" w:fill="FFFFFF"/>
        </w:rPr>
        <w:t xml:space="preserve">only </w:t>
      </w:r>
      <w:r w:rsidRPr="000566EE" w:rsidR="00A34BAC">
        <w:rPr>
          <w:color w:val="000000"/>
          <w:szCs w:val="26"/>
          <w:bdr w:val="none" w:sz="0" w:space="0" w:color="auto" w:frame="1"/>
          <w:shd w:val="clear" w:color="auto" w:fill="FFFFFF"/>
        </w:rPr>
        <w:t>a reduction in density constitute</w:t>
      </w:r>
      <w:r w:rsidRPr="000566EE">
        <w:rPr>
          <w:color w:val="000000"/>
          <w:szCs w:val="26"/>
          <w:bdr w:val="none" w:sz="0" w:space="0" w:color="auto" w:frame="1"/>
          <w:shd w:val="clear" w:color="auto" w:fill="FFFFFF"/>
        </w:rPr>
        <w:t>s</w:t>
      </w:r>
      <w:r w:rsidRPr="000566EE" w:rsidR="00A34BAC">
        <w:rPr>
          <w:color w:val="000000"/>
          <w:szCs w:val="26"/>
          <w:bdr w:val="none" w:sz="0" w:space="0" w:color="auto" w:frame="1"/>
          <w:shd w:val="clear" w:color="auto" w:fill="FFFFFF"/>
        </w:rPr>
        <w:t xml:space="preserve"> a less intensive use</w:t>
      </w:r>
      <w:r w:rsidRPr="000566EE" w:rsidR="005E3985">
        <w:rPr>
          <w:color w:val="000000"/>
          <w:szCs w:val="26"/>
          <w:bdr w:val="none" w:sz="0" w:space="0" w:color="auto" w:frame="1"/>
          <w:shd w:val="clear" w:color="auto" w:fill="FFFFFF"/>
        </w:rPr>
        <w:t>—</w:t>
      </w:r>
      <w:r w:rsidRPr="000566EE" w:rsidR="00BF2074">
        <w:rPr>
          <w:color w:val="000000"/>
          <w:szCs w:val="26"/>
          <w:bdr w:val="none" w:sz="0" w:space="0" w:color="auto" w:frame="1"/>
          <w:shd w:val="clear" w:color="auto" w:fill="FFFFFF"/>
        </w:rPr>
        <w:t xml:space="preserve">would </w:t>
      </w:r>
      <w:r w:rsidRPr="000566EE" w:rsidR="004D529F">
        <w:rPr>
          <w:color w:val="000000"/>
          <w:szCs w:val="26"/>
          <w:bdr w:val="none" w:sz="0" w:space="0" w:color="auto" w:frame="1"/>
          <w:shd w:val="clear" w:color="auto" w:fill="FFFFFF"/>
        </w:rPr>
        <w:t xml:space="preserve">require us to </w:t>
      </w:r>
      <w:r w:rsidRPr="000566EE" w:rsidR="00BF2074">
        <w:rPr>
          <w:color w:val="000000"/>
          <w:szCs w:val="26"/>
          <w:bdr w:val="none" w:sz="0" w:space="0" w:color="auto" w:frame="1"/>
          <w:shd w:val="clear" w:color="auto" w:fill="FFFFFF"/>
        </w:rPr>
        <w:t xml:space="preserve">effectively write </w:t>
      </w:r>
      <w:r w:rsidRPr="000566EE" w:rsidR="00EA0A7D">
        <w:rPr>
          <w:color w:val="000000"/>
          <w:szCs w:val="26"/>
          <w:bdr w:val="none" w:sz="0" w:space="0" w:color="auto" w:frame="1"/>
          <w:shd w:val="clear" w:color="auto" w:fill="FFFFFF"/>
        </w:rPr>
        <w:t>language</w:t>
      </w:r>
      <w:r w:rsidRPr="000566EE" w:rsidR="005F32AE">
        <w:rPr>
          <w:color w:val="000000"/>
          <w:szCs w:val="26"/>
          <w:bdr w:val="none" w:sz="0" w:space="0" w:color="auto" w:frame="1"/>
          <w:shd w:val="clear" w:color="auto" w:fill="FFFFFF"/>
        </w:rPr>
        <w:t xml:space="preserve"> out of the statute</w:t>
      </w:r>
      <w:r w:rsidRPr="000566EE" w:rsidR="00DD5595">
        <w:rPr>
          <w:color w:val="000000"/>
          <w:szCs w:val="26"/>
          <w:bdr w:val="none" w:sz="0" w:space="0" w:color="auto" w:frame="1"/>
          <w:shd w:val="clear" w:color="auto" w:fill="FFFFFF"/>
        </w:rPr>
        <w:t xml:space="preserve">.  We would need to conclude that the Act places no </w:t>
      </w:r>
      <w:r w:rsidRPr="000566EE">
        <w:rPr>
          <w:color w:val="000000"/>
          <w:szCs w:val="26"/>
          <w:bdr w:val="none" w:sz="0" w:space="0" w:color="auto" w:frame="1"/>
          <w:shd w:val="clear" w:color="auto" w:fill="FFFFFF"/>
        </w:rPr>
        <w:t xml:space="preserve">restrictions on </w:t>
      </w:r>
      <w:r w:rsidRPr="000566EE" w:rsidR="00DD5595">
        <w:rPr>
          <w:color w:val="000000"/>
          <w:szCs w:val="26"/>
          <w:bdr w:val="none" w:sz="0" w:space="0" w:color="auto" w:frame="1"/>
          <w:shd w:val="clear" w:color="auto" w:fill="FFFFFF"/>
        </w:rPr>
        <w:t xml:space="preserve">a city’s ability to enact standards that </w:t>
      </w:r>
      <w:r w:rsidRPr="000566EE" w:rsidR="00DC0BF7">
        <w:rPr>
          <w:color w:val="000000"/>
          <w:szCs w:val="26"/>
          <w:bdr w:val="none" w:sz="0" w:space="0" w:color="auto" w:frame="1"/>
          <w:shd w:val="clear" w:color="auto" w:fill="FFFFFF"/>
        </w:rPr>
        <w:t>reduc</w:t>
      </w:r>
      <w:r w:rsidRPr="000566EE" w:rsidR="00DD5595">
        <w:rPr>
          <w:color w:val="000000"/>
          <w:szCs w:val="26"/>
          <w:bdr w:val="none" w:sz="0" w:space="0" w:color="auto" w:frame="1"/>
          <w:shd w:val="clear" w:color="auto" w:fill="FFFFFF"/>
        </w:rPr>
        <w:t>e</w:t>
      </w:r>
      <w:r w:rsidRPr="000566EE" w:rsidR="00DC0BF7">
        <w:rPr>
          <w:color w:val="000000"/>
          <w:szCs w:val="26"/>
          <w:bdr w:val="none" w:sz="0" w:space="0" w:color="auto" w:frame="1"/>
          <w:shd w:val="clear" w:color="auto" w:fill="FFFFFF"/>
        </w:rPr>
        <w:t xml:space="preserve"> height</w:t>
      </w:r>
      <w:r w:rsidRPr="000566EE" w:rsidR="00A4474B">
        <w:rPr>
          <w:color w:val="000000"/>
          <w:szCs w:val="26"/>
          <w:bdr w:val="none" w:sz="0" w:space="0" w:color="auto" w:frame="1"/>
          <w:shd w:val="clear" w:color="auto" w:fill="FFFFFF"/>
        </w:rPr>
        <w:t xml:space="preserve"> or </w:t>
      </w:r>
      <w:r w:rsidRPr="000566EE" w:rsidR="00DC0BF7">
        <w:rPr>
          <w:color w:val="000000"/>
          <w:szCs w:val="26"/>
          <w:bdr w:val="none" w:sz="0" w:space="0" w:color="auto" w:frame="1"/>
          <w:shd w:val="clear" w:color="auto" w:fill="FFFFFF"/>
        </w:rPr>
        <w:t>FAR</w:t>
      </w:r>
      <w:r w:rsidRPr="000566EE" w:rsidR="0019008D">
        <w:rPr>
          <w:color w:val="000000"/>
          <w:szCs w:val="26"/>
          <w:bdr w:val="none" w:sz="0" w:space="0" w:color="auto" w:frame="1"/>
          <w:shd w:val="clear" w:color="auto" w:fill="FFFFFF"/>
        </w:rPr>
        <w:t xml:space="preserve">, </w:t>
      </w:r>
      <w:r w:rsidRPr="000566EE" w:rsidR="00EC1559">
        <w:rPr>
          <w:color w:val="000000"/>
          <w:szCs w:val="26"/>
          <w:bdr w:val="none" w:sz="0" w:space="0" w:color="auto" w:frame="1"/>
          <w:shd w:val="clear" w:color="auto" w:fill="FFFFFF"/>
        </w:rPr>
        <w:t xml:space="preserve">or increase </w:t>
      </w:r>
      <w:r w:rsidRPr="000566EE" w:rsidR="0019008D">
        <w:rPr>
          <w:color w:val="000000"/>
          <w:szCs w:val="26"/>
          <w:bdr w:val="none" w:sz="0" w:space="0" w:color="auto" w:frame="1"/>
          <w:shd w:val="clear" w:color="auto" w:fill="FFFFFF"/>
        </w:rPr>
        <w:t>open space</w:t>
      </w:r>
      <w:r w:rsidRPr="000566EE" w:rsidR="001248E5">
        <w:rPr>
          <w:color w:val="000000"/>
          <w:szCs w:val="26"/>
          <w:bdr w:val="none" w:sz="0" w:space="0" w:color="auto" w:frame="1"/>
          <w:shd w:val="clear" w:color="auto" w:fill="FFFFFF"/>
        </w:rPr>
        <w:t xml:space="preserve"> and </w:t>
      </w:r>
      <w:r w:rsidRPr="000566EE" w:rsidR="0019008D">
        <w:rPr>
          <w:color w:val="000000"/>
          <w:szCs w:val="26"/>
          <w:bdr w:val="none" w:sz="0" w:space="0" w:color="auto" w:frame="1"/>
          <w:shd w:val="clear" w:color="auto" w:fill="FFFFFF"/>
        </w:rPr>
        <w:t>setback</w:t>
      </w:r>
      <w:r w:rsidRPr="000566EE" w:rsidR="001248E5">
        <w:rPr>
          <w:color w:val="000000"/>
          <w:szCs w:val="26"/>
          <w:bdr w:val="none" w:sz="0" w:space="0" w:color="auto" w:frame="1"/>
          <w:shd w:val="clear" w:color="auto" w:fill="FFFFFF"/>
        </w:rPr>
        <w:t xml:space="preserve"> </w:t>
      </w:r>
      <w:r w:rsidRPr="000566EE" w:rsidR="00D63D8F">
        <w:rPr>
          <w:color w:val="000000"/>
          <w:szCs w:val="26"/>
          <w:bdr w:val="none" w:sz="0" w:space="0" w:color="auto" w:frame="1"/>
          <w:shd w:val="clear" w:color="auto" w:fill="FFFFFF"/>
        </w:rPr>
        <w:t>requirements</w:t>
      </w:r>
      <w:r w:rsidRPr="000566EE" w:rsidR="002D65F8">
        <w:rPr>
          <w:color w:val="000000"/>
          <w:szCs w:val="26"/>
          <w:bdr w:val="none" w:sz="0" w:space="0" w:color="auto" w:frame="1"/>
          <w:shd w:val="clear" w:color="auto" w:fill="FFFFFF"/>
        </w:rPr>
        <w:t>, even though it plainly says otherwise</w:t>
      </w:r>
      <w:r w:rsidRPr="000566EE" w:rsidR="00DC0BF7">
        <w:rPr>
          <w:color w:val="000000"/>
          <w:szCs w:val="26"/>
          <w:bdr w:val="none" w:sz="0" w:space="0" w:color="auto" w:frame="1"/>
          <w:shd w:val="clear" w:color="auto" w:fill="FFFFFF"/>
        </w:rPr>
        <w:t xml:space="preserve">.  </w:t>
      </w:r>
      <w:r w:rsidRPr="000566EE" w:rsidR="005672EF">
        <w:rPr>
          <w:color w:val="000000"/>
          <w:szCs w:val="26"/>
          <w:bdr w:val="none" w:sz="0" w:space="0" w:color="auto" w:frame="1"/>
          <w:shd w:val="clear" w:color="auto" w:fill="FFFFFF"/>
        </w:rPr>
        <w:t>(</w:t>
      </w:r>
      <w:r w:rsidRPr="000566EE" w:rsidR="00CA202F">
        <w:rPr>
          <w:color w:val="000000"/>
          <w:szCs w:val="26"/>
          <w:bdr w:val="none" w:sz="0" w:space="0" w:color="auto" w:frame="1"/>
          <w:shd w:val="clear" w:color="auto" w:fill="FFFFFF"/>
        </w:rPr>
        <w:t xml:space="preserve">See </w:t>
      </w:r>
      <w:r w:rsidRPr="000566EE" w:rsidR="003F2FF4">
        <w:rPr>
          <w:i/>
          <w:iCs/>
          <w:color w:val="000000"/>
          <w:szCs w:val="26"/>
          <w:bdr w:val="none" w:sz="0" w:space="0" w:color="auto" w:frame="1"/>
          <w:shd w:val="clear" w:color="auto" w:fill="FFFFFF"/>
        </w:rPr>
        <w:t>B.B. v. County of Los Angeles</w:t>
      </w:r>
      <w:r w:rsidRPr="000566EE" w:rsidR="003F2FF4">
        <w:rPr>
          <w:color w:val="000000"/>
          <w:szCs w:val="26"/>
          <w:bdr w:val="none" w:sz="0" w:space="0" w:color="auto" w:frame="1"/>
          <w:shd w:val="clear" w:color="auto" w:fill="FFFFFF"/>
        </w:rPr>
        <w:t xml:space="preserve"> (2020) 10 Cal.5th 1, 13</w:t>
      </w:r>
      <w:r w:rsidRPr="000566EE" w:rsidR="00136336">
        <w:rPr>
          <w:color w:val="000000"/>
          <w:szCs w:val="26"/>
          <w:bdr w:val="none" w:sz="0" w:space="0" w:color="auto" w:frame="1"/>
          <w:shd w:val="clear" w:color="auto" w:fill="FFFFFF"/>
        </w:rPr>
        <w:t xml:space="preserve"> [“Because defendants’ construction renders the phrase ‘wholly without</w:t>
      </w:r>
      <w:r w:rsidRPr="000566EE" w:rsidR="00167B89">
        <w:rPr>
          <w:color w:val="000000"/>
          <w:szCs w:val="26"/>
          <w:bdr w:val="none" w:sz="0" w:space="0" w:color="auto" w:frame="1"/>
          <w:shd w:val="clear" w:color="auto" w:fill="FFFFFF"/>
        </w:rPr>
        <w:t> </w:t>
      </w:r>
      <w:r w:rsidRPr="000566EE" w:rsidR="00136336">
        <w:rPr>
          <w:color w:val="000000"/>
          <w:szCs w:val="26"/>
          <w:bdr w:val="none" w:sz="0" w:space="0" w:color="auto" w:frame="1"/>
          <w:shd w:val="clear" w:color="auto" w:fill="FFFFFF"/>
        </w:rPr>
        <w:t>. . . effect,’ adopting it would be inconsistent with the well-established principle that courts should, if possible, give meaning to every word of a statute and avoid constructions that make any word surplusage”]</w:t>
      </w:r>
      <w:r w:rsidRPr="000566EE" w:rsidR="003C3ABF">
        <w:rPr>
          <w:color w:val="000000"/>
          <w:szCs w:val="26"/>
          <w:bdr w:val="none" w:sz="0" w:space="0" w:color="auto" w:frame="1"/>
          <w:shd w:val="clear" w:color="auto" w:fill="FFFFFF"/>
        </w:rPr>
        <w:t>.)</w:t>
      </w:r>
      <w:r w:rsidRPr="000566EE" w:rsidR="001C1B91">
        <w:rPr>
          <w:color w:val="000000"/>
          <w:szCs w:val="26"/>
          <w:bdr w:val="none" w:sz="0" w:space="0" w:color="auto" w:frame="1"/>
          <w:shd w:val="clear" w:color="auto" w:fill="FFFFFF"/>
        </w:rPr>
        <w:t xml:space="preserve"> </w:t>
      </w:r>
    </w:p>
    <w:p w:rsidR="005552D7" w:rsidRPr="000566EE" w:rsidP="000566EE" w14:paraId="05A8FF3E" w14:textId="1F8E6532">
      <w:pPr>
        <w:ind w:firstLine="720"/>
        <w:contextualSpacing/>
        <w:rPr>
          <w:bCs/>
          <w:iCs/>
          <w:szCs w:val="26"/>
        </w:rPr>
      </w:pPr>
      <w:r w:rsidRPr="000566EE">
        <w:rPr>
          <w:color w:val="000000"/>
          <w:szCs w:val="26"/>
          <w:bdr w:val="none" w:sz="0" w:space="0" w:color="auto" w:frame="1"/>
          <w:shd w:val="clear" w:color="auto" w:fill="FFFFFF"/>
        </w:rPr>
        <w:t>T</w:t>
      </w:r>
      <w:r w:rsidRPr="000566EE" w:rsidR="00895945">
        <w:rPr>
          <w:color w:val="000000"/>
          <w:szCs w:val="26"/>
          <w:bdr w:val="none" w:sz="0" w:space="0" w:color="auto" w:frame="1"/>
          <w:shd w:val="clear" w:color="auto" w:fill="FFFFFF"/>
        </w:rPr>
        <w:t xml:space="preserve">he City’s argument that subdivision (b)(1)(A)’s catchall </w:t>
      </w:r>
      <w:r w:rsidRPr="000566EE" w:rsidR="00DD1A5D">
        <w:rPr>
          <w:color w:val="000000"/>
          <w:szCs w:val="26"/>
          <w:bdr w:val="none" w:sz="0" w:space="0" w:color="auto" w:frame="1"/>
          <w:shd w:val="clear" w:color="auto" w:fill="FFFFFF"/>
        </w:rPr>
        <w:t xml:space="preserve">provision </w:t>
      </w:r>
      <w:r w:rsidRPr="000566EE" w:rsidR="0066700E">
        <w:rPr>
          <w:color w:val="000000"/>
          <w:szCs w:val="26"/>
          <w:bdr w:val="none" w:sz="0" w:space="0" w:color="auto" w:frame="1"/>
          <w:shd w:val="clear" w:color="auto" w:fill="FFFFFF"/>
        </w:rPr>
        <w:t>(</w:t>
      </w:r>
      <w:r w:rsidRPr="000566EE" w:rsidR="00DD1A5D">
        <w:rPr>
          <w:color w:val="000000"/>
          <w:szCs w:val="26"/>
          <w:bdr w:val="none" w:sz="0" w:space="0" w:color="auto" w:frame="1"/>
          <w:shd w:val="clear" w:color="auto" w:fill="FFFFFF"/>
        </w:rPr>
        <w:t>“or any other action that would individually or cumulatively reduce the site’s residential development capacity”</w:t>
      </w:r>
      <w:r w:rsidRPr="000566EE" w:rsidR="0066700E">
        <w:rPr>
          <w:color w:val="000000"/>
          <w:szCs w:val="26"/>
          <w:bdr w:val="none" w:sz="0" w:space="0" w:color="auto" w:frame="1"/>
          <w:shd w:val="clear" w:color="auto" w:fill="FFFFFF"/>
        </w:rPr>
        <w:t>)</w:t>
      </w:r>
      <w:r w:rsidRPr="000566EE" w:rsidR="00091644">
        <w:rPr>
          <w:color w:val="000000"/>
          <w:szCs w:val="26"/>
          <w:bdr w:val="none" w:sz="0" w:space="0" w:color="auto" w:frame="1"/>
          <w:shd w:val="clear" w:color="auto" w:fill="FFFFFF"/>
        </w:rPr>
        <w:t xml:space="preserve"> creates an ambiguity is unpersuasive.  </w:t>
      </w:r>
      <w:r w:rsidRPr="000566EE" w:rsidR="004C0822">
        <w:rPr>
          <w:bCs/>
          <w:iCs/>
          <w:szCs w:val="26"/>
        </w:rPr>
        <w:t>First</w:t>
      </w:r>
      <w:r w:rsidRPr="000566EE" w:rsidR="00D85B97">
        <w:rPr>
          <w:bCs/>
          <w:iCs/>
          <w:szCs w:val="26"/>
        </w:rPr>
        <w:t xml:space="preserve">, </w:t>
      </w:r>
      <w:r w:rsidRPr="000566EE" w:rsidR="005F32AE">
        <w:rPr>
          <w:bCs/>
          <w:iCs/>
          <w:szCs w:val="26"/>
        </w:rPr>
        <w:t xml:space="preserve">the catchall provision does not abrogate the express provision stating </w:t>
      </w:r>
      <w:r w:rsidRPr="000566EE" w:rsidR="00D85B97">
        <w:rPr>
          <w:bCs/>
          <w:iCs/>
          <w:szCs w:val="26"/>
        </w:rPr>
        <w:t xml:space="preserve">reductions in FAR are </w:t>
      </w:r>
      <w:r w:rsidRPr="000566EE" w:rsidR="001F59C4">
        <w:rPr>
          <w:bCs/>
          <w:iCs/>
          <w:szCs w:val="26"/>
        </w:rPr>
        <w:t xml:space="preserve">included in the Act’s definition of </w:t>
      </w:r>
      <w:r w:rsidRPr="000566EE" w:rsidR="00800477">
        <w:rPr>
          <w:bCs/>
          <w:iCs/>
          <w:szCs w:val="26"/>
        </w:rPr>
        <w:t>“</w:t>
      </w:r>
      <w:r w:rsidRPr="000566EE" w:rsidR="001F59C4">
        <w:rPr>
          <w:bCs/>
          <w:iCs/>
          <w:szCs w:val="26"/>
        </w:rPr>
        <w:t>reducing the intensity of land use</w:t>
      </w:r>
      <w:r w:rsidRPr="000566EE" w:rsidR="002A3F74">
        <w:rPr>
          <w:bCs/>
          <w:iCs/>
          <w:szCs w:val="26"/>
        </w:rPr>
        <w:t>.</w:t>
      </w:r>
      <w:r w:rsidRPr="000566EE" w:rsidR="00800477">
        <w:rPr>
          <w:bCs/>
          <w:iCs/>
          <w:szCs w:val="26"/>
        </w:rPr>
        <w:t>”</w:t>
      </w:r>
      <w:r w:rsidRPr="000566EE" w:rsidR="00D26403">
        <w:rPr>
          <w:bCs/>
          <w:iCs/>
          <w:szCs w:val="26"/>
        </w:rPr>
        <w:t xml:space="preserve">  </w:t>
      </w:r>
      <w:r w:rsidRPr="000566EE" w:rsidR="00F27BAD">
        <w:rPr>
          <w:bCs/>
          <w:iCs/>
          <w:szCs w:val="26"/>
        </w:rPr>
        <w:t>Second</w:t>
      </w:r>
      <w:r w:rsidRPr="000566EE" w:rsidR="004C0822">
        <w:rPr>
          <w:bCs/>
          <w:iCs/>
          <w:szCs w:val="26"/>
        </w:rPr>
        <w:t>,</w:t>
      </w:r>
      <w:r w:rsidRPr="000566EE" w:rsidR="00DF4E0D">
        <w:rPr>
          <w:bCs/>
          <w:iCs/>
          <w:szCs w:val="26"/>
        </w:rPr>
        <w:t xml:space="preserve"> </w:t>
      </w:r>
      <w:r w:rsidRPr="000566EE" w:rsidR="00702DED">
        <w:rPr>
          <w:bCs/>
          <w:iCs/>
          <w:szCs w:val="26"/>
        </w:rPr>
        <w:t>t</w:t>
      </w:r>
      <w:r w:rsidRPr="000566EE" w:rsidR="00840819">
        <w:rPr>
          <w:bCs/>
          <w:iCs/>
          <w:szCs w:val="26"/>
        </w:rPr>
        <w:t xml:space="preserve">he use of </w:t>
      </w:r>
      <w:r w:rsidRPr="000566EE" w:rsidR="001210EF">
        <w:rPr>
          <w:bCs/>
          <w:iCs/>
          <w:szCs w:val="26"/>
        </w:rPr>
        <w:t>the phrase, “</w:t>
      </w:r>
      <w:r w:rsidRPr="000566EE" w:rsidR="00DB4E6A">
        <w:rPr>
          <w:bCs/>
          <w:iCs/>
          <w:szCs w:val="26"/>
        </w:rPr>
        <w:t xml:space="preserve">or any other action” after </w:t>
      </w:r>
      <w:r w:rsidRPr="000566EE" w:rsidR="00691E01">
        <w:rPr>
          <w:bCs/>
          <w:iCs/>
          <w:szCs w:val="26"/>
        </w:rPr>
        <w:t>listing</w:t>
      </w:r>
      <w:r w:rsidRPr="000566EE" w:rsidR="00DB4E6A">
        <w:rPr>
          <w:bCs/>
          <w:iCs/>
          <w:szCs w:val="26"/>
        </w:rPr>
        <w:t xml:space="preserve"> </w:t>
      </w:r>
      <w:r w:rsidRPr="000566EE" w:rsidR="009F3B7A">
        <w:rPr>
          <w:bCs/>
          <w:iCs/>
          <w:szCs w:val="26"/>
        </w:rPr>
        <w:t xml:space="preserve">prohibited </w:t>
      </w:r>
      <w:r w:rsidRPr="000566EE" w:rsidR="00691E01">
        <w:rPr>
          <w:bCs/>
          <w:iCs/>
          <w:szCs w:val="26"/>
        </w:rPr>
        <w:t>changes</w:t>
      </w:r>
      <w:r w:rsidRPr="000566EE" w:rsidR="00DA4261">
        <w:rPr>
          <w:bCs/>
          <w:iCs/>
          <w:szCs w:val="26"/>
        </w:rPr>
        <w:t xml:space="preserve"> indicates that each of the listed </w:t>
      </w:r>
      <w:r w:rsidRPr="000566EE" w:rsidR="00211AEB">
        <w:rPr>
          <w:bCs/>
          <w:iCs/>
          <w:szCs w:val="26"/>
        </w:rPr>
        <w:t>act</w:t>
      </w:r>
      <w:r w:rsidRPr="000566EE" w:rsidR="00791703">
        <w:rPr>
          <w:bCs/>
          <w:iCs/>
          <w:szCs w:val="26"/>
        </w:rPr>
        <w:t>ions</w:t>
      </w:r>
      <w:r w:rsidRPr="000566EE" w:rsidR="0034105F">
        <w:rPr>
          <w:bCs/>
          <w:iCs/>
          <w:szCs w:val="26"/>
        </w:rPr>
        <w:t xml:space="preserve">, including </w:t>
      </w:r>
      <w:r w:rsidRPr="000566EE" w:rsidR="000D5C7F">
        <w:rPr>
          <w:bCs/>
          <w:iCs/>
          <w:szCs w:val="26"/>
        </w:rPr>
        <w:t>reductions to</w:t>
      </w:r>
      <w:r w:rsidRPr="000566EE" w:rsidR="00962924">
        <w:rPr>
          <w:bCs/>
          <w:iCs/>
          <w:szCs w:val="26"/>
        </w:rPr>
        <w:t xml:space="preserve"> FAR</w:t>
      </w:r>
      <w:r w:rsidRPr="000566EE" w:rsidR="0034105F">
        <w:rPr>
          <w:bCs/>
          <w:iCs/>
          <w:szCs w:val="26"/>
        </w:rPr>
        <w:t>,</w:t>
      </w:r>
      <w:r w:rsidRPr="000566EE" w:rsidR="00962924">
        <w:rPr>
          <w:bCs/>
          <w:iCs/>
          <w:szCs w:val="26"/>
        </w:rPr>
        <w:t xml:space="preserve"> </w:t>
      </w:r>
      <w:r w:rsidRPr="000566EE" w:rsidR="00B676CF">
        <w:rPr>
          <w:bCs/>
          <w:iCs/>
          <w:szCs w:val="26"/>
        </w:rPr>
        <w:t xml:space="preserve">is an act that </w:t>
      </w:r>
      <w:r w:rsidRPr="000566EE" w:rsidR="004158F1">
        <w:rPr>
          <w:bCs/>
          <w:iCs/>
          <w:szCs w:val="26"/>
        </w:rPr>
        <w:t>reduces</w:t>
      </w:r>
      <w:r w:rsidRPr="000566EE" w:rsidR="007F447C">
        <w:rPr>
          <w:bCs/>
          <w:iCs/>
          <w:szCs w:val="26"/>
        </w:rPr>
        <w:t xml:space="preserve"> </w:t>
      </w:r>
      <w:r w:rsidRPr="000566EE" w:rsidR="00D67B4F">
        <w:rPr>
          <w:bCs/>
          <w:iCs/>
          <w:szCs w:val="26"/>
        </w:rPr>
        <w:t>a lot’s</w:t>
      </w:r>
      <w:r w:rsidRPr="000566EE" w:rsidR="007F447C">
        <w:rPr>
          <w:bCs/>
          <w:iCs/>
          <w:szCs w:val="26"/>
        </w:rPr>
        <w:t xml:space="preserve"> residential development capacity.</w:t>
      </w:r>
      <w:r w:rsidRPr="000566EE" w:rsidR="00A55A72">
        <w:rPr>
          <w:bCs/>
          <w:iCs/>
          <w:szCs w:val="26"/>
        </w:rPr>
        <w:t xml:space="preserve">  (</w:t>
      </w:r>
      <w:r w:rsidRPr="000566EE" w:rsidR="00837856">
        <w:rPr>
          <w:bCs/>
          <w:iCs/>
          <w:szCs w:val="26"/>
        </w:rPr>
        <w:t>See</w:t>
      </w:r>
      <w:r w:rsidRPr="000566EE" w:rsidR="00C91B1C">
        <w:rPr>
          <w:bCs/>
          <w:iCs/>
          <w:szCs w:val="26"/>
        </w:rPr>
        <w:t xml:space="preserve"> </w:t>
      </w:r>
      <w:r w:rsidRPr="000566EE" w:rsidR="00C91B1C">
        <w:rPr>
          <w:bCs/>
          <w:i/>
          <w:szCs w:val="26"/>
        </w:rPr>
        <w:t>International Federation of Professional &amp; Technical Engineers, Local 21, AFL-CIO v. Superior Court</w:t>
      </w:r>
      <w:r w:rsidRPr="000566EE" w:rsidR="00C91B1C">
        <w:rPr>
          <w:bCs/>
          <w:iCs/>
          <w:szCs w:val="26"/>
        </w:rPr>
        <w:t xml:space="preserve"> (2007) 42 Cal.4th 319, 342 [explaining that where a statute lists a series of specific categories followed by a catchall category, the catchall is “‘“restricted to those things that are similar to those which are enumerated specifically”’</w:t>
      </w:r>
      <w:r w:rsidRPr="000566EE" w:rsidR="009A48C2">
        <w:rPr>
          <w:bCs/>
          <w:iCs/>
          <w:szCs w:val="26"/>
        </w:rPr>
        <w:t>”</w:t>
      </w:r>
      <w:r w:rsidRPr="000566EE" w:rsidR="005006D0">
        <w:rPr>
          <w:bCs/>
          <w:iCs/>
          <w:szCs w:val="26"/>
        </w:rPr>
        <w:t>]</w:t>
      </w:r>
      <w:r w:rsidRPr="000566EE" w:rsidR="0061089D">
        <w:rPr>
          <w:bCs/>
          <w:iCs/>
          <w:szCs w:val="26"/>
        </w:rPr>
        <w:t>.</w:t>
      </w:r>
      <w:r w:rsidRPr="000566EE" w:rsidR="00A55A72">
        <w:rPr>
          <w:color w:val="000000"/>
          <w:szCs w:val="26"/>
          <w:bdr w:val="none" w:sz="0" w:space="0" w:color="auto" w:frame="1"/>
          <w:shd w:val="clear" w:color="auto" w:fill="FFFFFF"/>
        </w:rPr>
        <w:t>)</w:t>
      </w:r>
      <w:r w:rsidRPr="000566EE" w:rsidR="005006D0">
        <w:rPr>
          <w:bCs/>
          <w:iCs/>
          <w:szCs w:val="26"/>
        </w:rPr>
        <w:t xml:space="preserve"> </w:t>
      </w:r>
    </w:p>
    <w:p w:rsidR="00800477" w:rsidRPr="000566EE" w:rsidP="000566EE" w14:paraId="348F9F6B" w14:textId="0BB69A2F">
      <w:pPr>
        <w:ind w:firstLine="720"/>
        <w:contextualSpacing/>
        <w:rPr>
          <w:color w:val="000000"/>
          <w:szCs w:val="26"/>
          <w:bdr w:val="none" w:sz="0" w:space="0" w:color="auto" w:frame="1"/>
          <w:shd w:val="clear" w:color="auto" w:fill="FFFFFF"/>
        </w:rPr>
      </w:pPr>
      <w:r w:rsidRPr="000566EE">
        <w:rPr>
          <w:bCs/>
          <w:iCs/>
          <w:szCs w:val="26"/>
        </w:rPr>
        <w:t>Subdivision </w:t>
      </w:r>
      <w:r w:rsidRPr="000566EE" w:rsidR="00B03BA3">
        <w:rPr>
          <w:bCs/>
          <w:iCs/>
          <w:szCs w:val="26"/>
        </w:rPr>
        <w:t xml:space="preserve">(b)(1)(A)’s express prohibition of reducing </w:t>
      </w:r>
      <w:r w:rsidRPr="000566EE" w:rsidR="00A45B37">
        <w:rPr>
          <w:bCs/>
          <w:iCs/>
          <w:szCs w:val="26"/>
        </w:rPr>
        <w:t xml:space="preserve">the </w:t>
      </w:r>
      <w:r w:rsidRPr="000566EE" w:rsidR="00B03BA3">
        <w:rPr>
          <w:bCs/>
          <w:iCs/>
          <w:szCs w:val="26"/>
        </w:rPr>
        <w:t>intensity of land by reducing FAR</w:t>
      </w:r>
      <w:r w:rsidRPr="000566EE" w:rsidR="00A45B37">
        <w:rPr>
          <w:bCs/>
          <w:iCs/>
          <w:szCs w:val="26"/>
        </w:rPr>
        <w:t xml:space="preserve"> is </w:t>
      </w:r>
      <w:r w:rsidRPr="000566EE" w:rsidR="00C05B80">
        <w:rPr>
          <w:bCs/>
          <w:iCs/>
          <w:szCs w:val="26"/>
        </w:rPr>
        <w:t>to</w:t>
      </w:r>
      <w:r w:rsidRPr="000566EE" w:rsidR="00A45B37">
        <w:rPr>
          <w:bCs/>
          <w:iCs/>
          <w:szCs w:val="26"/>
        </w:rPr>
        <w:t xml:space="preserve"> be </w:t>
      </w:r>
      <w:r w:rsidRPr="000566EE" w:rsidR="001D5A5E">
        <w:rPr>
          <w:bCs/>
          <w:iCs/>
          <w:szCs w:val="26"/>
        </w:rPr>
        <w:t>“</w:t>
      </w:r>
      <w:r w:rsidRPr="000566EE" w:rsidR="00A45B37">
        <w:rPr>
          <w:bCs/>
          <w:iCs/>
          <w:szCs w:val="26"/>
        </w:rPr>
        <w:t xml:space="preserve">broadly construed so as to maximize the development of </w:t>
      </w:r>
      <w:r w:rsidRPr="000566EE" w:rsidR="00A45B37">
        <w:rPr>
          <w:bCs/>
          <w:i/>
          <w:szCs w:val="26"/>
        </w:rPr>
        <w:t>housing</w:t>
      </w:r>
      <w:r w:rsidRPr="000566EE" w:rsidR="00A45B37">
        <w:rPr>
          <w:bCs/>
          <w:iCs/>
          <w:szCs w:val="26"/>
        </w:rPr>
        <w:t xml:space="preserve"> within this state.</w:t>
      </w:r>
      <w:r w:rsidRPr="000566EE" w:rsidR="00F06393">
        <w:rPr>
          <w:bCs/>
          <w:iCs/>
          <w:szCs w:val="26"/>
        </w:rPr>
        <w:t xml:space="preserve">”  </w:t>
      </w:r>
      <w:r w:rsidRPr="000566EE" w:rsidR="00A45B37">
        <w:rPr>
          <w:bCs/>
          <w:iCs/>
          <w:szCs w:val="26"/>
        </w:rPr>
        <w:t>(§</w:t>
      </w:r>
      <w:r w:rsidRPr="000566EE" w:rsidR="009A48C2">
        <w:rPr>
          <w:bCs/>
          <w:iCs/>
          <w:szCs w:val="26"/>
        </w:rPr>
        <w:t> </w:t>
      </w:r>
      <w:r w:rsidRPr="000566EE" w:rsidR="00A45B37">
        <w:rPr>
          <w:bCs/>
          <w:iCs/>
          <w:szCs w:val="26"/>
        </w:rPr>
        <w:t>66300, subd.</w:t>
      </w:r>
      <w:r w:rsidRPr="000566EE" w:rsidR="009A48C2">
        <w:rPr>
          <w:bCs/>
          <w:iCs/>
          <w:szCs w:val="26"/>
        </w:rPr>
        <w:t> </w:t>
      </w:r>
      <w:r w:rsidRPr="000566EE" w:rsidR="00A45B37">
        <w:rPr>
          <w:bCs/>
          <w:iCs/>
          <w:szCs w:val="26"/>
        </w:rPr>
        <w:t>(f)(2)</w:t>
      </w:r>
      <w:r w:rsidRPr="000566EE" w:rsidR="00576BA1">
        <w:rPr>
          <w:bCs/>
          <w:iCs/>
          <w:szCs w:val="26"/>
        </w:rPr>
        <w:t>, italics added</w:t>
      </w:r>
      <w:r w:rsidRPr="000566EE" w:rsidR="00A45B37">
        <w:rPr>
          <w:bCs/>
          <w:iCs/>
          <w:szCs w:val="26"/>
        </w:rPr>
        <w:t>.)</w:t>
      </w:r>
      <w:r w:rsidRPr="000566EE" w:rsidR="00976ADC">
        <w:rPr>
          <w:bCs/>
          <w:iCs/>
          <w:szCs w:val="26"/>
        </w:rPr>
        <w:t xml:space="preserve"> </w:t>
      </w:r>
      <w:r w:rsidRPr="000566EE" w:rsidR="00DE3B72">
        <w:rPr>
          <w:bCs/>
          <w:iCs/>
          <w:szCs w:val="26"/>
        </w:rPr>
        <w:t xml:space="preserve"> </w:t>
      </w:r>
      <w:r w:rsidRPr="000566EE" w:rsidR="00384F57">
        <w:rPr>
          <w:color w:val="000000"/>
          <w:szCs w:val="26"/>
          <w:bdr w:val="none" w:sz="0" w:space="0" w:color="auto" w:frame="1"/>
          <w:shd w:val="clear" w:color="auto" w:fill="FFFFFF"/>
        </w:rPr>
        <w:t>T</w:t>
      </w:r>
      <w:r w:rsidRPr="000566EE" w:rsidR="00D97059">
        <w:rPr>
          <w:color w:val="000000"/>
          <w:szCs w:val="26"/>
          <w:bdr w:val="none" w:sz="0" w:space="0" w:color="auto" w:frame="1"/>
          <w:shd w:val="clear" w:color="auto" w:fill="FFFFFF"/>
        </w:rPr>
        <w:t xml:space="preserve">here is no language suggesting that a reduction in the intensity of land use </w:t>
      </w:r>
      <w:r w:rsidRPr="000566EE" w:rsidR="008B63F6">
        <w:rPr>
          <w:color w:val="000000"/>
          <w:szCs w:val="26"/>
          <w:bdr w:val="none" w:sz="0" w:space="0" w:color="auto" w:frame="1"/>
          <w:shd w:val="clear" w:color="auto" w:fill="FFFFFF"/>
        </w:rPr>
        <w:t xml:space="preserve">requires a reduction in the number of housing units, </w:t>
      </w:r>
      <w:r w:rsidRPr="000566EE" w:rsidR="00384F57">
        <w:rPr>
          <w:color w:val="000000"/>
          <w:szCs w:val="26"/>
          <w:bdr w:val="none" w:sz="0" w:space="0" w:color="auto" w:frame="1"/>
          <w:shd w:val="clear" w:color="auto" w:fill="FFFFFF"/>
        </w:rPr>
        <w:t>and</w:t>
      </w:r>
      <w:r w:rsidRPr="000566EE" w:rsidR="00D97059">
        <w:rPr>
          <w:color w:val="000000"/>
          <w:szCs w:val="26"/>
          <w:bdr w:val="none" w:sz="0" w:space="0" w:color="auto" w:frame="1"/>
          <w:shd w:val="clear" w:color="auto" w:fill="FFFFFF"/>
        </w:rPr>
        <w:t xml:space="preserve"> w</w:t>
      </w:r>
      <w:r w:rsidRPr="000566EE" w:rsidR="00E70B2E">
        <w:rPr>
          <w:color w:val="000000"/>
          <w:szCs w:val="26"/>
          <w:bdr w:val="none" w:sz="0" w:space="0" w:color="auto" w:frame="1"/>
          <w:shd w:val="clear" w:color="auto" w:fill="FFFFFF"/>
        </w:rPr>
        <w:t xml:space="preserve">e </w:t>
      </w:r>
      <w:r w:rsidRPr="000566EE" w:rsidR="00804D34">
        <w:rPr>
          <w:color w:val="000000"/>
          <w:szCs w:val="26"/>
          <w:bdr w:val="none" w:sz="0" w:space="0" w:color="auto" w:frame="1"/>
          <w:shd w:val="clear" w:color="auto" w:fill="FFFFFF"/>
        </w:rPr>
        <w:t>will not</w:t>
      </w:r>
      <w:r w:rsidRPr="000566EE" w:rsidR="00E70B2E">
        <w:rPr>
          <w:color w:val="000000"/>
          <w:szCs w:val="26"/>
          <w:bdr w:val="none" w:sz="0" w:space="0" w:color="auto" w:frame="1"/>
          <w:shd w:val="clear" w:color="auto" w:fill="FFFFFF"/>
        </w:rPr>
        <w:t xml:space="preserve"> insert </w:t>
      </w:r>
      <w:r w:rsidRPr="000566EE" w:rsidR="00312D00">
        <w:rPr>
          <w:color w:val="000000"/>
          <w:szCs w:val="26"/>
          <w:bdr w:val="none" w:sz="0" w:space="0" w:color="auto" w:frame="1"/>
          <w:shd w:val="clear" w:color="auto" w:fill="FFFFFF"/>
        </w:rPr>
        <w:t>such a</w:t>
      </w:r>
      <w:r w:rsidRPr="000566EE" w:rsidR="00E70B2E">
        <w:rPr>
          <w:color w:val="000000"/>
          <w:szCs w:val="26"/>
          <w:bdr w:val="none" w:sz="0" w:space="0" w:color="auto" w:frame="1"/>
          <w:shd w:val="clear" w:color="auto" w:fill="FFFFFF"/>
        </w:rPr>
        <w:t xml:space="preserve"> </w:t>
      </w:r>
      <w:r w:rsidRPr="000566EE" w:rsidR="008E65ED">
        <w:rPr>
          <w:color w:val="000000"/>
          <w:szCs w:val="26"/>
          <w:bdr w:val="none" w:sz="0" w:space="0" w:color="auto" w:frame="1"/>
          <w:shd w:val="clear" w:color="auto" w:fill="FFFFFF"/>
        </w:rPr>
        <w:t xml:space="preserve">requirement into the </w:t>
      </w:r>
      <w:r w:rsidRPr="000566EE" w:rsidR="00312D00">
        <w:rPr>
          <w:color w:val="000000"/>
          <w:szCs w:val="26"/>
          <w:bdr w:val="none" w:sz="0" w:space="0" w:color="auto" w:frame="1"/>
          <w:shd w:val="clear" w:color="auto" w:fill="FFFFFF"/>
        </w:rPr>
        <w:t>Act</w:t>
      </w:r>
      <w:r w:rsidRPr="000566EE" w:rsidR="00413488">
        <w:rPr>
          <w:color w:val="000000"/>
          <w:szCs w:val="26"/>
          <w:bdr w:val="none" w:sz="0" w:space="0" w:color="auto" w:frame="1"/>
          <w:shd w:val="clear" w:color="auto" w:fill="FFFFFF"/>
        </w:rPr>
        <w:t>.</w:t>
      </w:r>
      <w:r w:rsidRPr="000566EE" w:rsidR="0004130A">
        <w:rPr>
          <w:color w:val="000000"/>
          <w:szCs w:val="26"/>
          <w:bdr w:val="none" w:sz="0" w:space="0" w:color="auto" w:frame="1"/>
          <w:shd w:val="clear" w:color="auto" w:fill="FFFFFF"/>
        </w:rPr>
        <w:t xml:space="preserve">  </w:t>
      </w:r>
      <w:r w:rsidRPr="000566EE" w:rsidR="00956A31">
        <w:rPr>
          <w:color w:val="000000"/>
          <w:szCs w:val="26"/>
          <w:bdr w:val="none" w:sz="0" w:space="0" w:color="auto" w:frame="1"/>
          <w:shd w:val="clear" w:color="auto" w:fill="FFFFFF"/>
        </w:rPr>
        <w:t>(</w:t>
      </w:r>
      <w:r w:rsidRPr="000566EE" w:rsidR="0080255E">
        <w:rPr>
          <w:i/>
          <w:iCs/>
          <w:color w:val="000000"/>
          <w:szCs w:val="26"/>
          <w:bdr w:val="none" w:sz="0" w:space="0" w:color="auto" w:frame="1"/>
          <w:shd w:val="clear" w:color="auto" w:fill="FFFFFF"/>
        </w:rPr>
        <w:t>Bay Area Citizens v. Association of Bay Area Governments</w:t>
      </w:r>
      <w:r w:rsidRPr="000566EE" w:rsidR="0080255E">
        <w:rPr>
          <w:color w:val="000000"/>
          <w:szCs w:val="26"/>
          <w:bdr w:val="none" w:sz="0" w:space="0" w:color="auto" w:frame="1"/>
          <w:shd w:val="clear" w:color="auto" w:fill="FFFFFF"/>
        </w:rPr>
        <w:t xml:space="preserve"> (2016) 248 Cal.App.4th 966, </w:t>
      </w:r>
      <w:r w:rsidRPr="000566EE" w:rsidR="000F113A">
        <w:rPr>
          <w:color w:val="000000"/>
          <w:szCs w:val="26"/>
          <w:bdr w:val="none" w:sz="0" w:space="0" w:color="auto" w:frame="1"/>
          <w:shd w:val="clear" w:color="auto" w:fill="FFFFFF"/>
        </w:rPr>
        <w:t>1003</w:t>
      </w:r>
      <w:r w:rsidRPr="000566EE" w:rsidR="00CE581F">
        <w:rPr>
          <w:color w:val="000000"/>
          <w:szCs w:val="26"/>
          <w:bdr w:val="none" w:sz="0" w:space="0" w:color="auto" w:frame="1"/>
          <w:shd w:val="clear" w:color="auto" w:fill="FFFFFF"/>
        </w:rPr>
        <w:t xml:space="preserve"> [“‘[W]e may not simply rewrite the statutory scheme, purporting to sit as a super</w:t>
      </w:r>
      <w:r w:rsidRPr="000566EE" w:rsidR="007D7DA0">
        <w:rPr>
          <w:color w:val="000000"/>
          <w:szCs w:val="26"/>
          <w:bdr w:val="none" w:sz="0" w:space="0" w:color="auto" w:frame="1"/>
          <w:shd w:val="clear" w:color="auto" w:fill="FFFFFF"/>
        </w:rPr>
        <w:t>-</w:t>
      </w:r>
      <w:r w:rsidRPr="000566EE" w:rsidR="00CE581F">
        <w:rPr>
          <w:color w:val="000000"/>
          <w:szCs w:val="26"/>
          <w:bdr w:val="none" w:sz="0" w:space="0" w:color="auto" w:frame="1"/>
          <w:shd w:val="clear" w:color="auto" w:fill="FFFFFF"/>
        </w:rPr>
        <w:t>Legislature’”]</w:t>
      </w:r>
      <w:r w:rsidRPr="000566EE" w:rsidR="00020224">
        <w:rPr>
          <w:color w:val="000000"/>
          <w:szCs w:val="26"/>
          <w:bdr w:val="none" w:sz="0" w:space="0" w:color="auto" w:frame="1"/>
          <w:shd w:val="clear" w:color="auto" w:fill="FFFFFF"/>
        </w:rPr>
        <w:t xml:space="preserve">; </w:t>
      </w:r>
      <w:r w:rsidRPr="000566EE" w:rsidR="00C76B6C">
        <w:rPr>
          <w:i/>
          <w:iCs/>
          <w:color w:val="000000"/>
          <w:szCs w:val="26"/>
          <w:bdr w:val="none" w:sz="0" w:space="0" w:color="auto" w:frame="1"/>
          <w:shd w:val="clear" w:color="auto" w:fill="FFFFFF"/>
        </w:rPr>
        <w:t>DeNike</w:t>
      </w:r>
      <w:r w:rsidRPr="000566EE" w:rsidR="00C76B6C">
        <w:rPr>
          <w:color w:val="000000"/>
          <w:szCs w:val="26"/>
          <w:bdr w:val="none" w:sz="0" w:space="0" w:color="auto" w:frame="1"/>
          <w:shd w:val="clear" w:color="auto" w:fill="FFFFFF"/>
        </w:rPr>
        <w:t xml:space="preserve">, </w:t>
      </w:r>
      <w:r w:rsidRPr="000566EE" w:rsidR="00C76B6C">
        <w:rPr>
          <w:i/>
          <w:iCs/>
          <w:color w:val="000000"/>
          <w:szCs w:val="26"/>
          <w:bdr w:val="none" w:sz="0" w:space="0" w:color="auto" w:frame="1"/>
          <w:shd w:val="clear" w:color="auto" w:fill="FFFFFF"/>
        </w:rPr>
        <w:t>supra</w:t>
      </w:r>
      <w:r w:rsidRPr="000566EE" w:rsidR="00C76B6C">
        <w:rPr>
          <w:color w:val="000000"/>
          <w:szCs w:val="26"/>
          <w:bdr w:val="none" w:sz="0" w:space="0" w:color="auto" w:frame="1"/>
          <w:shd w:val="clear" w:color="auto" w:fill="FFFFFF"/>
        </w:rPr>
        <w:t>, 76 Cal.App.</w:t>
      </w:r>
      <w:r w:rsidRPr="000566EE" w:rsidR="008901EB">
        <w:rPr>
          <w:color w:val="000000"/>
          <w:szCs w:val="26"/>
          <w:bdr w:val="none" w:sz="0" w:space="0" w:color="auto" w:frame="1"/>
          <w:shd w:val="clear" w:color="auto" w:fill="FFFFFF"/>
        </w:rPr>
        <w:t>5th at p. 384</w:t>
      </w:r>
      <w:r w:rsidRPr="000566EE" w:rsidR="00175FC1">
        <w:rPr>
          <w:color w:val="000000"/>
          <w:szCs w:val="26"/>
          <w:bdr w:val="none" w:sz="0" w:space="0" w:color="auto" w:frame="1"/>
          <w:shd w:val="clear" w:color="auto" w:fill="FFFFFF"/>
        </w:rPr>
        <w:t xml:space="preserve"> [“</w:t>
      </w:r>
      <w:r w:rsidRPr="000566EE" w:rsidR="00432ADA">
        <w:rPr>
          <w:color w:val="000000"/>
          <w:szCs w:val="26"/>
          <w:bdr w:val="none" w:sz="0" w:space="0" w:color="auto" w:frame="1"/>
          <w:shd w:val="clear" w:color="auto" w:fill="FFFFFF"/>
        </w:rPr>
        <w:t>‘we will not read a requirement into a statute that does not appear therein’”]</w:t>
      </w:r>
      <w:r w:rsidRPr="000566EE" w:rsidR="00E44A6D">
        <w:rPr>
          <w:color w:val="000000"/>
          <w:szCs w:val="26"/>
          <w:bdr w:val="none" w:sz="0" w:space="0" w:color="auto" w:frame="1"/>
          <w:shd w:val="clear" w:color="auto" w:fill="FFFFFF"/>
        </w:rPr>
        <w:t xml:space="preserve">.)  </w:t>
      </w:r>
      <w:r w:rsidRPr="000566EE" w:rsidR="00086AF0">
        <w:rPr>
          <w:color w:val="000000"/>
          <w:szCs w:val="26"/>
          <w:bdr w:val="none" w:sz="0" w:space="0" w:color="auto" w:frame="1"/>
          <w:shd w:val="clear" w:color="auto" w:fill="FFFFFF"/>
        </w:rPr>
        <w:t>The Ordinance</w:t>
      </w:r>
      <w:r w:rsidRPr="000566EE" w:rsidR="0064031A">
        <w:rPr>
          <w:color w:val="000000"/>
          <w:szCs w:val="26"/>
          <w:bdr w:val="none" w:sz="0" w:space="0" w:color="auto" w:frame="1"/>
          <w:shd w:val="clear" w:color="auto" w:fill="FFFFFF"/>
        </w:rPr>
        <w:t xml:space="preserve">, therefore, </w:t>
      </w:r>
      <w:r w:rsidRPr="000566EE" w:rsidR="00910C57">
        <w:rPr>
          <w:color w:val="000000"/>
          <w:szCs w:val="26"/>
          <w:bdr w:val="none" w:sz="0" w:space="0" w:color="auto" w:frame="1"/>
          <w:shd w:val="clear" w:color="auto" w:fill="FFFFFF"/>
        </w:rPr>
        <w:t>violates the Act’s plain language</w:t>
      </w:r>
      <w:r w:rsidRPr="000566EE" w:rsidR="00CB29A0">
        <w:rPr>
          <w:color w:val="000000"/>
          <w:szCs w:val="26"/>
          <w:bdr w:val="none" w:sz="0" w:space="0" w:color="auto" w:frame="1"/>
          <w:shd w:val="clear" w:color="auto" w:fill="FFFFFF"/>
        </w:rPr>
        <w:t xml:space="preserve"> by reducing the intensity of land use in the R-1 zone to below what was allowed under the City’s zoning ordinance that was in effect on January</w:t>
      </w:r>
      <w:r w:rsidRPr="000566EE" w:rsidR="007D7DA0">
        <w:rPr>
          <w:color w:val="000000"/>
          <w:szCs w:val="26"/>
          <w:bdr w:val="none" w:sz="0" w:space="0" w:color="auto" w:frame="1"/>
          <w:shd w:val="clear" w:color="auto" w:fill="FFFFFF"/>
        </w:rPr>
        <w:t> </w:t>
      </w:r>
      <w:r w:rsidRPr="000566EE" w:rsidR="00CB29A0">
        <w:rPr>
          <w:color w:val="000000"/>
          <w:szCs w:val="26"/>
          <w:bdr w:val="none" w:sz="0" w:space="0" w:color="auto" w:frame="1"/>
          <w:shd w:val="clear" w:color="auto" w:fill="FFFFFF"/>
        </w:rPr>
        <w:t>1, 2018</w:t>
      </w:r>
      <w:r w:rsidRPr="000566EE" w:rsidR="00086AF0">
        <w:rPr>
          <w:color w:val="000000"/>
          <w:szCs w:val="26"/>
          <w:bdr w:val="none" w:sz="0" w:space="0" w:color="auto" w:frame="1"/>
          <w:shd w:val="clear" w:color="auto" w:fill="FFFFFF"/>
        </w:rPr>
        <w:t xml:space="preserve">. </w:t>
      </w:r>
    </w:p>
    <w:p w:rsidR="00304BCB" w:rsidRPr="000566EE" w:rsidP="00F47753" w14:paraId="0FEC0AD4" w14:textId="77777777">
      <w:pPr>
        <w:contextualSpacing/>
        <w:rPr>
          <w:bCs/>
          <w:iCs/>
          <w:szCs w:val="26"/>
        </w:rPr>
      </w:pPr>
    </w:p>
    <w:p w:rsidR="008C56BE" w:rsidRPr="000566EE" w:rsidP="000566EE" w14:paraId="47522251" w14:textId="3FAFEFD0">
      <w:pPr>
        <w:ind w:left="1440" w:hanging="720"/>
        <w:contextualSpacing/>
        <w:rPr>
          <w:color w:val="000000"/>
          <w:szCs w:val="26"/>
          <w:bdr w:val="none" w:sz="0" w:space="0" w:color="auto" w:frame="1"/>
          <w:shd w:val="clear" w:color="auto" w:fill="FFFFFF"/>
        </w:rPr>
      </w:pPr>
      <w:r w:rsidRPr="00FC7CCD">
        <w:rPr>
          <w:color w:val="000000"/>
          <w:szCs w:val="26"/>
          <w:bdr w:val="none" w:sz="0" w:space="0" w:color="auto" w:frame="1"/>
          <w:shd w:val="clear" w:color="auto" w:fill="FFFFFF"/>
        </w:rPr>
        <w:t>3.</w:t>
      </w:r>
      <w:r w:rsidRPr="00FC7CCD">
        <w:rPr>
          <w:color w:val="000000"/>
          <w:szCs w:val="26"/>
          <w:bdr w:val="none" w:sz="0" w:space="0" w:color="auto" w:frame="1"/>
          <w:shd w:val="clear" w:color="auto" w:fill="FFFFFF"/>
        </w:rPr>
        <w:tab/>
      </w:r>
      <w:r w:rsidRPr="00FC7CCD" w:rsidR="00411CE6">
        <w:rPr>
          <w:i/>
          <w:iCs/>
          <w:color w:val="000000"/>
          <w:szCs w:val="26"/>
          <w:bdr w:val="none" w:sz="0" w:space="0" w:color="auto" w:frame="1"/>
          <w:shd w:val="clear" w:color="auto" w:fill="FFFFFF"/>
        </w:rPr>
        <w:t xml:space="preserve">The </w:t>
      </w:r>
      <w:r w:rsidRPr="00FC7CCD" w:rsidR="00A71227">
        <w:rPr>
          <w:i/>
          <w:iCs/>
          <w:color w:val="000000"/>
          <w:szCs w:val="26"/>
          <w:bdr w:val="none" w:sz="0" w:space="0" w:color="auto" w:frame="1"/>
          <w:shd w:val="clear" w:color="auto" w:fill="FFFFFF"/>
        </w:rPr>
        <w:t>Act’s Plain</w:t>
      </w:r>
      <w:r w:rsidRPr="000566EE" w:rsidR="00A71227">
        <w:rPr>
          <w:i/>
          <w:iCs/>
          <w:color w:val="000000"/>
          <w:szCs w:val="26"/>
          <w:bdr w:val="none" w:sz="0" w:space="0" w:color="auto" w:frame="1"/>
          <w:shd w:val="clear" w:color="auto" w:fill="FFFFFF"/>
        </w:rPr>
        <w:t xml:space="preserve"> Language</w:t>
      </w:r>
      <w:r w:rsidRPr="000566EE" w:rsidR="00411CE6">
        <w:rPr>
          <w:i/>
          <w:iCs/>
          <w:color w:val="000000"/>
          <w:szCs w:val="26"/>
          <w:bdr w:val="none" w:sz="0" w:space="0" w:color="auto" w:frame="1"/>
          <w:shd w:val="clear" w:color="auto" w:fill="FFFFFF"/>
        </w:rPr>
        <w:t xml:space="preserve"> is Consistent with the </w:t>
      </w:r>
      <w:r w:rsidRPr="000566EE" w:rsidR="00D56459">
        <w:rPr>
          <w:i/>
          <w:iCs/>
          <w:color w:val="000000"/>
          <w:szCs w:val="26"/>
          <w:bdr w:val="none" w:sz="0" w:space="0" w:color="auto" w:frame="1"/>
          <w:shd w:val="clear" w:color="auto" w:fill="FFFFFF"/>
        </w:rPr>
        <w:t>Legislat</w:t>
      </w:r>
      <w:r w:rsidRPr="000566EE" w:rsidR="000A6C6F">
        <w:rPr>
          <w:i/>
          <w:iCs/>
          <w:color w:val="000000"/>
          <w:szCs w:val="26"/>
          <w:bdr w:val="none" w:sz="0" w:space="0" w:color="auto" w:frame="1"/>
          <w:shd w:val="clear" w:color="auto" w:fill="FFFFFF"/>
        </w:rPr>
        <w:t>ure’s</w:t>
      </w:r>
      <w:r w:rsidRPr="000566EE" w:rsidR="00E972E3">
        <w:rPr>
          <w:i/>
          <w:iCs/>
          <w:color w:val="000000"/>
          <w:szCs w:val="26"/>
          <w:bdr w:val="none" w:sz="0" w:space="0" w:color="auto" w:frame="1"/>
          <w:shd w:val="clear" w:color="auto" w:fill="FFFFFF"/>
        </w:rPr>
        <w:t xml:space="preserve"> </w:t>
      </w:r>
      <w:r w:rsidRPr="000566EE" w:rsidR="00A71227">
        <w:rPr>
          <w:i/>
          <w:iCs/>
          <w:color w:val="000000"/>
          <w:szCs w:val="26"/>
          <w:bdr w:val="none" w:sz="0" w:space="0" w:color="auto" w:frame="1"/>
          <w:shd w:val="clear" w:color="auto" w:fill="FFFFFF"/>
        </w:rPr>
        <w:t>Purpose</w:t>
      </w:r>
    </w:p>
    <w:p w:rsidR="00E9791C" w:rsidRPr="000566EE" w:rsidP="000566EE" w14:paraId="1807A77A" w14:textId="60AB42A1">
      <w:pPr>
        <w:ind w:firstLine="720"/>
        <w:contextualSpacing/>
        <w:rPr>
          <w:color w:val="000000"/>
          <w:szCs w:val="26"/>
          <w:bdr w:val="none" w:sz="0" w:space="0" w:color="auto" w:frame="1"/>
          <w:shd w:val="clear" w:color="auto" w:fill="FFFFFF"/>
        </w:rPr>
      </w:pPr>
      <w:r w:rsidRPr="000566EE">
        <w:rPr>
          <w:color w:val="000000"/>
          <w:szCs w:val="26"/>
          <w:bdr w:val="none" w:sz="0" w:space="0" w:color="auto" w:frame="1"/>
          <w:shd w:val="clear" w:color="auto" w:fill="FFFFFF"/>
        </w:rPr>
        <w:t>Given</w:t>
      </w:r>
      <w:r w:rsidRPr="000566EE" w:rsidR="0004279C">
        <w:rPr>
          <w:color w:val="000000"/>
          <w:szCs w:val="26"/>
          <w:bdr w:val="none" w:sz="0" w:space="0" w:color="auto" w:frame="1"/>
          <w:shd w:val="clear" w:color="auto" w:fill="FFFFFF"/>
        </w:rPr>
        <w:t xml:space="preserve"> the </w:t>
      </w:r>
      <w:r w:rsidRPr="000566EE" w:rsidR="0066794C">
        <w:rPr>
          <w:color w:val="000000"/>
          <w:szCs w:val="26"/>
          <w:bdr w:val="none" w:sz="0" w:space="0" w:color="auto" w:frame="1"/>
          <w:shd w:val="clear" w:color="auto" w:fill="FFFFFF"/>
        </w:rPr>
        <w:t xml:space="preserve">Act’s plain meaning, </w:t>
      </w:r>
      <w:r w:rsidRPr="000566EE" w:rsidR="00A54737">
        <w:rPr>
          <w:color w:val="000000"/>
          <w:szCs w:val="26"/>
          <w:bdr w:val="none" w:sz="0" w:space="0" w:color="auto" w:frame="1"/>
          <w:shd w:val="clear" w:color="auto" w:fill="FFFFFF"/>
        </w:rPr>
        <w:t>it is not necessary</w:t>
      </w:r>
      <w:r w:rsidRPr="000566EE" w:rsidR="00FF7AEB">
        <w:rPr>
          <w:color w:val="000000"/>
          <w:szCs w:val="26"/>
          <w:bdr w:val="none" w:sz="0" w:space="0" w:color="auto" w:frame="1"/>
          <w:shd w:val="clear" w:color="auto" w:fill="FFFFFF"/>
        </w:rPr>
        <w:t xml:space="preserve"> to consider the City’s </w:t>
      </w:r>
      <w:r w:rsidRPr="000566EE" w:rsidR="00FB4C60">
        <w:rPr>
          <w:color w:val="000000"/>
          <w:szCs w:val="26"/>
          <w:bdr w:val="none" w:sz="0" w:space="0" w:color="auto" w:frame="1"/>
          <w:shd w:val="clear" w:color="auto" w:fill="FFFFFF"/>
        </w:rPr>
        <w:t>contention</w:t>
      </w:r>
      <w:r w:rsidRPr="000566EE" w:rsidR="00FF7AEB">
        <w:rPr>
          <w:color w:val="000000"/>
          <w:szCs w:val="26"/>
          <w:bdr w:val="none" w:sz="0" w:space="0" w:color="auto" w:frame="1"/>
          <w:shd w:val="clear" w:color="auto" w:fill="FFFFFF"/>
        </w:rPr>
        <w:t xml:space="preserve"> that the </w:t>
      </w:r>
      <w:r w:rsidRPr="000566EE" w:rsidR="00FB4C60">
        <w:rPr>
          <w:color w:val="000000"/>
          <w:szCs w:val="26"/>
          <w:bdr w:val="none" w:sz="0" w:space="0" w:color="auto" w:frame="1"/>
          <w:shd w:val="clear" w:color="auto" w:fill="FFFFFF"/>
        </w:rPr>
        <w:t xml:space="preserve">legislative history demonstrates </w:t>
      </w:r>
      <w:r w:rsidRPr="000566EE" w:rsidR="004C1EC0">
        <w:rPr>
          <w:color w:val="000000"/>
          <w:szCs w:val="26"/>
          <w:bdr w:val="none" w:sz="0" w:space="0" w:color="auto" w:frame="1"/>
          <w:shd w:val="clear" w:color="auto" w:fill="FFFFFF"/>
        </w:rPr>
        <w:t xml:space="preserve">that </w:t>
      </w:r>
      <w:r w:rsidRPr="000566EE" w:rsidR="00FB4C60">
        <w:rPr>
          <w:color w:val="000000"/>
          <w:szCs w:val="26"/>
          <w:bdr w:val="none" w:sz="0" w:space="0" w:color="auto" w:frame="1"/>
          <w:shd w:val="clear" w:color="auto" w:fill="FFFFFF"/>
        </w:rPr>
        <w:t>a different construction was intended</w:t>
      </w:r>
      <w:r w:rsidRPr="000566EE" w:rsidR="0099004F">
        <w:rPr>
          <w:color w:val="000000"/>
          <w:szCs w:val="26"/>
          <w:bdr w:val="none" w:sz="0" w:space="0" w:color="auto" w:frame="1"/>
          <w:shd w:val="clear" w:color="auto" w:fill="FFFFFF"/>
        </w:rPr>
        <w:t xml:space="preserve">.  </w:t>
      </w:r>
      <w:r w:rsidRPr="000566EE" w:rsidR="000E2B29">
        <w:rPr>
          <w:color w:val="000000"/>
          <w:szCs w:val="26"/>
          <w:bdr w:val="none" w:sz="0" w:space="0" w:color="auto" w:frame="1"/>
          <w:shd w:val="clear" w:color="auto" w:fill="FFFFFF"/>
        </w:rPr>
        <w:t>Nevertheless, the legislative history is consistent with our reading</w:t>
      </w:r>
      <w:r w:rsidRPr="000566EE" w:rsidR="00476DD9">
        <w:rPr>
          <w:color w:val="000000"/>
          <w:szCs w:val="26"/>
          <w:bdr w:val="none" w:sz="0" w:space="0" w:color="auto" w:frame="1"/>
          <w:shd w:val="clear" w:color="auto" w:fill="FFFFFF"/>
        </w:rPr>
        <w:t xml:space="preserve">. </w:t>
      </w:r>
    </w:p>
    <w:p w:rsidR="002B39AB" w:rsidRPr="000566EE" w:rsidP="000566EE" w14:paraId="59693F71" w14:textId="4EE83818">
      <w:pPr>
        <w:ind w:firstLine="720"/>
        <w:contextualSpacing/>
        <w:rPr>
          <w:color w:val="000000"/>
          <w:szCs w:val="26"/>
          <w:bdr w:val="none" w:sz="0" w:space="0" w:color="auto" w:frame="1"/>
          <w:shd w:val="clear" w:color="auto" w:fill="FFFFFF"/>
        </w:rPr>
      </w:pPr>
      <w:r w:rsidRPr="000566EE">
        <w:rPr>
          <w:color w:val="000000"/>
          <w:szCs w:val="26"/>
          <w:bdr w:val="none" w:sz="0" w:space="0" w:color="auto" w:frame="1"/>
          <w:shd w:val="clear" w:color="auto" w:fill="FFFFFF"/>
        </w:rPr>
        <w:t>“The plain meaning of the words of a statute may be disregarded only when the application of their literal meaning would (1) produce absurd consequences that the Legislature clearly did not intend or (2) frustrate the manifest purposes that appear from [the statute</w:t>
      </w:r>
      <w:r w:rsidRPr="000566EE" w:rsidR="0002127C">
        <w:rPr>
          <w:color w:val="000000"/>
          <w:szCs w:val="26"/>
          <w:bdr w:val="none" w:sz="0" w:space="0" w:color="auto" w:frame="1"/>
          <w:shd w:val="clear" w:color="auto" w:fill="FFFFFF"/>
        </w:rPr>
        <w:t>’</w:t>
      </w:r>
      <w:r w:rsidRPr="000566EE">
        <w:rPr>
          <w:color w:val="000000"/>
          <w:szCs w:val="26"/>
          <w:bdr w:val="none" w:sz="0" w:space="0" w:color="auto" w:frame="1"/>
          <w:shd w:val="clear" w:color="auto" w:fill="FFFFFF"/>
        </w:rPr>
        <w:t>s] provisions</w:t>
      </w:r>
      <w:r w:rsidRPr="000566EE" w:rsidR="00945939">
        <w:rPr>
          <w:color w:val="000000"/>
          <w:szCs w:val="26"/>
          <w:bdr w:val="none" w:sz="0" w:space="0" w:color="auto" w:frame="1"/>
          <w:shd w:val="clear" w:color="auto" w:fill="FFFFFF"/>
        </w:rPr>
        <w:t> </w:t>
      </w:r>
      <w:r w:rsidRPr="000566EE">
        <w:rPr>
          <w:color w:val="000000"/>
          <w:szCs w:val="26"/>
          <w:bdr w:val="none" w:sz="0" w:space="0" w:color="auto" w:frame="1"/>
          <w:shd w:val="clear" w:color="auto" w:fill="FFFFFF"/>
        </w:rPr>
        <w:t>. . . when considered as a whole in light of its legislative history.”</w:t>
      </w:r>
      <w:r w:rsidRPr="000566EE" w:rsidR="0002127C">
        <w:rPr>
          <w:color w:val="000000"/>
          <w:szCs w:val="26"/>
          <w:bdr w:val="none" w:sz="0" w:space="0" w:color="auto" w:frame="1"/>
          <w:shd w:val="clear" w:color="auto" w:fill="FFFFFF"/>
        </w:rPr>
        <w:t xml:space="preserve">  (</w:t>
      </w:r>
      <w:r w:rsidRPr="000566EE" w:rsidR="008802B5">
        <w:rPr>
          <w:i/>
          <w:iCs/>
          <w:color w:val="000000"/>
          <w:szCs w:val="26"/>
          <w:bdr w:val="none" w:sz="0" w:space="0" w:color="auto" w:frame="1"/>
          <w:shd w:val="clear" w:color="auto" w:fill="FFFFFF"/>
        </w:rPr>
        <w:t>Martinez v. City of Clovis</w:t>
      </w:r>
      <w:r w:rsidRPr="000566EE" w:rsidR="008802B5">
        <w:rPr>
          <w:color w:val="000000"/>
          <w:szCs w:val="26"/>
          <w:bdr w:val="none" w:sz="0" w:space="0" w:color="auto" w:frame="1"/>
          <w:shd w:val="clear" w:color="auto" w:fill="FFFFFF"/>
        </w:rPr>
        <w:t xml:space="preserve"> (2023) 90 Cal.App.5th </w:t>
      </w:r>
      <w:r w:rsidRPr="000566EE" w:rsidR="002C6583">
        <w:rPr>
          <w:color w:val="000000"/>
          <w:szCs w:val="26"/>
          <w:bdr w:val="none" w:sz="0" w:space="0" w:color="auto" w:frame="1"/>
          <w:shd w:val="clear" w:color="auto" w:fill="FFFFFF"/>
        </w:rPr>
        <w:t>193, 239</w:t>
      </w:r>
      <w:r w:rsidRPr="000566EE" w:rsidR="00493AE8">
        <w:rPr>
          <w:color w:val="000000"/>
          <w:szCs w:val="26"/>
          <w:bdr w:val="none" w:sz="0" w:space="0" w:color="auto" w:frame="1"/>
          <w:shd w:val="clear" w:color="auto" w:fill="FFFFFF"/>
        </w:rPr>
        <w:t xml:space="preserve"> (</w:t>
      </w:r>
      <w:r w:rsidRPr="000566EE" w:rsidR="00493AE8">
        <w:rPr>
          <w:i/>
          <w:iCs/>
          <w:color w:val="000000"/>
          <w:szCs w:val="26"/>
          <w:bdr w:val="none" w:sz="0" w:space="0" w:color="auto" w:frame="1"/>
          <w:shd w:val="clear" w:color="auto" w:fill="FFFFFF"/>
        </w:rPr>
        <w:t>Martinez</w:t>
      </w:r>
      <w:r w:rsidRPr="000566EE" w:rsidR="00493AE8">
        <w:rPr>
          <w:color w:val="000000"/>
          <w:szCs w:val="26"/>
          <w:bdr w:val="none" w:sz="0" w:space="0" w:color="auto" w:frame="1"/>
          <w:shd w:val="clear" w:color="auto" w:fill="FFFFFF"/>
        </w:rPr>
        <w:t>)</w:t>
      </w:r>
      <w:r w:rsidRPr="000566EE" w:rsidR="0068399E">
        <w:rPr>
          <w:color w:val="000000"/>
          <w:szCs w:val="26"/>
          <w:bdr w:val="none" w:sz="0" w:space="0" w:color="auto" w:frame="1"/>
          <w:shd w:val="clear" w:color="auto" w:fill="FFFFFF"/>
        </w:rPr>
        <w:t xml:space="preserve">; see also </w:t>
      </w:r>
      <w:r w:rsidRPr="000566EE" w:rsidR="0068399E">
        <w:rPr>
          <w:i/>
          <w:iCs/>
          <w:color w:val="000000"/>
          <w:szCs w:val="26"/>
          <w:bdr w:val="none" w:sz="0" w:space="0" w:color="auto" w:frame="1"/>
          <w:shd w:val="clear" w:color="auto" w:fill="FFFFFF"/>
        </w:rPr>
        <w:t>California State University, Fresno Ass</w:t>
      </w:r>
      <w:r w:rsidRPr="000566EE" w:rsidR="00945939">
        <w:rPr>
          <w:i/>
          <w:iCs/>
          <w:color w:val="000000"/>
          <w:szCs w:val="26"/>
          <w:bdr w:val="none" w:sz="0" w:space="0" w:color="auto" w:frame="1"/>
          <w:shd w:val="clear" w:color="auto" w:fill="FFFFFF"/>
        </w:rPr>
        <w:t>n.</w:t>
      </w:r>
      <w:r w:rsidRPr="000566EE" w:rsidR="0068399E">
        <w:rPr>
          <w:i/>
          <w:iCs/>
          <w:color w:val="000000"/>
          <w:szCs w:val="26"/>
          <w:bdr w:val="none" w:sz="0" w:space="0" w:color="auto" w:frame="1"/>
          <w:shd w:val="clear" w:color="auto" w:fill="FFFFFF"/>
        </w:rPr>
        <w:t>, Inc. v. County of Fresno</w:t>
      </w:r>
      <w:r w:rsidRPr="000566EE" w:rsidR="0068399E">
        <w:rPr>
          <w:color w:val="000000"/>
          <w:szCs w:val="26"/>
          <w:bdr w:val="none" w:sz="0" w:space="0" w:color="auto" w:frame="1"/>
          <w:shd w:val="clear" w:color="auto" w:fill="FFFFFF"/>
        </w:rPr>
        <w:t xml:space="preserve"> (2017) 9 Cal.App.5th 250, 266 [</w:t>
      </w:r>
      <w:r w:rsidRPr="000566EE" w:rsidR="00C814AD">
        <w:rPr>
          <w:color w:val="000000"/>
          <w:szCs w:val="26"/>
          <w:bdr w:val="none" w:sz="0" w:space="0" w:color="auto" w:frame="1"/>
          <w:shd w:val="clear" w:color="auto" w:fill="FFFFFF"/>
        </w:rPr>
        <w:t>“‘The plain meaning of words in a statute may be disregarded only when that meaning is “‘repugnant to the general purview of the act,’ or for some other compelling reason</w:t>
      </w:r>
      <w:r w:rsidRPr="000566EE" w:rsidR="008B7BC4">
        <w:rPr>
          <w:color w:val="000000"/>
          <w:szCs w:val="26"/>
          <w:bdr w:val="none" w:sz="0" w:space="0" w:color="auto" w:frame="1"/>
          <w:shd w:val="clear" w:color="auto" w:fill="FFFFFF"/>
        </w:rPr>
        <w:t> </w:t>
      </w:r>
      <w:r w:rsidRPr="000566EE" w:rsidR="00C814AD">
        <w:rPr>
          <w:color w:val="000000"/>
          <w:szCs w:val="26"/>
          <w:bdr w:val="none" w:sz="0" w:space="0" w:color="auto" w:frame="1"/>
          <w:shd w:val="clear" w:color="auto" w:fill="FFFFFF"/>
        </w:rPr>
        <w:t>. . .”’”]</w:t>
      </w:r>
      <w:r w:rsidRPr="000566EE" w:rsidR="00A01A44">
        <w:rPr>
          <w:color w:val="000000"/>
          <w:szCs w:val="26"/>
          <w:bdr w:val="none" w:sz="0" w:space="0" w:color="auto" w:frame="1"/>
          <w:shd w:val="clear" w:color="auto" w:fill="FFFFFF"/>
        </w:rPr>
        <w:t>.)</w:t>
      </w:r>
      <w:r w:rsidRPr="000566EE" w:rsidR="00A54EE1">
        <w:rPr>
          <w:color w:val="000000"/>
          <w:szCs w:val="26"/>
          <w:bdr w:val="none" w:sz="0" w:space="0" w:color="auto" w:frame="1"/>
          <w:shd w:val="clear" w:color="auto" w:fill="FFFFFF"/>
        </w:rPr>
        <w:t xml:space="preserve"> </w:t>
      </w:r>
    </w:p>
    <w:p w:rsidR="005007D5" w:rsidRPr="000566EE" w:rsidP="000566EE" w14:paraId="51EE1671" w14:textId="1FC21C6D">
      <w:pPr>
        <w:ind w:firstLine="720"/>
        <w:contextualSpacing/>
        <w:rPr>
          <w:color w:val="000000"/>
          <w:szCs w:val="26"/>
          <w:bdr w:val="none" w:sz="0" w:space="0" w:color="auto" w:frame="1"/>
          <w:shd w:val="clear" w:color="auto" w:fill="FFFFFF"/>
        </w:rPr>
      </w:pPr>
      <w:r w:rsidRPr="000566EE">
        <w:rPr>
          <w:color w:val="000000"/>
          <w:szCs w:val="26"/>
          <w:bdr w:val="none" w:sz="0" w:space="0" w:color="auto" w:frame="1"/>
          <w:shd w:val="clear" w:color="auto" w:fill="FFFFFF"/>
        </w:rPr>
        <w:t>L</w:t>
      </w:r>
      <w:r w:rsidRPr="000566EE" w:rsidR="007E1CF9">
        <w:rPr>
          <w:color w:val="000000"/>
          <w:szCs w:val="26"/>
          <w:bdr w:val="none" w:sz="0" w:space="0" w:color="auto" w:frame="1"/>
          <w:shd w:val="clear" w:color="auto" w:fill="FFFFFF"/>
        </w:rPr>
        <w:t xml:space="preserve">egislative </w:t>
      </w:r>
      <w:r w:rsidRPr="000566EE" w:rsidR="00FD1669">
        <w:rPr>
          <w:color w:val="000000"/>
          <w:szCs w:val="26"/>
          <w:bdr w:val="none" w:sz="0" w:space="0" w:color="auto" w:frame="1"/>
          <w:shd w:val="clear" w:color="auto" w:fill="FFFFFF"/>
        </w:rPr>
        <w:t xml:space="preserve">declarations and findings </w:t>
      </w:r>
      <w:r w:rsidRPr="000566EE">
        <w:rPr>
          <w:color w:val="000000"/>
          <w:szCs w:val="26"/>
          <w:bdr w:val="none" w:sz="0" w:space="0" w:color="auto" w:frame="1"/>
          <w:shd w:val="clear" w:color="auto" w:fill="FFFFFF"/>
        </w:rPr>
        <w:t>indicate the Act should be interpreted</w:t>
      </w:r>
      <w:r w:rsidRPr="000566EE" w:rsidR="00BD14C3">
        <w:rPr>
          <w:color w:val="000000"/>
          <w:szCs w:val="26"/>
          <w:bdr w:val="none" w:sz="0" w:space="0" w:color="auto" w:frame="1"/>
          <w:shd w:val="clear" w:color="auto" w:fill="FFFFFF"/>
        </w:rPr>
        <w:t xml:space="preserve"> </w:t>
      </w:r>
      <w:r w:rsidRPr="000566EE" w:rsidR="007E1CF9">
        <w:rPr>
          <w:color w:val="000000"/>
          <w:szCs w:val="26"/>
          <w:bdr w:val="none" w:sz="0" w:space="0" w:color="auto" w:frame="1"/>
          <w:shd w:val="clear" w:color="auto" w:fill="FFFFFF"/>
        </w:rPr>
        <w:t xml:space="preserve">in </w:t>
      </w:r>
      <w:r w:rsidRPr="000566EE" w:rsidR="00D41AD2">
        <w:rPr>
          <w:color w:val="000000"/>
          <w:szCs w:val="26"/>
          <w:bdr w:val="none" w:sz="0" w:space="0" w:color="auto" w:frame="1"/>
          <w:shd w:val="clear" w:color="auto" w:fill="FFFFFF"/>
        </w:rPr>
        <w:t>a</w:t>
      </w:r>
      <w:r w:rsidRPr="000566EE" w:rsidR="007E1CF9">
        <w:rPr>
          <w:color w:val="000000"/>
          <w:szCs w:val="26"/>
          <w:bdr w:val="none" w:sz="0" w:space="0" w:color="auto" w:frame="1"/>
          <w:shd w:val="clear" w:color="auto" w:fill="FFFFFF"/>
        </w:rPr>
        <w:t xml:space="preserve"> manner that offers </w:t>
      </w:r>
      <w:r w:rsidRPr="000566EE" w:rsidR="006B767F">
        <w:rPr>
          <w:color w:val="000000"/>
          <w:szCs w:val="26"/>
          <w:bdr w:val="none" w:sz="0" w:space="0" w:color="auto" w:frame="1"/>
          <w:shd w:val="clear" w:color="auto" w:fill="FFFFFF"/>
        </w:rPr>
        <w:t>expansive</w:t>
      </w:r>
      <w:r w:rsidRPr="000566EE" w:rsidR="007E1CF9">
        <w:rPr>
          <w:color w:val="000000"/>
          <w:szCs w:val="26"/>
          <w:bdr w:val="none" w:sz="0" w:space="0" w:color="auto" w:frame="1"/>
          <w:shd w:val="clear" w:color="auto" w:fill="FFFFFF"/>
        </w:rPr>
        <w:t xml:space="preserve"> housing protection</w:t>
      </w:r>
      <w:r w:rsidRPr="000566EE">
        <w:rPr>
          <w:color w:val="000000"/>
          <w:szCs w:val="26"/>
          <w:bdr w:val="none" w:sz="0" w:space="0" w:color="auto" w:frame="1"/>
          <w:shd w:val="clear" w:color="auto" w:fill="FFFFFF"/>
        </w:rPr>
        <w:t xml:space="preserve"> and limits the ability of local governments to interfere with housing construction</w:t>
      </w:r>
      <w:r w:rsidRPr="000566EE" w:rsidR="007E1CF9">
        <w:rPr>
          <w:color w:val="000000"/>
          <w:szCs w:val="26"/>
          <w:bdr w:val="none" w:sz="0" w:space="0" w:color="auto" w:frame="1"/>
          <w:shd w:val="clear" w:color="auto" w:fill="FFFFFF"/>
        </w:rPr>
        <w:t xml:space="preserve">.  </w:t>
      </w:r>
      <w:r w:rsidRPr="000566EE" w:rsidR="00C35955">
        <w:rPr>
          <w:color w:val="000000"/>
          <w:szCs w:val="26"/>
          <w:bdr w:val="none" w:sz="0" w:space="0" w:color="auto" w:frame="1"/>
          <w:shd w:val="clear" w:color="auto" w:fill="FFFFFF"/>
        </w:rPr>
        <w:t xml:space="preserve">While the </w:t>
      </w:r>
      <w:r w:rsidRPr="000566EE" w:rsidR="009305D1">
        <w:rPr>
          <w:color w:val="000000"/>
          <w:szCs w:val="26"/>
          <w:bdr w:val="none" w:sz="0" w:space="0" w:color="auto" w:frame="1"/>
          <w:shd w:val="clear" w:color="auto" w:fill="FFFFFF"/>
        </w:rPr>
        <w:t>Legislature</w:t>
      </w:r>
      <w:r w:rsidRPr="000566EE" w:rsidR="006D685A">
        <w:rPr>
          <w:color w:val="000000"/>
          <w:szCs w:val="26"/>
          <w:bdr w:val="none" w:sz="0" w:space="0" w:color="auto" w:frame="1"/>
          <w:shd w:val="clear" w:color="auto" w:fill="FFFFFF"/>
        </w:rPr>
        <w:t xml:space="preserve"> </w:t>
      </w:r>
      <w:r w:rsidRPr="000566EE">
        <w:rPr>
          <w:color w:val="000000"/>
          <w:szCs w:val="26"/>
          <w:bdr w:val="none" w:sz="0" w:space="0" w:color="auto" w:frame="1"/>
          <w:shd w:val="clear" w:color="auto" w:fill="FFFFFF"/>
        </w:rPr>
        <w:t xml:space="preserve">certainly </w:t>
      </w:r>
      <w:r w:rsidRPr="000566EE" w:rsidR="006B0669">
        <w:rPr>
          <w:color w:val="000000"/>
          <w:szCs w:val="26"/>
          <w:bdr w:val="none" w:sz="0" w:space="0" w:color="auto" w:frame="1"/>
          <w:shd w:val="clear" w:color="auto" w:fill="FFFFFF"/>
        </w:rPr>
        <w:t>recognized a need for</w:t>
      </w:r>
      <w:r w:rsidRPr="000566EE" w:rsidR="005B69BD">
        <w:rPr>
          <w:color w:val="000000"/>
          <w:szCs w:val="26"/>
          <w:bdr w:val="none" w:sz="0" w:space="0" w:color="auto" w:frame="1"/>
          <w:shd w:val="clear" w:color="auto" w:fill="FFFFFF"/>
        </w:rPr>
        <w:t xml:space="preserve"> more housing units</w:t>
      </w:r>
      <w:r w:rsidRPr="000566EE" w:rsidR="005F0A58">
        <w:rPr>
          <w:color w:val="000000"/>
          <w:szCs w:val="26"/>
          <w:bdr w:val="none" w:sz="0" w:space="0" w:color="auto" w:frame="1"/>
          <w:shd w:val="clear" w:color="auto" w:fill="FFFFFF"/>
        </w:rPr>
        <w:t xml:space="preserve"> </w:t>
      </w:r>
      <w:r w:rsidRPr="000566EE" w:rsidR="008B21A5">
        <w:rPr>
          <w:color w:val="000000"/>
          <w:szCs w:val="26"/>
          <w:bdr w:val="none" w:sz="0" w:space="0" w:color="auto" w:frame="1"/>
          <w:shd w:val="clear" w:color="auto" w:fill="FFFFFF"/>
        </w:rPr>
        <w:t>(</w:t>
      </w:r>
      <w:r w:rsidRPr="000566EE" w:rsidR="003007A4">
        <w:rPr>
          <w:color w:val="000000"/>
          <w:szCs w:val="26"/>
          <w:bdr w:val="none" w:sz="0" w:space="0" w:color="auto" w:frame="1"/>
          <w:shd w:val="clear" w:color="auto" w:fill="FFFFFF"/>
        </w:rPr>
        <w:t>se</w:t>
      </w:r>
      <w:r w:rsidRPr="000566EE" w:rsidR="004D0D82">
        <w:rPr>
          <w:color w:val="000000"/>
          <w:szCs w:val="26"/>
          <w:bdr w:val="none" w:sz="0" w:space="0" w:color="auto" w:frame="1"/>
          <w:shd w:val="clear" w:color="auto" w:fill="FFFFFF"/>
        </w:rPr>
        <w:t>e</w:t>
      </w:r>
      <w:r w:rsidRPr="000566EE" w:rsidR="003007A4">
        <w:rPr>
          <w:color w:val="000000"/>
          <w:szCs w:val="26"/>
          <w:bdr w:val="none" w:sz="0" w:space="0" w:color="auto" w:frame="1"/>
          <w:shd w:val="clear" w:color="auto" w:fill="FFFFFF"/>
        </w:rPr>
        <w:t xml:space="preserve"> e.g., </w:t>
      </w:r>
      <w:r w:rsidRPr="000566EE" w:rsidR="008B7BC4">
        <w:rPr>
          <w:color w:val="000000"/>
          <w:szCs w:val="26"/>
          <w:bdr w:val="none" w:sz="0" w:space="0" w:color="auto" w:frame="1"/>
          <w:shd w:val="clear" w:color="auto" w:fill="FFFFFF"/>
        </w:rPr>
        <w:t>Stats. 2019, c</w:t>
      </w:r>
      <w:r w:rsidRPr="000566EE" w:rsidR="00AD4552">
        <w:rPr>
          <w:color w:val="000000"/>
          <w:szCs w:val="26"/>
          <w:bdr w:val="none" w:sz="0" w:space="0" w:color="auto" w:frame="1"/>
          <w:shd w:val="clear" w:color="auto" w:fill="FFFFFF"/>
        </w:rPr>
        <w:t>h.</w:t>
      </w:r>
      <w:r w:rsidRPr="000566EE" w:rsidR="00875005">
        <w:rPr>
          <w:color w:val="000000"/>
          <w:szCs w:val="26"/>
          <w:bdr w:val="none" w:sz="0" w:space="0" w:color="auto" w:frame="1"/>
          <w:shd w:val="clear" w:color="auto" w:fill="FFFFFF"/>
        </w:rPr>
        <w:t> </w:t>
      </w:r>
      <w:r w:rsidRPr="000566EE" w:rsidR="00AD4552">
        <w:rPr>
          <w:color w:val="000000"/>
          <w:szCs w:val="26"/>
          <w:bdr w:val="none" w:sz="0" w:space="0" w:color="auto" w:frame="1"/>
          <w:shd w:val="clear" w:color="auto" w:fill="FFFFFF"/>
        </w:rPr>
        <w:t>654</w:t>
      </w:r>
      <w:r w:rsidRPr="000566EE" w:rsidR="008B7BC4">
        <w:rPr>
          <w:color w:val="000000"/>
          <w:szCs w:val="26"/>
          <w:bdr w:val="none" w:sz="0" w:space="0" w:color="auto" w:frame="1"/>
          <w:shd w:val="clear" w:color="auto" w:fill="FFFFFF"/>
        </w:rPr>
        <w:t>,</w:t>
      </w:r>
      <w:r w:rsidRPr="000566EE" w:rsidR="00AD4552">
        <w:rPr>
          <w:color w:val="000000"/>
          <w:szCs w:val="26"/>
          <w:bdr w:val="none" w:sz="0" w:space="0" w:color="auto" w:frame="1"/>
          <w:shd w:val="clear" w:color="auto" w:fill="FFFFFF"/>
        </w:rPr>
        <w:t xml:space="preserve"> </w:t>
      </w:r>
      <w:r w:rsidRPr="000566EE" w:rsidR="008B21A5">
        <w:rPr>
          <w:color w:val="000000"/>
          <w:szCs w:val="26"/>
          <w:bdr w:val="none" w:sz="0" w:space="0" w:color="auto" w:frame="1"/>
          <w:shd w:val="clear" w:color="auto" w:fill="FFFFFF"/>
        </w:rPr>
        <w:t>§</w:t>
      </w:r>
      <w:r w:rsidRPr="000566EE" w:rsidR="008B7BC4">
        <w:rPr>
          <w:color w:val="000000"/>
          <w:szCs w:val="26"/>
          <w:bdr w:val="none" w:sz="0" w:space="0" w:color="auto" w:frame="1"/>
          <w:shd w:val="clear" w:color="auto" w:fill="FFFFFF"/>
        </w:rPr>
        <w:t> </w:t>
      </w:r>
      <w:r w:rsidRPr="000566EE" w:rsidR="00AD4552">
        <w:rPr>
          <w:color w:val="000000"/>
          <w:szCs w:val="26"/>
          <w:bdr w:val="none" w:sz="0" w:space="0" w:color="auto" w:frame="1"/>
          <w:shd w:val="clear" w:color="auto" w:fill="FFFFFF"/>
        </w:rPr>
        <w:t>2(a)(</w:t>
      </w:r>
      <w:r w:rsidRPr="000566EE" w:rsidR="003007A4">
        <w:rPr>
          <w:color w:val="000000"/>
          <w:szCs w:val="26"/>
          <w:bdr w:val="none" w:sz="0" w:space="0" w:color="auto" w:frame="1"/>
          <w:shd w:val="clear" w:color="auto" w:fill="FFFFFF"/>
        </w:rPr>
        <w:t>4)</w:t>
      </w:r>
      <w:r w:rsidRPr="000566EE" w:rsidR="008B7BC4">
        <w:rPr>
          <w:color w:val="000000"/>
          <w:szCs w:val="26"/>
          <w:bdr w:val="none" w:sz="0" w:space="0" w:color="auto" w:frame="1"/>
          <w:shd w:val="clear" w:color="auto" w:fill="FFFFFF"/>
        </w:rPr>
        <w:t xml:space="preserve"> (Sen. Bill No. 330</w:t>
      </w:r>
      <w:r w:rsidRPr="00FC7CCD" w:rsidR="008B7BC4">
        <w:rPr>
          <w:color w:val="000000"/>
          <w:szCs w:val="26"/>
          <w:bdr w:val="none" w:sz="0" w:space="0" w:color="auto" w:frame="1"/>
          <w:shd w:val="clear" w:color="auto" w:fill="FFFFFF"/>
        </w:rPr>
        <w:t>)</w:t>
      </w:r>
      <w:r w:rsidRPr="00FC7CCD" w:rsidR="001E65EC">
        <w:rPr>
          <w:color w:val="000000"/>
          <w:szCs w:val="26"/>
          <w:bdr w:val="none" w:sz="0" w:space="0" w:color="auto" w:frame="1"/>
          <w:shd w:val="clear" w:color="auto" w:fill="FFFFFF"/>
        </w:rPr>
        <w:t>),</w:t>
      </w:r>
      <w:r w:rsidRPr="000566EE" w:rsidR="001E65EC">
        <w:rPr>
          <w:color w:val="000000"/>
          <w:szCs w:val="26"/>
          <w:bdr w:val="none" w:sz="0" w:space="0" w:color="auto" w:frame="1"/>
          <w:shd w:val="clear" w:color="auto" w:fill="FFFFFF"/>
        </w:rPr>
        <w:t xml:space="preserve"> </w:t>
      </w:r>
      <w:r w:rsidRPr="000566EE" w:rsidR="00054B41">
        <w:rPr>
          <w:color w:val="000000"/>
          <w:szCs w:val="26"/>
          <w:bdr w:val="none" w:sz="0" w:space="0" w:color="auto" w:frame="1"/>
          <w:shd w:val="clear" w:color="auto" w:fill="FFFFFF"/>
        </w:rPr>
        <w:t>t</w:t>
      </w:r>
      <w:r w:rsidRPr="000566EE" w:rsidR="00491E78">
        <w:rPr>
          <w:color w:val="000000"/>
          <w:szCs w:val="26"/>
          <w:bdr w:val="none" w:sz="0" w:space="0" w:color="auto" w:frame="1"/>
          <w:shd w:val="clear" w:color="auto" w:fill="FFFFFF"/>
        </w:rPr>
        <w:t xml:space="preserve">he Legislature </w:t>
      </w:r>
      <w:r w:rsidRPr="000566EE" w:rsidR="00054B41">
        <w:rPr>
          <w:color w:val="000000"/>
          <w:szCs w:val="26"/>
          <w:bdr w:val="none" w:sz="0" w:space="0" w:color="auto" w:frame="1"/>
          <w:shd w:val="clear" w:color="auto" w:fill="FFFFFF"/>
        </w:rPr>
        <w:t xml:space="preserve">also </w:t>
      </w:r>
      <w:r w:rsidRPr="000566EE" w:rsidR="00271607">
        <w:rPr>
          <w:color w:val="000000"/>
          <w:szCs w:val="26"/>
          <w:bdr w:val="none" w:sz="0" w:space="0" w:color="auto" w:frame="1"/>
          <w:shd w:val="clear" w:color="auto" w:fill="FFFFFF"/>
        </w:rPr>
        <w:t>found</w:t>
      </w:r>
      <w:r w:rsidRPr="000566EE" w:rsidR="00491E78">
        <w:rPr>
          <w:color w:val="000000"/>
          <w:szCs w:val="26"/>
          <w:bdr w:val="none" w:sz="0" w:space="0" w:color="auto" w:frame="1"/>
          <w:shd w:val="clear" w:color="auto" w:fill="FFFFFF"/>
        </w:rPr>
        <w:t xml:space="preserve"> </w:t>
      </w:r>
      <w:r w:rsidRPr="000566EE" w:rsidR="005744BE">
        <w:rPr>
          <w:color w:val="000000"/>
          <w:szCs w:val="26"/>
          <w:bdr w:val="none" w:sz="0" w:space="0" w:color="auto" w:frame="1"/>
          <w:shd w:val="clear" w:color="auto" w:fill="FFFFFF"/>
        </w:rPr>
        <w:t xml:space="preserve">the causes of </w:t>
      </w:r>
      <w:r w:rsidRPr="000566EE" w:rsidR="00054B41">
        <w:rPr>
          <w:color w:val="000000"/>
          <w:szCs w:val="26"/>
          <w:bdr w:val="none" w:sz="0" w:space="0" w:color="auto" w:frame="1"/>
          <w:shd w:val="clear" w:color="auto" w:fill="FFFFFF"/>
        </w:rPr>
        <w:t>the housing</w:t>
      </w:r>
      <w:r w:rsidRPr="000566EE" w:rsidR="005744BE">
        <w:rPr>
          <w:color w:val="000000"/>
          <w:szCs w:val="26"/>
          <w:bdr w:val="none" w:sz="0" w:space="0" w:color="auto" w:frame="1"/>
          <w:shd w:val="clear" w:color="auto" w:fill="FFFFFF"/>
        </w:rPr>
        <w:t xml:space="preserve"> crisis </w:t>
      </w:r>
      <w:r w:rsidRPr="000566EE" w:rsidR="004E774C">
        <w:rPr>
          <w:color w:val="000000"/>
          <w:szCs w:val="26"/>
          <w:bdr w:val="none" w:sz="0" w:space="0" w:color="auto" w:frame="1"/>
          <w:shd w:val="clear" w:color="auto" w:fill="FFFFFF"/>
        </w:rPr>
        <w:t>“are multiple and complex</w:t>
      </w:r>
      <w:r w:rsidRPr="000566EE" w:rsidR="0039663C">
        <w:rPr>
          <w:color w:val="000000"/>
          <w:szCs w:val="26"/>
          <w:bdr w:val="none" w:sz="0" w:space="0" w:color="auto" w:frame="1"/>
          <w:shd w:val="clear" w:color="auto" w:fill="FFFFFF"/>
        </w:rPr>
        <w:t>.</w:t>
      </w:r>
      <w:r w:rsidRPr="000566EE" w:rsidR="004E774C">
        <w:rPr>
          <w:color w:val="000000"/>
          <w:szCs w:val="26"/>
          <w:bdr w:val="none" w:sz="0" w:space="0" w:color="auto" w:frame="1"/>
          <w:shd w:val="clear" w:color="auto" w:fill="FFFFFF"/>
        </w:rPr>
        <w:t>”</w:t>
      </w:r>
      <w:r w:rsidRPr="000566EE" w:rsidR="0039663C">
        <w:rPr>
          <w:color w:val="000000"/>
          <w:szCs w:val="26"/>
          <w:bdr w:val="none" w:sz="0" w:space="0" w:color="auto" w:frame="1"/>
          <w:shd w:val="clear" w:color="auto" w:fill="FFFFFF"/>
        </w:rPr>
        <w:t xml:space="preserve">  (See §</w:t>
      </w:r>
      <w:r w:rsidRPr="000566EE" w:rsidR="00875005">
        <w:rPr>
          <w:color w:val="000000"/>
          <w:szCs w:val="26"/>
          <w:bdr w:val="none" w:sz="0" w:space="0" w:color="auto" w:frame="1"/>
          <w:shd w:val="clear" w:color="auto" w:fill="FFFFFF"/>
        </w:rPr>
        <w:t> </w:t>
      </w:r>
      <w:r w:rsidRPr="000566EE" w:rsidR="0039663C">
        <w:rPr>
          <w:color w:val="000000"/>
          <w:szCs w:val="26"/>
          <w:bdr w:val="none" w:sz="0" w:space="0" w:color="auto" w:frame="1"/>
          <w:shd w:val="clear" w:color="auto" w:fill="FFFFFF"/>
        </w:rPr>
        <w:t>65589.5(a)(2)(B)</w:t>
      </w:r>
      <w:r w:rsidRPr="000566EE" w:rsidR="003E3384">
        <w:rPr>
          <w:color w:val="000000"/>
          <w:szCs w:val="26"/>
          <w:bdr w:val="none" w:sz="0" w:space="0" w:color="auto" w:frame="1"/>
          <w:shd w:val="clear" w:color="auto" w:fill="FFFFFF"/>
        </w:rPr>
        <w:t xml:space="preserve"> [amended as part of the Act in Sen. Bill No.</w:t>
      </w:r>
      <w:r w:rsidRPr="000566EE" w:rsidR="00BB02AA">
        <w:rPr>
          <w:color w:val="000000"/>
          <w:szCs w:val="26"/>
          <w:bdr w:val="none" w:sz="0" w:space="0" w:color="auto" w:frame="1"/>
          <w:shd w:val="clear" w:color="auto" w:fill="FFFFFF"/>
        </w:rPr>
        <w:t> </w:t>
      </w:r>
      <w:r w:rsidRPr="000566EE" w:rsidR="003E3384">
        <w:rPr>
          <w:color w:val="000000"/>
          <w:szCs w:val="26"/>
          <w:bdr w:val="none" w:sz="0" w:space="0" w:color="auto" w:frame="1"/>
          <w:shd w:val="clear" w:color="auto" w:fill="FFFFFF"/>
        </w:rPr>
        <w:t>330</w:t>
      </w:r>
      <w:r w:rsidRPr="000566EE" w:rsidR="00BB02AA">
        <w:rPr>
          <w:color w:val="000000"/>
          <w:szCs w:val="26"/>
          <w:bdr w:val="none" w:sz="0" w:space="0" w:color="auto" w:frame="1"/>
          <w:shd w:val="clear" w:color="auto" w:fill="FFFFFF"/>
        </w:rPr>
        <w:t>]</w:t>
      </w:r>
      <w:r w:rsidRPr="000566EE" w:rsidR="0039663C">
        <w:rPr>
          <w:color w:val="000000"/>
          <w:szCs w:val="26"/>
          <w:bdr w:val="none" w:sz="0" w:space="0" w:color="auto" w:frame="1"/>
          <w:shd w:val="clear" w:color="auto" w:fill="FFFFFF"/>
        </w:rPr>
        <w:t>.)</w:t>
      </w:r>
      <w:r w:rsidRPr="000566EE" w:rsidR="002751C9">
        <w:rPr>
          <w:color w:val="000000"/>
          <w:szCs w:val="26"/>
          <w:bdr w:val="none" w:sz="0" w:space="0" w:color="auto" w:frame="1"/>
          <w:shd w:val="clear" w:color="auto" w:fill="FFFFFF"/>
        </w:rPr>
        <w:t xml:space="preserve"> </w:t>
      </w:r>
      <w:r w:rsidRPr="000566EE" w:rsidR="0039663C">
        <w:rPr>
          <w:color w:val="000000"/>
          <w:szCs w:val="26"/>
          <w:bdr w:val="none" w:sz="0" w:space="0" w:color="auto" w:frame="1"/>
          <w:shd w:val="clear" w:color="auto" w:fill="FFFFFF"/>
        </w:rPr>
        <w:t xml:space="preserve"> </w:t>
      </w:r>
      <w:r w:rsidRPr="000566EE" w:rsidR="009B34F2">
        <w:rPr>
          <w:color w:val="000000"/>
          <w:szCs w:val="26"/>
          <w:bdr w:val="none" w:sz="0" w:space="0" w:color="auto" w:frame="1"/>
          <w:shd w:val="clear" w:color="auto" w:fill="FFFFFF"/>
        </w:rPr>
        <w:t>The</w:t>
      </w:r>
      <w:r w:rsidRPr="000566EE" w:rsidR="006A3A14">
        <w:rPr>
          <w:color w:val="000000"/>
          <w:szCs w:val="26"/>
          <w:bdr w:val="none" w:sz="0" w:space="0" w:color="auto" w:frame="1"/>
          <w:shd w:val="clear" w:color="auto" w:fill="FFFFFF"/>
        </w:rPr>
        <w:t xml:space="preserve">y </w:t>
      </w:r>
      <w:r w:rsidRPr="000566EE" w:rsidR="009B34F2">
        <w:rPr>
          <w:color w:val="000000"/>
          <w:szCs w:val="26"/>
          <w:bdr w:val="none" w:sz="0" w:space="0" w:color="auto" w:frame="1"/>
          <w:shd w:val="clear" w:color="auto" w:fill="FFFFFF"/>
        </w:rPr>
        <w:t>include lengthy permitting processes</w:t>
      </w:r>
      <w:r w:rsidRPr="000566EE" w:rsidR="003A5102">
        <w:rPr>
          <w:color w:val="000000"/>
          <w:szCs w:val="26"/>
          <w:bdr w:val="none" w:sz="0" w:space="0" w:color="auto" w:frame="1"/>
          <w:shd w:val="clear" w:color="auto" w:fill="FFFFFF"/>
        </w:rPr>
        <w:t xml:space="preserve">, high fees for producers of housing, </w:t>
      </w:r>
      <w:r w:rsidRPr="000566EE" w:rsidR="0011022B">
        <w:rPr>
          <w:color w:val="000000"/>
          <w:szCs w:val="26"/>
          <w:bdr w:val="none" w:sz="0" w:space="0" w:color="auto" w:frame="1"/>
          <w:shd w:val="clear" w:color="auto" w:fill="FFFFFF"/>
        </w:rPr>
        <w:t xml:space="preserve">and local government decisions </w:t>
      </w:r>
      <w:r w:rsidRPr="000566EE">
        <w:rPr>
          <w:color w:val="000000"/>
          <w:szCs w:val="26"/>
          <w:bdr w:val="none" w:sz="0" w:space="0" w:color="auto" w:frame="1"/>
          <w:shd w:val="clear" w:color="auto" w:fill="FFFFFF"/>
        </w:rPr>
        <w:t>that thwart the development of housing.</w:t>
      </w:r>
      <w:r w:rsidRPr="000566EE" w:rsidR="005B3D9D">
        <w:rPr>
          <w:color w:val="000000"/>
          <w:szCs w:val="26"/>
          <w:bdr w:val="none" w:sz="0" w:space="0" w:color="auto" w:frame="1"/>
          <w:shd w:val="clear" w:color="auto" w:fill="FFFFFF"/>
        </w:rPr>
        <w:t xml:space="preserve">  </w:t>
      </w:r>
      <w:r w:rsidRPr="000566EE" w:rsidR="008A4C2B">
        <w:rPr>
          <w:color w:val="000000"/>
          <w:szCs w:val="26"/>
          <w:bdr w:val="none" w:sz="0" w:space="0" w:color="auto" w:frame="1"/>
          <w:shd w:val="clear" w:color="auto" w:fill="FFFFFF"/>
        </w:rPr>
        <w:t>(</w:t>
      </w:r>
      <w:r w:rsidRPr="000566EE" w:rsidR="004065AA">
        <w:rPr>
          <w:color w:val="000000"/>
          <w:szCs w:val="26"/>
          <w:bdr w:val="none" w:sz="0" w:space="0" w:color="auto" w:frame="1"/>
          <w:shd w:val="clear" w:color="auto" w:fill="FFFFFF"/>
        </w:rPr>
        <w:t xml:space="preserve">Stats. 2019, ch. 654, </w:t>
      </w:r>
      <w:r w:rsidRPr="000566EE" w:rsidR="008A4C2B">
        <w:rPr>
          <w:color w:val="000000"/>
          <w:szCs w:val="26"/>
          <w:bdr w:val="none" w:sz="0" w:space="0" w:color="auto" w:frame="1"/>
          <w:shd w:val="clear" w:color="auto" w:fill="FFFFFF"/>
        </w:rPr>
        <w:t>§</w:t>
      </w:r>
      <w:r w:rsidRPr="000566EE" w:rsidR="008F2FB1">
        <w:rPr>
          <w:color w:val="000000"/>
          <w:szCs w:val="26"/>
          <w:bdr w:val="none" w:sz="0" w:space="0" w:color="auto" w:frame="1"/>
          <w:shd w:val="clear" w:color="auto" w:fill="FFFFFF"/>
        </w:rPr>
        <w:t>§</w:t>
      </w:r>
      <w:r w:rsidRPr="000566EE" w:rsidR="004065AA">
        <w:rPr>
          <w:color w:val="000000"/>
          <w:szCs w:val="26"/>
          <w:bdr w:val="none" w:sz="0" w:space="0" w:color="auto" w:frame="1"/>
          <w:shd w:val="clear" w:color="auto" w:fill="FFFFFF"/>
        </w:rPr>
        <w:t> </w:t>
      </w:r>
      <w:r w:rsidRPr="000566EE" w:rsidR="00012066">
        <w:rPr>
          <w:color w:val="000000"/>
          <w:szCs w:val="26"/>
          <w:bdr w:val="none" w:sz="0" w:space="0" w:color="auto" w:frame="1"/>
          <w:shd w:val="clear" w:color="auto" w:fill="FFFFFF"/>
        </w:rPr>
        <w:t>2(a)(10)</w:t>
      </w:r>
      <w:r w:rsidRPr="000566EE" w:rsidR="008F2FB1">
        <w:rPr>
          <w:color w:val="000000"/>
          <w:szCs w:val="26"/>
          <w:bdr w:val="none" w:sz="0" w:space="0" w:color="auto" w:frame="1"/>
          <w:shd w:val="clear" w:color="auto" w:fill="FFFFFF"/>
        </w:rPr>
        <w:t>, 3</w:t>
      </w:r>
      <w:r w:rsidRPr="000566EE" w:rsidR="00A71E6E">
        <w:rPr>
          <w:color w:val="000000"/>
          <w:szCs w:val="26"/>
          <w:bdr w:val="none" w:sz="0" w:space="0" w:color="auto" w:frame="1"/>
          <w:shd w:val="clear" w:color="auto" w:fill="FFFFFF"/>
        </w:rPr>
        <w:t>(a)(1)</w:t>
      </w:r>
      <w:r w:rsidRPr="000566EE" w:rsidR="002C7C2E">
        <w:rPr>
          <w:color w:val="000000"/>
          <w:szCs w:val="26"/>
          <w:bdr w:val="none" w:sz="0" w:space="0" w:color="auto" w:frame="1"/>
          <w:shd w:val="clear" w:color="auto" w:fill="FFFFFF"/>
        </w:rPr>
        <w:t>(D)</w:t>
      </w:r>
      <w:r w:rsidRPr="000566EE" w:rsidR="004065AA">
        <w:rPr>
          <w:color w:val="000000"/>
          <w:szCs w:val="26"/>
          <w:bdr w:val="none" w:sz="0" w:space="0" w:color="auto" w:frame="1"/>
          <w:shd w:val="clear" w:color="auto" w:fill="FFFFFF"/>
        </w:rPr>
        <w:t xml:space="preserve"> (Sen. Bill No. 330)</w:t>
      </w:r>
      <w:r w:rsidRPr="000566EE" w:rsidR="008A4C2B">
        <w:rPr>
          <w:color w:val="000000"/>
          <w:szCs w:val="26"/>
          <w:bdr w:val="none" w:sz="0" w:space="0" w:color="auto" w:frame="1"/>
          <w:shd w:val="clear" w:color="auto" w:fill="FFFFFF"/>
        </w:rPr>
        <w:t>.)</w:t>
      </w:r>
      <w:r w:rsidRPr="000566EE" w:rsidR="00C90D10">
        <w:rPr>
          <w:color w:val="000000"/>
          <w:szCs w:val="26"/>
          <w:bdr w:val="none" w:sz="0" w:space="0" w:color="auto" w:frame="1"/>
          <w:shd w:val="clear" w:color="auto" w:fill="FFFFFF"/>
        </w:rPr>
        <w:t xml:space="preserve"> </w:t>
      </w:r>
      <w:r w:rsidRPr="000566EE" w:rsidR="00090FEF">
        <w:rPr>
          <w:color w:val="000000"/>
          <w:szCs w:val="26"/>
          <w:bdr w:val="none" w:sz="0" w:space="0" w:color="auto" w:frame="1"/>
          <w:shd w:val="clear" w:color="auto" w:fill="FFFFFF"/>
        </w:rPr>
        <w:t xml:space="preserve"> </w:t>
      </w:r>
      <w:r w:rsidRPr="000566EE" w:rsidR="00DA0CA5">
        <w:rPr>
          <w:color w:val="000000"/>
          <w:szCs w:val="26"/>
          <w:bdr w:val="none" w:sz="0" w:space="0" w:color="auto" w:frame="1"/>
          <w:shd w:val="clear" w:color="auto" w:fill="FFFFFF"/>
        </w:rPr>
        <w:t>In</w:t>
      </w:r>
      <w:r w:rsidRPr="000566EE">
        <w:rPr>
          <w:color w:val="000000"/>
          <w:szCs w:val="26"/>
          <w:bdr w:val="none" w:sz="0" w:space="0" w:color="auto" w:frame="1"/>
          <w:shd w:val="clear" w:color="auto" w:fill="FFFFFF"/>
        </w:rPr>
        <w:t>deed</w:t>
      </w:r>
      <w:r w:rsidRPr="000566EE" w:rsidR="00DA0CA5">
        <w:rPr>
          <w:color w:val="000000"/>
          <w:szCs w:val="26"/>
          <w:bdr w:val="none" w:sz="0" w:space="0" w:color="auto" w:frame="1"/>
          <w:shd w:val="clear" w:color="auto" w:fill="FFFFFF"/>
        </w:rPr>
        <w:t xml:space="preserve">, </w:t>
      </w:r>
      <w:r w:rsidRPr="000566EE" w:rsidR="00114D5C">
        <w:rPr>
          <w:color w:val="000000"/>
          <w:szCs w:val="26"/>
          <w:bdr w:val="none" w:sz="0" w:space="0" w:color="auto" w:frame="1"/>
          <w:shd w:val="clear" w:color="auto" w:fill="FFFFFF"/>
        </w:rPr>
        <w:t xml:space="preserve">the Legislature </w:t>
      </w:r>
      <w:r w:rsidRPr="000566EE">
        <w:rPr>
          <w:color w:val="000000"/>
          <w:szCs w:val="26"/>
          <w:bdr w:val="none" w:sz="0" w:space="0" w:color="auto" w:frame="1"/>
          <w:shd w:val="clear" w:color="auto" w:fill="FFFFFF"/>
        </w:rPr>
        <w:t>described one of the purposes of the Act as follows</w:t>
      </w:r>
      <w:r w:rsidRPr="000566EE" w:rsidR="005C359A">
        <w:rPr>
          <w:color w:val="000000"/>
          <w:szCs w:val="26"/>
          <w:bdr w:val="none" w:sz="0" w:space="0" w:color="auto" w:frame="1"/>
          <w:shd w:val="clear" w:color="auto" w:fill="FFFFFF"/>
        </w:rPr>
        <w:t>:</w:t>
      </w:r>
      <w:r w:rsidRPr="000566EE" w:rsidR="00DF31A8">
        <w:rPr>
          <w:color w:val="000000"/>
          <w:szCs w:val="26"/>
          <w:bdr w:val="none" w:sz="0" w:space="0" w:color="auto" w:frame="1"/>
          <w:shd w:val="clear" w:color="auto" w:fill="FFFFFF"/>
        </w:rPr>
        <w:t xml:space="preserve">  </w:t>
      </w:r>
      <w:r w:rsidRPr="000566EE" w:rsidR="005200DC">
        <w:rPr>
          <w:color w:val="000000"/>
          <w:szCs w:val="26"/>
          <w:bdr w:val="none" w:sz="0" w:space="0" w:color="auto" w:frame="1"/>
          <w:shd w:val="clear" w:color="auto" w:fill="FFFFFF"/>
        </w:rPr>
        <w:t>“</w:t>
      </w:r>
      <w:r w:rsidRPr="000566EE" w:rsidR="004C1987">
        <w:rPr>
          <w:color w:val="000000"/>
          <w:szCs w:val="26"/>
          <w:bdr w:val="none" w:sz="0" w:space="0" w:color="auto" w:frame="1"/>
          <w:shd w:val="clear" w:color="auto" w:fill="FFFFFF"/>
        </w:rPr>
        <w:t xml:space="preserve">At a time when housing is so desperately needed, there are some local policies that should just be off limits. </w:t>
      </w:r>
      <w:r w:rsidRPr="000566EE" w:rsidR="00CE549D">
        <w:rPr>
          <w:color w:val="000000"/>
          <w:szCs w:val="26"/>
          <w:bdr w:val="none" w:sz="0" w:space="0" w:color="auto" w:frame="1"/>
          <w:shd w:val="clear" w:color="auto" w:fill="FFFFFF"/>
        </w:rPr>
        <w:t xml:space="preserve"> </w:t>
      </w:r>
      <w:r w:rsidRPr="000566EE" w:rsidR="0023599D">
        <w:rPr>
          <w:color w:val="000000"/>
          <w:szCs w:val="26"/>
          <w:bdr w:val="none" w:sz="0" w:space="0" w:color="auto" w:frame="1"/>
          <w:shd w:val="clear" w:color="auto" w:fill="FFFFFF"/>
        </w:rPr>
        <w:t>[</w:t>
      </w:r>
      <w:r w:rsidRPr="000566EE" w:rsidR="00B85130">
        <w:rPr>
          <w:color w:val="000000"/>
          <w:szCs w:val="26"/>
          <w:bdr w:val="none" w:sz="0" w:space="0" w:color="auto" w:frame="1"/>
          <w:shd w:val="clear" w:color="auto" w:fill="FFFFFF"/>
        </w:rPr>
        <w:t>S</w:t>
      </w:r>
      <w:r w:rsidRPr="000566EE" w:rsidR="0023599D">
        <w:rPr>
          <w:color w:val="000000"/>
          <w:szCs w:val="26"/>
          <w:bdr w:val="none" w:sz="0" w:space="0" w:color="auto" w:frame="1"/>
          <w:shd w:val="clear" w:color="auto" w:fill="FFFFFF"/>
        </w:rPr>
        <w:t>enate Bill</w:t>
      </w:r>
      <w:r w:rsidRPr="000566EE" w:rsidR="00AE71AE">
        <w:rPr>
          <w:color w:val="000000"/>
          <w:szCs w:val="26"/>
          <w:bdr w:val="none" w:sz="0" w:space="0" w:color="auto" w:frame="1"/>
          <w:shd w:val="clear" w:color="auto" w:fill="FFFFFF"/>
        </w:rPr>
        <w:t xml:space="preserve"> </w:t>
      </w:r>
      <w:r w:rsidRPr="000566EE" w:rsidR="00DB3A60">
        <w:rPr>
          <w:color w:val="000000"/>
          <w:szCs w:val="26"/>
          <w:bdr w:val="none" w:sz="0" w:space="0" w:color="auto" w:frame="1"/>
          <w:shd w:val="clear" w:color="auto" w:fill="FFFFFF"/>
        </w:rPr>
        <w:t>No.</w:t>
      </w:r>
      <w:r w:rsidRPr="000566EE" w:rsidR="0023599D">
        <w:rPr>
          <w:color w:val="000000"/>
          <w:szCs w:val="26"/>
          <w:bdr w:val="none" w:sz="0" w:space="0" w:color="auto" w:frame="1"/>
          <w:shd w:val="clear" w:color="auto" w:fill="FFFFFF"/>
        </w:rPr>
        <w:t>]</w:t>
      </w:r>
      <w:r w:rsidRPr="000566EE" w:rsidR="004C1987">
        <w:rPr>
          <w:color w:val="000000"/>
          <w:szCs w:val="26"/>
          <w:bdr w:val="none" w:sz="0" w:space="0" w:color="auto" w:frame="1"/>
          <w:shd w:val="clear" w:color="auto" w:fill="FFFFFF"/>
        </w:rPr>
        <w:t xml:space="preserve"> 330 is a targeted approach that prohibits the most egregious practices in the areas where housing is most needed. </w:t>
      </w:r>
      <w:r w:rsidRPr="000566EE" w:rsidR="00CE549D">
        <w:rPr>
          <w:color w:val="000000"/>
          <w:szCs w:val="26"/>
          <w:bdr w:val="none" w:sz="0" w:space="0" w:color="auto" w:frame="1"/>
          <w:shd w:val="clear" w:color="auto" w:fill="FFFFFF"/>
        </w:rPr>
        <w:t xml:space="preserve"> </w:t>
      </w:r>
      <w:r w:rsidRPr="000566EE" w:rsidR="004C1987">
        <w:rPr>
          <w:color w:val="000000"/>
          <w:szCs w:val="26"/>
          <w:bdr w:val="none" w:sz="0" w:space="0" w:color="auto" w:frame="1"/>
          <w:shd w:val="clear" w:color="auto" w:fill="FFFFFF"/>
        </w:rPr>
        <w:t>It prevents local governments from downzoning unless they upzone elsewhere, and it stops them</w:t>
      </w:r>
      <w:r w:rsidRPr="000566EE" w:rsidR="00692B23">
        <w:rPr>
          <w:color w:val="000000"/>
          <w:szCs w:val="26"/>
          <w:bdr w:val="none" w:sz="0" w:space="0" w:color="auto" w:frame="1"/>
          <w:shd w:val="clear" w:color="auto" w:fill="FFFFFF"/>
        </w:rPr>
        <w:t xml:space="preserve"> from changing the rules on builders who are in the midst of going through the approval process.</w:t>
      </w:r>
      <w:r w:rsidRPr="000566EE" w:rsidR="005200DC">
        <w:rPr>
          <w:color w:val="000000"/>
          <w:szCs w:val="26"/>
          <w:bdr w:val="none" w:sz="0" w:space="0" w:color="auto" w:frame="1"/>
          <w:shd w:val="clear" w:color="auto" w:fill="FFFFFF"/>
        </w:rPr>
        <w:t xml:space="preserve">”  </w:t>
      </w:r>
      <w:r w:rsidRPr="000566EE" w:rsidR="006C686B">
        <w:rPr>
          <w:color w:val="000000"/>
          <w:szCs w:val="26"/>
          <w:bdr w:val="none" w:sz="0" w:space="0" w:color="auto" w:frame="1"/>
          <w:shd w:val="clear" w:color="auto" w:fill="FFFFFF"/>
        </w:rPr>
        <w:t>(Sen. Rules Com., Off. of Sen. Floor Analyses, Unfinished Business Analysis of Sen. Bill No. 330 (</w:t>
      </w:r>
      <w:r w:rsidRPr="000566EE" w:rsidR="00326B8A">
        <w:rPr>
          <w:color w:val="000000"/>
          <w:szCs w:val="26"/>
          <w:bdr w:val="none" w:sz="0" w:space="0" w:color="auto" w:frame="1"/>
          <w:shd w:val="clear" w:color="auto" w:fill="FFFFFF"/>
        </w:rPr>
        <w:t>2019</w:t>
      </w:r>
      <w:r w:rsidRPr="000566EE" w:rsidR="003949E4">
        <w:rPr>
          <w:bCs/>
          <w:iCs/>
          <w:szCs w:val="26"/>
        </w:rPr>
        <w:t>–</w:t>
      </w:r>
      <w:r w:rsidRPr="000566EE" w:rsidR="00E43162">
        <w:rPr>
          <w:color w:val="000000"/>
          <w:szCs w:val="26"/>
          <w:bdr w:val="none" w:sz="0" w:space="0" w:color="auto" w:frame="1"/>
          <w:shd w:val="clear" w:color="auto" w:fill="FFFFFF"/>
        </w:rPr>
        <w:t>2020</w:t>
      </w:r>
      <w:r w:rsidRPr="000566EE" w:rsidR="006C686B">
        <w:rPr>
          <w:color w:val="000000"/>
          <w:szCs w:val="26"/>
          <w:bdr w:val="none" w:sz="0" w:space="0" w:color="auto" w:frame="1"/>
          <w:shd w:val="clear" w:color="auto" w:fill="FFFFFF"/>
        </w:rPr>
        <w:t xml:space="preserve"> Reg. Sess.) as amended </w:t>
      </w:r>
      <w:r w:rsidRPr="000566EE" w:rsidR="000566FA">
        <w:rPr>
          <w:color w:val="000000"/>
          <w:szCs w:val="26"/>
          <w:bdr w:val="none" w:sz="0" w:space="0" w:color="auto" w:frame="1"/>
          <w:shd w:val="clear" w:color="auto" w:fill="FFFFFF"/>
        </w:rPr>
        <w:t>Aug</w:t>
      </w:r>
      <w:r w:rsidRPr="000566EE" w:rsidR="006C686B">
        <w:rPr>
          <w:color w:val="000000"/>
          <w:szCs w:val="26"/>
          <w:bdr w:val="none" w:sz="0" w:space="0" w:color="auto" w:frame="1"/>
          <w:shd w:val="clear" w:color="auto" w:fill="FFFFFF"/>
        </w:rPr>
        <w:t xml:space="preserve">. </w:t>
      </w:r>
      <w:r w:rsidRPr="000566EE" w:rsidR="000D75DC">
        <w:rPr>
          <w:color w:val="000000"/>
          <w:szCs w:val="26"/>
          <w:bdr w:val="none" w:sz="0" w:space="0" w:color="auto" w:frame="1"/>
          <w:shd w:val="clear" w:color="auto" w:fill="FFFFFF"/>
        </w:rPr>
        <w:t>12</w:t>
      </w:r>
      <w:r w:rsidRPr="000566EE" w:rsidR="006C686B">
        <w:rPr>
          <w:color w:val="000000"/>
          <w:szCs w:val="26"/>
          <w:bdr w:val="none" w:sz="0" w:space="0" w:color="auto" w:frame="1"/>
          <w:shd w:val="clear" w:color="auto" w:fill="FFFFFF"/>
        </w:rPr>
        <w:t xml:space="preserve">, </w:t>
      </w:r>
      <w:r w:rsidRPr="000566EE" w:rsidR="000D75DC">
        <w:rPr>
          <w:color w:val="000000"/>
          <w:szCs w:val="26"/>
          <w:bdr w:val="none" w:sz="0" w:space="0" w:color="auto" w:frame="1"/>
          <w:shd w:val="clear" w:color="auto" w:fill="FFFFFF"/>
        </w:rPr>
        <w:t>2019</w:t>
      </w:r>
      <w:r w:rsidRPr="000566EE" w:rsidR="006C686B">
        <w:rPr>
          <w:color w:val="000000"/>
          <w:szCs w:val="26"/>
          <w:bdr w:val="none" w:sz="0" w:space="0" w:color="auto" w:frame="1"/>
          <w:shd w:val="clear" w:color="auto" w:fill="FFFFFF"/>
        </w:rPr>
        <w:t xml:space="preserve">, </w:t>
      </w:r>
      <w:r w:rsidRPr="000566EE" w:rsidR="000D75DC">
        <w:rPr>
          <w:color w:val="000000"/>
          <w:szCs w:val="26"/>
          <w:bdr w:val="none" w:sz="0" w:space="0" w:color="auto" w:frame="1"/>
          <w:shd w:val="clear" w:color="auto" w:fill="FFFFFF"/>
        </w:rPr>
        <w:t>p</w:t>
      </w:r>
      <w:r w:rsidRPr="000566EE" w:rsidR="006C686B">
        <w:rPr>
          <w:color w:val="000000"/>
          <w:szCs w:val="26"/>
          <w:bdr w:val="none" w:sz="0" w:space="0" w:color="auto" w:frame="1"/>
          <w:shd w:val="clear" w:color="auto" w:fill="FFFFFF"/>
        </w:rPr>
        <w:t xml:space="preserve">p. </w:t>
      </w:r>
      <w:r w:rsidRPr="000566EE" w:rsidR="004F64BE">
        <w:rPr>
          <w:color w:val="000000"/>
          <w:szCs w:val="26"/>
          <w:bdr w:val="none" w:sz="0" w:space="0" w:color="auto" w:frame="1"/>
          <w:shd w:val="clear" w:color="auto" w:fill="FFFFFF"/>
        </w:rPr>
        <w:t>7–8</w:t>
      </w:r>
      <w:r w:rsidRPr="000566EE" w:rsidR="006C686B">
        <w:rPr>
          <w:color w:val="000000"/>
          <w:szCs w:val="26"/>
          <w:bdr w:val="none" w:sz="0" w:space="0" w:color="auto" w:frame="1"/>
          <w:shd w:val="clear" w:color="auto" w:fill="FFFFFF"/>
        </w:rPr>
        <w:t>.)</w:t>
      </w:r>
      <w:r w:rsidRPr="000566EE" w:rsidR="003810E7">
        <w:rPr>
          <w:color w:val="000000"/>
          <w:szCs w:val="26"/>
          <w:bdr w:val="none" w:sz="0" w:space="0" w:color="auto" w:frame="1"/>
          <w:shd w:val="clear" w:color="auto" w:fill="FFFFFF"/>
        </w:rPr>
        <w:t xml:space="preserve"> </w:t>
      </w:r>
    </w:p>
    <w:p w:rsidR="00E2136B" w:rsidRPr="000566EE" w:rsidP="000566EE" w14:paraId="4B2911C2" w14:textId="47750B39">
      <w:pPr>
        <w:ind w:firstLine="720"/>
        <w:contextualSpacing/>
        <w:rPr>
          <w:color w:val="000000"/>
          <w:szCs w:val="26"/>
          <w:bdr w:val="none" w:sz="0" w:space="0" w:color="auto" w:frame="1"/>
          <w:shd w:val="clear" w:color="auto" w:fill="FFFFFF"/>
        </w:rPr>
      </w:pPr>
      <w:r w:rsidRPr="000566EE">
        <w:rPr>
          <w:color w:val="000000"/>
          <w:szCs w:val="26"/>
          <w:bdr w:val="none" w:sz="0" w:space="0" w:color="auto" w:frame="1"/>
          <w:shd w:val="clear" w:color="auto" w:fill="FFFFFF"/>
        </w:rPr>
        <w:t xml:space="preserve">The Legislature confirmed the Act’s intent </w:t>
      </w:r>
      <w:r w:rsidRPr="000566EE" w:rsidR="00607DC9">
        <w:rPr>
          <w:color w:val="000000"/>
          <w:szCs w:val="26"/>
          <w:bdr w:val="none" w:sz="0" w:space="0" w:color="auto" w:frame="1"/>
          <w:shd w:val="clear" w:color="auto" w:fill="FFFFFF"/>
        </w:rPr>
        <w:t xml:space="preserve">to </w:t>
      </w:r>
      <w:r w:rsidRPr="000566EE" w:rsidR="00303777">
        <w:rPr>
          <w:color w:val="000000"/>
          <w:szCs w:val="26"/>
          <w:bdr w:val="none" w:sz="0" w:space="0" w:color="auto" w:frame="1"/>
          <w:shd w:val="clear" w:color="auto" w:fill="FFFFFF"/>
        </w:rPr>
        <w:t xml:space="preserve">broadly </w:t>
      </w:r>
      <w:r w:rsidRPr="000566EE" w:rsidR="00607DC9">
        <w:rPr>
          <w:color w:val="000000"/>
          <w:szCs w:val="26"/>
          <w:bdr w:val="none" w:sz="0" w:space="0" w:color="auto" w:frame="1"/>
          <w:shd w:val="clear" w:color="auto" w:fill="FFFFFF"/>
        </w:rPr>
        <w:t xml:space="preserve">prohibit </w:t>
      </w:r>
      <w:r w:rsidRPr="000566EE" w:rsidR="00477BFF">
        <w:rPr>
          <w:color w:val="000000"/>
          <w:szCs w:val="26"/>
          <w:bdr w:val="none" w:sz="0" w:space="0" w:color="auto" w:frame="1"/>
          <w:shd w:val="clear" w:color="auto" w:fill="FFFFFF"/>
        </w:rPr>
        <w:t xml:space="preserve">any </w:t>
      </w:r>
      <w:r w:rsidRPr="000566EE" w:rsidR="00AB18C8">
        <w:rPr>
          <w:color w:val="000000"/>
          <w:szCs w:val="26"/>
          <w:bdr w:val="none" w:sz="0" w:space="0" w:color="auto" w:frame="1"/>
          <w:shd w:val="clear" w:color="auto" w:fill="FFFFFF"/>
        </w:rPr>
        <w:t xml:space="preserve">local </w:t>
      </w:r>
      <w:r w:rsidRPr="000566EE" w:rsidR="00607DC9">
        <w:rPr>
          <w:color w:val="000000"/>
          <w:szCs w:val="26"/>
          <w:bdr w:val="none" w:sz="0" w:space="0" w:color="auto" w:frame="1"/>
          <w:shd w:val="clear" w:color="auto" w:fill="FFFFFF"/>
        </w:rPr>
        <w:t xml:space="preserve">policies </w:t>
      </w:r>
      <w:r w:rsidRPr="000566EE" w:rsidR="007540FA">
        <w:rPr>
          <w:color w:val="000000"/>
          <w:szCs w:val="26"/>
          <w:bdr w:val="none" w:sz="0" w:space="0" w:color="auto" w:frame="1"/>
          <w:shd w:val="clear" w:color="auto" w:fill="FFFFFF"/>
        </w:rPr>
        <w:t xml:space="preserve">that </w:t>
      </w:r>
      <w:r w:rsidRPr="000566EE" w:rsidR="00053171">
        <w:rPr>
          <w:color w:val="000000"/>
          <w:szCs w:val="26"/>
          <w:bdr w:val="none" w:sz="0" w:space="0" w:color="auto" w:frame="1"/>
          <w:shd w:val="clear" w:color="auto" w:fill="FFFFFF"/>
        </w:rPr>
        <w:t>lessen</w:t>
      </w:r>
      <w:r w:rsidRPr="000566EE" w:rsidR="007540FA">
        <w:rPr>
          <w:color w:val="000000"/>
          <w:szCs w:val="26"/>
          <w:bdr w:val="none" w:sz="0" w:space="0" w:color="auto" w:frame="1"/>
          <w:shd w:val="clear" w:color="auto" w:fill="FFFFFF"/>
        </w:rPr>
        <w:t xml:space="preserve"> housing intensity </w:t>
      </w:r>
      <w:r w:rsidRPr="000566EE">
        <w:rPr>
          <w:color w:val="000000"/>
          <w:szCs w:val="26"/>
          <w:bdr w:val="none" w:sz="0" w:space="0" w:color="auto" w:frame="1"/>
          <w:shd w:val="clear" w:color="auto" w:fill="FFFFFF"/>
        </w:rPr>
        <w:t xml:space="preserve">when it enacted the 2022 </w:t>
      </w:r>
      <w:r w:rsidRPr="000566EE" w:rsidR="00134372">
        <w:rPr>
          <w:color w:val="000000"/>
          <w:szCs w:val="26"/>
          <w:bdr w:val="none" w:sz="0" w:space="0" w:color="auto" w:frame="1"/>
          <w:shd w:val="clear" w:color="auto" w:fill="FFFFFF"/>
        </w:rPr>
        <w:t>a</w:t>
      </w:r>
      <w:r w:rsidRPr="000566EE">
        <w:rPr>
          <w:color w:val="000000"/>
          <w:szCs w:val="26"/>
          <w:bdr w:val="none" w:sz="0" w:space="0" w:color="auto" w:frame="1"/>
          <w:shd w:val="clear" w:color="auto" w:fill="FFFFFF"/>
        </w:rPr>
        <w:t>mendments</w:t>
      </w:r>
      <w:r w:rsidRPr="000566EE" w:rsidR="00334E0C">
        <w:rPr>
          <w:color w:val="000000"/>
          <w:szCs w:val="26"/>
          <w:bdr w:val="none" w:sz="0" w:space="0" w:color="auto" w:frame="1"/>
          <w:shd w:val="clear" w:color="auto" w:fill="FFFFFF"/>
        </w:rPr>
        <w:t>.</w:t>
      </w:r>
      <w:r w:rsidRPr="000566EE" w:rsidR="0098324C">
        <w:rPr>
          <w:color w:val="000000"/>
          <w:szCs w:val="26"/>
          <w:bdr w:val="none" w:sz="0" w:space="0" w:color="auto" w:frame="1"/>
          <w:shd w:val="clear" w:color="auto" w:fill="FFFFFF"/>
        </w:rPr>
        <w:t xml:space="preserve"> </w:t>
      </w:r>
      <w:r w:rsidR="005F31BC">
        <w:rPr>
          <w:color w:val="000000"/>
          <w:szCs w:val="26"/>
          <w:bdr w:val="none" w:sz="0" w:space="0" w:color="auto" w:frame="1"/>
          <w:shd w:val="clear" w:color="auto" w:fill="FFFFFF"/>
        </w:rPr>
        <w:t xml:space="preserve"> </w:t>
      </w:r>
      <w:r w:rsidRPr="000566EE" w:rsidR="00334E0C">
        <w:rPr>
          <w:color w:val="000000"/>
          <w:szCs w:val="26"/>
          <w:bdr w:val="none" w:sz="0" w:space="0" w:color="auto" w:frame="1"/>
          <w:shd w:val="clear" w:color="auto" w:fill="FFFFFF"/>
        </w:rPr>
        <w:t xml:space="preserve">In discussing the prohibition on </w:t>
      </w:r>
      <w:r w:rsidRPr="000566EE" w:rsidR="002435F1">
        <w:rPr>
          <w:color w:val="000000"/>
          <w:szCs w:val="26"/>
          <w:bdr w:val="none" w:sz="0" w:space="0" w:color="auto" w:frame="1"/>
          <w:shd w:val="clear" w:color="auto" w:fill="FFFFFF"/>
        </w:rPr>
        <w:t>reducing the intensity of land use</w:t>
      </w:r>
      <w:r w:rsidRPr="000566EE" w:rsidR="007E28B5">
        <w:rPr>
          <w:color w:val="000000"/>
          <w:szCs w:val="26"/>
          <w:bdr w:val="none" w:sz="0" w:space="0" w:color="auto" w:frame="1"/>
          <w:shd w:val="clear" w:color="auto" w:fill="FFFFFF"/>
        </w:rPr>
        <w:t xml:space="preserve"> and zoning ordinance amendments</w:t>
      </w:r>
      <w:r w:rsidRPr="000566EE" w:rsidR="0068052A">
        <w:rPr>
          <w:color w:val="000000"/>
          <w:szCs w:val="26"/>
          <w:bdr w:val="none" w:sz="0" w:space="0" w:color="auto" w:frame="1"/>
          <w:shd w:val="clear" w:color="auto" w:fill="FFFFFF"/>
        </w:rPr>
        <w:t xml:space="preserve">, the Legislature recognized </w:t>
      </w:r>
      <w:r w:rsidRPr="000566EE" w:rsidR="00862EFD">
        <w:rPr>
          <w:color w:val="000000"/>
          <w:szCs w:val="26"/>
          <w:bdr w:val="none" w:sz="0" w:space="0" w:color="auto" w:frame="1"/>
          <w:shd w:val="clear" w:color="auto" w:fill="FFFFFF"/>
        </w:rPr>
        <w:t xml:space="preserve">that </w:t>
      </w:r>
      <w:r w:rsidRPr="000566EE" w:rsidR="0056697D">
        <w:rPr>
          <w:color w:val="000000"/>
          <w:szCs w:val="26"/>
          <w:bdr w:val="none" w:sz="0" w:space="0" w:color="auto" w:frame="1"/>
          <w:shd w:val="clear" w:color="auto" w:fill="FFFFFF"/>
        </w:rPr>
        <w:t xml:space="preserve">an affected city </w:t>
      </w:r>
      <w:r w:rsidRPr="000566EE" w:rsidR="00731B27">
        <w:rPr>
          <w:color w:val="000000"/>
          <w:szCs w:val="26"/>
          <w:bdr w:val="none" w:sz="0" w:space="0" w:color="auto" w:frame="1"/>
          <w:shd w:val="clear" w:color="auto" w:fill="FFFFFF"/>
        </w:rPr>
        <w:t>had to “</w:t>
      </w:r>
      <w:r w:rsidRPr="000566EE" w:rsidR="0056697D">
        <w:rPr>
          <w:color w:val="000000"/>
          <w:szCs w:val="26"/>
          <w:bdr w:val="none" w:sz="0" w:space="0" w:color="auto" w:frame="1"/>
          <w:shd w:val="clear" w:color="auto" w:fill="FFFFFF"/>
        </w:rPr>
        <w:t>ensure that there is no net loss in</w:t>
      </w:r>
      <w:r w:rsidRPr="000566EE" w:rsidR="0056697D">
        <w:rPr>
          <w:i/>
          <w:iCs/>
          <w:color w:val="000000"/>
          <w:szCs w:val="26"/>
          <w:bdr w:val="none" w:sz="0" w:space="0" w:color="auto" w:frame="1"/>
          <w:shd w:val="clear" w:color="auto" w:fill="FFFFFF"/>
        </w:rPr>
        <w:t xml:space="preserve"> residential capacity</w:t>
      </w:r>
      <w:r w:rsidRPr="000566EE" w:rsidR="0056697D">
        <w:rPr>
          <w:color w:val="000000"/>
          <w:szCs w:val="26"/>
          <w:bdr w:val="none" w:sz="0" w:space="0" w:color="auto" w:frame="1"/>
          <w:shd w:val="clear" w:color="auto" w:fill="FFFFFF"/>
        </w:rPr>
        <w:t xml:space="preserve">.”  </w:t>
      </w:r>
      <w:r w:rsidRPr="000566EE" w:rsidR="00686502">
        <w:rPr>
          <w:color w:val="000000"/>
          <w:szCs w:val="26"/>
          <w:bdr w:val="none" w:sz="0" w:space="0" w:color="auto" w:frame="1"/>
          <w:shd w:val="clear" w:color="auto" w:fill="FFFFFF"/>
        </w:rPr>
        <w:t>(</w:t>
      </w:r>
      <w:r w:rsidRPr="000566EE" w:rsidR="00746CE3">
        <w:rPr>
          <w:color w:val="000000"/>
          <w:szCs w:val="26"/>
          <w:bdr w:val="none" w:sz="0" w:space="0" w:color="auto" w:frame="1"/>
          <w:shd w:val="clear" w:color="auto" w:fill="FFFFFF"/>
        </w:rPr>
        <w:t>Stats. 2021, c</w:t>
      </w:r>
      <w:r w:rsidRPr="000566EE" w:rsidR="00686502">
        <w:rPr>
          <w:color w:val="000000"/>
          <w:szCs w:val="26"/>
          <w:bdr w:val="none" w:sz="0" w:space="0" w:color="auto" w:frame="1"/>
          <w:shd w:val="clear" w:color="auto" w:fill="FFFFFF"/>
        </w:rPr>
        <w:t>h.</w:t>
      </w:r>
      <w:r w:rsidRPr="000566EE" w:rsidR="00746CE3">
        <w:rPr>
          <w:color w:val="000000"/>
          <w:szCs w:val="26"/>
          <w:bdr w:val="none" w:sz="0" w:space="0" w:color="auto" w:frame="1"/>
          <w:shd w:val="clear" w:color="auto" w:fill="FFFFFF"/>
        </w:rPr>
        <w:t> </w:t>
      </w:r>
      <w:r w:rsidRPr="000566EE" w:rsidR="00EF392F">
        <w:rPr>
          <w:color w:val="000000"/>
          <w:szCs w:val="26"/>
          <w:bdr w:val="none" w:sz="0" w:space="0" w:color="auto" w:frame="1"/>
          <w:shd w:val="clear" w:color="auto" w:fill="FFFFFF"/>
        </w:rPr>
        <w:t>161</w:t>
      </w:r>
      <w:r w:rsidRPr="000566EE" w:rsidR="004C64A7">
        <w:rPr>
          <w:color w:val="000000"/>
          <w:szCs w:val="26"/>
          <w:bdr w:val="none" w:sz="0" w:space="0" w:color="auto" w:frame="1"/>
          <w:shd w:val="clear" w:color="auto" w:fill="FFFFFF"/>
        </w:rPr>
        <w:t xml:space="preserve"> (Sen. Bill No. 8)</w:t>
      </w:r>
      <w:r w:rsidRPr="000566EE" w:rsidR="00AE72BD">
        <w:rPr>
          <w:color w:val="000000"/>
          <w:szCs w:val="26"/>
          <w:bdr w:val="none" w:sz="0" w:space="0" w:color="auto" w:frame="1"/>
          <w:shd w:val="clear" w:color="auto" w:fill="FFFFFF"/>
        </w:rPr>
        <w:t>, italics added</w:t>
      </w:r>
      <w:r w:rsidRPr="000566EE" w:rsidR="007C418C">
        <w:rPr>
          <w:color w:val="000000"/>
          <w:szCs w:val="26"/>
          <w:bdr w:val="none" w:sz="0" w:space="0" w:color="auto" w:frame="1"/>
          <w:shd w:val="clear" w:color="auto" w:fill="FFFFFF"/>
        </w:rPr>
        <w:t xml:space="preserve"> </w:t>
      </w:r>
      <w:r w:rsidRPr="000566EE" w:rsidR="006D3F9D">
        <w:rPr>
          <w:color w:val="000000"/>
          <w:szCs w:val="26"/>
          <w:bdr w:val="none" w:sz="0" w:space="0" w:color="auto" w:frame="1"/>
          <w:shd w:val="clear" w:color="auto" w:fill="FFFFFF"/>
        </w:rPr>
        <w:t>.)</w:t>
      </w:r>
      <w:r w:rsidRPr="000566EE" w:rsidR="005E14F1">
        <w:rPr>
          <w:color w:val="000000"/>
          <w:szCs w:val="26"/>
          <w:bdr w:val="none" w:sz="0" w:space="0" w:color="auto" w:frame="1"/>
          <w:shd w:val="clear" w:color="auto" w:fill="FFFFFF"/>
        </w:rPr>
        <w:t xml:space="preserve">  </w:t>
      </w:r>
    </w:p>
    <w:p w:rsidR="008B42BC" w:rsidRPr="000566EE" w:rsidP="000566EE" w14:paraId="73729E55" w14:textId="5E109C67">
      <w:pPr>
        <w:ind w:firstLine="720"/>
        <w:contextualSpacing/>
        <w:rPr>
          <w:color w:val="000000"/>
          <w:szCs w:val="26"/>
          <w:bdr w:val="none" w:sz="0" w:space="0" w:color="auto" w:frame="1"/>
          <w:shd w:val="clear" w:color="auto" w:fill="FFFFFF"/>
        </w:rPr>
      </w:pPr>
      <w:r w:rsidRPr="000566EE">
        <w:rPr>
          <w:color w:val="000000"/>
          <w:szCs w:val="26"/>
          <w:bdr w:val="none" w:sz="0" w:space="0" w:color="auto" w:frame="1"/>
          <w:shd w:val="clear" w:color="auto" w:fill="FFFFFF"/>
        </w:rPr>
        <w:t xml:space="preserve">The City repeatedly argues that </w:t>
      </w:r>
      <w:r w:rsidRPr="000566EE" w:rsidR="00C35CCF">
        <w:rPr>
          <w:color w:val="000000"/>
          <w:szCs w:val="26"/>
          <w:bdr w:val="none" w:sz="0" w:space="0" w:color="auto" w:frame="1"/>
          <w:shd w:val="clear" w:color="auto" w:fill="FFFFFF"/>
        </w:rPr>
        <w:t>the Act’s plain language will lead to</w:t>
      </w:r>
      <w:r w:rsidRPr="000566EE">
        <w:rPr>
          <w:color w:val="000000"/>
          <w:szCs w:val="26"/>
          <w:bdr w:val="none" w:sz="0" w:space="0" w:color="auto" w:frame="1"/>
          <w:shd w:val="clear" w:color="auto" w:fill="FFFFFF"/>
        </w:rPr>
        <w:t xml:space="preserve"> bigger homes, </w:t>
      </w:r>
      <w:r w:rsidRPr="000566EE" w:rsidR="00E40D02">
        <w:rPr>
          <w:color w:val="000000"/>
          <w:szCs w:val="26"/>
          <w:bdr w:val="none" w:sz="0" w:space="0" w:color="auto" w:frame="1"/>
          <w:shd w:val="clear" w:color="auto" w:fill="FFFFFF"/>
        </w:rPr>
        <w:t xml:space="preserve">but </w:t>
      </w:r>
      <w:r w:rsidRPr="000566EE" w:rsidR="003058E4">
        <w:rPr>
          <w:color w:val="000000"/>
          <w:szCs w:val="26"/>
          <w:bdr w:val="none" w:sz="0" w:space="0" w:color="auto" w:frame="1"/>
          <w:shd w:val="clear" w:color="auto" w:fill="FFFFFF"/>
        </w:rPr>
        <w:t xml:space="preserve">the Act does not increase </w:t>
      </w:r>
      <w:r w:rsidRPr="000566EE" w:rsidR="00F12469">
        <w:rPr>
          <w:color w:val="000000"/>
          <w:szCs w:val="26"/>
          <w:bdr w:val="none" w:sz="0" w:space="0" w:color="auto" w:frame="1"/>
          <w:shd w:val="clear" w:color="auto" w:fill="FFFFFF"/>
        </w:rPr>
        <w:t xml:space="preserve">the </w:t>
      </w:r>
      <w:r w:rsidRPr="000566EE" w:rsidR="005644E0">
        <w:rPr>
          <w:color w:val="000000"/>
          <w:szCs w:val="26"/>
          <w:bdr w:val="none" w:sz="0" w:space="0" w:color="auto" w:frame="1"/>
          <w:shd w:val="clear" w:color="auto" w:fill="FFFFFF"/>
        </w:rPr>
        <w:t>allowable FAR</w:t>
      </w:r>
      <w:r w:rsidRPr="000566EE" w:rsidR="003058E4">
        <w:rPr>
          <w:color w:val="000000"/>
          <w:szCs w:val="26"/>
          <w:bdr w:val="none" w:sz="0" w:space="0" w:color="auto" w:frame="1"/>
          <w:shd w:val="clear" w:color="auto" w:fill="FFFFFF"/>
        </w:rPr>
        <w:t xml:space="preserve"> of </w:t>
      </w:r>
      <w:r w:rsidRPr="000566EE" w:rsidR="004D3487">
        <w:rPr>
          <w:color w:val="000000"/>
          <w:szCs w:val="26"/>
          <w:bdr w:val="none" w:sz="0" w:space="0" w:color="auto" w:frame="1"/>
          <w:shd w:val="clear" w:color="auto" w:fill="FFFFFF"/>
        </w:rPr>
        <w:t>dwellings</w:t>
      </w:r>
      <w:r w:rsidRPr="000566EE" w:rsidR="00EF5817">
        <w:rPr>
          <w:color w:val="000000"/>
          <w:szCs w:val="26"/>
          <w:bdr w:val="none" w:sz="0" w:space="0" w:color="auto" w:frame="1"/>
          <w:shd w:val="clear" w:color="auto" w:fill="FFFFFF"/>
        </w:rPr>
        <w:t xml:space="preserve">.  </w:t>
      </w:r>
      <w:r w:rsidRPr="000566EE">
        <w:rPr>
          <w:color w:val="000000"/>
          <w:szCs w:val="26"/>
          <w:bdr w:val="none" w:sz="0" w:space="0" w:color="auto" w:frame="1"/>
          <w:shd w:val="clear" w:color="auto" w:fill="FFFFFF"/>
        </w:rPr>
        <w:t xml:space="preserve">Furthermore, </w:t>
      </w:r>
      <w:r w:rsidRPr="000566EE" w:rsidR="0059114C">
        <w:rPr>
          <w:color w:val="000000"/>
          <w:szCs w:val="26"/>
          <w:bdr w:val="none" w:sz="0" w:space="0" w:color="auto" w:frame="1"/>
          <w:shd w:val="clear" w:color="auto" w:fill="FFFFFF"/>
        </w:rPr>
        <w:t xml:space="preserve">there are circumstances where </w:t>
      </w:r>
      <w:r w:rsidRPr="000566EE" w:rsidR="00912C77">
        <w:rPr>
          <w:color w:val="000000"/>
          <w:szCs w:val="26"/>
          <w:bdr w:val="none" w:sz="0" w:space="0" w:color="auto" w:frame="1"/>
          <w:shd w:val="clear" w:color="auto" w:fill="FFFFFF"/>
        </w:rPr>
        <w:t xml:space="preserve">the </w:t>
      </w:r>
      <w:r w:rsidRPr="000566EE" w:rsidR="00DE47B6">
        <w:rPr>
          <w:color w:val="000000"/>
          <w:szCs w:val="26"/>
          <w:bdr w:val="none" w:sz="0" w:space="0" w:color="auto" w:frame="1"/>
          <w:shd w:val="clear" w:color="auto" w:fill="FFFFFF"/>
        </w:rPr>
        <w:t xml:space="preserve">allowable </w:t>
      </w:r>
      <w:r w:rsidRPr="000566EE" w:rsidR="005217F0">
        <w:rPr>
          <w:color w:val="000000"/>
          <w:szCs w:val="26"/>
          <w:bdr w:val="none" w:sz="0" w:space="0" w:color="auto" w:frame="1"/>
          <w:shd w:val="clear" w:color="auto" w:fill="FFFFFF"/>
        </w:rPr>
        <w:t xml:space="preserve">FAR of a home and the </w:t>
      </w:r>
      <w:r w:rsidRPr="000566EE" w:rsidR="00912C77">
        <w:rPr>
          <w:color w:val="000000"/>
          <w:szCs w:val="26"/>
          <w:bdr w:val="none" w:sz="0" w:space="0" w:color="auto" w:frame="1"/>
          <w:shd w:val="clear" w:color="auto" w:fill="FFFFFF"/>
        </w:rPr>
        <w:t>number of bedrooms</w:t>
      </w:r>
      <w:r w:rsidRPr="000566EE" w:rsidR="005217F0">
        <w:rPr>
          <w:color w:val="000000"/>
          <w:szCs w:val="26"/>
          <w:bdr w:val="none" w:sz="0" w:space="0" w:color="auto" w:frame="1"/>
          <w:shd w:val="clear" w:color="auto" w:fill="FFFFFF"/>
        </w:rPr>
        <w:t xml:space="preserve"> </w:t>
      </w:r>
      <w:r w:rsidRPr="000566EE" w:rsidR="00912C77">
        <w:rPr>
          <w:color w:val="000000"/>
          <w:szCs w:val="26"/>
          <w:bdr w:val="none" w:sz="0" w:space="0" w:color="auto" w:frame="1"/>
          <w:shd w:val="clear" w:color="auto" w:fill="FFFFFF"/>
        </w:rPr>
        <w:t xml:space="preserve">relate directly to a </w:t>
      </w:r>
      <w:r w:rsidRPr="000566EE" w:rsidR="00EF5ABC">
        <w:rPr>
          <w:color w:val="000000"/>
          <w:szCs w:val="26"/>
          <w:bdr w:val="none" w:sz="0" w:space="0" w:color="auto" w:frame="1"/>
          <w:shd w:val="clear" w:color="auto" w:fill="FFFFFF"/>
        </w:rPr>
        <w:t>lot’s</w:t>
      </w:r>
      <w:r w:rsidRPr="000566EE" w:rsidR="00912C77">
        <w:rPr>
          <w:color w:val="000000"/>
          <w:szCs w:val="26"/>
          <w:bdr w:val="none" w:sz="0" w:space="0" w:color="auto" w:frame="1"/>
          <w:shd w:val="clear" w:color="auto" w:fill="FFFFFF"/>
        </w:rPr>
        <w:t xml:space="preserve"> </w:t>
      </w:r>
      <w:r w:rsidRPr="000566EE" w:rsidR="004D3487">
        <w:rPr>
          <w:color w:val="000000"/>
          <w:szCs w:val="26"/>
          <w:bdr w:val="none" w:sz="0" w:space="0" w:color="auto" w:frame="1"/>
          <w:shd w:val="clear" w:color="auto" w:fill="FFFFFF"/>
        </w:rPr>
        <w:t>residential capacity</w:t>
      </w:r>
      <w:r w:rsidRPr="000566EE" w:rsidR="00912C77">
        <w:rPr>
          <w:color w:val="000000"/>
          <w:szCs w:val="26"/>
          <w:bdr w:val="none" w:sz="0" w:space="0" w:color="auto" w:frame="1"/>
          <w:shd w:val="clear" w:color="auto" w:fill="FFFFFF"/>
        </w:rPr>
        <w:t xml:space="preserve">, such </w:t>
      </w:r>
      <w:r w:rsidRPr="000566EE" w:rsidR="00A91CB3">
        <w:rPr>
          <w:color w:val="000000"/>
          <w:szCs w:val="26"/>
          <w:bdr w:val="none" w:sz="0" w:space="0" w:color="auto" w:frame="1"/>
          <w:shd w:val="clear" w:color="auto" w:fill="FFFFFF"/>
        </w:rPr>
        <w:t xml:space="preserve">as </w:t>
      </w:r>
      <w:r w:rsidRPr="000566EE" w:rsidR="00352ED6">
        <w:rPr>
          <w:color w:val="000000"/>
          <w:szCs w:val="26"/>
          <w:bdr w:val="none" w:sz="0" w:space="0" w:color="auto" w:frame="1"/>
          <w:shd w:val="clear" w:color="auto" w:fill="FFFFFF"/>
        </w:rPr>
        <w:t>with</w:t>
      </w:r>
      <w:r w:rsidRPr="000566EE" w:rsidR="00912C77">
        <w:rPr>
          <w:color w:val="000000"/>
          <w:szCs w:val="26"/>
          <w:bdr w:val="none" w:sz="0" w:space="0" w:color="auto" w:frame="1"/>
          <w:shd w:val="clear" w:color="auto" w:fill="FFFFFF"/>
        </w:rPr>
        <w:t xml:space="preserve"> </w:t>
      </w:r>
      <w:r w:rsidRPr="000566EE" w:rsidR="001A1271">
        <w:rPr>
          <w:color w:val="000000"/>
          <w:szCs w:val="26"/>
          <w:bdr w:val="none" w:sz="0" w:space="0" w:color="auto" w:frame="1"/>
          <w:shd w:val="clear" w:color="auto" w:fill="FFFFFF"/>
        </w:rPr>
        <w:t>multi-generational households.</w:t>
      </w:r>
      <w:r>
        <w:rPr>
          <w:rStyle w:val="FootnoteReference"/>
          <w:color w:val="000000"/>
          <w:szCs w:val="26"/>
          <w:bdr w:val="none" w:sz="0" w:space="0" w:color="auto" w:frame="1"/>
          <w:shd w:val="clear" w:color="auto" w:fill="FFFFFF"/>
        </w:rPr>
        <w:footnoteReference w:id="7"/>
      </w:r>
      <w:r w:rsidRPr="000566EE" w:rsidR="001A1271">
        <w:rPr>
          <w:color w:val="000000"/>
          <w:szCs w:val="26"/>
          <w:bdr w:val="none" w:sz="0" w:space="0" w:color="auto" w:frame="1"/>
          <w:shd w:val="clear" w:color="auto" w:fill="FFFFFF"/>
        </w:rPr>
        <w:t xml:space="preserve">  </w:t>
      </w:r>
      <w:r w:rsidRPr="000566EE" w:rsidR="00B70D45">
        <w:rPr>
          <w:color w:val="000000"/>
          <w:szCs w:val="26"/>
          <w:bdr w:val="none" w:sz="0" w:space="0" w:color="auto" w:frame="1"/>
          <w:shd w:val="clear" w:color="auto" w:fill="FFFFFF"/>
        </w:rPr>
        <w:t xml:space="preserve">For example, </w:t>
      </w:r>
      <w:r w:rsidRPr="000566EE" w:rsidR="0016335A">
        <w:rPr>
          <w:color w:val="000000"/>
          <w:szCs w:val="26"/>
          <w:bdr w:val="none" w:sz="0" w:space="0" w:color="auto" w:frame="1"/>
          <w:shd w:val="clear" w:color="auto" w:fill="FFFFFF"/>
        </w:rPr>
        <w:t>before</w:t>
      </w:r>
      <w:r w:rsidRPr="000566EE" w:rsidR="00601469">
        <w:rPr>
          <w:color w:val="000000"/>
          <w:szCs w:val="26"/>
          <w:bdr w:val="none" w:sz="0" w:space="0" w:color="auto" w:frame="1"/>
          <w:shd w:val="clear" w:color="auto" w:fill="FFFFFF"/>
        </w:rPr>
        <w:t xml:space="preserve"> the Ordinance was adopted, </w:t>
      </w:r>
      <w:r w:rsidRPr="000566EE" w:rsidR="00FF6514">
        <w:rPr>
          <w:color w:val="000000"/>
          <w:szCs w:val="26"/>
          <w:bdr w:val="none" w:sz="0" w:space="0" w:color="auto" w:frame="1"/>
          <w:shd w:val="clear" w:color="auto" w:fill="FFFFFF"/>
        </w:rPr>
        <w:t>one resident email</w:t>
      </w:r>
      <w:r w:rsidRPr="000566EE" w:rsidR="00B2479F">
        <w:rPr>
          <w:color w:val="000000"/>
          <w:szCs w:val="26"/>
          <w:bdr w:val="none" w:sz="0" w:space="0" w:color="auto" w:frame="1"/>
          <w:shd w:val="clear" w:color="auto" w:fill="FFFFFF"/>
        </w:rPr>
        <w:t>ed</w:t>
      </w:r>
      <w:r w:rsidRPr="000566EE" w:rsidR="00A7605A">
        <w:rPr>
          <w:color w:val="000000"/>
          <w:szCs w:val="26"/>
          <w:bdr w:val="none" w:sz="0" w:space="0" w:color="auto" w:frame="1"/>
          <w:shd w:val="clear" w:color="auto" w:fill="FFFFFF"/>
        </w:rPr>
        <w:t xml:space="preserve"> a City staff member</w:t>
      </w:r>
      <w:r w:rsidRPr="000566EE" w:rsidR="00C35C0D">
        <w:rPr>
          <w:color w:val="000000"/>
          <w:szCs w:val="26"/>
          <w:bdr w:val="none" w:sz="0" w:space="0" w:color="auto" w:frame="1"/>
          <w:shd w:val="clear" w:color="auto" w:fill="FFFFFF"/>
        </w:rPr>
        <w:t xml:space="preserve"> explaining that the</w:t>
      </w:r>
      <w:r w:rsidRPr="000566EE" w:rsidR="009F049B">
        <w:rPr>
          <w:color w:val="000000"/>
          <w:szCs w:val="26"/>
          <w:bdr w:val="none" w:sz="0" w:space="0" w:color="auto" w:frame="1"/>
          <w:shd w:val="clear" w:color="auto" w:fill="FFFFFF"/>
        </w:rPr>
        <w:t xml:space="preserve"> reduced FAR would not allow her to add space to her </w:t>
      </w:r>
      <w:r w:rsidRPr="000566EE" w:rsidR="00317D59">
        <w:rPr>
          <w:color w:val="000000"/>
          <w:szCs w:val="26"/>
          <w:bdr w:val="none" w:sz="0" w:space="0" w:color="auto" w:frame="1"/>
          <w:shd w:val="clear" w:color="auto" w:fill="FFFFFF"/>
        </w:rPr>
        <w:t xml:space="preserve">family’s </w:t>
      </w:r>
      <w:r w:rsidRPr="000566EE" w:rsidR="009F049B">
        <w:rPr>
          <w:color w:val="000000"/>
          <w:szCs w:val="26"/>
          <w:bdr w:val="none" w:sz="0" w:space="0" w:color="auto" w:frame="1"/>
          <w:shd w:val="clear" w:color="auto" w:fill="FFFFFF"/>
        </w:rPr>
        <w:t>home to house her elder</w:t>
      </w:r>
      <w:r w:rsidRPr="000566EE" w:rsidR="00223003">
        <w:rPr>
          <w:color w:val="000000"/>
          <w:szCs w:val="26"/>
          <w:bdr w:val="none" w:sz="0" w:space="0" w:color="auto" w:frame="1"/>
          <w:shd w:val="clear" w:color="auto" w:fill="FFFFFF"/>
        </w:rPr>
        <w:t xml:space="preserve">ly, </w:t>
      </w:r>
      <w:r w:rsidRPr="000566EE" w:rsidR="003E4B99">
        <w:rPr>
          <w:color w:val="000000"/>
          <w:szCs w:val="26"/>
          <w:bdr w:val="none" w:sz="0" w:space="0" w:color="auto" w:frame="1"/>
          <w:shd w:val="clear" w:color="auto" w:fill="FFFFFF"/>
        </w:rPr>
        <w:t>disabled father</w:t>
      </w:r>
      <w:r w:rsidRPr="000566EE" w:rsidR="006F4FA3">
        <w:rPr>
          <w:color w:val="000000"/>
          <w:szCs w:val="26"/>
          <w:bdr w:val="none" w:sz="0" w:space="0" w:color="auto" w:frame="1"/>
          <w:shd w:val="clear" w:color="auto" w:fill="FFFFFF"/>
        </w:rPr>
        <w:t xml:space="preserve">. </w:t>
      </w:r>
      <w:r w:rsidRPr="000566EE" w:rsidR="006F4FA3">
        <w:rPr>
          <w:bCs/>
          <w:iCs/>
          <w:szCs w:val="26"/>
        </w:rPr>
        <w:t xml:space="preserve"> </w:t>
      </w:r>
      <w:r w:rsidRPr="000566EE" w:rsidR="00765748">
        <w:rPr>
          <w:bCs/>
          <w:iCs/>
          <w:szCs w:val="26"/>
        </w:rPr>
        <w:t>W</w:t>
      </w:r>
      <w:r w:rsidRPr="000566EE" w:rsidR="002E35E6">
        <w:rPr>
          <w:bCs/>
          <w:iCs/>
          <w:szCs w:val="26"/>
        </w:rPr>
        <w:t xml:space="preserve">hen the City staff member responded that the resident could build an ADU for her father, the resident </w:t>
      </w:r>
      <w:r w:rsidRPr="000566EE" w:rsidR="006C0715">
        <w:rPr>
          <w:bCs/>
          <w:iCs/>
          <w:szCs w:val="26"/>
        </w:rPr>
        <w:t xml:space="preserve">explained she could not afford the </w:t>
      </w:r>
      <w:r w:rsidRPr="000566EE" w:rsidR="00DF06E4">
        <w:rPr>
          <w:bCs/>
          <w:iCs/>
          <w:szCs w:val="26"/>
        </w:rPr>
        <w:t>cost to “install a kitchen, bath, run plumbing, increase the electrical, and install a separate HVAC</w:t>
      </w:r>
      <w:r w:rsidRPr="000566EE" w:rsidR="00ED2BF8">
        <w:rPr>
          <w:bCs/>
          <w:iCs/>
          <w:szCs w:val="26"/>
        </w:rPr>
        <w:t> </w:t>
      </w:r>
      <w:r w:rsidRPr="000566EE" w:rsidR="00825C33">
        <w:rPr>
          <w:bCs/>
          <w:iCs/>
          <w:szCs w:val="26"/>
        </w:rPr>
        <w:t>. </w:t>
      </w:r>
      <w:r w:rsidRPr="000566EE" w:rsidR="00C73632">
        <w:rPr>
          <w:bCs/>
          <w:iCs/>
          <w:szCs w:val="26"/>
        </w:rPr>
        <w:t>.</w:t>
      </w:r>
      <w:r w:rsidRPr="000566EE" w:rsidR="00825C33">
        <w:rPr>
          <w:bCs/>
          <w:iCs/>
          <w:szCs w:val="26"/>
        </w:rPr>
        <w:t> . .”</w:t>
      </w:r>
      <w:r w:rsidRPr="000566EE" w:rsidR="003249FE">
        <w:rPr>
          <w:bCs/>
          <w:iCs/>
          <w:szCs w:val="26"/>
        </w:rPr>
        <w:t xml:space="preserve">  </w:t>
      </w:r>
      <w:r w:rsidRPr="000566EE" w:rsidR="00BB14F9">
        <w:rPr>
          <w:bCs/>
          <w:iCs/>
          <w:szCs w:val="26"/>
        </w:rPr>
        <w:t xml:space="preserve"> </w:t>
      </w:r>
    </w:p>
    <w:p w:rsidR="00304A3E" w:rsidRPr="000566EE" w:rsidP="00917E08" w14:paraId="2A0F574C" w14:textId="1502A9D1">
      <w:pPr>
        <w:ind w:firstLine="720"/>
        <w:contextualSpacing/>
        <w:rPr>
          <w:color w:val="000000"/>
          <w:szCs w:val="26"/>
          <w:bdr w:val="none" w:sz="0" w:space="0" w:color="auto" w:frame="1"/>
          <w:shd w:val="clear" w:color="auto" w:fill="FFFFFF"/>
        </w:rPr>
      </w:pPr>
      <w:r w:rsidRPr="000566EE">
        <w:rPr>
          <w:color w:val="000000"/>
          <w:szCs w:val="26"/>
          <w:bdr w:val="none" w:sz="0" w:space="0" w:color="auto" w:frame="1"/>
          <w:shd w:val="clear" w:color="auto" w:fill="FFFFFF"/>
        </w:rPr>
        <w:t>S</w:t>
      </w:r>
      <w:r w:rsidRPr="000566EE" w:rsidR="002E4862">
        <w:rPr>
          <w:color w:val="000000"/>
          <w:szCs w:val="26"/>
          <w:bdr w:val="none" w:sz="0" w:space="0" w:color="auto" w:frame="1"/>
          <w:shd w:val="clear" w:color="auto" w:fill="FFFFFF"/>
        </w:rPr>
        <w:t>ubdivision</w:t>
      </w:r>
      <w:r w:rsidRPr="000566EE" w:rsidR="00ED2BF8">
        <w:rPr>
          <w:color w:val="000000"/>
          <w:szCs w:val="26"/>
          <w:bdr w:val="none" w:sz="0" w:space="0" w:color="auto" w:frame="1"/>
          <w:shd w:val="clear" w:color="auto" w:fill="FFFFFF"/>
        </w:rPr>
        <w:t> </w:t>
      </w:r>
      <w:r w:rsidRPr="000566EE" w:rsidR="002E4862">
        <w:rPr>
          <w:color w:val="000000"/>
          <w:szCs w:val="26"/>
          <w:bdr w:val="none" w:sz="0" w:space="0" w:color="auto" w:frame="1"/>
          <w:shd w:val="clear" w:color="auto" w:fill="FFFFFF"/>
        </w:rPr>
        <w:t xml:space="preserve">(b)(1)(A)’s express definition </w:t>
      </w:r>
      <w:r w:rsidRPr="000566EE" w:rsidR="002B6B21">
        <w:rPr>
          <w:color w:val="000000"/>
          <w:szCs w:val="26"/>
          <w:bdr w:val="none" w:sz="0" w:space="0" w:color="auto" w:frame="1"/>
          <w:shd w:val="clear" w:color="auto" w:fill="FFFFFF"/>
        </w:rPr>
        <w:t>of</w:t>
      </w:r>
      <w:r w:rsidRPr="000566EE" w:rsidR="002E4862">
        <w:rPr>
          <w:color w:val="000000"/>
          <w:szCs w:val="26"/>
          <w:bdr w:val="none" w:sz="0" w:space="0" w:color="auto" w:frame="1"/>
          <w:shd w:val="clear" w:color="auto" w:fill="FFFFFF"/>
        </w:rPr>
        <w:t xml:space="preserve"> “reducing the intensity of land use” does not produce absurd results or frustrate the purpose of the Act.  (</w:t>
      </w:r>
      <w:r w:rsidRPr="000566EE" w:rsidR="002E4862">
        <w:rPr>
          <w:i/>
          <w:iCs/>
          <w:color w:val="000000"/>
          <w:szCs w:val="26"/>
          <w:bdr w:val="none" w:sz="0" w:space="0" w:color="auto" w:frame="1"/>
          <w:shd w:val="clear" w:color="auto" w:fill="FFFFFF"/>
        </w:rPr>
        <w:t>Martinez</w:t>
      </w:r>
      <w:r w:rsidRPr="000566EE" w:rsidR="002E4862">
        <w:rPr>
          <w:color w:val="000000"/>
          <w:szCs w:val="26"/>
          <w:bdr w:val="none" w:sz="0" w:space="0" w:color="auto" w:frame="1"/>
          <w:shd w:val="clear" w:color="auto" w:fill="FFFFFF"/>
        </w:rPr>
        <w:t xml:space="preserve">, </w:t>
      </w:r>
      <w:r w:rsidRPr="000566EE" w:rsidR="002E4862">
        <w:rPr>
          <w:i/>
          <w:iCs/>
          <w:color w:val="000000"/>
          <w:szCs w:val="26"/>
          <w:bdr w:val="none" w:sz="0" w:space="0" w:color="auto" w:frame="1"/>
          <w:shd w:val="clear" w:color="auto" w:fill="FFFFFF"/>
        </w:rPr>
        <w:t>supra</w:t>
      </w:r>
      <w:r w:rsidRPr="000566EE" w:rsidR="002E4862">
        <w:rPr>
          <w:color w:val="000000"/>
          <w:szCs w:val="26"/>
          <w:bdr w:val="none" w:sz="0" w:space="0" w:color="auto" w:frame="1"/>
          <w:shd w:val="clear" w:color="auto" w:fill="FFFFFF"/>
        </w:rPr>
        <w:t>, 90 Cal.App.5th at p.</w:t>
      </w:r>
      <w:r w:rsidR="008148F4">
        <w:rPr>
          <w:color w:val="000000"/>
          <w:szCs w:val="26"/>
          <w:bdr w:val="none" w:sz="0" w:space="0" w:color="auto" w:frame="1"/>
          <w:shd w:val="clear" w:color="auto" w:fill="FFFFFF"/>
        </w:rPr>
        <w:t> </w:t>
      </w:r>
      <w:r w:rsidRPr="000566EE" w:rsidR="002E4862">
        <w:rPr>
          <w:color w:val="000000"/>
          <w:szCs w:val="26"/>
          <w:bdr w:val="none" w:sz="0" w:space="0" w:color="auto" w:frame="1"/>
          <w:shd w:val="clear" w:color="auto" w:fill="FFFFFF"/>
        </w:rPr>
        <w:t>239.)  The legislative history shows a</w:t>
      </w:r>
      <w:r w:rsidRPr="000566EE" w:rsidR="00AB18C8">
        <w:rPr>
          <w:color w:val="000000"/>
          <w:szCs w:val="26"/>
          <w:bdr w:val="none" w:sz="0" w:space="0" w:color="auto" w:frame="1"/>
          <w:shd w:val="clear" w:color="auto" w:fill="FFFFFF"/>
        </w:rPr>
        <w:t>n</w:t>
      </w:r>
      <w:r w:rsidRPr="000566EE" w:rsidR="002E4862">
        <w:rPr>
          <w:color w:val="000000"/>
          <w:szCs w:val="26"/>
          <w:bdr w:val="none" w:sz="0" w:space="0" w:color="auto" w:frame="1"/>
          <w:shd w:val="clear" w:color="auto" w:fill="FFFFFF"/>
        </w:rPr>
        <w:t xml:space="preserve"> intent to ensure that local governments do not enact policies that</w:t>
      </w:r>
      <w:r w:rsidRPr="000566EE" w:rsidR="00A72467">
        <w:rPr>
          <w:color w:val="000000"/>
          <w:szCs w:val="26"/>
          <w:bdr w:val="none" w:sz="0" w:space="0" w:color="auto" w:frame="1"/>
          <w:shd w:val="clear" w:color="auto" w:fill="FFFFFF"/>
        </w:rPr>
        <w:t xml:space="preserve"> delay housing development</w:t>
      </w:r>
      <w:r w:rsidRPr="000566EE" w:rsidR="00203982">
        <w:rPr>
          <w:color w:val="000000"/>
          <w:szCs w:val="26"/>
          <w:bdr w:val="none" w:sz="0" w:space="0" w:color="auto" w:frame="1"/>
          <w:shd w:val="clear" w:color="auto" w:fill="FFFFFF"/>
        </w:rPr>
        <w:t xml:space="preserve"> or reduce a </w:t>
      </w:r>
      <w:r w:rsidRPr="000566EE" w:rsidR="00E75A39">
        <w:rPr>
          <w:color w:val="000000"/>
          <w:szCs w:val="26"/>
          <w:bdr w:val="none" w:sz="0" w:space="0" w:color="auto" w:frame="1"/>
          <w:shd w:val="clear" w:color="auto" w:fill="FFFFFF"/>
        </w:rPr>
        <w:t>lot’s</w:t>
      </w:r>
      <w:r w:rsidRPr="000566EE" w:rsidR="00203982">
        <w:rPr>
          <w:color w:val="000000"/>
          <w:szCs w:val="26"/>
          <w:bdr w:val="none" w:sz="0" w:space="0" w:color="auto" w:frame="1"/>
          <w:shd w:val="clear" w:color="auto" w:fill="FFFFFF"/>
        </w:rPr>
        <w:t xml:space="preserve"> residential capacity</w:t>
      </w:r>
      <w:r w:rsidRPr="000566EE" w:rsidR="002E4862">
        <w:rPr>
          <w:color w:val="000000"/>
          <w:szCs w:val="26"/>
          <w:bdr w:val="none" w:sz="0" w:space="0" w:color="auto" w:frame="1"/>
          <w:shd w:val="clear" w:color="auto" w:fill="FFFFFF"/>
        </w:rPr>
        <w:t>.</w:t>
      </w:r>
    </w:p>
    <w:p w:rsidR="0093789F" w:rsidRPr="000566EE" w:rsidP="000566EE" w14:paraId="28563124" w14:textId="77777777">
      <w:pPr>
        <w:contextualSpacing/>
        <w:rPr>
          <w:color w:val="000000"/>
          <w:szCs w:val="26"/>
          <w:bdr w:val="none" w:sz="0" w:space="0" w:color="auto" w:frame="1"/>
          <w:shd w:val="clear" w:color="auto" w:fill="FFFFFF"/>
        </w:rPr>
      </w:pPr>
    </w:p>
    <w:p w:rsidR="00304A3E" w:rsidRPr="000566EE" w:rsidP="000566EE" w14:paraId="4A422EAA" w14:textId="67C843F4">
      <w:pPr>
        <w:ind w:left="1440" w:hanging="720"/>
        <w:contextualSpacing/>
        <w:rPr>
          <w:color w:val="000000"/>
          <w:szCs w:val="26"/>
          <w:bdr w:val="none" w:sz="0" w:space="0" w:color="auto" w:frame="1"/>
          <w:shd w:val="clear" w:color="auto" w:fill="FFFFFF"/>
        </w:rPr>
      </w:pPr>
      <w:r w:rsidRPr="000566EE">
        <w:rPr>
          <w:color w:val="000000"/>
          <w:szCs w:val="26"/>
          <w:bdr w:val="none" w:sz="0" w:space="0" w:color="auto" w:frame="1"/>
          <w:shd w:val="clear" w:color="auto" w:fill="FFFFFF"/>
        </w:rPr>
        <w:t>4.</w:t>
      </w:r>
      <w:r w:rsidRPr="000566EE">
        <w:rPr>
          <w:color w:val="000000"/>
          <w:szCs w:val="26"/>
          <w:bdr w:val="none" w:sz="0" w:space="0" w:color="auto" w:frame="1"/>
          <w:shd w:val="clear" w:color="auto" w:fill="FFFFFF"/>
        </w:rPr>
        <w:tab/>
      </w:r>
      <w:r w:rsidRPr="000566EE" w:rsidR="003C5106">
        <w:rPr>
          <w:i/>
          <w:iCs/>
          <w:color w:val="000000"/>
          <w:szCs w:val="26"/>
          <w:bdr w:val="none" w:sz="0" w:space="0" w:color="auto" w:frame="1"/>
          <w:shd w:val="clear" w:color="auto" w:fill="FFFFFF"/>
        </w:rPr>
        <w:t xml:space="preserve">The </w:t>
      </w:r>
      <w:r w:rsidRPr="000566EE" w:rsidR="00E0636D">
        <w:rPr>
          <w:i/>
          <w:iCs/>
          <w:color w:val="000000"/>
          <w:szCs w:val="26"/>
          <w:bdr w:val="none" w:sz="0" w:space="0" w:color="auto" w:frame="1"/>
          <w:shd w:val="clear" w:color="auto" w:fill="FFFFFF"/>
        </w:rPr>
        <w:t>Ordinance</w:t>
      </w:r>
      <w:r w:rsidRPr="000566EE" w:rsidR="003C5106">
        <w:rPr>
          <w:i/>
          <w:iCs/>
          <w:color w:val="000000"/>
          <w:szCs w:val="26"/>
          <w:bdr w:val="none" w:sz="0" w:space="0" w:color="auto" w:frame="1"/>
          <w:shd w:val="clear" w:color="auto" w:fill="FFFFFF"/>
        </w:rPr>
        <w:t xml:space="preserve"> is Not Exempt from </w:t>
      </w:r>
      <w:r w:rsidRPr="000566EE" w:rsidR="00E0636D">
        <w:rPr>
          <w:i/>
          <w:iCs/>
          <w:color w:val="000000"/>
          <w:szCs w:val="26"/>
          <w:bdr w:val="none" w:sz="0" w:space="0" w:color="auto" w:frame="1"/>
          <w:shd w:val="clear" w:color="auto" w:fill="FFFFFF"/>
        </w:rPr>
        <w:t>Section 66300</w:t>
      </w:r>
    </w:p>
    <w:p w:rsidR="00304A3E" w:rsidRPr="000566EE" w:rsidP="000566EE" w14:paraId="4B974419" w14:textId="2086C55D">
      <w:pPr>
        <w:ind w:firstLine="720"/>
        <w:contextualSpacing/>
        <w:rPr>
          <w:color w:val="000000"/>
          <w:szCs w:val="26"/>
          <w:bdr w:val="none" w:sz="0" w:space="0" w:color="auto" w:frame="1"/>
          <w:shd w:val="clear" w:color="auto" w:fill="FFFFFF"/>
        </w:rPr>
      </w:pPr>
      <w:r w:rsidRPr="000566EE">
        <w:rPr>
          <w:color w:val="000000"/>
          <w:szCs w:val="26"/>
          <w:bdr w:val="none" w:sz="0" w:space="0" w:color="auto" w:frame="1"/>
          <w:shd w:val="clear" w:color="auto" w:fill="FFFFFF"/>
        </w:rPr>
        <w:t xml:space="preserve">The </w:t>
      </w:r>
      <w:r w:rsidRPr="000566EE" w:rsidR="00DC22AF">
        <w:rPr>
          <w:color w:val="000000"/>
          <w:szCs w:val="26"/>
          <w:bdr w:val="none" w:sz="0" w:space="0" w:color="auto" w:frame="1"/>
          <w:shd w:val="clear" w:color="auto" w:fill="FFFFFF"/>
        </w:rPr>
        <w:t xml:space="preserve">City </w:t>
      </w:r>
      <w:r w:rsidRPr="000566EE" w:rsidR="00B86FF2">
        <w:rPr>
          <w:color w:val="000000"/>
          <w:szCs w:val="26"/>
          <w:bdr w:val="none" w:sz="0" w:space="0" w:color="auto" w:frame="1"/>
          <w:shd w:val="clear" w:color="auto" w:fill="FFFFFF"/>
        </w:rPr>
        <w:t>contends</w:t>
      </w:r>
      <w:r w:rsidRPr="000566EE" w:rsidR="00DC22AF">
        <w:rPr>
          <w:color w:val="000000"/>
          <w:szCs w:val="26"/>
          <w:bdr w:val="none" w:sz="0" w:space="0" w:color="auto" w:frame="1"/>
          <w:shd w:val="clear" w:color="auto" w:fill="FFFFFF"/>
        </w:rPr>
        <w:t xml:space="preserve"> that the </w:t>
      </w:r>
      <w:r w:rsidRPr="000566EE" w:rsidR="00147C5E">
        <w:rPr>
          <w:color w:val="000000"/>
          <w:szCs w:val="26"/>
          <w:bdr w:val="none" w:sz="0" w:space="0" w:color="auto" w:frame="1"/>
          <w:shd w:val="clear" w:color="auto" w:fill="FFFFFF"/>
        </w:rPr>
        <w:t>Ordinance</w:t>
      </w:r>
      <w:r w:rsidRPr="000566EE" w:rsidR="00DC22AF">
        <w:rPr>
          <w:color w:val="000000"/>
          <w:szCs w:val="26"/>
          <w:bdr w:val="none" w:sz="0" w:space="0" w:color="auto" w:frame="1"/>
          <w:shd w:val="clear" w:color="auto" w:fill="FFFFFF"/>
        </w:rPr>
        <w:t xml:space="preserve"> does not violate section</w:t>
      </w:r>
      <w:r w:rsidRPr="000566EE" w:rsidR="00C65DE4">
        <w:rPr>
          <w:color w:val="000000"/>
          <w:szCs w:val="26"/>
          <w:bdr w:val="none" w:sz="0" w:space="0" w:color="auto" w:frame="1"/>
          <w:shd w:val="clear" w:color="auto" w:fill="FFFFFF"/>
        </w:rPr>
        <w:t> </w:t>
      </w:r>
      <w:r w:rsidRPr="000566EE" w:rsidR="00DC22AF">
        <w:rPr>
          <w:color w:val="000000"/>
          <w:szCs w:val="26"/>
          <w:bdr w:val="none" w:sz="0" w:space="0" w:color="auto" w:frame="1"/>
          <w:shd w:val="clear" w:color="auto" w:fill="FFFFFF"/>
        </w:rPr>
        <w:t xml:space="preserve">66300 because the Ordinance facilitates </w:t>
      </w:r>
      <w:r w:rsidRPr="000566EE" w:rsidR="00147C5E">
        <w:rPr>
          <w:color w:val="000000"/>
          <w:szCs w:val="26"/>
          <w:bdr w:val="none" w:sz="0" w:space="0" w:color="auto" w:frame="1"/>
          <w:shd w:val="clear" w:color="auto" w:fill="FFFFFF"/>
        </w:rPr>
        <w:t xml:space="preserve">the </w:t>
      </w:r>
      <w:r w:rsidRPr="000566EE" w:rsidR="001C174F">
        <w:rPr>
          <w:color w:val="000000"/>
          <w:szCs w:val="26"/>
          <w:bdr w:val="none" w:sz="0" w:space="0" w:color="auto" w:frame="1"/>
          <w:shd w:val="clear" w:color="auto" w:fill="FFFFFF"/>
        </w:rPr>
        <w:t>development</w:t>
      </w:r>
      <w:r w:rsidRPr="000566EE" w:rsidR="00147C5E">
        <w:rPr>
          <w:color w:val="000000"/>
          <w:szCs w:val="26"/>
          <w:bdr w:val="none" w:sz="0" w:space="0" w:color="auto" w:frame="1"/>
          <w:shd w:val="clear" w:color="auto" w:fill="FFFFFF"/>
        </w:rPr>
        <w:t xml:space="preserve"> of housing for lower</w:t>
      </w:r>
      <w:r w:rsidRPr="000566EE" w:rsidR="00690D37">
        <w:rPr>
          <w:color w:val="000000"/>
          <w:szCs w:val="26"/>
          <w:bdr w:val="none" w:sz="0" w:space="0" w:color="auto" w:frame="1"/>
          <w:shd w:val="clear" w:color="auto" w:fill="FFFFFF"/>
        </w:rPr>
        <w:t>-</w:t>
      </w:r>
      <w:r w:rsidRPr="000566EE" w:rsidR="00147C5E">
        <w:rPr>
          <w:color w:val="000000"/>
          <w:szCs w:val="26"/>
          <w:bdr w:val="none" w:sz="0" w:space="0" w:color="auto" w:frame="1"/>
          <w:shd w:val="clear" w:color="auto" w:fill="FFFFFF"/>
        </w:rPr>
        <w:t>income households</w:t>
      </w:r>
      <w:r w:rsidRPr="000566EE" w:rsidR="00521BA9">
        <w:rPr>
          <w:color w:val="000000"/>
          <w:szCs w:val="26"/>
          <w:bdr w:val="none" w:sz="0" w:space="0" w:color="auto" w:frame="1"/>
          <w:shd w:val="clear" w:color="auto" w:fill="FFFFFF"/>
        </w:rPr>
        <w:t xml:space="preserve"> and an increase in density</w:t>
      </w:r>
      <w:r w:rsidRPr="000566EE" w:rsidR="00147C5E">
        <w:rPr>
          <w:color w:val="000000"/>
          <w:szCs w:val="26"/>
          <w:bdr w:val="none" w:sz="0" w:space="0" w:color="auto" w:frame="1"/>
          <w:shd w:val="clear" w:color="auto" w:fill="FFFFFF"/>
        </w:rPr>
        <w:t xml:space="preserve">.  </w:t>
      </w:r>
      <w:r w:rsidRPr="000566EE" w:rsidR="00EA31D5">
        <w:rPr>
          <w:color w:val="000000"/>
          <w:szCs w:val="26"/>
          <w:bdr w:val="none" w:sz="0" w:space="0" w:color="auto" w:frame="1"/>
          <w:shd w:val="clear" w:color="auto" w:fill="FFFFFF"/>
        </w:rPr>
        <w:t xml:space="preserve">We conclude that the City fails to show that the Ordinance falls within </w:t>
      </w:r>
      <w:r w:rsidRPr="000566EE" w:rsidR="00F934B2">
        <w:rPr>
          <w:color w:val="000000"/>
          <w:szCs w:val="26"/>
          <w:bdr w:val="none" w:sz="0" w:space="0" w:color="auto" w:frame="1"/>
          <w:shd w:val="clear" w:color="auto" w:fill="FFFFFF"/>
        </w:rPr>
        <w:t xml:space="preserve">an exception of </w:t>
      </w:r>
      <w:r w:rsidRPr="000566EE" w:rsidR="004A2F5A">
        <w:rPr>
          <w:color w:val="000000"/>
          <w:szCs w:val="26"/>
          <w:bdr w:val="none" w:sz="0" w:space="0" w:color="auto" w:frame="1"/>
          <w:shd w:val="clear" w:color="auto" w:fill="FFFFFF"/>
        </w:rPr>
        <w:t>section</w:t>
      </w:r>
      <w:r w:rsidRPr="000566EE" w:rsidR="00C65DE4">
        <w:rPr>
          <w:color w:val="000000"/>
          <w:szCs w:val="26"/>
          <w:bdr w:val="none" w:sz="0" w:space="0" w:color="auto" w:frame="1"/>
          <w:shd w:val="clear" w:color="auto" w:fill="FFFFFF"/>
        </w:rPr>
        <w:t> </w:t>
      </w:r>
      <w:r w:rsidRPr="000566EE" w:rsidR="004A2F5A">
        <w:rPr>
          <w:color w:val="000000"/>
          <w:szCs w:val="26"/>
          <w:bdr w:val="none" w:sz="0" w:space="0" w:color="auto" w:frame="1"/>
          <w:shd w:val="clear" w:color="auto" w:fill="FFFFFF"/>
        </w:rPr>
        <w:t xml:space="preserve">66300. </w:t>
      </w:r>
    </w:p>
    <w:p w:rsidR="005F0FE7" w:rsidRPr="000566EE" w:rsidP="000566EE" w14:paraId="24648F8A" w14:textId="0A64597E">
      <w:pPr>
        <w:contextualSpacing/>
        <w:rPr>
          <w:color w:val="000000"/>
          <w:szCs w:val="26"/>
          <w:bdr w:val="none" w:sz="0" w:space="0" w:color="auto" w:frame="1"/>
          <w:shd w:val="clear" w:color="auto" w:fill="FFFFFF"/>
        </w:rPr>
      </w:pPr>
      <w:r w:rsidRPr="000566EE">
        <w:rPr>
          <w:color w:val="000000"/>
          <w:szCs w:val="26"/>
          <w:bdr w:val="none" w:sz="0" w:space="0" w:color="auto" w:frame="1"/>
          <w:shd w:val="clear" w:color="auto" w:fill="FFFFFF"/>
        </w:rPr>
        <w:tab/>
      </w:r>
      <w:r w:rsidRPr="000566EE" w:rsidR="00C91F53">
        <w:rPr>
          <w:color w:val="000000"/>
          <w:szCs w:val="26"/>
          <w:bdr w:val="none" w:sz="0" w:space="0" w:color="auto" w:frame="1"/>
          <w:shd w:val="clear" w:color="auto" w:fill="FFFFFF"/>
        </w:rPr>
        <w:t>Subdivision</w:t>
      </w:r>
      <w:r w:rsidR="001A66CC">
        <w:rPr>
          <w:color w:val="000000"/>
          <w:szCs w:val="26"/>
          <w:bdr w:val="none" w:sz="0" w:space="0" w:color="auto" w:frame="1"/>
          <w:shd w:val="clear" w:color="auto" w:fill="FFFFFF"/>
        </w:rPr>
        <w:t> </w:t>
      </w:r>
      <w:r w:rsidRPr="000566EE" w:rsidR="00C91F53">
        <w:rPr>
          <w:color w:val="000000"/>
          <w:szCs w:val="26"/>
          <w:bdr w:val="none" w:sz="0" w:space="0" w:color="auto" w:frame="1"/>
          <w:shd w:val="clear" w:color="auto" w:fill="FFFFFF"/>
        </w:rPr>
        <w:t>(j) of section</w:t>
      </w:r>
      <w:r w:rsidR="001A66CC">
        <w:rPr>
          <w:color w:val="000000"/>
          <w:szCs w:val="26"/>
          <w:bdr w:val="none" w:sz="0" w:space="0" w:color="auto" w:frame="1"/>
          <w:shd w:val="clear" w:color="auto" w:fill="FFFFFF"/>
        </w:rPr>
        <w:t> </w:t>
      </w:r>
      <w:r w:rsidRPr="000566EE" w:rsidR="00C91F53">
        <w:rPr>
          <w:color w:val="000000"/>
          <w:szCs w:val="26"/>
          <w:bdr w:val="none" w:sz="0" w:space="0" w:color="auto" w:frame="1"/>
          <w:shd w:val="clear" w:color="auto" w:fill="FFFFFF"/>
        </w:rPr>
        <w:t>66300 states, “</w:t>
      </w:r>
      <w:r w:rsidR="003B12AE">
        <w:rPr>
          <w:color w:val="000000"/>
          <w:szCs w:val="26"/>
          <w:bdr w:val="none" w:sz="0" w:space="0" w:color="auto" w:frame="1"/>
          <w:shd w:val="clear" w:color="auto" w:fill="FFFFFF"/>
        </w:rPr>
        <w:t>N</w:t>
      </w:r>
      <w:r w:rsidRPr="000566EE" w:rsidR="00C91F53">
        <w:rPr>
          <w:color w:val="000000"/>
          <w:szCs w:val="26"/>
          <w:bdr w:val="none" w:sz="0" w:space="0" w:color="auto" w:frame="1"/>
          <w:shd w:val="clear" w:color="auto" w:fill="FFFFFF"/>
        </w:rPr>
        <w:t xml:space="preserve">otwithstanding subdivisions (b) and (f), this section does not prohibit an affected city or an affected county from enacting a development policy, standard, or condition that is intended to preserve or </w:t>
      </w:r>
      <w:r w:rsidRPr="000566EE" w:rsidR="00C91F53">
        <w:rPr>
          <w:i/>
          <w:iCs/>
          <w:color w:val="000000"/>
          <w:szCs w:val="26"/>
          <w:bdr w:val="none" w:sz="0" w:space="0" w:color="auto" w:frame="1"/>
          <w:shd w:val="clear" w:color="auto" w:fill="FFFFFF"/>
        </w:rPr>
        <w:t>facilitate the production of housing for lower</w:t>
      </w:r>
      <w:r w:rsidRPr="000566EE" w:rsidR="00690D37">
        <w:rPr>
          <w:i/>
          <w:iCs/>
          <w:color w:val="000000"/>
          <w:szCs w:val="26"/>
          <w:bdr w:val="none" w:sz="0" w:space="0" w:color="auto" w:frame="1"/>
          <w:shd w:val="clear" w:color="auto" w:fill="FFFFFF"/>
        </w:rPr>
        <w:t>[-]</w:t>
      </w:r>
      <w:r w:rsidRPr="000566EE" w:rsidR="00C91F53">
        <w:rPr>
          <w:i/>
          <w:iCs/>
          <w:color w:val="000000"/>
          <w:szCs w:val="26"/>
          <w:bdr w:val="none" w:sz="0" w:space="0" w:color="auto" w:frame="1"/>
          <w:shd w:val="clear" w:color="auto" w:fill="FFFFFF"/>
        </w:rPr>
        <w:t>income households</w:t>
      </w:r>
      <w:r w:rsidRPr="000566EE" w:rsidR="00C91F53">
        <w:rPr>
          <w:color w:val="000000"/>
          <w:szCs w:val="26"/>
          <w:bdr w:val="none" w:sz="0" w:space="0" w:color="auto" w:frame="1"/>
          <w:shd w:val="clear" w:color="auto" w:fill="FFFFFF"/>
        </w:rPr>
        <w:t xml:space="preserve">, as defined in Section 50079.5 of the Health and Safety Code, or </w:t>
      </w:r>
      <w:r w:rsidRPr="000566EE" w:rsidR="00C91F53">
        <w:rPr>
          <w:i/>
          <w:iCs/>
          <w:color w:val="000000"/>
          <w:szCs w:val="26"/>
          <w:bdr w:val="none" w:sz="0" w:space="0" w:color="auto" w:frame="1"/>
          <w:shd w:val="clear" w:color="auto" w:fill="FFFFFF"/>
        </w:rPr>
        <w:t>housing types that traditionally serve lower</w:t>
      </w:r>
      <w:r w:rsidRPr="000566EE" w:rsidR="00690D37">
        <w:rPr>
          <w:i/>
          <w:iCs/>
          <w:color w:val="000000"/>
          <w:szCs w:val="26"/>
          <w:bdr w:val="none" w:sz="0" w:space="0" w:color="auto" w:frame="1"/>
          <w:shd w:val="clear" w:color="auto" w:fill="FFFFFF"/>
        </w:rPr>
        <w:t>[-]</w:t>
      </w:r>
      <w:r w:rsidRPr="000566EE" w:rsidR="00C91F53">
        <w:rPr>
          <w:i/>
          <w:iCs/>
          <w:color w:val="000000"/>
          <w:szCs w:val="26"/>
          <w:bdr w:val="none" w:sz="0" w:space="0" w:color="auto" w:frame="1"/>
          <w:shd w:val="clear" w:color="auto" w:fill="FFFFFF"/>
        </w:rPr>
        <w:t>income households</w:t>
      </w:r>
      <w:r w:rsidRPr="000566EE" w:rsidR="00C91F53">
        <w:rPr>
          <w:color w:val="000000"/>
          <w:szCs w:val="26"/>
          <w:bdr w:val="none" w:sz="0" w:space="0" w:color="auto" w:frame="1"/>
          <w:shd w:val="clear" w:color="auto" w:fill="FFFFFF"/>
        </w:rPr>
        <w:t>, including mobilehome parks, single-room occupancy units, or units subject to any form of rent or price control through a public entity</w:t>
      </w:r>
      <w:r w:rsidRPr="000566EE" w:rsidR="002B0980">
        <w:rPr>
          <w:color w:val="000000"/>
          <w:szCs w:val="26"/>
          <w:bdr w:val="none" w:sz="0" w:space="0" w:color="auto" w:frame="1"/>
          <w:shd w:val="clear" w:color="auto" w:fill="FFFFFF"/>
        </w:rPr>
        <w:t>’</w:t>
      </w:r>
      <w:r w:rsidRPr="000566EE" w:rsidR="00C91F53">
        <w:rPr>
          <w:color w:val="000000"/>
          <w:szCs w:val="26"/>
          <w:bdr w:val="none" w:sz="0" w:space="0" w:color="auto" w:frame="1"/>
          <w:shd w:val="clear" w:color="auto" w:fill="FFFFFF"/>
        </w:rPr>
        <w:t xml:space="preserve">s valid exercise of its police power.”  (Italics added.)  </w:t>
      </w:r>
      <w:r w:rsidRPr="000566EE" w:rsidR="009548EF">
        <w:rPr>
          <w:color w:val="000000"/>
          <w:szCs w:val="26"/>
          <w:bdr w:val="none" w:sz="0" w:space="0" w:color="auto" w:frame="1"/>
          <w:shd w:val="clear" w:color="auto" w:fill="FFFFFF"/>
        </w:rPr>
        <w:t>S</w:t>
      </w:r>
      <w:r w:rsidRPr="000566EE" w:rsidR="00736EAC">
        <w:rPr>
          <w:color w:val="000000"/>
          <w:szCs w:val="26"/>
          <w:bdr w:val="none" w:sz="0" w:space="0" w:color="auto" w:frame="1"/>
          <w:shd w:val="clear" w:color="auto" w:fill="FFFFFF"/>
        </w:rPr>
        <w:t xml:space="preserve">ubdivision </w:t>
      </w:r>
      <w:r w:rsidRPr="000566EE" w:rsidR="00304A3E">
        <w:rPr>
          <w:color w:val="000000"/>
          <w:szCs w:val="26"/>
          <w:bdr w:val="none" w:sz="0" w:space="0" w:color="auto" w:frame="1"/>
          <w:shd w:val="clear" w:color="auto" w:fill="FFFFFF"/>
        </w:rPr>
        <w:t>(f)(3) instructs that section</w:t>
      </w:r>
      <w:r w:rsidRPr="000566EE" w:rsidR="000456D3">
        <w:rPr>
          <w:color w:val="000000"/>
          <w:szCs w:val="26"/>
          <w:bdr w:val="none" w:sz="0" w:space="0" w:color="auto" w:frame="1"/>
          <w:shd w:val="clear" w:color="auto" w:fill="FFFFFF"/>
        </w:rPr>
        <w:t> </w:t>
      </w:r>
      <w:r w:rsidRPr="000566EE" w:rsidR="00304A3E">
        <w:rPr>
          <w:color w:val="000000"/>
          <w:szCs w:val="26"/>
          <w:bdr w:val="none" w:sz="0" w:space="0" w:color="auto" w:frame="1"/>
          <w:shd w:val="clear" w:color="auto" w:fill="FFFFFF"/>
        </w:rPr>
        <w:t xml:space="preserve">66300 is not to be construed as prohibiting the adoption or amendment of a </w:t>
      </w:r>
      <w:r w:rsidRPr="000566EE" w:rsidR="000504F1">
        <w:rPr>
          <w:color w:val="000000"/>
          <w:szCs w:val="26"/>
          <w:bdr w:val="none" w:sz="0" w:space="0" w:color="auto" w:frame="1"/>
          <w:shd w:val="clear" w:color="auto" w:fill="FFFFFF"/>
        </w:rPr>
        <w:t>zoning ordinance</w:t>
      </w:r>
      <w:r w:rsidRPr="000566EE" w:rsidR="00304A3E">
        <w:rPr>
          <w:color w:val="000000"/>
          <w:szCs w:val="26"/>
          <w:bdr w:val="none" w:sz="0" w:space="0" w:color="auto" w:frame="1"/>
          <w:shd w:val="clear" w:color="auto" w:fill="FFFFFF"/>
        </w:rPr>
        <w:t xml:space="preserve"> that:  “(A) Allows greater density</w:t>
      </w:r>
      <w:r w:rsidRPr="000566EE" w:rsidR="00736EAC">
        <w:rPr>
          <w:color w:val="000000"/>
          <w:szCs w:val="26"/>
          <w:bdr w:val="none" w:sz="0" w:space="0" w:color="auto" w:frame="1"/>
          <w:shd w:val="clear" w:color="auto" w:fill="FFFFFF"/>
        </w:rPr>
        <w:t xml:space="preserve">.  </w:t>
      </w:r>
      <w:r w:rsidRPr="000566EE" w:rsidR="00304A3E">
        <w:rPr>
          <w:color w:val="000000"/>
          <w:szCs w:val="26"/>
          <w:bdr w:val="none" w:sz="0" w:space="0" w:color="auto" w:frame="1"/>
          <w:shd w:val="clear" w:color="auto" w:fill="FFFFFF"/>
        </w:rPr>
        <w:t>(B) Facilitates the development of housing</w:t>
      </w:r>
      <w:r w:rsidRPr="000566EE" w:rsidR="00736EAC">
        <w:rPr>
          <w:color w:val="000000"/>
          <w:szCs w:val="26"/>
          <w:bdr w:val="none" w:sz="0" w:space="0" w:color="auto" w:frame="1"/>
          <w:shd w:val="clear" w:color="auto" w:fill="FFFFFF"/>
        </w:rPr>
        <w:t xml:space="preserve">.  </w:t>
      </w:r>
      <w:r w:rsidRPr="000566EE" w:rsidR="00304A3E">
        <w:rPr>
          <w:color w:val="000000"/>
          <w:szCs w:val="26"/>
          <w:bdr w:val="none" w:sz="0" w:space="0" w:color="auto" w:frame="1"/>
          <w:shd w:val="clear" w:color="auto" w:fill="FFFFFF"/>
        </w:rPr>
        <w:t>(C) Reduces the costs to a housing development project.”</w:t>
      </w:r>
      <w:r w:rsidRPr="000566EE" w:rsidR="00736EAC">
        <w:rPr>
          <w:color w:val="000000"/>
          <w:szCs w:val="26"/>
          <w:bdr w:val="none" w:sz="0" w:space="0" w:color="auto" w:frame="1"/>
          <w:shd w:val="clear" w:color="auto" w:fill="FFFFFF"/>
        </w:rPr>
        <w:t xml:space="preserve">  </w:t>
      </w:r>
    </w:p>
    <w:p w:rsidR="00357292" w:rsidRPr="000566EE" w:rsidP="000566EE" w14:paraId="7B1FFCE9" w14:textId="19D4D51A">
      <w:pPr>
        <w:ind w:firstLine="720"/>
        <w:contextualSpacing/>
        <w:rPr>
          <w:bCs/>
          <w:iCs/>
          <w:szCs w:val="26"/>
        </w:rPr>
      </w:pPr>
      <w:r w:rsidRPr="000566EE">
        <w:rPr>
          <w:color w:val="000000"/>
          <w:szCs w:val="26"/>
          <w:bdr w:val="none" w:sz="0" w:space="0" w:color="auto" w:frame="1"/>
          <w:shd w:val="clear" w:color="auto" w:fill="FFFFFF"/>
        </w:rPr>
        <w:t>T</w:t>
      </w:r>
      <w:r w:rsidRPr="000566EE" w:rsidR="00EC7E97">
        <w:rPr>
          <w:color w:val="000000"/>
          <w:szCs w:val="26"/>
          <w:bdr w:val="none" w:sz="0" w:space="0" w:color="auto" w:frame="1"/>
          <w:shd w:val="clear" w:color="auto" w:fill="FFFFFF"/>
        </w:rPr>
        <w:t xml:space="preserve">he City does not </w:t>
      </w:r>
      <w:r w:rsidRPr="000566EE" w:rsidR="007405EA">
        <w:rPr>
          <w:color w:val="000000"/>
          <w:szCs w:val="26"/>
          <w:bdr w:val="none" w:sz="0" w:space="0" w:color="auto" w:frame="1"/>
          <w:shd w:val="clear" w:color="auto" w:fill="FFFFFF"/>
        </w:rPr>
        <w:t xml:space="preserve">establish that the Ordinance satisfies the exemption set forth in section 66300, subdivision (j).  </w:t>
      </w:r>
      <w:r w:rsidRPr="000566EE" w:rsidR="00D73C32">
        <w:rPr>
          <w:color w:val="000000"/>
          <w:szCs w:val="26"/>
          <w:bdr w:val="none" w:sz="0" w:space="0" w:color="auto" w:frame="1"/>
          <w:shd w:val="clear" w:color="auto" w:fill="FFFFFF"/>
        </w:rPr>
        <w:t>First,</w:t>
      </w:r>
      <w:r w:rsidRPr="000566EE" w:rsidR="00F52F08">
        <w:rPr>
          <w:color w:val="000000"/>
          <w:szCs w:val="26"/>
          <w:bdr w:val="none" w:sz="0" w:space="0" w:color="auto" w:frame="1"/>
          <w:shd w:val="clear" w:color="auto" w:fill="FFFFFF"/>
        </w:rPr>
        <w:t xml:space="preserve"> the City does not </w:t>
      </w:r>
      <w:r w:rsidRPr="000566EE" w:rsidR="00381FB7">
        <w:rPr>
          <w:color w:val="000000"/>
          <w:szCs w:val="26"/>
          <w:bdr w:val="none" w:sz="0" w:space="0" w:color="auto" w:frame="1"/>
          <w:shd w:val="clear" w:color="auto" w:fill="FFFFFF"/>
        </w:rPr>
        <w:t>contend</w:t>
      </w:r>
      <w:r w:rsidRPr="000566EE" w:rsidR="00F52F08">
        <w:rPr>
          <w:color w:val="000000"/>
          <w:szCs w:val="26"/>
          <w:bdr w:val="none" w:sz="0" w:space="0" w:color="auto" w:frame="1"/>
          <w:shd w:val="clear" w:color="auto" w:fill="FFFFFF"/>
        </w:rPr>
        <w:t xml:space="preserve"> that the Ordinance is </w:t>
      </w:r>
      <w:r w:rsidRPr="000566EE" w:rsidR="005D681E">
        <w:rPr>
          <w:color w:val="000000"/>
          <w:szCs w:val="26"/>
          <w:bdr w:val="none" w:sz="0" w:space="0" w:color="auto" w:frame="1"/>
          <w:shd w:val="clear" w:color="auto" w:fill="FFFFFF"/>
        </w:rPr>
        <w:t>“intended to preserve or facilitate the production of housing for lower</w:t>
      </w:r>
      <w:r w:rsidRPr="000566EE" w:rsidR="009A0666">
        <w:rPr>
          <w:color w:val="000000"/>
          <w:szCs w:val="26"/>
          <w:bdr w:val="none" w:sz="0" w:space="0" w:color="auto" w:frame="1"/>
          <w:shd w:val="clear" w:color="auto" w:fill="FFFFFF"/>
        </w:rPr>
        <w:t>[-]</w:t>
      </w:r>
      <w:r w:rsidRPr="000566EE" w:rsidR="005D681E">
        <w:rPr>
          <w:color w:val="000000"/>
          <w:szCs w:val="26"/>
          <w:bdr w:val="none" w:sz="0" w:space="0" w:color="auto" w:frame="1"/>
          <w:shd w:val="clear" w:color="auto" w:fill="FFFFFF"/>
        </w:rPr>
        <w:t>income households, as defined in Section</w:t>
      </w:r>
      <w:r w:rsidRPr="000566EE" w:rsidR="000456D3">
        <w:rPr>
          <w:color w:val="000000"/>
          <w:szCs w:val="26"/>
          <w:bdr w:val="none" w:sz="0" w:space="0" w:color="auto" w:frame="1"/>
          <w:shd w:val="clear" w:color="auto" w:fill="FFFFFF"/>
        </w:rPr>
        <w:t> </w:t>
      </w:r>
      <w:r w:rsidRPr="000566EE" w:rsidR="005D681E">
        <w:rPr>
          <w:color w:val="000000"/>
          <w:szCs w:val="26"/>
          <w:bdr w:val="none" w:sz="0" w:space="0" w:color="auto" w:frame="1"/>
          <w:shd w:val="clear" w:color="auto" w:fill="FFFFFF"/>
        </w:rPr>
        <w:t>50079.5 of the Health and Safety Code</w:t>
      </w:r>
      <w:r w:rsidRPr="000566EE" w:rsidR="00722661">
        <w:rPr>
          <w:color w:val="000000"/>
          <w:szCs w:val="26"/>
          <w:bdr w:val="none" w:sz="0" w:space="0" w:color="auto" w:frame="1"/>
          <w:shd w:val="clear" w:color="auto" w:fill="FFFFFF"/>
        </w:rPr>
        <w:t> </w:t>
      </w:r>
      <w:r w:rsidRPr="000566EE" w:rsidR="005D681E">
        <w:rPr>
          <w:color w:val="000000"/>
          <w:szCs w:val="26"/>
          <w:bdr w:val="none" w:sz="0" w:space="0" w:color="auto" w:frame="1"/>
          <w:shd w:val="clear" w:color="auto" w:fill="FFFFFF"/>
        </w:rPr>
        <w:t xml:space="preserve">. . . .”  </w:t>
      </w:r>
      <w:r w:rsidRPr="000566EE" w:rsidR="00C66A68">
        <w:rPr>
          <w:color w:val="000000"/>
          <w:szCs w:val="26"/>
          <w:bdr w:val="none" w:sz="0" w:space="0" w:color="auto" w:frame="1"/>
          <w:shd w:val="clear" w:color="auto" w:fill="FFFFFF"/>
        </w:rPr>
        <w:t xml:space="preserve">Second, </w:t>
      </w:r>
      <w:r w:rsidRPr="000566EE" w:rsidR="004C3F3A">
        <w:rPr>
          <w:color w:val="000000"/>
          <w:szCs w:val="26"/>
          <w:bdr w:val="none" w:sz="0" w:space="0" w:color="auto" w:frame="1"/>
          <w:shd w:val="clear" w:color="auto" w:fill="FFFFFF"/>
        </w:rPr>
        <w:t>w</w:t>
      </w:r>
      <w:r w:rsidRPr="000566EE" w:rsidR="00B22372">
        <w:rPr>
          <w:color w:val="000000"/>
          <w:szCs w:val="26"/>
          <w:bdr w:val="none" w:sz="0" w:space="0" w:color="auto" w:frame="1"/>
          <w:shd w:val="clear" w:color="auto" w:fill="FFFFFF"/>
        </w:rPr>
        <w:t xml:space="preserve">hile ADUs may </w:t>
      </w:r>
      <w:r w:rsidRPr="000566EE" w:rsidR="004435A7">
        <w:rPr>
          <w:color w:val="000000"/>
          <w:szCs w:val="26"/>
          <w:bdr w:val="none" w:sz="0" w:space="0" w:color="auto" w:frame="1"/>
          <w:shd w:val="clear" w:color="auto" w:fill="FFFFFF"/>
        </w:rPr>
        <w:t>offer</w:t>
      </w:r>
      <w:r w:rsidRPr="000566EE" w:rsidR="00805EBD">
        <w:rPr>
          <w:color w:val="000000"/>
          <w:szCs w:val="26"/>
          <w:bdr w:val="none" w:sz="0" w:space="0" w:color="auto" w:frame="1"/>
          <w:shd w:val="clear" w:color="auto" w:fill="FFFFFF"/>
        </w:rPr>
        <w:t xml:space="preserve"> relatively</w:t>
      </w:r>
      <w:r w:rsidRPr="000566EE" w:rsidR="00B22372">
        <w:rPr>
          <w:color w:val="000000"/>
          <w:szCs w:val="26"/>
          <w:bdr w:val="none" w:sz="0" w:space="0" w:color="auto" w:frame="1"/>
          <w:shd w:val="clear" w:color="auto" w:fill="FFFFFF"/>
        </w:rPr>
        <w:t xml:space="preserve"> affordable </w:t>
      </w:r>
      <w:r w:rsidRPr="000566EE" w:rsidR="00A47E73">
        <w:rPr>
          <w:color w:val="000000"/>
          <w:szCs w:val="26"/>
          <w:bdr w:val="none" w:sz="0" w:space="0" w:color="auto" w:frame="1"/>
          <w:shd w:val="clear" w:color="auto" w:fill="FFFFFF"/>
        </w:rPr>
        <w:t xml:space="preserve">housing </w:t>
      </w:r>
      <w:r w:rsidRPr="000566EE" w:rsidR="00B22372">
        <w:rPr>
          <w:color w:val="000000"/>
          <w:szCs w:val="26"/>
          <w:bdr w:val="none" w:sz="0" w:space="0" w:color="auto" w:frame="1"/>
          <w:shd w:val="clear" w:color="auto" w:fill="FFFFFF"/>
        </w:rPr>
        <w:t>in some circumstances</w:t>
      </w:r>
      <w:r w:rsidRPr="000566EE" w:rsidR="00B22372">
        <w:rPr>
          <w:bCs/>
          <w:iCs/>
          <w:szCs w:val="26"/>
        </w:rPr>
        <w:t>,</w:t>
      </w:r>
      <w:r>
        <w:rPr>
          <w:rStyle w:val="FootnoteReference"/>
          <w:bCs/>
          <w:iCs/>
          <w:szCs w:val="26"/>
        </w:rPr>
        <w:footnoteReference w:id="8"/>
      </w:r>
      <w:r w:rsidRPr="000566EE" w:rsidR="00B22372">
        <w:rPr>
          <w:bCs/>
          <w:iCs/>
          <w:szCs w:val="26"/>
        </w:rPr>
        <w:t xml:space="preserve"> </w:t>
      </w:r>
      <w:r w:rsidRPr="000566EE" w:rsidR="00B22372">
        <w:rPr>
          <w:color w:val="000000"/>
          <w:szCs w:val="26"/>
          <w:bdr w:val="none" w:sz="0" w:space="0" w:color="auto" w:frame="1"/>
          <w:shd w:val="clear" w:color="auto" w:fill="FFFFFF"/>
        </w:rPr>
        <w:t>t</w:t>
      </w:r>
      <w:r w:rsidRPr="000566EE" w:rsidR="003339A6">
        <w:rPr>
          <w:color w:val="000000"/>
          <w:szCs w:val="26"/>
          <w:bdr w:val="none" w:sz="0" w:space="0" w:color="auto" w:frame="1"/>
          <w:shd w:val="clear" w:color="auto" w:fill="FFFFFF"/>
        </w:rPr>
        <w:t xml:space="preserve">he City does not </w:t>
      </w:r>
      <w:r w:rsidRPr="000566EE" w:rsidR="00B22372">
        <w:rPr>
          <w:color w:val="000000"/>
          <w:szCs w:val="26"/>
          <w:bdr w:val="none" w:sz="0" w:space="0" w:color="auto" w:frame="1"/>
          <w:shd w:val="clear" w:color="auto" w:fill="FFFFFF"/>
        </w:rPr>
        <w:t>point to</w:t>
      </w:r>
      <w:r w:rsidRPr="000566EE" w:rsidR="003339A6">
        <w:rPr>
          <w:color w:val="000000"/>
          <w:szCs w:val="26"/>
          <w:bdr w:val="none" w:sz="0" w:space="0" w:color="auto" w:frame="1"/>
          <w:shd w:val="clear" w:color="auto" w:fill="FFFFFF"/>
        </w:rPr>
        <w:t xml:space="preserve"> anything in the record showing that ADUs</w:t>
      </w:r>
      <w:r w:rsidRPr="000566EE" w:rsidR="00C92F8F">
        <w:rPr>
          <w:color w:val="000000"/>
          <w:szCs w:val="26"/>
          <w:bdr w:val="none" w:sz="0" w:space="0" w:color="auto" w:frame="1"/>
          <w:shd w:val="clear" w:color="auto" w:fill="FFFFFF"/>
        </w:rPr>
        <w:t xml:space="preserve"> within </w:t>
      </w:r>
      <w:r w:rsidRPr="000566EE" w:rsidR="0062391A">
        <w:rPr>
          <w:color w:val="000000"/>
          <w:szCs w:val="26"/>
          <w:bdr w:val="none" w:sz="0" w:space="0" w:color="auto" w:frame="1"/>
          <w:shd w:val="clear" w:color="auto" w:fill="FFFFFF"/>
        </w:rPr>
        <w:t>the</w:t>
      </w:r>
      <w:r w:rsidRPr="000566EE" w:rsidR="002F14AC">
        <w:rPr>
          <w:color w:val="000000"/>
          <w:szCs w:val="26"/>
          <w:bdr w:val="none" w:sz="0" w:space="0" w:color="auto" w:frame="1"/>
          <w:shd w:val="clear" w:color="auto" w:fill="FFFFFF"/>
        </w:rPr>
        <w:t xml:space="preserve"> City</w:t>
      </w:r>
      <w:r w:rsidRPr="000566EE" w:rsidR="00E8217F">
        <w:rPr>
          <w:color w:val="000000"/>
          <w:szCs w:val="26"/>
          <w:bdr w:val="none" w:sz="0" w:space="0" w:color="auto" w:frame="1"/>
          <w:shd w:val="clear" w:color="auto" w:fill="FFFFFF"/>
        </w:rPr>
        <w:t xml:space="preserve"> </w:t>
      </w:r>
      <w:r w:rsidRPr="000566EE" w:rsidR="00210B81">
        <w:rPr>
          <w:color w:val="000000"/>
          <w:szCs w:val="26"/>
          <w:bdr w:val="none" w:sz="0" w:space="0" w:color="auto" w:frame="1"/>
          <w:shd w:val="clear" w:color="auto" w:fill="FFFFFF"/>
        </w:rPr>
        <w:t xml:space="preserve">tend to </w:t>
      </w:r>
      <w:r w:rsidR="004D7B5F">
        <w:rPr>
          <w:color w:val="000000"/>
          <w:szCs w:val="26"/>
          <w:bdr w:val="none" w:sz="0" w:space="0" w:color="auto" w:frame="1"/>
          <w:shd w:val="clear" w:color="auto" w:fill="FFFFFF"/>
        </w:rPr>
        <w:t>house</w:t>
      </w:r>
      <w:r w:rsidRPr="000566EE" w:rsidR="002F5E09">
        <w:rPr>
          <w:color w:val="000000"/>
          <w:szCs w:val="26"/>
          <w:bdr w:val="none" w:sz="0" w:space="0" w:color="auto" w:frame="1"/>
          <w:shd w:val="clear" w:color="auto" w:fill="FFFFFF"/>
        </w:rPr>
        <w:t xml:space="preserve"> </w:t>
      </w:r>
      <w:r w:rsidRPr="000566EE" w:rsidR="00F73FC8">
        <w:rPr>
          <w:color w:val="000000"/>
          <w:szCs w:val="26"/>
          <w:bdr w:val="none" w:sz="0" w:space="0" w:color="auto" w:frame="1"/>
          <w:shd w:val="clear" w:color="auto" w:fill="FFFFFF"/>
        </w:rPr>
        <w:t>lower</w:t>
      </w:r>
      <w:r w:rsidRPr="000566EE" w:rsidR="009A0666">
        <w:rPr>
          <w:color w:val="000000"/>
          <w:szCs w:val="26"/>
          <w:bdr w:val="none" w:sz="0" w:space="0" w:color="auto" w:frame="1"/>
          <w:shd w:val="clear" w:color="auto" w:fill="FFFFFF"/>
        </w:rPr>
        <w:t>-</w:t>
      </w:r>
      <w:r w:rsidRPr="000566EE" w:rsidR="00F73FC8">
        <w:rPr>
          <w:color w:val="000000"/>
          <w:szCs w:val="26"/>
          <w:bdr w:val="none" w:sz="0" w:space="0" w:color="auto" w:frame="1"/>
          <w:shd w:val="clear" w:color="auto" w:fill="FFFFFF"/>
        </w:rPr>
        <w:t>income households.</w:t>
      </w:r>
      <w:r w:rsidRPr="000566EE" w:rsidR="009C23CC">
        <w:rPr>
          <w:color w:val="000000"/>
          <w:szCs w:val="26"/>
          <w:bdr w:val="none" w:sz="0" w:space="0" w:color="auto" w:frame="1"/>
          <w:shd w:val="clear" w:color="auto" w:fill="FFFFFF"/>
        </w:rPr>
        <w:t xml:space="preserve">  </w:t>
      </w:r>
      <w:r w:rsidRPr="000566EE" w:rsidR="00AB607D">
        <w:rPr>
          <w:color w:val="000000"/>
          <w:szCs w:val="26"/>
          <w:bdr w:val="none" w:sz="0" w:space="0" w:color="auto" w:frame="1"/>
          <w:shd w:val="clear" w:color="auto" w:fill="FFFFFF"/>
        </w:rPr>
        <w:t xml:space="preserve">Notably, the City does not respond to YIMBY’s assertion that ADUs are market-rate units </w:t>
      </w:r>
      <w:r w:rsidRPr="000566EE" w:rsidR="00ED204D">
        <w:rPr>
          <w:color w:val="000000"/>
          <w:szCs w:val="26"/>
          <w:bdr w:val="none" w:sz="0" w:space="0" w:color="auto" w:frame="1"/>
          <w:shd w:val="clear" w:color="auto" w:fill="FFFFFF"/>
        </w:rPr>
        <w:t xml:space="preserve">that can be rented to any household regardless of income. </w:t>
      </w:r>
      <w:r w:rsidRPr="000566EE" w:rsidR="00631C56">
        <w:rPr>
          <w:bCs/>
          <w:iCs/>
          <w:szCs w:val="26"/>
        </w:rPr>
        <w:t xml:space="preserve"> </w:t>
      </w:r>
      <w:r w:rsidRPr="000566EE" w:rsidR="00931F86">
        <w:rPr>
          <w:color w:val="000000"/>
          <w:szCs w:val="26"/>
          <w:bdr w:val="none" w:sz="0" w:space="0" w:color="auto" w:frame="1"/>
          <w:shd w:val="clear" w:color="auto" w:fill="FFFFFF"/>
        </w:rPr>
        <w:t>The Legislature’s intent was for any exception to be construed narrowly</w:t>
      </w:r>
      <w:r w:rsidRPr="000566EE" w:rsidR="002142DE">
        <w:rPr>
          <w:color w:val="000000"/>
          <w:szCs w:val="26"/>
          <w:bdr w:val="none" w:sz="0" w:space="0" w:color="auto" w:frame="1"/>
          <w:shd w:val="clear" w:color="auto" w:fill="FFFFFF"/>
        </w:rPr>
        <w:t xml:space="preserve"> (§</w:t>
      </w:r>
      <w:r w:rsidRPr="000566EE" w:rsidR="00701C8C">
        <w:rPr>
          <w:color w:val="000000"/>
          <w:szCs w:val="26"/>
          <w:bdr w:val="none" w:sz="0" w:space="0" w:color="auto" w:frame="1"/>
          <w:shd w:val="clear" w:color="auto" w:fill="FFFFFF"/>
        </w:rPr>
        <w:t> </w:t>
      </w:r>
      <w:r w:rsidRPr="000566EE" w:rsidR="002142DE">
        <w:rPr>
          <w:color w:val="000000"/>
          <w:szCs w:val="26"/>
          <w:bdr w:val="none" w:sz="0" w:space="0" w:color="auto" w:frame="1"/>
          <w:shd w:val="clear" w:color="auto" w:fill="FFFFFF"/>
        </w:rPr>
        <w:t>66300, subd.</w:t>
      </w:r>
      <w:r w:rsidRPr="000566EE" w:rsidR="00701C8C">
        <w:rPr>
          <w:color w:val="000000"/>
          <w:szCs w:val="26"/>
          <w:bdr w:val="none" w:sz="0" w:space="0" w:color="auto" w:frame="1"/>
          <w:shd w:val="clear" w:color="auto" w:fill="FFFFFF"/>
        </w:rPr>
        <w:t> </w:t>
      </w:r>
      <w:r w:rsidRPr="000566EE" w:rsidR="002142DE">
        <w:rPr>
          <w:color w:val="000000"/>
          <w:szCs w:val="26"/>
          <w:bdr w:val="none" w:sz="0" w:space="0" w:color="auto" w:frame="1"/>
          <w:shd w:val="clear" w:color="auto" w:fill="FFFFFF"/>
        </w:rPr>
        <w:t>(</w:t>
      </w:r>
      <w:r w:rsidRPr="000566EE" w:rsidR="00DB1B75">
        <w:rPr>
          <w:color w:val="000000"/>
          <w:szCs w:val="26"/>
          <w:bdr w:val="none" w:sz="0" w:space="0" w:color="auto" w:frame="1"/>
          <w:shd w:val="clear" w:color="auto" w:fill="FFFFFF"/>
        </w:rPr>
        <w:t>f)(2)</w:t>
      </w:r>
      <w:r w:rsidRPr="000566EE" w:rsidR="002F2E46">
        <w:rPr>
          <w:color w:val="000000"/>
          <w:szCs w:val="26"/>
          <w:bdr w:val="none" w:sz="0" w:space="0" w:color="auto" w:frame="1"/>
          <w:shd w:val="clear" w:color="auto" w:fill="FFFFFF"/>
        </w:rPr>
        <w:t>)</w:t>
      </w:r>
      <w:r w:rsidRPr="000566EE" w:rsidR="00931F86">
        <w:rPr>
          <w:color w:val="000000"/>
          <w:szCs w:val="26"/>
          <w:bdr w:val="none" w:sz="0" w:space="0" w:color="auto" w:frame="1"/>
          <w:shd w:val="clear" w:color="auto" w:fill="FFFFFF"/>
        </w:rPr>
        <w:t xml:space="preserve">, </w:t>
      </w:r>
      <w:r w:rsidRPr="000566EE" w:rsidR="00B60E76">
        <w:rPr>
          <w:color w:val="000000"/>
          <w:szCs w:val="26"/>
          <w:bdr w:val="none" w:sz="0" w:space="0" w:color="auto" w:frame="1"/>
          <w:shd w:val="clear" w:color="auto" w:fill="FFFFFF"/>
        </w:rPr>
        <w:t xml:space="preserve">and </w:t>
      </w:r>
      <w:r w:rsidRPr="000566EE" w:rsidR="00580000">
        <w:rPr>
          <w:color w:val="000000"/>
          <w:szCs w:val="26"/>
          <w:bdr w:val="none" w:sz="0" w:space="0" w:color="auto" w:frame="1"/>
          <w:shd w:val="clear" w:color="auto" w:fill="FFFFFF"/>
        </w:rPr>
        <w:t>the City does not show that</w:t>
      </w:r>
      <w:r w:rsidRPr="000566EE" w:rsidR="00E0437A">
        <w:rPr>
          <w:color w:val="000000"/>
          <w:szCs w:val="26"/>
          <w:bdr w:val="none" w:sz="0" w:space="0" w:color="auto" w:frame="1"/>
          <w:shd w:val="clear" w:color="auto" w:fill="FFFFFF"/>
        </w:rPr>
        <w:t xml:space="preserve"> </w:t>
      </w:r>
      <w:r w:rsidRPr="000566EE" w:rsidR="00EA574D">
        <w:rPr>
          <w:color w:val="000000"/>
          <w:szCs w:val="26"/>
          <w:bdr w:val="none" w:sz="0" w:space="0" w:color="auto" w:frame="1"/>
          <w:shd w:val="clear" w:color="auto" w:fill="FFFFFF"/>
        </w:rPr>
        <w:t xml:space="preserve">the Ordinance </w:t>
      </w:r>
      <w:r w:rsidRPr="000566EE" w:rsidR="00E410BB">
        <w:rPr>
          <w:color w:val="000000"/>
          <w:szCs w:val="26"/>
          <w:bdr w:val="none" w:sz="0" w:space="0" w:color="auto" w:frame="1"/>
          <w:shd w:val="clear" w:color="auto" w:fill="FFFFFF"/>
        </w:rPr>
        <w:t xml:space="preserve">facilitates the production of housing types </w:t>
      </w:r>
      <w:r w:rsidRPr="000566EE" w:rsidR="00106C86">
        <w:rPr>
          <w:color w:val="000000"/>
          <w:szCs w:val="26"/>
          <w:bdr w:val="none" w:sz="0" w:space="0" w:color="auto" w:frame="1"/>
          <w:shd w:val="clear" w:color="auto" w:fill="FFFFFF"/>
        </w:rPr>
        <w:t>similar to mobile</w:t>
      </w:r>
      <w:r w:rsidRPr="000566EE" w:rsidR="00B141CF">
        <w:rPr>
          <w:color w:val="000000"/>
          <w:szCs w:val="26"/>
          <w:bdr w:val="none" w:sz="0" w:space="0" w:color="auto" w:frame="1"/>
          <w:shd w:val="clear" w:color="auto" w:fill="FFFFFF"/>
        </w:rPr>
        <w:t xml:space="preserve"> </w:t>
      </w:r>
      <w:r w:rsidRPr="000566EE" w:rsidR="00106C86">
        <w:rPr>
          <w:color w:val="000000"/>
          <w:szCs w:val="26"/>
          <w:bdr w:val="none" w:sz="0" w:space="0" w:color="auto" w:frame="1"/>
          <w:shd w:val="clear" w:color="auto" w:fill="FFFFFF"/>
        </w:rPr>
        <w:t>home parks, single-room occupancy units,</w:t>
      </w:r>
      <w:r w:rsidRPr="000566EE" w:rsidR="007A7845">
        <w:rPr>
          <w:color w:val="000000"/>
          <w:szCs w:val="26"/>
          <w:bdr w:val="none" w:sz="0" w:space="0" w:color="auto" w:frame="1"/>
          <w:shd w:val="clear" w:color="auto" w:fill="FFFFFF"/>
        </w:rPr>
        <w:t xml:space="preserve"> </w:t>
      </w:r>
      <w:r w:rsidRPr="000566EE" w:rsidR="00106C86">
        <w:rPr>
          <w:color w:val="000000"/>
          <w:szCs w:val="26"/>
          <w:bdr w:val="none" w:sz="0" w:space="0" w:color="auto" w:frame="1"/>
          <w:shd w:val="clear" w:color="auto" w:fill="FFFFFF"/>
        </w:rPr>
        <w:t xml:space="preserve">units subject to any form of rent or price control, or </w:t>
      </w:r>
      <w:r w:rsidRPr="000566EE" w:rsidR="00EF20B8">
        <w:rPr>
          <w:color w:val="000000"/>
          <w:szCs w:val="26"/>
          <w:bdr w:val="none" w:sz="0" w:space="0" w:color="auto" w:frame="1"/>
          <w:shd w:val="clear" w:color="auto" w:fill="FFFFFF"/>
        </w:rPr>
        <w:t xml:space="preserve">units </w:t>
      </w:r>
      <w:r w:rsidRPr="000566EE" w:rsidR="00E410BB">
        <w:rPr>
          <w:color w:val="000000"/>
          <w:szCs w:val="26"/>
          <w:bdr w:val="none" w:sz="0" w:space="0" w:color="auto" w:frame="1"/>
          <w:shd w:val="clear" w:color="auto" w:fill="FFFFFF"/>
        </w:rPr>
        <w:t>that traditionally serve lower income households</w:t>
      </w:r>
      <w:r w:rsidRPr="000566EE" w:rsidR="00631C56">
        <w:rPr>
          <w:color w:val="000000"/>
          <w:szCs w:val="26"/>
          <w:bdr w:val="none" w:sz="0" w:space="0" w:color="auto" w:frame="1"/>
          <w:shd w:val="clear" w:color="auto" w:fill="FFFFFF"/>
        </w:rPr>
        <w:t>.</w:t>
      </w:r>
    </w:p>
    <w:p w:rsidR="007623FB" w:rsidRPr="00337240" w:rsidP="003507FF" w14:paraId="6715ADE0" w14:textId="385CCBFC">
      <w:pPr>
        <w:ind w:firstLine="720"/>
        <w:contextualSpacing/>
        <w:rPr>
          <w:color w:val="000000"/>
          <w:szCs w:val="26"/>
          <w:bdr w:val="none" w:sz="0" w:space="0" w:color="auto" w:frame="1"/>
          <w:shd w:val="clear" w:color="auto" w:fill="FFFFFF"/>
        </w:rPr>
      </w:pPr>
      <w:r w:rsidRPr="003507FF">
        <w:rPr>
          <w:color w:val="000000"/>
          <w:szCs w:val="26"/>
          <w:bdr w:val="none" w:sz="0" w:space="0" w:color="auto" w:frame="1"/>
          <w:shd w:val="clear" w:color="auto" w:fill="FFFFFF"/>
        </w:rPr>
        <w:t xml:space="preserve">The City does not </w:t>
      </w:r>
      <w:r w:rsidRPr="003507FF" w:rsidR="00F37C43">
        <w:rPr>
          <w:color w:val="000000"/>
          <w:szCs w:val="26"/>
          <w:bdr w:val="none" w:sz="0" w:space="0" w:color="auto" w:frame="1"/>
          <w:shd w:val="clear" w:color="auto" w:fill="FFFFFF"/>
        </w:rPr>
        <w:t xml:space="preserve">establish </w:t>
      </w:r>
      <w:r w:rsidRPr="003507FF">
        <w:rPr>
          <w:color w:val="000000"/>
          <w:szCs w:val="26"/>
          <w:bdr w:val="none" w:sz="0" w:space="0" w:color="auto" w:frame="1"/>
          <w:shd w:val="clear" w:color="auto" w:fill="FFFFFF"/>
        </w:rPr>
        <w:t>that subdivision</w:t>
      </w:r>
      <w:r w:rsidRPr="003507FF" w:rsidR="00701C8C">
        <w:rPr>
          <w:color w:val="000000"/>
          <w:szCs w:val="26"/>
          <w:bdr w:val="none" w:sz="0" w:space="0" w:color="auto" w:frame="1"/>
          <w:shd w:val="clear" w:color="auto" w:fill="FFFFFF"/>
        </w:rPr>
        <w:t> </w:t>
      </w:r>
      <w:r w:rsidRPr="003507FF">
        <w:rPr>
          <w:color w:val="000000"/>
          <w:szCs w:val="26"/>
          <w:bdr w:val="none" w:sz="0" w:space="0" w:color="auto" w:frame="1"/>
          <w:shd w:val="clear" w:color="auto" w:fill="FFFFFF"/>
        </w:rPr>
        <w:t xml:space="preserve">(f)(3) </w:t>
      </w:r>
      <w:r w:rsidRPr="003507FF" w:rsidR="00391896">
        <w:rPr>
          <w:color w:val="000000"/>
          <w:szCs w:val="26"/>
          <w:bdr w:val="none" w:sz="0" w:space="0" w:color="auto" w:frame="1"/>
          <w:shd w:val="clear" w:color="auto" w:fill="FFFFFF"/>
        </w:rPr>
        <w:t xml:space="preserve">requires a different outcome </w:t>
      </w:r>
      <w:r w:rsidRPr="003507FF">
        <w:rPr>
          <w:color w:val="000000"/>
          <w:szCs w:val="26"/>
          <w:bdr w:val="none" w:sz="0" w:space="0" w:color="auto" w:frame="1"/>
          <w:shd w:val="clear" w:color="auto" w:fill="FFFFFF"/>
        </w:rPr>
        <w:t xml:space="preserve">either.  The City does not show that the Ordinance </w:t>
      </w:r>
      <w:r w:rsidRPr="003507FF" w:rsidR="00521BA9">
        <w:rPr>
          <w:color w:val="000000"/>
          <w:szCs w:val="26"/>
          <w:bdr w:val="none" w:sz="0" w:space="0" w:color="auto" w:frame="1"/>
          <w:shd w:val="clear" w:color="auto" w:fill="FFFFFF"/>
        </w:rPr>
        <w:t>allows</w:t>
      </w:r>
      <w:r w:rsidRPr="003507FF">
        <w:rPr>
          <w:color w:val="000000"/>
          <w:szCs w:val="26"/>
          <w:bdr w:val="none" w:sz="0" w:space="0" w:color="auto" w:frame="1"/>
          <w:shd w:val="clear" w:color="auto" w:fill="FFFFFF"/>
        </w:rPr>
        <w:t xml:space="preserve"> greater density.  </w:t>
      </w:r>
      <w:r w:rsidRPr="003507FF" w:rsidR="00521BA9">
        <w:rPr>
          <w:bCs/>
          <w:iCs/>
          <w:szCs w:val="26"/>
        </w:rPr>
        <w:t xml:space="preserve">While the City claims that it believed </w:t>
      </w:r>
      <w:r w:rsidRPr="003507FF" w:rsidR="00521BA9">
        <w:rPr>
          <w:color w:val="000000"/>
          <w:szCs w:val="26"/>
          <w:bdr w:val="none" w:sz="0" w:space="0" w:color="auto" w:frame="1"/>
          <w:shd w:val="clear" w:color="auto" w:fill="FFFFFF"/>
        </w:rPr>
        <w:t xml:space="preserve">reducing the permitted FAR for housing in the R-1 zone would </w:t>
      </w:r>
      <w:r w:rsidRPr="003507FF" w:rsidR="00E2433E">
        <w:rPr>
          <w:color w:val="000000"/>
          <w:szCs w:val="26"/>
          <w:bdr w:val="none" w:sz="0" w:space="0" w:color="auto" w:frame="1"/>
          <w:shd w:val="clear" w:color="auto" w:fill="FFFFFF"/>
        </w:rPr>
        <w:t>“</w:t>
      </w:r>
      <w:r w:rsidRPr="003507FF" w:rsidR="00521BA9">
        <w:rPr>
          <w:color w:val="000000"/>
          <w:szCs w:val="26"/>
          <w:bdr w:val="none" w:sz="0" w:space="0" w:color="auto" w:frame="1"/>
          <w:shd w:val="clear" w:color="auto" w:fill="FFFFFF"/>
        </w:rPr>
        <w:t xml:space="preserve">open </w:t>
      </w:r>
      <w:r w:rsidRPr="003507FF" w:rsidR="00E2433E">
        <w:rPr>
          <w:color w:val="000000"/>
          <w:szCs w:val="26"/>
          <w:bdr w:val="none" w:sz="0" w:space="0" w:color="auto" w:frame="1"/>
          <w:shd w:val="clear" w:color="auto" w:fill="FFFFFF"/>
        </w:rPr>
        <w:t xml:space="preserve">up </w:t>
      </w:r>
      <w:r w:rsidRPr="003507FF" w:rsidR="00521BA9">
        <w:rPr>
          <w:color w:val="000000"/>
          <w:szCs w:val="26"/>
          <w:bdr w:val="none" w:sz="0" w:space="0" w:color="auto" w:frame="1"/>
          <w:shd w:val="clear" w:color="auto" w:fill="FFFFFF"/>
        </w:rPr>
        <w:t xml:space="preserve">property owners’ minds to </w:t>
      </w:r>
      <w:r w:rsidRPr="003507FF" w:rsidR="002F08E0">
        <w:rPr>
          <w:color w:val="000000"/>
          <w:szCs w:val="26"/>
          <w:bdr w:val="none" w:sz="0" w:space="0" w:color="auto" w:frame="1"/>
          <w:shd w:val="clear" w:color="auto" w:fill="FFFFFF"/>
        </w:rPr>
        <w:t>including an ADU or JADU</w:t>
      </w:r>
      <w:r w:rsidRPr="003507FF" w:rsidR="00521BA9">
        <w:rPr>
          <w:color w:val="000000"/>
          <w:szCs w:val="26"/>
          <w:bdr w:val="none" w:sz="0" w:space="0" w:color="auto" w:frame="1"/>
          <w:shd w:val="clear" w:color="auto" w:fill="FFFFFF"/>
        </w:rPr>
        <w:t xml:space="preserve"> on their property,</w:t>
      </w:r>
      <w:r w:rsidRPr="003507FF" w:rsidR="003C1BE5">
        <w:rPr>
          <w:color w:val="000000"/>
          <w:szCs w:val="26"/>
          <w:bdr w:val="none" w:sz="0" w:space="0" w:color="auto" w:frame="1"/>
          <w:shd w:val="clear" w:color="auto" w:fill="FFFFFF"/>
        </w:rPr>
        <w:t>”</w:t>
      </w:r>
      <w:r w:rsidRPr="003507FF">
        <w:rPr>
          <w:color w:val="000000"/>
          <w:szCs w:val="26"/>
          <w:bdr w:val="none" w:sz="0" w:space="0" w:color="auto" w:frame="1"/>
          <w:shd w:val="clear" w:color="auto" w:fill="FFFFFF"/>
        </w:rPr>
        <w:t xml:space="preserve"> it </w:t>
      </w:r>
      <w:r w:rsidRPr="003507FF">
        <w:rPr>
          <w:bCs/>
          <w:iCs/>
          <w:szCs w:val="26"/>
        </w:rPr>
        <w:t>admits</w:t>
      </w:r>
      <w:r w:rsidRPr="003507FF" w:rsidR="00521BA9">
        <w:rPr>
          <w:bCs/>
          <w:iCs/>
          <w:szCs w:val="26"/>
        </w:rPr>
        <w:t xml:space="preserve"> </w:t>
      </w:r>
      <w:r w:rsidRPr="003507FF">
        <w:rPr>
          <w:bCs/>
          <w:iCs/>
          <w:szCs w:val="26"/>
        </w:rPr>
        <w:t xml:space="preserve">the Ordinance does not </w:t>
      </w:r>
      <w:r w:rsidRPr="003507FF" w:rsidR="00521BA9">
        <w:rPr>
          <w:bCs/>
          <w:iCs/>
          <w:szCs w:val="26"/>
        </w:rPr>
        <w:t xml:space="preserve">actually </w:t>
      </w:r>
      <w:r w:rsidRPr="003507FF">
        <w:rPr>
          <w:bCs/>
          <w:iCs/>
          <w:szCs w:val="26"/>
        </w:rPr>
        <w:t>change the number of housing units that can be built on an R-1 zoned lot</w:t>
      </w:r>
      <w:r w:rsidRPr="00337240">
        <w:rPr>
          <w:bCs/>
          <w:iCs/>
          <w:szCs w:val="26"/>
        </w:rPr>
        <w:t xml:space="preserve">. </w:t>
      </w:r>
      <w:r w:rsidRPr="00337240" w:rsidR="00F06FC5">
        <w:rPr>
          <w:color w:val="000000"/>
          <w:szCs w:val="26"/>
          <w:bdr w:val="none" w:sz="0" w:space="0" w:color="auto" w:frame="1"/>
          <w:shd w:val="clear" w:color="auto" w:fill="FFFFFF"/>
        </w:rPr>
        <w:t xml:space="preserve"> </w:t>
      </w:r>
      <w:r w:rsidRPr="00337240">
        <w:rPr>
          <w:bCs/>
          <w:iCs/>
          <w:szCs w:val="26"/>
        </w:rPr>
        <w:t>As ADUs could be built before or after the passage of the Ordinance, the City acknowledges “[i]t does not change the density of housing permitted on an R-1 lot.”</w:t>
      </w:r>
      <w:r w:rsidRPr="00337240" w:rsidR="00786FE2">
        <w:rPr>
          <w:bCs/>
          <w:iCs/>
          <w:szCs w:val="26"/>
        </w:rPr>
        <w:t xml:space="preserve">  </w:t>
      </w:r>
      <w:r w:rsidRPr="00337240">
        <w:rPr>
          <w:bCs/>
          <w:iCs/>
          <w:szCs w:val="26"/>
        </w:rPr>
        <w:t>Moreover, the City</w:t>
      </w:r>
      <w:r w:rsidRPr="00337240">
        <w:rPr>
          <w:color w:val="000000"/>
          <w:szCs w:val="26"/>
          <w:bdr w:val="none" w:sz="0" w:space="0" w:color="auto" w:frame="1"/>
          <w:shd w:val="clear" w:color="auto" w:fill="FFFFFF"/>
        </w:rPr>
        <w:t xml:space="preserve"> does not show the Ordinance would facilitate the development of housing, when its goal is to lower the living space within a house.  Finally, while the City asserts that the Ordinance reduces housing development costs generally, the City neither cites to anything in the record to support this claim, nor show</w:t>
      </w:r>
      <w:r w:rsidR="004D7B5F">
        <w:rPr>
          <w:color w:val="000000"/>
          <w:szCs w:val="26"/>
          <w:bdr w:val="none" w:sz="0" w:space="0" w:color="auto" w:frame="1"/>
          <w:shd w:val="clear" w:color="auto" w:fill="FFFFFF"/>
        </w:rPr>
        <w:t>s</w:t>
      </w:r>
      <w:r w:rsidRPr="00337240">
        <w:rPr>
          <w:color w:val="000000"/>
          <w:szCs w:val="26"/>
          <w:bdr w:val="none" w:sz="0" w:space="0" w:color="auto" w:frame="1"/>
          <w:shd w:val="clear" w:color="auto" w:fill="FFFFFF"/>
        </w:rPr>
        <w:t xml:space="preserve"> that the Ordinance reduces the cost of a particular housing development project.</w:t>
      </w:r>
    </w:p>
    <w:p w:rsidR="007623FB" w:rsidRPr="00337240" w:rsidP="007623FB" w14:paraId="45BC6316" w14:textId="77777777">
      <w:pPr>
        <w:spacing w:line="360" w:lineRule="auto"/>
        <w:contextualSpacing/>
        <w:rPr>
          <w:color w:val="000000"/>
          <w:szCs w:val="26"/>
          <w:bdr w:val="none" w:sz="0" w:space="0" w:color="auto" w:frame="1"/>
          <w:shd w:val="clear" w:color="auto" w:fill="FFFFFF"/>
        </w:rPr>
      </w:pPr>
    </w:p>
    <w:p w:rsidR="007623FB" w:rsidRPr="00337240" w:rsidP="00C21C6B" w14:paraId="67320E5E" w14:textId="77777777">
      <w:pPr>
        <w:contextualSpacing/>
        <w:rPr>
          <w:b/>
          <w:bCs/>
          <w:color w:val="000000"/>
          <w:szCs w:val="26"/>
          <w:bdr w:val="none" w:sz="0" w:space="0" w:color="auto" w:frame="1"/>
          <w:shd w:val="clear" w:color="auto" w:fill="FFFFFF"/>
        </w:rPr>
      </w:pPr>
      <w:r w:rsidRPr="00337240">
        <w:rPr>
          <w:b/>
          <w:bCs/>
          <w:color w:val="000000"/>
          <w:szCs w:val="26"/>
          <w:bdr w:val="none" w:sz="0" w:space="0" w:color="auto" w:frame="1"/>
          <w:shd w:val="clear" w:color="auto" w:fill="FFFFFF"/>
        </w:rPr>
        <w:t>B.</w:t>
      </w:r>
      <w:r w:rsidRPr="00337240">
        <w:rPr>
          <w:b/>
          <w:bCs/>
          <w:color w:val="000000"/>
          <w:szCs w:val="26"/>
          <w:bdr w:val="none" w:sz="0" w:space="0" w:color="auto" w:frame="1"/>
          <w:shd w:val="clear" w:color="auto" w:fill="FFFFFF"/>
        </w:rPr>
        <w:tab/>
        <w:t>Attorney Fees</w:t>
      </w:r>
    </w:p>
    <w:p w:rsidR="007623FB" w:rsidRPr="00337240" w:rsidP="00C21C6B" w14:paraId="065E2204" w14:textId="174D163E">
      <w:pPr>
        <w:ind w:left="1440" w:hanging="720"/>
        <w:contextualSpacing/>
        <w:rPr>
          <w:color w:val="000000"/>
          <w:szCs w:val="26"/>
          <w:bdr w:val="none" w:sz="0" w:space="0" w:color="auto" w:frame="1"/>
          <w:shd w:val="clear" w:color="auto" w:fill="FFFFFF"/>
        </w:rPr>
      </w:pPr>
      <w:r w:rsidRPr="00337240">
        <w:rPr>
          <w:color w:val="000000"/>
          <w:szCs w:val="26"/>
          <w:bdr w:val="none" w:sz="0" w:space="0" w:color="auto" w:frame="1"/>
          <w:shd w:val="clear" w:color="auto" w:fill="FFFFFF"/>
        </w:rPr>
        <w:t>1.</w:t>
      </w:r>
      <w:r w:rsidRPr="00337240">
        <w:rPr>
          <w:color w:val="000000"/>
          <w:szCs w:val="26"/>
          <w:bdr w:val="none" w:sz="0" w:space="0" w:color="auto" w:frame="1"/>
          <w:shd w:val="clear" w:color="auto" w:fill="FFFFFF"/>
        </w:rPr>
        <w:tab/>
      </w:r>
      <w:r w:rsidRPr="00337240">
        <w:rPr>
          <w:i/>
          <w:iCs/>
          <w:color w:val="000000"/>
          <w:szCs w:val="26"/>
          <w:bdr w:val="none" w:sz="0" w:space="0" w:color="auto" w:frame="1"/>
          <w:shd w:val="clear" w:color="auto" w:fill="FFFFFF"/>
        </w:rPr>
        <w:t>The Trial Court Did Not Abuse its Discretion in Awarding YIMBY Attorney Fees Under Code of Civil Procedure Section 1021.5</w:t>
      </w:r>
    </w:p>
    <w:p w:rsidR="007623FB" w:rsidRPr="00337240" w:rsidP="00C21C6B" w14:paraId="644B9C36" w14:textId="70D1B775">
      <w:pPr>
        <w:ind w:firstLine="720"/>
        <w:contextualSpacing/>
        <w:rPr>
          <w:color w:val="000000"/>
          <w:szCs w:val="26"/>
          <w:bdr w:val="none" w:sz="0" w:space="0" w:color="auto" w:frame="1"/>
          <w:shd w:val="clear" w:color="auto" w:fill="FFFFFF"/>
        </w:rPr>
      </w:pPr>
      <w:r w:rsidRPr="00337240">
        <w:rPr>
          <w:color w:val="000000"/>
          <w:szCs w:val="26"/>
          <w:bdr w:val="none" w:sz="0" w:space="0" w:color="auto" w:frame="1"/>
          <w:shd w:val="clear" w:color="auto" w:fill="FFFFFF"/>
        </w:rPr>
        <w:t xml:space="preserve">The City argues that YIMBY’s attorney fee award must be reversed because the judgment does not confer a benefit on a large class of persons or a significant segment of the public as there is no consensus on what the housing policy should be regarding single-family residential development.  We are unpersuaded by this argument.  </w:t>
      </w:r>
    </w:p>
    <w:p w:rsidR="007623FB" w:rsidRPr="00337240" w:rsidP="00C21C6B" w14:paraId="43B4BCA0" w14:textId="77777777">
      <w:pPr>
        <w:ind w:firstLine="720"/>
        <w:contextualSpacing/>
        <w:rPr>
          <w:color w:val="000000"/>
          <w:szCs w:val="26"/>
          <w:bdr w:val="none" w:sz="0" w:space="0" w:color="auto" w:frame="1"/>
          <w:shd w:val="clear" w:color="auto" w:fill="FFFFFF"/>
        </w:rPr>
      </w:pPr>
      <w:r w:rsidRPr="00337240">
        <w:rPr>
          <w:color w:val="000000"/>
          <w:szCs w:val="26"/>
          <w:bdr w:val="none" w:sz="0" w:space="0" w:color="auto" w:frame="1"/>
          <w:shd w:val="clear" w:color="auto" w:fill="FFFFFF"/>
        </w:rPr>
        <w:t>Under Code of Civil Procedure section 1021.5, “‘“[e]ligibility for . . . attorney fees is established when ‘(1) [the moving party’s] action “has resulted in the enforcement of an important right affecting the public interest,” (2) “a significant benefit, whether pecuniary or nonpecuniary[,] has been conferred on the general public or a large class of persons” and (3) “the necessity and financial burden of private enforcement are such as to make the award appropriate.”’”  [Citation.]’”  (</w:t>
      </w:r>
      <w:r w:rsidRPr="00337240">
        <w:rPr>
          <w:i/>
          <w:iCs/>
          <w:color w:val="000000"/>
          <w:szCs w:val="26"/>
          <w:bdr w:val="none" w:sz="0" w:space="0" w:color="auto" w:frame="1"/>
          <w:shd w:val="clear" w:color="auto" w:fill="FFFFFF"/>
        </w:rPr>
        <w:t>Early v. Becerra</w:t>
      </w:r>
      <w:r w:rsidRPr="00337240">
        <w:rPr>
          <w:color w:val="000000"/>
          <w:szCs w:val="26"/>
          <w:bdr w:val="none" w:sz="0" w:space="0" w:color="auto" w:frame="1"/>
          <w:shd w:val="clear" w:color="auto" w:fill="FFFFFF"/>
        </w:rPr>
        <w:t xml:space="preserve"> (2021) 60 Cal.App.5th 726, 736 (</w:t>
      </w:r>
      <w:r w:rsidRPr="00337240">
        <w:rPr>
          <w:i/>
          <w:iCs/>
          <w:color w:val="000000"/>
          <w:szCs w:val="26"/>
          <w:bdr w:val="none" w:sz="0" w:space="0" w:color="auto" w:frame="1"/>
          <w:shd w:val="clear" w:color="auto" w:fill="FFFFFF"/>
        </w:rPr>
        <w:t>Early</w:t>
      </w:r>
      <w:r w:rsidRPr="00337240">
        <w:rPr>
          <w:color w:val="000000"/>
          <w:szCs w:val="26"/>
          <w:bdr w:val="none" w:sz="0" w:space="0" w:color="auto" w:frame="1"/>
          <w:shd w:val="clear" w:color="auto" w:fill="FFFFFF"/>
        </w:rPr>
        <w:t xml:space="preserve">).)  Here, the City is challenging the second element. </w:t>
      </w:r>
    </w:p>
    <w:p w:rsidR="007623FB" w:rsidRPr="00337240" w:rsidP="00C21C6B" w14:paraId="5497755D" w14:textId="77777777">
      <w:pPr>
        <w:ind w:firstLine="720"/>
        <w:contextualSpacing/>
        <w:rPr>
          <w:color w:val="000000"/>
          <w:szCs w:val="26"/>
          <w:bdr w:val="none" w:sz="0" w:space="0" w:color="auto" w:frame="1"/>
          <w:shd w:val="clear" w:color="auto" w:fill="FFFFFF"/>
        </w:rPr>
      </w:pPr>
      <w:r w:rsidRPr="00337240">
        <w:rPr>
          <w:color w:val="000000"/>
          <w:szCs w:val="26"/>
          <w:bdr w:val="none" w:sz="0" w:space="0" w:color="auto" w:frame="1"/>
          <w:shd w:val="clear" w:color="auto" w:fill="FFFFFF"/>
        </w:rPr>
        <w:t>“‘The determination whether a party has met the requirement for an award of fees and the reasonable amount of such an award are matters best decided by the trial court in the first instance.  [Citation.]  That court “‘“must realistically assess the litigation and determine from a practical perspective whether the statutory criteria have been met.”’” [Citation.]  We will uphold the trial court’s decision to award attorney fees under section 1021.5 unless the trial court abused its discretion.  [Citation.]  In making this determination we review the entire record, noting the trial court’s stated reasons for awarding fees and whether it applied the proper standards of law in reaching its decision.  [Citation.]’  [Citation.]  We will reverse the trial court’s determination only if the resulting injury ‘“‘“is sufficiently grave to amount to a manifest miscarriage of justice,”’”’ and “‘no reasonable basis for the action is shown.’”  [Citation.]’  [Citation.]”  (</w:t>
      </w:r>
      <w:r w:rsidRPr="00337240">
        <w:rPr>
          <w:i/>
          <w:iCs/>
          <w:color w:val="000000"/>
          <w:szCs w:val="26"/>
          <w:bdr w:val="none" w:sz="0" w:space="0" w:color="auto" w:frame="1"/>
          <w:shd w:val="clear" w:color="auto" w:fill="FFFFFF"/>
        </w:rPr>
        <w:t>Early, supra</w:t>
      </w:r>
      <w:r w:rsidRPr="00337240">
        <w:rPr>
          <w:color w:val="000000"/>
          <w:szCs w:val="26"/>
          <w:bdr w:val="none" w:sz="0" w:space="0" w:color="auto" w:frame="1"/>
          <w:shd w:val="clear" w:color="auto" w:fill="FFFFFF"/>
        </w:rPr>
        <w:t>,</w:t>
      </w:r>
      <w:r w:rsidRPr="00337240">
        <w:rPr>
          <w:i/>
          <w:iCs/>
          <w:color w:val="000000"/>
          <w:szCs w:val="26"/>
          <w:bdr w:val="none" w:sz="0" w:space="0" w:color="auto" w:frame="1"/>
          <w:shd w:val="clear" w:color="auto" w:fill="FFFFFF"/>
        </w:rPr>
        <w:t xml:space="preserve"> </w:t>
      </w:r>
      <w:r w:rsidRPr="00337240">
        <w:rPr>
          <w:color w:val="000000"/>
          <w:szCs w:val="26"/>
          <w:bdr w:val="none" w:sz="0" w:space="0" w:color="auto" w:frame="1"/>
          <w:shd w:val="clear" w:color="auto" w:fill="FFFFFF"/>
        </w:rPr>
        <w:t>60 Cal.App.5th at p. 736.)</w:t>
      </w:r>
    </w:p>
    <w:p w:rsidR="003E452A" w:rsidRPr="00C21C6B" w:rsidP="00C21C6B" w14:paraId="5DFD6FDF" w14:textId="3FDADC8B">
      <w:pPr>
        <w:ind w:firstLine="720"/>
        <w:contextualSpacing/>
        <w:rPr>
          <w:color w:val="000000"/>
          <w:szCs w:val="26"/>
          <w:highlight w:val="yellow"/>
          <w:bdr w:val="none" w:sz="0" w:space="0" w:color="auto" w:frame="1"/>
          <w:shd w:val="clear" w:color="auto" w:fill="FFFFFF"/>
        </w:rPr>
      </w:pPr>
      <w:r w:rsidRPr="00337240">
        <w:rPr>
          <w:color w:val="000000"/>
          <w:szCs w:val="26"/>
          <w:bdr w:val="none" w:sz="0" w:space="0" w:color="auto" w:frame="1"/>
          <w:shd w:val="clear" w:color="auto" w:fill="FFFFFF"/>
        </w:rPr>
        <w:t>The trial court did not abuse its discretion in ruling that YIMBY’s lawsuit conferred a significant benefit on the general public and a large class of persons, including the City’s current and future residents, by enforcing important housing rights</w:t>
      </w:r>
      <w:r w:rsidRPr="00337240" w:rsidR="0073513A">
        <w:rPr>
          <w:color w:val="000000"/>
          <w:szCs w:val="26"/>
          <w:bdr w:val="none" w:sz="0" w:space="0" w:color="auto" w:frame="1"/>
          <w:shd w:val="clear" w:color="auto" w:fill="FFFFFF"/>
        </w:rPr>
        <w:t>.</w:t>
      </w:r>
      <w:r w:rsidR="0073513A">
        <w:rPr>
          <w:color w:val="000000"/>
          <w:szCs w:val="26"/>
          <w:bdr w:val="none" w:sz="0" w:space="0" w:color="auto" w:frame="1"/>
          <w:shd w:val="clear" w:color="auto" w:fill="FFFFFF"/>
        </w:rPr>
        <w:t xml:space="preserve">  </w:t>
      </w:r>
      <w:r w:rsidRPr="00C21C6B" w:rsidR="008E684C">
        <w:rPr>
          <w:color w:val="000000"/>
          <w:szCs w:val="26"/>
          <w:bdr w:val="none" w:sz="0" w:space="0" w:color="auto" w:frame="1"/>
          <w:shd w:val="clear" w:color="auto" w:fill="FFFFFF"/>
        </w:rPr>
        <w:t>The Legislature has declared that lack of housing is a “critical problem that threatens the economic, environmental, and social quality of life in California</w:t>
      </w:r>
      <w:r w:rsidRPr="00C21C6B" w:rsidR="0072314B">
        <w:rPr>
          <w:color w:val="000000"/>
          <w:szCs w:val="26"/>
          <w:bdr w:val="none" w:sz="0" w:space="0" w:color="auto" w:frame="1"/>
          <w:shd w:val="clear" w:color="auto" w:fill="FFFFFF"/>
        </w:rPr>
        <w:t>.</w:t>
      </w:r>
      <w:r w:rsidRPr="00C21C6B" w:rsidR="008F18F7">
        <w:rPr>
          <w:color w:val="000000"/>
          <w:szCs w:val="26"/>
          <w:bdr w:val="none" w:sz="0" w:space="0" w:color="auto" w:frame="1"/>
          <w:shd w:val="clear" w:color="auto" w:fill="FFFFFF"/>
        </w:rPr>
        <w:t xml:space="preserve">” </w:t>
      </w:r>
      <w:r w:rsidRPr="00C21C6B" w:rsidR="0072314B">
        <w:rPr>
          <w:color w:val="000000"/>
          <w:szCs w:val="26"/>
          <w:bdr w:val="none" w:sz="0" w:space="0" w:color="auto" w:frame="1"/>
          <w:shd w:val="clear" w:color="auto" w:fill="FFFFFF"/>
        </w:rPr>
        <w:t xml:space="preserve"> </w:t>
      </w:r>
      <w:r w:rsidRPr="00C21C6B" w:rsidR="008F18F7">
        <w:rPr>
          <w:color w:val="000000"/>
          <w:szCs w:val="26"/>
          <w:bdr w:val="none" w:sz="0" w:space="0" w:color="auto" w:frame="1"/>
          <w:shd w:val="clear" w:color="auto" w:fill="FFFFFF"/>
        </w:rPr>
        <w:t>(§</w:t>
      </w:r>
      <w:r w:rsidRPr="00C21C6B" w:rsidR="0068152F">
        <w:rPr>
          <w:color w:val="000000"/>
          <w:szCs w:val="26"/>
          <w:bdr w:val="none" w:sz="0" w:space="0" w:color="auto" w:frame="1"/>
          <w:shd w:val="clear" w:color="auto" w:fill="FFFFFF"/>
        </w:rPr>
        <w:t> </w:t>
      </w:r>
      <w:r w:rsidRPr="00C21C6B" w:rsidR="008F18F7">
        <w:rPr>
          <w:color w:val="000000"/>
          <w:szCs w:val="26"/>
          <w:bdr w:val="none" w:sz="0" w:space="0" w:color="auto" w:frame="1"/>
          <w:shd w:val="clear" w:color="auto" w:fill="FFFFFF"/>
        </w:rPr>
        <w:t>65589.5</w:t>
      </w:r>
      <w:r w:rsidRPr="00C21C6B" w:rsidR="0068152F">
        <w:rPr>
          <w:color w:val="000000"/>
          <w:szCs w:val="26"/>
          <w:bdr w:val="none" w:sz="0" w:space="0" w:color="auto" w:frame="1"/>
          <w:shd w:val="clear" w:color="auto" w:fill="FFFFFF"/>
        </w:rPr>
        <w:t>, subd.</w:t>
      </w:r>
      <w:r w:rsidRPr="00C21C6B" w:rsidR="001239E2">
        <w:rPr>
          <w:color w:val="000000"/>
          <w:szCs w:val="26"/>
          <w:bdr w:val="none" w:sz="0" w:space="0" w:color="auto" w:frame="1"/>
          <w:shd w:val="clear" w:color="auto" w:fill="FFFFFF"/>
        </w:rPr>
        <w:t> </w:t>
      </w:r>
      <w:r w:rsidRPr="00C21C6B" w:rsidR="0068152F">
        <w:rPr>
          <w:color w:val="000000"/>
          <w:szCs w:val="26"/>
          <w:bdr w:val="none" w:sz="0" w:space="0" w:color="auto" w:frame="1"/>
          <w:shd w:val="clear" w:color="auto" w:fill="FFFFFF"/>
        </w:rPr>
        <w:t xml:space="preserve">(a)(1)(A).) </w:t>
      </w:r>
      <w:r w:rsidRPr="00C21C6B" w:rsidR="00623E78">
        <w:rPr>
          <w:color w:val="000000"/>
          <w:szCs w:val="26"/>
          <w:bdr w:val="none" w:sz="0" w:space="0" w:color="auto" w:frame="1"/>
          <w:shd w:val="clear" w:color="auto" w:fill="FFFFFF"/>
        </w:rPr>
        <w:t xml:space="preserve"> </w:t>
      </w:r>
      <w:r w:rsidRPr="00C21C6B" w:rsidR="0072314B">
        <w:rPr>
          <w:color w:val="000000"/>
          <w:szCs w:val="26"/>
          <w:bdr w:val="none" w:sz="0" w:space="0" w:color="auto" w:frame="1"/>
          <w:shd w:val="clear" w:color="auto" w:fill="FFFFFF"/>
        </w:rPr>
        <w:t xml:space="preserve">Many Californians are inadequately housed or lack </w:t>
      </w:r>
      <w:r w:rsidRPr="00C21C6B" w:rsidR="00623E78">
        <w:rPr>
          <w:color w:val="000000"/>
          <w:szCs w:val="26"/>
          <w:bdr w:val="none" w:sz="0" w:space="0" w:color="auto" w:frame="1"/>
          <w:shd w:val="clear" w:color="auto" w:fill="FFFFFF"/>
        </w:rPr>
        <w:t>housing</w:t>
      </w:r>
      <w:r w:rsidRPr="00C21C6B" w:rsidR="00DF076C">
        <w:rPr>
          <w:color w:val="000000"/>
          <w:szCs w:val="26"/>
          <w:bdr w:val="none" w:sz="0" w:space="0" w:color="auto" w:frame="1"/>
          <w:shd w:val="clear" w:color="auto" w:fill="FFFFFF"/>
        </w:rPr>
        <w:t xml:space="preserve"> altogether, costing</w:t>
      </w:r>
      <w:r w:rsidRPr="00C21C6B" w:rsidR="008B43BD">
        <w:rPr>
          <w:color w:val="000000"/>
          <w:szCs w:val="26"/>
          <w:bdr w:val="none" w:sz="0" w:space="0" w:color="auto" w:frame="1"/>
          <w:shd w:val="clear" w:color="auto" w:fill="FFFFFF"/>
        </w:rPr>
        <w:t xml:space="preserve"> </w:t>
      </w:r>
      <w:r w:rsidRPr="00C21C6B" w:rsidR="00A56693">
        <w:rPr>
          <w:color w:val="000000"/>
          <w:szCs w:val="26"/>
          <w:bdr w:val="none" w:sz="0" w:space="0" w:color="auto" w:frame="1"/>
          <w:shd w:val="clear" w:color="auto" w:fill="FFFFFF"/>
        </w:rPr>
        <w:t>the state</w:t>
      </w:r>
      <w:r w:rsidRPr="00C21C6B" w:rsidR="008B43BD">
        <w:rPr>
          <w:color w:val="000000"/>
          <w:szCs w:val="26"/>
          <w:bdr w:val="none" w:sz="0" w:space="0" w:color="auto" w:frame="1"/>
          <w:shd w:val="clear" w:color="auto" w:fill="FFFFFF"/>
        </w:rPr>
        <w:t xml:space="preserve"> $140 billion a year in lost economic output.  </w:t>
      </w:r>
      <w:r w:rsidRPr="00C21C6B" w:rsidR="006E6236">
        <w:rPr>
          <w:color w:val="000000"/>
          <w:szCs w:val="26"/>
          <w:bdr w:val="none" w:sz="0" w:space="0" w:color="auto" w:frame="1"/>
          <w:shd w:val="clear" w:color="auto" w:fill="FFFFFF"/>
        </w:rPr>
        <w:t>(</w:t>
      </w:r>
      <w:r w:rsidRPr="00C21C6B" w:rsidR="004842D5">
        <w:rPr>
          <w:color w:val="000000"/>
          <w:szCs w:val="26"/>
          <w:bdr w:val="none" w:sz="0" w:space="0" w:color="auto" w:frame="1"/>
          <w:shd w:val="clear" w:color="auto" w:fill="FFFFFF"/>
        </w:rPr>
        <w:t>Stat. 2021,</w:t>
      </w:r>
      <w:r w:rsidRPr="00C21C6B" w:rsidR="002234FA">
        <w:rPr>
          <w:color w:val="000000"/>
          <w:szCs w:val="26"/>
          <w:bdr w:val="none" w:sz="0" w:space="0" w:color="auto" w:frame="1"/>
          <w:shd w:val="clear" w:color="auto" w:fill="FFFFFF"/>
        </w:rPr>
        <w:t xml:space="preserve"> </w:t>
      </w:r>
      <w:r w:rsidRPr="00C21C6B" w:rsidR="004842D5">
        <w:rPr>
          <w:color w:val="000000"/>
          <w:szCs w:val="26"/>
          <w:bdr w:val="none" w:sz="0" w:space="0" w:color="auto" w:frame="1"/>
          <w:shd w:val="clear" w:color="auto" w:fill="FFFFFF"/>
        </w:rPr>
        <w:t>c</w:t>
      </w:r>
      <w:r w:rsidRPr="00C21C6B" w:rsidR="002234FA">
        <w:rPr>
          <w:color w:val="000000"/>
          <w:szCs w:val="26"/>
          <w:bdr w:val="none" w:sz="0" w:space="0" w:color="auto" w:frame="1"/>
          <w:shd w:val="clear" w:color="auto" w:fill="FFFFFF"/>
        </w:rPr>
        <w:t>h.</w:t>
      </w:r>
      <w:r w:rsidRPr="00C21C6B" w:rsidR="004842D5">
        <w:rPr>
          <w:color w:val="000000"/>
          <w:szCs w:val="26"/>
          <w:bdr w:val="none" w:sz="0" w:space="0" w:color="auto" w:frame="1"/>
          <w:shd w:val="clear" w:color="auto" w:fill="FFFFFF"/>
        </w:rPr>
        <w:t> </w:t>
      </w:r>
      <w:r w:rsidRPr="00C21C6B" w:rsidR="002234FA">
        <w:rPr>
          <w:color w:val="000000"/>
          <w:szCs w:val="26"/>
          <w:bdr w:val="none" w:sz="0" w:space="0" w:color="auto" w:frame="1"/>
          <w:shd w:val="clear" w:color="auto" w:fill="FFFFFF"/>
        </w:rPr>
        <w:t>161</w:t>
      </w:r>
      <w:r w:rsidRPr="00C21C6B" w:rsidR="004842D5">
        <w:rPr>
          <w:color w:val="000000"/>
          <w:szCs w:val="26"/>
          <w:bdr w:val="none" w:sz="0" w:space="0" w:color="auto" w:frame="1"/>
          <w:shd w:val="clear" w:color="auto" w:fill="FFFFFF"/>
        </w:rPr>
        <w:t>,</w:t>
      </w:r>
      <w:r w:rsidRPr="00C21C6B" w:rsidR="002234FA">
        <w:rPr>
          <w:color w:val="000000"/>
          <w:szCs w:val="26"/>
          <w:bdr w:val="none" w:sz="0" w:space="0" w:color="auto" w:frame="1"/>
          <w:shd w:val="clear" w:color="auto" w:fill="FFFFFF"/>
        </w:rPr>
        <w:t xml:space="preserve"> §</w:t>
      </w:r>
      <w:r w:rsidRPr="00C21C6B" w:rsidR="004842D5">
        <w:rPr>
          <w:color w:val="000000"/>
          <w:szCs w:val="26"/>
          <w:bdr w:val="none" w:sz="0" w:space="0" w:color="auto" w:frame="1"/>
          <w:shd w:val="clear" w:color="auto" w:fill="FFFFFF"/>
        </w:rPr>
        <w:t> </w:t>
      </w:r>
      <w:r w:rsidRPr="00C21C6B" w:rsidR="002234FA">
        <w:rPr>
          <w:color w:val="000000"/>
          <w:szCs w:val="26"/>
          <w:bdr w:val="none" w:sz="0" w:space="0" w:color="auto" w:frame="1"/>
          <w:shd w:val="clear" w:color="auto" w:fill="FFFFFF"/>
        </w:rPr>
        <w:t>2, p</w:t>
      </w:r>
      <w:r w:rsidRPr="00C21C6B" w:rsidR="00FB6EF4">
        <w:rPr>
          <w:color w:val="000000"/>
          <w:szCs w:val="26"/>
          <w:bdr w:val="none" w:sz="0" w:space="0" w:color="auto" w:frame="1"/>
          <w:shd w:val="clear" w:color="auto" w:fill="FFFFFF"/>
        </w:rPr>
        <w:t>p</w:t>
      </w:r>
      <w:r w:rsidRPr="00C21C6B" w:rsidR="002234FA">
        <w:rPr>
          <w:color w:val="000000"/>
          <w:szCs w:val="26"/>
          <w:bdr w:val="none" w:sz="0" w:space="0" w:color="auto" w:frame="1"/>
          <w:shd w:val="clear" w:color="auto" w:fill="FFFFFF"/>
        </w:rPr>
        <w:t xml:space="preserve">. 37–39 </w:t>
      </w:r>
      <w:r w:rsidRPr="00C21C6B" w:rsidR="004842D5">
        <w:rPr>
          <w:color w:val="000000"/>
          <w:szCs w:val="26"/>
          <w:bdr w:val="none" w:sz="0" w:space="0" w:color="auto" w:frame="1"/>
          <w:shd w:val="clear" w:color="auto" w:fill="FFFFFF"/>
        </w:rPr>
        <w:t>(Sen. Bill No. 8)</w:t>
      </w:r>
      <w:r w:rsidRPr="00C21C6B" w:rsidR="002234FA">
        <w:rPr>
          <w:color w:val="000000"/>
          <w:szCs w:val="26"/>
          <w:bdr w:val="none" w:sz="0" w:space="0" w:color="auto" w:frame="1"/>
          <w:shd w:val="clear" w:color="auto" w:fill="FFFFFF"/>
        </w:rPr>
        <w:t>.)</w:t>
      </w:r>
      <w:r w:rsidRPr="00C21C6B" w:rsidR="00A56D89">
        <w:rPr>
          <w:color w:val="000000"/>
          <w:szCs w:val="26"/>
          <w:bdr w:val="none" w:sz="0" w:space="0" w:color="auto" w:frame="1"/>
          <w:shd w:val="clear" w:color="auto" w:fill="FFFFFF"/>
        </w:rPr>
        <w:t xml:space="preserve">  </w:t>
      </w:r>
      <w:r w:rsidRPr="00C21C6B" w:rsidR="00035CD2">
        <w:rPr>
          <w:color w:val="000000"/>
          <w:szCs w:val="26"/>
          <w:bdr w:val="none" w:sz="0" w:space="0" w:color="auto" w:frame="1"/>
          <w:shd w:val="clear" w:color="auto" w:fill="FFFFFF"/>
        </w:rPr>
        <w:t xml:space="preserve">The trial court could have reasonably found that YIMBY </w:t>
      </w:r>
      <w:r w:rsidRPr="00C21C6B" w:rsidR="00973E43">
        <w:rPr>
          <w:color w:val="000000"/>
          <w:szCs w:val="26"/>
          <w:bdr w:val="none" w:sz="0" w:space="0" w:color="auto" w:frame="1"/>
          <w:shd w:val="clear" w:color="auto" w:fill="FFFFFF"/>
        </w:rPr>
        <w:t>advance</w:t>
      </w:r>
      <w:r w:rsidRPr="00C21C6B" w:rsidR="00632870">
        <w:rPr>
          <w:color w:val="000000"/>
          <w:szCs w:val="26"/>
          <w:bdr w:val="none" w:sz="0" w:space="0" w:color="auto" w:frame="1"/>
          <w:shd w:val="clear" w:color="auto" w:fill="FFFFFF"/>
        </w:rPr>
        <w:t>d</w:t>
      </w:r>
      <w:r w:rsidRPr="00C21C6B" w:rsidR="00973E43">
        <w:rPr>
          <w:color w:val="000000"/>
          <w:szCs w:val="26"/>
          <w:bdr w:val="none" w:sz="0" w:space="0" w:color="auto" w:frame="1"/>
          <w:shd w:val="clear" w:color="auto" w:fill="FFFFFF"/>
        </w:rPr>
        <w:t xml:space="preserve"> </w:t>
      </w:r>
      <w:r w:rsidRPr="00C21C6B" w:rsidR="006725FE">
        <w:rPr>
          <w:color w:val="000000"/>
          <w:szCs w:val="26"/>
          <w:bdr w:val="none" w:sz="0" w:space="0" w:color="auto" w:frame="1"/>
          <w:shd w:val="clear" w:color="auto" w:fill="FFFFFF"/>
        </w:rPr>
        <w:t xml:space="preserve">the public’s interest in the development of housing by </w:t>
      </w:r>
      <w:r w:rsidRPr="00C21C6B" w:rsidR="00AA04BA">
        <w:rPr>
          <w:color w:val="000000"/>
          <w:szCs w:val="26"/>
          <w:bdr w:val="none" w:sz="0" w:space="0" w:color="auto" w:frame="1"/>
          <w:shd w:val="clear" w:color="auto" w:fill="FFFFFF"/>
        </w:rPr>
        <w:t>challenging</w:t>
      </w:r>
      <w:r w:rsidRPr="00C21C6B" w:rsidR="00CE60C2">
        <w:rPr>
          <w:color w:val="000000"/>
          <w:szCs w:val="26"/>
          <w:bdr w:val="none" w:sz="0" w:space="0" w:color="auto" w:frame="1"/>
          <w:shd w:val="clear" w:color="auto" w:fill="FFFFFF"/>
        </w:rPr>
        <w:t xml:space="preserve"> an </w:t>
      </w:r>
      <w:r w:rsidRPr="00C21C6B" w:rsidR="00EE4F4D">
        <w:rPr>
          <w:color w:val="000000"/>
          <w:szCs w:val="26"/>
          <w:bdr w:val="none" w:sz="0" w:space="0" w:color="auto" w:frame="1"/>
          <w:shd w:val="clear" w:color="auto" w:fill="FFFFFF"/>
        </w:rPr>
        <w:t>o</w:t>
      </w:r>
      <w:r w:rsidRPr="00C21C6B" w:rsidR="00CE60C2">
        <w:rPr>
          <w:color w:val="000000"/>
          <w:szCs w:val="26"/>
          <w:bdr w:val="none" w:sz="0" w:space="0" w:color="auto" w:frame="1"/>
          <w:shd w:val="clear" w:color="auto" w:fill="FFFFFF"/>
        </w:rPr>
        <w:t>rdinance that reduced the intensity of land use and residential capacity</w:t>
      </w:r>
      <w:r w:rsidRPr="00C21C6B" w:rsidR="00973E43">
        <w:rPr>
          <w:color w:val="000000"/>
          <w:szCs w:val="26"/>
          <w:bdr w:val="none" w:sz="0" w:space="0" w:color="auto" w:frame="1"/>
          <w:shd w:val="clear" w:color="auto" w:fill="FFFFFF"/>
        </w:rPr>
        <w:t>.</w:t>
      </w:r>
      <w:r w:rsidRPr="00C21C6B" w:rsidR="003F59D9">
        <w:rPr>
          <w:color w:val="000000"/>
          <w:szCs w:val="26"/>
          <w:bdr w:val="none" w:sz="0" w:space="0" w:color="auto" w:frame="1"/>
          <w:shd w:val="clear" w:color="auto" w:fill="FFFFFF"/>
        </w:rPr>
        <w:t xml:space="preserve"> </w:t>
      </w:r>
      <w:r w:rsidRPr="00C21C6B" w:rsidR="00973E43">
        <w:rPr>
          <w:color w:val="000000"/>
          <w:szCs w:val="26"/>
          <w:bdr w:val="none" w:sz="0" w:space="0" w:color="auto" w:frame="1"/>
          <w:shd w:val="clear" w:color="auto" w:fill="FFFFFF"/>
        </w:rPr>
        <w:t xml:space="preserve"> </w:t>
      </w:r>
      <w:r w:rsidRPr="00C21C6B" w:rsidR="00603CAC">
        <w:rPr>
          <w:color w:val="000000"/>
          <w:szCs w:val="26"/>
          <w:bdr w:val="none" w:sz="0" w:space="0" w:color="auto" w:frame="1"/>
          <w:shd w:val="clear" w:color="auto" w:fill="FFFFFF"/>
        </w:rPr>
        <w:t xml:space="preserve">(See </w:t>
      </w:r>
      <w:r w:rsidRPr="00C21C6B" w:rsidR="00BF394C">
        <w:rPr>
          <w:i/>
          <w:iCs/>
          <w:color w:val="000000"/>
          <w:szCs w:val="26"/>
          <w:bdr w:val="none" w:sz="0" w:space="0" w:color="auto" w:frame="1"/>
          <w:shd w:val="clear" w:color="auto" w:fill="FFFFFF"/>
        </w:rPr>
        <w:t>Indio Police Command Unit Assn. v. City of Indio</w:t>
      </w:r>
      <w:r w:rsidRPr="00C21C6B" w:rsidR="00BF394C">
        <w:rPr>
          <w:color w:val="000000"/>
          <w:szCs w:val="26"/>
          <w:bdr w:val="none" w:sz="0" w:space="0" w:color="auto" w:frame="1"/>
          <w:shd w:val="clear" w:color="auto" w:fill="FFFFFF"/>
        </w:rPr>
        <w:t xml:space="preserve"> (2014) 230 Cal.App.4th 521, 543 </w:t>
      </w:r>
      <w:r w:rsidRPr="00C21C6B">
        <w:rPr>
          <w:color w:val="000000"/>
          <w:szCs w:val="26"/>
          <w:bdr w:val="none" w:sz="0" w:space="0" w:color="auto" w:frame="1"/>
          <w:shd w:val="clear" w:color="auto" w:fill="FFFFFF"/>
        </w:rPr>
        <w:t>[“The courts are not required to narrowly construe the significant benefit factor</w:t>
      </w:r>
      <w:r w:rsidRPr="00C21C6B" w:rsidR="008E1E7E">
        <w:rPr>
          <w:color w:val="000000"/>
          <w:szCs w:val="26"/>
          <w:bdr w:val="none" w:sz="0" w:space="0" w:color="auto" w:frame="1"/>
          <w:shd w:val="clear" w:color="auto" w:fill="FFFFFF"/>
        </w:rPr>
        <w:t>”</w:t>
      </w:r>
      <w:r w:rsidRPr="00C21C6B" w:rsidR="00C52EA3">
        <w:rPr>
          <w:color w:val="000000"/>
          <w:szCs w:val="26"/>
          <w:bdr w:val="none" w:sz="0" w:space="0" w:color="auto" w:frame="1"/>
          <w:shd w:val="clear" w:color="auto" w:fill="FFFFFF"/>
        </w:rPr>
        <w:t>].)</w:t>
      </w:r>
      <w:r w:rsidRPr="000566EE" w:rsidR="00C52EA3">
        <w:rPr>
          <w:color w:val="000000"/>
          <w:szCs w:val="26"/>
          <w:bdr w:val="none" w:sz="0" w:space="0" w:color="auto" w:frame="1"/>
          <w:shd w:val="clear" w:color="auto" w:fill="FFFFFF"/>
        </w:rPr>
        <w:t xml:space="preserve"> </w:t>
      </w:r>
    </w:p>
    <w:p w:rsidR="0063349E" w:rsidRPr="000566EE" w:rsidP="000566EE" w14:paraId="7E442432" w14:textId="61AED092">
      <w:pPr>
        <w:ind w:firstLine="720"/>
        <w:contextualSpacing/>
        <w:rPr>
          <w:color w:val="000000"/>
          <w:szCs w:val="26"/>
          <w:bdr w:val="none" w:sz="0" w:space="0" w:color="auto" w:frame="1"/>
          <w:shd w:val="clear" w:color="auto" w:fill="FFFFFF"/>
        </w:rPr>
      </w:pPr>
      <w:r w:rsidRPr="000566EE">
        <w:rPr>
          <w:color w:val="000000"/>
          <w:szCs w:val="26"/>
          <w:bdr w:val="none" w:sz="0" w:space="0" w:color="auto" w:frame="1"/>
          <w:shd w:val="clear" w:color="auto" w:fill="FFFFFF"/>
        </w:rPr>
        <w:t>As to the City’s contention that “the judge adopted the Legislature’s view of what the state’s policies regarding single</w:t>
      </w:r>
      <w:r w:rsidRPr="000566EE" w:rsidR="00F1519A">
        <w:rPr>
          <w:color w:val="000000"/>
          <w:szCs w:val="26"/>
          <w:bdr w:val="none" w:sz="0" w:space="0" w:color="auto" w:frame="1"/>
          <w:shd w:val="clear" w:color="auto" w:fill="FFFFFF"/>
        </w:rPr>
        <w:t>[-]</w:t>
      </w:r>
      <w:r w:rsidRPr="000566EE">
        <w:rPr>
          <w:color w:val="000000"/>
          <w:szCs w:val="26"/>
          <w:bdr w:val="none" w:sz="0" w:space="0" w:color="auto" w:frame="1"/>
          <w:shd w:val="clear" w:color="auto" w:fill="FFFFFF"/>
        </w:rPr>
        <w:t xml:space="preserve">family residential housing should be,” </w:t>
      </w:r>
      <w:r w:rsidRPr="000566EE" w:rsidR="00615B30">
        <w:rPr>
          <w:color w:val="000000"/>
          <w:szCs w:val="26"/>
          <w:bdr w:val="none" w:sz="0" w:space="0" w:color="auto" w:frame="1"/>
          <w:shd w:val="clear" w:color="auto" w:fill="FFFFFF"/>
        </w:rPr>
        <w:t xml:space="preserve">legislative enactments are expressions of public policy. </w:t>
      </w:r>
      <w:r w:rsidRPr="000566EE" w:rsidR="00701464">
        <w:rPr>
          <w:color w:val="000000"/>
          <w:szCs w:val="26"/>
          <w:bdr w:val="none" w:sz="0" w:space="0" w:color="auto" w:frame="1"/>
          <w:shd w:val="clear" w:color="auto" w:fill="FFFFFF"/>
        </w:rPr>
        <w:t xml:space="preserve"> </w:t>
      </w:r>
      <w:r w:rsidRPr="000566EE" w:rsidR="00615B30">
        <w:rPr>
          <w:color w:val="000000"/>
          <w:szCs w:val="26"/>
          <w:bdr w:val="none" w:sz="0" w:space="0" w:color="auto" w:frame="1"/>
          <w:shd w:val="clear" w:color="auto" w:fill="FFFFFF"/>
        </w:rPr>
        <w:t>(</w:t>
      </w:r>
      <w:r w:rsidRPr="000566EE" w:rsidR="00615B30">
        <w:rPr>
          <w:i/>
          <w:iCs/>
          <w:color w:val="000000"/>
          <w:szCs w:val="26"/>
          <w:bdr w:val="none" w:sz="0" w:space="0" w:color="auto" w:frame="1"/>
          <w:shd w:val="clear" w:color="auto" w:fill="FFFFFF"/>
        </w:rPr>
        <w:t>English v. Marin Mun</w:t>
      </w:r>
      <w:r w:rsidRPr="000566EE" w:rsidR="00B964AE">
        <w:rPr>
          <w:i/>
          <w:iCs/>
          <w:color w:val="000000"/>
          <w:szCs w:val="26"/>
          <w:bdr w:val="none" w:sz="0" w:space="0" w:color="auto" w:frame="1"/>
          <w:shd w:val="clear" w:color="auto" w:fill="FFFFFF"/>
        </w:rPr>
        <w:t>icipal</w:t>
      </w:r>
      <w:r w:rsidRPr="000566EE" w:rsidR="00615B30">
        <w:rPr>
          <w:i/>
          <w:iCs/>
          <w:color w:val="000000"/>
          <w:szCs w:val="26"/>
          <w:bdr w:val="none" w:sz="0" w:space="0" w:color="auto" w:frame="1"/>
          <w:shd w:val="clear" w:color="auto" w:fill="FFFFFF"/>
        </w:rPr>
        <w:t xml:space="preserve"> Water Dist</w:t>
      </w:r>
      <w:r w:rsidRPr="000566EE" w:rsidR="00B964AE">
        <w:rPr>
          <w:i/>
          <w:iCs/>
          <w:color w:val="000000"/>
          <w:szCs w:val="26"/>
          <w:bdr w:val="none" w:sz="0" w:space="0" w:color="auto" w:frame="1"/>
          <w:shd w:val="clear" w:color="auto" w:fill="FFFFFF"/>
        </w:rPr>
        <w:t>rict</w:t>
      </w:r>
      <w:r w:rsidRPr="000566EE" w:rsidR="00615B30">
        <w:rPr>
          <w:color w:val="000000"/>
          <w:szCs w:val="26"/>
          <w:bdr w:val="none" w:sz="0" w:space="0" w:color="auto" w:frame="1"/>
          <w:shd w:val="clear" w:color="auto" w:fill="FFFFFF"/>
        </w:rPr>
        <w:t xml:space="preserve"> (1977) 66 Cal.App.3d 725, 730, disapproved on other grounds in </w:t>
      </w:r>
      <w:r w:rsidRPr="000566EE" w:rsidR="00365740">
        <w:rPr>
          <w:i/>
          <w:iCs/>
          <w:color w:val="000000"/>
          <w:szCs w:val="26"/>
          <w:bdr w:val="none" w:sz="0" w:space="0" w:color="auto" w:frame="1"/>
          <w:shd w:val="clear" w:color="auto" w:fill="FFFFFF"/>
        </w:rPr>
        <w:t>Delta Farms Reclamation Dist</w:t>
      </w:r>
      <w:r w:rsidRPr="000566EE" w:rsidR="00B964AE">
        <w:rPr>
          <w:i/>
          <w:iCs/>
          <w:color w:val="000000"/>
          <w:szCs w:val="26"/>
          <w:bdr w:val="none" w:sz="0" w:space="0" w:color="auto" w:frame="1"/>
          <w:shd w:val="clear" w:color="auto" w:fill="FFFFFF"/>
        </w:rPr>
        <w:t>rict</w:t>
      </w:r>
      <w:r w:rsidRPr="000566EE" w:rsidR="00365740">
        <w:rPr>
          <w:i/>
          <w:iCs/>
          <w:color w:val="000000"/>
          <w:szCs w:val="26"/>
          <w:bdr w:val="none" w:sz="0" w:space="0" w:color="auto" w:frame="1"/>
          <w:shd w:val="clear" w:color="auto" w:fill="FFFFFF"/>
        </w:rPr>
        <w:t xml:space="preserve"> </w:t>
      </w:r>
      <w:r w:rsidRPr="000566EE" w:rsidR="00B964AE">
        <w:rPr>
          <w:i/>
          <w:iCs/>
          <w:color w:val="000000"/>
          <w:szCs w:val="26"/>
          <w:bdr w:val="none" w:sz="0" w:space="0" w:color="auto" w:frame="1"/>
          <w:shd w:val="clear" w:color="auto" w:fill="FFFFFF"/>
        </w:rPr>
        <w:t>v</w:t>
      </w:r>
      <w:r w:rsidRPr="000566EE" w:rsidR="00365740">
        <w:rPr>
          <w:i/>
          <w:iCs/>
          <w:color w:val="000000"/>
          <w:szCs w:val="26"/>
          <w:bdr w:val="none" w:sz="0" w:space="0" w:color="auto" w:frame="1"/>
          <w:shd w:val="clear" w:color="auto" w:fill="FFFFFF"/>
        </w:rPr>
        <w:t>. Superior Court</w:t>
      </w:r>
      <w:r w:rsidRPr="000566EE" w:rsidR="00365740">
        <w:rPr>
          <w:color w:val="000000"/>
          <w:szCs w:val="26"/>
          <w:bdr w:val="none" w:sz="0" w:space="0" w:color="auto" w:frame="1"/>
          <w:shd w:val="clear" w:color="auto" w:fill="FFFFFF"/>
        </w:rPr>
        <w:t xml:space="preserve"> (1983) 33 Cal.3d 699, 70</w:t>
      </w:r>
      <w:r w:rsidRPr="000566EE" w:rsidR="0076381A">
        <w:rPr>
          <w:color w:val="000000"/>
          <w:szCs w:val="26"/>
          <w:bdr w:val="none" w:sz="0" w:space="0" w:color="auto" w:frame="1"/>
          <w:shd w:val="clear" w:color="auto" w:fill="FFFFFF"/>
        </w:rPr>
        <w:t xml:space="preserve">7.)  </w:t>
      </w:r>
      <w:r w:rsidRPr="000566EE" w:rsidR="00984347">
        <w:rPr>
          <w:color w:val="000000"/>
          <w:szCs w:val="26"/>
          <w:bdr w:val="none" w:sz="0" w:space="0" w:color="auto" w:frame="1"/>
          <w:shd w:val="clear" w:color="auto" w:fill="FFFFFF"/>
        </w:rPr>
        <w:t>T</w:t>
      </w:r>
      <w:r w:rsidRPr="000566EE" w:rsidR="00DC52AF">
        <w:rPr>
          <w:color w:val="000000"/>
          <w:szCs w:val="26"/>
          <w:bdr w:val="none" w:sz="0" w:space="0" w:color="auto" w:frame="1"/>
          <w:shd w:val="clear" w:color="auto" w:fill="FFFFFF"/>
        </w:rPr>
        <w:t xml:space="preserve">he City fails to show that the trial court’s reliance on the Legislature’s </w:t>
      </w:r>
      <w:r w:rsidRPr="000566EE" w:rsidR="00D11F16">
        <w:rPr>
          <w:color w:val="000000"/>
          <w:szCs w:val="26"/>
          <w:bdr w:val="none" w:sz="0" w:space="0" w:color="auto" w:frame="1"/>
          <w:shd w:val="clear" w:color="auto" w:fill="FFFFFF"/>
        </w:rPr>
        <w:t>view</w:t>
      </w:r>
      <w:r w:rsidRPr="000566EE" w:rsidR="009B3B18">
        <w:rPr>
          <w:color w:val="000000"/>
          <w:szCs w:val="26"/>
          <w:bdr w:val="none" w:sz="0" w:space="0" w:color="auto" w:frame="1"/>
          <w:shd w:val="clear" w:color="auto" w:fill="FFFFFF"/>
        </w:rPr>
        <w:t xml:space="preserve"> of what benefits the public</w:t>
      </w:r>
      <w:r w:rsidRPr="000566EE" w:rsidR="00B030B5">
        <w:rPr>
          <w:color w:val="000000"/>
          <w:szCs w:val="26"/>
          <w:bdr w:val="none" w:sz="0" w:space="0" w:color="auto" w:frame="1"/>
          <w:shd w:val="clear" w:color="auto" w:fill="FFFFFF"/>
        </w:rPr>
        <w:t xml:space="preserve"> amount</w:t>
      </w:r>
      <w:r w:rsidRPr="000566EE" w:rsidR="00FD0CF1">
        <w:rPr>
          <w:color w:val="000000"/>
          <w:szCs w:val="26"/>
          <w:bdr w:val="none" w:sz="0" w:space="0" w:color="auto" w:frame="1"/>
          <w:shd w:val="clear" w:color="auto" w:fill="FFFFFF"/>
        </w:rPr>
        <w:t>ed</w:t>
      </w:r>
      <w:r w:rsidRPr="000566EE" w:rsidR="00B030B5">
        <w:rPr>
          <w:color w:val="000000"/>
          <w:szCs w:val="26"/>
          <w:bdr w:val="none" w:sz="0" w:space="0" w:color="auto" w:frame="1"/>
          <w:shd w:val="clear" w:color="auto" w:fill="FFFFFF"/>
        </w:rPr>
        <w:t xml:space="preserve"> to a manifest miscarriage of justice</w:t>
      </w:r>
      <w:r w:rsidRPr="000566EE" w:rsidR="00CD7585">
        <w:rPr>
          <w:color w:val="000000"/>
          <w:szCs w:val="26"/>
          <w:bdr w:val="none" w:sz="0" w:space="0" w:color="auto" w:frame="1"/>
          <w:shd w:val="clear" w:color="auto" w:fill="FFFFFF"/>
        </w:rPr>
        <w:t xml:space="preserve">.  </w:t>
      </w:r>
      <w:r w:rsidRPr="000566EE" w:rsidR="008C355C">
        <w:rPr>
          <w:color w:val="000000"/>
          <w:szCs w:val="26"/>
          <w:bdr w:val="none" w:sz="0" w:space="0" w:color="auto" w:frame="1"/>
          <w:shd w:val="clear" w:color="auto" w:fill="FFFFFF"/>
        </w:rPr>
        <w:t xml:space="preserve">  </w:t>
      </w:r>
    </w:p>
    <w:p w:rsidR="00F62B72" w:rsidRPr="000566EE" w:rsidP="000566EE" w14:paraId="4C4D5F66" w14:textId="5EB80445">
      <w:pPr>
        <w:ind w:firstLine="720"/>
        <w:contextualSpacing/>
        <w:rPr>
          <w:color w:val="000000"/>
          <w:szCs w:val="26"/>
          <w:bdr w:val="none" w:sz="0" w:space="0" w:color="auto" w:frame="1"/>
          <w:shd w:val="clear" w:color="auto" w:fill="FFFFFF"/>
        </w:rPr>
      </w:pPr>
      <w:r w:rsidRPr="000566EE">
        <w:rPr>
          <w:color w:val="000000"/>
          <w:szCs w:val="26"/>
          <w:bdr w:val="none" w:sz="0" w:space="0" w:color="auto" w:frame="1"/>
          <w:shd w:val="clear" w:color="auto" w:fill="FFFFFF"/>
        </w:rPr>
        <w:t>Moreover</w:t>
      </w:r>
      <w:r w:rsidRPr="000566EE" w:rsidR="008D3113">
        <w:rPr>
          <w:color w:val="000000"/>
          <w:szCs w:val="26"/>
          <w:bdr w:val="none" w:sz="0" w:space="0" w:color="auto" w:frame="1"/>
          <w:shd w:val="clear" w:color="auto" w:fill="FFFFFF"/>
        </w:rPr>
        <w:t xml:space="preserve">, </w:t>
      </w:r>
      <w:r w:rsidRPr="000566EE" w:rsidR="001C0049">
        <w:rPr>
          <w:color w:val="000000"/>
          <w:szCs w:val="26"/>
          <w:bdr w:val="none" w:sz="0" w:space="0" w:color="auto" w:frame="1"/>
          <w:shd w:val="clear" w:color="auto" w:fill="FFFFFF"/>
        </w:rPr>
        <w:t xml:space="preserve">the City does not cite any authority </w:t>
      </w:r>
      <w:r w:rsidRPr="000566EE" w:rsidR="00BB1FB1">
        <w:rPr>
          <w:color w:val="000000"/>
          <w:szCs w:val="26"/>
          <w:bdr w:val="none" w:sz="0" w:space="0" w:color="auto" w:frame="1"/>
          <w:shd w:val="clear" w:color="auto" w:fill="FFFFFF"/>
        </w:rPr>
        <w:t>to</w:t>
      </w:r>
      <w:r w:rsidRPr="000566EE" w:rsidR="001C0049">
        <w:rPr>
          <w:color w:val="000000"/>
          <w:szCs w:val="26"/>
          <w:bdr w:val="none" w:sz="0" w:space="0" w:color="auto" w:frame="1"/>
          <w:shd w:val="clear" w:color="auto" w:fill="FFFFFF"/>
        </w:rPr>
        <w:t xml:space="preserve"> support </w:t>
      </w:r>
      <w:r w:rsidRPr="000566EE" w:rsidR="008D680D">
        <w:rPr>
          <w:color w:val="000000"/>
          <w:szCs w:val="26"/>
          <w:bdr w:val="none" w:sz="0" w:space="0" w:color="auto" w:frame="1"/>
          <w:shd w:val="clear" w:color="auto" w:fill="FFFFFF"/>
        </w:rPr>
        <w:t>the proposition</w:t>
      </w:r>
      <w:r w:rsidRPr="000566EE" w:rsidR="001C0049">
        <w:rPr>
          <w:color w:val="000000"/>
          <w:szCs w:val="26"/>
          <w:bdr w:val="none" w:sz="0" w:space="0" w:color="auto" w:frame="1"/>
          <w:shd w:val="clear" w:color="auto" w:fill="FFFFFF"/>
        </w:rPr>
        <w:t xml:space="preserve"> </w:t>
      </w:r>
      <w:r w:rsidRPr="000566EE" w:rsidR="009A6F04">
        <w:rPr>
          <w:color w:val="000000"/>
          <w:szCs w:val="26"/>
          <w:bdr w:val="none" w:sz="0" w:space="0" w:color="auto" w:frame="1"/>
          <w:shd w:val="clear" w:color="auto" w:fill="FFFFFF"/>
        </w:rPr>
        <w:t>that a</w:t>
      </w:r>
      <w:r w:rsidRPr="000566EE" w:rsidR="00FB363B">
        <w:rPr>
          <w:color w:val="000000"/>
          <w:szCs w:val="26"/>
          <w:bdr w:val="none" w:sz="0" w:space="0" w:color="auto" w:frame="1"/>
          <w:shd w:val="clear" w:color="auto" w:fill="FFFFFF"/>
        </w:rPr>
        <w:t xml:space="preserve"> consensus </w:t>
      </w:r>
      <w:r w:rsidRPr="000566EE" w:rsidR="007B7796">
        <w:rPr>
          <w:color w:val="000000"/>
          <w:szCs w:val="26"/>
          <w:bdr w:val="none" w:sz="0" w:space="0" w:color="auto" w:frame="1"/>
          <w:shd w:val="clear" w:color="auto" w:fill="FFFFFF"/>
        </w:rPr>
        <w:t xml:space="preserve">about </w:t>
      </w:r>
      <w:r w:rsidRPr="000566EE" w:rsidR="00725BD9">
        <w:rPr>
          <w:color w:val="000000"/>
          <w:szCs w:val="26"/>
          <w:bdr w:val="none" w:sz="0" w:space="0" w:color="auto" w:frame="1"/>
          <w:shd w:val="clear" w:color="auto" w:fill="FFFFFF"/>
        </w:rPr>
        <w:t>a</w:t>
      </w:r>
      <w:r w:rsidRPr="000566EE" w:rsidR="007B7796">
        <w:rPr>
          <w:color w:val="000000"/>
          <w:szCs w:val="26"/>
          <w:bdr w:val="none" w:sz="0" w:space="0" w:color="auto" w:frame="1"/>
          <w:shd w:val="clear" w:color="auto" w:fill="FFFFFF"/>
        </w:rPr>
        <w:t xml:space="preserve"> policy is required </w:t>
      </w:r>
      <w:r w:rsidRPr="000566EE" w:rsidR="00F82DC0">
        <w:rPr>
          <w:color w:val="000000"/>
          <w:szCs w:val="26"/>
          <w:bdr w:val="none" w:sz="0" w:space="0" w:color="auto" w:frame="1"/>
          <w:shd w:val="clear" w:color="auto" w:fill="FFFFFF"/>
        </w:rPr>
        <w:t>to find</w:t>
      </w:r>
      <w:r w:rsidRPr="000566EE" w:rsidR="007F7940">
        <w:rPr>
          <w:color w:val="000000"/>
          <w:szCs w:val="26"/>
          <w:bdr w:val="none" w:sz="0" w:space="0" w:color="auto" w:frame="1"/>
          <w:shd w:val="clear" w:color="auto" w:fill="FFFFFF"/>
        </w:rPr>
        <w:t xml:space="preserve"> that</w:t>
      </w:r>
      <w:r w:rsidRPr="000566EE" w:rsidR="00F82DC0">
        <w:rPr>
          <w:color w:val="000000"/>
          <w:szCs w:val="26"/>
          <w:bdr w:val="none" w:sz="0" w:space="0" w:color="auto" w:frame="1"/>
          <w:shd w:val="clear" w:color="auto" w:fill="FFFFFF"/>
        </w:rPr>
        <w:t xml:space="preserve"> a significant benefit has been conferred on the general public or a large class of persons.</w:t>
      </w:r>
      <w:r>
        <w:rPr>
          <w:rStyle w:val="FootnoteReference"/>
          <w:color w:val="000000"/>
          <w:szCs w:val="26"/>
          <w:bdr w:val="none" w:sz="0" w:space="0" w:color="auto" w:frame="1"/>
          <w:shd w:val="clear" w:color="auto" w:fill="FFFFFF"/>
        </w:rPr>
        <w:footnoteReference w:id="9"/>
      </w:r>
      <w:r w:rsidRPr="000566EE" w:rsidR="005C19A0">
        <w:rPr>
          <w:color w:val="000000"/>
          <w:szCs w:val="26"/>
          <w:bdr w:val="none" w:sz="0" w:space="0" w:color="auto" w:frame="1"/>
          <w:shd w:val="clear" w:color="auto" w:fill="FFFFFF"/>
        </w:rPr>
        <w:t xml:space="preserve"> </w:t>
      </w:r>
      <w:r w:rsidRPr="000566EE" w:rsidR="00F82DC0">
        <w:rPr>
          <w:color w:val="000000"/>
          <w:szCs w:val="26"/>
          <w:bdr w:val="none" w:sz="0" w:space="0" w:color="auto" w:frame="1"/>
          <w:shd w:val="clear" w:color="auto" w:fill="FFFFFF"/>
        </w:rPr>
        <w:t xml:space="preserve"> </w:t>
      </w:r>
      <w:r w:rsidRPr="000566EE" w:rsidR="0075731E">
        <w:rPr>
          <w:color w:val="000000"/>
          <w:szCs w:val="26"/>
          <w:bdr w:val="none" w:sz="0" w:space="0" w:color="auto" w:frame="1"/>
          <w:shd w:val="clear" w:color="auto" w:fill="FFFFFF"/>
        </w:rPr>
        <w:t xml:space="preserve">Indeed, people often disagree about whether a particular policy serves the greater good.  </w:t>
      </w:r>
      <w:r w:rsidRPr="000566EE" w:rsidR="00D330A2">
        <w:rPr>
          <w:color w:val="000000"/>
          <w:szCs w:val="26"/>
          <w:bdr w:val="none" w:sz="0" w:space="0" w:color="auto" w:frame="1"/>
          <w:shd w:val="clear" w:color="auto" w:fill="FFFFFF"/>
        </w:rPr>
        <w:t>As to the City’s claim</w:t>
      </w:r>
      <w:r w:rsidRPr="000566EE" w:rsidR="00D330A2">
        <w:t xml:space="preserve"> </w:t>
      </w:r>
      <w:r w:rsidRPr="000566EE" w:rsidR="00D330A2">
        <w:rPr>
          <w:color w:val="000000"/>
          <w:szCs w:val="26"/>
          <w:bdr w:val="none" w:sz="0" w:space="0" w:color="auto" w:frame="1"/>
          <w:shd w:val="clear" w:color="auto" w:fill="FFFFFF"/>
        </w:rPr>
        <w:t xml:space="preserve">that a greater number of public comments from people in the community were in favor of lowering the intensity of housing, </w:t>
      </w:r>
      <w:r w:rsidRPr="000566EE" w:rsidR="0065103D">
        <w:rPr>
          <w:color w:val="000000"/>
          <w:szCs w:val="26"/>
          <w:bdr w:val="none" w:sz="0" w:space="0" w:color="auto" w:frame="1"/>
          <w:shd w:val="clear" w:color="auto" w:fill="FFFFFF"/>
        </w:rPr>
        <w:t>the record shows that the residents’ comments were primarily concerned with maintaining the existing character of their neighborhoods</w:t>
      </w:r>
      <w:r w:rsidRPr="000566EE" w:rsidR="0031772F">
        <w:rPr>
          <w:color w:val="000000"/>
          <w:szCs w:val="26"/>
          <w:bdr w:val="none" w:sz="0" w:space="0" w:color="auto" w:frame="1"/>
          <w:shd w:val="clear" w:color="auto" w:fill="FFFFFF"/>
        </w:rPr>
        <w:t xml:space="preserve"> and did</w:t>
      </w:r>
      <w:r w:rsidRPr="000566EE" w:rsidR="00AA4F09">
        <w:rPr>
          <w:color w:val="000000"/>
          <w:szCs w:val="26"/>
          <w:bdr w:val="none" w:sz="0" w:space="0" w:color="auto" w:frame="1"/>
          <w:shd w:val="clear" w:color="auto" w:fill="FFFFFF"/>
        </w:rPr>
        <w:t xml:space="preserve"> not </w:t>
      </w:r>
      <w:r w:rsidRPr="000566EE" w:rsidR="0031772F">
        <w:rPr>
          <w:color w:val="000000"/>
          <w:szCs w:val="26"/>
          <w:bdr w:val="none" w:sz="0" w:space="0" w:color="auto" w:frame="1"/>
          <w:shd w:val="clear" w:color="auto" w:fill="FFFFFF"/>
        </w:rPr>
        <w:t xml:space="preserve">contemplate the impact that the Ordinance would have on </w:t>
      </w:r>
      <w:r w:rsidRPr="000566EE" w:rsidR="00AA4F09">
        <w:rPr>
          <w:color w:val="000000"/>
          <w:szCs w:val="26"/>
          <w:bdr w:val="none" w:sz="0" w:space="0" w:color="auto" w:frame="1"/>
          <w:shd w:val="clear" w:color="auto" w:fill="FFFFFF"/>
        </w:rPr>
        <w:t>the housing crisis</w:t>
      </w:r>
      <w:r w:rsidRPr="000566EE" w:rsidR="0065103D">
        <w:rPr>
          <w:color w:val="000000"/>
          <w:szCs w:val="26"/>
          <w:bdr w:val="none" w:sz="0" w:space="0" w:color="auto" w:frame="1"/>
          <w:shd w:val="clear" w:color="auto" w:fill="FFFFFF"/>
        </w:rPr>
        <w:t xml:space="preserve">. </w:t>
      </w:r>
      <w:r w:rsidRPr="000566EE" w:rsidR="005356AC">
        <w:rPr>
          <w:color w:val="000000"/>
          <w:szCs w:val="26"/>
          <w:bdr w:val="none" w:sz="0" w:space="0" w:color="auto" w:frame="1"/>
          <w:shd w:val="clear" w:color="auto" w:fill="FFFFFF"/>
        </w:rPr>
        <w:t xml:space="preserve">  </w:t>
      </w:r>
    </w:p>
    <w:p w:rsidR="00154603" w:rsidRPr="000566EE" w:rsidP="000566EE" w14:paraId="3CA816AF" w14:textId="77777777">
      <w:pPr>
        <w:contextualSpacing/>
        <w:rPr>
          <w:color w:val="000000"/>
          <w:szCs w:val="26"/>
          <w:bdr w:val="none" w:sz="0" w:space="0" w:color="auto" w:frame="1"/>
          <w:shd w:val="clear" w:color="auto" w:fill="FFFFFF"/>
        </w:rPr>
      </w:pPr>
    </w:p>
    <w:p w:rsidR="00154603" w:rsidRPr="000566EE" w:rsidP="000566EE" w14:paraId="69184D01" w14:textId="40EA2522">
      <w:pPr>
        <w:ind w:left="1440" w:hanging="720"/>
        <w:contextualSpacing/>
        <w:rPr>
          <w:color w:val="000000"/>
          <w:szCs w:val="26"/>
          <w:bdr w:val="none" w:sz="0" w:space="0" w:color="auto" w:frame="1"/>
          <w:shd w:val="clear" w:color="auto" w:fill="FFFFFF"/>
        </w:rPr>
      </w:pPr>
      <w:r w:rsidRPr="000566EE">
        <w:rPr>
          <w:color w:val="000000"/>
          <w:szCs w:val="26"/>
          <w:bdr w:val="none" w:sz="0" w:space="0" w:color="auto" w:frame="1"/>
          <w:shd w:val="clear" w:color="auto" w:fill="FFFFFF"/>
        </w:rPr>
        <w:t>2.</w:t>
      </w:r>
      <w:r w:rsidRPr="000566EE">
        <w:rPr>
          <w:color w:val="000000"/>
          <w:szCs w:val="26"/>
          <w:bdr w:val="none" w:sz="0" w:space="0" w:color="auto" w:frame="1"/>
          <w:shd w:val="clear" w:color="auto" w:fill="FFFFFF"/>
        </w:rPr>
        <w:tab/>
      </w:r>
      <w:r w:rsidRPr="000566EE" w:rsidR="00CC00C4">
        <w:rPr>
          <w:i/>
          <w:iCs/>
          <w:color w:val="000000"/>
          <w:szCs w:val="26"/>
          <w:bdr w:val="none" w:sz="0" w:space="0" w:color="auto" w:frame="1"/>
          <w:shd w:val="clear" w:color="auto" w:fill="FFFFFF"/>
        </w:rPr>
        <w:t xml:space="preserve">The Trial Court Did Not Abuse Its Discretion in </w:t>
      </w:r>
      <w:r w:rsidRPr="000566EE" w:rsidR="001767EA">
        <w:rPr>
          <w:i/>
          <w:iCs/>
          <w:color w:val="000000"/>
          <w:szCs w:val="26"/>
          <w:bdr w:val="none" w:sz="0" w:space="0" w:color="auto" w:frame="1"/>
          <w:shd w:val="clear" w:color="auto" w:fill="FFFFFF"/>
        </w:rPr>
        <w:t>Awarding</w:t>
      </w:r>
      <w:r w:rsidRPr="000566EE" w:rsidR="00B16882">
        <w:rPr>
          <w:i/>
          <w:iCs/>
          <w:color w:val="000000"/>
          <w:szCs w:val="26"/>
          <w:bdr w:val="none" w:sz="0" w:space="0" w:color="auto" w:frame="1"/>
          <w:shd w:val="clear" w:color="auto" w:fill="FFFFFF"/>
        </w:rPr>
        <w:t xml:space="preserve"> a </w:t>
      </w:r>
      <w:r w:rsidRPr="000566EE" w:rsidR="008244A3">
        <w:rPr>
          <w:i/>
          <w:iCs/>
          <w:color w:val="000000"/>
          <w:szCs w:val="26"/>
          <w:bdr w:val="none" w:sz="0" w:space="0" w:color="auto" w:frame="1"/>
          <w:shd w:val="clear" w:color="auto" w:fill="FFFFFF"/>
        </w:rPr>
        <w:t>Multiplier</w:t>
      </w:r>
      <w:r w:rsidRPr="000566EE" w:rsidR="008244A3">
        <w:rPr>
          <w:color w:val="000000"/>
          <w:szCs w:val="26"/>
          <w:bdr w:val="none" w:sz="0" w:space="0" w:color="auto" w:frame="1"/>
          <w:shd w:val="clear" w:color="auto" w:fill="FFFFFF"/>
        </w:rPr>
        <w:t xml:space="preserve"> </w:t>
      </w:r>
    </w:p>
    <w:p w:rsidR="00103610" w:rsidRPr="000566EE" w:rsidP="000566EE" w14:paraId="341B5035" w14:textId="52BA6DC5">
      <w:pPr>
        <w:ind w:firstLine="720"/>
        <w:contextualSpacing/>
        <w:rPr>
          <w:color w:val="000000"/>
          <w:szCs w:val="26"/>
          <w:bdr w:val="none" w:sz="0" w:space="0" w:color="auto" w:frame="1"/>
          <w:shd w:val="clear" w:color="auto" w:fill="FFFFFF"/>
        </w:rPr>
      </w:pPr>
      <w:r w:rsidRPr="000566EE">
        <w:rPr>
          <w:color w:val="000000"/>
          <w:szCs w:val="26"/>
          <w:bdr w:val="none" w:sz="0" w:space="0" w:color="auto" w:frame="1"/>
          <w:shd w:val="clear" w:color="auto" w:fill="FFFFFF"/>
        </w:rPr>
        <w:t>As noted</w:t>
      </w:r>
      <w:r w:rsidRPr="000566EE" w:rsidR="00E50FEB">
        <w:rPr>
          <w:color w:val="000000"/>
          <w:szCs w:val="26"/>
          <w:bdr w:val="none" w:sz="0" w:space="0" w:color="auto" w:frame="1"/>
          <w:shd w:val="clear" w:color="auto" w:fill="FFFFFF"/>
        </w:rPr>
        <w:t xml:space="preserve">, the lodestar amount </w:t>
      </w:r>
      <w:r w:rsidRPr="000566EE" w:rsidR="00062069">
        <w:rPr>
          <w:color w:val="000000"/>
          <w:szCs w:val="26"/>
          <w:bdr w:val="none" w:sz="0" w:space="0" w:color="auto" w:frame="1"/>
          <w:shd w:val="clear" w:color="auto" w:fill="FFFFFF"/>
        </w:rPr>
        <w:t xml:space="preserve">was </w:t>
      </w:r>
      <w:r w:rsidRPr="000566EE" w:rsidR="00E50FEB">
        <w:rPr>
          <w:color w:val="000000"/>
          <w:szCs w:val="26"/>
          <w:bdr w:val="none" w:sz="0" w:space="0" w:color="auto" w:frame="1"/>
          <w:shd w:val="clear" w:color="auto" w:fill="FFFFFF"/>
        </w:rPr>
        <w:t xml:space="preserve">calculated </w:t>
      </w:r>
      <w:r w:rsidRPr="000566EE" w:rsidR="00062069">
        <w:rPr>
          <w:color w:val="000000"/>
          <w:szCs w:val="26"/>
          <w:bdr w:val="none" w:sz="0" w:space="0" w:color="auto" w:frame="1"/>
          <w:shd w:val="clear" w:color="auto" w:fill="FFFFFF"/>
        </w:rPr>
        <w:t>as follows:</w:t>
      </w:r>
      <w:r w:rsidRPr="000566EE" w:rsidR="00E50FEB">
        <w:rPr>
          <w:color w:val="000000"/>
          <w:szCs w:val="26"/>
          <w:bdr w:val="none" w:sz="0" w:space="0" w:color="auto" w:frame="1"/>
          <w:shd w:val="clear" w:color="auto" w:fill="FFFFFF"/>
        </w:rPr>
        <w:t xml:space="preserve"> </w:t>
      </w:r>
      <w:r w:rsidRPr="000566EE" w:rsidR="00062069">
        <w:rPr>
          <w:color w:val="000000"/>
          <w:szCs w:val="26"/>
          <w:bdr w:val="none" w:sz="0" w:space="0" w:color="auto" w:frame="1"/>
          <w:shd w:val="clear" w:color="auto" w:fill="FFFFFF"/>
        </w:rPr>
        <w:t xml:space="preserve"> </w:t>
      </w:r>
      <w:r w:rsidRPr="000566EE" w:rsidR="00053304">
        <w:rPr>
          <w:color w:val="000000"/>
          <w:szCs w:val="26"/>
          <w:bdr w:val="none" w:sz="0" w:space="0" w:color="auto" w:frame="1"/>
          <w:shd w:val="clear" w:color="auto" w:fill="FFFFFF"/>
        </w:rPr>
        <w:t>$90</w:t>
      </w:r>
      <w:r w:rsidRPr="000566EE" w:rsidR="005C1616">
        <w:rPr>
          <w:color w:val="000000"/>
          <w:szCs w:val="26"/>
          <w:bdr w:val="none" w:sz="0" w:space="0" w:color="auto" w:frame="1"/>
          <w:shd w:val="clear" w:color="auto" w:fill="FFFFFF"/>
        </w:rPr>
        <w:t xml:space="preserve">,405 for YIMBY’s counsel’s work on the merits of the case, </w:t>
      </w:r>
      <w:r w:rsidRPr="000566EE" w:rsidR="007B39E5">
        <w:rPr>
          <w:color w:val="000000"/>
          <w:szCs w:val="26"/>
          <w:bdr w:val="none" w:sz="0" w:space="0" w:color="auto" w:frame="1"/>
          <w:shd w:val="clear" w:color="auto" w:fill="FFFFFF"/>
        </w:rPr>
        <w:t>$</w:t>
      </w:r>
      <w:r w:rsidRPr="000566EE" w:rsidR="007E605F">
        <w:rPr>
          <w:color w:val="000000"/>
          <w:szCs w:val="26"/>
          <w:bdr w:val="none" w:sz="0" w:space="0" w:color="auto" w:frame="1"/>
          <w:shd w:val="clear" w:color="auto" w:fill="FFFFFF"/>
        </w:rPr>
        <w:t xml:space="preserve">9,310 for </w:t>
      </w:r>
      <w:r w:rsidRPr="000566EE" w:rsidR="005F49BE">
        <w:rPr>
          <w:color w:val="000000"/>
          <w:szCs w:val="26"/>
          <w:bdr w:val="none" w:sz="0" w:space="0" w:color="auto" w:frame="1"/>
          <w:shd w:val="clear" w:color="auto" w:fill="FFFFFF"/>
        </w:rPr>
        <w:t xml:space="preserve">work on </w:t>
      </w:r>
      <w:r w:rsidRPr="000566EE" w:rsidR="00FA709E">
        <w:rPr>
          <w:color w:val="000000"/>
          <w:szCs w:val="26"/>
          <w:bdr w:val="none" w:sz="0" w:space="0" w:color="auto" w:frame="1"/>
          <w:shd w:val="clear" w:color="auto" w:fill="FFFFFF"/>
        </w:rPr>
        <w:t xml:space="preserve">the motion for attorney </w:t>
      </w:r>
      <w:r w:rsidRPr="000566EE" w:rsidR="005F49BE">
        <w:rPr>
          <w:color w:val="000000"/>
          <w:szCs w:val="26"/>
          <w:bdr w:val="none" w:sz="0" w:space="0" w:color="auto" w:frame="1"/>
          <w:shd w:val="clear" w:color="auto" w:fill="FFFFFF"/>
        </w:rPr>
        <w:t>fee</w:t>
      </w:r>
      <w:r w:rsidRPr="000566EE" w:rsidR="00FA709E">
        <w:rPr>
          <w:color w:val="000000"/>
          <w:szCs w:val="26"/>
          <w:bdr w:val="none" w:sz="0" w:space="0" w:color="auto" w:frame="1"/>
          <w:shd w:val="clear" w:color="auto" w:fill="FFFFFF"/>
        </w:rPr>
        <w:t>s</w:t>
      </w:r>
      <w:r w:rsidRPr="000566EE" w:rsidR="005F49BE">
        <w:rPr>
          <w:color w:val="000000"/>
          <w:szCs w:val="26"/>
          <w:bdr w:val="none" w:sz="0" w:space="0" w:color="auto" w:frame="1"/>
          <w:shd w:val="clear" w:color="auto" w:fill="FFFFFF"/>
        </w:rPr>
        <w:t>,</w:t>
      </w:r>
      <w:r w:rsidRPr="000566EE" w:rsidR="00FA709E">
        <w:rPr>
          <w:color w:val="000000"/>
          <w:szCs w:val="26"/>
          <w:bdr w:val="none" w:sz="0" w:space="0" w:color="auto" w:frame="1"/>
          <w:shd w:val="clear" w:color="auto" w:fill="FFFFFF"/>
        </w:rPr>
        <w:t xml:space="preserve"> and</w:t>
      </w:r>
      <w:r w:rsidRPr="000566EE" w:rsidR="005F49BE">
        <w:rPr>
          <w:color w:val="000000"/>
          <w:szCs w:val="26"/>
          <w:bdr w:val="none" w:sz="0" w:space="0" w:color="auto" w:frame="1"/>
          <w:shd w:val="clear" w:color="auto" w:fill="FFFFFF"/>
        </w:rPr>
        <w:t xml:space="preserve"> </w:t>
      </w:r>
      <w:r w:rsidRPr="000566EE" w:rsidR="004E0FA2">
        <w:rPr>
          <w:color w:val="000000"/>
          <w:szCs w:val="26"/>
          <w:bdr w:val="none" w:sz="0" w:space="0" w:color="auto" w:frame="1"/>
          <w:shd w:val="clear" w:color="auto" w:fill="FFFFFF"/>
        </w:rPr>
        <w:t>$</w:t>
      </w:r>
      <w:r w:rsidRPr="000566EE" w:rsidR="00C52FD1">
        <w:rPr>
          <w:color w:val="000000"/>
          <w:szCs w:val="26"/>
          <w:bdr w:val="none" w:sz="0" w:space="0" w:color="auto" w:frame="1"/>
          <w:shd w:val="clear" w:color="auto" w:fill="FFFFFF"/>
        </w:rPr>
        <w:t>9</w:t>
      </w:r>
      <w:r w:rsidRPr="000566EE" w:rsidR="000E29CC">
        <w:rPr>
          <w:color w:val="000000"/>
          <w:szCs w:val="26"/>
          <w:bdr w:val="none" w:sz="0" w:space="0" w:color="auto" w:frame="1"/>
          <w:shd w:val="clear" w:color="auto" w:fill="FFFFFF"/>
        </w:rPr>
        <w:t>,</w:t>
      </w:r>
      <w:r w:rsidRPr="000566EE" w:rsidR="00BB52E5">
        <w:rPr>
          <w:color w:val="000000"/>
          <w:szCs w:val="26"/>
          <w:bdr w:val="none" w:sz="0" w:space="0" w:color="auto" w:frame="1"/>
          <w:shd w:val="clear" w:color="auto" w:fill="FFFFFF"/>
        </w:rPr>
        <w:t>497</w:t>
      </w:r>
      <w:r w:rsidRPr="000566EE" w:rsidR="000E29CC">
        <w:rPr>
          <w:color w:val="000000"/>
          <w:szCs w:val="26"/>
          <w:bdr w:val="none" w:sz="0" w:space="0" w:color="auto" w:frame="1"/>
          <w:shd w:val="clear" w:color="auto" w:fill="FFFFFF"/>
        </w:rPr>
        <w:t xml:space="preserve">.33 </w:t>
      </w:r>
      <w:r w:rsidRPr="000566EE" w:rsidR="00183A18">
        <w:rPr>
          <w:color w:val="000000"/>
          <w:szCs w:val="26"/>
          <w:bdr w:val="none" w:sz="0" w:space="0" w:color="auto" w:frame="1"/>
          <w:shd w:val="clear" w:color="auto" w:fill="FFFFFF"/>
        </w:rPr>
        <w:t>for</w:t>
      </w:r>
      <w:r w:rsidRPr="000566EE" w:rsidR="00550EE1">
        <w:rPr>
          <w:color w:val="000000"/>
          <w:szCs w:val="26"/>
          <w:bdr w:val="none" w:sz="0" w:space="0" w:color="auto" w:frame="1"/>
          <w:shd w:val="clear" w:color="auto" w:fill="FFFFFF"/>
        </w:rPr>
        <w:t xml:space="preserve"> time </w:t>
      </w:r>
      <w:r w:rsidRPr="000566EE" w:rsidR="000F1D0F">
        <w:rPr>
          <w:color w:val="000000"/>
          <w:szCs w:val="26"/>
          <w:bdr w:val="none" w:sz="0" w:space="0" w:color="auto" w:frame="1"/>
          <w:shd w:val="clear" w:color="auto" w:fill="FFFFFF"/>
        </w:rPr>
        <w:t>spent on the reply</w:t>
      </w:r>
      <w:r w:rsidRPr="000566EE" w:rsidR="0053437E">
        <w:rPr>
          <w:color w:val="000000"/>
          <w:szCs w:val="26"/>
          <w:bdr w:val="none" w:sz="0" w:space="0" w:color="auto" w:frame="1"/>
          <w:shd w:val="clear" w:color="auto" w:fill="FFFFFF"/>
        </w:rPr>
        <w:t xml:space="preserve"> brief filed in support of the motion</w:t>
      </w:r>
      <w:r w:rsidRPr="000566EE" w:rsidR="000F31FF">
        <w:rPr>
          <w:color w:val="000000"/>
          <w:szCs w:val="26"/>
          <w:bdr w:val="none" w:sz="0" w:space="0" w:color="auto" w:frame="1"/>
          <w:shd w:val="clear" w:color="auto" w:fill="FFFFFF"/>
        </w:rPr>
        <w:t>.</w:t>
      </w:r>
      <w:r w:rsidRPr="000566EE" w:rsidR="00B120D8">
        <w:rPr>
          <w:color w:val="000000"/>
          <w:szCs w:val="26"/>
          <w:bdr w:val="none" w:sz="0" w:space="0" w:color="auto" w:frame="1"/>
          <w:shd w:val="clear" w:color="auto" w:fill="FFFFFF"/>
        </w:rPr>
        <w:t xml:space="preserve"> </w:t>
      </w:r>
      <w:r w:rsidRPr="000566EE" w:rsidR="000F31FF">
        <w:rPr>
          <w:color w:val="000000"/>
          <w:szCs w:val="26"/>
          <w:bdr w:val="none" w:sz="0" w:space="0" w:color="auto" w:frame="1"/>
          <w:shd w:val="clear" w:color="auto" w:fill="FFFFFF"/>
        </w:rPr>
        <w:t xml:space="preserve"> The court then applied </w:t>
      </w:r>
      <w:r w:rsidRPr="000566EE" w:rsidR="00C10BE6">
        <w:rPr>
          <w:color w:val="000000"/>
          <w:szCs w:val="26"/>
          <w:bdr w:val="none" w:sz="0" w:space="0" w:color="auto" w:frame="1"/>
          <w:shd w:val="clear" w:color="auto" w:fill="FFFFFF"/>
        </w:rPr>
        <w:t>a multiplier</w:t>
      </w:r>
      <w:r w:rsidRPr="000566EE" w:rsidR="000F31FF">
        <w:rPr>
          <w:color w:val="000000"/>
          <w:szCs w:val="26"/>
          <w:bdr w:val="none" w:sz="0" w:space="0" w:color="auto" w:frame="1"/>
          <w:shd w:val="clear" w:color="auto" w:fill="FFFFFF"/>
        </w:rPr>
        <w:t xml:space="preserve"> of 1.25 </w:t>
      </w:r>
      <w:r w:rsidRPr="000566EE" w:rsidR="00BE78A4">
        <w:rPr>
          <w:color w:val="000000"/>
          <w:szCs w:val="26"/>
          <w:bdr w:val="none" w:sz="0" w:space="0" w:color="auto" w:frame="1"/>
          <w:shd w:val="clear" w:color="auto" w:fill="FFFFFF"/>
        </w:rPr>
        <w:t xml:space="preserve">to the $90,405 </w:t>
      </w:r>
      <w:r w:rsidRPr="000566EE" w:rsidR="00A6048A">
        <w:rPr>
          <w:color w:val="000000"/>
          <w:szCs w:val="26"/>
          <w:bdr w:val="none" w:sz="0" w:space="0" w:color="auto" w:frame="1"/>
          <w:shd w:val="clear" w:color="auto" w:fill="FFFFFF"/>
        </w:rPr>
        <w:t xml:space="preserve">worth of </w:t>
      </w:r>
      <w:r w:rsidRPr="000566EE" w:rsidR="00BE78A4">
        <w:rPr>
          <w:color w:val="000000"/>
          <w:szCs w:val="26"/>
          <w:bdr w:val="none" w:sz="0" w:space="0" w:color="auto" w:frame="1"/>
          <w:shd w:val="clear" w:color="auto" w:fill="FFFFFF"/>
        </w:rPr>
        <w:t xml:space="preserve">work on the merits </w:t>
      </w:r>
      <w:r w:rsidR="00790D54">
        <w:rPr>
          <w:color w:val="000000"/>
          <w:szCs w:val="26"/>
          <w:bdr w:val="none" w:sz="0" w:space="0" w:color="auto" w:frame="1"/>
          <w:shd w:val="clear" w:color="auto" w:fill="FFFFFF"/>
        </w:rPr>
        <w:t>(</w:t>
      </w:r>
      <w:r w:rsidRPr="000566EE" w:rsidR="007F509E">
        <w:rPr>
          <w:color w:val="000000"/>
          <w:szCs w:val="26"/>
          <w:bdr w:val="none" w:sz="0" w:space="0" w:color="auto" w:frame="1"/>
          <w:shd w:val="clear" w:color="auto" w:fill="FFFFFF"/>
        </w:rPr>
        <w:t xml:space="preserve">($90,405 x 1.25) + </w:t>
      </w:r>
      <w:r w:rsidRPr="000566EE" w:rsidR="00564B3E">
        <w:rPr>
          <w:color w:val="000000"/>
          <w:szCs w:val="26"/>
          <w:bdr w:val="none" w:sz="0" w:space="0" w:color="auto" w:frame="1"/>
          <w:shd w:val="clear" w:color="auto" w:fill="FFFFFF"/>
        </w:rPr>
        <w:t xml:space="preserve">$9,310 + </w:t>
      </w:r>
      <w:r w:rsidRPr="000566EE" w:rsidR="006F3122">
        <w:rPr>
          <w:color w:val="000000"/>
          <w:szCs w:val="26"/>
          <w:bdr w:val="none" w:sz="0" w:space="0" w:color="auto" w:frame="1"/>
          <w:shd w:val="clear" w:color="auto" w:fill="FFFFFF"/>
        </w:rPr>
        <w:t>9,497.33</w:t>
      </w:r>
      <w:r w:rsidRPr="000566EE" w:rsidR="00012E77">
        <w:rPr>
          <w:color w:val="000000"/>
          <w:szCs w:val="26"/>
          <w:bdr w:val="none" w:sz="0" w:space="0" w:color="auto" w:frame="1"/>
          <w:shd w:val="clear" w:color="auto" w:fill="FFFFFF"/>
        </w:rPr>
        <w:t> </w:t>
      </w:r>
      <w:r w:rsidRPr="000566EE" w:rsidR="00564B3E">
        <w:rPr>
          <w:color w:val="000000"/>
          <w:szCs w:val="26"/>
          <w:bdr w:val="none" w:sz="0" w:space="0" w:color="auto" w:frame="1"/>
          <w:shd w:val="clear" w:color="auto" w:fill="FFFFFF"/>
        </w:rPr>
        <w:t xml:space="preserve">= </w:t>
      </w:r>
      <w:r w:rsidRPr="000566EE" w:rsidR="007B39E5">
        <w:rPr>
          <w:color w:val="000000"/>
          <w:szCs w:val="26"/>
          <w:bdr w:val="none" w:sz="0" w:space="0" w:color="auto" w:frame="1"/>
          <w:shd w:val="clear" w:color="auto" w:fill="FFFFFF"/>
        </w:rPr>
        <w:t>$</w:t>
      </w:r>
      <w:r w:rsidRPr="000566EE" w:rsidR="00084B3D">
        <w:rPr>
          <w:color w:val="000000"/>
          <w:szCs w:val="26"/>
          <w:bdr w:val="none" w:sz="0" w:space="0" w:color="auto" w:frame="1"/>
          <w:shd w:val="clear" w:color="auto" w:fill="FFFFFF"/>
        </w:rPr>
        <w:t>13</w:t>
      </w:r>
      <w:r w:rsidRPr="000566EE" w:rsidR="00185CD7">
        <w:rPr>
          <w:color w:val="000000"/>
          <w:szCs w:val="26"/>
          <w:bdr w:val="none" w:sz="0" w:space="0" w:color="auto" w:frame="1"/>
          <w:shd w:val="clear" w:color="auto" w:fill="FFFFFF"/>
        </w:rPr>
        <w:t>1</w:t>
      </w:r>
      <w:r w:rsidRPr="000566EE" w:rsidR="00F64751">
        <w:rPr>
          <w:color w:val="000000"/>
          <w:szCs w:val="26"/>
          <w:bdr w:val="none" w:sz="0" w:space="0" w:color="auto" w:frame="1"/>
          <w:shd w:val="clear" w:color="auto" w:fill="FFFFFF"/>
        </w:rPr>
        <w:t>,</w:t>
      </w:r>
      <w:r w:rsidRPr="000566EE" w:rsidR="00185CD7">
        <w:rPr>
          <w:color w:val="000000"/>
          <w:szCs w:val="26"/>
          <w:bdr w:val="none" w:sz="0" w:space="0" w:color="auto" w:frame="1"/>
          <w:shd w:val="clear" w:color="auto" w:fill="FFFFFF"/>
        </w:rPr>
        <w:t>813</w:t>
      </w:r>
      <w:r w:rsidRPr="000566EE" w:rsidR="00F64751">
        <w:rPr>
          <w:color w:val="000000"/>
          <w:szCs w:val="26"/>
          <w:bdr w:val="none" w:sz="0" w:space="0" w:color="auto" w:frame="1"/>
          <w:shd w:val="clear" w:color="auto" w:fill="FFFFFF"/>
        </w:rPr>
        <w:t>.58</w:t>
      </w:r>
      <w:r w:rsidR="00790D54">
        <w:rPr>
          <w:color w:val="000000"/>
          <w:szCs w:val="26"/>
          <w:bdr w:val="none" w:sz="0" w:space="0" w:color="auto" w:frame="1"/>
          <w:shd w:val="clear" w:color="auto" w:fill="FFFFFF"/>
        </w:rPr>
        <w:t>)</w:t>
      </w:r>
      <w:r w:rsidRPr="000566EE" w:rsidR="004A0FAA">
        <w:rPr>
          <w:color w:val="000000"/>
          <w:szCs w:val="26"/>
          <w:bdr w:val="none" w:sz="0" w:space="0" w:color="auto" w:frame="1"/>
          <w:shd w:val="clear" w:color="auto" w:fill="FFFFFF"/>
        </w:rPr>
        <w:t xml:space="preserve">. </w:t>
      </w:r>
      <w:r w:rsidRPr="000566EE" w:rsidR="00BC1166">
        <w:rPr>
          <w:color w:val="000000"/>
          <w:szCs w:val="26"/>
          <w:bdr w:val="none" w:sz="0" w:space="0" w:color="auto" w:frame="1"/>
          <w:shd w:val="clear" w:color="auto" w:fill="FFFFFF"/>
        </w:rPr>
        <w:t xml:space="preserve"> </w:t>
      </w:r>
      <w:r w:rsidRPr="000566EE">
        <w:rPr>
          <w:color w:val="000000"/>
          <w:szCs w:val="26"/>
          <w:bdr w:val="none" w:sz="0" w:space="0" w:color="auto" w:frame="1"/>
          <w:shd w:val="clear" w:color="auto" w:fill="FFFFFF"/>
        </w:rPr>
        <w:t>T</w:t>
      </w:r>
      <w:r w:rsidRPr="000566EE" w:rsidR="002F160C">
        <w:rPr>
          <w:color w:val="000000"/>
          <w:szCs w:val="26"/>
          <w:bdr w:val="none" w:sz="0" w:space="0" w:color="auto" w:frame="1"/>
          <w:shd w:val="clear" w:color="auto" w:fill="FFFFFF"/>
        </w:rPr>
        <w:t xml:space="preserve">he City </w:t>
      </w:r>
      <w:r w:rsidRPr="000566EE" w:rsidR="002327DA">
        <w:rPr>
          <w:color w:val="000000"/>
          <w:szCs w:val="26"/>
          <w:bdr w:val="none" w:sz="0" w:space="0" w:color="auto" w:frame="1"/>
          <w:shd w:val="clear" w:color="auto" w:fill="FFFFFF"/>
        </w:rPr>
        <w:t>challenges</w:t>
      </w:r>
      <w:r w:rsidRPr="000566EE" w:rsidR="002F160C">
        <w:rPr>
          <w:color w:val="000000"/>
          <w:szCs w:val="26"/>
          <w:bdr w:val="none" w:sz="0" w:space="0" w:color="auto" w:frame="1"/>
          <w:shd w:val="clear" w:color="auto" w:fill="FFFFFF"/>
        </w:rPr>
        <w:t xml:space="preserve"> </w:t>
      </w:r>
      <w:r w:rsidRPr="000566EE" w:rsidR="00B972C9">
        <w:rPr>
          <w:color w:val="000000"/>
          <w:szCs w:val="26"/>
          <w:bdr w:val="none" w:sz="0" w:space="0" w:color="auto" w:frame="1"/>
          <w:shd w:val="clear" w:color="auto" w:fill="FFFFFF"/>
        </w:rPr>
        <w:t xml:space="preserve">only </w:t>
      </w:r>
      <w:r w:rsidRPr="000566EE" w:rsidR="002F160C">
        <w:rPr>
          <w:color w:val="000000"/>
          <w:szCs w:val="26"/>
          <w:bdr w:val="none" w:sz="0" w:space="0" w:color="auto" w:frame="1"/>
          <w:shd w:val="clear" w:color="auto" w:fill="FFFFFF"/>
        </w:rPr>
        <w:t>the multiplier</w:t>
      </w:r>
      <w:r w:rsidRPr="000566EE" w:rsidR="00365EE4">
        <w:rPr>
          <w:color w:val="000000"/>
          <w:szCs w:val="26"/>
          <w:bdr w:val="none" w:sz="0" w:space="0" w:color="auto" w:frame="1"/>
          <w:shd w:val="clear" w:color="auto" w:fill="FFFFFF"/>
        </w:rPr>
        <w:t xml:space="preserve">, arguing it </w:t>
      </w:r>
      <w:r w:rsidRPr="000566EE" w:rsidR="002F160C">
        <w:rPr>
          <w:color w:val="000000"/>
          <w:szCs w:val="26"/>
          <w:bdr w:val="none" w:sz="0" w:space="0" w:color="auto" w:frame="1"/>
          <w:shd w:val="clear" w:color="auto" w:fill="FFFFFF"/>
        </w:rPr>
        <w:t xml:space="preserve">was based on improper factors.  We </w:t>
      </w:r>
      <w:r w:rsidRPr="000566EE" w:rsidR="00DA110C">
        <w:rPr>
          <w:color w:val="000000"/>
          <w:szCs w:val="26"/>
          <w:bdr w:val="none" w:sz="0" w:space="0" w:color="auto" w:frame="1"/>
          <w:shd w:val="clear" w:color="auto" w:fill="FFFFFF"/>
        </w:rPr>
        <w:t>fin</w:t>
      </w:r>
      <w:r w:rsidRPr="000566EE" w:rsidR="00BC17BA">
        <w:rPr>
          <w:color w:val="000000"/>
          <w:szCs w:val="26"/>
          <w:bdr w:val="none" w:sz="0" w:space="0" w:color="auto" w:frame="1"/>
          <w:shd w:val="clear" w:color="auto" w:fill="FFFFFF"/>
        </w:rPr>
        <w:t xml:space="preserve">d </w:t>
      </w:r>
      <w:r w:rsidRPr="000566EE" w:rsidR="00DA110C">
        <w:rPr>
          <w:color w:val="000000"/>
          <w:szCs w:val="26"/>
          <w:bdr w:val="none" w:sz="0" w:space="0" w:color="auto" w:frame="1"/>
          <w:shd w:val="clear" w:color="auto" w:fill="FFFFFF"/>
        </w:rPr>
        <w:t>no error</w:t>
      </w:r>
      <w:r w:rsidRPr="000566EE" w:rsidR="002F160C">
        <w:rPr>
          <w:color w:val="000000"/>
          <w:szCs w:val="26"/>
          <w:bdr w:val="none" w:sz="0" w:space="0" w:color="auto" w:frame="1"/>
          <w:shd w:val="clear" w:color="auto" w:fill="FFFFFF"/>
        </w:rPr>
        <w:t>.</w:t>
      </w:r>
      <w:r w:rsidRPr="000566EE" w:rsidR="00F833A2">
        <w:rPr>
          <w:color w:val="000000"/>
          <w:szCs w:val="26"/>
          <w:bdr w:val="none" w:sz="0" w:space="0" w:color="auto" w:frame="1"/>
          <w:shd w:val="clear" w:color="auto" w:fill="FFFFFF"/>
        </w:rPr>
        <w:t xml:space="preserve"> </w:t>
      </w:r>
    </w:p>
    <w:p w:rsidR="003A50F1" w:rsidRPr="000566EE" w:rsidP="000566EE" w14:paraId="04512C3D" w14:textId="5B758CEE">
      <w:pPr>
        <w:ind w:firstLine="720"/>
        <w:contextualSpacing/>
        <w:rPr>
          <w:color w:val="000000"/>
          <w:szCs w:val="26"/>
          <w:bdr w:val="none" w:sz="0" w:space="0" w:color="auto" w:frame="1"/>
          <w:shd w:val="clear" w:color="auto" w:fill="FFFFFF"/>
        </w:rPr>
      </w:pPr>
      <w:r w:rsidRPr="000566EE">
        <w:rPr>
          <w:color w:val="000000"/>
          <w:szCs w:val="26"/>
          <w:bdr w:val="none" w:sz="0" w:space="0" w:color="auto" w:frame="1"/>
          <w:shd w:val="clear" w:color="auto" w:fill="FFFFFF"/>
        </w:rPr>
        <w:t>“Where attorney fees are awarded under section</w:t>
      </w:r>
      <w:r w:rsidRPr="000566EE" w:rsidR="007C2E40">
        <w:rPr>
          <w:color w:val="000000"/>
          <w:szCs w:val="26"/>
          <w:bdr w:val="none" w:sz="0" w:space="0" w:color="auto" w:frame="1"/>
          <w:shd w:val="clear" w:color="auto" w:fill="FFFFFF"/>
        </w:rPr>
        <w:t> </w:t>
      </w:r>
      <w:r w:rsidRPr="000566EE">
        <w:rPr>
          <w:color w:val="000000"/>
          <w:szCs w:val="26"/>
          <w:bdr w:val="none" w:sz="0" w:space="0" w:color="auto" w:frame="1"/>
          <w:shd w:val="clear" w:color="auto" w:fill="FFFFFF"/>
        </w:rPr>
        <w:t>1021.5, ‘the fee setting inquiry ordinarily begins with the “lodestar,” i.e., the number of hours reasonably expended multiplied by the reasonable hourly rate.’  [Citation.]</w:t>
      </w:r>
      <w:r w:rsidRPr="000566EE" w:rsidR="005173B2">
        <w:rPr>
          <w:color w:val="000000"/>
          <w:szCs w:val="26"/>
          <w:bdr w:val="none" w:sz="0" w:space="0" w:color="auto" w:frame="1"/>
          <w:shd w:val="clear" w:color="auto" w:fill="FFFFFF"/>
        </w:rPr>
        <w:t xml:space="preserve">  </w:t>
      </w:r>
      <w:r w:rsidRPr="000566EE" w:rsidR="00C72669">
        <w:rPr>
          <w:color w:val="000000"/>
          <w:szCs w:val="26"/>
          <w:bdr w:val="none" w:sz="0" w:space="0" w:color="auto" w:frame="1"/>
          <w:shd w:val="clear" w:color="auto" w:fill="FFFFFF"/>
        </w:rPr>
        <w:t>‘</w:t>
      </w:r>
      <w:r w:rsidRPr="000566EE">
        <w:rPr>
          <w:color w:val="000000"/>
          <w:szCs w:val="26"/>
          <w:bdr w:val="none" w:sz="0" w:space="0" w:color="auto" w:frame="1"/>
          <w:shd w:val="clear" w:color="auto" w:fill="FFFFFF"/>
        </w:rPr>
        <w:t>Next, the court engages in the multiplier analysis, and determines whether the lodestar figure should be augmented or diminished by one or more relevant factors</w:t>
      </w:r>
      <w:r w:rsidRPr="000566EE" w:rsidR="00C72669">
        <w:rPr>
          <w:color w:val="000000"/>
          <w:szCs w:val="26"/>
          <w:bdr w:val="none" w:sz="0" w:space="0" w:color="auto" w:frame="1"/>
          <w:shd w:val="clear" w:color="auto" w:fill="FFFFFF"/>
        </w:rPr>
        <w:t>’ </w:t>
      </w:r>
      <w:r w:rsidRPr="000566EE" w:rsidR="003E4CA5">
        <w:rPr>
          <w:color w:val="000000"/>
          <w:szCs w:val="26"/>
          <w:bdr w:val="none" w:sz="0" w:space="0" w:color="auto" w:frame="1"/>
          <w:shd w:val="clear" w:color="auto" w:fill="FFFFFF"/>
        </w:rPr>
        <w:t>. . . .</w:t>
      </w:r>
      <w:r w:rsidRPr="000566EE" w:rsidR="00C72669">
        <w:rPr>
          <w:color w:val="000000"/>
          <w:szCs w:val="26"/>
          <w:bdr w:val="none" w:sz="0" w:space="0" w:color="auto" w:frame="1"/>
          <w:shd w:val="clear" w:color="auto" w:fill="FFFFFF"/>
        </w:rPr>
        <w:t>”</w:t>
      </w:r>
      <w:r w:rsidRPr="000566EE" w:rsidR="003E4CA5">
        <w:rPr>
          <w:color w:val="000000"/>
          <w:szCs w:val="26"/>
          <w:bdr w:val="none" w:sz="0" w:space="0" w:color="auto" w:frame="1"/>
          <w:shd w:val="clear" w:color="auto" w:fill="FFFFFF"/>
        </w:rPr>
        <w:t xml:space="preserve">  </w:t>
      </w:r>
      <w:r w:rsidRPr="000566EE" w:rsidR="004C0949">
        <w:rPr>
          <w:color w:val="000000"/>
          <w:szCs w:val="26"/>
          <w:bdr w:val="none" w:sz="0" w:space="0" w:color="auto" w:frame="1"/>
          <w:shd w:val="clear" w:color="auto" w:fill="FFFFFF"/>
        </w:rPr>
        <w:t>(</w:t>
      </w:r>
      <w:r w:rsidRPr="000566EE" w:rsidR="004C0949">
        <w:rPr>
          <w:i/>
          <w:iCs/>
          <w:color w:val="000000"/>
          <w:szCs w:val="26"/>
          <w:bdr w:val="none" w:sz="0" w:space="0" w:color="auto" w:frame="1"/>
          <w:shd w:val="clear" w:color="auto" w:fill="FFFFFF"/>
        </w:rPr>
        <w:t>Keep Our Mountains Quiet v. County of Santa Clara</w:t>
      </w:r>
      <w:r w:rsidRPr="000566EE" w:rsidR="004C0949">
        <w:rPr>
          <w:color w:val="000000"/>
          <w:szCs w:val="26"/>
          <w:bdr w:val="none" w:sz="0" w:space="0" w:color="auto" w:frame="1"/>
          <w:shd w:val="clear" w:color="auto" w:fill="FFFFFF"/>
        </w:rPr>
        <w:t xml:space="preserve"> (2015) </w:t>
      </w:r>
      <w:r w:rsidRPr="000566EE" w:rsidR="00D834C6">
        <w:rPr>
          <w:color w:val="000000"/>
          <w:szCs w:val="26"/>
          <w:bdr w:val="none" w:sz="0" w:space="0" w:color="auto" w:frame="1"/>
          <w:shd w:val="clear" w:color="auto" w:fill="FFFFFF"/>
        </w:rPr>
        <w:t xml:space="preserve">236 Cal.App.4th 714, 736–737.)  </w:t>
      </w:r>
      <w:r w:rsidRPr="000566EE">
        <w:rPr>
          <w:color w:val="000000"/>
          <w:szCs w:val="26"/>
          <w:bdr w:val="none" w:sz="0" w:space="0" w:color="auto" w:frame="1"/>
          <w:shd w:val="clear" w:color="auto" w:fill="FFFFFF"/>
        </w:rPr>
        <w:t>Factors that the court may consider in adjusting the lodestar include “(1) the novelty and difficulty of the questions involved, (2) the skill displayed in presenting them, (3) the extent to which the nature of the litigation precluded other employment by the attorneys, [and] (4) the contingent nature of the fee award.”  (</w:t>
      </w:r>
      <w:r w:rsidRPr="000566EE" w:rsidR="001C7D07">
        <w:rPr>
          <w:i/>
          <w:iCs/>
          <w:color w:val="000000"/>
          <w:szCs w:val="26"/>
          <w:bdr w:val="none" w:sz="0" w:space="0" w:color="auto" w:frame="1"/>
          <w:shd w:val="clear" w:color="auto" w:fill="FFFFFF"/>
        </w:rPr>
        <w:t>Ketchum v. Moses</w:t>
      </w:r>
      <w:r w:rsidRPr="000566EE" w:rsidR="001C7D07">
        <w:rPr>
          <w:color w:val="000000"/>
          <w:szCs w:val="26"/>
          <w:bdr w:val="none" w:sz="0" w:space="0" w:color="auto" w:frame="1"/>
          <w:shd w:val="clear" w:color="auto" w:fill="FFFFFF"/>
        </w:rPr>
        <w:t xml:space="preserve"> (2001) 24 Cal.4th 1122, 1132</w:t>
      </w:r>
      <w:r w:rsidRPr="000566EE" w:rsidR="00845442">
        <w:rPr>
          <w:color w:val="000000"/>
          <w:szCs w:val="26"/>
          <w:bdr w:val="none" w:sz="0" w:space="0" w:color="auto" w:frame="1"/>
          <w:shd w:val="clear" w:color="auto" w:fill="FFFFFF"/>
        </w:rPr>
        <w:t xml:space="preserve">.)  However, </w:t>
      </w:r>
      <w:r w:rsidRPr="000566EE">
        <w:rPr>
          <w:color w:val="000000"/>
          <w:szCs w:val="26"/>
          <w:bdr w:val="none" w:sz="0" w:space="0" w:color="auto" w:frame="1"/>
          <w:shd w:val="clear" w:color="auto" w:fill="FFFFFF"/>
        </w:rPr>
        <w:t>“‘</w:t>
      </w:r>
      <w:r w:rsidRPr="000566EE" w:rsidR="00FE0933">
        <w:rPr>
          <w:color w:val="000000"/>
          <w:szCs w:val="26"/>
          <w:bdr w:val="none" w:sz="0" w:space="0" w:color="auto" w:frame="1"/>
          <w:shd w:val="clear" w:color="auto" w:fill="FFFFFF"/>
        </w:rPr>
        <w:t>[t]</w:t>
      </w:r>
      <w:r w:rsidRPr="000566EE">
        <w:rPr>
          <w:color w:val="000000"/>
          <w:szCs w:val="26"/>
          <w:bdr w:val="none" w:sz="0" w:space="0" w:color="auto" w:frame="1"/>
          <w:shd w:val="clear" w:color="auto" w:fill="FFFFFF"/>
        </w:rPr>
        <w:t>here is no hard-and-fast rule limiting the factors that may justify an exercise of judicial discretion to increase or decrease a lodestar calculation</w:t>
      </w:r>
      <w:r w:rsidRPr="000566EE" w:rsidR="00020A14">
        <w:rPr>
          <w:color w:val="000000"/>
          <w:szCs w:val="26"/>
          <w:bdr w:val="none" w:sz="0" w:space="0" w:color="auto" w:frame="1"/>
          <w:shd w:val="clear" w:color="auto" w:fill="FFFFFF"/>
        </w:rPr>
        <w:t>,</w:t>
      </w:r>
      <w:r w:rsidRPr="000566EE">
        <w:rPr>
          <w:color w:val="000000"/>
          <w:szCs w:val="26"/>
          <w:bdr w:val="none" w:sz="0" w:space="0" w:color="auto" w:frame="1"/>
          <w:shd w:val="clear" w:color="auto" w:fill="FFFFFF"/>
        </w:rPr>
        <w:t>’</w:t>
      </w:r>
      <w:r w:rsidRPr="000566EE" w:rsidR="00DD47A1">
        <w:rPr>
          <w:color w:val="000000"/>
          <w:szCs w:val="26"/>
          <w:bdr w:val="none" w:sz="0" w:space="0" w:color="auto" w:frame="1"/>
          <w:shd w:val="clear" w:color="auto" w:fill="FFFFFF"/>
        </w:rPr>
        <w:t>”</w:t>
      </w:r>
      <w:r w:rsidRPr="000566EE">
        <w:rPr>
          <w:color w:val="000000"/>
          <w:szCs w:val="26"/>
          <w:bdr w:val="none" w:sz="0" w:space="0" w:color="auto" w:frame="1"/>
          <w:shd w:val="clear" w:color="auto" w:fill="FFFFFF"/>
        </w:rPr>
        <w:t xml:space="preserve"> any one factor </w:t>
      </w:r>
      <w:r w:rsidRPr="000566EE" w:rsidR="00D45FD0">
        <w:rPr>
          <w:color w:val="000000"/>
          <w:szCs w:val="26"/>
          <w:bdr w:val="none" w:sz="0" w:space="0" w:color="auto" w:frame="1"/>
          <w:shd w:val="clear" w:color="auto" w:fill="FFFFFF"/>
        </w:rPr>
        <w:t>“</w:t>
      </w:r>
      <w:r w:rsidRPr="000566EE">
        <w:rPr>
          <w:color w:val="000000"/>
          <w:szCs w:val="26"/>
          <w:bdr w:val="none" w:sz="0" w:space="0" w:color="auto" w:frame="1"/>
          <w:shd w:val="clear" w:color="auto" w:fill="FFFFFF"/>
        </w:rPr>
        <w:t>may be responsible for enhancing or reducing the lodestar</w:t>
      </w:r>
      <w:r w:rsidRPr="000566EE" w:rsidR="00D45FD0">
        <w:rPr>
          <w:color w:val="000000"/>
          <w:szCs w:val="26"/>
          <w:bdr w:val="none" w:sz="0" w:space="0" w:color="auto" w:frame="1"/>
          <w:shd w:val="clear" w:color="auto" w:fill="FFFFFF"/>
        </w:rPr>
        <w:t>.</w:t>
      </w:r>
      <w:r w:rsidRPr="000566EE" w:rsidR="009C2A4A">
        <w:rPr>
          <w:color w:val="000000"/>
          <w:szCs w:val="26"/>
          <w:bdr w:val="none" w:sz="0" w:space="0" w:color="auto" w:frame="1"/>
          <w:shd w:val="clear" w:color="auto" w:fill="FFFFFF"/>
        </w:rPr>
        <w:t>”  (</w:t>
      </w:r>
      <w:r w:rsidRPr="000566EE" w:rsidR="009C2A4A">
        <w:rPr>
          <w:i/>
          <w:iCs/>
          <w:color w:val="000000"/>
          <w:szCs w:val="26"/>
          <w:bdr w:val="none" w:sz="0" w:space="0" w:color="auto" w:frame="1"/>
          <w:shd w:val="clear" w:color="auto" w:fill="FFFFFF"/>
        </w:rPr>
        <w:t xml:space="preserve">Krumme v. Mercury </w:t>
      </w:r>
      <w:r w:rsidRPr="000566EE" w:rsidR="003F3F92">
        <w:rPr>
          <w:i/>
          <w:iCs/>
          <w:color w:val="000000"/>
          <w:szCs w:val="26"/>
          <w:bdr w:val="none" w:sz="0" w:space="0" w:color="auto" w:frame="1"/>
          <w:shd w:val="clear" w:color="auto" w:fill="FFFFFF"/>
        </w:rPr>
        <w:t>Ins. Co.</w:t>
      </w:r>
      <w:r w:rsidRPr="000566EE" w:rsidR="003F3F92">
        <w:rPr>
          <w:color w:val="000000"/>
          <w:szCs w:val="26"/>
          <w:bdr w:val="none" w:sz="0" w:space="0" w:color="auto" w:frame="1"/>
          <w:shd w:val="clear" w:color="auto" w:fill="FFFFFF"/>
        </w:rPr>
        <w:t xml:space="preserve"> (2004) 123 Cal.App.4th 924, 947.)</w:t>
      </w:r>
    </w:p>
    <w:p w:rsidR="00EA3813" w:rsidRPr="000566EE" w:rsidP="000566EE" w14:paraId="26268EFD" w14:textId="6ADD2EE0">
      <w:pPr>
        <w:ind w:firstLine="720"/>
        <w:contextualSpacing/>
        <w:rPr>
          <w:color w:val="000000"/>
          <w:szCs w:val="26"/>
          <w:bdr w:val="none" w:sz="0" w:space="0" w:color="auto" w:frame="1"/>
          <w:shd w:val="clear" w:color="auto" w:fill="FFFFFF"/>
        </w:rPr>
      </w:pPr>
      <w:r w:rsidRPr="000566EE">
        <w:rPr>
          <w:color w:val="000000"/>
          <w:szCs w:val="26"/>
          <w:bdr w:val="none" w:sz="0" w:space="0" w:color="auto" w:frame="1"/>
          <w:shd w:val="clear" w:color="auto" w:fill="FFFFFF"/>
        </w:rPr>
        <w:t>“‘The award of a multiplier is in the end a discretionary matter largely left to the trial court.’  [Citation.]  ‘We will not disturb the trial court</w:t>
      </w:r>
      <w:r w:rsidRPr="000566EE" w:rsidR="00B953D2">
        <w:rPr>
          <w:color w:val="000000"/>
          <w:szCs w:val="26"/>
          <w:bdr w:val="none" w:sz="0" w:space="0" w:color="auto" w:frame="1"/>
          <w:shd w:val="clear" w:color="auto" w:fill="FFFFFF"/>
        </w:rPr>
        <w:t>’</w:t>
      </w:r>
      <w:r w:rsidRPr="000566EE">
        <w:rPr>
          <w:color w:val="000000"/>
          <w:szCs w:val="26"/>
          <w:bdr w:val="none" w:sz="0" w:space="0" w:color="auto" w:frame="1"/>
          <w:shd w:val="clear" w:color="auto" w:fill="FFFFFF"/>
        </w:rPr>
        <w:t>s exercise of discretion in deciding whether to increase or reduce the lodestar figure unless the fee award is clearly wrong [citation]</w:t>
      </w:r>
      <w:r w:rsidRPr="000566EE" w:rsidR="004B09BF">
        <w:rPr>
          <w:color w:val="000000"/>
          <w:szCs w:val="26"/>
          <w:bdr w:val="none" w:sz="0" w:space="0" w:color="auto" w:frame="1"/>
          <w:shd w:val="clear" w:color="auto" w:fill="FFFFFF"/>
        </w:rPr>
        <w:t>, and we may “presume the trial court considered all the appropriate factors in choosing the multiplier and applying it to the whole lodestar</w:t>
      </w:r>
      <w:r w:rsidRPr="000566EE">
        <w:rPr>
          <w:color w:val="000000"/>
          <w:szCs w:val="26"/>
          <w:bdr w:val="none" w:sz="0" w:space="0" w:color="auto" w:frame="1"/>
          <w:shd w:val="clear" w:color="auto" w:fill="FFFFFF"/>
        </w:rPr>
        <w:t>”’ [Citation</w:t>
      </w:r>
      <w:r w:rsidRPr="000566EE" w:rsidR="00494966">
        <w:rPr>
          <w:color w:val="000000"/>
          <w:szCs w:val="26"/>
          <w:bdr w:val="none" w:sz="0" w:space="0" w:color="auto" w:frame="1"/>
          <w:shd w:val="clear" w:color="auto" w:fill="FFFFFF"/>
        </w:rPr>
        <w:t>.]”  (</w:t>
      </w:r>
      <w:r w:rsidRPr="000566EE" w:rsidR="00494966">
        <w:rPr>
          <w:i/>
          <w:iCs/>
          <w:color w:val="000000"/>
          <w:szCs w:val="26"/>
          <w:bdr w:val="none" w:sz="0" w:space="0" w:color="auto" w:frame="1"/>
          <w:shd w:val="clear" w:color="auto" w:fill="FFFFFF"/>
        </w:rPr>
        <w:t>Kennedy Com</w:t>
      </w:r>
      <w:r w:rsidRPr="000566EE" w:rsidR="006B100B">
        <w:rPr>
          <w:i/>
          <w:iCs/>
          <w:color w:val="000000"/>
          <w:szCs w:val="26"/>
          <w:bdr w:val="none" w:sz="0" w:space="0" w:color="auto" w:frame="1"/>
          <w:shd w:val="clear" w:color="auto" w:fill="FFFFFF"/>
        </w:rPr>
        <w:t>.</w:t>
      </w:r>
      <w:r w:rsidRPr="000566EE" w:rsidR="00494966">
        <w:rPr>
          <w:i/>
          <w:iCs/>
          <w:color w:val="000000"/>
          <w:szCs w:val="26"/>
          <w:bdr w:val="none" w:sz="0" w:space="0" w:color="auto" w:frame="1"/>
          <w:shd w:val="clear" w:color="auto" w:fill="FFFFFF"/>
        </w:rPr>
        <w:t xml:space="preserve"> v. City of Huntington Beach</w:t>
      </w:r>
      <w:r w:rsidRPr="000566EE" w:rsidR="00494966">
        <w:rPr>
          <w:color w:val="000000"/>
          <w:szCs w:val="26"/>
          <w:bdr w:val="none" w:sz="0" w:space="0" w:color="auto" w:frame="1"/>
          <w:shd w:val="clear" w:color="auto" w:fill="FFFFFF"/>
        </w:rPr>
        <w:t xml:space="preserve"> (2023) </w:t>
      </w:r>
      <w:r w:rsidRPr="000566EE" w:rsidR="000A7E34">
        <w:rPr>
          <w:color w:val="000000"/>
          <w:szCs w:val="26"/>
          <w:bdr w:val="none" w:sz="0" w:space="0" w:color="auto" w:frame="1"/>
          <w:shd w:val="clear" w:color="auto" w:fill="FFFFFF"/>
        </w:rPr>
        <w:t>91 Cal.App.5th 436, 467</w:t>
      </w:r>
      <w:r w:rsidRPr="000566EE" w:rsidR="00B52A79">
        <w:rPr>
          <w:color w:val="000000"/>
          <w:szCs w:val="26"/>
          <w:bdr w:val="none" w:sz="0" w:space="0" w:color="auto" w:frame="1"/>
          <w:shd w:val="clear" w:color="auto" w:fill="FFFFFF"/>
        </w:rPr>
        <w:t xml:space="preserve"> (</w:t>
      </w:r>
      <w:r w:rsidRPr="00140F9A" w:rsidR="00B52A79">
        <w:rPr>
          <w:i/>
          <w:iCs/>
          <w:color w:val="000000"/>
          <w:szCs w:val="26"/>
          <w:bdr w:val="none" w:sz="0" w:space="0" w:color="auto" w:frame="1"/>
          <w:shd w:val="clear" w:color="auto" w:fill="FFFFFF"/>
        </w:rPr>
        <w:t>Kennedy Com</w:t>
      </w:r>
      <w:r w:rsidRPr="00140F9A" w:rsidR="00A22B79">
        <w:rPr>
          <w:i/>
          <w:iCs/>
          <w:color w:val="000000"/>
          <w:szCs w:val="26"/>
          <w:bdr w:val="none" w:sz="0" w:space="0" w:color="auto" w:frame="1"/>
          <w:shd w:val="clear" w:color="auto" w:fill="FFFFFF"/>
        </w:rPr>
        <w:t>.</w:t>
      </w:r>
      <w:r w:rsidRPr="00140F9A" w:rsidR="00B52A79">
        <w:rPr>
          <w:color w:val="000000"/>
          <w:szCs w:val="26"/>
          <w:bdr w:val="none" w:sz="0" w:space="0" w:color="auto" w:frame="1"/>
          <w:shd w:val="clear" w:color="auto" w:fill="FFFFFF"/>
        </w:rPr>
        <w:t>)</w:t>
      </w:r>
      <w:r w:rsidRPr="00140F9A" w:rsidR="008A2825">
        <w:rPr>
          <w:color w:val="000000"/>
          <w:szCs w:val="26"/>
          <w:bdr w:val="none" w:sz="0" w:space="0" w:color="auto" w:frame="1"/>
          <w:shd w:val="clear" w:color="auto" w:fill="FFFFFF"/>
        </w:rPr>
        <w:t xml:space="preserve">; see also </w:t>
      </w:r>
      <w:r w:rsidRPr="00140F9A" w:rsidR="008A2825">
        <w:rPr>
          <w:i/>
          <w:iCs/>
          <w:color w:val="000000"/>
          <w:szCs w:val="26"/>
          <w:bdr w:val="none" w:sz="0" w:space="0" w:color="auto" w:frame="1"/>
          <w:shd w:val="clear" w:color="auto" w:fill="FFFFFF"/>
        </w:rPr>
        <w:t>Ramos v. Countrywide Home Loans, Inc.</w:t>
      </w:r>
      <w:r w:rsidRPr="00140F9A" w:rsidR="008A2825">
        <w:rPr>
          <w:color w:val="000000"/>
          <w:szCs w:val="26"/>
          <w:bdr w:val="none" w:sz="0" w:space="0" w:color="auto" w:frame="1"/>
          <w:shd w:val="clear" w:color="auto" w:fill="FFFFFF"/>
        </w:rPr>
        <w:t xml:space="preserve"> (2000) 82 Cal.App.4th 615 [</w:t>
      </w:r>
      <w:r w:rsidRPr="00140F9A" w:rsidR="0019435F">
        <w:rPr>
          <w:color w:val="000000"/>
          <w:szCs w:val="26"/>
          <w:bdr w:val="none" w:sz="0" w:space="0" w:color="auto" w:frame="1"/>
          <w:shd w:val="clear" w:color="auto" w:fill="FFFFFF"/>
        </w:rPr>
        <w:t>we apply an abuse of discretion standard in reviewing</w:t>
      </w:r>
      <w:r w:rsidRPr="00140F9A" w:rsidR="00D61AEB">
        <w:rPr>
          <w:color w:val="000000"/>
          <w:szCs w:val="26"/>
          <w:bdr w:val="none" w:sz="0" w:space="0" w:color="auto" w:frame="1"/>
          <w:shd w:val="clear" w:color="auto" w:fill="FFFFFF"/>
        </w:rPr>
        <w:t xml:space="preserve"> a trial court’s decision to apply a multiplier]</w:t>
      </w:r>
      <w:r w:rsidRPr="00140F9A" w:rsidR="00BD6DA6">
        <w:rPr>
          <w:color w:val="000000"/>
          <w:szCs w:val="26"/>
          <w:bdr w:val="none" w:sz="0" w:space="0" w:color="auto" w:frame="1"/>
          <w:shd w:val="clear" w:color="auto" w:fill="FFFFFF"/>
        </w:rPr>
        <w:t xml:space="preserve"> (</w:t>
      </w:r>
      <w:r w:rsidRPr="00140F9A" w:rsidR="00BD6DA6">
        <w:rPr>
          <w:i/>
          <w:iCs/>
          <w:color w:val="000000"/>
          <w:szCs w:val="26"/>
          <w:bdr w:val="none" w:sz="0" w:space="0" w:color="auto" w:frame="1"/>
          <w:shd w:val="clear" w:color="auto" w:fill="FFFFFF"/>
        </w:rPr>
        <w:t>Ramos</w:t>
      </w:r>
      <w:r w:rsidRPr="00140F9A" w:rsidR="00BD6DA6">
        <w:rPr>
          <w:color w:val="000000"/>
          <w:szCs w:val="26"/>
          <w:bdr w:val="none" w:sz="0" w:space="0" w:color="auto" w:frame="1"/>
          <w:shd w:val="clear" w:color="auto" w:fill="FFFFFF"/>
        </w:rPr>
        <w:t>)</w:t>
      </w:r>
      <w:r w:rsidRPr="00140F9A" w:rsidR="00F91E37">
        <w:rPr>
          <w:color w:val="000000"/>
          <w:szCs w:val="26"/>
          <w:bdr w:val="none" w:sz="0" w:space="0" w:color="auto" w:frame="1"/>
          <w:shd w:val="clear" w:color="auto" w:fill="FFFFFF"/>
        </w:rPr>
        <w:t>.)</w:t>
      </w:r>
      <w:r w:rsidRPr="000566EE" w:rsidR="00FE056F">
        <w:rPr>
          <w:color w:val="000000"/>
          <w:szCs w:val="26"/>
          <w:bdr w:val="none" w:sz="0" w:space="0" w:color="auto" w:frame="1"/>
          <w:shd w:val="clear" w:color="auto" w:fill="FFFFFF"/>
        </w:rPr>
        <w:t xml:space="preserve">  </w:t>
      </w:r>
      <w:r w:rsidRPr="000566EE" w:rsidR="0053437E">
        <w:rPr>
          <w:color w:val="000000"/>
          <w:szCs w:val="26"/>
          <w:bdr w:val="none" w:sz="0" w:space="0" w:color="auto" w:frame="1"/>
          <w:shd w:val="clear" w:color="auto" w:fill="FFFFFF"/>
        </w:rPr>
        <w:t>“</w:t>
      </w:r>
      <w:r w:rsidRPr="000566EE" w:rsidR="001106EA">
        <w:rPr>
          <w:color w:val="000000"/>
          <w:szCs w:val="26"/>
          <w:bdr w:val="none" w:sz="0" w:space="0" w:color="auto" w:frame="1"/>
          <w:shd w:val="clear" w:color="auto" w:fill="FFFFFF"/>
        </w:rPr>
        <w:t>‘</w:t>
      </w:r>
      <w:r w:rsidRPr="000566EE" w:rsidR="00103610">
        <w:rPr>
          <w:color w:val="000000"/>
          <w:szCs w:val="26"/>
          <w:bdr w:val="none" w:sz="0" w:space="0" w:color="auto" w:frame="1"/>
          <w:shd w:val="clear" w:color="auto" w:fill="FFFFFF"/>
        </w:rPr>
        <w:t>The only proper basis of reversal of the amount of an attorney fees award is if the amount awarded is so large or small that it shocks the conscience and suggests that passion and prejudice influenced the determination.’  [Citation.]”  (</w:t>
      </w:r>
      <w:r w:rsidRPr="000566EE" w:rsidR="00103610">
        <w:rPr>
          <w:i/>
          <w:iCs/>
          <w:color w:val="000000"/>
          <w:szCs w:val="26"/>
          <w:bdr w:val="none" w:sz="0" w:space="0" w:color="auto" w:frame="1"/>
          <w:shd w:val="clear" w:color="auto" w:fill="FFFFFF"/>
        </w:rPr>
        <w:t>Loeffler v. Medina</w:t>
      </w:r>
      <w:r w:rsidRPr="000566EE" w:rsidR="00103610">
        <w:rPr>
          <w:color w:val="000000"/>
          <w:szCs w:val="26"/>
          <w:bdr w:val="none" w:sz="0" w:space="0" w:color="auto" w:frame="1"/>
          <w:shd w:val="clear" w:color="auto" w:fill="FFFFFF"/>
        </w:rPr>
        <w:t xml:space="preserve"> (2009) 174 Cal.App.4th 1495, 1509 (</w:t>
      </w:r>
      <w:r w:rsidRPr="000566EE" w:rsidR="00103610">
        <w:rPr>
          <w:i/>
          <w:iCs/>
          <w:color w:val="000000"/>
          <w:szCs w:val="26"/>
          <w:bdr w:val="none" w:sz="0" w:space="0" w:color="auto" w:frame="1"/>
          <w:shd w:val="clear" w:color="auto" w:fill="FFFFFF"/>
        </w:rPr>
        <w:t>Loeffler</w:t>
      </w:r>
      <w:r w:rsidRPr="000566EE" w:rsidR="00103610">
        <w:rPr>
          <w:color w:val="000000"/>
          <w:szCs w:val="26"/>
          <w:bdr w:val="none" w:sz="0" w:space="0" w:color="auto" w:frame="1"/>
          <w:shd w:val="clear" w:color="auto" w:fill="FFFFFF"/>
        </w:rPr>
        <w:t xml:space="preserve">).)  </w:t>
      </w:r>
    </w:p>
    <w:p w:rsidR="00FC3D43" w:rsidRPr="000566EE" w:rsidP="000566EE" w14:paraId="09B503DD" w14:textId="1A58FC60">
      <w:pPr>
        <w:ind w:firstLine="720"/>
        <w:contextualSpacing/>
        <w:rPr>
          <w:color w:val="000000"/>
          <w:szCs w:val="26"/>
          <w:bdr w:val="none" w:sz="0" w:space="0" w:color="auto" w:frame="1"/>
          <w:shd w:val="clear" w:color="auto" w:fill="FFFFFF"/>
        </w:rPr>
      </w:pPr>
      <w:r w:rsidRPr="000566EE">
        <w:rPr>
          <w:color w:val="000000"/>
          <w:szCs w:val="26"/>
          <w:bdr w:val="none" w:sz="0" w:space="0" w:color="auto" w:frame="1"/>
          <w:shd w:val="clear" w:color="auto" w:fill="FFFFFF"/>
        </w:rPr>
        <w:t xml:space="preserve">Here, </w:t>
      </w:r>
      <w:r w:rsidRPr="000566EE" w:rsidR="00CA421A">
        <w:rPr>
          <w:color w:val="000000"/>
          <w:szCs w:val="26"/>
          <w:bdr w:val="none" w:sz="0" w:space="0" w:color="auto" w:frame="1"/>
          <w:shd w:val="clear" w:color="auto" w:fill="FFFFFF"/>
        </w:rPr>
        <w:t xml:space="preserve">the </w:t>
      </w:r>
      <w:r w:rsidRPr="000566EE" w:rsidR="00A842C8">
        <w:rPr>
          <w:color w:val="000000"/>
          <w:szCs w:val="26"/>
          <w:bdr w:val="none" w:sz="0" w:space="0" w:color="auto" w:frame="1"/>
          <w:shd w:val="clear" w:color="auto" w:fill="FFFFFF"/>
        </w:rPr>
        <w:t xml:space="preserve">trial court applied the multiplier </w:t>
      </w:r>
      <w:r w:rsidRPr="000566EE" w:rsidR="007470F9">
        <w:rPr>
          <w:color w:val="000000"/>
          <w:szCs w:val="26"/>
          <w:bdr w:val="none" w:sz="0" w:space="0" w:color="auto" w:frame="1"/>
          <w:shd w:val="clear" w:color="auto" w:fill="FFFFFF"/>
        </w:rPr>
        <w:t>after considering</w:t>
      </w:r>
      <w:r w:rsidRPr="000566EE" w:rsidR="00A842C8">
        <w:rPr>
          <w:color w:val="000000"/>
          <w:szCs w:val="26"/>
          <w:bdr w:val="none" w:sz="0" w:space="0" w:color="auto" w:frame="1"/>
          <w:shd w:val="clear" w:color="auto" w:fill="FFFFFF"/>
        </w:rPr>
        <w:t xml:space="preserve"> multiple factors, including </w:t>
      </w:r>
      <w:r w:rsidRPr="000566EE" w:rsidR="00A27BAB">
        <w:rPr>
          <w:color w:val="000000"/>
          <w:szCs w:val="26"/>
          <w:bdr w:val="none" w:sz="0" w:space="0" w:color="auto" w:frame="1"/>
          <w:shd w:val="clear" w:color="auto" w:fill="FFFFFF"/>
        </w:rPr>
        <w:t xml:space="preserve">(1) the writ petition presented questions of first impression involving the Act, (2) YIMBY’s </w:t>
      </w:r>
      <w:r w:rsidRPr="000566EE" w:rsidR="00543103">
        <w:rPr>
          <w:color w:val="000000"/>
          <w:szCs w:val="26"/>
          <w:bdr w:val="none" w:sz="0" w:space="0" w:color="auto" w:frame="1"/>
          <w:shd w:val="clear" w:color="auto" w:fill="FFFFFF"/>
        </w:rPr>
        <w:t>lawyers presented the case effectively</w:t>
      </w:r>
      <w:r w:rsidRPr="000566EE" w:rsidR="009A4316">
        <w:rPr>
          <w:color w:val="000000"/>
          <w:szCs w:val="26"/>
          <w:bdr w:val="none" w:sz="0" w:space="0" w:color="auto" w:frame="1"/>
          <w:shd w:val="clear" w:color="auto" w:fill="FFFFFF"/>
        </w:rPr>
        <w:t xml:space="preserve"> in achieving YIMBY</w:t>
      </w:r>
      <w:r w:rsidRPr="000566EE" w:rsidR="00946998">
        <w:rPr>
          <w:color w:val="000000"/>
          <w:szCs w:val="26"/>
          <w:bdr w:val="none" w:sz="0" w:space="0" w:color="auto" w:frame="1"/>
          <w:shd w:val="clear" w:color="auto" w:fill="FFFFFF"/>
        </w:rPr>
        <w:t>’s litigation objective</w:t>
      </w:r>
      <w:r w:rsidRPr="000566EE" w:rsidR="00543103">
        <w:rPr>
          <w:color w:val="000000"/>
          <w:szCs w:val="26"/>
          <w:bdr w:val="none" w:sz="0" w:space="0" w:color="auto" w:frame="1"/>
          <w:shd w:val="clear" w:color="auto" w:fill="FFFFFF"/>
        </w:rPr>
        <w:t>, (3)</w:t>
      </w:r>
      <w:r w:rsidRPr="000566EE" w:rsidR="00F06F8B">
        <w:rPr>
          <w:color w:val="000000"/>
          <w:szCs w:val="26"/>
          <w:bdr w:val="none" w:sz="0" w:space="0" w:color="auto" w:frame="1"/>
          <w:shd w:val="clear" w:color="auto" w:fill="FFFFFF"/>
        </w:rPr>
        <w:t xml:space="preserve"> YIMBY’s attorneys’ hourly rates were on the low side for </w:t>
      </w:r>
      <w:r w:rsidRPr="000566EE" w:rsidR="004319B0">
        <w:rPr>
          <w:color w:val="000000"/>
          <w:szCs w:val="26"/>
          <w:bdr w:val="none" w:sz="0" w:space="0" w:color="auto" w:frame="1"/>
          <w:shd w:val="clear" w:color="auto" w:fill="FFFFFF"/>
        </w:rPr>
        <w:t xml:space="preserve">comparable cases in Los Angeles, </w:t>
      </w:r>
      <w:r w:rsidRPr="000566EE" w:rsidR="00642183">
        <w:rPr>
          <w:color w:val="000000"/>
          <w:szCs w:val="26"/>
          <w:bdr w:val="none" w:sz="0" w:space="0" w:color="auto" w:frame="1"/>
          <w:shd w:val="clear" w:color="auto" w:fill="FFFFFF"/>
        </w:rPr>
        <w:t>such that the difficulty and novelty of the questions presented were not fully reflected in the lodestar amount</w:t>
      </w:r>
      <w:r w:rsidRPr="000566EE" w:rsidR="0063346B">
        <w:rPr>
          <w:color w:val="000000"/>
          <w:szCs w:val="26"/>
          <w:bdr w:val="none" w:sz="0" w:space="0" w:color="auto" w:frame="1"/>
          <w:shd w:val="clear" w:color="auto" w:fill="FFFFFF"/>
        </w:rPr>
        <w:t>,</w:t>
      </w:r>
      <w:r w:rsidRPr="000566EE" w:rsidR="004319B0">
        <w:rPr>
          <w:color w:val="000000"/>
          <w:szCs w:val="26"/>
          <w:bdr w:val="none" w:sz="0" w:space="0" w:color="auto" w:frame="1"/>
          <w:shd w:val="clear" w:color="auto" w:fill="FFFFFF"/>
        </w:rPr>
        <w:t xml:space="preserve"> (</w:t>
      </w:r>
      <w:r w:rsidRPr="000566EE" w:rsidR="0063346B">
        <w:rPr>
          <w:color w:val="000000"/>
          <w:szCs w:val="26"/>
          <w:bdr w:val="none" w:sz="0" w:space="0" w:color="auto" w:frame="1"/>
          <w:shd w:val="clear" w:color="auto" w:fill="FFFFFF"/>
        </w:rPr>
        <w:t>4</w:t>
      </w:r>
      <w:r w:rsidRPr="000566EE" w:rsidR="004319B0">
        <w:rPr>
          <w:color w:val="000000"/>
          <w:szCs w:val="26"/>
          <w:bdr w:val="none" w:sz="0" w:space="0" w:color="auto" w:frame="1"/>
          <w:shd w:val="clear" w:color="auto" w:fill="FFFFFF"/>
        </w:rPr>
        <w:t xml:space="preserve">) </w:t>
      </w:r>
      <w:r w:rsidRPr="000566EE" w:rsidR="00974B04">
        <w:rPr>
          <w:color w:val="000000"/>
          <w:szCs w:val="26"/>
          <w:bdr w:val="none" w:sz="0" w:space="0" w:color="auto" w:frame="1"/>
          <w:shd w:val="clear" w:color="auto" w:fill="FFFFFF"/>
        </w:rPr>
        <w:t>the fee award would substantially inure to the benefit of YIMBY, a non-profit organization, and (</w:t>
      </w:r>
      <w:r w:rsidRPr="000566EE" w:rsidR="0063346B">
        <w:rPr>
          <w:color w:val="000000"/>
          <w:szCs w:val="26"/>
          <w:bdr w:val="none" w:sz="0" w:space="0" w:color="auto" w:frame="1"/>
          <w:shd w:val="clear" w:color="auto" w:fill="FFFFFF"/>
        </w:rPr>
        <w:t>5</w:t>
      </w:r>
      <w:r w:rsidRPr="000566EE" w:rsidR="00974B04">
        <w:rPr>
          <w:color w:val="000000"/>
          <w:szCs w:val="26"/>
          <w:bdr w:val="none" w:sz="0" w:space="0" w:color="auto" w:frame="1"/>
          <w:shd w:val="clear" w:color="auto" w:fill="FFFFFF"/>
        </w:rPr>
        <w:t xml:space="preserve">) </w:t>
      </w:r>
      <w:r w:rsidRPr="000566EE" w:rsidR="004B3AEA">
        <w:rPr>
          <w:color w:val="000000"/>
          <w:szCs w:val="26"/>
          <w:bdr w:val="none" w:sz="0" w:space="0" w:color="auto" w:frame="1"/>
          <w:shd w:val="clear" w:color="auto" w:fill="FFFFFF"/>
        </w:rPr>
        <w:t>the fee award would ultimately be paid by taxpayers</w:t>
      </w:r>
      <w:r w:rsidRPr="000566EE" w:rsidR="00AD0DD3">
        <w:rPr>
          <w:color w:val="000000"/>
          <w:szCs w:val="26"/>
          <w:bdr w:val="none" w:sz="0" w:space="0" w:color="auto" w:frame="1"/>
          <w:shd w:val="clear" w:color="auto" w:fill="FFFFFF"/>
        </w:rPr>
        <w:t xml:space="preserve">. </w:t>
      </w:r>
      <w:r w:rsidRPr="000566EE" w:rsidR="000445C8">
        <w:rPr>
          <w:color w:val="000000"/>
          <w:szCs w:val="26"/>
          <w:bdr w:val="none" w:sz="0" w:space="0" w:color="auto" w:frame="1"/>
          <w:shd w:val="clear" w:color="auto" w:fill="FFFFFF"/>
        </w:rPr>
        <w:t xml:space="preserve">  </w:t>
      </w:r>
    </w:p>
    <w:p w:rsidR="003747B8" w:rsidRPr="000566EE" w:rsidP="000566EE" w14:paraId="38FC10DC" w14:textId="62D6BD8C">
      <w:pPr>
        <w:ind w:firstLine="720"/>
        <w:contextualSpacing/>
        <w:rPr>
          <w:color w:val="000000"/>
          <w:szCs w:val="26"/>
          <w:bdr w:val="none" w:sz="0" w:space="0" w:color="auto" w:frame="1"/>
          <w:shd w:val="clear" w:color="auto" w:fill="FFFFFF"/>
        </w:rPr>
      </w:pPr>
      <w:r w:rsidRPr="000566EE">
        <w:rPr>
          <w:color w:val="000000"/>
          <w:szCs w:val="26"/>
          <w:bdr w:val="none" w:sz="0" w:space="0" w:color="auto" w:frame="1"/>
          <w:shd w:val="clear" w:color="auto" w:fill="FFFFFF"/>
        </w:rPr>
        <w:t xml:space="preserve">First, </w:t>
      </w:r>
      <w:r w:rsidRPr="000566EE" w:rsidR="00925FB0">
        <w:rPr>
          <w:color w:val="000000"/>
          <w:szCs w:val="26"/>
          <w:bdr w:val="none" w:sz="0" w:space="0" w:color="auto" w:frame="1"/>
          <w:shd w:val="clear" w:color="auto" w:fill="FFFFFF"/>
        </w:rPr>
        <w:t xml:space="preserve">the City </w:t>
      </w:r>
      <w:r w:rsidRPr="000566EE" w:rsidR="00511581">
        <w:rPr>
          <w:color w:val="000000"/>
          <w:szCs w:val="26"/>
          <w:bdr w:val="none" w:sz="0" w:space="0" w:color="auto" w:frame="1"/>
          <w:shd w:val="clear" w:color="auto" w:fill="FFFFFF"/>
        </w:rPr>
        <w:t>contends</w:t>
      </w:r>
      <w:r w:rsidRPr="000566EE" w:rsidR="00372D8C">
        <w:rPr>
          <w:color w:val="000000"/>
          <w:szCs w:val="26"/>
          <w:bdr w:val="none" w:sz="0" w:space="0" w:color="auto" w:frame="1"/>
          <w:shd w:val="clear" w:color="auto" w:fill="FFFFFF"/>
        </w:rPr>
        <w:t xml:space="preserve"> that</w:t>
      </w:r>
      <w:r w:rsidRPr="000566EE" w:rsidR="00925FB0">
        <w:rPr>
          <w:color w:val="000000"/>
          <w:szCs w:val="26"/>
          <w:bdr w:val="none" w:sz="0" w:space="0" w:color="auto" w:frame="1"/>
          <w:shd w:val="clear" w:color="auto" w:fill="FFFFFF"/>
        </w:rPr>
        <w:t xml:space="preserve"> </w:t>
      </w:r>
      <w:r w:rsidRPr="000566EE" w:rsidR="007D561C">
        <w:rPr>
          <w:color w:val="000000"/>
          <w:szCs w:val="26"/>
          <w:bdr w:val="none" w:sz="0" w:space="0" w:color="auto" w:frame="1"/>
          <w:shd w:val="clear" w:color="auto" w:fill="FFFFFF"/>
        </w:rPr>
        <w:t xml:space="preserve">because </w:t>
      </w:r>
      <w:r w:rsidRPr="000566EE" w:rsidR="00511581">
        <w:rPr>
          <w:color w:val="000000"/>
          <w:szCs w:val="26"/>
          <w:bdr w:val="none" w:sz="0" w:space="0" w:color="auto" w:frame="1"/>
          <w:shd w:val="clear" w:color="auto" w:fill="FFFFFF"/>
        </w:rPr>
        <w:t>there is case law on the interpretation of statutes</w:t>
      </w:r>
      <w:r w:rsidRPr="000566EE" w:rsidR="0053437E">
        <w:rPr>
          <w:color w:val="000000"/>
          <w:szCs w:val="26"/>
          <w:bdr w:val="none" w:sz="0" w:space="0" w:color="auto" w:frame="1"/>
          <w:shd w:val="clear" w:color="auto" w:fill="FFFFFF"/>
        </w:rPr>
        <w:t xml:space="preserve"> generally</w:t>
      </w:r>
      <w:r w:rsidRPr="000566EE" w:rsidR="00511581">
        <w:rPr>
          <w:color w:val="000000"/>
          <w:szCs w:val="26"/>
          <w:bdr w:val="none" w:sz="0" w:space="0" w:color="auto" w:frame="1"/>
          <w:shd w:val="clear" w:color="auto" w:fill="FFFFFF"/>
        </w:rPr>
        <w:t>, the issue</w:t>
      </w:r>
      <w:r w:rsidRPr="000566EE" w:rsidR="00780AF0">
        <w:rPr>
          <w:color w:val="000000"/>
          <w:szCs w:val="26"/>
          <w:bdr w:val="none" w:sz="0" w:space="0" w:color="auto" w:frame="1"/>
          <w:shd w:val="clear" w:color="auto" w:fill="FFFFFF"/>
        </w:rPr>
        <w:t>s</w:t>
      </w:r>
      <w:r w:rsidRPr="000566EE" w:rsidR="00511581">
        <w:rPr>
          <w:color w:val="000000"/>
          <w:szCs w:val="26"/>
          <w:bdr w:val="none" w:sz="0" w:space="0" w:color="auto" w:frame="1"/>
          <w:shd w:val="clear" w:color="auto" w:fill="FFFFFF"/>
        </w:rPr>
        <w:t xml:space="preserve"> </w:t>
      </w:r>
      <w:r w:rsidRPr="000566EE" w:rsidR="00780AF0">
        <w:rPr>
          <w:color w:val="000000"/>
          <w:szCs w:val="26"/>
          <w:bdr w:val="none" w:sz="0" w:space="0" w:color="auto" w:frame="1"/>
          <w:shd w:val="clear" w:color="auto" w:fill="FFFFFF"/>
        </w:rPr>
        <w:t xml:space="preserve">presented were </w:t>
      </w:r>
      <w:r w:rsidRPr="000566EE" w:rsidR="0053437E">
        <w:rPr>
          <w:color w:val="000000"/>
          <w:szCs w:val="26"/>
          <w:bdr w:val="none" w:sz="0" w:space="0" w:color="auto" w:frame="1"/>
          <w:shd w:val="clear" w:color="auto" w:fill="FFFFFF"/>
        </w:rPr>
        <w:t xml:space="preserve">not </w:t>
      </w:r>
      <w:r w:rsidRPr="000566EE" w:rsidR="00780AF0">
        <w:rPr>
          <w:color w:val="000000"/>
          <w:szCs w:val="26"/>
          <w:bdr w:val="none" w:sz="0" w:space="0" w:color="auto" w:frame="1"/>
          <w:shd w:val="clear" w:color="auto" w:fill="FFFFFF"/>
        </w:rPr>
        <w:t>“</w:t>
      </w:r>
      <w:r w:rsidRPr="000566EE" w:rsidR="0053437E">
        <w:rPr>
          <w:color w:val="000000"/>
          <w:szCs w:val="26"/>
          <w:bdr w:val="none" w:sz="0" w:space="0" w:color="auto" w:frame="1"/>
          <w:shd w:val="clear" w:color="auto" w:fill="FFFFFF"/>
        </w:rPr>
        <w:t>particularly</w:t>
      </w:r>
      <w:r w:rsidRPr="000566EE" w:rsidR="00511581">
        <w:rPr>
          <w:color w:val="000000"/>
          <w:szCs w:val="26"/>
          <w:bdr w:val="none" w:sz="0" w:space="0" w:color="auto" w:frame="1"/>
          <w:shd w:val="clear" w:color="auto" w:fill="FFFFFF"/>
        </w:rPr>
        <w:t xml:space="preserve"> novel.</w:t>
      </w:r>
      <w:r w:rsidRPr="000566EE" w:rsidR="00780AF0">
        <w:rPr>
          <w:color w:val="000000"/>
          <w:szCs w:val="26"/>
          <w:bdr w:val="none" w:sz="0" w:space="0" w:color="auto" w:frame="1"/>
          <w:shd w:val="clear" w:color="auto" w:fill="FFFFFF"/>
        </w:rPr>
        <w:t>”</w:t>
      </w:r>
      <w:r w:rsidRPr="000566EE" w:rsidR="00511581">
        <w:rPr>
          <w:color w:val="000000"/>
          <w:szCs w:val="26"/>
          <w:bdr w:val="none" w:sz="0" w:space="0" w:color="auto" w:frame="1"/>
          <w:shd w:val="clear" w:color="auto" w:fill="FFFFFF"/>
        </w:rPr>
        <w:t xml:space="preserve">  </w:t>
      </w:r>
      <w:r w:rsidRPr="000566EE" w:rsidR="00E91C0B">
        <w:rPr>
          <w:color w:val="000000"/>
          <w:szCs w:val="26"/>
          <w:bdr w:val="none" w:sz="0" w:space="0" w:color="auto" w:frame="1"/>
          <w:shd w:val="clear" w:color="auto" w:fill="FFFFFF"/>
        </w:rPr>
        <w:t>However</w:t>
      </w:r>
      <w:r w:rsidRPr="000566EE" w:rsidR="00780AF0">
        <w:rPr>
          <w:color w:val="000000"/>
          <w:szCs w:val="26"/>
          <w:bdr w:val="none" w:sz="0" w:space="0" w:color="auto" w:frame="1"/>
          <w:shd w:val="clear" w:color="auto" w:fill="FFFFFF"/>
        </w:rPr>
        <w:t>, the</w:t>
      </w:r>
      <w:r w:rsidRPr="000566EE" w:rsidR="000614DF">
        <w:rPr>
          <w:color w:val="000000"/>
          <w:szCs w:val="26"/>
          <w:bdr w:val="none" w:sz="0" w:space="0" w:color="auto" w:frame="1"/>
          <w:shd w:val="clear" w:color="auto" w:fill="FFFFFF"/>
        </w:rPr>
        <w:t xml:space="preserve">re is </w:t>
      </w:r>
      <w:r w:rsidRPr="000566EE" w:rsidR="00821D4A">
        <w:rPr>
          <w:color w:val="000000"/>
          <w:szCs w:val="26"/>
          <w:bdr w:val="none" w:sz="0" w:space="0" w:color="auto" w:frame="1"/>
          <w:shd w:val="clear" w:color="auto" w:fill="FFFFFF"/>
        </w:rPr>
        <w:t xml:space="preserve">no </w:t>
      </w:r>
      <w:r w:rsidRPr="000566EE" w:rsidR="000614DF">
        <w:rPr>
          <w:color w:val="000000"/>
          <w:szCs w:val="26"/>
          <w:bdr w:val="none" w:sz="0" w:space="0" w:color="auto" w:frame="1"/>
          <w:shd w:val="clear" w:color="auto" w:fill="FFFFFF"/>
        </w:rPr>
        <w:t xml:space="preserve">published authority addressing the proper interpretation of </w:t>
      </w:r>
      <w:r w:rsidRPr="000566EE" w:rsidR="00E676F0">
        <w:rPr>
          <w:color w:val="000000"/>
          <w:szCs w:val="26"/>
          <w:bdr w:val="none" w:sz="0" w:space="0" w:color="auto" w:frame="1"/>
          <w:shd w:val="clear" w:color="auto" w:fill="FFFFFF"/>
        </w:rPr>
        <w:t>section</w:t>
      </w:r>
      <w:r w:rsidRPr="000566EE" w:rsidR="0087581B">
        <w:rPr>
          <w:color w:val="000000"/>
          <w:szCs w:val="26"/>
          <w:bdr w:val="none" w:sz="0" w:space="0" w:color="auto" w:frame="1"/>
          <w:shd w:val="clear" w:color="auto" w:fill="FFFFFF"/>
        </w:rPr>
        <w:t> </w:t>
      </w:r>
      <w:r w:rsidRPr="000566EE" w:rsidR="00E676F0">
        <w:rPr>
          <w:color w:val="000000"/>
          <w:szCs w:val="26"/>
          <w:bdr w:val="none" w:sz="0" w:space="0" w:color="auto" w:frame="1"/>
          <w:shd w:val="clear" w:color="auto" w:fill="FFFFFF"/>
        </w:rPr>
        <w:t>663</w:t>
      </w:r>
      <w:r w:rsidRPr="000566EE" w:rsidR="009352A5">
        <w:rPr>
          <w:color w:val="000000"/>
          <w:szCs w:val="26"/>
          <w:bdr w:val="none" w:sz="0" w:space="0" w:color="auto" w:frame="1"/>
          <w:shd w:val="clear" w:color="auto" w:fill="FFFFFF"/>
        </w:rPr>
        <w:t>0</w:t>
      </w:r>
      <w:r w:rsidRPr="000566EE" w:rsidR="00E676F0">
        <w:rPr>
          <w:color w:val="000000"/>
          <w:szCs w:val="26"/>
          <w:bdr w:val="none" w:sz="0" w:space="0" w:color="auto" w:frame="1"/>
          <w:shd w:val="clear" w:color="auto" w:fill="FFFFFF"/>
        </w:rPr>
        <w:t>0,</w:t>
      </w:r>
      <w:r w:rsidRPr="000566EE" w:rsidR="00D42F2E">
        <w:rPr>
          <w:color w:val="000000"/>
          <w:szCs w:val="26"/>
          <w:bdr w:val="none" w:sz="0" w:space="0" w:color="auto" w:frame="1"/>
          <w:shd w:val="clear" w:color="auto" w:fill="FFFFFF"/>
        </w:rPr>
        <w:t xml:space="preserve"> </w:t>
      </w:r>
      <w:r w:rsidRPr="000566EE" w:rsidR="00E676F0">
        <w:rPr>
          <w:color w:val="000000"/>
          <w:szCs w:val="26"/>
          <w:bdr w:val="none" w:sz="0" w:space="0" w:color="auto" w:frame="1"/>
          <w:shd w:val="clear" w:color="auto" w:fill="FFFFFF"/>
        </w:rPr>
        <w:t xml:space="preserve">and thus, </w:t>
      </w:r>
      <w:r w:rsidRPr="000566EE" w:rsidR="00C50F81">
        <w:rPr>
          <w:color w:val="000000"/>
          <w:szCs w:val="26"/>
          <w:bdr w:val="none" w:sz="0" w:space="0" w:color="auto" w:frame="1"/>
          <w:shd w:val="clear" w:color="auto" w:fill="FFFFFF"/>
        </w:rPr>
        <w:t xml:space="preserve">the trial court did not abuse its discretion in considering </w:t>
      </w:r>
      <w:r w:rsidRPr="000566EE" w:rsidR="00E676F0">
        <w:rPr>
          <w:color w:val="000000"/>
          <w:szCs w:val="26"/>
          <w:bdr w:val="none" w:sz="0" w:space="0" w:color="auto" w:frame="1"/>
          <w:shd w:val="clear" w:color="auto" w:fill="FFFFFF"/>
        </w:rPr>
        <w:t>the novelty of the questions presented.</w:t>
      </w:r>
      <w:r w:rsidRPr="000566EE" w:rsidR="00DE7BDF">
        <w:rPr>
          <w:color w:val="000000"/>
          <w:szCs w:val="26"/>
          <w:bdr w:val="none" w:sz="0" w:space="0" w:color="auto" w:frame="1"/>
          <w:shd w:val="clear" w:color="auto" w:fill="FFFFFF"/>
        </w:rPr>
        <w:t xml:space="preserve">  </w:t>
      </w:r>
      <w:r w:rsidRPr="000566EE" w:rsidR="00E676F0">
        <w:rPr>
          <w:color w:val="000000"/>
          <w:szCs w:val="26"/>
          <w:bdr w:val="none" w:sz="0" w:space="0" w:color="auto" w:frame="1"/>
          <w:shd w:val="clear" w:color="auto" w:fill="FFFFFF"/>
        </w:rPr>
        <w:t>(</w:t>
      </w:r>
      <w:r w:rsidRPr="000566EE" w:rsidR="008663C3">
        <w:rPr>
          <w:color w:val="000000"/>
          <w:szCs w:val="26"/>
          <w:bdr w:val="none" w:sz="0" w:space="0" w:color="auto" w:frame="1"/>
          <w:shd w:val="clear" w:color="auto" w:fill="FFFFFF"/>
        </w:rPr>
        <w:t xml:space="preserve">See </w:t>
      </w:r>
      <w:r w:rsidRPr="000566EE" w:rsidR="00DE7BDF">
        <w:rPr>
          <w:i/>
          <w:iCs/>
          <w:color w:val="000000"/>
          <w:szCs w:val="26"/>
          <w:bdr w:val="none" w:sz="0" w:space="0" w:color="auto" w:frame="1"/>
          <w:shd w:val="clear" w:color="auto" w:fill="FFFFFF"/>
        </w:rPr>
        <w:t>Sonoma</w:t>
      </w:r>
      <w:r w:rsidRPr="000566EE" w:rsidR="005F3A6D">
        <w:rPr>
          <w:i/>
          <w:iCs/>
          <w:color w:val="000000"/>
          <w:szCs w:val="26"/>
          <w:bdr w:val="none" w:sz="0" w:space="0" w:color="auto" w:frame="1"/>
          <w:shd w:val="clear" w:color="auto" w:fill="FFFFFF"/>
        </w:rPr>
        <w:t xml:space="preserve"> Land Trust v. Thompson</w:t>
      </w:r>
      <w:r w:rsidRPr="000566EE" w:rsidR="005F3A6D">
        <w:rPr>
          <w:color w:val="000000"/>
          <w:szCs w:val="26"/>
          <w:bdr w:val="none" w:sz="0" w:space="0" w:color="auto" w:frame="1"/>
          <w:shd w:val="clear" w:color="auto" w:fill="FFFFFF"/>
        </w:rPr>
        <w:t xml:space="preserve"> (2021)</w:t>
      </w:r>
      <w:r w:rsidRPr="000566EE" w:rsidR="00DE7BDF">
        <w:rPr>
          <w:color w:val="000000"/>
          <w:szCs w:val="26"/>
          <w:bdr w:val="none" w:sz="0" w:space="0" w:color="auto" w:frame="1"/>
          <w:shd w:val="clear" w:color="auto" w:fill="FFFFFF"/>
        </w:rPr>
        <w:t xml:space="preserve"> 63 Cal.App.5th </w:t>
      </w:r>
      <w:r w:rsidRPr="000566EE" w:rsidR="004C204F">
        <w:rPr>
          <w:color w:val="000000"/>
          <w:szCs w:val="26"/>
          <w:bdr w:val="none" w:sz="0" w:space="0" w:color="auto" w:frame="1"/>
          <w:shd w:val="clear" w:color="auto" w:fill="FFFFFF"/>
        </w:rPr>
        <w:t xml:space="preserve">978, </w:t>
      </w:r>
      <w:r w:rsidRPr="000566EE" w:rsidR="00DE7BDF">
        <w:rPr>
          <w:color w:val="000000"/>
          <w:szCs w:val="26"/>
          <w:bdr w:val="none" w:sz="0" w:space="0" w:color="auto" w:frame="1"/>
          <w:shd w:val="clear" w:color="auto" w:fill="FFFFFF"/>
        </w:rPr>
        <w:t>986</w:t>
      </w:r>
      <w:r w:rsidRPr="000566EE" w:rsidR="004E5733">
        <w:rPr>
          <w:color w:val="000000"/>
          <w:szCs w:val="26"/>
          <w:bdr w:val="none" w:sz="0" w:space="0" w:color="auto" w:frame="1"/>
          <w:shd w:val="clear" w:color="auto" w:fill="FFFFFF"/>
        </w:rPr>
        <w:t xml:space="preserve"> (</w:t>
      </w:r>
      <w:r w:rsidRPr="000566EE" w:rsidR="004E5733">
        <w:rPr>
          <w:i/>
          <w:iCs/>
          <w:color w:val="000000"/>
          <w:szCs w:val="26"/>
          <w:bdr w:val="none" w:sz="0" w:space="0" w:color="auto" w:frame="1"/>
          <w:shd w:val="clear" w:color="auto" w:fill="FFFFFF"/>
        </w:rPr>
        <w:t>Sonoma Land</w:t>
      </w:r>
      <w:r w:rsidRPr="000566EE" w:rsidR="004E5733">
        <w:rPr>
          <w:color w:val="000000"/>
          <w:szCs w:val="26"/>
          <w:bdr w:val="none" w:sz="0" w:space="0" w:color="auto" w:frame="1"/>
          <w:shd w:val="clear" w:color="auto" w:fill="FFFFFF"/>
        </w:rPr>
        <w:t>)</w:t>
      </w:r>
      <w:r w:rsidRPr="000566EE" w:rsidR="00DE7BDF">
        <w:rPr>
          <w:color w:val="000000"/>
          <w:szCs w:val="26"/>
          <w:bdr w:val="none" w:sz="0" w:space="0" w:color="auto" w:frame="1"/>
          <w:shd w:val="clear" w:color="auto" w:fill="FFFFFF"/>
        </w:rPr>
        <w:t>.)</w:t>
      </w:r>
      <w:r w:rsidRPr="000566EE" w:rsidR="00500395">
        <w:rPr>
          <w:color w:val="000000"/>
          <w:szCs w:val="26"/>
          <w:bdr w:val="none" w:sz="0" w:space="0" w:color="auto" w:frame="1"/>
          <w:shd w:val="clear" w:color="auto" w:fill="FFFFFF"/>
        </w:rPr>
        <w:t xml:space="preserve">  </w:t>
      </w:r>
    </w:p>
    <w:p w:rsidR="001E4CC9" w:rsidRPr="000566EE" w:rsidP="000566EE" w14:paraId="56BE0F0B" w14:textId="289870F7">
      <w:pPr>
        <w:ind w:firstLine="720"/>
        <w:contextualSpacing/>
        <w:rPr>
          <w:color w:val="000000"/>
          <w:szCs w:val="26"/>
          <w:bdr w:val="none" w:sz="0" w:space="0" w:color="auto" w:frame="1"/>
          <w:shd w:val="clear" w:color="auto" w:fill="FFFFFF"/>
        </w:rPr>
      </w:pPr>
      <w:r w:rsidRPr="000566EE">
        <w:rPr>
          <w:color w:val="000000"/>
          <w:szCs w:val="26"/>
          <w:bdr w:val="none" w:sz="0" w:space="0" w:color="auto" w:frame="1"/>
          <w:shd w:val="clear" w:color="auto" w:fill="FFFFFF"/>
        </w:rPr>
        <w:t>Second</w:t>
      </w:r>
      <w:r w:rsidRPr="000566EE" w:rsidR="001C24CB">
        <w:rPr>
          <w:color w:val="000000"/>
          <w:szCs w:val="26"/>
          <w:bdr w:val="none" w:sz="0" w:space="0" w:color="auto" w:frame="1"/>
          <w:shd w:val="clear" w:color="auto" w:fill="FFFFFF"/>
        </w:rPr>
        <w:t xml:space="preserve">, </w:t>
      </w:r>
      <w:r w:rsidRPr="000566EE" w:rsidR="00E01BCB">
        <w:rPr>
          <w:color w:val="000000"/>
          <w:szCs w:val="26"/>
          <w:bdr w:val="none" w:sz="0" w:space="0" w:color="auto" w:frame="1"/>
          <w:shd w:val="clear" w:color="auto" w:fill="FFFFFF"/>
        </w:rPr>
        <w:t>the City conten</w:t>
      </w:r>
      <w:r w:rsidRPr="000566EE" w:rsidR="00396DDF">
        <w:rPr>
          <w:color w:val="000000"/>
          <w:szCs w:val="26"/>
          <w:bdr w:val="none" w:sz="0" w:space="0" w:color="auto" w:frame="1"/>
          <w:shd w:val="clear" w:color="auto" w:fill="FFFFFF"/>
        </w:rPr>
        <w:t>ds</w:t>
      </w:r>
      <w:r w:rsidRPr="000566EE" w:rsidR="00E01BCB">
        <w:rPr>
          <w:color w:val="000000"/>
          <w:szCs w:val="26"/>
          <w:bdr w:val="none" w:sz="0" w:space="0" w:color="auto" w:frame="1"/>
          <w:shd w:val="clear" w:color="auto" w:fill="FFFFFF"/>
        </w:rPr>
        <w:t xml:space="preserve"> </w:t>
      </w:r>
      <w:r w:rsidRPr="000566EE" w:rsidR="008B009D">
        <w:rPr>
          <w:color w:val="000000"/>
          <w:szCs w:val="26"/>
          <w:bdr w:val="none" w:sz="0" w:space="0" w:color="auto" w:frame="1"/>
          <w:shd w:val="clear" w:color="auto" w:fill="FFFFFF"/>
        </w:rPr>
        <w:t xml:space="preserve">the </w:t>
      </w:r>
      <w:r w:rsidRPr="000566EE" w:rsidR="00396DDF">
        <w:rPr>
          <w:color w:val="000000"/>
          <w:szCs w:val="26"/>
          <w:bdr w:val="none" w:sz="0" w:space="0" w:color="auto" w:frame="1"/>
          <w:shd w:val="clear" w:color="auto" w:fill="FFFFFF"/>
        </w:rPr>
        <w:t xml:space="preserve">trial </w:t>
      </w:r>
      <w:r w:rsidRPr="000566EE" w:rsidR="008B009D">
        <w:rPr>
          <w:color w:val="000000"/>
          <w:szCs w:val="26"/>
          <w:bdr w:val="none" w:sz="0" w:space="0" w:color="auto" w:frame="1"/>
          <w:shd w:val="clear" w:color="auto" w:fill="FFFFFF"/>
        </w:rPr>
        <w:t xml:space="preserve">court improperly </w:t>
      </w:r>
      <w:r w:rsidRPr="000566EE" w:rsidR="00396DDF">
        <w:rPr>
          <w:color w:val="000000"/>
          <w:szCs w:val="26"/>
          <w:bdr w:val="none" w:sz="0" w:space="0" w:color="auto" w:frame="1"/>
          <w:shd w:val="clear" w:color="auto" w:fill="FFFFFF"/>
        </w:rPr>
        <w:t>considered</w:t>
      </w:r>
      <w:r w:rsidRPr="000566EE" w:rsidR="008B009D">
        <w:rPr>
          <w:color w:val="000000"/>
          <w:szCs w:val="26"/>
          <w:bdr w:val="none" w:sz="0" w:space="0" w:color="auto" w:frame="1"/>
          <w:shd w:val="clear" w:color="auto" w:fill="FFFFFF"/>
        </w:rPr>
        <w:t xml:space="preserve"> YIMBY’s lawyers’ low hourly rates </w:t>
      </w:r>
      <w:r w:rsidRPr="000566EE" w:rsidR="00DD1DDB">
        <w:rPr>
          <w:color w:val="000000"/>
          <w:szCs w:val="26"/>
          <w:bdr w:val="none" w:sz="0" w:space="0" w:color="auto" w:frame="1"/>
          <w:shd w:val="clear" w:color="auto" w:fill="FFFFFF"/>
        </w:rPr>
        <w:t xml:space="preserve">and skill </w:t>
      </w:r>
      <w:r w:rsidRPr="000566EE" w:rsidR="008B009D">
        <w:rPr>
          <w:color w:val="000000"/>
          <w:szCs w:val="26"/>
          <w:bdr w:val="none" w:sz="0" w:space="0" w:color="auto" w:frame="1"/>
          <w:shd w:val="clear" w:color="auto" w:fill="FFFFFF"/>
        </w:rPr>
        <w:t xml:space="preserve">when awarding the multiplier, </w:t>
      </w:r>
      <w:r w:rsidRPr="000566EE" w:rsidR="00396DDF">
        <w:rPr>
          <w:color w:val="000000"/>
          <w:szCs w:val="26"/>
          <w:bdr w:val="none" w:sz="0" w:space="0" w:color="auto" w:frame="1"/>
          <w:shd w:val="clear" w:color="auto" w:fill="FFFFFF"/>
        </w:rPr>
        <w:t xml:space="preserve">when these factors “should have been addressed by the trial court in determining the lodestar amount.”  </w:t>
      </w:r>
      <w:r w:rsidRPr="000566EE" w:rsidR="00737CFB">
        <w:rPr>
          <w:color w:val="000000"/>
          <w:szCs w:val="26"/>
          <w:bdr w:val="none" w:sz="0" w:space="0" w:color="auto" w:frame="1"/>
          <w:shd w:val="clear" w:color="auto" w:fill="FFFFFF"/>
        </w:rPr>
        <w:t>This argument fails.  I</w:t>
      </w:r>
      <w:r w:rsidRPr="000566EE" w:rsidR="00485A33">
        <w:rPr>
          <w:color w:val="000000"/>
          <w:szCs w:val="26"/>
          <w:bdr w:val="none" w:sz="0" w:space="0" w:color="auto" w:frame="1"/>
          <w:shd w:val="clear" w:color="auto" w:fill="FFFFFF"/>
        </w:rPr>
        <w:t xml:space="preserve">n calculating the lodestar amount, the court accepted the hourly rates </w:t>
      </w:r>
      <w:r w:rsidRPr="000566EE" w:rsidR="001B00EF">
        <w:rPr>
          <w:color w:val="000000"/>
          <w:szCs w:val="26"/>
          <w:bdr w:val="none" w:sz="0" w:space="0" w:color="auto" w:frame="1"/>
          <w:shd w:val="clear" w:color="auto" w:fill="FFFFFF"/>
        </w:rPr>
        <w:t xml:space="preserve">of </w:t>
      </w:r>
      <w:r w:rsidRPr="000566EE" w:rsidR="00485A33">
        <w:rPr>
          <w:color w:val="000000"/>
          <w:szCs w:val="26"/>
          <w:bdr w:val="none" w:sz="0" w:space="0" w:color="auto" w:frame="1"/>
          <w:shd w:val="clear" w:color="auto" w:fill="FFFFFF"/>
        </w:rPr>
        <w:t>YIMBY’s counsel, noting that “</w:t>
      </w:r>
      <w:r w:rsidRPr="000566EE" w:rsidR="00FC508F">
        <w:rPr>
          <w:color w:val="000000"/>
          <w:szCs w:val="26"/>
          <w:bdr w:val="none" w:sz="0" w:space="0" w:color="auto" w:frame="1"/>
          <w:shd w:val="clear" w:color="auto" w:fill="FFFFFF"/>
        </w:rPr>
        <w:t xml:space="preserve">[the City] </w:t>
      </w:r>
      <w:r w:rsidRPr="000566EE" w:rsidR="00485A33">
        <w:rPr>
          <w:color w:val="000000"/>
          <w:szCs w:val="26"/>
          <w:bdr w:val="none" w:sz="0" w:space="0" w:color="auto" w:frame="1"/>
          <w:shd w:val="clear" w:color="auto" w:fill="FFFFFF"/>
        </w:rPr>
        <w:t xml:space="preserve">ma[d]e no argument to the contrary.”  </w:t>
      </w:r>
      <w:r w:rsidRPr="000566EE" w:rsidR="00737CFB">
        <w:rPr>
          <w:color w:val="000000"/>
          <w:szCs w:val="26"/>
          <w:bdr w:val="none" w:sz="0" w:space="0" w:color="auto" w:frame="1"/>
          <w:shd w:val="clear" w:color="auto" w:fill="FFFFFF"/>
        </w:rPr>
        <w:t xml:space="preserve">It was within the court’s discretion to then enhance the lodestar amount because </w:t>
      </w:r>
      <w:r w:rsidRPr="000566EE" w:rsidR="008E1AF2">
        <w:rPr>
          <w:color w:val="000000"/>
          <w:szCs w:val="26"/>
          <w:bdr w:val="none" w:sz="0" w:space="0" w:color="auto" w:frame="1"/>
          <w:shd w:val="clear" w:color="auto" w:fill="FFFFFF"/>
        </w:rPr>
        <w:t xml:space="preserve">the rates were on the low side and </w:t>
      </w:r>
      <w:r w:rsidRPr="000566EE" w:rsidR="00737CFB">
        <w:rPr>
          <w:color w:val="000000"/>
          <w:szCs w:val="26"/>
          <w:bdr w:val="none" w:sz="0" w:space="0" w:color="auto" w:frame="1"/>
          <w:shd w:val="clear" w:color="auto" w:fill="FFFFFF"/>
        </w:rPr>
        <w:t xml:space="preserve">did not fully reflect the skill of the attorneys or difficulties of the case.  </w:t>
      </w:r>
      <w:r w:rsidRPr="000566EE" w:rsidR="00D449A3">
        <w:rPr>
          <w:color w:val="000000"/>
          <w:szCs w:val="26"/>
          <w:bdr w:val="none" w:sz="0" w:space="0" w:color="auto" w:frame="1"/>
          <w:shd w:val="clear" w:color="auto" w:fill="FFFFFF"/>
        </w:rPr>
        <w:t>(</w:t>
      </w:r>
      <w:r w:rsidRPr="000566EE" w:rsidR="00775559">
        <w:rPr>
          <w:i/>
          <w:iCs/>
          <w:color w:val="000000"/>
          <w:szCs w:val="26"/>
          <w:bdr w:val="none" w:sz="0" w:space="0" w:color="auto" w:frame="1"/>
          <w:shd w:val="clear" w:color="auto" w:fill="FFFFFF"/>
        </w:rPr>
        <w:t>Sonoma</w:t>
      </w:r>
      <w:r w:rsidRPr="000566EE" w:rsidR="00F52D05">
        <w:rPr>
          <w:i/>
          <w:iCs/>
          <w:color w:val="000000"/>
          <w:szCs w:val="26"/>
          <w:bdr w:val="none" w:sz="0" w:space="0" w:color="auto" w:frame="1"/>
          <w:shd w:val="clear" w:color="auto" w:fill="FFFFFF"/>
        </w:rPr>
        <w:t xml:space="preserve"> Land</w:t>
      </w:r>
      <w:r w:rsidRPr="000566EE" w:rsidR="00775559">
        <w:rPr>
          <w:color w:val="000000"/>
          <w:szCs w:val="26"/>
          <w:bdr w:val="none" w:sz="0" w:space="0" w:color="auto" w:frame="1"/>
          <w:shd w:val="clear" w:color="auto" w:fill="FFFFFF"/>
        </w:rPr>
        <w:t xml:space="preserve">, </w:t>
      </w:r>
      <w:r w:rsidRPr="000566EE" w:rsidR="00775559">
        <w:rPr>
          <w:i/>
          <w:iCs/>
          <w:color w:val="000000"/>
          <w:szCs w:val="26"/>
          <w:bdr w:val="none" w:sz="0" w:space="0" w:color="auto" w:frame="1"/>
          <w:shd w:val="clear" w:color="auto" w:fill="FFFFFF"/>
        </w:rPr>
        <w:t>supra</w:t>
      </w:r>
      <w:r w:rsidRPr="000566EE" w:rsidR="00775559">
        <w:rPr>
          <w:color w:val="000000"/>
          <w:szCs w:val="26"/>
          <w:bdr w:val="none" w:sz="0" w:space="0" w:color="auto" w:frame="1"/>
          <w:shd w:val="clear" w:color="auto" w:fill="FFFFFF"/>
        </w:rPr>
        <w:t>, 63 Cal.App.5th at p. 988</w:t>
      </w:r>
      <w:r w:rsidRPr="000566EE" w:rsidR="00737CFB">
        <w:rPr>
          <w:color w:val="000000"/>
          <w:szCs w:val="26"/>
          <w:bdr w:val="none" w:sz="0" w:space="0" w:color="auto" w:frame="1"/>
          <w:shd w:val="clear" w:color="auto" w:fill="FFFFFF"/>
        </w:rPr>
        <w:t xml:space="preserve">; see </w:t>
      </w:r>
      <w:r w:rsidRPr="000566EE" w:rsidR="00737CFB">
        <w:rPr>
          <w:i/>
          <w:iCs/>
          <w:color w:val="000000"/>
          <w:szCs w:val="26"/>
          <w:bdr w:val="none" w:sz="0" w:space="0" w:color="auto" w:frame="1"/>
          <w:shd w:val="clear" w:color="auto" w:fill="FFFFFF"/>
        </w:rPr>
        <w:t>Donovan v. Poway Unified School Dist.</w:t>
      </w:r>
      <w:r w:rsidRPr="000566EE" w:rsidR="00737CFB">
        <w:rPr>
          <w:color w:val="000000"/>
          <w:szCs w:val="26"/>
          <w:bdr w:val="none" w:sz="0" w:space="0" w:color="auto" w:frame="1"/>
          <w:shd w:val="clear" w:color="auto" w:fill="FFFFFF"/>
        </w:rPr>
        <w:t xml:space="preserve"> (2008) 167 Cal.App.4th 567, 628 [1.25 multiplier was not an abuse of discretion, particularly in light of finding that hourly rate of plaintiffs’ attorneys was in the “‘low range’ of reasonable”]</w:t>
      </w:r>
      <w:r w:rsidRPr="000566EE" w:rsidR="00CC40D4">
        <w:rPr>
          <w:color w:val="000000"/>
          <w:szCs w:val="26"/>
          <w:bdr w:val="none" w:sz="0" w:space="0" w:color="auto" w:frame="1"/>
          <w:shd w:val="clear" w:color="auto" w:fill="FFFFFF"/>
        </w:rPr>
        <w:t xml:space="preserve">.)  </w:t>
      </w:r>
      <w:r w:rsidRPr="000566EE" w:rsidR="00A7507D">
        <w:rPr>
          <w:color w:val="000000"/>
          <w:szCs w:val="26"/>
          <w:bdr w:val="none" w:sz="0" w:space="0" w:color="auto" w:frame="1"/>
          <w:shd w:val="clear" w:color="auto" w:fill="FFFFFF"/>
        </w:rPr>
        <w:t xml:space="preserve">This </w:t>
      </w:r>
      <w:r w:rsidRPr="000566EE" w:rsidR="00396DDF">
        <w:rPr>
          <w:color w:val="000000"/>
          <w:szCs w:val="26"/>
          <w:bdr w:val="none" w:sz="0" w:space="0" w:color="auto" w:frame="1"/>
          <w:shd w:val="clear" w:color="auto" w:fill="FFFFFF"/>
        </w:rPr>
        <w:t xml:space="preserve">is </w:t>
      </w:r>
      <w:r w:rsidRPr="000566EE" w:rsidR="00737CFB">
        <w:rPr>
          <w:color w:val="000000"/>
          <w:szCs w:val="26"/>
          <w:bdr w:val="none" w:sz="0" w:space="0" w:color="auto" w:frame="1"/>
          <w:shd w:val="clear" w:color="auto" w:fill="FFFFFF"/>
        </w:rPr>
        <w:t xml:space="preserve">precisely what the court did. </w:t>
      </w:r>
      <w:r w:rsidRPr="000566EE" w:rsidR="00494649">
        <w:rPr>
          <w:color w:val="000000"/>
          <w:szCs w:val="26"/>
          <w:bdr w:val="none" w:sz="0" w:space="0" w:color="auto" w:frame="1"/>
          <w:shd w:val="clear" w:color="auto" w:fill="FFFFFF"/>
        </w:rPr>
        <w:t xml:space="preserve"> </w:t>
      </w:r>
      <w:r w:rsidRPr="000566EE" w:rsidR="00A823D3">
        <w:rPr>
          <w:bCs/>
          <w:iCs/>
          <w:szCs w:val="26"/>
        </w:rPr>
        <w:t>To the extent the City asserts that YIMBY’s attorneys did not show special skill in this case, we will not second-guess the trial court’s assessment.  (See</w:t>
      </w:r>
      <w:r w:rsidRPr="000566EE" w:rsidR="00A823D3">
        <w:rPr>
          <w:color w:val="000000"/>
          <w:szCs w:val="26"/>
          <w:bdr w:val="none" w:sz="0" w:space="0" w:color="auto" w:frame="1"/>
          <w:shd w:val="clear" w:color="auto" w:fill="FFFFFF"/>
        </w:rPr>
        <w:t xml:space="preserve"> </w:t>
      </w:r>
      <w:r w:rsidRPr="000566EE" w:rsidR="00A823D3">
        <w:rPr>
          <w:i/>
          <w:iCs/>
          <w:color w:val="000000"/>
          <w:szCs w:val="26"/>
          <w:bdr w:val="none" w:sz="0" w:space="0" w:color="auto" w:frame="1"/>
          <w:shd w:val="clear" w:color="auto" w:fill="FFFFFF"/>
        </w:rPr>
        <w:t>Loeffler</w:t>
      </w:r>
      <w:r w:rsidRPr="000566EE" w:rsidR="00A823D3">
        <w:rPr>
          <w:color w:val="000000"/>
          <w:szCs w:val="26"/>
          <w:bdr w:val="none" w:sz="0" w:space="0" w:color="auto" w:frame="1"/>
          <w:shd w:val="clear" w:color="auto" w:fill="FFFFFF"/>
        </w:rPr>
        <w:t xml:space="preserve">, </w:t>
      </w:r>
      <w:r w:rsidRPr="000566EE" w:rsidR="00A823D3">
        <w:rPr>
          <w:i/>
          <w:iCs/>
          <w:color w:val="000000"/>
          <w:szCs w:val="26"/>
          <w:bdr w:val="none" w:sz="0" w:space="0" w:color="auto" w:frame="1"/>
          <w:shd w:val="clear" w:color="auto" w:fill="FFFFFF"/>
        </w:rPr>
        <w:t>supra</w:t>
      </w:r>
      <w:r w:rsidRPr="000566EE" w:rsidR="00A823D3">
        <w:rPr>
          <w:color w:val="000000"/>
          <w:szCs w:val="26"/>
          <w:bdr w:val="none" w:sz="0" w:space="0" w:color="auto" w:frame="1"/>
          <w:shd w:val="clear" w:color="auto" w:fill="FFFFFF"/>
        </w:rPr>
        <w:t>, 174 Cal.App.4th at p. 1509.)</w:t>
      </w:r>
    </w:p>
    <w:p w:rsidR="000B6605" w:rsidRPr="000566EE" w:rsidP="000566EE" w14:paraId="415436FD" w14:textId="1FC0B302">
      <w:pPr>
        <w:ind w:firstLine="720"/>
        <w:contextualSpacing/>
        <w:rPr>
          <w:color w:val="000000"/>
          <w:szCs w:val="26"/>
          <w:bdr w:val="none" w:sz="0" w:space="0" w:color="auto" w:frame="1"/>
          <w:shd w:val="clear" w:color="auto" w:fill="FFFFFF"/>
        </w:rPr>
      </w:pPr>
      <w:r w:rsidRPr="000566EE">
        <w:rPr>
          <w:color w:val="000000"/>
          <w:szCs w:val="26"/>
          <w:bdr w:val="none" w:sz="0" w:space="0" w:color="auto" w:frame="1"/>
          <w:shd w:val="clear" w:color="auto" w:fill="FFFFFF"/>
        </w:rPr>
        <w:t>Next</w:t>
      </w:r>
      <w:r w:rsidRPr="000566EE" w:rsidR="00DE4036">
        <w:rPr>
          <w:color w:val="000000"/>
          <w:szCs w:val="26"/>
          <w:bdr w:val="none" w:sz="0" w:space="0" w:color="auto" w:frame="1"/>
          <w:shd w:val="clear" w:color="auto" w:fill="FFFFFF"/>
        </w:rPr>
        <w:t xml:space="preserve">, </w:t>
      </w:r>
      <w:r w:rsidRPr="000566EE" w:rsidR="00BF4C4C">
        <w:rPr>
          <w:color w:val="000000"/>
          <w:szCs w:val="26"/>
          <w:bdr w:val="none" w:sz="0" w:space="0" w:color="auto" w:frame="1"/>
          <w:shd w:val="clear" w:color="auto" w:fill="FFFFFF"/>
        </w:rPr>
        <w:t xml:space="preserve">the City </w:t>
      </w:r>
      <w:r w:rsidRPr="000566EE" w:rsidR="00C241A4">
        <w:rPr>
          <w:color w:val="000000"/>
          <w:szCs w:val="26"/>
          <w:bdr w:val="none" w:sz="0" w:space="0" w:color="auto" w:frame="1"/>
          <w:shd w:val="clear" w:color="auto" w:fill="FFFFFF"/>
        </w:rPr>
        <w:t>asserts</w:t>
      </w:r>
      <w:r w:rsidRPr="000566EE" w:rsidR="00BF4C4C">
        <w:rPr>
          <w:color w:val="000000"/>
          <w:szCs w:val="26"/>
          <w:bdr w:val="none" w:sz="0" w:space="0" w:color="auto" w:frame="1"/>
          <w:shd w:val="clear" w:color="auto" w:fill="FFFFFF"/>
        </w:rPr>
        <w:t xml:space="preserve"> that the court improperly</w:t>
      </w:r>
      <w:r w:rsidRPr="000566EE" w:rsidR="00511F3B">
        <w:rPr>
          <w:color w:val="000000"/>
          <w:szCs w:val="26"/>
          <w:bdr w:val="none" w:sz="0" w:space="0" w:color="auto" w:frame="1"/>
          <w:shd w:val="clear" w:color="auto" w:fill="FFFFFF"/>
        </w:rPr>
        <w:t xml:space="preserve"> considered YIMBY’s success in achieving its litigation objective </w:t>
      </w:r>
      <w:r w:rsidRPr="000566EE" w:rsidR="00591A24">
        <w:rPr>
          <w:color w:val="000000"/>
          <w:szCs w:val="26"/>
          <w:bdr w:val="none" w:sz="0" w:space="0" w:color="auto" w:frame="1"/>
          <w:shd w:val="clear" w:color="auto" w:fill="FFFFFF"/>
        </w:rPr>
        <w:t xml:space="preserve">because </w:t>
      </w:r>
      <w:r w:rsidRPr="000566EE" w:rsidR="00F82D0D">
        <w:rPr>
          <w:color w:val="000000"/>
          <w:szCs w:val="26"/>
          <w:bdr w:val="none" w:sz="0" w:space="0" w:color="auto" w:frame="1"/>
          <w:shd w:val="clear" w:color="auto" w:fill="FFFFFF"/>
        </w:rPr>
        <w:t>s</w:t>
      </w:r>
      <w:r w:rsidRPr="000566EE" w:rsidR="00B34F01">
        <w:rPr>
          <w:color w:val="000000"/>
          <w:szCs w:val="26"/>
          <w:bdr w:val="none" w:sz="0" w:space="0" w:color="auto" w:frame="1"/>
          <w:shd w:val="clear" w:color="auto" w:fill="FFFFFF"/>
        </w:rPr>
        <w:t>uccess</w:t>
      </w:r>
      <w:r w:rsidRPr="000566EE" w:rsidR="00591A24">
        <w:rPr>
          <w:color w:val="000000"/>
          <w:szCs w:val="26"/>
          <w:bdr w:val="none" w:sz="0" w:space="0" w:color="auto" w:frame="1"/>
          <w:shd w:val="clear" w:color="auto" w:fill="FFFFFF"/>
        </w:rPr>
        <w:t xml:space="preserve"> is </w:t>
      </w:r>
      <w:r w:rsidRPr="000566EE" w:rsidR="004C0E2B">
        <w:rPr>
          <w:color w:val="000000"/>
          <w:szCs w:val="26"/>
          <w:bdr w:val="none" w:sz="0" w:space="0" w:color="auto" w:frame="1"/>
          <w:shd w:val="clear" w:color="auto" w:fill="FFFFFF"/>
        </w:rPr>
        <w:t>relevant</w:t>
      </w:r>
      <w:r w:rsidRPr="000566EE" w:rsidR="00591A24">
        <w:rPr>
          <w:color w:val="000000"/>
          <w:szCs w:val="26"/>
          <w:bdr w:val="none" w:sz="0" w:space="0" w:color="auto" w:frame="1"/>
          <w:shd w:val="clear" w:color="auto" w:fill="FFFFFF"/>
        </w:rPr>
        <w:t xml:space="preserve"> only </w:t>
      </w:r>
      <w:r w:rsidRPr="000566EE" w:rsidR="00015A30">
        <w:rPr>
          <w:color w:val="000000"/>
          <w:szCs w:val="26"/>
          <w:bdr w:val="none" w:sz="0" w:space="0" w:color="auto" w:frame="1"/>
          <w:shd w:val="clear" w:color="auto" w:fill="FFFFFF"/>
        </w:rPr>
        <w:t>in</w:t>
      </w:r>
      <w:r w:rsidRPr="000566EE" w:rsidR="00591A24">
        <w:rPr>
          <w:color w:val="000000"/>
          <w:szCs w:val="26"/>
          <w:bdr w:val="none" w:sz="0" w:space="0" w:color="auto" w:frame="1"/>
          <w:shd w:val="clear" w:color="auto" w:fill="FFFFFF"/>
        </w:rPr>
        <w:t xml:space="preserve"> determining whether a party is entitled to fees</w:t>
      </w:r>
      <w:r w:rsidRPr="000566EE" w:rsidR="009B7222">
        <w:rPr>
          <w:color w:val="000000"/>
          <w:szCs w:val="26"/>
          <w:bdr w:val="none" w:sz="0" w:space="0" w:color="auto" w:frame="1"/>
          <w:shd w:val="clear" w:color="auto" w:fill="FFFFFF"/>
        </w:rPr>
        <w:t xml:space="preserve">.  </w:t>
      </w:r>
      <w:r w:rsidRPr="000566EE" w:rsidR="002A3290">
        <w:rPr>
          <w:color w:val="000000"/>
          <w:szCs w:val="26"/>
          <w:bdr w:val="none" w:sz="0" w:space="0" w:color="auto" w:frame="1"/>
          <w:shd w:val="clear" w:color="auto" w:fill="FFFFFF"/>
        </w:rPr>
        <w:t xml:space="preserve">The City does not cite any authority holding that the result the attorneys achieved cannot be considered in applying a multiplier.  </w:t>
      </w:r>
      <w:r w:rsidRPr="000566EE" w:rsidR="008406BA">
        <w:rPr>
          <w:color w:val="000000"/>
          <w:szCs w:val="26"/>
          <w:bdr w:val="none" w:sz="0" w:space="0" w:color="auto" w:frame="1"/>
          <w:shd w:val="clear" w:color="auto" w:fill="FFFFFF"/>
        </w:rPr>
        <w:t xml:space="preserve">Indeed, case law indicates the trial court has discretion to take the results obtained by YIMBY into account.  </w:t>
      </w:r>
      <w:r w:rsidRPr="000566EE" w:rsidR="002A3290">
        <w:rPr>
          <w:color w:val="000000"/>
          <w:szCs w:val="26"/>
          <w:bdr w:val="none" w:sz="0" w:space="0" w:color="auto" w:frame="1"/>
          <w:shd w:val="clear" w:color="auto" w:fill="FFFFFF"/>
        </w:rPr>
        <w:t xml:space="preserve">(See e.g., </w:t>
      </w:r>
      <w:r w:rsidRPr="000566EE" w:rsidR="002A3290">
        <w:rPr>
          <w:i/>
          <w:iCs/>
          <w:color w:val="000000"/>
          <w:szCs w:val="26"/>
          <w:bdr w:val="none" w:sz="0" w:space="0" w:color="auto" w:frame="1"/>
          <w:shd w:val="clear" w:color="auto" w:fill="FFFFFF"/>
        </w:rPr>
        <w:t>PLCM Group</w:t>
      </w:r>
      <w:r w:rsidRPr="000566EE" w:rsidR="0099390E">
        <w:rPr>
          <w:i/>
          <w:iCs/>
          <w:color w:val="000000"/>
          <w:szCs w:val="26"/>
          <w:bdr w:val="none" w:sz="0" w:space="0" w:color="auto" w:frame="1"/>
          <w:shd w:val="clear" w:color="auto" w:fill="FFFFFF"/>
        </w:rPr>
        <w:t>, Inc.</w:t>
      </w:r>
      <w:r w:rsidRPr="000566EE" w:rsidR="000334E9">
        <w:rPr>
          <w:i/>
          <w:iCs/>
          <w:color w:val="000000"/>
          <w:szCs w:val="26"/>
          <w:bdr w:val="none" w:sz="0" w:space="0" w:color="auto" w:frame="1"/>
          <w:shd w:val="clear" w:color="auto" w:fill="FFFFFF"/>
        </w:rPr>
        <w:t xml:space="preserve"> </w:t>
      </w:r>
      <w:r w:rsidRPr="000566EE" w:rsidR="002A3290">
        <w:rPr>
          <w:i/>
          <w:iCs/>
          <w:color w:val="000000"/>
          <w:szCs w:val="26"/>
          <w:bdr w:val="none" w:sz="0" w:space="0" w:color="auto" w:frame="1"/>
          <w:shd w:val="clear" w:color="auto" w:fill="FFFFFF"/>
        </w:rPr>
        <w:t>v. Drexler</w:t>
      </w:r>
      <w:r w:rsidRPr="000566EE" w:rsidR="000334E9">
        <w:rPr>
          <w:color w:val="000000"/>
          <w:szCs w:val="26"/>
          <w:bdr w:val="none" w:sz="0" w:space="0" w:color="auto" w:frame="1"/>
          <w:shd w:val="clear" w:color="auto" w:fill="FFFFFF"/>
        </w:rPr>
        <w:t xml:space="preserve"> (2000)</w:t>
      </w:r>
      <w:r w:rsidRPr="000566EE" w:rsidR="002A3290">
        <w:rPr>
          <w:color w:val="000000"/>
          <w:szCs w:val="26"/>
          <w:bdr w:val="none" w:sz="0" w:space="0" w:color="auto" w:frame="1"/>
          <w:shd w:val="clear" w:color="auto" w:fill="FFFFFF"/>
        </w:rPr>
        <w:t xml:space="preserve"> 22 Cal.4th </w:t>
      </w:r>
      <w:r w:rsidRPr="000566EE" w:rsidR="000334E9">
        <w:rPr>
          <w:color w:val="000000"/>
          <w:szCs w:val="26"/>
          <w:bdr w:val="none" w:sz="0" w:space="0" w:color="auto" w:frame="1"/>
          <w:shd w:val="clear" w:color="auto" w:fill="FFFFFF"/>
        </w:rPr>
        <w:t>1084,</w:t>
      </w:r>
      <w:r w:rsidRPr="000566EE" w:rsidR="002A3290">
        <w:rPr>
          <w:color w:val="000000"/>
          <w:szCs w:val="26"/>
          <w:bdr w:val="none" w:sz="0" w:space="0" w:color="auto" w:frame="1"/>
          <w:shd w:val="clear" w:color="auto" w:fill="FFFFFF"/>
        </w:rPr>
        <w:t xml:space="preserve"> 1096 [court can consider “success or failure” in determining value of legal services]; </w:t>
      </w:r>
      <w:r w:rsidRPr="000566EE" w:rsidR="002A3290">
        <w:rPr>
          <w:i/>
          <w:iCs/>
          <w:color w:val="000000"/>
          <w:szCs w:val="26"/>
          <w:bdr w:val="none" w:sz="0" w:space="0" w:color="auto" w:frame="1"/>
          <w:shd w:val="clear" w:color="auto" w:fill="FFFFFF"/>
        </w:rPr>
        <w:t>Laffitte v. Robert Half Internat. Inc.</w:t>
      </w:r>
      <w:r w:rsidRPr="000566EE" w:rsidR="002A3290">
        <w:rPr>
          <w:color w:val="000000"/>
          <w:szCs w:val="26"/>
          <w:bdr w:val="none" w:sz="0" w:space="0" w:color="auto" w:frame="1"/>
          <w:shd w:val="clear" w:color="auto" w:fill="FFFFFF"/>
        </w:rPr>
        <w:t xml:space="preserve"> (2016) 1 Cal.5th 480, 489 [court has discretion to take into account a variety of factors in applying a multiplier, including “the results obtained”].)</w:t>
      </w:r>
      <w:r w:rsidRPr="000566EE" w:rsidR="00192DC6">
        <w:rPr>
          <w:color w:val="000000"/>
          <w:szCs w:val="26"/>
          <w:bdr w:val="none" w:sz="0" w:space="0" w:color="auto" w:frame="1"/>
          <w:shd w:val="clear" w:color="auto" w:fill="FFFFFF"/>
        </w:rPr>
        <w:t xml:space="preserve"> </w:t>
      </w:r>
    </w:p>
    <w:p w:rsidR="00B63399" w:rsidRPr="000566EE" w:rsidP="000566EE" w14:paraId="5BA45D15" w14:textId="48D194FC">
      <w:pPr>
        <w:ind w:firstLine="720"/>
        <w:contextualSpacing/>
        <w:rPr>
          <w:color w:val="000000"/>
          <w:szCs w:val="26"/>
          <w:bdr w:val="none" w:sz="0" w:space="0" w:color="auto" w:frame="1"/>
          <w:shd w:val="clear" w:color="auto" w:fill="FFFFFF"/>
        </w:rPr>
      </w:pPr>
      <w:r w:rsidRPr="000566EE">
        <w:rPr>
          <w:color w:val="000000"/>
          <w:szCs w:val="26"/>
          <w:bdr w:val="none" w:sz="0" w:space="0" w:color="auto" w:frame="1"/>
          <w:shd w:val="clear" w:color="auto" w:fill="FFFFFF"/>
        </w:rPr>
        <w:t xml:space="preserve">Furthermore, </w:t>
      </w:r>
      <w:r w:rsidRPr="000566EE" w:rsidR="00137085">
        <w:rPr>
          <w:color w:val="000000"/>
          <w:szCs w:val="26"/>
          <w:bdr w:val="none" w:sz="0" w:space="0" w:color="auto" w:frame="1"/>
          <w:shd w:val="clear" w:color="auto" w:fill="FFFFFF"/>
        </w:rPr>
        <w:t xml:space="preserve">the City </w:t>
      </w:r>
      <w:r w:rsidRPr="000566EE" w:rsidR="004407F1">
        <w:rPr>
          <w:color w:val="000000"/>
          <w:szCs w:val="26"/>
          <w:bdr w:val="none" w:sz="0" w:space="0" w:color="auto" w:frame="1"/>
          <w:shd w:val="clear" w:color="auto" w:fill="FFFFFF"/>
        </w:rPr>
        <w:t xml:space="preserve">argues </w:t>
      </w:r>
      <w:r w:rsidRPr="000566EE" w:rsidR="00BF78BE">
        <w:rPr>
          <w:color w:val="000000"/>
          <w:szCs w:val="26"/>
          <w:bdr w:val="none" w:sz="0" w:space="0" w:color="auto" w:frame="1"/>
          <w:shd w:val="clear" w:color="auto" w:fill="FFFFFF"/>
        </w:rPr>
        <w:t xml:space="preserve">that </w:t>
      </w:r>
      <w:r w:rsidRPr="000566EE" w:rsidR="00137085">
        <w:rPr>
          <w:color w:val="000000"/>
          <w:szCs w:val="26"/>
          <w:bdr w:val="none" w:sz="0" w:space="0" w:color="auto" w:frame="1"/>
          <w:shd w:val="clear" w:color="auto" w:fill="FFFFFF"/>
        </w:rPr>
        <w:t xml:space="preserve">it was improper for the </w:t>
      </w:r>
      <w:r w:rsidRPr="000566EE" w:rsidR="00BF78BE">
        <w:rPr>
          <w:color w:val="000000"/>
          <w:szCs w:val="26"/>
          <w:bdr w:val="none" w:sz="0" w:space="0" w:color="auto" w:frame="1"/>
          <w:shd w:val="clear" w:color="auto" w:fill="FFFFFF"/>
        </w:rPr>
        <w:t xml:space="preserve">trial </w:t>
      </w:r>
      <w:r w:rsidRPr="000566EE" w:rsidR="00137085">
        <w:rPr>
          <w:color w:val="000000"/>
          <w:szCs w:val="26"/>
          <w:bdr w:val="none" w:sz="0" w:space="0" w:color="auto" w:frame="1"/>
          <w:shd w:val="clear" w:color="auto" w:fill="FFFFFF"/>
        </w:rPr>
        <w:t xml:space="preserve">court to </w:t>
      </w:r>
      <w:r w:rsidRPr="000566EE" w:rsidR="00BF78BE">
        <w:rPr>
          <w:color w:val="000000"/>
          <w:szCs w:val="26"/>
          <w:bdr w:val="none" w:sz="0" w:space="0" w:color="auto" w:frame="1"/>
          <w:shd w:val="clear" w:color="auto" w:fill="FFFFFF"/>
        </w:rPr>
        <w:t>justify the payment of the fee award by taxpayers based upon</w:t>
      </w:r>
      <w:r w:rsidRPr="000566EE" w:rsidR="000D75C7">
        <w:rPr>
          <w:color w:val="000000"/>
          <w:szCs w:val="26"/>
          <w:bdr w:val="none" w:sz="0" w:space="0" w:color="auto" w:frame="1"/>
          <w:shd w:val="clear" w:color="auto" w:fill="FFFFFF"/>
        </w:rPr>
        <w:t xml:space="preserve"> the City</w:t>
      </w:r>
      <w:r w:rsidRPr="000566EE" w:rsidR="00B16D9E">
        <w:rPr>
          <w:color w:val="000000"/>
          <w:szCs w:val="26"/>
          <w:bdr w:val="none" w:sz="0" w:space="0" w:color="auto" w:frame="1"/>
          <w:shd w:val="clear" w:color="auto" w:fill="FFFFFF"/>
        </w:rPr>
        <w:t>’s prelitigation refusal</w:t>
      </w:r>
      <w:r w:rsidRPr="000566EE" w:rsidR="000D75C7">
        <w:rPr>
          <w:color w:val="000000"/>
          <w:szCs w:val="26"/>
          <w:bdr w:val="none" w:sz="0" w:space="0" w:color="auto" w:frame="1"/>
          <w:shd w:val="clear" w:color="auto" w:fill="FFFFFF"/>
        </w:rPr>
        <w:t xml:space="preserve"> to amend the Ordinance to comply with the Act</w:t>
      </w:r>
      <w:r w:rsidRPr="000566EE" w:rsidR="00B16D9E">
        <w:rPr>
          <w:color w:val="000000"/>
          <w:szCs w:val="26"/>
          <w:bdr w:val="none" w:sz="0" w:space="0" w:color="auto" w:frame="1"/>
          <w:shd w:val="clear" w:color="auto" w:fill="FFFFFF"/>
        </w:rPr>
        <w:t>, as this</w:t>
      </w:r>
      <w:r w:rsidRPr="000566EE" w:rsidR="00674F9B">
        <w:rPr>
          <w:color w:val="000000"/>
          <w:szCs w:val="26"/>
          <w:bdr w:val="none" w:sz="0" w:space="0" w:color="auto" w:frame="1"/>
          <w:shd w:val="clear" w:color="auto" w:fill="FFFFFF"/>
        </w:rPr>
        <w:t xml:space="preserve"> was relevant only to YIMBY</w:t>
      </w:r>
      <w:r w:rsidRPr="000566EE" w:rsidR="00915988">
        <w:rPr>
          <w:color w:val="000000"/>
          <w:szCs w:val="26"/>
          <w:bdr w:val="none" w:sz="0" w:space="0" w:color="auto" w:frame="1"/>
          <w:shd w:val="clear" w:color="auto" w:fill="FFFFFF"/>
        </w:rPr>
        <w:t>’s</w:t>
      </w:r>
      <w:r w:rsidRPr="000566EE" w:rsidR="00674F9B">
        <w:rPr>
          <w:color w:val="000000"/>
          <w:szCs w:val="26"/>
          <w:bdr w:val="none" w:sz="0" w:space="0" w:color="auto" w:frame="1"/>
          <w:shd w:val="clear" w:color="auto" w:fill="FFFFFF"/>
        </w:rPr>
        <w:t xml:space="preserve"> entitle</w:t>
      </w:r>
      <w:r w:rsidRPr="000566EE" w:rsidR="00BC23D9">
        <w:rPr>
          <w:color w:val="000000"/>
          <w:szCs w:val="26"/>
          <w:bdr w:val="none" w:sz="0" w:space="0" w:color="auto" w:frame="1"/>
          <w:shd w:val="clear" w:color="auto" w:fill="FFFFFF"/>
        </w:rPr>
        <w:t xml:space="preserve">ment </w:t>
      </w:r>
      <w:r w:rsidRPr="000566EE" w:rsidR="00D443B1">
        <w:rPr>
          <w:color w:val="000000"/>
          <w:szCs w:val="26"/>
          <w:bdr w:val="none" w:sz="0" w:space="0" w:color="auto" w:frame="1"/>
          <w:shd w:val="clear" w:color="auto" w:fill="FFFFFF"/>
        </w:rPr>
        <w:t>to</w:t>
      </w:r>
      <w:r w:rsidRPr="000566EE" w:rsidR="00BC23D9">
        <w:rPr>
          <w:color w:val="000000"/>
          <w:szCs w:val="26"/>
          <w:bdr w:val="none" w:sz="0" w:space="0" w:color="auto" w:frame="1"/>
          <w:shd w:val="clear" w:color="auto" w:fill="FFFFFF"/>
        </w:rPr>
        <w:t xml:space="preserve"> fees</w:t>
      </w:r>
      <w:r w:rsidRPr="000566EE" w:rsidR="000D75C7">
        <w:rPr>
          <w:color w:val="000000"/>
          <w:szCs w:val="26"/>
          <w:bdr w:val="none" w:sz="0" w:space="0" w:color="auto" w:frame="1"/>
          <w:shd w:val="clear" w:color="auto" w:fill="FFFFFF"/>
        </w:rPr>
        <w:t>.</w:t>
      </w:r>
      <w:r w:rsidRPr="000566EE" w:rsidR="00A947D3">
        <w:rPr>
          <w:color w:val="000000"/>
          <w:szCs w:val="26"/>
          <w:bdr w:val="none" w:sz="0" w:space="0" w:color="auto" w:frame="1"/>
          <w:shd w:val="clear" w:color="auto" w:fill="FFFFFF"/>
        </w:rPr>
        <w:t xml:space="preserve">  </w:t>
      </w:r>
      <w:r w:rsidRPr="000566EE" w:rsidR="00A52564">
        <w:rPr>
          <w:color w:val="000000"/>
          <w:szCs w:val="26"/>
          <w:bdr w:val="none" w:sz="0" w:space="0" w:color="auto" w:frame="1"/>
          <w:shd w:val="clear" w:color="auto" w:fill="FFFFFF"/>
        </w:rPr>
        <w:t>The case that the City cites for this proposition</w:t>
      </w:r>
      <w:r w:rsidRPr="00794421" w:rsidR="00A52564">
        <w:rPr>
          <w:color w:val="000000"/>
          <w:szCs w:val="26"/>
          <w:bdr w:val="none" w:sz="0" w:space="0" w:color="auto" w:frame="1"/>
          <w:shd w:val="clear" w:color="auto" w:fill="FFFFFF"/>
        </w:rPr>
        <w:t xml:space="preserve">, </w:t>
      </w:r>
      <w:r w:rsidRPr="00794421" w:rsidR="00A52564">
        <w:rPr>
          <w:i/>
          <w:iCs/>
          <w:color w:val="000000"/>
          <w:szCs w:val="26"/>
          <w:bdr w:val="none" w:sz="0" w:space="0" w:color="auto" w:frame="1"/>
          <w:shd w:val="clear" w:color="auto" w:fill="FFFFFF"/>
        </w:rPr>
        <w:t>Ramos</w:t>
      </w:r>
      <w:r w:rsidRPr="00794421" w:rsidR="00BA59B4">
        <w:rPr>
          <w:color w:val="000000"/>
          <w:szCs w:val="26"/>
          <w:bdr w:val="none" w:sz="0" w:space="0" w:color="auto" w:frame="1"/>
          <w:shd w:val="clear" w:color="auto" w:fill="FFFFFF"/>
        </w:rPr>
        <w:t>,</w:t>
      </w:r>
      <w:r w:rsidRPr="00794421" w:rsidR="00D91AD7">
        <w:rPr>
          <w:color w:val="000000"/>
          <w:szCs w:val="26"/>
          <w:bdr w:val="none" w:sz="0" w:space="0" w:color="auto" w:frame="1"/>
          <w:shd w:val="clear" w:color="auto" w:fill="FFFFFF"/>
        </w:rPr>
        <w:t xml:space="preserve"> </w:t>
      </w:r>
      <w:r w:rsidRPr="00794421" w:rsidR="00D91AD7">
        <w:rPr>
          <w:i/>
          <w:iCs/>
          <w:color w:val="000000"/>
          <w:szCs w:val="26"/>
          <w:bdr w:val="none" w:sz="0" w:space="0" w:color="auto" w:frame="1"/>
          <w:shd w:val="clear" w:color="auto" w:fill="FFFFFF"/>
        </w:rPr>
        <w:t>supra</w:t>
      </w:r>
      <w:r w:rsidRPr="00794421" w:rsidR="00D91AD7">
        <w:rPr>
          <w:color w:val="000000"/>
          <w:szCs w:val="26"/>
          <w:bdr w:val="none" w:sz="0" w:space="0" w:color="auto" w:frame="1"/>
          <w:shd w:val="clear" w:color="auto" w:fill="FFFFFF"/>
        </w:rPr>
        <w:t>,</w:t>
      </w:r>
      <w:r w:rsidRPr="00794421" w:rsidR="00BA59B4">
        <w:rPr>
          <w:color w:val="000000"/>
          <w:szCs w:val="26"/>
          <w:bdr w:val="none" w:sz="0" w:space="0" w:color="auto" w:frame="1"/>
          <w:shd w:val="clear" w:color="auto" w:fill="FFFFFF"/>
        </w:rPr>
        <w:t xml:space="preserve"> </w:t>
      </w:r>
      <w:r w:rsidRPr="00794421" w:rsidR="00A52564">
        <w:rPr>
          <w:color w:val="000000"/>
          <w:szCs w:val="26"/>
          <w:bdr w:val="none" w:sz="0" w:space="0" w:color="auto" w:frame="1"/>
          <w:shd w:val="clear" w:color="auto" w:fill="FFFFFF"/>
        </w:rPr>
        <w:t>82 Cal.App.4th 615,</w:t>
      </w:r>
      <w:r w:rsidRPr="000566EE" w:rsidR="00A52564">
        <w:rPr>
          <w:color w:val="000000"/>
          <w:szCs w:val="26"/>
          <w:bdr w:val="none" w:sz="0" w:space="0" w:color="auto" w:frame="1"/>
          <w:shd w:val="clear" w:color="auto" w:fill="FFFFFF"/>
        </w:rPr>
        <w:t xml:space="preserve"> is inapposite</w:t>
      </w:r>
      <w:r w:rsidRPr="000566EE" w:rsidR="006E7248">
        <w:rPr>
          <w:color w:val="000000"/>
          <w:szCs w:val="26"/>
          <w:bdr w:val="none" w:sz="0" w:space="0" w:color="auto" w:frame="1"/>
          <w:shd w:val="clear" w:color="auto" w:fill="FFFFFF"/>
        </w:rPr>
        <w:t xml:space="preserve">.  </w:t>
      </w:r>
      <w:r w:rsidRPr="000566EE" w:rsidR="00FC7CFC">
        <w:rPr>
          <w:i/>
          <w:iCs/>
          <w:color w:val="000000"/>
          <w:szCs w:val="26"/>
          <w:bdr w:val="none" w:sz="0" w:space="0" w:color="auto" w:frame="1"/>
          <w:shd w:val="clear" w:color="auto" w:fill="FFFFFF"/>
        </w:rPr>
        <w:t>Ramos</w:t>
      </w:r>
      <w:r w:rsidRPr="000566EE" w:rsidR="00FC7CFC">
        <w:rPr>
          <w:color w:val="000000"/>
          <w:szCs w:val="26"/>
          <w:bdr w:val="none" w:sz="0" w:space="0" w:color="auto" w:frame="1"/>
          <w:shd w:val="clear" w:color="auto" w:fill="FFFFFF"/>
        </w:rPr>
        <w:t xml:space="preserve"> involved a</w:t>
      </w:r>
      <w:r w:rsidRPr="000566EE" w:rsidR="0014184F">
        <w:rPr>
          <w:color w:val="000000"/>
          <w:szCs w:val="26"/>
          <w:bdr w:val="none" w:sz="0" w:space="0" w:color="auto" w:frame="1"/>
          <w:shd w:val="clear" w:color="auto" w:fill="FFFFFF"/>
        </w:rPr>
        <w:t>n attorney fees award in a</w:t>
      </w:r>
      <w:r w:rsidRPr="000566EE" w:rsidR="00FC7CFC">
        <w:rPr>
          <w:color w:val="000000"/>
          <w:szCs w:val="26"/>
          <w:bdr w:val="none" w:sz="0" w:space="0" w:color="auto" w:frame="1"/>
          <w:shd w:val="clear" w:color="auto" w:fill="FFFFFF"/>
        </w:rPr>
        <w:t xml:space="preserve"> class action against a </w:t>
      </w:r>
      <w:r w:rsidRPr="000566EE" w:rsidR="007C7512">
        <w:rPr>
          <w:color w:val="000000"/>
          <w:szCs w:val="26"/>
          <w:bdr w:val="none" w:sz="0" w:space="0" w:color="auto" w:frame="1"/>
          <w:shd w:val="clear" w:color="auto" w:fill="FFFFFF"/>
        </w:rPr>
        <w:t xml:space="preserve">mortgage </w:t>
      </w:r>
      <w:r w:rsidRPr="000566EE" w:rsidR="00FC7CFC">
        <w:rPr>
          <w:color w:val="000000"/>
          <w:szCs w:val="26"/>
          <w:bdr w:val="none" w:sz="0" w:space="0" w:color="auto" w:frame="1"/>
          <w:shd w:val="clear" w:color="auto" w:fill="FFFFFF"/>
        </w:rPr>
        <w:t>lender that settled prior to trial.</w:t>
      </w:r>
      <w:r w:rsidRPr="000566EE" w:rsidR="007F2780">
        <w:rPr>
          <w:color w:val="000000"/>
          <w:szCs w:val="26"/>
          <w:bdr w:val="none" w:sz="0" w:space="0" w:color="auto" w:frame="1"/>
          <w:shd w:val="clear" w:color="auto" w:fill="FFFFFF"/>
        </w:rPr>
        <w:t xml:space="preserve">  (</w:t>
      </w:r>
      <w:r w:rsidRPr="000566EE" w:rsidR="007F2780">
        <w:rPr>
          <w:i/>
          <w:iCs/>
          <w:color w:val="000000"/>
          <w:szCs w:val="26"/>
          <w:bdr w:val="none" w:sz="0" w:space="0" w:color="auto" w:frame="1"/>
          <w:shd w:val="clear" w:color="auto" w:fill="FFFFFF"/>
        </w:rPr>
        <w:t>Id.</w:t>
      </w:r>
      <w:r w:rsidRPr="000566EE" w:rsidR="007F2780">
        <w:rPr>
          <w:color w:val="000000"/>
          <w:szCs w:val="26"/>
          <w:bdr w:val="none" w:sz="0" w:space="0" w:color="auto" w:frame="1"/>
          <w:shd w:val="clear" w:color="auto" w:fill="FFFFFF"/>
        </w:rPr>
        <w:t xml:space="preserve"> at pp. 618–619.)</w:t>
      </w:r>
      <w:r w:rsidRPr="000566EE" w:rsidR="00FC7CFC">
        <w:rPr>
          <w:color w:val="000000"/>
          <w:szCs w:val="26"/>
          <w:bdr w:val="none" w:sz="0" w:space="0" w:color="auto" w:frame="1"/>
          <w:shd w:val="clear" w:color="auto" w:fill="FFFFFF"/>
        </w:rPr>
        <w:t xml:space="preserve">  </w:t>
      </w:r>
      <w:r w:rsidRPr="000566EE" w:rsidR="00D36E3B">
        <w:rPr>
          <w:color w:val="000000"/>
          <w:szCs w:val="26"/>
          <w:bdr w:val="none" w:sz="0" w:space="0" w:color="auto" w:frame="1"/>
          <w:shd w:val="clear" w:color="auto" w:fill="FFFFFF"/>
        </w:rPr>
        <w:t xml:space="preserve">The award was reversed with directions to the trial court to “exercise its discretion anew,” as it did not articulate reasons for applying a multiplier to the fee award in the first instance.  </w:t>
      </w:r>
      <w:r w:rsidRPr="000566EE" w:rsidR="003A1323">
        <w:rPr>
          <w:color w:val="000000"/>
          <w:szCs w:val="26"/>
          <w:bdr w:val="none" w:sz="0" w:space="0" w:color="auto" w:frame="1"/>
          <w:shd w:val="clear" w:color="auto" w:fill="FFFFFF"/>
        </w:rPr>
        <w:t>(</w:t>
      </w:r>
      <w:r w:rsidRPr="000566EE" w:rsidR="003A1323">
        <w:rPr>
          <w:i/>
          <w:iCs/>
          <w:color w:val="000000"/>
          <w:szCs w:val="26"/>
          <w:bdr w:val="none" w:sz="0" w:space="0" w:color="auto" w:frame="1"/>
          <w:shd w:val="clear" w:color="auto" w:fill="FFFFFF"/>
        </w:rPr>
        <w:t>Id.</w:t>
      </w:r>
      <w:r w:rsidRPr="000566EE" w:rsidR="003A1323">
        <w:rPr>
          <w:color w:val="000000"/>
          <w:szCs w:val="26"/>
          <w:bdr w:val="none" w:sz="0" w:space="0" w:color="auto" w:frame="1"/>
          <w:shd w:val="clear" w:color="auto" w:fill="FFFFFF"/>
        </w:rPr>
        <w:t xml:space="preserve"> at p. 619.)  </w:t>
      </w:r>
      <w:r w:rsidRPr="000566EE" w:rsidR="009729D8">
        <w:rPr>
          <w:color w:val="000000"/>
          <w:szCs w:val="26"/>
          <w:bdr w:val="none" w:sz="0" w:space="0" w:color="auto" w:frame="1"/>
          <w:shd w:val="clear" w:color="auto" w:fill="FFFFFF"/>
        </w:rPr>
        <w:t>Consideration of t</w:t>
      </w:r>
      <w:r w:rsidRPr="000566EE" w:rsidR="0014184F">
        <w:rPr>
          <w:color w:val="000000"/>
          <w:szCs w:val="26"/>
          <w:bdr w:val="none" w:sz="0" w:space="0" w:color="auto" w:frame="1"/>
          <w:shd w:val="clear" w:color="auto" w:fill="FFFFFF"/>
        </w:rPr>
        <w:t>axpayers’ interests in the payment of fees w</w:t>
      </w:r>
      <w:r w:rsidRPr="000566EE" w:rsidR="009729D8">
        <w:rPr>
          <w:color w:val="000000"/>
          <w:szCs w:val="26"/>
          <w:bdr w:val="none" w:sz="0" w:space="0" w:color="auto" w:frame="1"/>
          <w:shd w:val="clear" w:color="auto" w:fill="FFFFFF"/>
        </w:rPr>
        <w:t>as</w:t>
      </w:r>
      <w:r w:rsidRPr="000566EE" w:rsidR="0014184F">
        <w:rPr>
          <w:color w:val="000000"/>
          <w:szCs w:val="26"/>
          <w:bdr w:val="none" w:sz="0" w:space="0" w:color="auto" w:frame="1"/>
          <w:shd w:val="clear" w:color="auto" w:fill="FFFFFF"/>
        </w:rPr>
        <w:t xml:space="preserve"> </w:t>
      </w:r>
      <w:r w:rsidRPr="000566EE" w:rsidR="009729D8">
        <w:rPr>
          <w:color w:val="000000"/>
          <w:szCs w:val="26"/>
          <w:bdr w:val="none" w:sz="0" w:space="0" w:color="auto" w:frame="1"/>
          <w:shd w:val="clear" w:color="auto" w:fill="FFFFFF"/>
        </w:rPr>
        <w:t xml:space="preserve">expressly recognized as </w:t>
      </w:r>
      <w:r w:rsidRPr="000566EE" w:rsidR="0014184F">
        <w:rPr>
          <w:color w:val="000000"/>
          <w:szCs w:val="26"/>
          <w:bdr w:val="none" w:sz="0" w:space="0" w:color="auto" w:frame="1"/>
          <w:shd w:val="clear" w:color="auto" w:fill="FFFFFF"/>
        </w:rPr>
        <w:t>“not pertinent”</w:t>
      </w:r>
      <w:r w:rsidRPr="000566EE" w:rsidR="009729D8">
        <w:rPr>
          <w:color w:val="000000"/>
          <w:szCs w:val="26"/>
          <w:bdr w:val="none" w:sz="0" w:space="0" w:color="auto" w:frame="1"/>
          <w:shd w:val="clear" w:color="auto" w:fill="FFFFFF"/>
        </w:rPr>
        <w:t xml:space="preserve"> in </w:t>
      </w:r>
      <w:r w:rsidRPr="000566EE" w:rsidR="00D36E3B">
        <w:rPr>
          <w:i/>
          <w:iCs/>
          <w:color w:val="000000"/>
          <w:szCs w:val="26"/>
          <w:bdr w:val="none" w:sz="0" w:space="0" w:color="auto" w:frame="1"/>
          <w:shd w:val="clear" w:color="auto" w:fill="FFFFFF"/>
        </w:rPr>
        <w:t>Ramos</w:t>
      </w:r>
      <w:r w:rsidRPr="000566EE" w:rsidR="009729D8">
        <w:rPr>
          <w:color w:val="000000"/>
          <w:szCs w:val="26"/>
          <w:bdr w:val="none" w:sz="0" w:space="0" w:color="auto" w:frame="1"/>
          <w:shd w:val="clear" w:color="auto" w:fill="FFFFFF"/>
        </w:rPr>
        <w:t xml:space="preserve">. </w:t>
      </w:r>
      <w:r w:rsidRPr="000566EE" w:rsidR="0014184F">
        <w:t xml:space="preserve"> </w:t>
      </w:r>
      <w:r w:rsidRPr="000566EE" w:rsidR="003B2560">
        <w:t>(</w:t>
      </w:r>
      <w:r w:rsidRPr="000566EE" w:rsidR="0014184F">
        <w:rPr>
          <w:i/>
          <w:iCs/>
        </w:rPr>
        <w:t>Id.</w:t>
      </w:r>
      <w:r w:rsidRPr="000566EE" w:rsidR="0014184F">
        <w:t xml:space="preserve"> at </w:t>
      </w:r>
      <w:r w:rsidRPr="000566EE" w:rsidR="003B2560">
        <w:t xml:space="preserve">p. </w:t>
      </w:r>
      <w:r w:rsidRPr="000566EE" w:rsidR="0014184F">
        <w:rPr>
          <w:color w:val="000000"/>
          <w:szCs w:val="26"/>
          <w:bdr w:val="none" w:sz="0" w:space="0" w:color="auto" w:frame="1"/>
          <w:shd w:val="clear" w:color="auto" w:fill="FFFFFF"/>
        </w:rPr>
        <w:t>623</w:t>
      </w:r>
      <w:r w:rsidRPr="000566EE" w:rsidR="003B2560">
        <w:rPr>
          <w:color w:val="000000"/>
          <w:szCs w:val="26"/>
          <w:bdr w:val="none" w:sz="0" w:space="0" w:color="auto" w:frame="1"/>
          <w:shd w:val="clear" w:color="auto" w:fill="FFFFFF"/>
        </w:rPr>
        <w:t>,</w:t>
      </w:r>
      <w:r w:rsidRPr="000566EE" w:rsidR="0014184F">
        <w:rPr>
          <w:color w:val="000000"/>
          <w:szCs w:val="26"/>
          <w:bdr w:val="none" w:sz="0" w:space="0" w:color="auto" w:frame="1"/>
          <w:shd w:val="clear" w:color="auto" w:fill="FFFFFF"/>
        </w:rPr>
        <w:t xml:space="preserve"> </w:t>
      </w:r>
      <w:r w:rsidRPr="000566EE" w:rsidR="003B2560">
        <w:rPr>
          <w:color w:val="000000"/>
          <w:szCs w:val="26"/>
          <w:bdr w:val="none" w:sz="0" w:space="0" w:color="auto" w:frame="1"/>
          <w:shd w:val="clear" w:color="auto" w:fill="FFFFFF"/>
        </w:rPr>
        <w:t>f</w:t>
      </w:r>
      <w:r w:rsidRPr="000566EE" w:rsidR="0014184F">
        <w:rPr>
          <w:color w:val="000000"/>
          <w:szCs w:val="26"/>
          <w:bdr w:val="none" w:sz="0" w:space="0" w:color="auto" w:frame="1"/>
          <w:shd w:val="clear" w:color="auto" w:fill="FFFFFF"/>
        </w:rPr>
        <w:t>n.2.</w:t>
      </w:r>
      <w:r w:rsidRPr="000566EE" w:rsidR="003B2560">
        <w:rPr>
          <w:color w:val="000000"/>
          <w:szCs w:val="26"/>
          <w:bdr w:val="none" w:sz="0" w:space="0" w:color="auto" w:frame="1"/>
          <w:shd w:val="clear" w:color="auto" w:fill="FFFFFF"/>
        </w:rPr>
        <w:t>)</w:t>
      </w:r>
      <w:r w:rsidRPr="000566EE" w:rsidR="0014184F">
        <w:rPr>
          <w:color w:val="000000"/>
          <w:szCs w:val="26"/>
          <w:bdr w:val="none" w:sz="0" w:space="0" w:color="auto" w:frame="1"/>
          <w:shd w:val="clear" w:color="auto" w:fill="FFFFFF"/>
        </w:rPr>
        <w:t xml:space="preserve">  To the extent that it considered the effect of settlement discussions</w:t>
      </w:r>
      <w:r w:rsidRPr="000566EE" w:rsidR="009729D8">
        <w:rPr>
          <w:color w:val="000000"/>
          <w:szCs w:val="26"/>
          <w:bdr w:val="none" w:sz="0" w:space="0" w:color="auto" w:frame="1"/>
          <w:shd w:val="clear" w:color="auto" w:fill="FFFFFF"/>
        </w:rPr>
        <w:t xml:space="preserve"> generally</w:t>
      </w:r>
      <w:r w:rsidRPr="000566EE" w:rsidR="0014184F">
        <w:rPr>
          <w:color w:val="000000"/>
          <w:szCs w:val="26"/>
          <w:bdr w:val="none" w:sz="0" w:space="0" w:color="auto" w:frame="1"/>
          <w:shd w:val="clear" w:color="auto" w:fill="FFFFFF"/>
        </w:rPr>
        <w:t xml:space="preserve">, the </w:t>
      </w:r>
      <w:r w:rsidRPr="000566EE" w:rsidR="0014184F">
        <w:rPr>
          <w:i/>
          <w:iCs/>
          <w:color w:val="000000"/>
          <w:szCs w:val="26"/>
          <w:bdr w:val="none" w:sz="0" w:space="0" w:color="auto" w:frame="1"/>
          <w:shd w:val="clear" w:color="auto" w:fill="FFFFFF"/>
        </w:rPr>
        <w:t>Ramos</w:t>
      </w:r>
      <w:r w:rsidRPr="000566EE" w:rsidR="0014184F">
        <w:rPr>
          <w:color w:val="000000"/>
          <w:szCs w:val="26"/>
          <w:bdr w:val="none" w:sz="0" w:space="0" w:color="auto" w:frame="1"/>
          <w:shd w:val="clear" w:color="auto" w:fill="FFFFFF"/>
        </w:rPr>
        <w:t xml:space="preserve"> court indicated that because the lender </w:t>
      </w:r>
      <w:r w:rsidRPr="000566EE" w:rsidR="00D36E3B">
        <w:rPr>
          <w:color w:val="000000"/>
          <w:szCs w:val="26"/>
          <w:bdr w:val="none" w:sz="0" w:space="0" w:color="auto" w:frame="1"/>
          <w:shd w:val="clear" w:color="auto" w:fill="FFFFFF"/>
        </w:rPr>
        <w:t xml:space="preserve">agreed to </w:t>
      </w:r>
      <w:r w:rsidRPr="000566EE" w:rsidR="0014184F">
        <w:rPr>
          <w:color w:val="000000"/>
          <w:szCs w:val="26"/>
          <w:bdr w:val="none" w:sz="0" w:space="0" w:color="auto" w:frame="1"/>
          <w:shd w:val="clear" w:color="auto" w:fill="FFFFFF"/>
        </w:rPr>
        <w:t>settle before trial, enhancing the fee award might subvert the policy in favor o</w:t>
      </w:r>
      <w:r w:rsidRPr="000566EE" w:rsidR="00371047">
        <w:rPr>
          <w:color w:val="000000"/>
          <w:szCs w:val="26"/>
          <w:bdr w:val="none" w:sz="0" w:space="0" w:color="auto" w:frame="1"/>
          <w:shd w:val="clear" w:color="auto" w:fill="FFFFFF"/>
        </w:rPr>
        <w:t>f</w:t>
      </w:r>
      <w:r w:rsidRPr="000566EE" w:rsidR="0014184F">
        <w:rPr>
          <w:color w:val="000000"/>
          <w:szCs w:val="26"/>
          <w:bdr w:val="none" w:sz="0" w:space="0" w:color="auto" w:frame="1"/>
          <w:shd w:val="clear" w:color="auto" w:fill="FFFFFF"/>
        </w:rPr>
        <w:t xml:space="preserve"> settlement.  </w:t>
      </w:r>
      <w:r w:rsidRPr="000566EE" w:rsidR="002C0886">
        <w:rPr>
          <w:color w:val="000000"/>
          <w:szCs w:val="26"/>
          <w:bdr w:val="none" w:sz="0" w:space="0" w:color="auto" w:frame="1"/>
          <w:shd w:val="clear" w:color="auto" w:fill="FFFFFF"/>
        </w:rPr>
        <w:t>(</w:t>
      </w:r>
      <w:r w:rsidRPr="000566EE" w:rsidR="002C0886">
        <w:rPr>
          <w:i/>
          <w:iCs/>
          <w:color w:val="000000"/>
          <w:szCs w:val="26"/>
          <w:bdr w:val="none" w:sz="0" w:space="0" w:color="auto" w:frame="1"/>
          <w:shd w:val="clear" w:color="auto" w:fill="FFFFFF"/>
        </w:rPr>
        <w:t>Id.</w:t>
      </w:r>
      <w:r w:rsidRPr="000566EE" w:rsidR="002C0886">
        <w:rPr>
          <w:color w:val="000000"/>
          <w:szCs w:val="26"/>
          <w:bdr w:val="none" w:sz="0" w:space="0" w:color="auto" w:frame="1"/>
          <w:shd w:val="clear" w:color="auto" w:fill="FFFFFF"/>
        </w:rPr>
        <w:t xml:space="preserve"> at p.</w:t>
      </w:r>
      <w:r w:rsidR="00900A70">
        <w:rPr>
          <w:color w:val="000000"/>
          <w:szCs w:val="26"/>
          <w:bdr w:val="none" w:sz="0" w:space="0" w:color="auto" w:frame="1"/>
          <w:shd w:val="clear" w:color="auto" w:fill="FFFFFF"/>
        </w:rPr>
        <w:t> </w:t>
      </w:r>
      <w:r w:rsidRPr="000566EE" w:rsidR="002C0886">
        <w:rPr>
          <w:color w:val="000000"/>
          <w:szCs w:val="26"/>
          <w:bdr w:val="none" w:sz="0" w:space="0" w:color="auto" w:frame="1"/>
          <w:shd w:val="clear" w:color="auto" w:fill="FFFFFF"/>
        </w:rPr>
        <w:t>627 [</w:t>
      </w:r>
      <w:r w:rsidRPr="000566EE" w:rsidR="009729D8">
        <w:rPr>
          <w:color w:val="000000"/>
          <w:szCs w:val="26"/>
          <w:bdr w:val="none" w:sz="0" w:space="0" w:color="auto" w:frame="1"/>
          <w:shd w:val="clear" w:color="auto" w:fill="FFFFFF"/>
        </w:rPr>
        <w:t>“Here, for example, it might be said that the parties</w:t>
      </w:r>
      <w:r w:rsidRPr="000566EE" w:rsidR="002C0886">
        <w:rPr>
          <w:color w:val="000000"/>
          <w:szCs w:val="26"/>
          <w:bdr w:val="none" w:sz="0" w:space="0" w:color="auto" w:frame="1"/>
          <w:shd w:val="clear" w:color="auto" w:fill="FFFFFF"/>
        </w:rPr>
        <w:t>’</w:t>
      </w:r>
      <w:r w:rsidRPr="000566EE" w:rsidR="009729D8">
        <w:rPr>
          <w:color w:val="000000"/>
          <w:szCs w:val="26"/>
          <w:bdr w:val="none" w:sz="0" w:space="0" w:color="auto" w:frame="1"/>
          <w:shd w:val="clear" w:color="auto" w:fill="FFFFFF"/>
        </w:rPr>
        <w:t xml:space="preserve"> willingness to compromise should be a factor in setting a reasonable fee, including the choice of any multiplier used”</w:t>
      </w:r>
      <w:r w:rsidRPr="000566EE" w:rsidR="002C0886">
        <w:rPr>
          <w:color w:val="000000"/>
          <w:szCs w:val="26"/>
          <w:bdr w:val="none" w:sz="0" w:space="0" w:color="auto" w:frame="1"/>
          <w:shd w:val="clear" w:color="auto" w:fill="FFFFFF"/>
        </w:rPr>
        <w:t>]</w:t>
      </w:r>
      <w:r w:rsidRPr="000566EE" w:rsidR="00772053">
        <w:rPr>
          <w:color w:val="000000"/>
          <w:szCs w:val="26"/>
          <w:bdr w:val="none" w:sz="0" w:space="0" w:color="auto" w:frame="1"/>
          <w:shd w:val="clear" w:color="auto" w:fill="FFFFFF"/>
        </w:rPr>
        <w:t>.)</w:t>
      </w:r>
      <w:r w:rsidRPr="000566EE" w:rsidR="009729D8">
        <w:rPr>
          <w:color w:val="000000"/>
          <w:szCs w:val="26"/>
          <w:bdr w:val="none" w:sz="0" w:space="0" w:color="auto" w:frame="1"/>
          <w:shd w:val="clear" w:color="auto" w:fill="FFFFFF"/>
        </w:rPr>
        <w:t xml:space="preserve">  </w:t>
      </w:r>
      <w:r w:rsidRPr="000566EE" w:rsidR="0014184F">
        <w:rPr>
          <w:color w:val="000000"/>
          <w:szCs w:val="26"/>
          <w:bdr w:val="none" w:sz="0" w:space="0" w:color="auto" w:frame="1"/>
          <w:shd w:val="clear" w:color="auto" w:fill="FFFFFF"/>
        </w:rPr>
        <w:t xml:space="preserve">In this case, </w:t>
      </w:r>
      <w:r w:rsidRPr="000566EE" w:rsidR="009729D8">
        <w:rPr>
          <w:color w:val="000000"/>
          <w:szCs w:val="26"/>
          <w:bdr w:val="none" w:sz="0" w:space="0" w:color="auto" w:frame="1"/>
          <w:shd w:val="clear" w:color="auto" w:fill="FFFFFF"/>
        </w:rPr>
        <w:t xml:space="preserve">however, </w:t>
      </w:r>
      <w:r w:rsidRPr="000566EE" w:rsidR="0014184F">
        <w:rPr>
          <w:color w:val="000000"/>
          <w:szCs w:val="26"/>
          <w:bdr w:val="none" w:sz="0" w:space="0" w:color="auto" w:frame="1"/>
          <w:shd w:val="clear" w:color="auto" w:fill="FFFFFF"/>
        </w:rPr>
        <w:t xml:space="preserve">the City did </w:t>
      </w:r>
      <w:r w:rsidRPr="000566EE" w:rsidR="0014184F">
        <w:rPr>
          <w:i/>
          <w:iCs/>
          <w:color w:val="000000"/>
          <w:szCs w:val="26"/>
          <w:bdr w:val="none" w:sz="0" w:space="0" w:color="auto" w:frame="1"/>
          <w:shd w:val="clear" w:color="auto" w:fill="FFFFFF"/>
        </w:rPr>
        <w:t>not</w:t>
      </w:r>
      <w:r w:rsidRPr="000566EE" w:rsidR="0014184F">
        <w:rPr>
          <w:color w:val="000000"/>
          <w:szCs w:val="26"/>
          <w:bdr w:val="none" w:sz="0" w:space="0" w:color="auto" w:frame="1"/>
          <w:shd w:val="clear" w:color="auto" w:fill="FFFFFF"/>
        </w:rPr>
        <w:t xml:space="preserve"> settle</w:t>
      </w:r>
      <w:r w:rsidRPr="000566EE" w:rsidR="00D36E3B">
        <w:rPr>
          <w:color w:val="000000"/>
          <w:szCs w:val="26"/>
          <w:bdr w:val="none" w:sz="0" w:space="0" w:color="auto" w:frame="1"/>
          <w:shd w:val="clear" w:color="auto" w:fill="FFFFFF"/>
        </w:rPr>
        <w:t>, so the policy in favor of settlement would not be subverted by</w:t>
      </w:r>
      <w:r w:rsidRPr="000566EE" w:rsidR="000850C0">
        <w:rPr>
          <w:color w:val="000000"/>
          <w:szCs w:val="26"/>
          <w:bdr w:val="none" w:sz="0" w:space="0" w:color="auto" w:frame="1"/>
          <w:shd w:val="clear" w:color="auto" w:fill="FFFFFF"/>
        </w:rPr>
        <w:t xml:space="preserve"> use of a multiplier</w:t>
      </w:r>
      <w:r w:rsidRPr="000566EE" w:rsidR="0014184F">
        <w:rPr>
          <w:color w:val="000000"/>
          <w:szCs w:val="26"/>
          <w:bdr w:val="none" w:sz="0" w:space="0" w:color="auto" w:frame="1"/>
          <w:shd w:val="clear" w:color="auto" w:fill="FFFFFF"/>
        </w:rPr>
        <w:t>.</w:t>
      </w:r>
      <w:r w:rsidRPr="000566EE" w:rsidR="000850C0">
        <w:rPr>
          <w:color w:val="000000"/>
          <w:szCs w:val="26"/>
          <w:bdr w:val="none" w:sz="0" w:space="0" w:color="auto" w:frame="1"/>
          <w:shd w:val="clear" w:color="auto" w:fill="FFFFFF"/>
        </w:rPr>
        <w:t xml:space="preserve"> </w:t>
      </w:r>
      <w:r w:rsidRPr="000566EE" w:rsidR="00772053">
        <w:rPr>
          <w:color w:val="000000"/>
          <w:szCs w:val="26"/>
          <w:bdr w:val="none" w:sz="0" w:space="0" w:color="auto" w:frame="1"/>
          <w:shd w:val="clear" w:color="auto" w:fill="FFFFFF"/>
        </w:rPr>
        <w:t xml:space="preserve"> </w:t>
      </w:r>
      <w:r w:rsidRPr="000566EE" w:rsidR="000850C0">
        <w:rPr>
          <w:color w:val="000000"/>
          <w:szCs w:val="26"/>
          <w:bdr w:val="none" w:sz="0" w:space="0" w:color="auto" w:frame="1"/>
          <w:shd w:val="clear" w:color="auto" w:fill="FFFFFF"/>
        </w:rPr>
        <w:t xml:space="preserve">Thus, the </w:t>
      </w:r>
      <w:r w:rsidRPr="000566EE" w:rsidR="009729D8">
        <w:rPr>
          <w:color w:val="000000"/>
          <w:szCs w:val="26"/>
          <w:bdr w:val="none" w:sz="0" w:space="0" w:color="auto" w:frame="1"/>
          <w:shd w:val="clear" w:color="auto" w:fill="FFFFFF"/>
        </w:rPr>
        <w:t>City fails to show that it was</w:t>
      </w:r>
      <w:r w:rsidRPr="000566EE" w:rsidR="00AF6965">
        <w:rPr>
          <w:color w:val="000000"/>
          <w:szCs w:val="26"/>
          <w:bdr w:val="none" w:sz="0" w:space="0" w:color="auto" w:frame="1"/>
          <w:shd w:val="clear" w:color="auto" w:fill="FFFFFF"/>
        </w:rPr>
        <w:t xml:space="preserve"> improper</w:t>
      </w:r>
      <w:r w:rsidRPr="000566EE" w:rsidR="005C0A96">
        <w:rPr>
          <w:color w:val="000000"/>
          <w:szCs w:val="26"/>
          <w:bdr w:val="none" w:sz="0" w:space="0" w:color="auto" w:frame="1"/>
          <w:shd w:val="clear" w:color="auto" w:fill="FFFFFF"/>
        </w:rPr>
        <w:t xml:space="preserve"> for the court to </w:t>
      </w:r>
      <w:r w:rsidRPr="000566EE" w:rsidR="001051D6">
        <w:rPr>
          <w:color w:val="000000"/>
          <w:szCs w:val="26"/>
          <w:bdr w:val="none" w:sz="0" w:space="0" w:color="auto" w:frame="1"/>
          <w:shd w:val="clear" w:color="auto" w:fill="FFFFFF"/>
        </w:rPr>
        <w:t>apply</w:t>
      </w:r>
      <w:r w:rsidRPr="000566EE" w:rsidR="005C0A96">
        <w:rPr>
          <w:color w:val="000000"/>
          <w:szCs w:val="26"/>
          <w:bdr w:val="none" w:sz="0" w:space="0" w:color="auto" w:frame="1"/>
          <w:shd w:val="clear" w:color="auto" w:fill="FFFFFF"/>
        </w:rPr>
        <w:t xml:space="preserve"> a multiplier, even though </w:t>
      </w:r>
      <w:r w:rsidRPr="000566EE" w:rsidR="00807FEF">
        <w:rPr>
          <w:color w:val="000000"/>
          <w:szCs w:val="26"/>
          <w:bdr w:val="none" w:sz="0" w:space="0" w:color="auto" w:frame="1"/>
          <w:shd w:val="clear" w:color="auto" w:fill="FFFFFF"/>
        </w:rPr>
        <w:t>the fee award</w:t>
      </w:r>
      <w:r w:rsidRPr="000566EE" w:rsidR="005C0A96">
        <w:rPr>
          <w:color w:val="000000"/>
          <w:szCs w:val="26"/>
          <w:bdr w:val="none" w:sz="0" w:space="0" w:color="auto" w:frame="1"/>
          <w:shd w:val="clear" w:color="auto" w:fill="FFFFFF"/>
        </w:rPr>
        <w:t xml:space="preserve"> would be paid by taxpayers</w:t>
      </w:r>
      <w:r w:rsidRPr="000566EE" w:rsidR="00663625">
        <w:rPr>
          <w:color w:val="000000"/>
          <w:szCs w:val="26"/>
          <w:bdr w:val="none" w:sz="0" w:space="0" w:color="auto" w:frame="1"/>
          <w:shd w:val="clear" w:color="auto" w:fill="FFFFFF"/>
        </w:rPr>
        <w:t xml:space="preserve">, </w:t>
      </w:r>
      <w:r w:rsidRPr="000566EE" w:rsidR="008E0D6C">
        <w:rPr>
          <w:color w:val="000000"/>
          <w:szCs w:val="26"/>
          <w:bdr w:val="none" w:sz="0" w:space="0" w:color="auto" w:frame="1"/>
          <w:shd w:val="clear" w:color="auto" w:fill="FFFFFF"/>
        </w:rPr>
        <w:t>where</w:t>
      </w:r>
      <w:r w:rsidRPr="000566EE" w:rsidR="00663625">
        <w:rPr>
          <w:color w:val="000000"/>
          <w:szCs w:val="26"/>
          <w:bdr w:val="none" w:sz="0" w:space="0" w:color="auto" w:frame="1"/>
          <w:shd w:val="clear" w:color="auto" w:fill="FFFFFF"/>
        </w:rPr>
        <w:t xml:space="preserve"> the </w:t>
      </w:r>
      <w:r w:rsidRPr="000566EE" w:rsidR="007A1483">
        <w:rPr>
          <w:color w:val="000000"/>
          <w:szCs w:val="26"/>
          <w:bdr w:val="none" w:sz="0" w:space="0" w:color="auto" w:frame="1"/>
          <w:shd w:val="clear" w:color="auto" w:fill="FFFFFF"/>
        </w:rPr>
        <w:t xml:space="preserve">court found the </w:t>
      </w:r>
      <w:r w:rsidRPr="000566EE" w:rsidR="00663625">
        <w:rPr>
          <w:color w:val="000000"/>
          <w:szCs w:val="26"/>
          <w:bdr w:val="none" w:sz="0" w:space="0" w:color="auto" w:frame="1"/>
          <w:shd w:val="clear" w:color="auto" w:fill="FFFFFF"/>
        </w:rPr>
        <w:t>City’s elected representatives had a meaningful opportunity to avoid litigation</w:t>
      </w:r>
      <w:r w:rsidRPr="000566EE" w:rsidR="00E35FAE">
        <w:rPr>
          <w:color w:val="000000"/>
          <w:szCs w:val="26"/>
          <w:bdr w:val="none" w:sz="0" w:space="0" w:color="auto" w:frame="1"/>
          <w:shd w:val="clear" w:color="auto" w:fill="FFFFFF"/>
        </w:rPr>
        <w:t>.</w:t>
      </w:r>
    </w:p>
    <w:p w:rsidR="00CB700B" w:rsidRPr="000566EE" w:rsidP="000566EE" w14:paraId="1952C742" w14:textId="112B4E90">
      <w:pPr>
        <w:ind w:firstLine="720"/>
        <w:contextualSpacing/>
        <w:rPr>
          <w:color w:val="000000"/>
          <w:szCs w:val="26"/>
          <w:bdr w:val="none" w:sz="0" w:space="0" w:color="auto" w:frame="1"/>
          <w:shd w:val="clear" w:color="auto" w:fill="FFFFFF"/>
        </w:rPr>
      </w:pPr>
      <w:r w:rsidRPr="000566EE">
        <w:rPr>
          <w:color w:val="000000"/>
          <w:szCs w:val="26"/>
          <w:bdr w:val="none" w:sz="0" w:space="0" w:color="auto" w:frame="1"/>
          <w:shd w:val="clear" w:color="auto" w:fill="FFFFFF"/>
        </w:rPr>
        <w:t>Finally,</w:t>
      </w:r>
      <w:r w:rsidRPr="000566EE" w:rsidR="00170400">
        <w:rPr>
          <w:color w:val="000000"/>
          <w:szCs w:val="26"/>
          <w:bdr w:val="none" w:sz="0" w:space="0" w:color="auto" w:frame="1"/>
          <w:shd w:val="clear" w:color="auto" w:fill="FFFFFF"/>
        </w:rPr>
        <w:t xml:space="preserve"> </w:t>
      </w:r>
      <w:r w:rsidRPr="000566EE" w:rsidR="00770853">
        <w:rPr>
          <w:color w:val="000000"/>
          <w:szCs w:val="26"/>
          <w:bdr w:val="none" w:sz="0" w:space="0" w:color="auto" w:frame="1"/>
          <w:shd w:val="clear" w:color="auto" w:fill="FFFFFF"/>
        </w:rPr>
        <w:t>contrary to the City’s claims</w:t>
      </w:r>
      <w:r w:rsidRPr="000566EE" w:rsidR="00ED6F7D">
        <w:rPr>
          <w:color w:val="000000"/>
          <w:szCs w:val="26"/>
          <w:bdr w:val="none" w:sz="0" w:space="0" w:color="auto" w:frame="1"/>
          <w:shd w:val="clear" w:color="auto" w:fill="FFFFFF"/>
        </w:rPr>
        <w:t xml:space="preserve">, there is no showing that the </w:t>
      </w:r>
      <w:r w:rsidRPr="000566EE" w:rsidR="00D36E3B">
        <w:rPr>
          <w:color w:val="000000"/>
          <w:szCs w:val="26"/>
          <w:bdr w:val="none" w:sz="0" w:space="0" w:color="auto" w:frame="1"/>
          <w:shd w:val="clear" w:color="auto" w:fill="FFFFFF"/>
        </w:rPr>
        <w:t xml:space="preserve">trial </w:t>
      </w:r>
      <w:r w:rsidRPr="000566EE" w:rsidR="00ED6F7D">
        <w:rPr>
          <w:color w:val="000000"/>
          <w:szCs w:val="26"/>
          <w:bdr w:val="none" w:sz="0" w:space="0" w:color="auto" w:frame="1"/>
          <w:shd w:val="clear" w:color="auto" w:fill="FFFFFF"/>
        </w:rPr>
        <w:t xml:space="preserve">court applied the multiplier </w:t>
      </w:r>
      <w:r w:rsidRPr="000566EE" w:rsidR="0069036F">
        <w:rPr>
          <w:color w:val="000000"/>
          <w:szCs w:val="26"/>
          <w:bdr w:val="none" w:sz="0" w:space="0" w:color="auto" w:frame="1"/>
          <w:shd w:val="clear" w:color="auto" w:fill="FFFFFF"/>
        </w:rPr>
        <w:t xml:space="preserve">to punish the City.  </w:t>
      </w:r>
      <w:r w:rsidRPr="000566EE" w:rsidR="00037ED6">
        <w:rPr>
          <w:color w:val="000000"/>
          <w:szCs w:val="26"/>
          <w:bdr w:val="none" w:sz="0" w:space="0" w:color="auto" w:frame="1"/>
          <w:shd w:val="clear" w:color="auto" w:fill="FFFFFF"/>
        </w:rPr>
        <w:t xml:space="preserve">The court applied </w:t>
      </w:r>
      <w:r w:rsidRPr="000566EE" w:rsidR="006B0705">
        <w:rPr>
          <w:color w:val="000000"/>
          <w:szCs w:val="26"/>
          <w:bdr w:val="none" w:sz="0" w:space="0" w:color="auto" w:frame="1"/>
          <w:shd w:val="clear" w:color="auto" w:fill="FFFFFF"/>
        </w:rPr>
        <w:t xml:space="preserve">a </w:t>
      </w:r>
      <w:r w:rsidRPr="000566EE" w:rsidR="00BF78BE">
        <w:rPr>
          <w:color w:val="000000"/>
          <w:szCs w:val="26"/>
          <w:bdr w:val="none" w:sz="0" w:space="0" w:color="auto" w:frame="1"/>
          <w:shd w:val="clear" w:color="auto" w:fill="FFFFFF"/>
        </w:rPr>
        <w:t xml:space="preserve">more </w:t>
      </w:r>
      <w:r w:rsidRPr="000566EE" w:rsidR="006B0705">
        <w:rPr>
          <w:color w:val="000000"/>
          <w:szCs w:val="26"/>
          <w:bdr w:val="none" w:sz="0" w:space="0" w:color="auto" w:frame="1"/>
          <w:shd w:val="clear" w:color="auto" w:fill="FFFFFF"/>
        </w:rPr>
        <w:t>modest 1.25 multiplier</w:t>
      </w:r>
      <w:r w:rsidRPr="000566EE" w:rsidR="00726A31">
        <w:rPr>
          <w:color w:val="000000"/>
          <w:szCs w:val="26"/>
          <w:bdr w:val="none" w:sz="0" w:space="0" w:color="auto" w:frame="1"/>
          <w:shd w:val="clear" w:color="auto" w:fill="FFFFFF"/>
        </w:rPr>
        <w:t xml:space="preserve"> to the lodestar </w:t>
      </w:r>
      <w:r w:rsidRPr="000566EE" w:rsidR="00BF78BE">
        <w:rPr>
          <w:color w:val="000000"/>
          <w:szCs w:val="26"/>
          <w:bdr w:val="none" w:sz="0" w:space="0" w:color="auto" w:frame="1"/>
          <w:shd w:val="clear" w:color="auto" w:fill="FFFFFF"/>
        </w:rPr>
        <w:t xml:space="preserve">solely </w:t>
      </w:r>
      <w:r w:rsidRPr="000566EE" w:rsidR="00726A31">
        <w:rPr>
          <w:color w:val="000000"/>
          <w:szCs w:val="26"/>
          <w:bdr w:val="none" w:sz="0" w:space="0" w:color="auto" w:frame="1"/>
          <w:shd w:val="clear" w:color="auto" w:fill="FFFFFF"/>
        </w:rPr>
        <w:t xml:space="preserve">for the work </w:t>
      </w:r>
      <w:r w:rsidRPr="000566EE" w:rsidR="009472FB">
        <w:rPr>
          <w:color w:val="000000"/>
          <w:szCs w:val="26"/>
          <w:bdr w:val="none" w:sz="0" w:space="0" w:color="auto" w:frame="1"/>
          <w:shd w:val="clear" w:color="auto" w:fill="FFFFFF"/>
        </w:rPr>
        <w:t xml:space="preserve">done </w:t>
      </w:r>
      <w:r w:rsidRPr="000566EE" w:rsidR="00726A31">
        <w:rPr>
          <w:color w:val="000000"/>
          <w:szCs w:val="26"/>
          <w:bdr w:val="none" w:sz="0" w:space="0" w:color="auto" w:frame="1"/>
          <w:shd w:val="clear" w:color="auto" w:fill="FFFFFF"/>
        </w:rPr>
        <w:t>on the merits</w:t>
      </w:r>
      <w:r w:rsidRPr="000566EE" w:rsidR="009472FB">
        <w:rPr>
          <w:color w:val="000000"/>
          <w:szCs w:val="26"/>
          <w:bdr w:val="none" w:sz="0" w:space="0" w:color="auto" w:frame="1"/>
          <w:shd w:val="clear" w:color="auto" w:fill="FFFFFF"/>
        </w:rPr>
        <w:t xml:space="preserve"> of the case</w:t>
      </w:r>
      <w:r w:rsidRPr="000566EE" w:rsidR="00726A31">
        <w:rPr>
          <w:color w:val="000000"/>
          <w:szCs w:val="26"/>
          <w:bdr w:val="none" w:sz="0" w:space="0" w:color="auto" w:frame="1"/>
          <w:shd w:val="clear" w:color="auto" w:fill="FFFFFF"/>
        </w:rPr>
        <w:t xml:space="preserve">, </w:t>
      </w:r>
      <w:r w:rsidRPr="000566EE" w:rsidR="00715B9C">
        <w:rPr>
          <w:color w:val="000000"/>
          <w:szCs w:val="26"/>
          <w:bdr w:val="none" w:sz="0" w:space="0" w:color="auto" w:frame="1"/>
          <w:shd w:val="clear" w:color="auto" w:fill="FFFFFF"/>
        </w:rPr>
        <w:t xml:space="preserve">after </w:t>
      </w:r>
      <w:r w:rsidRPr="000566EE" w:rsidR="0029600C">
        <w:rPr>
          <w:color w:val="000000"/>
          <w:szCs w:val="26"/>
          <w:bdr w:val="none" w:sz="0" w:space="0" w:color="auto" w:frame="1"/>
          <w:shd w:val="clear" w:color="auto" w:fill="FFFFFF"/>
        </w:rPr>
        <w:t>rejecting YIMBY’s request for a 3.0 multiplier</w:t>
      </w:r>
      <w:r w:rsidRPr="000566EE" w:rsidR="00A4047A">
        <w:rPr>
          <w:color w:val="000000"/>
          <w:szCs w:val="26"/>
          <w:bdr w:val="none" w:sz="0" w:space="0" w:color="auto" w:frame="1"/>
          <w:shd w:val="clear" w:color="auto" w:fill="FFFFFF"/>
        </w:rPr>
        <w:t>.</w:t>
      </w:r>
      <w:r>
        <w:rPr>
          <w:rStyle w:val="FootnoteReference"/>
          <w:color w:val="000000"/>
          <w:szCs w:val="26"/>
          <w:bdr w:val="none" w:sz="0" w:space="0" w:color="auto" w:frame="1"/>
          <w:shd w:val="clear" w:color="auto" w:fill="FFFFFF"/>
        </w:rPr>
        <w:footnoteReference w:id="10"/>
      </w:r>
      <w:r w:rsidRPr="000566EE" w:rsidR="00A4047A">
        <w:rPr>
          <w:color w:val="000000"/>
          <w:szCs w:val="26"/>
          <w:bdr w:val="none" w:sz="0" w:space="0" w:color="auto" w:frame="1"/>
          <w:shd w:val="clear" w:color="auto" w:fill="FFFFFF"/>
        </w:rPr>
        <w:t xml:space="preserve"> </w:t>
      </w:r>
      <w:r w:rsidRPr="000566EE" w:rsidR="00FB176D">
        <w:rPr>
          <w:color w:val="000000"/>
          <w:szCs w:val="26"/>
          <w:bdr w:val="none" w:sz="0" w:space="0" w:color="auto" w:frame="1"/>
          <w:shd w:val="clear" w:color="auto" w:fill="FFFFFF"/>
        </w:rPr>
        <w:t xml:space="preserve"> </w:t>
      </w:r>
      <w:r w:rsidRPr="000566EE" w:rsidR="00D36E3B">
        <w:rPr>
          <w:color w:val="000000"/>
          <w:szCs w:val="26"/>
          <w:bdr w:val="none" w:sz="0" w:space="0" w:color="auto" w:frame="1"/>
          <w:shd w:val="clear" w:color="auto" w:fill="FFFFFF"/>
        </w:rPr>
        <w:t xml:space="preserve">The court articulated numerous non-punitive, </w:t>
      </w:r>
      <w:r w:rsidRPr="000566EE" w:rsidR="000850C0">
        <w:rPr>
          <w:color w:val="000000"/>
          <w:szCs w:val="26"/>
          <w:bdr w:val="none" w:sz="0" w:space="0" w:color="auto" w:frame="1"/>
          <w:shd w:val="clear" w:color="auto" w:fill="FFFFFF"/>
        </w:rPr>
        <w:t>rational</w:t>
      </w:r>
      <w:r w:rsidRPr="000566EE" w:rsidR="00D36E3B">
        <w:rPr>
          <w:color w:val="000000"/>
          <w:szCs w:val="26"/>
          <w:bdr w:val="none" w:sz="0" w:space="0" w:color="auto" w:frame="1"/>
          <w:shd w:val="clear" w:color="auto" w:fill="FFFFFF"/>
        </w:rPr>
        <w:t xml:space="preserve"> reasons for applying the multiplier.  </w:t>
      </w:r>
      <w:r w:rsidRPr="000566EE" w:rsidR="009175AF">
        <w:rPr>
          <w:color w:val="000000"/>
          <w:szCs w:val="26"/>
          <w:bdr w:val="none" w:sz="0" w:space="0" w:color="auto" w:frame="1"/>
          <w:shd w:val="clear" w:color="auto" w:fill="FFFFFF"/>
        </w:rPr>
        <w:t>Based on the foregoing, t</w:t>
      </w:r>
      <w:r w:rsidRPr="000566EE" w:rsidR="00E6173D">
        <w:rPr>
          <w:color w:val="000000"/>
          <w:szCs w:val="26"/>
          <w:bdr w:val="none" w:sz="0" w:space="0" w:color="auto" w:frame="1"/>
          <w:shd w:val="clear" w:color="auto" w:fill="FFFFFF"/>
        </w:rPr>
        <w:t xml:space="preserve">he City fails to establish that the </w:t>
      </w:r>
      <w:r w:rsidRPr="000566EE" w:rsidR="00291BC0">
        <w:rPr>
          <w:color w:val="000000"/>
          <w:szCs w:val="26"/>
          <w:bdr w:val="none" w:sz="0" w:space="0" w:color="auto" w:frame="1"/>
          <w:shd w:val="clear" w:color="auto" w:fill="FFFFFF"/>
        </w:rPr>
        <w:t xml:space="preserve">trial court abused its discretion </w:t>
      </w:r>
      <w:r w:rsidRPr="000566EE" w:rsidR="008612E5">
        <w:rPr>
          <w:color w:val="000000"/>
          <w:szCs w:val="26"/>
          <w:bdr w:val="none" w:sz="0" w:space="0" w:color="auto" w:frame="1"/>
          <w:shd w:val="clear" w:color="auto" w:fill="FFFFFF"/>
        </w:rPr>
        <w:t>in</w:t>
      </w:r>
      <w:r w:rsidRPr="000566EE" w:rsidR="00291BC0">
        <w:rPr>
          <w:color w:val="000000"/>
          <w:szCs w:val="26"/>
          <w:bdr w:val="none" w:sz="0" w:space="0" w:color="auto" w:frame="1"/>
          <w:shd w:val="clear" w:color="auto" w:fill="FFFFFF"/>
        </w:rPr>
        <w:t xml:space="preserve"> awarding </w:t>
      </w:r>
      <w:r w:rsidRPr="000566EE" w:rsidR="00776CD7">
        <w:rPr>
          <w:color w:val="000000"/>
          <w:szCs w:val="26"/>
          <w:bdr w:val="none" w:sz="0" w:space="0" w:color="auto" w:frame="1"/>
          <w:shd w:val="clear" w:color="auto" w:fill="FFFFFF"/>
        </w:rPr>
        <w:t xml:space="preserve">the </w:t>
      </w:r>
      <w:r w:rsidRPr="000566EE" w:rsidR="00291BC0">
        <w:rPr>
          <w:color w:val="000000"/>
          <w:szCs w:val="26"/>
          <w:bdr w:val="none" w:sz="0" w:space="0" w:color="auto" w:frame="1"/>
          <w:shd w:val="clear" w:color="auto" w:fill="FFFFFF"/>
        </w:rPr>
        <w:t xml:space="preserve">multiplier. </w:t>
      </w:r>
      <w:r w:rsidRPr="000566EE" w:rsidR="00BB0EB2">
        <w:rPr>
          <w:color w:val="000000"/>
          <w:szCs w:val="26"/>
          <w:bdr w:val="none" w:sz="0" w:space="0" w:color="auto" w:frame="1"/>
          <w:shd w:val="clear" w:color="auto" w:fill="FFFFFF"/>
        </w:rPr>
        <w:t xml:space="preserve"> </w:t>
      </w:r>
      <w:r w:rsidRPr="000566EE" w:rsidR="00291BC0">
        <w:rPr>
          <w:color w:val="000000"/>
          <w:szCs w:val="26"/>
          <w:bdr w:val="none" w:sz="0" w:space="0" w:color="auto" w:frame="1"/>
          <w:shd w:val="clear" w:color="auto" w:fill="FFFFFF"/>
        </w:rPr>
        <w:t>(</w:t>
      </w:r>
      <w:r w:rsidRPr="000566EE" w:rsidR="004C4AFB">
        <w:rPr>
          <w:i/>
          <w:iCs/>
          <w:color w:val="000000"/>
          <w:szCs w:val="26"/>
          <w:bdr w:val="none" w:sz="0" w:space="0" w:color="auto" w:frame="1"/>
          <w:shd w:val="clear" w:color="auto" w:fill="FFFFFF"/>
        </w:rPr>
        <w:t>Loeffler</w:t>
      </w:r>
      <w:r w:rsidRPr="000566EE" w:rsidR="008B4EE9">
        <w:rPr>
          <w:color w:val="000000"/>
          <w:szCs w:val="26"/>
          <w:bdr w:val="none" w:sz="0" w:space="0" w:color="auto" w:frame="1"/>
          <w:shd w:val="clear" w:color="auto" w:fill="FFFFFF"/>
        </w:rPr>
        <w:t xml:space="preserve">, </w:t>
      </w:r>
      <w:r w:rsidRPr="000566EE" w:rsidR="008B4EE9">
        <w:rPr>
          <w:i/>
          <w:iCs/>
          <w:color w:val="000000"/>
          <w:szCs w:val="26"/>
          <w:bdr w:val="none" w:sz="0" w:space="0" w:color="auto" w:frame="1"/>
          <w:shd w:val="clear" w:color="auto" w:fill="FFFFFF"/>
        </w:rPr>
        <w:t>supra</w:t>
      </w:r>
      <w:r w:rsidRPr="000566EE" w:rsidR="008B4EE9">
        <w:rPr>
          <w:color w:val="000000"/>
          <w:szCs w:val="26"/>
          <w:bdr w:val="none" w:sz="0" w:space="0" w:color="auto" w:frame="1"/>
          <w:shd w:val="clear" w:color="auto" w:fill="FFFFFF"/>
        </w:rPr>
        <w:t>,</w:t>
      </w:r>
      <w:r w:rsidRPr="000566EE" w:rsidR="004C4AFB">
        <w:rPr>
          <w:color w:val="000000"/>
          <w:szCs w:val="26"/>
          <w:bdr w:val="none" w:sz="0" w:space="0" w:color="auto" w:frame="1"/>
          <w:shd w:val="clear" w:color="auto" w:fill="FFFFFF"/>
        </w:rPr>
        <w:t xml:space="preserve"> 174 Cal.App.4th </w:t>
      </w:r>
      <w:r w:rsidRPr="000566EE" w:rsidR="008B4EE9">
        <w:rPr>
          <w:color w:val="000000"/>
          <w:szCs w:val="26"/>
          <w:bdr w:val="none" w:sz="0" w:space="0" w:color="auto" w:frame="1"/>
          <w:shd w:val="clear" w:color="auto" w:fill="FFFFFF"/>
        </w:rPr>
        <w:t>at p.</w:t>
      </w:r>
      <w:r w:rsidRPr="000566EE" w:rsidR="004C4AFB">
        <w:rPr>
          <w:color w:val="000000"/>
          <w:szCs w:val="26"/>
          <w:bdr w:val="none" w:sz="0" w:space="0" w:color="auto" w:frame="1"/>
          <w:shd w:val="clear" w:color="auto" w:fill="FFFFFF"/>
        </w:rPr>
        <w:t xml:space="preserve"> </w:t>
      </w:r>
      <w:r w:rsidRPr="00794421" w:rsidR="004C4AFB">
        <w:rPr>
          <w:color w:val="000000"/>
          <w:szCs w:val="26"/>
          <w:bdr w:val="none" w:sz="0" w:space="0" w:color="auto" w:frame="1"/>
          <w:shd w:val="clear" w:color="auto" w:fill="FFFFFF"/>
        </w:rPr>
        <w:t>1509</w:t>
      </w:r>
      <w:r w:rsidRPr="00794421" w:rsidR="008B4EE9">
        <w:rPr>
          <w:color w:val="000000"/>
          <w:szCs w:val="26"/>
          <w:bdr w:val="none" w:sz="0" w:space="0" w:color="auto" w:frame="1"/>
          <w:shd w:val="clear" w:color="auto" w:fill="FFFFFF"/>
        </w:rPr>
        <w:t xml:space="preserve">; </w:t>
      </w:r>
      <w:r w:rsidRPr="00794421" w:rsidR="000E61EC">
        <w:rPr>
          <w:i/>
          <w:iCs/>
          <w:color w:val="000000"/>
          <w:szCs w:val="26"/>
          <w:bdr w:val="none" w:sz="0" w:space="0" w:color="auto" w:frame="1"/>
          <w:shd w:val="clear" w:color="auto" w:fill="FFFFFF"/>
        </w:rPr>
        <w:t>Kennedy Com</w:t>
      </w:r>
      <w:r w:rsidRPr="00794421" w:rsidR="008B2C7E">
        <w:rPr>
          <w:i/>
          <w:iCs/>
          <w:color w:val="000000"/>
          <w:szCs w:val="26"/>
          <w:bdr w:val="none" w:sz="0" w:space="0" w:color="auto" w:frame="1"/>
          <w:shd w:val="clear" w:color="auto" w:fill="FFFFFF"/>
        </w:rPr>
        <w:t>.</w:t>
      </w:r>
      <w:r w:rsidRPr="00794421" w:rsidR="000E61EC">
        <w:rPr>
          <w:color w:val="000000"/>
          <w:szCs w:val="26"/>
          <w:bdr w:val="none" w:sz="0" w:space="0" w:color="auto" w:frame="1"/>
          <w:shd w:val="clear" w:color="auto" w:fill="FFFFFF"/>
        </w:rPr>
        <w:t>,</w:t>
      </w:r>
      <w:r w:rsidRPr="000566EE" w:rsidR="000E61EC">
        <w:rPr>
          <w:color w:val="000000"/>
          <w:szCs w:val="26"/>
          <w:bdr w:val="none" w:sz="0" w:space="0" w:color="auto" w:frame="1"/>
          <w:shd w:val="clear" w:color="auto" w:fill="FFFFFF"/>
        </w:rPr>
        <w:t xml:space="preserve"> </w:t>
      </w:r>
      <w:r w:rsidRPr="000566EE" w:rsidR="000E61EC">
        <w:rPr>
          <w:i/>
          <w:iCs/>
          <w:color w:val="000000"/>
          <w:szCs w:val="26"/>
          <w:bdr w:val="none" w:sz="0" w:space="0" w:color="auto" w:frame="1"/>
          <w:shd w:val="clear" w:color="auto" w:fill="FFFFFF"/>
        </w:rPr>
        <w:t>supra</w:t>
      </w:r>
      <w:r w:rsidRPr="000566EE" w:rsidR="000E61EC">
        <w:rPr>
          <w:color w:val="000000"/>
          <w:szCs w:val="26"/>
          <w:bdr w:val="none" w:sz="0" w:space="0" w:color="auto" w:frame="1"/>
          <w:shd w:val="clear" w:color="auto" w:fill="FFFFFF"/>
        </w:rPr>
        <w:t>, 91 Cal.App.5th at p.</w:t>
      </w:r>
      <w:r w:rsidRPr="000566EE" w:rsidR="00C372B0">
        <w:rPr>
          <w:color w:val="000000"/>
          <w:szCs w:val="26"/>
          <w:bdr w:val="none" w:sz="0" w:space="0" w:color="auto" w:frame="1"/>
          <w:shd w:val="clear" w:color="auto" w:fill="FFFFFF"/>
        </w:rPr>
        <w:t> </w:t>
      </w:r>
      <w:r w:rsidRPr="000566EE" w:rsidR="000E61EC">
        <w:rPr>
          <w:color w:val="000000"/>
          <w:szCs w:val="26"/>
          <w:bdr w:val="none" w:sz="0" w:space="0" w:color="auto" w:frame="1"/>
          <w:shd w:val="clear" w:color="auto" w:fill="FFFFFF"/>
        </w:rPr>
        <w:t>467</w:t>
      </w:r>
      <w:r w:rsidRPr="000566EE" w:rsidR="00291BC0">
        <w:rPr>
          <w:color w:val="000000"/>
          <w:szCs w:val="26"/>
          <w:bdr w:val="none" w:sz="0" w:space="0" w:color="auto" w:frame="1"/>
          <w:shd w:val="clear" w:color="auto" w:fill="FFFFFF"/>
        </w:rPr>
        <w:t>.)</w:t>
      </w:r>
    </w:p>
    <w:p w:rsidR="007F6211" w:rsidRPr="000566EE" w:rsidP="000566EE" w14:paraId="5D14E5D6" w14:textId="77777777">
      <w:pPr>
        <w:ind w:firstLine="720"/>
        <w:contextualSpacing/>
        <w:rPr>
          <w:color w:val="000000"/>
          <w:szCs w:val="26"/>
          <w:bdr w:val="none" w:sz="0" w:space="0" w:color="auto" w:frame="1"/>
          <w:shd w:val="clear" w:color="auto" w:fill="FFFFFF"/>
        </w:rPr>
      </w:pPr>
    </w:p>
    <w:p w:rsidR="00A57AD2" w:rsidRPr="000566EE" w:rsidP="000566EE" w14:paraId="6FEE3315" w14:textId="77777777">
      <w:pPr>
        <w:keepNext/>
        <w:contextualSpacing/>
        <w:jc w:val="center"/>
        <w:rPr>
          <w:rFonts w:cs="Arial"/>
          <w:color w:val="000000"/>
          <w:szCs w:val="26"/>
          <w:shd w:val="clear" w:color="auto" w:fill="FFFFFF"/>
        </w:rPr>
      </w:pPr>
      <w:r w:rsidRPr="000566EE">
        <w:rPr>
          <w:rFonts w:cs="Arial"/>
          <w:b/>
          <w:color w:val="000000"/>
          <w:szCs w:val="26"/>
          <w:shd w:val="clear" w:color="auto" w:fill="FFFFFF"/>
        </w:rPr>
        <w:t>DISPOSITION</w:t>
      </w:r>
    </w:p>
    <w:p w:rsidR="0068762E" w:rsidRPr="000566EE" w:rsidP="000566EE" w14:paraId="202AA052" w14:textId="4A4C359F">
      <w:pPr>
        <w:contextualSpacing/>
        <w:rPr>
          <w:szCs w:val="26"/>
        </w:rPr>
      </w:pPr>
      <w:r w:rsidRPr="000566EE">
        <w:rPr>
          <w:szCs w:val="26"/>
        </w:rPr>
        <w:tab/>
        <w:t xml:space="preserve">The </w:t>
      </w:r>
      <w:r w:rsidRPr="000566EE" w:rsidR="00826CBD">
        <w:rPr>
          <w:szCs w:val="26"/>
        </w:rPr>
        <w:t xml:space="preserve">judgment </w:t>
      </w:r>
      <w:r w:rsidRPr="000566EE" w:rsidR="001F7931">
        <w:rPr>
          <w:szCs w:val="26"/>
        </w:rPr>
        <w:t xml:space="preserve">and order </w:t>
      </w:r>
      <w:r w:rsidRPr="000566EE" w:rsidR="00BE22A8">
        <w:rPr>
          <w:szCs w:val="26"/>
        </w:rPr>
        <w:t>are</w:t>
      </w:r>
      <w:r w:rsidRPr="000566EE" w:rsidR="00826CBD">
        <w:rPr>
          <w:szCs w:val="26"/>
        </w:rPr>
        <w:t xml:space="preserve"> affirmed</w:t>
      </w:r>
      <w:r w:rsidRPr="000566EE" w:rsidR="00EB758D">
        <w:rPr>
          <w:szCs w:val="26"/>
        </w:rPr>
        <w:t xml:space="preserve">.  </w:t>
      </w:r>
      <w:r w:rsidRPr="000566EE" w:rsidR="007F51AC">
        <w:rPr>
          <w:szCs w:val="26"/>
        </w:rPr>
        <w:t xml:space="preserve">YIMBY </w:t>
      </w:r>
      <w:r w:rsidRPr="000566EE" w:rsidR="008B24A2">
        <w:rPr>
          <w:szCs w:val="26"/>
        </w:rPr>
        <w:t>is</w:t>
      </w:r>
      <w:r w:rsidRPr="000566EE" w:rsidR="00BE22A8">
        <w:rPr>
          <w:szCs w:val="26"/>
        </w:rPr>
        <w:t xml:space="preserve"> </w:t>
      </w:r>
      <w:r w:rsidRPr="000566EE" w:rsidR="00EB758D">
        <w:rPr>
          <w:szCs w:val="26"/>
        </w:rPr>
        <w:t>awarded costs</w:t>
      </w:r>
      <w:r w:rsidRPr="000566EE" w:rsidR="00A66015">
        <w:rPr>
          <w:szCs w:val="26"/>
        </w:rPr>
        <w:t xml:space="preserve"> on appeal</w:t>
      </w:r>
      <w:r w:rsidRPr="000566EE" w:rsidR="00EB758D">
        <w:rPr>
          <w:szCs w:val="26"/>
        </w:rPr>
        <w:t xml:space="preserve">. </w:t>
      </w:r>
      <w:r w:rsidRPr="000566EE" w:rsidR="001128D9">
        <w:rPr>
          <w:szCs w:val="26"/>
        </w:rPr>
        <w:t xml:space="preserve"> </w:t>
      </w:r>
    </w:p>
    <w:p w:rsidR="00A57AD2" w:rsidRPr="000566EE" w:rsidP="000566EE" w14:paraId="16CFB1E7" w14:textId="77777777">
      <w:pPr>
        <w:rPr>
          <w:szCs w:val="26"/>
        </w:rPr>
      </w:pPr>
    </w:p>
    <w:p w:rsidR="00A57AD2" w:rsidRPr="000566EE" w:rsidP="000566EE" w14:paraId="38E89CF9" w14:textId="77777777">
      <w:pPr>
        <w:rPr>
          <w:szCs w:val="26"/>
        </w:rPr>
      </w:pPr>
    </w:p>
    <w:p w:rsidR="00A57AD2" w:rsidRPr="000566EE" w:rsidP="000566EE" w14:paraId="4EDABCD2" w14:textId="0AE630EC">
      <w:pPr>
        <w:rPr>
          <w:szCs w:val="26"/>
        </w:rPr>
      </w:pPr>
      <w:r w:rsidRPr="000566EE">
        <w:rPr>
          <w:szCs w:val="26"/>
        </w:rPr>
        <w:tab/>
      </w:r>
      <w:r w:rsidRPr="000566EE">
        <w:rPr>
          <w:szCs w:val="26"/>
        </w:rPr>
        <w:tab/>
      </w:r>
      <w:r w:rsidRPr="000566EE">
        <w:rPr>
          <w:szCs w:val="26"/>
        </w:rPr>
        <w:tab/>
      </w:r>
      <w:r w:rsidRPr="000566EE">
        <w:rPr>
          <w:szCs w:val="26"/>
        </w:rPr>
        <w:tab/>
      </w:r>
      <w:r w:rsidRPr="000566EE">
        <w:rPr>
          <w:szCs w:val="26"/>
        </w:rPr>
        <w:tab/>
      </w:r>
      <w:r w:rsidRPr="000566EE">
        <w:rPr>
          <w:szCs w:val="26"/>
        </w:rPr>
        <w:tab/>
      </w:r>
      <w:r w:rsidRPr="000566EE">
        <w:rPr>
          <w:szCs w:val="26"/>
        </w:rPr>
        <w:tab/>
      </w:r>
      <w:r w:rsidRPr="000566EE" w:rsidR="00E412CB">
        <w:rPr>
          <w:szCs w:val="26"/>
        </w:rPr>
        <w:t>MORI, J</w:t>
      </w:r>
      <w:r w:rsidRPr="000566EE">
        <w:rPr>
          <w:szCs w:val="26"/>
        </w:rPr>
        <w:t>.</w:t>
      </w:r>
    </w:p>
    <w:p w:rsidR="00A57AD2" w:rsidRPr="000566EE" w:rsidP="000566EE" w14:paraId="388A9F41" w14:textId="77777777">
      <w:pPr>
        <w:rPr>
          <w:szCs w:val="26"/>
        </w:rPr>
      </w:pPr>
      <w:r w:rsidRPr="000566EE">
        <w:rPr>
          <w:szCs w:val="26"/>
        </w:rPr>
        <w:tab/>
        <w:t>We concur:</w:t>
      </w:r>
    </w:p>
    <w:p w:rsidR="00A57AD2" w:rsidRPr="000566EE" w:rsidP="000566EE" w14:paraId="27284625" w14:textId="77777777">
      <w:pPr>
        <w:rPr>
          <w:szCs w:val="26"/>
        </w:rPr>
      </w:pPr>
    </w:p>
    <w:p w:rsidR="00A57AD2" w:rsidRPr="000566EE" w:rsidP="000566EE" w14:paraId="4F17CD49" w14:textId="77777777">
      <w:pPr>
        <w:rPr>
          <w:szCs w:val="26"/>
        </w:rPr>
      </w:pPr>
    </w:p>
    <w:p w:rsidR="00E71AB2" w:rsidRPr="000566EE" w:rsidP="000566EE" w14:paraId="5F2B4D2C" w14:textId="17B2E561">
      <w:pPr>
        <w:rPr>
          <w:szCs w:val="26"/>
        </w:rPr>
      </w:pPr>
      <w:r w:rsidRPr="000566EE">
        <w:rPr>
          <w:szCs w:val="26"/>
        </w:rPr>
        <w:tab/>
      </w:r>
      <w:r w:rsidRPr="000566EE" w:rsidR="00CB700B">
        <w:rPr>
          <w:szCs w:val="26"/>
        </w:rPr>
        <w:tab/>
      </w:r>
      <w:r w:rsidRPr="000566EE" w:rsidR="00354D5B">
        <w:rPr>
          <w:szCs w:val="26"/>
        </w:rPr>
        <w:t>CURREY</w:t>
      </w:r>
      <w:r w:rsidRPr="000566EE">
        <w:rPr>
          <w:szCs w:val="26"/>
        </w:rPr>
        <w:t>, P. J.</w:t>
      </w:r>
    </w:p>
    <w:p w:rsidR="00E71AB2" w:rsidRPr="000566EE" w:rsidP="000566EE" w14:paraId="1B3C8128" w14:textId="77777777">
      <w:pPr>
        <w:rPr>
          <w:szCs w:val="26"/>
        </w:rPr>
      </w:pPr>
    </w:p>
    <w:p w:rsidR="00E71AB2" w:rsidRPr="000566EE" w:rsidP="000566EE" w14:paraId="7B338BC8" w14:textId="77777777">
      <w:pPr>
        <w:rPr>
          <w:szCs w:val="26"/>
        </w:rPr>
      </w:pPr>
    </w:p>
    <w:p w:rsidR="00E71AB2" w:rsidRPr="000566EE" w:rsidP="000566EE" w14:paraId="038676F7" w14:textId="77777777">
      <w:pPr>
        <w:rPr>
          <w:szCs w:val="26"/>
        </w:rPr>
      </w:pPr>
    </w:p>
    <w:p w:rsidR="00CF3AAB" w:rsidRPr="00F559FA" w:rsidP="000566EE" w14:paraId="588E8638" w14:textId="451668C5">
      <w:pPr>
        <w:rPr>
          <w:szCs w:val="26"/>
        </w:rPr>
      </w:pPr>
      <w:r w:rsidRPr="000566EE">
        <w:rPr>
          <w:szCs w:val="26"/>
        </w:rPr>
        <w:tab/>
      </w:r>
      <w:r w:rsidRPr="000566EE" w:rsidR="00CB700B">
        <w:rPr>
          <w:szCs w:val="26"/>
        </w:rPr>
        <w:tab/>
      </w:r>
      <w:r w:rsidRPr="000566EE" w:rsidR="00E70983">
        <w:rPr>
          <w:szCs w:val="26"/>
        </w:rPr>
        <w:t>ZUKIN</w:t>
      </w:r>
      <w:r w:rsidRPr="000566EE" w:rsidR="00A57AD2">
        <w:rPr>
          <w:szCs w:val="26"/>
        </w:rPr>
        <w:t>, J.</w:t>
      </w:r>
    </w:p>
    <w:sectPr w:rsidSect="000566EE">
      <w:headerReference w:type="even" r:id="rId6"/>
      <w:headerReference w:type="default" r:id="rId7"/>
      <w:footerReference w:type="even" r:id="rId8"/>
      <w:footerReference w:type="default" r:id="rId9"/>
      <w:headerReference w:type="first" r:id="rId10"/>
      <w:footerReference w:type="first" r:id="rId11"/>
      <w:pgSz w:w="12240" w:h="15840"/>
      <w:pgMar w:top="2160" w:right="2160" w:bottom="2160" w:left="216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480A" w:rsidP="00D05FEE" w14:paraId="1AEE5797" w14:textId="777777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sidR="00D266B8">
      <w:rPr>
        <w:rStyle w:val="PageNumber"/>
      </w:rPr>
      <w:fldChar w:fldCharType="separate"/>
    </w:r>
    <w:r>
      <w:rPr>
        <w:rStyle w:val="PageNumber"/>
      </w:rPr>
      <w:fldChar w:fldCharType="end"/>
    </w:r>
  </w:p>
  <w:p w:rsidR="0038480A" w14:paraId="44A30B5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480A" w:rsidRPr="00551FDF" w:rsidP="00D05FEE" w14:paraId="58BDEAB8" w14:textId="77777777">
    <w:pPr>
      <w:pStyle w:val="Footer"/>
      <w:framePr w:wrap="around" w:vAnchor="text" w:hAnchor="margin" w:xAlign="center" w:y="1"/>
      <w:rPr>
        <w:rStyle w:val="PageNumber"/>
        <w:sz w:val="28"/>
        <w:szCs w:val="28"/>
      </w:rPr>
    </w:pPr>
    <w:r w:rsidRPr="00551FDF">
      <w:rPr>
        <w:rStyle w:val="PageNumber"/>
        <w:sz w:val="28"/>
        <w:szCs w:val="28"/>
      </w:rPr>
      <w:fldChar w:fldCharType="begin"/>
    </w:r>
    <w:r w:rsidRPr="00551FDF">
      <w:rPr>
        <w:rStyle w:val="PageNumber"/>
        <w:sz w:val="28"/>
        <w:szCs w:val="28"/>
      </w:rPr>
      <w:instrText xml:space="preserve"> PAGE </w:instrText>
    </w:r>
    <w:r w:rsidRPr="00551FDF">
      <w:rPr>
        <w:rStyle w:val="PageNumber"/>
        <w:sz w:val="28"/>
        <w:szCs w:val="28"/>
      </w:rPr>
      <w:fldChar w:fldCharType="separate"/>
    </w:r>
    <w:r w:rsidR="00BF1DA4">
      <w:rPr>
        <w:rStyle w:val="PageNumber"/>
        <w:noProof/>
        <w:sz w:val="28"/>
        <w:szCs w:val="28"/>
      </w:rPr>
      <w:t>15</w:t>
    </w:r>
    <w:r w:rsidRPr="00551FDF">
      <w:rPr>
        <w:rStyle w:val="PageNumber"/>
        <w:sz w:val="28"/>
        <w:szCs w:val="28"/>
      </w:rPr>
      <w:fldChar w:fldCharType="end"/>
    </w:r>
  </w:p>
  <w:p w:rsidR="0038480A" w:rsidRPr="004625A4" w:rsidP="00D05FEE" w14:paraId="08E27C19" w14:textId="77777777">
    <w:pPr>
      <w:pStyle w:val="Footer"/>
      <w:jc w:val="center"/>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66B8" w14:paraId="5ADBF21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50692" w:rsidP="00A57AD2" w14:paraId="4239EDF4" w14:textId="77777777">
      <w:pPr>
        <w:spacing w:line="240" w:lineRule="auto"/>
      </w:pPr>
      <w:r>
        <w:separator/>
      </w:r>
    </w:p>
  </w:footnote>
  <w:footnote w:type="continuationSeparator" w:id="1">
    <w:p w:rsidR="00C50692" w:rsidP="00A57AD2" w14:paraId="6A06230D" w14:textId="77777777">
      <w:pPr>
        <w:spacing w:line="240" w:lineRule="auto"/>
      </w:pPr>
      <w:r>
        <w:continuationSeparator/>
      </w:r>
    </w:p>
  </w:footnote>
  <w:footnote w:type="continuationNotice" w:id="2">
    <w:p w:rsidR="00C50692" w:rsidRPr="008A4B09" w14:paraId="062814D7" w14:textId="77777777">
      <w:pPr>
        <w:spacing w:line="240" w:lineRule="auto"/>
        <w:rPr>
          <w:i/>
          <w:iCs/>
          <w:sz w:val="20"/>
          <w:szCs w:val="18"/>
        </w:rPr>
      </w:pPr>
      <w:r w:rsidRPr="008A4B09">
        <w:rPr>
          <w:i/>
          <w:iCs/>
          <w:sz w:val="20"/>
          <w:szCs w:val="18"/>
        </w:rPr>
        <w:t>Fn. continued on the next page.</w:t>
      </w:r>
    </w:p>
  </w:footnote>
  <w:footnote w:id="3">
    <w:p w:rsidR="005D11F6" w:rsidRPr="0026383C" w:rsidP="0026383C" w14:paraId="7C963AEE" w14:textId="3ED79B46">
      <w:pPr>
        <w:pStyle w:val="FootnoteText"/>
        <w:spacing w:line="240" w:lineRule="auto"/>
        <w:contextualSpacing/>
        <w:rPr>
          <w:sz w:val="24"/>
          <w:szCs w:val="24"/>
        </w:rPr>
      </w:pPr>
      <w:r w:rsidRPr="0026383C">
        <w:rPr>
          <w:rStyle w:val="FootnoteReference"/>
          <w:sz w:val="24"/>
          <w:szCs w:val="24"/>
        </w:rPr>
        <w:footnoteRef/>
      </w:r>
      <w:r w:rsidRPr="0026383C">
        <w:rPr>
          <w:sz w:val="24"/>
          <w:szCs w:val="24"/>
        </w:rPr>
        <w:tab/>
        <w:t xml:space="preserve">All undesignated statutory references are to the Government Code. </w:t>
      </w:r>
    </w:p>
  </w:footnote>
  <w:footnote w:id="4">
    <w:p w:rsidR="0026383C" w:rsidRPr="0026383C" w:rsidP="0026383C" w14:paraId="09BA12BC" w14:textId="4DE07B2D">
      <w:pPr>
        <w:pStyle w:val="FootnoteText"/>
        <w:spacing w:line="240" w:lineRule="auto"/>
        <w:contextualSpacing/>
        <w:rPr>
          <w:sz w:val="24"/>
          <w:szCs w:val="24"/>
        </w:rPr>
      </w:pPr>
      <w:r w:rsidRPr="0026383C">
        <w:rPr>
          <w:rStyle w:val="FootnoteReference"/>
          <w:sz w:val="24"/>
          <w:szCs w:val="24"/>
        </w:rPr>
        <w:footnoteRef/>
      </w:r>
      <w:r w:rsidRPr="0026383C">
        <w:rPr>
          <w:sz w:val="24"/>
          <w:szCs w:val="24"/>
        </w:rPr>
        <w:tab/>
      </w:r>
      <w:r>
        <w:rPr>
          <w:sz w:val="24"/>
          <w:szCs w:val="24"/>
        </w:rPr>
        <w:t>YIMBY’s</w:t>
      </w:r>
      <w:r w:rsidRPr="0026383C">
        <w:rPr>
          <w:sz w:val="24"/>
          <w:szCs w:val="24"/>
        </w:rPr>
        <w:t xml:space="preserve"> petition </w:t>
      </w:r>
      <w:r w:rsidR="000C64F6">
        <w:rPr>
          <w:sz w:val="24"/>
          <w:szCs w:val="24"/>
        </w:rPr>
        <w:t xml:space="preserve">also </w:t>
      </w:r>
      <w:r>
        <w:rPr>
          <w:sz w:val="24"/>
          <w:szCs w:val="24"/>
        </w:rPr>
        <w:t xml:space="preserve">included a </w:t>
      </w:r>
      <w:r w:rsidRPr="0026383C" w:rsidR="00970CC5">
        <w:rPr>
          <w:sz w:val="24"/>
          <w:szCs w:val="24"/>
        </w:rPr>
        <w:t>declaratory relief</w:t>
      </w:r>
      <w:r w:rsidR="00970CC5">
        <w:rPr>
          <w:sz w:val="24"/>
          <w:szCs w:val="24"/>
        </w:rPr>
        <w:t xml:space="preserve"> </w:t>
      </w:r>
      <w:r>
        <w:rPr>
          <w:sz w:val="24"/>
          <w:szCs w:val="24"/>
        </w:rPr>
        <w:t>cause of action</w:t>
      </w:r>
      <w:r w:rsidRPr="0026383C">
        <w:rPr>
          <w:sz w:val="24"/>
          <w:szCs w:val="24"/>
        </w:rPr>
        <w:t xml:space="preserve">. </w:t>
      </w:r>
      <w:r>
        <w:rPr>
          <w:sz w:val="24"/>
          <w:szCs w:val="24"/>
        </w:rPr>
        <w:t xml:space="preserve"> </w:t>
      </w:r>
      <w:r w:rsidR="00DE0D69">
        <w:rPr>
          <w:sz w:val="24"/>
          <w:szCs w:val="24"/>
        </w:rPr>
        <w:t xml:space="preserve">After the hearing on the petition, </w:t>
      </w:r>
      <w:r w:rsidRPr="0026383C">
        <w:rPr>
          <w:sz w:val="24"/>
          <w:szCs w:val="24"/>
        </w:rPr>
        <w:t xml:space="preserve">YIMBY informed the court it would not </w:t>
      </w:r>
      <w:r w:rsidR="00A36CE1">
        <w:rPr>
          <w:sz w:val="24"/>
          <w:szCs w:val="24"/>
        </w:rPr>
        <w:t>pursue</w:t>
      </w:r>
      <w:r w:rsidRPr="0026383C">
        <w:rPr>
          <w:sz w:val="24"/>
          <w:szCs w:val="24"/>
        </w:rPr>
        <w:t xml:space="preserve"> the declaratory relief claim because the parties </w:t>
      </w:r>
      <w:r w:rsidR="000C64F6">
        <w:rPr>
          <w:sz w:val="24"/>
          <w:szCs w:val="24"/>
        </w:rPr>
        <w:t>agreed</w:t>
      </w:r>
      <w:r w:rsidRPr="0026383C">
        <w:rPr>
          <w:sz w:val="24"/>
          <w:szCs w:val="24"/>
        </w:rPr>
        <w:t xml:space="preserve"> the writ of mandate adequately addressed YIMBY’s claims.  </w:t>
      </w:r>
      <w:r w:rsidR="00FD3111">
        <w:rPr>
          <w:sz w:val="24"/>
          <w:szCs w:val="24"/>
        </w:rPr>
        <w:t xml:space="preserve"> </w:t>
      </w:r>
    </w:p>
  </w:footnote>
  <w:footnote w:id="5">
    <w:p w:rsidR="006C491E" w:rsidRPr="0026383C" w:rsidP="0026383C" w14:paraId="4B5F4279" w14:textId="37E257BF">
      <w:pPr>
        <w:pStyle w:val="FootnoteText"/>
        <w:spacing w:line="240" w:lineRule="auto"/>
        <w:contextualSpacing/>
        <w:rPr>
          <w:sz w:val="24"/>
          <w:szCs w:val="24"/>
        </w:rPr>
      </w:pPr>
      <w:r w:rsidRPr="0026383C">
        <w:rPr>
          <w:rStyle w:val="FootnoteReference"/>
          <w:sz w:val="24"/>
          <w:szCs w:val="24"/>
        </w:rPr>
        <w:footnoteRef/>
      </w:r>
      <w:r w:rsidRPr="0026383C">
        <w:rPr>
          <w:sz w:val="24"/>
          <w:szCs w:val="24"/>
        </w:rPr>
        <w:tab/>
      </w:r>
      <w:r w:rsidRPr="0026383C" w:rsidR="00623946">
        <w:rPr>
          <w:sz w:val="24"/>
          <w:szCs w:val="24"/>
        </w:rPr>
        <w:t>The</w:t>
      </w:r>
      <w:r w:rsidRPr="0026383C">
        <w:rPr>
          <w:sz w:val="24"/>
          <w:szCs w:val="24"/>
        </w:rPr>
        <w:t xml:space="preserve"> City does not</w:t>
      </w:r>
      <w:r w:rsidRPr="0026383C" w:rsidR="00D763D4">
        <w:rPr>
          <w:sz w:val="24"/>
          <w:szCs w:val="24"/>
        </w:rPr>
        <w:t xml:space="preserve"> dispute that it is </w:t>
      </w:r>
      <w:r w:rsidRPr="0026383C" w:rsidR="000D0073">
        <w:rPr>
          <w:sz w:val="24"/>
          <w:szCs w:val="24"/>
        </w:rPr>
        <w:t xml:space="preserve">an “affected city” as defined </w:t>
      </w:r>
      <w:r w:rsidR="002D1F1B">
        <w:rPr>
          <w:sz w:val="24"/>
          <w:szCs w:val="24"/>
        </w:rPr>
        <w:t>by</w:t>
      </w:r>
      <w:r w:rsidRPr="0026383C" w:rsidR="000D0073">
        <w:rPr>
          <w:sz w:val="24"/>
          <w:szCs w:val="24"/>
        </w:rPr>
        <w:t xml:space="preserve"> section 66300, subdivision</w:t>
      </w:r>
      <w:r w:rsidR="00740FE9">
        <w:rPr>
          <w:sz w:val="24"/>
          <w:szCs w:val="24"/>
        </w:rPr>
        <w:t> </w:t>
      </w:r>
      <w:r w:rsidRPr="0026383C" w:rsidR="000D0073">
        <w:rPr>
          <w:sz w:val="24"/>
          <w:szCs w:val="24"/>
        </w:rPr>
        <w:t>(a)(1)(A)</w:t>
      </w:r>
      <w:r w:rsidR="00490A08">
        <w:rPr>
          <w:sz w:val="24"/>
          <w:szCs w:val="24"/>
        </w:rPr>
        <w:t xml:space="preserve">.  </w:t>
      </w:r>
      <w:r w:rsidR="00045B23">
        <w:rPr>
          <w:sz w:val="24"/>
          <w:szCs w:val="24"/>
        </w:rPr>
        <w:t>Further, t</w:t>
      </w:r>
      <w:r w:rsidRPr="00C82990" w:rsidR="00C82990">
        <w:rPr>
          <w:sz w:val="24"/>
          <w:szCs w:val="24"/>
        </w:rPr>
        <w:t>here is no dispute that the Ordinance amends the City’s zoning code</w:t>
      </w:r>
      <w:r w:rsidR="00415236">
        <w:rPr>
          <w:sz w:val="24"/>
          <w:szCs w:val="24"/>
        </w:rPr>
        <w:t xml:space="preserve"> </w:t>
      </w:r>
      <w:r w:rsidRPr="00C82990" w:rsidR="00C82990">
        <w:rPr>
          <w:sz w:val="24"/>
          <w:szCs w:val="24"/>
        </w:rPr>
        <w:t xml:space="preserve">, and thus, is a </w:t>
      </w:r>
      <w:r w:rsidR="00661C49">
        <w:rPr>
          <w:sz w:val="24"/>
          <w:szCs w:val="24"/>
        </w:rPr>
        <w:t>“</w:t>
      </w:r>
      <w:r w:rsidR="00850F4E">
        <w:rPr>
          <w:sz w:val="24"/>
          <w:szCs w:val="24"/>
        </w:rPr>
        <w:t>[</w:t>
      </w:r>
      <w:r w:rsidRPr="00C82990" w:rsidR="00C82990">
        <w:rPr>
          <w:sz w:val="24"/>
          <w:szCs w:val="24"/>
        </w:rPr>
        <w:t>d</w:t>
      </w:r>
      <w:r w:rsidR="00850F4E">
        <w:rPr>
          <w:sz w:val="24"/>
          <w:szCs w:val="24"/>
        </w:rPr>
        <w:t>]</w:t>
      </w:r>
      <w:r w:rsidRPr="00C82990" w:rsidR="00C82990">
        <w:rPr>
          <w:sz w:val="24"/>
          <w:szCs w:val="24"/>
        </w:rPr>
        <w:t>evelopment policy, standard, or condition</w:t>
      </w:r>
      <w:r w:rsidR="0039160F">
        <w:rPr>
          <w:sz w:val="24"/>
          <w:szCs w:val="24"/>
        </w:rPr>
        <w:t>”</w:t>
      </w:r>
      <w:r w:rsidRPr="00C82990" w:rsidR="00C82990">
        <w:rPr>
          <w:sz w:val="24"/>
          <w:szCs w:val="24"/>
        </w:rPr>
        <w:t xml:space="preserve"> as defined by section</w:t>
      </w:r>
      <w:r w:rsidR="00740FE9">
        <w:rPr>
          <w:sz w:val="24"/>
          <w:szCs w:val="24"/>
        </w:rPr>
        <w:t> </w:t>
      </w:r>
      <w:r w:rsidRPr="00C82990" w:rsidR="00C82990">
        <w:rPr>
          <w:sz w:val="24"/>
          <w:szCs w:val="24"/>
        </w:rPr>
        <w:t>663</w:t>
      </w:r>
      <w:r w:rsidR="00E324CF">
        <w:rPr>
          <w:sz w:val="24"/>
          <w:szCs w:val="24"/>
        </w:rPr>
        <w:t>0</w:t>
      </w:r>
      <w:r w:rsidRPr="00C82990" w:rsidR="00C82990">
        <w:rPr>
          <w:sz w:val="24"/>
          <w:szCs w:val="24"/>
        </w:rPr>
        <w:t xml:space="preserve">0.  </w:t>
      </w:r>
      <w:r w:rsidRPr="00C82990" w:rsidR="00415236">
        <w:rPr>
          <w:sz w:val="24"/>
          <w:szCs w:val="24"/>
        </w:rPr>
        <w:t>(§</w:t>
      </w:r>
      <w:r w:rsidR="00850F4E">
        <w:rPr>
          <w:sz w:val="24"/>
          <w:szCs w:val="24"/>
        </w:rPr>
        <w:t> </w:t>
      </w:r>
      <w:r w:rsidRPr="00C82990" w:rsidR="00415236">
        <w:rPr>
          <w:sz w:val="24"/>
          <w:szCs w:val="24"/>
        </w:rPr>
        <w:t>66300, subd.</w:t>
      </w:r>
      <w:r w:rsidR="00850F4E">
        <w:rPr>
          <w:sz w:val="24"/>
          <w:szCs w:val="24"/>
        </w:rPr>
        <w:t> </w:t>
      </w:r>
      <w:r w:rsidRPr="00C82990" w:rsidR="00415236">
        <w:rPr>
          <w:sz w:val="24"/>
          <w:szCs w:val="24"/>
        </w:rPr>
        <w:t xml:space="preserve">(a)(5)(C).) </w:t>
      </w:r>
    </w:p>
  </w:footnote>
  <w:footnote w:id="6">
    <w:p w:rsidR="00E0740B" w:rsidRPr="0026383C" w:rsidP="00E0740B" w14:paraId="1D383A52" w14:textId="7E8EF425">
      <w:pPr>
        <w:pStyle w:val="FootnoteText"/>
        <w:spacing w:line="240" w:lineRule="auto"/>
        <w:contextualSpacing/>
        <w:rPr>
          <w:sz w:val="24"/>
          <w:szCs w:val="24"/>
        </w:rPr>
      </w:pPr>
      <w:r w:rsidRPr="0026383C">
        <w:rPr>
          <w:rStyle w:val="FootnoteReference"/>
          <w:sz w:val="24"/>
          <w:szCs w:val="24"/>
        </w:rPr>
        <w:footnoteRef/>
      </w:r>
      <w:r w:rsidRPr="0026383C">
        <w:rPr>
          <w:sz w:val="24"/>
          <w:szCs w:val="24"/>
        </w:rPr>
        <w:tab/>
      </w:r>
      <w:r w:rsidR="00CE6ACC">
        <w:rPr>
          <w:sz w:val="24"/>
          <w:szCs w:val="24"/>
        </w:rPr>
        <w:t>T</w:t>
      </w:r>
      <w:r w:rsidRPr="0026383C">
        <w:rPr>
          <w:sz w:val="24"/>
          <w:szCs w:val="24"/>
        </w:rPr>
        <w:t xml:space="preserve">he </w:t>
      </w:r>
      <w:r>
        <w:rPr>
          <w:sz w:val="24"/>
          <w:szCs w:val="24"/>
        </w:rPr>
        <w:t>parties refer to both versions of the statute</w:t>
      </w:r>
      <w:r w:rsidRPr="0026383C">
        <w:rPr>
          <w:sz w:val="24"/>
          <w:szCs w:val="24"/>
        </w:rPr>
        <w:t>.  As amended in 2022, the Legislature added subdivision (k) to the statute, which states, “</w:t>
      </w:r>
      <w:r w:rsidR="000116E7">
        <w:rPr>
          <w:sz w:val="24"/>
          <w:szCs w:val="24"/>
        </w:rPr>
        <w:t>T</w:t>
      </w:r>
      <w:r w:rsidRPr="0026383C">
        <w:rPr>
          <w:sz w:val="24"/>
          <w:szCs w:val="24"/>
        </w:rPr>
        <w:t>he amendments to subparagraph (A) of paragraph (1) of subdivision (b),</w:t>
      </w:r>
      <w:r w:rsidR="002225D5">
        <w:rPr>
          <w:sz w:val="24"/>
          <w:szCs w:val="24"/>
        </w:rPr>
        <w:t> </w:t>
      </w:r>
      <w:r w:rsidRPr="0026383C">
        <w:rPr>
          <w:sz w:val="24"/>
          <w:szCs w:val="24"/>
        </w:rPr>
        <w:t>. . . do not constitute a change in, but are declaratory of, existing law.”  Where statutory amendments merely clarify, rather than change, existing law, “it is not improperly retroactive to apply it to transactions predating its enactment because the true meaning of the statute remains unchanged.”  (</w:t>
      </w:r>
      <w:r w:rsidRPr="0026383C">
        <w:rPr>
          <w:i/>
          <w:iCs/>
          <w:sz w:val="24"/>
          <w:szCs w:val="24"/>
        </w:rPr>
        <w:t>Tran v. County of Los Angeles</w:t>
      </w:r>
      <w:r w:rsidRPr="0026383C">
        <w:rPr>
          <w:sz w:val="24"/>
          <w:szCs w:val="24"/>
        </w:rPr>
        <w:t xml:space="preserve"> (2022) 74 Cal.App.5th 154, 164; see also </w:t>
      </w:r>
      <w:r w:rsidRPr="0026383C">
        <w:rPr>
          <w:i/>
          <w:iCs/>
          <w:sz w:val="24"/>
          <w:szCs w:val="24"/>
        </w:rPr>
        <w:t>Carter v. California Dept. of Veterans Affairs</w:t>
      </w:r>
      <w:r w:rsidRPr="0026383C">
        <w:rPr>
          <w:sz w:val="24"/>
          <w:szCs w:val="24"/>
        </w:rPr>
        <w:t xml:space="preserve"> (2006) 38 Cal.4th 914, 922 [“A statute that merely clarifies, rather than changes, existing law is properly applied to transactions predating its enactment”].)  </w:t>
      </w:r>
      <w:r>
        <w:rPr>
          <w:sz w:val="24"/>
          <w:szCs w:val="24"/>
        </w:rPr>
        <w:t>O</w:t>
      </w:r>
      <w:r w:rsidRPr="0026383C">
        <w:rPr>
          <w:sz w:val="24"/>
          <w:szCs w:val="24"/>
        </w:rPr>
        <w:t>ur interpretation of the statute is consistent under both versions</w:t>
      </w:r>
      <w:r w:rsidR="002F0388">
        <w:rPr>
          <w:sz w:val="24"/>
          <w:szCs w:val="24"/>
        </w:rPr>
        <w:t>.  U</w:t>
      </w:r>
      <w:r w:rsidRPr="0026383C">
        <w:rPr>
          <w:sz w:val="24"/>
          <w:szCs w:val="24"/>
        </w:rPr>
        <w:t xml:space="preserve">nless otherwise stated, we cite to the current version for ease of reference. </w:t>
      </w:r>
    </w:p>
  </w:footnote>
  <w:footnote w:id="7">
    <w:p w:rsidR="002E4F4D" w:rsidRPr="0026383C" w:rsidP="0026383C" w14:paraId="7F48BCA2" w14:textId="414ED20C">
      <w:pPr>
        <w:pStyle w:val="FootnoteText"/>
        <w:spacing w:line="240" w:lineRule="auto"/>
        <w:contextualSpacing/>
        <w:rPr>
          <w:sz w:val="24"/>
          <w:szCs w:val="24"/>
        </w:rPr>
      </w:pPr>
      <w:r w:rsidRPr="0026383C">
        <w:rPr>
          <w:rStyle w:val="FootnoteReference"/>
          <w:sz w:val="24"/>
          <w:szCs w:val="24"/>
        </w:rPr>
        <w:footnoteRef/>
      </w:r>
      <w:r w:rsidRPr="0026383C">
        <w:rPr>
          <w:sz w:val="24"/>
          <w:szCs w:val="24"/>
        </w:rPr>
        <w:tab/>
      </w:r>
      <w:r w:rsidRPr="0026383C" w:rsidR="003E7700">
        <w:rPr>
          <w:sz w:val="24"/>
          <w:szCs w:val="24"/>
        </w:rPr>
        <w:t>“</w:t>
      </w:r>
      <w:r w:rsidRPr="0026383C" w:rsidR="008E449C">
        <w:rPr>
          <w:sz w:val="24"/>
          <w:szCs w:val="24"/>
        </w:rPr>
        <w:t xml:space="preserve">The </w:t>
      </w:r>
      <w:r w:rsidRPr="0026383C" w:rsidR="003E7700">
        <w:rPr>
          <w:sz w:val="24"/>
          <w:szCs w:val="24"/>
        </w:rPr>
        <w:t>‘</w:t>
      </w:r>
      <w:r w:rsidRPr="0026383C" w:rsidR="008E449C">
        <w:rPr>
          <w:sz w:val="24"/>
          <w:szCs w:val="24"/>
        </w:rPr>
        <w:t>extended family</w:t>
      </w:r>
      <w:r w:rsidRPr="0026383C" w:rsidR="003E7700">
        <w:rPr>
          <w:sz w:val="24"/>
          <w:szCs w:val="24"/>
        </w:rPr>
        <w:t>’</w:t>
      </w:r>
      <w:r w:rsidRPr="0026383C" w:rsidR="00E953F7">
        <w:rPr>
          <w:sz w:val="24"/>
          <w:szCs w:val="24"/>
        </w:rPr>
        <w:t xml:space="preserve"> </w:t>
      </w:r>
      <w:r w:rsidRPr="0026383C" w:rsidR="008E449C">
        <w:rPr>
          <w:sz w:val="24"/>
          <w:szCs w:val="24"/>
        </w:rPr>
        <w:t>that provided generations of early Americans with social services and economic and emotional support in times of hardship, and was the beachhead for successive waves of immigrants who populated our cities, remains not merely still a pervasive living pattern, but under the goad of brutal economic necessity, a prominent pattern</w:t>
      </w:r>
      <w:r w:rsidR="004C64A7">
        <w:rPr>
          <w:sz w:val="24"/>
          <w:szCs w:val="24"/>
        </w:rPr>
        <w:t>-</w:t>
      </w:r>
      <w:r w:rsidRPr="0026383C" w:rsidR="008E449C">
        <w:rPr>
          <w:sz w:val="24"/>
          <w:szCs w:val="24"/>
        </w:rPr>
        <w:t xml:space="preserve">virtually a means of survival for large numbers of the poor and deprived minorities of our society. </w:t>
      </w:r>
      <w:r w:rsidRPr="0026383C" w:rsidR="00D57BAB">
        <w:rPr>
          <w:sz w:val="24"/>
          <w:szCs w:val="24"/>
        </w:rPr>
        <w:t xml:space="preserve"> </w:t>
      </w:r>
      <w:r w:rsidRPr="0026383C" w:rsidR="008E449C">
        <w:rPr>
          <w:sz w:val="24"/>
          <w:szCs w:val="24"/>
        </w:rPr>
        <w:t>For them compelled pooling of scant resources requires compelled sharing of a household.”  (</w:t>
      </w:r>
      <w:r w:rsidRPr="0026383C">
        <w:rPr>
          <w:i/>
          <w:iCs/>
          <w:sz w:val="24"/>
          <w:szCs w:val="24"/>
        </w:rPr>
        <w:t>Moore v. City of East Cleveland</w:t>
      </w:r>
      <w:r w:rsidRPr="0026383C">
        <w:rPr>
          <w:sz w:val="24"/>
          <w:szCs w:val="24"/>
        </w:rPr>
        <w:t xml:space="preserve"> (</w:t>
      </w:r>
      <w:r w:rsidRPr="0026383C" w:rsidR="00F5792C">
        <w:rPr>
          <w:sz w:val="24"/>
          <w:szCs w:val="24"/>
        </w:rPr>
        <w:t xml:space="preserve">1977) </w:t>
      </w:r>
      <w:r w:rsidRPr="0026383C">
        <w:rPr>
          <w:sz w:val="24"/>
          <w:szCs w:val="24"/>
        </w:rPr>
        <w:t>431 U.S. 494, 508</w:t>
      </w:r>
      <w:r w:rsidRPr="0026383C" w:rsidR="00F5792C">
        <w:rPr>
          <w:sz w:val="24"/>
          <w:szCs w:val="24"/>
        </w:rPr>
        <w:t>,</w:t>
      </w:r>
      <w:r w:rsidRPr="0026383C">
        <w:rPr>
          <w:sz w:val="24"/>
          <w:szCs w:val="24"/>
        </w:rPr>
        <w:t xml:space="preserve"> Brennan, J., concurring</w:t>
      </w:r>
      <w:r w:rsidRPr="0026383C" w:rsidR="00A92CC2">
        <w:rPr>
          <w:sz w:val="24"/>
          <w:szCs w:val="24"/>
        </w:rPr>
        <w:t>, footnotes omitted</w:t>
      </w:r>
      <w:r w:rsidRPr="0026383C" w:rsidR="008E449C">
        <w:rPr>
          <w:sz w:val="24"/>
          <w:szCs w:val="24"/>
        </w:rPr>
        <w:t>.)</w:t>
      </w:r>
    </w:p>
  </w:footnote>
  <w:footnote w:id="8">
    <w:p w:rsidR="009E1456" w:rsidRPr="0026383C" w:rsidP="0026383C" w14:paraId="15102BFC" w14:textId="0B342DA2">
      <w:pPr>
        <w:pStyle w:val="FootnoteText"/>
        <w:spacing w:line="240" w:lineRule="auto"/>
        <w:contextualSpacing/>
        <w:rPr>
          <w:sz w:val="24"/>
          <w:szCs w:val="24"/>
        </w:rPr>
      </w:pPr>
      <w:r w:rsidRPr="0026383C">
        <w:rPr>
          <w:rStyle w:val="FootnoteReference"/>
          <w:sz w:val="24"/>
          <w:szCs w:val="24"/>
        </w:rPr>
        <w:footnoteRef/>
      </w:r>
      <w:r w:rsidRPr="0026383C">
        <w:rPr>
          <w:sz w:val="24"/>
          <w:szCs w:val="24"/>
        </w:rPr>
        <w:tab/>
        <w:t xml:space="preserve">In asserting that ADUs offer lower </w:t>
      </w:r>
      <w:r w:rsidRPr="0026383C" w:rsidR="00FA6C9A">
        <w:rPr>
          <w:sz w:val="24"/>
          <w:szCs w:val="24"/>
        </w:rPr>
        <w:t xml:space="preserve">cost housing, the City relies </w:t>
      </w:r>
      <w:r w:rsidRPr="0026383C" w:rsidR="004903CC">
        <w:rPr>
          <w:sz w:val="24"/>
          <w:szCs w:val="24"/>
        </w:rPr>
        <w:t xml:space="preserve">on </w:t>
      </w:r>
      <w:r w:rsidRPr="0026383C" w:rsidR="00D41D2B">
        <w:rPr>
          <w:sz w:val="24"/>
          <w:szCs w:val="24"/>
        </w:rPr>
        <w:t>legislative findings from 1982 relating to section 65852.150</w:t>
      </w:r>
      <w:r w:rsidR="00360B6D">
        <w:rPr>
          <w:sz w:val="24"/>
          <w:szCs w:val="24"/>
        </w:rPr>
        <w:t xml:space="preserve">, </w:t>
      </w:r>
      <w:r w:rsidRPr="0026383C" w:rsidR="00360B6D">
        <w:rPr>
          <w:sz w:val="24"/>
          <w:szCs w:val="24"/>
        </w:rPr>
        <w:t>part of the statutory provisions governing planning and zoning (section 65000 et seq.)</w:t>
      </w:r>
      <w:r w:rsidRPr="0026383C" w:rsidR="00983932">
        <w:rPr>
          <w:sz w:val="24"/>
          <w:szCs w:val="24"/>
        </w:rPr>
        <w:t>.</w:t>
      </w:r>
      <w:r w:rsidRPr="0026383C" w:rsidR="007A298B">
        <w:rPr>
          <w:sz w:val="24"/>
          <w:szCs w:val="24"/>
        </w:rPr>
        <w:t xml:space="preserve">  </w:t>
      </w:r>
      <w:r w:rsidRPr="0026383C" w:rsidR="00DF58A3">
        <w:rPr>
          <w:sz w:val="24"/>
          <w:szCs w:val="24"/>
        </w:rPr>
        <w:t>(Stats.</w:t>
      </w:r>
      <w:r w:rsidR="00722661">
        <w:rPr>
          <w:sz w:val="24"/>
          <w:szCs w:val="24"/>
        </w:rPr>
        <w:t xml:space="preserve"> </w:t>
      </w:r>
      <w:r w:rsidRPr="0026383C" w:rsidR="00DF58A3">
        <w:rPr>
          <w:sz w:val="24"/>
          <w:szCs w:val="24"/>
        </w:rPr>
        <w:t>1982, c</w:t>
      </w:r>
      <w:r w:rsidR="00722661">
        <w:rPr>
          <w:sz w:val="24"/>
          <w:szCs w:val="24"/>
        </w:rPr>
        <w:t>h</w:t>
      </w:r>
      <w:r w:rsidRPr="0026383C" w:rsidR="00DF58A3">
        <w:rPr>
          <w:sz w:val="24"/>
          <w:szCs w:val="24"/>
        </w:rPr>
        <w:t>.</w:t>
      </w:r>
      <w:r w:rsidR="00722661">
        <w:rPr>
          <w:sz w:val="24"/>
          <w:szCs w:val="24"/>
        </w:rPr>
        <w:t> </w:t>
      </w:r>
      <w:r w:rsidRPr="0026383C" w:rsidR="00DF58A3">
        <w:rPr>
          <w:sz w:val="24"/>
          <w:szCs w:val="24"/>
        </w:rPr>
        <w:t>1440, §</w:t>
      </w:r>
      <w:r w:rsidR="00722661">
        <w:rPr>
          <w:sz w:val="24"/>
          <w:szCs w:val="24"/>
        </w:rPr>
        <w:t> </w:t>
      </w:r>
      <w:r w:rsidR="00EC6605">
        <w:rPr>
          <w:sz w:val="24"/>
          <w:szCs w:val="24"/>
        </w:rPr>
        <w:t>1</w:t>
      </w:r>
      <w:r w:rsidRPr="0026383C" w:rsidR="00DF58A3">
        <w:rPr>
          <w:sz w:val="24"/>
          <w:szCs w:val="24"/>
        </w:rPr>
        <w:t>, operative July 1, 198</w:t>
      </w:r>
      <w:r w:rsidRPr="00337240" w:rsidR="00DF58A3">
        <w:rPr>
          <w:sz w:val="24"/>
          <w:szCs w:val="24"/>
        </w:rPr>
        <w:t>3</w:t>
      </w:r>
      <w:r w:rsidRPr="00337240" w:rsidR="00333373">
        <w:rPr>
          <w:sz w:val="24"/>
          <w:szCs w:val="24"/>
        </w:rPr>
        <w:t>.</w:t>
      </w:r>
      <w:r w:rsidRPr="00337240" w:rsidR="009C0845">
        <w:rPr>
          <w:sz w:val="24"/>
          <w:szCs w:val="24"/>
        </w:rPr>
        <w:t>)</w:t>
      </w:r>
      <w:r w:rsidR="00333373">
        <w:rPr>
          <w:sz w:val="24"/>
          <w:szCs w:val="24"/>
        </w:rPr>
        <w:t xml:space="preserve"> </w:t>
      </w:r>
      <w:r w:rsidRPr="0026383C" w:rsidR="00DF58A3">
        <w:rPr>
          <w:sz w:val="24"/>
          <w:szCs w:val="24"/>
        </w:rPr>
        <w:t xml:space="preserve"> </w:t>
      </w:r>
      <w:r w:rsidRPr="0026383C" w:rsidR="0034173F">
        <w:rPr>
          <w:sz w:val="24"/>
          <w:szCs w:val="24"/>
        </w:rPr>
        <w:t xml:space="preserve">The City, however, </w:t>
      </w:r>
      <w:r w:rsidRPr="0026383C" w:rsidR="00DD4066">
        <w:rPr>
          <w:sz w:val="24"/>
          <w:szCs w:val="24"/>
        </w:rPr>
        <w:t xml:space="preserve">does not show that </w:t>
      </w:r>
      <w:r w:rsidRPr="0026383C" w:rsidR="00E074F0">
        <w:rPr>
          <w:sz w:val="24"/>
          <w:szCs w:val="24"/>
        </w:rPr>
        <w:t>section 65852.150</w:t>
      </w:r>
      <w:r w:rsidR="001F3711">
        <w:rPr>
          <w:sz w:val="24"/>
          <w:szCs w:val="24"/>
        </w:rPr>
        <w:t>’s legislative inten</w:t>
      </w:r>
      <w:r w:rsidR="00144E2C">
        <w:rPr>
          <w:sz w:val="24"/>
          <w:szCs w:val="24"/>
        </w:rPr>
        <w:t>t</w:t>
      </w:r>
      <w:r w:rsidR="001F3711">
        <w:rPr>
          <w:sz w:val="24"/>
          <w:szCs w:val="24"/>
        </w:rPr>
        <w:t xml:space="preserve"> </w:t>
      </w:r>
      <w:r w:rsidRPr="0026383C" w:rsidR="00D12F5D">
        <w:rPr>
          <w:sz w:val="24"/>
          <w:szCs w:val="24"/>
        </w:rPr>
        <w:t>was</w:t>
      </w:r>
      <w:r w:rsidRPr="0026383C" w:rsidR="00373267">
        <w:rPr>
          <w:sz w:val="24"/>
          <w:szCs w:val="24"/>
        </w:rPr>
        <w:t xml:space="preserve"> to </w:t>
      </w:r>
      <w:r w:rsidRPr="0026383C" w:rsidR="00D12F5D">
        <w:rPr>
          <w:sz w:val="24"/>
          <w:szCs w:val="24"/>
        </w:rPr>
        <w:t>address</w:t>
      </w:r>
      <w:r w:rsidRPr="0026383C" w:rsidR="00373267">
        <w:rPr>
          <w:sz w:val="24"/>
          <w:szCs w:val="24"/>
        </w:rPr>
        <w:t xml:space="preserve"> the same </w:t>
      </w:r>
      <w:r w:rsidRPr="0026383C" w:rsidR="00D12F5D">
        <w:rPr>
          <w:sz w:val="24"/>
          <w:szCs w:val="24"/>
        </w:rPr>
        <w:t>issues</w:t>
      </w:r>
      <w:r w:rsidRPr="0026383C" w:rsidR="00373267">
        <w:rPr>
          <w:sz w:val="24"/>
          <w:szCs w:val="24"/>
        </w:rPr>
        <w:t xml:space="preserve"> as the Act</w:t>
      </w:r>
      <w:r w:rsidRPr="0026383C" w:rsidR="00E074F0">
        <w:rPr>
          <w:sz w:val="24"/>
          <w:szCs w:val="24"/>
        </w:rPr>
        <w:t xml:space="preserve">.  </w:t>
      </w:r>
      <w:r w:rsidRPr="0026383C" w:rsidR="00BD6973">
        <w:rPr>
          <w:sz w:val="24"/>
          <w:szCs w:val="24"/>
        </w:rPr>
        <w:t>(See §</w:t>
      </w:r>
      <w:r w:rsidRPr="0026383C" w:rsidR="00E074F0">
        <w:rPr>
          <w:sz w:val="24"/>
          <w:szCs w:val="24"/>
        </w:rPr>
        <w:t xml:space="preserve"> 6</w:t>
      </w:r>
      <w:r w:rsidRPr="0026383C" w:rsidR="00BD6973">
        <w:rPr>
          <w:sz w:val="24"/>
          <w:szCs w:val="24"/>
        </w:rPr>
        <w:t>5</w:t>
      </w:r>
      <w:r w:rsidR="000138CD">
        <w:rPr>
          <w:sz w:val="24"/>
          <w:szCs w:val="24"/>
        </w:rPr>
        <w:t>8</w:t>
      </w:r>
      <w:r w:rsidRPr="0026383C" w:rsidR="00BD6973">
        <w:rPr>
          <w:sz w:val="24"/>
          <w:szCs w:val="24"/>
        </w:rPr>
        <w:t>00</w:t>
      </w:r>
      <w:r w:rsidRPr="0026383C" w:rsidR="001E7E2A">
        <w:rPr>
          <w:sz w:val="24"/>
          <w:szCs w:val="24"/>
        </w:rPr>
        <w:t xml:space="preserve"> </w:t>
      </w:r>
      <w:r w:rsidRPr="0026383C" w:rsidR="00F462FD">
        <w:rPr>
          <w:sz w:val="24"/>
          <w:szCs w:val="24"/>
        </w:rPr>
        <w:t>[</w:t>
      </w:r>
      <w:r w:rsidRPr="0026383C" w:rsidR="001E7E2A">
        <w:rPr>
          <w:sz w:val="24"/>
          <w:szCs w:val="24"/>
        </w:rPr>
        <w:t>“the Legislature declares that in enacting this chapter it is its intention to provide only a minimum of limitation in order that counties and cities may exercise the maximum degree of control over local zoning matters</w:t>
      </w:r>
      <w:r w:rsidRPr="0026383C" w:rsidR="00F462FD">
        <w:rPr>
          <w:sz w:val="24"/>
          <w:szCs w:val="24"/>
        </w:rPr>
        <w:t>”]</w:t>
      </w:r>
      <w:r w:rsidRPr="0026383C">
        <w:rPr>
          <w:sz w:val="24"/>
          <w:szCs w:val="24"/>
        </w:rPr>
        <w:t xml:space="preserve">.) </w:t>
      </w:r>
    </w:p>
  </w:footnote>
  <w:footnote w:id="9">
    <w:p w:rsidR="005C19A0" w:rsidRPr="0026383C" w:rsidP="0026383C" w14:paraId="3ED2A6E8" w14:textId="054127B9">
      <w:pPr>
        <w:pStyle w:val="FootnoteText"/>
        <w:spacing w:line="240" w:lineRule="auto"/>
        <w:contextualSpacing/>
        <w:rPr>
          <w:sz w:val="24"/>
          <w:szCs w:val="24"/>
        </w:rPr>
      </w:pPr>
      <w:r w:rsidRPr="0026383C">
        <w:rPr>
          <w:rStyle w:val="FootnoteReference"/>
          <w:sz w:val="24"/>
          <w:szCs w:val="24"/>
        </w:rPr>
        <w:footnoteRef/>
      </w:r>
      <w:r w:rsidRPr="0026383C">
        <w:rPr>
          <w:sz w:val="24"/>
          <w:szCs w:val="24"/>
        </w:rPr>
        <w:tab/>
        <w:t xml:space="preserve">We previously granted the City’s request to take judicial notice of two actions pending in Los Angeles County Superior Court:  </w:t>
      </w:r>
      <w:r w:rsidRPr="008E7F4B">
        <w:rPr>
          <w:i/>
          <w:iCs/>
          <w:sz w:val="24"/>
          <w:szCs w:val="24"/>
        </w:rPr>
        <w:t>City of Redondo Beach, et al., v. Bonta</w:t>
      </w:r>
      <w:r w:rsidRPr="0026383C">
        <w:rPr>
          <w:sz w:val="24"/>
          <w:szCs w:val="24"/>
        </w:rPr>
        <w:t xml:space="preserve">, </w:t>
      </w:r>
      <w:r w:rsidRPr="00D60B46">
        <w:rPr>
          <w:sz w:val="24"/>
          <w:szCs w:val="24"/>
        </w:rPr>
        <w:t xml:space="preserve">Case </w:t>
      </w:r>
      <w:r w:rsidRPr="00D60B46" w:rsidR="00DF1ECF">
        <w:rPr>
          <w:sz w:val="24"/>
          <w:szCs w:val="24"/>
        </w:rPr>
        <w:t>Number</w:t>
      </w:r>
      <w:r w:rsidRPr="00D60B46">
        <w:rPr>
          <w:sz w:val="24"/>
          <w:szCs w:val="24"/>
        </w:rPr>
        <w:t xml:space="preserve"> 22STCP01143, and </w:t>
      </w:r>
      <w:r w:rsidRPr="00D60B46">
        <w:rPr>
          <w:i/>
          <w:iCs/>
          <w:sz w:val="24"/>
          <w:szCs w:val="24"/>
        </w:rPr>
        <w:t>City of Rancho Palos Verdes, et al., v. Bonta</w:t>
      </w:r>
      <w:r w:rsidRPr="00D60B46">
        <w:rPr>
          <w:sz w:val="24"/>
          <w:szCs w:val="24"/>
        </w:rPr>
        <w:t xml:space="preserve">, Case </w:t>
      </w:r>
      <w:r w:rsidRPr="00D60B46" w:rsidR="00DF1ECF">
        <w:rPr>
          <w:sz w:val="24"/>
          <w:szCs w:val="24"/>
        </w:rPr>
        <w:t>Number</w:t>
      </w:r>
      <w:r w:rsidRPr="00D60B46">
        <w:rPr>
          <w:sz w:val="24"/>
          <w:szCs w:val="24"/>
        </w:rPr>
        <w:t xml:space="preserve"> 22STCP02369</w:t>
      </w:r>
      <w:r w:rsidRPr="0026383C">
        <w:rPr>
          <w:sz w:val="24"/>
          <w:szCs w:val="24"/>
        </w:rPr>
        <w:t>.</w:t>
      </w:r>
      <w:r w:rsidR="002D1BB4">
        <w:rPr>
          <w:sz w:val="24"/>
          <w:szCs w:val="24"/>
        </w:rPr>
        <w:t xml:space="preserve"> </w:t>
      </w:r>
      <w:r w:rsidRPr="0026383C">
        <w:rPr>
          <w:sz w:val="24"/>
          <w:szCs w:val="24"/>
        </w:rPr>
        <w:t xml:space="preserve"> The City provides that these other actions concern Senate Bill </w:t>
      </w:r>
      <w:r w:rsidR="00012E77">
        <w:rPr>
          <w:sz w:val="24"/>
          <w:szCs w:val="24"/>
        </w:rPr>
        <w:t xml:space="preserve">No. </w:t>
      </w:r>
      <w:r w:rsidRPr="0026383C">
        <w:rPr>
          <w:sz w:val="24"/>
          <w:szCs w:val="24"/>
        </w:rPr>
        <w:t xml:space="preserve">9, which allows splitting </w:t>
      </w:r>
      <w:r w:rsidRPr="00E80F29">
        <w:rPr>
          <w:sz w:val="24"/>
          <w:szCs w:val="24"/>
        </w:rPr>
        <w:t>lots and constructing two housing units on each lot in single</w:t>
      </w:r>
      <w:r w:rsidRPr="00E80F29" w:rsidR="003C2F1D">
        <w:rPr>
          <w:sz w:val="24"/>
          <w:szCs w:val="24"/>
        </w:rPr>
        <w:t>-</w:t>
      </w:r>
      <w:r w:rsidRPr="00E80F29">
        <w:rPr>
          <w:sz w:val="24"/>
          <w:szCs w:val="24"/>
        </w:rPr>
        <w:t xml:space="preserve">family residential zones.  </w:t>
      </w:r>
      <w:r w:rsidRPr="00E80F29" w:rsidR="00DA3859">
        <w:rPr>
          <w:sz w:val="24"/>
          <w:szCs w:val="24"/>
        </w:rPr>
        <w:t>T</w:t>
      </w:r>
      <w:r w:rsidRPr="00E80F29">
        <w:rPr>
          <w:sz w:val="24"/>
          <w:szCs w:val="24"/>
        </w:rPr>
        <w:t xml:space="preserve">he fact that other cities have filed lawsuits concerning </w:t>
      </w:r>
      <w:r w:rsidRPr="00E80F29" w:rsidR="00C71873">
        <w:rPr>
          <w:sz w:val="24"/>
          <w:szCs w:val="24"/>
        </w:rPr>
        <w:t xml:space="preserve">different </w:t>
      </w:r>
      <w:r w:rsidRPr="00E80F29">
        <w:rPr>
          <w:sz w:val="24"/>
          <w:szCs w:val="24"/>
        </w:rPr>
        <w:t xml:space="preserve">legislative actions </w:t>
      </w:r>
      <w:r w:rsidRPr="00E80F29" w:rsidR="008E49DE">
        <w:rPr>
          <w:sz w:val="24"/>
          <w:szCs w:val="24"/>
        </w:rPr>
        <w:t>has little</w:t>
      </w:r>
      <w:r w:rsidRPr="00E80F29">
        <w:rPr>
          <w:sz w:val="24"/>
          <w:szCs w:val="24"/>
        </w:rPr>
        <w:t xml:space="preserve"> relevan</w:t>
      </w:r>
      <w:r w:rsidRPr="00E80F29" w:rsidR="008E49DE">
        <w:rPr>
          <w:sz w:val="24"/>
          <w:szCs w:val="24"/>
        </w:rPr>
        <w:t>ce</w:t>
      </w:r>
      <w:r w:rsidRPr="00E80F29">
        <w:rPr>
          <w:sz w:val="24"/>
          <w:szCs w:val="24"/>
        </w:rPr>
        <w:t xml:space="preserve"> </w:t>
      </w:r>
      <w:r w:rsidRPr="00E80F29" w:rsidR="008E49DE">
        <w:rPr>
          <w:sz w:val="24"/>
          <w:szCs w:val="24"/>
        </w:rPr>
        <w:t>to</w:t>
      </w:r>
      <w:r w:rsidRPr="00E80F29">
        <w:rPr>
          <w:sz w:val="24"/>
          <w:szCs w:val="24"/>
        </w:rPr>
        <w:t xml:space="preserve"> determining whether YIMBY’s writ action conferred a substantial benefit on the general public or a large class of persons.</w:t>
      </w:r>
      <w:r w:rsidRPr="0026383C">
        <w:rPr>
          <w:sz w:val="24"/>
          <w:szCs w:val="24"/>
        </w:rPr>
        <w:t xml:space="preserve">  </w:t>
      </w:r>
    </w:p>
  </w:footnote>
  <w:footnote w:id="10">
    <w:p w:rsidR="000B450E" w:rsidRPr="0026383C" w:rsidP="0026383C" w14:paraId="7E677911" w14:textId="25D3A391">
      <w:pPr>
        <w:pStyle w:val="FootnoteText"/>
        <w:spacing w:line="240" w:lineRule="auto"/>
        <w:contextualSpacing/>
        <w:rPr>
          <w:sz w:val="24"/>
          <w:szCs w:val="24"/>
        </w:rPr>
      </w:pPr>
      <w:r w:rsidRPr="0026383C">
        <w:rPr>
          <w:rStyle w:val="FootnoteReference"/>
          <w:sz w:val="24"/>
          <w:szCs w:val="24"/>
        </w:rPr>
        <w:footnoteRef/>
      </w:r>
      <w:r w:rsidRPr="0026383C">
        <w:rPr>
          <w:sz w:val="24"/>
          <w:szCs w:val="24"/>
        </w:rPr>
        <w:tab/>
        <w:t xml:space="preserve">The City does not dispute that it was proper for the court to consider that the attorney fee award would substantially inure to YIMBY’s benefit, a non-profit organization.  While the City seemingly questions the truthfulness of Trauss’s statements about YIMBY’s </w:t>
      </w:r>
      <w:r w:rsidRPr="003405D4" w:rsidR="009472FB">
        <w:rPr>
          <w:sz w:val="24"/>
          <w:szCs w:val="24"/>
        </w:rPr>
        <w:t xml:space="preserve">limited </w:t>
      </w:r>
      <w:r w:rsidRPr="003405D4">
        <w:rPr>
          <w:sz w:val="24"/>
          <w:szCs w:val="24"/>
        </w:rPr>
        <w:t>litigation</w:t>
      </w:r>
      <w:r w:rsidRPr="0026383C">
        <w:rPr>
          <w:sz w:val="24"/>
          <w:szCs w:val="24"/>
        </w:rPr>
        <w:t xml:space="preserve"> budget, the City fails to point to anything that shows </w:t>
      </w:r>
      <w:r w:rsidRPr="0026383C" w:rsidR="00571842">
        <w:rPr>
          <w:sz w:val="24"/>
          <w:szCs w:val="24"/>
        </w:rPr>
        <w:t>such</w:t>
      </w:r>
      <w:r w:rsidRPr="0026383C">
        <w:rPr>
          <w:sz w:val="24"/>
          <w:szCs w:val="24"/>
        </w:rPr>
        <w:t xml:space="preserve"> statements </w:t>
      </w:r>
      <w:r w:rsidRPr="0026383C" w:rsidR="00571842">
        <w:rPr>
          <w:sz w:val="24"/>
          <w:szCs w:val="24"/>
        </w:rPr>
        <w:t>were</w:t>
      </w:r>
      <w:r w:rsidRPr="0026383C">
        <w:rPr>
          <w:sz w:val="24"/>
          <w:szCs w:val="24"/>
        </w:rPr>
        <w:t xml:space="preserve"> untrue.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66B8" w14:paraId="725AB7F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66B8" w14:paraId="470B0EC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66B8" w14:paraId="3F2D6D9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0B01756"/>
    <w:multiLevelType w:val="hybridMultilevel"/>
    <w:tmpl w:val="BF70B63C"/>
    <w:lvl w:ilvl="0">
      <w:start w:val="2"/>
      <w:numFmt w:val="bullet"/>
      <w:lvlText w:val="-"/>
      <w:lvlJc w:val="left"/>
      <w:pPr>
        <w:ind w:left="720" w:hanging="360"/>
      </w:pPr>
      <w:rPr>
        <w:rFonts w:ascii="Century Schoolbook" w:eastAsia="Times New Roman" w:hAnsi="Century Schoolbook"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BCC312B"/>
    <w:multiLevelType w:val="hybridMultilevel"/>
    <w:tmpl w:val="C4B871B4"/>
    <w:lvl w:ilvl="0">
      <w:start w:val="2"/>
      <w:numFmt w:val="bullet"/>
      <w:lvlText w:val="-"/>
      <w:lvlJc w:val="left"/>
      <w:pPr>
        <w:ind w:left="720" w:hanging="360"/>
      </w:pPr>
      <w:rPr>
        <w:rFonts w:ascii="Century Schoolbook" w:eastAsia="Times New Roman" w:hAnsi="Century Schoolbook"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9395188"/>
    <w:multiLevelType w:val="hybridMultilevel"/>
    <w:tmpl w:val="E6C223E4"/>
    <w:lvl w:ilvl="0">
      <w:start w:val="1"/>
      <w:numFmt w:val="bullet"/>
      <w:lvlText w:val="-"/>
      <w:lvlJc w:val="left"/>
      <w:pPr>
        <w:ind w:left="720" w:hanging="360"/>
      </w:pPr>
      <w:rPr>
        <w:rFonts w:ascii="Century Schoolbook" w:eastAsia="Times New Roman" w:hAnsi="Century Schoolbook"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AD2"/>
    <w:rsid w:val="0000204D"/>
    <w:rsid w:val="000029CA"/>
    <w:rsid w:val="00002C87"/>
    <w:rsid w:val="000043B2"/>
    <w:rsid w:val="00004ABD"/>
    <w:rsid w:val="000057C6"/>
    <w:rsid w:val="00005E02"/>
    <w:rsid w:val="000061DF"/>
    <w:rsid w:val="00006346"/>
    <w:rsid w:val="00006612"/>
    <w:rsid w:val="00006FC1"/>
    <w:rsid w:val="00007EFA"/>
    <w:rsid w:val="00010742"/>
    <w:rsid w:val="00010BC0"/>
    <w:rsid w:val="00010CAE"/>
    <w:rsid w:val="000116E7"/>
    <w:rsid w:val="00012066"/>
    <w:rsid w:val="00012E77"/>
    <w:rsid w:val="00012EB9"/>
    <w:rsid w:val="000138CD"/>
    <w:rsid w:val="000144BC"/>
    <w:rsid w:val="00014AC8"/>
    <w:rsid w:val="00014E4F"/>
    <w:rsid w:val="00014E5A"/>
    <w:rsid w:val="00015091"/>
    <w:rsid w:val="00015A30"/>
    <w:rsid w:val="00015ACC"/>
    <w:rsid w:val="0001678B"/>
    <w:rsid w:val="000171F8"/>
    <w:rsid w:val="0001736B"/>
    <w:rsid w:val="00017BDE"/>
    <w:rsid w:val="00020224"/>
    <w:rsid w:val="000203F2"/>
    <w:rsid w:val="00020A14"/>
    <w:rsid w:val="0002127C"/>
    <w:rsid w:val="00021E53"/>
    <w:rsid w:val="0002276A"/>
    <w:rsid w:val="00023208"/>
    <w:rsid w:val="00023285"/>
    <w:rsid w:val="0002391C"/>
    <w:rsid w:val="00023C88"/>
    <w:rsid w:val="00023FE5"/>
    <w:rsid w:val="0002443D"/>
    <w:rsid w:val="000245EF"/>
    <w:rsid w:val="00024D23"/>
    <w:rsid w:val="00024ED1"/>
    <w:rsid w:val="0002573E"/>
    <w:rsid w:val="0002590E"/>
    <w:rsid w:val="00025CA5"/>
    <w:rsid w:val="000260A9"/>
    <w:rsid w:val="0002633D"/>
    <w:rsid w:val="00026C16"/>
    <w:rsid w:val="00026EB3"/>
    <w:rsid w:val="0002723C"/>
    <w:rsid w:val="00027630"/>
    <w:rsid w:val="000304CD"/>
    <w:rsid w:val="00030871"/>
    <w:rsid w:val="00031E6C"/>
    <w:rsid w:val="00031FA4"/>
    <w:rsid w:val="00032475"/>
    <w:rsid w:val="000328DF"/>
    <w:rsid w:val="00032AFF"/>
    <w:rsid w:val="0003317C"/>
    <w:rsid w:val="000331B4"/>
    <w:rsid w:val="00033218"/>
    <w:rsid w:val="000334E9"/>
    <w:rsid w:val="000336DE"/>
    <w:rsid w:val="00033F24"/>
    <w:rsid w:val="000345D2"/>
    <w:rsid w:val="00034B43"/>
    <w:rsid w:val="0003513B"/>
    <w:rsid w:val="000352EF"/>
    <w:rsid w:val="00035858"/>
    <w:rsid w:val="00035BDA"/>
    <w:rsid w:val="00035CD2"/>
    <w:rsid w:val="000365E4"/>
    <w:rsid w:val="00036DF9"/>
    <w:rsid w:val="000372AB"/>
    <w:rsid w:val="00037611"/>
    <w:rsid w:val="00037BDA"/>
    <w:rsid w:val="00037ED6"/>
    <w:rsid w:val="000406CB"/>
    <w:rsid w:val="00040CE2"/>
    <w:rsid w:val="000411CB"/>
    <w:rsid w:val="0004130A"/>
    <w:rsid w:val="00042607"/>
    <w:rsid w:val="0004279C"/>
    <w:rsid w:val="00042E76"/>
    <w:rsid w:val="00042F59"/>
    <w:rsid w:val="00043DE4"/>
    <w:rsid w:val="000441F9"/>
    <w:rsid w:val="000445C8"/>
    <w:rsid w:val="0004519E"/>
    <w:rsid w:val="00045597"/>
    <w:rsid w:val="000456D3"/>
    <w:rsid w:val="00045B23"/>
    <w:rsid w:val="00045D20"/>
    <w:rsid w:val="000465D8"/>
    <w:rsid w:val="000469E6"/>
    <w:rsid w:val="00046ADD"/>
    <w:rsid w:val="00046CDF"/>
    <w:rsid w:val="00047590"/>
    <w:rsid w:val="0005028B"/>
    <w:rsid w:val="000504F1"/>
    <w:rsid w:val="00051B52"/>
    <w:rsid w:val="00051E0E"/>
    <w:rsid w:val="0005266A"/>
    <w:rsid w:val="00053171"/>
    <w:rsid w:val="00053304"/>
    <w:rsid w:val="0005341C"/>
    <w:rsid w:val="000539E2"/>
    <w:rsid w:val="000541C6"/>
    <w:rsid w:val="00054384"/>
    <w:rsid w:val="00054B41"/>
    <w:rsid w:val="000555E1"/>
    <w:rsid w:val="000559A5"/>
    <w:rsid w:val="00055D0C"/>
    <w:rsid w:val="000566EE"/>
    <w:rsid w:val="000566FA"/>
    <w:rsid w:val="00056AAB"/>
    <w:rsid w:val="00056CF0"/>
    <w:rsid w:val="00056DEC"/>
    <w:rsid w:val="0005754E"/>
    <w:rsid w:val="000614DF"/>
    <w:rsid w:val="000619FF"/>
    <w:rsid w:val="00061B9F"/>
    <w:rsid w:val="00061C13"/>
    <w:rsid w:val="00062069"/>
    <w:rsid w:val="000621C3"/>
    <w:rsid w:val="000629BF"/>
    <w:rsid w:val="000629CC"/>
    <w:rsid w:val="00062EAC"/>
    <w:rsid w:val="000633D8"/>
    <w:rsid w:val="00063534"/>
    <w:rsid w:val="0006353D"/>
    <w:rsid w:val="000637A4"/>
    <w:rsid w:val="00063D4D"/>
    <w:rsid w:val="00063EEA"/>
    <w:rsid w:val="0006480F"/>
    <w:rsid w:val="00064E2D"/>
    <w:rsid w:val="000658A1"/>
    <w:rsid w:val="00065BA0"/>
    <w:rsid w:val="00065D0F"/>
    <w:rsid w:val="0006628B"/>
    <w:rsid w:val="0006660D"/>
    <w:rsid w:val="00066D8E"/>
    <w:rsid w:val="00066E25"/>
    <w:rsid w:val="00066FEE"/>
    <w:rsid w:val="00067106"/>
    <w:rsid w:val="00067204"/>
    <w:rsid w:val="00067F0C"/>
    <w:rsid w:val="00067F4F"/>
    <w:rsid w:val="000700C1"/>
    <w:rsid w:val="00071A4A"/>
    <w:rsid w:val="00071D03"/>
    <w:rsid w:val="00071D05"/>
    <w:rsid w:val="0007283A"/>
    <w:rsid w:val="00072A5A"/>
    <w:rsid w:val="00072FAE"/>
    <w:rsid w:val="00073D27"/>
    <w:rsid w:val="000741C3"/>
    <w:rsid w:val="00074709"/>
    <w:rsid w:val="000750E8"/>
    <w:rsid w:val="000757E7"/>
    <w:rsid w:val="00075EFD"/>
    <w:rsid w:val="000761CB"/>
    <w:rsid w:val="000768BF"/>
    <w:rsid w:val="00077E1B"/>
    <w:rsid w:val="00077E8E"/>
    <w:rsid w:val="00080382"/>
    <w:rsid w:val="0008052E"/>
    <w:rsid w:val="00080857"/>
    <w:rsid w:val="00081B4F"/>
    <w:rsid w:val="000822D5"/>
    <w:rsid w:val="00083286"/>
    <w:rsid w:val="00083B01"/>
    <w:rsid w:val="000841BB"/>
    <w:rsid w:val="00084B3D"/>
    <w:rsid w:val="000850C0"/>
    <w:rsid w:val="000850DF"/>
    <w:rsid w:val="00085331"/>
    <w:rsid w:val="0008569A"/>
    <w:rsid w:val="0008623E"/>
    <w:rsid w:val="000868A6"/>
    <w:rsid w:val="00086AF0"/>
    <w:rsid w:val="00086CD9"/>
    <w:rsid w:val="00086E5A"/>
    <w:rsid w:val="0008720B"/>
    <w:rsid w:val="00087974"/>
    <w:rsid w:val="000900BF"/>
    <w:rsid w:val="000904B7"/>
    <w:rsid w:val="00090DCD"/>
    <w:rsid w:val="00090FEF"/>
    <w:rsid w:val="00091644"/>
    <w:rsid w:val="000917C4"/>
    <w:rsid w:val="00091E05"/>
    <w:rsid w:val="000923BD"/>
    <w:rsid w:val="0009297E"/>
    <w:rsid w:val="00093549"/>
    <w:rsid w:val="00095019"/>
    <w:rsid w:val="00095041"/>
    <w:rsid w:val="00095476"/>
    <w:rsid w:val="000961BD"/>
    <w:rsid w:val="000961E7"/>
    <w:rsid w:val="000964A1"/>
    <w:rsid w:val="00096807"/>
    <w:rsid w:val="00096CEF"/>
    <w:rsid w:val="00097AF6"/>
    <w:rsid w:val="00097E94"/>
    <w:rsid w:val="000A08ED"/>
    <w:rsid w:val="000A15A3"/>
    <w:rsid w:val="000A18B5"/>
    <w:rsid w:val="000A194E"/>
    <w:rsid w:val="000A1F99"/>
    <w:rsid w:val="000A3244"/>
    <w:rsid w:val="000A3899"/>
    <w:rsid w:val="000A49BB"/>
    <w:rsid w:val="000A4B58"/>
    <w:rsid w:val="000A4ECC"/>
    <w:rsid w:val="000A5972"/>
    <w:rsid w:val="000A5CA7"/>
    <w:rsid w:val="000A5FA3"/>
    <w:rsid w:val="000A6846"/>
    <w:rsid w:val="000A6C6F"/>
    <w:rsid w:val="000A6E1F"/>
    <w:rsid w:val="000A6F0C"/>
    <w:rsid w:val="000A7755"/>
    <w:rsid w:val="000A7D65"/>
    <w:rsid w:val="000A7E34"/>
    <w:rsid w:val="000B0149"/>
    <w:rsid w:val="000B0486"/>
    <w:rsid w:val="000B0A01"/>
    <w:rsid w:val="000B1229"/>
    <w:rsid w:val="000B180B"/>
    <w:rsid w:val="000B2225"/>
    <w:rsid w:val="000B229C"/>
    <w:rsid w:val="000B2E3E"/>
    <w:rsid w:val="000B37E8"/>
    <w:rsid w:val="000B3A20"/>
    <w:rsid w:val="000B450E"/>
    <w:rsid w:val="000B45E5"/>
    <w:rsid w:val="000B5010"/>
    <w:rsid w:val="000B5E65"/>
    <w:rsid w:val="000B6605"/>
    <w:rsid w:val="000B6C34"/>
    <w:rsid w:val="000B79E6"/>
    <w:rsid w:val="000B7A2F"/>
    <w:rsid w:val="000B7BC6"/>
    <w:rsid w:val="000C1420"/>
    <w:rsid w:val="000C14EE"/>
    <w:rsid w:val="000C20F3"/>
    <w:rsid w:val="000C3BF5"/>
    <w:rsid w:val="000C3C3E"/>
    <w:rsid w:val="000C4919"/>
    <w:rsid w:val="000C4DD4"/>
    <w:rsid w:val="000C536F"/>
    <w:rsid w:val="000C5738"/>
    <w:rsid w:val="000C5FC9"/>
    <w:rsid w:val="000C611F"/>
    <w:rsid w:val="000C639D"/>
    <w:rsid w:val="000C64F6"/>
    <w:rsid w:val="000C65C3"/>
    <w:rsid w:val="000C6EE8"/>
    <w:rsid w:val="000C7018"/>
    <w:rsid w:val="000C78B7"/>
    <w:rsid w:val="000C7981"/>
    <w:rsid w:val="000C7BC9"/>
    <w:rsid w:val="000C7F64"/>
    <w:rsid w:val="000D0073"/>
    <w:rsid w:val="000D0605"/>
    <w:rsid w:val="000D0AB3"/>
    <w:rsid w:val="000D0B48"/>
    <w:rsid w:val="000D0CF2"/>
    <w:rsid w:val="000D1DB0"/>
    <w:rsid w:val="000D1EAF"/>
    <w:rsid w:val="000D1ED6"/>
    <w:rsid w:val="000D26CD"/>
    <w:rsid w:val="000D3379"/>
    <w:rsid w:val="000D4239"/>
    <w:rsid w:val="000D4E32"/>
    <w:rsid w:val="000D4EE0"/>
    <w:rsid w:val="000D5233"/>
    <w:rsid w:val="000D5549"/>
    <w:rsid w:val="000D58FE"/>
    <w:rsid w:val="000D5C7F"/>
    <w:rsid w:val="000D6615"/>
    <w:rsid w:val="000D67D0"/>
    <w:rsid w:val="000D681B"/>
    <w:rsid w:val="000D75C7"/>
    <w:rsid w:val="000D75DC"/>
    <w:rsid w:val="000D779D"/>
    <w:rsid w:val="000D7C76"/>
    <w:rsid w:val="000D7D4A"/>
    <w:rsid w:val="000E01A6"/>
    <w:rsid w:val="000E0256"/>
    <w:rsid w:val="000E10BF"/>
    <w:rsid w:val="000E1467"/>
    <w:rsid w:val="000E1762"/>
    <w:rsid w:val="000E2994"/>
    <w:rsid w:val="000E29CC"/>
    <w:rsid w:val="000E2B29"/>
    <w:rsid w:val="000E34E2"/>
    <w:rsid w:val="000E437C"/>
    <w:rsid w:val="000E4D31"/>
    <w:rsid w:val="000E55C4"/>
    <w:rsid w:val="000E5755"/>
    <w:rsid w:val="000E61EC"/>
    <w:rsid w:val="000E62A3"/>
    <w:rsid w:val="000E6615"/>
    <w:rsid w:val="000E68B0"/>
    <w:rsid w:val="000E6976"/>
    <w:rsid w:val="000E6DD9"/>
    <w:rsid w:val="000E77C5"/>
    <w:rsid w:val="000F113A"/>
    <w:rsid w:val="000F1C30"/>
    <w:rsid w:val="000F1C77"/>
    <w:rsid w:val="000F1D0F"/>
    <w:rsid w:val="000F23EF"/>
    <w:rsid w:val="000F31FF"/>
    <w:rsid w:val="000F499C"/>
    <w:rsid w:val="000F4C0A"/>
    <w:rsid w:val="000F50AD"/>
    <w:rsid w:val="000F5ED1"/>
    <w:rsid w:val="000F7554"/>
    <w:rsid w:val="000F7BBE"/>
    <w:rsid w:val="00100646"/>
    <w:rsid w:val="001006DB"/>
    <w:rsid w:val="001025D6"/>
    <w:rsid w:val="00102644"/>
    <w:rsid w:val="00102EE4"/>
    <w:rsid w:val="00103610"/>
    <w:rsid w:val="00103870"/>
    <w:rsid w:val="001041C3"/>
    <w:rsid w:val="0010422E"/>
    <w:rsid w:val="001051D6"/>
    <w:rsid w:val="00105B7D"/>
    <w:rsid w:val="00106085"/>
    <w:rsid w:val="001062D1"/>
    <w:rsid w:val="00106C86"/>
    <w:rsid w:val="00106F2B"/>
    <w:rsid w:val="001072B2"/>
    <w:rsid w:val="00107436"/>
    <w:rsid w:val="00107830"/>
    <w:rsid w:val="00107F3E"/>
    <w:rsid w:val="0011006F"/>
    <w:rsid w:val="0011022B"/>
    <w:rsid w:val="00110377"/>
    <w:rsid w:val="001106EA"/>
    <w:rsid w:val="00110F1B"/>
    <w:rsid w:val="0011100B"/>
    <w:rsid w:val="00111A78"/>
    <w:rsid w:val="00111A89"/>
    <w:rsid w:val="001124E3"/>
    <w:rsid w:val="001128D9"/>
    <w:rsid w:val="00112D16"/>
    <w:rsid w:val="00112DD5"/>
    <w:rsid w:val="0011368C"/>
    <w:rsid w:val="001138DF"/>
    <w:rsid w:val="00113966"/>
    <w:rsid w:val="00114D5C"/>
    <w:rsid w:val="00114ECC"/>
    <w:rsid w:val="001165DB"/>
    <w:rsid w:val="001165FD"/>
    <w:rsid w:val="00116E83"/>
    <w:rsid w:val="0011700E"/>
    <w:rsid w:val="001176A4"/>
    <w:rsid w:val="0011782F"/>
    <w:rsid w:val="00120110"/>
    <w:rsid w:val="0012050A"/>
    <w:rsid w:val="001205E6"/>
    <w:rsid w:val="00120826"/>
    <w:rsid w:val="001210EF"/>
    <w:rsid w:val="00121E9B"/>
    <w:rsid w:val="001227BF"/>
    <w:rsid w:val="00122BF5"/>
    <w:rsid w:val="001230D5"/>
    <w:rsid w:val="0012348B"/>
    <w:rsid w:val="00123702"/>
    <w:rsid w:val="001239E2"/>
    <w:rsid w:val="00123A8E"/>
    <w:rsid w:val="00123BCA"/>
    <w:rsid w:val="001248E5"/>
    <w:rsid w:val="00124F3C"/>
    <w:rsid w:val="00125602"/>
    <w:rsid w:val="001257B9"/>
    <w:rsid w:val="001270ED"/>
    <w:rsid w:val="00127A5D"/>
    <w:rsid w:val="00127E38"/>
    <w:rsid w:val="00127F2E"/>
    <w:rsid w:val="00130190"/>
    <w:rsid w:val="00130A17"/>
    <w:rsid w:val="00131355"/>
    <w:rsid w:val="00131F35"/>
    <w:rsid w:val="00133729"/>
    <w:rsid w:val="001338BF"/>
    <w:rsid w:val="00133A9A"/>
    <w:rsid w:val="00134372"/>
    <w:rsid w:val="001354FF"/>
    <w:rsid w:val="001359B1"/>
    <w:rsid w:val="001359B8"/>
    <w:rsid w:val="001359C0"/>
    <w:rsid w:val="00135E62"/>
    <w:rsid w:val="00136336"/>
    <w:rsid w:val="0013652F"/>
    <w:rsid w:val="00136995"/>
    <w:rsid w:val="00136F81"/>
    <w:rsid w:val="00137085"/>
    <w:rsid w:val="00140A52"/>
    <w:rsid w:val="00140BA2"/>
    <w:rsid w:val="00140E99"/>
    <w:rsid w:val="00140F9A"/>
    <w:rsid w:val="0014160B"/>
    <w:rsid w:val="0014184F"/>
    <w:rsid w:val="00141BF3"/>
    <w:rsid w:val="00141BFE"/>
    <w:rsid w:val="00141C9D"/>
    <w:rsid w:val="00142363"/>
    <w:rsid w:val="00143375"/>
    <w:rsid w:val="00144248"/>
    <w:rsid w:val="00144380"/>
    <w:rsid w:val="00144E2C"/>
    <w:rsid w:val="00145095"/>
    <w:rsid w:val="00146051"/>
    <w:rsid w:val="00146268"/>
    <w:rsid w:val="00146437"/>
    <w:rsid w:val="001465EE"/>
    <w:rsid w:val="001467AF"/>
    <w:rsid w:val="00146FC8"/>
    <w:rsid w:val="00147B03"/>
    <w:rsid w:val="00147C2F"/>
    <w:rsid w:val="00147C5E"/>
    <w:rsid w:val="0015009C"/>
    <w:rsid w:val="0015087C"/>
    <w:rsid w:val="00150F54"/>
    <w:rsid w:val="001512D9"/>
    <w:rsid w:val="00151775"/>
    <w:rsid w:val="001525F7"/>
    <w:rsid w:val="00153434"/>
    <w:rsid w:val="0015362F"/>
    <w:rsid w:val="00154436"/>
    <w:rsid w:val="00154603"/>
    <w:rsid w:val="00154DB3"/>
    <w:rsid w:val="00154DF7"/>
    <w:rsid w:val="00155454"/>
    <w:rsid w:val="001557F1"/>
    <w:rsid w:val="001558ED"/>
    <w:rsid w:val="001575CB"/>
    <w:rsid w:val="00157923"/>
    <w:rsid w:val="00157F83"/>
    <w:rsid w:val="0016002E"/>
    <w:rsid w:val="001605E7"/>
    <w:rsid w:val="00160AFF"/>
    <w:rsid w:val="00160C72"/>
    <w:rsid w:val="00161573"/>
    <w:rsid w:val="0016312D"/>
    <w:rsid w:val="00163167"/>
    <w:rsid w:val="0016335A"/>
    <w:rsid w:val="00163369"/>
    <w:rsid w:val="001634EB"/>
    <w:rsid w:val="001636FD"/>
    <w:rsid w:val="00164019"/>
    <w:rsid w:val="00164395"/>
    <w:rsid w:val="001647B3"/>
    <w:rsid w:val="0016536D"/>
    <w:rsid w:val="00165DC0"/>
    <w:rsid w:val="00166452"/>
    <w:rsid w:val="0016674C"/>
    <w:rsid w:val="00166A42"/>
    <w:rsid w:val="00166C3A"/>
    <w:rsid w:val="00167B89"/>
    <w:rsid w:val="00167BCE"/>
    <w:rsid w:val="00170159"/>
    <w:rsid w:val="00170400"/>
    <w:rsid w:val="00170BA8"/>
    <w:rsid w:val="00170D35"/>
    <w:rsid w:val="00170F75"/>
    <w:rsid w:val="001719C9"/>
    <w:rsid w:val="00172006"/>
    <w:rsid w:val="001727FD"/>
    <w:rsid w:val="001729F5"/>
    <w:rsid w:val="00172DCB"/>
    <w:rsid w:val="00173236"/>
    <w:rsid w:val="00173266"/>
    <w:rsid w:val="0017333F"/>
    <w:rsid w:val="001738A6"/>
    <w:rsid w:val="00173B40"/>
    <w:rsid w:val="00175049"/>
    <w:rsid w:val="00175278"/>
    <w:rsid w:val="00175AD9"/>
    <w:rsid w:val="00175FC1"/>
    <w:rsid w:val="00175FCD"/>
    <w:rsid w:val="001767EA"/>
    <w:rsid w:val="00176899"/>
    <w:rsid w:val="00177D51"/>
    <w:rsid w:val="00180167"/>
    <w:rsid w:val="001805F0"/>
    <w:rsid w:val="0018102F"/>
    <w:rsid w:val="001818E0"/>
    <w:rsid w:val="00181FDB"/>
    <w:rsid w:val="001820B4"/>
    <w:rsid w:val="00182274"/>
    <w:rsid w:val="0018242A"/>
    <w:rsid w:val="00182511"/>
    <w:rsid w:val="001827A8"/>
    <w:rsid w:val="00182850"/>
    <w:rsid w:val="00183388"/>
    <w:rsid w:val="00183835"/>
    <w:rsid w:val="001838A5"/>
    <w:rsid w:val="00183A18"/>
    <w:rsid w:val="00183A59"/>
    <w:rsid w:val="00183CD8"/>
    <w:rsid w:val="00184573"/>
    <w:rsid w:val="0018492D"/>
    <w:rsid w:val="00184A2E"/>
    <w:rsid w:val="001850C5"/>
    <w:rsid w:val="00185838"/>
    <w:rsid w:val="00185CD7"/>
    <w:rsid w:val="00185D27"/>
    <w:rsid w:val="00185D48"/>
    <w:rsid w:val="00185FD3"/>
    <w:rsid w:val="001860D2"/>
    <w:rsid w:val="00186D37"/>
    <w:rsid w:val="00187202"/>
    <w:rsid w:val="0019008D"/>
    <w:rsid w:val="00190332"/>
    <w:rsid w:val="001907F1"/>
    <w:rsid w:val="0019239C"/>
    <w:rsid w:val="00192DC6"/>
    <w:rsid w:val="001938F1"/>
    <w:rsid w:val="00194190"/>
    <w:rsid w:val="0019435F"/>
    <w:rsid w:val="00194D6A"/>
    <w:rsid w:val="00194E25"/>
    <w:rsid w:val="00195A52"/>
    <w:rsid w:val="00195C70"/>
    <w:rsid w:val="00196097"/>
    <w:rsid w:val="0019705E"/>
    <w:rsid w:val="0019740D"/>
    <w:rsid w:val="001979C5"/>
    <w:rsid w:val="00197A95"/>
    <w:rsid w:val="00197BCB"/>
    <w:rsid w:val="00197C95"/>
    <w:rsid w:val="001A0498"/>
    <w:rsid w:val="001A0529"/>
    <w:rsid w:val="001A06F1"/>
    <w:rsid w:val="001A0BB2"/>
    <w:rsid w:val="001A0CCE"/>
    <w:rsid w:val="001A10A3"/>
    <w:rsid w:val="001A1271"/>
    <w:rsid w:val="001A133A"/>
    <w:rsid w:val="001A144E"/>
    <w:rsid w:val="001A1896"/>
    <w:rsid w:val="001A1A2F"/>
    <w:rsid w:val="001A1FF3"/>
    <w:rsid w:val="001A2051"/>
    <w:rsid w:val="001A376E"/>
    <w:rsid w:val="001A3923"/>
    <w:rsid w:val="001A3B31"/>
    <w:rsid w:val="001A56B8"/>
    <w:rsid w:val="001A5D11"/>
    <w:rsid w:val="001A6082"/>
    <w:rsid w:val="001A60F5"/>
    <w:rsid w:val="001A66CC"/>
    <w:rsid w:val="001A68B6"/>
    <w:rsid w:val="001A6AC2"/>
    <w:rsid w:val="001A6C3D"/>
    <w:rsid w:val="001A6C59"/>
    <w:rsid w:val="001A6D2A"/>
    <w:rsid w:val="001A752D"/>
    <w:rsid w:val="001A767E"/>
    <w:rsid w:val="001A7CA1"/>
    <w:rsid w:val="001A7CAB"/>
    <w:rsid w:val="001B00EF"/>
    <w:rsid w:val="001B0263"/>
    <w:rsid w:val="001B0965"/>
    <w:rsid w:val="001B0FC8"/>
    <w:rsid w:val="001B1748"/>
    <w:rsid w:val="001B1FA8"/>
    <w:rsid w:val="001B227F"/>
    <w:rsid w:val="001B28DA"/>
    <w:rsid w:val="001B2914"/>
    <w:rsid w:val="001B2B56"/>
    <w:rsid w:val="001B2C7F"/>
    <w:rsid w:val="001B385E"/>
    <w:rsid w:val="001B3C52"/>
    <w:rsid w:val="001B3E5C"/>
    <w:rsid w:val="001B5ED6"/>
    <w:rsid w:val="001B696A"/>
    <w:rsid w:val="001B6F5A"/>
    <w:rsid w:val="001B71A5"/>
    <w:rsid w:val="001B7234"/>
    <w:rsid w:val="001B7D6D"/>
    <w:rsid w:val="001C0049"/>
    <w:rsid w:val="001C0055"/>
    <w:rsid w:val="001C1741"/>
    <w:rsid w:val="001C174F"/>
    <w:rsid w:val="001C1779"/>
    <w:rsid w:val="001C19DB"/>
    <w:rsid w:val="001C1A69"/>
    <w:rsid w:val="001C1B6A"/>
    <w:rsid w:val="001C1B91"/>
    <w:rsid w:val="001C24CB"/>
    <w:rsid w:val="001C2566"/>
    <w:rsid w:val="001C3486"/>
    <w:rsid w:val="001C3F42"/>
    <w:rsid w:val="001C41A1"/>
    <w:rsid w:val="001C43B7"/>
    <w:rsid w:val="001C5643"/>
    <w:rsid w:val="001C5B79"/>
    <w:rsid w:val="001C5DF1"/>
    <w:rsid w:val="001C6502"/>
    <w:rsid w:val="001C751A"/>
    <w:rsid w:val="001C7D07"/>
    <w:rsid w:val="001D00F7"/>
    <w:rsid w:val="001D0593"/>
    <w:rsid w:val="001D0ADC"/>
    <w:rsid w:val="001D11CE"/>
    <w:rsid w:val="001D12DF"/>
    <w:rsid w:val="001D172F"/>
    <w:rsid w:val="001D1A6E"/>
    <w:rsid w:val="001D4D8A"/>
    <w:rsid w:val="001D5216"/>
    <w:rsid w:val="001D55DB"/>
    <w:rsid w:val="001D5A5E"/>
    <w:rsid w:val="001D5B2A"/>
    <w:rsid w:val="001D5B66"/>
    <w:rsid w:val="001D5B9E"/>
    <w:rsid w:val="001D63E4"/>
    <w:rsid w:val="001D6ACD"/>
    <w:rsid w:val="001D709D"/>
    <w:rsid w:val="001D76CA"/>
    <w:rsid w:val="001E0472"/>
    <w:rsid w:val="001E0F21"/>
    <w:rsid w:val="001E0F25"/>
    <w:rsid w:val="001E12BA"/>
    <w:rsid w:val="001E2AE5"/>
    <w:rsid w:val="001E2C33"/>
    <w:rsid w:val="001E2DF6"/>
    <w:rsid w:val="001E2E45"/>
    <w:rsid w:val="001E301F"/>
    <w:rsid w:val="001E38EC"/>
    <w:rsid w:val="001E4002"/>
    <w:rsid w:val="001E4304"/>
    <w:rsid w:val="001E44E7"/>
    <w:rsid w:val="001E468E"/>
    <w:rsid w:val="001E47BC"/>
    <w:rsid w:val="001E4CC9"/>
    <w:rsid w:val="001E4D42"/>
    <w:rsid w:val="001E51D1"/>
    <w:rsid w:val="001E65CA"/>
    <w:rsid w:val="001E65EC"/>
    <w:rsid w:val="001E68F2"/>
    <w:rsid w:val="001E77A1"/>
    <w:rsid w:val="001E7E2A"/>
    <w:rsid w:val="001F0DD8"/>
    <w:rsid w:val="001F0EC5"/>
    <w:rsid w:val="001F156E"/>
    <w:rsid w:val="001F215F"/>
    <w:rsid w:val="001F27F8"/>
    <w:rsid w:val="001F2848"/>
    <w:rsid w:val="001F2CFB"/>
    <w:rsid w:val="001F2F61"/>
    <w:rsid w:val="001F3711"/>
    <w:rsid w:val="001F3C5D"/>
    <w:rsid w:val="001F4261"/>
    <w:rsid w:val="001F4560"/>
    <w:rsid w:val="001F4CDD"/>
    <w:rsid w:val="001F4EA8"/>
    <w:rsid w:val="001F5531"/>
    <w:rsid w:val="001F59C4"/>
    <w:rsid w:val="001F60F4"/>
    <w:rsid w:val="001F618A"/>
    <w:rsid w:val="001F6218"/>
    <w:rsid w:val="001F65E7"/>
    <w:rsid w:val="001F689D"/>
    <w:rsid w:val="001F765C"/>
    <w:rsid w:val="001F7822"/>
    <w:rsid w:val="001F7931"/>
    <w:rsid w:val="002001D5"/>
    <w:rsid w:val="00200C9E"/>
    <w:rsid w:val="00201183"/>
    <w:rsid w:val="002012CE"/>
    <w:rsid w:val="002027BB"/>
    <w:rsid w:val="00202B31"/>
    <w:rsid w:val="00202E07"/>
    <w:rsid w:val="00203426"/>
    <w:rsid w:val="002035A9"/>
    <w:rsid w:val="00203982"/>
    <w:rsid w:val="00204906"/>
    <w:rsid w:val="002050DD"/>
    <w:rsid w:val="002053BE"/>
    <w:rsid w:val="00206093"/>
    <w:rsid w:val="0020705B"/>
    <w:rsid w:val="002072F4"/>
    <w:rsid w:val="00207EC5"/>
    <w:rsid w:val="00210075"/>
    <w:rsid w:val="002102DC"/>
    <w:rsid w:val="00210AFC"/>
    <w:rsid w:val="00210B81"/>
    <w:rsid w:val="0021105D"/>
    <w:rsid w:val="00211202"/>
    <w:rsid w:val="00211A01"/>
    <w:rsid w:val="00211AEB"/>
    <w:rsid w:val="00211DFF"/>
    <w:rsid w:val="00211EB4"/>
    <w:rsid w:val="00211F66"/>
    <w:rsid w:val="00211F78"/>
    <w:rsid w:val="00212694"/>
    <w:rsid w:val="00213891"/>
    <w:rsid w:val="00213CB2"/>
    <w:rsid w:val="0021401B"/>
    <w:rsid w:val="002141BA"/>
    <w:rsid w:val="002142DE"/>
    <w:rsid w:val="00214497"/>
    <w:rsid w:val="00214954"/>
    <w:rsid w:val="0021588C"/>
    <w:rsid w:val="00216468"/>
    <w:rsid w:val="00217681"/>
    <w:rsid w:val="00217C7A"/>
    <w:rsid w:val="00220706"/>
    <w:rsid w:val="002208BE"/>
    <w:rsid w:val="00220A09"/>
    <w:rsid w:val="00220D75"/>
    <w:rsid w:val="00221311"/>
    <w:rsid w:val="00221C6E"/>
    <w:rsid w:val="002225D5"/>
    <w:rsid w:val="00223003"/>
    <w:rsid w:val="002234FA"/>
    <w:rsid w:val="002237AC"/>
    <w:rsid w:val="00223A55"/>
    <w:rsid w:val="0022442D"/>
    <w:rsid w:val="00224970"/>
    <w:rsid w:val="00224D25"/>
    <w:rsid w:val="002252FC"/>
    <w:rsid w:val="00225578"/>
    <w:rsid w:val="002258BA"/>
    <w:rsid w:val="00226473"/>
    <w:rsid w:val="00227110"/>
    <w:rsid w:val="002272D5"/>
    <w:rsid w:val="00227A09"/>
    <w:rsid w:val="0023021E"/>
    <w:rsid w:val="00230CB0"/>
    <w:rsid w:val="00230EDE"/>
    <w:rsid w:val="00231EFC"/>
    <w:rsid w:val="002327DA"/>
    <w:rsid w:val="00232D95"/>
    <w:rsid w:val="00233D1A"/>
    <w:rsid w:val="002344CE"/>
    <w:rsid w:val="00234FD3"/>
    <w:rsid w:val="0023599D"/>
    <w:rsid w:val="002360DB"/>
    <w:rsid w:val="0023640B"/>
    <w:rsid w:val="00236B13"/>
    <w:rsid w:val="00236DEC"/>
    <w:rsid w:val="00237488"/>
    <w:rsid w:val="002377B6"/>
    <w:rsid w:val="00240316"/>
    <w:rsid w:val="00240787"/>
    <w:rsid w:val="002409B0"/>
    <w:rsid w:val="002416B9"/>
    <w:rsid w:val="00242460"/>
    <w:rsid w:val="002427C6"/>
    <w:rsid w:val="002435F1"/>
    <w:rsid w:val="00243A8F"/>
    <w:rsid w:val="00244673"/>
    <w:rsid w:val="0024491D"/>
    <w:rsid w:val="00244F60"/>
    <w:rsid w:val="00247487"/>
    <w:rsid w:val="002505F7"/>
    <w:rsid w:val="0025065C"/>
    <w:rsid w:val="00250866"/>
    <w:rsid w:val="00251301"/>
    <w:rsid w:val="00251A00"/>
    <w:rsid w:val="00251DE8"/>
    <w:rsid w:val="00252320"/>
    <w:rsid w:val="002533C2"/>
    <w:rsid w:val="00253663"/>
    <w:rsid w:val="00254408"/>
    <w:rsid w:val="00254963"/>
    <w:rsid w:val="00254B22"/>
    <w:rsid w:val="00255440"/>
    <w:rsid w:val="00255913"/>
    <w:rsid w:val="00255D3C"/>
    <w:rsid w:val="00255D79"/>
    <w:rsid w:val="0025656F"/>
    <w:rsid w:val="00257379"/>
    <w:rsid w:val="00257EDC"/>
    <w:rsid w:val="00260627"/>
    <w:rsid w:val="00260B80"/>
    <w:rsid w:val="00260DD1"/>
    <w:rsid w:val="00261871"/>
    <w:rsid w:val="002619B0"/>
    <w:rsid w:val="002621FA"/>
    <w:rsid w:val="00262691"/>
    <w:rsid w:val="00262A8E"/>
    <w:rsid w:val="002636B8"/>
    <w:rsid w:val="0026383C"/>
    <w:rsid w:val="002642A8"/>
    <w:rsid w:val="00265332"/>
    <w:rsid w:val="00265FB5"/>
    <w:rsid w:val="00265FBC"/>
    <w:rsid w:val="00266259"/>
    <w:rsid w:val="00266577"/>
    <w:rsid w:val="002676B8"/>
    <w:rsid w:val="00267867"/>
    <w:rsid w:val="00267910"/>
    <w:rsid w:val="00267A42"/>
    <w:rsid w:val="00267CF8"/>
    <w:rsid w:val="00270055"/>
    <w:rsid w:val="0027024F"/>
    <w:rsid w:val="0027152F"/>
    <w:rsid w:val="00271607"/>
    <w:rsid w:val="00271A46"/>
    <w:rsid w:val="00271F20"/>
    <w:rsid w:val="002721BA"/>
    <w:rsid w:val="00272E56"/>
    <w:rsid w:val="00273653"/>
    <w:rsid w:val="002745AC"/>
    <w:rsid w:val="00275171"/>
    <w:rsid w:val="002751C9"/>
    <w:rsid w:val="002761E2"/>
    <w:rsid w:val="002762C9"/>
    <w:rsid w:val="0027667B"/>
    <w:rsid w:val="002769A3"/>
    <w:rsid w:val="002772C9"/>
    <w:rsid w:val="00277D22"/>
    <w:rsid w:val="002807C4"/>
    <w:rsid w:val="0028084F"/>
    <w:rsid w:val="00280F2B"/>
    <w:rsid w:val="00281017"/>
    <w:rsid w:val="002814B0"/>
    <w:rsid w:val="00281559"/>
    <w:rsid w:val="00282120"/>
    <w:rsid w:val="002829C0"/>
    <w:rsid w:val="00282EB8"/>
    <w:rsid w:val="00283A16"/>
    <w:rsid w:val="00283D58"/>
    <w:rsid w:val="00284279"/>
    <w:rsid w:val="00284954"/>
    <w:rsid w:val="00284AAB"/>
    <w:rsid w:val="00286074"/>
    <w:rsid w:val="002860EB"/>
    <w:rsid w:val="0028687C"/>
    <w:rsid w:val="0028697D"/>
    <w:rsid w:val="00286E6D"/>
    <w:rsid w:val="0029064A"/>
    <w:rsid w:val="002908EE"/>
    <w:rsid w:val="00290BB2"/>
    <w:rsid w:val="00290E23"/>
    <w:rsid w:val="00290E7D"/>
    <w:rsid w:val="0029171A"/>
    <w:rsid w:val="00291BC0"/>
    <w:rsid w:val="00291D6A"/>
    <w:rsid w:val="00291EB4"/>
    <w:rsid w:val="002922BF"/>
    <w:rsid w:val="0029297C"/>
    <w:rsid w:val="00294660"/>
    <w:rsid w:val="00294684"/>
    <w:rsid w:val="002947CB"/>
    <w:rsid w:val="002948B7"/>
    <w:rsid w:val="002949DB"/>
    <w:rsid w:val="002951D1"/>
    <w:rsid w:val="002951EB"/>
    <w:rsid w:val="00295BD1"/>
    <w:rsid w:val="0029600C"/>
    <w:rsid w:val="002961E4"/>
    <w:rsid w:val="00297735"/>
    <w:rsid w:val="00297E79"/>
    <w:rsid w:val="002A065C"/>
    <w:rsid w:val="002A0C95"/>
    <w:rsid w:val="002A0D1B"/>
    <w:rsid w:val="002A13EA"/>
    <w:rsid w:val="002A1D9D"/>
    <w:rsid w:val="002A30CB"/>
    <w:rsid w:val="002A3290"/>
    <w:rsid w:val="002A3F74"/>
    <w:rsid w:val="002A483B"/>
    <w:rsid w:val="002A4996"/>
    <w:rsid w:val="002A4E80"/>
    <w:rsid w:val="002A54DF"/>
    <w:rsid w:val="002A57D1"/>
    <w:rsid w:val="002A5A38"/>
    <w:rsid w:val="002A5D5B"/>
    <w:rsid w:val="002A6D4F"/>
    <w:rsid w:val="002A717A"/>
    <w:rsid w:val="002A7959"/>
    <w:rsid w:val="002A7A2A"/>
    <w:rsid w:val="002A7FC1"/>
    <w:rsid w:val="002B02CD"/>
    <w:rsid w:val="002B072A"/>
    <w:rsid w:val="002B07E3"/>
    <w:rsid w:val="002B0980"/>
    <w:rsid w:val="002B0BA1"/>
    <w:rsid w:val="002B0D95"/>
    <w:rsid w:val="002B0E45"/>
    <w:rsid w:val="002B12DE"/>
    <w:rsid w:val="002B12E3"/>
    <w:rsid w:val="002B1358"/>
    <w:rsid w:val="002B1FB3"/>
    <w:rsid w:val="002B2239"/>
    <w:rsid w:val="002B36EC"/>
    <w:rsid w:val="002B39AB"/>
    <w:rsid w:val="002B3B66"/>
    <w:rsid w:val="002B42AE"/>
    <w:rsid w:val="002B6B21"/>
    <w:rsid w:val="002B6F81"/>
    <w:rsid w:val="002B7DE0"/>
    <w:rsid w:val="002B7EFF"/>
    <w:rsid w:val="002C0817"/>
    <w:rsid w:val="002C0886"/>
    <w:rsid w:val="002C0FB1"/>
    <w:rsid w:val="002C1388"/>
    <w:rsid w:val="002C14E0"/>
    <w:rsid w:val="002C288A"/>
    <w:rsid w:val="002C2CDF"/>
    <w:rsid w:val="002C30C9"/>
    <w:rsid w:val="002C33EB"/>
    <w:rsid w:val="002C410F"/>
    <w:rsid w:val="002C4799"/>
    <w:rsid w:val="002C4928"/>
    <w:rsid w:val="002C4B14"/>
    <w:rsid w:val="002C4F74"/>
    <w:rsid w:val="002C5B4C"/>
    <w:rsid w:val="002C5E09"/>
    <w:rsid w:val="002C62CF"/>
    <w:rsid w:val="002C6583"/>
    <w:rsid w:val="002C6873"/>
    <w:rsid w:val="002C6B44"/>
    <w:rsid w:val="002C6CF5"/>
    <w:rsid w:val="002C716B"/>
    <w:rsid w:val="002C7432"/>
    <w:rsid w:val="002C7C2E"/>
    <w:rsid w:val="002C7FAC"/>
    <w:rsid w:val="002D02AD"/>
    <w:rsid w:val="002D0471"/>
    <w:rsid w:val="002D0A6D"/>
    <w:rsid w:val="002D0B61"/>
    <w:rsid w:val="002D1454"/>
    <w:rsid w:val="002D190E"/>
    <w:rsid w:val="002D1BB4"/>
    <w:rsid w:val="002D1F1B"/>
    <w:rsid w:val="002D2F56"/>
    <w:rsid w:val="002D3FAD"/>
    <w:rsid w:val="002D4403"/>
    <w:rsid w:val="002D469B"/>
    <w:rsid w:val="002D4864"/>
    <w:rsid w:val="002D5E3D"/>
    <w:rsid w:val="002D6311"/>
    <w:rsid w:val="002D65F8"/>
    <w:rsid w:val="002D6774"/>
    <w:rsid w:val="002D6D02"/>
    <w:rsid w:val="002D6E42"/>
    <w:rsid w:val="002D7178"/>
    <w:rsid w:val="002D7969"/>
    <w:rsid w:val="002E0151"/>
    <w:rsid w:val="002E0396"/>
    <w:rsid w:val="002E0D97"/>
    <w:rsid w:val="002E0F5D"/>
    <w:rsid w:val="002E190A"/>
    <w:rsid w:val="002E1AFB"/>
    <w:rsid w:val="002E22D9"/>
    <w:rsid w:val="002E2519"/>
    <w:rsid w:val="002E34ED"/>
    <w:rsid w:val="002E35E6"/>
    <w:rsid w:val="002E3D93"/>
    <w:rsid w:val="002E4669"/>
    <w:rsid w:val="002E46B3"/>
    <w:rsid w:val="002E4862"/>
    <w:rsid w:val="002E4D04"/>
    <w:rsid w:val="002E4F4D"/>
    <w:rsid w:val="002E587B"/>
    <w:rsid w:val="002E5D89"/>
    <w:rsid w:val="002E6E3D"/>
    <w:rsid w:val="002E76F8"/>
    <w:rsid w:val="002E7C5F"/>
    <w:rsid w:val="002F0388"/>
    <w:rsid w:val="002F08E0"/>
    <w:rsid w:val="002F14AC"/>
    <w:rsid w:val="002F160C"/>
    <w:rsid w:val="002F1A02"/>
    <w:rsid w:val="002F2105"/>
    <w:rsid w:val="002F2BA5"/>
    <w:rsid w:val="002F2DFC"/>
    <w:rsid w:val="002F2E46"/>
    <w:rsid w:val="002F33DA"/>
    <w:rsid w:val="002F3A21"/>
    <w:rsid w:val="002F4795"/>
    <w:rsid w:val="002F4A1B"/>
    <w:rsid w:val="002F51C0"/>
    <w:rsid w:val="002F527F"/>
    <w:rsid w:val="002F533F"/>
    <w:rsid w:val="002F55EB"/>
    <w:rsid w:val="002F5E09"/>
    <w:rsid w:val="002F60F7"/>
    <w:rsid w:val="002F67D2"/>
    <w:rsid w:val="002F78AF"/>
    <w:rsid w:val="002F7BD0"/>
    <w:rsid w:val="003001C1"/>
    <w:rsid w:val="003001E4"/>
    <w:rsid w:val="003007A4"/>
    <w:rsid w:val="00300878"/>
    <w:rsid w:val="00300A4C"/>
    <w:rsid w:val="003012A3"/>
    <w:rsid w:val="0030232F"/>
    <w:rsid w:val="0030292D"/>
    <w:rsid w:val="003029C6"/>
    <w:rsid w:val="003034CC"/>
    <w:rsid w:val="00303777"/>
    <w:rsid w:val="00303B86"/>
    <w:rsid w:val="00304A3E"/>
    <w:rsid w:val="00304BCB"/>
    <w:rsid w:val="003058E4"/>
    <w:rsid w:val="00306B3D"/>
    <w:rsid w:val="00306E09"/>
    <w:rsid w:val="00307093"/>
    <w:rsid w:val="0030777F"/>
    <w:rsid w:val="00307D40"/>
    <w:rsid w:val="00307EE9"/>
    <w:rsid w:val="003102FF"/>
    <w:rsid w:val="0031144E"/>
    <w:rsid w:val="0031156C"/>
    <w:rsid w:val="00311D5C"/>
    <w:rsid w:val="003122B6"/>
    <w:rsid w:val="0031274F"/>
    <w:rsid w:val="00312775"/>
    <w:rsid w:val="00312C0F"/>
    <w:rsid w:val="00312D00"/>
    <w:rsid w:val="00313225"/>
    <w:rsid w:val="00313699"/>
    <w:rsid w:val="00313F4D"/>
    <w:rsid w:val="00314060"/>
    <w:rsid w:val="00314DC5"/>
    <w:rsid w:val="00314F75"/>
    <w:rsid w:val="00315402"/>
    <w:rsid w:val="00315AAA"/>
    <w:rsid w:val="00315D72"/>
    <w:rsid w:val="00316209"/>
    <w:rsid w:val="00316FEB"/>
    <w:rsid w:val="0031772F"/>
    <w:rsid w:val="00317922"/>
    <w:rsid w:val="0031794E"/>
    <w:rsid w:val="00317BFA"/>
    <w:rsid w:val="00317D59"/>
    <w:rsid w:val="0032002B"/>
    <w:rsid w:val="0032068B"/>
    <w:rsid w:val="00320719"/>
    <w:rsid w:val="00320D19"/>
    <w:rsid w:val="003215E6"/>
    <w:rsid w:val="00321C84"/>
    <w:rsid w:val="003222C2"/>
    <w:rsid w:val="003226C7"/>
    <w:rsid w:val="0032310D"/>
    <w:rsid w:val="003236DC"/>
    <w:rsid w:val="00323BAE"/>
    <w:rsid w:val="00323CC8"/>
    <w:rsid w:val="003245B6"/>
    <w:rsid w:val="003249FE"/>
    <w:rsid w:val="0032525A"/>
    <w:rsid w:val="00325738"/>
    <w:rsid w:val="00325D1C"/>
    <w:rsid w:val="0032688C"/>
    <w:rsid w:val="00326B8A"/>
    <w:rsid w:val="00327521"/>
    <w:rsid w:val="003278B8"/>
    <w:rsid w:val="00327C8C"/>
    <w:rsid w:val="003303D6"/>
    <w:rsid w:val="003314BA"/>
    <w:rsid w:val="003317E0"/>
    <w:rsid w:val="0033196B"/>
    <w:rsid w:val="00331EB7"/>
    <w:rsid w:val="00331FE6"/>
    <w:rsid w:val="00332E6C"/>
    <w:rsid w:val="0033330F"/>
    <w:rsid w:val="00333373"/>
    <w:rsid w:val="003339A6"/>
    <w:rsid w:val="003341D8"/>
    <w:rsid w:val="003344F4"/>
    <w:rsid w:val="00334B7F"/>
    <w:rsid w:val="00334E0C"/>
    <w:rsid w:val="00335B06"/>
    <w:rsid w:val="00335F1F"/>
    <w:rsid w:val="0033645A"/>
    <w:rsid w:val="00337240"/>
    <w:rsid w:val="003372C6"/>
    <w:rsid w:val="003374B6"/>
    <w:rsid w:val="0033770B"/>
    <w:rsid w:val="003404C1"/>
    <w:rsid w:val="003405D4"/>
    <w:rsid w:val="0034105F"/>
    <w:rsid w:val="0034173F"/>
    <w:rsid w:val="0034191A"/>
    <w:rsid w:val="00343C41"/>
    <w:rsid w:val="00344479"/>
    <w:rsid w:val="003448A5"/>
    <w:rsid w:val="00344B98"/>
    <w:rsid w:val="0034599B"/>
    <w:rsid w:val="00345A6B"/>
    <w:rsid w:val="00345F0F"/>
    <w:rsid w:val="00347D71"/>
    <w:rsid w:val="003503F9"/>
    <w:rsid w:val="003507FF"/>
    <w:rsid w:val="00350828"/>
    <w:rsid w:val="00350A6E"/>
    <w:rsid w:val="003515D6"/>
    <w:rsid w:val="00351B20"/>
    <w:rsid w:val="00351B72"/>
    <w:rsid w:val="00351BE6"/>
    <w:rsid w:val="00351CA0"/>
    <w:rsid w:val="003529C1"/>
    <w:rsid w:val="00352C2C"/>
    <w:rsid w:val="00352ED6"/>
    <w:rsid w:val="003534A8"/>
    <w:rsid w:val="003536CB"/>
    <w:rsid w:val="00353C85"/>
    <w:rsid w:val="00353FCF"/>
    <w:rsid w:val="00354289"/>
    <w:rsid w:val="0035456E"/>
    <w:rsid w:val="00354D5B"/>
    <w:rsid w:val="0035528B"/>
    <w:rsid w:val="0035550C"/>
    <w:rsid w:val="00356811"/>
    <w:rsid w:val="00356D41"/>
    <w:rsid w:val="003571F8"/>
    <w:rsid w:val="00357292"/>
    <w:rsid w:val="00357D81"/>
    <w:rsid w:val="00360510"/>
    <w:rsid w:val="00360B6D"/>
    <w:rsid w:val="0036203A"/>
    <w:rsid w:val="003626CD"/>
    <w:rsid w:val="00362D9F"/>
    <w:rsid w:val="00363100"/>
    <w:rsid w:val="00363C2C"/>
    <w:rsid w:val="00363EDC"/>
    <w:rsid w:val="00364167"/>
    <w:rsid w:val="00364C09"/>
    <w:rsid w:val="00364DF9"/>
    <w:rsid w:val="00365198"/>
    <w:rsid w:val="003656D4"/>
    <w:rsid w:val="00365740"/>
    <w:rsid w:val="00365743"/>
    <w:rsid w:val="00365EE4"/>
    <w:rsid w:val="00366276"/>
    <w:rsid w:val="00366662"/>
    <w:rsid w:val="00366760"/>
    <w:rsid w:val="0036699D"/>
    <w:rsid w:val="00367557"/>
    <w:rsid w:val="00367980"/>
    <w:rsid w:val="00370B1F"/>
    <w:rsid w:val="00370E95"/>
    <w:rsid w:val="00371047"/>
    <w:rsid w:val="00371CAA"/>
    <w:rsid w:val="0037251E"/>
    <w:rsid w:val="003729BB"/>
    <w:rsid w:val="00372D8C"/>
    <w:rsid w:val="00373267"/>
    <w:rsid w:val="00373E87"/>
    <w:rsid w:val="003747B8"/>
    <w:rsid w:val="00375A95"/>
    <w:rsid w:val="00375D83"/>
    <w:rsid w:val="0037702B"/>
    <w:rsid w:val="003774C9"/>
    <w:rsid w:val="00380A59"/>
    <w:rsid w:val="00380F4E"/>
    <w:rsid w:val="003810E7"/>
    <w:rsid w:val="0038115A"/>
    <w:rsid w:val="00381FA7"/>
    <w:rsid w:val="00381FB7"/>
    <w:rsid w:val="00382953"/>
    <w:rsid w:val="00382FFA"/>
    <w:rsid w:val="00383760"/>
    <w:rsid w:val="00383839"/>
    <w:rsid w:val="003844B7"/>
    <w:rsid w:val="0038480A"/>
    <w:rsid w:val="00384E8E"/>
    <w:rsid w:val="00384F57"/>
    <w:rsid w:val="00385204"/>
    <w:rsid w:val="003857F7"/>
    <w:rsid w:val="0038627F"/>
    <w:rsid w:val="00386D80"/>
    <w:rsid w:val="00387179"/>
    <w:rsid w:val="00390906"/>
    <w:rsid w:val="00391004"/>
    <w:rsid w:val="003912C1"/>
    <w:rsid w:val="0039139C"/>
    <w:rsid w:val="0039160F"/>
    <w:rsid w:val="00391896"/>
    <w:rsid w:val="00391ABA"/>
    <w:rsid w:val="00391BE6"/>
    <w:rsid w:val="00392456"/>
    <w:rsid w:val="00392561"/>
    <w:rsid w:val="00393140"/>
    <w:rsid w:val="0039338D"/>
    <w:rsid w:val="003944C1"/>
    <w:rsid w:val="003949C5"/>
    <w:rsid w:val="003949E4"/>
    <w:rsid w:val="00394D88"/>
    <w:rsid w:val="00394F5A"/>
    <w:rsid w:val="0039561A"/>
    <w:rsid w:val="0039663C"/>
    <w:rsid w:val="00396DDF"/>
    <w:rsid w:val="00396E5C"/>
    <w:rsid w:val="0039716F"/>
    <w:rsid w:val="00397D4F"/>
    <w:rsid w:val="003A0567"/>
    <w:rsid w:val="003A0D2D"/>
    <w:rsid w:val="003A0F7E"/>
    <w:rsid w:val="003A1323"/>
    <w:rsid w:val="003A13A3"/>
    <w:rsid w:val="003A1405"/>
    <w:rsid w:val="003A1628"/>
    <w:rsid w:val="003A1766"/>
    <w:rsid w:val="003A18FE"/>
    <w:rsid w:val="003A23AD"/>
    <w:rsid w:val="003A2BA1"/>
    <w:rsid w:val="003A30D3"/>
    <w:rsid w:val="003A31DD"/>
    <w:rsid w:val="003A40EA"/>
    <w:rsid w:val="003A471C"/>
    <w:rsid w:val="003A4D55"/>
    <w:rsid w:val="003A50F1"/>
    <w:rsid w:val="003A5102"/>
    <w:rsid w:val="003A53E5"/>
    <w:rsid w:val="003A560E"/>
    <w:rsid w:val="003A574E"/>
    <w:rsid w:val="003A706B"/>
    <w:rsid w:val="003A73B1"/>
    <w:rsid w:val="003A78DA"/>
    <w:rsid w:val="003B00F6"/>
    <w:rsid w:val="003B04ED"/>
    <w:rsid w:val="003B12AE"/>
    <w:rsid w:val="003B1627"/>
    <w:rsid w:val="003B2560"/>
    <w:rsid w:val="003B3B8A"/>
    <w:rsid w:val="003B3EAD"/>
    <w:rsid w:val="003B41D7"/>
    <w:rsid w:val="003B4A02"/>
    <w:rsid w:val="003B4C1F"/>
    <w:rsid w:val="003B5404"/>
    <w:rsid w:val="003B57BB"/>
    <w:rsid w:val="003B5CF2"/>
    <w:rsid w:val="003B649A"/>
    <w:rsid w:val="003B6916"/>
    <w:rsid w:val="003B6B7E"/>
    <w:rsid w:val="003B7630"/>
    <w:rsid w:val="003B766A"/>
    <w:rsid w:val="003B7EC5"/>
    <w:rsid w:val="003C0209"/>
    <w:rsid w:val="003C0EAC"/>
    <w:rsid w:val="003C10A8"/>
    <w:rsid w:val="003C17EE"/>
    <w:rsid w:val="003C1BE5"/>
    <w:rsid w:val="003C1D7A"/>
    <w:rsid w:val="003C2649"/>
    <w:rsid w:val="003C2927"/>
    <w:rsid w:val="003C2F1D"/>
    <w:rsid w:val="003C2FEA"/>
    <w:rsid w:val="003C38C3"/>
    <w:rsid w:val="003C3A64"/>
    <w:rsid w:val="003C3ABF"/>
    <w:rsid w:val="003C3BCB"/>
    <w:rsid w:val="003C4141"/>
    <w:rsid w:val="003C5106"/>
    <w:rsid w:val="003C547D"/>
    <w:rsid w:val="003C5A05"/>
    <w:rsid w:val="003C6E97"/>
    <w:rsid w:val="003C7643"/>
    <w:rsid w:val="003C774F"/>
    <w:rsid w:val="003C7C28"/>
    <w:rsid w:val="003C7CE6"/>
    <w:rsid w:val="003C7D25"/>
    <w:rsid w:val="003D00E4"/>
    <w:rsid w:val="003D0180"/>
    <w:rsid w:val="003D0522"/>
    <w:rsid w:val="003D0C6C"/>
    <w:rsid w:val="003D0E63"/>
    <w:rsid w:val="003D108C"/>
    <w:rsid w:val="003D1849"/>
    <w:rsid w:val="003D1D0F"/>
    <w:rsid w:val="003D22BC"/>
    <w:rsid w:val="003D35FC"/>
    <w:rsid w:val="003D3649"/>
    <w:rsid w:val="003D39A3"/>
    <w:rsid w:val="003D40E4"/>
    <w:rsid w:val="003D4112"/>
    <w:rsid w:val="003D6294"/>
    <w:rsid w:val="003D66C5"/>
    <w:rsid w:val="003D6939"/>
    <w:rsid w:val="003D6DC8"/>
    <w:rsid w:val="003D6F80"/>
    <w:rsid w:val="003D7833"/>
    <w:rsid w:val="003D7BE0"/>
    <w:rsid w:val="003D7D85"/>
    <w:rsid w:val="003D7DB3"/>
    <w:rsid w:val="003D7E1D"/>
    <w:rsid w:val="003E010D"/>
    <w:rsid w:val="003E0333"/>
    <w:rsid w:val="003E17DC"/>
    <w:rsid w:val="003E268C"/>
    <w:rsid w:val="003E29E8"/>
    <w:rsid w:val="003E2A3B"/>
    <w:rsid w:val="003E2F22"/>
    <w:rsid w:val="003E3384"/>
    <w:rsid w:val="003E3DD4"/>
    <w:rsid w:val="003E4154"/>
    <w:rsid w:val="003E4219"/>
    <w:rsid w:val="003E452A"/>
    <w:rsid w:val="003E4533"/>
    <w:rsid w:val="003E4B99"/>
    <w:rsid w:val="003E4CA5"/>
    <w:rsid w:val="003E5353"/>
    <w:rsid w:val="003E5AB5"/>
    <w:rsid w:val="003E5E03"/>
    <w:rsid w:val="003E693D"/>
    <w:rsid w:val="003E7700"/>
    <w:rsid w:val="003E7966"/>
    <w:rsid w:val="003F0EAD"/>
    <w:rsid w:val="003F0F05"/>
    <w:rsid w:val="003F2216"/>
    <w:rsid w:val="003F2FF4"/>
    <w:rsid w:val="003F36C0"/>
    <w:rsid w:val="003F3C0F"/>
    <w:rsid w:val="003F3CA8"/>
    <w:rsid w:val="003F3F92"/>
    <w:rsid w:val="003F43DC"/>
    <w:rsid w:val="003F5593"/>
    <w:rsid w:val="003F59D9"/>
    <w:rsid w:val="003F5A8E"/>
    <w:rsid w:val="003F5A97"/>
    <w:rsid w:val="003F629F"/>
    <w:rsid w:val="003F638D"/>
    <w:rsid w:val="003F703D"/>
    <w:rsid w:val="003F721D"/>
    <w:rsid w:val="003F7EBC"/>
    <w:rsid w:val="0040047B"/>
    <w:rsid w:val="004004D8"/>
    <w:rsid w:val="00400C94"/>
    <w:rsid w:val="0040113A"/>
    <w:rsid w:val="004026CC"/>
    <w:rsid w:val="00403520"/>
    <w:rsid w:val="00403E86"/>
    <w:rsid w:val="00404D90"/>
    <w:rsid w:val="00405D7D"/>
    <w:rsid w:val="004063A7"/>
    <w:rsid w:val="004065AA"/>
    <w:rsid w:val="0040673D"/>
    <w:rsid w:val="00406E73"/>
    <w:rsid w:val="004071DB"/>
    <w:rsid w:val="004071E1"/>
    <w:rsid w:val="004077FB"/>
    <w:rsid w:val="00407DB3"/>
    <w:rsid w:val="004107FB"/>
    <w:rsid w:val="0041088B"/>
    <w:rsid w:val="00410C3B"/>
    <w:rsid w:val="00411CE6"/>
    <w:rsid w:val="004129AD"/>
    <w:rsid w:val="00412A8E"/>
    <w:rsid w:val="00412AE3"/>
    <w:rsid w:val="004133A4"/>
    <w:rsid w:val="00413488"/>
    <w:rsid w:val="00413AC8"/>
    <w:rsid w:val="004145B4"/>
    <w:rsid w:val="004145E1"/>
    <w:rsid w:val="00414C1F"/>
    <w:rsid w:val="00415236"/>
    <w:rsid w:val="0041542C"/>
    <w:rsid w:val="00415658"/>
    <w:rsid w:val="004158F1"/>
    <w:rsid w:val="00415D3F"/>
    <w:rsid w:val="004161B4"/>
    <w:rsid w:val="004174B4"/>
    <w:rsid w:val="00417502"/>
    <w:rsid w:val="004201E6"/>
    <w:rsid w:val="00420A58"/>
    <w:rsid w:val="00420B3C"/>
    <w:rsid w:val="004217D9"/>
    <w:rsid w:val="00421859"/>
    <w:rsid w:val="00421DE9"/>
    <w:rsid w:val="00421E72"/>
    <w:rsid w:val="0042227D"/>
    <w:rsid w:val="00422282"/>
    <w:rsid w:val="004234B8"/>
    <w:rsid w:val="00423564"/>
    <w:rsid w:val="00423A28"/>
    <w:rsid w:val="00423D2C"/>
    <w:rsid w:val="00424B5B"/>
    <w:rsid w:val="00424BDE"/>
    <w:rsid w:val="0042516C"/>
    <w:rsid w:val="00425E87"/>
    <w:rsid w:val="00426316"/>
    <w:rsid w:val="00426539"/>
    <w:rsid w:val="00427E9C"/>
    <w:rsid w:val="00427F5E"/>
    <w:rsid w:val="00431528"/>
    <w:rsid w:val="004319B0"/>
    <w:rsid w:val="00432A09"/>
    <w:rsid w:val="00432ADA"/>
    <w:rsid w:val="0043345A"/>
    <w:rsid w:val="00434BD1"/>
    <w:rsid w:val="0043528F"/>
    <w:rsid w:val="004352F4"/>
    <w:rsid w:val="004359F6"/>
    <w:rsid w:val="00435A0D"/>
    <w:rsid w:val="00435B78"/>
    <w:rsid w:val="00437088"/>
    <w:rsid w:val="00437FCD"/>
    <w:rsid w:val="004407F1"/>
    <w:rsid w:val="00440DED"/>
    <w:rsid w:val="00441248"/>
    <w:rsid w:val="004427F9"/>
    <w:rsid w:val="00442DF5"/>
    <w:rsid w:val="0044334F"/>
    <w:rsid w:val="004435A7"/>
    <w:rsid w:val="004443F8"/>
    <w:rsid w:val="004449B7"/>
    <w:rsid w:val="004449E7"/>
    <w:rsid w:val="00444C96"/>
    <w:rsid w:val="00444F11"/>
    <w:rsid w:val="00445791"/>
    <w:rsid w:val="00445D37"/>
    <w:rsid w:val="00445EE1"/>
    <w:rsid w:val="00447EC2"/>
    <w:rsid w:val="004504C4"/>
    <w:rsid w:val="00450AAC"/>
    <w:rsid w:val="00450E59"/>
    <w:rsid w:val="00451DEC"/>
    <w:rsid w:val="00452741"/>
    <w:rsid w:val="00452D31"/>
    <w:rsid w:val="00452D6F"/>
    <w:rsid w:val="00453202"/>
    <w:rsid w:val="004533A5"/>
    <w:rsid w:val="004542D2"/>
    <w:rsid w:val="004550B4"/>
    <w:rsid w:val="004554A3"/>
    <w:rsid w:val="0045606E"/>
    <w:rsid w:val="00456769"/>
    <w:rsid w:val="00456F0D"/>
    <w:rsid w:val="004571A5"/>
    <w:rsid w:val="00457623"/>
    <w:rsid w:val="00457CE3"/>
    <w:rsid w:val="00457EF3"/>
    <w:rsid w:val="00461072"/>
    <w:rsid w:val="00461428"/>
    <w:rsid w:val="00461D35"/>
    <w:rsid w:val="00461DB0"/>
    <w:rsid w:val="004620E4"/>
    <w:rsid w:val="004625A4"/>
    <w:rsid w:val="00462883"/>
    <w:rsid w:val="00462D27"/>
    <w:rsid w:val="0046305A"/>
    <w:rsid w:val="00463583"/>
    <w:rsid w:val="0046388A"/>
    <w:rsid w:val="00463AB3"/>
    <w:rsid w:val="00464341"/>
    <w:rsid w:val="00464411"/>
    <w:rsid w:val="004645D5"/>
    <w:rsid w:val="004645E8"/>
    <w:rsid w:val="004649E6"/>
    <w:rsid w:val="00464D6B"/>
    <w:rsid w:val="00464F0A"/>
    <w:rsid w:val="0046599B"/>
    <w:rsid w:val="00465BC9"/>
    <w:rsid w:val="00465DB9"/>
    <w:rsid w:val="0046633A"/>
    <w:rsid w:val="00466588"/>
    <w:rsid w:val="00466931"/>
    <w:rsid w:val="00466A0E"/>
    <w:rsid w:val="00466C49"/>
    <w:rsid w:val="004676E1"/>
    <w:rsid w:val="00467AA2"/>
    <w:rsid w:val="00467F28"/>
    <w:rsid w:val="00470721"/>
    <w:rsid w:val="0047099A"/>
    <w:rsid w:val="00470D84"/>
    <w:rsid w:val="00471E5E"/>
    <w:rsid w:val="00473410"/>
    <w:rsid w:val="00473BC3"/>
    <w:rsid w:val="00473D1D"/>
    <w:rsid w:val="00473D81"/>
    <w:rsid w:val="00475343"/>
    <w:rsid w:val="00475707"/>
    <w:rsid w:val="00475768"/>
    <w:rsid w:val="00475B7B"/>
    <w:rsid w:val="00475F83"/>
    <w:rsid w:val="004760A4"/>
    <w:rsid w:val="00476DD9"/>
    <w:rsid w:val="00477BFF"/>
    <w:rsid w:val="00477C06"/>
    <w:rsid w:val="004803E7"/>
    <w:rsid w:val="00480895"/>
    <w:rsid w:val="00480D28"/>
    <w:rsid w:val="00481529"/>
    <w:rsid w:val="004816EA"/>
    <w:rsid w:val="00481E75"/>
    <w:rsid w:val="00483A79"/>
    <w:rsid w:val="00483F03"/>
    <w:rsid w:val="004842D5"/>
    <w:rsid w:val="004857F0"/>
    <w:rsid w:val="00485A33"/>
    <w:rsid w:val="00485E62"/>
    <w:rsid w:val="00485F9E"/>
    <w:rsid w:val="0048777D"/>
    <w:rsid w:val="00487CA5"/>
    <w:rsid w:val="004903CC"/>
    <w:rsid w:val="004904FA"/>
    <w:rsid w:val="00490A08"/>
    <w:rsid w:val="00490E9C"/>
    <w:rsid w:val="0049102A"/>
    <w:rsid w:val="00491265"/>
    <w:rsid w:val="00491A49"/>
    <w:rsid w:val="00491E78"/>
    <w:rsid w:val="004927E4"/>
    <w:rsid w:val="0049331B"/>
    <w:rsid w:val="00493429"/>
    <w:rsid w:val="00493AE8"/>
    <w:rsid w:val="00493BF1"/>
    <w:rsid w:val="00494649"/>
    <w:rsid w:val="00494966"/>
    <w:rsid w:val="00495583"/>
    <w:rsid w:val="00496A2F"/>
    <w:rsid w:val="004A0D9B"/>
    <w:rsid w:val="004A0FAA"/>
    <w:rsid w:val="004A15AD"/>
    <w:rsid w:val="004A1B2A"/>
    <w:rsid w:val="004A1C57"/>
    <w:rsid w:val="004A1F81"/>
    <w:rsid w:val="004A29C3"/>
    <w:rsid w:val="004A2CC5"/>
    <w:rsid w:val="004A2D8F"/>
    <w:rsid w:val="004A2F5A"/>
    <w:rsid w:val="004A3D33"/>
    <w:rsid w:val="004A3D8D"/>
    <w:rsid w:val="004A6662"/>
    <w:rsid w:val="004A67BC"/>
    <w:rsid w:val="004A6B1A"/>
    <w:rsid w:val="004A6C58"/>
    <w:rsid w:val="004A6E2E"/>
    <w:rsid w:val="004B011F"/>
    <w:rsid w:val="004B034C"/>
    <w:rsid w:val="004B0640"/>
    <w:rsid w:val="004B09BF"/>
    <w:rsid w:val="004B1079"/>
    <w:rsid w:val="004B139E"/>
    <w:rsid w:val="004B1AFD"/>
    <w:rsid w:val="004B2B1D"/>
    <w:rsid w:val="004B381D"/>
    <w:rsid w:val="004B3AEA"/>
    <w:rsid w:val="004B4153"/>
    <w:rsid w:val="004B557A"/>
    <w:rsid w:val="004B57B5"/>
    <w:rsid w:val="004B5C30"/>
    <w:rsid w:val="004B7241"/>
    <w:rsid w:val="004B7269"/>
    <w:rsid w:val="004C0150"/>
    <w:rsid w:val="004C0680"/>
    <w:rsid w:val="004C0822"/>
    <w:rsid w:val="004C0949"/>
    <w:rsid w:val="004C0E2B"/>
    <w:rsid w:val="004C1070"/>
    <w:rsid w:val="004C1987"/>
    <w:rsid w:val="004C1EC0"/>
    <w:rsid w:val="004C204F"/>
    <w:rsid w:val="004C2089"/>
    <w:rsid w:val="004C28BD"/>
    <w:rsid w:val="004C2F74"/>
    <w:rsid w:val="004C34C6"/>
    <w:rsid w:val="004C34CA"/>
    <w:rsid w:val="004C38AB"/>
    <w:rsid w:val="004C38C0"/>
    <w:rsid w:val="004C3951"/>
    <w:rsid w:val="004C39B2"/>
    <w:rsid w:val="004C3AFE"/>
    <w:rsid w:val="004C3F3A"/>
    <w:rsid w:val="004C4506"/>
    <w:rsid w:val="004C4AFB"/>
    <w:rsid w:val="004C5723"/>
    <w:rsid w:val="004C5AA5"/>
    <w:rsid w:val="004C5EDF"/>
    <w:rsid w:val="004C644A"/>
    <w:rsid w:val="004C64A7"/>
    <w:rsid w:val="004C6A3C"/>
    <w:rsid w:val="004C6E04"/>
    <w:rsid w:val="004C76B5"/>
    <w:rsid w:val="004C792C"/>
    <w:rsid w:val="004D07CA"/>
    <w:rsid w:val="004D0D82"/>
    <w:rsid w:val="004D0F4F"/>
    <w:rsid w:val="004D194D"/>
    <w:rsid w:val="004D24C6"/>
    <w:rsid w:val="004D30BE"/>
    <w:rsid w:val="004D3354"/>
    <w:rsid w:val="004D3487"/>
    <w:rsid w:val="004D363B"/>
    <w:rsid w:val="004D3BA7"/>
    <w:rsid w:val="004D43DF"/>
    <w:rsid w:val="004D45F6"/>
    <w:rsid w:val="004D529F"/>
    <w:rsid w:val="004D52EA"/>
    <w:rsid w:val="004D5B0A"/>
    <w:rsid w:val="004D61C3"/>
    <w:rsid w:val="004D6515"/>
    <w:rsid w:val="004D6B4B"/>
    <w:rsid w:val="004D6C65"/>
    <w:rsid w:val="004D6FAA"/>
    <w:rsid w:val="004D6FB9"/>
    <w:rsid w:val="004D7B5F"/>
    <w:rsid w:val="004E02DD"/>
    <w:rsid w:val="004E0856"/>
    <w:rsid w:val="004E0FA2"/>
    <w:rsid w:val="004E134A"/>
    <w:rsid w:val="004E137E"/>
    <w:rsid w:val="004E14C7"/>
    <w:rsid w:val="004E1C74"/>
    <w:rsid w:val="004E21F9"/>
    <w:rsid w:val="004E27AB"/>
    <w:rsid w:val="004E2A2E"/>
    <w:rsid w:val="004E310E"/>
    <w:rsid w:val="004E3548"/>
    <w:rsid w:val="004E3718"/>
    <w:rsid w:val="004E3EAB"/>
    <w:rsid w:val="004E402F"/>
    <w:rsid w:val="004E449E"/>
    <w:rsid w:val="004E44B8"/>
    <w:rsid w:val="004E4733"/>
    <w:rsid w:val="004E4D6C"/>
    <w:rsid w:val="004E548D"/>
    <w:rsid w:val="004E5667"/>
    <w:rsid w:val="004E5733"/>
    <w:rsid w:val="004E5C4C"/>
    <w:rsid w:val="004E5D44"/>
    <w:rsid w:val="004E62B1"/>
    <w:rsid w:val="004E652C"/>
    <w:rsid w:val="004E6770"/>
    <w:rsid w:val="004E682D"/>
    <w:rsid w:val="004E69BF"/>
    <w:rsid w:val="004E7069"/>
    <w:rsid w:val="004E774C"/>
    <w:rsid w:val="004E7E26"/>
    <w:rsid w:val="004F01E4"/>
    <w:rsid w:val="004F0E0F"/>
    <w:rsid w:val="004F22B3"/>
    <w:rsid w:val="004F37DC"/>
    <w:rsid w:val="004F3ACA"/>
    <w:rsid w:val="004F455B"/>
    <w:rsid w:val="004F4BE3"/>
    <w:rsid w:val="004F5AFD"/>
    <w:rsid w:val="004F5DF6"/>
    <w:rsid w:val="004F6061"/>
    <w:rsid w:val="004F627D"/>
    <w:rsid w:val="004F64BE"/>
    <w:rsid w:val="004F7916"/>
    <w:rsid w:val="0050015B"/>
    <w:rsid w:val="00500395"/>
    <w:rsid w:val="005006D0"/>
    <w:rsid w:val="005007D5"/>
    <w:rsid w:val="00500E56"/>
    <w:rsid w:val="005018BB"/>
    <w:rsid w:val="00501B65"/>
    <w:rsid w:val="00502184"/>
    <w:rsid w:val="0050395B"/>
    <w:rsid w:val="00503EE6"/>
    <w:rsid w:val="00504165"/>
    <w:rsid w:val="00504352"/>
    <w:rsid w:val="005047EC"/>
    <w:rsid w:val="00505134"/>
    <w:rsid w:val="005061C3"/>
    <w:rsid w:val="005069AF"/>
    <w:rsid w:val="0050721E"/>
    <w:rsid w:val="00507B61"/>
    <w:rsid w:val="00510922"/>
    <w:rsid w:val="00510F34"/>
    <w:rsid w:val="00511581"/>
    <w:rsid w:val="005117F9"/>
    <w:rsid w:val="00511CCB"/>
    <w:rsid w:val="00511F3B"/>
    <w:rsid w:val="005120AF"/>
    <w:rsid w:val="00512CC0"/>
    <w:rsid w:val="005131D1"/>
    <w:rsid w:val="00514308"/>
    <w:rsid w:val="00514938"/>
    <w:rsid w:val="00515114"/>
    <w:rsid w:val="0051514F"/>
    <w:rsid w:val="00515722"/>
    <w:rsid w:val="00516093"/>
    <w:rsid w:val="00516791"/>
    <w:rsid w:val="00516CF2"/>
    <w:rsid w:val="005172FA"/>
    <w:rsid w:val="005173B2"/>
    <w:rsid w:val="005200DC"/>
    <w:rsid w:val="00520607"/>
    <w:rsid w:val="005217F0"/>
    <w:rsid w:val="00521A75"/>
    <w:rsid w:val="00521BA9"/>
    <w:rsid w:val="00521D94"/>
    <w:rsid w:val="00523014"/>
    <w:rsid w:val="00523423"/>
    <w:rsid w:val="00523DD0"/>
    <w:rsid w:val="00524275"/>
    <w:rsid w:val="0052462B"/>
    <w:rsid w:val="00524E07"/>
    <w:rsid w:val="005253AF"/>
    <w:rsid w:val="00525924"/>
    <w:rsid w:val="00526CE3"/>
    <w:rsid w:val="0052734A"/>
    <w:rsid w:val="00527E07"/>
    <w:rsid w:val="00527E96"/>
    <w:rsid w:val="00527EF4"/>
    <w:rsid w:val="00530A67"/>
    <w:rsid w:val="00530A82"/>
    <w:rsid w:val="00530AC8"/>
    <w:rsid w:val="00530AD4"/>
    <w:rsid w:val="0053111D"/>
    <w:rsid w:val="0053135A"/>
    <w:rsid w:val="00531796"/>
    <w:rsid w:val="005317A2"/>
    <w:rsid w:val="005325CF"/>
    <w:rsid w:val="005326FB"/>
    <w:rsid w:val="00532AB0"/>
    <w:rsid w:val="005333F0"/>
    <w:rsid w:val="00533745"/>
    <w:rsid w:val="00533A02"/>
    <w:rsid w:val="00533EF2"/>
    <w:rsid w:val="0053437E"/>
    <w:rsid w:val="00534973"/>
    <w:rsid w:val="005356AC"/>
    <w:rsid w:val="0053582F"/>
    <w:rsid w:val="00536094"/>
    <w:rsid w:val="00537139"/>
    <w:rsid w:val="00537821"/>
    <w:rsid w:val="00537ADB"/>
    <w:rsid w:val="00537CA7"/>
    <w:rsid w:val="00537D7D"/>
    <w:rsid w:val="0054004C"/>
    <w:rsid w:val="00540F27"/>
    <w:rsid w:val="0054100E"/>
    <w:rsid w:val="00541D07"/>
    <w:rsid w:val="005424E5"/>
    <w:rsid w:val="005429E1"/>
    <w:rsid w:val="00542C62"/>
    <w:rsid w:val="00542F58"/>
    <w:rsid w:val="0054307D"/>
    <w:rsid w:val="00543103"/>
    <w:rsid w:val="00543316"/>
    <w:rsid w:val="005433CD"/>
    <w:rsid w:val="0054343C"/>
    <w:rsid w:val="00544144"/>
    <w:rsid w:val="005445F0"/>
    <w:rsid w:val="005446CF"/>
    <w:rsid w:val="005446E1"/>
    <w:rsid w:val="00544912"/>
    <w:rsid w:val="005454A9"/>
    <w:rsid w:val="00545BAA"/>
    <w:rsid w:val="00546484"/>
    <w:rsid w:val="00547204"/>
    <w:rsid w:val="00547494"/>
    <w:rsid w:val="005478E2"/>
    <w:rsid w:val="00550190"/>
    <w:rsid w:val="00550683"/>
    <w:rsid w:val="00550C30"/>
    <w:rsid w:val="00550EE1"/>
    <w:rsid w:val="00550FCE"/>
    <w:rsid w:val="005515D0"/>
    <w:rsid w:val="0055179A"/>
    <w:rsid w:val="00551EA1"/>
    <w:rsid w:val="00551FDF"/>
    <w:rsid w:val="00553499"/>
    <w:rsid w:val="00553504"/>
    <w:rsid w:val="0055391F"/>
    <w:rsid w:val="00553ADA"/>
    <w:rsid w:val="00553F86"/>
    <w:rsid w:val="005552D7"/>
    <w:rsid w:val="005554B5"/>
    <w:rsid w:val="00555525"/>
    <w:rsid w:val="0055564A"/>
    <w:rsid w:val="005558EC"/>
    <w:rsid w:val="00555A1D"/>
    <w:rsid w:val="005566B0"/>
    <w:rsid w:val="00556AAB"/>
    <w:rsid w:val="005575D0"/>
    <w:rsid w:val="00557D64"/>
    <w:rsid w:val="00557EA5"/>
    <w:rsid w:val="0056039B"/>
    <w:rsid w:val="00560428"/>
    <w:rsid w:val="005609AD"/>
    <w:rsid w:val="00561FE3"/>
    <w:rsid w:val="00562B6E"/>
    <w:rsid w:val="0056354F"/>
    <w:rsid w:val="00563B36"/>
    <w:rsid w:val="00563C4F"/>
    <w:rsid w:val="0056442F"/>
    <w:rsid w:val="005644E0"/>
    <w:rsid w:val="005649F8"/>
    <w:rsid w:val="00564B3E"/>
    <w:rsid w:val="00564FEE"/>
    <w:rsid w:val="005653C8"/>
    <w:rsid w:val="005655F7"/>
    <w:rsid w:val="00565737"/>
    <w:rsid w:val="00565A77"/>
    <w:rsid w:val="00565EBC"/>
    <w:rsid w:val="005664B2"/>
    <w:rsid w:val="0056697D"/>
    <w:rsid w:val="005671CE"/>
    <w:rsid w:val="005672CB"/>
    <w:rsid w:val="005672EF"/>
    <w:rsid w:val="00570030"/>
    <w:rsid w:val="0057027E"/>
    <w:rsid w:val="005704DC"/>
    <w:rsid w:val="005705BA"/>
    <w:rsid w:val="005707C8"/>
    <w:rsid w:val="00570A2F"/>
    <w:rsid w:val="005711CB"/>
    <w:rsid w:val="00571254"/>
    <w:rsid w:val="00571842"/>
    <w:rsid w:val="0057184D"/>
    <w:rsid w:val="00573A79"/>
    <w:rsid w:val="005744BE"/>
    <w:rsid w:val="00575828"/>
    <w:rsid w:val="005759B8"/>
    <w:rsid w:val="00576265"/>
    <w:rsid w:val="00576BA1"/>
    <w:rsid w:val="00577BD5"/>
    <w:rsid w:val="00580000"/>
    <w:rsid w:val="005802CD"/>
    <w:rsid w:val="005803C9"/>
    <w:rsid w:val="00580763"/>
    <w:rsid w:val="005807F1"/>
    <w:rsid w:val="00581097"/>
    <w:rsid w:val="0058123A"/>
    <w:rsid w:val="00581C46"/>
    <w:rsid w:val="00582E51"/>
    <w:rsid w:val="00582F69"/>
    <w:rsid w:val="00583127"/>
    <w:rsid w:val="005834C1"/>
    <w:rsid w:val="0058370E"/>
    <w:rsid w:val="0058407A"/>
    <w:rsid w:val="005842F4"/>
    <w:rsid w:val="00585CAD"/>
    <w:rsid w:val="00585E8F"/>
    <w:rsid w:val="005863C0"/>
    <w:rsid w:val="00586FBB"/>
    <w:rsid w:val="005870F8"/>
    <w:rsid w:val="005872D6"/>
    <w:rsid w:val="0058773D"/>
    <w:rsid w:val="005900FE"/>
    <w:rsid w:val="005902CE"/>
    <w:rsid w:val="005905C0"/>
    <w:rsid w:val="005909C7"/>
    <w:rsid w:val="005909EE"/>
    <w:rsid w:val="00591096"/>
    <w:rsid w:val="0059114C"/>
    <w:rsid w:val="005919FE"/>
    <w:rsid w:val="00591A24"/>
    <w:rsid w:val="00591DB4"/>
    <w:rsid w:val="00591E73"/>
    <w:rsid w:val="00592C1B"/>
    <w:rsid w:val="00593F40"/>
    <w:rsid w:val="005948AC"/>
    <w:rsid w:val="00594E2A"/>
    <w:rsid w:val="005952AA"/>
    <w:rsid w:val="005953C5"/>
    <w:rsid w:val="0059596A"/>
    <w:rsid w:val="00596454"/>
    <w:rsid w:val="00596624"/>
    <w:rsid w:val="005971BF"/>
    <w:rsid w:val="00597D9A"/>
    <w:rsid w:val="005A1270"/>
    <w:rsid w:val="005A1D05"/>
    <w:rsid w:val="005A2A97"/>
    <w:rsid w:val="005A3120"/>
    <w:rsid w:val="005A42F9"/>
    <w:rsid w:val="005A4486"/>
    <w:rsid w:val="005A5192"/>
    <w:rsid w:val="005A5776"/>
    <w:rsid w:val="005A6979"/>
    <w:rsid w:val="005A794E"/>
    <w:rsid w:val="005B017F"/>
    <w:rsid w:val="005B048F"/>
    <w:rsid w:val="005B0748"/>
    <w:rsid w:val="005B1858"/>
    <w:rsid w:val="005B1D56"/>
    <w:rsid w:val="005B2BDF"/>
    <w:rsid w:val="005B2C56"/>
    <w:rsid w:val="005B35F0"/>
    <w:rsid w:val="005B3D9D"/>
    <w:rsid w:val="005B40BC"/>
    <w:rsid w:val="005B5582"/>
    <w:rsid w:val="005B5EEA"/>
    <w:rsid w:val="005B5F23"/>
    <w:rsid w:val="005B61B5"/>
    <w:rsid w:val="005B69BD"/>
    <w:rsid w:val="005B6D56"/>
    <w:rsid w:val="005B6EC3"/>
    <w:rsid w:val="005B72E9"/>
    <w:rsid w:val="005C0853"/>
    <w:rsid w:val="005C0A96"/>
    <w:rsid w:val="005C1345"/>
    <w:rsid w:val="005C1616"/>
    <w:rsid w:val="005C166D"/>
    <w:rsid w:val="005C19A0"/>
    <w:rsid w:val="005C273E"/>
    <w:rsid w:val="005C2F23"/>
    <w:rsid w:val="005C2F5C"/>
    <w:rsid w:val="005C32D7"/>
    <w:rsid w:val="005C33E5"/>
    <w:rsid w:val="005C359A"/>
    <w:rsid w:val="005C37E9"/>
    <w:rsid w:val="005C3CAD"/>
    <w:rsid w:val="005C3F21"/>
    <w:rsid w:val="005C3F32"/>
    <w:rsid w:val="005C4054"/>
    <w:rsid w:val="005C426B"/>
    <w:rsid w:val="005C4811"/>
    <w:rsid w:val="005C4ABD"/>
    <w:rsid w:val="005C5329"/>
    <w:rsid w:val="005C579C"/>
    <w:rsid w:val="005C5B89"/>
    <w:rsid w:val="005C6426"/>
    <w:rsid w:val="005C69F3"/>
    <w:rsid w:val="005C6D2B"/>
    <w:rsid w:val="005C6E2A"/>
    <w:rsid w:val="005C6F0D"/>
    <w:rsid w:val="005C6F23"/>
    <w:rsid w:val="005C73DB"/>
    <w:rsid w:val="005D03A8"/>
    <w:rsid w:val="005D0F46"/>
    <w:rsid w:val="005D0FD7"/>
    <w:rsid w:val="005D11F6"/>
    <w:rsid w:val="005D171F"/>
    <w:rsid w:val="005D19B8"/>
    <w:rsid w:val="005D1FCE"/>
    <w:rsid w:val="005D20BD"/>
    <w:rsid w:val="005D2458"/>
    <w:rsid w:val="005D2468"/>
    <w:rsid w:val="005D2B34"/>
    <w:rsid w:val="005D2C5A"/>
    <w:rsid w:val="005D2E6E"/>
    <w:rsid w:val="005D32CD"/>
    <w:rsid w:val="005D34F4"/>
    <w:rsid w:val="005D3C0B"/>
    <w:rsid w:val="005D492C"/>
    <w:rsid w:val="005D51A8"/>
    <w:rsid w:val="005D53A4"/>
    <w:rsid w:val="005D60C2"/>
    <w:rsid w:val="005D65FB"/>
    <w:rsid w:val="005D681E"/>
    <w:rsid w:val="005D6A1C"/>
    <w:rsid w:val="005D6A27"/>
    <w:rsid w:val="005D7B83"/>
    <w:rsid w:val="005D7D34"/>
    <w:rsid w:val="005D7D83"/>
    <w:rsid w:val="005E0057"/>
    <w:rsid w:val="005E0F43"/>
    <w:rsid w:val="005E10D6"/>
    <w:rsid w:val="005E11C3"/>
    <w:rsid w:val="005E14F1"/>
    <w:rsid w:val="005E17AD"/>
    <w:rsid w:val="005E1C5E"/>
    <w:rsid w:val="005E1F45"/>
    <w:rsid w:val="005E29DD"/>
    <w:rsid w:val="005E354D"/>
    <w:rsid w:val="005E381B"/>
    <w:rsid w:val="005E395F"/>
    <w:rsid w:val="005E3985"/>
    <w:rsid w:val="005E39F4"/>
    <w:rsid w:val="005E4082"/>
    <w:rsid w:val="005E4911"/>
    <w:rsid w:val="005E4F12"/>
    <w:rsid w:val="005E517E"/>
    <w:rsid w:val="005E519F"/>
    <w:rsid w:val="005E52F3"/>
    <w:rsid w:val="005E681A"/>
    <w:rsid w:val="005E6F10"/>
    <w:rsid w:val="005E7870"/>
    <w:rsid w:val="005E7BEA"/>
    <w:rsid w:val="005E7C18"/>
    <w:rsid w:val="005F0A58"/>
    <w:rsid w:val="005F0FE7"/>
    <w:rsid w:val="005F124F"/>
    <w:rsid w:val="005F1453"/>
    <w:rsid w:val="005F15A6"/>
    <w:rsid w:val="005F19F6"/>
    <w:rsid w:val="005F1B10"/>
    <w:rsid w:val="005F2571"/>
    <w:rsid w:val="005F2882"/>
    <w:rsid w:val="005F2DE4"/>
    <w:rsid w:val="005F31BC"/>
    <w:rsid w:val="005F32AE"/>
    <w:rsid w:val="005F32C3"/>
    <w:rsid w:val="005F3A6D"/>
    <w:rsid w:val="005F3D86"/>
    <w:rsid w:val="005F40F6"/>
    <w:rsid w:val="005F4308"/>
    <w:rsid w:val="005F458A"/>
    <w:rsid w:val="005F49BE"/>
    <w:rsid w:val="005F5007"/>
    <w:rsid w:val="005F54C1"/>
    <w:rsid w:val="005F6C2E"/>
    <w:rsid w:val="005F7245"/>
    <w:rsid w:val="005F7538"/>
    <w:rsid w:val="005F7F1B"/>
    <w:rsid w:val="0060012E"/>
    <w:rsid w:val="006006F9"/>
    <w:rsid w:val="006007A3"/>
    <w:rsid w:val="00601469"/>
    <w:rsid w:val="00601EDC"/>
    <w:rsid w:val="00602061"/>
    <w:rsid w:val="00602682"/>
    <w:rsid w:val="0060382C"/>
    <w:rsid w:val="00603CAC"/>
    <w:rsid w:val="0060409D"/>
    <w:rsid w:val="0060496C"/>
    <w:rsid w:val="00606118"/>
    <w:rsid w:val="006062A9"/>
    <w:rsid w:val="0060670A"/>
    <w:rsid w:val="00607130"/>
    <w:rsid w:val="006072D1"/>
    <w:rsid w:val="00607324"/>
    <w:rsid w:val="006076E4"/>
    <w:rsid w:val="0060784A"/>
    <w:rsid w:val="00607A85"/>
    <w:rsid w:val="00607BA5"/>
    <w:rsid w:val="00607DC9"/>
    <w:rsid w:val="006100BB"/>
    <w:rsid w:val="00610659"/>
    <w:rsid w:val="00610751"/>
    <w:rsid w:val="0061089D"/>
    <w:rsid w:val="00611264"/>
    <w:rsid w:val="00611C96"/>
    <w:rsid w:val="00611CCC"/>
    <w:rsid w:val="00611D6C"/>
    <w:rsid w:val="00612485"/>
    <w:rsid w:val="006125AF"/>
    <w:rsid w:val="00612A15"/>
    <w:rsid w:val="00612C42"/>
    <w:rsid w:val="00612D84"/>
    <w:rsid w:val="006137CE"/>
    <w:rsid w:val="006148C4"/>
    <w:rsid w:val="00615B00"/>
    <w:rsid w:val="00615B30"/>
    <w:rsid w:val="00616D7D"/>
    <w:rsid w:val="00617717"/>
    <w:rsid w:val="00617905"/>
    <w:rsid w:val="006203F1"/>
    <w:rsid w:val="00621B7A"/>
    <w:rsid w:val="00622218"/>
    <w:rsid w:val="0062283C"/>
    <w:rsid w:val="0062391A"/>
    <w:rsid w:val="00623946"/>
    <w:rsid w:val="00623E78"/>
    <w:rsid w:val="006249D3"/>
    <w:rsid w:val="006252C1"/>
    <w:rsid w:val="00626E56"/>
    <w:rsid w:val="00626E5E"/>
    <w:rsid w:val="00627747"/>
    <w:rsid w:val="00630086"/>
    <w:rsid w:val="006302D6"/>
    <w:rsid w:val="00631115"/>
    <w:rsid w:val="006318E6"/>
    <w:rsid w:val="00631C56"/>
    <w:rsid w:val="00631D45"/>
    <w:rsid w:val="00632117"/>
    <w:rsid w:val="00632870"/>
    <w:rsid w:val="00632E33"/>
    <w:rsid w:val="0063346B"/>
    <w:rsid w:val="0063349E"/>
    <w:rsid w:val="006344FE"/>
    <w:rsid w:val="006349F0"/>
    <w:rsid w:val="0063511B"/>
    <w:rsid w:val="006353F8"/>
    <w:rsid w:val="0063559E"/>
    <w:rsid w:val="006356FB"/>
    <w:rsid w:val="00635AB4"/>
    <w:rsid w:val="00635E1C"/>
    <w:rsid w:val="006368FC"/>
    <w:rsid w:val="006371F2"/>
    <w:rsid w:val="0063726B"/>
    <w:rsid w:val="00637ED7"/>
    <w:rsid w:val="0064031A"/>
    <w:rsid w:val="0064057E"/>
    <w:rsid w:val="00640AEF"/>
    <w:rsid w:val="006411CD"/>
    <w:rsid w:val="00641504"/>
    <w:rsid w:val="00641815"/>
    <w:rsid w:val="00641853"/>
    <w:rsid w:val="00641B6D"/>
    <w:rsid w:val="00642183"/>
    <w:rsid w:val="0064278A"/>
    <w:rsid w:val="0064332A"/>
    <w:rsid w:val="0064340B"/>
    <w:rsid w:val="00643500"/>
    <w:rsid w:val="0064487E"/>
    <w:rsid w:val="00645DB6"/>
    <w:rsid w:val="00646442"/>
    <w:rsid w:val="006469DF"/>
    <w:rsid w:val="006477FA"/>
    <w:rsid w:val="00647D8B"/>
    <w:rsid w:val="006503B0"/>
    <w:rsid w:val="006503FC"/>
    <w:rsid w:val="00650E6D"/>
    <w:rsid w:val="00650EA9"/>
    <w:rsid w:val="00650F9F"/>
    <w:rsid w:val="0065103D"/>
    <w:rsid w:val="00651B81"/>
    <w:rsid w:val="00651D73"/>
    <w:rsid w:val="006526EE"/>
    <w:rsid w:val="0065320D"/>
    <w:rsid w:val="006538A1"/>
    <w:rsid w:val="00653D18"/>
    <w:rsid w:val="00653F22"/>
    <w:rsid w:val="0065413B"/>
    <w:rsid w:val="0065492D"/>
    <w:rsid w:val="00654B3D"/>
    <w:rsid w:val="006557F5"/>
    <w:rsid w:val="0065587D"/>
    <w:rsid w:val="00655BC7"/>
    <w:rsid w:val="0065614D"/>
    <w:rsid w:val="006564DB"/>
    <w:rsid w:val="00656533"/>
    <w:rsid w:val="00656753"/>
    <w:rsid w:val="00656A0E"/>
    <w:rsid w:val="0065712B"/>
    <w:rsid w:val="00657E16"/>
    <w:rsid w:val="00657E33"/>
    <w:rsid w:val="00661C49"/>
    <w:rsid w:val="00663625"/>
    <w:rsid w:val="006641C5"/>
    <w:rsid w:val="00665397"/>
    <w:rsid w:val="00665748"/>
    <w:rsid w:val="00665A0B"/>
    <w:rsid w:val="00665CB7"/>
    <w:rsid w:val="0066700E"/>
    <w:rsid w:val="006673D9"/>
    <w:rsid w:val="0066794C"/>
    <w:rsid w:val="00667AE0"/>
    <w:rsid w:val="00667BF1"/>
    <w:rsid w:val="006706EA"/>
    <w:rsid w:val="00670DEA"/>
    <w:rsid w:val="00670F65"/>
    <w:rsid w:val="006710ED"/>
    <w:rsid w:val="006716A5"/>
    <w:rsid w:val="00671732"/>
    <w:rsid w:val="00671F73"/>
    <w:rsid w:val="0067239C"/>
    <w:rsid w:val="006723BE"/>
    <w:rsid w:val="006725FE"/>
    <w:rsid w:val="0067324F"/>
    <w:rsid w:val="0067329C"/>
    <w:rsid w:val="00673CEE"/>
    <w:rsid w:val="0067434C"/>
    <w:rsid w:val="006748A4"/>
    <w:rsid w:val="00674B1E"/>
    <w:rsid w:val="00674B66"/>
    <w:rsid w:val="00674BB2"/>
    <w:rsid w:val="00674F9B"/>
    <w:rsid w:val="00675A9E"/>
    <w:rsid w:val="00675C60"/>
    <w:rsid w:val="00675CDE"/>
    <w:rsid w:val="00675F51"/>
    <w:rsid w:val="006765D3"/>
    <w:rsid w:val="006768B7"/>
    <w:rsid w:val="0067721A"/>
    <w:rsid w:val="0067748C"/>
    <w:rsid w:val="00677951"/>
    <w:rsid w:val="0068052A"/>
    <w:rsid w:val="0068152F"/>
    <w:rsid w:val="0068160B"/>
    <w:rsid w:val="00681B75"/>
    <w:rsid w:val="00681C9C"/>
    <w:rsid w:val="006820E4"/>
    <w:rsid w:val="006827FD"/>
    <w:rsid w:val="006831D9"/>
    <w:rsid w:val="006837B7"/>
    <w:rsid w:val="0068399E"/>
    <w:rsid w:val="00683DF2"/>
    <w:rsid w:val="0068468B"/>
    <w:rsid w:val="00685766"/>
    <w:rsid w:val="00686502"/>
    <w:rsid w:val="00686A12"/>
    <w:rsid w:val="00686DC5"/>
    <w:rsid w:val="0068762E"/>
    <w:rsid w:val="006877C5"/>
    <w:rsid w:val="006901FE"/>
    <w:rsid w:val="006901FF"/>
    <w:rsid w:val="0069036F"/>
    <w:rsid w:val="006908FE"/>
    <w:rsid w:val="00690D37"/>
    <w:rsid w:val="00690ED7"/>
    <w:rsid w:val="00690ED9"/>
    <w:rsid w:val="00690F5F"/>
    <w:rsid w:val="0069116F"/>
    <w:rsid w:val="006912BC"/>
    <w:rsid w:val="0069144A"/>
    <w:rsid w:val="00691E01"/>
    <w:rsid w:val="00692AAB"/>
    <w:rsid w:val="00692B23"/>
    <w:rsid w:val="00693500"/>
    <w:rsid w:val="006939D7"/>
    <w:rsid w:val="00693AA3"/>
    <w:rsid w:val="00693D2C"/>
    <w:rsid w:val="00693E7C"/>
    <w:rsid w:val="006948B4"/>
    <w:rsid w:val="00694A33"/>
    <w:rsid w:val="0069508A"/>
    <w:rsid w:val="00695BD7"/>
    <w:rsid w:val="00695EF4"/>
    <w:rsid w:val="00696180"/>
    <w:rsid w:val="00696723"/>
    <w:rsid w:val="00696FC0"/>
    <w:rsid w:val="006970CE"/>
    <w:rsid w:val="00697451"/>
    <w:rsid w:val="00697905"/>
    <w:rsid w:val="00697B17"/>
    <w:rsid w:val="006A0B60"/>
    <w:rsid w:val="006A16B2"/>
    <w:rsid w:val="006A18A4"/>
    <w:rsid w:val="006A21C4"/>
    <w:rsid w:val="006A247C"/>
    <w:rsid w:val="006A2994"/>
    <w:rsid w:val="006A33C1"/>
    <w:rsid w:val="006A34EB"/>
    <w:rsid w:val="006A39C0"/>
    <w:rsid w:val="006A3A14"/>
    <w:rsid w:val="006A3EC4"/>
    <w:rsid w:val="006A4832"/>
    <w:rsid w:val="006A4F90"/>
    <w:rsid w:val="006A5CCA"/>
    <w:rsid w:val="006A60DD"/>
    <w:rsid w:val="006A7DE1"/>
    <w:rsid w:val="006A7FB2"/>
    <w:rsid w:val="006B017D"/>
    <w:rsid w:val="006B0669"/>
    <w:rsid w:val="006B06CA"/>
    <w:rsid w:val="006B0705"/>
    <w:rsid w:val="006B076F"/>
    <w:rsid w:val="006B100B"/>
    <w:rsid w:val="006B15C5"/>
    <w:rsid w:val="006B1C69"/>
    <w:rsid w:val="006B20D9"/>
    <w:rsid w:val="006B2321"/>
    <w:rsid w:val="006B2B61"/>
    <w:rsid w:val="006B30B9"/>
    <w:rsid w:val="006B3311"/>
    <w:rsid w:val="006B3403"/>
    <w:rsid w:val="006B43A1"/>
    <w:rsid w:val="006B45C2"/>
    <w:rsid w:val="006B53AD"/>
    <w:rsid w:val="006B69EF"/>
    <w:rsid w:val="006B7540"/>
    <w:rsid w:val="006B767F"/>
    <w:rsid w:val="006B7B45"/>
    <w:rsid w:val="006C0296"/>
    <w:rsid w:val="006C057B"/>
    <w:rsid w:val="006C0715"/>
    <w:rsid w:val="006C3AD9"/>
    <w:rsid w:val="006C4627"/>
    <w:rsid w:val="006C491E"/>
    <w:rsid w:val="006C4B9C"/>
    <w:rsid w:val="006C4F6A"/>
    <w:rsid w:val="006C5072"/>
    <w:rsid w:val="006C587D"/>
    <w:rsid w:val="006C5B50"/>
    <w:rsid w:val="006C5C0B"/>
    <w:rsid w:val="006C5DB6"/>
    <w:rsid w:val="006C686B"/>
    <w:rsid w:val="006C7657"/>
    <w:rsid w:val="006D0273"/>
    <w:rsid w:val="006D03C7"/>
    <w:rsid w:val="006D1231"/>
    <w:rsid w:val="006D14E3"/>
    <w:rsid w:val="006D1B2E"/>
    <w:rsid w:val="006D1DAD"/>
    <w:rsid w:val="006D1F32"/>
    <w:rsid w:val="006D21D8"/>
    <w:rsid w:val="006D3F9D"/>
    <w:rsid w:val="006D44A8"/>
    <w:rsid w:val="006D45FB"/>
    <w:rsid w:val="006D550C"/>
    <w:rsid w:val="006D5B91"/>
    <w:rsid w:val="006D5CA1"/>
    <w:rsid w:val="006D602F"/>
    <w:rsid w:val="006D655D"/>
    <w:rsid w:val="006D685A"/>
    <w:rsid w:val="006D6C78"/>
    <w:rsid w:val="006E0164"/>
    <w:rsid w:val="006E0477"/>
    <w:rsid w:val="006E0694"/>
    <w:rsid w:val="006E08BC"/>
    <w:rsid w:val="006E1AEF"/>
    <w:rsid w:val="006E1CAD"/>
    <w:rsid w:val="006E2207"/>
    <w:rsid w:val="006E2D93"/>
    <w:rsid w:val="006E3A3A"/>
    <w:rsid w:val="006E3BAA"/>
    <w:rsid w:val="006E5593"/>
    <w:rsid w:val="006E6236"/>
    <w:rsid w:val="006E7248"/>
    <w:rsid w:val="006E759C"/>
    <w:rsid w:val="006E7623"/>
    <w:rsid w:val="006F07BC"/>
    <w:rsid w:val="006F09F5"/>
    <w:rsid w:val="006F0F44"/>
    <w:rsid w:val="006F1C38"/>
    <w:rsid w:val="006F2552"/>
    <w:rsid w:val="006F2728"/>
    <w:rsid w:val="006F2BD9"/>
    <w:rsid w:val="006F3122"/>
    <w:rsid w:val="006F3774"/>
    <w:rsid w:val="006F3D9D"/>
    <w:rsid w:val="006F4677"/>
    <w:rsid w:val="006F4887"/>
    <w:rsid w:val="006F4C43"/>
    <w:rsid w:val="006F4CD0"/>
    <w:rsid w:val="006F4FA3"/>
    <w:rsid w:val="006F52F8"/>
    <w:rsid w:val="006F5503"/>
    <w:rsid w:val="006F570C"/>
    <w:rsid w:val="006F62FA"/>
    <w:rsid w:val="006F6B5F"/>
    <w:rsid w:val="006F6E09"/>
    <w:rsid w:val="006F7DD9"/>
    <w:rsid w:val="00700512"/>
    <w:rsid w:val="00700CD5"/>
    <w:rsid w:val="00701464"/>
    <w:rsid w:val="00701694"/>
    <w:rsid w:val="00701B9A"/>
    <w:rsid w:val="00701C8C"/>
    <w:rsid w:val="00701D03"/>
    <w:rsid w:val="00701E3F"/>
    <w:rsid w:val="00701F5F"/>
    <w:rsid w:val="00702083"/>
    <w:rsid w:val="00702DED"/>
    <w:rsid w:val="0070387E"/>
    <w:rsid w:val="00703961"/>
    <w:rsid w:val="0070434C"/>
    <w:rsid w:val="00704B74"/>
    <w:rsid w:val="00704EAF"/>
    <w:rsid w:val="00706095"/>
    <w:rsid w:val="0070609E"/>
    <w:rsid w:val="007068DC"/>
    <w:rsid w:val="007074A7"/>
    <w:rsid w:val="00707A12"/>
    <w:rsid w:val="00707C0D"/>
    <w:rsid w:val="007109DE"/>
    <w:rsid w:val="00710FB1"/>
    <w:rsid w:val="0071112A"/>
    <w:rsid w:val="00711256"/>
    <w:rsid w:val="00711EE3"/>
    <w:rsid w:val="007122E7"/>
    <w:rsid w:val="007125C7"/>
    <w:rsid w:val="007127DC"/>
    <w:rsid w:val="00713A6C"/>
    <w:rsid w:val="00713CC6"/>
    <w:rsid w:val="00713E72"/>
    <w:rsid w:val="007144A2"/>
    <w:rsid w:val="00714548"/>
    <w:rsid w:val="00714945"/>
    <w:rsid w:val="00714FDF"/>
    <w:rsid w:val="00715489"/>
    <w:rsid w:val="00715B9C"/>
    <w:rsid w:val="0071600B"/>
    <w:rsid w:val="007167BE"/>
    <w:rsid w:val="00716BF7"/>
    <w:rsid w:val="00716F64"/>
    <w:rsid w:val="007170B5"/>
    <w:rsid w:val="0071745A"/>
    <w:rsid w:val="007179B1"/>
    <w:rsid w:val="00717AB4"/>
    <w:rsid w:val="007206C4"/>
    <w:rsid w:val="00721F59"/>
    <w:rsid w:val="00722661"/>
    <w:rsid w:val="0072314B"/>
    <w:rsid w:val="007235EF"/>
    <w:rsid w:val="00723729"/>
    <w:rsid w:val="00724474"/>
    <w:rsid w:val="007248E6"/>
    <w:rsid w:val="0072540B"/>
    <w:rsid w:val="007256AF"/>
    <w:rsid w:val="00725846"/>
    <w:rsid w:val="007258FD"/>
    <w:rsid w:val="00725BD9"/>
    <w:rsid w:val="00726005"/>
    <w:rsid w:val="00726A31"/>
    <w:rsid w:val="00727043"/>
    <w:rsid w:val="00727B15"/>
    <w:rsid w:val="0073018D"/>
    <w:rsid w:val="00730592"/>
    <w:rsid w:val="007305A5"/>
    <w:rsid w:val="0073063D"/>
    <w:rsid w:val="00730832"/>
    <w:rsid w:val="00730E75"/>
    <w:rsid w:val="0073159E"/>
    <w:rsid w:val="00731B27"/>
    <w:rsid w:val="00731D52"/>
    <w:rsid w:val="00731EFA"/>
    <w:rsid w:val="0073227A"/>
    <w:rsid w:val="0073243A"/>
    <w:rsid w:val="007329B8"/>
    <w:rsid w:val="00732A08"/>
    <w:rsid w:val="007332C9"/>
    <w:rsid w:val="00733CC4"/>
    <w:rsid w:val="00733ECC"/>
    <w:rsid w:val="007344A0"/>
    <w:rsid w:val="0073513A"/>
    <w:rsid w:val="00735947"/>
    <w:rsid w:val="00736584"/>
    <w:rsid w:val="00736CBE"/>
    <w:rsid w:val="00736EAC"/>
    <w:rsid w:val="00737CFB"/>
    <w:rsid w:val="00737EB3"/>
    <w:rsid w:val="007401A7"/>
    <w:rsid w:val="007401E4"/>
    <w:rsid w:val="0074054E"/>
    <w:rsid w:val="007405EA"/>
    <w:rsid w:val="00740858"/>
    <w:rsid w:val="00740924"/>
    <w:rsid w:val="007409DA"/>
    <w:rsid w:val="00740B94"/>
    <w:rsid w:val="00740DB1"/>
    <w:rsid w:val="00740FE9"/>
    <w:rsid w:val="00741447"/>
    <w:rsid w:val="007421BA"/>
    <w:rsid w:val="00742C21"/>
    <w:rsid w:val="00742F24"/>
    <w:rsid w:val="00743533"/>
    <w:rsid w:val="007435AB"/>
    <w:rsid w:val="00743AA7"/>
    <w:rsid w:val="00743AFF"/>
    <w:rsid w:val="00743B68"/>
    <w:rsid w:val="007443A8"/>
    <w:rsid w:val="0074446C"/>
    <w:rsid w:val="007444B7"/>
    <w:rsid w:val="00744F43"/>
    <w:rsid w:val="007451E4"/>
    <w:rsid w:val="007456CE"/>
    <w:rsid w:val="007457EE"/>
    <w:rsid w:val="00745E3B"/>
    <w:rsid w:val="007460B1"/>
    <w:rsid w:val="0074639C"/>
    <w:rsid w:val="00746505"/>
    <w:rsid w:val="00746CE3"/>
    <w:rsid w:val="007470F9"/>
    <w:rsid w:val="00747BB2"/>
    <w:rsid w:val="00747D6E"/>
    <w:rsid w:val="007502BC"/>
    <w:rsid w:val="00750381"/>
    <w:rsid w:val="007507F4"/>
    <w:rsid w:val="0075175B"/>
    <w:rsid w:val="00751A82"/>
    <w:rsid w:val="00752950"/>
    <w:rsid w:val="00752C70"/>
    <w:rsid w:val="007535F6"/>
    <w:rsid w:val="007540FA"/>
    <w:rsid w:val="00754D97"/>
    <w:rsid w:val="007555E0"/>
    <w:rsid w:val="00755CB8"/>
    <w:rsid w:val="00755E01"/>
    <w:rsid w:val="00756090"/>
    <w:rsid w:val="00756A05"/>
    <w:rsid w:val="00756B92"/>
    <w:rsid w:val="00757262"/>
    <w:rsid w:val="0075731E"/>
    <w:rsid w:val="0075733C"/>
    <w:rsid w:val="007579B7"/>
    <w:rsid w:val="00757D9C"/>
    <w:rsid w:val="00760751"/>
    <w:rsid w:val="0076076C"/>
    <w:rsid w:val="00760D28"/>
    <w:rsid w:val="007620B7"/>
    <w:rsid w:val="007621BE"/>
    <w:rsid w:val="007623FB"/>
    <w:rsid w:val="00762D38"/>
    <w:rsid w:val="007631F8"/>
    <w:rsid w:val="0076381A"/>
    <w:rsid w:val="0076412B"/>
    <w:rsid w:val="00764D4C"/>
    <w:rsid w:val="00764D7D"/>
    <w:rsid w:val="00765187"/>
    <w:rsid w:val="00765748"/>
    <w:rsid w:val="00765DDB"/>
    <w:rsid w:val="007665DE"/>
    <w:rsid w:val="0076670F"/>
    <w:rsid w:val="00766D6F"/>
    <w:rsid w:val="007674F5"/>
    <w:rsid w:val="00770089"/>
    <w:rsid w:val="007702EE"/>
    <w:rsid w:val="00770853"/>
    <w:rsid w:val="00771054"/>
    <w:rsid w:val="0077112C"/>
    <w:rsid w:val="00772053"/>
    <w:rsid w:val="00773501"/>
    <w:rsid w:val="0077395C"/>
    <w:rsid w:val="00774D29"/>
    <w:rsid w:val="00774F64"/>
    <w:rsid w:val="00774F75"/>
    <w:rsid w:val="00775559"/>
    <w:rsid w:val="00775A35"/>
    <w:rsid w:val="00775A64"/>
    <w:rsid w:val="00775EC2"/>
    <w:rsid w:val="00776293"/>
    <w:rsid w:val="00776CD7"/>
    <w:rsid w:val="00777189"/>
    <w:rsid w:val="00780184"/>
    <w:rsid w:val="00780578"/>
    <w:rsid w:val="007807B0"/>
    <w:rsid w:val="00780A80"/>
    <w:rsid w:val="00780AF0"/>
    <w:rsid w:val="00780B8B"/>
    <w:rsid w:val="007818BD"/>
    <w:rsid w:val="00781D77"/>
    <w:rsid w:val="00781DB4"/>
    <w:rsid w:val="00782E04"/>
    <w:rsid w:val="00782EB0"/>
    <w:rsid w:val="00783173"/>
    <w:rsid w:val="00783D47"/>
    <w:rsid w:val="00784DE2"/>
    <w:rsid w:val="00784E3B"/>
    <w:rsid w:val="00784F4D"/>
    <w:rsid w:val="00784FCA"/>
    <w:rsid w:val="007850D1"/>
    <w:rsid w:val="007862A9"/>
    <w:rsid w:val="007866DA"/>
    <w:rsid w:val="007869DF"/>
    <w:rsid w:val="00786FE2"/>
    <w:rsid w:val="0078796E"/>
    <w:rsid w:val="00787F86"/>
    <w:rsid w:val="00790D54"/>
    <w:rsid w:val="00790D5B"/>
    <w:rsid w:val="00790E11"/>
    <w:rsid w:val="00791048"/>
    <w:rsid w:val="00791703"/>
    <w:rsid w:val="00791A4B"/>
    <w:rsid w:val="00791CC4"/>
    <w:rsid w:val="0079221B"/>
    <w:rsid w:val="00792AD7"/>
    <w:rsid w:val="00792D3B"/>
    <w:rsid w:val="00794421"/>
    <w:rsid w:val="007948DB"/>
    <w:rsid w:val="00794DDF"/>
    <w:rsid w:val="00796C43"/>
    <w:rsid w:val="00797E3F"/>
    <w:rsid w:val="007A01FB"/>
    <w:rsid w:val="007A1483"/>
    <w:rsid w:val="007A15D3"/>
    <w:rsid w:val="007A169D"/>
    <w:rsid w:val="007A18B7"/>
    <w:rsid w:val="007A18D6"/>
    <w:rsid w:val="007A1A94"/>
    <w:rsid w:val="007A1DD3"/>
    <w:rsid w:val="007A23BB"/>
    <w:rsid w:val="007A2652"/>
    <w:rsid w:val="007A298B"/>
    <w:rsid w:val="007A2DFE"/>
    <w:rsid w:val="007A2E60"/>
    <w:rsid w:val="007A335A"/>
    <w:rsid w:val="007A3E99"/>
    <w:rsid w:val="007A4F6F"/>
    <w:rsid w:val="007A4FDB"/>
    <w:rsid w:val="007A5534"/>
    <w:rsid w:val="007A55FA"/>
    <w:rsid w:val="007A5CE0"/>
    <w:rsid w:val="007A614C"/>
    <w:rsid w:val="007A636B"/>
    <w:rsid w:val="007A7845"/>
    <w:rsid w:val="007B0842"/>
    <w:rsid w:val="007B1A7A"/>
    <w:rsid w:val="007B1A87"/>
    <w:rsid w:val="007B1EDC"/>
    <w:rsid w:val="007B2EF4"/>
    <w:rsid w:val="007B359D"/>
    <w:rsid w:val="007B39E5"/>
    <w:rsid w:val="007B3A03"/>
    <w:rsid w:val="007B3AE4"/>
    <w:rsid w:val="007B3B2A"/>
    <w:rsid w:val="007B4A94"/>
    <w:rsid w:val="007B556A"/>
    <w:rsid w:val="007B5AE0"/>
    <w:rsid w:val="007B5B1D"/>
    <w:rsid w:val="007B5B31"/>
    <w:rsid w:val="007B63F6"/>
    <w:rsid w:val="007B64BA"/>
    <w:rsid w:val="007B6E5A"/>
    <w:rsid w:val="007B7796"/>
    <w:rsid w:val="007B799D"/>
    <w:rsid w:val="007B7AE1"/>
    <w:rsid w:val="007B7BAB"/>
    <w:rsid w:val="007C00CD"/>
    <w:rsid w:val="007C0E5C"/>
    <w:rsid w:val="007C1123"/>
    <w:rsid w:val="007C1C45"/>
    <w:rsid w:val="007C2E40"/>
    <w:rsid w:val="007C31A8"/>
    <w:rsid w:val="007C3308"/>
    <w:rsid w:val="007C37C2"/>
    <w:rsid w:val="007C418C"/>
    <w:rsid w:val="007C4CB5"/>
    <w:rsid w:val="007C5354"/>
    <w:rsid w:val="007C5AA6"/>
    <w:rsid w:val="007C620F"/>
    <w:rsid w:val="007C6515"/>
    <w:rsid w:val="007C6C28"/>
    <w:rsid w:val="007C7106"/>
    <w:rsid w:val="007C7512"/>
    <w:rsid w:val="007C7C0F"/>
    <w:rsid w:val="007C7CF1"/>
    <w:rsid w:val="007D02AB"/>
    <w:rsid w:val="007D07AA"/>
    <w:rsid w:val="007D132C"/>
    <w:rsid w:val="007D1B4F"/>
    <w:rsid w:val="007D32ED"/>
    <w:rsid w:val="007D33AD"/>
    <w:rsid w:val="007D35A3"/>
    <w:rsid w:val="007D4097"/>
    <w:rsid w:val="007D41CD"/>
    <w:rsid w:val="007D480D"/>
    <w:rsid w:val="007D50BE"/>
    <w:rsid w:val="007D51D4"/>
    <w:rsid w:val="007D561C"/>
    <w:rsid w:val="007D58FD"/>
    <w:rsid w:val="007D5D32"/>
    <w:rsid w:val="007D650C"/>
    <w:rsid w:val="007D6DB4"/>
    <w:rsid w:val="007D76D7"/>
    <w:rsid w:val="007D7DA0"/>
    <w:rsid w:val="007D7DDF"/>
    <w:rsid w:val="007D7EC7"/>
    <w:rsid w:val="007D7F17"/>
    <w:rsid w:val="007E0235"/>
    <w:rsid w:val="007E0DD2"/>
    <w:rsid w:val="007E10E4"/>
    <w:rsid w:val="007E16C2"/>
    <w:rsid w:val="007E1998"/>
    <w:rsid w:val="007E1CF9"/>
    <w:rsid w:val="007E1F39"/>
    <w:rsid w:val="007E28B5"/>
    <w:rsid w:val="007E2A13"/>
    <w:rsid w:val="007E2EB5"/>
    <w:rsid w:val="007E3300"/>
    <w:rsid w:val="007E3798"/>
    <w:rsid w:val="007E4419"/>
    <w:rsid w:val="007E4680"/>
    <w:rsid w:val="007E4A8C"/>
    <w:rsid w:val="007E5722"/>
    <w:rsid w:val="007E5FA7"/>
    <w:rsid w:val="007E605F"/>
    <w:rsid w:val="007E6FD5"/>
    <w:rsid w:val="007E7411"/>
    <w:rsid w:val="007E7DB0"/>
    <w:rsid w:val="007F02F0"/>
    <w:rsid w:val="007F034B"/>
    <w:rsid w:val="007F0358"/>
    <w:rsid w:val="007F0F7B"/>
    <w:rsid w:val="007F10F2"/>
    <w:rsid w:val="007F1581"/>
    <w:rsid w:val="007F25CB"/>
    <w:rsid w:val="007F2780"/>
    <w:rsid w:val="007F447C"/>
    <w:rsid w:val="007F509E"/>
    <w:rsid w:val="007F51AC"/>
    <w:rsid w:val="007F6165"/>
    <w:rsid w:val="007F6211"/>
    <w:rsid w:val="007F6250"/>
    <w:rsid w:val="007F64EC"/>
    <w:rsid w:val="007F68F0"/>
    <w:rsid w:val="007F6C6F"/>
    <w:rsid w:val="007F6E0B"/>
    <w:rsid w:val="007F78B2"/>
    <w:rsid w:val="007F7940"/>
    <w:rsid w:val="00800385"/>
    <w:rsid w:val="00800477"/>
    <w:rsid w:val="0080087D"/>
    <w:rsid w:val="00800A28"/>
    <w:rsid w:val="00800CB6"/>
    <w:rsid w:val="008011C5"/>
    <w:rsid w:val="00801E20"/>
    <w:rsid w:val="0080255E"/>
    <w:rsid w:val="008034A1"/>
    <w:rsid w:val="008039A3"/>
    <w:rsid w:val="00803BCA"/>
    <w:rsid w:val="008042FF"/>
    <w:rsid w:val="00804B01"/>
    <w:rsid w:val="00804D34"/>
    <w:rsid w:val="008055C7"/>
    <w:rsid w:val="00805A16"/>
    <w:rsid w:val="00805CC4"/>
    <w:rsid w:val="00805EBD"/>
    <w:rsid w:val="00806FEB"/>
    <w:rsid w:val="008072EC"/>
    <w:rsid w:val="00807B95"/>
    <w:rsid w:val="00807FEF"/>
    <w:rsid w:val="008101FB"/>
    <w:rsid w:val="0081069C"/>
    <w:rsid w:val="00810F1A"/>
    <w:rsid w:val="00811018"/>
    <w:rsid w:val="008111E2"/>
    <w:rsid w:val="00811DA8"/>
    <w:rsid w:val="0081215C"/>
    <w:rsid w:val="00812988"/>
    <w:rsid w:val="00813290"/>
    <w:rsid w:val="0081335B"/>
    <w:rsid w:val="0081359E"/>
    <w:rsid w:val="00814161"/>
    <w:rsid w:val="0081445D"/>
    <w:rsid w:val="008148F4"/>
    <w:rsid w:val="00814CCB"/>
    <w:rsid w:val="0081510B"/>
    <w:rsid w:val="00815712"/>
    <w:rsid w:val="00815FA9"/>
    <w:rsid w:val="00816812"/>
    <w:rsid w:val="0081684E"/>
    <w:rsid w:val="008169FB"/>
    <w:rsid w:val="00816BBD"/>
    <w:rsid w:val="00817179"/>
    <w:rsid w:val="00820840"/>
    <w:rsid w:val="00820C3C"/>
    <w:rsid w:val="00821836"/>
    <w:rsid w:val="008219F0"/>
    <w:rsid w:val="00821C81"/>
    <w:rsid w:val="00821D4A"/>
    <w:rsid w:val="0082276C"/>
    <w:rsid w:val="00822C88"/>
    <w:rsid w:val="00822EEC"/>
    <w:rsid w:val="008230F0"/>
    <w:rsid w:val="00823A1E"/>
    <w:rsid w:val="00823BF3"/>
    <w:rsid w:val="00824257"/>
    <w:rsid w:val="008244A3"/>
    <w:rsid w:val="00824725"/>
    <w:rsid w:val="00824A8F"/>
    <w:rsid w:val="00824B14"/>
    <w:rsid w:val="00824F5D"/>
    <w:rsid w:val="00825532"/>
    <w:rsid w:val="00825C33"/>
    <w:rsid w:val="00826AD5"/>
    <w:rsid w:val="00826AE3"/>
    <w:rsid w:val="00826B8E"/>
    <w:rsid w:val="00826CBD"/>
    <w:rsid w:val="00826FAF"/>
    <w:rsid w:val="00827918"/>
    <w:rsid w:val="00827AEC"/>
    <w:rsid w:val="00827B04"/>
    <w:rsid w:val="008305C0"/>
    <w:rsid w:val="00830B91"/>
    <w:rsid w:val="00830F03"/>
    <w:rsid w:val="00831974"/>
    <w:rsid w:val="00833163"/>
    <w:rsid w:val="00833C0E"/>
    <w:rsid w:val="00833D8B"/>
    <w:rsid w:val="00833E17"/>
    <w:rsid w:val="008341EF"/>
    <w:rsid w:val="008344BF"/>
    <w:rsid w:val="00835369"/>
    <w:rsid w:val="00835447"/>
    <w:rsid w:val="008354FC"/>
    <w:rsid w:val="00835907"/>
    <w:rsid w:val="00835AA0"/>
    <w:rsid w:val="00835AAF"/>
    <w:rsid w:val="00835DE8"/>
    <w:rsid w:val="00836B7E"/>
    <w:rsid w:val="00837218"/>
    <w:rsid w:val="008373C0"/>
    <w:rsid w:val="00837786"/>
    <w:rsid w:val="00837856"/>
    <w:rsid w:val="00837CB8"/>
    <w:rsid w:val="00837D46"/>
    <w:rsid w:val="00840661"/>
    <w:rsid w:val="008406BA"/>
    <w:rsid w:val="00840819"/>
    <w:rsid w:val="008408AE"/>
    <w:rsid w:val="00840C7C"/>
    <w:rsid w:val="00840CF8"/>
    <w:rsid w:val="00840F80"/>
    <w:rsid w:val="008411D0"/>
    <w:rsid w:val="008412CE"/>
    <w:rsid w:val="00841B0F"/>
    <w:rsid w:val="00841E19"/>
    <w:rsid w:val="00842B2C"/>
    <w:rsid w:val="008433DF"/>
    <w:rsid w:val="0084342A"/>
    <w:rsid w:val="008452D8"/>
    <w:rsid w:val="00845442"/>
    <w:rsid w:val="008457E2"/>
    <w:rsid w:val="00845B70"/>
    <w:rsid w:val="00845B9C"/>
    <w:rsid w:val="00846305"/>
    <w:rsid w:val="008463A2"/>
    <w:rsid w:val="00846426"/>
    <w:rsid w:val="008464FB"/>
    <w:rsid w:val="0084651D"/>
    <w:rsid w:val="00846F58"/>
    <w:rsid w:val="008472F0"/>
    <w:rsid w:val="0085013E"/>
    <w:rsid w:val="00850B25"/>
    <w:rsid w:val="00850F4E"/>
    <w:rsid w:val="0085153F"/>
    <w:rsid w:val="00851599"/>
    <w:rsid w:val="008522C7"/>
    <w:rsid w:val="008523E8"/>
    <w:rsid w:val="0085260D"/>
    <w:rsid w:val="00852819"/>
    <w:rsid w:val="008534C6"/>
    <w:rsid w:val="00853A36"/>
    <w:rsid w:val="00853FBE"/>
    <w:rsid w:val="00854BFC"/>
    <w:rsid w:val="00855416"/>
    <w:rsid w:val="008562F5"/>
    <w:rsid w:val="008567A5"/>
    <w:rsid w:val="00856959"/>
    <w:rsid w:val="00856C44"/>
    <w:rsid w:val="008571A8"/>
    <w:rsid w:val="0085790A"/>
    <w:rsid w:val="00857A5A"/>
    <w:rsid w:val="00860062"/>
    <w:rsid w:val="00860998"/>
    <w:rsid w:val="00860A2A"/>
    <w:rsid w:val="008612E5"/>
    <w:rsid w:val="0086130C"/>
    <w:rsid w:val="0086165C"/>
    <w:rsid w:val="00861BD4"/>
    <w:rsid w:val="00861BDF"/>
    <w:rsid w:val="00862BD5"/>
    <w:rsid w:val="00862C75"/>
    <w:rsid w:val="00862C8A"/>
    <w:rsid w:val="00862EFD"/>
    <w:rsid w:val="008630F7"/>
    <w:rsid w:val="00863353"/>
    <w:rsid w:val="00863F67"/>
    <w:rsid w:val="00864D3E"/>
    <w:rsid w:val="008663C3"/>
    <w:rsid w:val="00866E7C"/>
    <w:rsid w:val="00867251"/>
    <w:rsid w:val="00867E39"/>
    <w:rsid w:val="00870304"/>
    <w:rsid w:val="008704B9"/>
    <w:rsid w:val="0087093B"/>
    <w:rsid w:val="00870AE2"/>
    <w:rsid w:val="0087152A"/>
    <w:rsid w:val="00871849"/>
    <w:rsid w:val="00871BDA"/>
    <w:rsid w:val="0087255E"/>
    <w:rsid w:val="0087295B"/>
    <w:rsid w:val="00872EEC"/>
    <w:rsid w:val="008733B2"/>
    <w:rsid w:val="008739DB"/>
    <w:rsid w:val="0087413D"/>
    <w:rsid w:val="00874205"/>
    <w:rsid w:val="00874B86"/>
    <w:rsid w:val="00875005"/>
    <w:rsid w:val="0087581B"/>
    <w:rsid w:val="00875BA7"/>
    <w:rsid w:val="008762A9"/>
    <w:rsid w:val="00876CAD"/>
    <w:rsid w:val="008772E8"/>
    <w:rsid w:val="008802B5"/>
    <w:rsid w:val="00880D6C"/>
    <w:rsid w:val="008827FA"/>
    <w:rsid w:val="00882DBE"/>
    <w:rsid w:val="00882FCA"/>
    <w:rsid w:val="00884388"/>
    <w:rsid w:val="00884867"/>
    <w:rsid w:val="008851E2"/>
    <w:rsid w:val="00885FD6"/>
    <w:rsid w:val="00886FC3"/>
    <w:rsid w:val="00887E57"/>
    <w:rsid w:val="008901EB"/>
    <w:rsid w:val="00890643"/>
    <w:rsid w:val="0089106D"/>
    <w:rsid w:val="0089166B"/>
    <w:rsid w:val="0089173A"/>
    <w:rsid w:val="00892369"/>
    <w:rsid w:val="008929AE"/>
    <w:rsid w:val="00893C95"/>
    <w:rsid w:val="00893F5E"/>
    <w:rsid w:val="008951FB"/>
    <w:rsid w:val="008952DA"/>
    <w:rsid w:val="00895945"/>
    <w:rsid w:val="00895DC5"/>
    <w:rsid w:val="00896172"/>
    <w:rsid w:val="0089657E"/>
    <w:rsid w:val="00897A0B"/>
    <w:rsid w:val="008A06CD"/>
    <w:rsid w:val="008A0B42"/>
    <w:rsid w:val="008A0B7B"/>
    <w:rsid w:val="008A10F4"/>
    <w:rsid w:val="008A11E3"/>
    <w:rsid w:val="008A1F53"/>
    <w:rsid w:val="008A2825"/>
    <w:rsid w:val="008A2C44"/>
    <w:rsid w:val="008A3354"/>
    <w:rsid w:val="008A3454"/>
    <w:rsid w:val="008A37B6"/>
    <w:rsid w:val="008A3DFC"/>
    <w:rsid w:val="008A4542"/>
    <w:rsid w:val="008A4795"/>
    <w:rsid w:val="008A4948"/>
    <w:rsid w:val="008A4A91"/>
    <w:rsid w:val="008A4B09"/>
    <w:rsid w:val="008A4B2A"/>
    <w:rsid w:val="008A4C03"/>
    <w:rsid w:val="008A4C2B"/>
    <w:rsid w:val="008A55A4"/>
    <w:rsid w:val="008A5CCB"/>
    <w:rsid w:val="008A5E74"/>
    <w:rsid w:val="008A680F"/>
    <w:rsid w:val="008A6906"/>
    <w:rsid w:val="008A6A74"/>
    <w:rsid w:val="008A7153"/>
    <w:rsid w:val="008A71AF"/>
    <w:rsid w:val="008A73A5"/>
    <w:rsid w:val="008A765F"/>
    <w:rsid w:val="008A79FA"/>
    <w:rsid w:val="008A7AA6"/>
    <w:rsid w:val="008A7AB2"/>
    <w:rsid w:val="008B009D"/>
    <w:rsid w:val="008B045D"/>
    <w:rsid w:val="008B0CA6"/>
    <w:rsid w:val="008B1739"/>
    <w:rsid w:val="008B18F3"/>
    <w:rsid w:val="008B1A47"/>
    <w:rsid w:val="008B21A5"/>
    <w:rsid w:val="008B24A2"/>
    <w:rsid w:val="008B2BD0"/>
    <w:rsid w:val="008B2C7E"/>
    <w:rsid w:val="008B2D0E"/>
    <w:rsid w:val="008B3387"/>
    <w:rsid w:val="008B343D"/>
    <w:rsid w:val="008B3806"/>
    <w:rsid w:val="008B38B5"/>
    <w:rsid w:val="008B42BC"/>
    <w:rsid w:val="008B42C4"/>
    <w:rsid w:val="008B43BD"/>
    <w:rsid w:val="008B4613"/>
    <w:rsid w:val="008B4EE9"/>
    <w:rsid w:val="008B63F6"/>
    <w:rsid w:val="008B65DB"/>
    <w:rsid w:val="008B7431"/>
    <w:rsid w:val="008B743B"/>
    <w:rsid w:val="008B7BC4"/>
    <w:rsid w:val="008C00BE"/>
    <w:rsid w:val="008C01EB"/>
    <w:rsid w:val="008C08BD"/>
    <w:rsid w:val="008C100A"/>
    <w:rsid w:val="008C11FA"/>
    <w:rsid w:val="008C1E13"/>
    <w:rsid w:val="008C2608"/>
    <w:rsid w:val="008C2BA7"/>
    <w:rsid w:val="008C2F4A"/>
    <w:rsid w:val="008C355C"/>
    <w:rsid w:val="008C385F"/>
    <w:rsid w:val="008C392A"/>
    <w:rsid w:val="008C3E31"/>
    <w:rsid w:val="008C3E84"/>
    <w:rsid w:val="008C52E8"/>
    <w:rsid w:val="008C5415"/>
    <w:rsid w:val="008C56BE"/>
    <w:rsid w:val="008C6F7D"/>
    <w:rsid w:val="008C7224"/>
    <w:rsid w:val="008C7591"/>
    <w:rsid w:val="008D0D6A"/>
    <w:rsid w:val="008D0F7D"/>
    <w:rsid w:val="008D1AAE"/>
    <w:rsid w:val="008D2640"/>
    <w:rsid w:val="008D3113"/>
    <w:rsid w:val="008D34B2"/>
    <w:rsid w:val="008D372A"/>
    <w:rsid w:val="008D4097"/>
    <w:rsid w:val="008D45AD"/>
    <w:rsid w:val="008D55C9"/>
    <w:rsid w:val="008D5717"/>
    <w:rsid w:val="008D58C5"/>
    <w:rsid w:val="008D5F8D"/>
    <w:rsid w:val="008D65CE"/>
    <w:rsid w:val="008D680D"/>
    <w:rsid w:val="008D7141"/>
    <w:rsid w:val="008D78DC"/>
    <w:rsid w:val="008D78E9"/>
    <w:rsid w:val="008E02DA"/>
    <w:rsid w:val="008E08AB"/>
    <w:rsid w:val="008E0AE7"/>
    <w:rsid w:val="008E0B90"/>
    <w:rsid w:val="008E0D6C"/>
    <w:rsid w:val="008E144D"/>
    <w:rsid w:val="008E16C3"/>
    <w:rsid w:val="008E1AF2"/>
    <w:rsid w:val="008E1E7E"/>
    <w:rsid w:val="008E40CC"/>
    <w:rsid w:val="008E449C"/>
    <w:rsid w:val="008E47CD"/>
    <w:rsid w:val="008E49DE"/>
    <w:rsid w:val="008E4AA8"/>
    <w:rsid w:val="008E4F9A"/>
    <w:rsid w:val="008E5152"/>
    <w:rsid w:val="008E5364"/>
    <w:rsid w:val="008E65ED"/>
    <w:rsid w:val="008E684C"/>
    <w:rsid w:val="008E685A"/>
    <w:rsid w:val="008E6C40"/>
    <w:rsid w:val="008E6D3D"/>
    <w:rsid w:val="008E6F47"/>
    <w:rsid w:val="008E7302"/>
    <w:rsid w:val="008E7CD7"/>
    <w:rsid w:val="008E7F4B"/>
    <w:rsid w:val="008F0459"/>
    <w:rsid w:val="008F04F6"/>
    <w:rsid w:val="008F0852"/>
    <w:rsid w:val="008F0986"/>
    <w:rsid w:val="008F0C2A"/>
    <w:rsid w:val="008F18F7"/>
    <w:rsid w:val="008F1A10"/>
    <w:rsid w:val="008F1A30"/>
    <w:rsid w:val="008F1E99"/>
    <w:rsid w:val="008F2F4E"/>
    <w:rsid w:val="008F2FB1"/>
    <w:rsid w:val="008F301E"/>
    <w:rsid w:val="008F3364"/>
    <w:rsid w:val="008F3495"/>
    <w:rsid w:val="008F3630"/>
    <w:rsid w:val="008F3B35"/>
    <w:rsid w:val="008F3D5A"/>
    <w:rsid w:val="008F4006"/>
    <w:rsid w:val="008F4376"/>
    <w:rsid w:val="008F486F"/>
    <w:rsid w:val="008F66BD"/>
    <w:rsid w:val="008F686F"/>
    <w:rsid w:val="008F7454"/>
    <w:rsid w:val="008F7985"/>
    <w:rsid w:val="008F7B1B"/>
    <w:rsid w:val="00900098"/>
    <w:rsid w:val="00900318"/>
    <w:rsid w:val="0090052D"/>
    <w:rsid w:val="00900A70"/>
    <w:rsid w:val="009011D0"/>
    <w:rsid w:val="009015AB"/>
    <w:rsid w:val="00901BB1"/>
    <w:rsid w:val="009022E7"/>
    <w:rsid w:val="009025DD"/>
    <w:rsid w:val="00902855"/>
    <w:rsid w:val="00902A23"/>
    <w:rsid w:val="00903B5C"/>
    <w:rsid w:val="009045EA"/>
    <w:rsid w:val="009045F0"/>
    <w:rsid w:val="00904A09"/>
    <w:rsid w:val="00904E2C"/>
    <w:rsid w:val="00905E96"/>
    <w:rsid w:val="0090639F"/>
    <w:rsid w:val="0090652E"/>
    <w:rsid w:val="0090778C"/>
    <w:rsid w:val="009079C4"/>
    <w:rsid w:val="00907AED"/>
    <w:rsid w:val="00910121"/>
    <w:rsid w:val="00910C22"/>
    <w:rsid w:val="00910C57"/>
    <w:rsid w:val="009117CD"/>
    <w:rsid w:val="00911815"/>
    <w:rsid w:val="0091206B"/>
    <w:rsid w:val="00912C77"/>
    <w:rsid w:val="00913013"/>
    <w:rsid w:val="0091373C"/>
    <w:rsid w:val="00913B23"/>
    <w:rsid w:val="00913CBE"/>
    <w:rsid w:val="009151F3"/>
    <w:rsid w:val="00915354"/>
    <w:rsid w:val="0091543C"/>
    <w:rsid w:val="00915769"/>
    <w:rsid w:val="00915988"/>
    <w:rsid w:val="009165A3"/>
    <w:rsid w:val="009175AF"/>
    <w:rsid w:val="0091793D"/>
    <w:rsid w:val="00917E08"/>
    <w:rsid w:val="00917E20"/>
    <w:rsid w:val="009208ED"/>
    <w:rsid w:val="00920ABA"/>
    <w:rsid w:val="00920FAF"/>
    <w:rsid w:val="00922388"/>
    <w:rsid w:val="0092374C"/>
    <w:rsid w:val="00923F8E"/>
    <w:rsid w:val="0092497D"/>
    <w:rsid w:val="00924AE0"/>
    <w:rsid w:val="009253A4"/>
    <w:rsid w:val="00925997"/>
    <w:rsid w:val="00925D0C"/>
    <w:rsid w:val="00925FAC"/>
    <w:rsid w:val="00925FB0"/>
    <w:rsid w:val="00926049"/>
    <w:rsid w:val="009263BE"/>
    <w:rsid w:val="0092663D"/>
    <w:rsid w:val="009267C9"/>
    <w:rsid w:val="00926E8F"/>
    <w:rsid w:val="00927015"/>
    <w:rsid w:val="00927613"/>
    <w:rsid w:val="00927752"/>
    <w:rsid w:val="00927D1C"/>
    <w:rsid w:val="00930120"/>
    <w:rsid w:val="009301AD"/>
    <w:rsid w:val="009305D1"/>
    <w:rsid w:val="009309FC"/>
    <w:rsid w:val="00930E3E"/>
    <w:rsid w:val="009310A0"/>
    <w:rsid w:val="00931384"/>
    <w:rsid w:val="009317AF"/>
    <w:rsid w:val="00931F86"/>
    <w:rsid w:val="0093207A"/>
    <w:rsid w:val="00932231"/>
    <w:rsid w:val="0093226E"/>
    <w:rsid w:val="009324D2"/>
    <w:rsid w:val="0093359C"/>
    <w:rsid w:val="00933602"/>
    <w:rsid w:val="009336AA"/>
    <w:rsid w:val="009339E9"/>
    <w:rsid w:val="00933C5E"/>
    <w:rsid w:val="00933EA5"/>
    <w:rsid w:val="0093454B"/>
    <w:rsid w:val="009352A5"/>
    <w:rsid w:val="00936023"/>
    <w:rsid w:val="00937328"/>
    <w:rsid w:val="0093789F"/>
    <w:rsid w:val="00937966"/>
    <w:rsid w:val="00940286"/>
    <w:rsid w:val="009406FA"/>
    <w:rsid w:val="00940B59"/>
    <w:rsid w:val="00940DE9"/>
    <w:rsid w:val="00940E01"/>
    <w:rsid w:val="00940EA1"/>
    <w:rsid w:val="0094149C"/>
    <w:rsid w:val="00941AE4"/>
    <w:rsid w:val="00941BEA"/>
    <w:rsid w:val="009425C9"/>
    <w:rsid w:val="00943BB9"/>
    <w:rsid w:val="00943C21"/>
    <w:rsid w:val="00944219"/>
    <w:rsid w:val="00944B63"/>
    <w:rsid w:val="00944DF1"/>
    <w:rsid w:val="00945939"/>
    <w:rsid w:val="0094593A"/>
    <w:rsid w:val="00945BBF"/>
    <w:rsid w:val="00945BCC"/>
    <w:rsid w:val="009466A8"/>
    <w:rsid w:val="00946998"/>
    <w:rsid w:val="00946C8A"/>
    <w:rsid w:val="009472FB"/>
    <w:rsid w:val="0094794D"/>
    <w:rsid w:val="00947A3C"/>
    <w:rsid w:val="00947DF3"/>
    <w:rsid w:val="009504F3"/>
    <w:rsid w:val="009514EE"/>
    <w:rsid w:val="009518C0"/>
    <w:rsid w:val="00951B9A"/>
    <w:rsid w:val="0095237C"/>
    <w:rsid w:val="00952B8A"/>
    <w:rsid w:val="009534F5"/>
    <w:rsid w:val="00953BAE"/>
    <w:rsid w:val="009548EF"/>
    <w:rsid w:val="00954CCB"/>
    <w:rsid w:val="00954EDD"/>
    <w:rsid w:val="00955899"/>
    <w:rsid w:val="00955A01"/>
    <w:rsid w:val="00955A6B"/>
    <w:rsid w:val="0095621E"/>
    <w:rsid w:val="00956A31"/>
    <w:rsid w:val="00956BA7"/>
    <w:rsid w:val="00956BCB"/>
    <w:rsid w:val="00956F25"/>
    <w:rsid w:val="00957338"/>
    <w:rsid w:val="00957D73"/>
    <w:rsid w:val="00961228"/>
    <w:rsid w:val="009613A6"/>
    <w:rsid w:val="0096239B"/>
    <w:rsid w:val="00962424"/>
    <w:rsid w:val="0096249D"/>
    <w:rsid w:val="009624C7"/>
    <w:rsid w:val="00962924"/>
    <w:rsid w:val="00962D05"/>
    <w:rsid w:val="00963A35"/>
    <w:rsid w:val="00963E6F"/>
    <w:rsid w:val="009643CC"/>
    <w:rsid w:val="0096468D"/>
    <w:rsid w:val="00964FE8"/>
    <w:rsid w:val="0096507B"/>
    <w:rsid w:val="00965793"/>
    <w:rsid w:val="00965F5A"/>
    <w:rsid w:val="00966259"/>
    <w:rsid w:val="00966B28"/>
    <w:rsid w:val="00967071"/>
    <w:rsid w:val="0096711B"/>
    <w:rsid w:val="009678CF"/>
    <w:rsid w:val="00967D4F"/>
    <w:rsid w:val="00967F46"/>
    <w:rsid w:val="00970348"/>
    <w:rsid w:val="00970CC5"/>
    <w:rsid w:val="00971755"/>
    <w:rsid w:val="00971F50"/>
    <w:rsid w:val="009721BA"/>
    <w:rsid w:val="009729D8"/>
    <w:rsid w:val="00972E27"/>
    <w:rsid w:val="009739C2"/>
    <w:rsid w:val="00973A67"/>
    <w:rsid w:val="00973E43"/>
    <w:rsid w:val="0097404D"/>
    <w:rsid w:val="00974B04"/>
    <w:rsid w:val="00975089"/>
    <w:rsid w:val="00976A00"/>
    <w:rsid w:val="00976ADC"/>
    <w:rsid w:val="00976D08"/>
    <w:rsid w:val="00977120"/>
    <w:rsid w:val="009800FB"/>
    <w:rsid w:val="0098033D"/>
    <w:rsid w:val="009808A3"/>
    <w:rsid w:val="00981B20"/>
    <w:rsid w:val="0098324C"/>
    <w:rsid w:val="00983494"/>
    <w:rsid w:val="00983932"/>
    <w:rsid w:val="00984133"/>
    <w:rsid w:val="00984347"/>
    <w:rsid w:val="00985143"/>
    <w:rsid w:val="009855D7"/>
    <w:rsid w:val="009860AF"/>
    <w:rsid w:val="009861EE"/>
    <w:rsid w:val="009862E4"/>
    <w:rsid w:val="0098630D"/>
    <w:rsid w:val="009873A1"/>
    <w:rsid w:val="0098798D"/>
    <w:rsid w:val="0098798E"/>
    <w:rsid w:val="00987C5C"/>
    <w:rsid w:val="0099004F"/>
    <w:rsid w:val="00990245"/>
    <w:rsid w:val="0099026A"/>
    <w:rsid w:val="009903EB"/>
    <w:rsid w:val="009910E8"/>
    <w:rsid w:val="009912EA"/>
    <w:rsid w:val="0099133D"/>
    <w:rsid w:val="009916E9"/>
    <w:rsid w:val="00991EF0"/>
    <w:rsid w:val="00991F41"/>
    <w:rsid w:val="00992F1D"/>
    <w:rsid w:val="0099390E"/>
    <w:rsid w:val="00994174"/>
    <w:rsid w:val="009943EF"/>
    <w:rsid w:val="009944CF"/>
    <w:rsid w:val="00994FD2"/>
    <w:rsid w:val="009950E6"/>
    <w:rsid w:val="009956FD"/>
    <w:rsid w:val="00995C6E"/>
    <w:rsid w:val="009971A5"/>
    <w:rsid w:val="0099764E"/>
    <w:rsid w:val="009A00C7"/>
    <w:rsid w:val="009A042F"/>
    <w:rsid w:val="009A05DB"/>
    <w:rsid w:val="009A0666"/>
    <w:rsid w:val="009A186C"/>
    <w:rsid w:val="009A255B"/>
    <w:rsid w:val="009A2B46"/>
    <w:rsid w:val="009A384F"/>
    <w:rsid w:val="009A3C06"/>
    <w:rsid w:val="009A3D90"/>
    <w:rsid w:val="009A4316"/>
    <w:rsid w:val="009A48C2"/>
    <w:rsid w:val="009A4D7A"/>
    <w:rsid w:val="009A5AA9"/>
    <w:rsid w:val="009A6296"/>
    <w:rsid w:val="009A6428"/>
    <w:rsid w:val="009A6F04"/>
    <w:rsid w:val="009A7270"/>
    <w:rsid w:val="009A72D0"/>
    <w:rsid w:val="009A752D"/>
    <w:rsid w:val="009B0058"/>
    <w:rsid w:val="009B06CD"/>
    <w:rsid w:val="009B07E3"/>
    <w:rsid w:val="009B1824"/>
    <w:rsid w:val="009B27D7"/>
    <w:rsid w:val="009B29BF"/>
    <w:rsid w:val="009B3087"/>
    <w:rsid w:val="009B3212"/>
    <w:rsid w:val="009B34F2"/>
    <w:rsid w:val="009B3B18"/>
    <w:rsid w:val="009B3DF9"/>
    <w:rsid w:val="009B4061"/>
    <w:rsid w:val="009B4434"/>
    <w:rsid w:val="009B5750"/>
    <w:rsid w:val="009B61DD"/>
    <w:rsid w:val="009B6F80"/>
    <w:rsid w:val="009B7222"/>
    <w:rsid w:val="009C0845"/>
    <w:rsid w:val="009C0FA9"/>
    <w:rsid w:val="009C1749"/>
    <w:rsid w:val="009C1971"/>
    <w:rsid w:val="009C23CC"/>
    <w:rsid w:val="009C287D"/>
    <w:rsid w:val="009C2A1C"/>
    <w:rsid w:val="009C2A4A"/>
    <w:rsid w:val="009C2B39"/>
    <w:rsid w:val="009C5776"/>
    <w:rsid w:val="009C5C3D"/>
    <w:rsid w:val="009C5F78"/>
    <w:rsid w:val="009C694E"/>
    <w:rsid w:val="009C6A0C"/>
    <w:rsid w:val="009C6EA6"/>
    <w:rsid w:val="009C7896"/>
    <w:rsid w:val="009C790F"/>
    <w:rsid w:val="009C7B47"/>
    <w:rsid w:val="009C7D34"/>
    <w:rsid w:val="009C7F35"/>
    <w:rsid w:val="009D053E"/>
    <w:rsid w:val="009D0C56"/>
    <w:rsid w:val="009D1669"/>
    <w:rsid w:val="009D1793"/>
    <w:rsid w:val="009D31D7"/>
    <w:rsid w:val="009D33E9"/>
    <w:rsid w:val="009D37AA"/>
    <w:rsid w:val="009D39EF"/>
    <w:rsid w:val="009D49B3"/>
    <w:rsid w:val="009D542D"/>
    <w:rsid w:val="009D617D"/>
    <w:rsid w:val="009D627E"/>
    <w:rsid w:val="009D6960"/>
    <w:rsid w:val="009D6989"/>
    <w:rsid w:val="009D6A28"/>
    <w:rsid w:val="009D6E23"/>
    <w:rsid w:val="009D6F7E"/>
    <w:rsid w:val="009D717A"/>
    <w:rsid w:val="009D7379"/>
    <w:rsid w:val="009D7FAC"/>
    <w:rsid w:val="009E0B97"/>
    <w:rsid w:val="009E1456"/>
    <w:rsid w:val="009E1D6B"/>
    <w:rsid w:val="009E1FA5"/>
    <w:rsid w:val="009E22DC"/>
    <w:rsid w:val="009E2597"/>
    <w:rsid w:val="009E270B"/>
    <w:rsid w:val="009E30DE"/>
    <w:rsid w:val="009E342C"/>
    <w:rsid w:val="009E34C8"/>
    <w:rsid w:val="009E3CA6"/>
    <w:rsid w:val="009E3E14"/>
    <w:rsid w:val="009E4CF6"/>
    <w:rsid w:val="009E5595"/>
    <w:rsid w:val="009E6451"/>
    <w:rsid w:val="009E6513"/>
    <w:rsid w:val="009E68EB"/>
    <w:rsid w:val="009E6E6C"/>
    <w:rsid w:val="009E7830"/>
    <w:rsid w:val="009E78C2"/>
    <w:rsid w:val="009E79B2"/>
    <w:rsid w:val="009E7E8E"/>
    <w:rsid w:val="009F0094"/>
    <w:rsid w:val="009F049B"/>
    <w:rsid w:val="009F08A7"/>
    <w:rsid w:val="009F0C32"/>
    <w:rsid w:val="009F1923"/>
    <w:rsid w:val="009F26DB"/>
    <w:rsid w:val="009F3027"/>
    <w:rsid w:val="009F362B"/>
    <w:rsid w:val="009F36FC"/>
    <w:rsid w:val="009F388A"/>
    <w:rsid w:val="009F3B7A"/>
    <w:rsid w:val="009F4394"/>
    <w:rsid w:val="009F4689"/>
    <w:rsid w:val="009F556F"/>
    <w:rsid w:val="009F5D9C"/>
    <w:rsid w:val="009F61DD"/>
    <w:rsid w:val="009F744B"/>
    <w:rsid w:val="00A00990"/>
    <w:rsid w:val="00A00F54"/>
    <w:rsid w:val="00A01A44"/>
    <w:rsid w:val="00A01B40"/>
    <w:rsid w:val="00A01BCE"/>
    <w:rsid w:val="00A01CB9"/>
    <w:rsid w:val="00A01FCF"/>
    <w:rsid w:val="00A02D15"/>
    <w:rsid w:val="00A031BE"/>
    <w:rsid w:val="00A033F6"/>
    <w:rsid w:val="00A0375E"/>
    <w:rsid w:val="00A04413"/>
    <w:rsid w:val="00A045E3"/>
    <w:rsid w:val="00A0487E"/>
    <w:rsid w:val="00A06342"/>
    <w:rsid w:val="00A06479"/>
    <w:rsid w:val="00A066F1"/>
    <w:rsid w:val="00A07492"/>
    <w:rsid w:val="00A07D02"/>
    <w:rsid w:val="00A10CA2"/>
    <w:rsid w:val="00A11C4B"/>
    <w:rsid w:val="00A12515"/>
    <w:rsid w:val="00A12788"/>
    <w:rsid w:val="00A12DDA"/>
    <w:rsid w:val="00A1314E"/>
    <w:rsid w:val="00A13713"/>
    <w:rsid w:val="00A140D8"/>
    <w:rsid w:val="00A1458F"/>
    <w:rsid w:val="00A1494C"/>
    <w:rsid w:val="00A14C58"/>
    <w:rsid w:val="00A14F28"/>
    <w:rsid w:val="00A15807"/>
    <w:rsid w:val="00A16C56"/>
    <w:rsid w:val="00A16F71"/>
    <w:rsid w:val="00A170F4"/>
    <w:rsid w:val="00A1729A"/>
    <w:rsid w:val="00A1738F"/>
    <w:rsid w:val="00A20CEB"/>
    <w:rsid w:val="00A20E7A"/>
    <w:rsid w:val="00A21054"/>
    <w:rsid w:val="00A2194F"/>
    <w:rsid w:val="00A21973"/>
    <w:rsid w:val="00A22B79"/>
    <w:rsid w:val="00A232A9"/>
    <w:rsid w:val="00A238D5"/>
    <w:rsid w:val="00A23F39"/>
    <w:rsid w:val="00A23FFA"/>
    <w:rsid w:val="00A2407A"/>
    <w:rsid w:val="00A24907"/>
    <w:rsid w:val="00A24CCA"/>
    <w:rsid w:val="00A24DC2"/>
    <w:rsid w:val="00A24E35"/>
    <w:rsid w:val="00A25083"/>
    <w:rsid w:val="00A252D4"/>
    <w:rsid w:val="00A26138"/>
    <w:rsid w:val="00A270CC"/>
    <w:rsid w:val="00A27933"/>
    <w:rsid w:val="00A27BAB"/>
    <w:rsid w:val="00A27C42"/>
    <w:rsid w:val="00A30651"/>
    <w:rsid w:val="00A319A6"/>
    <w:rsid w:val="00A31A5C"/>
    <w:rsid w:val="00A31B89"/>
    <w:rsid w:val="00A32249"/>
    <w:rsid w:val="00A32902"/>
    <w:rsid w:val="00A3296B"/>
    <w:rsid w:val="00A33616"/>
    <w:rsid w:val="00A338FA"/>
    <w:rsid w:val="00A33974"/>
    <w:rsid w:val="00A33A00"/>
    <w:rsid w:val="00A33AE1"/>
    <w:rsid w:val="00A33B47"/>
    <w:rsid w:val="00A34749"/>
    <w:rsid w:val="00A34824"/>
    <w:rsid w:val="00A34BA2"/>
    <w:rsid w:val="00A34BAC"/>
    <w:rsid w:val="00A34DA4"/>
    <w:rsid w:val="00A34F0A"/>
    <w:rsid w:val="00A35789"/>
    <w:rsid w:val="00A36CE1"/>
    <w:rsid w:val="00A36D23"/>
    <w:rsid w:val="00A37DA1"/>
    <w:rsid w:val="00A4047A"/>
    <w:rsid w:val="00A4054D"/>
    <w:rsid w:val="00A4194B"/>
    <w:rsid w:val="00A4240D"/>
    <w:rsid w:val="00A42680"/>
    <w:rsid w:val="00A42B73"/>
    <w:rsid w:val="00A42C70"/>
    <w:rsid w:val="00A43594"/>
    <w:rsid w:val="00A43CC8"/>
    <w:rsid w:val="00A43D7F"/>
    <w:rsid w:val="00A4474B"/>
    <w:rsid w:val="00A44C2D"/>
    <w:rsid w:val="00A44CD6"/>
    <w:rsid w:val="00A4561D"/>
    <w:rsid w:val="00A45B37"/>
    <w:rsid w:val="00A45BFD"/>
    <w:rsid w:val="00A46679"/>
    <w:rsid w:val="00A47395"/>
    <w:rsid w:val="00A474E6"/>
    <w:rsid w:val="00A47E73"/>
    <w:rsid w:val="00A5082A"/>
    <w:rsid w:val="00A50984"/>
    <w:rsid w:val="00A50A92"/>
    <w:rsid w:val="00A50CE0"/>
    <w:rsid w:val="00A515B3"/>
    <w:rsid w:val="00A51787"/>
    <w:rsid w:val="00A51E42"/>
    <w:rsid w:val="00A521C3"/>
    <w:rsid w:val="00A52564"/>
    <w:rsid w:val="00A52B3C"/>
    <w:rsid w:val="00A52C9B"/>
    <w:rsid w:val="00A531A6"/>
    <w:rsid w:val="00A53899"/>
    <w:rsid w:val="00A53955"/>
    <w:rsid w:val="00A54273"/>
    <w:rsid w:val="00A54737"/>
    <w:rsid w:val="00A548D4"/>
    <w:rsid w:val="00A54BD1"/>
    <w:rsid w:val="00A54EE1"/>
    <w:rsid w:val="00A5503C"/>
    <w:rsid w:val="00A55898"/>
    <w:rsid w:val="00A55A72"/>
    <w:rsid w:val="00A55E93"/>
    <w:rsid w:val="00A56693"/>
    <w:rsid w:val="00A56CF8"/>
    <w:rsid w:val="00A56D89"/>
    <w:rsid w:val="00A5743C"/>
    <w:rsid w:val="00A57921"/>
    <w:rsid w:val="00A57AD2"/>
    <w:rsid w:val="00A6048A"/>
    <w:rsid w:val="00A60A7C"/>
    <w:rsid w:val="00A6119B"/>
    <w:rsid w:val="00A618F3"/>
    <w:rsid w:val="00A61DCB"/>
    <w:rsid w:val="00A62725"/>
    <w:rsid w:val="00A63358"/>
    <w:rsid w:val="00A63C29"/>
    <w:rsid w:val="00A64134"/>
    <w:rsid w:val="00A643D3"/>
    <w:rsid w:val="00A6520F"/>
    <w:rsid w:val="00A65353"/>
    <w:rsid w:val="00A6598A"/>
    <w:rsid w:val="00A65B58"/>
    <w:rsid w:val="00A66015"/>
    <w:rsid w:val="00A6688D"/>
    <w:rsid w:val="00A6697B"/>
    <w:rsid w:val="00A66C54"/>
    <w:rsid w:val="00A66C9C"/>
    <w:rsid w:val="00A679D5"/>
    <w:rsid w:val="00A67AE8"/>
    <w:rsid w:val="00A67B17"/>
    <w:rsid w:val="00A705A5"/>
    <w:rsid w:val="00A70B24"/>
    <w:rsid w:val="00A710C5"/>
    <w:rsid w:val="00A71227"/>
    <w:rsid w:val="00A713C9"/>
    <w:rsid w:val="00A7169B"/>
    <w:rsid w:val="00A716FB"/>
    <w:rsid w:val="00A71E6E"/>
    <w:rsid w:val="00A71EB5"/>
    <w:rsid w:val="00A72467"/>
    <w:rsid w:val="00A72967"/>
    <w:rsid w:val="00A72DCE"/>
    <w:rsid w:val="00A72DD0"/>
    <w:rsid w:val="00A72FE7"/>
    <w:rsid w:val="00A738BD"/>
    <w:rsid w:val="00A73A11"/>
    <w:rsid w:val="00A73F77"/>
    <w:rsid w:val="00A74995"/>
    <w:rsid w:val="00A7499F"/>
    <w:rsid w:val="00A74E2C"/>
    <w:rsid w:val="00A7507D"/>
    <w:rsid w:val="00A754E4"/>
    <w:rsid w:val="00A75F86"/>
    <w:rsid w:val="00A7605A"/>
    <w:rsid w:val="00A762DB"/>
    <w:rsid w:val="00A7685A"/>
    <w:rsid w:val="00A76E88"/>
    <w:rsid w:val="00A772DE"/>
    <w:rsid w:val="00A80D91"/>
    <w:rsid w:val="00A80E95"/>
    <w:rsid w:val="00A815B9"/>
    <w:rsid w:val="00A815D0"/>
    <w:rsid w:val="00A8186F"/>
    <w:rsid w:val="00A818D8"/>
    <w:rsid w:val="00A818F5"/>
    <w:rsid w:val="00A823D3"/>
    <w:rsid w:val="00A82B97"/>
    <w:rsid w:val="00A841B9"/>
    <w:rsid w:val="00A842C8"/>
    <w:rsid w:val="00A846C8"/>
    <w:rsid w:val="00A8484E"/>
    <w:rsid w:val="00A85355"/>
    <w:rsid w:val="00A85691"/>
    <w:rsid w:val="00A85AD9"/>
    <w:rsid w:val="00A85C39"/>
    <w:rsid w:val="00A85DD0"/>
    <w:rsid w:val="00A86586"/>
    <w:rsid w:val="00A867E6"/>
    <w:rsid w:val="00A86B45"/>
    <w:rsid w:val="00A87386"/>
    <w:rsid w:val="00A87F0B"/>
    <w:rsid w:val="00A900B1"/>
    <w:rsid w:val="00A90419"/>
    <w:rsid w:val="00A90788"/>
    <w:rsid w:val="00A912AE"/>
    <w:rsid w:val="00A91CB3"/>
    <w:rsid w:val="00A920FD"/>
    <w:rsid w:val="00A92CC2"/>
    <w:rsid w:val="00A93295"/>
    <w:rsid w:val="00A93799"/>
    <w:rsid w:val="00A937CF"/>
    <w:rsid w:val="00A93937"/>
    <w:rsid w:val="00A93C9F"/>
    <w:rsid w:val="00A94082"/>
    <w:rsid w:val="00A94196"/>
    <w:rsid w:val="00A947D3"/>
    <w:rsid w:val="00A948E4"/>
    <w:rsid w:val="00A9505F"/>
    <w:rsid w:val="00A966C9"/>
    <w:rsid w:val="00A96AD6"/>
    <w:rsid w:val="00A97456"/>
    <w:rsid w:val="00AA04BA"/>
    <w:rsid w:val="00AA0758"/>
    <w:rsid w:val="00AA0846"/>
    <w:rsid w:val="00AA1879"/>
    <w:rsid w:val="00AA1CD6"/>
    <w:rsid w:val="00AA1F55"/>
    <w:rsid w:val="00AA222E"/>
    <w:rsid w:val="00AA2343"/>
    <w:rsid w:val="00AA2472"/>
    <w:rsid w:val="00AA25C3"/>
    <w:rsid w:val="00AA2D2A"/>
    <w:rsid w:val="00AA32FD"/>
    <w:rsid w:val="00AA348D"/>
    <w:rsid w:val="00AA4F09"/>
    <w:rsid w:val="00AA525E"/>
    <w:rsid w:val="00AA58DC"/>
    <w:rsid w:val="00AA5EEE"/>
    <w:rsid w:val="00AA6602"/>
    <w:rsid w:val="00AA6CCA"/>
    <w:rsid w:val="00AA7012"/>
    <w:rsid w:val="00AA737F"/>
    <w:rsid w:val="00AA789D"/>
    <w:rsid w:val="00AA7F26"/>
    <w:rsid w:val="00AB09A4"/>
    <w:rsid w:val="00AB0A83"/>
    <w:rsid w:val="00AB10A0"/>
    <w:rsid w:val="00AB18C8"/>
    <w:rsid w:val="00AB1F9A"/>
    <w:rsid w:val="00AB2AC8"/>
    <w:rsid w:val="00AB2AE1"/>
    <w:rsid w:val="00AB2B61"/>
    <w:rsid w:val="00AB4672"/>
    <w:rsid w:val="00AB4EEE"/>
    <w:rsid w:val="00AB4FE7"/>
    <w:rsid w:val="00AB607D"/>
    <w:rsid w:val="00AB640F"/>
    <w:rsid w:val="00AB70AA"/>
    <w:rsid w:val="00AB7CCB"/>
    <w:rsid w:val="00AB7EA5"/>
    <w:rsid w:val="00AC0184"/>
    <w:rsid w:val="00AC19A1"/>
    <w:rsid w:val="00AC1A82"/>
    <w:rsid w:val="00AC2C97"/>
    <w:rsid w:val="00AC310A"/>
    <w:rsid w:val="00AC317F"/>
    <w:rsid w:val="00AC3363"/>
    <w:rsid w:val="00AC3A9A"/>
    <w:rsid w:val="00AC3B1D"/>
    <w:rsid w:val="00AC414A"/>
    <w:rsid w:val="00AC4611"/>
    <w:rsid w:val="00AC4822"/>
    <w:rsid w:val="00AC52A3"/>
    <w:rsid w:val="00AC581D"/>
    <w:rsid w:val="00AC5A18"/>
    <w:rsid w:val="00AC6549"/>
    <w:rsid w:val="00AC67C4"/>
    <w:rsid w:val="00AC7006"/>
    <w:rsid w:val="00AC7367"/>
    <w:rsid w:val="00AD05AF"/>
    <w:rsid w:val="00AD0B3F"/>
    <w:rsid w:val="00AD0DD3"/>
    <w:rsid w:val="00AD13AF"/>
    <w:rsid w:val="00AD1B45"/>
    <w:rsid w:val="00AD1CEA"/>
    <w:rsid w:val="00AD2145"/>
    <w:rsid w:val="00AD21A1"/>
    <w:rsid w:val="00AD21C8"/>
    <w:rsid w:val="00AD280B"/>
    <w:rsid w:val="00AD3333"/>
    <w:rsid w:val="00AD3671"/>
    <w:rsid w:val="00AD3C27"/>
    <w:rsid w:val="00AD3ED9"/>
    <w:rsid w:val="00AD4552"/>
    <w:rsid w:val="00AD4F66"/>
    <w:rsid w:val="00AD5854"/>
    <w:rsid w:val="00AD5869"/>
    <w:rsid w:val="00AD64B4"/>
    <w:rsid w:val="00AD6532"/>
    <w:rsid w:val="00AD696C"/>
    <w:rsid w:val="00AD7D76"/>
    <w:rsid w:val="00AE0FB9"/>
    <w:rsid w:val="00AE1D8B"/>
    <w:rsid w:val="00AE2163"/>
    <w:rsid w:val="00AE31EA"/>
    <w:rsid w:val="00AE34B1"/>
    <w:rsid w:val="00AE3930"/>
    <w:rsid w:val="00AE47BF"/>
    <w:rsid w:val="00AE5528"/>
    <w:rsid w:val="00AE6788"/>
    <w:rsid w:val="00AE7161"/>
    <w:rsid w:val="00AE71AE"/>
    <w:rsid w:val="00AE72BD"/>
    <w:rsid w:val="00AE7485"/>
    <w:rsid w:val="00AE7988"/>
    <w:rsid w:val="00AE7D8E"/>
    <w:rsid w:val="00AF0BB9"/>
    <w:rsid w:val="00AF0C61"/>
    <w:rsid w:val="00AF1C21"/>
    <w:rsid w:val="00AF1F3E"/>
    <w:rsid w:val="00AF2253"/>
    <w:rsid w:val="00AF246D"/>
    <w:rsid w:val="00AF28B0"/>
    <w:rsid w:val="00AF39E1"/>
    <w:rsid w:val="00AF4188"/>
    <w:rsid w:val="00AF463C"/>
    <w:rsid w:val="00AF4728"/>
    <w:rsid w:val="00AF493A"/>
    <w:rsid w:val="00AF4AC6"/>
    <w:rsid w:val="00AF4E6C"/>
    <w:rsid w:val="00AF4ED3"/>
    <w:rsid w:val="00AF51C7"/>
    <w:rsid w:val="00AF5407"/>
    <w:rsid w:val="00AF5483"/>
    <w:rsid w:val="00AF67D4"/>
    <w:rsid w:val="00AF6965"/>
    <w:rsid w:val="00AF7002"/>
    <w:rsid w:val="00AF7B1B"/>
    <w:rsid w:val="00AF7B47"/>
    <w:rsid w:val="00AF7D70"/>
    <w:rsid w:val="00AF7F43"/>
    <w:rsid w:val="00B00C35"/>
    <w:rsid w:val="00B01156"/>
    <w:rsid w:val="00B01201"/>
    <w:rsid w:val="00B0129A"/>
    <w:rsid w:val="00B025B5"/>
    <w:rsid w:val="00B02CB8"/>
    <w:rsid w:val="00B02CE6"/>
    <w:rsid w:val="00B02EC4"/>
    <w:rsid w:val="00B02EC5"/>
    <w:rsid w:val="00B02F02"/>
    <w:rsid w:val="00B030B5"/>
    <w:rsid w:val="00B03261"/>
    <w:rsid w:val="00B03514"/>
    <w:rsid w:val="00B0386E"/>
    <w:rsid w:val="00B03ABF"/>
    <w:rsid w:val="00B03ADC"/>
    <w:rsid w:val="00B03BA3"/>
    <w:rsid w:val="00B03F60"/>
    <w:rsid w:val="00B040E6"/>
    <w:rsid w:val="00B04B7F"/>
    <w:rsid w:val="00B04D38"/>
    <w:rsid w:val="00B06046"/>
    <w:rsid w:val="00B06E41"/>
    <w:rsid w:val="00B06E49"/>
    <w:rsid w:val="00B0742D"/>
    <w:rsid w:val="00B07646"/>
    <w:rsid w:val="00B077AE"/>
    <w:rsid w:val="00B101C2"/>
    <w:rsid w:val="00B103A7"/>
    <w:rsid w:val="00B10941"/>
    <w:rsid w:val="00B10C2A"/>
    <w:rsid w:val="00B11384"/>
    <w:rsid w:val="00B11A8A"/>
    <w:rsid w:val="00B11BD3"/>
    <w:rsid w:val="00B120D8"/>
    <w:rsid w:val="00B12683"/>
    <w:rsid w:val="00B1284B"/>
    <w:rsid w:val="00B12A4B"/>
    <w:rsid w:val="00B13F4E"/>
    <w:rsid w:val="00B141CF"/>
    <w:rsid w:val="00B1439D"/>
    <w:rsid w:val="00B15C8E"/>
    <w:rsid w:val="00B15CE4"/>
    <w:rsid w:val="00B1616A"/>
    <w:rsid w:val="00B16882"/>
    <w:rsid w:val="00B16889"/>
    <w:rsid w:val="00B16D9E"/>
    <w:rsid w:val="00B17800"/>
    <w:rsid w:val="00B17B87"/>
    <w:rsid w:val="00B2050A"/>
    <w:rsid w:val="00B20A02"/>
    <w:rsid w:val="00B2137A"/>
    <w:rsid w:val="00B213BB"/>
    <w:rsid w:val="00B214C1"/>
    <w:rsid w:val="00B21918"/>
    <w:rsid w:val="00B2198E"/>
    <w:rsid w:val="00B21B0A"/>
    <w:rsid w:val="00B21C95"/>
    <w:rsid w:val="00B22372"/>
    <w:rsid w:val="00B22941"/>
    <w:rsid w:val="00B22C0E"/>
    <w:rsid w:val="00B23560"/>
    <w:rsid w:val="00B246BC"/>
    <w:rsid w:val="00B2479F"/>
    <w:rsid w:val="00B26269"/>
    <w:rsid w:val="00B2703B"/>
    <w:rsid w:val="00B273F9"/>
    <w:rsid w:val="00B276B6"/>
    <w:rsid w:val="00B27A9A"/>
    <w:rsid w:val="00B3013A"/>
    <w:rsid w:val="00B3028B"/>
    <w:rsid w:val="00B30454"/>
    <w:rsid w:val="00B30537"/>
    <w:rsid w:val="00B30782"/>
    <w:rsid w:val="00B307DD"/>
    <w:rsid w:val="00B30886"/>
    <w:rsid w:val="00B30E24"/>
    <w:rsid w:val="00B313D9"/>
    <w:rsid w:val="00B31634"/>
    <w:rsid w:val="00B31731"/>
    <w:rsid w:val="00B31950"/>
    <w:rsid w:val="00B320C3"/>
    <w:rsid w:val="00B32BF5"/>
    <w:rsid w:val="00B33527"/>
    <w:rsid w:val="00B33D5A"/>
    <w:rsid w:val="00B33F84"/>
    <w:rsid w:val="00B34515"/>
    <w:rsid w:val="00B34656"/>
    <w:rsid w:val="00B348E0"/>
    <w:rsid w:val="00B34F01"/>
    <w:rsid w:val="00B3547A"/>
    <w:rsid w:val="00B3657D"/>
    <w:rsid w:val="00B3697A"/>
    <w:rsid w:val="00B369A1"/>
    <w:rsid w:val="00B37177"/>
    <w:rsid w:val="00B373C9"/>
    <w:rsid w:val="00B37457"/>
    <w:rsid w:val="00B40212"/>
    <w:rsid w:val="00B40676"/>
    <w:rsid w:val="00B406DC"/>
    <w:rsid w:val="00B407BA"/>
    <w:rsid w:val="00B4127F"/>
    <w:rsid w:val="00B4174D"/>
    <w:rsid w:val="00B41FAC"/>
    <w:rsid w:val="00B42CD2"/>
    <w:rsid w:val="00B436A2"/>
    <w:rsid w:val="00B44AE9"/>
    <w:rsid w:val="00B44B53"/>
    <w:rsid w:val="00B44C76"/>
    <w:rsid w:val="00B45C89"/>
    <w:rsid w:val="00B464BF"/>
    <w:rsid w:val="00B46667"/>
    <w:rsid w:val="00B467F7"/>
    <w:rsid w:val="00B46818"/>
    <w:rsid w:val="00B46EC1"/>
    <w:rsid w:val="00B4728A"/>
    <w:rsid w:val="00B47715"/>
    <w:rsid w:val="00B4785B"/>
    <w:rsid w:val="00B47BC3"/>
    <w:rsid w:val="00B47CEB"/>
    <w:rsid w:val="00B51415"/>
    <w:rsid w:val="00B514A8"/>
    <w:rsid w:val="00B51864"/>
    <w:rsid w:val="00B51BFB"/>
    <w:rsid w:val="00B51CA7"/>
    <w:rsid w:val="00B52257"/>
    <w:rsid w:val="00B52518"/>
    <w:rsid w:val="00B52696"/>
    <w:rsid w:val="00B5278E"/>
    <w:rsid w:val="00B52886"/>
    <w:rsid w:val="00B52A79"/>
    <w:rsid w:val="00B53F67"/>
    <w:rsid w:val="00B542C6"/>
    <w:rsid w:val="00B54BAD"/>
    <w:rsid w:val="00B54C62"/>
    <w:rsid w:val="00B54E27"/>
    <w:rsid w:val="00B54F8F"/>
    <w:rsid w:val="00B5682D"/>
    <w:rsid w:val="00B60C24"/>
    <w:rsid w:val="00B60E37"/>
    <w:rsid w:val="00B60E76"/>
    <w:rsid w:val="00B60EC2"/>
    <w:rsid w:val="00B60F49"/>
    <w:rsid w:val="00B610B8"/>
    <w:rsid w:val="00B610FE"/>
    <w:rsid w:val="00B614B2"/>
    <w:rsid w:val="00B61577"/>
    <w:rsid w:val="00B61CC3"/>
    <w:rsid w:val="00B62CFE"/>
    <w:rsid w:val="00B62F02"/>
    <w:rsid w:val="00B63285"/>
    <w:rsid w:val="00B63399"/>
    <w:rsid w:val="00B63638"/>
    <w:rsid w:val="00B63676"/>
    <w:rsid w:val="00B63DCE"/>
    <w:rsid w:val="00B64113"/>
    <w:rsid w:val="00B644E7"/>
    <w:rsid w:val="00B6470E"/>
    <w:rsid w:val="00B65392"/>
    <w:rsid w:val="00B676CF"/>
    <w:rsid w:val="00B67C14"/>
    <w:rsid w:val="00B703A7"/>
    <w:rsid w:val="00B70AC5"/>
    <w:rsid w:val="00B70D45"/>
    <w:rsid w:val="00B71340"/>
    <w:rsid w:val="00B714D4"/>
    <w:rsid w:val="00B72318"/>
    <w:rsid w:val="00B73C91"/>
    <w:rsid w:val="00B7537A"/>
    <w:rsid w:val="00B75E22"/>
    <w:rsid w:val="00B760C1"/>
    <w:rsid w:val="00B763DF"/>
    <w:rsid w:val="00B767D7"/>
    <w:rsid w:val="00B76B58"/>
    <w:rsid w:val="00B80523"/>
    <w:rsid w:val="00B80D38"/>
    <w:rsid w:val="00B81728"/>
    <w:rsid w:val="00B8180E"/>
    <w:rsid w:val="00B81837"/>
    <w:rsid w:val="00B81ADE"/>
    <w:rsid w:val="00B82701"/>
    <w:rsid w:val="00B827BC"/>
    <w:rsid w:val="00B827FE"/>
    <w:rsid w:val="00B83E34"/>
    <w:rsid w:val="00B84A27"/>
    <w:rsid w:val="00B84E64"/>
    <w:rsid w:val="00B85130"/>
    <w:rsid w:val="00B853E5"/>
    <w:rsid w:val="00B85639"/>
    <w:rsid w:val="00B85872"/>
    <w:rsid w:val="00B85890"/>
    <w:rsid w:val="00B859AA"/>
    <w:rsid w:val="00B8607B"/>
    <w:rsid w:val="00B8614B"/>
    <w:rsid w:val="00B868D8"/>
    <w:rsid w:val="00B86FF2"/>
    <w:rsid w:val="00B86FF9"/>
    <w:rsid w:val="00B871C7"/>
    <w:rsid w:val="00B8761F"/>
    <w:rsid w:val="00B87DDA"/>
    <w:rsid w:val="00B90A2F"/>
    <w:rsid w:val="00B90C65"/>
    <w:rsid w:val="00B91337"/>
    <w:rsid w:val="00B91A62"/>
    <w:rsid w:val="00B91B3B"/>
    <w:rsid w:val="00B91CDB"/>
    <w:rsid w:val="00B91D5A"/>
    <w:rsid w:val="00B91D8F"/>
    <w:rsid w:val="00B92050"/>
    <w:rsid w:val="00B92068"/>
    <w:rsid w:val="00B921F4"/>
    <w:rsid w:val="00B9299A"/>
    <w:rsid w:val="00B936EB"/>
    <w:rsid w:val="00B93D98"/>
    <w:rsid w:val="00B94E58"/>
    <w:rsid w:val="00B953D2"/>
    <w:rsid w:val="00B964AE"/>
    <w:rsid w:val="00B9658E"/>
    <w:rsid w:val="00B96635"/>
    <w:rsid w:val="00B96662"/>
    <w:rsid w:val="00B96CE2"/>
    <w:rsid w:val="00B96E45"/>
    <w:rsid w:val="00B972C9"/>
    <w:rsid w:val="00BA0766"/>
    <w:rsid w:val="00BA0988"/>
    <w:rsid w:val="00BA099C"/>
    <w:rsid w:val="00BA0EDE"/>
    <w:rsid w:val="00BA1B1E"/>
    <w:rsid w:val="00BA2A67"/>
    <w:rsid w:val="00BA2B41"/>
    <w:rsid w:val="00BA2DA4"/>
    <w:rsid w:val="00BA337A"/>
    <w:rsid w:val="00BA36F5"/>
    <w:rsid w:val="00BA43B1"/>
    <w:rsid w:val="00BA59B4"/>
    <w:rsid w:val="00BA5B85"/>
    <w:rsid w:val="00BA62AD"/>
    <w:rsid w:val="00BA6565"/>
    <w:rsid w:val="00BA65BC"/>
    <w:rsid w:val="00BA77FC"/>
    <w:rsid w:val="00BA7840"/>
    <w:rsid w:val="00BA78C2"/>
    <w:rsid w:val="00BA7AE7"/>
    <w:rsid w:val="00BA7CB2"/>
    <w:rsid w:val="00BA7E88"/>
    <w:rsid w:val="00BB02AA"/>
    <w:rsid w:val="00BB0626"/>
    <w:rsid w:val="00BB0EB2"/>
    <w:rsid w:val="00BB14F9"/>
    <w:rsid w:val="00BB1D50"/>
    <w:rsid w:val="00BB1D98"/>
    <w:rsid w:val="00BB1FB1"/>
    <w:rsid w:val="00BB2224"/>
    <w:rsid w:val="00BB3511"/>
    <w:rsid w:val="00BB3C5C"/>
    <w:rsid w:val="00BB3DF8"/>
    <w:rsid w:val="00BB52E5"/>
    <w:rsid w:val="00BB597F"/>
    <w:rsid w:val="00BB686B"/>
    <w:rsid w:val="00BB6AB3"/>
    <w:rsid w:val="00BB74DB"/>
    <w:rsid w:val="00BB78C4"/>
    <w:rsid w:val="00BB7A66"/>
    <w:rsid w:val="00BB7D60"/>
    <w:rsid w:val="00BC0A78"/>
    <w:rsid w:val="00BC0C4F"/>
    <w:rsid w:val="00BC0F6F"/>
    <w:rsid w:val="00BC1166"/>
    <w:rsid w:val="00BC17BA"/>
    <w:rsid w:val="00BC19FC"/>
    <w:rsid w:val="00BC1E65"/>
    <w:rsid w:val="00BC23C6"/>
    <w:rsid w:val="00BC23D9"/>
    <w:rsid w:val="00BC257E"/>
    <w:rsid w:val="00BC2C03"/>
    <w:rsid w:val="00BC34D2"/>
    <w:rsid w:val="00BC3C29"/>
    <w:rsid w:val="00BC3D41"/>
    <w:rsid w:val="00BC3FCE"/>
    <w:rsid w:val="00BC4C0F"/>
    <w:rsid w:val="00BC564D"/>
    <w:rsid w:val="00BC62E1"/>
    <w:rsid w:val="00BC65FD"/>
    <w:rsid w:val="00BC67B3"/>
    <w:rsid w:val="00BC6AE4"/>
    <w:rsid w:val="00BC77CF"/>
    <w:rsid w:val="00BC7CBE"/>
    <w:rsid w:val="00BD14C3"/>
    <w:rsid w:val="00BD1502"/>
    <w:rsid w:val="00BD1A21"/>
    <w:rsid w:val="00BD256C"/>
    <w:rsid w:val="00BD3ABA"/>
    <w:rsid w:val="00BD3F95"/>
    <w:rsid w:val="00BD4532"/>
    <w:rsid w:val="00BD49BB"/>
    <w:rsid w:val="00BD4FB9"/>
    <w:rsid w:val="00BD5200"/>
    <w:rsid w:val="00BD5D94"/>
    <w:rsid w:val="00BD67EF"/>
    <w:rsid w:val="00BD6973"/>
    <w:rsid w:val="00BD6DA6"/>
    <w:rsid w:val="00BD751A"/>
    <w:rsid w:val="00BD7D36"/>
    <w:rsid w:val="00BD7D51"/>
    <w:rsid w:val="00BE00E7"/>
    <w:rsid w:val="00BE0C2E"/>
    <w:rsid w:val="00BE13AD"/>
    <w:rsid w:val="00BE1CCF"/>
    <w:rsid w:val="00BE1DEF"/>
    <w:rsid w:val="00BE1F3C"/>
    <w:rsid w:val="00BE22A8"/>
    <w:rsid w:val="00BE27D4"/>
    <w:rsid w:val="00BE2C55"/>
    <w:rsid w:val="00BE2FDC"/>
    <w:rsid w:val="00BE353E"/>
    <w:rsid w:val="00BE3566"/>
    <w:rsid w:val="00BE3CB9"/>
    <w:rsid w:val="00BE3E0D"/>
    <w:rsid w:val="00BE5245"/>
    <w:rsid w:val="00BE55D8"/>
    <w:rsid w:val="00BE5B8A"/>
    <w:rsid w:val="00BE62BF"/>
    <w:rsid w:val="00BE63D2"/>
    <w:rsid w:val="00BE6676"/>
    <w:rsid w:val="00BE6E12"/>
    <w:rsid w:val="00BE7518"/>
    <w:rsid w:val="00BE75D3"/>
    <w:rsid w:val="00BE78A4"/>
    <w:rsid w:val="00BE7A4C"/>
    <w:rsid w:val="00BF0DDD"/>
    <w:rsid w:val="00BF0E09"/>
    <w:rsid w:val="00BF19A4"/>
    <w:rsid w:val="00BF1BB1"/>
    <w:rsid w:val="00BF1DA4"/>
    <w:rsid w:val="00BF2074"/>
    <w:rsid w:val="00BF21CD"/>
    <w:rsid w:val="00BF2B44"/>
    <w:rsid w:val="00BF365C"/>
    <w:rsid w:val="00BF394C"/>
    <w:rsid w:val="00BF48E2"/>
    <w:rsid w:val="00BF4C4C"/>
    <w:rsid w:val="00BF54D2"/>
    <w:rsid w:val="00BF5F8F"/>
    <w:rsid w:val="00BF640B"/>
    <w:rsid w:val="00BF78BE"/>
    <w:rsid w:val="00BF7C83"/>
    <w:rsid w:val="00C018DA"/>
    <w:rsid w:val="00C0294F"/>
    <w:rsid w:val="00C02BCE"/>
    <w:rsid w:val="00C02D4E"/>
    <w:rsid w:val="00C03357"/>
    <w:rsid w:val="00C03737"/>
    <w:rsid w:val="00C03BC3"/>
    <w:rsid w:val="00C0455B"/>
    <w:rsid w:val="00C0522B"/>
    <w:rsid w:val="00C05B80"/>
    <w:rsid w:val="00C06193"/>
    <w:rsid w:val="00C07051"/>
    <w:rsid w:val="00C10205"/>
    <w:rsid w:val="00C10BE6"/>
    <w:rsid w:val="00C11172"/>
    <w:rsid w:val="00C111B2"/>
    <w:rsid w:val="00C11224"/>
    <w:rsid w:val="00C11386"/>
    <w:rsid w:val="00C11C86"/>
    <w:rsid w:val="00C11FB8"/>
    <w:rsid w:val="00C1246C"/>
    <w:rsid w:val="00C12592"/>
    <w:rsid w:val="00C12737"/>
    <w:rsid w:val="00C13383"/>
    <w:rsid w:val="00C13F09"/>
    <w:rsid w:val="00C15C18"/>
    <w:rsid w:val="00C15C4E"/>
    <w:rsid w:val="00C16AA8"/>
    <w:rsid w:val="00C16E17"/>
    <w:rsid w:val="00C17789"/>
    <w:rsid w:val="00C17AEE"/>
    <w:rsid w:val="00C20557"/>
    <w:rsid w:val="00C20CFE"/>
    <w:rsid w:val="00C20DB8"/>
    <w:rsid w:val="00C2107B"/>
    <w:rsid w:val="00C21628"/>
    <w:rsid w:val="00C21C6B"/>
    <w:rsid w:val="00C222C3"/>
    <w:rsid w:val="00C2270A"/>
    <w:rsid w:val="00C233F9"/>
    <w:rsid w:val="00C241A4"/>
    <w:rsid w:val="00C244D4"/>
    <w:rsid w:val="00C24E55"/>
    <w:rsid w:val="00C2677A"/>
    <w:rsid w:val="00C26AC1"/>
    <w:rsid w:val="00C27313"/>
    <w:rsid w:val="00C27C17"/>
    <w:rsid w:val="00C27CDC"/>
    <w:rsid w:val="00C27EAC"/>
    <w:rsid w:val="00C305F0"/>
    <w:rsid w:val="00C320DC"/>
    <w:rsid w:val="00C3269A"/>
    <w:rsid w:val="00C32CE4"/>
    <w:rsid w:val="00C34250"/>
    <w:rsid w:val="00C34E1B"/>
    <w:rsid w:val="00C34FAA"/>
    <w:rsid w:val="00C3516C"/>
    <w:rsid w:val="00C353C5"/>
    <w:rsid w:val="00C35955"/>
    <w:rsid w:val="00C35C0D"/>
    <w:rsid w:val="00C35CCF"/>
    <w:rsid w:val="00C36225"/>
    <w:rsid w:val="00C36438"/>
    <w:rsid w:val="00C36C2A"/>
    <w:rsid w:val="00C36C2D"/>
    <w:rsid w:val="00C36CAE"/>
    <w:rsid w:val="00C372B0"/>
    <w:rsid w:val="00C377FE"/>
    <w:rsid w:val="00C416DB"/>
    <w:rsid w:val="00C417E9"/>
    <w:rsid w:val="00C42037"/>
    <w:rsid w:val="00C423D3"/>
    <w:rsid w:val="00C42479"/>
    <w:rsid w:val="00C42FC8"/>
    <w:rsid w:val="00C43AD8"/>
    <w:rsid w:val="00C43CF3"/>
    <w:rsid w:val="00C44367"/>
    <w:rsid w:val="00C44518"/>
    <w:rsid w:val="00C4454F"/>
    <w:rsid w:val="00C44BB9"/>
    <w:rsid w:val="00C45AD3"/>
    <w:rsid w:val="00C460F4"/>
    <w:rsid w:val="00C4617F"/>
    <w:rsid w:val="00C461C1"/>
    <w:rsid w:val="00C467A8"/>
    <w:rsid w:val="00C467AA"/>
    <w:rsid w:val="00C46A33"/>
    <w:rsid w:val="00C470DD"/>
    <w:rsid w:val="00C47492"/>
    <w:rsid w:val="00C47AFE"/>
    <w:rsid w:val="00C47D9C"/>
    <w:rsid w:val="00C50692"/>
    <w:rsid w:val="00C506C9"/>
    <w:rsid w:val="00C506EC"/>
    <w:rsid w:val="00C50917"/>
    <w:rsid w:val="00C50EC0"/>
    <w:rsid w:val="00C50F81"/>
    <w:rsid w:val="00C516BF"/>
    <w:rsid w:val="00C52102"/>
    <w:rsid w:val="00C524AA"/>
    <w:rsid w:val="00C52679"/>
    <w:rsid w:val="00C52EA3"/>
    <w:rsid w:val="00C52EFC"/>
    <w:rsid w:val="00C52FD1"/>
    <w:rsid w:val="00C53C15"/>
    <w:rsid w:val="00C53C5B"/>
    <w:rsid w:val="00C54106"/>
    <w:rsid w:val="00C545A0"/>
    <w:rsid w:val="00C56317"/>
    <w:rsid w:val="00C56F1B"/>
    <w:rsid w:val="00C56FA1"/>
    <w:rsid w:val="00C578E6"/>
    <w:rsid w:val="00C602C2"/>
    <w:rsid w:val="00C60865"/>
    <w:rsid w:val="00C60EF5"/>
    <w:rsid w:val="00C6159F"/>
    <w:rsid w:val="00C6205A"/>
    <w:rsid w:val="00C6210C"/>
    <w:rsid w:val="00C62690"/>
    <w:rsid w:val="00C627BA"/>
    <w:rsid w:val="00C62C8D"/>
    <w:rsid w:val="00C62CA1"/>
    <w:rsid w:val="00C62F26"/>
    <w:rsid w:val="00C62F71"/>
    <w:rsid w:val="00C63AA7"/>
    <w:rsid w:val="00C64020"/>
    <w:rsid w:val="00C64485"/>
    <w:rsid w:val="00C652F9"/>
    <w:rsid w:val="00C659CD"/>
    <w:rsid w:val="00C65DE4"/>
    <w:rsid w:val="00C6651B"/>
    <w:rsid w:val="00C666F7"/>
    <w:rsid w:val="00C66A68"/>
    <w:rsid w:val="00C6771A"/>
    <w:rsid w:val="00C677A6"/>
    <w:rsid w:val="00C67AB4"/>
    <w:rsid w:val="00C67C21"/>
    <w:rsid w:val="00C707F2"/>
    <w:rsid w:val="00C709F5"/>
    <w:rsid w:val="00C70BDA"/>
    <w:rsid w:val="00C713E8"/>
    <w:rsid w:val="00C71873"/>
    <w:rsid w:val="00C724B4"/>
    <w:rsid w:val="00C72669"/>
    <w:rsid w:val="00C727CD"/>
    <w:rsid w:val="00C73456"/>
    <w:rsid w:val="00C73632"/>
    <w:rsid w:val="00C73A33"/>
    <w:rsid w:val="00C73DC3"/>
    <w:rsid w:val="00C73ED8"/>
    <w:rsid w:val="00C74584"/>
    <w:rsid w:val="00C74C1D"/>
    <w:rsid w:val="00C75834"/>
    <w:rsid w:val="00C75B05"/>
    <w:rsid w:val="00C76131"/>
    <w:rsid w:val="00C762F7"/>
    <w:rsid w:val="00C763D9"/>
    <w:rsid w:val="00C76B6C"/>
    <w:rsid w:val="00C77445"/>
    <w:rsid w:val="00C77EF7"/>
    <w:rsid w:val="00C77FC6"/>
    <w:rsid w:val="00C803DB"/>
    <w:rsid w:val="00C806D6"/>
    <w:rsid w:val="00C814AD"/>
    <w:rsid w:val="00C81760"/>
    <w:rsid w:val="00C81DE4"/>
    <w:rsid w:val="00C82990"/>
    <w:rsid w:val="00C82B53"/>
    <w:rsid w:val="00C82D85"/>
    <w:rsid w:val="00C836D6"/>
    <w:rsid w:val="00C83CDC"/>
    <w:rsid w:val="00C85036"/>
    <w:rsid w:val="00C85470"/>
    <w:rsid w:val="00C855D6"/>
    <w:rsid w:val="00C8593E"/>
    <w:rsid w:val="00C85D29"/>
    <w:rsid w:val="00C90090"/>
    <w:rsid w:val="00C9028A"/>
    <w:rsid w:val="00C90754"/>
    <w:rsid w:val="00C90D10"/>
    <w:rsid w:val="00C91053"/>
    <w:rsid w:val="00C9166A"/>
    <w:rsid w:val="00C917EA"/>
    <w:rsid w:val="00C91B1C"/>
    <w:rsid w:val="00C91F53"/>
    <w:rsid w:val="00C92023"/>
    <w:rsid w:val="00C92F8F"/>
    <w:rsid w:val="00C93079"/>
    <w:rsid w:val="00C935AE"/>
    <w:rsid w:val="00C9360F"/>
    <w:rsid w:val="00C93D47"/>
    <w:rsid w:val="00C94554"/>
    <w:rsid w:val="00C94F98"/>
    <w:rsid w:val="00C957F8"/>
    <w:rsid w:val="00C95933"/>
    <w:rsid w:val="00C95B88"/>
    <w:rsid w:val="00C95C9E"/>
    <w:rsid w:val="00C96D1C"/>
    <w:rsid w:val="00C97E23"/>
    <w:rsid w:val="00CA01FC"/>
    <w:rsid w:val="00CA083D"/>
    <w:rsid w:val="00CA0A44"/>
    <w:rsid w:val="00CA1204"/>
    <w:rsid w:val="00CA1716"/>
    <w:rsid w:val="00CA202F"/>
    <w:rsid w:val="00CA236C"/>
    <w:rsid w:val="00CA2C32"/>
    <w:rsid w:val="00CA388C"/>
    <w:rsid w:val="00CA421A"/>
    <w:rsid w:val="00CA46EA"/>
    <w:rsid w:val="00CA5239"/>
    <w:rsid w:val="00CA5875"/>
    <w:rsid w:val="00CA6958"/>
    <w:rsid w:val="00CA718A"/>
    <w:rsid w:val="00CA7591"/>
    <w:rsid w:val="00CB06D9"/>
    <w:rsid w:val="00CB0A26"/>
    <w:rsid w:val="00CB10E8"/>
    <w:rsid w:val="00CB18CC"/>
    <w:rsid w:val="00CB212A"/>
    <w:rsid w:val="00CB24AD"/>
    <w:rsid w:val="00CB29A0"/>
    <w:rsid w:val="00CB2BDA"/>
    <w:rsid w:val="00CB4316"/>
    <w:rsid w:val="00CB44A1"/>
    <w:rsid w:val="00CB4DBB"/>
    <w:rsid w:val="00CB4FFA"/>
    <w:rsid w:val="00CB5A1F"/>
    <w:rsid w:val="00CB5ED1"/>
    <w:rsid w:val="00CB6EAC"/>
    <w:rsid w:val="00CB700B"/>
    <w:rsid w:val="00CB74D6"/>
    <w:rsid w:val="00CB7C0D"/>
    <w:rsid w:val="00CB7E9D"/>
    <w:rsid w:val="00CB7EE9"/>
    <w:rsid w:val="00CC00C4"/>
    <w:rsid w:val="00CC0934"/>
    <w:rsid w:val="00CC0C88"/>
    <w:rsid w:val="00CC0D22"/>
    <w:rsid w:val="00CC1622"/>
    <w:rsid w:val="00CC1815"/>
    <w:rsid w:val="00CC1A4F"/>
    <w:rsid w:val="00CC1A9E"/>
    <w:rsid w:val="00CC1C11"/>
    <w:rsid w:val="00CC1C34"/>
    <w:rsid w:val="00CC2094"/>
    <w:rsid w:val="00CC2266"/>
    <w:rsid w:val="00CC24BD"/>
    <w:rsid w:val="00CC288E"/>
    <w:rsid w:val="00CC2F9F"/>
    <w:rsid w:val="00CC40D4"/>
    <w:rsid w:val="00CC418D"/>
    <w:rsid w:val="00CC536E"/>
    <w:rsid w:val="00CC55DA"/>
    <w:rsid w:val="00CC5A9A"/>
    <w:rsid w:val="00CC5C5E"/>
    <w:rsid w:val="00CC5E2D"/>
    <w:rsid w:val="00CC66BF"/>
    <w:rsid w:val="00CC6A16"/>
    <w:rsid w:val="00CC7E03"/>
    <w:rsid w:val="00CC7E2C"/>
    <w:rsid w:val="00CD0063"/>
    <w:rsid w:val="00CD030B"/>
    <w:rsid w:val="00CD1903"/>
    <w:rsid w:val="00CD1A44"/>
    <w:rsid w:val="00CD1C91"/>
    <w:rsid w:val="00CD24A8"/>
    <w:rsid w:val="00CD4160"/>
    <w:rsid w:val="00CD427A"/>
    <w:rsid w:val="00CD47CD"/>
    <w:rsid w:val="00CD4CA4"/>
    <w:rsid w:val="00CD4EA5"/>
    <w:rsid w:val="00CD567A"/>
    <w:rsid w:val="00CD6CDA"/>
    <w:rsid w:val="00CD6E03"/>
    <w:rsid w:val="00CD7534"/>
    <w:rsid w:val="00CD7585"/>
    <w:rsid w:val="00CD79C0"/>
    <w:rsid w:val="00CD7A2C"/>
    <w:rsid w:val="00CE0907"/>
    <w:rsid w:val="00CE15D8"/>
    <w:rsid w:val="00CE1AF4"/>
    <w:rsid w:val="00CE23D1"/>
    <w:rsid w:val="00CE319D"/>
    <w:rsid w:val="00CE3495"/>
    <w:rsid w:val="00CE3527"/>
    <w:rsid w:val="00CE3746"/>
    <w:rsid w:val="00CE4399"/>
    <w:rsid w:val="00CE5381"/>
    <w:rsid w:val="00CE549D"/>
    <w:rsid w:val="00CE581F"/>
    <w:rsid w:val="00CE5B4C"/>
    <w:rsid w:val="00CE6086"/>
    <w:rsid w:val="00CE60C2"/>
    <w:rsid w:val="00CE6773"/>
    <w:rsid w:val="00CE6801"/>
    <w:rsid w:val="00CE6ACC"/>
    <w:rsid w:val="00CE7CB9"/>
    <w:rsid w:val="00CF0D40"/>
    <w:rsid w:val="00CF0E30"/>
    <w:rsid w:val="00CF0E50"/>
    <w:rsid w:val="00CF1A93"/>
    <w:rsid w:val="00CF233A"/>
    <w:rsid w:val="00CF2770"/>
    <w:rsid w:val="00CF2EAD"/>
    <w:rsid w:val="00CF3187"/>
    <w:rsid w:val="00CF3AAB"/>
    <w:rsid w:val="00CF3EA8"/>
    <w:rsid w:val="00CF4AF0"/>
    <w:rsid w:val="00CF4CE9"/>
    <w:rsid w:val="00CF4F4D"/>
    <w:rsid w:val="00CF619F"/>
    <w:rsid w:val="00CF6FEB"/>
    <w:rsid w:val="00CF73AD"/>
    <w:rsid w:val="00CF74FE"/>
    <w:rsid w:val="00CF7B4A"/>
    <w:rsid w:val="00CF7D2D"/>
    <w:rsid w:val="00CF7F0B"/>
    <w:rsid w:val="00D0098A"/>
    <w:rsid w:val="00D00A49"/>
    <w:rsid w:val="00D00C2F"/>
    <w:rsid w:val="00D0119A"/>
    <w:rsid w:val="00D0149E"/>
    <w:rsid w:val="00D016A8"/>
    <w:rsid w:val="00D01B5B"/>
    <w:rsid w:val="00D0200E"/>
    <w:rsid w:val="00D0224D"/>
    <w:rsid w:val="00D02AE7"/>
    <w:rsid w:val="00D032A5"/>
    <w:rsid w:val="00D033EA"/>
    <w:rsid w:val="00D034EF"/>
    <w:rsid w:val="00D0371A"/>
    <w:rsid w:val="00D03CA2"/>
    <w:rsid w:val="00D03F3F"/>
    <w:rsid w:val="00D04381"/>
    <w:rsid w:val="00D04A2B"/>
    <w:rsid w:val="00D04B19"/>
    <w:rsid w:val="00D05FEE"/>
    <w:rsid w:val="00D0674F"/>
    <w:rsid w:val="00D076CB"/>
    <w:rsid w:val="00D106E1"/>
    <w:rsid w:val="00D111E8"/>
    <w:rsid w:val="00D11F16"/>
    <w:rsid w:val="00D12F5D"/>
    <w:rsid w:val="00D1359E"/>
    <w:rsid w:val="00D137AE"/>
    <w:rsid w:val="00D13D46"/>
    <w:rsid w:val="00D14F0E"/>
    <w:rsid w:val="00D15080"/>
    <w:rsid w:val="00D163CC"/>
    <w:rsid w:val="00D1781A"/>
    <w:rsid w:val="00D17866"/>
    <w:rsid w:val="00D20C96"/>
    <w:rsid w:val="00D216E8"/>
    <w:rsid w:val="00D21AE7"/>
    <w:rsid w:val="00D22102"/>
    <w:rsid w:val="00D227A1"/>
    <w:rsid w:val="00D230D2"/>
    <w:rsid w:val="00D23123"/>
    <w:rsid w:val="00D23384"/>
    <w:rsid w:val="00D23437"/>
    <w:rsid w:val="00D239D7"/>
    <w:rsid w:val="00D2412C"/>
    <w:rsid w:val="00D24802"/>
    <w:rsid w:val="00D24D58"/>
    <w:rsid w:val="00D2564A"/>
    <w:rsid w:val="00D25955"/>
    <w:rsid w:val="00D26161"/>
    <w:rsid w:val="00D26403"/>
    <w:rsid w:val="00D266B8"/>
    <w:rsid w:val="00D26BD4"/>
    <w:rsid w:val="00D26E80"/>
    <w:rsid w:val="00D30164"/>
    <w:rsid w:val="00D30212"/>
    <w:rsid w:val="00D31BD5"/>
    <w:rsid w:val="00D31D00"/>
    <w:rsid w:val="00D31DB5"/>
    <w:rsid w:val="00D321C2"/>
    <w:rsid w:val="00D329F8"/>
    <w:rsid w:val="00D330A2"/>
    <w:rsid w:val="00D33669"/>
    <w:rsid w:val="00D33BE1"/>
    <w:rsid w:val="00D33CC6"/>
    <w:rsid w:val="00D34586"/>
    <w:rsid w:val="00D35362"/>
    <w:rsid w:val="00D35916"/>
    <w:rsid w:val="00D365ED"/>
    <w:rsid w:val="00D36E3B"/>
    <w:rsid w:val="00D37029"/>
    <w:rsid w:val="00D379DF"/>
    <w:rsid w:val="00D37D85"/>
    <w:rsid w:val="00D40685"/>
    <w:rsid w:val="00D409D7"/>
    <w:rsid w:val="00D41AD2"/>
    <w:rsid w:val="00D41D2B"/>
    <w:rsid w:val="00D42121"/>
    <w:rsid w:val="00D42F2E"/>
    <w:rsid w:val="00D42F67"/>
    <w:rsid w:val="00D4315B"/>
    <w:rsid w:val="00D43A37"/>
    <w:rsid w:val="00D443B1"/>
    <w:rsid w:val="00D449A3"/>
    <w:rsid w:val="00D449BB"/>
    <w:rsid w:val="00D452CC"/>
    <w:rsid w:val="00D45720"/>
    <w:rsid w:val="00D45995"/>
    <w:rsid w:val="00D45FD0"/>
    <w:rsid w:val="00D46E0D"/>
    <w:rsid w:val="00D47606"/>
    <w:rsid w:val="00D47A01"/>
    <w:rsid w:val="00D47A55"/>
    <w:rsid w:val="00D5087B"/>
    <w:rsid w:val="00D50E42"/>
    <w:rsid w:val="00D50ED9"/>
    <w:rsid w:val="00D51026"/>
    <w:rsid w:val="00D521AA"/>
    <w:rsid w:val="00D52354"/>
    <w:rsid w:val="00D52620"/>
    <w:rsid w:val="00D52A88"/>
    <w:rsid w:val="00D52BD5"/>
    <w:rsid w:val="00D52D8B"/>
    <w:rsid w:val="00D53467"/>
    <w:rsid w:val="00D537BA"/>
    <w:rsid w:val="00D5381A"/>
    <w:rsid w:val="00D54026"/>
    <w:rsid w:val="00D5406D"/>
    <w:rsid w:val="00D54458"/>
    <w:rsid w:val="00D54A51"/>
    <w:rsid w:val="00D5527C"/>
    <w:rsid w:val="00D5533E"/>
    <w:rsid w:val="00D554A8"/>
    <w:rsid w:val="00D55807"/>
    <w:rsid w:val="00D558A2"/>
    <w:rsid w:val="00D56459"/>
    <w:rsid w:val="00D576E5"/>
    <w:rsid w:val="00D57BAB"/>
    <w:rsid w:val="00D601E8"/>
    <w:rsid w:val="00D602DD"/>
    <w:rsid w:val="00D6042E"/>
    <w:rsid w:val="00D609E0"/>
    <w:rsid w:val="00D60B46"/>
    <w:rsid w:val="00D60C55"/>
    <w:rsid w:val="00D61292"/>
    <w:rsid w:val="00D61302"/>
    <w:rsid w:val="00D61AEB"/>
    <w:rsid w:val="00D6215D"/>
    <w:rsid w:val="00D625F5"/>
    <w:rsid w:val="00D6262F"/>
    <w:rsid w:val="00D62909"/>
    <w:rsid w:val="00D62CC1"/>
    <w:rsid w:val="00D6375A"/>
    <w:rsid w:val="00D6375C"/>
    <w:rsid w:val="00D638DA"/>
    <w:rsid w:val="00D63D15"/>
    <w:rsid w:val="00D63D54"/>
    <w:rsid w:val="00D63D8F"/>
    <w:rsid w:val="00D64635"/>
    <w:rsid w:val="00D65861"/>
    <w:rsid w:val="00D65E62"/>
    <w:rsid w:val="00D664AF"/>
    <w:rsid w:val="00D66893"/>
    <w:rsid w:val="00D66AAE"/>
    <w:rsid w:val="00D67B4F"/>
    <w:rsid w:val="00D70085"/>
    <w:rsid w:val="00D703BF"/>
    <w:rsid w:val="00D70BFA"/>
    <w:rsid w:val="00D7249F"/>
    <w:rsid w:val="00D72A2F"/>
    <w:rsid w:val="00D73A5A"/>
    <w:rsid w:val="00D73B44"/>
    <w:rsid w:val="00D73C32"/>
    <w:rsid w:val="00D73C4A"/>
    <w:rsid w:val="00D748E4"/>
    <w:rsid w:val="00D75FA7"/>
    <w:rsid w:val="00D763D4"/>
    <w:rsid w:val="00D766BF"/>
    <w:rsid w:val="00D76A5F"/>
    <w:rsid w:val="00D76E3F"/>
    <w:rsid w:val="00D76F5D"/>
    <w:rsid w:val="00D8014B"/>
    <w:rsid w:val="00D80401"/>
    <w:rsid w:val="00D805DE"/>
    <w:rsid w:val="00D80623"/>
    <w:rsid w:val="00D80907"/>
    <w:rsid w:val="00D80F88"/>
    <w:rsid w:val="00D812EE"/>
    <w:rsid w:val="00D82153"/>
    <w:rsid w:val="00D8230C"/>
    <w:rsid w:val="00D83400"/>
    <w:rsid w:val="00D8346A"/>
    <w:rsid w:val="00D834C6"/>
    <w:rsid w:val="00D8368A"/>
    <w:rsid w:val="00D83F1E"/>
    <w:rsid w:val="00D84598"/>
    <w:rsid w:val="00D84657"/>
    <w:rsid w:val="00D8493E"/>
    <w:rsid w:val="00D84AFF"/>
    <w:rsid w:val="00D84FEA"/>
    <w:rsid w:val="00D85637"/>
    <w:rsid w:val="00D85B97"/>
    <w:rsid w:val="00D86467"/>
    <w:rsid w:val="00D86822"/>
    <w:rsid w:val="00D86C0B"/>
    <w:rsid w:val="00D87262"/>
    <w:rsid w:val="00D87B49"/>
    <w:rsid w:val="00D90119"/>
    <w:rsid w:val="00D9051C"/>
    <w:rsid w:val="00D90AF9"/>
    <w:rsid w:val="00D915C0"/>
    <w:rsid w:val="00D91789"/>
    <w:rsid w:val="00D91795"/>
    <w:rsid w:val="00D91AD7"/>
    <w:rsid w:val="00D91C06"/>
    <w:rsid w:val="00D91DAB"/>
    <w:rsid w:val="00D921E1"/>
    <w:rsid w:val="00D927D0"/>
    <w:rsid w:val="00D928E7"/>
    <w:rsid w:val="00D930C1"/>
    <w:rsid w:val="00D940DF"/>
    <w:rsid w:val="00D9472D"/>
    <w:rsid w:val="00D95685"/>
    <w:rsid w:val="00D96291"/>
    <w:rsid w:val="00D97059"/>
    <w:rsid w:val="00D97069"/>
    <w:rsid w:val="00D97445"/>
    <w:rsid w:val="00D975D7"/>
    <w:rsid w:val="00D97839"/>
    <w:rsid w:val="00D97A23"/>
    <w:rsid w:val="00D97BE1"/>
    <w:rsid w:val="00D97BF5"/>
    <w:rsid w:val="00DA004E"/>
    <w:rsid w:val="00DA04CF"/>
    <w:rsid w:val="00DA0BEB"/>
    <w:rsid w:val="00DA0CA5"/>
    <w:rsid w:val="00DA110C"/>
    <w:rsid w:val="00DA13FC"/>
    <w:rsid w:val="00DA1AF6"/>
    <w:rsid w:val="00DA1D83"/>
    <w:rsid w:val="00DA2060"/>
    <w:rsid w:val="00DA26A9"/>
    <w:rsid w:val="00DA2CBA"/>
    <w:rsid w:val="00DA30C3"/>
    <w:rsid w:val="00DA31D6"/>
    <w:rsid w:val="00DA3859"/>
    <w:rsid w:val="00DA3A6E"/>
    <w:rsid w:val="00DA3A98"/>
    <w:rsid w:val="00DA3FA2"/>
    <w:rsid w:val="00DA4261"/>
    <w:rsid w:val="00DA4529"/>
    <w:rsid w:val="00DA56B5"/>
    <w:rsid w:val="00DA5915"/>
    <w:rsid w:val="00DA692F"/>
    <w:rsid w:val="00DA6B46"/>
    <w:rsid w:val="00DA6E64"/>
    <w:rsid w:val="00DA7180"/>
    <w:rsid w:val="00DA7971"/>
    <w:rsid w:val="00DA7C70"/>
    <w:rsid w:val="00DA7E26"/>
    <w:rsid w:val="00DB00E0"/>
    <w:rsid w:val="00DB01DA"/>
    <w:rsid w:val="00DB03DC"/>
    <w:rsid w:val="00DB0846"/>
    <w:rsid w:val="00DB0C85"/>
    <w:rsid w:val="00DB1200"/>
    <w:rsid w:val="00DB1A82"/>
    <w:rsid w:val="00DB1B75"/>
    <w:rsid w:val="00DB1D31"/>
    <w:rsid w:val="00DB21E5"/>
    <w:rsid w:val="00DB241D"/>
    <w:rsid w:val="00DB293A"/>
    <w:rsid w:val="00DB3A60"/>
    <w:rsid w:val="00DB444D"/>
    <w:rsid w:val="00DB44E1"/>
    <w:rsid w:val="00DB4E6A"/>
    <w:rsid w:val="00DB57F2"/>
    <w:rsid w:val="00DB7F3E"/>
    <w:rsid w:val="00DB7F8A"/>
    <w:rsid w:val="00DC03E7"/>
    <w:rsid w:val="00DC0B44"/>
    <w:rsid w:val="00DC0BF7"/>
    <w:rsid w:val="00DC0E7A"/>
    <w:rsid w:val="00DC1494"/>
    <w:rsid w:val="00DC1B42"/>
    <w:rsid w:val="00DC1C8D"/>
    <w:rsid w:val="00DC1FB2"/>
    <w:rsid w:val="00DC2283"/>
    <w:rsid w:val="00DC22AF"/>
    <w:rsid w:val="00DC2B61"/>
    <w:rsid w:val="00DC4FEA"/>
    <w:rsid w:val="00DC52AF"/>
    <w:rsid w:val="00DC5934"/>
    <w:rsid w:val="00DC5DBA"/>
    <w:rsid w:val="00DC6E42"/>
    <w:rsid w:val="00DC70C9"/>
    <w:rsid w:val="00DC73C4"/>
    <w:rsid w:val="00DC74E6"/>
    <w:rsid w:val="00DC7565"/>
    <w:rsid w:val="00DC7CF8"/>
    <w:rsid w:val="00DC7F37"/>
    <w:rsid w:val="00DD028B"/>
    <w:rsid w:val="00DD0ADA"/>
    <w:rsid w:val="00DD0F88"/>
    <w:rsid w:val="00DD10FE"/>
    <w:rsid w:val="00DD14FB"/>
    <w:rsid w:val="00DD1889"/>
    <w:rsid w:val="00DD1A5D"/>
    <w:rsid w:val="00DD1DDB"/>
    <w:rsid w:val="00DD21F5"/>
    <w:rsid w:val="00DD2422"/>
    <w:rsid w:val="00DD2B06"/>
    <w:rsid w:val="00DD30D7"/>
    <w:rsid w:val="00DD3888"/>
    <w:rsid w:val="00DD39FD"/>
    <w:rsid w:val="00DD3EC7"/>
    <w:rsid w:val="00DD4066"/>
    <w:rsid w:val="00DD41E2"/>
    <w:rsid w:val="00DD4301"/>
    <w:rsid w:val="00DD47A1"/>
    <w:rsid w:val="00DD4B2D"/>
    <w:rsid w:val="00DD5055"/>
    <w:rsid w:val="00DD5595"/>
    <w:rsid w:val="00DD5681"/>
    <w:rsid w:val="00DD7046"/>
    <w:rsid w:val="00DD713E"/>
    <w:rsid w:val="00DE0187"/>
    <w:rsid w:val="00DE0D69"/>
    <w:rsid w:val="00DE1070"/>
    <w:rsid w:val="00DE144F"/>
    <w:rsid w:val="00DE1CB1"/>
    <w:rsid w:val="00DE1EE1"/>
    <w:rsid w:val="00DE2027"/>
    <w:rsid w:val="00DE20DC"/>
    <w:rsid w:val="00DE24ED"/>
    <w:rsid w:val="00DE2655"/>
    <w:rsid w:val="00DE291D"/>
    <w:rsid w:val="00DE2D08"/>
    <w:rsid w:val="00DE2D16"/>
    <w:rsid w:val="00DE2E5B"/>
    <w:rsid w:val="00DE3704"/>
    <w:rsid w:val="00DE3B72"/>
    <w:rsid w:val="00DE3C6A"/>
    <w:rsid w:val="00DE4036"/>
    <w:rsid w:val="00DE4199"/>
    <w:rsid w:val="00DE47B6"/>
    <w:rsid w:val="00DE4B36"/>
    <w:rsid w:val="00DE59DF"/>
    <w:rsid w:val="00DE63A3"/>
    <w:rsid w:val="00DE666E"/>
    <w:rsid w:val="00DE66D6"/>
    <w:rsid w:val="00DE69F6"/>
    <w:rsid w:val="00DE6C9B"/>
    <w:rsid w:val="00DE6CEF"/>
    <w:rsid w:val="00DE770C"/>
    <w:rsid w:val="00DE7AA9"/>
    <w:rsid w:val="00DE7BDF"/>
    <w:rsid w:val="00DF051B"/>
    <w:rsid w:val="00DF06E4"/>
    <w:rsid w:val="00DF076C"/>
    <w:rsid w:val="00DF0C25"/>
    <w:rsid w:val="00DF0EAD"/>
    <w:rsid w:val="00DF141F"/>
    <w:rsid w:val="00DF15C8"/>
    <w:rsid w:val="00DF1916"/>
    <w:rsid w:val="00DF1C17"/>
    <w:rsid w:val="00DF1ECF"/>
    <w:rsid w:val="00DF1F89"/>
    <w:rsid w:val="00DF25DF"/>
    <w:rsid w:val="00DF31A8"/>
    <w:rsid w:val="00DF3375"/>
    <w:rsid w:val="00DF401B"/>
    <w:rsid w:val="00DF4E0D"/>
    <w:rsid w:val="00DF5355"/>
    <w:rsid w:val="00DF58A3"/>
    <w:rsid w:val="00DF67EB"/>
    <w:rsid w:val="00DF7534"/>
    <w:rsid w:val="00DF7DFD"/>
    <w:rsid w:val="00DF7F27"/>
    <w:rsid w:val="00E0053C"/>
    <w:rsid w:val="00E00B17"/>
    <w:rsid w:val="00E013DB"/>
    <w:rsid w:val="00E01BCB"/>
    <w:rsid w:val="00E01CE0"/>
    <w:rsid w:val="00E020FB"/>
    <w:rsid w:val="00E0263D"/>
    <w:rsid w:val="00E02C85"/>
    <w:rsid w:val="00E031FD"/>
    <w:rsid w:val="00E0343B"/>
    <w:rsid w:val="00E03740"/>
    <w:rsid w:val="00E0437A"/>
    <w:rsid w:val="00E0480F"/>
    <w:rsid w:val="00E0532A"/>
    <w:rsid w:val="00E0636D"/>
    <w:rsid w:val="00E0740B"/>
    <w:rsid w:val="00E074F0"/>
    <w:rsid w:val="00E100B1"/>
    <w:rsid w:val="00E103C4"/>
    <w:rsid w:val="00E105A5"/>
    <w:rsid w:val="00E1107D"/>
    <w:rsid w:val="00E113D8"/>
    <w:rsid w:val="00E123F9"/>
    <w:rsid w:val="00E131B1"/>
    <w:rsid w:val="00E141D5"/>
    <w:rsid w:val="00E143E5"/>
    <w:rsid w:val="00E14400"/>
    <w:rsid w:val="00E144DB"/>
    <w:rsid w:val="00E1470F"/>
    <w:rsid w:val="00E1481D"/>
    <w:rsid w:val="00E14981"/>
    <w:rsid w:val="00E14FB1"/>
    <w:rsid w:val="00E1535F"/>
    <w:rsid w:val="00E15907"/>
    <w:rsid w:val="00E15C65"/>
    <w:rsid w:val="00E15D3E"/>
    <w:rsid w:val="00E16065"/>
    <w:rsid w:val="00E162C6"/>
    <w:rsid w:val="00E16780"/>
    <w:rsid w:val="00E17D9D"/>
    <w:rsid w:val="00E2101A"/>
    <w:rsid w:val="00E2136B"/>
    <w:rsid w:val="00E21BA6"/>
    <w:rsid w:val="00E22256"/>
    <w:rsid w:val="00E22696"/>
    <w:rsid w:val="00E22717"/>
    <w:rsid w:val="00E22F67"/>
    <w:rsid w:val="00E233A0"/>
    <w:rsid w:val="00E233B0"/>
    <w:rsid w:val="00E23765"/>
    <w:rsid w:val="00E23899"/>
    <w:rsid w:val="00E238DF"/>
    <w:rsid w:val="00E23BE6"/>
    <w:rsid w:val="00E2433E"/>
    <w:rsid w:val="00E247F5"/>
    <w:rsid w:val="00E24CAE"/>
    <w:rsid w:val="00E24CD9"/>
    <w:rsid w:val="00E25143"/>
    <w:rsid w:val="00E255B6"/>
    <w:rsid w:val="00E255DD"/>
    <w:rsid w:val="00E26D46"/>
    <w:rsid w:val="00E271BA"/>
    <w:rsid w:val="00E2763D"/>
    <w:rsid w:val="00E2772F"/>
    <w:rsid w:val="00E27D03"/>
    <w:rsid w:val="00E27FDE"/>
    <w:rsid w:val="00E30202"/>
    <w:rsid w:val="00E302BB"/>
    <w:rsid w:val="00E306E4"/>
    <w:rsid w:val="00E3074D"/>
    <w:rsid w:val="00E30D37"/>
    <w:rsid w:val="00E31C3E"/>
    <w:rsid w:val="00E324CF"/>
    <w:rsid w:val="00E32C69"/>
    <w:rsid w:val="00E32EDC"/>
    <w:rsid w:val="00E33150"/>
    <w:rsid w:val="00E33880"/>
    <w:rsid w:val="00E33979"/>
    <w:rsid w:val="00E33986"/>
    <w:rsid w:val="00E34023"/>
    <w:rsid w:val="00E35B42"/>
    <w:rsid w:val="00E35B53"/>
    <w:rsid w:val="00E35C19"/>
    <w:rsid w:val="00E35E36"/>
    <w:rsid w:val="00E35FAE"/>
    <w:rsid w:val="00E36175"/>
    <w:rsid w:val="00E361F2"/>
    <w:rsid w:val="00E366D1"/>
    <w:rsid w:val="00E3794A"/>
    <w:rsid w:val="00E379B5"/>
    <w:rsid w:val="00E405D9"/>
    <w:rsid w:val="00E40D02"/>
    <w:rsid w:val="00E40EBB"/>
    <w:rsid w:val="00E410BB"/>
    <w:rsid w:val="00E412CB"/>
    <w:rsid w:val="00E4276A"/>
    <w:rsid w:val="00E43066"/>
    <w:rsid w:val="00E43162"/>
    <w:rsid w:val="00E4334F"/>
    <w:rsid w:val="00E43A8E"/>
    <w:rsid w:val="00E43E61"/>
    <w:rsid w:val="00E44638"/>
    <w:rsid w:val="00E44A6D"/>
    <w:rsid w:val="00E44EE1"/>
    <w:rsid w:val="00E45802"/>
    <w:rsid w:val="00E4602F"/>
    <w:rsid w:val="00E463DA"/>
    <w:rsid w:val="00E4734F"/>
    <w:rsid w:val="00E47F6D"/>
    <w:rsid w:val="00E508F2"/>
    <w:rsid w:val="00E50C4A"/>
    <w:rsid w:val="00E50E40"/>
    <w:rsid w:val="00E50E6F"/>
    <w:rsid w:val="00E50FEB"/>
    <w:rsid w:val="00E5143A"/>
    <w:rsid w:val="00E5223E"/>
    <w:rsid w:val="00E52359"/>
    <w:rsid w:val="00E529BF"/>
    <w:rsid w:val="00E52E31"/>
    <w:rsid w:val="00E53C4B"/>
    <w:rsid w:val="00E53DC6"/>
    <w:rsid w:val="00E54074"/>
    <w:rsid w:val="00E55039"/>
    <w:rsid w:val="00E55454"/>
    <w:rsid w:val="00E567CB"/>
    <w:rsid w:val="00E56B05"/>
    <w:rsid w:val="00E57C97"/>
    <w:rsid w:val="00E57EF7"/>
    <w:rsid w:val="00E608F3"/>
    <w:rsid w:val="00E60974"/>
    <w:rsid w:val="00E609A8"/>
    <w:rsid w:val="00E60A60"/>
    <w:rsid w:val="00E60C2E"/>
    <w:rsid w:val="00E60F8C"/>
    <w:rsid w:val="00E61395"/>
    <w:rsid w:val="00E6173D"/>
    <w:rsid w:val="00E61C6C"/>
    <w:rsid w:val="00E61ECE"/>
    <w:rsid w:val="00E6277B"/>
    <w:rsid w:val="00E6364C"/>
    <w:rsid w:val="00E63BD5"/>
    <w:rsid w:val="00E645EA"/>
    <w:rsid w:val="00E646F6"/>
    <w:rsid w:val="00E66544"/>
    <w:rsid w:val="00E6727A"/>
    <w:rsid w:val="00E67476"/>
    <w:rsid w:val="00E676F0"/>
    <w:rsid w:val="00E67F50"/>
    <w:rsid w:val="00E70983"/>
    <w:rsid w:val="00E70A8D"/>
    <w:rsid w:val="00E70B2E"/>
    <w:rsid w:val="00E71A55"/>
    <w:rsid w:val="00E71AB2"/>
    <w:rsid w:val="00E71C6A"/>
    <w:rsid w:val="00E724C7"/>
    <w:rsid w:val="00E7423D"/>
    <w:rsid w:val="00E743C0"/>
    <w:rsid w:val="00E749F8"/>
    <w:rsid w:val="00E74AD9"/>
    <w:rsid w:val="00E74C2F"/>
    <w:rsid w:val="00E74D13"/>
    <w:rsid w:val="00E752B4"/>
    <w:rsid w:val="00E753FE"/>
    <w:rsid w:val="00E7554E"/>
    <w:rsid w:val="00E75A39"/>
    <w:rsid w:val="00E77CA5"/>
    <w:rsid w:val="00E77CAE"/>
    <w:rsid w:val="00E8008D"/>
    <w:rsid w:val="00E80091"/>
    <w:rsid w:val="00E806EE"/>
    <w:rsid w:val="00E80F29"/>
    <w:rsid w:val="00E80FB2"/>
    <w:rsid w:val="00E8198B"/>
    <w:rsid w:val="00E8217F"/>
    <w:rsid w:val="00E82989"/>
    <w:rsid w:val="00E82D47"/>
    <w:rsid w:val="00E831BB"/>
    <w:rsid w:val="00E83774"/>
    <w:rsid w:val="00E8410B"/>
    <w:rsid w:val="00E842EB"/>
    <w:rsid w:val="00E84C1B"/>
    <w:rsid w:val="00E84EAC"/>
    <w:rsid w:val="00E84F8B"/>
    <w:rsid w:val="00E86349"/>
    <w:rsid w:val="00E86D68"/>
    <w:rsid w:val="00E87BAB"/>
    <w:rsid w:val="00E90031"/>
    <w:rsid w:val="00E90848"/>
    <w:rsid w:val="00E913C4"/>
    <w:rsid w:val="00E9157B"/>
    <w:rsid w:val="00E91C0B"/>
    <w:rsid w:val="00E9233F"/>
    <w:rsid w:val="00E9288D"/>
    <w:rsid w:val="00E9297A"/>
    <w:rsid w:val="00E929B3"/>
    <w:rsid w:val="00E9370E"/>
    <w:rsid w:val="00E941F8"/>
    <w:rsid w:val="00E94CE3"/>
    <w:rsid w:val="00E94D6A"/>
    <w:rsid w:val="00E953F7"/>
    <w:rsid w:val="00E957A5"/>
    <w:rsid w:val="00E95B0E"/>
    <w:rsid w:val="00E96B25"/>
    <w:rsid w:val="00E96DCE"/>
    <w:rsid w:val="00E970A5"/>
    <w:rsid w:val="00E972E3"/>
    <w:rsid w:val="00E97583"/>
    <w:rsid w:val="00E976A5"/>
    <w:rsid w:val="00E97833"/>
    <w:rsid w:val="00E9791C"/>
    <w:rsid w:val="00EA05B1"/>
    <w:rsid w:val="00EA09E2"/>
    <w:rsid w:val="00EA0A7D"/>
    <w:rsid w:val="00EA0E71"/>
    <w:rsid w:val="00EA16E8"/>
    <w:rsid w:val="00EA1A00"/>
    <w:rsid w:val="00EA203F"/>
    <w:rsid w:val="00EA233C"/>
    <w:rsid w:val="00EA281D"/>
    <w:rsid w:val="00EA2AC6"/>
    <w:rsid w:val="00EA2B5C"/>
    <w:rsid w:val="00EA2B74"/>
    <w:rsid w:val="00EA2CD2"/>
    <w:rsid w:val="00EA31D5"/>
    <w:rsid w:val="00EA3813"/>
    <w:rsid w:val="00EA3E00"/>
    <w:rsid w:val="00EA5113"/>
    <w:rsid w:val="00EA5736"/>
    <w:rsid w:val="00EA574D"/>
    <w:rsid w:val="00EA5D1D"/>
    <w:rsid w:val="00EA5D53"/>
    <w:rsid w:val="00EA6490"/>
    <w:rsid w:val="00EA777F"/>
    <w:rsid w:val="00EB00A0"/>
    <w:rsid w:val="00EB0244"/>
    <w:rsid w:val="00EB078B"/>
    <w:rsid w:val="00EB08C8"/>
    <w:rsid w:val="00EB0E13"/>
    <w:rsid w:val="00EB14D9"/>
    <w:rsid w:val="00EB1B85"/>
    <w:rsid w:val="00EB1F04"/>
    <w:rsid w:val="00EB221D"/>
    <w:rsid w:val="00EB3363"/>
    <w:rsid w:val="00EB37B3"/>
    <w:rsid w:val="00EB3A2E"/>
    <w:rsid w:val="00EB4693"/>
    <w:rsid w:val="00EB50F0"/>
    <w:rsid w:val="00EB5D1A"/>
    <w:rsid w:val="00EB5F3E"/>
    <w:rsid w:val="00EB5FD0"/>
    <w:rsid w:val="00EB67AD"/>
    <w:rsid w:val="00EB6C4B"/>
    <w:rsid w:val="00EB758D"/>
    <w:rsid w:val="00EB79F9"/>
    <w:rsid w:val="00EC018B"/>
    <w:rsid w:val="00EC0BAC"/>
    <w:rsid w:val="00EC1559"/>
    <w:rsid w:val="00EC1BFF"/>
    <w:rsid w:val="00EC2544"/>
    <w:rsid w:val="00EC2B33"/>
    <w:rsid w:val="00EC2D42"/>
    <w:rsid w:val="00EC3141"/>
    <w:rsid w:val="00EC33F4"/>
    <w:rsid w:val="00EC43C9"/>
    <w:rsid w:val="00EC4974"/>
    <w:rsid w:val="00EC555B"/>
    <w:rsid w:val="00EC568D"/>
    <w:rsid w:val="00EC5F9A"/>
    <w:rsid w:val="00EC611F"/>
    <w:rsid w:val="00EC6605"/>
    <w:rsid w:val="00EC6A5D"/>
    <w:rsid w:val="00EC71B9"/>
    <w:rsid w:val="00EC7E97"/>
    <w:rsid w:val="00ED0039"/>
    <w:rsid w:val="00ED044F"/>
    <w:rsid w:val="00ED0848"/>
    <w:rsid w:val="00ED12AE"/>
    <w:rsid w:val="00ED1782"/>
    <w:rsid w:val="00ED1E51"/>
    <w:rsid w:val="00ED204D"/>
    <w:rsid w:val="00ED22F1"/>
    <w:rsid w:val="00ED2851"/>
    <w:rsid w:val="00ED291D"/>
    <w:rsid w:val="00ED2BF8"/>
    <w:rsid w:val="00ED3370"/>
    <w:rsid w:val="00ED3602"/>
    <w:rsid w:val="00ED4059"/>
    <w:rsid w:val="00ED450E"/>
    <w:rsid w:val="00ED4A8A"/>
    <w:rsid w:val="00ED4B7F"/>
    <w:rsid w:val="00ED5F66"/>
    <w:rsid w:val="00ED61BC"/>
    <w:rsid w:val="00ED6393"/>
    <w:rsid w:val="00ED652F"/>
    <w:rsid w:val="00ED6F7D"/>
    <w:rsid w:val="00ED78DB"/>
    <w:rsid w:val="00ED7D17"/>
    <w:rsid w:val="00ED7E89"/>
    <w:rsid w:val="00ED7EF7"/>
    <w:rsid w:val="00EE008D"/>
    <w:rsid w:val="00EE0739"/>
    <w:rsid w:val="00EE0C1A"/>
    <w:rsid w:val="00EE0D64"/>
    <w:rsid w:val="00EE17D2"/>
    <w:rsid w:val="00EE18C7"/>
    <w:rsid w:val="00EE1A5C"/>
    <w:rsid w:val="00EE1B40"/>
    <w:rsid w:val="00EE209B"/>
    <w:rsid w:val="00EE23A0"/>
    <w:rsid w:val="00EE2891"/>
    <w:rsid w:val="00EE2FCA"/>
    <w:rsid w:val="00EE328C"/>
    <w:rsid w:val="00EE35BB"/>
    <w:rsid w:val="00EE3BC8"/>
    <w:rsid w:val="00EE3CF0"/>
    <w:rsid w:val="00EE4031"/>
    <w:rsid w:val="00EE42BF"/>
    <w:rsid w:val="00EE4961"/>
    <w:rsid w:val="00EE4E73"/>
    <w:rsid w:val="00EE4F4D"/>
    <w:rsid w:val="00EE688D"/>
    <w:rsid w:val="00EE6E02"/>
    <w:rsid w:val="00EE7C0D"/>
    <w:rsid w:val="00EF0B5D"/>
    <w:rsid w:val="00EF1542"/>
    <w:rsid w:val="00EF1749"/>
    <w:rsid w:val="00EF20B8"/>
    <w:rsid w:val="00EF2216"/>
    <w:rsid w:val="00EF22EB"/>
    <w:rsid w:val="00EF2612"/>
    <w:rsid w:val="00EF2A4D"/>
    <w:rsid w:val="00EF3612"/>
    <w:rsid w:val="00EF3704"/>
    <w:rsid w:val="00EF392F"/>
    <w:rsid w:val="00EF3C59"/>
    <w:rsid w:val="00EF5202"/>
    <w:rsid w:val="00EF53EF"/>
    <w:rsid w:val="00EF5817"/>
    <w:rsid w:val="00EF5974"/>
    <w:rsid w:val="00EF5ABC"/>
    <w:rsid w:val="00EF5BA6"/>
    <w:rsid w:val="00EF63CC"/>
    <w:rsid w:val="00EF7161"/>
    <w:rsid w:val="00EF728B"/>
    <w:rsid w:val="00EF7942"/>
    <w:rsid w:val="00EF7F19"/>
    <w:rsid w:val="00F00221"/>
    <w:rsid w:val="00F004BE"/>
    <w:rsid w:val="00F00AFA"/>
    <w:rsid w:val="00F01365"/>
    <w:rsid w:val="00F017BF"/>
    <w:rsid w:val="00F017FF"/>
    <w:rsid w:val="00F01AC7"/>
    <w:rsid w:val="00F02078"/>
    <w:rsid w:val="00F025A1"/>
    <w:rsid w:val="00F0273F"/>
    <w:rsid w:val="00F0420F"/>
    <w:rsid w:val="00F04837"/>
    <w:rsid w:val="00F048A7"/>
    <w:rsid w:val="00F04A32"/>
    <w:rsid w:val="00F04E4C"/>
    <w:rsid w:val="00F05DBE"/>
    <w:rsid w:val="00F06393"/>
    <w:rsid w:val="00F06570"/>
    <w:rsid w:val="00F06E65"/>
    <w:rsid w:val="00F06F8B"/>
    <w:rsid w:val="00F06FC5"/>
    <w:rsid w:val="00F07405"/>
    <w:rsid w:val="00F075EF"/>
    <w:rsid w:val="00F07676"/>
    <w:rsid w:val="00F077BA"/>
    <w:rsid w:val="00F104B4"/>
    <w:rsid w:val="00F109B6"/>
    <w:rsid w:val="00F10C12"/>
    <w:rsid w:val="00F10F11"/>
    <w:rsid w:val="00F114E1"/>
    <w:rsid w:val="00F12469"/>
    <w:rsid w:val="00F12B7D"/>
    <w:rsid w:val="00F12DF4"/>
    <w:rsid w:val="00F135EB"/>
    <w:rsid w:val="00F13738"/>
    <w:rsid w:val="00F13AAD"/>
    <w:rsid w:val="00F13F6E"/>
    <w:rsid w:val="00F14ACE"/>
    <w:rsid w:val="00F14DC7"/>
    <w:rsid w:val="00F15171"/>
    <w:rsid w:val="00F1519A"/>
    <w:rsid w:val="00F151A8"/>
    <w:rsid w:val="00F1522B"/>
    <w:rsid w:val="00F156D8"/>
    <w:rsid w:val="00F15DC7"/>
    <w:rsid w:val="00F15E32"/>
    <w:rsid w:val="00F15EB5"/>
    <w:rsid w:val="00F15F5D"/>
    <w:rsid w:val="00F17280"/>
    <w:rsid w:val="00F20128"/>
    <w:rsid w:val="00F209E3"/>
    <w:rsid w:val="00F20B77"/>
    <w:rsid w:val="00F21583"/>
    <w:rsid w:val="00F22180"/>
    <w:rsid w:val="00F2253F"/>
    <w:rsid w:val="00F22DE9"/>
    <w:rsid w:val="00F22FB1"/>
    <w:rsid w:val="00F23363"/>
    <w:rsid w:val="00F25D8D"/>
    <w:rsid w:val="00F263C8"/>
    <w:rsid w:val="00F265D1"/>
    <w:rsid w:val="00F270A3"/>
    <w:rsid w:val="00F27A4C"/>
    <w:rsid w:val="00F27BAD"/>
    <w:rsid w:val="00F27E63"/>
    <w:rsid w:val="00F30138"/>
    <w:rsid w:val="00F30740"/>
    <w:rsid w:val="00F30795"/>
    <w:rsid w:val="00F32165"/>
    <w:rsid w:val="00F32729"/>
    <w:rsid w:val="00F3297B"/>
    <w:rsid w:val="00F33487"/>
    <w:rsid w:val="00F338AF"/>
    <w:rsid w:val="00F339B2"/>
    <w:rsid w:val="00F33AC4"/>
    <w:rsid w:val="00F34126"/>
    <w:rsid w:val="00F3451B"/>
    <w:rsid w:val="00F349B9"/>
    <w:rsid w:val="00F34A52"/>
    <w:rsid w:val="00F34AE5"/>
    <w:rsid w:val="00F34BB8"/>
    <w:rsid w:val="00F34BD6"/>
    <w:rsid w:val="00F34EE4"/>
    <w:rsid w:val="00F34F9E"/>
    <w:rsid w:val="00F35C13"/>
    <w:rsid w:val="00F36F85"/>
    <w:rsid w:val="00F37C43"/>
    <w:rsid w:val="00F40438"/>
    <w:rsid w:val="00F40826"/>
    <w:rsid w:val="00F41C56"/>
    <w:rsid w:val="00F42931"/>
    <w:rsid w:val="00F42D07"/>
    <w:rsid w:val="00F433C8"/>
    <w:rsid w:val="00F44AE0"/>
    <w:rsid w:val="00F44BD9"/>
    <w:rsid w:val="00F450B4"/>
    <w:rsid w:val="00F45B30"/>
    <w:rsid w:val="00F462FD"/>
    <w:rsid w:val="00F47089"/>
    <w:rsid w:val="00F4715F"/>
    <w:rsid w:val="00F47753"/>
    <w:rsid w:val="00F51361"/>
    <w:rsid w:val="00F518AC"/>
    <w:rsid w:val="00F519EB"/>
    <w:rsid w:val="00F51A85"/>
    <w:rsid w:val="00F5254D"/>
    <w:rsid w:val="00F52D05"/>
    <w:rsid w:val="00F52DB5"/>
    <w:rsid w:val="00F52F08"/>
    <w:rsid w:val="00F53963"/>
    <w:rsid w:val="00F53E5D"/>
    <w:rsid w:val="00F54AE2"/>
    <w:rsid w:val="00F54CB0"/>
    <w:rsid w:val="00F55815"/>
    <w:rsid w:val="00F559FA"/>
    <w:rsid w:val="00F55C9B"/>
    <w:rsid w:val="00F56160"/>
    <w:rsid w:val="00F56780"/>
    <w:rsid w:val="00F57296"/>
    <w:rsid w:val="00F5792C"/>
    <w:rsid w:val="00F60AE6"/>
    <w:rsid w:val="00F60FF2"/>
    <w:rsid w:val="00F61094"/>
    <w:rsid w:val="00F61CCB"/>
    <w:rsid w:val="00F62B72"/>
    <w:rsid w:val="00F635E1"/>
    <w:rsid w:val="00F63A21"/>
    <w:rsid w:val="00F64751"/>
    <w:rsid w:val="00F648CB"/>
    <w:rsid w:val="00F64BE3"/>
    <w:rsid w:val="00F64F6D"/>
    <w:rsid w:val="00F65666"/>
    <w:rsid w:val="00F65718"/>
    <w:rsid w:val="00F65EDD"/>
    <w:rsid w:val="00F66425"/>
    <w:rsid w:val="00F66B55"/>
    <w:rsid w:val="00F66F00"/>
    <w:rsid w:val="00F671B6"/>
    <w:rsid w:val="00F671CB"/>
    <w:rsid w:val="00F70928"/>
    <w:rsid w:val="00F70E10"/>
    <w:rsid w:val="00F70FA9"/>
    <w:rsid w:val="00F717E4"/>
    <w:rsid w:val="00F71F3B"/>
    <w:rsid w:val="00F721B3"/>
    <w:rsid w:val="00F7236E"/>
    <w:rsid w:val="00F72B2B"/>
    <w:rsid w:val="00F73FC8"/>
    <w:rsid w:val="00F749FF"/>
    <w:rsid w:val="00F74D99"/>
    <w:rsid w:val="00F754A3"/>
    <w:rsid w:val="00F75678"/>
    <w:rsid w:val="00F7583E"/>
    <w:rsid w:val="00F76A73"/>
    <w:rsid w:val="00F776C2"/>
    <w:rsid w:val="00F77867"/>
    <w:rsid w:val="00F77F05"/>
    <w:rsid w:val="00F80584"/>
    <w:rsid w:val="00F80A33"/>
    <w:rsid w:val="00F810C1"/>
    <w:rsid w:val="00F811E1"/>
    <w:rsid w:val="00F8210A"/>
    <w:rsid w:val="00F8275B"/>
    <w:rsid w:val="00F82A19"/>
    <w:rsid w:val="00F82D0D"/>
    <w:rsid w:val="00F82DC0"/>
    <w:rsid w:val="00F8320C"/>
    <w:rsid w:val="00F833A2"/>
    <w:rsid w:val="00F834E0"/>
    <w:rsid w:val="00F8386F"/>
    <w:rsid w:val="00F83D14"/>
    <w:rsid w:val="00F84342"/>
    <w:rsid w:val="00F846D6"/>
    <w:rsid w:val="00F85F91"/>
    <w:rsid w:val="00F86379"/>
    <w:rsid w:val="00F86897"/>
    <w:rsid w:val="00F87FE0"/>
    <w:rsid w:val="00F90CAA"/>
    <w:rsid w:val="00F9180C"/>
    <w:rsid w:val="00F91E37"/>
    <w:rsid w:val="00F92625"/>
    <w:rsid w:val="00F92665"/>
    <w:rsid w:val="00F931B2"/>
    <w:rsid w:val="00F933A2"/>
    <w:rsid w:val="00F934B2"/>
    <w:rsid w:val="00F935AB"/>
    <w:rsid w:val="00F95120"/>
    <w:rsid w:val="00F95AFA"/>
    <w:rsid w:val="00F96319"/>
    <w:rsid w:val="00F963E9"/>
    <w:rsid w:val="00F9665D"/>
    <w:rsid w:val="00F96DF3"/>
    <w:rsid w:val="00F96DFE"/>
    <w:rsid w:val="00F974B1"/>
    <w:rsid w:val="00F97A9A"/>
    <w:rsid w:val="00FA0020"/>
    <w:rsid w:val="00FA12E3"/>
    <w:rsid w:val="00FA46C9"/>
    <w:rsid w:val="00FA4CDA"/>
    <w:rsid w:val="00FA4CEA"/>
    <w:rsid w:val="00FA5A3A"/>
    <w:rsid w:val="00FA6C9A"/>
    <w:rsid w:val="00FA6DAF"/>
    <w:rsid w:val="00FA6F60"/>
    <w:rsid w:val="00FA709E"/>
    <w:rsid w:val="00FA7598"/>
    <w:rsid w:val="00FB14D2"/>
    <w:rsid w:val="00FB176D"/>
    <w:rsid w:val="00FB196C"/>
    <w:rsid w:val="00FB1999"/>
    <w:rsid w:val="00FB1C7C"/>
    <w:rsid w:val="00FB2B07"/>
    <w:rsid w:val="00FB2C4D"/>
    <w:rsid w:val="00FB2C8B"/>
    <w:rsid w:val="00FB2E85"/>
    <w:rsid w:val="00FB35E2"/>
    <w:rsid w:val="00FB363B"/>
    <w:rsid w:val="00FB3D77"/>
    <w:rsid w:val="00FB3F60"/>
    <w:rsid w:val="00FB4361"/>
    <w:rsid w:val="00FB49BA"/>
    <w:rsid w:val="00FB4C60"/>
    <w:rsid w:val="00FB4EDF"/>
    <w:rsid w:val="00FB570F"/>
    <w:rsid w:val="00FB6EF4"/>
    <w:rsid w:val="00FC0828"/>
    <w:rsid w:val="00FC0B39"/>
    <w:rsid w:val="00FC0F3F"/>
    <w:rsid w:val="00FC104B"/>
    <w:rsid w:val="00FC284D"/>
    <w:rsid w:val="00FC2C87"/>
    <w:rsid w:val="00FC2D48"/>
    <w:rsid w:val="00FC3A00"/>
    <w:rsid w:val="00FC3CAA"/>
    <w:rsid w:val="00FC3D43"/>
    <w:rsid w:val="00FC4962"/>
    <w:rsid w:val="00FC508F"/>
    <w:rsid w:val="00FC52B4"/>
    <w:rsid w:val="00FC53A9"/>
    <w:rsid w:val="00FC5527"/>
    <w:rsid w:val="00FC6583"/>
    <w:rsid w:val="00FC7135"/>
    <w:rsid w:val="00FC7222"/>
    <w:rsid w:val="00FC73C1"/>
    <w:rsid w:val="00FC78F7"/>
    <w:rsid w:val="00FC7A4C"/>
    <w:rsid w:val="00FC7CCD"/>
    <w:rsid w:val="00FC7CFC"/>
    <w:rsid w:val="00FD0CF1"/>
    <w:rsid w:val="00FD1281"/>
    <w:rsid w:val="00FD1669"/>
    <w:rsid w:val="00FD1E42"/>
    <w:rsid w:val="00FD1EAF"/>
    <w:rsid w:val="00FD28F7"/>
    <w:rsid w:val="00FD2EC9"/>
    <w:rsid w:val="00FD3111"/>
    <w:rsid w:val="00FD3426"/>
    <w:rsid w:val="00FD3CED"/>
    <w:rsid w:val="00FD5E1D"/>
    <w:rsid w:val="00FD6740"/>
    <w:rsid w:val="00FD7761"/>
    <w:rsid w:val="00FD7E7A"/>
    <w:rsid w:val="00FD7F87"/>
    <w:rsid w:val="00FE00F6"/>
    <w:rsid w:val="00FE056F"/>
    <w:rsid w:val="00FE0933"/>
    <w:rsid w:val="00FE0F7D"/>
    <w:rsid w:val="00FE2065"/>
    <w:rsid w:val="00FE29FF"/>
    <w:rsid w:val="00FE2AC2"/>
    <w:rsid w:val="00FE2DD7"/>
    <w:rsid w:val="00FE2FE3"/>
    <w:rsid w:val="00FE3991"/>
    <w:rsid w:val="00FE3BFD"/>
    <w:rsid w:val="00FE3CD7"/>
    <w:rsid w:val="00FE3DE1"/>
    <w:rsid w:val="00FE412C"/>
    <w:rsid w:val="00FE44CF"/>
    <w:rsid w:val="00FE4FC3"/>
    <w:rsid w:val="00FE5ECB"/>
    <w:rsid w:val="00FE7604"/>
    <w:rsid w:val="00FE7811"/>
    <w:rsid w:val="00FE7E67"/>
    <w:rsid w:val="00FF00D7"/>
    <w:rsid w:val="00FF059C"/>
    <w:rsid w:val="00FF0BD6"/>
    <w:rsid w:val="00FF144A"/>
    <w:rsid w:val="00FF235F"/>
    <w:rsid w:val="00FF23C0"/>
    <w:rsid w:val="00FF26EC"/>
    <w:rsid w:val="00FF383B"/>
    <w:rsid w:val="00FF63D1"/>
    <w:rsid w:val="00FF6514"/>
    <w:rsid w:val="00FF6A6C"/>
    <w:rsid w:val="00FF71BA"/>
    <w:rsid w:val="00FF7A52"/>
    <w:rsid w:val="00FF7A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AD2"/>
    <w:pPr>
      <w:spacing w:after="0" w:line="288" w:lineRule="auto"/>
    </w:pPr>
    <w:rPr>
      <w:rFonts w:ascii="Century Schoolbook" w:eastAsia="Times New Roman" w:hAnsi="Century Schoolbook" w:cs="Times New Roman"/>
      <w:sz w:val="26"/>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57AD2"/>
    <w:rPr>
      <w:rFonts w:eastAsia="Calibri"/>
      <w:sz w:val="20"/>
      <w:szCs w:val="20"/>
      <w:lang w:eastAsia="en-US"/>
    </w:rPr>
  </w:style>
  <w:style w:type="character" w:customStyle="1" w:styleId="FootnoteTextChar">
    <w:name w:val="Footnote Text Char"/>
    <w:basedOn w:val="DefaultParagraphFont"/>
    <w:link w:val="FootnoteText"/>
    <w:uiPriority w:val="99"/>
    <w:rsid w:val="00A57AD2"/>
    <w:rPr>
      <w:rFonts w:ascii="Century Schoolbook" w:eastAsia="Calibri" w:hAnsi="Century Schoolbook" w:cs="Times New Roman"/>
      <w:sz w:val="20"/>
      <w:szCs w:val="20"/>
    </w:rPr>
  </w:style>
  <w:style w:type="character" w:styleId="FootnoteReference">
    <w:name w:val="footnote reference"/>
    <w:uiPriority w:val="99"/>
    <w:unhideWhenUsed/>
    <w:rsid w:val="00A57AD2"/>
    <w:rPr>
      <w:vertAlign w:val="superscript"/>
    </w:rPr>
  </w:style>
  <w:style w:type="paragraph" w:styleId="Footer">
    <w:name w:val="footer"/>
    <w:basedOn w:val="Normal"/>
    <w:link w:val="FooterChar"/>
    <w:uiPriority w:val="99"/>
    <w:unhideWhenUsed/>
    <w:rsid w:val="00A57AD2"/>
    <w:pPr>
      <w:tabs>
        <w:tab w:val="center" w:pos="4680"/>
        <w:tab w:val="right" w:pos="9360"/>
      </w:tabs>
    </w:pPr>
    <w:rPr>
      <w:rFonts w:eastAsia="Calibri"/>
      <w:szCs w:val="22"/>
      <w:lang w:eastAsia="en-US"/>
    </w:rPr>
  </w:style>
  <w:style w:type="character" w:customStyle="1" w:styleId="FooterChar">
    <w:name w:val="Footer Char"/>
    <w:basedOn w:val="DefaultParagraphFont"/>
    <w:link w:val="Footer"/>
    <w:uiPriority w:val="99"/>
    <w:rsid w:val="00A57AD2"/>
    <w:rPr>
      <w:rFonts w:ascii="Century Schoolbook" w:eastAsia="Calibri" w:hAnsi="Century Schoolbook" w:cs="Times New Roman"/>
      <w:sz w:val="26"/>
    </w:rPr>
  </w:style>
  <w:style w:type="character" w:styleId="PageNumber">
    <w:name w:val="page number"/>
    <w:uiPriority w:val="99"/>
    <w:semiHidden/>
    <w:unhideWhenUsed/>
    <w:rsid w:val="00A57AD2"/>
  </w:style>
  <w:style w:type="paragraph" w:styleId="Header">
    <w:name w:val="header"/>
    <w:basedOn w:val="Normal"/>
    <w:link w:val="HeaderChar"/>
    <w:uiPriority w:val="99"/>
    <w:unhideWhenUsed/>
    <w:rsid w:val="00A57AD2"/>
    <w:pPr>
      <w:tabs>
        <w:tab w:val="center" w:pos="4680"/>
        <w:tab w:val="right" w:pos="9360"/>
      </w:tabs>
    </w:pPr>
  </w:style>
  <w:style w:type="character" w:customStyle="1" w:styleId="HeaderChar">
    <w:name w:val="Header Char"/>
    <w:basedOn w:val="DefaultParagraphFont"/>
    <w:link w:val="Header"/>
    <w:uiPriority w:val="99"/>
    <w:rsid w:val="00A57AD2"/>
    <w:rPr>
      <w:rFonts w:ascii="Century Schoolbook" w:eastAsia="Times New Roman" w:hAnsi="Century Schoolbook" w:cs="Times New Roman"/>
      <w:sz w:val="26"/>
      <w:szCs w:val="24"/>
      <w:lang w:eastAsia="zh-CN"/>
    </w:rPr>
  </w:style>
  <w:style w:type="character" w:customStyle="1" w:styleId="cohl">
    <w:name w:val="co_hl"/>
    <w:basedOn w:val="DefaultParagraphFont"/>
    <w:rsid w:val="00A57AD2"/>
  </w:style>
  <w:style w:type="character" w:styleId="Emphasis">
    <w:name w:val="Emphasis"/>
    <w:basedOn w:val="DefaultParagraphFont"/>
    <w:uiPriority w:val="20"/>
    <w:qFormat/>
    <w:rsid w:val="00EA2B74"/>
    <w:rPr>
      <w:i/>
      <w:iCs/>
    </w:rPr>
  </w:style>
  <w:style w:type="character" w:customStyle="1" w:styleId="costarpage">
    <w:name w:val="co_starpage"/>
    <w:basedOn w:val="DefaultParagraphFont"/>
    <w:rsid w:val="00EA2B74"/>
  </w:style>
  <w:style w:type="paragraph" w:styleId="BalloonText">
    <w:name w:val="Balloon Text"/>
    <w:basedOn w:val="Normal"/>
    <w:link w:val="BalloonTextChar"/>
    <w:uiPriority w:val="99"/>
    <w:semiHidden/>
    <w:unhideWhenUsed/>
    <w:rsid w:val="001860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0D2"/>
    <w:rPr>
      <w:rFonts w:ascii="Segoe UI" w:eastAsia="Times New Roman" w:hAnsi="Segoe UI" w:cs="Segoe UI"/>
      <w:sz w:val="18"/>
      <w:szCs w:val="18"/>
      <w:lang w:eastAsia="zh-CN"/>
    </w:rPr>
  </w:style>
  <w:style w:type="character" w:styleId="Strong">
    <w:name w:val="Strong"/>
    <w:basedOn w:val="DefaultParagraphFont"/>
    <w:uiPriority w:val="22"/>
    <w:qFormat/>
    <w:rsid w:val="00157923"/>
    <w:rPr>
      <w:b/>
      <w:bCs/>
    </w:rPr>
  </w:style>
  <w:style w:type="character" w:customStyle="1" w:styleId="coconcept1521">
    <w:name w:val="co_concept_15_21"/>
    <w:basedOn w:val="DefaultParagraphFont"/>
    <w:rsid w:val="00157923"/>
  </w:style>
  <w:style w:type="character" w:customStyle="1" w:styleId="copinpointicon">
    <w:name w:val="co_pinpointicon"/>
    <w:basedOn w:val="DefaultParagraphFont"/>
    <w:rsid w:val="00157923"/>
  </w:style>
  <w:style w:type="character" w:customStyle="1" w:styleId="coconcept19">
    <w:name w:val="co_concept_1_9"/>
    <w:basedOn w:val="DefaultParagraphFont"/>
    <w:rsid w:val="00157923"/>
  </w:style>
  <w:style w:type="character" w:customStyle="1" w:styleId="coconcept2729">
    <w:name w:val="co_concept_27_29"/>
    <w:basedOn w:val="DefaultParagraphFont"/>
    <w:rsid w:val="00157923"/>
  </w:style>
  <w:style w:type="character" w:customStyle="1" w:styleId="coconcept3542">
    <w:name w:val="co_concept_35_42"/>
    <w:basedOn w:val="DefaultParagraphFont"/>
    <w:rsid w:val="00157923"/>
  </w:style>
  <w:style w:type="character" w:customStyle="1" w:styleId="coconcept5158">
    <w:name w:val="co_concept_51_58"/>
    <w:basedOn w:val="DefaultParagraphFont"/>
    <w:rsid w:val="00C11172"/>
  </w:style>
  <w:style w:type="character" w:customStyle="1" w:styleId="coconcept2837">
    <w:name w:val="co_concept_28_37"/>
    <w:basedOn w:val="DefaultParagraphFont"/>
    <w:rsid w:val="00C11172"/>
  </w:style>
  <w:style w:type="character" w:customStyle="1" w:styleId="coconcept1322">
    <w:name w:val="co_concept_13_22"/>
    <w:basedOn w:val="DefaultParagraphFont"/>
    <w:rsid w:val="00C11172"/>
  </w:style>
  <w:style w:type="character" w:customStyle="1" w:styleId="coconcept18">
    <w:name w:val="co_concept_1_8"/>
    <w:basedOn w:val="DefaultParagraphFont"/>
    <w:rsid w:val="00C11172"/>
  </w:style>
  <w:style w:type="character" w:customStyle="1" w:styleId="coconcept4345">
    <w:name w:val="co_concept_43_45"/>
    <w:basedOn w:val="DefaultParagraphFont"/>
    <w:rsid w:val="00C11172"/>
  </w:style>
  <w:style w:type="paragraph" w:customStyle="1" w:styleId="xmsonormal">
    <w:name w:val="x_msonormal"/>
    <w:basedOn w:val="Normal"/>
    <w:rsid w:val="006318E6"/>
    <w:pPr>
      <w:spacing w:before="100" w:beforeAutospacing="1" w:after="100" w:afterAutospacing="1" w:line="240" w:lineRule="auto"/>
    </w:pPr>
    <w:rPr>
      <w:rFonts w:ascii="Times New Roman" w:hAnsi="Times New Roman"/>
      <w:sz w:val="24"/>
      <w:lang w:eastAsia="en-US"/>
    </w:rPr>
  </w:style>
  <w:style w:type="paragraph" w:styleId="ListParagraph">
    <w:name w:val="List Paragraph"/>
    <w:basedOn w:val="Normal"/>
    <w:uiPriority w:val="34"/>
    <w:qFormat/>
    <w:rsid w:val="007D4097"/>
    <w:pPr>
      <w:ind w:left="720"/>
      <w:contextualSpacing/>
    </w:pPr>
  </w:style>
  <w:style w:type="paragraph" w:styleId="EndnoteText">
    <w:name w:val="endnote text"/>
    <w:basedOn w:val="Normal"/>
    <w:link w:val="EndnoteTextChar"/>
    <w:uiPriority w:val="99"/>
    <w:semiHidden/>
    <w:unhideWhenUsed/>
    <w:rsid w:val="00311D5C"/>
    <w:pPr>
      <w:spacing w:line="240" w:lineRule="auto"/>
    </w:pPr>
    <w:rPr>
      <w:sz w:val="20"/>
      <w:szCs w:val="20"/>
    </w:rPr>
  </w:style>
  <w:style w:type="character" w:customStyle="1" w:styleId="EndnoteTextChar">
    <w:name w:val="Endnote Text Char"/>
    <w:basedOn w:val="DefaultParagraphFont"/>
    <w:link w:val="EndnoteText"/>
    <w:uiPriority w:val="99"/>
    <w:semiHidden/>
    <w:rsid w:val="00311D5C"/>
    <w:rPr>
      <w:rFonts w:ascii="Century Schoolbook" w:eastAsia="Times New Roman" w:hAnsi="Century Schoolbook" w:cs="Times New Roman"/>
      <w:sz w:val="20"/>
      <w:szCs w:val="20"/>
      <w:lang w:eastAsia="zh-CN"/>
    </w:rPr>
  </w:style>
  <w:style w:type="character" w:styleId="EndnoteReference">
    <w:name w:val="endnote reference"/>
    <w:basedOn w:val="DefaultParagraphFont"/>
    <w:uiPriority w:val="99"/>
    <w:semiHidden/>
    <w:unhideWhenUsed/>
    <w:rsid w:val="00311D5C"/>
    <w:rPr>
      <w:vertAlign w:val="superscript"/>
    </w:rPr>
  </w:style>
  <w:style w:type="paragraph" w:styleId="Revision">
    <w:name w:val="Revision"/>
    <w:hidden/>
    <w:uiPriority w:val="99"/>
    <w:semiHidden/>
    <w:rsid w:val="001A6C59"/>
    <w:pPr>
      <w:spacing w:after="0" w:line="240" w:lineRule="auto"/>
    </w:pPr>
    <w:rPr>
      <w:rFonts w:ascii="Century Schoolbook" w:eastAsia="Times New Roman" w:hAnsi="Century Schoolbook" w:cs="Times New Roman"/>
      <w:sz w:val="26"/>
      <w:szCs w:val="24"/>
      <w:lang w:eastAsia="zh-CN"/>
    </w:rPr>
  </w:style>
  <w:style w:type="character" w:styleId="CommentReference">
    <w:name w:val="annotation reference"/>
    <w:basedOn w:val="DefaultParagraphFont"/>
    <w:uiPriority w:val="99"/>
    <w:semiHidden/>
    <w:unhideWhenUsed/>
    <w:rsid w:val="001A6C59"/>
    <w:rPr>
      <w:sz w:val="16"/>
      <w:szCs w:val="16"/>
    </w:rPr>
  </w:style>
  <w:style w:type="paragraph" w:styleId="CommentText">
    <w:name w:val="annotation text"/>
    <w:basedOn w:val="Normal"/>
    <w:link w:val="CommentTextChar"/>
    <w:uiPriority w:val="99"/>
    <w:unhideWhenUsed/>
    <w:rsid w:val="001A6C59"/>
    <w:pPr>
      <w:spacing w:line="240" w:lineRule="auto"/>
    </w:pPr>
    <w:rPr>
      <w:sz w:val="20"/>
      <w:szCs w:val="20"/>
    </w:rPr>
  </w:style>
  <w:style w:type="character" w:customStyle="1" w:styleId="CommentTextChar">
    <w:name w:val="Comment Text Char"/>
    <w:basedOn w:val="DefaultParagraphFont"/>
    <w:link w:val="CommentText"/>
    <w:uiPriority w:val="99"/>
    <w:rsid w:val="001A6C59"/>
    <w:rPr>
      <w:rFonts w:ascii="Century Schoolbook" w:eastAsia="Times New Roman" w:hAnsi="Century Schoolbook"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1A6C59"/>
    <w:rPr>
      <w:b/>
      <w:bCs/>
    </w:rPr>
  </w:style>
  <w:style w:type="character" w:customStyle="1" w:styleId="CommentSubjectChar">
    <w:name w:val="Comment Subject Char"/>
    <w:basedOn w:val="CommentTextChar"/>
    <w:link w:val="CommentSubject"/>
    <w:uiPriority w:val="99"/>
    <w:semiHidden/>
    <w:rsid w:val="001A6C59"/>
    <w:rPr>
      <w:rFonts w:ascii="Century Schoolbook" w:eastAsia="Times New Roman" w:hAnsi="Century Schoolbook"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58BD0-C5A3-4B2D-8A7B-7425BB1EC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6188</Words>
  <Characters>35272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2023-10-27T20:45:33Z</dcterms:created>
  <dcterms:modified xsi:type="dcterms:W3CDTF">2023-10-27T20:45:33Z</dcterms:modified>
</cp:coreProperties>
</file>