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B1B5" w14:textId="77777777" w:rsidR="00890D25" w:rsidRPr="000C21AD" w:rsidRDefault="00890D25" w:rsidP="007D2951">
      <w:pPr>
        <w:spacing w:after="0" w:line="240" w:lineRule="auto"/>
        <w:rPr>
          <w:bCs/>
          <w:sz w:val="20"/>
        </w:rPr>
      </w:pPr>
      <w:r w:rsidRPr="000C21AD">
        <w:rPr>
          <w:bCs/>
          <w:sz w:val="20"/>
        </w:rPr>
        <w:t xml:space="preserve">Filed </w:t>
      </w:r>
      <w:proofErr w:type="gramStart"/>
      <w:r w:rsidRPr="000C21AD">
        <w:rPr>
          <w:bCs/>
          <w:sz w:val="20"/>
        </w:rPr>
        <w:t>11/17/23</w:t>
      </w:r>
      <w:proofErr w:type="gramEnd"/>
    </w:p>
    <w:p w14:paraId="16024386" w14:textId="77777777" w:rsidR="00890D25" w:rsidRPr="007218FE" w:rsidRDefault="00890D25" w:rsidP="007218FE">
      <w:pPr>
        <w:spacing w:after="0" w:line="240" w:lineRule="auto"/>
        <w:jc w:val="center"/>
        <w:rPr>
          <w:b/>
        </w:rPr>
      </w:pPr>
      <w:r>
        <w:rPr>
          <w:b/>
        </w:rPr>
        <w:t>CERTIFIED FOR PUBLICATION</w:t>
      </w:r>
    </w:p>
    <w:p w14:paraId="6FE52C31" w14:textId="77777777" w:rsidR="00890D25" w:rsidRDefault="00890D25" w:rsidP="00AC1273">
      <w:pPr>
        <w:spacing w:after="0" w:line="240" w:lineRule="auto"/>
        <w:jc w:val="center"/>
      </w:pPr>
    </w:p>
    <w:p w14:paraId="45DD3CB3" w14:textId="77777777" w:rsidR="00890D25" w:rsidRDefault="00890D25" w:rsidP="00AC1273">
      <w:pPr>
        <w:spacing w:after="0" w:line="240" w:lineRule="auto"/>
        <w:jc w:val="center"/>
      </w:pPr>
    </w:p>
    <w:p w14:paraId="536E8441" w14:textId="77777777" w:rsidR="00890D25" w:rsidRDefault="00890D25" w:rsidP="00AC1273">
      <w:pPr>
        <w:spacing w:after="0" w:line="240" w:lineRule="auto"/>
        <w:jc w:val="center"/>
      </w:pPr>
    </w:p>
    <w:p w14:paraId="51D49AA9" w14:textId="77777777" w:rsidR="00890D25" w:rsidRDefault="00890D25" w:rsidP="00AC1273">
      <w:pPr>
        <w:spacing w:after="0" w:line="240" w:lineRule="auto"/>
        <w:jc w:val="center"/>
      </w:pPr>
    </w:p>
    <w:p w14:paraId="643E388F" w14:textId="77777777" w:rsidR="00890D25" w:rsidRPr="00AC1273" w:rsidRDefault="00890D25" w:rsidP="00AC1273">
      <w:pPr>
        <w:spacing w:after="0" w:line="240" w:lineRule="auto"/>
        <w:jc w:val="center"/>
      </w:pPr>
      <w:r>
        <w:t>I</w:t>
      </w:r>
      <w:r w:rsidRPr="00AC1273">
        <w:t>N THE COURT OF APPEAL OF THE STATE OF CALIFORNIA</w:t>
      </w:r>
    </w:p>
    <w:p w14:paraId="420CA6C2" w14:textId="77777777" w:rsidR="00890D25" w:rsidRPr="00AC1273" w:rsidRDefault="00890D25" w:rsidP="00AC1273">
      <w:pPr>
        <w:spacing w:after="0" w:line="240" w:lineRule="auto"/>
        <w:jc w:val="center"/>
      </w:pPr>
    </w:p>
    <w:p w14:paraId="7A662E06" w14:textId="77777777" w:rsidR="00890D25" w:rsidRPr="00AC1273" w:rsidRDefault="00890D25" w:rsidP="00AC1273">
      <w:pPr>
        <w:spacing w:after="0" w:line="240" w:lineRule="auto"/>
        <w:jc w:val="center"/>
      </w:pPr>
      <w:r w:rsidRPr="00AC1273">
        <w:t>SECOND APPELLATE DISTRICT</w:t>
      </w:r>
    </w:p>
    <w:p w14:paraId="3D009C4F" w14:textId="77777777" w:rsidR="00890D25" w:rsidRPr="00AC1273" w:rsidRDefault="00890D25" w:rsidP="00AC1273">
      <w:pPr>
        <w:spacing w:after="0" w:line="240" w:lineRule="auto"/>
        <w:jc w:val="center"/>
      </w:pPr>
    </w:p>
    <w:p w14:paraId="5B794D8D" w14:textId="77777777" w:rsidR="00890D25" w:rsidRPr="00AC1273" w:rsidRDefault="00890D25" w:rsidP="00AC1273">
      <w:pPr>
        <w:spacing w:after="0" w:line="240" w:lineRule="auto"/>
        <w:jc w:val="center"/>
      </w:pPr>
      <w:r w:rsidRPr="00AC1273">
        <w:t xml:space="preserve">DIVISION </w:t>
      </w:r>
      <w:r>
        <w:t>TWO</w:t>
      </w:r>
    </w:p>
    <w:p w14:paraId="57A105AB" w14:textId="77777777" w:rsidR="00890D25" w:rsidRPr="00AC1273" w:rsidRDefault="00890D25" w:rsidP="00AC1273">
      <w:pPr>
        <w:spacing w:after="0" w:line="240" w:lineRule="auto"/>
        <w:jc w:val="center"/>
      </w:pPr>
    </w:p>
    <w:p w14:paraId="57635D17" w14:textId="77777777" w:rsidR="00890D25" w:rsidRPr="00AC1273" w:rsidRDefault="00890D25" w:rsidP="00AC1273">
      <w:pPr>
        <w:spacing w:after="0" w:line="240" w:lineRule="auto"/>
        <w:jc w:val="center"/>
      </w:pPr>
    </w:p>
    <w:tbl>
      <w:tblPr>
        <w:tblW w:w="9576" w:type="dxa"/>
        <w:tblLayout w:type="fixed"/>
        <w:tblLook w:val="0000" w:firstRow="0" w:lastRow="0" w:firstColumn="0" w:lastColumn="0" w:noHBand="0" w:noVBand="0"/>
      </w:tblPr>
      <w:tblGrid>
        <w:gridCol w:w="4860"/>
        <w:gridCol w:w="4716"/>
      </w:tblGrid>
      <w:tr w:rsidR="009750E5" w14:paraId="0C5F9765" w14:textId="77777777" w:rsidTr="009900E0">
        <w:tc>
          <w:tcPr>
            <w:tcW w:w="4860" w:type="dxa"/>
            <w:tcBorders>
              <w:bottom w:val="single" w:sz="4" w:space="0" w:color="auto"/>
              <w:right w:val="single" w:sz="4" w:space="0" w:color="auto"/>
            </w:tcBorders>
            <w:shd w:val="clear" w:color="auto" w:fill="auto"/>
          </w:tcPr>
          <w:p w14:paraId="19F731BF" w14:textId="77777777" w:rsidR="00890D25" w:rsidRDefault="00890D25" w:rsidP="00AC1273">
            <w:pPr>
              <w:spacing w:after="0" w:line="240" w:lineRule="auto"/>
            </w:pPr>
            <w:r>
              <w:t>In re</w:t>
            </w:r>
          </w:p>
          <w:p w14:paraId="3B3C1F90" w14:textId="77777777" w:rsidR="00890D25" w:rsidRDefault="00890D25" w:rsidP="00AC1273">
            <w:pPr>
              <w:spacing w:after="0" w:line="240" w:lineRule="auto"/>
            </w:pPr>
          </w:p>
          <w:p w14:paraId="0C93B37A" w14:textId="77777777" w:rsidR="00890D25" w:rsidRPr="00AC1273" w:rsidRDefault="00890D25" w:rsidP="00AC1273">
            <w:pPr>
              <w:spacing w:after="0" w:line="240" w:lineRule="auto"/>
            </w:pPr>
            <w:r w:rsidRPr="0038731C">
              <w:tab/>
            </w:r>
            <w:r>
              <w:t>CHRISTOPHER T. HICKS, JR.</w:t>
            </w:r>
            <w:r>
              <w:t>,</w:t>
            </w:r>
          </w:p>
          <w:p w14:paraId="195912D5" w14:textId="77777777" w:rsidR="00890D25" w:rsidRDefault="00890D25" w:rsidP="00AC1273">
            <w:pPr>
              <w:spacing w:after="0" w:line="240" w:lineRule="auto"/>
            </w:pPr>
          </w:p>
          <w:p w14:paraId="0934421C" w14:textId="77777777" w:rsidR="00890D25" w:rsidRDefault="00890D25" w:rsidP="00AC1273">
            <w:pPr>
              <w:spacing w:after="0" w:line="240" w:lineRule="auto"/>
            </w:pPr>
            <w:r>
              <w:tab/>
              <w:t>on</w:t>
            </w:r>
          </w:p>
          <w:p w14:paraId="34D8DFA6" w14:textId="77777777" w:rsidR="00890D25" w:rsidRPr="00AC1273" w:rsidRDefault="00890D25" w:rsidP="00AC1273">
            <w:pPr>
              <w:spacing w:after="0" w:line="240" w:lineRule="auto"/>
            </w:pPr>
          </w:p>
          <w:p w14:paraId="7F08B4F9" w14:textId="77777777" w:rsidR="00890D25" w:rsidRPr="00AC1273" w:rsidRDefault="00890D25" w:rsidP="00AC1273">
            <w:pPr>
              <w:spacing w:after="0" w:line="240" w:lineRule="auto"/>
            </w:pPr>
            <w:r w:rsidRPr="00AC1273">
              <w:tab/>
            </w:r>
            <w:r>
              <w:t>Habeas Corpus</w:t>
            </w:r>
            <w:r w:rsidRPr="00AC1273">
              <w:t>.</w:t>
            </w:r>
          </w:p>
          <w:p w14:paraId="0C13B437" w14:textId="77777777" w:rsidR="00890D25" w:rsidRPr="00AC1273" w:rsidRDefault="00890D25" w:rsidP="00AC1273">
            <w:pPr>
              <w:spacing w:after="0" w:line="240" w:lineRule="auto"/>
            </w:pPr>
          </w:p>
        </w:tc>
        <w:tc>
          <w:tcPr>
            <w:tcW w:w="4716" w:type="dxa"/>
            <w:tcBorders>
              <w:left w:val="single" w:sz="4" w:space="0" w:color="auto"/>
            </w:tcBorders>
            <w:shd w:val="clear" w:color="auto" w:fill="auto"/>
          </w:tcPr>
          <w:p w14:paraId="6AF549EA" w14:textId="77777777" w:rsidR="00890D25" w:rsidRPr="00AC1273" w:rsidRDefault="00890D25" w:rsidP="00AC1273">
            <w:pPr>
              <w:tabs>
                <w:tab w:val="left" w:pos="432"/>
              </w:tabs>
              <w:spacing w:after="0" w:line="240" w:lineRule="auto"/>
            </w:pPr>
            <w:r w:rsidRPr="00AC1273">
              <w:tab/>
            </w:r>
            <w:r>
              <w:t>B319925</w:t>
            </w:r>
          </w:p>
          <w:p w14:paraId="5F218F17" w14:textId="77777777" w:rsidR="00890D25" w:rsidRPr="00AC1273" w:rsidRDefault="00890D25" w:rsidP="00AC1273">
            <w:pPr>
              <w:tabs>
                <w:tab w:val="left" w:pos="432"/>
              </w:tabs>
              <w:spacing w:after="0" w:line="240" w:lineRule="auto"/>
            </w:pPr>
          </w:p>
          <w:p w14:paraId="257B5394" w14:textId="77777777" w:rsidR="00890D25" w:rsidRPr="00AC1273" w:rsidRDefault="00890D25" w:rsidP="00AC1273">
            <w:pPr>
              <w:tabs>
                <w:tab w:val="left" w:pos="432"/>
              </w:tabs>
              <w:spacing w:after="0" w:line="240" w:lineRule="auto"/>
            </w:pPr>
            <w:r w:rsidRPr="00AC1273">
              <w:tab/>
              <w:t>(Los Angeles County</w:t>
            </w:r>
          </w:p>
          <w:p w14:paraId="07420FAA" w14:textId="77777777" w:rsidR="00890D25" w:rsidRPr="00AC1273" w:rsidRDefault="00890D25" w:rsidP="00EC6884">
            <w:pPr>
              <w:tabs>
                <w:tab w:val="left" w:pos="432"/>
              </w:tabs>
              <w:spacing w:after="0" w:line="240" w:lineRule="auto"/>
            </w:pPr>
            <w:r w:rsidRPr="00AC1273">
              <w:tab/>
            </w:r>
            <w:r w:rsidRPr="00AC1273">
              <w:t xml:space="preserve">Super. Ct. No. </w:t>
            </w:r>
            <w:r>
              <w:t>KA114437</w:t>
            </w:r>
            <w:r w:rsidRPr="00AC1273">
              <w:t>)</w:t>
            </w:r>
          </w:p>
        </w:tc>
      </w:tr>
    </w:tbl>
    <w:p w14:paraId="4A3FBEBB" w14:textId="77777777" w:rsidR="00890D25" w:rsidRDefault="00890D25" w:rsidP="00AC1273">
      <w:pPr>
        <w:spacing w:after="0" w:line="240" w:lineRule="auto"/>
      </w:pPr>
    </w:p>
    <w:p w14:paraId="0A84D8E3" w14:textId="77777777" w:rsidR="00890D25" w:rsidRDefault="00890D25" w:rsidP="00D02C75">
      <w:pPr>
        <w:spacing w:after="0" w:line="240" w:lineRule="auto"/>
      </w:pPr>
    </w:p>
    <w:p w14:paraId="258144D9" w14:textId="77777777" w:rsidR="00890D25" w:rsidRPr="00AC1273" w:rsidRDefault="00890D25" w:rsidP="00D02C75">
      <w:pPr>
        <w:widowControl w:val="0"/>
        <w:spacing w:after="0" w:line="288" w:lineRule="auto"/>
        <w:ind w:firstLine="720"/>
      </w:pPr>
      <w:r>
        <w:t>ORIGINAL PROCEEDING; petition for writ of habeas corpus.</w:t>
      </w:r>
      <w:r w:rsidRPr="00AC1273">
        <w:t xml:space="preserve">  </w:t>
      </w:r>
      <w:r>
        <w:t>Juan Carlos Dominguez</w:t>
      </w:r>
      <w:r w:rsidRPr="00AC1273">
        <w:t xml:space="preserve">, Judge. </w:t>
      </w:r>
      <w:r>
        <w:t xml:space="preserve"> Petition denied</w:t>
      </w:r>
      <w:r w:rsidRPr="00AC1273">
        <w:t>.</w:t>
      </w:r>
    </w:p>
    <w:p w14:paraId="6B3AFE23" w14:textId="77777777" w:rsidR="00890D25" w:rsidRPr="00AC1273" w:rsidRDefault="00890D25" w:rsidP="00D02C75">
      <w:pPr>
        <w:widowControl w:val="0"/>
        <w:spacing w:after="0" w:line="288" w:lineRule="auto"/>
        <w:ind w:firstLine="720"/>
      </w:pPr>
      <w:r>
        <w:t>Marilee Marshall,</w:t>
      </w:r>
      <w:r w:rsidRPr="00AC1273">
        <w:t xml:space="preserve"> </w:t>
      </w:r>
      <w:r w:rsidRPr="00DC264A">
        <w:t xml:space="preserve">under appointment by the Court of Appeal, </w:t>
      </w:r>
      <w:r w:rsidRPr="00AC1273">
        <w:t xml:space="preserve">for </w:t>
      </w:r>
      <w:r>
        <w:t>Petitioner</w:t>
      </w:r>
      <w:r w:rsidRPr="00AC1273">
        <w:t>.</w:t>
      </w:r>
    </w:p>
    <w:p w14:paraId="51348597" w14:textId="77777777" w:rsidR="00890D25" w:rsidRPr="00AC1273" w:rsidRDefault="00890D25" w:rsidP="00D02C75">
      <w:pPr>
        <w:widowControl w:val="0"/>
        <w:spacing w:after="0" w:line="288" w:lineRule="auto"/>
        <w:ind w:firstLine="720"/>
      </w:pPr>
      <w:r>
        <w:t>Rob Bonta,</w:t>
      </w:r>
      <w:r w:rsidRPr="00AC1273">
        <w:t xml:space="preserve"> Attorney General, </w:t>
      </w:r>
      <w:r>
        <w:t>Sara J. Romano, Senior Assistant Attorney General, Amanda J. Murray, Supervising Deputy Attorney General, and Charles Chung</w:t>
      </w:r>
      <w:r w:rsidRPr="00AC1273">
        <w:t xml:space="preserve">, </w:t>
      </w:r>
      <w:r>
        <w:t>Deputy Attorney General</w:t>
      </w:r>
      <w:r w:rsidRPr="00AC1273">
        <w:t>, for Respondent.</w:t>
      </w:r>
    </w:p>
    <w:p w14:paraId="66F5DBE0" w14:textId="77777777" w:rsidR="00890D25" w:rsidRDefault="00890D25" w:rsidP="00D02C75">
      <w:pPr>
        <w:widowControl w:val="0"/>
        <w:spacing w:after="0" w:line="288" w:lineRule="auto"/>
        <w:jc w:val="center"/>
      </w:pPr>
      <w:r w:rsidRPr="00AC1273">
        <w:t>_________________________________</w:t>
      </w:r>
    </w:p>
    <w:p w14:paraId="01012168" w14:textId="77777777" w:rsidR="00890D25" w:rsidRDefault="00890D25" w:rsidP="00AC1273">
      <w:pPr>
        <w:spacing w:after="0" w:line="240" w:lineRule="auto"/>
      </w:pPr>
    </w:p>
    <w:p w14:paraId="236B3E04" w14:textId="77777777" w:rsidR="00890D25" w:rsidRDefault="00890D25" w:rsidP="00AC1273">
      <w:pPr>
        <w:spacing w:after="0" w:line="240" w:lineRule="auto"/>
        <w:sectPr w:rsidR="00D02C75" w:rsidSect="00BC0BFF">
          <w:footerReference w:type="even" r:id="rId7"/>
          <w:footerReference w:type="default" r:id="rId8"/>
          <w:pgSz w:w="12240" w:h="15840"/>
          <w:pgMar w:top="2160" w:right="1440" w:bottom="2160" w:left="1440" w:header="720" w:footer="720" w:gutter="0"/>
          <w:cols w:space="720"/>
          <w:titlePg/>
          <w:docGrid w:linePitch="354"/>
        </w:sectPr>
      </w:pPr>
    </w:p>
    <w:p w14:paraId="6436F1E0" w14:textId="77777777" w:rsidR="00890D25" w:rsidRPr="00C2309C" w:rsidRDefault="00890D25" w:rsidP="00C2309C">
      <w:pPr>
        <w:widowControl w:val="0"/>
        <w:spacing w:after="0" w:line="288" w:lineRule="auto"/>
        <w:ind w:firstLine="720"/>
        <w:rPr>
          <w:szCs w:val="26"/>
        </w:rPr>
      </w:pPr>
      <w:r>
        <w:lastRenderedPageBreak/>
        <w:t>Petitioner Christopher T. Hicks, Jr.</w:t>
      </w:r>
      <w:r>
        <w:rPr>
          <w:szCs w:val="26"/>
        </w:rPr>
        <w:t xml:space="preserve"> is</w:t>
      </w:r>
      <w:r>
        <w:rPr>
          <w:szCs w:val="26"/>
        </w:rPr>
        <w:t xml:space="preserve"> currently serving a sentence on two counts of burglary and one count of </w:t>
      </w:r>
      <w:r w:rsidRPr="00C2309C">
        <w:rPr>
          <w:szCs w:val="26"/>
        </w:rPr>
        <w:t>robbery</w:t>
      </w:r>
      <w:r>
        <w:rPr>
          <w:szCs w:val="26"/>
        </w:rPr>
        <w:t xml:space="preserve">.  He </w:t>
      </w:r>
      <w:r>
        <w:rPr>
          <w:szCs w:val="26"/>
        </w:rPr>
        <w:t>seeks</w:t>
      </w:r>
      <w:r w:rsidRPr="00C2309C">
        <w:rPr>
          <w:szCs w:val="26"/>
        </w:rPr>
        <w:t xml:space="preserve"> early parole consideration under article I, section 32, subd</w:t>
      </w:r>
      <w:r>
        <w:rPr>
          <w:szCs w:val="26"/>
        </w:rPr>
        <w:t>ivision</w:t>
      </w:r>
      <w:r w:rsidRPr="00C2309C">
        <w:rPr>
          <w:szCs w:val="26"/>
        </w:rPr>
        <w:t xml:space="preserve"> (a)(1) of the California Constitution (hereafter section 32(a)(1)).  </w:t>
      </w:r>
      <w:r w:rsidRPr="00C2309C">
        <w:rPr>
          <w:szCs w:val="26"/>
        </w:rPr>
        <w:t>The issue</w:t>
      </w:r>
      <w:r>
        <w:rPr>
          <w:szCs w:val="26"/>
        </w:rPr>
        <w:t>s</w:t>
      </w:r>
      <w:r w:rsidRPr="00C2309C">
        <w:rPr>
          <w:szCs w:val="26"/>
        </w:rPr>
        <w:t xml:space="preserve"> </w:t>
      </w:r>
      <w:r>
        <w:rPr>
          <w:szCs w:val="26"/>
        </w:rPr>
        <w:t xml:space="preserve">presented </w:t>
      </w:r>
      <w:r>
        <w:rPr>
          <w:szCs w:val="26"/>
        </w:rPr>
        <w:t>by</w:t>
      </w:r>
      <w:r>
        <w:rPr>
          <w:szCs w:val="26"/>
        </w:rPr>
        <w:t xml:space="preserve"> this petition</w:t>
      </w:r>
      <w:r>
        <w:rPr>
          <w:szCs w:val="26"/>
        </w:rPr>
        <w:t xml:space="preserve"> for writ of habeas corpus</w:t>
      </w:r>
      <w:r>
        <w:rPr>
          <w:szCs w:val="26"/>
        </w:rPr>
        <w:t xml:space="preserve"> </w:t>
      </w:r>
      <w:r>
        <w:rPr>
          <w:szCs w:val="26"/>
        </w:rPr>
        <w:t>are:  (1) </w:t>
      </w:r>
      <w:r w:rsidRPr="00C2309C">
        <w:rPr>
          <w:szCs w:val="26"/>
        </w:rPr>
        <w:t xml:space="preserve">whether </w:t>
      </w:r>
      <w:r>
        <w:rPr>
          <w:szCs w:val="26"/>
        </w:rPr>
        <w:t xml:space="preserve">an </w:t>
      </w:r>
      <w:r w:rsidRPr="00C2309C">
        <w:rPr>
          <w:szCs w:val="26"/>
        </w:rPr>
        <w:t xml:space="preserve">inmate with convictions for violent as well as nonviolent felonies </w:t>
      </w:r>
      <w:r>
        <w:rPr>
          <w:szCs w:val="26"/>
        </w:rPr>
        <w:t>is</w:t>
      </w:r>
      <w:r w:rsidRPr="00C2309C">
        <w:rPr>
          <w:szCs w:val="26"/>
        </w:rPr>
        <w:t xml:space="preserve"> eligible for early parole consideration under section 32(a)(1)</w:t>
      </w:r>
      <w:r>
        <w:rPr>
          <w:szCs w:val="26"/>
        </w:rPr>
        <w:t xml:space="preserve">; and (2) whether the </w:t>
      </w:r>
      <w:r w:rsidRPr="00C2309C">
        <w:rPr>
          <w:szCs w:val="26"/>
        </w:rPr>
        <w:t>California Department of Corrections and Rehabilitation (the Department)</w:t>
      </w:r>
      <w:r>
        <w:rPr>
          <w:szCs w:val="26"/>
        </w:rPr>
        <w:t xml:space="preserve"> abused its rulemaking authority in adopting</w:t>
      </w:r>
      <w:r>
        <w:rPr>
          <w:szCs w:val="26"/>
        </w:rPr>
        <w:t xml:space="preserve"> in 2022</w:t>
      </w:r>
      <w:r>
        <w:rPr>
          <w:szCs w:val="26"/>
        </w:rPr>
        <w:t xml:space="preserve"> </w:t>
      </w:r>
      <w:r w:rsidRPr="00C2309C">
        <w:rPr>
          <w:szCs w:val="26"/>
        </w:rPr>
        <w:t>the curren</w:t>
      </w:r>
      <w:r w:rsidRPr="00C2309C">
        <w:rPr>
          <w:szCs w:val="26"/>
        </w:rPr>
        <w:t xml:space="preserve">t </w:t>
      </w:r>
      <w:r>
        <w:rPr>
          <w:szCs w:val="26"/>
        </w:rPr>
        <w:t xml:space="preserve">version of the </w:t>
      </w:r>
      <w:r w:rsidRPr="00C2309C">
        <w:rPr>
          <w:szCs w:val="26"/>
        </w:rPr>
        <w:t>regulation</w:t>
      </w:r>
      <w:r>
        <w:rPr>
          <w:szCs w:val="26"/>
        </w:rPr>
        <w:t xml:space="preserve">s that exclude from nonviolent offender early parole consideration an inmate who also stands convicted of a violent felony.  </w:t>
      </w:r>
      <w:r>
        <w:rPr>
          <w:szCs w:val="26"/>
        </w:rPr>
        <w:t>(Cal. Code Regs., tit. 15, § 3490</w:t>
      </w:r>
      <w:r>
        <w:rPr>
          <w:szCs w:val="26"/>
        </w:rPr>
        <w:t>, subd. (a)(5)</w:t>
      </w:r>
      <w:r>
        <w:rPr>
          <w:szCs w:val="26"/>
        </w:rPr>
        <w:t xml:space="preserve"> (hereafter 15 CCR § 3490)</w:t>
      </w:r>
      <w:r>
        <w:rPr>
          <w:szCs w:val="26"/>
        </w:rPr>
        <w:t>.)</w:t>
      </w:r>
      <w:r>
        <w:rPr>
          <w:rStyle w:val="FootnoteReference"/>
          <w:szCs w:val="26"/>
        </w:rPr>
        <w:footnoteReference w:id="2"/>
      </w:r>
      <w:r>
        <w:rPr>
          <w:szCs w:val="26"/>
        </w:rPr>
        <w:t xml:space="preserve"> </w:t>
      </w:r>
      <w:r>
        <w:rPr>
          <w:szCs w:val="26"/>
        </w:rPr>
        <w:t xml:space="preserve"> </w:t>
      </w:r>
      <w:r w:rsidRPr="00C2309C">
        <w:rPr>
          <w:szCs w:val="26"/>
        </w:rPr>
        <w:t xml:space="preserve">We conclude </w:t>
      </w:r>
      <w:r>
        <w:rPr>
          <w:szCs w:val="26"/>
        </w:rPr>
        <w:t>the Department’s regulation</w:t>
      </w:r>
      <w:r w:rsidRPr="00C2309C">
        <w:rPr>
          <w:szCs w:val="26"/>
        </w:rPr>
        <w:t xml:space="preserve"> </w:t>
      </w:r>
      <w:r>
        <w:rPr>
          <w:szCs w:val="26"/>
        </w:rPr>
        <w:t>constitutes</w:t>
      </w:r>
      <w:r w:rsidRPr="00C2309C">
        <w:rPr>
          <w:szCs w:val="26"/>
        </w:rPr>
        <w:t xml:space="preserve"> </w:t>
      </w:r>
      <w:r w:rsidRPr="00C2309C">
        <w:rPr>
          <w:szCs w:val="26"/>
        </w:rPr>
        <w:t xml:space="preserve">a valid exercise of the Department’s rulemaking authority </w:t>
      </w:r>
      <w:r>
        <w:rPr>
          <w:szCs w:val="26"/>
        </w:rPr>
        <w:t>consistent with section</w:t>
      </w:r>
      <w:r>
        <w:rPr>
          <w:szCs w:val="26"/>
        </w:rPr>
        <w:t> </w:t>
      </w:r>
      <w:r>
        <w:rPr>
          <w:szCs w:val="26"/>
        </w:rPr>
        <w:t>32</w:t>
      </w:r>
      <w:r>
        <w:rPr>
          <w:szCs w:val="26"/>
        </w:rPr>
        <w:t xml:space="preserve">, subdivisions </w:t>
      </w:r>
      <w:r>
        <w:rPr>
          <w:szCs w:val="26"/>
        </w:rPr>
        <w:t>(a)(1)</w:t>
      </w:r>
      <w:r>
        <w:rPr>
          <w:szCs w:val="26"/>
        </w:rPr>
        <w:t xml:space="preserve"> and (b)</w:t>
      </w:r>
      <w:r>
        <w:rPr>
          <w:szCs w:val="26"/>
        </w:rPr>
        <w:t xml:space="preserve">, and the Department properly determined that </w:t>
      </w:r>
      <w:r>
        <w:rPr>
          <w:szCs w:val="26"/>
        </w:rPr>
        <w:t>petitioner</w:t>
      </w:r>
      <w:r w:rsidRPr="00C2309C">
        <w:rPr>
          <w:szCs w:val="26"/>
        </w:rPr>
        <w:t xml:space="preserve"> </w:t>
      </w:r>
      <w:r>
        <w:rPr>
          <w:szCs w:val="26"/>
        </w:rPr>
        <w:t xml:space="preserve">does not qualify for early parole </w:t>
      </w:r>
      <w:r>
        <w:rPr>
          <w:szCs w:val="26"/>
        </w:rPr>
        <w:t>consideration under section 32(a)(1) based on his violent felony conviction</w:t>
      </w:r>
      <w:r w:rsidRPr="00C2309C">
        <w:rPr>
          <w:szCs w:val="26"/>
        </w:rPr>
        <w:t xml:space="preserve">.  </w:t>
      </w:r>
      <w:r>
        <w:rPr>
          <w:szCs w:val="26"/>
        </w:rPr>
        <w:t>We therefore</w:t>
      </w:r>
      <w:r w:rsidRPr="00C2309C">
        <w:rPr>
          <w:szCs w:val="26"/>
        </w:rPr>
        <w:t xml:space="preserve"> deny </w:t>
      </w:r>
      <w:r>
        <w:rPr>
          <w:szCs w:val="26"/>
        </w:rPr>
        <w:t>the</w:t>
      </w:r>
      <w:r w:rsidRPr="005E43C2">
        <w:rPr>
          <w:szCs w:val="26"/>
        </w:rPr>
        <w:t xml:space="preserve"> </w:t>
      </w:r>
      <w:r w:rsidRPr="00C2309C">
        <w:rPr>
          <w:szCs w:val="26"/>
        </w:rPr>
        <w:t>petition for writ of habeas corpus.</w:t>
      </w:r>
    </w:p>
    <w:p w14:paraId="2AE9FC39" w14:textId="77777777" w:rsidR="00890D25" w:rsidRPr="00A42182" w:rsidRDefault="00890D25" w:rsidP="003B6B59">
      <w:pPr>
        <w:keepNext/>
        <w:widowControl w:val="0"/>
        <w:spacing w:after="0" w:line="288" w:lineRule="auto"/>
        <w:jc w:val="center"/>
        <w:rPr>
          <w:b/>
        </w:rPr>
      </w:pPr>
      <w:r>
        <w:rPr>
          <w:b/>
        </w:rPr>
        <w:t>PROCEDURAL</w:t>
      </w:r>
      <w:r w:rsidRPr="00A42182">
        <w:rPr>
          <w:b/>
        </w:rPr>
        <w:t xml:space="preserve"> </w:t>
      </w:r>
      <w:r>
        <w:rPr>
          <w:b/>
        </w:rPr>
        <w:t>HISTORY</w:t>
      </w:r>
    </w:p>
    <w:p w14:paraId="6D7DF0C5" w14:textId="77777777" w:rsidR="00890D25" w:rsidRPr="007C38DB" w:rsidRDefault="00890D25" w:rsidP="00D068C5">
      <w:pPr>
        <w:widowControl w:val="0"/>
        <w:spacing w:after="0" w:line="288" w:lineRule="auto"/>
        <w:ind w:firstLine="720"/>
      </w:pPr>
      <w:proofErr w:type="gramStart"/>
      <w:r>
        <w:t>P</w:t>
      </w:r>
      <w:r w:rsidRPr="005E43C2">
        <w:t>etitioner</w:t>
      </w:r>
      <w:proofErr w:type="gramEnd"/>
      <w:r w:rsidRPr="005E43C2">
        <w:t xml:space="preserve"> </w:t>
      </w:r>
      <w:r w:rsidRPr="007C38DB">
        <w:t xml:space="preserve">pleaded guilty </w:t>
      </w:r>
      <w:r>
        <w:t>and was sentenced on</w:t>
      </w:r>
      <w:r w:rsidRPr="007C38DB">
        <w:t xml:space="preserve"> one count of </w:t>
      </w:r>
      <w:proofErr w:type="gramStart"/>
      <w:r w:rsidRPr="00C36144">
        <w:t>first degree</w:t>
      </w:r>
      <w:proofErr w:type="gramEnd"/>
      <w:r w:rsidRPr="00C36144">
        <w:t xml:space="preserve"> </w:t>
      </w:r>
      <w:r w:rsidRPr="007C38DB">
        <w:t xml:space="preserve">burglary, </w:t>
      </w:r>
      <w:r w:rsidRPr="007C38DB">
        <w:t xml:space="preserve">one count of </w:t>
      </w:r>
      <w:r w:rsidRPr="00C36144">
        <w:t xml:space="preserve">second degree </w:t>
      </w:r>
      <w:r w:rsidRPr="007C38DB">
        <w:t>burglary</w:t>
      </w:r>
      <w:r>
        <w:t>,</w:t>
      </w:r>
      <w:r w:rsidRPr="007C38DB">
        <w:t xml:space="preserve"> </w:t>
      </w:r>
      <w:r w:rsidRPr="007C38DB">
        <w:t xml:space="preserve">one count of </w:t>
      </w:r>
      <w:r w:rsidRPr="00C36144">
        <w:t xml:space="preserve">second degree </w:t>
      </w:r>
      <w:r w:rsidRPr="007C38DB">
        <w:t>robbery</w:t>
      </w:r>
      <w:r>
        <w:t xml:space="preserve">, and </w:t>
      </w:r>
      <w:r w:rsidRPr="007C38DB">
        <w:t>two counts of receiving stolen property</w:t>
      </w:r>
      <w:r w:rsidRPr="007C38DB">
        <w:t xml:space="preserve">.  </w:t>
      </w:r>
      <w:proofErr w:type="gramStart"/>
      <w:r>
        <w:t>Petitioner</w:t>
      </w:r>
      <w:proofErr w:type="gramEnd"/>
      <w:r>
        <w:t xml:space="preserve"> was originally sentenced on August 7, 2017.  </w:t>
      </w:r>
      <w:r>
        <w:lastRenderedPageBreak/>
        <w:t>F</w:t>
      </w:r>
      <w:r>
        <w:t>ollowing a recall of his sentence on the</w:t>
      </w:r>
      <w:r w:rsidRPr="002B5182">
        <w:t xml:space="preserve"> </w:t>
      </w:r>
      <w:r>
        <w:t>convictions for</w:t>
      </w:r>
      <w:r>
        <w:t xml:space="preserve"> receiving stolen property, </w:t>
      </w:r>
      <w:r w:rsidRPr="005E43C2">
        <w:t xml:space="preserve">petitioner </w:t>
      </w:r>
      <w:r>
        <w:t xml:space="preserve">was </w:t>
      </w:r>
      <w:r>
        <w:t>re</w:t>
      </w:r>
      <w:r>
        <w:t>sentenced</w:t>
      </w:r>
      <w:r>
        <w:t xml:space="preserve"> on September 10, 2020</w:t>
      </w:r>
      <w:r>
        <w:t>,</w:t>
      </w:r>
      <w:r>
        <w:t xml:space="preserve"> to a term of </w:t>
      </w:r>
      <w:r>
        <w:t>10</w:t>
      </w:r>
      <w:r>
        <w:t xml:space="preserve"> years</w:t>
      </w:r>
      <w:r>
        <w:t xml:space="preserve"> 8</w:t>
      </w:r>
      <w:r>
        <w:t xml:space="preserve"> months in state prison.  The sentence consisted of four years for the </w:t>
      </w:r>
      <w:proofErr w:type="gramStart"/>
      <w:r>
        <w:t>first degree</w:t>
      </w:r>
      <w:proofErr w:type="gramEnd"/>
      <w:r>
        <w:t xml:space="preserve"> burglary </w:t>
      </w:r>
      <w:r>
        <w:t>conv</w:t>
      </w:r>
      <w:r>
        <w:t xml:space="preserve">iction </w:t>
      </w:r>
      <w:r>
        <w:t xml:space="preserve">plus a five-year gang enhancement </w:t>
      </w:r>
      <w:r w:rsidRPr="007C38DB">
        <w:t>under Penal Code section 186.22</w:t>
      </w:r>
      <w:r>
        <w:t xml:space="preserve">, subdivision </w:t>
      </w:r>
      <w:r w:rsidRPr="007C38DB">
        <w:t>(b)(1)(</w:t>
      </w:r>
      <w:r>
        <w:t>B</w:t>
      </w:r>
      <w:r w:rsidRPr="007C38DB">
        <w:t>)</w:t>
      </w:r>
      <w:r>
        <w:t xml:space="preserve">, </w:t>
      </w:r>
      <w:r>
        <w:t>and</w:t>
      </w:r>
      <w:r w:rsidRPr="007C38DB">
        <w:t xml:space="preserve"> consecutive terms of </w:t>
      </w:r>
      <w:r>
        <w:t>eight months for</w:t>
      </w:r>
      <w:r>
        <w:t xml:space="preserve"> the</w:t>
      </w:r>
      <w:r>
        <w:t xml:space="preserve"> second degree burglary and </w:t>
      </w:r>
      <w:r w:rsidRPr="007C38DB">
        <w:t>one year</w:t>
      </w:r>
      <w:r>
        <w:t xml:space="preserve"> for the robbery conviction</w:t>
      </w:r>
      <w:r w:rsidRPr="007C38DB">
        <w:t xml:space="preserve">. </w:t>
      </w:r>
      <w:r>
        <w:t xml:space="preserve"> </w:t>
      </w:r>
      <w:r w:rsidRPr="007C38DB">
        <w:t xml:space="preserve">According to respondent, </w:t>
      </w:r>
      <w:r w:rsidRPr="005E43C2">
        <w:t>petitioner</w:t>
      </w:r>
      <w:r w:rsidRPr="007C38DB">
        <w:t>’</w:t>
      </w:r>
      <w:r>
        <w:t>s</w:t>
      </w:r>
      <w:r w:rsidRPr="007C38DB">
        <w:t xml:space="preserve"> anticipated release date is in July 2025.</w:t>
      </w:r>
    </w:p>
    <w:p w14:paraId="138A9C25" w14:textId="77777777" w:rsidR="00890D25" w:rsidRPr="007C38DB" w:rsidRDefault="00890D25" w:rsidP="007C38DB">
      <w:pPr>
        <w:widowControl w:val="0"/>
        <w:spacing w:after="0" w:line="288" w:lineRule="auto"/>
        <w:ind w:firstLine="720"/>
      </w:pPr>
      <w:r w:rsidRPr="007C38DB">
        <w:t xml:space="preserve">On April 27, 2022, </w:t>
      </w:r>
      <w:proofErr w:type="gramStart"/>
      <w:r w:rsidRPr="005E43C2">
        <w:t>petitioner</w:t>
      </w:r>
      <w:proofErr w:type="gramEnd"/>
      <w:r w:rsidRPr="007C38DB">
        <w:t xml:space="preserve"> filed a petition for writ of habeas corpus in this court in which he sought early parole consideration under section 32(a)(1).  We summarily denied </w:t>
      </w:r>
      <w:r>
        <w:t>the</w:t>
      </w:r>
      <w:r w:rsidRPr="007C38DB">
        <w:t xml:space="preserve"> petition. </w:t>
      </w:r>
    </w:p>
    <w:p w14:paraId="4795048B" w14:textId="77777777" w:rsidR="00890D25" w:rsidRPr="007C38DB" w:rsidRDefault="00890D25" w:rsidP="002D72D6">
      <w:pPr>
        <w:widowControl w:val="0"/>
        <w:spacing w:after="0" w:line="288" w:lineRule="auto"/>
        <w:ind w:firstLine="720"/>
      </w:pPr>
      <w:r>
        <w:t>P</w:t>
      </w:r>
      <w:r w:rsidRPr="005E43C2">
        <w:t>etitioner</w:t>
      </w:r>
      <w:r>
        <w:t xml:space="preserve"> then</w:t>
      </w:r>
      <w:r w:rsidRPr="007C38DB">
        <w:t xml:space="preserve"> filed a petition for writ of habeas corpus in the California Supreme Court. </w:t>
      </w:r>
      <w:r>
        <w:t xml:space="preserve"> </w:t>
      </w:r>
      <w:r w:rsidRPr="007C38DB">
        <w:t>On June 14, 2023, the California Supreme Court issued the following order:  “The Secretary of the Department of Corrections and Rehabilitation is ordered to show cause, returnable before the Court of Appeal, Second Appellate District, Division Two, why petitioner is not entitled to relief based on his claim that he is unconstitutionally being excluded from early parole consideration under section 32, subdivision (a)(</w:t>
      </w:r>
      <w:r w:rsidRPr="007C38DB">
        <w:t>1) of article 1 of the California Constitution.”</w:t>
      </w:r>
      <w:r>
        <w:t xml:space="preserve">  </w:t>
      </w:r>
      <w:r w:rsidRPr="007C38DB">
        <w:t xml:space="preserve">We issued an order to show cause, directed the Department to file a return, and </w:t>
      </w:r>
      <w:r>
        <w:t xml:space="preserve">granted </w:t>
      </w:r>
      <w:r w:rsidRPr="005E43C2">
        <w:t>petitioner</w:t>
      </w:r>
      <w:r>
        <w:t>’</w:t>
      </w:r>
      <w:r>
        <w:t>s</w:t>
      </w:r>
      <w:r>
        <w:t xml:space="preserve"> counsel</w:t>
      </w:r>
      <w:r w:rsidRPr="007C38DB">
        <w:t xml:space="preserve"> leave to file a traverse.</w:t>
      </w:r>
    </w:p>
    <w:p w14:paraId="3ADC1ED0" w14:textId="77777777" w:rsidR="00890D25" w:rsidRPr="008B4CF1" w:rsidRDefault="00890D25" w:rsidP="002D72D6">
      <w:pPr>
        <w:keepNext/>
        <w:widowControl w:val="0"/>
        <w:spacing w:after="0" w:line="288" w:lineRule="auto"/>
        <w:jc w:val="center"/>
        <w:outlineLvl w:val="0"/>
        <w:rPr>
          <w:b/>
        </w:rPr>
      </w:pPr>
      <w:r w:rsidRPr="008B4CF1">
        <w:rPr>
          <w:b/>
        </w:rPr>
        <w:lastRenderedPageBreak/>
        <w:t>DISCUSSION</w:t>
      </w:r>
    </w:p>
    <w:p w14:paraId="2996F4FE" w14:textId="77777777" w:rsidR="00890D25" w:rsidRPr="001A6959" w:rsidRDefault="00890D25" w:rsidP="00415A4C">
      <w:pPr>
        <w:keepNext/>
        <w:keepLines/>
        <w:tabs>
          <w:tab w:val="left" w:pos="180"/>
          <w:tab w:val="left" w:pos="720"/>
          <w:tab w:val="left" w:pos="1080"/>
        </w:tabs>
        <w:spacing w:after="0" w:line="288" w:lineRule="auto"/>
        <w:ind w:left="720" w:right="720" w:hanging="720"/>
        <w:outlineLvl w:val="0"/>
        <w:rPr>
          <w:szCs w:val="26"/>
        </w:rPr>
      </w:pPr>
      <w:r w:rsidRPr="008B4CF1">
        <w:rPr>
          <w:b/>
        </w:rPr>
        <w:tab/>
      </w:r>
      <w:r>
        <w:rPr>
          <w:b/>
        </w:rPr>
        <w:tab/>
      </w:r>
      <w:r>
        <w:rPr>
          <w:b/>
        </w:rPr>
        <w:t>The Current Regulation Barring</w:t>
      </w:r>
      <w:r>
        <w:rPr>
          <w:b/>
        </w:rPr>
        <w:t xml:space="preserve"> </w:t>
      </w:r>
      <w:r>
        <w:rPr>
          <w:b/>
          <w:szCs w:val="26"/>
        </w:rPr>
        <w:t>Inmate</w:t>
      </w:r>
      <w:r>
        <w:rPr>
          <w:b/>
          <w:szCs w:val="26"/>
        </w:rPr>
        <w:t>s</w:t>
      </w:r>
      <w:r>
        <w:rPr>
          <w:b/>
          <w:szCs w:val="26"/>
        </w:rPr>
        <w:t xml:space="preserve"> Convicted </w:t>
      </w:r>
      <w:r>
        <w:rPr>
          <w:b/>
          <w:szCs w:val="26"/>
        </w:rPr>
        <w:t>and Sentenced for</w:t>
      </w:r>
      <w:r>
        <w:rPr>
          <w:b/>
          <w:szCs w:val="26"/>
        </w:rPr>
        <w:t xml:space="preserve"> Both Violent and Nonviolent Felonies </w:t>
      </w:r>
      <w:r>
        <w:rPr>
          <w:b/>
          <w:szCs w:val="26"/>
        </w:rPr>
        <w:t>from</w:t>
      </w:r>
      <w:r>
        <w:rPr>
          <w:b/>
          <w:szCs w:val="26"/>
        </w:rPr>
        <w:t xml:space="preserve"> Early Parole Consideration </w:t>
      </w:r>
      <w:r>
        <w:rPr>
          <w:b/>
          <w:szCs w:val="26"/>
        </w:rPr>
        <w:t xml:space="preserve">Represents a Reasonable </w:t>
      </w:r>
      <w:r>
        <w:rPr>
          <w:b/>
          <w:szCs w:val="26"/>
        </w:rPr>
        <w:t>Interpretation of</w:t>
      </w:r>
      <w:r>
        <w:rPr>
          <w:b/>
          <w:szCs w:val="26"/>
        </w:rPr>
        <w:t xml:space="preserve"> Section 32(a)(1)</w:t>
      </w:r>
      <w:r>
        <w:rPr>
          <w:b/>
          <w:szCs w:val="26"/>
        </w:rPr>
        <w:t xml:space="preserve"> and a Proper Exercise of the Department’s Rulemaking Authority Under</w:t>
      </w:r>
      <w:r>
        <w:rPr>
          <w:b/>
          <w:szCs w:val="26"/>
        </w:rPr>
        <w:t xml:space="preserve"> California Constitution, Article I,</w:t>
      </w:r>
      <w:r>
        <w:rPr>
          <w:b/>
          <w:szCs w:val="26"/>
        </w:rPr>
        <w:t xml:space="preserve"> Section 32, </w:t>
      </w:r>
      <w:r>
        <w:rPr>
          <w:b/>
          <w:szCs w:val="26"/>
        </w:rPr>
        <w:t>S</w:t>
      </w:r>
      <w:r>
        <w:rPr>
          <w:b/>
          <w:szCs w:val="26"/>
        </w:rPr>
        <w:t>ubdivision (b)</w:t>
      </w:r>
    </w:p>
    <w:p w14:paraId="1F418F8A" w14:textId="77777777" w:rsidR="00890D25" w:rsidRPr="00A42182" w:rsidRDefault="00890D25" w:rsidP="009B4809">
      <w:pPr>
        <w:keepNext/>
        <w:tabs>
          <w:tab w:val="left" w:pos="360"/>
          <w:tab w:val="left" w:pos="720"/>
          <w:tab w:val="left" w:pos="1080"/>
        </w:tabs>
        <w:snapToGrid w:val="0"/>
        <w:spacing w:after="0" w:line="288" w:lineRule="auto"/>
        <w:outlineLvl w:val="0"/>
        <w:rPr>
          <w:b/>
          <w:i/>
          <w:szCs w:val="26"/>
        </w:rPr>
      </w:pPr>
      <w:r>
        <w:rPr>
          <w:szCs w:val="26"/>
        </w:rPr>
        <w:tab/>
      </w:r>
      <w:r>
        <w:rPr>
          <w:b/>
          <w:szCs w:val="26"/>
        </w:rPr>
        <w:t>A.</w:t>
      </w:r>
      <w:r>
        <w:rPr>
          <w:b/>
          <w:szCs w:val="26"/>
        </w:rPr>
        <w:tab/>
      </w:r>
      <w:r>
        <w:rPr>
          <w:b/>
          <w:i/>
          <w:szCs w:val="26"/>
        </w:rPr>
        <w:t>Section 32(a)(1) and the definition of a violent felony</w:t>
      </w:r>
    </w:p>
    <w:p w14:paraId="312C5DC0" w14:textId="77777777" w:rsidR="00890D25" w:rsidRPr="009B4809" w:rsidRDefault="00890D25" w:rsidP="009B4809">
      <w:pPr>
        <w:tabs>
          <w:tab w:val="left" w:pos="180"/>
          <w:tab w:val="left" w:pos="720"/>
          <w:tab w:val="left" w:pos="1080"/>
        </w:tabs>
        <w:snapToGrid w:val="0"/>
        <w:spacing w:after="0" w:line="288" w:lineRule="auto"/>
        <w:ind w:firstLine="720"/>
        <w:outlineLvl w:val="0"/>
        <w:rPr>
          <w:szCs w:val="26"/>
        </w:rPr>
      </w:pPr>
      <w:r>
        <w:rPr>
          <w:szCs w:val="26"/>
        </w:rPr>
        <w:t xml:space="preserve">Proposition 57, approved by </w:t>
      </w:r>
      <w:r w:rsidRPr="00BF268F">
        <w:rPr>
          <w:szCs w:val="26"/>
        </w:rPr>
        <w:t xml:space="preserve">the </w:t>
      </w:r>
      <w:r>
        <w:rPr>
          <w:szCs w:val="26"/>
        </w:rPr>
        <w:t xml:space="preserve">voters </w:t>
      </w:r>
      <w:r w:rsidRPr="00BF268F">
        <w:rPr>
          <w:szCs w:val="26"/>
        </w:rPr>
        <w:t>in November 2016</w:t>
      </w:r>
      <w:r>
        <w:rPr>
          <w:szCs w:val="26"/>
        </w:rPr>
        <w:t>,</w:t>
      </w:r>
      <w:r w:rsidRPr="00BF268F">
        <w:rPr>
          <w:szCs w:val="26"/>
        </w:rPr>
        <w:t xml:space="preserve"> added</w:t>
      </w:r>
      <w:r>
        <w:rPr>
          <w:szCs w:val="26"/>
        </w:rPr>
        <w:t xml:space="preserve"> (among other provisions)</w:t>
      </w:r>
      <w:r w:rsidRPr="00BF268F">
        <w:rPr>
          <w:szCs w:val="26"/>
        </w:rPr>
        <w:t xml:space="preserve"> section 32 to article I of the California Constitution. </w:t>
      </w:r>
      <w:r>
        <w:rPr>
          <w:szCs w:val="26"/>
        </w:rPr>
        <w:t xml:space="preserve"> </w:t>
      </w:r>
      <w:r w:rsidRPr="00BF268F">
        <w:rPr>
          <w:szCs w:val="26"/>
        </w:rPr>
        <w:t>(</w:t>
      </w:r>
      <w:r w:rsidRPr="00BF268F">
        <w:rPr>
          <w:i/>
          <w:iCs/>
          <w:szCs w:val="26"/>
        </w:rPr>
        <w:t>In re Gadlin</w:t>
      </w:r>
      <w:r>
        <w:rPr>
          <w:szCs w:val="26"/>
        </w:rPr>
        <w:t xml:space="preserve"> </w:t>
      </w:r>
      <w:r w:rsidRPr="00BF268F">
        <w:rPr>
          <w:szCs w:val="26"/>
        </w:rPr>
        <w:t>(2020) 10 Cal.5th 915, 923</w:t>
      </w:r>
      <w:r>
        <w:rPr>
          <w:szCs w:val="26"/>
        </w:rPr>
        <w:t xml:space="preserve">; </w:t>
      </w:r>
      <w:r w:rsidRPr="00AE7918">
        <w:rPr>
          <w:i/>
          <w:iCs/>
          <w:szCs w:val="26"/>
        </w:rPr>
        <w:t>In re Mohammad</w:t>
      </w:r>
      <w:r>
        <w:rPr>
          <w:szCs w:val="26"/>
        </w:rPr>
        <w:t xml:space="preserve"> </w:t>
      </w:r>
      <w:r w:rsidRPr="00AE7918">
        <w:rPr>
          <w:szCs w:val="26"/>
        </w:rPr>
        <w:t>(2022) 12 Cal.5th 518, 52</w:t>
      </w:r>
      <w:r>
        <w:rPr>
          <w:szCs w:val="26"/>
        </w:rPr>
        <w:t>7 (</w:t>
      </w:r>
      <w:r w:rsidRPr="00AE7918">
        <w:rPr>
          <w:i/>
          <w:iCs/>
          <w:szCs w:val="26"/>
        </w:rPr>
        <w:t>Mohammad</w:t>
      </w:r>
      <w:r>
        <w:rPr>
          <w:szCs w:val="26"/>
        </w:rPr>
        <w:t>)</w:t>
      </w:r>
      <w:r w:rsidRPr="00BF268F">
        <w:rPr>
          <w:szCs w:val="26"/>
        </w:rPr>
        <w:t>.)</w:t>
      </w:r>
      <w:r>
        <w:rPr>
          <w:szCs w:val="26"/>
        </w:rPr>
        <w:t xml:space="preserve">  </w:t>
      </w:r>
      <w:r w:rsidRPr="001611D2">
        <w:rPr>
          <w:szCs w:val="26"/>
        </w:rPr>
        <w:t>S</w:t>
      </w:r>
      <w:r>
        <w:rPr>
          <w:szCs w:val="26"/>
        </w:rPr>
        <w:t>ubdivision (a)(1) of s</w:t>
      </w:r>
      <w:r w:rsidRPr="001611D2">
        <w:rPr>
          <w:szCs w:val="26"/>
        </w:rPr>
        <w:t xml:space="preserve">ection 32 provides that </w:t>
      </w:r>
      <w:proofErr w:type="gramStart"/>
      <w:r w:rsidRPr="001611D2">
        <w:rPr>
          <w:szCs w:val="26"/>
        </w:rPr>
        <w:t>“</w:t>
      </w:r>
      <w:r>
        <w:rPr>
          <w:szCs w:val="26"/>
        </w:rPr>
        <w:t> ‘</w:t>
      </w:r>
      <w:proofErr w:type="gramEnd"/>
      <w:r w:rsidRPr="001611D2">
        <w:rPr>
          <w:szCs w:val="26"/>
        </w:rPr>
        <w:t>[a]</w:t>
      </w:r>
      <w:proofErr w:type="spellStart"/>
      <w:r w:rsidRPr="001611D2">
        <w:rPr>
          <w:szCs w:val="26"/>
        </w:rPr>
        <w:t>ny</w:t>
      </w:r>
      <w:proofErr w:type="spellEnd"/>
      <w:r w:rsidRPr="001611D2">
        <w:rPr>
          <w:szCs w:val="26"/>
        </w:rPr>
        <w:t xml:space="preserve"> person convicted of a nonviolent felony offense and sentenced to state prison shall be eligible for parole consideration after completing the full term for his or her primary offense.</w:t>
      </w:r>
      <w:r>
        <w:rPr>
          <w:szCs w:val="26"/>
        </w:rPr>
        <w:t>’ </w:t>
      </w:r>
      <w:r w:rsidRPr="001611D2">
        <w:rPr>
          <w:szCs w:val="26"/>
        </w:rPr>
        <w:t xml:space="preserve">” </w:t>
      </w:r>
      <w:r>
        <w:rPr>
          <w:szCs w:val="26"/>
        </w:rPr>
        <w:t xml:space="preserve"> (</w:t>
      </w:r>
      <w:r>
        <w:rPr>
          <w:i/>
          <w:iCs/>
          <w:szCs w:val="26"/>
        </w:rPr>
        <w:t>Mohammad</w:t>
      </w:r>
      <w:r>
        <w:rPr>
          <w:szCs w:val="26"/>
        </w:rPr>
        <w:t xml:space="preserve">, at p. 527.) </w:t>
      </w:r>
      <w:r w:rsidRPr="001611D2">
        <w:rPr>
          <w:szCs w:val="26"/>
        </w:rPr>
        <w:t xml:space="preserve"> “</w:t>
      </w:r>
      <w:r>
        <w:rPr>
          <w:szCs w:val="26"/>
        </w:rPr>
        <w:t>P</w:t>
      </w:r>
      <w:r w:rsidRPr="001611D2">
        <w:rPr>
          <w:szCs w:val="26"/>
        </w:rPr>
        <w:t xml:space="preserve">rimary offense” </w:t>
      </w:r>
      <w:r>
        <w:rPr>
          <w:szCs w:val="26"/>
        </w:rPr>
        <w:t xml:space="preserve">is defined </w:t>
      </w:r>
      <w:r w:rsidRPr="001611D2">
        <w:rPr>
          <w:szCs w:val="26"/>
        </w:rPr>
        <w:t xml:space="preserve">as the “longest term of imprisonment imposed by the court for any offense, excluding the imposition of an enhancement, consecutive sentence, or alternative sentence.” </w:t>
      </w:r>
      <w:r>
        <w:rPr>
          <w:szCs w:val="26"/>
        </w:rPr>
        <w:t xml:space="preserve"> </w:t>
      </w:r>
      <w:r w:rsidRPr="001611D2">
        <w:rPr>
          <w:szCs w:val="26"/>
        </w:rPr>
        <w:t>(</w:t>
      </w:r>
      <w:r>
        <w:rPr>
          <w:szCs w:val="26"/>
        </w:rPr>
        <w:t>Cal. Const., a</w:t>
      </w:r>
      <w:r w:rsidRPr="001611D2">
        <w:rPr>
          <w:szCs w:val="26"/>
        </w:rPr>
        <w:t xml:space="preserve">rt. I, </w:t>
      </w:r>
      <w:bookmarkStart w:id="0" w:name="_Hlk148448137"/>
      <w:r w:rsidRPr="001611D2">
        <w:rPr>
          <w:szCs w:val="26"/>
        </w:rPr>
        <w:t>§</w:t>
      </w:r>
      <w:bookmarkEnd w:id="0"/>
      <w:r w:rsidRPr="001611D2">
        <w:rPr>
          <w:szCs w:val="26"/>
        </w:rPr>
        <w:t xml:space="preserve"> 32, subd. (a)(1)(A)</w:t>
      </w:r>
      <w:r>
        <w:rPr>
          <w:szCs w:val="26"/>
        </w:rPr>
        <w:t>;</w:t>
      </w:r>
      <w:r>
        <w:rPr>
          <w:szCs w:val="26"/>
        </w:rPr>
        <w:t xml:space="preserve"> </w:t>
      </w:r>
      <w:r>
        <w:rPr>
          <w:i/>
          <w:iCs/>
          <w:szCs w:val="26"/>
        </w:rPr>
        <w:t>Mohammad</w:t>
      </w:r>
      <w:r>
        <w:rPr>
          <w:szCs w:val="26"/>
        </w:rPr>
        <w:t>, at p. 527;</w:t>
      </w:r>
      <w:r>
        <w:rPr>
          <w:szCs w:val="26"/>
        </w:rPr>
        <w:t xml:space="preserve"> see also </w:t>
      </w:r>
      <w:r>
        <w:rPr>
          <w:szCs w:val="26"/>
        </w:rPr>
        <w:t>15 CCR</w:t>
      </w:r>
      <w:r>
        <w:rPr>
          <w:szCs w:val="26"/>
        </w:rPr>
        <w:t xml:space="preserve"> §</w:t>
      </w:r>
      <w:r>
        <w:rPr>
          <w:szCs w:val="26"/>
        </w:rPr>
        <w:t> </w:t>
      </w:r>
      <w:r>
        <w:rPr>
          <w:szCs w:val="26"/>
        </w:rPr>
        <w:t>3490</w:t>
      </w:r>
      <w:r w:rsidRPr="001611D2">
        <w:rPr>
          <w:szCs w:val="26"/>
        </w:rPr>
        <w:t>.)</w:t>
      </w:r>
    </w:p>
    <w:p w14:paraId="0E156692" w14:textId="77777777" w:rsidR="00890D25" w:rsidRDefault="00890D25" w:rsidP="00585779">
      <w:pPr>
        <w:tabs>
          <w:tab w:val="left" w:pos="180"/>
          <w:tab w:val="left" w:pos="720"/>
          <w:tab w:val="left" w:pos="1080"/>
        </w:tabs>
        <w:spacing w:after="0" w:line="288" w:lineRule="auto"/>
        <w:ind w:firstLine="720"/>
        <w:outlineLvl w:val="0"/>
        <w:rPr>
          <w:szCs w:val="26"/>
        </w:rPr>
      </w:pPr>
      <w:r>
        <w:rPr>
          <w:szCs w:val="26"/>
        </w:rPr>
        <w:t>“V</w:t>
      </w:r>
      <w:r w:rsidRPr="00585779">
        <w:rPr>
          <w:szCs w:val="26"/>
        </w:rPr>
        <w:t>iolent felony</w:t>
      </w:r>
      <w:r>
        <w:rPr>
          <w:szCs w:val="26"/>
        </w:rPr>
        <w:t>”</w:t>
      </w:r>
      <w:r w:rsidRPr="00585779">
        <w:rPr>
          <w:szCs w:val="26"/>
        </w:rPr>
        <w:t xml:space="preserve"> is</w:t>
      </w:r>
      <w:r>
        <w:rPr>
          <w:szCs w:val="26"/>
        </w:rPr>
        <w:t xml:space="preserve"> </w:t>
      </w:r>
      <w:r w:rsidRPr="00585779">
        <w:rPr>
          <w:szCs w:val="26"/>
        </w:rPr>
        <w:t xml:space="preserve">a crime or enhancement </w:t>
      </w:r>
      <w:r>
        <w:rPr>
          <w:szCs w:val="26"/>
        </w:rPr>
        <w:t>listed</w:t>
      </w:r>
      <w:r w:rsidRPr="00585779">
        <w:rPr>
          <w:szCs w:val="26"/>
        </w:rPr>
        <w:t xml:space="preserve"> in </w:t>
      </w:r>
      <w:r w:rsidRPr="00585779">
        <w:rPr>
          <w:szCs w:val="26"/>
        </w:rPr>
        <w:t xml:space="preserve">Penal Code </w:t>
      </w:r>
      <w:r>
        <w:rPr>
          <w:szCs w:val="26"/>
        </w:rPr>
        <w:t>s</w:t>
      </w:r>
      <w:r w:rsidRPr="00585779">
        <w:rPr>
          <w:szCs w:val="26"/>
        </w:rPr>
        <w:t>ection 667.5</w:t>
      </w:r>
      <w:r>
        <w:rPr>
          <w:szCs w:val="26"/>
        </w:rPr>
        <w:t xml:space="preserve">, </w:t>
      </w:r>
      <w:r w:rsidRPr="00585779">
        <w:rPr>
          <w:szCs w:val="26"/>
        </w:rPr>
        <w:t>subdivision (c)</w:t>
      </w:r>
      <w:r w:rsidRPr="00585779">
        <w:rPr>
          <w:szCs w:val="26"/>
        </w:rPr>
        <w:t>.</w:t>
      </w:r>
      <w:r>
        <w:rPr>
          <w:szCs w:val="26"/>
        </w:rPr>
        <w:t xml:space="preserve">  </w:t>
      </w:r>
      <w:r w:rsidRPr="00585779">
        <w:rPr>
          <w:szCs w:val="26"/>
        </w:rPr>
        <w:t>(15</w:t>
      </w:r>
      <w:r>
        <w:rPr>
          <w:szCs w:val="26"/>
        </w:rPr>
        <w:t xml:space="preserve"> CCR</w:t>
      </w:r>
      <w:r w:rsidRPr="00585779">
        <w:rPr>
          <w:szCs w:val="26"/>
        </w:rPr>
        <w:t xml:space="preserve"> §</w:t>
      </w:r>
      <w:r>
        <w:rPr>
          <w:szCs w:val="26"/>
        </w:rPr>
        <w:t> </w:t>
      </w:r>
      <w:r w:rsidRPr="00585779">
        <w:rPr>
          <w:szCs w:val="26"/>
        </w:rPr>
        <w:t>3490</w:t>
      </w:r>
      <w:r>
        <w:rPr>
          <w:szCs w:val="26"/>
        </w:rPr>
        <w:t>, subd. (c)</w:t>
      </w:r>
      <w:r>
        <w:rPr>
          <w:szCs w:val="26"/>
        </w:rPr>
        <w:t xml:space="preserve">; </w:t>
      </w:r>
      <w:r>
        <w:rPr>
          <w:i/>
          <w:iCs/>
          <w:szCs w:val="26"/>
        </w:rPr>
        <w:t>Mohammad, supra</w:t>
      </w:r>
      <w:r>
        <w:rPr>
          <w:szCs w:val="26"/>
        </w:rPr>
        <w:t>, 12 Cal.5th at p. 528</w:t>
      </w:r>
      <w:r w:rsidRPr="00585779">
        <w:rPr>
          <w:szCs w:val="26"/>
        </w:rPr>
        <w:t>.)</w:t>
      </w:r>
      <w:r>
        <w:rPr>
          <w:szCs w:val="26"/>
        </w:rPr>
        <w:t xml:space="preserve">  Penal Code section 667.5, subdivision</w:t>
      </w:r>
      <w:r>
        <w:rPr>
          <w:szCs w:val="26"/>
        </w:rPr>
        <w:t> </w:t>
      </w:r>
      <w:r>
        <w:rPr>
          <w:szCs w:val="26"/>
        </w:rPr>
        <w:t xml:space="preserve">(c)(9) </w:t>
      </w:r>
      <w:r>
        <w:rPr>
          <w:szCs w:val="26"/>
        </w:rPr>
        <w:t>defines</w:t>
      </w:r>
      <w:r>
        <w:rPr>
          <w:szCs w:val="26"/>
        </w:rPr>
        <w:t xml:space="preserve"> “</w:t>
      </w:r>
      <w:r>
        <w:rPr>
          <w:szCs w:val="26"/>
        </w:rPr>
        <w:t>[</w:t>
      </w:r>
      <w:r>
        <w:rPr>
          <w:szCs w:val="26"/>
        </w:rPr>
        <w:t>a</w:t>
      </w:r>
      <w:r>
        <w:rPr>
          <w:szCs w:val="26"/>
        </w:rPr>
        <w:t>]</w:t>
      </w:r>
      <w:proofErr w:type="spellStart"/>
      <w:r>
        <w:rPr>
          <w:szCs w:val="26"/>
        </w:rPr>
        <w:t>ny</w:t>
      </w:r>
      <w:proofErr w:type="spellEnd"/>
      <w:r>
        <w:rPr>
          <w:szCs w:val="26"/>
        </w:rPr>
        <w:t xml:space="preserve"> robbery” as a violent </w:t>
      </w:r>
      <w:r>
        <w:rPr>
          <w:szCs w:val="26"/>
        </w:rPr>
        <w:lastRenderedPageBreak/>
        <w:t>felony.</w:t>
      </w:r>
      <w:r>
        <w:rPr>
          <w:rStyle w:val="FootnoteReference"/>
          <w:szCs w:val="26"/>
        </w:rPr>
        <w:footnoteReference w:id="3"/>
      </w:r>
      <w:r>
        <w:rPr>
          <w:szCs w:val="26"/>
        </w:rPr>
        <w:t xml:space="preserve">  </w:t>
      </w:r>
      <w:r>
        <w:rPr>
          <w:szCs w:val="26"/>
        </w:rPr>
        <w:t>P</w:t>
      </w:r>
      <w:r w:rsidRPr="005E43C2">
        <w:rPr>
          <w:szCs w:val="26"/>
        </w:rPr>
        <w:t>etitioner</w:t>
      </w:r>
      <w:r w:rsidRPr="00366BDB">
        <w:rPr>
          <w:szCs w:val="26"/>
        </w:rPr>
        <w:t xml:space="preserve"> </w:t>
      </w:r>
      <w:r>
        <w:rPr>
          <w:szCs w:val="26"/>
        </w:rPr>
        <w:t xml:space="preserve">thus </w:t>
      </w:r>
      <w:r w:rsidRPr="00366BDB">
        <w:rPr>
          <w:szCs w:val="26"/>
        </w:rPr>
        <w:t xml:space="preserve">stands convicted </w:t>
      </w:r>
      <w:r>
        <w:rPr>
          <w:szCs w:val="26"/>
        </w:rPr>
        <w:t>and sentence</w:t>
      </w:r>
      <w:r>
        <w:rPr>
          <w:szCs w:val="26"/>
        </w:rPr>
        <w:t>d</w:t>
      </w:r>
      <w:r>
        <w:rPr>
          <w:szCs w:val="26"/>
        </w:rPr>
        <w:t xml:space="preserve"> for</w:t>
      </w:r>
      <w:r w:rsidRPr="00366BDB">
        <w:rPr>
          <w:szCs w:val="26"/>
        </w:rPr>
        <w:t xml:space="preserve"> a violent felony</w:t>
      </w:r>
      <w:r>
        <w:rPr>
          <w:rFonts w:ascii="Symbol" w:hAnsi="Symbol"/>
          <w:szCs w:val="26"/>
        </w:rPr>
        <w:sym w:font="Symbol" w:char="F0BE"/>
      </w:r>
      <w:r w:rsidRPr="00366BDB">
        <w:rPr>
          <w:szCs w:val="26"/>
        </w:rPr>
        <w:t>robbery</w:t>
      </w:r>
      <w:r>
        <w:rPr>
          <w:szCs w:val="26"/>
        </w:rPr>
        <w:t>—</w:t>
      </w:r>
      <w:r w:rsidRPr="00366BDB">
        <w:rPr>
          <w:szCs w:val="26"/>
        </w:rPr>
        <w:t>and</w:t>
      </w:r>
      <w:r>
        <w:rPr>
          <w:szCs w:val="26"/>
        </w:rPr>
        <w:t xml:space="preserve"> for</w:t>
      </w:r>
      <w:r w:rsidRPr="00366BDB">
        <w:rPr>
          <w:szCs w:val="26"/>
        </w:rPr>
        <w:t xml:space="preserve"> </w:t>
      </w:r>
      <w:r>
        <w:rPr>
          <w:szCs w:val="26"/>
        </w:rPr>
        <w:t xml:space="preserve">two </w:t>
      </w:r>
      <w:r w:rsidRPr="00366BDB">
        <w:rPr>
          <w:szCs w:val="26"/>
        </w:rPr>
        <w:t>nonviolent felonies</w:t>
      </w:r>
      <w:r>
        <w:rPr>
          <w:rFonts w:ascii="Symbol" w:hAnsi="Symbol"/>
          <w:szCs w:val="26"/>
        </w:rPr>
        <w:sym w:font="Symbol" w:char="F0BE"/>
      </w:r>
      <w:r w:rsidRPr="00366BDB">
        <w:rPr>
          <w:szCs w:val="26"/>
        </w:rPr>
        <w:t xml:space="preserve">the </w:t>
      </w:r>
      <w:r>
        <w:rPr>
          <w:szCs w:val="26"/>
        </w:rPr>
        <w:t xml:space="preserve">two convictions for </w:t>
      </w:r>
      <w:r w:rsidRPr="00366BDB">
        <w:rPr>
          <w:szCs w:val="26"/>
        </w:rPr>
        <w:t xml:space="preserve">burglary.  </w:t>
      </w:r>
      <w:r>
        <w:rPr>
          <w:szCs w:val="26"/>
        </w:rPr>
        <w:t>The Department refers to such</w:t>
      </w:r>
      <w:r w:rsidRPr="00366BDB">
        <w:rPr>
          <w:szCs w:val="26"/>
        </w:rPr>
        <w:t xml:space="preserve"> inmate</w:t>
      </w:r>
      <w:r>
        <w:rPr>
          <w:szCs w:val="26"/>
        </w:rPr>
        <w:t xml:space="preserve">s </w:t>
      </w:r>
      <w:r w:rsidRPr="00366BDB">
        <w:rPr>
          <w:szCs w:val="26"/>
        </w:rPr>
        <w:t>a</w:t>
      </w:r>
      <w:r>
        <w:rPr>
          <w:szCs w:val="26"/>
        </w:rPr>
        <w:t>s</w:t>
      </w:r>
      <w:r w:rsidRPr="00366BDB">
        <w:rPr>
          <w:szCs w:val="26"/>
        </w:rPr>
        <w:t xml:space="preserve"> “mixed offense inmate</w:t>
      </w:r>
      <w:r>
        <w:rPr>
          <w:szCs w:val="26"/>
        </w:rPr>
        <w:t>s,” a convention we adopt here</w:t>
      </w:r>
      <w:r w:rsidRPr="00366BDB">
        <w:rPr>
          <w:szCs w:val="26"/>
        </w:rPr>
        <w:t>.</w:t>
      </w:r>
    </w:p>
    <w:p w14:paraId="660C9E04" w14:textId="77777777" w:rsidR="00890D25" w:rsidRPr="00A42182" w:rsidRDefault="00890D25" w:rsidP="004D2A5C">
      <w:pPr>
        <w:keepNext/>
        <w:tabs>
          <w:tab w:val="left" w:pos="360"/>
          <w:tab w:val="left" w:pos="720"/>
          <w:tab w:val="left" w:pos="1080"/>
        </w:tabs>
        <w:snapToGrid w:val="0"/>
        <w:spacing w:after="0" w:line="288" w:lineRule="auto"/>
        <w:outlineLvl w:val="0"/>
        <w:rPr>
          <w:b/>
          <w:i/>
          <w:szCs w:val="26"/>
        </w:rPr>
      </w:pPr>
      <w:r>
        <w:rPr>
          <w:szCs w:val="26"/>
        </w:rPr>
        <w:tab/>
      </w:r>
      <w:r>
        <w:rPr>
          <w:b/>
          <w:szCs w:val="26"/>
        </w:rPr>
        <w:t>B.</w:t>
      </w:r>
      <w:r>
        <w:rPr>
          <w:b/>
          <w:szCs w:val="26"/>
        </w:rPr>
        <w:tab/>
      </w:r>
      <w:r>
        <w:rPr>
          <w:b/>
          <w:i/>
          <w:szCs w:val="26"/>
        </w:rPr>
        <w:t>California Code of Regulations, title 15, section 3490</w:t>
      </w:r>
    </w:p>
    <w:p w14:paraId="0D16FB63" w14:textId="77777777" w:rsidR="00890D25" w:rsidRPr="00D42EA2" w:rsidRDefault="00890D25" w:rsidP="00D42EA2">
      <w:pPr>
        <w:tabs>
          <w:tab w:val="left" w:pos="180"/>
          <w:tab w:val="left" w:pos="720"/>
          <w:tab w:val="left" w:pos="1080"/>
        </w:tabs>
        <w:spacing w:after="0" w:line="288" w:lineRule="auto"/>
        <w:ind w:firstLine="720"/>
        <w:outlineLvl w:val="0"/>
        <w:rPr>
          <w:szCs w:val="26"/>
        </w:rPr>
      </w:pPr>
      <w:r>
        <w:rPr>
          <w:szCs w:val="26"/>
        </w:rPr>
        <w:t xml:space="preserve">Proposition 57 </w:t>
      </w:r>
      <w:r>
        <w:rPr>
          <w:szCs w:val="26"/>
        </w:rPr>
        <w:t xml:space="preserve">also </w:t>
      </w:r>
      <w:r w:rsidRPr="00AE7918">
        <w:rPr>
          <w:szCs w:val="26"/>
        </w:rPr>
        <w:t xml:space="preserve">directed the Department to adopt regulations </w:t>
      </w:r>
      <w:r>
        <w:rPr>
          <w:szCs w:val="26"/>
        </w:rPr>
        <w:t xml:space="preserve">to implement early parole consideration for inmates convicted of nonviolent offenses </w:t>
      </w:r>
      <w:r>
        <w:rPr>
          <w:szCs w:val="26"/>
        </w:rPr>
        <w:t>pursuant to</w:t>
      </w:r>
      <w:r>
        <w:rPr>
          <w:szCs w:val="26"/>
        </w:rPr>
        <w:t xml:space="preserve"> section 32.  </w:t>
      </w:r>
      <w:r w:rsidRPr="00AE7918">
        <w:rPr>
          <w:szCs w:val="26"/>
        </w:rPr>
        <w:t>(</w:t>
      </w:r>
      <w:r>
        <w:rPr>
          <w:szCs w:val="26"/>
        </w:rPr>
        <w:t>Cal. Const., a</w:t>
      </w:r>
      <w:r w:rsidRPr="00AE7918">
        <w:rPr>
          <w:szCs w:val="26"/>
        </w:rPr>
        <w:t>rt. I, §</w:t>
      </w:r>
      <w:r>
        <w:rPr>
          <w:szCs w:val="26"/>
        </w:rPr>
        <w:t> </w:t>
      </w:r>
      <w:r w:rsidRPr="00AE7918">
        <w:rPr>
          <w:szCs w:val="26"/>
        </w:rPr>
        <w:t>32</w:t>
      </w:r>
      <w:r>
        <w:rPr>
          <w:szCs w:val="26"/>
        </w:rPr>
        <w:t xml:space="preserve">, subd. </w:t>
      </w:r>
      <w:r w:rsidRPr="00AE7918">
        <w:rPr>
          <w:szCs w:val="26"/>
        </w:rPr>
        <w:t>(b)</w:t>
      </w:r>
      <w:r>
        <w:rPr>
          <w:szCs w:val="26"/>
        </w:rPr>
        <w:t xml:space="preserve">; </w:t>
      </w:r>
      <w:r w:rsidRPr="00AE7918">
        <w:rPr>
          <w:i/>
          <w:iCs/>
          <w:szCs w:val="26"/>
        </w:rPr>
        <w:t>Mohammad</w:t>
      </w:r>
      <w:r>
        <w:rPr>
          <w:i/>
          <w:iCs/>
          <w:szCs w:val="26"/>
        </w:rPr>
        <w:t>, supra,</w:t>
      </w:r>
      <w:r w:rsidRPr="00AE7918">
        <w:rPr>
          <w:szCs w:val="26"/>
        </w:rPr>
        <w:t xml:space="preserve"> 12 Cal.5th </w:t>
      </w:r>
      <w:r>
        <w:rPr>
          <w:szCs w:val="26"/>
        </w:rPr>
        <w:t>at pp. </w:t>
      </w:r>
      <w:r w:rsidRPr="00AE7918">
        <w:rPr>
          <w:szCs w:val="26"/>
        </w:rPr>
        <w:t>523</w:t>
      </w:r>
      <w:r>
        <w:rPr>
          <w:szCs w:val="26"/>
        </w:rPr>
        <w:t>, 527</w:t>
      </w:r>
      <w:r w:rsidRPr="00AE7918">
        <w:rPr>
          <w:szCs w:val="26"/>
        </w:rPr>
        <w:t>.)</w:t>
      </w:r>
      <w:r>
        <w:rPr>
          <w:szCs w:val="26"/>
        </w:rPr>
        <w:t xml:space="preserve">  </w:t>
      </w:r>
      <w:r>
        <w:rPr>
          <w:szCs w:val="26"/>
        </w:rPr>
        <w:t xml:space="preserve">In accordance with that mandate, the Department promulgated as an emergency regulation section 3490 of the California Code of Regulations, title 15 (operative </w:t>
      </w:r>
      <w:r>
        <w:rPr>
          <w:szCs w:val="26"/>
        </w:rPr>
        <w:t xml:space="preserve">Apr. 13, </w:t>
      </w:r>
      <w:r>
        <w:rPr>
          <w:szCs w:val="26"/>
        </w:rPr>
        <w:t>2017 (Register 2017, No. 15))</w:t>
      </w:r>
      <w:r>
        <w:rPr>
          <w:szCs w:val="26"/>
        </w:rPr>
        <w:t>.  Thereafter,</w:t>
      </w:r>
      <w:r>
        <w:rPr>
          <w:szCs w:val="26"/>
        </w:rPr>
        <w:t xml:space="preserve"> t</w:t>
      </w:r>
      <w:r>
        <w:rPr>
          <w:szCs w:val="26"/>
        </w:rPr>
        <w:t xml:space="preserve">he </w:t>
      </w:r>
      <w:r>
        <w:rPr>
          <w:szCs w:val="26"/>
        </w:rPr>
        <w:t xml:space="preserve">Department </w:t>
      </w:r>
      <w:r>
        <w:rPr>
          <w:szCs w:val="26"/>
        </w:rPr>
        <w:t xml:space="preserve">amended the regulation in 2018, 2019, and 2022.  </w:t>
      </w:r>
      <w:r>
        <w:rPr>
          <w:szCs w:val="26"/>
        </w:rPr>
        <w:t xml:space="preserve">The immediate </w:t>
      </w:r>
      <w:r>
        <w:rPr>
          <w:szCs w:val="26"/>
        </w:rPr>
        <w:t>predecessor to the current regulation</w:t>
      </w:r>
      <w:r>
        <w:rPr>
          <w:szCs w:val="26"/>
        </w:rPr>
        <w:t xml:space="preserve"> adopted by the Department “exclude[d] </w:t>
      </w:r>
      <w:r w:rsidRPr="00D42EA2">
        <w:rPr>
          <w:szCs w:val="26"/>
        </w:rPr>
        <w:t xml:space="preserve">from nonviolent offender early parole consideration any inmate who </w:t>
      </w:r>
      <w:r>
        <w:rPr>
          <w:szCs w:val="26"/>
        </w:rPr>
        <w:t>‘</w:t>
      </w:r>
      <w:r w:rsidRPr="00D42EA2">
        <w:rPr>
          <w:szCs w:val="26"/>
        </w:rPr>
        <w:t xml:space="preserve">is currently serving a term of incarceration for a </w:t>
      </w:r>
      <w:r>
        <w:rPr>
          <w:szCs w:val="26"/>
        </w:rPr>
        <w:t>“</w:t>
      </w:r>
      <w:r w:rsidRPr="00D42EA2">
        <w:rPr>
          <w:szCs w:val="26"/>
        </w:rPr>
        <w:t>violent felony.</w:t>
      </w:r>
      <w:proofErr w:type="gramStart"/>
      <w:r>
        <w:rPr>
          <w:szCs w:val="26"/>
        </w:rPr>
        <w:t>” ’</w:t>
      </w:r>
      <w:proofErr w:type="gramEnd"/>
      <w:r>
        <w:rPr>
          <w:szCs w:val="26"/>
        </w:rPr>
        <w:t> ”</w:t>
      </w:r>
      <w:r>
        <w:rPr>
          <w:szCs w:val="26"/>
        </w:rPr>
        <w:t xml:space="preserve"> </w:t>
      </w:r>
      <w:r w:rsidRPr="00D42EA2">
        <w:rPr>
          <w:szCs w:val="26"/>
        </w:rPr>
        <w:t xml:space="preserve"> </w:t>
      </w:r>
      <w:r>
        <w:rPr>
          <w:szCs w:val="26"/>
        </w:rPr>
        <w:t>(</w:t>
      </w:r>
      <w:r>
        <w:rPr>
          <w:i/>
          <w:iCs/>
          <w:szCs w:val="26"/>
        </w:rPr>
        <w:t>Moh</w:t>
      </w:r>
      <w:r>
        <w:rPr>
          <w:i/>
          <w:iCs/>
          <w:szCs w:val="26"/>
        </w:rPr>
        <w:t>ammad</w:t>
      </w:r>
      <w:r>
        <w:rPr>
          <w:szCs w:val="26"/>
        </w:rPr>
        <w:t>, at p. 524</w:t>
      </w:r>
      <w:r>
        <w:rPr>
          <w:szCs w:val="26"/>
        </w:rPr>
        <w:t>; see 15 CCR (2019) § 3490, subd. (a)(5)</w:t>
      </w:r>
      <w:r>
        <w:rPr>
          <w:szCs w:val="26"/>
        </w:rPr>
        <w:t>.)</w:t>
      </w:r>
      <w:r>
        <w:rPr>
          <w:szCs w:val="26"/>
        </w:rPr>
        <w:t xml:space="preserve">  I</w:t>
      </w:r>
      <w:r w:rsidRPr="006030D7">
        <w:rPr>
          <w:szCs w:val="26"/>
        </w:rPr>
        <w:t xml:space="preserve">n </w:t>
      </w:r>
      <w:r w:rsidRPr="006030D7">
        <w:rPr>
          <w:i/>
          <w:iCs/>
          <w:szCs w:val="26"/>
        </w:rPr>
        <w:t>Mohammad</w:t>
      </w:r>
      <w:r w:rsidRPr="006030D7">
        <w:rPr>
          <w:szCs w:val="26"/>
        </w:rPr>
        <w:t xml:space="preserve"> </w:t>
      </w:r>
      <w:r>
        <w:rPr>
          <w:szCs w:val="26"/>
        </w:rPr>
        <w:t xml:space="preserve">our </w:t>
      </w:r>
      <w:r w:rsidRPr="006030D7">
        <w:rPr>
          <w:szCs w:val="26"/>
        </w:rPr>
        <w:t xml:space="preserve">Supreme Court upheld this regulation, </w:t>
      </w:r>
      <w:r>
        <w:rPr>
          <w:szCs w:val="26"/>
        </w:rPr>
        <w:t>“</w:t>
      </w:r>
      <w:proofErr w:type="spellStart"/>
      <w:r>
        <w:rPr>
          <w:szCs w:val="26"/>
        </w:rPr>
        <w:t>conclud</w:t>
      </w:r>
      <w:proofErr w:type="spellEnd"/>
      <w:r>
        <w:rPr>
          <w:szCs w:val="26"/>
        </w:rPr>
        <w:t>[</w:t>
      </w:r>
      <w:proofErr w:type="spellStart"/>
      <w:r>
        <w:rPr>
          <w:szCs w:val="26"/>
        </w:rPr>
        <w:t>ing</w:t>
      </w:r>
      <w:proofErr w:type="spellEnd"/>
      <w:r>
        <w:rPr>
          <w:szCs w:val="26"/>
        </w:rPr>
        <w:t>]</w:t>
      </w:r>
      <w:r w:rsidRPr="006030D7">
        <w:rPr>
          <w:szCs w:val="26"/>
        </w:rPr>
        <w:t xml:space="preserve"> that the Department acted within the authority provided by article I, section 32(b) when it adopted </w:t>
      </w:r>
      <w:r>
        <w:rPr>
          <w:szCs w:val="26"/>
        </w:rPr>
        <w:t>[</w:t>
      </w:r>
      <w:r>
        <w:rPr>
          <w:szCs w:val="26"/>
        </w:rPr>
        <w:t xml:space="preserve">15 CCR (2019) </w:t>
      </w:r>
      <w:r>
        <w:rPr>
          <w:szCs w:val="26"/>
        </w:rPr>
        <w:t>section 3490, subdivision (a)(5)].</w:t>
      </w:r>
      <w:r>
        <w:rPr>
          <w:szCs w:val="26"/>
        </w:rPr>
        <w:t>”</w:t>
      </w:r>
      <w:r>
        <w:rPr>
          <w:szCs w:val="26"/>
        </w:rPr>
        <w:t xml:space="preserve"> </w:t>
      </w:r>
      <w:r w:rsidRPr="006030D7">
        <w:rPr>
          <w:szCs w:val="26"/>
        </w:rPr>
        <w:t xml:space="preserve"> (</w:t>
      </w:r>
      <w:r w:rsidRPr="006030D7">
        <w:rPr>
          <w:i/>
          <w:iCs/>
          <w:szCs w:val="26"/>
        </w:rPr>
        <w:t>Mohammad</w:t>
      </w:r>
      <w:r>
        <w:rPr>
          <w:i/>
          <w:iCs/>
          <w:szCs w:val="26"/>
        </w:rPr>
        <w:t>,</w:t>
      </w:r>
      <w:r w:rsidRPr="006030D7">
        <w:rPr>
          <w:szCs w:val="26"/>
        </w:rPr>
        <w:t xml:space="preserve"> at </w:t>
      </w:r>
      <w:r>
        <w:rPr>
          <w:szCs w:val="26"/>
        </w:rPr>
        <w:t>p</w:t>
      </w:r>
      <w:r w:rsidRPr="006030D7">
        <w:rPr>
          <w:szCs w:val="26"/>
        </w:rPr>
        <w:t>.</w:t>
      </w:r>
      <w:r>
        <w:rPr>
          <w:szCs w:val="26"/>
        </w:rPr>
        <w:t> </w:t>
      </w:r>
      <w:r>
        <w:rPr>
          <w:szCs w:val="26"/>
        </w:rPr>
        <w:t>524</w:t>
      </w:r>
      <w:r>
        <w:rPr>
          <w:szCs w:val="26"/>
        </w:rPr>
        <w:t xml:space="preserve">; </w:t>
      </w:r>
      <w:r w:rsidRPr="003C21ED">
        <w:rPr>
          <w:i/>
          <w:iCs/>
          <w:szCs w:val="26"/>
        </w:rPr>
        <w:t>id.</w:t>
      </w:r>
      <w:r>
        <w:rPr>
          <w:szCs w:val="26"/>
        </w:rPr>
        <w:t xml:space="preserve"> at p.</w:t>
      </w:r>
      <w:r>
        <w:rPr>
          <w:szCs w:val="26"/>
        </w:rPr>
        <w:t xml:space="preserve"> </w:t>
      </w:r>
      <w:r w:rsidRPr="006030D7">
        <w:rPr>
          <w:szCs w:val="26"/>
        </w:rPr>
        <w:t>537.)</w:t>
      </w:r>
    </w:p>
    <w:p w14:paraId="45B6C913" w14:textId="77777777" w:rsidR="00890D25" w:rsidRPr="00240918" w:rsidRDefault="00890D25" w:rsidP="00BC4C2D">
      <w:pPr>
        <w:keepNext/>
        <w:tabs>
          <w:tab w:val="left" w:pos="360"/>
          <w:tab w:val="left" w:pos="720"/>
          <w:tab w:val="left" w:pos="1080"/>
        </w:tabs>
        <w:snapToGrid w:val="0"/>
        <w:spacing w:after="0" w:line="288" w:lineRule="auto"/>
        <w:outlineLvl w:val="0"/>
        <w:rPr>
          <w:b/>
          <w:iCs/>
          <w:szCs w:val="26"/>
        </w:rPr>
      </w:pPr>
      <w:r>
        <w:rPr>
          <w:szCs w:val="26"/>
        </w:rPr>
        <w:lastRenderedPageBreak/>
        <w:tab/>
      </w:r>
      <w:r>
        <w:rPr>
          <w:b/>
          <w:szCs w:val="26"/>
        </w:rPr>
        <w:t>B.</w:t>
      </w:r>
      <w:r>
        <w:rPr>
          <w:b/>
          <w:szCs w:val="26"/>
        </w:rPr>
        <w:tab/>
      </w:r>
      <w:r>
        <w:rPr>
          <w:b/>
          <w:i/>
          <w:iCs/>
          <w:szCs w:val="26"/>
        </w:rPr>
        <w:t xml:space="preserve">The California Supreme Court’s Decision in </w:t>
      </w:r>
      <w:r w:rsidRPr="00497C7A">
        <w:rPr>
          <w:b/>
          <w:iCs/>
          <w:szCs w:val="26"/>
        </w:rPr>
        <w:t>Mohammad</w:t>
      </w:r>
    </w:p>
    <w:p w14:paraId="104CBC04" w14:textId="77777777" w:rsidR="00890D25" w:rsidRPr="00910F25" w:rsidRDefault="00890D25" w:rsidP="00730AAF">
      <w:pPr>
        <w:tabs>
          <w:tab w:val="left" w:pos="180"/>
          <w:tab w:val="left" w:pos="720"/>
          <w:tab w:val="left" w:pos="1080"/>
        </w:tabs>
        <w:spacing w:after="0" w:line="288" w:lineRule="auto"/>
        <w:ind w:firstLine="720"/>
        <w:outlineLvl w:val="0"/>
        <w:rPr>
          <w:szCs w:val="26"/>
        </w:rPr>
      </w:pPr>
      <w:r>
        <w:rPr>
          <w:szCs w:val="26"/>
        </w:rPr>
        <w:t xml:space="preserve">The issue in </w:t>
      </w:r>
      <w:r>
        <w:rPr>
          <w:i/>
          <w:iCs/>
          <w:szCs w:val="26"/>
        </w:rPr>
        <w:t>Mohammad</w:t>
      </w:r>
      <w:r>
        <w:rPr>
          <w:szCs w:val="26"/>
        </w:rPr>
        <w:t xml:space="preserve"> was “</w:t>
      </w:r>
      <w:r w:rsidRPr="00E72BA1">
        <w:rPr>
          <w:szCs w:val="26"/>
        </w:rPr>
        <w:t>whether Proposition 57</w:t>
      </w:r>
      <w:r>
        <w:rPr>
          <w:szCs w:val="26"/>
        </w:rPr>
        <w:t xml:space="preserve"> . . .</w:t>
      </w:r>
      <w:r w:rsidRPr="00E72BA1">
        <w:rPr>
          <w:szCs w:val="26"/>
        </w:rPr>
        <w:t xml:space="preserve"> requires </w:t>
      </w:r>
      <w:r>
        <w:rPr>
          <w:szCs w:val="26"/>
        </w:rPr>
        <w:t>[the Department]</w:t>
      </w:r>
      <w:r w:rsidRPr="00E72BA1">
        <w:rPr>
          <w:szCs w:val="26"/>
        </w:rPr>
        <w:t xml:space="preserve"> to provide early parole consideration to individuals currently serving a term of incarceration for a violent felony.</w:t>
      </w:r>
      <w:r>
        <w:rPr>
          <w:szCs w:val="26"/>
        </w:rPr>
        <w:t>”  (</w:t>
      </w:r>
      <w:r>
        <w:rPr>
          <w:i/>
          <w:iCs/>
          <w:szCs w:val="26"/>
        </w:rPr>
        <w:t>Mohammad, supra,</w:t>
      </w:r>
      <w:r>
        <w:rPr>
          <w:szCs w:val="26"/>
        </w:rPr>
        <w:t xml:space="preserve"> 12 Cal.5th at p. 523.)</w:t>
      </w:r>
    </w:p>
    <w:p w14:paraId="6AD59E52" w14:textId="77777777" w:rsidR="00890D25" w:rsidRDefault="00890D25" w:rsidP="00477D8E">
      <w:pPr>
        <w:tabs>
          <w:tab w:val="left" w:pos="180"/>
          <w:tab w:val="left" w:pos="720"/>
          <w:tab w:val="left" w:pos="1080"/>
        </w:tabs>
        <w:spacing w:after="0" w:line="288" w:lineRule="auto"/>
        <w:ind w:firstLine="720"/>
        <w:outlineLvl w:val="0"/>
        <w:rPr>
          <w:szCs w:val="26"/>
        </w:rPr>
      </w:pPr>
      <w:r w:rsidRPr="00477D8E">
        <w:rPr>
          <w:szCs w:val="26"/>
        </w:rPr>
        <w:t xml:space="preserve">In </w:t>
      </w:r>
      <w:r w:rsidRPr="00477D8E">
        <w:rPr>
          <w:i/>
          <w:iCs/>
          <w:szCs w:val="26"/>
        </w:rPr>
        <w:t>Mohammad</w:t>
      </w:r>
      <w:r w:rsidRPr="00477D8E">
        <w:rPr>
          <w:szCs w:val="26"/>
        </w:rPr>
        <w:t xml:space="preserve">, the inmate had completed the full term of </w:t>
      </w:r>
      <w:r>
        <w:rPr>
          <w:szCs w:val="26"/>
        </w:rPr>
        <w:t xml:space="preserve">his sentence for </w:t>
      </w:r>
      <w:r w:rsidRPr="00477D8E">
        <w:rPr>
          <w:szCs w:val="26"/>
        </w:rPr>
        <w:t xml:space="preserve">the primary offense, a nonviolent felony, and was </w:t>
      </w:r>
      <w:r>
        <w:rPr>
          <w:szCs w:val="26"/>
        </w:rPr>
        <w:t>then</w:t>
      </w:r>
      <w:r w:rsidRPr="00477D8E">
        <w:rPr>
          <w:szCs w:val="26"/>
        </w:rPr>
        <w:t xml:space="preserve"> serving the term for a violent felony. </w:t>
      </w:r>
      <w:r>
        <w:rPr>
          <w:szCs w:val="26"/>
        </w:rPr>
        <w:t xml:space="preserve"> </w:t>
      </w:r>
      <w:r w:rsidRPr="00477D8E">
        <w:rPr>
          <w:szCs w:val="26"/>
        </w:rPr>
        <w:t>(</w:t>
      </w:r>
      <w:r w:rsidRPr="00477D8E">
        <w:rPr>
          <w:i/>
          <w:iCs/>
          <w:szCs w:val="26"/>
        </w:rPr>
        <w:t>Mohammad</w:t>
      </w:r>
      <w:r>
        <w:rPr>
          <w:i/>
          <w:iCs/>
          <w:szCs w:val="26"/>
        </w:rPr>
        <w:t>, supra</w:t>
      </w:r>
      <w:r w:rsidRPr="00477D8E">
        <w:rPr>
          <w:szCs w:val="26"/>
        </w:rPr>
        <w:t>, 12 Cal.</w:t>
      </w:r>
      <w:r>
        <w:rPr>
          <w:szCs w:val="26"/>
        </w:rPr>
        <w:t>5th</w:t>
      </w:r>
      <w:r w:rsidRPr="00477D8E">
        <w:rPr>
          <w:szCs w:val="26"/>
        </w:rPr>
        <w:t xml:space="preserve"> at p.</w:t>
      </w:r>
      <w:r>
        <w:rPr>
          <w:szCs w:val="26"/>
        </w:rPr>
        <w:t> </w:t>
      </w:r>
      <w:r w:rsidRPr="00477D8E">
        <w:rPr>
          <w:szCs w:val="26"/>
        </w:rPr>
        <w:t xml:space="preserve">525.)  </w:t>
      </w:r>
      <w:r>
        <w:rPr>
          <w:szCs w:val="26"/>
        </w:rPr>
        <w:t xml:space="preserve">The Court of Appeal </w:t>
      </w:r>
      <w:r>
        <w:rPr>
          <w:szCs w:val="26"/>
        </w:rPr>
        <w:t xml:space="preserve">had </w:t>
      </w:r>
      <w:r>
        <w:rPr>
          <w:szCs w:val="26"/>
        </w:rPr>
        <w:t xml:space="preserve">found the language of </w:t>
      </w:r>
      <w:r w:rsidRPr="00477D8E">
        <w:rPr>
          <w:szCs w:val="26"/>
        </w:rPr>
        <w:t>section 32(a)(1)</w:t>
      </w:r>
      <w:r>
        <w:rPr>
          <w:szCs w:val="26"/>
        </w:rPr>
        <w:t xml:space="preserve"> to be clear and unambiguous</w:t>
      </w:r>
      <w:r>
        <w:rPr>
          <w:szCs w:val="26"/>
        </w:rPr>
        <w:t xml:space="preserve">. </w:t>
      </w:r>
      <w:r>
        <w:rPr>
          <w:szCs w:val="26"/>
        </w:rPr>
        <w:t xml:space="preserve"> (</w:t>
      </w:r>
      <w:r w:rsidRPr="00096FD3">
        <w:rPr>
          <w:i/>
          <w:iCs/>
          <w:szCs w:val="26"/>
        </w:rPr>
        <w:t>I</w:t>
      </w:r>
      <w:r>
        <w:rPr>
          <w:i/>
          <w:iCs/>
          <w:szCs w:val="26"/>
        </w:rPr>
        <w:t>d.</w:t>
      </w:r>
      <w:r>
        <w:rPr>
          <w:szCs w:val="26"/>
        </w:rPr>
        <w:t xml:space="preserve"> at p. 531</w:t>
      </w:r>
      <w:r>
        <w:rPr>
          <w:szCs w:val="26"/>
        </w:rPr>
        <w:t>.</w:t>
      </w:r>
      <w:r>
        <w:rPr>
          <w:szCs w:val="26"/>
        </w:rPr>
        <w:t xml:space="preserve">) </w:t>
      </w:r>
      <w:r>
        <w:rPr>
          <w:szCs w:val="26"/>
        </w:rPr>
        <w:t xml:space="preserve"> B</w:t>
      </w:r>
      <w:r>
        <w:rPr>
          <w:szCs w:val="26"/>
        </w:rPr>
        <w:t xml:space="preserve">ased on </w:t>
      </w:r>
      <w:r>
        <w:rPr>
          <w:szCs w:val="26"/>
        </w:rPr>
        <w:t>the</w:t>
      </w:r>
      <w:r>
        <w:rPr>
          <w:szCs w:val="26"/>
        </w:rPr>
        <w:t xml:space="preserve"> </w:t>
      </w:r>
      <w:r>
        <w:rPr>
          <w:szCs w:val="26"/>
        </w:rPr>
        <w:t>provision</w:t>
      </w:r>
      <w:r>
        <w:rPr>
          <w:szCs w:val="26"/>
        </w:rPr>
        <w:t xml:space="preserve"> </w:t>
      </w:r>
      <w:r>
        <w:rPr>
          <w:szCs w:val="26"/>
        </w:rPr>
        <w:t>“</w:t>
      </w:r>
      <w:r w:rsidRPr="00F87F71">
        <w:rPr>
          <w:szCs w:val="26"/>
        </w:rPr>
        <w:t>establishing parole consideration</w:t>
      </w:r>
      <w:r>
        <w:rPr>
          <w:szCs w:val="26"/>
        </w:rPr>
        <w:t xml:space="preserve"> </w:t>
      </w:r>
      <w:r w:rsidRPr="00F87F71">
        <w:rPr>
          <w:szCs w:val="26"/>
        </w:rPr>
        <w:t xml:space="preserve">for </w:t>
      </w:r>
      <w:proofErr w:type="gramStart"/>
      <w:r w:rsidRPr="00F87F71">
        <w:rPr>
          <w:szCs w:val="26"/>
        </w:rPr>
        <w:t>‘</w:t>
      </w:r>
      <w:r>
        <w:rPr>
          <w:szCs w:val="26"/>
        </w:rPr>
        <w:t> “</w:t>
      </w:r>
      <w:proofErr w:type="gramEnd"/>
      <w:r w:rsidRPr="00F87F71">
        <w:rPr>
          <w:szCs w:val="26"/>
        </w:rPr>
        <w:t>[a]</w:t>
      </w:r>
      <w:proofErr w:type="spellStart"/>
      <w:r w:rsidRPr="00F87F71">
        <w:rPr>
          <w:szCs w:val="26"/>
        </w:rPr>
        <w:t>ny</w:t>
      </w:r>
      <w:proofErr w:type="spellEnd"/>
      <w:r w:rsidRPr="00F87F71">
        <w:rPr>
          <w:szCs w:val="26"/>
        </w:rPr>
        <w:t xml:space="preserve"> person convicted of a nonviolent felony offense</w:t>
      </w:r>
      <w:r>
        <w:rPr>
          <w:szCs w:val="26"/>
        </w:rPr>
        <w:t>”</w:t>
      </w:r>
      <w:r w:rsidRPr="00F87F71">
        <w:rPr>
          <w:szCs w:val="26"/>
        </w:rPr>
        <w:t xml:space="preserve"> upon completion of </w:t>
      </w:r>
      <w:r>
        <w:rPr>
          <w:szCs w:val="26"/>
        </w:rPr>
        <w:t>“</w:t>
      </w:r>
      <w:r w:rsidRPr="00F87F71">
        <w:rPr>
          <w:szCs w:val="26"/>
        </w:rPr>
        <w:t>the full term for his or her primary offense</w:t>
      </w:r>
      <w:r>
        <w:rPr>
          <w:szCs w:val="26"/>
        </w:rPr>
        <w:t>,</w:t>
      </w:r>
      <w:r>
        <w:rPr>
          <w:szCs w:val="26"/>
        </w:rPr>
        <w:t>” </w:t>
      </w:r>
      <w:r w:rsidRPr="00F87F71">
        <w:rPr>
          <w:szCs w:val="26"/>
        </w:rPr>
        <w:t>’</w:t>
      </w:r>
      <w:r>
        <w:rPr>
          <w:szCs w:val="26"/>
        </w:rPr>
        <w:t> </w:t>
      </w:r>
      <w:r w:rsidRPr="00F87F71">
        <w:rPr>
          <w:szCs w:val="26"/>
        </w:rPr>
        <w:t>”</w:t>
      </w:r>
      <w:r>
        <w:rPr>
          <w:szCs w:val="26"/>
        </w:rPr>
        <w:t xml:space="preserve"> </w:t>
      </w:r>
      <w:r>
        <w:rPr>
          <w:szCs w:val="26"/>
        </w:rPr>
        <w:t>t</w:t>
      </w:r>
      <w:r w:rsidRPr="00477D8E">
        <w:rPr>
          <w:szCs w:val="26"/>
        </w:rPr>
        <w:t xml:space="preserve">he </w:t>
      </w:r>
      <w:r>
        <w:rPr>
          <w:szCs w:val="26"/>
        </w:rPr>
        <w:t>Court of Appeal</w:t>
      </w:r>
      <w:r w:rsidRPr="00477D8E">
        <w:rPr>
          <w:szCs w:val="26"/>
        </w:rPr>
        <w:t xml:space="preserve"> held that the sole requirement for early parole consideration under section 32(a)(1) was conviction of a nonviolent felony</w:t>
      </w:r>
      <w:r>
        <w:rPr>
          <w:szCs w:val="26"/>
        </w:rPr>
        <w:t xml:space="preserve">. </w:t>
      </w:r>
      <w:r w:rsidRPr="00477D8E">
        <w:rPr>
          <w:szCs w:val="26"/>
        </w:rPr>
        <w:t xml:space="preserve"> (</w:t>
      </w:r>
      <w:r>
        <w:rPr>
          <w:i/>
          <w:iCs/>
          <w:szCs w:val="26"/>
        </w:rPr>
        <w:t>I</w:t>
      </w:r>
      <w:r>
        <w:rPr>
          <w:i/>
          <w:iCs/>
          <w:szCs w:val="26"/>
        </w:rPr>
        <w:t>d.</w:t>
      </w:r>
      <w:r w:rsidRPr="00477D8E">
        <w:rPr>
          <w:szCs w:val="26"/>
        </w:rPr>
        <w:t xml:space="preserve"> at pp.</w:t>
      </w:r>
      <w:r>
        <w:rPr>
          <w:szCs w:val="26"/>
        </w:rPr>
        <w:t> </w:t>
      </w:r>
      <w:r w:rsidRPr="00477D8E">
        <w:rPr>
          <w:szCs w:val="26"/>
        </w:rPr>
        <w:t>525</w:t>
      </w:r>
      <w:r>
        <w:rPr>
          <w:szCs w:val="26"/>
        </w:rPr>
        <w:t>–</w:t>
      </w:r>
      <w:r w:rsidRPr="00477D8E">
        <w:rPr>
          <w:szCs w:val="26"/>
        </w:rPr>
        <w:t>526</w:t>
      </w:r>
      <w:r>
        <w:rPr>
          <w:szCs w:val="26"/>
        </w:rPr>
        <w:t>.</w:t>
      </w:r>
      <w:r w:rsidRPr="00477D8E">
        <w:rPr>
          <w:szCs w:val="26"/>
        </w:rPr>
        <w:t>)</w:t>
      </w:r>
      <w:r>
        <w:rPr>
          <w:szCs w:val="26"/>
        </w:rPr>
        <w:t xml:space="preserve">  </w:t>
      </w:r>
      <w:r w:rsidRPr="00477D8E">
        <w:rPr>
          <w:szCs w:val="26"/>
        </w:rPr>
        <w:t xml:space="preserve">The Court of Appeal </w:t>
      </w:r>
      <w:r>
        <w:rPr>
          <w:szCs w:val="26"/>
        </w:rPr>
        <w:t xml:space="preserve">thus </w:t>
      </w:r>
      <w:r w:rsidRPr="00477D8E">
        <w:rPr>
          <w:szCs w:val="26"/>
        </w:rPr>
        <w:t xml:space="preserve">concluded that the Department’s regulation </w:t>
      </w:r>
      <w:r>
        <w:rPr>
          <w:szCs w:val="26"/>
        </w:rPr>
        <w:t xml:space="preserve">(15 CCR (2019) § 3490) </w:t>
      </w:r>
      <w:r w:rsidRPr="00477D8E">
        <w:rPr>
          <w:szCs w:val="26"/>
        </w:rPr>
        <w:t>was incompatible with section 32(a)(1)</w:t>
      </w:r>
      <w:r>
        <w:rPr>
          <w:szCs w:val="26"/>
        </w:rPr>
        <w:t>,</w:t>
      </w:r>
      <w:r w:rsidRPr="00477D8E">
        <w:rPr>
          <w:szCs w:val="26"/>
        </w:rPr>
        <w:t xml:space="preserve"> and that Mohammad was entitled to parole consi</w:t>
      </w:r>
      <w:r w:rsidRPr="00477D8E">
        <w:rPr>
          <w:szCs w:val="26"/>
        </w:rPr>
        <w:t>deration under section 32(a)(1).  (</w:t>
      </w:r>
      <w:r>
        <w:rPr>
          <w:i/>
          <w:iCs/>
          <w:szCs w:val="26"/>
        </w:rPr>
        <w:t>Ibid</w:t>
      </w:r>
      <w:r w:rsidRPr="00477D8E">
        <w:rPr>
          <w:szCs w:val="26"/>
        </w:rPr>
        <w:t>.)</w:t>
      </w:r>
    </w:p>
    <w:p w14:paraId="2027AAD3" w14:textId="77777777" w:rsidR="00890D25" w:rsidRDefault="00890D25" w:rsidP="0029749F">
      <w:pPr>
        <w:tabs>
          <w:tab w:val="left" w:pos="180"/>
          <w:tab w:val="left" w:pos="720"/>
          <w:tab w:val="left" w:pos="1080"/>
        </w:tabs>
        <w:spacing w:after="0" w:line="288" w:lineRule="auto"/>
        <w:ind w:firstLine="720"/>
        <w:outlineLvl w:val="0"/>
        <w:rPr>
          <w:szCs w:val="26"/>
        </w:rPr>
      </w:pPr>
      <w:r>
        <w:rPr>
          <w:szCs w:val="26"/>
        </w:rPr>
        <w:t>O</w:t>
      </w:r>
      <w:r>
        <w:rPr>
          <w:szCs w:val="26"/>
        </w:rPr>
        <w:t xml:space="preserve">ur Supreme Court </w:t>
      </w:r>
      <w:r>
        <w:rPr>
          <w:szCs w:val="26"/>
        </w:rPr>
        <w:t>reversed</w:t>
      </w:r>
      <w:r>
        <w:rPr>
          <w:szCs w:val="26"/>
        </w:rPr>
        <w:t>.  Noting “</w:t>
      </w:r>
      <w:r>
        <w:rPr>
          <w:szCs w:val="26"/>
        </w:rPr>
        <w:t>l</w:t>
      </w:r>
      <w:r w:rsidRPr="00790FE2">
        <w:rPr>
          <w:szCs w:val="26"/>
        </w:rPr>
        <w:t>anguage that seems plain when considered in isolation may be ambiguous when examined within the context of the scheme it implements</w:t>
      </w:r>
      <w:r>
        <w:rPr>
          <w:szCs w:val="26"/>
        </w:rPr>
        <w:t>” (</w:t>
      </w:r>
      <w:r w:rsidRPr="00477D8E">
        <w:rPr>
          <w:i/>
          <w:iCs/>
          <w:szCs w:val="26"/>
        </w:rPr>
        <w:t>Mohammad</w:t>
      </w:r>
      <w:r>
        <w:rPr>
          <w:i/>
          <w:iCs/>
          <w:szCs w:val="26"/>
        </w:rPr>
        <w:t>, supra</w:t>
      </w:r>
      <w:r w:rsidRPr="00477D8E">
        <w:rPr>
          <w:szCs w:val="26"/>
        </w:rPr>
        <w:t>, 12 Cal.</w:t>
      </w:r>
      <w:r>
        <w:rPr>
          <w:szCs w:val="26"/>
        </w:rPr>
        <w:t>5th</w:t>
      </w:r>
      <w:r w:rsidRPr="00477D8E">
        <w:rPr>
          <w:szCs w:val="26"/>
        </w:rPr>
        <w:t xml:space="preserve"> at p.</w:t>
      </w:r>
      <w:r>
        <w:rPr>
          <w:szCs w:val="26"/>
        </w:rPr>
        <w:t xml:space="preserve"> 531), the </w:t>
      </w:r>
      <w:r>
        <w:rPr>
          <w:i/>
          <w:iCs/>
          <w:szCs w:val="26"/>
        </w:rPr>
        <w:t>Mohammad</w:t>
      </w:r>
      <w:r>
        <w:rPr>
          <w:szCs w:val="26"/>
        </w:rPr>
        <w:t xml:space="preserve"> court found section 32(a)(1) to be ambiguous because it “</w:t>
      </w:r>
      <w:r w:rsidRPr="00790FE2">
        <w:rPr>
          <w:szCs w:val="26"/>
        </w:rPr>
        <w:t xml:space="preserve">does not directly state whether an inmate like </w:t>
      </w:r>
      <w:r>
        <w:rPr>
          <w:szCs w:val="26"/>
        </w:rPr>
        <w:t>[Mohammad]</w:t>
      </w:r>
      <w:r w:rsidRPr="00790FE2">
        <w:rPr>
          <w:szCs w:val="26"/>
        </w:rPr>
        <w:t>—who has nonviolent felony convictions but is currently serving a term of incarceration for a violent felony—would be eligible for early parole consideration</w:t>
      </w:r>
      <w:r>
        <w:rPr>
          <w:szCs w:val="26"/>
        </w:rPr>
        <w:t>” (</w:t>
      </w:r>
      <w:r>
        <w:rPr>
          <w:i/>
          <w:iCs/>
          <w:szCs w:val="26"/>
        </w:rPr>
        <w:t>i</w:t>
      </w:r>
      <w:r>
        <w:rPr>
          <w:i/>
          <w:iCs/>
          <w:szCs w:val="26"/>
        </w:rPr>
        <w:t>d.</w:t>
      </w:r>
      <w:r w:rsidRPr="00477D8E">
        <w:rPr>
          <w:szCs w:val="26"/>
        </w:rPr>
        <w:t xml:space="preserve"> at p.</w:t>
      </w:r>
      <w:r>
        <w:rPr>
          <w:szCs w:val="26"/>
        </w:rPr>
        <w:t> 532)</w:t>
      </w:r>
      <w:r>
        <w:rPr>
          <w:szCs w:val="26"/>
        </w:rPr>
        <w:t>.</w:t>
      </w:r>
    </w:p>
    <w:p w14:paraId="2CD11E05" w14:textId="77777777" w:rsidR="00890D25" w:rsidRPr="00477D8E" w:rsidRDefault="00890D25" w:rsidP="00477D8E">
      <w:pPr>
        <w:tabs>
          <w:tab w:val="left" w:pos="180"/>
          <w:tab w:val="left" w:pos="720"/>
          <w:tab w:val="left" w:pos="1080"/>
        </w:tabs>
        <w:spacing w:after="0" w:line="288" w:lineRule="auto"/>
        <w:ind w:firstLine="720"/>
        <w:outlineLvl w:val="0"/>
        <w:rPr>
          <w:szCs w:val="26"/>
        </w:rPr>
      </w:pPr>
      <w:r>
        <w:rPr>
          <w:szCs w:val="26"/>
        </w:rPr>
        <w:lastRenderedPageBreak/>
        <w:t>To resolve this ambiguity, the court turned to the</w:t>
      </w:r>
      <w:r>
        <w:rPr>
          <w:szCs w:val="26"/>
        </w:rPr>
        <w:t xml:space="preserve"> Proposition 57</w:t>
      </w:r>
      <w:r>
        <w:rPr>
          <w:szCs w:val="26"/>
        </w:rPr>
        <w:t xml:space="preserve"> ballot materials</w:t>
      </w:r>
      <w:r>
        <w:rPr>
          <w:szCs w:val="26"/>
        </w:rPr>
        <w:t xml:space="preserve"> presented to the voters</w:t>
      </w:r>
      <w:r>
        <w:rPr>
          <w:szCs w:val="26"/>
        </w:rPr>
        <w:t>.  (</w:t>
      </w:r>
      <w:r>
        <w:rPr>
          <w:i/>
          <w:iCs/>
          <w:szCs w:val="26"/>
        </w:rPr>
        <w:t>Mohammad, supra</w:t>
      </w:r>
      <w:r>
        <w:rPr>
          <w:i/>
          <w:iCs/>
          <w:szCs w:val="26"/>
        </w:rPr>
        <w:t>,</w:t>
      </w:r>
      <w:r>
        <w:rPr>
          <w:szCs w:val="26"/>
        </w:rPr>
        <w:t xml:space="preserve"> </w:t>
      </w:r>
      <w:r>
        <w:rPr>
          <w:szCs w:val="26"/>
        </w:rPr>
        <w:t xml:space="preserve">12 Cal.5th </w:t>
      </w:r>
      <w:r>
        <w:rPr>
          <w:szCs w:val="26"/>
        </w:rPr>
        <w:t>at p. 534.)</w:t>
      </w:r>
      <w:r>
        <w:rPr>
          <w:szCs w:val="26"/>
        </w:rPr>
        <w:t xml:space="preserve">  Based on its “</w:t>
      </w:r>
      <w:r w:rsidRPr="0029749F">
        <w:rPr>
          <w:szCs w:val="26"/>
        </w:rPr>
        <w:t>consideration of the constitutional text, the ballot materials</w:t>
      </w:r>
      <w:r>
        <w:rPr>
          <w:szCs w:val="26"/>
        </w:rPr>
        <w:t>,</w:t>
      </w:r>
      <w:r w:rsidRPr="0029749F">
        <w:rPr>
          <w:szCs w:val="26"/>
        </w:rPr>
        <w:t xml:space="preserve"> the stated purposes of the initiative, and the Department</w:t>
      </w:r>
      <w:r>
        <w:rPr>
          <w:szCs w:val="26"/>
        </w:rPr>
        <w:t>’</w:t>
      </w:r>
      <w:r w:rsidRPr="0029749F">
        <w:rPr>
          <w:szCs w:val="26"/>
        </w:rPr>
        <w:t>s discretion to promulgate regulations under the Constitution</w:t>
      </w:r>
      <w:r>
        <w:rPr>
          <w:szCs w:val="26"/>
        </w:rPr>
        <w:t xml:space="preserve">,” the </w:t>
      </w:r>
      <w:r>
        <w:rPr>
          <w:i/>
          <w:iCs/>
          <w:szCs w:val="26"/>
        </w:rPr>
        <w:t>Mohammad</w:t>
      </w:r>
      <w:r>
        <w:rPr>
          <w:szCs w:val="26"/>
        </w:rPr>
        <w:t xml:space="preserve"> court concluded that </w:t>
      </w:r>
      <w:r w:rsidRPr="0029749F">
        <w:rPr>
          <w:szCs w:val="26"/>
        </w:rPr>
        <w:t xml:space="preserve">the Department </w:t>
      </w:r>
      <w:r>
        <w:rPr>
          <w:szCs w:val="26"/>
        </w:rPr>
        <w:t>was authorized to promulgate</w:t>
      </w:r>
      <w:r>
        <w:rPr>
          <w:szCs w:val="26"/>
        </w:rPr>
        <w:t xml:space="preserve"> 15 CCR (2019)</w:t>
      </w:r>
      <w:r>
        <w:rPr>
          <w:szCs w:val="26"/>
        </w:rPr>
        <w:t xml:space="preserve"> </w:t>
      </w:r>
      <w:r>
        <w:rPr>
          <w:szCs w:val="26"/>
        </w:rPr>
        <w:t xml:space="preserve">section 3490, </w:t>
      </w:r>
      <w:r w:rsidRPr="0029749F">
        <w:rPr>
          <w:szCs w:val="26"/>
        </w:rPr>
        <w:t>subdivision (a)(5)</w:t>
      </w:r>
      <w:r>
        <w:rPr>
          <w:szCs w:val="26"/>
        </w:rPr>
        <w:t xml:space="preserve"> </w:t>
      </w:r>
      <w:r>
        <w:rPr>
          <w:szCs w:val="26"/>
        </w:rPr>
        <w:t>(</w:t>
      </w:r>
      <w:r>
        <w:rPr>
          <w:i/>
          <w:iCs/>
          <w:szCs w:val="26"/>
        </w:rPr>
        <w:t>i</w:t>
      </w:r>
      <w:r>
        <w:rPr>
          <w:i/>
          <w:iCs/>
          <w:szCs w:val="26"/>
        </w:rPr>
        <w:t>d.</w:t>
      </w:r>
      <w:r>
        <w:rPr>
          <w:szCs w:val="26"/>
        </w:rPr>
        <w:t xml:space="preserve"> at p. 537</w:t>
      </w:r>
      <w:proofErr w:type="gramStart"/>
      <w:r>
        <w:rPr>
          <w:szCs w:val="26"/>
        </w:rPr>
        <w:t>)</w:t>
      </w:r>
      <w:r>
        <w:rPr>
          <w:szCs w:val="26"/>
        </w:rPr>
        <w:t>, and</w:t>
      </w:r>
      <w:proofErr w:type="gramEnd"/>
      <w:r>
        <w:rPr>
          <w:szCs w:val="26"/>
        </w:rPr>
        <w:t xml:space="preserve"> </w:t>
      </w:r>
      <w:r>
        <w:rPr>
          <w:szCs w:val="26"/>
        </w:rPr>
        <w:t xml:space="preserve">had </w:t>
      </w:r>
      <w:r>
        <w:rPr>
          <w:szCs w:val="26"/>
        </w:rPr>
        <w:t>reasonably</w:t>
      </w:r>
      <w:r>
        <w:rPr>
          <w:szCs w:val="26"/>
        </w:rPr>
        <w:t xml:space="preserve"> </w:t>
      </w:r>
      <w:r>
        <w:rPr>
          <w:szCs w:val="26"/>
        </w:rPr>
        <w:t>interpreted section 32(a)(1) in determining</w:t>
      </w:r>
      <w:r>
        <w:rPr>
          <w:szCs w:val="26"/>
        </w:rPr>
        <w:t xml:space="preserve"> </w:t>
      </w:r>
      <w:r w:rsidRPr="00730AAF">
        <w:rPr>
          <w:szCs w:val="26"/>
        </w:rPr>
        <w:t>that i</w:t>
      </w:r>
      <w:r w:rsidRPr="00730AAF">
        <w:rPr>
          <w:szCs w:val="26"/>
        </w:rPr>
        <w:t xml:space="preserve">nmates </w:t>
      </w:r>
      <w:r>
        <w:rPr>
          <w:szCs w:val="26"/>
        </w:rPr>
        <w:t xml:space="preserve">currently </w:t>
      </w:r>
      <w:r>
        <w:rPr>
          <w:szCs w:val="26"/>
        </w:rPr>
        <w:t>“</w:t>
      </w:r>
      <w:r w:rsidRPr="00730AAF">
        <w:rPr>
          <w:szCs w:val="26"/>
        </w:rPr>
        <w:t xml:space="preserve">serving a term of incarceration for a violent felony </w:t>
      </w:r>
      <w:r>
        <w:rPr>
          <w:szCs w:val="26"/>
        </w:rPr>
        <w:t>should be excluded from</w:t>
      </w:r>
      <w:r w:rsidRPr="00730AAF">
        <w:rPr>
          <w:szCs w:val="26"/>
        </w:rPr>
        <w:t xml:space="preserve"> early</w:t>
      </w:r>
      <w:r>
        <w:rPr>
          <w:szCs w:val="26"/>
        </w:rPr>
        <w:t xml:space="preserve"> </w:t>
      </w:r>
      <w:r w:rsidRPr="00730AAF">
        <w:rPr>
          <w:szCs w:val="26"/>
        </w:rPr>
        <w:t>parole consideration</w:t>
      </w:r>
      <w:r>
        <w:rPr>
          <w:szCs w:val="26"/>
        </w:rPr>
        <w:t>”</w:t>
      </w:r>
      <w:r>
        <w:rPr>
          <w:szCs w:val="26"/>
        </w:rPr>
        <w:t xml:space="preserve"> (</w:t>
      </w:r>
      <w:r>
        <w:rPr>
          <w:i/>
          <w:iCs/>
          <w:szCs w:val="26"/>
        </w:rPr>
        <w:t>i</w:t>
      </w:r>
      <w:r>
        <w:rPr>
          <w:i/>
          <w:iCs/>
          <w:szCs w:val="26"/>
        </w:rPr>
        <w:t>d.</w:t>
      </w:r>
      <w:r>
        <w:rPr>
          <w:szCs w:val="26"/>
        </w:rPr>
        <w:t xml:space="preserve"> at pp. 541–542)</w:t>
      </w:r>
      <w:r>
        <w:rPr>
          <w:szCs w:val="26"/>
        </w:rPr>
        <w:t>.</w:t>
      </w:r>
    </w:p>
    <w:p w14:paraId="6D797696" w14:textId="77777777" w:rsidR="00890D25" w:rsidRPr="00CA398E" w:rsidRDefault="00890D25" w:rsidP="002C3AFB">
      <w:pPr>
        <w:keepNext/>
        <w:keepLines/>
        <w:tabs>
          <w:tab w:val="left" w:pos="360"/>
          <w:tab w:val="left" w:pos="720"/>
          <w:tab w:val="left" w:pos="1080"/>
        </w:tabs>
        <w:snapToGrid w:val="0"/>
        <w:spacing w:after="0" w:line="288" w:lineRule="auto"/>
        <w:outlineLvl w:val="0"/>
        <w:rPr>
          <w:b/>
          <w:i/>
          <w:szCs w:val="26"/>
        </w:rPr>
      </w:pPr>
      <w:r>
        <w:rPr>
          <w:szCs w:val="26"/>
        </w:rPr>
        <w:tab/>
      </w:r>
      <w:r>
        <w:rPr>
          <w:b/>
          <w:szCs w:val="26"/>
        </w:rPr>
        <w:t>C.</w:t>
      </w:r>
      <w:r>
        <w:rPr>
          <w:b/>
          <w:szCs w:val="26"/>
        </w:rPr>
        <w:tab/>
      </w:r>
      <w:r>
        <w:rPr>
          <w:b/>
          <w:bCs/>
          <w:i/>
          <w:szCs w:val="26"/>
        </w:rPr>
        <w:t xml:space="preserve">In </w:t>
      </w:r>
      <w:r>
        <w:rPr>
          <w:b/>
          <w:bCs/>
          <w:i/>
          <w:szCs w:val="26"/>
        </w:rPr>
        <w:t>resolv</w:t>
      </w:r>
      <w:r>
        <w:rPr>
          <w:b/>
          <w:bCs/>
          <w:i/>
          <w:szCs w:val="26"/>
        </w:rPr>
        <w:t>ing</w:t>
      </w:r>
      <w:r>
        <w:rPr>
          <w:b/>
          <w:bCs/>
          <w:i/>
          <w:szCs w:val="26"/>
        </w:rPr>
        <w:t xml:space="preserve"> the </w:t>
      </w:r>
      <w:r>
        <w:rPr>
          <w:b/>
          <w:bCs/>
          <w:i/>
          <w:szCs w:val="26"/>
        </w:rPr>
        <w:t>question</w:t>
      </w:r>
      <w:r>
        <w:rPr>
          <w:b/>
          <w:bCs/>
          <w:i/>
          <w:szCs w:val="26"/>
        </w:rPr>
        <w:t>s</w:t>
      </w:r>
      <w:r>
        <w:rPr>
          <w:b/>
          <w:bCs/>
          <w:i/>
          <w:szCs w:val="26"/>
        </w:rPr>
        <w:t xml:space="preserve"> left open by the </w:t>
      </w:r>
      <w:r>
        <w:rPr>
          <w:b/>
          <w:bCs/>
          <w:iCs/>
          <w:szCs w:val="26"/>
        </w:rPr>
        <w:t xml:space="preserve">Mohammad </w:t>
      </w:r>
      <w:r>
        <w:rPr>
          <w:b/>
          <w:bCs/>
          <w:i/>
          <w:szCs w:val="26"/>
        </w:rPr>
        <w:t xml:space="preserve">decision, </w:t>
      </w:r>
      <w:r>
        <w:rPr>
          <w:b/>
          <w:i/>
          <w:szCs w:val="26"/>
        </w:rPr>
        <w:t>the current version of</w:t>
      </w:r>
      <w:r>
        <w:rPr>
          <w:b/>
          <w:i/>
          <w:szCs w:val="26"/>
        </w:rPr>
        <w:t xml:space="preserve"> </w:t>
      </w:r>
      <w:r w:rsidRPr="002135DD">
        <w:rPr>
          <w:b/>
          <w:bCs/>
          <w:i/>
          <w:iCs/>
          <w:szCs w:val="26"/>
        </w:rPr>
        <w:t>15</w:t>
      </w:r>
      <w:r>
        <w:rPr>
          <w:b/>
          <w:bCs/>
          <w:i/>
          <w:iCs/>
          <w:szCs w:val="26"/>
        </w:rPr>
        <w:t xml:space="preserve"> CCR</w:t>
      </w:r>
      <w:r w:rsidRPr="002135DD">
        <w:rPr>
          <w:b/>
          <w:bCs/>
          <w:i/>
          <w:iCs/>
          <w:szCs w:val="26"/>
        </w:rPr>
        <w:t xml:space="preserve"> section 3490</w:t>
      </w:r>
      <w:r w:rsidRPr="002135DD">
        <w:rPr>
          <w:b/>
          <w:bCs/>
          <w:i/>
          <w:szCs w:val="26"/>
        </w:rPr>
        <w:t xml:space="preserve"> </w:t>
      </w:r>
      <w:r>
        <w:rPr>
          <w:b/>
          <w:bCs/>
          <w:i/>
          <w:szCs w:val="26"/>
        </w:rPr>
        <w:t xml:space="preserve">is </w:t>
      </w:r>
      <w:r>
        <w:rPr>
          <w:b/>
          <w:bCs/>
          <w:i/>
          <w:szCs w:val="26"/>
        </w:rPr>
        <w:t xml:space="preserve">a reasonable interpretation of </w:t>
      </w:r>
      <w:r>
        <w:rPr>
          <w:b/>
          <w:bCs/>
          <w:i/>
          <w:szCs w:val="26"/>
        </w:rPr>
        <w:t>the constitutional language</w:t>
      </w:r>
      <w:r>
        <w:rPr>
          <w:b/>
          <w:bCs/>
          <w:i/>
          <w:szCs w:val="26"/>
        </w:rPr>
        <w:t xml:space="preserve"> and ballot materials</w:t>
      </w:r>
      <w:r>
        <w:rPr>
          <w:b/>
          <w:bCs/>
          <w:i/>
          <w:szCs w:val="26"/>
        </w:rPr>
        <w:t xml:space="preserve"> and </w:t>
      </w:r>
      <w:r w:rsidRPr="00E05599">
        <w:rPr>
          <w:b/>
          <w:bCs/>
          <w:i/>
          <w:szCs w:val="26"/>
        </w:rPr>
        <w:t xml:space="preserve">constitutes </w:t>
      </w:r>
      <w:r>
        <w:rPr>
          <w:b/>
          <w:bCs/>
          <w:i/>
          <w:szCs w:val="26"/>
        </w:rPr>
        <w:t xml:space="preserve">a </w:t>
      </w:r>
      <w:r>
        <w:rPr>
          <w:b/>
          <w:bCs/>
          <w:i/>
          <w:szCs w:val="26"/>
        </w:rPr>
        <w:t xml:space="preserve">valid exercise of the </w:t>
      </w:r>
      <w:r>
        <w:rPr>
          <w:b/>
          <w:bCs/>
          <w:i/>
          <w:szCs w:val="26"/>
        </w:rPr>
        <w:t>Department’s rulemaking authority</w:t>
      </w:r>
    </w:p>
    <w:p w14:paraId="67C75159" w14:textId="77777777" w:rsidR="00890D25" w:rsidRPr="00F1296C" w:rsidRDefault="00890D25" w:rsidP="00FE21FB">
      <w:pPr>
        <w:keepNext/>
        <w:tabs>
          <w:tab w:val="left" w:pos="180"/>
          <w:tab w:val="left" w:pos="720"/>
          <w:tab w:val="left" w:pos="1080"/>
        </w:tabs>
        <w:spacing w:after="0" w:line="288" w:lineRule="auto"/>
        <w:ind w:firstLine="720"/>
        <w:outlineLvl w:val="0"/>
        <w:rPr>
          <w:szCs w:val="26"/>
        </w:rPr>
      </w:pPr>
      <w:r>
        <w:rPr>
          <w:i/>
          <w:iCs/>
          <w:szCs w:val="26"/>
        </w:rPr>
        <w:t>1.</w:t>
      </w:r>
      <w:r>
        <w:rPr>
          <w:i/>
          <w:iCs/>
          <w:szCs w:val="26"/>
        </w:rPr>
        <w:tab/>
      </w:r>
      <w:r>
        <w:rPr>
          <w:i/>
          <w:iCs/>
          <w:szCs w:val="26"/>
        </w:rPr>
        <w:t>Unresolved</w:t>
      </w:r>
      <w:r>
        <w:rPr>
          <w:i/>
          <w:iCs/>
          <w:szCs w:val="26"/>
        </w:rPr>
        <w:t xml:space="preserve"> questions </w:t>
      </w:r>
      <w:r>
        <w:rPr>
          <w:i/>
          <w:iCs/>
          <w:szCs w:val="26"/>
        </w:rPr>
        <w:t>following</w:t>
      </w:r>
      <w:r>
        <w:rPr>
          <w:i/>
          <w:iCs/>
          <w:szCs w:val="26"/>
        </w:rPr>
        <w:t xml:space="preserve"> </w:t>
      </w:r>
      <w:r>
        <w:rPr>
          <w:szCs w:val="26"/>
        </w:rPr>
        <w:t>Mohammad</w:t>
      </w:r>
    </w:p>
    <w:p w14:paraId="6488C315" w14:textId="77777777" w:rsidR="00890D25" w:rsidRDefault="00890D25" w:rsidP="00F14945">
      <w:pPr>
        <w:tabs>
          <w:tab w:val="left" w:pos="180"/>
          <w:tab w:val="left" w:pos="720"/>
          <w:tab w:val="left" w:pos="1080"/>
        </w:tabs>
        <w:spacing w:after="0" w:line="288" w:lineRule="auto"/>
        <w:ind w:firstLine="720"/>
        <w:outlineLvl w:val="0"/>
        <w:rPr>
          <w:szCs w:val="26"/>
        </w:rPr>
      </w:pPr>
      <w:r>
        <w:rPr>
          <w:szCs w:val="26"/>
        </w:rPr>
        <w:t xml:space="preserve">Although </w:t>
      </w:r>
      <w:r>
        <w:rPr>
          <w:i/>
          <w:iCs/>
          <w:szCs w:val="26"/>
        </w:rPr>
        <w:t>Mohammad</w:t>
      </w:r>
      <w:r>
        <w:rPr>
          <w:szCs w:val="26"/>
        </w:rPr>
        <w:t xml:space="preserve"> resolved the ambiguity in section 32(a)(1)’s application to the eligibility for early parole consideration of mixed offense inmates who are </w:t>
      </w:r>
      <w:r w:rsidRPr="00986CAB">
        <w:rPr>
          <w:szCs w:val="26"/>
        </w:rPr>
        <w:t>currently incarcerated for a violent felony,</w:t>
      </w:r>
      <w:r>
        <w:rPr>
          <w:szCs w:val="26"/>
        </w:rPr>
        <w:t xml:space="preserve"> it left other questions unanswered.  Specifically, as noted </w:t>
      </w:r>
      <w:r>
        <w:rPr>
          <w:szCs w:val="26"/>
        </w:rPr>
        <w:t>in</w:t>
      </w:r>
      <w:r>
        <w:rPr>
          <w:szCs w:val="26"/>
        </w:rPr>
        <w:t xml:space="preserve"> the concurring opinion of Justice Liu, </w:t>
      </w:r>
      <w:r w:rsidRPr="00E72BA1">
        <w:rPr>
          <w:i/>
          <w:iCs/>
          <w:szCs w:val="26"/>
        </w:rPr>
        <w:t xml:space="preserve">Mohammad </w:t>
      </w:r>
      <w:r w:rsidRPr="00E72BA1">
        <w:rPr>
          <w:szCs w:val="26"/>
        </w:rPr>
        <w:t xml:space="preserve">did not </w:t>
      </w:r>
      <w:r>
        <w:rPr>
          <w:szCs w:val="26"/>
        </w:rPr>
        <w:t>decide</w:t>
      </w:r>
      <w:r w:rsidRPr="00E72BA1">
        <w:rPr>
          <w:szCs w:val="26"/>
        </w:rPr>
        <w:t xml:space="preserve"> the </w:t>
      </w:r>
      <w:r>
        <w:rPr>
          <w:szCs w:val="26"/>
        </w:rPr>
        <w:t>issue</w:t>
      </w:r>
      <w:r w:rsidRPr="00E72BA1">
        <w:rPr>
          <w:szCs w:val="26"/>
        </w:rPr>
        <w:t xml:space="preserve"> </w:t>
      </w:r>
      <w:r>
        <w:rPr>
          <w:szCs w:val="26"/>
        </w:rPr>
        <w:t>presented in this case</w:t>
      </w:r>
      <w:r>
        <w:rPr>
          <w:rFonts w:ascii="Symbol" w:hAnsi="Symbol"/>
          <w:szCs w:val="26"/>
        </w:rPr>
        <w:sym w:font="Symbol" w:char="F0BE"/>
      </w:r>
      <w:r w:rsidRPr="00E72BA1">
        <w:rPr>
          <w:szCs w:val="26"/>
        </w:rPr>
        <w:t xml:space="preserve">whether a mixed offense inmate who is </w:t>
      </w:r>
      <w:r w:rsidRPr="004D7DCA">
        <w:rPr>
          <w:szCs w:val="26"/>
        </w:rPr>
        <w:t>not</w:t>
      </w:r>
      <w:r w:rsidRPr="00E72BA1">
        <w:rPr>
          <w:szCs w:val="26"/>
        </w:rPr>
        <w:t xml:space="preserve"> currently serving the sentence on </w:t>
      </w:r>
      <w:r>
        <w:rPr>
          <w:szCs w:val="26"/>
        </w:rPr>
        <w:t>his or her</w:t>
      </w:r>
      <w:r w:rsidRPr="00E72BA1">
        <w:rPr>
          <w:szCs w:val="26"/>
        </w:rPr>
        <w:t xml:space="preserve"> violent felony is entitled to parole consideration under section 32(a)(1).</w:t>
      </w:r>
      <w:r>
        <w:rPr>
          <w:szCs w:val="26"/>
        </w:rPr>
        <w:t xml:space="preserve">  “</w:t>
      </w:r>
      <w:r w:rsidRPr="002B14E1">
        <w:rPr>
          <w:szCs w:val="26"/>
        </w:rPr>
        <w:t xml:space="preserve">Consider, for example, an inmate serving a consecutive sentence for a robbery offense with a six-year term and a receiving stolen property offense with a three-year term. </w:t>
      </w:r>
      <w:r>
        <w:rPr>
          <w:szCs w:val="26"/>
        </w:rPr>
        <w:t xml:space="preserve"> </w:t>
      </w:r>
      <w:r w:rsidRPr="002B14E1">
        <w:rPr>
          <w:szCs w:val="26"/>
        </w:rPr>
        <w:t xml:space="preserve">The robbery offense is the </w:t>
      </w:r>
      <w:r>
        <w:rPr>
          <w:szCs w:val="26"/>
        </w:rPr>
        <w:lastRenderedPageBreak/>
        <w:t>‘</w:t>
      </w:r>
      <w:r w:rsidRPr="002B14E1">
        <w:rPr>
          <w:szCs w:val="26"/>
        </w:rPr>
        <w:t>primary offense</w:t>
      </w:r>
      <w:r>
        <w:rPr>
          <w:szCs w:val="26"/>
        </w:rPr>
        <w:t>’</w:t>
      </w:r>
      <w:r w:rsidRPr="002B14E1">
        <w:rPr>
          <w:szCs w:val="26"/>
        </w:rPr>
        <w:t xml:space="preserve"> because it carries </w:t>
      </w:r>
      <w:r>
        <w:rPr>
          <w:szCs w:val="26"/>
        </w:rPr>
        <w:t>‘</w:t>
      </w:r>
      <w:r w:rsidRPr="002B14E1">
        <w:rPr>
          <w:szCs w:val="26"/>
        </w:rPr>
        <w:t>the longest term of imprisonment imposed by the court for any offense.</w:t>
      </w:r>
      <w:r>
        <w:rPr>
          <w:szCs w:val="26"/>
        </w:rPr>
        <w:t xml:space="preserve">’ </w:t>
      </w:r>
      <w:r w:rsidRPr="002B14E1">
        <w:rPr>
          <w:szCs w:val="26"/>
        </w:rPr>
        <w:t xml:space="preserve"> (Art. I, §</w:t>
      </w:r>
      <w:r>
        <w:rPr>
          <w:szCs w:val="26"/>
        </w:rPr>
        <w:t> </w:t>
      </w:r>
      <w:r w:rsidRPr="002B14E1">
        <w:rPr>
          <w:szCs w:val="26"/>
        </w:rPr>
        <w:t xml:space="preserve">32(a)(1)(A).) </w:t>
      </w:r>
      <w:r>
        <w:rPr>
          <w:szCs w:val="26"/>
        </w:rPr>
        <w:t xml:space="preserve"> </w:t>
      </w:r>
      <w:r w:rsidRPr="002B14E1">
        <w:rPr>
          <w:szCs w:val="26"/>
        </w:rPr>
        <w:t>Once the inmate has completed the six-year term for h</w:t>
      </w:r>
      <w:r w:rsidRPr="002B14E1">
        <w:rPr>
          <w:szCs w:val="26"/>
        </w:rPr>
        <w:t>is primary offense of robbery, is he then—for purposes of article</w:t>
      </w:r>
      <w:r>
        <w:rPr>
          <w:szCs w:val="26"/>
        </w:rPr>
        <w:t> </w:t>
      </w:r>
      <w:r w:rsidRPr="002B14E1">
        <w:rPr>
          <w:szCs w:val="26"/>
        </w:rPr>
        <w:t>I, section 32(a)(1)—currently serving a term for the nonviolent offense of receiving stolen property and thus eligible for early parole consideration, as Justice Robie</w:t>
      </w:r>
      <w:r>
        <w:rPr>
          <w:szCs w:val="26"/>
        </w:rPr>
        <w:t>’</w:t>
      </w:r>
      <w:r w:rsidRPr="002B14E1">
        <w:rPr>
          <w:szCs w:val="26"/>
        </w:rPr>
        <w:t xml:space="preserve">s </w:t>
      </w:r>
      <w:proofErr w:type="gramStart"/>
      <w:r w:rsidRPr="002B14E1">
        <w:rPr>
          <w:szCs w:val="26"/>
        </w:rPr>
        <w:t>view</w:t>
      </w:r>
      <w:r w:rsidRPr="00037B59">
        <w:rPr>
          <w:b/>
          <w:bCs/>
          <w:szCs w:val="26"/>
          <w:vertAlign w:val="superscript"/>
        </w:rPr>
        <w:t>[</w:t>
      </w:r>
      <w:proofErr w:type="gramEnd"/>
      <w:r>
        <w:rPr>
          <w:rStyle w:val="FootnoteReference"/>
          <w:szCs w:val="26"/>
        </w:rPr>
        <w:footnoteReference w:id="4"/>
      </w:r>
      <w:r w:rsidRPr="00037B59">
        <w:rPr>
          <w:b/>
          <w:bCs/>
          <w:szCs w:val="26"/>
          <w:vertAlign w:val="superscript"/>
        </w:rPr>
        <w:t>]</w:t>
      </w:r>
      <w:r w:rsidRPr="002B14E1">
        <w:rPr>
          <w:szCs w:val="26"/>
        </w:rPr>
        <w:t xml:space="preserve"> suggests? </w:t>
      </w:r>
      <w:r>
        <w:rPr>
          <w:szCs w:val="26"/>
        </w:rPr>
        <w:t xml:space="preserve"> </w:t>
      </w:r>
      <w:r w:rsidRPr="002B14E1">
        <w:rPr>
          <w:szCs w:val="26"/>
        </w:rPr>
        <w:t xml:space="preserve">Or does article I, section 32(a)(1) </w:t>
      </w:r>
      <w:proofErr w:type="gramStart"/>
      <w:r w:rsidRPr="002B14E1">
        <w:rPr>
          <w:szCs w:val="26"/>
        </w:rPr>
        <w:t>allow</w:t>
      </w:r>
      <w:proofErr w:type="gramEnd"/>
      <w:r w:rsidRPr="002B14E1">
        <w:rPr>
          <w:szCs w:val="26"/>
        </w:rPr>
        <w:t xml:space="preserve"> the Department to treat him as currently serving a term for the violent offense throughout the entire nine-year aggregate sentence and find him ineligible for early parole consideration on that basis?</w:t>
      </w:r>
      <w:r>
        <w:rPr>
          <w:szCs w:val="26"/>
        </w:rPr>
        <w:t xml:space="preserve">  [</w:t>
      </w:r>
      <w:proofErr w:type="gramStart"/>
      <w:r>
        <w:rPr>
          <w:szCs w:val="26"/>
        </w:rPr>
        <w:t xml:space="preserve">¶]  </w:t>
      </w:r>
      <w:r w:rsidRPr="002B14E1">
        <w:rPr>
          <w:szCs w:val="26"/>
        </w:rPr>
        <w:t>Today</w:t>
      </w:r>
      <w:r>
        <w:rPr>
          <w:szCs w:val="26"/>
        </w:rPr>
        <w:t>’</w:t>
      </w:r>
      <w:r w:rsidRPr="002B14E1">
        <w:rPr>
          <w:szCs w:val="26"/>
        </w:rPr>
        <w:t>s</w:t>
      </w:r>
      <w:proofErr w:type="gramEnd"/>
      <w:r w:rsidRPr="002B14E1">
        <w:rPr>
          <w:szCs w:val="26"/>
        </w:rPr>
        <w:t xml:space="preserve"> decision does not answer these questions, nor does it address at what point, if any, during Mohammad</w:t>
      </w:r>
      <w:r>
        <w:rPr>
          <w:szCs w:val="26"/>
        </w:rPr>
        <w:t>’</w:t>
      </w:r>
      <w:r w:rsidRPr="002B14E1">
        <w:rPr>
          <w:szCs w:val="26"/>
        </w:rPr>
        <w:t xml:space="preserve">s consecutive sentence he may become eligible for early parole consideration. </w:t>
      </w:r>
      <w:r>
        <w:rPr>
          <w:szCs w:val="26"/>
        </w:rPr>
        <w:t xml:space="preserve"> </w:t>
      </w:r>
      <w:r w:rsidRPr="002B14E1">
        <w:rPr>
          <w:szCs w:val="26"/>
        </w:rPr>
        <w:t>These issues await resolution in future cases.</w:t>
      </w:r>
      <w:r>
        <w:rPr>
          <w:szCs w:val="26"/>
        </w:rPr>
        <w:t>”  (</w:t>
      </w:r>
      <w:r>
        <w:rPr>
          <w:i/>
          <w:iCs/>
          <w:szCs w:val="26"/>
        </w:rPr>
        <w:t>Mohammad</w:t>
      </w:r>
      <w:r>
        <w:rPr>
          <w:szCs w:val="26"/>
        </w:rPr>
        <w:t>, at</w:t>
      </w:r>
      <w:r>
        <w:rPr>
          <w:szCs w:val="26"/>
        </w:rPr>
        <w:t xml:space="preserve"> p. 543 (conc. </w:t>
      </w:r>
      <w:proofErr w:type="spellStart"/>
      <w:r>
        <w:rPr>
          <w:szCs w:val="26"/>
        </w:rPr>
        <w:t>opn</w:t>
      </w:r>
      <w:proofErr w:type="spellEnd"/>
      <w:r>
        <w:rPr>
          <w:szCs w:val="26"/>
        </w:rPr>
        <w:t>. of Liu, J.).)</w:t>
      </w:r>
    </w:p>
    <w:p w14:paraId="6DB0F137" w14:textId="77777777" w:rsidR="00890D25" w:rsidRPr="00F1296C" w:rsidRDefault="00890D25" w:rsidP="00F14945">
      <w:pPr>
        <w:tabs>
          <w:tab w:val="left" w:pos="180"/>
          <w:tab w:val="left" w:pos="720"/>
          <w:tab w:val="left" w:pos="1080"/>
        </w:tabs>
        <w:spacing w:after="0" w:line="288" w:lineRule="auto"/>
        <w:ind w:firstLine="720"/>
        <w:outlineLvl w:val="0"/>
        <w:rPr>
          <w:i/>
          <w:iCs/>
          <w:szCs w:val="26"/>
        </w:rPr>
      </w:pPr>
      <w:r>
        <w:rPr>
          <w:i/>
          <w:iCs/>
          <w:szCs w:val="26"/>
        </w:rPr>
        <w:t>2.</w:t>
      </w:r>
      <w:r>
        <w:rPr>
          <w:i/>
          <w:iCs/>
          <w:szCs w:val="26"/>
        </w:rPr>
        <w:tab/>
        <w:t>The 2022 amendment to 15</w:t>
      </w:r>
      <w:r>
        <w:rPr>
          <w:i/>
          <w:iCs/>
          <w:szCs w:val="26"/>
        </w:rPr>
        <w:t xml:space="preserve"> CCR</w:t>
      </w:r>
      <w:r>
        <w:rPr>
          <w:i/>
          <w:iCs/>
          <w:szCs w:val="26"/>
        </w:rPr>
        <w:t xml:space="preserve"> </w:t>
      </w:r>
      <w:r>
        <w:rPr>
          <w:szCs w:val="26"/>
        </w:rPr>
        <w:t>(</w:t>
      </w:r>
      <w:r>
        <w:rPr>
          <w:i/>
          <w:iCs/>
          <w:szCs w:val="26"/>
        </w:rPr>
        <w:t>2019</w:t>
      </w:r>
      <w:r>
        <w:rPr>
          <w:szCs w:val="26"/>
        </w:rPr>
        <w:t>)</w:t>
      </w:r>
      <w:r>
        <w:rPr>
          <w:i/>
          <w:iCs/>
          <w:szCs w:val="26"/>
        </w:rPr>
        <w:t xml:space="preserve"> section 3490, subdivision (a)(5)</w:t>
      </w:r>
    </w:p>
    <w:p w14:paraId="3822BD19" w14:textId="77777777" w:rsidR="00890D25" w:rsidRDefault="00890D25" w:rsidP="008F2EAE">
      <w:pPr>
        <w:tabs>
          <w:tab w:val="left" w:pos="180"/>
          <w:tab w:val="left" w:pos="720"/>
          <w:tab w:val="left" w:pos="1080"/>
        </w:tabs>
        <w:spacing w:after="0" w:line="288" w:lineRule="auto"/>
        <w:ind w:firstLine="720"/>
        <w:outlineLvl w:val="0"/>
        <w:rPr>
          <w:szCs w:val="26"/>
        </w:rPr>
      </w:pPr>
      <w:r>
        <w:rPr>
          <w:szCs w:val="26"/>
        </w:rPr>
        <w:t xml:space="preserve">Effective February 28, 2022, the Department amended </w:t>
      </w:r>
      <w:r>
        <w:rPr>
          <w:szCs w:val="26"/>
        </w:rPr>
        <w:t>15 CCR</w:t>
      </w:r>
      <w:r>
        <w:rPr>
          <w:szCs w:val="26"/>
        </w:rPr>
        <w:t xml:space="preserve"> (2019)</w:t>
      </w:r>
      <w:r>
        <w:rPr>
          <w:szCs w:val="26"/>
        </w:rPr>
        <w:t xml:space="preserve"> </w:t>
      </w:r>
      <w:r>
        <w:rPr>
          <w:szCs w:val="26"/>
        </w:rPr>
        <w:t xml:space="preserve">section 3490, subdivision (a)(5) to explicitly exclude mixed offense inmates such as </w:t>
      </w:r>
      <w:r w:rsidRPr="005E43C2">
        <w:rPr>
          <w:szCs w:val="26"/>
        </w:rPr>
        <w:t>petitioner</w:t>
      </w:r>
      <w:r>
        <w:rPr>
          <w:szCs w:val="26"/>
        </w:rPr>
        <w:t xml:space="preserve"> from early parole consideration.</w:t>
      </w:r>
      <w:r>
        <w:rPr>
          <w:rStyle w:val="FootnoteReference"/>
          <w:szCs w:val="26"/>
        </w:rPr>
        <w:footnoteReference w:id="5"/>
      </w:r>
      <w:r>
        <w:rPr>
          <w:szCs w:val="26"/>
        </w:rPr>
        <w:t xml:space="preserve">  </w:t>
      </w:r>
      <w:r w:rsidRPr="00B97C59">
        <w:rPr>
          <w:szCs w:val="26"/>
        </w:rPr>
        <w:t xml:space="preserve">The principal change </w:t>
      </w:r>
      <w:r>
        <w:rPr>
          <w:szCs w:val="26"/>
        </w:rPr>
        <w:t>produced</w:t>
      </w:r>
      <w:r w:rsidRPr="00B97C59">
        <w:rPr>
          <w:szCs w:val="26"/>
        </w:rPr>
        <w:t xml:space="preserve"> by the </w:t>
      </w:r>
      <w:r w:rsidRPr="00483D1F">
        <w:rPr>
          <w:szCs w:val="26"/>
        </w:rPr>
        <w:lastRenderedPageBreak/>
        <w:t xml:space="preserve">regulation’s </w:t>
      </w:r>
      <w:r>
        <w:rPr>
          <w:szCs w:val="26"/>
        </w:rPr>
        <w:t>amendment was</w:t>
      </w:r>
      <w:r w:rsidRPr="00B97C59">
        <w:rPr>
          <w:szCs w:val="26"/>
        </w:rPr>
        <w:t xml:space="preserve"> to </w:t>
      </w:r>
      <w:r>
        <w:rPr>
          <w:szCs w:val="26"/>
        </w:rPr>
        <w:t xml:space="preserve">make the mixed offense inmate’s violent felony conviction a disqualifying factor in </w:t>
      </w:r>
      <w:r>
        <w:rPr>
          <w:szCs w:val="26"/>
        </w:rPr>
        <w:t xml:space="preserve">determining eligibility for early parole consideration under section 32(a)(1).  </w:t>
      </w:r>
      <w:r>
        <w:rPr>
          <w:szCs w:val="26"/>
        </w:rPr>
        <w:t>Thus, u</w:t>
      </w:r>
      <w:r w:rsidRPr="00B97C59">
        <w:rPr>
          <w:szCs w:val="26"/>
        </w:rPr>
        <w:t>nder the current regulation, the</w:t>
      </w:r>
      <w:r>
        <w:rPr>
          <w:szCs w:val="26"/>
        </w:rPr>
        <w:t xml:space="preserve"> </w:t>
      </w:r>
      <w:r w:rsidRPr="007854FD">
        <w:rPr>
          <w:szCs w:val="26"/>
        </w:rPr>
        <w:t xml:space="preserve">dispositive </w:t>
      </w:r>
      <w:r>
        <w:rPr>
          <w:szCs w:val="26"/>
        </w:rPr>
        <w:t>fact</w:t>
      </w:r>
      <w:r>
        <w:rPr>
          <w:szCs w:val="26"/>
        </w:rPr>
        <w:t xml:space="preserve"> in deciding eligibility for early parole</w:t>
      </w:r>
      <w:r>
        <w:rPr>
          <w:szCs w:val="26"/>
        </w:rPr>
        <w:t xml:space="preserve"> </w:t>
      </w:r>
      <w:r>
        <w:rPr>
          <w:szCs w:val="26"/>
        </w:rPr>
        <w:t xml:space="preserve">is </w:t>
      </w:r>
      <w:r w:rsidRPr="009C1197">
        <w:rPr>
          <w:szCs w:val="26"/>
        </w:rPr>
        <w:t>that the mixed offense inmate currently stands convicted of and sentenced for a violent felony</w:t>
      </w:r>
      <w:r>
        <w:rPr>
          <w:szCs w:val="26"/>
        </w:rPr>
        <w:t xml:space="preserve">. </w:t>
      </w:r>
      <w:r w:rsidRPr="009C1197">
        <w:rPr>
          <w:szCs w:val="26"/>
        </w:rPr>
        <w:t xml:space="preserve"> </w:t>
      </w:r>
      <w:r>
        <w:rPr>
          <w:szCs w:val="26"/>
        </w:rPr>
        <w:t>T</w:t>
      </w:r>
      <w:r w:rsidRPr="00B97C59">
        <w:rPr>
          <w:szCs w:val="26"/>
        </w:rPr>
        <w:t xml:space="preserve">he inmate </w:t>
      </w:r>
      <w:r>
        <w:rPr>
          <w:szCs w:val="26"/>
        </w:rPr>
        <w:t xml:space="preserve">does not qualify for early parole under </w:t>
      </w:r>
      <w:r w:rsidRPr="00B97C59">
        <w:rPr>
          <w:szCs w:val="26"/>
        </w:rPr>
        <w:t>section 32(a)(1) regard</w:t>
      </w:r>
      <w:r>
        <w:rPr>
          <w:szCs w:val="26"/>
        </w:rPr>
        <w:t>less of</w:t>
      </w:r>
      <w:r w:rsidRPr="00B97C59">
        <w:rPr>
          <w:szCs w:val="26"/>
        </w:rPr>
        <w:t xml:space="preserve"> </w:t>
      </w:r>
      <w:r>
        <w:rPr>
          <w:szCs w:val="26"/>
        </w:rPr>
        <w:t xml:space="preserve">whether the violent or nonviolent felony conviction is deemed the “primary offense” or </w:t>
      </w:r>
      <w:r>
        <w:rPr>
          <w:szCs w:val="26"/>
        </w:rPr>
        <w:t>whether</w:t>
      </w:r>
      <w:r w:rsidRPr="00B97C59">
        <w:rPr>
          <w:szCs w:val="26"/>
        </w:rPr>
        <w:t xml:space="preserve"> the inmate is serving </w:t>
      </w:r>
      <w:r>
        <w:rPr>
          <w:szCs w:val="26"/>
        </w:rPr>
        <w:t xml:space="preserve">a sentence on the violent or nonviolent conviction </w:t>
      </w:r>
      <w:r w:rsidRPr="00B97C59">
        <w:rPr>
          <w:szCs w:val="26"/>
        </w:rPr>
        <w:t>when applying for parole.</w:t>
      </w:r>
      <w:r>
        <w:rPr>
          <w:rStyle w:val="FootnoteReference"/>
          <w:szCs w:val="26"/>
        </w:rPr>
        <w:footnoteReference w:id="6"/>
      </w:r>
    </w:p>
    <w:p w14:paraId="27BD3423" w14:textId="77777777" w:rsidR="00890D25" w:rsidRDefault="00890D25" w:rsidP="00683684">
      <w:pPr>
        <w:tabs>
          <w:tab w:val="left" w:pos="180"/>
          <w:tab w:val="left" w:pos="720"/>
          <w:tab w:val="left" w:pos="1080"/>
        </w:tabs>
        <w:spacing w:after="0" w:line="288" w:lineRule="auto"/>
        <w:ind w:firstLine="720"/>
        <w:outlineLvl w:val="0"/>
        <w:rPr>
          <w:szCs w:val="26"/>
        </w:rPr>
      </w:pPr>
      <w:r>
        <w:rPr>
          <w:szCs w:val="26"/>
        </w:rPr>
        <w:t xml:space="preserve">The amended regulation </w:t>
      </w:r>
      <w:r>
        <w:rPr>
          <w:szCs w:val="26"/>
        </w:rPr>
        <w:t xml:space="preserve">thus </w:t>
      </w:r>
      <w:r>
        <w:rPr>
          <w:szCs w:val="26"/>
        </w:rPr>
        <w:t xml:space="preserve">addresses the </w:t>
      </w:r>
      <w:r>
        <w:rPr>
          <w:szCs w:val="26"/>
        </w:rPr>
        <w:t>questions</w:t>
      </w:r>
      <w:r>
        <w:rPr>
          <w:szCs w:val="26"/>
        </w:rPr>
        <w:t xml:space="preserve"> raised by Justice Liu</w:t>
      </w:r>
      <w:r>
        <w:rPr>
          <w:szCs w:val="26"/>
        </w:rPr>
        <w:t xml:space="preserve"> that </w:t>
      </w:r>
      <w:r>
        <w:rPr>
          <w:i/>
          <w:iCs/>
          <w:szCs w:val="26"/>
        </w:rPr>
        <w:t>Mohammad</w:t>
      </w:r>
      <w:r>
        <w:rPr>
          <w:szCs w:val="26"/>
        </w:rPr>
        <w:t xml:space="preserve"> left unanswered</w:t>
      </w:r>
      <w:r>
        <w:rPr>
          <w:szCs w:val="26"/>
        </w:rPr>
        <w:t>.</w:t>
      </w:r>
      <w:r>
        <w:rPr>
          <w:szCs w:val="26"/>
        </w:rPr>
        <w:t xml:space="preserve">  </w:t>
      </w:r>
      <w:r>
        <w:rPr>
          <w:szCs w:val="26"/>
        </w:rPr>
        <w:t xml:space="preserve">The </w:t>
      </w:r>
      <w:r>
        <w:rPr>
          <w:szCs w:val="26"/>
        </w:rPr>
        <w:t>only</w:t>
      </w:r>
      <w:r>
        <w:rPr>
          <w:szCs w:val="26"/>
        </w:rPr>
        <w:t xml:space="preserve"> </w:t>
      </w:r>
      <w:r>
        <w:rPr>
          <w:szCs w:val="26"/>
        </w:rPr>
        <w:t>remaining issue</w:t>
      </w:r>
      <w:r>
        <w:rPr>
          <w:szCs w:val="26"/>
        </w:rPr>
        <w:t>s are</w:t>
      </w:r>
      <w:r>
        <w:rPr>
          <w:szCs w:val="26"/>
        </w:rPr>
        <w:t xml:space="preserve"> whether the current </w:t>
      </w:r>
      <w:r>
        <w:rPr>
          <w:szCs w:val="26"/>
        </w:rPr>
        <w:t xml:space="preserve">regulation “is consistent with </w:t>
      </w:r>
      <w:r>
        <w:rPr>
          <w:szCs w:val="26"/>
        </w:rPr>
        <w:t xml:space="preserve">a </w:t>
      </w:r>
      <w:r>
        <w:rPr>
          <w:szCs w:val="26"/>
        </w:rPr>
        <w:t xml:space="preserve">reasonable interpretation of [section 32(a)(1)] and the </w:t>
      </w:r>
      <w:r>
        <w:rPr>
          <w:szCs w:val="26"/>
        </w:rPr>
        <w:t>[Proposition 57] ballot materials,” and constitutes “a</w:t>
      </w:r>
      <w:r>
        <w:rPr>
          <w:szCs w:val="26"/>
        </w:rPr>
        <w:t xml:space="preserve"> </w:t>
      </w:r>
      <w:r>
        <w:rPr>
          <w:szCs w:val="26"/>
        </w:rPr>
        <w:lastRenderedPageBreak/>
        <w:t xml:space="preserve">valid </w:t>
      </w:r>
      <w:r>
        <w:rPr>
          <w:szCs w:val="26"/>
        </w:rPr>
        <w:t xml:space="preserve">exercise of the Department’s rulemaking authority under article I, section 32(b).”  </w:t>
      </w:r>
      <w:r>
        <w:rPr>
          <w:szCs w:val="26"/>
        </w:rPr>
        <w:t>(</w:t>
      </w:r>
      <w:r>
        <w:rPr>
          <w:i/>
          <w:iCs/>
          <w:szCs w:val="26"/>
        </w:rPr>
        <w:t>Mohammad, supra,</w:t>
      </w:r>
      <w:r>
        <w:rPr>
          <w:szCs w:val="26"/>
        </w:rPr>
        <w:t xml:space="preserve"> 12 Cal.</w:t>
      </w:r>
      <w:r>
        <w:rPr>
          <w:szCs w:val="26"/>
        </w:rPr>
        <w:t>5</w:t>
      </w:r>
      <w:r w:rsidRPr="008F2EAE">
        <w:rPr>
          <w:szCs w:val="26"/>
        </w:rPr>
        <w:t>th</w:t>
      </w:r>
      <w:r>
        <w:rPr>
          <w:szCs w:val="26"/>
        </w:rPr>
        <w:t xml:space="preserve"> at p. 54</w:t>
      </w:r>
      <w:r>
        <w:rPr>
          <w:szCs w:val="26"/>
        </w:rPr>
        <w:t xml:space="preserve">2; </w:t>
      </w:r>
      <w:r w:rsidRPr="007A6D8D">
        <w:rPr>
          <w:i/>
          <w:iCs/>
          <w:szCs w:val="26"/>
        </w:rPr>
        <w:t>id.</w:t>
      </w:r>
      <w:r>
        <w:rPr>
          <w:szCs w:val="26"/>
        </w:rPr>
        <w:t xml:space="preserve"> at p.</w:t>
      </w:r>
      <w:r>
        <w:rPr>
          <w:szCs w:val="26"/>
        </w:rPr>
        <w:t xml:space="preserve"> 54</w:t>
      </w:r>
      <w:r>
        <w:rPr>
          <w:szCs w:val="26"/>
        </w:rPr>
        <w:t>1</w:t>
      </w:r>
      <w:r>
        <w:rPr>
          <w:szCs w:val="26"/>
        </w:rPr>
        <w:t xml:space="preserve">.)  </w:t>
      </w:r>
      <w:r>
        <w:rPr>
          <w:szCs w:val="26"/>
        </w:rPr>
        <w:t xml:space="preserve">Accepting, as we must, our Supreme Court’s holding in </w:t>
      </w:r>
      <w:r>
        <w:rPr>
          <w:i/>
          <w:iCs/>
          <w:szCs w:val="26"/>
        </w:rPr>
        <w:t xml:space="preserve">Mohammad </w:t>
      </w:r>
      <w:r>
        <w:rPr>
          <w:szCs w:val="26"/>
        </w:rPr>
        <w:t>that section 32(a)(1) is ambiguous as applied to mixed offense inmates, w</w:t>
      </w:r>
      <w:r>
        <w:rPr>
          <w:szCs w:val="26"/>
        </w:rPr>
        <w:t xml:space="preserve">e follow the </w:t>
      </w:r>
      <w:r>
        <w:rPr>
          <w:i/>
          <w:iCs/>
          <w:szCs w:val="26"/>
        </w:rPr>
        <w:t>Mohammad</w:t>
      </w:r>
      <w:r>
        <w:rPr>
          <w:szCs w:val="26"/>
        </w:rPr>
        <w:t xml:space="preserve"> court’s lead and refer to the ballot materials </w:t>
      </w:r>
      <w:r>
        <w:rPr>
          <w:szCs w:val="26"/>
        </w:rPr>
        <w:t xml:space="preserve">that were before the voters </w:t>
      </w:r>
      <w:r>
        <w:rPr>
          <w:szCs w:val="26"/>
        </w:rPr>
        <w:t xml:space="preserve">to </w:t>
      </w:r>
      <w:r>
        <w:rPr>
          <w:szCs w:val="26"/>
        </w:rPr>
        <w:t>resolve these issues.</w:t>
      </w:r>
      <w:r>
        <w:rPr>
          <w:szCs w:val="26"/>
        </w:rPr>
        <w:t xml:space="preserve">  (See </w:t>
      </w:r>
      <w:r>
        <w:rPr>
          <w:i/>
          <w:iCs/>
          <w:szCs w:val="26"/>
        </w:rPr>
        <w:t>Mohammad, supra,</w:t>
      </w:r>
      <w:r>
        <w:rPr>
          <w:szCs w:val="26"/>
        </w:rPr>
        <w:t xml:space="preserve"> 12 Cal.5th at p. 534 [“</w:t>
      </w:r>
      <w:r w:rsidRPr="00683684">
        <w:rPr>
          <w:szCs w:val="26"/>
        </w:rPr>
        <w:t>Becaus</w:t>
      </w:r>
      <w:r w:rsidRPr="00683684">
        <w:rPr>
          <w:szCs w:val="26"/>
        </w:rPr>
        <w:t xml:space="preserve">e the constitutional text provides </w:t>
      </w:r>
      <w:proofErr w:type="gramStart"/>
      <w:r w:rsidRPr="00683684">
        <w:rPr>
          <w:szCs w:val="26"/>
        </w:rPr>
        <w:t>‘</w:t>
      </w:r>
      <w:r>
        <w:rPr>
          <w:szCs w:val="26"/>
        </w:rPr>
        <w:t> “</w:t>
      </w:r>
      <w:proofErr w:type="gramEnd"/>
      <w:r w:rsidRPr="00683684">
        <w:rPr>
          <w:szCs w:val="26"/>
        </w:rPr>
        <w:t>no definitive answer</w:t>
      </w:r>
      <w:r>
        <w:rPr>
          <w:szCs w:val="26"/>
        </w:rPr>
        <w:t>” </w:t>
      </w:r>
      <w:r w:rsidRPr="00683684">
        <w:rPr>
          <w:szCs w:val="26"/>
        </w:rPr>
        <w:t xml:space="preserve">’ to the question before us </w:t>
      </w:r>
      <w:r>
        <w:rPr>
          <w:szCs w:val="26"/>
        </w:rPr>
        <w:t>[citations]</w:t>
      </w:r>
      <w:r w:rsidRPr="00683684">
        <w:rPr>
          <w:szCs w:val="26"/>
        </w:rPr>
        <w:t>, we consider the materials that were before the voters</w:t>
      </w:r>
      <w:r>
        <w:rPr>
          <w:szCs w:val="26"/>
        </w:rPr>
        <w:t>”]</w:t>
      </w:r>
      <w:r>
        <w:rPr>
          <w:szCs w:val="26"/>
        </w:rPr>
        <w:t>.)</w:t>
      </w:r>
    </w:p>
    <w:p w14:paraId="2085E434" w14:textId="77777777" w:rsidR="00890D25" w:rsidRDefault="00890D25" w:rsidP="00F1296C">
      <w:pPr>
        <w:keepNext/>
        <w:keepLines/>
        <w:tabs>
          <w:tab w:val="left" w:pos="180"/>
          <w:tab w:val="left" w:pos="720"/>
          <w:tab w:val="left" w:pos="1080"/>
        </w:tabs>
        <w:spacing w:after="0" w:line="288" w:lineRule="auto"/>
        <w:ind w:firstLine="720"/>
        <w:outlineLvl w:val="0"/>
        <w:rPr>
          <w:szCs w:val="26"/>
        </w:rPr>
      </w:pPr>
      <w:r>
        <w:rPr>
          <w:i/>
          <w:iCs/>
          <w:szCs w:val="26"/>
        </w:rPr>
        <w:t>3.</w:t>
      </w:r>
      <w:r>
        <w:rPr>
          <w:i/>
          <w:iCs/>
          <w:szCs w:val="26"/>
        </w:rPr>
        <w:tab/>
        <w:t>The Proposition 57 ballot materials</w:t>
      </w:r>
    </w:p>
    <w:p w14:paraId="4B906F4A" w14:textId="77777777" w:rsidR="00890D25" w:rsidRPr="00641E0B" w:rsidRDefault="00890D25" w:rsidP="00683684">
      <w:pPr>
        <w:tabs>
          <w:tab w:val="left" w:pos="180"/>
          <w:tab w:val="left" w:pos="720"/>
          <w:tab w:val="left" w:pos="1080"/>
        </w:tabs>
        <w:spacing w:after="0" w:line="288" w:lineRule="auto"/>
        <w:ind w:firstLine="720"/>
        <w:outlineLvl w:val="0"/>
        <w:rPr>
          <w:szCs w:val="26"/>
        </w:rPr>
      </w:pPr>
      <w:r w:rsidRPr="00364A25">
        <w:rPr>
          <w:szCs w:val="26"/>
        </w:rPr>
        <w:t xml:space="preserve">The ballot materials for the November 8, </w:t>
      </w:r>
      <w:proofErr w:type="gramStart"/>
      <w:r w:rsidRPr="00364A25">
        <w:rPr>
          <w:szCs w:val="26"/>
        </w:rPr>
        <w:t>2016</w:t>
      </w:r>
      <w:proofErr w:type="gramEnd"/>
      <w:r w:rsidRPr="00364A25">
        <w:rPr>
          <w:szCs w:val="26"/>
        </w:rPr>
        <w:t xml:space="preserve"> election </w:t>
      </w:r>
      <w:r w:rsidRPr="00641E0B">
        <w:rPr>
          <w:szCs w:val="26"/>
        </w:rPr>
        <w:t>clearly conveyed to the voters that Proposition 57 would establish “</w:t>
      </w:r>
      <w:r>
        <w:rPr>
          <w:szCs w:val="26"/>
        </w:rPr>
        <w:t>P</w:t>
      </w:r>
      <w:r w:rsidRPr="00641E0B">
        <w:rPr>
          <w:szCs w:val="26"/>
        </w:rPr>
        <w:t xml:space="preserve">arole </w:t>
      </w:r>
      <w:r>
        <w:rPr>
          <w:szCs w:val="26"/>
        </w:rPr>
        <w:t>C</w:t>
      </w:r>
      <w:r w:rsidRPr="00641E0B">
        <w:rPr>
          <w:szCs w:val="26"/>
        </w:rPr>
        <w:t xml:space="preserve">onsideration for </w:t>
      </w:r>
      <w:r>
        <w:rPr>
          <w:szCs w:val="26"/>
        </w:rPr>
        <w:t>N</w:t>
      </w:r>
      <w:r w:rsidRPr="00641E0B">
        <w:rPr>
          <w:szCs w:val="26"/>
        </w:rPr>
        <w:t xml:space="preserve">onviolent </w:t>
      </w:r>
      <w:r>
        <w:rPr>
          <w:szCs w:val="26"/>
        </w:rPr>
        <w:t>O</w:t>
      </w:r>
      <w:r w:rsidRPr="00641E0B">
        <w:rPr>
          <w:szCs w:val="26"/>
        </w:rPr>
        <w:t xml:space="preserve">ffenders” (Voter Information Guide, Gen. Elec., </w:t>
      </w:r>
      <w:r w:rsidRPr="00641E0B">
        <w:rPr>
          <w:i/>
          <w:iCs/>
          <w:szCs w:val="26"/>
        </w:rPr>
        <w:t>supra</w:t>
      </w:r>
      <w:r w:rsidRPr="00641E0B">
        <w:rPr>
          <w:szCs w:val="26"/>
        </w:rPr>
        <w:t xml:space="preserve">, analysis of Prop. 57 by Legis. Analyst, p. 56) and would not authorize early parole consideration for “violent offenders” (Voter Information Guide, Gen. Elec., </w:t>
      </w:r>
      <w:r w:rsidRPr="00641E0B">
        <w:rPr>
          <w:i/>
          <w:iCs/>
          <w:szCs w:val="26"/>
        </w:rPr>
        <w:t>supra</w:t>
      </w:r>
      <w:r w:rsidRPr="00641E0B">
        <w:rPr>
          <w:szCs w:val="26"/>
        </w:rPr>
        <w:t>, rebuttal to argument against Prop. 57, p. 59).</w:t>
      </w:r>
    </w:p>
    <w:p w14:paraId="7F0A3FE6" w14:textId="77777777" w:rsidR="00890D25" w:rsidRDefault="00890D25" w:rsidP="00683684">
      <w:pPr>
        <w:tabs>
          <w:tab w:val="left" w:pos="180"/>
          <w:tab w:val="left" w:pos="720"/>
          <w:tab w:val="left" w:pos="1080"/>
        </w:tabs>
        <w:spacing w:after="0" w:line="288" w:lineRule="auto"/>
        <w:ind w:firstLine="720"/>
        <w:outlineLvl w:val="0"/>
        <w:rPr>
          <w:szCs w:val="26"/>
        </w:rPr>
      </w:pPr>
      <w:r>
        <w:rPr>
          <w:szCs w:val="26"/>
        </w:rPr>
        <w:t>T</w:t>
      </w:r>
      <w:r w:rsidRPr="00364A25">
        <w:rPr>
          <w:szCs w:val="26"/>
        </w:rPr>
        <w:t xml:space="preserve">he </w:t>
      </w:r>
      <w:r>
        <w:rPr>
          <w:szCs w:val="26"/>
        </w:rPr>
        <w:t>o</w:t>
      </w:r>
      <w:r w:rsidRPr="00364A25">
        <w:rPr>
          <w:szCs w:val="26"/>
        </w:rPr>
        <w:t xml:space="preserve">fficial </w:t>
      </w:r>
      <w:r>
        <w:rPr>
          <w:szCs w:val="26"/>
        </w:rPr>
        <w:t>t</w:t>
      </w:r>
      <w:r w:rsidRPr="00364A25">
        <w:rPr>
          <w:szCs w:val="26"/>
        </w:rPr>
        <w:t xml:space="preserve">itle and </w:t>
      </w:r>
      <w:r>
        <w:rPr>
          <w:szCs w:val="26"/>
        </w:rPr>
        <w:t>s</w:t>
      </w:r>
      <w:r w:rsidRPr="00364A25">
        <w:rPr>
          <w:szCs w:val="26"/>
        </w:rPr>
        <w:t xml:space="preserve">ummary </w:t>
      </w:r>
      <w:r>
        <w:rPr>
          <w:szCs w:val="26"/>
        </w:rPr>
        <w:t>stated</w:t>
      </w:r>
      <w:r>
        <w:rPr>
          <w:szCs w:val="26"/>
        </w:rPr>
        <w:t xml:space="preserve"> </w:t>
      </w:r>
      <w:r>
        <w:rPr>
          <w:szCs w:val="26"/>
        </w:rPr>
        <w:t>that</w:t>
      </w:r>
      <w:r>
        <w:rPr>
          <w:szCs w:val="26"/>
        </w:rPr>
        <w:t xml:space="preserve"> the </w:t>
      </w:r>
      <w:r>
        <w:rPr>
          <w:szCs w:val="26"/>
        </w:rPr>
        <w:t>relevant provisions of Proposition 57</w:t>
      </w:r>
      <w:r>
        <w:rPr>
          <w:szCs w:val="26"/>
        </w:rPr>
        <w:t xml:space="preserve"> </w:t>
      </w:r>
      <w:r>
        <w:rPr>
          <w:szCs w:val="26"/>
        </w:rPr>
        <w:t>would</w:t>
      </w:r>
      <w:r w:rsidRPr="00364A25">
        <w:rPr>
          <w:szCs w:val="26"/>
        </w:rPr>
        <w:t xml:space="preserve"> </w:t>
      </w:r>
      <w:r>
        <w:rPr>
          <w:szCs w:val="26"/>
        </w:rPr>
        <w:t>“</w:t>
      </w:r>
      <w:proofErr w:type="gramStart"/>
      <w:r>
        <w:rPr>
          <w:szCs w:val="26"/>
        </w:rPr>
        <w:t>A</w:t>
      </w:r>
      <w:r w:rsidRPr="00364A25">
        <w:rPr>
          <w:szCs w:val="26"/>
        </w:rPr>
        <w:t>llow</w:t>
      </w:r>
      <w:r>
        <w:rPr>
          <w:szCs w:val="26"/>
        </w:rPr>
        <w:t>[</w:t>
      </w:r>
      <w:proofErr w:type="gramEnd"/>
      <w:r>
        <w:rPr>
          <w:szCs w:val="26"/>
        </w:rPr>
        <w:t>]</w:t>
      </w:r>
      <w:r w:rsidRPr="00364A25">
        <w:rPr>
          <w:szCs w:val="26"/>
        </w:rPr>
        <w:t xml:space="preserve"> parole consideration for persons convicted of nonviolent felonies.” </w:t>
      </w:r>
      <w:r>
        <w:rPr>
          <w:szCs w:val="26"/>
        </w:rPr>
        <w:t xml:space="preserve"> </w:t>
      </w:r>
      <w:r w:rsidRPr="00364A25">
        <w:rPr>
          <w:szCs w:val="26"/>
        </w:rPr>
        <w:t>(Voter Information Guide, Gen. Elec.</w:t>
      </w:r>
      <w:r>
        <w:rPr>
          <w:szCs w:val="26"/>
        </w:rPr>
        <w:t xml:space="preserve">, </w:t>
      </w:r>
      <w:r>
        <w:rPr>
          <w:i/>
          <w:iCs/>
          <w:szCs w:val="26"/>
        </w:rPr>
        <w:t>supra,</w:t>
      </w:r>
      <w:r>
        <w:rPr>
          <w:szCs w:val="26"/>
        </w:rPr>
        <w:t xml:space="preserve"> Official Title and Summary of Prop. 57, </w:t>
      </w:r>
      <w:r w:rsidRPr="00364A25">
        <w:rPr>
          <w:szCs w:val="26"/>
        </w:rPr>
        <w:t>p.</w:t>
      </w:r>
      <w:r>
        <w:rPr>
          <w:szCs w:val="26"/>
        </w:rPr>
        <w:t> </w:t>
      </w:r>
      <w:r w:rsidRPr="00364A25">
        <w:rPr>
          <w:szCs w:val="26"/>
        </w:rPr>
        <w:t xml:space="preserve">54.)  The Legislative Analyst </w:t>
      </w:r>
      <w:r>
        <w:rPr>
          <w:szCs w:val="26"/>
        </w:rPr>
        <w:t>explained that</w:t>
      </w:r>
      <w:r w:rsidRPr="0003696C">
        <w:rPr>
          <w:szCs w:val="26"/>
        </w:rPr>
        <w:t xml:space="preserve"> the initiative</w:t>
      </w:r>
      <w:r>
        <w:rPr>
          <w:szCs w:val="26"/>
        </w:rPr>
        <w:t xml:space="preserve"> </w:t>
      </w:r>
      <w:r w:rsidRPr="00364A25">
        <w:rPr>
          <w:szCs w:val="26"/>
        </w:rPr>
        <w:t>“</w:t>
      </w:r>
      <w:r>
        <w:rPr>
          <w:szCs w:val="26"/>
        </w:rPr>
        <w:t xml:space="preserve">changes the State Constitution </w:t>
      </w:r>
      <w:r w:rsidRPr="00364A25">
        <w:rPr>
          <w:szCs w:val="26"/>
        </w:rPr>
        <w:t>to make individuals who are convicted of ‘nonviolent felony’ offenses eligible for parole consideration after serving the full prison term for their primary offense</w:t>
      </w:r>
      <w:r w:rsidRPr="00364A25">
        <w:rPr>
          <w:szCs w:val="26"/>
        </w:rPr>
        <w:t xml:space="preserve">.”  </w:t>
      </w:r>
      <w:bookmarkStart w:id="1" w:name="_Hlk146023573"/>
      <w:r w:rsidRPr="00364A25">
        <w:rPr>
          <w:szCs w:val="26"/>
        </w:rPr>
        <w:t>(</w:t>
      </w:r>
      <w:r>
        <w:rPr>
          <w:szCs w:val="26"/>
        </w:rPr>
        <w:t xml:space="preserve">Voter </w:t>
      </w:r>
      <w:r w:rsidRPr="00364A25">
        <w:rPr>
          <w:szCs w:val="26"/>
        </w:rPr>
        <w:t>Information Guide</w:t>
      </w:r>
      <w:r>
        <w:rPr>
          <w:szCs w:val="26"/>
        </w:rPr>
        <w:t>, Gen. Elec.</w:t>
      </w:r>
      <w:r>
        <w:rPr>
          <w:szCs w:val="26"/>
        </w:rPr>
        <w:t xml:space="preserve">, </w:t>
      </w:r>
      <w:r>
        <w:rPr>
          <w:i/>
          <w:iCs/>
          <w:szCs w:val="26"/>
        </w:rPr>
        <w:t>supra</w:t>
      </w:r>
      <w:r w:rsidRPr="00364A25">
        <w:rPr>
          <w:szCs w:val="26"/>
        </w:rPr>
        <w:t xml:space="preserve">, </w:t>
      </w:r>
      <w:r>
        <w:rPr>
          <w:szCs w:val="26"/>
        </w:rPr>
        <w:t xml:space="preserve">analysis of Prop. 57 by Legis. Analyst, </w:t>
      </w:r>
      <w:r w:rsidRPr="00364A25">
        <w:rPr>
          <w:szCs w:val="26"/>
        </w:rPr>
        <w:t>p.</w:t>
      </w:r>
      <w:r>
        <w:rPr>
          <w:szCs w:val="26"/>
        </w:rPr>
        <w:t> </w:t>
      </w:r>
      <w:r w:rsidRPr="00364A25">
        <w:rPr>
          <w:szCs w:val="26"/>
        </w:rPr>
        <w:t>56.)</w:t>
      </w:r>
      <w:bookmarkEnd w:id="1"/>
    </w:p>
    <w:p w14:paraId="47424879" w14:textId="77777777" w:rsidR="00890D25" w:rsidRDefault="00890D25" w:rsidP="0003696C">
      <w:pPr>
        <w:tabs>
          <w:tab w:val="left" w:pos="180"/>
          <w:tab w:val="left" w:pos="720"/>
          <w:tab w:val="left" w:pos="1080"/>
        </w:tabs>
        <w:spacing w:after="0" w:line="288" w:lineRule="auto"/>
        <w:ind w:firstLine="720"/>
        <w:outlineLvl w:val="0"/>
        <w:rPr>
          <w:szCs w:val="26"/>
        </w:rPr>
      </w:pPr>
      <w:r>
        <w:rPr>
          <w:szCs w:val="26"/>
        </w:rPr>
        <w:t>I</w:t>
      </w:r>
      <w:r>
        <w:rPr>
          <w:szCs w:val="26"/>
        </w:rPr>
        <w:t>n the</w:t>
      </w:r>
      <w:r>
        <w:rPr>
          <w:szCs w:val="26"/>
        </w:rPr>
        <w:t>ir</w:t>
      </w:r>
      <w:r>
        <w:rPr>
          <w:szCs w:val="26"/>
        </w:rPr>
        <w:t xml:space="preserve"> argument in favor of</w:t>
      </w:r>
      <w:r w:rsidRPr="0003696C">
        <w:rPr>
          <w:szCs w:val="26"/>
        </w:rPr>
        <w:t xml:space="preserve"> </w:t>
      </w:r>
      <w:r>
        <w:rPr>
          <w:szCs w:val="26"/>
        </w:rPr>
        <w:t>the initiative</w:t>
      </w:r>
      <w:r w:rsidRPr="0003696C">
        <w:rPr>
          <w:szCs w:val="26"/>
        </w:rPr>
        <w:t xml:space="preserve">, supporters </w:t>
      </w:r>
      <w:r>
        <w:rPr>
          <w:szCs w:val="26"/>
        </w:rPr>
        <w:t>declared, “parole eligibility in Prop. 57 applies ‘</w:t>
      </w:r>
      <w:r w:rsidRPr="00220B2F">
        <w:rPr>
          <w:i/>
          <w:iCs/>
          <w:szCs w:val="26"/>
        </w:rPr>
        <w:t xml:space="preserve">only to prisoners </w:t>
      </w:r>
      <w:r w:rsidRPr="00220B2F">
        <w:rPr>
          <w:i/>
          <w:iCs/>
          <w:szCs w:val="26"/>
        </w:rPr>
        <w:lastRenderedPageBreak/>
        <w:t>convicted of non-violent felonies</w:t>
      </w:r>
      <w:r>
        <w:rPr>
          <w:szCs w:val="26"/>
        </w:rPr>
        <w:t>.</w:t>
      </w:r>
      <w:proofErr w:type="gramStart"/>
      <w:r>
        <w:rPr>
          <w:szCs w:val="26"/>
        </w:rPr>
        <w:t>’ ”</w:t>
      </w:r>
      <w:proofErr w:type="gramEnd"/>
      <w:r>
        <w:rPr>
          <w:szCs w:val="26"/>
        </w:rPr>
        <w:t xml:space="preserve">  </w:t>
      </w:r>
      <w:bookmarkStart w:id="2" w:name="_Hlk146024089"/>
      <w:r w:rsidRPr="00364A25">
        <w:rPr>
          <w:szCs w:val="26"/>
        </w:rPr>
        <w:t>(</w:t>
      </w:r>
      <w:r>
        <w:rPr>
          <w:szCs w:val="26"/>
        </w:rPr>
        <w:t xml:space="preserve">Voter </w:t>
      </w:r>
      <w:r w:rsidRPr="00364A25">
        <w:rPr>
          <w:szCs w:val="26"/>
        </w:rPr>
        <w:t>Information Guide</w:t>
      </w:r>
      <w:r>
        <w:rPr>
          <w:szCs w:val="26"/>
        </w:rPr>
        <w:t>,</w:t>
      </w:r>
      <w:r>
        <w:rPr>
          <w:szCs w:val="26"/>
        </w:rPr>
        <w:t xml:space="preserve"> Gen. Elec.,</w:t>
      </w:r>
      <w:r>
        <w:rPr>
          <w:szCs w:val="26"/>
        </w:rPr>
        <w:t xml:space="preserve"> </w:t>
      </w:r>
      <w:r>
        <w:rPr>
          <w:i/>
          <w:iCs/>
          <w:szCs w:val="26"/>
        </w:rPr>
        <w:t>supra</w:t>
      </w:r>
      <w:r w:rsidRPr="00364A25">
        <w:rPr>
          <w:szCs w:val="26"/>
        </w:rPr>
        <w:t xml:space="preserve">, </w:t>
      </w:r>
      <w:r>
        <w:rPr>
          <w:szCs w:val="26"/>
        </w:rPr>
        <w:t xml:space="preserve">argument in favor of Prop. 57, </w:t>
      </w:r>
      <w:r w:rsidRPr="00364A25">
        <w:rPr>
          <w:szCs w:val="26"/>
        </w:rPr>
        <w:t>p.</w:t>
      </w:r>
      <w:r>
        <w:rPr>
          <w:szCs w:val="26"/>
        </w:rPr>
        <w:t> </w:t>
      </w:r>
      <w:r w:rsidRPr="00364A25">
        <w:rPr>
          <w:szCs w:val="26"/>
        </w:rPr>
        <w:t>5</w:t>
      </w:r>
      <w:r>
        <w:rPr>
          <w:szCs w:val="26"/>
        </w:rPr>
        <w:t>8</w:t>
      </w:r>
      <w:r>
        <w:rPr>
          <w:szCs w:val="26"/>
        </w:rPr>
        <w:t xml:space="preserve">, </w:t>
      </w:r>
      <w:r>
        <w:rPr>
          <w:szCs w:val="26"/>
        </w:rPr>
        <w:t>quo</w:t>
      </w:r>
      <w:r>
        <w:rPr>
          <w:szCs w:val="26"/>
        </w:rPr>
        <w:t xml:space="preserve">ting </w:t>
      </w:r>
      <w:r>
        <w:rPr>
          <w:i/>
          <w:iCs/>
          <w:szCs w:val="26"/>
        </w:rPr>
        <w:t xml:space="preserve">Brown v. Superior </w:t>
      </w:r>
      <w:r>
        <w:rPr>
          <w:i/>
          <w:iCs/>
          <w:szCs w:val="26"/>
        </w:rPr>
        <w:t>Court</w:t>
      </w:r>
      <w:r>
        <w:rPr>
          <w:szCs w:val="26"/>
        </w:rPr>
        <w:t xml:space="preserve"> (2016) 63 Cal.4th 335, 352</w:t>
      </w:r>
      <w:r w:rsidRPr="00364A25">
        <w:rPr>
          <w:szCs w:val="26"/>
        </w:rPr>
        <w:t>.)</w:t>
      </w:r>
      <w:r>
        <w:rPr>
          <w:szCs w:val="26"/>
        </w:rPr>
        <w:t xml:space="preserve"> </w:t>
      </w:r>
      <w:bookmarkEnd w:id="2"/>
      <w:r>
        <w:rPr>
          <w:szCs w:val="26"/>
        </w:rPr>
        <w:t xml:space="preserve"> </w:t>
      </w:r>
      <w:r w:rsidRPr="0003696C">
        <w:rPr>
          <w:szCs w:val="26"/>
        </w:rPr>
        <w:t xml:space="preserve">Supporters also </w:t>
      </w:r>
      <w:r>
        <w:rPr>
          <w:szCs w:val="26"/>
        </w:rPr>
        <w:t>stressed</w:t>
      </w:r>
      <w:r w:rsidRPr="0003696C">
        <w:rPr>
          <w:szCs w:val="26"/>
        </w:rPr>
        <w:t xml:space="preserve"> that the </w:t>
      </w:r>
      <w:r>
        <w:rPr>
          <w:szCs w:val="26"/>
        </w:rPr>
        <w:t>initiative</w:t>
      </w:r>
      <w:r w:rsidRPr="0003696C">
        <w:rPr>
          <w:szCs w:val="26"/>
        </w:rPr>
        <w:t xml:space="preserve"> “[k]</w:t>
      </w:r>
      <w:proofErr w:type="spellStart"/>
      <w:r w:rsidRPr="0003696C">
        <w:rPr>
          <w:szCs w:val="26"/>
        </w:rPr>
        <w:t>eeps</w:t>
      </w:r>
      <w:proofErr w:type="spellEnd"/>
      <w:r w:rsidRPr="0003696C">
        <w:rPr>
          <w:szCs w:val="26"/>
        </w:rPr>
        <w:t xml:space="preserve"> the most dangerous offenders locked up.”  (</w:t>
      </w:r>
      <w:r w:rsidRPr="001441E9">
        <w:rPr>
          <w:szCs w:val="26"/>
        </w:rPr>
        <w:t xml:space="preserve">Voter Information Guide, Gen. Elec., </w:t>
      </w:r>
      <w:r w:rsidRPr="001441E9">
        <w:rPr>
          <w:i/>
          <w:iCs/>
          <w:szCs w:val="26"/>
        </w:rPr>
        <w:t>supra</w:t>
      </w:r>
      <w:r w:rsidRPr="001441E9">
        <w:rPr>
          <w:szCs w:val="26"/>
        </w:rPr>
        <w:t xml:space="preserve">, argument in favor of Prop. 57, </w:t>
      </w:r>
      <w:r w:rsidRPr="0003696C">
        <w:rPr>
          <w:szCs w:val="26"/>
        </w:rPr>
        <w:t>p.</w:t>
      </w:r>
      <w:r>
        <w:rPr>
          <w:szCs w:val="26"/>
        </w:rPr>
        <w:t> </w:t>
      </w:r>
      <w:r w:rsidRPr="0003696C">
        <w:rPr>
          <w:szCs w:val="26"/>
        </w:rPr>
        <w:t>58.)</w:t>
      </w:r>
      <w:r>
        <w:rPr>
          <w:szCs w:val="26"/>
        </w:rPr>
        <w:t xml:space="preserve"> </w:t>
      </w:r>
      <w:r w:rsidRPr="0003696C">
        <w:rPr>
          <w:szCs w:val="26"/>
        </w:rPr>
        <w:t xml:space="preserve"> </w:t>
      </w:r>
      <w:r>
        <w:rPr>
          <w:szCs w:val="26"/>
        </w:rPr>
        <w:t xml:space="preserve">In their rebuttal arguments, </w:t>
      </w:r>
      <w:r>
        <w:rPr>
          <w:szCs w:val="26"/>
        </w:rPr>
        <w:t>the proponents asserted that “violent offenders” and “[v]</w:t>
      </w:r>
      <w:proofErr w:type="spellStart"/>
      <w:r>
        <w:rPr>
          <w:szCs w:val="26"/>
        </w:rPr>
        <w:t>iolent</w:t>
      </w:r>
      <w:proofErr w:type="spellEnd"/>
      <w:r>
        <w:rPr>
          <w:szCs w:val="26"/>
        </w:rPr>
        <w:t xml:space="preserve"> criminals as defined in Pe</w:t>
      </w:r>
      <w:r>
        <w:rPr>
          <w:szCs w:val="26"/>
        </w:rPr>
        <w:t>n</w:t>
      </w:r>
      <w:r>
        <w:rPr>
          <w:szCs w:val="26"/>
        </w:rPr>
        <w:t xml:space="preserve">al Code 667.5(c)” would </w:t>
      </w:r>
      <w:r w:rsidRPr="006F0736">
        <w:rPr>
          <w:i/>
          <w:iCs/>
          <w:szCs w:val="26"/>
        </w:rPr>
        <w:t>not</w:t>
      </w:r>
      <w:r>
        <w:rPr>
          <w:szCs w:val="26"/>
        </w:rPr>
        <w:t xml:space="preserve"> be eligible for early parole.  (</w:t>
      </w:r>
      <w:r w:rsidRPr="001441E9">
        <w:rPr>
          <w:szCs w:val="26"/>
        </w:rPr>
        <w:t xml:space="preserve">Voter Information Guide, Gen. Elec., </w:t>
      </w:r>
      <w:r w:rsidRPr="001441E9">
        <w:rPr>
          <w:i/>
          <w:iCs/>
          <w:szCs w:val="26"/>
        </w:rPr>
        <w:t>supra</w:t>
      </w:r>
      <w:r w:rsidRPr="001441E9">
        <w:rPr>
          <w:szCs w:val="26"/>
        </w:rPr>
        <w:t xml:space="preserve">, </w:t>
      </w:r>
      <w:r>
        <w:rPr>
          <w:szCs w:val="26"/>
        </w:rPr>
        <w:t xml:space="preserve">rebuttal to </w:t>
      </w:r>
      <w:r w:rsidRPr="001441E9">
        <w:rPr>
          <w:szCs w:val="26"/>
        </w:rPr>
        <w:t xml:space="preserve">argument </w:t>
      </w:r>
      <w:r>
        <w:rPr>
          <w:szCs w:val="26"/>
        </w:rPr>
        <w:t xml:space="preserve">against </w:t>
      </w:r>
      <w:r w:rsidRPr="001441E9">
        <w:rPr>
          <w:szCs w:val="26"/>
        </w:rPr>
        <w:t xml:space="preserve">Prop. 57, </w:t>
      </w:r>
      <w:r w:rsidRPr="0003696C">
        <w:rPr>
          <w:szCs w:val="26"/>
        </w:rPr>
        <w:t>p.</w:t>
      </w:r>
      <w:r>
        <w:rPr>
          <w:szCs w:val="26"/>
        </w:rPr>
        <w:t> </w:t>
      </w:r>
      <w:r w:rsidRPr="0003696C">
        <w:rPr>
          <w:szCs w:val="26"/>
        </w:rPr>
        <w:t xml:space="preserve">59.)  </w:t>
      </w:r>
      <w:r>
        <w:rPr>
          <w:szCs w:val="26"/>
        </w:rPr>
        <w:t>Rather,</w:t>
      </w:r>
      <w:r>
        <w:rPr>
          <w:szCs w:val="26"/>
        </w:rPr>
        <w:t xml:space="preserve"> </w:t>
      </w:r>
      <w:r>
        <w:rPr>
          <w:szCs w:val="26"/>
        </w:rPr>
        <w:t>the rebuttal</w:t>
      </w:r>
      <w:r>
        <w:rPr>
          <w:szCs w:val="26"/>
        </w:rPr>
        <w:t xml:space="preserve"> </w:t>
      </w:r>
      <w:r>
        <w:rPr>
          <w:szCs w:val="26"/>
        </w:rPr>
        <w:t>again emphasized</w:t>
      </w:r>
      <w:r>
        <w:rPr>
          <w:szCs w:val="26"/>
        </w:rPr>
        <w:t>,</w:t>
      </w:r>
      <w:r>
        <w:rPr>
          <w:szCs w:val="26"/>
        </w:rPr>
        <w:t xml:space="preserve"> </w:t>
      </w:r>
      <w:r>
        <w:rPr>
          <w:szCs w:val="26"/>
        </w:rPr>
        <w:t>“parole eligibility under Prop. 57 applies ‘</w:t>
      </w:r>
      <w:r>
        <w:rPr>
          <w:i/>
          <w:iCs/>
          <w:szCs w:val="26"/>
        </w:rPr>
        <w:t>only to prisoners convicted of non-violent felonies.</w:t>
      </w:r>
      <w:proofErr w:type="gramStart"/>
      <w:r>
        <w:rPr>
          <w:szCs w:val="26"/>
        </w:rPr>
        <w:t>’ ”</w:t>
      </w:r>
      <w:proofErr w:type="gramEnd"/>
      <w:r>
        <w:rPr>
          <w:szCs w:val="26"/>
        </w:rPr>
        <w:t xml:space="preserve">  (</w:t>
      </w:r>
      <w:r>
        <w:rPr>
          <w:i/>
          <w:iCs/>
          <w:szCs w:val="26"/>
        </w:rPr>
        <w:t>Ibid.</w:t>
      </w:r>
      <w:r>
        <w:rPr>
          <w:szCs w:val="26"/>
        </w:rPr>
        <w:t xml:space="preserve">, </w:t>
      </w:r>
      <w:r>
        <w:rPr>
          <w:szCs w:val="26"/>
        </w:rPr>
        <w:t>quo</w:t>
      </w:r>
      <w:r>
        <w:rPr>
          <w:szCs w:val="26"/>
        </w:rPr>
        <w:t xml:space="preserve">ting </w:t>
      </w:r>
      <w:r>
        <w:rPr>
          <w:i/>
          <w:iCs/>
          <w:szCs w:val="26"/>
        </w:rPr>
        <w:t>Brown v. Superior Court</w:t>
      </w:r>
      <w:r>
        <w:rPr>
          <w:szCs w:val="26"/>
        </w:rPr>
        <w:t xml:space="preserve">, </w:t>
      </w:r>
      <w:r>
        <w:rPr>
          <w:i/>
          <w:iCs/>
          <w:szCs w:val="26"/>
        </w:rPr>
        <w:t>supra</w:t>
      </w:r>
      <w:r>
        <w:rPr>
          <w:szCs w:val="26"/>
        </w:rPr>
        <w:t>, 63 Cal.4th at p. 352</w:t>
      </w:r>
      <w:r w:rsidRPr="0003696C">
        <w:rPr>
          <w:szCs w:val="26"/>
        </w:rPr>
        <w:t>.)</w:t>
      </w:r>
    </w:p>
    <w:p w14:paraId="54E335C7" w14:textId="77777777" w:rsidR="00890D25" w:rsidRDefault="00890D25" w:rsidP="00AA5EB8">
      <w:pPr>
        <w:tabs>
          <w:tab w:val="left" w:pos="180"/>
          <w:tab w:val="left" w:pos="720"/>
          <w:tab w:val="left" w:pos="1080"/>
        </w:tabs>
        <w:spacing w:after="0" w:line="288" w:lineRule="auto"/>
        <w:ind w:firstLine="720"/>
        <w:outlineLvl w:val="0"/>
        <w:rPr>
          <w:szCs w:val="26"/>
        </w:rPr>
      </w:pPr>
      <w:r w:rsidRPr="00E856CF">
        <w:rPr>
          <w:szCs w:val="26"/>
        </w:rPr>
        <w:t xml:space="preserve">In </w:t>
      </w:r>
      <w:r w:rsidRPr="00E856CF">
        <w:rPr>
          <w:i/>
          <w:iCs/>
          <w:szCs w:val="26"/>
        </w:rPr>
        <w:t xml:space="preserve">Mohammad, </w:t>
      </w:r>
      <w:r w:rsidRPr="00E856CF">
        <w:rPr>
          <w:szCs w:val="26"/>
        </w:rPr>
        <w:t>the court consider</w:t>
      </w:r>
      <w:r>
        <w:rPr>
          <w:szCs w:val="26"/>
        </w:rPr>
        <w:t>ed and upheld</w:t>
      </w:r>
      <w:r w:rsidRPr="00E856CF">
        <w:rPr>
          <w:szCs w:val="26"/>
        </w:rPr>
        <w:t xml:space="preserve"> a regulation that </w:t>
      </w:r>
      <w:r>
        <w:rPr>
          <w:szCs w:val="26"/>
        </w:rPr>
        <w:t xml:space="preserve">specifically </w:t>
      </w:r>
      <w:r w:rsidRPr="00E856CF">
        <w:rPr>
          <w:szCs w:val="26"/>
        </w:rPr>
        <w:t xml:space="preserve">barred inmates currently serving terms for a violent felony from section 32(a)(1) </w:t>
      </w:r>
      <w:r>
        <w:rPr>
          <w:szCs w:val="26"/>
        </w:rPr>
        <w:t xml:space="preserve">early </w:t>
      </w:r>
      <w:r w:rsidRPr="00E856CF">
        <w:rPr>
          <w:szCs w:val="26"/>
        </w:rPr>
        <w:t xml:space="preserve">parole. </w:t>
      </w:r>
      <w:r>
        <w:rPr>
          <w:szCs w:val="26"/>
        </w:rPr>
        <w:t xml:space="preserve"> (</w:t>
      </w:r>
      <w:r>
        <w:rPr>
          <w:i/>
          <w:iCs/>
          <w:szCs w:val="26"/>
        </w:rPr>
        <w:t>Mohammad, supra,</w:t>
      </w:r>
      <w:r>
        <w:rPr>
          <w:szCs w:val="26"/>
        </w:rPr>
        <w:t xml:space="preserve"> 12 Cal</w:t>
      </w:r>
      <w:r>
        <w:rPr>
          <w:szCs w:val="26"/>
        </w:rPr>
        <w:t>.</w:t>
      </w:r>
      <w:r>
        <w:rPr>
          <w:szCs w:val="26"/>
        </w:rPr>
        <w:t>5th at p</w:t>
      </w:r>
      <w:r>
        <w:rPr>
          <w:szCs w:val="26"/>
        </w:rPr>
        <w:t>p. 541</w:t>
      </w:r>
      <w:r>
        <w:rPr>
          <w:szCs w:val="26"/>
        </w:rPr>
        <w:t>–</w:t>
      </w:r>
      <w:r>
        <w:rPr>
          <w:szCs w:val="26"/>
        </w:rPr>
        <w:t xml:space="preserve">542.) </w:t>
      </w:r>
      <w:r>
        <w:rPr>
          <w:szCs w:val="26"/>
        </w:rPr>
        <w:t xml:space="preserve"> But the regulation before us is different:  </w:t>
      </w:r>
      <w:r>
        <w:rPr>
          <w:szCs w:val="26"/>
        </w:rPr>
        <w:t>I</w:t>
      </w:r>
      <w:r>
        <w:rPr>
          <w:szCs w:val="26"/>
        </w:rPr>
        <w:t xml:space="preserve">t excludes from early parole consideration </w:t>
      </w:r>
      <w:r w:rsidRPr="006F7A99">
        <w:rPr>
          <w:szCs w:val="26"/>
        </w:rPr>
        <w:t xml:space="preserve">an inmate who “is currently </w:t>
      </w:r>
      <w:r w:rsidRPr="00DC3136">
        <w:rPr>
          <w:i/>
          <w:iCs/>
          <w:szCs w:val="26"/>
        </w:rPr>
        <w:t>convicted</w:t>
      </w:r>
      <w:r w:rsidRPr="006F7A99">
        <w:rPr>
          <w:szCs w:val="26"/>
        </w:rPr>
        <w:t xml:space="preserve"> of and is sentenced to a term of incarceration for a ‘violent felony,</w:t>
      </w:r>
      <w:proofErr w:type="gramStart"/>
      <w:r w:rsidRPr="006F7A99">
        <w:rPr>
          <w:szCs w:val="26"/>
        </w:rPr>
        <w:t>’</w:t>
      </w:r>
      <w:r>
        <w:rPr>
          <w:szCs w:val="26"/>
        </w:rPr>
        <w:t> ”</w:t>
      </w:r>
      <w:proofErr w:type="gramEnd"/>
      <w:r w:rsidRPr="006F7A99">
        <w:rPr>
          <w:szCs w:val="26"/>
        </w:rPr>
        <w:t xml:space="preserve"> </w:t>
      </w:r>
      <w:r>
        <w:rPr>
          <w:szCs w:val="26"/>
        </w:rPr>
        <w:t>even if the sentence on the</w:t>
      </w:r>
      <w:r w:rsidRPr="006F7A99">
        <w:rPr>
          <w:szCs w:val="26"/>
        </w:rPr>
        <w:t xml:space="preserve"> violent felony </w:t>
      </w:r>
      <w:r>
        <w:rPr>
          <w:szCs w:val="26"/>
        </w:rPr>
        <w:t xml:space="preserve">conviction </w:t>
      </w:r>
      <w:r w:rsidRPr="006F7A99">
        <w:rPr>
          <w:szCs w:val="26"/>
        </w:rPr>
        <w:t>was stayed</w:t>
      </w:r>
      <w:r>
        <w:rPr>
          <w:szCs w:val="26"/>
        </w:rPr>
        <w:t>.  (15 CCR § 3490</w:t>
      </w:r>
      <w:r>
        <w:rPr>
          <w:szCs w:val="26"/>
        </w:rPr>
        <w:t>,</w:t>
      </w:r>
      <w:r>
        <w:rPr>
          <w:szCs w:val="26"/>
        </w:rPr>
        <w:t xml:space="preserve"> subd. (a)(5),</w:t>
      </w:r>
      <w:r>
        <w:rPr>
          <w:szCs w:val="26"/>
        </w:rPr>
        <w:t xml:space="preserve"> italics added</w:t>
      </w:r>
      <w:r>
        <w:rPr>
          <w:szCs w:val="26"/>
        </w:rPr>
        <w:t>.)</w:t>
      </w:r>
    </w:p>
    <w:p w14:paraId="2B92FBBF" w14:textId="77777777" w:rsidR="00890D25" w:rsidRDefault="00890D25" w:rsidP="00AA5EB8">
      <w:pPr>
        <w:tabs>
          <w:tab w:val="left" w:pos="180"/>
          <w:tab w:val="left" w:pos="720"/>
          <w:tab w:val="left" w:pos="1080"/>
        </w:tabs>
        <w:spacing w:after="0" w:line="288" w:lineRule="auto"/>
        <w:ind w:firstLine="720"/>
        <w:outlineLvl w:val="0"/>
        <w:rPr>
          <w:szCs w:val="26"/>
        </w:rPr>
      </w:pPr>
      <w:r>
        <w:rPr>
          <w:szCs w:val="26"/>
        </w:rPr>
        <w:t xml:space="preserve">The </w:t>
      </w:r>
      <w:r>
        <w:rPr>
          <w:szCs w:val="26"/>
        </w:rPr>
        <w:t>disagreement</w:t>
      </w:r>
      <w:r w:rsidRPr="006F7A99">
        <w:rPr>
          <w:szCs w:val="26"/>
        </w:rPr>
        <w:t xml:space="preserve"> between supporters and opponents of Proposition 57 </w:t>
      </w:r>
      <w:r>
        <w:rPr>
          <w:szCs w:val="26"/>
        </w:rPr>
        <w:t>had nothing to do with</w:t>
      </w:r>
      <w:r w:rsidRPr="006F7A99">
        <w:rPr>
          <w:szCs w:val="26"/>
        </w:rPr>
        <w:t xml:space="preserve"> whether </w:t>
      </w:r>
      <w:r>
        <w:rPr>
          <w:szCs w:val="26"/>
        </w:rPr>
        <w:t xml:space="preserve">the “primary offense” qualified as a violent or nonviolent felony, or whether </w:t>
      </w:r>
      <w:r w:rsidRPr="006F7A99">
        <w:rPr>
          <w:szCs w:val="26"/>
        </w:rPr>
        <w:t xml:space="preserve">a prisoner was currently serving a sentence for a violent or nonviolent felony offense.  </w:t>
      </w:r>
      <w:r>
        <w:rPr>
          <w:szCs w:val="26"/>
        </w:rPr>
        <w:t xml:space="preserve">Instead, as </w:t>
      </w:r>
      <w:r>
        <w:rPr>
          <w:i/>
          <w:iCs/>
          <w:szCs w:val="26"/>
        </w:rPr>
        <w:t>Mohammad</w:t>
      </w:r>
      <w:r>
        <w:rPr>
          <w:szCs w:val="26"/>
        </w:rPr>
        <w:t xml:space="preserve"> observed, “the ballot materials focus[ed] on the distinction between inmates convicted of violent felonies and inmates convicted of nonviolent </w:t>
      </w:r>
      <w:r>
        <w:rPr>
          <w:szCs w:val="26"/>
        </w:rPr>
        <w:lastRenderedPageBreak/>
        <w:t>felonies.  For this reason, the opponents and proponents sparred over the scope of the</w:t>
      </w:r>
      <w:r>
        <w:rPr>
          <w:szCs w:val="26"/>
        </w:rPr>
        <w:t xml:space="preserve"> term nonviolent felony.”  (</w:t>
      </w:r>
      <w:r>
        <w:rPr>
          <w:i/>
          <w:iCs/>
          <w:szCs w:val="26"/>
        </w:rPr>
        <w:t>Mohammad, supra,</w:t>
      </w:r>
      <w:r>
        <w:rPr>
          <w:szCs w:val="26"/>
        </w:rPr>
        <w:t xml:space="preserve"> 12 Cal.5th at p. 537.)  Thus, while the initiative’s supporters asserted violent felons as defined by Penal Code section 667.5, subdivision (c) would be “excluded from parole” (</w:t>
      </w:r>
      <w:r w:rsidRPr="001441E9">
        <w:rPr>
          <w:szCs w:val="26"/>
        </w:rPr>
        <w:t xml:space="preserve">Voter Information Guide, Gen. Elec., </w:t>
      </w:r>
      <w:r w:rsidRPr="001441E9">
        <w:rPr>
          <w:i/>
          <w:iCs/>
          <w:szCs w:val="26"/>
        </w:rPr>
        <w:t>supra</w:t>
      </w:r>
      <w:r w:rsidRPr="001441E9">
        <w:rPr>
          <w:szCs w:val="26"/>
        </w:rPr>
        <w:t xml:space="preserve">, </w:t>
      </w:r>
      <w:r>
        <w:rPr>
          <w:szCs w:val="26"/>
        </w:rPr>
        <w:t xml:space="preserve">rebuttal to </w:t>
      </w:r>
      <w:r w:rsidRPr="001441E9">
        <w:rPr>
          <w:szCs w:val="26"/>
        </w:rPr>
        <w:t xml:space="preserve">argument </w:t>
      </w:r>
      <w:r>
        <w:rPr>
          <w:szCs w:val="26"/>
        </w:rPr>
        <w:t xml:space="preserve">against </w:t>
      </w:r>
      <w:r w:rsidRPr="001441E9">
        <w:rPr>
          <w:szCs w:val="26"/>
        </w:rPr>
        <w:t xml:space="preserve">Prop. 57, </w:t>
      </w:r>
      <w:r w:rsidRPr="0003696C">
        <w:rPr>
          <w:szCs w:val="26"/>
        </w:rPr>
        <w:t>p.</w:t>
      </w:r>
      <w:r>
        <w:rPr>
          <w:szCs w:val="26"/>
        </w:rPr>
        <w:t> </w:t>
      </w:r>
      <w:r w:rsidRPr="0003696C">
        <w:rPr>
          <w:szCs w:val="26"/>
        </w:rPr>
        <w:t>59)</w:t>
      </w:r>
      <w:r w:rsidRPr="006C49E1">
        <w:rPr>
          <w:szCs w:val="26"/>
        </w:rPr>
        <w:t>,</w:t>
      </w:r>
      <w:r w:rsidRPr="0003696C">
        <w:rPr>
          <w:szCs w:val="26"/>
        </w:rPr>
        <w:t xml:space="preserve"> </w:t>
      </w:r>
      <w:r w:rsidRPr="00220B2F">
        <w:rPr>
          <w:szCs w:val="26"/>
        </w:rPr>
        <w:t>opponents</w:t>
      </w:r>
      <w:r>
        <w:rPr>
          <w:szCs w:val="26"/>
        </w:rPr>
        <w:t xml:space="preserve"> took issue with the scope of the term “violent felony,” which they suggested was too narrow.  (</w:t>
      </w:r>
      <w:r w:rsidRPr="001441E9">
        <w:rPr>
          <w:szCs w:val="26"/>
        </w:rPr>
        <w:t xml:space="preserve">Voter Information Guide, Gen. Elec., </w:t>
      </w:r>
      <w:r w:rsidRPr="001441E9">
        <w:rPr>
          <w:i/>
          <w:iCs/>
          <w:szCs w:val="26"/>
        </w:rPr>
        <w:t>supra</w:t>
      </w:r>
      <w:r w:rsidRPr="001441E9">
        <w:rPr>
          <w:szCs w:val="26"/>
        </w:rPr>
        <w:t xml:space="preserve">, </w:t>
      </w:r>
      <w:r>
        <w:rPr>
          <w:szCs w:val="26"/>
        </w:rPr>
        <w:t xml:space="preserve">rebuttal to </w:t>
      </w:r>
      <w:r w:rsidRPr="001441E9">
        <w:rPr>
          <w:szCs w:val="26"/>
        </w:rPr>
        <w:t>argument in favor of Prop. 57</w:t>
      </w:r>
      <w:r>
        <w:rPr>
          <w:szCs w:val="26"/>
        </w:rPr>
        <w:t>, p. 58</w:t>
      </w:r>
      <w:r>
        <w:rPr>
          <w:szCs w:val="26"/>
        </w:rPr>
        <w:t xml:space="preserve"> &amp;</w:t>
      </w:r>
      <w:r>
        <w:rPr>
          <w:szCs w:val="26"/>
        </w:rPr>
        <w:t xml:space="preserve"> argument against Prop. 57</w:t>
      </w:r>
      <w:r w:rsidRPr="001441E9">
        <w:rPr>
          <w:szCs w:val="26"/>
        </w:rPr>
        <w:t xml:space="preserve">, </w:t>
      </w:r>
      <w:r>
        <w:rPr>
          <w:szCs w:val="26"/>
        </w:rPr>
        <w:t>p</w:t>
      </w:r>
      <w:r w:rsidRPr="00364A25">
        <w:rPr>
          <w:szCs w:val="26"/>
        </w:rPr>
        <w:t>.</w:t>
      </w:r>
      <w:r>
        <w:rPr>
          <w:szCs w:val="26"/>
        </w:rPr>
        <w:t> 59 [the initiative “applies to violent criminals” because it “w</w:t>
      </w:r>
      <w:r>
        <w:rPr>
          <w:szCs w:val="26"/>
        </w:rPr>
        <w:t>ill</w:t>
      </w:r>
      <w:r>
        <w:rPr>
          <w:szCs w:val="26"/>
        </w:rPr>
        <w:t xml:space="preserve"> allow criminals convicted of rape, lewd acts against a child, gang gun crimes and human trafficking to be released early from prison”], capitalization omitted</w:t>
      </w:r>
      <w:r w:rsidRPr="00364A25">
        <w:rPr>
          <w:szCs w:val="26"/>
        </w:rPr>
        <w:t>.)</w:t>
      </w:r>
    </w:p>
    <w:p w14:paraId="40D089CE" w14:textId="77777777" w:rsidR="00890D25" w:rsidRPr="00B93F26" w:rsidRDefault="00890D25" w:rsidP="00176B94">
      <w:pPr>
        <w:keepNext/>
        <w:keepLines/>
        <w:tabs>
          <w:tab w:val="left" w:pos="180"/>
          <w:tab w:val="left" w:pos="720"/>
          <w:tab w:val="left" w:pos="1080"/>
        </w:tabs>
        <w:spacing w:after="0" w:line="288" w:lineRule="auto"/>
        <w:ind w:firstLine="720"/>
        <w:outlineLvl w:val="0"/>
        <w:rPr>
          <w:i/>
          <w:iCs/>
          <w:szCs w:val="26"/>
        </w:rPr>
      </w:pPr>
      <w:r>
        <w:rPr>
          <w:i/>
          <w:iCs/>
          <w:szCs w:val="26"/>
        </w:rPr>
        <w:t>4.</w:t>
      </w:r>
      <w:r>
        <w:rPr>
          <w:i/>
          <w:iCs/>
          <w:szCs w:val="26"/>
        </w:rPr>
        <w:tab/>
        <w:t xml:space="preserve">The current regulation </w:t>
      </w:r>
      <w:r>
        <w:rPr>
          <w:i/>
          <w:iCs/>
          <w:szCs w:val="26"/>
        </w:rPr>
        <w:t xml:space="preserve">is </w:t>
      </w:r>
      <w:r>
        <w:rPr>
          <w:i/>
          <w:iCs/>
          <w:szCs w:val="26"/>
        </w:rPr>
        <w:t xml:space="preserve">a </w:t>
      </w:r>
      <w:r>
        <w:rPr>
          <w:i/>
          <w:iCs/>
          <w:szCs w:val="26"/>
        </w:rPr>
        <w:t>reasonable interpretation of section 32(a)(1), and thus</w:t>
      </w:r>
      <w:r w:rsidRPr="00D40290">
        <w:rPr>
          <w:i/>
          <w:iCs/>
          <w:szCs w:val="26"/>
        </w:rPr>
        <w:t xml:space="preserve"> constitutes</w:t>
      </w:r>
      <w:r>
        <w:rPr>
          <w:i/>
          <w:iCs/>
          <w:szCs w:val="26"/>
        </w:rPr>
        <w:t xml:space="preserve"> a </w:t>
      </w:r>
      <w:r>
        <w:rPr>
          <w:i/>
          <w:iCs/>
          <w:szCs w:val="26"/>
        </w:rPr>
        <w:t>valid exercise of the Department’s rulemaking authority</w:t>
      </w:r>
    </w:p>
    <w:p w14:paraId="1B437F40" w14:textId="77777777" w:rsidR="00890D25" w:rsidRDefault="00890D25" w:rsidP="00F8098C">
      <w:pPr>
        <w:tabs>
          <w:tab w:val="left" w:pos="180"/>
          <w:tab w:val="left" w:pos="720"/>
          <w:tab w:val="left" w:pos="1080"/>
        </w:tabs>
        <w:spacing w:after="0" w:line="288" w:lineRule="auto"/>
        <w:ind w:firstLine="720"/>
        <w:outlineLvl w:val="0"/>
        <w:rPr>
          <w:szCs w:val="26"/>
        </w:rPr>
      </w:pPr>
      <w:r w:rsidRPr="00B93F26">
        <w:rPr>
          <w:szCs w:val="26"/>
        </w:rPr>
        <w:t xml:space="preserve">“Whenever by the express or implied terms of any statute a state agency has authority to </w:t>
      </w:r>
      <w:r w:rsidRPr="00B93F26">
        <w:rPr>
          <w:szCs w:val="26"/>
        </w:rPr>
        <w:t>adopt regulations to implement, interpret, make specific or otherwise carry out the provisions of the statute, no regulation adopted is valid or effective unless consistent and not in conflict with the statute and reasonably necessary to effectuate the purpose of the statute.”  (Gov. Code, §</w:t>
      </w:r>
      <w:r>
        <w:rPr>
          <w:szCs w:val="26"/>
        </w:rPr>
        <w:t> </w:t>
      </w:r>
      <w:r w:rsidRPr="00B93F26">
        <w:rPr>
          <w:szCs w:val="26"/>
        </w:rPr>
        <w:t>11342.2</w:t>
      </w:r>
      <w:r>
        <w:rPr>
          <w:szCs w:val="26"/>
        </w:rPr>
        <w:t>;</w:t>
      </w:r>
      <w:r w:rsidRPr="00B93F26">
        <w:rPr>
          <w:szCs w:val="26"/>
        </w:rPr>
        <w:t xml:space="preserve"> </w:t>
      </w:r>
      <w:r w:rsidRPr="00B93F26">
        <w:rPr>
          <w:i/>
          <w:iCs/>
          <w:szCs w:val="26"/>
        </w:rPr>
        <w:t>Mohammad</w:t>
      </w:r>
      <w:r>
        <w:rPr>
          <w:i/>
          <w:iCs/>
          <w:szCs w:val="26"/>
        </w:rPr>
        <w:t>, supra</w:t>
      </w:r>
      <w:r w:rsidRPr="00B93F26">
        <w:rPr>
          <w:i/>
          <w:iCs/>
          <w:szCs w:val="26"/>
        </w:rPr>
        <w:t xml:space="preserve">, </w:t>
      </w:r>
      <w:r w:rsidRPr="00B93F26">
        <w:rPr>
          <w:szCs w:val="26"/>
        </w:rPr>
        <w:t>12 Cal.</w:t>
      </w:r>
      <w:r>
        <w:rPr>
          <w:szCs w:val="26"/>
        </w:rPr>
        <w:t>5th</w:t>
      </w:r>
      <w:r w:rsidRPr="00B93F26">
        <w:rPr>
          <w:szCs w:val="26"/>
        </w:rPr>
        <w:t xml:space="preserve"> at p.</w:t>
      </w:r>
      <w:r>
        <w:rPr>
          <w:szCs w:val="26"/>
        </w:rPr>
        <w:t> </w:t>
      </w:r>
      <w:r w:rsidRPr="00B93F26">
        <w:rPr>
          <w:szCs w:val="26"/>
        </w:rPr>
        <w:t>529.)</w:t>
      </w:r>
      <w:r>
        <w:rPr>
          <w:szCs w:val="26"/>
        </w:rPr>
        <w:t xml:space="preserve">  </w:t>
      </w:r>
      <w:r>
        <w:rPr>
          <w:szCs w:val="26"/>
        </w:rPr>
        <w:t>“</w:t>
      </w:r>
      <w:r>
        <w:rPr>
          <w:szCs w:val="26"/>
        </w:rPr>
        <w:t>A</w:t>
      </w:r>
      <w:r w:rsidRPr="00F8098C">
        <w:rPr>
          <w:szCs w:val="26"/>
        </w:rPr>
        <w:t xml:space="preserve">lthough we are obligated to strike down regulations that alter or amend the constitutional provision or its scope </w:t>
      </w:r>
      <w:r>
        <w:rPr>
          <w:szCs w:val="26"/>
        </w:rPr>
        <w:t>[citations]</w:t>
      </w:r>
      <w:r w:rsidRPr="00F8098C">
        <w:rPr>
          <w:szCs w:val="26"/>
        </w:rPr>
        <w:t>, our role is not to examine the wisdom of</w:t>
      </w:r>
      <w:r w:rsidRPr="00F8098C">
        <w:rPr>
          <w:szCs w:val="26"/>
        </w:rPr>
        <w:t xml:space="preserve"> the regulations but their legality</w:t>
      </w:r>
      <w:r>
        <w:rPr>
          <w:szCs w:val="26"/>
        </w:rPr>
        <w:t xml:space="preserve"> [citations].”  (</w:t>
      </w:r>
      <w:r>
        <w:rPr>
          <w:i/>
          <w:iCs/>
          <w:szCs w:val="26"/>
        </w:rPr>
        <w:t>Mohammad, supra,</w:t>
      </w:r>
      <w:r>
        <w:rPr>
          <w:szCs w:val="26"/>
        </w:rPr>
        <w:t xml:space="preserve"> 12 Cal.5th at p. 530</w:t>
      </w:r>
      <w:r w:rsidRPr="00F8098C">
        <w:rPr>
          <w:szCs w:val="26"/>
        </w:rPr>
        <w:t>.)</w:t>
      </w:r>
    </w:p>
    <w:p w14:paraId="077584CF" w14:textId="77777777" w:rsidR="00890D25" w:rsidRDefault="00890D25" w:rsidP="00F8098C">
      <w:pPr>
        <w:tabs>
          <w:tab w:val="left" w:pos="180"/>
          <w:tab w:val="left" w:pos="720"/>
          <w:tab w:val="left" w:pos="1080"/>
        </w:tabs>
        <w:spacing w:after="0" w:line="288" w:lineRule="auto"/>
        <w:ind w:firstLine="720"/>
        <w:outlineLvl w:val="0"/>
        <w:rPr>
          <w:szCs w:val="26"/>
        </w:rPr>
      </w:pPr>
      <w:r>
        <w:rPr>
          <w:szCs w:val="26"/>
        </w:rPr>
        <w:t xml:space="preserve">We find the current version of section 3490, subdivision (a)(5) of title 15 of the California Code of Regulations to be </w:t>
      </w:r>
      <w:r>
        <w:rPr>
          <w:szCs w:val="26"/>
        </w:rPr>
        <w:lastRenderedPageBreak/>
        <w:t>consistent with</w:t>
      </w:r>
      <w:r>
        <w:rPr>
          <w:szCs w:val="26"/>
        </w:rPr>
        <w:t>,</w:t>
      </w:r>
      <w:r>
        <w:rPr>
          <w:szCs w:val="26"/>
        </w:rPr>
        <w:t xml:space="preserve"> </w:t>
      </w:r>
      <w:r w:rsidRPr="005D3CA9">
        <w:rPr>
          <w:szCs w:val="26"/>
        </w:rPr>
        <w:t xml:space="preserve">and reasonably necessary to effectuate the purpose of </w:t>
      </w:r>
      <w:r>
        <w:rPr>
          <w:szCs w:val="26"/>
        </w:rPr>
        <w:t>Proposition 57 and section 32(a)(1).</w:t>
      </w:r>
    </w:p>
    <w:p w14:paraId="4274A269" w14:textId="77777777" w:rsidR="00890D25" w:rsidRDefault="00890D25" w:rsidP="00DC3136">
      <w:pPr>
        <w:tabs>
          <w:tab w:val="left" w:pos="180"/>
          <w:tab w:val="left" w:pos="720"/>
          <w:tab w:val="left" w:pos="1080"/>
        </w:tabs>
        <w:spacing w:after="0" w:line="288" w:lineRule="auto"/>
        <w:ind w:firstLine="720"/>
        <w:outlineLvl w:val="0"/>
        <w:rPr>
          <w:szCs w:val="26"/>
        </w:rPr>
      </w:pPr>
      <w:r>
        <w:rPr>
          <w:szCs w:val="26"/>
        </w:rPr>
        <w:t>As set forth above, the ballot materials explicitly state</w:t>
      </w:r>
      <w:r>
        <w:rPr>
          <w:szCs w:val="26"/>
        </w:rPr>
        <w:t>d</w:t>
      </w:r>
      <w:r>
        <w:rPr>
          <w:szCs w:val="26"/>
        </w:rPr>
        <w:t xml:space="preserve"> that early parole consideration would </w:t>
      </w:r>
      <w:r w:rsidRPr="005D3CA9">
        <w:rPr>
          <w:szCs w:val="26"/>
        </w:rPr>
        <w:t>be available only to prisoners convicted of nonviolent felonies</w:t>
      </w:r>
      <w:r>
        <w:rPr>
          <w:szCs w:val="26"/>
        </w:rPr>
        <w:t>,</w:t>
      </w:r>
      <w:r>
        <w:rPr>
          <w:szCs w:val="26"/>
        </w:rPr>
        <w:t xml:space="preserve"> and</w:t>
      </w:r>
      <w:r w:rsidRPr="005D3CA9">
        <w:rPr>
          <w:szCs w:val="26"/>
        </w:rPr>
        <w:t xml:space="preserve"> </w:t>
      </w:r>
      <w:r>
        <w:rPr>
          <w:szCs w:val="26"/>
        </w:rPr>
        <w:t xml:space="preserve">the initiative would </w:t>
      </w:r>
      <w:r>
        <w:rPr>
          <w:szCs w:val="26"/>
        </w:rPr>
        <w:t>exclude from</w:t>
      </w:r>
      <w:r>
        <w:rPr>
          <w:szCs w:val="26"/>
        </w:rPr>
        <w:t xml:space="preserve"> parole </w:t>
      </w:r>
      <w:r w:rsidRPr="005D3CA9">
        <w:rPr>
          <w:szCs w:val="26"/>
        </w:rPr>
        <w:t>“[v]</w:t>
      </w:r>
      <w:proofErr w:type="spellStart"/>
      <w:r w:rsidRPr="005D3CA9">
        <w:rPr>
          <w:szCs w:val="26"/>
        </w:rPr>
        <w:t>iolent</w:t>
      </w:r>
      <w:proofErr w:type="spellEnd"/>
      <w:r w:rsidRPr="005D3CA9">
        <w:rPr>
          <w:szCs w:val="26"/>
        </w:rPr>
        <w:t xml:space="preserve"> criminals as defined in Penal Code 667.5(c).”  (</w:t>
      </w:r>
      <w:r w:rsidRPr="001441E9">
        <w:rPr>
          <w:szCs w:val="26"/>
        </w:rPr>
        <w:t xml:space="preserve">Voter Information Guide, Gen. Elec., </w:t>
      </w:r>
      <w:r w:rsidRPr="001441E9">
        <w:rPr>
          <w:i/>
          <w:iCs/>
          <w:szCs w:val="26"/>
        </w:rPr>
        <w:t>supra</w:t>
      </w:r>
      <w:r w:rsidRPr="001441E9">
        <w:rPr>
          <w:szCs w:val="26"/>
        </w:rPr>
        <w:t xml:space="preserve">, </w:t>
      </w:r>
      <w:r>
        <w:rPr>
          <w:szCs w:val="26"/>
        </w:rPr>
        <w:t xml:space="preserve">rebuttal to </w:t>
      </w:r>
      <w:r w:rsidRPr="001441E9">
        <w:rPr>
          <w:szCs w:val="26"/>
        </w:rPr>
        <w:t xml:space="preserve">argument </w:t>
      </w:r>
      <w:r>
        <w:rPr>
          <w:szCs w:val="26"/>
        </w:rPr>
        <w:t xml:space="preserve">against </w:t>
      </w:r>
      <w:r w:rsidRPr="001441E9">
        <w:rPr>
          <w:szCs w:val="26"/>
        </w:rPr>
        <w:t xml:space="preserve">Prop. 57, </w:t>
      </w:r>
      <w:r w:rsidRPr="005D3CA9">
        <w:rPr>
          <w:szCs w:val="26"/>
        </w:rPr>
        <w:t xml:space="preserve">p. 59.)  </w:t>
      </w:r>
      <w:r>
        <w:rPr>
          <w:szCs w:val="26"/>
        </w:rPr>
        <w:t>T</w:t>
      </w:r>
      <w:r w:rsidRPr="005D3CA9">
        <w:rPr>
          <w:szCs w:val="26"/>
        </w:rPr>
        <w:t xml:space="preserve">he ballot materials </w:t>
      </w:r>
      <w:r>
        <w:rPr>
          <w:szCs w:val="26"/>
        </w:rPr>
        <w:t xml:space="preserve">thus </w:t>
      </w:r>
      <w:r w:rsidRPr="005D3CA9">
        <w:rPr>
          <w:szCs w:val="26"/>
        </w:rPr>
        <w:t xml:space="preserve">make abundantly clear the intent of </w:t>
      </w:r>
      <w:r w:rsidRPr="005D3CA9">
        <w:rPr>
          <w:szCs w:val="26"/>
        </w:rPr>
        <w:t>Proposition 57 to exclude from early parole consideration inmates with violent felony convictions.</w:t>
      </w:r>
    </w:p>
    <w:p w14:paraId="0F876C3E" w14:textId="77777777" w:rsidR="00890D25" w:rsidRPr="006648A3" w:rsidRDefault="00890D25" w:rsidP="006648A3">
      <w:pPr>
        <w:spacing w:after="0" w:line="288" w:lineRule="auto"/>
        <w:ind w:firstLine="720"/>
        <w:rPr>
          <w:rFonts w:eastAsiaTheme="minorHAnsi"/>
          <w:color w:val="3D3D3D"/>
          <w:kern w:val="2"/>
          <w:szCs w:val="26"/>
          <w:shd w:val="clear" w:color="auto" w:fill="FFFFFF"/>
          <w14:ligatures w14:val="standardContextual"/>
        </w:rPr>
      </w:pPr>
      <w:r w:rsidRPr="006648A3">
        <w:rPr>
          <w:rFonts w:eastAsiaTheme="minorHAnsi"/>
          <w:i/>
          <w:iCs/>
          <w:color w:val="3D3D3D"/>
          <w:kern w:val="2"/>
          <w:szCs w:val="26"/>
          <w:shd w:val="clear" w:color="auto" w:fill="FFFFFF"/>
          <w14:ligatures w14:val="standardContextual"/>
        </w:rPr>
        <w:t xml:space="preserve">Mohammad </w:t>
      </w:r>
      <w:r w:rsidRPr="006648A3">
        <w:rPr>
          <w:rFonts w:eastAsiaTheme="minorHAnsi"/>
          <w:color w:val="3D3D3D"/>
          <w:kern w:val="2"/>
          <w:szCs w:val="26"/>
          <w:shd w:val="clear" w:color="auto" w:fill="FFFFFF"/>
          <w14:ligatures w14:val="standardContextual"/>
        </w:rPr>
        <w:t>upheld a regulation that</w:t>
      </w:r>
      <w:r>
        <w:rPr>
          <w:rFonts w:eastAsiaTheme="minorHAnsi"/>
          <w:color w:val="3D3D3D"/>
          <w:kern w:val="2"/>
          <w:szCs w:val="26"/>
          <w:shd w:val="clear" w:color="auto" w:fill="FFFFFF"/>
          <w14:ligatures w14:val="standardContextual"/>
        </w:rPr>
        <w:t>, on its face, only</w:t>
      </w:r>
      <w:r w:rsidRPr="006648A3">
        <w:rPr>
          <w:rFonts w:eastAsiaTheme="minorHAnsi"/>
          <w:color w:val="3D3D3D"/>
          <w:kern w:val="2"/>
          <w:szCs w:val="26"/>
          <w:shd w:val="clear" w:color="auto" w:fill="FFFFFF"/>
          <w14:ligatures w14:val="standardContextual"/>
        </w:rPr>
        <w:t xml:space="preserve"> barred </w:t>
      </w:r>
      <w:r w:rsidRPr="00F8098C">
        <w:rPr>
          <w:rFonts w:eastAsiaTheme="minorHAnsi"/>
          <w:color w:val="3D3D3D"/>
          <w:kern w:val="2"/>
          <w:szCs w:val="26"/>
          <w:shd w:val="clear" w:color="auto" w:fill="FFFFFF"/>
          <w14:ligatures w14:val="standardContextual"/>
        </w:rPr>
        <w:t>from early parole consideration under section 32(a)(1)</w:t>
      </w:r>
      <w:r>
        <w:rPr>
          <w:rFonts w:eastAsiaTheme="minorHAnsi"/>
          <w:color w:val="3D3D3D"/>
          <w:kern w:val="2"/>
          <w:szCs w:val="26"/>
          <w:shd w:val="clear" w:color="auto" w:fill="FFFFFF"/>
          <w14:ligatures w14:val="standardContextual"/>
        </w:rPr>
        <w:t xml:space="preserve"> a </w:t>
      </w:r>
      <w:r w:rsidRPr="006648A3">
        <w:rPr>
          <w:rFonts w:eastAsiaTheme="minorHAnsi"/>
          <w:color w:val="3D3D3D"/>
          <w:kern w:val="2"/>
          <w:szCs w:val="26"/>
          <w:shd w:val="clear" w:color="auto" w:fill="FFFFFF"/>
          <w14:ligatures w14:val="standardContextual"/>
        </w:rPr>
        <w:t xml:space="preserve">mixed offense inmate who </w:t>
      </w:r>
      <w:r>
        <w:rPr>
          <w:rFonts w:eastAsiaTheme="minorHAnsi"/>
          <w:color w:val="3D3D3D"/>
          <w:kern w:val="2"/>
          <w:szCs w:val="26"/>
          <w:shd w:val="clear" w:color="auto" w:fill="FFFFFF"/>
          <w14:ligatures w14:val="standardContextual"/>
        </w:rPr>
        <w:t>“is</w:t>
      </w:r>
      <w:r w:rsidRPr="006648A3">
        <w:rPr>
          <w:rFonts w:eastAsiaTheme="minorHAnsi"/>
          <w:color w:val="3D3D3D"/>
          <w:kern w:val="2"/>
          <w:szCs w:val="26"/>
          <w:shd w:val="clear" w:color="auto" w:fill="FFFFFF"/>
          <w14:ligatures w14:val="standardContextual"/>
        </w:rPr>
        <w:t xml:space="preserve"> </w:t>
      </w:r>
      <w:r>
        <w:rPr>
          <w:rFonts w:eastAsiaTheme="minorHAnsi"/>
          <w:color w:val="3D3D3D"/>
          <w:kern w:val="2"/>
          <w:szCs w:val="26"/>
          <w:shd w:val="clear" w:color="auto" w:fill="FFFFFF"/>
          <w14:ligatures w14:val="standardContextual"/>
        </w:rPr>
        <w:t xml:space="preserve">currently </w:t>
      </w:r>
      <w:r w:rsidRPr="006648A3">
        <w:rPr>
          <w:rFonts w:eastAsiaTheme="minorHAnsi"/>
          <w:color w:val="3D3D3D"/>
          <w:kern w:val="2"/>
          <w:szCs w:val="26"/>
          <w:shd w:val="clear" w:color="auto" w:fill="FFFFFF"/>
          <w14:ligatures w14:val="standardContextual"/>
        </w:rPr>
        <w:t xml:space="preserve">serving </w:t>
      </w:r>
      <w:r>
        <w:rPr>
          <w:rFonts w:eastAsiaTheme="minorHAnsi"/>
          <w:color w:val="3D3D3D"/>
          <w:kern w:val="2"/>
          <w:szCs w:val="26"/>
          <w:shd w:val="clear" w:color="auto" w:fill="FFFFFF"/>
          <w14:ligatures w14:val="standardContextual"/>
        </w:rPr>
        <w:t>a term of incarceration for a violent felony</w:t>
      </w:r>
      <w:r w:rsidRPr="006648A3">
        <w:rPr>
          <w:rFonts w:eastAsiaTheme="minorHAnsi"/>
          <w:color w:val="3D3D3D"/>
          <w:kern w:val="2"/>
          <w:szCs w:val="26"/>
          <w:shd w:val="clear" w:color="auto" w:fill="FFFFFF"/>
          <w14:ligatures w14:val="standardContextual"/>
        </w:rPr>
        <w:t>.</w:t>
      </w:r>
      <w:r>
        <w:rPr>
          <w:rFonts w:eastAsiaTheme="minorHAnsi"/>
          <w:color w:val="3D3D3D"/>
          <w:kern w:val="2"/>
          <w:szCs w:val="26"/>
          <w:shd w:val="clear" w:color="auto" w:fill="FFFFFF"/>
          <w14:ligatures w14:val="standardContextual"/>
        </w:rPr>
        <w:t>”  (15 CCR (2019) § 3490, subd. (a)(5)</w:t>
      </w:r>
      <w:r>
        <w:rPr>
          <w:rFonts w:eastAsiaTheme="minorHAnsi"/>
          <w:color w:val="3D3D3D"/>
          <w:kern w:val="2"/>
          <w:szCs w:val="26"/>
          <w:shd w:val="clear" w:color="auto" w:fill="FFFFFF"/>
          <w14:ligatures w14:val="standardContextual"/>
        </w:rPr>
        <w:t xml:space="preserve">; </w:t>
      </w:r>
      <w:r>
        <w:rPr>
          <w:rFonts w:eastAsiaTheme="minorHAnsi"/>
          <w:i/>
          <w:iCs/>
          <w:color w:val="3D3D3D"/>
          <w:kern w:val="2"/>
          <w:szCs w:val="26"/>
          <w:shd w:val="clear" w:color="auto" w:fill="FFFFFF"/>
          <w14:ligatures w14:val="standardContextual"/>
        </w:rPr>
        <w:t>Mohammad, supra,</w:t>
      </w:r>
      <w:r>
        <w:rPr>
          <w:rFonts w:eastAsiaTheme="minorHAnsi"/>
          <w:color w:val="3D3D3D"/>
          <w:kern w:val="2"/>
          <w:szCs w:val="26"/>
          <w:shd w:val="clear" w:color="auto" w:fill="FFFFFF"/>
          <w14:ligatures w14:val="standardContextual"/>
        </w:rPr>
        <w:t xml:space="preserve"> 12 Cal.5th at p. 528</w:t>
      </w:r>
      <w:r>
        <w:rPr>
          <w:rFonts w:eastAsiaTheme="minorHAnsi"/>
          <w:color w:val="3D3D3D"/>
          <w:kern w:val="2"/>
          <w:szCs w:val="26"/>
          <w:shd w:val="clear" w:color="auto" w:fill="FFFFFF"/>
          <w14:ligatures w14:val="standardContextual"/>
        </w:rPr>
        <w:t>.)</w:t>
      </w:r>
      <w:r w:rsidRPr="006648A3">
        <w:rPr>
          <w:rFonts w:eastAsiaTheme="minorHAnsi"/>
          <w:color w:val="3D3D3D"/>
          <w:kern w:val="2"/>
          <w:szCs w:val="26"/>
          <w:shd w:val="clear" w:color="auto" w:fill="FFFFFF"/>
          <w14:ligatures w14:val="standardContextual"/>
        </w:rPr>
        <w:t xml:space="preserve">  </w:t>
      </w:r>
      <w:r>
        <w:rPr>
          <w:rFonts w:eastAsiaTheme="minorHAnsi"/>
          <w:color w:val="3D3D3D"/>
          <w:kern w:val="2"/>
          <w:szCs w:val="26"/>
          <w:shd w:val="clear" w:color="auto" w:fill="FFFFFF"/>
          <w14:ligatures w14:val="standardContextual"/>
        </w:rPr>
        <w:t>But t</w:t>
      </w:r>
      <w:r w:rsidRPr="006648A3">
        <w:rPr>
          <w:rFonts w:eastAsiaTheme="minorHAnsi"/>
          <w:color w:val="3D3D3D"/>
          <w:kern w:val="2"/>
          <w:szCs w:val="26"/>
          <w:shd w:val="clear" w:color="auto" w:fill="FFFFFF"/>
          <w14:ligatures w14:val="standardContextual"/>
        </w:rPr>
        <w:t xml:space="preserve">here is no principled distinction between inmates serving a sentence for a violent felony and inmates who have </w:t>
      </w:r>
      <w:r w:rsidRPr="006648A3">
        <w:rPr>
          <w:rFonts w:eastAsiaTheme="minorHAnsi"/>
          <w:color w:val="3D3D3D"/>
          <w:kern w:val="2"/>
          <w:szCs w:val="26"/>
          <w:shd w:val="clear" w:color="auto" w:fill="FFFFFF"/>
          <w14:ligatures w14:val="standardContextual"/>
        </w:rPr>
        <w:t>been convicted of a violent felony but who are not currently serving that sentence.</w:t>
      </w:r>
      <w:r>
        <w:rPr>
          <w:rFonts w:eastAsiaTheme="minorHAnsi"/>
          <w:color w:val="3D3D3D"/>
          <w:kern w:val="2"/>
          <w:szCs w:val="26"/>
          <w:shd w:val="clear" w:color="auto" w:fill="FFFFFF"/>
          <w14:ligatures w14:val="standardContextual"/>
        </w:rPr>
        <w:t xml:space="preserve"> </w:t>
      </w:r>
      <w:r w:rsidRPr="006648A3">
        <w:rPr>
          <w:rFonts w:eastAsiaTheme="minorHAnsi"/>
          <w:color w:val="3D3D3D"/>
          <w:kern w:val="2"/>
          <w:szCs w:val="26"/>
          <w:shd w:val="clear" w:color="auto" w:fill="FFFFFF"/>
          <w14:ligatures w14:val="standardContextual"/>
        </w:rPr>
        <w:t xml:space="preserve"> Whether the inmate with a violent felony conviction has served, is serving</w:t>
      </w:r>
      <w:r>
        <w:rPr>
          <w:rFonts w:eastAsiaTheme="minorHAnsi"/>
          <w:color w:val="3D3D3D"/>
          <w:kern w:val="2"/>
          <w:szCs w:val="26"/>
          <w:shd w:val="clear" w:color="auto" w:fill="FFFFFF"/>
          <w14:ligatures w14:val="standardContextual"/>
        </w:rPr>
        <w:t>,</w:t>
      </w:r>
      <w:r w:rsidRPr="006648A3">
        <w:rPr>
          <w:rFonts w:eastAsiaTheme="minorHAnsi"/>
          <w:color w:val="3D3D3D"/>
          <w:kern w:val="2"/>
          <w:szCs w:val="26"/>
          <w:shd w:val="clear" w:color="auto" w:fill="FFFFFF"/>
          <w14:ligatures w14:val="standardContextual"/>
        </w:rPr>
        <w:t xml:space="preserve"> or will serve the sentence for that offense is </w:t>
      </w:r>
      <w:r>
        <w:rPr>
          <w:rFonts w:eastAsiaTheme="minorHAnsi"/>
          <w:color w:val="3D3D3D"/>
          <w:kern w:val="2"/>
          <w:szCs w:val="26"/>
          <w:shd w:val="clear" w:color="auto" w:fill="FFFFFF"/>
          <w14:ligatures w14:val="standardContextual"/>
        </w:rPr>
        <w:t xml:space="preserve">simply </w:t>
      </w:r>
      <w:r>
        <w:rPr>
          <w:rFonts w:eastAsiaTheme="minorHAnsi"/>
          <w:color w:val="3D3D3D"/>
          <w:kern w:val="2"/>
          <w:szCs w:val="26"/>
          <w:shd w:val="clear" w:color="auto" w:fill="FFFFFF"/>
          <w14:ligatures w14:val="standardContextual"/>
        </w:rPr>
        <w:t>irrelevant</w:t>
      </w:r>
      <w:r w:rsidRPr="006648A3">
        <w:rPr>
          <w:rFonts w:eastAsiaTheme="minorHAnsi"/>
          <w:color w:val="3D3D3D"/>
          <w:kern w:val="2"/>
          <w:szCs w:val="26"/>
          <w:shd w:val="clear" w:color="auto" w:fill="FFFFFF"/>
          <w14:ligatures w14:val="standardContextual"/>
        </w:rPr>
        <w:t xml:space="preserve"> </w:t>
      </w:r>
      <w:r>
        <w:rPr>
          <w:rFonts w:eastAsiaTheme="minorHAnsi"/>
          <w:color w:val="3D3D3D"/>
          <w:kern w:val="2"/>
          <w:szCs w:val="26"/>
          <w:shd w:val="clear" w:color="auto" w:fill="FFFFFF"/>
          <w14:ligatures w14:val="standardContextual"/>
        </w:rPr>
        <w:t xml:space="preserve">to </w:t>
      </w:r>
      <w:r>
        <w:rPr>
          <w:rFonts w:eastAsiaTheme="minorHAnsi"/>
          <w:color w:val="3D3D3D"/>
          <w:kern w:val="2"/>
          <w:szCs w:val="26"/>
          <w:shd w:val="clear" w:color="auto" w:fill="FFFFFF"/>
          <w14:ligatures w14:val="standardContextual"/>
        </w:rPr>
        <w:t xml:space="preserve">the </w:t>
      </w:r>
      <w:r>
        <w:rPr>
          <w:rFonts w:eastAsiaTheme="minorHAnsi"/>
          <w:color w:val="3D3D3D"/>
          <w:kern w:val="2"/>
          <w:szCs w:val="26"/>
          <w:shd w:val="clear" w:color="auto" w:fill="FFFFFF"/>
          <w14:ligatures w14:val="standardContextual"/>
        </w:rPr>
        <w:t>determin</w:t>
      </w:r>
      <w:r>
        <w:rPr>
          <w:rFonts w:eastAsiaTheme="minorHAnsi"/>
          <w:color w:val="3D3D3D"/>
          <w:kern w:val="2"/>
          <w:szCs w:val="26"/>
          <w:shd w:val="clear" w:color="auto" w:fill="FFFFFF"/>
          <w14:ligatures w14:val="standardContextual"/>
        </w:rPr>
        <w:t>ation of</w:t>
      </w:r>
      <w:r>
        <w:rPr>
          <w:rFonts w:eastAsiaTheme="minorHAnsi"/>
          <w:color w:val="3D3D3D"/>
          <w:kern w:val="2"/>
          <w:szCs w:val="26"/>
          <w:shd w:val="clear" w:color="auto" w:fill="FFFFFF"/>
          <w14:ligatures w14:val="standardContextual"/>
        </w:rPr>
        <w:t xml:space="preserve"> whether that person has committed a violent offense.  By</w:t>
      </w:r>
      <w:r w:rsidRPr="006648A3">
        <w:rPr>
          <w:rFonts w:eastAsiaTheme="minorHAnsi"/>
          <w:color w:val="3D3D3D"/>
          <w:kern w:val="2"/>
          <w:szCs w:val="26"/>
          <w:shd w:val="clear" w:color="auto" w:fill="FFFFFF"/>
          <w14:ligatures w14:val="standardContextual"/>
        </w:rPr>
        <w:t xml:space="preserve"> focusing on the fact of the violent felony conviction rather than the sentence the inmate happens to be serving, the current regulation </w:t>
      </w:r>
      <w:r>
        <w:rPr>
          <w:rFonts w:eastAsiaTheme="minorHAnsi"/>
          <w:color w:val="3D3D3D"/>
          <w:kern w:val="2"/>
          <w:szCs w:val="26"/>
          <w:shd w:val="clear" w:color="auto" w:fill="FFFFFF"/>
          <w14:ligatures w14:val="standardContextual"/>
        </w:rPr>
        <w:t xml:space="preserve">closely adheres to the supporters’, opponents’, and </w:t>
      </w:r>
      <w:proofErr w:type="gramStart"/>
      <w:r>
        <w:rPr>
          <w:rFonts w:eastAsiaTheme="minorHAnsi"/>
          <w:color w:val="3D3D3D"/>
          <w:kern w:val="2"/>
          <w:szCs w:val="26"/>
          <w:shd w:val="clear" w:color="auto" w:fill="FFFFFF"/>
          <w14:ligatures w14:val="standardContextual"/>
        </w:rPr>
        <w:t>voters’</w:t>
      </w:r>
      <w:proofErr w:type="gramEnd"/>
      <w:r>
        <w:rPr>
          <w:rFonts w:eastAsiaTheme="minorHAnsi"/>
          <w:color w:val="3D3D3D"/>
          <w:kern w:val="2"/>
          <w:szCs w:val="26"/>
          <w:shd w:val="clear" w:color="auto" w:fill="FFFFFF"/>
          <w14:ligatures w14:val="standardContextual"/>
        </w:rPr>
        <w:t xml:space="preserve"> clearly e</w:t>
      </w:r>
      <w:r>
        <w:rPr>
          <w:rFonts w:eastAsiaTheme="minorHAnsi"/>
          <w:color w:val="3D3D3D"/>
          <w:kern w:val="2"/>
          <w:szCs w:val="26"/>
          <w:shd w:val="clear" w:color="auto" w:fill="FFFFFF"/>
          <w14:ligatures w14:val="standardContextual"/>
        </w:rPr>
        <w:t>xpressed intent to keep “</w:t>
      </w:r>
      <w:r w:rsidRPr="0003696C">
        <w:rPr>
          <w:szCs w:val="26"/>
        </w:rPr>
        <w:t>the most dangerous offenders locked up.”  (</w:t>
      </w:r>
      <w:r w:rsidRPr="001441E9">
        <w:rPr>
          <w:szCs w:val="26"/>
        </w:rPr>
        <w:t xml:space="preserve">Voter Information Guide, Gen. Elec., </w:t>
      </w:r>
      <w:r w:rsidRPr="001441E9">
        <w:rPr>
          <w:i/>
          <w:iCs/>
          <w:szCs w:val="26"/>
        </w:rPr>
        <w:t>supra</w:t>
      </w:r>
      <w:r w:rsidRPr="001441E9">
        <w:rPr>
          <w:szCs w:val="26"/>
        </w:rPr>
        <w:t xml:space="preserve">, argument in favor of Prop. 57, </w:t>
      </w:r>
      <w:r w:rsidRPr="0003696C">
        <w:rPr>
          <w:szCs w:val="26"/>
        </w:rPr>
        <w:t>p.</w:t>
      </w:r>
      <w:r>
        <w:rPr>
          <w:szCs w:val="26"/>
        </w:rPr>
        <w:t> </w:t>
      </w:r>
      <w:r w:rsidRPr="0003696C">
        <w:rPr>
          <w:szCs w:val="26"/>
        </w:rPr>
        <w:t>58.)</w:t>
      </w:r>
    </w:p>
    <w:p w14:paraId="59502EAF" w14:textId="77777777" w:rsidR="00890D25" w:rsidRPr="006648A3" w:rsidRDefault="00890D25" w:rsidP="006648A3">
      <w:pPr>
        <w:spacing w:after="0" w:line="288" w:lineRule="auto"/>
        <w:ind w:firstLine="720"/>
        <w:rPr>
          <w:rFonts w:eastAsiaTheme="minorHAnsi"/>
          <w:color w:val="3D3D3D"/>
          <w:kern w:val="2"/>
          <w:szCs w:val="26"/>
          <w:shd w:val="clear" w:color="auto" w:fill="FFFFFF"/>
          <w14:ligatures w14:val="standardContextual"/>
        </w:rPr>
      </w:pPr>
      <w:r>
        <w:rPr>
          <w:rFonts w:eastAsiaTheme="minorHAnsi"/>
          <w:color w:val="3D3D3D"/>
          <w:kern w:val="2"/>
          <w:szCs w:val="26"/>
          <w:shd w:val="clear" w:color="auto" w:fill="FFFFFF"/>
          <w14:ligatures w14:val="standardContextual"/>
        </w:rPr>
        <w:t>Moreover, it makes no</w:t>
      </w:r>
      <w:r w:rsidRPr="006648A3">
        <w:rPr>
          <w:rFonts w:eastAsiaTheme="minorHAnsi"/>
          <w:color w:val="3D3D3D"/>
          <w:kern w:val="2"/>
          <w:szCs w:val="26"/>
          <w:shd w:val="clear" w:color="auto" w:fill="FFFFFF"/>
          <w14:ligatures w14:val="standardContextual"/>
        </w:rPr>
        <w:t xml:space="preserve"> sense to </w:t>
      </w:r>
      <w:r>
        <w:rPr>
          <w:rFonts w:eastAsiaTheme="minorHAnsi"/>
          <w:color w:val="3D3D3D"/>
          <w:kern w:val="2"/>
          <w:szCs w:val="26"/>
          <w:shd w:val="clear" w:color="auto" w:fill="FFFFFF"/>
          <w14:ligatures w14:val="standardContextual"/>
        </w:rPr>
        <w:t>grant</w:t>
      </w:r>
      <w:r>
        <w:rPr>
          <w:rFonts w:eastAsiaTheme="minorHAnsi"/>
          <w:color w:val="3D3D3D"/>
          <w:kern w:val="2"/>
          <w:szCs w:val="26"/>
          <w:shd w:val="clear" w:color="auto" w:fill="FFFFFF"/>
          <w14:ligatures w14:val="standardContextual"/>
        </w:rPr>
        <w:t xml:space="preserve"> </w:t>
      </w:r>
      <w:r w:rsidRPr="00B4137F">
        <w:rPr>
          <w:rFonts w:eastAsiaTheme="minorHAnsi"/>
          <w:color w:val="3D3D3D"/>
          <w:kern w:val="2"/>
          <w:szCs w:val="26"/>
          <w:shd w:val="clear" w:color="auto" w:fill="FFFFFF"/>
          <w14:ligatures w14:val="standardContextual"/>
        </w:rPr>
        <w:t>early parole</w:t>
      </w:r>
      <w:r>
        <w:rPr>
          <w:rFonts w:eastAsiaTheme="minorHAnsi"/>
          <w:color w:val="3D3D3D"/>
          <w:kern w:val="2"/>
          <w:szCs w:val="26"/>
          <w:shd w:val="clear" w:color="auto" w:fill="FFFFFF"/>
          <w14:ligatures w14:val="standardContextual"/>
        </w:rPr>
        <w:t xml:space="preserve"> to</w:t>
      </w:r>
      <w:r w:rsidRPr="006648A3">
        <w:rPr>
          <w:rFonts w:eastAsiaTheme="minorHAnsi"/>
          <w:color w:val="3D3D3D"/>
          <w:kern w:val="2"/>
          <w:szCs w:val="26"/>
          <w:shd w:val="clear" w:color="auto" w:fill="FFFFFF"/>
          <w14:ligatures w14:val="standardContextual"/>
        </w:rPr>
        <w:t xml:space="preserve"> inmates </w:t>
      </w:r>
      <w:r>
        <w:rPr>
          <w:rFonts w:eastAsiaTheme="minorHAnsi"/>
          <w:color w:val="3D3D3D"/>
          <w:kern w:val="2"/>
          <w:szCs w:val="26"/>
          <w:shd w:val="clear" w:color="auto" w:fill="FFFFFF"/>
          <w14:ligatures w14:val="standardContextual"/>
        </w:rPr>
        <w:t xml:space="preserve">with convictions for both nonviolent and violent felonies </w:t>
      </w:r>
      <w:r w:rsidRPr="006648A3">
        <w:rPr>
          <w:rFonts w:eastAsiaTheme="minorHAnsi"/>
          <w:color w:val="3D3D3D"/>
          <w:kern w:val="2"/>
          <w:szCs w:val="26"/>
          <w:shd w:val="clear" w:color="auto" w:fill="FFFFFF"/>
          <w14:ligatures w14:val="standardContextual"/>
        </w:rPr>
        <w:lastRenderedPageBreak/>
        <w:t>based on the nonviolent felony conviction, while inmates with only a violent felony conviction are barred from early parole.</w:t>
      </w:r>
      <w:r>
        <w:rPr>
          <w:rFonts w:eastAsiaTheme="minorHAnsi"/>
          <w:color w:val="3D3D3D"/>
          <w:kern w:val="2"/>
          <w:szCs w:val="26"/>
          <w:shd w:val="clear" w:color="auto" w:fill="FFFFFF"/>
          <w14:ligatures w14:val="standardContextual"/>
        </w:rPr>
        <w:t xml:space="preserve">  The nonviolent felony conviction</w:t>
      </w:r>
      <w:r>
        <w:rPr>
          <w:rFonts w:eastAsiaTheme="minorHAnsi"/>
          <w:color w:val="3D3D3D"/>
          <w:kern w:val="2"/>
          <w:szCs w:val="26"/>
          <w:shd w:val="clear" w:color="auto" w:fill="FFFFFF"/>
          <w14:ligatures w14:val="standardContextual"/>
        </w:rPr>
        <w:t xml:space="preserve"> does not alter the character of a concurrent violent felony conviction</w:t>
      </w:r>
      <w:r>
        <w:rPr>
          <w:rFonts w:eastAsiaTheme="minorHAnsi"/>
          <w:color w:val="3D3D3D"/>
          <w:kern w:val="2"/>
          <w:szCs w:val="26"/>
          <w:shd w:val="clear" w:color="auto" w:fill="FFFFFF"/>
          <w14:ligatures w14:val="standardContextual"/>
        </w:rPr>
        <w:t>.</w:t>
      </w:r>
      <w:r>
        <w:rPr>
          <w:rFonts w:eastAsiaTheme="minorHAnsi"/>
          <w:color w:val="3D3D3D"/>
          <w:kern w:val="2"/>
          <w:szCs w:val="26"/>
          <w:shd w:val="clear" w:color="auto" w:fill="FFFFFF"/>
          <w14:ligatures w14:val="standardContextual"/>
        </w:rPr>
        <w:t xml:space="preserve"> </w:t>
      </w:r>
      <w:r>
        <w:rPr>
          <w:rFonts w:eastAsiaTheme="minorHAnsi"/>
          <w:color w:val="3D3D3D"/>
          <w:kern w:val="2"/>
          <w:szCs w:val="26"/>
          <w:shd w:val="clear" w:color="auto" w:fill="FFFFFF"/>
          <w14:ligatures w14:val="standardContextual"/>
        </w:rPr>
        <w:t xml:space="preserve"> The current regulation sees to it that</w:t>
      </w:r>
      <w:r>
        <w:rPr>
          <w:rFonts w:eastAsiaTheme="minorHAnsi"/>
          <w:color w:val="3D3D3D"/>
          <w:kern w:val="2"/>
          <w:szCs w:val="26"/>
          <w:shd w:val="clear" w:color="auto" w:fill="FFFFFF"/>
          <w14:ligatures w14:val="standardContextual"/>
        </w:rPr>
        <w:t xml:space="preserve"> </w:t>
      </w:r>
      <w:r>
        <w:rPr>
          <w:rFonts w:eastAsiaTheme="minorHAnsi"/>
          <w:color w:val="3D3D3D"/>
          <w:kern w:val="2"/>
          <w:szCs w:val="26"/>
          <w:shd w:val="clear" w:color="auto" w:fill="FFFFFF"/>
          <w14:ligatures w14:val="standardContextual"/>
        </w:rPr>
        <w:t>the mixed offense inmate is</w:t>
      </w:r>
      <w:r>
        <w:rPr>
          <w:rFonts w:eastAsiaTheme="minorHAnsi"/>
          <w:color w:val="3D3D3D"/>
          <w:kern w:val="2"/>
          <w:szCs w:val="26"/>
          <w:shd w:val="clear" w:color="auto" w:fill="FFFFFF"/>
          <w14:ligatures w14:val="standardContextual"/>
        </w:rPr>
        <w:t xml:space="preserve"> not inoculate</w:t>
      </w:r>
      <w:r>
        <w:rPr>
          <w:rFonts w:eastAsiaTheme="minorHAnsi"/>
          <w:color w:val="3D3D3D"/>
          <w:kern w:val="2"/>
          <w:szCs w:val="26"/>
          <w:shd w:val="clear" w:color="auto" w:fill="FFFFFF"/>
          <w14:ligatures w14:val="standardContextual"/>
        </w:rPr>
        <w:t>d</w:t>
      </w:r>
      <w:r>
        <w:rPr>
          <w:rFonts w:eastAsiaTheme="minorHAnsi"/>
          <w:color w:val="3D3D3D"/>
          <w:kern w:val="2"/>
          <w:szCs w:val="26"/>
          <w:shd w:val="clear" w:color="auto" w:fill="FFFFFF"/>
          <w14:ligatures w14:val="standardContextual"/>
        </w:rPr>
        <w:t xml:space="preserve"> from the consequences of </w:t>
      </w:r>
      <w:r>
        <w:rPr>
          <w:rFonts w:eastAsiaTheme="minorHAnsi"/>
          <w:color w:val="3D3D3D"/>
          <w:kern w:val="2"/>
          <w:szCs w:val="26"/>
          <w:shd w:val="clear" w:color="auto" w:fill="FFFFFF"/>
          <w14:ligatures w14:val="standardContextual"/>
        </w:rPr>
        <w:t>his or her</w:t>
      </w:r>
      <w:r>
        <w:rPr>
          <w:rFonts w:eastAsiaTheme="minorHAnsi"/>
          <w:color w:val="3D3D3D"/>
          <w:kern w:val="2"/>
          <w:szCs w:val="26"/>
          <w:shd w:val="clear" w:color="auto" w:fill="FFFFFF"/>
          <w14:ligatures w14:val="standardContextual"/>
        </w:rPr>
        <w:t xml:space="preserve"> violent felony conviction</w:t>
      </w:r>
      <w:r>
        <w:rPr>
          <w:rFonts w:eastAsiaTheme="minorHAnsi"/>
          <w:color w:val="3D3D3D"/>
          <w:kern w:val="2"/>
          <w:szCs w:val="26"/>
          <w:shd w:val="clear" w:color="auto" w:fill="FFFFFF"/>
          <w14:ligatures w14:val="standardContextual"/>
        </w:rPr>
        <w:t xml:space="preserve"> by consideration for early parole.</w:t>
      </w:r>
    </w:p>
    <w:p w14:paraId="741BD732" w14:textId="77777777" w:rsidR="00890D25" w:rsidRPr="003B53E3" w:rsidRDefault="00890D25" w:rsidP="00DC3136">
      <w:pPr>
        <w:tabs>
          <w:tab w:val="left" w:pos="180"/>
          <w:tab w:val="left" w:pos="720"/>
          <w:tab w:val="left" w:pos="1080"/>
        </w:tabs>
        <w:spacing w:after="0" w:line="288" w:lineRule="auto"/>
        <w:ind w:firstLine="720"/>
        <w:outlineLvl w:val="0"/>
        <w:rPr>
          <w:szCs w:val="26"/>
        </w:rPr>
      </w:pPr>
      <w:r>
        <w:rPr>
          <w:szCs w:val="26"/>
        </w:rPr>
        <w:t xml:space="preserve">In stating the necessity for </w:t>
      </w:r>
      <w:r>
        <w:rPr>
          <w:szCs w:val="26"/>
        </w:rPr>
        <w:t>revision</w:t>
      </w:r>
      <w:r>
        <w:rPr>
          <w:szCs w:val="26"/>
        </w:rPr>
        <w:t xml:space="preserve"> to 15 CCR </w:t>
      </w:r>
      <w:r>
        <w:rPr>
          <w:szCs w:val="26"/>
        </w:rPr>
        <w:t xml:space="preserve">(2019) </w:t>
      </w:r>
      <w:r>
        <w:rPr>
          <w:szCs w:val="26"/>
        </w:rPr>
        <w:t>section 3490</w:t>
      </w:r>
      <w:r>
        <w:rPr>
          <w:szCs w:val="26"/>
        </w:rPr>
        <w:t>, subdivision (a)(5), the Department recognized</w:t>
      </w:r>
      <w:r>
        <w:rPr>
          <w:szCs w:val="26"/>
        </w:rPr>
        <w:t xml:space="preserve"> the failure of</w:t>
      </w:r>
      <w:r>
        <w:rPr>
          <w:szCs w:val="26"/>
        </w:rPr>
        <w:t xml:space="preserve"> th</w:t>
      </w:r>
      <w:r>
        <w:rPr>
          <w:szCs w:val="26"/>
        </w:rPr>
        <w:t xml:space="preserve">at </w:t>
      </w:r>
      <w:r w:rsidRPr="003E641E">
        <w:rPr>
          <w:szCs w:val="26"/>
        </w:rPr>
        <w:t xml:space="preserve">regulation </w:t>
      </w:r>
      <w:r>
        <w:rPr>
          <w:szCs w:val="26"/>
        </w:rPr>
        <w:t>to address early parole eligibility for inmates with convictions for violent felonies who happened to be serving sentences for nonviolent felonies.</w:t>
      </w:r>
      <w:r>
        <w:rPr>
          <w:rStyle w:val="FootnoteReference"/>
          <w:szCs w:val="26"/>
        </w:rPr>
        <w:footnoteReference w:id="7"/>
      </w:r>
      <w:r>
        <w:rPr>
          <w:szCs w:val="26"/>
        </w:rPr>
        <w:t xml:space="preserve">  </w:t>
      </w:r>
      <w:r>
        <w:rPr>
          <w:szCs w:val="26"/>
        </w:rPr>
        <w:t>But a</w:t>
      </w:r>
      <w:r>
        <w:rPr>
          <w:szCs w:val="26"/>
        </w:rPr>
        <w:t>s Proposition 57’s ballot materials ma</w:t>
      </w:r>
      <w:r>
        <w:rPr>
          <w:szCs w:val="26"/>
        </w:rPr>
        <w:t>d</w:t>
      </w:r>
      <w:r>
        <w:rPr>
          <w:szCs w:val="26"/>
        </w:rPr>
        <w:t xml:space="preserve">e clear, </w:t>
      </w:r>
      <w:r>
        <w:rPr>
          <w:szCs w:val="26"/>
        </w:rPr>
        <w:t xml:space="preserve">the initiative’s declared intent was to </w:t>
      </w:r>
      <w:r>
        <w:rPr>
          <w:szCs w:val="26"/>
        </w:rPr>
        <w:t>create</w:t>
      </w:r>
      <w:r>
        <w:rPr>
          <w:szCs w:val="26"/>
        </w:rPr>
        <w:t xml:space="preserve"> a path to early parole only </w:t>
      </w:r>
      <w:r>
        <w:rPr>
          <w:szCs w:val="26"/>
        </w:rPr>
        <w:t>for</w:t>
      </w:r>
      <w:r>
        <w:rPr>
          <w:szCs w:val="26"/>
        </w:rPr>
        <w:t xml:space="preserve"> inmates convicted of nonviolent offenses—violent offenders were expressly precluded from obtaining early release by virtue of their violent felony convictions. </w:t>
      </w:r>
      <w:r>
        <w:rPr>
          <w:szCs w:val="26"/>
        </w:rPr>
        <w:t xml:space="preserve"> (See</w:t>
      </w:r>
      <w:r>
        <w:rPr>
          <w:szCs w:val="26"/>
        </w:rPr>
        <w:t xml:space="preserve"> </w:t>
      </w:r>
      <w:r w:rsidRPr="001441E9">
        <w:rPr>
          <w:szCs w:val="26"/>
        </w:rPr>
        <w:t xml:space="preserve">Voter Information Guide, Gen. Elec., </w:t>
      </w:r>
      <w:r w:rsidRPr="001441E9">
        <w:rPr>
          <w:i/>
          <w:iCs/>
          <w:szCs w:val="26"/>
        </w:rPr>
        <w:t>supra</w:t>
      </w:r>
      <w:r w:rsidRPr="001441E9">
        <w:rPr>
          <w:szCs w:val="26"/>
        </w:rPr>
        <w:t>, argument in favor of Prop. 57</w:t>
      </w:r>
      <w:r>
        <w:rPr>
          <w:szCs w:val="26"/>
        </w:rPr>
        <w:t>, p. 58</w:t>
      </w:r>
      <w:r>
        <w:rPr>
          <w:szCs w:val="26"/>
        </w:rPr>
        <w:t xml:space="preserve"> &amp; rebuttal to argument against Prop. 57</w:t>
      </w:r>
      <w:r w:rsidRPr="001441E9">
        <w:rPr>
          <w:szCs w:val="26"/>
        </w:rPr>
        <w:t xml:space="preserve">, </w:t>
      </w:r>
      <w:r>
        <w:rPr>
          <w:szCs w:val="26"/>
        </w:rPr>
        <w:t>p</w:t>
      </w:r>
      <w:r w:rsidRPr="00364A25">
        <w:rPr>
          <w:szCs w:val="26"/>
        </w:rPr>
        <w:t>.</w:t>
      </w:r>
      <w:r>
        <w:rPr>
          <w:szCs w:val="26"/>
        </w:rPr>
        <w:t> 59</w:t>
      </w:r>
      <w:r w:rsidRPr="00364A25">
        <w:rPr>
          <w:szCs w:val="26"/>
        </w:rPr>
        <w:t>.)</w:t>
      </w:r>
    </w:p>
    <w:p w14:paraId="6B1BA162" w14:textId="77777777" w:rsidR="00890D25" w:rsidRPr="00DC3136" w:rsidRDefault="00890D25" w:rsidP="00DC3136">
      <w:pPr>
        <w:tabs>
          <w:tab w:val="left" w:pos="180"/>
          <w:tab w:val="left" w:pos="720"/>
          <w:tab w:val="left" w:pos="1080"/>
        </w:tabs>
        <w:spacing w:after="0" w:line="288" w:lineRule="auto"/>
        <w:ind w:firstLine="720"/>
        <w:outlineLvl w:val="0"/>
        <w:rPr>
          <w:szCs w:val="26"/>
        </w:rPr>
      </w:pPr>
      <w:r>
        <w:rPr>
          <w:szCs w:val="26"/>
        </w:rPr>
        <w:lastRenderedPageBreak/>
        <w:t>O</w:t>
      </w:r>
      <w:r>
        <w:rPr>
          <w:szCs w:val="26"/>
        </w:rPr>
        <w:t>ur Supreme</w:t>
      </w:r>
      <w:r>
        <w:rPr>
          <w:szCs w:val="26"/>
        </w:rPr>
        <w:t xml:space="preserve"> </w:t>
      </w:r>
      <w:r>
        <w:rPr>
          <w:szCs w:val="26"/>
        </w:rPr>
        <w:t>C</w:t>
      </w:r>
      <w:r>
        <w:rPr>
          <w:szCs w:val="26"/>
        </w:rPr>
        <w:t>ourt observed, “</w:t>
      </w:r>
      <w:r w:rsidRPr="00516DFF">
        <w:rPr>
          <w:szCs w:val="26"/>
        </w:rPr>
        <w:t xml:space="preserve">Proposition 57 directed the Department to </w:t>
      </w:r>
      <w:r>
        <w:rPr>
          <w:szCs w:val="26"/>
        </w:rPr>
        <w:t>‘</w:t>
      </w:r>
      <w:r w:rsidRPr="00516DFF">
        <w:rPr>
          <w:szCs w:val="26"/>
        </w:rPr>
        <w:t>adopt regulations in furtherance of [the constitutional] provisions,</w:t>
      </w:r>
      <w:r>
        <w:rPr>
          <w:szCs w:val="26"/>
        </w:rPr>
        <w:t>’</w:t>
      </w:r>
      <w:r w:rsidRPr="00516DFF">
        <w:rPr>
          <w:szCs w:val="26"/>
        </w:rPr>
        <w:t xml:space="preserve"> and to </w:t>
      </w:r>
      <w:r>
        <w:rPr>
          <w:szCs w:val="26"/>
        </w:rPr>
        <w:t>‘</w:t>
      </w:r>
      <w:r w:rsidRPr="00516DFF">
        <w:rPr>
          <w:szCs w:val="26"/>
        </w:rPr>
        <w:t>certify that these regulations protect and enhance public safety.</w:t>
      </w:r>
      <w:r>
        <w:rPr>
          <w:szCs w:val="26"/>
        </w:rPr>
        <w:t xml:space="preserve">’ </w:t>
      </w:r>
      <w:r w:rsidRPr="00516DFF">
        <w:rPr>
          <w:szCs w:val="26"/>
        </w:rPr>
        <w:t xml:space="preserve"> (Art. I, § 32(b).)</w:t>
      </w:r>
      <w:r>
        <w:rPr>
          <w:szCs w:val="26"/>
        </w:rPr>
        <w:t>”  (</w:t>
      </w:r>
      <w:r>
        <w:rPr>
          <w:i/>
          <w:iCs/>
          <w:szCs w:val="26"/>
        </w:rPr>
        <w:t>Mohammad, supra,</w:t>
      </w:r>
      <w:r>
        <w:rPr>
          <w:szCs w:val="26"/>
        </w:rPr>
        <w:t xml:space="preserve"> 12 Cal.5th at p. 538.)  </w:t>
      </w:r>
      <w:r>
        <w:rPr>
          <w:szCs w:val="26"/>
        </w:rPr>
        <w:t xml:space="preserve">As in </w:t>
      </w:r>
      <w:r>
        <w:rPr>
          <w:i/>
          <w:iCs/>
          <w:szCs w:val="26"/>
        </w:rPr>
        <w:t>Mohammad</w:t>
      </w:r>
      <w:r>
        <w:rPr>
          <w:szCs w:val="26"/>
        </w:rPr>
        <w:t>, we conclude that in promulgating the current regulation, “[t]</w:t>
      </w:r>
      <w:r w:rsidRPr="00DC3136">
        <w:rPr>
          <w:szCs w:val="26"/>
        </w:rPr>
        <w:t>he Department</w:t>
      </w:r>
      <w:r>
        <w:rPr>
          <w:szCs w:val="26"/>
        </w:rPr>
        <w:t>’</w:t>
      </w:r>
      <w:r w:rsidRPr="00DC3136">
        <w:rPr>
          <w:szCs w:val="26"/>
        </w:rPr>
        <w:t>s approach is consistent with a reasonable interpretation of the constitutional language and the ballot materials.</w:t>
      </w:r>
      <w:r>
        <w:rPr>
          <w:szCs w:val="26"/>
        </w:rPr>
        <w:t xml:space="preserve">  We cannot say that the Department abused its rulemaki</w:t>
      </w:r>
      <w:r>
        <w:rPr>
          <w:szCs w:val="26"/>
        </w:rPr>
        <w:t>ng authority in coming to this conclusion.”  (</w:t>
      </w:r>
      <w:r>
        <w:rPr>
          <w:i/>
          <w:iCs/>
          <w:szCs w:val="26"/>
        </w:rPr>
        <w:t>Id.</w:t>
      </w:r>
      <w:r>
        <w:rPr>
          <w:szCs w:val="26"/>
        </w:rPr>
        <w:t xml:space="preserve"> at p. 542.)</w:t>
      </w:r>
    </w:p>
    <w:p w14:paraId="1E0B0F22" w14:textId="77777777" w:rsidR="00890D25" w:rsidRPr="00176B94" w:rsidRDefault="00890D25" w:rsidP="00487EC1">
      <w:pPr>
        <w:keepNext/>
        <w:keepLines/>
        <w:tabs>
          <w:tab w:val="left" w:pos="180"/>
          <w:tab w:val="left" w:pos="720"/>
          <w:tab w:val="left" w:pos="1080"/>
        </w:tabs>
        <w:spacing w:after="0" w:line="288" w:lineRule="auto"/>
        <w:ind w:firstLine="720"/>
        <w:outlineLvl w:val="0"/>
        <w:rPr>
          <w:i/>
          <w:iCs/>
          <w:szCs w:val="26"/>
        </w:rPr>
      </w:pPr>
      <w:r>
        <w:rPr>
          <w:i/>
          <w:iCs/>
          <w:szCs w:val="26"/>
        </w:rPr>
        <w:t>5</w:t>
      </w:r>
      <w:r w:rsidRPr="00176B94">
        <w:rPr>
          <w:i/>
          <w:iCs/>
          <w:szCs w:val="26"/>
        </w:rPr>
        <w:t>.</w:t>
      </w:r>
      <w:r w:rsidRPr="00176B94">
        <w:rPr>
          <w:i/>
          <w:iCs/>
          <w:szCs w:val="26"/>
        </w:rPr>
        <w:tab/>
      </w:r>
      <w:r>
        <w:rPr>
          <w:i/>
          <w:iCs/>
          <w:szCs w:val="26"/>
        </w:rPr>
        <w:t>P</w:t>
      </w:r>
      <w:r>
        <w:rPr>
          <w:i/>
          <w:iCs/>
          <w:szCs w:val="26"/>
        </w:rPr>
        <w:t xml:space="preserve">etitioner’s </w:t>
      </w:r>
      <w:r>
        <w:rPr>
          <w:i/>
          <w:iCs/>
          <w:szCs w:val="26"/>
        </w:rPr>
        <w:t>claim that</w:t>
      </w:r>
      <w:r>
        <w:rPr>
          <w:i/>
          <w:iCs/>
          <w:szCs w:val="26"/>
        </w:rPr>
        <w:t xml:space="preserve"> </w:t>
      </w:r>
      <w:r w:rsidRPr="00571793">
        <w:rPr>
          <w:i/>
          <w:iCs/>
          <w:szCs w:val="26"/>
        </w:rPr>
        <w:t>Proposition 57 and section 32(a)(1)</w:t>
      </w:r>
      <w:r>
        <w:rPr>
          <w:i/>
          <w:iCs/>
          <w:szCs w:val="26"/>
        </w:rPr>
        <w:t xml:space="preserve"> require early parole consideration for any inmate whose primary offense was a nonviolent felony</w:t>
      </w:r>
      <w:r>
        <w:rPr>
          <w:i/>
          <w:iCs/>
          <w:szCs w:val="26"/>
        </w:rPr>
        <w:t xml:space="preserve"> finds no support in the ballot materials or</w:t>
      </w:r>
      <w:r>
        <w:rPr>
          <w:i/>
          <w:iCs/>
          <w:szCs w:val="26"/>
        </w:rPr>
        <w:t xml:space="preserve"> </w:t>
      </w:r>
      <w:r>
        <w:rPr>
          <w:i/>
          <w:iCs/>
          <w:szCs w:val="26"/>
        </w:rPr>
        <w:t>the</w:t>
      </w:r>
      <w:r>
        <w:rPr>
          <w:i/>
          <w:iCs/>
          <w:szCs w:val="26"/>
        </w:rPr>
        <w:t xml:space="preserve"> expressed intent of the electorate</w:t>
      </w:r>
    </w:p>
    <w:p w14:paraId="29505FCC" w14:textId="77777777" w:rsidR="00890D25" w:rsidRDefault="00890D25" w:rsidP="00DC3136">
      <w:pPr>
        <w:tabs>
          <w:tab w:val="left" w:pos="180"/>
          <w:tab w:val="left" w:pos="720"/>
          <w:tab w:val="left" w:pos="1080"/>
        </w:tabs>
        <w:spacing w:after="0" w:line="288" w:lineRule="auto"/>
        <w:ind w:firstLine="720"/>
        <w:outlineLvl w:val="0"/>
        <w:rPr>
          <w:szCs w:val="26"/>
        </w:rPr>
      </w:pPr>
      <w:r w:rsidRPr="00176B94">
        <w:rPr>
          <w:szCs w:val="26"/>
        </w:rPr>
        <w:t xml:space="preserve">Petitioner </w:t>
      </w:r>
      <w:r>
        <w:rPr>
          <w:szCs w:val="26"/>
        </w:rPr>
        <w:t>contends</w:t>
      </w:r>
      <w:r>
        <w:rPr>
          <w:szCs w:val="26"/>
        </w:rPr>
        <w:t xml:space="preserve"> that </w:t>
      </w:r>
      <w:r>
        <w:rPr>
          <w:szCs w:val="26"/>
        </w:rPr>
        <w:t xml:space="preserve">it was </w:t>
      </w:r>
      <w:r>
        <w:rPr>
          <w:szCs w:val="26"/>
        </w:rPr>
        <w:t>the clear intent of the electorate in approving</w:t>
      </w:r>
      <w:r w:rsidRPr="00176B94">
        <w:rPr>
          <w:szCs w:val="26"/>
        </w:rPr>
        <w:t xml:space="preserve"> Proposition 57 </w:t>
      </w:r>
      <w:r>
        <w:rPr>
          <w:szCs w:val="26"/>
        </w:rPr>
        <w:t>(</w:t>
      </w:r>
      <w:r w:rsidRPr="00176B94">
        <w:rPr>
          <w:szCs w:val="26"/>
        </w:rPr>
        <w:t xml:space="preserve">and </w:t>
      </w:r>
      <w:proofErr w:type="gramStart"/>
      <w:r>
        <w:rPr>
          <w:szCs w:val="26"/>
        </w:rPr>
        <w:t>with it</w:t>
      </w:r>
      <w:proofErr w:type="gramEnd"/>
      <w:r>
        <w:rPr>
          <w:szCs w:val="26"/>
        </w:rPr>
        <w:t xml:space="preserve"> </w:t>
      </w:r>
      <w:r w:rsidRPr="00176B94">
        <w:rPr>
          <w:szCs w:val="26"/>
        </w:rPr>
        <w:t>section 32(a)(1)</w:t>
      </w:r>
      <w:r>
        <w:rPr>
          <w:szCs w:val="26"/>
        </w:rPr>
        <w:t>) to</w:t>
      </w:r>
      <w:r w:rsidRPr="00176B94">
        <w:rPr>
          <w:szCs w:val="26"/>
        </w:rPr>
        <w:t xml:space="preserve"> </w:t>
      </w:r>
      <w:r>
        <w:rPr>
          <w:szCs w:val="26"/>
        </w:rPr>
        <w:t>“</w:t>
      </w:r>
      <w:r w:rsidRPr="00176B94">
        <w:rPr>
          <w:szCs w:val="26"/>
        </w:rPr>
        <w:t xml:space="preserve">extend early parole consideration to </w:t>
      </w:r>
      <w:r>
        <w:rPr>
          <w:szCs w:val="26"/>
        </w:rPr>
        <w:t>every offender</w:t>
      </w:r>
      <w:r w:rsidRPr="00176B94">
        <w:rPr>
          <w:szCs w:val="26"/>
        </w:rPr>
        <w:t xml:space="preserve"> whose primary offense </w:t>
      </w:r>
      <w:r>
        <w:rPr>
          <w:szCs w:val="26"/>
        </w:rPr>
        <w:t>is</w:t>
      </w:r>
      <w:r w:rsidRPr="00176B94">
        <w:rPr>
          <w:szCs w:val="26"/>
        </w:rPr>
        <w:t xml:space="preserve"> a nonviolent felony</w:t>
      </w:r>
      <w:r>
        <w:rPr>
          <w:szCs w:val="26"/>
        </w:rPr>
        <w:t>, regardless of his secondary offense/s.</w:t>
      </w:r>
      <w:r w:rsidRPr="00176B94">
        <w:rPr>
          <w:szCs w:val="26"/>
        </w:rPr>
        <w:t>”</w:t>
      </w:r>
      <w:r>
        <w:rPr>
          <w:szCs w:val="26"/>
        </w:rPr>
        <w:t xml:space="preserve">  </w:t>
      </w:r>
      <w:r>
        <w:rPr>
          <w:szCs w:val="26"/>
        </w:rPr>
        <w:t>We</w:t>
      </w:r>
      <w:r>
        <w:rPr>
          <w:szCs w:val="26"/>
        </w:rPr>
        <w:t xml:space="preserve"> disagree and</w:t>
      </w:r>
      <w:r>
        <w:rPr>
          <w:szCs w:val="26"/>
        </w:rPr>
        <w:t xml:space="preserve"> reject petitioner’s</w:t>
      </w:r>
      <w:r>
        <w:rPr>
          <w:szCs w:val="26"/>
        </w:rPr>
        <w:t xml:space="preserve"> unsupported and</w:t>
      </w:r>
      <w:r>
        <w:rPr>
          <w:szCs w:val="26"/>
        </w:rPr>
        <w:t xml:space="preserve"> distorted characterization of the </w:t>
      </w:r>
      <w:r>
        <w:rPr>
          <w:szCs w:val="26"/>
        </w:rPr>
        <w:t xml:space="preserve">ballot materials and </w:t>
      </w:r>
      <w:r>
        <w:rPr>
          <w:szCs w:val="26"/>
        </w:rPr>
        <w:t>voters’ intent.</w:t>
      </w:r>
    </w:p>
    <w:p w14:paraId="0B77E3CA" w14:textId="77777777" w:rsidR="00890D25" w:rsidRPr="00376F88" w:rsidRDefault="00890D25" w:rsidP="00DC3136">
      <w:pPr>
        <w:tabs>
          <w:tab w:val="left" w:pos="180"/>
          <w:tab w:val="left" w:pos="720"/>
          <w:tab w:val="left" w:pos="1080"/>
        </w:tabs>
        <w:spacing w:after="0" w:line="288" w:lineRule="auto"/>
        <w:ind w:firstLine="720"/>
        <w:outlineLvl w:val="0"/>
        <w:rPr>
          <w:szCs w:val="26"/>
        </w:rPr>
      </w:pPr>
      <w:r>
        <w:rPr>
          <w:szCs w:val="26"/>
        </w:rPr>
        <w:t xml:space="preserve">We first note that petitioner’s interpretation of section 32(a)(1) is squarely at odds with our Supreme Court’s decision in </w:t>
      </w:r>
      <w:r>
        <w:rPr>
          <w:i/>
          <w:iCs/>
          <w:szCs w:val="26"/>
        </w:rPr>
        <w:t>Mohammad</w:t>
      </w:r>
      <w:r>
        <w:rPr>
          <w:szCs w:val="26"/>
        </w:rPr>
        <w:t xml:space="preserve">, which reversed the Court of Appeal’s holding that </w:t>
      </w:r>
      <w:r>
        <w:rPr>
          <w:szCs w:val="26"/>
        </w:rPr>
        <w:t>the only requirement for early parole consideration under Proposition 57 is conviction of a nonviolent felony.  (</w:t>
      </w:r>
      <w:r>
        <w:rPr>
          <w:i/>
          <w:iCs/>
          <w:szCs w:val="26"/>
        </w:rPr>
        <w:t>Mohammad, supra,</w:t>
      </w:r>
      <w:r>
        <w:rPr>
          <w:szCs w:val="26"/>
        </w:rPr>
        <w:t xml:space="preserve"> 12 Cal.5th at pp. 526–527, citing </w:t>
      </w:r>
      <w:proofErr w:type="gramStart"/>
      <w:r>
        <w:rPr>
          <w:i/>
          <w:iCs/>
          <w:szCs w:val="26"/>
        </w:rPr>
        <w:t>In</w:t>
      </w:r>
      <w:proofErr w:type="gramEnd"/>
      <w:r>
        <w:rPr>
          <w:i/>
          <w:iCs/>
          <w:szCs w:val="26"/>
        </w:rPr>
        <w:t xml:space="preserve"> re Mohammad</w:t>
      </w:r>
      <w:r>
        <w:rPr>
          <w:szCs w:val="26"/>
        </w:rPr>
        <w:t xml:space="preserve"> (2019) 42 Cal.</w:t>
      </w:r>
      <w:r>
        <w:rPr>
          <w:szCs w:val="26"/>
        </w:rPr>
        <w:t>App.</w:t>
      </w:r>
      <w:r>
        <w:rPr>
          <w:szCs w:val="26"/>
        </w:rPr>
        <w:t>5th 719, 726.)</w:t>
      </w:r>
    </w:p>
    <w:p w14:paraId="116A6539" w14:textId="77777777" w:rsidR="00890D25" w:rsidRDefault="00890D25" w:rsidP="00DC3136">
      <w:pPr>
        <w:tabs>
          <w:tab w:val="left" w:pos="180"/>
          <w:tab w:val="left" w:pos="720"/>
          <w:tab w:val="left" w:pos="1080"/>
        </w:tabs>
        <w:spacing w:after="0" w:line="288" w:lineRule="auto"/>
        <w:ind w:firstLine="720"/>
        <w:outlineLvl w:val="0"/>
        <w:rPr>
          <w:szCs w:val="26"/>
        </w:rPr>
      </w:pPr>
      <w:r>
        <w:rPr>
          <w:szCs w:val="26"/>
        </w:rPr>
        <w:lastRenderedPageBreak/>
        <w:t>Further, n</w:t>
      </w:r>
      <w:r>
        <w:rPr>
          <w:szCs w:val="26"/>
        </w:rPr>
        <w:t xml:space="preserve">othing in the ballot </w:t>
      </w:r>
      <w:r>
        <w:rPr>
          <w:szCs w:val="26"/>
        </w:rPr>
        <w:t xml:space="preserve">materials—not the analysis by the Legislative Analyst, not the arguments in support of Proposition 57, and not even the arguments in opposition to the initiative—suggests that Proposition 57 was intended to operate as a “get-out-of-jail-free card” </w:t>
      </w:r>
      <w:proofErr w:type="gramStart"/>
      <w:r>
        <w:rPr>
          <w:szCs w:val="26"/>
        </w:rPr>
        <w:t>as long as</w:t>
      </w:r>
      <w:proofErr w:type="gramEnd"/>
      <w:r>
        <w:rPr>
          <w:szCs w:val="26"/>
        </w:rPr>
        <w:t xml:space="preserve"> the primary offense was a nonviolent felony</w:t>
      </w:r>
      <w:r>
        <w:rPr>
          <w:szCs w:val="26"/>
        </w:rPr>
        <w:t xml:space="preserve">.  </w:t>
      </w:r>
      <w:r>
        <w:rPr>
          <w:szCs w:val="26"/>
        </w:rPr>
        <w:t>Indeed, t</w:t>
      </w:r>
      <w:r>
        <w:rPr>
          <w:szCs w:val="26"/>
        </w:rPr>
        <w:t xml:space="preserve">he </w:t>
      </w:r>
      <w:r>
        <w:rPr>
          <w:szCs w:val="26"/>
        </w:rPr>
        <w:t xml:space="preserve">only statement in the </w:t>
      </w:r>
      <w:r>
        <w:rPr>
          <w:szCs w:val="26"/>
        </w:rPr>
        <w:t xml:space="preserve">ballot materials </w:t>
      </w:r>
      <w:r>
        <w:rPr>
          <w:szCs w:val="26"/>
        </w:rPr>
        <w:t>about the primary offense is that “the full prison term” for that offense must be completed before any inmate may be considered for parole.  (</w:t>
      </w:r>
      <w:r w:rsidRPr="001441E9">
        <w:rPr>
          <w:szCs w:val="26"/>
        </w:rPr>
        <w:t>Voter Informat</w:t>
      </w:r>
      <w:r w:rsidRPr="001441E9">
        <w:rPr>
          <w:szCs w:val="26"/>
        </w:rPr>
        <w:t xml:space="preserve">ion Guide, Gen. Elec., </w:t>
      </w:r>
      <w:r w:rsidRPr="001441E9">
        <w:rPr>
          <w:i/>
          <w:iCs/>
          <w:szCs w:val="26"/>
        </w:rPr>
        <w:t>supra</w:t>
      </w:r>
      <w:r w:rsidRPr="001441E9">
        <w:rPr>
          <w:szCs w:val="26"/>
        </w:rPr>
        <w:t xml:space="preserve">, argument in favor of Prop. 57, </w:t>
      </w:r>
      <w:r w:rsidRPr="00364A25">
        <w:rPr>
          <w:szCs w:val="26"/>
        </w:rPr>
        <w:t>p.</w:t>
      </w:r>
      <w:r>
        <w:rPr>
          <w:szCs w:val="26"/>
        </w:rPr>
        <w:t> </w:t>
      </w:r>
      <w:r w:rsidRPr="00364A25">
        <w:rPr>
          <w:szCs w:val="26"/>
        </w:rPr>
        <w:t>5</w:t>
      </w:r>
      <w:r>
        <w:rPr>
          <w:szCs w:val="26"/>
        </w:rPr>
        <w:t>8</w:t>
      </w:r>
      <w:r w:rsidRPr="00364A25">
        <w:rPr>
          <w:szCs w:val="26"/>
        </w:rPr>
        <w:t>.)</w:t>
      </w:r>
    </w:p>
    <w:p w14:paraId="39B9EEF5" w14:textId="77777777" w:rsidR="00890D25" w:rsidRDefault="00890D25" w:rsidP="00DC3136">
      <w:pPr>
        <w:tabs>
          <w:tab w:val="left" w:pos="180"/>
          <w:tab w:val="left" w:pos="720"/>
          <w:tab w:val="left" w:pos="1080"/>
        </w:tabs>
        <w:spacing w:after="0" w:line="288" w:lineRule="auto"/>
        <w:ind w:firstLine="720"/>
        <w:outlineLvl w:val="0"/>
        <w:rPr>
          <w:szCs w:val="26"/>
        </w:rPr>
      </w:pPr>
      <w:r>
        <w:rPr>
          <w:szCs w:val="26"/>
        </w:rPr>
        <w:t xml:space="preserve">Nowhere do the ballot materials specify that </w:t>
      </w:r>
      <w:proofErr w:type="gramStart"/>
      <w:r>
        <w:rPr>
          <w:szCs w:val="26"/>
        </w:rPr>
        <w:t>as long as</w:t>
      </w:r>
      <w:proofErr w:type="gramEnd"/>
      <w:r>
        <w:rPr>
          <w:szCs w:val="26"/>
        </w:rPr>
        <w:t xml:space="preserve"> the primary offense is a nonviolent felony, parole is available to any inmate upon completion of the </w:t>
      </w:r>
      <w:r>
        <w:rPr>
          <w:szCs w:val="26"/>
        </w:rPr>
        <w:t xml:space="preserve">prison term for the primary offense.  To the contrary, </w:t>
      </w:r>
      <w:r>
        <w:rPr>
          <w:szCs w:val="26"/>
        </w:rPr>
        <w:t>a</w:t>
      </w:r>
      <w:r>
        <w:rPr>
          <w:szCs w:val="26"/>
        </w:rPr>
        <w:t>s set forth above, the ballot materials repeatedly stress that Proposition 57 “keep</w:t>
      </w:r>
      <w:r>
        <w:rPr>
          <w:szCs w:val="26"/>
        </w:rPr>
        <w:t>s</w:t>
      </w:r>
      <w:r>
        <w:rPr>
          <w:szCs w:val="26"/>
        </w:rPr>
        <w:t xml:space="preserve"> the most dangerous criminals”</w:t>
      </w:r>
      <w:r>
        <w:rPr>
          <w:rFonts w:ascii="Symbol" w:hAnsi="Symbol"/>
          <w:szCs w:val="26"/>
        </w:rPr>
        <w:sym w:font="Symbol" w:char="F0BE"/>
      </w:r>
      <w:r>
        <w:rPr>
          <w:szCs w:val="26"/>
        </w:rPr>
        <w:t>that is</w:t>
      </w:r>
      <w:r>
        <w:rPr>
          <w:szCs w:val="26"/>
        </w:rPr>
        <w:t>,</w:t>
      </w:r>
      <w:r>
        <w:rPr>
          <w:szCs w:val="26"/>
        </w:rPr>
        <w:t xml:space="preserve"> violent felons</w:t>
      </w:r>
      <w:r>
        <w:rPr>
          <w:rFonts w:ascii="Symbol" w:hAnsi="Symbol"/>
          <w:szCs w:val="26"/>
        </w:rPr>
        <w:sym w:font="Symbol" w:char="F0BE"/>
      </w:r>
      <w:r>
        <w:rPr>
          <w:szCs w:val="26"/>
        </w:rPr>
        <w:t>“behind bars</w:t>
      </w:r>
      <w:r>
        <w:rPr>
          <w:szCs w:val="26"/>
        </w:rPr>
        <w:t>,</w:t>
      </w:r>
      <w:r>
        <w:rPr>
          <w:szCs w:val="26"/>
        </w:rPr>
        <w:t xml:space="preserve">” Proposition 57 </w:t>
      </w:r>
      <w:r>
        <w:rPr>
          <w:szCs w:val="26"/>
        </w:rPr>
        <w:t>does</w:t>
      </w:r>
      <w:r>
        <w:rPr>
          <w:szCs w:val="26"/>
        </w:rPr>
        <w:t xml:space="preserve"> “not authorize parole for violent offenders</w:t>
      </w:r>
      <w:r>
        <w:rPr>
          <w:szCs w:val="26"/>
        </w:rPr>
        <w:t>,</w:t>
      </w:r>
      <w:r>
        <w:rPr>
          <w:szCs w:val="26"/>
        </w:rPr>
        <w:t xml:space="preserve">” </w:t>
      </w:r>
      <w:r>
        <w:rPr>
          <w:szCs w:val="26"/>
        </w:rPr>
        <w:t>“[v]</w:t>
      </w:r>
      <w:proofErr w:type="spellStart"/>
      <w:r>
        <w:rPr>
          <w:szCs w:val="26"/>
        </w:rPr>
        <w:t>iolent</w:t>
      </w:r>
      <w:proofErr w:type="spellEnd"/>
      <w:r>
        <w:rPr>
          <w:szCs w:val="26"/>
        </w:rPr>
        <w:t xml:space="preserve"> criminals as defined in Penal Code 667.5(c) are excluded from parole</w:t>
      </w:r>
      <w:r>
        <w:rPr>
          <w:szCs w:val="26"/>
        </w:rPr>
        <w:t>,</w:t>
      </w:r>
      <w:r>
        <w:rPr>
          <w:szCs w:val="26"/>
        </w:rPr>
        <w:t xml:space="preserve">” </w:t>
      </w:r>
      <w:r>
        <w:rPr>
          <w:szCs w:val="26"/>
        </w:rPr>
        <w:t>and “parole eligibility under Prop. 57 app</w:t>
      </w:r>
      <w:r>
        <w:rPr>
          <w:szCs w:val="26"/>
        </w:rPr>
        <w:t>lies ‘</w:t>
      </w:r>
      <w:r>
        <w:rPr>
          <w:i/>
          <w:iCs/>
          <w:szCs w:val="26"/>
        </w:rPr>
        <w:t>only to prisoners convicted of non-violent felonies</w:t>
      </w:r>
      <w:r>
        <w:rPr>
          <w:szCs w:val="26"/>
        </w:rPr>
        <w:t>.</w:t>
      </w:r>
      <w:proofErr w:type="gramStart"/>
      <w:r>
        <w:rPr>
          <w:szCs w:val="26"/>
        </w:rPr>
        <w:t>’ ”</w:t>
      </w:r>
      <w:proofErr w:type="gramEnd"/>
      <w:r>
        <w:rPr>
          <w:szCs w:val="26"/>
        </w:rPr>
        <w:t xml:space="preserve"> </w:t>
      </w:r>
      <w:r>
        <w:rPr>
          <w:szCs w:val="26"/>
        </w:rPr>
        <w:t xml:space="preserve"> </w:t>
      </w:r>
      <w:r>
        <w:rPr>
          <w:szCs w:val="26"/>
        </w:rPr>
        <w:t>(</w:t>
      </w:r>
      <w:r w:rsidRPr="001441E9">
        <w:rPr>
          <w:szCs w:val="26"/>
        </w:rPr>
        <w:t xml:space="preserve">Voter Information Guide, Gen. Elec., </w:t>
      </w:r>
      <w:r w:rsidRPr="001441E9">
        <w:rPr>
          <w:i/>
          <w:iCs/>
          <w:szCs w:val="26"/>
        </w:rPr>
        <w:t>supra</w:t>
      </w:r>
      <w:r w:rsidRPr="001441E9">
        <w:rPr>
          <w:szCs w:val="26"/>
        </w:rPr>
        <w:t xml:space="preserve">, argument in favor of Prop. 57, </w:t>
      </w:r>
      <w:r w:rsidRPr="00364A25">
        <w:rPr>
          <w:szCs w:val="26"/>
        </w:rPr>
        <w:t>p.</w:t>
      </w:r>
      <w:r>
        <w:rPr>
          <w:szCs w:val="26"/>
        </w:rPr>
        <w:t> </w:t>
      </w:r>
      <w:r w:rsidRPr="00364A25">
        <w:rPr>
          <w:szCs w:val="26"/>
        </w:rPr>
        <w:t>5</w:t>
      </w:r>
      <w:r>
        <w:rPr>
          <w:szCs w:val="26"/>
        </w:rPr>
        <w:t>8 &amp; rebuttal to argument against Prop. 57, p. 59.</w:t>
      </w:r>
      <w:r w:rsidRPr="00364A25">
        <w:rPr>
          <w:szCs w:val="26"/>
        </w:rPr>
        <w:t>)</w:t>
      </w:r>
    </w:p>
    <w:p w14:paraId="2D111023" w14:textId="77777777" w:rsidR="00890D25" w:rsidRDefault="00890D25" w:rsidP="00DC3136">
      <w:pPr>
        <w:tabs>
          <w:tab w:val="left" w:pos="180"/>
          <w:tab w:val="left" w:pos="720"/>
          <w:tab w:val="left" w:pos="1080"/>
        </w:tabs>
        <w:spacing w:after="0" w:line="288" w:lineRule="auto"/>
        <w:ind w:firstLine="720"/>
        <w:outlineLvl w:val="0"/>
      </w:pPr>
      <w:r>
        <w:rPr>
          <w:szCs w:val="26"/>
        </w:rPr>
        <w:t xml:space="preserve">Petitioner further asserts that </w:t>
      </w:r>
      <w:r>
        <w:t xml:space="preserve">there is “nothing ambiguous about what section 32, subdivision (a)(1) means in this case, and there is accordingly no cause to look beyond the text to ballot materials or other extrinsic evidence of the voters’ intent.”  Again, we disagree.  In considering the validity of 15 CCR (2019) section 3490, the immediate predecessor to the current regulation at issue here, </w:t>
      </w:r>
      <w:r>
        <w:rPr>
          <w:i/>
          <w:iCs/>
        </w:rPr>
        <w:t>Mohammad</w:t>
      </w:r>
      <w:r>
        <w:t xml:space="preserve"> expressly found section 32(1)(a) to be ambiguous </w:t>
      </w:r>
      <w:r>
        <w:t>as applied to mixed offense inmates.  (</w:t>
      </w:r>
      <w:r>
        <w:rPr>
          <w:i/>
          <w:iCs/>
        </w:rPr>
        <w:t xml:space="preserve">Mohammad, </w:t>
      </w:r>
      <w:r>
        <w:rPr>
          <w:i/>
          <w:iCs/>
        </w:rPr>
        <w:lastRenderedPageBreak/>
        <w:t>supra,</w:t>
      </w:r>
      <w:r>
        <w:t xml:space="preserve"> 12 Cal.5th at p. 533 [“That th</w:t>
      </w:r>
      <w:r>
        <w:t>ere are several plausible interpretations of the constitutional language indicates the meaning of the text is ambiguous”].)</w:t>
      </w:r>
    </w:p>
    <w:p w14:paraId="02A4CE1C" w14:textId="77777777" w:rsidR="00890D25" w:rsidRPr="00176B94" w:rsidRDefault="00890D25" w:rsidP="00487EC1">
      <w:pPr>
        <w:keepNext/>
        <w:keepLines/>
        <w:tabs>
          <w:tab w:val="left" w:pos="180"/>
          <w:tab w:val="left" w:pos="720"/>
          <w:tab w:val="left" w:pos="1080"/>
        </w:tabs>
        <w:spacing w:after="0" w:line="288" w:lineRule="auto"/>
        <w:ind w:firstLine="720"/>
        <w:outlineLvl w:val="0"/>
        <w:rPr>
          <w:i/>
          <w:iCs/>
          <w:szCs w:val="26"/>
        </w:rPr>
      </w:pPr>
      <w:r>
        <w:rPr>
          <w:i/>
          <w:iCs/>
          <w:szCs w:val="26"/>
        </w:rPr>
        <w:t>6</w:t>
      </w:r>
      <w:r w:rsidRPr="00176B94">
        <w:rPr>
          <w:i/>
          <w:iCs/>
          <w:szCs w:val="26"/>
        </w:rPr>
        <w:t>.</w:t>
      </w:r>
      <w:r w:rsidRPr="00176B94">
        <w:rPr>
          <w:i/>
          <w:iCs/>
          <w:szCs w:val="26"/>
        </w:rPr>
        <w:tab/>
      </w:r>
      <w:r>
        <w:rPr>
          <w:i/>
          <w:iCs/>
          <w:szCs w:val="26"/>
        </w:rPr>
        <w:t>Conclusion</w:t>
      </w:r>
    </w:p>
    <w:p w14:paraId="0783AEEA" w14:textId="77777777" w:rsidR="00890D25" w:rsidRPr="0089572C" w:rsidRDefault="00890D25" w:rsidP="00DC3136">
      <w:pPr>
        <w:tabs>
          <w:tab w:val="left" w:pos="180"/>
          <w:tab w:val="left" w:pos="720"/>
          <w:tab w:val="left" w:pos="1080"/>
        </w:tabs>
        <w:spacing w:after="0" w:line="288" w:lineRule="auto"/>
        <w:ind w:firstLine="720"/>
        <w:outlineLvl w:val="0"/>
        <w:rPr>
          <w:szCs w:val="26"/>
        </w:rPr>
      </w:pPr>
      <w:r>
        <w:t xml:space="preserve">As in </w:t>
      </w:r>
      <w:r>
        <w:rPr>
          <w:i/>
          <w:iCs/>
        </w:rPr>
        <w:t>Mohammad</w:t>
      </w:r>
      <w:r>
        <w:t>, the language of the constitutional provision does not speak directly to the question</w:t>
      </w:r>
      <w:r>
        <w:t xml:space="preserve"> here</w:t>
      </w:r>
      <w:r>
        <w:t xml:space="preserve"> </w:t>
      </w:r>
      <w:r w:rsidRPr="00C2309C">
        <w:rPr>
          <w:szCs w:val="26"/>
        </w:rPr>
        <w:t xml:space="preserve">whether </w:t>
      </w:r>
      <w:r>
        <w:rPr>
          <w:szCs w:val="26"/>
        </w:rPr>
        <w:t xml:space="preserve">an </w:t>
      </w:r>
      <w:r w:rsidRPr="00C2309C">
        <w:rPr>
          <w:szCs w:val="26"/>
        </w:rPr>
        <w:t xml:space="preserve">inmate with convictions for violent as well as nonviolent felonies </w:t>
      </w:r>
      <w:r>
        <w:rPr>
          <w:szCs w:val="26"/>
        </w:rPr>
        <w:t>is</w:t>
      </w:r>
      <w:r w:rsidRPr="00C2309C">
        <w:rPr>
          <w:szCs w:val="26"/>
        </w:rPr>
        <w:t xml:space="preserve"> eligible for early parole consideration under section 32(a)(1)</w:t>
      </w:r>
      <w:r>
        <w:rPr>
          <w:szCs w:val="26"/>
        </w:rPr>
        <w:t xml:space="preserve">, requiring us to review the Proposition 57 ballot materials </w:t>
      </w:r>
      <w:r>
        <w:rPr>
          <w:szCs w:val="26"/>
        </w:rPr>
        <w:t>presented to</w:t>
      </w:r>
      <w:r>
        <w:rPr>
          <w:szCs w:val="26"/>
        </w:rPr>
        <w:t xml:space="preserve"> the voters</w:t>
      </w:r>
      <w:r w:rsidRPr="00C2309C">
        <w:rPr>
          <w:szCs w:val="26"/>
        </w:rPr>
        <w:t xml:space="preserve">.  </w:t>
      </w:r>
      <w:r>
        <w:t>O</w:t>
      </w:r>
      <w:r>
        <w:t xml:space="preserve">ur examination of </w:t>
      </w:r>
      <w:r>
        <w:t>those</w:t>
      </w:r>
      <w:r>
        <w:t xml:space="preserve"> materials reveals a</w:t>
      </w:r>
      <w:r>
        <w:t>n</w:t>
      </w:r>
      <w:r>
        <w:t xml:space="preserve"> intent on the part of the voters to </w:t>
      </w:r>
      <w:r>
        <w:t>authorize</w:t>
      </w:r>
      <w:r>
        <w:t xml:space="preserve"> early parole consideration for nonviolent offenders while ensuring that </w:t>
      </w:r>
      <w:r>
        <w:rPr>
          <w:szCs w:val="26"/>
        </w:rPr>
        <w:t xml:space="preserve">inmates convicted </w:t>
      </w:r>
      <w:r>
        <w:rPr>
          <w:szCs w:val="26"/>
        </w:rPr>
        <w:t>of violent felonies do not receive such consideration.  In fulfilling its duty to promulgate regulations pursuant to</w:t>
      </w:r>
      <w:r>
        <w:rPr>
          <w:szCs w:val="26"/>
        </w:rPr>
        <w:t xml:space="preserve"> California Constitution, article I,</w:t>
      </w:r>
      <w:r>
        <w:rPr>
          <w:szCs w:val="26"/>
        </w:rPr>
        <w:t xml:space="preserve"> section 32, subdivision (b), the Department determined </w:t>
      </w:r>
      <w:r>
        <w:rPr>
          <w:szCs w:val="26"/>
        </w:rPr>
        <w:t>that inmates convicted of an</w:t>
      </w:r>
      <w:r>
        <w:rPr>
          <w:szCs w:val="26"/>
        </w:rPr>
        <w:t>d</w:t>
      </w:r>
      <w:r>
        <w:rPr>
          <w:szCs w:val="26"/>
        </w:rPr>
        <w:t xml:space="preserve"> sentenced for a violent felony are not eligible for early parole consideration.  (15 CCR § 3490, subd. (a)(5).)  We find the Department’s regulation is consistent with and constitutes a reasonable interpretation of the constitutional language and the ballot materials.  Accordingly, we find no abuse </w:t>
      </w:r>
      <w:r>
        <w:rPr>
          <w:szCs w:val="26"/>
        </w:rPr>
        <w:t>of</w:t>
      </w:r>
      <w:r>
        <w:rPr>
          <w:szCs w:val="26"/>
        </w:rPr>
        <w:t xml:space="preserve"> the Department’s rulemaking authority in promulgating 15 CCR (2022) section 3490, subdivision (a)(5).</w:t>
      </w:r>
    </w:p>
    <w:p w14:paraId="61D9F6F6" w14:textId="77777777" w:rsidR="00890D25" w:rsidRPr="008B4CF1" w:rsidRDefault="00890D25" w:rsidP="00DC3136">
      <w:pPr>
        <w:keepNext/>
        <w:widowControl w:val="0"/>
        <w:spacing w:after="0" w:line="288" w:lineRule="auto"/>
        <w:jc w:val="center"/>
        <w:outlineLvl w:val="0"/>
        <w:rPr>
          <w:b/>
        </w:rPr>
      </w:pPr>
      <w:r w:rsidRPr="008B4CF1">
        <w:rPr>
          <w:b/>
        </w:rPr>
        <w:lastRenderedPageBreak/>
        <w:t>DISPOSITION</w:t>
      </w:r>
    </w:p>
    <w:p w14:paraId="01E435CB" w14:textId="77777777" w:rsidR="00890D25" w:rsidRDefault="00890D25" w:rsidP="00DC3136">
      <w:pPr>
        <w:keepNext/>
        <w:widowControl w:val="0"/>
        <w:spacing w:after="0" w:line="288" w:lineRule="auto"/>
        <w:ind w:firstLine="720"/>
      </w:pPr>
      <w:r w:rsidRPr="008B4CF1">
        <w:t xml:space="preserve">The </w:t>
      </w:r>
      <w:r>
        <w:t>petition</w:t>
      </w:r>
      <w:r>
        <w:t xml:space="preserve"> for a writ of habeas corpus</w:t>
      </w:r>
      <w:r w:rsidRPr="008B4CF1">
        <w:t xml:space="preserve"> is </w:t>
      </w:r>
      <w:r>
        <w:t>denied</w:t>
      </w:r>
      <w:r w:rsidRPr="008B4CF1">
        <w:t>.</w:t>
      </w:r>
    </w:p>
    <w:p w14:paraId="2AF06FA9" w14:textId="77777777" w:rsidR="00890D25" w:rsidRPr="0087183F" w:rsidRDefault="00890D25" w:rsidP="00393098">
      <w:pPr>
        <w:keepNext/>
        <w:widowControl w:val="0"/>
        <w:spacing w:after="0" w:line="288" w:lineRule="auto"/>
        <w:ind w:firstLine="720"/>
      </w:pPr>
      <w:r w:rsidRPr="0087183F">
        <w:t>CERTIFIED FOR PUBLICATION</w:t>
      </w:r>
      <w:r w:rsidRPr="0087183F">
        <w:t>.</w:t>
      </w:r>
    </w:p>
    <w:p w14:paraId="64F861BD" w14:textId="77777777" w:rsidR="00890D25" w:rsidRDefault="00890D25" w:rsidP="00393098">
      <w:pPr>
        <w:keepNext/>
        <w:widowControl w:val="0"/>
        <w:spacing w:after="0" w:line="288" w:lineRule="auto"/>
      </w:pPr>
    </w:p>
    <w:p w14:paraId="27CA7B1C" w14:textId="77777777" w:rsidR="00890D25" w:rsidRPr="008B4CF1" w:rsidRDefault="00890D25" w:rsidP="00393098">
      <w:pPr>
        <w:keepNext/>
        <w:widowControl w:val="0"/>
        <w:spacing w:after="0" w:line="288" w:lineRule="auto"/>
      </w:pPr>
    </w:p>
    <w:p w14:paraId="1DE1A6C8" w14:textId="77777777" w:rsidR="00890D25" w:rsidRPr="008B4CF1" w:rsidRDefault="00890D25" w:rsidP="00393098">
      <w:pPr>
        <w:keepNext/>
        <w:widowControl w:val="0"/>
        <w:spacing w:after="0" w:line="288" w:lineRule="auto"/>
      </w:pPr>
    </w:p>
    <w:p w14:paraId="74C816AD" w14:textId="77777777" w:rsidR="00890D25" w:rsidRPr="008B4CF1" w:rsidRDefault="00890D25" w:rsidP="00393098">
      <w:pPr>
        <w:keepNext/>
        <w:widowControl w:val="0"/>
        <w:spacing w:after="0" w:line="288" w:lineRule="auto"/>
      </w:pPr>
      <w:r>
        <w:tab/>
      </w:r>
      <w:r>
        <w:tab/>
      </w:r>
      <w:r>
        <w:tab/>
      </w:r>
      <w:r>
        <w:tab/>
      </w:r>
      <w:r>
        <w:tab/>
      </w:r>
      <w:r w:rsidRPr="008B4CF1">
        <w:tab/>
      </w:r>
      <w:r>
        <w:tab/>
      </w:r>
      <w:r w:rsidRPr="008B4CF1">
        <w:t>LUI,</w:t>
      </w:r>
      <w:r w:rsidRPr="008B4CF1">
        <w:t xml:space="preserve"> </w:t>
      </w:r>
      <w:r>
        <w:t xml:space="preserve">P. </w:t>
      </w:r>
      <w:r w:rsidRPr="008B4CF1">
        <w:t>J.</w:t>
      </w:r>
    </w:p>
    <w:p w14:paraId="3B1AEAC0" w14:textId="77777777" w:rsidR="00890D25" w:rsidRPr="008B4CF1" w:rsidRDefault="00890D25" w:rsidP="00393098">
      <w:pPr>
        <w:keepNext/>
        <w:widowControl w:val="0"/>
        <w:spacing w:after="0" w:line="288" w:lineRule="auto"/>
      </w:pPr>
      <w:r w:rsidRPr="008B4CF1">
        <w:t>We concur:</w:t>
      </w:r>
    </w:p>
    <w:p w14:paraId="12ACA3FD" w14:textId="77777777" w:rsidR="00890D25" w:rsidRDefault="00890D25" w:rsidP="00393098">
      <w:pPr>
        <w:keepNext/>
        <w:widowControl w:val="0"/>
        <w:spacing w:after="0" w:line="288" w:lineRule="auto"/>
      </w:pPr>
    </w:p>
    <w:p w14:paraId="041BEB65" w14:textId="77777777" w:rsidR="00890D25" w:rsidRDefault="00890D25" w:rsidP="00393098">
      <w:pPr>
        <w:keepNext/>
        <w:widowControl w:val="0"/>
        <w:spacing w:after="0" w:line="288" w:lineRule="auto"/>
      </w:pPr>
    </w:p>
    <w:p w14:paraId="3E2223EF" w14:textId="77777777" w:rsidR="00890D25" w:rsidRDefault="00890D25" w:rsidP="00393098">
      <w:pPr>
        <w:keepNext/>
        <w:widowControl w:val="0"/>
        <w:spacing w:after="0" w:line="288" w:lineRule="auto"/>
      </w:pPr>
    </w:p>
    <w:p w14:paraId="3EC9620A" w14:textId="77777777" w:rsidR="00890D25" w:rsidRPr="008B4CF1" w:rsidRDefault="00890D25" w:rsidP="00393098">
      <w:pPr>
        <w:keepNext/>
        <w:widowControl w:val="0"/>
        <w:spacing w:after="0" w:line="288" w:lineRule="auto"/>
      </w:pPr>
      <w:r w:rsidRPr="008B4CF1">
        <w:tab/>
      </w:r>
      <w:r>
        <w:t>ASHMANN-GERST</w:t>
      </w:r>
      <w:r>
        <w:t>,</w:t>
      </w:r>
      <w:r>
        <w:t xml:space="preserve"> </w:t>
      </w:r>
      <w:r w:rsidRPr="008B4CF1">
        <w:t>J.</w:t>
      </w:r>
    </w:p>
    <w:p w14:paraId="4EC2E7C8" w14:textId="77777777" w:rsidR="00890D25" w:rsidRDefault="00890D25" w:rsidP="00393098">
      <w:pPr>
        <w:keepNext/>
        <w:widowControl w:val="0"/>
        <w:spacing w:after="0" w:line="288" w:lineRule="auto"/>
      </w:pPr>
    </w:p>
    <w:p w14:paraId="2642CECE" w14:textId="77777777" w:rsidR="00890D25" w:rsidRDefault="00890D25" w:rsidP="00393098">
      <w:pPr>
        <w:keepNext/>
        <w:widowControl w:val="0"/>
        <w:spacing w:after="0" w:line="288" w:lineRule="auto"/>
      </w:pPr>
    </w:p>
    <w:p w14:paraId="6C0484EF" w14:textId="77777777" w:rsidR="00890D25" w:rsidRDefault="00890D25" w:rsidP="00393098">
      <w:pPr>
        <w:keepNext/>
        <w:widowControl w:val="0"/>
        <w:spacing w:after="0" w:line="288" w:lineRule="auto"/>
      </w:pPr>
    </w:p>
    <w:p w14:paraId="046CA556" w14:textId="77777777" w:rsidR="00890D25" w:rsidRPr="008B4CF1" w:rsidRDefault="00890D25" w:rsidP="00393098">
      <w:pPr>
        <w:keepNext/>
        <w:widowControl w:val="0"/>
        <w:spacing w:after="0" w:line="288" w:lineRule="auto"/>
      </w:pPr>
      <w:r w:rsidRPr="008B4CF1">
        <w:tab/>
      </w:r>
      <w:r>
        <w:t>CHAVEZ</w:t>
      </w:r>
      <w:r>
        <w:t>,</w:t>
      </w:r>
      <w:r w:rsidRPr="008B4CF1">
        <w:t xml:space="preserve"> J.</w:t>
      </w:r>
    </w:p>
    <w:p w14:paraId="570F85EB" w14:textId="77777777" w:rsidR="00890D25" w:rsidRPr="008B4CF1" w:rsidRDefault="00890D25" w:rsidP="00393098">
      <w:pPr>
        <w:widowControl w:val="0"/>
        <w:spacing w:after="0" w:line="288" w:lineRule="auto"/>
      </w:pPr>
    </w:p>
    <w:sectPr w:rsidR="00C4418B" w:rsidRPr="008B4CF1" w:rsidSect="006A4AC6">
      <w:pgSz w:w="12240" w:h="15840"/>
      <w:pgMar w:top="2160" w:right="2160" w:bottom="216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454F" w14:textId="77777777" w:rsidR="00890D25" w:rsidRDefault="00890D25">
      <w:pPr>
        <w:spacing w:after="0" w:line="240" w:lineRule="auto"/>
      </w:pPr>
      <w:r>
        <w:separator/>
      </w:r>
    </w:p>
  </w:endnote>
  <w:endnote w:type="continuationSeparator" w:id="0">
    <w:p w14:paraId="3148CB6B" w14:textId="77777777" w:rsidR="00890D25" w:rsidRDefault="0089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6C63" w14:textId="77777777" w:rsidR="00890D25" w:rsidRDefault="00890D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C91C5AA" w14:textId="77777777" w:rsidR="00890D25" w:rsidRDefault="00890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D44" w14:textId="77777777" w:rsidR="00890D25" w:rsidRPr="00206978" w:rsidRDefault="00890D25">
    <w:pPr>
      <w:pStyle w:val="Footer"/>
      <w:framePr w:wrap="around" w:vAnchor="text" w:hAnchor="margin" w:xAlign="center" w:y="1"/>
      <w:rPr>
        <w:rStyle w:val="PageNumber"/>
      </w:rPr>
    </w:pPr>
    <w:r w:rsidRPr="00206978">
      <w:rPr>
        <w:rStyle w:val="PageNumber"/>
      </w:rPr>
      <w:fldChar w:fldCharType="begin"/>
    </w:r>
    <w:r w:rsidRPr="00206978">
      <w:rPr>
        <w:rStyle w:val="PageNumber"/>
      </w:rPr>
      <w:instrText xml:space="preserve">PAGE  </w:instrText>
    </w:r>
    <w:r w:rsidRPr="00206978">
      <w:rPr>
        <w:rStyle w:val="PageNumber"/>
      </w:rPr>
      <w:fldChar w:fldCharType="separate"/>
    </w:r>
    <w:r>
      <w:rPr>
        <w:rStyle w:val="PageNumber"/>
        <w:noProof/>
      </w:rPr>
      <w:t>3</w:t>
    </w:r>
    <w:r w:rsidRPr="00206978">
      <w:rPr>
        <w:rStyle w:val="PageNumber"/>
      </w:rPr>
      <w:fldChar w:fldCharType="end"/>
    </w:r>
  </w:p>
  <w:p w14:paraId="494E4F6A" w14:textId="77777777" w:rsidR="00890D25" w:rsidRPr="00206978" w:rsidRDefault="00890D25">
    <w:pPr>
      <w:pStyle w:val="Footer"/>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F30F" w14:textId="77777777" w:rsidR="00890D25" w:rsidRDefault="00890D25">
      <w:pPr>
        <w:pStyle w:val="FootnoteText"/>
        <w:spacing w:line="240" w:lineRule="auto"/>
      </w:pPr>
      <w:r>
        <w:continuationSeparator/>
      </w:r>
    </w:p>
  </w:footnote>
  <w:footnote w:type="continuationSeparator" w:id="0">
    <w:p w14:paraId="6342C581" w14:textId="77777777" w:rsidR="00890D25" w:rsidRDefault="00890D25">
      <w:pPr>
        <w:spacing w:line="240" w:lineRule="auto"/>
      </w:pPr>
      <w:r>
        <w:continuationSeparator/>
      </w:r>
    </w:p>
  </w:footnote>
  <w:footnote w:type="continuationNotice" w:id="1">
    <w:p w14:paraId="7794D3FE" w14:textId="77777777" w:rsidR="00890D25" w:rsidRDefault="00890D25">
      <w:pPr>
        <w:spacing w:line="240" w:lineRule="auto"/>
      </w:pPr>
    </w:p>
  </w:footnote>
  <w:footnote w:id="2">
    <w:p w14:paraId="276E60BF" w14:textId="77777777" w:rsidR="00890D25" w:rsidRDefault="00890D25" w:rsidP="003D4B3D">
      <w:pPr>
        <w:pStyle w:val="FootnoteText"/>
        <w:spacing w:line="240" w:lineRule="auto"/>
        <w:ind w:firstLine="720"/>
      </w:pPr>
      <w:r>
        <w:rPr>
          <w:rStyle w:val="FootnoteReference"/>
        </w:rPr>
        <w:footnoteRef/>
      </w:r>
      <w:r>
        <w:t xml:space="preserve"> Unless otherwise indicated, all references to “15 CCR section 3490” are to the current version of the regulation, as amended in 2022.</w:t>
      </w:r>
    </w:p>
  </w:footnote>
  <w:footnote w:id="3">
    <w:p w14:paraId="50824572" w14:textId="77777777" w:rsidR="00890D25" w:rsidRDefault="00890D25" w:rsidP="00585779">
      <w:pPr>
        <w:pStyle w:val="FootnoteText"/>
        <w:spacing w:line="240" w:lineRule="auto"/>
        <w:ind w:firstLine="720"/>
      </w:pPr>
      <w:r>
        <w:rPr>
          <w:rStyle w:val="FootnoteReference"/>
        </w:rPr>
        <w:footnoteRef/>
      </w:r>
      <w:r>
        <w:t xml:space="preserve"> Section 667.5, subdivision (c)(21) </w:t>
      </w:r>
      <w:r>
        <w:t xml:space="preserve">also </w:t>
      </w:r>
      <w:r>
        <w:t>defines first degree burglary as a violent felony if another person</w:t>
      </w:r>
      <w:r>
        <w:t xml:space="preserve"> (other than an accomplice)</w:t>
      </w:r>
      <w:r>
        <w:t xml:space="preserve"> was present in the residence during the commission of the burglary.</w:t>
      </w:r>
      <w:r>
        <w:t xml:space="preserve">  However, the Department concedes that </w:t>
      </w:r>
      <w:r>
        <w:t>petitioner’s</w:t>
      </w:r>
      <w:r>
        <w:t xml:space="preserve"> first degree burglary </w:t>
      </w:r>
      <w:r>
        <w:t xml:space="preserve">conviction </w:t>
      </w:r>
      <w:r>
        <w:t>does not qualify as a violent felony.</w:t>
      </w:r>
    </w:p>
  </w:footnote>
  <w:footnote w:id="4">
    <w:p w14:paraId="30AEF9E3" w14:textId="77777777" w:rsidR="00890D25" w:rsidRPr="00037B59" w:rsidRDefault="00890D25" w:rsidP="00F14945">
      <w:pPr>
        <w:pStyle w:val="FootnoteText"/>
        <w:spacing w:line="240" w:lineRule="auto"/>
        <w:ind w:firstLine="720"/>
      </w:pPr>
      <w:r>
        <w:rPr>
          <w:rStyle w:val="FootnoteReference"/>
        </w:rPr>
        <w:footnoteRef/>
      </w:r>
      <w:r>
        <w:t xml:space="preserve"> </w:t>
      </w:r>
      <w:r>
        <w:rPr>
          <w:i/>
          <w:iCs/>
        </w:rPr>
        <w:t>In re Douglas</w:t>
      </w:r>
      <w:r>
        <w:t xml:space="preserve"> (2021) 62 Cal.App.5th 726, 738</w:t>
      </w:r>
      <w:r>
        <w:t xml:space="preserve"> (conc. opn. of Robie, Acting P. J.)</w:t>
      </w:r>
      <w:r>
        <w:t>, review granted June 16, 2021, S268570.</w:t>
      </w:r>
    </w:p>
  </w:footnote>
  <w:footnote w:id="5">
    <w:p w14:paraId="43B53A47" w14:textId="77777777" w:rsidR="00890D25" w:rsidRDefault="00890D25" w:rsidP="004203E8">
      <w:pPr>
        <w:pStyle w:val="FootnoteText"/>
        <w:spacing w:line="240" w:lineRule="auto"/>
        <w:ind w:firstLine="720"/>
      </w:pPr>
      <w:r>
        <w:rPr>
          <w:rStyle w:val="FootnoteReference"/>
        </w:rPr>
        <w:footnoteRef/>
      </w:r>
      <w:r>
        <w:t xml:space="preserve"> The current regulation provides that an </w:t>
      </w:r>
      <w:r w:rsidRPr="001B0988">
        <w:t>inmate</w:t>
      </w:r>
      <w:r>
        <w:t xml:space="preserve"> who</w:t>
      </w:r>
      <w:r w:rsidRPr="001B0988">
        <w:t xml:space="preserve"> </w:t>
      </w:r>
      <w:r>
        <w:t>“</w:t>
      </w:r>
      <w:r w:rsidRPr="001B0988">
        <w:t xml:space="preserve">is currently convicted of and is sentenced to a term of incarceration for a </w:t>
      </w:r>
      <w:r>
        <w:t>‘</w:t>
      </w:r>
      <w:r w:rsidRPr="001B0988">
        <w:t>violent felony,</w:t>
      </w:r>
      <w:r>
        <w:t>’</w:t>
      </w:r>
      <w:r w:rsidRPr="001B0988">
        <w:t xml:space="preserve"> including a term for which a violent felony sentence was stayed under Penal Code section 654</w:t>
      </w:r>
      <w:r>
        <w:t xml:space="preserve">” </w:t>
      </w:r>
      <w:r w:rsidRPr="006A16CA">
        <w:t>does not qualify as a</w:t>
      </w:r>
      <w:r>
        <w:t xml:space="preserve"> nonviolent offender, thus making him or her</w:t>
      </w:r>
      <w:r>
        <w:rPr>
          <w:i/>
          <w:iCs/>
        </w:rPr>
        <w:t xml:space="preserve"> </w:t>
      </w:r>
      <w:r>
        <w:t>ineligible for early parole consideration under section 32(a)(1).  (</w:t>
      </w:r>
      <w:r>
        <w:rPr>
          <w:szCs w:val="26"/>
        </w:rPr>
        <w:t>1</w:t>
      </w:r>
      <w:r w:rsidRPr="00D42EA2">
        <w:rPr>
          <w:szCs w:val="26"/>
        </w:rPr>
        <w:t>5</w:t>
      </w:r>
      <w:r>
        <w:rPr>
          <w:szCs w:val="26"/>
        </w:rPr>
        <w:t xml:space="preserve"> CCR</w:t>
      </w:r>
      <w:r w:rsidRPr="00D42EA2">
        <w:rPr>
          <w:szCs w:val="26"/>
        </w:rPr>
        <w:t xml:space="preserve"> §</w:t>
      </w:r>
      <w:r>
        <w:rPr>
          <w:szCs w:val="26"/>
        </w:rPr>
        <w:t> </w:t>
      </w:r>
      <w:r w:rsidRPr="00D42EA2">
        <w:rPr>
          <w:szCs w:val="26"/>
        </w:rPr>
        <w:t>3490, subd. (a)(5)</w:t>
      </w:r>
      <w:r>
        <w:rPr>
          <w:szCs w:val="26"/>
        </w:rPr>
        <w:t>.)</w:t>
      </w:r>
    </w:p>
  </w:footnote>
  <w:footnote w:id="6">
    <w:p w14:paraId="1A899435" w14:textId="77777777" w:rsidR="00890D25" w:rsidRDefault="00890D25" w:rsidP="00F80F68">
      <w:pPr>
        <w:pStyle w:val="FootnoteText"/>
        <w:spacing w:line="240" w:lineRule="auto"/>
        <w:ind w:firstLine="720"/>
      </w:pPr>
      <w:r>
        <w:rPr>
          <w:rStyle w:val="FootnoteReference"/>
        </w:rPr>
        <w:footnoteRef/>
      </w:r>
      <w:r>
        <w:t xml:space="preserve"> </w:t>
      </w:r>
      <w:r w:rsidRPr="00611098">
        <w:t xml:space="preserve">As illustrated by </w:t>
      </w:r>
      <w:r>
        <w:t>petitioner’s</w:t>
      </w:r>
      <w:r w:rsidRPr="00611098">
        <w:t xml:space="preserve"> case,</w:t>
      </w:r>
      <w:r>
        <w:t xml:space="preserve"> o</w:t>
      </w:r>
      <w:r w:rsidRPr="00F80F68">
        <w:t xml:space="preserve">ne </w:t>
      </w:r>
      <w:r>
        <w:t>advantage</w:t>
      </w:r>
      <w:r w:rsidRPr="00F80F68">
        <w:t xml:space="preserve"> of the current regulation is that </w:t>
      </w:r>
      <w:r>
        <w:t>it avoids the</w:t>
      </w:r>
      <w:r>
        <w:t xml:space="preserve"> arbitrariness and</w:t>
      </w:r>
      <w:r>
        <w:t xml:space="preserve"> guesswork </w:t>
      </w:r>
      <w:r>
        <w:t>involved</w:t>
      </w:r>
      <w:r>
        <w:t xml:space="preserve"> in determining </w:t>
      </w:r>
      <w:r w:rsidRPr="00F80F68">
        <w:t xml:space="preserve">which sentence </w:t>
      </w:r>
      <w:r>
        <w:t>a mixed offense</w:t>
      </w:r>
      <w:r w:rsidRPr="00F80F68">
        <w:t xml:space="preserve"> inmate is </w:t>
      </w:r>
      <w:r>
        <w:t>“</w:t>
      </w:r>
      <w:r w:rsidRPr="00F80F68">
        <w:t>currently serving</w:t>
      </w:r>
      <w:r>
        <w:t>.”</w:t>
      </w:r>
      <w:r>
        <w:t xml:space="preserve">  Originally s</w:t>
      </w:r>
      <w:r w:rsidRPr="00D2768A">
        <w:t xml:space="preserve">entenced on August </w:t>
      </w:r>
      <w:r>
        <w:t>7</w:t>
      </w:r>
      <w:r w:rsidRPr="00D2768A">
        <w:t>, 2017</w:t>
      </w:r>
      <w:r>
        <w:t>,</w:t>
      </w:r>
      <w:r w:rsidRPr="00D2768A">
        <w:t xml:space="preserve"> with a</w:t>
      </w:r>
      <w:r>
        <w:t>n anticipated</w:t>
      </w:r>
      <w:r w:rsidRPr="00D2768A">
        <w:t xml:space="preserve"> release date in July 2025, </w:t>
      </w:r>
      <w:r>
        <w:t>p</w:t>
      </w:r>
      <w:r>
        <w:t>etitioner</w:t>
      </w:r>
      <w:r w:rsidRPr="00D2768A">
        <w:t xml:space="preserve"> has </w:t>
      </w:r>
      <w:r>
        <w:t xml:space="preserve">already </w:t>
      </w:r>
      <w:r w:rsidRPr="00D2768A">
        <w:t xml:space="preserve">served the </w:t>
      </w:r>
      <w:r>
        <w:t xml:space="preserve">four-year term for his </w:t>
      </w:r>
      <w:r w:rsidRPr="00D2768A">
        <w:t xml:space="preserve">primary offense of </w:t>
      </w:r>
      <w:r>
        <w:t>first degree burglary</w:t>
      </w:r>
      <w:r w:rsidRPr="00D2768A">
        <w:t xml:space="preserve">. </w:t>
      </w:r>
      <w:r>
        <w:t xml:space="preserve"> </w:t>
      </w:r>
      <w:r w:rsidRPr="00D2768A">
        <w:t>A</w:t>
      </w:r>
      <w:r>
        <w:t xml:space="preserve">s of November </w:t>
      </w:r>
      <w:r w:rsidRPr="00D2768A">
        <w:t>2023</w:t>
      </w:r>
      <w:r>
        <w:t>,</w:t>
      </w:r>
      <w:r w:rsidRPr="00D2768A">
        <w:t xml:space="preserve"> he may be serving the </w:t>
      </w:r>
      <w:r>
        <w:t xml:space="preserve">term for the </w:t>
      </w:r>
      <w:r>
        <w:t>five</w:t>
      </w:r>
      <w:r w:rsidRPr="00D2768A">
        <w:t>-year gang enhancement (which would put him past th</w:t>
      </w:r>
      <w:r w:rsidRPr="00D2768A">
        <w:t xml:space="preserve">e release date of July 2025) or he may </w:t>
      </w:r>
      <w:r w:rsidRPr="00611098">
        <w:t xml:space="preserve">have </w:t>
      </w:r>
      <w:r w:rsidRPr="00D2768A">
        <w:t xml:space="preserve">already commenced serving the robbery term in light of </w:t>
      </w:r>
      <w:r>
        <w:t>his anticipated release in</w:t>
      </w:r>
      <w:r w:rsidRPr="00D2768A">
        <w:t xml:space="preserve"> July 2025. </w:t>
      </w:r>
      <w:r>
        <w:t xml:space="preserve"> </w:t>
      </w:r>
      <w:r w:rsidRPr="00D2768A">
        <w:t xml:space="preserve">And </w:t>
      </w:r>
      <w:r>
        <w:t>neither of these scenarios</w:t>
      </w:r>
      <w:r>
        <w:t xml:space="preserve"> takes account of </w:t>
      </w:r>
      <w:r w:rsidRPr="00D2768A">
        <w:t xml:space="preserve">the </w:t>
      </w:r>
      <w:r>
        <w:t>consecutive eight</w:t>
      </w:r>
      <w:r w:rsidRPr="00D2768A">
        <w:t xml:space="preserve">-month </w:t>
      </w:r>
      <w:r>
        <w:t xml:space="preserve">term imposed for the </w:t>
      </w:r>
      <w:r w:rsidRPr="00D2768A">
        <w:t>second degree burglary.</w:t>
      </w:r>
    </w:p>
  </w:footnote>
  <w:footnote w:id="7">
    <w:p w14:paraId="2B0763A3" w14:textId="77777777" w:rsidR="00890D25" w:rsidRDefault="00890D25" w:rsidP="002A58C7">
      <w:pPr>
        <w:pStyle w:val="FootnoteText"/>
        <w:spacing w:line="240" w:lineRule="auto"/>
        <w:ind w:firstLine="720"/>
      </w:pPr>
      <w:r>
        <w:rPr>
          <w:rStyle w:val="FootnoteReference"/>
        </w:rPr>
        <w:footnoteRef/>
      </w:r>
      <w:r>
        <w:t xml:space="preserve"> “</w:t>
      </w:r>
      <w:r w:rsidRPr="003E641E">
        <w:t xml:space="preserve">Because </w:t>
      </w:r>
      <w:r>
        <w:t>[mixed offense]</w:t>
      </w:r>
      <w:r w:rsidRPr="003E641E">
        <w:t xml:space="preserve"> inmates have sustained convictions for committing violent offenses, they are violent offenders and are currently excluded from </w:t>
      </w:r>
      <w:r>
        <w:t>[nonviolent offender parole review process (</w:t>
      </w:r>
      <w:r w:rsidRPr="003E641E">
        <w:t>NVPP</w:t>
      </w:r>
      <w:r>
        <w:t>)]</w:t>
      </w:r>
      <w:r w:rsidRPr="003E641E">
        <w:t xml:space="preserve"> eligibility. </w:t>
      </w:r>
      <w:r>
        <w:t xml:space="preserve"> </w:t>
      </w:r>
      <w:r w:rsidRPr="003E641E">
        <w:t xml:space="preserve">However, existing regulations do not clearly state that these individuals are excluded from NVPP eligibility. </w:t>
      </w:r>
      <w:r>
        <w:t xml:space="preserve"> </w:t>
      </w:r>
      <w:r w:rsidRPr="003E641E">
        <w:t>Therefore, it is necessary to change existing regulations to clarify that such individuals are not eligible for NVPP consideration.</w:t>
      </w:r>
      <w:r>
        <w:t xml:space="preserve">”  </w:t>
      </w:r>
      <w:r w:rsidRPr="002A58C7">
        <w:t>(</w:t>
      </w:r>
      <w:r>
        <w:t xml:space="preserve">Cal. Dept. of Corrections and Rehabilitation, </w:t>
      </w:r>
      <w:r w:rsidRPr="002A58C7">
        <w:t xml:space="preserve">Notice of Change </w:t>
      </w:r>
      <w:r>
        <w:t>to</w:t>
      </w:r>
      <w:r w:rsidRPr="002A58C7">
        <w:t xml:space="preserve"> Regulations, NCR No.</w:t>
      </w:r>
      <w:r>
        <w:t> </w:t>
      </w:r>
      <w:r w:rsidRPr="002A58C7">
        <w:t>21-</w:t>
      </w:r>
      <w:r>
        <w:t>07</w:t>
      </w:r>
      <w:r w:rsidRPr="002A58C7">
        <w:t>, Initial Statement of Reasons</w:t>
      </w:r>
      <w:r>
        <w:t xml:space="preserve"> &amp; Problem Statement, </w:t>
      </w:r>
      <w:r>
        <w:t>p. </w:t>
      </w:r>
      <w:r>
        <w:t>2, Aug. 6, 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05456"/>
    <w:multiLevelType w:val="hybridMultilevel"/>
    <w:tmpl w:val="5AF28E9C"/>
    <w:lvl w:ilvl="0" w:tplc="61321BF8">
      <w:start w:val="1"/>
      <w:numFmt w:val="decimal"/>
      <w:lvlText w:val="%1."/>
      <w:lvlJc w:val="left"/>
      <w:pPr>
        <w:ind w:left="1080" w:hanging="360"/>
      </w:pPr>
      <w:rPr>
        <w:rFonts w:hint="default"/>
      </w:rPr>
    </w:lvl>
    <w:lvl w:ilvl="1" w:tplc="71DEC6DA" w:tentative="1">
      <w:start w:val="1"/>
      <w:numFmt w:val="lowerLetter"/>
      <w:lvlText w:val="%2."/>
      <w:lvlJc w:val="left"/>
      <w:pPr>
        <w:ind w:left="1800" w:hanging="360"/>
      </w:pPr>
    </w:lvl>
    <w:lvl w:ilvl="2" w:tplc="2962EEEA" w:tentative="1">
      <w:start w:val="1"/>
      <w:numFmt w:val="lowerRoman"/>
      <w:lvlText w:val="%3."/>
      <w:lvlJc w:val="right"/>
      <w:pPr>
        <w:ind w:left="2520" w:hanging="180"/>
      </w:pPr>
    </w:lvl>
    <w:lvl w:ilvl="3" w:tplc="4126DD72" w:tentative="1">
      <w:start w:val="1"/>
      <w:numFmt w:val="decimal"/>
      <w:lvlText w:val="%4."/>
      <w:lvlJc w:val="left"/>
      <w:pPr>
        <w:ind w:left="3240" w:hanging="360"/>
      </w:pPr>
    </w:lvl>
    <w:lvl w:ilvl="4" w:tplc="16EA8FDE" w:tentative="1">
      <w:start w:val="1"/>
      <w:numFmt w:val="lowerLetter"/>
      <w:lvlText w:val="%5."/>
      <w:lvlJc w:val="left"/>
      <w:pPr>
        <w:ind w:left="3960" w:hanging="360"/>
      </w:pPr>
    </w:lvl>
    <w:lvl w:ilvl="5" w:tplc="B8122B68" w:tentative="1">
      <w:start w:val="1"/>
      <w:numFmt w:val="lowerRoman"/>
      <w:lvlText w:val="%6."/>
      <w:lvlJc w:val="right"/>
      <w:pPr>
        <w:ind w:left="4680" w:hanging="180"/>
      </w:pPr>
    </w:lvl>
    <w:lvl w:ilvl="6" w:tplc="B332F76A" w:tentative="1">
      <w:start w:val="1"/>
      <w:numFmt w:val="decimal"/>
      <w:lvlText w:val="%7."/>
      <w:lvlJc w:val="left"/>
      <w:pPr>
        <w:ind w:left="5400" w:hanging="360"/>
      </w:pPr>
    </w:lvl>
    <w:lvl w:ilvl="7" w:tplc="3908628A" w:tentative="1">
      <w:start w:val="1"/>
      <w:numFmt w:val="lowerLetter"/>
      <w:lvlText w:val="%8."/>
      <w:lvlJc w:val="left"/>
      <w:pPr>
        <w:ind w:left="6120" w:hanging="360"/>
      </w:pPr>
    </w:lvl>
    <w:lvl w:ilvl="8" w:tplc="BD90D3DC" w:tentative="1">
      <w:start w:val="1"/>
      <w:numFmt w:val="lowerRoman"/>
      <w:lvlText w:val="%9."/>
      <w:lvlJc w:val="right"/>
      <w:pPr>
        <w:ind w:left="6840" w:hanging="180"/>
      </w:pPr>
    </w:lvl>
  </w:abstractNum>
  <w:num w:numId="1" w16cid:durableId="97321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E5"/>
    <w:rsid w:val="000C21AD"/>
    <w:rsid w:val="00890D25"/>
    <w:rsid w:val="0097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A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imes New Roman" w:hAnsi="Century Schoolboo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E46"/>
    <w:pPr>
      <w:spacing w:after="120" w:line="360" w:lineRule="auto"/>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458C"/>
    <w:pPr>
      <w:tabs>
        <w:tab w:val="center" w:pos="4320"/>
        <w:tab w:val="right" w:pos="8640"/>
      </w:tabs>
    </w:pPr>
  </w:style>
  <w:style w:type="character" w:styleId="FootnoteReference">
    <w:name w:val="footnote reference"/>
    <w:uiPriority w:val="99"/>
    <w:semiHidden/>
    <w:rsid w:val="00F4458C"/>
    <w:rPr>
      <w:b/>
      <w:color w:val="auto"/>
      <w:position w:val="6"/>
      <w:sz w:val="20"/>
    </w:rPr>
  </w:style>
  <w:style w:type="paragraph" w:styleId="FootnoteText">
    <w:name w:val="footnote text"/>
    <w:basedOn w:val="Normal"/>
    <w:link w:val="FootnoteTextChar"/>
    <w:uiPriority w:val="99"/>
    <w:rsid w:val="00F4458C"/>
  </w:style>
  <w:style w:type="paragraph" w:styleId="Header">
    <w:name w:val="header"/>
    <w:basedOn w:val="Normal"/>
    <w:rsid w:val="00F4458C"/>
    <w:pPr>
      <w:tabs>
        <w:tab w:val="center" w:pos="4320"/>
        <w:tab w:val="right" w:pos="8640"/>
      </w:tabs>
    </w:pPr>
  </w:style>
  <w:style w:type="character" w:styleId="PageNumber">
    <w:name w:val="page number"/>
    <w:basedOn w:val="DefaultParagraphFont"/>
    <w:rsid w:val="00F4458C"/>
  </w:style>
  <w:style w:type="character" w:customStyle="1" w:styleId="FootnoteTextChar">
    <w:name w:val="Footnote Text Char"/>
    <w:link w:val="FootnoteText"/>
    <w:uiPriority w:val="99"/>
    <w:rsid w:val="009A54E4"/>
    <w:rPr>
      <w:sz w:val="26"/>
    </w:rPr>
  </w:style>
  <w:style w:type="paragraph" w:styleId="DocumentMap">
    <w:name w:val="Document Map"/>
    <w:basedOn w:val="Normal"/>
    <w:link w:val="DocumentMapChar"/>
    <w:rsid w:val="00D709CC"/>
    <w:rPr>
      <w:rFonts w:ascii="Tahoma" w:hAnsi="Tahoma" w:cs="Tahoma"/>
      <w:sz w:val="16"/>
      <w:szCs w:val="16"/>
    </w:rPr>
  </w:style>
  <w:style w:type="character" w:customStyle="1" w:styleId="DocumentMapChar">
    <w:name w:val="Document Map Char"/>
    <w:link w:val="DocumentMap"/>
    <w:rsid w:val="00D709CC"/>
    <w:rPr>
      <w:rFonts w:ascii="Tahoma" w:hAnsi="Tahoma" w:cs="Tahoma"/>
      <w:sz w:val="16"/>
      <w:szCs w:val="16"/>
    </w:rPr>
  </w:style>
  <w:style w:type="paragraph" w:styleId="NormalWeb">
    <w:name w:val="Normal (Web)"/>
    <w:basedOn w:val="Normal"/>
    <w:semiHidden/>
    <w:unhideWhenUsed/>
    <w:rsid w:val="001B0988"/>
    <w:rPr>
      <w:rFonts w:ascii="Times New Roman" w:hAnsi="Times New Roman"/>
      <w:sz w:val="24"/>
      <w:szCs w:val="24"/>
    </w:rPr>
  </w:style>
  <w:style w:type="paragraph" w:styleId="ListParagraph">
    <w:name w:val="List Paragraph"/>
    <w:basedOn w:val="Normal"/>
    <w:uiPriority w:val="34"/>
    <w:qFormat/>
    <w:rsid w:val="001E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3884</Words>
  <Characters>21568</Characters>
  <Application>Microsoft Office Word</Application>
  <DocSecurity>0</DocSecurity>
  <Lines>472</Lines>
  <Paragraphs>68</Paragraphs>
  <ScaleCrop>false</ScaleCrop>
  <HeadingPairs>
    <vt:vector size="2" baseType="variant">
      <vt:variant>
        <vt:lpstr>Title</vt:lpstr>
      </vt:variant>
      <vt:variant>
        <vt:i4>1</vt:i4>
      </vt:variant>
    </vt:vector>
  </HeadingPairs>
  <TitlesOfParts>
    <vt:vector size="1" baseType="lpstr">
      <vt:lpstr>criminal opinion template</vt:lpstr>
    </vt:vector>
  </TitlesOfParts>
  <Manager/>
  <Company/>
  <LinksUpToDate>false</LinksUpToDate>
  <CharactersWithSpaces>25504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2023-11-17T19:14:00Z</dcterms:created>
  <dcterms:modified xsi:type="dcterms:W3CDTF">2023-11-17T19:14:00Z</dcterms:modified>
  <cp:category/>
</cp:coreProperties>
</file>