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F11AF7" w:rsidRPr="00D378EF" w:rsidP="00F11AF7">
      <w:pPr>
        <w:spacing w:line="240" w:lineRule="auto"/>
        <w:rPr>
          <w:rStyle w:val="PageNumber"/>
          <w:sz w:val="20"/>
        </w:rPr>
      </w:pPr>
      <w:r w:rsidRPr="00D378EF">
        <w:rPr>
          <w:rStyle w:val="PageNumber"/>
          <w:rFonts w:ascii="Century Schoolbook" w:hAnsi="Century Schoolbook"/>
          <w:sz w:val="20"/>
        </w:rPr>
        <w:t>Filed 2/28/23</w:t>
      </w:r>
    </w:p>
    <w:p w:rsidR="00F11AF7" w:rsidP="00F11AF7">
      <w:pPr>
        <w:spacing w:line="240" w:lineRule="auto"/>
        <w:jc w:val="center"/>
        <w:rPr>
          <w:rStyle w:val="PageNumber"/>
          <w:rFonts w:ascii="Century Schoolbook" w:hAnsi="Century Schoolbook"/>
          <w:b/>
          <w:szCs w:val="26"/>
        </w:rPr>
      </w:pPr>
      <w:r>
        <w:rPr>
          <w:rStyle w:val="PageNumber"/>
          <w:rFonts w:ascii="Century Schoolbook" w:hAnsi="Century Schoolbook"/>
          <w:b/>
          <w:szCs w:val="26"/>
        </w:rPr>
        <w:t>CERTIFIED FOR PUBLICATION</w:t>
      </w:r>
    </w:p>
    <w:p w:rsidR="00A37316" w:rsidP="00F11AF7">
      <w:pPr>
        <w:spacing w:line="240" w:lineRule="auto"/>
        <w:jc w:val="center"/>
        <w:rPr>
          <w:rStyle w:val="PageNumber"/>
          <w:rFonts w:ascii="Century Schoolbook" w:hAnsi="Century Schoolbook"/>
          <w:b/>
          <w:szCs w:val="26"/>
        </w:rPr>
      </w:pPr>
    </w:p>
    <w:p w:rsidR="00F11AF7" w:rsidP="00F11AF7">
      <w:pPr>
        <w:spacing w:line="240" w:lineRule="auto"/>
        <w:jc w:val="center"/>
        <w:rPr>
          <w:rStyle w:val="PageNumber"/>
          <w:rFonts w:ascii="Century Schoolbook" w:hAnsi="Century Schoolbook"/>
          <w:szCs w:val="26"/>
        </w:rPr>
      </w:pPr>
      <w:r>
        <w:rPr>
          <w:rStyle w:val="PageNumber"/>
          <w:rFonts w:ascii="Century Schoolbook" w:hAnsi="Century Schoolbook"/>
          <w:szCs w:val="26"/>
        </w:rPr>
        <w:t>IN THE COURT OF APPEAL OF THE STATE OF CALIFORNIA</w:t>
      </w:r>
    </w:p>
    <w:p w:rsidR="00F11AF7" w:rsidP="00F11AF7">
      <w:pPr>
        <w:spacing w:line="240" w:lineRule="auto"/>
        <w:jc w:val="center"/>
        <w:rPr>
          <w:rStyle w:val="PageNumber"/>
          <w:rFonts w:ascii="Century Schoolbook" w:hAnsi="Century Schoolbook"/>
          <w:szCs w:val="26"/>
        </w:rPr>
      </w:pPr>
    </w:p>
    <w:p w:rsidR="00F11AF7" w:rsidP="00F11AF7">
      <w:pPr>
        <w:spacing w:line="240" w:lineRule="auto"/>
        <w:jc w:val="center"/>
        <w:rPr>
          <w:rStyle w:val="PageNumber"/>
          <w:rFonts w:ascii="Century Schoolbook" w:hAnsi="Century Schoolbook"/>
          <w:szCs w:val="26"/>
        </w:rPr>
      </w:pPr>
      <w:r>
        <w:rPr>
          <w:rStyle w:val="PageNumber"/>
          <w:rFonts w:ascii="Century Schoolbook" w:hAnsi="Century Schoolbook"/>
          <w:szCs w:val="26"/>
        </w:rPr>
        <w:t>SECOND APPELLATE DISTRICT</w:t>
      </w:r>
    </w:p>
    <w:p w:rsidR="00F11AF7" w:rsidP="00F11AF7">
      <w:pPr>
        <w:spacing w:line="240" w:lineRule="auto"/>
        <w:jc w:val="center"/>
        <w:rPr>
          <w:rStyle w:val="PageNumber"/>
          <w:rFonts w:ascii="Century Schoolbook" w:hAnsi="Century Schoolbook"/>
          <w:szCs w:val="26"/>
        </w:rPr>
      </w:pPr>
    </w:p>
    <w:p w:rsidR="00F11AF7" w:rsidP="00F11AF7">
      <w:pPr>
        <w:spacing w:line="240" w:lineRule="auto"/>
        <w:jc w:val="center"/>
        <w:rPr>
          <w:rStyle w:val="PageNumber"/>
          <w:rFonts w:ascii="Century Schoolbook" w:hAnsi="Century Schoolbook"/>
          <w:szCs w:val="26"/>
        </w:rPr>
      </w:pPr>
      <w:r>
        <w:rPr>
          <w:rStyle w:val="PageNumber"/>
          <w:rFonts w:ascii="Century Schoolbook" w:hAnsi="Century Schoolbook"/>
          <w:szCs w:val="26"/>
        </w:rPr>
        <w:t>DIVISION SIX</w:t>
      </w:r>
    </w:p>
    <w:p w:rsidR="00F11AF7" w:rsidP="00F11AF7">
      <w:pPr>
        <w:spacing w:line="240" w:lineRule="auto"/>
        <w:jc w:val="center"/>
        <w:rPr>
          <w:rStyle w:val="PageNumber"/>
          <w:rFonts w:ascii="Century Schoolbook" w:hAnsi="Century Schoolbook"/>
          <w:szCs w:val="26"/>
        </w:rPr>
      </w:pPr>
    </w:p>
    <w:p w:rsidR="00F11AF7" w:rsidP="00F11AF7">
      <w:pPr>
        <w:spacing w:line="240" w:lineRule="auto"/>
        <w:jc w:val="center"/>
        <w:rPr>
          <w:rStyle w:val="PageNumber"/>
          <w:rFonts w:ascii="Century Schoolbook" w:hAnsi="Century Schoolbook"/>
          <w:szCs w:val="26"/>
        </w:rPr>
      </w:pPr>
    </w:p>
    <w:tbl>
      <w:tblPr>
        <w:tblW w:w="0" w:type="auto"/>
        <w:tblInd w:w="0" w:type="dxa"/>
        <w:tblLayout w:type="fixed"/>
        <w:tblCellMar>
          <w:top w:w="0" w:type="dxa"/>
          <w:left w:w="108" w:type="dxa"/>
          <w:bottom w:w="0" w:type="dxa"/>
          <w:right w:w="108" w:type="dxa"/>
        </w:tblCellMar>
        <w:tblLook w:val="04A0"/>
      </w:tblPr>
      <w:tblGrid>
        <w:gridCol w:w="4068"/>
        <w:gridCol w:w="4068"/>
      </w:tblGrid>
      <w:tr w:rsidTr="00F11AF7">
        <w:tblPrEx>
          <w:tblW w:w="0" w:type="auto"/>
          <w:tblInd w:w="0" w:type="dxa"/>
          <w:tblLayout w:type="fixed"/>
          <w:tblCellMar>
            <w:top w:w="0" w:type="dxa"/>
            <w:left w:w="108" w:type="dxa"/>
            <w:bottom w:w="0" w:type="dxa"/>
            <w:right w:w="108" w:type="dxa"/>
          </w:tblCellMar>
          <w:tblLook w:val="04A0"/>
        </w:tblPrEx>
        <w:tc>
          <w:tcPr>
            <w:tcW w:w="4068" w:type="dxa"/>
            <w:tcBorders>
              <w:top w:val="nil"/>
              <w:left w:val="nil"/>
              <w:bottom w:val="single" w:sz="4" w:space="0" w:color="auto"/>
              <w:right w:val="single" w:sz="4" w:space="0" w:color="auto"/>
            </w:tcBorders>
          </w:tcPr>
          <w:p w:rsidR="00F11AF7">
            <w:pPr>
              <w:widowControl w:val="0"/>
              <w:spacing w:line="240" w:lineRule="auto"/>
              <w:rPr>
                <w:rStyle w:val="PageNumber"/>
                <w:rFonts w:ascii="Century Schoolbook" w:hAnsi="Century Schoolbook"/>
                <w:position w:val="0"/>
                <w:sz w:val="24"/>
                <w:szCs w:val="26"/>
                <w:lang w:val="en-US" w:eastAsia="en-US" w:bidi="ar-SA"/>
              </w:rPr>
            </w:pPr>
            <w:r>
              <w:rPr>
                <w:rStyle w:val="PageNumber"/>
                <w:rFonts w:ascii="Century Schoolbook" w:hAnsi="Century Schoolbook"/>
                <w:position w:val="0"/>
                <w:sz w:val="24"/>
                <w:szCs w:val="26"/>
                <w:lang w:val="en-US" w:eastAsia="en-US" w:bidi="ar-SA"/>
              </w:rPr>
              <w:t>PEMILADY ALGO-HEYRES et al.,</w:t>
            </w:r>
          </w:p>
          <w:p w:rsidR="00F11AF7">
            <w:pPr>
              <w:widowControl w:val="0"/>
              <w:spacing w:line="240" w:lineRule="auto"/>
              <w:rPr>
                <w:rStyle w:val="PageNumber"/>
                <w:rFonts w:ascii="Century Schoolbook" w:hAnsi="Century Schoolbook"/>
                <w:position w:val="0"/>
                <w:sz w:val="24"/>
                <w:szCs w:val="26"/>
                <w:lang w:val="en-US" w:eastAsia="en-US" w:bidi="ar-SA"/>
              </w:rPr>
            </w:pPr>
          </w:p>
          <w:p w:rsidR="00F11AF7">
            <w:pPr>
              <w:widowControl w:val="0"/>
              <w:spacing w:line="240" w:lineRule="auto"/>
              <w:rPr>
                <w:rStyle w:val="PageNumber"/>
                <w:rFonts w:ascii="Century Schoolbook" w:hAnsi="Century Schoolbook"/>
                <w:position w:val="0"/>
                <w:sz w:val="24"/>
                <w:szCs w:val="26"/>
                <w:lang w:val="en-US" w:eastAsia="en-US" w:bidi="ar-SA"/>
              </w:rPr>
            </w:pPr>
            <w:r>
              <w:rPr>
                <w:rStyle w:val="PageNumber"/>
                <w:rFonts w:ascii="Century Schoolbook" w:hAnsi="Century Schoolbook"/>
                <w:position w:val="0"/>
                <w:sz w:val="24"/>
                <w:szCs w:val="26"/>
                <w:lang w:val="en-US" w:eastAsia="en-US" w:bidi="ar-SA"/>
              </w:rPr>
              <w:t xml:space="preserve">    Plaintiffs and Respondents,</w:t>
            </w:r>
          </w:p>
          <w:p w:rsidR="00F11AF7">
            <w:pPr>
              <w:widowControl w:val="0"/>
              <w:spacing w:line="240" w:lineRule="auto"/>
              <w:rPr>
                <w:rStyle w:val="PageNumber"/>
                <w:rFonts w:ascii="Century Schoolbook" w:hAnsi="Century Schoolbook"/>
                <w:position w:val="0"/>
                <w:sz w:val="24"/>
                <w:szCs w:val="26"/>
                <w:lang w:val="en-US" w:eastAsia="en-US" w:bidi="ar-SA"/>
              </w:rPr>
            </w:pPr>
          </w:p>
          <w:p w:rsidR="00F11AF7">
            <w:pPr>
              <w:widowControl w:val="0"/>
              <w:spacing w:line="240" w:lineRule="auto"/>
              <w:rPr>
                <w:rStyle w:val="PageNumber"/>
                <w:rFonts w:ascii="Century Schoolbook" w:hAnsi="Century Schoolbook"/>
                <w:position w:val="0"/>
                <w:sz w:val="24"/>
                <w:szCs w:val="26"/>
                <w:lang w:val="en-US" w:eastAsia="en-US" w:bidi="ar-SA"/>
              </w:rPr>
            </w:pPr>
            <w:r>
              <w:rPr>
                <w:rStyle w:val="PageNumber"/>
                <w:rFonts w:ascii="Century Schoolbook" w:hAnsi="Century Schoolbook"/>
                <w:position w:val="0"/>
                <w:sz w:val="24"/>
                <w:szCs w:val="26"/>
                <w:lang w:val="en-US" w:eastAsia="en-US" w:bidi="ar-SA"/>
              </w:rPr>
              <w:t>v.</w:t>
            </w:r>
          </w:p>
          <w:p w:rsidR="00F11AF7">
            <w:pPr>
              <w:widowControl w:val="0"/>
              <w:spacing w:line="240" w:lineRule="auto"/>
              <w:rPr>
                <w:rStyle w:val="PageNumber"/>
                <w:rFonts w:ascii="Century Schoolbook" w:hAnsi="Century Schoolbook"/>
                <w:position w:val="0"/>
                <w:sz w:val="24"/>
                <w:szCs w:val="26"/>
                <w:lang w:val="en-US" w:eastAsia="en-US" w:bidi="ar-SA"/>
              </w:rPr>
            </w:pPr>
          </w:p>
          <w:p w:rsidR="00F11AF7">
            <w:pPr>
              <w:widowControl w:val="0"/>
              <w:spacing w:line="240" w:lineRule="auto"/>
              <w:rPr>
                <w:rStyle w:val="PageNumber"/>
                <w:rFonts w:ascii="Century Schoolbook" w:hAnsi="Century Schoolbook"/>
                <w:position w:val="0"/>
                <w:sz w:val="24"/>
                <w:szCs w:val="26"/>
                <w:lang w:val="en-US" w:eastAsia="en-US" w:bidi="ar-SA"/>
              </w:rPr>
            </w:pPr>
            <w:r>
              <w:rPr>
                <w:rStyle w:val="PageNumber"/>
                <w:rFonts w:ascii="Century Schoolbook" w:hAnsi="Century Schoolbook"/>
                <w:position w:val="0"/>
                <w:sz w:val="24"/>
                <w:szCs w:val="26"/>
                <w:lang w:val="en-US" w:eastAsia="en-US" w:bidi="ar-SA"/>
              </w:rPr>
              <w:t>OXNARD MANOR LP,</w:t>
            </w:r>
          </w:p>
          <w:p w:rsidR="00F11AF7">
            <w:pPr>
              <w:widowControl w:val="0"/>
              <w:spacing w:line="240" w:lineRule="auto"/>
              <w:rPr>
                <w:rStyle w:val="PageNumber"/>
                <w:rFonts w:ascii="Century Schoolbook" w:hAnsi="Century Schoolbook"/>
                <w:position w:val="0"/>
                <w:sz w:val="24"/>
                <w:szCs w:val="26"/>
                <w:lang w:val="en-US" w:eastAsia="en-US" w:bidi="ar-SA"/>
              </w:rPr>
            </w:pPr>
          </w:p>
          <w:p w:rsidR="00F11AF7">
            <w:pPr>
              <w:widowControl w:val="0"/>
              <w:spacing w:line="240" w:lineRule="auto"/>
              <w:rPr>
                <w:rStyle w:val="PageNumber"/>
                <w:rFonts w:ascii="Century Schoolbook" w:hAnsi="Century Schoolbook"/>
                <w:position w:val="0"/>
                <w:sz w:val="24"/>
                <w:szCs w:val="26"/>
                <w:lang w:val="en-US" w:eastAsia="en-US" w:bidi="ar-SA"/>
              </w:rPr>
            </w:pPr>
            <w:r>
              <w:rPr>
                <w:rStyle w:val="PageNumber"/>
                <w:rFonts w:ascii="Century Schoolbook" w:hAnsi="Century Schoolbook"/>
                <w:position w:val="0"/>
                <w:sz w:val="24"/>
                <w:szCs w:val="26"/>
                <w:lang w:val="en-US" w:eastAsia="en-US" w:bidi="ar-SA"/>
              </w:rPr>
              <w:t xml:space="preserve">    Defendant and Appellant.</w:t>
            </w:r>
          </w:p>
          <w:p w:rsidR="00F11AF7">
            <w:pPr>
              <w:widowControl w:val="0"/>
              <w:spacing w:line="240" w:lineRule="auto"/>
              <w:rPr>
                <w:rStyle w:val="PageNumber"/>
                <w:rFonts w:ascii="Century Schoolbook" w:hAnsi="Century Schoolbook"/>
                <w:position w:val="0"/>
                <w:sz w:val="24"/>
                <w:szCs w:val="26"/>
                <w:lang w:val="en-US" w:eastAsia="en-US" w:bidi="ar-SA"/>
              </w:rPr>
            </w:pPr>
          </w:p>
        </w:tc>
        <w:tc>
          <w:tcPr>
            <w:tcW w:w="4068" w:type="dxa"/>
            <w:tcBorders>
              <w:top w:val="nil"/>
              <w:left w:val="single" w:sz="4" w:space="0" w:color="auto"/>
              <w:bottom w:val="nil"/>
              <w:right w:val="nil"/>
            </w:tcBorders>
          </w:tcPr>
          <w:p w:rsidR="00F11AF7">
            <w:pPr>
              <w:widowControl w:val="0"/>
              <w:spacing w:line="240" w:lineRule="auto"/>
              <w:jc w:val="center"/>
              <w:rPr>
                <w:rStyle w:val="PageNumber"/>
                <w:rFonts w:ascii="Century Schoolbook" w:hAnsi="Century Schoolbook"/>
                <w:position w:val="0"/>
                <w:sz w:val="24"/>
                <w:szCs w:val="26"/>
                <w:lang w:val="en-US" w:eastAsia="en-US" w:bidi="ar-SA"/>
              </w:rPr>
            </w:pPr>
            <w:r>
              <w:rPr>
                <w:rStyle w:val="PageNumber"/>
                <w:rFonts w:ascii="Century Schoolbook" w:hAnsi="Century Schoolbook"/>
                <w:position w:val="0"/>
                <w:sz w:val="24"/>
                <w:szCs w:val="26"/>
                <w:lang w:val="en-US" w:eastAsia="en-US" w:bidi="ar-SA"/>
              </w:rPr>
              <w:t>2d Civil No. B319601</w:t>
            </w:r>
          </w:p>
          <w:p w:rsidR="00F11AF7">
            <w:pPr>
              <w:widowControl w:val="0"/>
              <w:spacing w:line="240" w:lineRule="auto"/>
              <w:jc w:val="center"/>
              <w:rPr>
                <w:rStyle w:val="PageNumber"/>
                <w:rFonts w:ascii="Century Schoolbook" w:hAnsi="Century Schoolbook"/>
                <w:position w:val="0"/>
                <w:sz w:val="24"/>
                <w:szCs w:val="26"/>
                <w:lang w:val="en-US" w:eastAsia="en-US" w:bidi="ar-SA"/>
              </w:rPr>
            </w:pPr>
            <w:r>
              <w:rPr>
                <w:rStyle w:val="PageNumber"/>
                <w:rFonts w:ascii="Century Schoolbook" w:hAnsi="Century Schoolbook"/>
                <w:position w:val="0"/>
                <w:sz w:val="24"/>
                <w:szCs w:val="26"/>
                <w:lang w:val="en-US" w:eastAsia="en-US" w:bidi="ar-SA"/>
              </w:rPr>
              <w:t>(Super. Ct. No. 56-2020-00542015-CU-NP-VTA)</w:t>
            </w:r>
          </w:p>
          <w:p w:rsidR="00F11AF7">
            <w:pPr>
              <w:widowControl w:val="0"/>
              <w:spacing w:line="240" w:lineRule="auto"/>
              <w:jc w:val="center"/>
              <w:rPr>
                <w:rStyle w:val="PageNumber"/>
                <w:rFonts w:ascii="Century Schoolbook" w:hAnsi="Century Schoolbook"/>
                <w:position w:val="0"/>
                <w:sz w:val="24"/>
                <w:szCs w:val="26"/>
                <w:lang w:val="en-US" w:eastAsia="en-US" w:bidi="ar-SA"/>
              </w:rPr>
            </w:pPr>
            <w:r>
              <w:rPr>
                <w:rStyle w:val="PageNumber"/>
                <w:rFonts w:ascii="Century Schoolbook" w:hAnsi="Century Schoolbook"/>
                <w:position w:val="0"/>
                <w:sz w:val="24"/>
                <w:szCs w:val="26"/>
                <w:lang w:val="en-US" w:eastAsia="en-US" w:bidi="ar-SA"/>
              </w:rPr>
              <w:t>(Ventura County)</w:t>
            </w:r>
          </w:p>
          <w:p w:rsidR="00F11AF7">
            <w:pPr>
              <w:widowControl w:val="0"/>
              <w:spacing w:line="240" w:lineRule="auto"/>
              <w:jc w:val="center"/>
              <w:rPr>
                <w:rStyle w:val="PageNumber"/>
                <w:rFonts w:ascii="Century Schoolbook" w:hAnsi="Century Schoolbook"/>
                <w:position w:val="0"/>
                <w:sz w:val="24"/>
                <w:szCs w:val="26"/>
                <w:lang w:val="en-US" w:eastAsia="en-US" w:bidi="ar-SA"/>
              </w:rPr>
            </w:pPr>
          </w:p>
        </w:tc>
      </w:tr>
    </w:tbl>
    <w:p w:rsidR="00F11AF7" w:rsidP="00F11AF7">
      <w:pPr>
        <w:spacing w:line="288" w:lineRule="auto"/>
        <w:rPr>
          <w:rStyle w:val="PageNumber"/>
          <w:rFonts w:ascii="Century Schoolbook" w:hAnsi="Century Schoolbook"/>
          <w:szCs w:val="26"/>
        </w:rPr>
      </w:pPr>
    </w:p>
    <w:p w:rsidR="006440D9" w:rsidP="008B51BB">
      <w:pPr>
        <w:spacing w:line="288" w:lineRule="auto"/>
        <w:rPr>
          <w:rStyle w:val="PageNumber"/>
          <w:rFonts w:ascii="Century Schoolbook" w:hAnsi="Century Schoolbook"/>
          <w:sz w:val="26"/>
          <w:szCs w:val="26"/>
        </w:rPr>
      </w:pPr>
      <w:r>
        <w:rPr>
          <w:rStyle w:val="PageNumber"/>
          <w:rFonts w:ascii="Century Schoolbook" w:hAnsi="Century Schoolbook"/>
          <w:szCs w:val="26"/>
        </w:rPr>
        <w:tab/>
      </w:r>
      <w:r w:rsidRPr="00103BFA">
        <w:rPr>
          <w:rStyle w:val="PageNumber"/>
          <w:rFonts w:ascii="Century Schoolbook" w:hAnsi="Century Schoolbook"/>
          <w:sz w:val="26"/>
          <w:szCs w:val="26"/>
        </w:rPr>
        <w:t>A</w:t>
      </w:r>
      <w:r>
        <w:rPr>
          <w:rStyle w:val="PageNumber"/>
          <w:rFonts w:ascii="Century Schoolbook" w:hAnsi="Century Schoolbook"/>
          <w:sz w:val="26"/>
          <w:szCs w:val="26"/>
        </w:rPr>
        <w:t>n a</w:t>
      </w:r>
      <w:r w:rsidRPr="00103BFA">
        <w:rPr>
          <w:rStyle w:val="PageNumber"/>
          <w:rFonts w:ascii="Century Schoolbook" w:hAnsi="Century Schoolbook"/>
          <w:sz w:val="26"/>
          <w:szCs w:val="26"/>
        </w:rPr>
        <w:t>rbitration agreement</w:t>
      </w:r>
      <w:r>
        <w:rPr>
          <w:rStyle w:val="PageNumber"/>
          <w:rFonts w:ascii="Century Schoolbook" w:hAnsi="Century Schoolbook"/>
          <w:sz w:val="26"/>
          <w:szCs w:val="26"/>
        </w:rPr>
        <w:t>, like any contract,</w:t>
      </w:r>
      <w:r w:rsidRPr="00103BFA">
        <w:rPr>
          <w:rStyle w:val="PageNumber"/>
          <w:rFonts w:ascii="Century Schoolbook" w:hAnsi="Century Schoolbook"/>
          <w:sz w:val="26"/>
          <w:szCs w:val="26"/>
        </w:rPr>
        <w:t xml:space="preserve"> </w:t>
      </w:r>
      <w:r>
        <w:rPr>
          <w:rStyle w:val="PageNumber"/>
          <w:rFonts w:ascii="Century Schoolbook" w:hAnsi="Century Schoolbook"/>
          <w:sz w:val="26"/>
          <w:szCs w:val="26"/>
        </w:rPr>
        <w:t xml:space="preserve">requires the mutual consent of the parties.  Here, we consider whether respondent Cornelio Heyres, a resident at Oxnard Manor, a skilled nursing facility, had the capacity to consent to arbitrate and waive his right to a jury trial on claims for medical malpractice, elder abuse, and related torts.  </w:t>
      </w:r>
    </w:p>
    <w:p w:rsidR="00F11AF7" w:rsidRPr="00D6789D" w:rsidP="006440D9">
      <w:pPr>
        <w:spacing w:line="288" w:lineRule="auto"/>
        <w:ind w:firstLine="720"/>
        <w:rPr>
          <w:rStyle w:val="PageNumber"/>
          <w:rFonts w:ascii="Century Schoolbook" w:hAnsi="Century Schoolbook"/>
          <w:sz w:val="26"/>
          <w:szCs w:val="26"/>
        </w:rPr>
      </w:pPr>
      <w:r>
        <w:rPr>
          <w:rStyle w:val="PageNumber"/>
          <w:rFonts w:ascii="Century Schoolbook" w:hAnsi="Century Schoolbook"/>
          <w:sz w:val="26"/>
          <w:szCs w:val="26"/>
        </w:rPr>
        <w:t xml:space="preserve">The answer is no.  Probate Code sections 810 through 812 provide that a party lacks legal capacity to enter into a contract where deficits in the person’s mental functioning significantly impair the ability to understand and appreciate the attendant consequences, risks, and benefits of the contract.  Because respondent lacked legal capacity to enter into a contract, his arbitration agreement cannot be enforced.  The trial court denied </w:t>
      </w:r>
      <w:r>
        <w:rPr>
          <w:rStyle w:val="PageNumber"/>
          <w:rFonts w:ascii="Century Schoolbook" w:hAnsi="Century Schoolbook"/>
          <w:sz w:val="26"/>
          <w:szCs w:val="26"/>
        </w:rPr>
        <w:t xml:space="preserve">appellant Oxnard Manor’s motion to compel arbitration for that reason. </w:t>
      </w:r>
      <w:r w:rsidRPr="00D6789D">
        <w:rPr>
          <w:rStyle w:val="PageNumber"/>
          <w:rFonts w:ascii="Century Schoolbook" w:hAnsi="Century Schoolbook"/>
          <w:sz w:val="26"/>
          <w:szCs w:val="26"/>
        </w:rPr>
        <w:t xml:space="preserve"> (Code Civ. Proc., § 1294, subd. (a).)</w:t>
      </w:r>
      <w:r>
        <w:rPr>
          <w:rStyle w:val="PageNumber"/>
          <w:rFonts w:ascii="Century Schoolbook" w:hAnsi="Century Schoolbook"/>
          <w:sz w:val="26"/>
          <w:szCs w:val="26"/>
        </w:rPr>
        <w:t xml:space="preserve">  </w:t>
      </w:r>
      <w:r w:rsidRPr="00D6789D">
        <w:rPr>
          <w:rStyle w:val="PageNumber"/>
          <w:rFonts w:ascii="Century Schoolbook" w:hAnsi="Century Schoolbook"/>
          <w:sz w:val="26"/>
          <w:szCs w:val="26"/>
        </w:rPr>
        <w:t>We affirm.</w:t>
      </w:r>
    </w:p>
    <w:p w:rsidR="00F11AF7" w:rsidRPr="00D6789D" w:rsidP="00D6789D">
      <w:pPr>
        <w:spacing w:line="288" w:lineRule="auto"/>
        <w:jc w:val="center"/>
        <w:rPr>
          <w:rStyle w:val="PageNumber"/>
          <w:rFonts w:ascii="Century Schoolbook" w:hAnsi="Century Schoolbook"/>
          <w:sz w:val="26"/>
          <w:szCs w:val="26"/>
        </w:rPr>
      </w:pPr>
      <w:r w:rsidRPr="00D6789D">
        <w:rPr>
          <w:rStyle w:val="PageNumber"/>
          <w:rFonts w:ascii="Century Schoolbook" w:hAnsi="Century Schoolbook"/>
          <w:sz w:val="26"/>
          <w:szCs w:val="26"/>
        </w:rPr>
        <w:t>FACTUAL AND PROCEDURAL HISTORY</w:t>
      </w:r>
    </w:p>
    <w:p w:rsidR="00BF46AE" w:rsidRPr="00D6789D" w:rsidP="00100259">
      <w:pPr>
        <w:spacing w:line="288" w:lineRule="auto"/>
        <w:ind w:firstLine="720"/>
        <w:rPr>
          <w:rStyle w:val="PageNumber"/>
          <w:rFonts w:ascii="Century Schoolbook" w:hAnsi="Century Schoolbook"/>
          <w:sz w:val="26"/>
          <w:szCs w:val="26"/>
        </w:rPr>
      </w:pPr>
      <w:r w:rsidRPr="00D6789D">
        <w:rPr>
          <w:rStyle w:val="PageNumber"/>
          <w:rFonts w:ascii="Century Schoolbook" w:hAnsi="Century Schoolbook"/>
          <w:sz w:val="26"/>
          <w:szCs w:val="26"/>
        </w:rPr>
        <w:t>Cornelio</w:t>
      </w:r>
      <w:r>
        <w:rPr>
          <w:rFonts w:ascii="Century Schoolbook" w:hAnsi="Century Schoolbook"/>
          <w:szCs w:val="26"/>
          <w:vertAlign w:val="superscript"/>
        </w:rPr>
        <w:footnoteReference w:id="2"/>
      </w:r>
      <w:r w:rsidRPr="00B229D0">
        <w:rPr>
          <w:rFonts w:ascii="Century Schoolbook" w:hAnsi="Century Schoolbook"/>
          <w:szCs w:val="26"/>
        </w:rPr>
        <w:t xml:space="preserve"> </w:t>
      </w:r>
      <w:r w:rsidRPr="00D6789D">
        <w:rPr>
          <w:rStyle w:val="PageNumber"/>
          <w:rFonts w:ascii="Century Schoolbook" w:hAnsi="Century Schoolbook"/>
          <w:sz w:val="26"/>
          <w:szCs w:val="26"/>
        </w:rPr>
        <w:t>suffered a stroke on August 18, 2009</w:t>
      </w:r>
      <w:r>
        <w:rPr>
          <w:rStyle w:val="PageNumber"/>
          <w:rFonts w:ascii="Century Schoolbook" w:hAnsi="Century Schoolbook"/>
          <w:sz w:val="26"/>
          <w:szCs w:val="26"/>
        </w:rPr>
        <w:t>.</w:t>
      </w:r>
      <w:r w:rsidRPr="00D6789D">
        <w:rPr>
          <w:rStyle w:val="PageNumber"/>
          <w:rFonts w:ascii="Century Schoolbook" w:hAnsi="Century Schoolbook"/>
          <w:sz w:val="26"/>
          <w:szCs w:val="26"/>
        </w:rPr>
        <w:t xml:space="preserve">  He was hospitalized at St. John’s Regional Medical Center for two weeks, followed by a month in St. John’s inpatient rehabilitation facility.  He entered Oxnard Manor, a skilled nursing facility, on October 3.  </w:t>
      </w:r>
    </w:p>
    <w:p w:rsidR="00F11AF7" w:rsidRPr="00D6789D" w:rsidP="00D6789D">
      <w:pPr>
        <w:spacing w:line="288" w:lineRule="auto"/>
        <w:ind w:firstLine="720"/>
        <w:rPr>
          <w:rStyle w:val="PageNumber"/>
          <w:rFonts w:ascii="Century Schoolbook" w:hAnsi="Century Schoolbook"/>
          <w:sz w:val="26"/>
          <w:szCs w:val="26"/>
        </w:rPr>
      </w:pPr>
      <w:r w:rsidRPr="00D6789D">
        <w:rPr>
          <w:rStyle w:val="PageNumber"/>
          <w:rFonts w:ascii="Century Schoolbook" w:hAnsi="Century Schoolbook"/>
          <w:sz w:val="26"/>
          <w:szCs w:val="26"/>
        </w:rPr>
        <w:t xml:space="preserve">Four days later, </w:t>
      </w:r>
      <w:r>
        <w:rPr>
          <w:rStyle w:val="PageNumber"/>
          <w:rFonts w:ascii="Century Schoolbook" w:hAnsi="Century Schoolbook"/>
          <w:sz w:val="26"/>
          <w:szCs w:val="26"/>
        </w:rPr>
        <w:t>on October 7, Cornelio</w:t>
      </w:r>
      <w:r w:rsidRPr="00D6789D">
        <w:rPr>
          <w:rStyle w:val="PageNumber"/>
          <w:rFonts w:ascii="Century Schoolbook" w:hAnsi="Century Schoolbook"/>
          <w:sz w:val="26"/>
          <w:szCs w:val="26"/>
        </w:rPr>
        <w:t xml:space="preserve"> signed an arbitration agreement. </w:t>
      </w:r>
      <w:bookmarkStart w:id="0" w:name="_Hlk119501632"/>
      <w:r>
        <w:rPr>
          <w:rStyle w:val="PageNumber"/>
          <w:rFonts w:ascii="Century Schoolbook" w:hAnsi="Century Schoolbook"/>
          <w:sz w:val="26"/>
          <w:szCs w:val="26"/>
        </w:rPr>
        <w:t xml:space="preserve"> It </w:t>
      </w:r>
      <w:r w:rsidRPr="00D6789D">
        <w:rPr>
          <w:rStyle w:val="PageNumber"/>
          <w:rFonts w:ascii="Century Schoolbook" w:hAnsi="Century Schoolbook"/>
          <w:sz w:val="26"/>
          <w:szCs w:val="26"/>
        </w:rPr>
        <w:t xml:space="preserve">stated that </w:t>
      </w:r>
      <w:r>
        <w:rPr>
          <w:rStyle w:val="PageNumber"/>
          <w:rFonts w:ascii="Century Schoolbook" w:hAnsi="Century Schoolbook"/>
          <w:sz w:val="26"/>
          <w:szCs w:val="26"/>
        </w:rPr>
        <w:t>he</w:t>
      </w:r>
      <w:r w:rsidRPr="00D6789D">
        <w:rPr>
          <w:rStyle w:val="PageNumber"/>
          <w:rFonts w:ascii="Century Schoolbook" w:hAnsi="Century Schoolbook"/>
          <w:sz w:val="26"/>
          <w:szCs w:val="26"/>
        </w:rPr>
        <w:t xml:space="preserve"> gave up his right to a jury or court trial, and required arbitration </w:t>
      </w:r>
      <w:r>
        <w:rPr>
          <w:rStyle w:val="PageNumber"/>
          <w:rFonts w:ascii="Century Schoolbook" w:hAnsi="Century Schoolbook"/>
          <w:sz w:val="26"/>
          <w:szCs w:val="26"/>
        </w:rPr>
        <w:t>of</w:t>
      </w:r>
      <w:r w:rsidRPr="00D6789D">
        <w:rPr>
          <w:rStyle w:val="PageNumber"/>
          <w:rFonts w:ascii="Century Schoolbook" w:hAnsi="Century Schoolbook"/>
          <w:sz w:val="26"/>
          <w:szCs w:val="26"/>
        </w:rPr>
        <w:t xml:space="preserve"> </w:t>
      </w:r>
      <w:r>
        <w:rPr>
          <w:rStyle w:val="PageNumber"/>
          <w:rFonts w:ascii="Century Schoolbook" w:hAnsi="Century Schoolbook"/>
          <w:sz w:val="26"/>
          <w:szCs w:val="26"/>
        </w:rPr>
        <w:t xml:space="preserve">claims arising from services provided by Oxnard Manor, including claims of </w:t>
      </w:r>
      <w:r w:rsidRPr="00D6789D">
        <w:rPr>
          <w:rStyle w:val="PageNumber"/>
          <w:rFonts w:ascii="Century Schoolbook" w:hAnsi="Century Schoolbook"/>
          <w:sz w:val="26"/>
          <w:szCs w:val="26"/>
        </w:rPr>
        <w:t>medical malpractice</w:t>
      </w:r>
      <w:r>
        <w:rPr>
          <w:rStyle w:val="PageNumber"/>
          <w:rFonts w:ascii="Century Schoolbook" w:hAnsi="Century Schoolbook"/>
          <w:sz w:val="26"/>
          <w:szCs w:val="26"/>
        </w:rPr>
        <w:t xml:space="preserve">, elder abuse, and other torts. </w:t>
      </w:r>
    </w:p>
    <w:p w:rsidR="00040678" w:rsidRPr="00D6789D" w:rsidP="00D6789D">
      <w:pPr>
        <w:spacing w:line="288" w:lineRule="auto"/>
        <w:ind w:firstLine="720"/>
        <w:rPr>
          <w:rStyle w:val="PageNumber"/>
          <w:rFonts w:ascii="Century Schoolbook" w:hAnsi="Century Schoolbook"/>
          <w:sz w:val="26"/>
          <w:szCs w:val="26"/>
        </w:rPr>
      </w:pPr>
      <w:bookmarkEnd w:id="0"/>
      <w:r w:rsidRPr="00D6789D">
        <w:rPr>
          <w:rStyle w:val="PageNumber"/>
          <w:rFonts w:ascii="Century Schoolbook" w:hAnsi="Century Schoolbook"/>
          <w:sz w:val="26"/>
          <w:szCs w:val="26"/>
        </w:rPr>
        <w:t>Cornelio remained a r</w:t>
      </w:r>
      <w:r>
        <w:rPr>
          <w:rStyle w:val="PageNumber"/>
          <w:rFonts w:ascii="Century Schoolbook" w:hAnsi="Century Schoolbook"/>
          <w:sz w:val="26"/>
          <w:szCs w:val="26"/>
        </w:rPr>
        <w:t>esi</w:t>
      </w:r>
      <w:r w:rsidRPr="00D6789D">
        <w:rPr>
          <w:rStyle w:val="PageNumber"/>
          <w:rFonts w:ascii="Century Schoolbook" w:hAnsi="Century Schoolbook"/>
          <w:sz w:val="26"/>
          <w:szCs w:val="26"/>
        </w:rPr>
        <w:t>dent at Oxnard Manor until his death nine years later.  Respondents Pemilady Algo-Heyres and Wernher Hey</w:t>
      </w:r>
      <w:r>
        <w:rPr>
          <w:rStyle w:val="PageNumber"/>
          <w:rFonts w:ascii="Century Schoolbook" w:hAnsi="Century Schoolbook"/>
          <w:sz w:val="26"/>
          <w:szCs w:val="26"/>
        </w:rPr>
        <w:t>r</w:t>
      </w:r>
      <w:r w:rsidRPr="00D6789D">
        <w:rPr>
          <w:rStyle w:val="PageNumber"/>
          <w:rFonts w:ascii="Century Schoolbook" w:hAnsi="Century Schoolbook"/>
          <w:sz w:val="26"/>
          <w:szCs w:val="26"/>
        </w:rPr>
        <w:t>es, individually and as Cornelio’s successors in interest, sued Oxnard Manor for elder abuse/neglect, wrongful death, statutory violations</w:t>
      </w:r>
      <w:r>
        <w:rPr>
          <w:rStyle w:val="PageNumber"/>
          <w:rFonts w:ascii="Century Schoolbook" w:hAnsi="Century Schoolbook"/>
          <w:sz w:val="26"/>
          <w:szCs w:val="26"/>
        </w:rPr>
        <w:t xml:space="preserve">/breach of </w:t>
      </w:r>
      <w:r w:rsidRPr="00D6789D">
        <w:rPr>
          <w:rStyle w:val="PageNumber"/>
          <w:rFonts w:ascii="Century Schoolbook" w:hAnsi="Century Schoolbook"/>
          <w:sz w:val="26"/>
          <w:szCs w:val="26"/>
        </w:rPr>
        <w:t xml:space="preserve">resident rights, and negligent infliction of emotional distress. </w:t>
      </w:r>
    </w:p>
    <w:p w:rsidR="00457735" w:rsidP="00D6789D">
      <w:pPr>
        <w:spacing w:line="288" w:lineRule="auto"/>
        <w:ind w:firstLine="720"/>
        <w:rPr>
          <w:rStyle w:val="PageNumber"/>
          <w:rFonts w:ascii="Century Schoolbook" w:hAnsi="Century Schoolbook"/>
          <w:sz w:val="26"/>
          <w:szCs w:val="26"/>
        </w:rPr>
      </w:pPr>
      <w:r w:rsidRPr="00D6789D">
        <w:rPr>
          <w:rStyle w:val="PageNumber"/>
          <w:rFonts w:ascii="Century Schoolbook" w:hAnsi="Century Schoolbook"/>
          <w:sz w:val="26"/>
          <w:szCs w:val="26"/>
        </w:rPr>
        <w:t xml:space="preserve">Oxnard Manor filed a petition to compel arbitration.  Both sides </w:t>
      </w:r>
      <w:r>
        <w:rPr>
          <w:rStyle w:val="PageNumber"/>
          <w:rFonts w:ascii="Century Schoolbook" w:hAnsi="Century Schoolbook"/>
          <w:sz w:val="26"/>
          <w:szCs w:val="26"/>
        </w:rPr>
        <w:t>relied on</w:t>
      </w:r>
      <w:r w:rsidRPr="00D6789D">
        <w:rPr>
          <w:rStyle w:val="PageNumber"/>
          <w:rFonts w:ascii="Century Schoolbook" w:hAnsi="Century Schoolbook"/>
          <w:sz w:val="26"/>
          <w:szCs w:val="26"/>
        </w:rPr>
        <w:t xml:space="preserve"> medical records </w:t>
      </w:r>
      <w:r>
        <w:rPr>
          <w:rStyle w:val="PageNumber"/>
          <w:rFonts w:ascii="Century Schoolbook" w:hAnsi="Century Schoolbook"/>
          <w:sz w:val="26"/>
          <w:szCs w:val="26"/>
        </w:rPr>
        <w:t xml:space="preserve">to demonstrate whether Cornelio had the </w:t>
      </w:r>
      <w:r w:rsidRPr="00D6789D">
        <w:rPr>
          <w:rStyle w:val="PageNumber"/>
          <w:rFonts w:ascii="Century Schoolbook" w:hAnsi="Century Schoolbook"/>
          <w:sz w:val="26"/>
          <w:szCs w:val="26"/>
        </w:rPr>
        <w:t>mental capacity</w:t>
      </w:r>
      <w:r>
        <w:rPr>
          <w:rStyle w:val="PageNumber"/>
          <w:rFonts w:ascii="Century Schoolbook" w:hAnsi="Century Schoolbook"/>
          <w:sz w:val="26"/>
          <w:szCs w:val="26"/>
        </w:rPr>
        <w:t xml:space="preserve"> to consent to the arbitration agreement</w:t>
      </w:r>
      <w:r w:rsidRPr="00D6789D">
        <w:rPr>
          <w:rStyle w:val="PageNumber"/>
          <w:rFonts w:ascii="Century Schoolbook" w:hAnsi="Century Schoolbook"/>
          <w:sz w:val="26"/>
          <w:szCs w:val="26"/>
        </w:rPr>
        <w:t>.</w:t>
      </w:r>
    </w:p>
    <w:p w:rsidR="00730A52" w:rsidRPr="00730A52" w:rsidP="00730A52">
      <w:pPr>
        <w:spacing w:line="288" w:lineRule="auto"/>
        <w:jc w:val="center"/>
        <w:rPr>
          <w:rStyle w:val="PageNumber"/>
          <w:rFonts w:ascii="Century Schoolbook" w:hAnsi="Century Schoolbook"/>
          <w:i/>
          <w:iCs/>
          <w:sz w:val="26"/>
          <w:szCs w:val="26"/>
        </w:rPr>
      </w:pPr>
      <w:r w:rsidRPr="00730A52">
        <w:rPr>
          <w:rStyle w:val="PageNumber"/>
          <w:rFonts w:ascii="Century Schoolbook" w:hAnsi="Century Schoolbook"/>
          <w:i/>
          <w:iCs/>
          <w:sz w:val="26"/>
          <w:szCs w:val="26"/>
        </w:rPr>
        <w:t>St. John’s records</w:t>
      </w:r>
    </w:p>
    <w:p w:rsidR="00CC33C0" w:rsidP="008D665B">
      <w:pPr>
        <w:spacing w:line="288" w:lineRule="auto"/>
        <w:ind w:firstLine="720"/>
        <w:rPr>
          <w:rStyle w:val="PageNumber"/>
          <w:rFonts w:ascii="Century Schoolbook" w:hAnsi="Century Schoolbook"/>
          <w:sz w:val="26"/>
          <w:szCs w:val="26"/>
        </w:rPr>
      </w:pPr>
      <w:r>
        <w:rPr>
          <w:rStyle w:val="PageNumber"/>
          <w:rFonts w:ascii="Century Schoolbook" w:hAnsi="Century Schoolbook"/>
          <w:sz w:val="26"/>
          <w:szCs w:val="26"/>
        </w:rPr>
        <w:t>A</w:t>
      </w:r>
      <w:r w:rsidRPr="00D6789D">
        <w:rPr>
          <w:rStyle w:val="PageNumber"/>
          <w:rFonts w:ascii="Century Schoolbook" w:hAnsi="Century Schoolbook"/>
          <w:sz w:val="26"/>
          <w:szCs w:val="26"/>
        </w:rPr>
        <w:t xml:space="preserve">n occupational </w:t>
      </w:r>
      <w:r>
        <w:rPr>
          <w:rStyle w:val="PageNumber"/>
          <w:rFonts w:ascii="Century Schoolbook" w:hAnsi="Century Schoolbook"/>
          <w:sz w:val="26"/>
          <w:szCs w:val="26"/>
        </w:rPr>
        <w:t>therapist</w:t>
      </w:r>
      <w:r w:rsidRPr="00D6789D">
        <w:rPr>
          <w:rStyle w:val="PageNumber"/>
          <w:rFonts w:ascii="Century Schoolbook" w:hAnsi="Century Schoolbook"/>
          <w:sz w:val="26"/>
          <w:szCs w:val="26"/>
        </w:rPr>
        <w:t xml:space="preserve"> </w:t>
      </w:r>
      <w:r>
        <w:rPr>
          <w:rStyle w:val="PageNumber"/>
          <w:rFonts w:ascii="Century Schoolbook" w:hAnsi="Century Schoolbook"/>
          <w:sz w:val="26"/>
          <w:szCs w:val="26"/>
        </w:rPr>
        <w:t>assessed</w:t>
      </w:r>
      <w:r w:rsidRPr="000E58E8">
        <w:rPr>
          <w:rStyle w:val="PageNumber"/>
          <w:rFonts w:ascii="Century Schoolbook" w:hAnsi="Century Schoolbook"/>
          <w:sz w:val="26"/>
          <w:szCs w:val="26"/>
        </w:rPr>
        <w:t xml:space="preserve"> </w:t>
      </w:r>
      <w:r>
        <w:rPr>
          <w:rStyle w:val="PageNumber"/>
          <w:rFonts w:ascii="Century Schoolbook" w:hAnsi="Century Schoolbook"/>
          <w:sz w:val="26"/>
          <w:szCs w:val="26"/>
        </w:rPr>
        <w:t xml:space="preserve">Cornelio’s </w:t>
      </w:r>
      <w:r w:rsidRPr="000E58E8">
        <w:rPr>
          <w:rStyle w:val="PageNumber"/>
          <w:rFonts w:ascii="Century Schoolbook" w:hAnsi="Century Schoolbook"/>
          <w:sz w:val="26"/>
          <w:szCs w:val="26"/>
        </w:rPr>
        <w:t xml:space="preserve">functional independence </w:t>
      </w:r>
      <w:r>
        <w:rPr>
          <w:rStyle w:val="PageNumber"/>
          <w:rFonts w:ascii="Century Schoolbook" w:hAnsi="Century Schoolbook"/>
          <w:sz w:val="26"/>
          <w:szCs w:val="26"/>
        </w:rPr>
        <w:t>in the areas of</w:t>
      </w:r>
      <w:r w:rsidRPr="000E58E8">
        <w:rPr>
          <w:rStyle w:val="PageNumber"/>
          <w:rFonts w:ascii="Century Schoolbook" w:hAnsi="Century Schoolbook"/>
          <w:sz w:val="26"/>
          <w:szCs w:val="26"/>
        </w:rPr>
        <w:t xml:space="preserve"> </w:t>
      </w:r>
      <w:r>
        <w:rPr>
          <w:rStyle w:val="PageNumber"/>
          <w:rFonts w:ascii="Century Schoolbook" w:hAnsi="Century Schoolbook"/>
          <w:sz w:val="26"/>
          <w:szCs w:val="26"/>
        </w:rPr>
        <w:t>c</w:t>
      </w:r>
      <w:r w:rsidRPr="000E58E8">
        <w:rPr>
          <w:rStyle w:val="PageNumber"/>
          <w:rFonts w:ascii="Century Schoolbook" w:hAnsi="Century Schoolbook"/>
          <w:sz w:val="26"/>
          <w:szCs w:val="26"/>
        </w:rPr>
        <w:t>omprehension</w:t>
      </w:r>
      <w:r>
        <w:rPr>
          <w:rStyle w:val="PageNumber"/>
          <w:rFonts w:ascii="Century Schoolbook" w:hAnsi="Century Schoolbook"/>
          <w:sz w:val="26"/>
          <w:szCs w:val="26"/>
        </w:rPr>
        <w:t>, verbal/nonverbal expression, memory, and problem solving, and rated them</w:t>
      </w:r>
      <w:r w:rsidRPr="000E58E8">
        <w:rPr>
          <w:rStyle w:val="PageNumber"/>
          <w:rFonts w:ascii="Century Schoolbook" w:hAnsi="Century Schoolbook"/>
          <w:sz w:val="26"/>
          <w:szCs w:val="26"/>
        </w:rPr>
        <w:t xml:space="preserve"> </w:t>
      </w:r>
      <w:r>
        <w:rPr>
          <w:rStyle w:val="PageNumber"/>
          <w:rFonts w:ascii="Century Schoolbook" w:hAnsi="Century Schoolbook"/>
          <w:sz w:val="26"/>
          <w:szCs w:val="26"/>
        </w:rPr>
        <w:t>as 1 (requires total assistance)</w:t>
      </w:r>
      <w:r w:rsidRPr="000E58E8">
        <w:rPr>
          <w:rStyle w:val="PageNumber"/>
          <w:rFonts w:ascii="Century Schoolbook" w:hAnsi="Century Schoolbook"/>
          <w:sz w:val="26"/>
          <w:szCs w:val="26"/>
        </w:rPr>
        <w:t xml:space="preserve"> </w:t>
      </w:r>
      <w:r>
        <w:rPr>
          <w:rStyle w:val="PageNumber"/>
          <w:rFonts w:ascii="Century Schoolbook" w:hAnsi="Century Schoolbook"/>
          <w:sz w:val="26"/>
          <w:szCs w:val="26"/>
        </w:rPr>
        <w:t xml:space="preserve">on a 7-point </w:t>
      </w:r>
      <w:r w:rsidRPr="000E58E8">
        <w:rPr>
          <w:rStyle w:val="PageNumber"/>
          <w:rFonts w:ascii="Century Schoolbook" w:hAnsi="Century Schoolbook"/>
          <w:sz w:val="26"/>
          <w:szCs w:val="26"/>
        </w:rPr>
        <w:t>scale</w:t>
      </w:r>
      <w:r>
        <w:rPr>
          <w:rStyle w:val="PageNumber"/>
          <w:rFonts w:ascii="Century Schoolbook" w:hAnsi="Century Schoolbook"/>
          <w:sz w:val="26"/>
          <w:szCs w:val="26"/>
        </w:rPr>
        <w:t xml:space="preserve">.  The assessment instrument noted that to “solve complex problems such as </w:t>
      </w:r>
      <w:r>
        <w:rPr>
          <w:rStyle w:val="PageNumber"/>
          <w:rFonts w:ascii="Century Schoolbook" w:hAnsi="Century Schoolbook"/>
          <w:sz w:val="26"/>
          <w:szCs w:val="26"/>
        </w:rPr>
        <w:t xml:space="preserve">managing [a] checking account, self-administering meds” required a score of 6 or 7.  </w:t>
      </w:r>
    </w:p>
    <w:p w:rsidR="005F743F" w:rsidP="008D665B">
      <w:pPr>
        <w:spacing w:line="288" w:lineRule="auto"/>
        <w:ind w:firstLine="720"/>
        <w:rPr>
          <w:rStyle w:val="PageNumber"/>
          <w:rFonts w:ascii="Century Schoolbook" w:hAnsi="Century Schoolbook"/>
          <w:sz w:val="26"/>
          <w:szCs w:val="26"/>
        </w:rPr>
      </w:pPr>
      <w:r w:rsidRPr="00D92A89">
        <w:rPr>
          <w:rStyle w:val="PageNumber"/>
          <w:rFonts w:ascii="Century Schoolbook" w:hAnsi="Century Schoolbook"/>
          <w:sz w:val="26"/>
          <w:szCs w:val="26"/>
        </w:rPr>
        <w:t xml:space="preserve">A physical therapy neurological evaluation </w:t>
      </w:r>
      <w:r>
        <w:rPr>
          <w:rStyle w:val="PageNumber"/>
          <w:rFonts w:ascii="Century Schoolbook" w:hAnsi="Century Schoolbook"/>
          <w:sz w:val="26"/>
          <w:szCs w:val="26"/>
        </w:rPr>
        <w:t>stated Cornelio</w:t>
      </w:r>
      <w:r w:rsidRPr="00D92A89">
        <w:rPr>
          <w:rStyle w:val="PageNumber"/>
          <w:rFonts w:ascii="Century Schoolbook" w:hAnsi="Century Schoolbook"/>
          <w:sz w:val="26"/>
          <w:szCs w:val="26"/>
        </w:rPr>
        <w:t xml:space="preserve"> attempted to cooperate during treatmen</w:t>
      </w:r>
      <w:r>
        <w:rPr>
          <w:rStyle w:val="PageNumber"/>
          <w:rFonts w:ascii="Century Schoolbook" w:hAnsi="Century Schoolbook"/>
          <w:sz w:val="26"/>
          <w:szCs w:val="26"/>
        </w:rPr>
        <w:t>t</w:t>
      </w:r>
      <w:r w:rsidRPr="00F57F4B">
        <w:rPr>
          <w:rStyle w:val="PageNumber"/>
          <w:rFonts w:ascii="Century Schoolbook" w:hAnsi="Century Schoolbook"/>
          <w:sz w:val="26"/>
          <w:szCs w:val="26"/>
        </w:rPr>
        <w:t xml:space="preserve"> </w:t>
      </w:r>
      <w:r w:rsidRPr="00D92A89">
        <w:rPr>
          <w:rStyle w:val="PageNumber"/>
          <w:rFonts w:ascii="Century Schoolbook" w:hAnsi="Century Schoolbook"/>
          <w:sz w:val="26"/>
          <w:szCs w:val="26"/>
        </w:rPr>
        <w:t xml:space="preserve">but did not follow verbal or visual cues. </w:t>
      </w:r>
      <w:r>
        <w:rPr>
          <w:rStyle w:val="PageNumber"/>
          <w:rFonts w:ascii="Century Schoolbook" w:hAnsi="Century Schoolbook"/>
          <w:sz w:val="26"/>
          <w:szCs w:val="26"/>
        </w:rPr>
        <w:t xml:space="preserve"> The report noted he had receptive and expressive communication barriers from aphasia.</w:t>
      </w:r>
      <w:r>
        <w:rPr>
          <w:rStyle w:val="FootnoteReference"/>
          <w:rFonts w:ascii="Century Schoolbook" w:eastAsia="Calibri" w:hAnsi="Century Schoolbook"/>
          <w:b w:val="0"/>
          <w:position w:val="8"/>
          <w:sz w:val="20"/>
        </w:rPr>
        <w:footnoteReference w:id="3"/>
      </w:r>
      <w:r w:rsidRPr="00580761">
        <w:rPr>
          <w:rStyle w:val="FootnoteReference"/>
          <w:rFonts w:ascii="Century Schoolbook" w:eastAsia="Calibri" w:hAnsi="Century Schoolbook"/>
          <w:position w:val="8"/>
          <w:sz w:val="20"/>
        </w:rPr>
        <w:t xml:space="preserve"> </w:t>
      </w:r>
      <w:r>
        <w:rPr>
          <w:rStyle w:val="PageNumber"/>
          <w:rFonts w:ascii="Century Schoolbook" w:hAnsi="Century Schoolbook"/>
          <w:sz w:val="26"/>
          <w:szCs w:val="26"/>
        </w:rPr>
        <w:t xml:space="preserve"> He was rated as requiring “maximum assist” with problem solving.  </w:t>
      </w:r>
    </w:p>
    <w:p w:rsidR="008534DA" w:rsidP="008D665B">
      <w:pPr>
        <w:spacing w:line="288" w:lineRule="auto"/>
        <w:ind w:firstLine="720"/>
        <w:rPr>
          <w:rFonts w:ascii="Century Schoolbook" w:hAnsi="Century Schoolbook"/>
          <w:szCs w:val="26"/>
        </w:rPr>
      </w:pPr>
      <w:r>
        <w:rPr>
          <w:rFonts w:ascii="Century Schoolbook" w:hAnsi="Century Schoolbook"/>
          <w:szCs w:val="26"/>
        </w:rPr>
        <w:t xml:space="preserve">A neurologist </w:t>
      </w:r>
      <w:r w:rsidRPr="00D6789D">
        <w:rPr>
          <w:rFonts w:ascii="Century Schoolbook" w:hAnsi="Century Schoolbook"/>
          <w:szCs w:val="26"/>
        </w:rPr>
        <w:t xml:space="preserve">noted Cornelio </w:t>
      </w:r>
      <w:r>
        <w:rPr>
          <w:rFonts w:ascii="Century Schoolbook" w:hAnsi="Century Schoolbook"/>
          <w:szCs w:val="26"/>
        </w:rPr>
        <w:t>“is nodding his head and seemingly understands the simple questions, but not . . . the complicated ones.”</w:t>
      </w:r>
      <w:r w:rsidRPr="00D6789D">
        <w:rPr>
          <w:rFonts w:ascii="Century Schoolbook" w:hAnsi="Century Schoolbook"/>
          <w:szCs w:val="26"/>
        </w:rPr>
        <w:t xml:space="preserve">  He </w:t>
      </w:r>
      <w:r>
        <w:rPr>
          <w:rFonts w:ascii="Century Schoolbook" w:hAnsi="Century Schoolbook"/>
          <w:szCs w:val="26"/>
        </w:rPr>
        <w:t>“follows the yes or no command”</w:t>
      </w:r>
      <w:r w:rsidRPr="00D6789D">
        <w:rPr>
          <w:rFonts w:ascii="Century Schoolbook" w:hAnsi="Century Schoolbook"/>
          <w:szCs w:val="26"/>
        </w:rPr>
        <w:t xml:space="preserve"> but</w:t>
      </w:r>
      <w:r>
        <w:rPr>
          <w:rFonts w:ascii="Century Schoolbook" w:hAnsi="Century Schoolbook"/>
          <w:szCs w:val="26"/>
        </w:rPr>
        <w:t xml:space="preserve"> “canno</w:t>
      </w:r>
      <w:r w:rsidRPr="00D6789D">
        <w:rPr>
          <w:rFonts w:ascii="Century Schoolbook" w:hAnsi="Century Schoolbook"/>
          <w:szCs w:val="26"/>
        </w:rPr>
        <w:t>t</w:t>
      </w:r>
      <w:r>
        <w:rPr>
          <w:rFonts w:ascii="Century Schoolbook" w:hAnsi="Century Schoolbook"/>
          <w:szCs w:val="26"/>
        </w:rPr>
        <w:t xml:space="preserve"> perform the </w:t>
      </w:r>
      <w:r w:rsidRPr="00D6789D">
        <w:rPr>
          <w:rFonts w:ascii="Century Schoolbook" w:hAnsi="Century Schoolbook"/>
          <w:szCs w:val="26"/>
        </w:rPr>
        <w:t>two-step commands</w:t>
      </w:r>
      <w:r>
        <w:rPr>
          <w:rFonts w:ascii="Century Schoolbook" w:hAnsi="Century Schoolbook"/>
          <w:szCs w:val="26"/>
        </w:rPr>
        <w:t xml:space="preserve"> and he rarely speaks more than two or three words</w:t>
      </w:r>
      <w:r w:rsidRPr="00D6789D">
        <w:rPr>
          <w:rFonts w:ascii="Century Schoolbook" w:hAnsi="Century Schoolbook"/>
          <w:szCs w:val="26"/>
        </w:rPr>
        <w:t xml:space="preserve">.”  </w:t>
      </w:r>
    </w:p>
    <w:p w:rsidR="00F45436" w:rsidP="008534DA">
      <w:pPr>
        <w:spacing w:line="288" w:lineRule="auto"/>
        <w:ind w:firstLine="720"/>
        <w:rPr>
          <w:rFonts w:ascii="Century Schoolbook" w:hAnsi="Century Schoolbook"/>
          <w:szCs w:val="26"/>
        </w:rPr>
      </w:pPr>
      <w:r w:rsidRPr="00D6789D">
        <w:rPr>
          <w:rFonts w:ascii="Century Schoolbook" w:hAnsi="Century Schoolbook"/>
          <w:szCs w:val="26"/>
        </w:rPr>
        <w:t>T</w:t>
      </w:r>
      <w:r>
        <w:rPr>
          <w:rFonts w:ascii="Century Schoolbook" w:hAnsi="Century Schoolbook"/>
          <w:szCs w:val="26"/>
        </w:rPr>
        <w:t xml:space="preserve">hree weeks after the stroke, </w:t>
      </w:r>
      <w:r w:rsidRPr="00D6789D">
        <w:rPr>
          <w:rFonts w:ascii="Century Schoolbook" w:hAnsi="Century Schoolbook"/>
          <w:szCs w:val="26"/>
        </w:rPr>
        <w:t xml:space="preserve">a </w:t>
      </w:r>
      <w:r>
        <w:rPr>
          <w:rFonts w:ascii="Century Schoolbook" w:hAnsi="Century Schoolbook"/>
          <w:szCs w:val="26"/>
        </w:rPr>
        <w:t>speech language pathologist stated Cornelio’s cognitive insight was “</w:t>
      </w:r>
      <w:r w:rsidRPr="00D6789D">
        <w:rPr>
          <w:rFonts w:ascii="Century Schoolbook" w:hAnsi="Century Schoolbook"/>
          <w:szCs w:val="26"/>
        </w:rPr>
        <w:t>poor</w:t>
      </w:r>
      <w:r>
        <w:rPr>
          <w:rFonts w:ascii="Century Schoolbook" w:hAnsi="Century Schoolbook"/>
          <w:szCs w:val="26"/>
        </w:rPr>
        <w:t xml:space="preserve">” and he required total assistance with executive function and problem solving.  His overall progress was rated as “slow.” </w:t>
      </w:r>
    </w:p>
    <w:p w:rsidR="00CA39DE" w:rsidRPr="00FE1022" w:rsidP="00D6789D">
      <w:pPr>
        <w:spacing w:line="288" w:lineRule="auto"/>
        <w:ind w:firstLine="720"/>
        <w:rPr>
          <w:rFonts w:ascii="Century Schoolbook" w:hAnsi="Century Schoolbook"/>
          <w:szCs w:val="26"/>
        </w:rPr>
      </w:pPr>
      <w:r w:rsidRPr="00D6789D">
        <w:rPr>
          <w:rFonts w:ascii="Century Schoolbook" w:hAnsi="Century Schoolbook"/>
          <w:szCs w:val="26"/>
        </w:rPr>
        <w:t xml:space="preserve">A month after the stroke, </w:t>
      </w:r>
      <w:r>
        <w:rPr>
          <w:rFonts w:ascii="Century Schoolbook" w:hAnsi="Century Schoolbook"/>
          <w:szCs w:val="26"/>
        </w:rPr>
        <w:t>a neurologist</w:t>
      </w:r>
      <w:r w:rsidRPr="00D6789D">
        <w:rPr>
          <w:rFonts w:ascii="Century Schoolbook" w:hAnsi="Century Schoolbook"/>
          <w:szCs w:val="26"/>
        </w:rPr>
        <w:t xml:space="preserve"> noted Corn</w:t>
      </w:r>
      <w:r>
        <w:rPr>
          <w:rFonts w:ascii="Century Schoolbook" w:hAnsi="Century Schoolbook"/>
          <w:szCs w:val="26"/>
        </w:rPr>
        <w:t xml:space="preserve">elio </w:t>
      </w:r>
      <w:r w:rsidRPr="00D6789D">
        <w:rPr>
          <w:rFonts w:ascii="Century Schoolbook" w:hAnsi="Century Schoolbook"/>
          <w:szCs w:val="26"/>
        </w:rPr>
        <w:t>“</w:t>
      </w:r>
      <w:r>
        <w:rPr>
          <w:rFonts w:ascii="Century Schoolbook" w:hAnsi="Century Schoolbook"/>
          <w:szCs w:val="26"/>
        </w:rPr>
        <w:t xml:space="preserve">spoke 1-2 words” and </w:t>
      </w:r>
      <w:r w:rsidRPr="00D6789D">
        <w:rPr>
          <w:rFonts w:ascii="Century Schoolbook" w:hAnsi="Century Schoolbook"/>
          <w:szCs w:val="26"/>
        </w:rPr>
        <w:t xml:space="preserve">his comprehension had returned to about “70-80%.” </w:t>
      </w:r>
      <w:r>
        <w:rPr>
          <w:rFonts w:ascii="Century Schoolbook" w:hAnsi="Century Schoolbook"/>
          <w:szCs w:val="26"/>
        </w:rPr>
        <w:t xml:space="preserve"> But he remained unable to follow two-step commands. </w:t>
      </w:r>
      <w:r w:rsidRPr="00D6789D">
        <w:rPr>
          <w:rFonts w:ascii="Century Schoolbook" w:hAnsi="Century Schoolbook"/>
          <w:szCs w:val="26"/>
        </w:rPr>
        <w:t xml:space="preserve"> A week later</w:t>
      </w:r>
      <w:r>
        <w:rPr>
          <w:rFonts w:ascii="Century Schoolbook" w:hAnsi="Century Schoolbook"/>
          <w:szCs w:val="26"/>
        </w:rPr>
        <w:t>, the speech language pathologist noted Cornelio</w:t>
      </w:r>
      <w:r w:rsidRPr="00D6789D">
        <w:rPr>
          <w:rFonts w:ascii="Century Schoolbook" w:hAnsi="Century Schoolbook"/>
          <w:szCs w:val="26"/>
        </w:rPr>
        <w:t xml:space="preserve"> </w:t>
      </w:r>
      <w:r>
        <w:rPr>
          <w:rFonts w:ascii="Century Schoolbook" w:hAnsi="Century Schoolbook"/>
          <w:szCs w:val="26"/>
        </w:rPr>
        <w:t>was “</w:t>
      </w:r>
      <w:r w:rsidRPr="00D6789D">
        <w:rPr>
          <w:rFonts w:ascii="Century Schoolbook" w:hAnsi="Century Schoolbook"/>
          <w:szCs w:val="26"/>
        </w:rPr>
        <w:t>able to</w:t>
      </w:r>
      <w:r>
        <w:rPr>
          <w:rFonts w:ascii="Century Schoolbook" w:hAnsi="Century Schoolbook"/>
          <w:szCs w:val="26"/>
        </w:rPr>
        <w:t xml:space="preserve"> </w:t>
      </w:r>
      <w:r w:rsidRPr="00D6789D">
        <w:rPr>
          <w:rFonts w:ascii="Century Schoolbook" w:hAnsi="Century Schoolbook"/>
          <w:szCs w:val="26"/>
        </w:rPr>
        <w:t>follow one-step directions</w:t>
      </w:r>
      <w:r>
        <w:rPr>
          <w:rFonts w:ascii="Century Schoolbook" w:hAnsi="Century Schoolbook"/>
          <w:szCs w:val="26"/>
        </w:rPr>
        <w:t xml:space="preserve">” </w:t>
      </w:r>
      <w:r w:rsidRPr="00D6789D">
        <w:rPr>
          <w:rFonts w:ascii="Century Schoolbook" w:hAnsi="Century Schoolbook"/>
          <w:szCs w:val="26"/>
        </w:rPr>
        <w:t xml:space="preserve">but required </w:t>
      </w:r>
      <w:r>
        <w:rPr>
          <w:rFonts w:ascii="Century Schoolbook" w:hAnsi="Century Schoolbook"/>
          <w:szCs w:val="26"/>
        </w:rPr>
        <w:t>maximum verbal cues for</w:t>
      </w:r>
      <w:r w:rsidRPr="00D6789D">
        <w:rPr>
          <w:rFonts w:ascii="Century Schoolbook" w:hAnsi="Century Schoolbook"/>
          <w:szCs w:val="26"/>
        </w:rPr>
        <w:t xml:space="preserve"> </w:t>
      </w:r>
      <w:r>
        <w:rPr>
          <w:rFonts w:ascii="Century Schoolbook" w:hAnsi="Century Schoolbook"/>
          <w:szCs w:val="26"/>
        </w:rPr>
        <w:t>“</w:t>
      </w:r>
      <w:r w:rsidRPr="00D6789D">
        <w:rPr>
          <w:rFonts w:ascii="Century Schoolbook" w:hAnsi="Century Schoolbook"/>
          <w:szCs w:val="26"/>
        </w:rPr>
        <w:t>abstract, multiple step directions.</w:t>
      </w:r>
      <w:r>
        <w:rPr>
          <w:rFonts w:ascii="Century Schoolbook" w:hAnsi="Century Schoolbook"/>
          <w:szCs w:val="26"/>
        </w:rPr>
        <w:t>”  He continued to require maximum assistance for executive functioning and problem solving.</w:t>
      </w:r>
      <w:r w:rsidRPr="00D6789D">
        <w:rPr>
          <w:rFonts w:ascii="Century Schoolbook" w:hAnsi="Century Schoolbook"/>
          <w:szCs w:val="26"/>
        </w:rPr>
        <w:t xml:space="preserve">  </w:t>
      </w:r>
    </w:p>
    <w:p w:rsidR="00287EC6" w:rsidP="00D6789D">
      <w:pPr>
        <w:spacing w:line="288" w:lineRule="auto"/>
        <w:ind w:firstLine="720"/>
        <w:rPr>
          <w:rFonts w:ascii="Century Schoolbook" w:hAnsi="Century Schoolbook"/>
          <w:szCs w:val="26"/>
        </w:rPr>
      </w:pPr>
      <w:r w:rsidRPr="00D6789D">
        <w:rPr>
          <w:rFonts w:ascii="Century Schoolbook" w:hAnsi="Century Schoolbook"/>
          <w:szCs w:val="26"/>
        </w:rPr>
        <w:t xml:space="preserve">On discharge from </w:t>
      </w:r>
      <w:r>
        <w:rPr>
          <w:rFonts w:ascii="Century Schoolbook" w:hAnsi="Century Schoolbook"/>
          <w:szCs w:val="26"/>
        </w:rPr>
        <w:t>St. John’s</w:t>
      </w:r>
      <w:r w:rsidRPr="00D6789D">
        <w:rPr>
          <w:rFonts w:ascii="Century Schoolbook" w:hAnsi="Century Schoolbook"/>
          <w:szCs w:val="26"/>
        </w:rPr>
        <w:t xml:space="preserve"> on October 2, </w:t>
      </w:r>
      <w:r>
        <w:rPr>
          <w:rFonts w:ascii="Century Schoolbook" w:hAnsi="Century Schoolbook"/>
          <w:szCs w:val="26"/>
        </w:rPr>
        <w:t xml:space="preserve">the rehabilitation team concluded </w:t>
      </w:r>
      <w:r w:rsidRPr="00D6789D">
        <w:rPr>
          <w:rFonts w:ascii="Century Schoolbook" w:hAnsi="Century Schoolbook"/>
          <w:szCs w:val="26"/>
        </w:rPr>
        <w:t xml:space="preserve">Cornelio </w:t>
      </w:r>
      <w:r>
        <w:rPr>
          <w:rFonts w:ascii="Century Schoolbook" w:hAnsi="Century Schoolbook"/>
          <w:szCs w:val="26"/>
        </w:rPr>
        <w:t xml:space="preserve">required maximum assistance with </w:t>
      </w:r>
      <w:r w:rsidRPr="00D6789D">
        <w:rPr>
          <w:rFonts w:ascii="Century Schoolbook" w:hAnsi="Century Schoolbook"/>
          <w:szCs w:val="26"/>
        </w:rPr>
        <w:t>executive function and problem</w:t>
      </w:r>
      <w:r>
        <w:rPr>
          <w:rFonts w:ascii="Century Schoolbook" w:hAnsi="Century Schoolbook"/>
          <w:szCs w:val="26"/>
        </w:rPr>
        <w:t>-solving</w:t>
      </w:r>
      <w:r w:rsidRPr="00D6789D">
        <w:rPr>
          <w:rFonts w:ascii="Century Schoolbook" w:hAnsi="Century Schoolbook"/>
          <w:szCs w:val="26"/>
        </w:rPr>
        <w:t xml:space="preserve"> skills</w:t>
      </w:r>
      <w:r>
        <w:rPr>
          <w:rFonts w:ascii="Century Schoolbook" w:hAnsi="Century Schoolbook"/>
          <w:szCs w:val="26"/>
        </w:rPr>
        <w:t xml:space="preserve">. </w:t>
      </w:r>
    </w:p>
    <w:p w:rsidR="00B76510" w:rsidRPr="00B76510" w:rsidP="00B76510">
      <w:pPr>
        <w:spacing w:line="288" w:lineRule="auto"/>
        <w:jc w:val="center"/>
        <w:rPr>
          <w:rFonts w:ascii="Century Schoolbook" w:hAnsi="Century Schoolbook"/>
          <w:i/>
          <w:iCs/>
          <w:szCs w:val="26"/>
        </w:rPr>
      </w:pPr>
      <w:r w:rsidRPr="00B76510">
        <w:rPr>
          <w:rFonts w:ascii="Century Schoolbook" w:hAnsi="Century Schoolbook"/>
          <w:i/>
          <w:iCs/>
          <w:szCs w:val="26"/>
        </w:rPr>
        <w:t>Oxnard Manor records</w:t>
      </w:r>
    </w:p>
    <w:p w:rsidR="00525708" w:rsidRPr="00105797" w:rsidP="00D6789D">
      <w:pPr>
        <w:spacing w:line="288" w:lineRule="auto"/>
        <w:ind w:firstLine="720"/>
        <w:rPr>
          <w:rFonts w:ascii="Century Schoolbook" w:hAnsi="Century Schoolbook"/>
          <w:szCs w:val="26"/>
        </w:rPr>
      </w:pPr>
      <w:r w:rsidRPr="00D6789D">
        <w:rPr>
          <w:rFonts w:ascii="Century Schoolbook" w:hAnsi="Century Schoolbook"/>
          <w:szCs w:val="26"/>
        </w:rPr>
        <w:t xml:space="preserve">A </w:t>
      </w:r>
      <w:r>
        <w:rPr>
          <w:rFonts w:ascii="Century Schoolbook" w:hAnsi="Century Schoolbook"/>
          <w:szCs w:val="26"/>
        </w:rPr>
        <w:t>w</w:t>
      </w:r>
      <w:r w:rsidRPr="00D6789D">
        <w:rPr>
          <w:rFonts w:ascii="Century Schoolbook" w:hAnsi="Century Schoolbook"/>
          <w:szCs w:val="26"/>
        </w:rPr>
        <w:t xml:space="preserve">eekly </w:t>
      </w:r>
      <w:r>
        <w:rPr>
          <w:rFonts w:ascii="Century Schoolbook" w:hAnsi="Century Schoolbook"/>
          <w:szCs w:val="26"/>
        </w:rPr>
        <w:t>s</w:t>
      </w:r>
      <w:r w:rsidRPr="00D6789D">
        <w:rPr>
          <w:rFonts w:ascii="Century Schoolbook" w:hAnsi="Century Schoolbook"/>
          <w:szCs w:val="26"/>
        </w:rPr>
        <w:t>ummary</w:t>
      </w:r>
      <w:r>
        <w:rPr>
          <w:rFonts w:ascii="Century Schoolbook" w:hAnsi="Century Schoolbook"/>
          <w:szCs w:val="26"/>
        </w:rPr>
        <w:t xml:space="preserve"> prepared by a </w:t>
      </w:r>
      <w:r w:rsidRPr="00D6789D">
        <w:rPr>
          <w:rFonts w:ascii="Century Schoolbook" w:hAnsi="Century Schoolbook"/>
          <w:szCs w:val="26"/>
        </w:rPr>
        <w:t xml:space="preserve">nurse at Oxnard Manor on October 7, the day the arbitration agreement was signed, </w:t>
      </w:r>
      <w:r>
        <w:rPr>
          <w:rFonts w:ascii="Century Schoolbook" w:hAnsi="Century Schoolbook"/>
          <w:szCs w:val="26"/>
        </w:rPr>
        <w:t>checked boxes for “alert,” “oriented,”</w:t>
      </w:r>
      <w:r w:rsidRPr="00D6789D">
        <w:rPr>
          <w:rFonts w:ascii="Century Schoolbook" w:hAnsi="Century Schoolbook"/>
          <w:szCs w:val="26"/>
        </w:rPr>
        <w:t xml:space="preserve"> </w:t>
      </w:r>
      <w:r>
        <w:rPr>
          <w:rFonts w:ascii="Century Schoolbook" w:hAnsi="Century Schoolbook"/>
          <w:szCs w:val="26"/>
        </w:rPr>
        <w:t xml:space="preserve">and “makes needs known.” </w:t>
      </w:r>
    </w:p>
    <w:p w:rsidR="000456D5" w:rsidP="00D6789D">
      <w:pPr>
        <w:spacing w:line="288" w:lineRule="auto"/>
        <w:ind w:firstLine="720"/>
        <w:rPr>
          <w:rFonts w:ascii="Century Schoolbook" w:hAnsi="Century Schoolbook"/>
          <w:szCs w:val="26"/>
        </w:rPr>
      </w:pPr>
      <w:r>
        <w:rPr>
          <w:rFonts w:ascii="Century Schoolbook" w:hAnsi="Century Schoolbook"/>
          <w:szCs w:val="26"/>
        </w:rPr>
        <w:t>Oxnard Manor also relied o</w:t>
      </w:r>
      <w:r w:rsidRPr="00D6789D">
        <w:rPr>
          <w:rFonts w:ascii="Century Schoolbook" w:hAnsi="Century Schoolbook"/>
          <w:szCs w:val="26"/>
        </w:rPr>
        <w:t xml:space="preserve">n </w:t>
      </w:r>
      <w:r>
        <w:rPr>
          <w:rFonts w:ascii="Century Schoolbook" w:hAnsi="Century Schoolbook"/>
          <w:szCs w:val="26"/>
        </w:rPr>
        <w:t xml:space="preserve">forms from </w:t>
      </w:r>
      <w:r w:rsidRPr="00D6789D">
        <w:rPr>
          <w:rFonts w:ascii="Century Schoolbook" w:hAnsi="Century Schoolbook"/>
          <w:szCs w:val="26"/>
        </w:rPr>
        <w:t>physical examination</w:t>
      </w:r>
      <w:r>
        <w:rPr>
          <w:rFonts w:ascii="Century Schoolbook" w:hAnsi="Century Schoolbook"/>
          <w:szCs w:val="26"/>
        </w:rPr>
        <w:t>s</w:t>
      </w:r>
      <w:r w:rsidRPr="00D6789D">
        <w:rPr>
          <w:rFonts w:ascii="Century Schoolbook" w:hAnsi="Century Schoolbook"/>
          <w:szCs w:val="26"/>
        </w:rPr>
        <w:t xml:space="preserve"> performed </w:t>
      </w:r>
      <w:r>
        <w:rPr>
          <w:rFonts w:ascii="Century Schoolbook" w:hAnsi="Century Schoolbook"/>
          <w:szCs w:val="26"/>
        </w:rPr>
        <w:t xml:space="preserve">by physicians on </w:t>
      </w:r>
      <w:r w:rsidRPr="00D6789D">
        <w:rPr>
          <w:rFonts w:ascii="Century Schoolbook" w:hAnsi="Century Schoolbook"/>
          <w:szCs w:val="26"/>
        </w:rPr>
        <w:t>October 7,</w:t>
      </w:r>
      <w:r>
        <w:rPr>
          <w:rFonts w:ascii="Century Schoolbook" w:hAnsi="Century Schoolbook"/>
          <w:szCs w:val="26"/>
        </w:rPr>
        <w:t xml:space="preserve"> 2009, October 7 of either 2009 or 2011 (the handwritten date is unclear), and October 15, 2012.  On each form, the p</w:t>
      </w:r>
      <w:r w:rsidRPr="00D6789D">
        <w:rPr>
          <w:rFonts w:ascii="Century Schoolbook" w:hAnsi="Century Schoolbook"/>
          <w:szCs w:val="26"/>
        </w:rPr>
        <w:t>hysician checked</w:t>
      </w:r>
      <w:r>
        <w:rPr>
          <w:rFonts w:ascii="Century Schoolbook" w:hAnsi="Century Schoolbook"/>
          <w:szCs w:val="26"/>
        </w:rPr>
        <w:t xml:space="preserve"> a</w:t>
      </w:r>
      <w:r w:rsidRPr="00D6789D">
        <w:rPr>
          <w:rFonts w:ascii="Century Schoolbook" w:hAnsi="Century Schoolbook"/>
          <w:szCs w:val="26"/>
        </w:rPr>
        <w:t xml:space="preserve"> box </w:t>
      </w:r>
      <w:r>
        <w:rPr>
          <w:rFonts w:ascii="Century Schoolbook" w:hAnsi="Century Schoolbook"/>
          <w:szCs w:val="26"/>
        </w:rPr>
        <w:t xml:space="preserve">indicating that </w:t>
      </w:r>
      <w:r w:rsidRPr="00D6789D">
        <w:rPr>
          <w:rFonts w:ascii="Century Schoolbook" w:hAnsi="Century Schoolbook"/>
          <w:szCs w:val="26"/>
        </w:rPr>
        <w:t>Cornelio “</w:t>
      </w:r>
      <w:r>
        <w:rPr>
          <w:rFonts w:ascii="Century Schoolbook" w:hAnsi="Century Schoolbook"/>
          <w:szCs w:val="26"/>
        </w:rPr>
        <w:t xml:space="preserve">has </w:t>
      </w:r>
      <w:r w:rsidRPr="00D6789D">
        <w:rPr>
          <w:rFonts w:ascii="Century Schoolbook" w:hAnsi="Century Schoolbook"/>
          <w:szCs w:val="26"/>
        </w:rPr>
        <w:t xml:space="preserve">the capacity to understand and make decisions.” </w:t>
      </w:r>
      <w:r>
        <w:rPr>
          <w:rFonts w:ascii="Century Schoolbook" w:hAnsi="Century Schoolbook"/>
          <w:szCs w:val="26"/>
        </w:rPr>
        <w:t xml:space="preserve"> The handwritten notes on these forms were</w:t>
      </w:r>
      <w:r w:rsidRPr="006B0A60">
        <w:rPr>
          <w:rFonts w:ascii="Century Schoolbook" w:hAnsi="Century Schoolbook"/>
          <w:szCs w:val="26"/>
        </w:rPr>
        <w:t xml:space="preserve"> </w:t>
      </w:r>
      <w:r>
        <w:rPr>
          <w:rFonts w:ascii="Century Schoolbook" w:hAnsi="Century Schoolbook"/>
          <w:szCs w:val="26"/>
        </w:rPr>
        <w:t xml:space="preserve">partially illegible and included unexplained abbreviations.  </w:t>
      </w:r>
      <w:r w:rsidRPr="00D6789D">
        <w:rPr>
          <w:rFonts w:ascii="Century Schoolbook" w:hAnsi="Century Schoolbook"/>
          <w:szCs w:val="26"/>
        </w:rPr>
        <w:t xml:space="preserve">The trial court “place[d] little weight on [these] bare assertions” because </w:t>
      </w:r>
      <w:r>
        <w:rPr>
          <w:rFonts w:ascii="Century Schoolbook" w:hAnsi="Century Schoolbook"/>
          <w:szCs w:val="26"/>
        </w:rPr>
        <w:t xml:space="preserve">Oxnard Manor provided </w:t>
      </w:r>
      <w:r w:rsidRPr="00D6789D">
        <w:rPr>
          <w:rFonts w:ascii="Century Schoolbook" w:hAnsi="Century Schoolbook"/>
          <w:szCs w:val="26"/>
        </w:rPr>
        <w:t>no</w:t>
      </w:r>
      <w:r>
        <w:rPr>
          <w:rFonts w:ascii="Century Schoolbook" w:hAnsi="Century Schoolbook"/>
          <w:szCs w:val="26"/>
        </w:rPr>
        <w:t xml:space="preserve"> additional information to support them. </w:t>
      </w:r>
    </w:p>
    <w:p w:rsidR="00D73729" w:rsidRPr="00D73729" w:rsidP="00D73729">
      <w:pPr>
        <w:spacing w:line="288" w:lineRule="auto"/>
        <w:jc w:val="center"/>
        <w:rPr>
          <w:rFonts w:ascii="Century Schoolbook" w:hAnsi="Century Schoolbook"/>
          <w:i/>
          <w:iCs/>
          <w:szCs w:val="26"/>
        </w:rPr>
      </w:pPr>
      <w:r w:rsidRPr="00D73729">
        <w:rPr>
          <w:rFonts w:ascii="Century Schoolbook" w:hAnsi="Century Schoolbook"/>
          <w:i/>
          <w:iCs/>
          <w:szCs w:val="26"/>
        </w:rPr>
        <w:t>Wernher’s declaration</w:t>
      </w:r>
    </w:p>
    <w:p w:rsidR="00B46BB5" w:rsidP="000C7ED6">
      <w:pPr>
        <w:spacing w:line="288" w:lineRule="auto"/>
        <w:ind w:firstLine="720"/>
        <w:rPr>
          <w:rFonts w:ascii="Century Schoolbook" w:hAnsi="Century Schoolbook"/>
          <w:szCs w:val="26"/>
        </w:rPr>
      </w:pPr>
      <w:r>
        <w:rPr>
          <w:rFonts w:ascii="Century Schoolbook" w:hAnsi="Century Schoolbook"/>
          <w:szCs w:val="26"/>
        </w:rPr>
        <w:t>Cornelio’s son Wernher stated in his declaration that he spent several hours daily with his father shortly before and after the day the agreement was signed</w:t>
      </w:r>
      <w:r w:rsidRPr="00D6789D">
        <w:rPr>
          <w:rFonts w:ascii="Century Schoolbook" w:hAnsi="Century Schoolbook"/>
          <w:szCs w:val="26"/>
        </w:rPr>
        <w:t>.</w:t>
      </w:r>
      <w:r w:rsidRPr="00656A92">
        <w:rPr>
          <w:rFonts w:ascii="Century Schoolbook" w:eastAsia="Calibri" w:hAnsi="Century Schoolbook"/>
          <w:position w:val="8"/>
          <w:sz w:val="20"/>
        </w:rPr>
        <w:t xml:space="preserve"> </w:t>
      </w:r>
      <w:r>
        <w:rPr>
          <w:rFonts w:ascii="Century Schoolbook" w:hAnsi="Century Schoolbook"/>
          <w:szCs w:val="26"/>
          <w:vertAlign w:val="superscript"/>
        </w:rPr>
        <w:footnoteReference w:id="4"/>
      </w:r>
      <w:r>
        <w:rPr>
          <w:rFonts w:ascii="Century Schoolbook" w:hAnsi="Century Schoolbook"/>
          <w:szCs w:val="26"/>
        </w:rPr>
        <w:t xml:space="preserve">  Oxnard Manor caregivers discussed Cornelio’s condition with Wernher, not with Cornelio.  Wernher made the decisions about his father’s care because Cornelio did not appear to understand the questions.  </w:t>
      </w:r>
    </w:p>
    <w:p w:rsidR="00BB637F" w:rsidP="000C7ED6">
      <w:pPr>
        <w:spacing w:line="288" w:lineRule="auto"/>
        <w:ind w:firstLine="720"/>
        <w:rPr>
          <w:rFonts w:ascii="Century Schoolbook" w:hAnsi="Century Schoolbook"/>
          <w:szCs w:val="26"/>
        </w:rPr>
      </w:pPr>
      <w:r>
        <w:rPr>
          <w:rFonts w:ascii="Century Schoolbook" w:hAnsi="Century Schoolbook"/>
          <w:szCs w:val="26"/>
        </w:rPr>
        <w:t xml:space="preserve">Cornelio “struggled with the simplest of speech,” “had difficulty remembering words,” had difficulty understanding the speech of others, and would stare blankly in response to simple questions.  “At his best, he would respond to simple yes/no questions, usually after they were repeated multiple times.”  He did not appear to recognize family members, including his wife and his only granddaughter.  “[H]is behavior and cognition appeared constant” during his first month at Oxnard Manor and neither improved nor deteriorated.  </w:t>
      </w:r>
    </w:p>
    <w:p w:rsidR="005241B9" w:rsidRPr="005241B9" w:rsidP="005241B9">
      <w:pPr>
        <w:spacing w:line="288" w:lineRule="auto"/>
        <w:jc w:val="center"/>
        <w:rPr>
          <w:rFonts w:ascii="Century Schoolbook" w:hAnsi="Century Schoolbook"/>
          <w:i/>
          <w:iCs/>
          <w:szCs w:val="26"/>
        </w:rPr>
      </w:pPr>
      <w:r w:rsidRPr="005241B9">
        <w:rPr>
          <w:rFonts w:ascii="Century Schoolbook" w:hAnsi="Century Schoolbook"/>
          <w:i/>
          <w:iCs/>
          <w:szCs w:val="26"/>
        </w:rPr>
        <w:t>Ruling</w:t>
      </w:r>
    </w:p>
    <w:p w:rsidR="000A38CB" w:rsidRPr="00D6789D" w:rsidP="00D6789D">
      <w:pPr>
        <w:spacing w:line="288" w:lineRule="auto"/>
        <w:ind w:firstLine="720"/>
        <w:rPr>
          <w:rStyle w:val="PageNumber"/>
          <w:rFonts w:ascii="Century Schoolbook" w:hAnsi="Century Schoolbook"/>
          <w:sz w:val="26"/>
          <w:szCs w:val="26"/>
        </w:rPr>
      </w:pPr>
      <w:r>
        <w:rPr>
          <w:rFonts w:ascii="Century Schoolbook" w:hAnsi="Century Schoolbook"/>
          <w:szCs w:val="26"/>
        </w:rPr>
        <w:t xml:space="preserve">The trial court denied Oxnard Manor’s petition to compel arbitration.  It reasoned that </w:t>
      </w:r>
      <w:r w:rsidRPr="00D6789D">
        <w:rPr>
          <w:rFonts w:ascii="Century Schoolbook" w:hAnsi="Century Schoolbook"/>
          <w:szCs w:val="26"/>
        </w:rPr>
        <w:t xml:space="preserve">“it is more likely to be true than not true that at the time Cornelio is said to have signed the arbitration agreement he had a mental deficit that significantly impaired his ability to understand and appreciate the consequences of entering into the arbitration agreement. </w:t>
      </w:r>
      <w:r>
        <w:rPr>
          <w:rFonts w:ascii="Century Schoolbook" w:hAnsi="Century Schoolbook"/>
          <w:szCs w:val="26"/>
        </w:rPr>
        <w:t xml:space="preserve"> </w:t>
      </w:r>
      <w:r w:rsidRPr="00D6789D">
        <w:rPr>
          <w:rFonts w:ascii="Century Schoolbook" w:hAnsi="Century Schoolbook"/>
          <w:szCs w:val="26"/>
        </w:rPr>
        <w:t xml:space="preserve">Therefore, it has not been established that he possessed the capacity to consent to arbitration.”  </w:t>
      </w:r>
    </w:p>
    <w:p w:rsidR="00F11AF7" w:rsidRPr="00D6789D" w:rsidP="00D6789D">
      <w:pPr>
        <w:spacing w:line="288" w:lineRule="auto"/>
        <w:jc w:val="center"/>
        <w:rPr>
          <w:rStyle w:val="PageNumber"/>
          <w:rFonts w:ascii="Century Schoolbook" w:hAnsi="Century Schoolbook"/>
          <w:sz w:val="26"/>
          <w:szCs w:val="26"/>
        </w:rPr>
      </w:pPr>
      <w:r w:rsidRPr="00D6789D">
        <w:rPr>
          <w:rStyle w:val="PageNumber"/>
          <w:rFonts w:ascii="Century Schoolbook" w:hAnsi="Century Schoolbook"/>
          <w:sz w:val="26"/>
          <w:szCs w:val="26"/>
        </w:rPr>
        <w:t>DISCUSSION</w:t>
      </w:r>
    </w:p>
    <w:p w:rsidR="00F11AF7" w:rsidP="00D6789D">
      <w:pPr>
        <w:spacing w:line="288" w:lineRule="auto"/>
        <w:rPr>
          <w:rFonts w:ascii="Century Schoolbook" w:hAnsi="Century Schoolbook"/>
          <w:szCs w:val="26"/>
        </w:rPr>
      </w:pPr>
      <w:r w:rsidRPr="00D6789D">
        <w:rPr>
          <w:rFonts w:ascii="Century Schoolbook" w:hAnsi="Century Schoolbook"/>
          <w:szCs w:val="26"/>
        </w:rPr>
        <w:tab/>
        <w:t>“</w:t>
      </w:r>
      <w:r>
        <w:rPr>
          <w:rFonts w:ascii="Century Schoolbook" w:hAnsi="Century Schoolbook"/>
          <w:szCs w:val="26"/>
        </w:rPr>
        <w:t> ‘</w:t>
      </w:r>
      <w:r w:rsidRPr="00D6789D">
        <w:rPr>
          <w:rFonts w:ascii="Century Schoolbook" w:hAnsi="Century Schoolbook"/>
          <w:szCs w:val="26"/>
        </w:rPr>
        <w:t>California has a strong public policy in favor of arbitration as an expeditious and cost-effective way of resolving disputes.  [Citation.]  Even so, parties can only be compelled to arbitrate when they have agreed to do so.  [Citation.]</w:t>
      </w:r>
      <w:r>
        <w:rPr>
          <w:rFonts w:ascii="Century Schoolbook" w:hAnsi="Century Schoolbook"/>
          <w:szCs w:val="26"/>
        </w:rPr>
        <w:t xml:space="preserve"> </w:t>
      </w:r>
      <w:r w:rsidRPr="00D6789D">
        <w:rPr>
          <w:rFonts w:ascii="Century Schoolbook" w:hAnsi="Century Schoolbook"/>
          <w:szCs w:val="26"/>
        </w:rPr>
        <w:t>.</w:t>
      </w:r>
      <w:r>
        <w:rPr>
          <w:rFonts w:ascii="Century Schoolbook" w:hAnsi="Century Schoolbook"/>
          <w:szCs w:val="26"/>
        </w:rPr>
        <w:t> </w:t>
      </w:r>
      <w:r w:rsidRPr="00D6789D">
        <w:rPr>
          <w:rFonts w:ascii="Century Schoolbook" w:hAnsi="Century Schoolbook"/>
          <w:szCs w:val="26"/>
        </w:rPr>
        <w:t>.</w:t>
      </w:r>
      <w:r>
        <w:rPr>
          <w:rFonts w:ascii="Century Schoolbook" w:hAnsi="Century Schoolbook"/>
          <w:szCs w:val="26"/>
        </w:rPr>
        <w:t> </w:t>
      </w:r>
      <w:r w:rsidRPr="00D6789D">
        <w:rPr>
          <w:rFonts w:ascii="Century Schoolbook" w:hAnsi="Century Schoolbook"/>
          <w:szCs w:val="26"/>
        </w:rPr>
        <w:t>.</w:t>
      </w:r>
      <w:r>
        <w:rPr>
          <w:rFonts w:ascii="Century Schoolbook" w:hAnsi="Century Schoolbook"/>
          <w:szCs w:val="26"/>
        </w:rPr>
        <w:t xml:space="preserve"> </w:t>
      </w:r>
      <w:r w:rsidRPr="00D6789D">
        <w:rPr>
          <w:rFonts w:ascii="Century Schoolbook" w:hAnsi="Century Schoolbook"/>
          <w:szCs w:val="26"/>
        </w:rPr>
        <w:t>Whether an agreement to arbitrate exists is a threshold issue of contract formation and state contract law.  [Citations.]</w:t>
      </w:r>
      <w:r>
        <w:rPr>
          <w:rFonts w:ascii="Century Schoolbook" w:hAnsi="Century Schoolbook"/>
          <w:szCs w:val="26"/>
        </w:rPr>
        <w:t>’ </w:t>
      </w:r>
      <w:r w:rsidRPr="00D6789D">
        <w:rPr>
          <w:rFonts w:ascii="Century Schoolbook" w:hAnsi="Century Schoolbook"/>
          <w:szCs w:val="26"/>
        </w:rPr>
        <w:t>”  (</w:t>
      </w:r>
      <w:r w:rsidRPr="00D6789D">
        <w:rPr>
          <w:rFonts w:ascii="Century Schoolbook" w:hAnsi="Century Schoolbook"/>
          <w:i/>
          <w:iCs/>
          <w:szCs w:val="26"/>
        </w:rPr>
        <w:t>Avila v. Southern California Specialty Care, Inc.</w:t>
      </w:r>
      <w:r w:rsidRPr="00D6789D">
        <w:rPr>
          <w:rFonts w:ascii="Century Schoolbook" w:hAnsi="Century Schoolbook"/>
          <w:szCs w:val="26"/>
        </w:rPr>
        <w:t> (2018) 20 Cal.App.5th 835, 843-844 (</w:t>
      </w:r>
      <w:r w:rsidRPr="00D6789D">
        <w:rPr>
          <w:rFonts w:ascii="Century Schoolbook" w:hAnsi="Century Schoolbook"/>
          <w:i/>
          <w:iCs/>
          <w:szCs w:val="26"/>
        </w:rPr>
        <w:t>Avila</w:t>
      </w:r>
      <w:r w:rsidRPr="00D6789D">
        <w:rPr>
          <w:rFonts w:ascii="Century Schoolbook" w:hAnsi="Century Schoolbook"/>
          <w:szCs w:val="26"/>
        </w:rPr>
        <w:t>).)</w:t>
      </w:r>
      <w:r>
        <w:rPr>
          <w:rFonts w:ascii="Century Schoolbook" w:hAnsi="Century Schoolbook"/>
          <w:szCs w:val="26"/>
        </w:rPr>
        <w:t xml:space="preserve">  “[S]</w:t>
      </w:r>
      <w:r w:rsidRPr="00EA433B">
        <w:rPr>
          <w:rFonts w:ascii="Century Schoolbook" w:hAnsi="Century Schoolbook"/>
          <w:szCs w:val="26"/>
        </w:rPr>
        <w:t>tate law</w:t>
      </w:r>
      <w:r>
        <w:rPr>
          <w:rFonts w:ascii="Century Schoolbook" w:hAnsi="Century Schoolbook"/>
          <w:szCs w:val="26"/>
        </w:rPr>
        <w:t xml:space="preserve"> . . . </w:t>
      </w:r>
      <w:r w:rsidRPr="00EA433B">
        <w:rPr>
          <w:rFonts w:ascii="Century Schoolbook" w:hAnsi="Century Schoolbook"/>
          <w:szCs w:val="26"/>
        </w:rPr>
        <w:t>specifically requires arbitration agreements to be </w:t>
      </w:r>
      <w:r w:rsidRPr="00EA433B">
        <w:rPr>
          <w:rFonts w:ascii="Century Schoolbook" w:hAnsi="Century Schoolbook"/>
          <w:i/>
          <w:iCs/>
          <w:szCs w:val="26"/>
        </w:rPr>
        <w:t>consensual</w:t>
      </w:r>
      <w:r w:rsidRPr="00EA433B">
        <w:rPr>
          <w:rFonts w:ascii="Century Schoolbook" w:hAnsi="Century Schoolbook"/>
          <w:szCs w:val="26"/>
        </w:rPr>
        <w:t> between the parties, because mutual consent is an essential ingredient of all contracts</w:t>
      </w:r>
      <w:r>
        <w:rPr>
          <w:rFonts w:ascii="Century Schoolbook" w:hAnsi="Century Schoolbook"/>
          <w:szCs w:val="26"/>
        </w:rPr>
        <w:t>.”  (</w:t>
      </w:r>
      <w:r w:rsidRPr="00673DC7">
        <w:rPr>
          <w:rFonts w:ascii="Century Schoolbook" w:hAnsi="Century Schoolbook"/>
          <w:i/>
          <w:iCs/>
          <w:szCs w:val="26"/>
        </w:rPr>
        <w:t>Gallo v. Wood Ranch USA, Inc.</w:t>
      </w:r>
      <w:r w:rsidRPr="00673DC7">
        <w:rPr>
          <w:rFonts w:ascii="Century Schoolbook" w:hAnsi="Century Schoolbook"/>
          <w:szCs w:val="26"/>
        </w:rPr>
        <w:t> (2022) 81 Cal.App.5th 621, 638</w:t>
      </w:r>
      <w:r>
        <w:rPr>
          <w:rFonts w:ascii="Century Schoolbook" w:hAnsi="Century Schoolbook"/>
          <w:szCs w:val="26"/>
        </w:rPr>
        <w:t>.)</w:t>
      </w:r>
    </w:p>
    <w:p w:rsidR="00620B47" w:rsidRPr="00D6789D" w:rsidP="00C26465">
      <w:pPr>
        <w:spacing w:line="288" w:lineRule="auto"/>
        <w:ind w:firstLine="720"/>
        <w:rPr>
          <w:rFonts w:ascii="Century Schoolbook" w:hAnsi="Century Schoolbook"/>
          <w:szCs w:val="26"/>
        </w:rPr>
      </w:pPr>
      <w:r w:rsidRPr="00E0686B">
        <w:rPr>
          <w:rFonts w:ascii="Century Schoolbook" w:hAnsi="Century Schoolbook"/>
          <w:szCs w:val="26"/>
        </w:rPr>
        <w:t xml:space="preserve">On a </w:t>
      </w:r>
      <w:r>
        <w:rPr>
          <w:rFonts w:ascii="Century Schoolbook" w:hAnsi="Century Schoolbook"/>
          <w:szCs w:val="26"/>
        </w:rPr>
        <w:t>petition</w:t>
      </w:r>
      <w:r w:rsidRPr="00E0686B">
        <w:rPr>
          <w:rFonts w:ascii="Century Schoolbook" w:hAnsi="Century Schoolbook"/>
          <w:szCs w:val="26"/>
        </w:rPr>
        <w:t xml:space="preserve"> to compel arbitration, </w:t>
      </w:r>
      <w:r>
        <w:rPr>
          <w:rFonts w:ascii="Century Schoolbook" w:hAnsi="Century Schoolbook"/>
          <w:szCs w:val="26"/>
        </w:rPr>
        <w:t>“</w:t>
      </w:r>
      <w:r w:rsidRPr="00E0686B">
        <w:rPr>
          <w:rFonts w:ascii="Century Schoolbook" w:hAnsi="Century Schoolbook"/>
          <w:szCs w:val="26"/>
        </w:rPr>
        <w:t>the</w:t>
      </w:r>
      <w:r>
        <w:rPr>
          <w:rFonts w:ascii="Century Schoolbook" w:hAnsi="Century Schoolbook"/>
          <w:szCs w:val="26"/>
        </w:rPr>
        <w:t xml:space="preserve"> </w:t>
      </w:r>
      <w:r w:rsidRPr="00E0686B">
        <w:rPr>
          <w:rFonts w:ascii="Century Schoolbook" w:hAnsi="Century Schoolbook"/>
          <w:szCs w:val="26"/>
        </w:rPr>
        <w:t xml:space="preserve">trial court sits as a trier of fact.” </w:t>
      </w:r>
      <w:r>
        <w:rPr>
          <w:rFonts w:ascii="Century Schoolbook" w:hAnsi="Century Schoolbook"/>
          <w:szCs w:val="26"/>
        </w:rPr>
        <w:t xml:space="preserve"> </w:t>
      </w:r>
      <w:r w:rsidRPr="00E0686B">
        <w:rPr>
          <w:rFonts w:ascii="Century Schoolbook" w:hAnsi="Century Schoolbook"/>
          <w:szCs w:val="26"/>
        </w:rPr>
        <w:t>(</w:t>
      </w:r>
      <w:r w:rsidRPr="005B2F6D">
        <w:rPr>
          <w:rFonts w:ascii="Century Schoolbook" w:hAnsi="Century Schoolbook"/>
          <w:i/>
          <w:iCs/>
          <w:szCs w:val="26"/>
        </w:rPr>
        <w:t>Engalla v. Permanente Medical Group, Inc</w:t>
      </w:r>
      <w:r>
        <w:rPr>
          <w:rFonts w:ascii="Century Schoolbook" w:hAnsi="Century Schoolbook"/>
          <w:i/>
          <w:iCs/>
          <w:szCs w:val="26"/>
        </w:rPr>
        <w:t>.</w:t>
      </w:r>
      <w:r w:rsidRPr="005B2F6D">
        <w:rPr>
          <w:rFonts w:ascii="Century Schoolbook" w:hAnsi="Century Schoolbook"/>
          <w:szCs w:val="26"/>
        </w:rPr>
        <w:t xml:space="preserve"> (1997) </w:t>
      </w:r>
      <w:r w:rsidRPr="00E0686B">
        <w:rPr>
          <w:rFonts w:ascii="Century Schoolbook" w:hAnsi="Century Schoolbook"/>
          <w:szCs w:val="26"/>
        </w:rPr>
        <w:t>15 Cal.4th</w:t>
      </w:r>
      <w:r>
        <w:rPr>
          <w:rFonts w:ascii="Century Schoolbook" w:hAnsi="Century Schoolbook"/>
          <w:szCs w:val="26"/>
        </w:rPr>
        <w:t xml:space="preserve"> 951, </w:t>
      </w:r>
      <w:r w:rsidRPr="00E0686B">
        <w:rPr>
          <w:rFonts w:ascii="Century Schoolbook" w:hAnsi="Century Schoolbook"/>
          <w:szCs w:val="26"/>
        </w:rPr>
        <w:t xml:space="preserve">972.) </w:t>
      </w:r>
      <w:r>
        <w:rPr>
          <w:rFonts w:ascii="Century Schoolbook" w:hAnsi="Century Schoolbook"/>
          <w:szCs w:val="26"/>
        </w:rPr>
        <w:t xml:space="preserve"> </w:t>
      </w:r>
      <w:r w:rsidRPr="00620B47">
        <w:rPr>
          <w:rFonts w:ascii="Century Schoolbook" w:hAnsi="Century Schoolbook"/>
          <w:szCs w:val="26"/>
        </w:rPr>
        <w:t>Where an order denying arbitration is based on an issue of fact, we review the ruling for substantial evidence.  (</w:t>
      </w:r>
      <w:r w:rsidRPr="00620B47">
        <w:rPr>
          <w:rFonts w:ascii="Century Schoolbook" w:hAnsi="Century Schoolbook"/>
          <w:i/>
          <w:iCs/>
          <w:szCs w:val="26"/>
        </w:rPr>
        <w:t>Fabian v. Renovate America, Inc.</w:t>
      </w:r>
      <w:r w:rsidRPr="00620B47">
        <w:rPr>
          <w:rFonts w:ascii="Century Schoolbook" w:hAnsi="Century Schoolbook"/>
          <w:szCs w:val="26"/>
        </w:rPr>
        <w:t xml:space="preserve"> (2019) 42 Cal.App.5th 1062, 1066.)  We likewise review for substantial evidence a finding regarding mental capacity.  </w:t>
      </w:r>
      <w:r w:rsidRPr="005B2F6D">
        <w:rPr>
          <w:rFonts w:ascii="Century Schoolbook" w:hAnsi="Century Schoolbook"/>
          <w:szCs w:val="26"/>
        </w:rPr>
        <w:t>(</w:t>
      </w:r>
      <w:r w:rsidRPr="00D6789D">
        <w:rPr>
          <w:rStyle w:val="PageNumber"/>
          <w:rFonts w:ascii="Century Schoolbook" w:hAnsi="Century Schoolbook"/>
          <w:i/>
          <w:iCs/>
          <w:sz w:val="26"/>
          <w:szCs w:val="26"/>
        </w:rPr>
        <w:t>In re Marriage of Greenway</w:t>
      </w:r>
      <w:r w:rsidRPr="00D6789D">
        <w:rPr>
          <w:rStyle w:val="PageNumber"/>
          <w:rFonts w:ascii="Century Schoolbook" w:hAnsi="Century Schoolbook"/>
          <w:sz w:val="26"/>
          <w:szCs w:val="26"/>
        </w:rPr>
        <w:t xml:space="preserve"> (2013) 217 Cal.App.4th 628, 6</w:t>
      </w:r>
      <w:r>
        <w:rPr>
          <w:rStyle w:val="PageNumber"/>
          <w:rFonts w:ascii="Century Schoolbook" w:hAnsi="Century Schoolbook"/>
          <w:sz w:val="26"/>
          <w:szCs w:val="26"/>
        </w:rPr>
        <w:t>4</w:t>
      </w:r>
      <w:r w:rsidRPr="00D6789D">
        <w:rPr>
          <w:rStyle w:val="PageNumber"/>
          <w:rFonts w:ascii="Century Schoolbook" w:hAnsi="Century Schoolbook"/>
          <w:sz w:val="26"/>
          <w:szCs w:val="26"/>
        </w:rPr>
        <w:t>9</w:t>
      </w:r>
      <w:r>
        <w:rPr>
          <w:rStyle w:val="PageNumber"/>
          <w:rFonts w:ascii="Century Schoolbook" w:hAnsi="Century Schoolbook"/>
          <w:sz w:val="26"/>
          <w:szCs w:val="26"/>
        </w:rPr>
        <w:t xml:space="preserve"> (</w:t>
      </w:r>
      <w:r w:rsidRPr="008F4759">
        <w:rPr>
          <w:rStyle w:val="PageNumber"/>
          <w:rFonts w:ascii="Century Schoolbook" w:hAnsi="Century Schoolbook"/>
          <w:i/>
          <w:iCs/>
          <w:sz w:val="26"/>
          <w:szCs w:val="26"/>
        </w:rPr>
        <w:t>Greenway</w:t>
      </w:r>
      <w:r>
        <w:rPr>
          <w:rStyle w:val="PageNumber"/>
          <w:rFonts w:ascii="Century Schoolbook" w:hAnsi="Century Schoolbook"/>
          <w:sz w:val="26"/>
          <w:szCs w:val="26"/>
        </w:rPr>
        <w:t>)</w:t>
      </w:r>
      <w:r w:rsidRPr="00D6789D">
        <w:rPr>
          <w:rStyle w:val="PageNumber"/>
          <w:rFonts w:ascii="Century Schoolbook" w:hAnsi="Century Schoolbook"/>
          <w:sz w:val="26"/>
          <w:szCs w:val="26"/>
        </w:rPr>
        <w:t>.)</w:t>
      </w:r>
      <w:r w:rsidRPr="00620B47">
        <w:rPr>
          <w:rFonts w:ascii="Century Schoolbook" w:hAnsi="Century Schoolbook"/>
          <w:szCs w:val="26"/>
        </w:rPr>
        <w:t xml:space="preserve">  On appeal, we have no power to reweigh the evidence.  (</w:t>
      </w:r>
      <w:r w:rsidRPr="00620B47">
        <w:rPr>
          <w:rFonts w:ascii="Century Schoolbook" w:hAnsi="Century Schoolbook"/>
          <w:i/>
          <w:iCs/>
          <w:szCs w:val="26"/>
        </w:rPr>
        <w:t>Fabian</w:t>
      </w:r>
      <w:r w:rsidRPr="00620B47">
        <w:rPr>
          <w:rFonts w:ascii="Century Schoolbook" w:hAnsi="Century Schoolbook"/>
          <w:szCs w:val="26"/>
        </w:rPr>
        <w:t>, at p. 1067.)  We must resolve all conflicts in the evidence in favor of the prevailing party.  (</w:t>
      </w:r>
      <w:r w:rsidRPr="00620B47">
        <w:rPr>
          <w:rFonts w:ascii="Century Schoolbook" w:hAnsi="Century Schoolbook"/>
          <w:i/>
          <w:iCs/>
          <w:szCs w:val="26"/>
        </w:rPr>
        <w:t>Ibid</w:t>
      </w:r>
      <w:r w:rsidRPr="00620B47">
        <w:rPr>
          <w:rFonts w:ascii="Century Schoolbook" w:hAnsi="Century Schoolbook"/>
          <w:szCs w:val="26"/>
        </w:rPr>
        <w:t>.)</w:t>
      </w:r>
      <w:r>
        <w:rPr>
          <w:rFonts w:ascii="Century Schoolbook" w:hAnsi="Century Schoolbook"/>
          <w:szCs w:val="26"/>
        </w:rPr>
        <w:t xml:space="preserve">  </w:t>
      </w:r>
      <w:r w:rsidRPr="00620B47">
        <w:rPr>
          <w:rFonts w:ascii="Century Schoolbook" w:hAnsi="Century Schoolbook"/>
          <w:szCs w:val="26"/>
        </w:rPr>
        <w:t>“</w:t>
      </w:r>
      <w:r>
        <w:rPr>
          <w:rFonts w:ascii="Century Schoolbook" w:hAnsi="Century Schoolbook"/>
          <w:szCs w:val="26"/>
        </w:rPr>
        <w:t> </w:t>
      </w:r>
      <w:r w:rsidRPr="00620B47">
        <w:rPr>
          <w:rFonts w:ascii="Century Schoolbook" w:hAnsi="Century Schoolbook"/>
          <w:szCs w:val="26"/>
        </w:rPr>
        <w:t>‘[W]e must “accept as true all evidence and all reasonable inferences from the evidence tending to establish the correctness of the trial court’s findings and decision</w:t>
      </w:r>
      <w:r>
        <w:rPr>
          <w:rFonts w:ascii="Century Schoolbook" w:hAnsi="Century Schoolbook"/>
          <w:szCs w:val="26"/>
        </w:rPr>
        <w:t> </w:t>
      </w:r>
      <w:r w:rsidRPr="00620B47">
        <w:rPr>
          <w:rFonts w:ascii="Century Schoolbook" w:hAnsi="Century Schoolbook"/>
          <w:szCs w:val="26"/>
        </w:rPr>
        <w:t>.</w:t>
      </w:r>
      <w:r>
        <w:rPr>
          <w:rFonts w:ascii="Century Schoolbook" w:hAnsi="Century Schoolbook"/>
          <w:szCs w:val="26"/>
        </w:rPr>
        <w:t> </w:t>
      </w:r>
      <w:r w:rsidRPr="00620B47">
        <w:rPr>
          <w:rFonts w:ascii="Century Schoolbook" w:hAnsi="Century Schoolbook"/>
          <w:szCs w:val="26"/>
        </w:rPr>
        <w:t>.</w:t>
      </w:r>
      <w:r>
        <w:rPr>
          <w:rFonts w:ascii="Century Schoolbook" w:hAnsi="Century Schoolbook"/>
          <w:szCs w:val="26"/>
        </w:rPr>
        <w:t> </w:t>
      </w:r>
      <w:r w:rsidRPr="00620B47">
        <w:rPr>
          <w:rFonts w:ascii="Century Schoolbook" w:hAnsi="Century Schoolbook"/>
          <w:szCs w:val="26"/>
        </w:rPr>
        <w:t>.</w:t>
      </w:r>
      <w:r>
        <w:rPr>
          <w:rFonts w:ascii="Century Schoolbook" w:hAnsi="Century Schoolbook"/>
          <w:szCs w:val="26"/>
        </w:rPr>
        <w:t> </w:t>
      </w:r>
      <w:r w:rsidRPr="00620B47">
        <w:rPr>
          <w:rFonts w:ascii="Century Schoolbook" w:hAnsi="Century Schoolbook"/>
          <w:szCs w:val="26"/>
        </w:rPr>
        <w:t>.”</w:t>
      </w:r>
      <w:r>
        <w:rPr>
          <w:rFonts w:ascii="Century Schoolbook" w:hAnsi="Century Schoolbook"/>
          <w:szCs w:val="26"/>
        </w:rPr>
        <w:t> </w:t>
      </w:r>
      <w:r w:rsidRPr="00620B47">
        <w:rPr>
          <w:rFonts w:ascii="Century Schoolbook" w:hAnsi="Century Schoolbook"/>
          <w:szCs w:val="26"/>
        </w:rPr>
        <w:t>’  [Citations.]”  (</w:t>
      </w:r>
      <w:r w:rsidRPr="00620B47">
        <w:rPr>
          <w:rFonts w:ascii="Century Schoolbook" w:hAnsi="Century Schoolbook"/>
          <w:i/>
          <w:iCs/>
          <w:szCs w:val="26"/>
        </w:rPr>
        <w:t>Holley v. Silverado Senior Living Management, Inc.</w:t>
      </w:r>
      <w:r w:rsidRPr="00620B47">
        <w:rPr>
          <w:rFonts w:ascii="Century Schoolbook" w:hAnsi="Century Schoolbook"/>
          <w:szCs w:val="26"/>
        </w:rPr>
        <w:t xml:space="preserve"> (2020) 53 Cal.App.5th 197, 202.)  </w:t>
      </w:r>
    </w:p>
    <w:p w:rsidR="00DF2FA8" w:rsidP="00D6789D">
      <w:pPr>
        <w:spacing w:line="288" w:lineRule="auto"/>
        <w:rPr>
          <w:rFonts w:ascii="Century Schoolbook" w:hAnsi="Century Schoolbook"/>
          <w:szCs w:val="26"/>
        </w:rPr>
      </w:pPr>
      <w:r w:rsidRPr="00D6789D">
        <w:rPr>
          <w:rFonts w:ascii="Century Schoolbook" w:hAnsi="Century Schoolbook"/>
          <w:szCs w:val="26"/>
        </w:rPr>
        <w:tab/>
        <w:t xml:space="preserve">Oxnard Manor contends the trial court erroneously placed the burden on it to show Cornelio had the capacity to enter the agreement.  </w:t>
      </w:r>
      <w:r>
        <w:rPr>
          <w:rFonts w:ascii="Century Schoolbook" w:hAnsi="Century Schoolbook"/>
          <w:szCs w:val="26"/>
        </w:rPr>
        <w:t xml:space="preserve">We disagree. </w:t>
      </w:r>
      <w:r w:rsidRPr="00D6789D">
        <w:rPr>
          <w:rFonts w:ascii="Century Schoolbook" w:hAnsi="Century Schoolbook"/>
          <w:szCs w:val="26"/>
        </w:rPr>
        <w:t xml:space="preserve">  </w:t>
      </w:r>
    </w:p>
    <w:p w:rsidR="00EB40FB" w:rsidP="00CE4733">
      <w:pPr>
        <w:spacing w:line="288" w:lineRule="auto"/>
        <w:ind w:firstLine="720"/>
        <w:rPr>
          <w:rStyle w:val="PageNumber"/>
          <w:rFonts w:ascii="Century Schoolbook" w:hAnsi="Century Schoolbook"/>
          <w:sz w:val="26"/>
          <w:szCs w:val="26"/>
        </w:rPr>
      </w:pPr>
      <w:r>
        <w:rPr>
          <w:rFonts w:ascii="Century Schoolbook" w:hAnsi="Century Schoolbook"/>
          <w:szCs w:val="26"/>
        </w:rPr>
        <w:t xml:space="preserve">As noted by the trial court, </w:t>
      </w:r>
      <w:r w:rsidRPr="00D6789D">
        <w:rPr>
          <w:rFonts w:ascii="Century Schoolbook" w:hAnsi="Century Schoolbook"/>
          <w:szCs w:val="26"/>
        </w:rPr>
        <w:t>“The party seeking to compel arbitration bears the burden of proving the existence of a valid arbitration agreement.”  (</w:t>
      </w:r>
      <w:r w:rsidRPr="00D6789D">
        <w:rPr>
          <w:rFonts w:ascii="Century Schoolbook" w:hAnsi="Century Schoolbook"/>
          <w:i/>
          <w:iCs/>
          <w:szCs w:val="26"/>
        </w:rPr>
        <w:t>Avila</w:t>
      </w:r>
      <w:r w:rsidRPr="00D6789D">
        <w:rPr>
          <w:rFonts w:ascii="Century Schoolbook" w:hAnsi="Century Schoolbook"/>
          <w:szCs w:val="26"/>
        </w:rPr>
        <w:t xml:space="preserve">, </w:t>
      </w:r>
      <w:r w:rsidRPr="00D319BC">
        <w:rPr>
          <w:rFonts w:ascii="Century Schoolbook" w:hAnsi="Century Schoolbook"/>
          <w:i/>
          <w:iCs/>
          <w:szCs w:val="26"/>
        </w:rPr>
        <w:t>supra</w:t>
      </w:r>
      <w:r w:rsidRPr="00D6789D">
        <w:rPr>
          <w:rFonts w:ascii="Century Schoolbook" w:hAnsi="Century Schoolbook"/>
          <w:szCs w:val="26"/>
        </w:rPr>
        <w:t>, 20 Cal.App.5th at p. 844.)</w:t>
      </w:r>
      <w:r>
        <w:rPr>
          <w:rFonts w:ascii="Century Schoolbook" w:hAnsi="Century Schoolbook"/>
          <w:szCs w:val="26"/>
        </w:rPr>
        <w:t xml:space="preserve">  But t</w:t>
      </w:r>
      <w:r w:rsidRPr="00D6789D">
        <w:rPr>
          <w:rFonts w:ascii="Century Schoolbook" w:hAnsi="Century Schoolbook"/>
          <w:szCs w:val="26"/>
        </w:rPr>
        <w:t xml:space="preserve">he trial court </w:t>
      </w:r>
      <w:r>
        <w:rPr>
          <w:rFonts w:ascii="Century Schoolbook" w:hAnsi="Century Schoolbook"/>
          <w:szCs w:val="26"/>
        </w:rPr>
        <w:t xml:space="preserve">also </w:t>
      </w:r>
      <w:r w:rsidRPr="00D6789D">
        <w:rPr>
          <w:rFonts w:ascii="Century Schoolbook" w:hAnsi="Century Schoolbook"/>
          <w:szCs w:val="26"/>
        </w:rPr>
        <w:t>noted t</w:t>
      </w:r>
      <w:r>
        <w:rPr>
          <w:rFonts w:ascii="Century Schoolbook" w:hAnsi="Century Schoolbook"/>
          <w:szCs w:val="26"/>
        </w:rPr>
        <w:t>he “</w:t>
      </w:r>
      <w:r w:rsidRPr="00D6789D">
        <w:rPr>
          <w:rStyle w:val="PageNumber"/>
          <w:rFonts w:ascii="Century Schoolbook" w:hAnsi="Century Schoolbook"/>
          <w:sz w:val="26"/>
          <w:szCs w:val="26"/>
        </w:rPr>
        <w:t>rebuttable presumption affecting the burden of proof that all persons have the capacity to make decisions and to be responsible for their acts or decisions.”  (Prob. Code, § 810, subd. (a)</w:t>
      </w:r>
      <w:r>
        <w:rPr>
          <w:rStyle w:val="PageNumber"/>
          <w:rFonts w:ascii="Century Schoolbook" w:hAnsi="Century Schoolbook"/>
          <w:sz w:val="26"/>
          <w:szCs w:val="26"/>
        </w:rPr>
        <w:t xml:space="preserve">; </w:t>
      </w:r>
      <w:r w:rsidRPr="00A97468">
        <w:rPr>
          <w:rFonts w:ascii="Century Schoolbook" w:hAnsi="Century Schoolbook"/>
          <w:i/>
          <w:iCs/>
          <w:szCs w:val="26"/>
        </w:rPr>
        <w:t>Wilson v. Sampson</w:t>
      </w:r>
      <w:r w:rsidRPr="00A97468">
        <w:rPr>
          <w:rFonts w:ascii="Century Schoolbook" w:hAnsi="Century Schoolbook"/>
          <w:szCs w:val="26"/>
        </w:rPr>
        <w:t> (1949) 91 Cal.App.2d 453, 459</w:t>
      </w:r>
      <w:r w:rsidRPr="00D6789D">
        <w:rPr>
          <w:rStyle w:val="PageNumber"/>
          <w:rFonts w:ascii="Century Schoolbook" w:hAnsi="Century Schoolbook"/>
          <w:sz w:val="26"/>
          <w:szCs w:val="26"/>
        </w:rPr>
        <w:t xml:space="preserve">.)  </w:t>
      </w:r>
    </w:p>
    <w:p w:rsidR="00F11AF7" w:rsidRPr="00D6789D" w:rsidP="00CE4733">
      <w:pPr>
        <w:spacing w:line="288" w:lineRule="auto"/>
        <w:ind w:firstLine="720"/>
        <w:rPr>
          <w:rStyle w:val="PageNumber"/>
          <w:rFonts w:ascii="Century Schoolbook" w:hAnsi="Century Schoolbook"/>
          <w:sz w:val="26"/>
          <w:szCs w:val="26"/>
        </w:rPr>
      </w:pPr>
      <w:r w:rsidRPr="00D6789D">
        <w:rPr>
          <w:rStyle w:val="PageNumber"/>
          <w:rFonts w:ascii="Century Schoolbook" w:hAnsi="Century Schoolbook"/>
          <w:sz w:val="26"/>
          <w:szCs w:val="26"/>
        </w:rPr>
        <w:t>“A judicial determination that a person is totally without understanding, or is of unsound mind, or suffers from one or more mental deficits so substantial that, under the circumstances, the person should be deemed to lack the legal capacity to perform a specific act, should be based on evidence of a deficit in one or more of the person’s mental functions.”  (Prob. Code, § 810, subd. (</w:t>
      </w:r>
      <w:r>
        <w:rPr>
          <w:rStyle w:val="PageNumber"/>
          <w:rFonts w:ascii="Century Schoolbook" w:hAnsi="Century Schoolbook"/>
          <w:sz w:val="26"/>
          <w:szCs w:val="26"/>
        </w:rPr>
        <w:t>c</w:t>
      </w:r>
      <w:r w:rsidRPr="00D6789D">
        <w:rPr>
          <w:rStyle w:val="PageNumber"/>
          <w:rFonts w:ascii="Century Schoolbook" w:hAnsi="Century Schoolbook"/>
          <w:sz w:val="26"/>
          <w:szCs w:val="26"/>
        </w:rPr>
        <w:t xml:space="preserve">).)  </w:t>
      </w:r>
      <w:r>
        <w:rPr>
          <w:rStyle w:val="PageNumber"/>
          <w:rFonts w:ascii="Century Schoolbook" w:hAnsi="Century Schoolbook"/>
          <w:sz w:val="26"/>
          <w:szCs w:val="26"/>
        </w:rPr>
        <w:t>As t</w:t>
      </w:r>
      <w:r w:rsidRPr="00D6789D">
        <w:rPr>
          <w:rStyle w:val="PageNumber"/>
          <w:rFonts w:ascii="Century Schoolbook" w:hAnsi="Century Schoolbook"/>
          <w:sz w:val="26"/>
          <w:szCs w:val="26"/>
        </w:rPr>
        <w:t xml:space="preserve">he </w:t>
      </w:r>
      <w:r>
        <w:rPr>
          <w:rStyle w:val="PageNumber"/>
          <w:rFonts w:ascii="Century Schoolbook" w:hAnsi="Century Schoolbook"/>
          <w:sz w:val="26"/>
          <w:szCs w:val="26"/>
        </w:rPr>
        <w:t xml:space="preserve">trial </w:t>
      </w:r>
      <w:r w:rsidRPr="00D6789D">
        <w:rPr>
          <w:rStyle w:val="PageNumber"/>
          <w:rFonts w:ascii="Century Schoolbook" w:hAnsi="Century Schoolbook"/>
          <w:sz w:val="26"/>
          <w:szCs w:val="26"/>
        </w:rPr>
        <w:t>court acknowledged</w:t>
      </w:r>
      <w:r>
        <w:rPr>
          <w:rStyle w:val="PageNumber"/>
          <w:rFonts w:ascii="Century Schoolbook" w:hAnsi="Century Schoolbook"/>
          <w:sz w:val="26"/>
          <w:szCs w:val="26"/>
        </w:rPr>
        <w:t>, Probate Code section 811 requires</w:t>
      </w:r>
      <w:r w:rsidRPr="00D6789D">
        <w:rPr>
          <w:rStyle w:val="PageNumber"/>
          <w:rFonts w:ascii="Century Schoolbook" w:hAnsi="Century Schoolbook"/>
          <w:sz w:val="26"/>
          <w:szCs w:val="26"/>
        </w:rPr>
        <w:t xml:space="preserve"> </w:t>
      </w:r>
      <w:r>
        <w:rPr>
          <w:rStyle w:val="PageNumber"/>
          <w:rFonts w:ascii="Century Schoolbook" w:hAnsi="Century Schoolbook"/>
          <w:sz w:val="26"/>
          <w:szCs w:val="26"/>
        </w:rPr>
        <w:t>that</w:t>
      </w:r>
      <w:r w:rsidRPr="00D6789D">
        <w:rPr>
          <w:rStyle w:val="PageNumber"/>
          <w:rFonts w:ascii="Century Schoolbook" w:hAnsi="Century Schoolbook"/>
          <w:sz w:val="26"/>
          <w:szCs w:val="26"/>
        </w:rPr>
        <w:t xml:space="preserve"> incapacity to contract be supported by evidence of a deficit in at least one of four areas: alertness and attention, information processing, thought processes, and ability to modulate mood and affect.  (Prob. Code, § 811, subd. (a).)  The deficit must “significantly impair</w:t>
      </w:r>
      <w:r>
        <w:rPr>
          <w:rStyle w:val="PageNumber"/>
          <w:rFonts w:ascii="Century Schoolbook" w:hAnsi="Century Schoolbook"/>
          <w:sz w:val="26"/>
          <w:szCs w:val="26"/>
        </w:rPr>
        <w:t>[]</w:t>
      </w:r>
      <w:r w:rsidRPr="00D6789D">
        <w:rPr>
          <w:rStyle w:val="PageNumber"/>
          <w:rFonts w:ascii="Century Schoolbook" w:hAnsi="Century Schoolbook"/>
          <w:sz w:val="26"/>
          <w:szCs w:val="26"/>
        </w:rPr>
        <w:t xml:space="preserve"> the person’s ability to understand and appreciate the consequences of his or her actions with regard to the type of act or decision in question.”  (Prob. Code, § 811, subd. (b).)  The </w:t>
      </w:r>
      <w:r>
        <w:rPr>
          <w:rStyle w:val="PageNumber"/>
          <w:rFonts w:ascii="Century Schoolbook" w:hAnsi="Century Schoolbook"/>
          <w:sz w:val="26"/>
          <w:szCs w:val="26"/>
        </w:rPr>
        <w:t xml:space="preserve">capacity </w:t>
      </w:r>
      <w:r w:rsidRPr="00D6789D">
        <w:rPr>
          <w:rStyle w:val="PageNumber"/>
          <w:rFonts w:ascii="Century Schoolbook" w:hAnsi="Century Schoolbook"/>
          <w:sz w:val="26"/>
          <w:szCs w:val="26"/>
        </w:rPr>
        <w:t>to</w:t>
      </w:r>
      <w:r>
        <w:rPr>
          <w:rStyle w:val="PageNumber"/>
          <w:rFonts w:ascii="Century Schoolbook" w:hAnsi="Century Schoolbook"/>
          <w:sz w:val="26"/>
          <w:szCs w:val="26"/>
        </w:rPr>
        <w:t xml:space="preserve"> make a decision</w:t>
      </w:r>
      <w:r w:rsidRPr="00D6789D">
        <w:rPr>
          <w:rStyle w:val="PageNumber"/>
          <w:rFonts w:ascii="Century Schoolbook" w:hAnsi="Century Schoolbook"/>
          <w:sz w:val="26"/>
          <w:szCs w:val="26"/>
        </w:rPr>
        <w:t xml:space="preserve"> requires the person </w:t>
      </w:r>
      <w:r>
        <w:rPr>
          <w:rStyle w:val="PageNumber"/>
          <w:rFonts w:ascii="Century Schoolbook" w:hAnsi="Century Schoolbook"/>
          <w:sz w:val="26"/>
          <w:szCs w:val="26"/>
        </w:rPr>
        <w:t xml:space="preserve">have the ability to </w:t>
      </w:r>
      <w:r w:rsidRPr="00D6789D">
        <w:rPr>
          <w:rStyle w:val="PageNumber"/>
          <w:rFonts w:ascii="Century Schoolbook" w:hAnsi="Century Schoolbook"/>
          <w:sz w:val="26"/>
          <w:szCs w:val="26"/>
        </w:rPr>
        <w:t>communicate the decision</w:t>
      </w:r>
      <w:r>
        <w:rPr>
          <w:rStyle w:val="PageNumber"/>
          <w:rFonts w:ascii="Century Schoolbook" w:hAnsi="Century Schoolbook"/>
          <w:sz w:val="26"/>
          <w:szCs w:val="26"/>
        </w:rPr>
        <w:t xml:space="preserve"> verbally or by other means</w:t>
      </w:r>
      <w:r w:rsidRPr="00D6789D">
        <w:rPr>
          <w:rStyle w:val="PageNumber"/>
          <w:rFonts w:ascii="Century Schoolbook" w:hAnsi="Century Schoolbook"/>
          <w:sz w:val="26"/>
          <w:szCs w:val="26"/>
        </w:rPr>
        <w:t>,</w:t>
      </w:r>
      <w:r>
        <w:rPr>
          <w:rStyle w:val="PageNumber"/>
          <w:rFonts w:ascii="Century Schoolbook" w:hAnsi="Century Schoolbook"/>
          <w:sz w:val="26"/>
          <w:szCs w:val="26"/>
        </w:rPr>
        <w:t xml:space="preserve"> and </w:t>
      </w:r>
      <w:r w:rsidRPr="00D6789D">
        <w:rPr>
          <w:rStyle w:val="PageNumber"/>
          <w:rFonts w:ascii="Century Schoolbook" w:hAnsi="Century Schoolbook"/>
          <w:sz w:val="26"/>
          <w:szCs w:val="26"/>
        </w:rPr>
        <w:t xml:space="preserve">to understand and appreciate </w:t>
      </w:r>
      <w:r>
        <w:rPr>
          <w:rStyle w:val="PageNumber"/>
          <w:rFonts w:ascii="Century Schoolbook" w:hAnsi="Century Schoolbook"/>
          <w:sz w:val="26"/>
          <w:szCs w:val="26"/>
        </w:rPr>
        <w:t xml:space="preserve">the rights and </w:t>
      </w:r>
      <w:r w:rsidRPr="00D6789D">
        <w:rPr>
          <w:rStyle w:val="PageNumber"/>
          <w:rFonts w:ascii="Century Schoolbook" w:hAnsi="Century Schoolbook"/>
          <w:sz w:val="26"/>
          <w:szCs w:val="26"/>
        </w:rPr>
        <w:t>responsibilities</w:t>
      </w:r>
      <w:r>
        <w:rPr>
          <w:rStyle w:val="PageNumber"/>
          <w:rFonts w:ascii="Century Schoolbook" w:hAnsi="Century Schoolbook"/>
          <w:sz w:val="26"/>
          <w:szCs w:val="26"/>
        </w:rPr>
        <w:t xml:space="preserve"> affected by the decision</w:t>
      </w:r>
      <w:r w:rsidRPr="00D6789D">
        <w:rPr>
          <w:rStyle w:val="PageNumber"/>
          <w:rFonts w:ascii="Century Schoolbook" w:hAnsi="Century Schoolbook"/>
          <w:sz w:val="26"/>
          <w:szCs w:val="26"/>
        </w:rPr>
        <w:t xml:space="preserve">, </w:t>
      </w:r>
      <w:r>
        <w:rPr>
          <w:rStyle w:val="PageNumber"/>
          <w:rFonts w:ascii="Century Schoolbook" w:hAnsi="Century Schoolbook"/>
          <w:sz w:val="26"/>
          <w:szCs w:val="26"/>
        </w:rPr>
        <w:t xml:space="preserve">the </w:t>
      </w:r>
      <w:r w:rsidRPr="00D6789D">
        <w:rPr>
          <w:rStyle w:val="PageNumber"/>
          <w:rFonts w:ascii="Century Schoolbook" w:hAnsi="Century Schoolbook"/>
          <w:sz w:val="26"/>
          <w:szCs w:val="26"/>
        </w:rPr>
        <w:t xml:space="preserve">probable consequences, and </w:t>
      </w:r>
      <w:r>
        <w:rPr>
          <w:rStyle w:val="PageNumber"/>
          <w:rFonts w:ascii="Century Schoolbook" w:hAnsi="Century Schoolbook"/>
          <w:sz w:val="26"/>
          <w:szCs w:val="26"/>
        </w:rPr>
        <w:t xml:space="preserve">the </w:t>
      </w:r>
      <w:r w:rsidRPr="00D6789D">
        <w:rPr>
          <w:rStyle w:val="PageNumber"/>
          <w:rFonts w:ascii="Century Schoolbook" w:hAnsi="Century Schoolbook"/>
          <w:sz w:val="26"/>
          <w:szCs w:val="26"/>
        </w:rPr>
        <w:t>“significant risks, benefits, and reasonable alternatives involved in the decision.”  (Prob. Code, § 812.)</w:t>
      </w:r>
    </w:p>
    <w:p w:rsidR="00F11AF7" w:rsidP="00D6789D">
      <w:pPr>
        <w:spacing w:line="288" w:lineRule="auto"/>
        <w:ind w:firstLine="720"/>
        <w:rPr>
          <w:rFonts w:ascii="Century Schoolbook" w:hAnsi="Century Schoolbook"/>
          <w:szCs w:val="26"/>
        </w:rPr>
      </w:pPr>
      <w:r w:rsidRPr="00D6789D">
        <w:rPr>
          <w:rStyle w:val="PageNumber"/>
          <w:rFonts w:ascii="Century Schoolbook" w:hAnsi="Century Schoolbook"/>
          <w:sz w:val="26"/>
          <w:szCs w:val="26"/>
        </w:rPr>
        <w:t>“[T]he determination of a person’s mental capacity is fact specific, and the level of required mental capacity changes depending on the issue at hand . . . with marital capacity requiring the least amount of capacity, followed by testamentary capacity, and on the high end of the scale is the mental capacity required to enter contracts.”  (</w:t>
      </w:r>
      <w:r w:rsidRPr="00D6789D">
        <w:rPr>
          <w:rStyle w:val="PageNumber"/>
          <w:rFonts w:ascii="Century Schoolbook" w:hAnsi="Century Schoolbook"/>
          <w:i/>
          <w:iCs/>
          <w:sz w:val="26"/>
          <w:szCs w:val="26"/>
        </w:rPr>
        <w:t>Greenway</w:t>
      </w:r>
      <w:r>
        <w:rPr>
          <w:rStyle w:val="PageNumber"/>
          <w:rFonts w:ascii="Century Schoolbook" w:hAnsi="Century Schoolbook"/>
          <w:sz w:val="26"/>
          <w:szCs w:val="26"/>
        </w:rPr>
        <w:t xml:space="preserve">, </w:t>
      </w:r>
      <w:r w:rsidRPr="005B2F6D">
        <w:rPr>
          <w:rStyle w:val="PageNumber"/>
          <w:rFonts w:ascii="Century Schoolbook" w:hAnsi="Century Schoolbook"/>
          <w:i/>
          <w:iCs/>
          <w:sz w:val="26"/>
          <w:szCs w:val="26"/>
        </w:rPr>
        <w:t>supra</w:t>
      </w:r>
      <w:r>
        <w:rPr>
          <w:rStyle w:val="PageNumber"/>
          <w:rFonts w:ascii="Century Schoolbook" w:hAnsi="Century Schoolbook"/>
          <w:sz w:val="26"/>
          <w:szCs w:val="26"/>
        </w:rPr>
        <w:t xml:space="preserve">, </w:t>
      </w:r>
      <w:r w:rsidRPr="00D6789D">
        <w:rPr>
          <w:rStyle w:val="PageNumber"/>
          <w:rFonts w:ascii="Century Schoolbook" w:hAnsi="Century Schoolbook"/>
          <w:sz w:val="26"/>
          <w:szCs w:val="26"/>
        </w:rPr>
        <w:t xml:space="preserve">217 Cal.App.4th </w:t>
      </w:r>
      <w:r>
        <w:rPr>
          <w:rStyle w:val="PageNumber"/>
          <w:rFonts w:ascii="Century Schoolbook" w:hAnsi="Century Schoolbook"/>
          <w:sz w:val="26"/>
          <w:szCs w:val="26"/>
        </w:rPr>
        <w:t>at p.</w:t>
      </w:r>
      <w:r w:rsidRPr="00D6789D">
        <w:rPr>
          <w:rStyle w:val="PageNumber"/>
          <w:rFonts w:ascii="Century Schoolbook" w:hAnsi="Century Schoolbook"/>
          <w:sz w:val="26"/>
          <w:szCs w:val="26"/>
        </w:rPr>
        <w:t xml:space="preserve"> 639.)  “</w:t>
      </w:r>
      <w:r w:rsidRPr="00D6789D">
        <w:rPr>
          <w:rFonts w:ascii="Century Schoolbook" w:hAnsi="Century Schoolbook"/>
          <w:szCs w:val="26"/>
        </w:rPr>
        <w:t>More complicated decisions and transactions . . . require greater mental function.”  (</w:t>
      </w:r>
      <w:r w:rsidRPr="00D6789D">
        <w:rPr>
          <w:rFonts w:ascii="Century Schoolbook" w:hAnsi="Century Schoolbook"/>
          <w:i/>
          <w:iCs/>
          <w:szCs w:val="26"/>
        </w:rPr>
        <w:t>Andersen v. Hunt</w:t>
      </w:r>
      <w:r w:rsidRPr="00D6789D">
        <w:rPr>
          <w:rFonts w:ascii="Century Schoolbook" w:hAnsi="Century Schoolbook"/>
          <w:szCs w:val="26"/>
        </w:rPr>
        <w:t> (2011) 196 Cal.App.4th 722, 730.)</w:t>
      </w:r>
      <w:r>
        <w:rPr>
          <w:rFonts w:ascii="Century Schoolbook" w:hAnsi="Century Schoolbook"/>
          <w:szCs w:val="26"/>
        </w:rPr>
        <w:t xml:space="preserve">  The agreement here was a relatively complex five-page document that included legal terms, referred to several statutes, and waived the constitutional right to trial. </w:t>
      </w:r>
    </w:p>
    <w:p w:rsidR="00312923" w:rsidP="00936B4B">
      <w:pPr>
        <w:spacing w:line="288" w:lineRule="auto"/>
        <w:ind w:firstLine="720"/>
        <w:rPr>
          <w:rFonts w:ascii="Century Schoolbook" w:hAnsi="Century Schoolbook"/>
          <w:szCs w:val="26"/>
        </w:rPr>
      </w:pPr>
      <w:r>
        <w:rPr>
          <w:rFonts w:ascii="Century Schoolbook" w:hAnsi="Century Schoolbook"/>
          <w:szCs w:val="26"/>
        </w:rPr>
        <w:t>While Probate Code sections 811 and 812 provide a “baseline” for capacity to contract, “</w:t>
      </w:r>
      <w:r w:rsidRPr="003410C6">
        <w:rPr>
          <w:rFonts w:ascii="Century Schoolbook" w:hAnsi="Century Schoolbook"/>
          <w:szCs w:val="26"/>
        </w:rPr>
        <w:t>Civil Code </w:t>
      </w:r>
      <w:r>
        <w:rPr>
          <w:rFonts w:ascii="Century Schoolbook" w:hAnsi="Century Schoolbook"/>
          <w:szCs w:val="26"/>
        </w:rPr>
        <w:t>s</w:t>
      </w:r>
      <w:r w:rsidRPr="003410C6">
        <w:rPr>
          <w:rFonts w:ascii="Century Schoolbook" w:hAnsi="Century Schoolbook"/>
          <w:szCs w:val="26"/>
        </w:rPr>
        <w:t>ection 39, subdivision (b), provides more specific guidelines for determining the capacity to contract.</w:t>
      </w:r>
      <w:r>
        <w:rPr>
          <w:rFonts w:ascii="Century Schoolbook" w:hAnsi="Century Schoolbook"/>
          <w:szCs w:val="26"/>
        </w:rPr>
        <w:t>”  (</w:t>
      </w:r>
      <w:r w:rsidRPr="003410C6">
        <w:rPr>
          <w:rFonts w:ascii="Century Schoolbook" w:hAnsi="Century Schoolbook"/>
          <w:i/>
          <w:iCs/>
          <w:szCs w:val="26"/>
        </w:rPr>
        <w:t>Greenway</w:t>
      </w:r>
      <w:r>
        <w:rPr>
          <w:rFonts w:ascii="Century Schoolbook" w:hAnsi="Century Schoolbook"/>
          <w:szCs w:val="26"/>
        </w:rPr>
        <w:t xml:space="preserve">, </w:t>
      </w:r>
      <w:r w:rsidRPr="007C4DB7">
        <w:rPr>
          <w:rFonts w:ascii="Century Schoolbook" w:hAnsi="Century Schoolbook"/>
          <w:i/>
          <w:iCs/>
          <w:szCs w:val="26"/>
        </w:rPr>
        <w:t>supra</w:t>
      </w:r>
      <w:r>
        <w:rPr>
          <w:rFonts w:ascii="Century Schoolbook" w:hAnsi="Century Schoolbook"/>
          <w:szCs w:val="26"/>
        </w:rPr>
        <w:t xml:space="preserve">, </w:t>
      </w:r>
      <w:r w:rsidRPr="003410C6">
        <w:rPr>
          <w:rFonts w:ascii="Century Schoolbook" w:hAnsi="Century Schoolbook"/>
          <w:szCs w:val="26"/>
        </w:rPr>
        <w:t xml:space="preserve">217 Cal.App.4th </w:t>
      </w:r>
      <w:r>
        <w:rPr>
          <w:rFonts w:ascii="Century Schoolbook" w:hAnsi="Century Schoolbook"/>
          <w:szCs w:val="26"/>
        </w:rPr>
        <w:t>at p.</w:t>
      </w:r>
      <w:r w:rsidRPr="003410C6">
        <w:rPr>
          <w:rFonts w:ascii="Century Schoolbook" w:hAnsi="Century Schoolbook"/>
          <w:szCs w:val="26"/>
        </w:rPr>
        <w:t xml:space="preserve"> 642</w:t>
      </w:r>
      <w:r>
        <w:rPr>
          <w:rFonts w:ascii="Century Schoolbook" w:hAnsi="Century Schoolbook"/>
          <w:szCs w:val="26"/>
        </w:rPr>
        <w:t>.)  “</w:t>
      </w:r>
      <w:r w:rsidRPr="005C2EB3">
        <w:rPr>
          <w:rFonts w:ascii="Century Schoolbook" w:hAnsi="Century Schoolbook"/>
          <w:szCs w:val="26"/>
        </w:rPr>
        <w:t xml:space="preserve">A rebuttable presumption affecting the burden of proof that a person is of unsound mind shall exist for purposes of this section if the person is substantially unable to manage his or her own financial resources or resist fraud or undue influence.” </w:t>
      </w:r>
      <w:r>
        <w:rPr>
          <w:rFonts w:ascii="Century Schoolbook" w:hAnsi="Century Schoolbook"/>
          <w:szCs w:val="26"/>
        </w:rPr>
        <w:t xml:space="preserve"> </w:t>
      </w:r>
      <w:r w:rsidRPr="005C2EB3">
        <w:rPr>
          <w:rFonts w:ascii="Century Schoolbook" w:hAnsi="Century Schoolbook"/>
          <w:szCs w:val="26"/>
        </w:rPr>
        <w:t>(</w:t>
      </w:r>
      <w:r>
        <w:rPr>
          <w:rFonts w:ascii="Century Schoolbook" w:hAnsi="Century Schoolbook"/>
          <w:szCs w:val="26"/>
        </w:rPr>
        <w:t>Civ. Code, § 39, subd. (b)</w:t>
      </w:r>
      <w:r w:rsidRPr="005C2EB3">
        <w:rPr>
          <w:rFonts w:ascii="Century Schoolbook" w:hAnsi="Century Schoolbook"/>
          <w:szCs w:val="26"/>
        </w:rPr>
        <w:t xml:space="preserve">.) </w:t>
      </w:r>
      <w:r>
        <w:rPr>
          <w:rFonts w:ascii="Century Schoolbook" w:hAnsi="Century Schoolbook"/>
          <w:szCs w:val="26"/>
        </w:rPr>
        <w:t xml:space="preserve"> When</w:t>
      </w:r>
      <w:r w:rsidRPr="005C2EB3">
        <w:rPr>
          <w:rFonts w:ascii="Century Schoolbook" w:hAnsi="Century Schoolbook"/>
          <w:szCs w:val="26"/>
        </w:rPr>
        <w:t xml:space="preserve"> th</w:t>
      </w:r>
      <w:r>
        <w:rPr>
          <w:rFonts w:ascii="Century Schoolbook" w:hAnsi="Century Schoolbook"/>
          <w:szCs w:val="26"/>
        </w:rPr>
        <w:t>is</w:t>
      </w:r>
      <w:r w:rsidRPr="005C2EB3">
        <w:rPr>
          <w:rFonts w:ascii="Century Schoolbook" w:hAnsi="Century Schoolbook"/>
          <w:szCs w:val="26"/>
        </w:rPr>
        <w:t xml:space="preserve"> presumption </w:t>
      </w:r>
      <w:r>
        <w:rPr>
          <w:rFonts w:ascii="Century Schoolbook" w:hAnsi="Century Schoolbook"/>
          <w:szCs w:val="26"/>
        </w:rPr>
        <w:t>applies</w:t>
      </w:r>
      <w:r w:rsidRPr="005C2EB3">
        <w:rPr>
          <w:rFonts w:ascii="Century Schoolbook" w:hAnsi="Century Schoolbook"/>
          <w:szCs w:val="26"/>
        </w:rPr>
        <w:t xml:space="preserve">, the party claiming capacity to contract </w:t>
      </w:r>
      <w:r>
        <w:rPr>
          <w:rFonts w:ascii="Century Schoolbook" w:hAnsi="Century Schoolbook"/>
          <w:szCs w:val="26"/>
        </w:rPr>
        <w:t>has the burden “</w:t>
      </w:r>
      <w:r w:rsidRPr="005C2EB3">
        <w:rPr>
          <w:rFonts w:ascii="Century Schoolbook" w:hAnsi="Century Schoolbook"/>
          <w:szCs w:val="26"/>
        </w:rPr>
        <w:t>to prove that while he or she may be unable to manage his or her financial resources or resist fraud or</w:t>
      </w:r>
      <w:r>
        <w:rPr>
          <w:rFonts w:ascii="Century Schoolbook" w:hAnsi="Century Schoolbook"/>
          <w:szCs w:val="26"/>
        </w:rPr>
        <w:t xml:space="preserve"> </w:t>
      </w:r>
      <w:r w:rsidRPr="005C2EB3">
        <w:rPr>
          <w:rFonts w:ascii="Century Schoolbook" w:hAnsi="Century Schoolbook"/>
          <w:szCs w:val="26"/>
        </w:rPr>
        <w:t>undue influence, he or she is nevertheless still capable of contracting being of sound mind as defined by Probate Code section 811.</w:t>
      </w:r>
      <w:r>
        <w:rPr>
          <w:rFonts w:ascii="Century Schoolbook" w:hAnsi="Century Schoolbook"/>
          <w:szCs w:val="26"/>
        </w:rPr>
        <w:t>”  (</w:t>
      </w:r>
      <w:r w:rsidRPr="00940B02">
        <w:rPr>
          <w:rFonts w:ascii="Century Schoolbook" w:hAnsi="Century Schoolbook"/>
          <w:i/>
          <w:iCs/>
          <w:szCs w:val="26"/>
        </w:rPr>
        <w:t>Greenway</w:t>
      </w:r>
      <w:r>
        <w:rPr>
          <w:rFonts w:ascii="Century Schoolbook" w:hAnsi="Century Schoolbook"/>
          <w:szCs w:val="26"/>
        </w:rPr>
        <w:t xml:space="preserve">, at pp. 642-643.)  </w:t>
      </w:r>
    </w:p>
    <w:p w:rsidR="00F70B98" w:rsidP="00312923">
      <w:pPr>
        <w:spacing w:line="288" w:lineRule="auto"/>
        <w:ind w:firstLine="720"/>
        <w:rPr>
          <w:rFonts w:ascii="Century Schoolbook" w:hAnsi="Century Schoolbook"/>
          <w:szCs w:val="26"/>
        </w:rPr>
      </w:pPr>
      <w:r>
        <w:rPr>
          <w:rFonts w:ascii="Century Schoolbook" w:hAnsi="Century Schoolbook"/>
          <w:szCs w:val="26"/>
        </w:rPr>
        <w:t xml:space="preserve">Evidence here that Cornelio scored below the level necessary to </w:t>
      </w:r>
      <w:r>
        <w:rPr>
          <w:rStyle w:val="PageNumber"/>
          <w:rFonts w:ascii="Century Schoolbook" w:hAnsi="Century Schoolbook"/>
          <w:sz w:val="26"/>
          <w:szCs w:val="26"/>
        </w:rPr>
        <w:t>“solve complex problems such as managing [a] checking account” supports the conclusion that he was unable to manage his financial affairs.  But regardless of whether the presumption of Civil Code section 39, subdivision (b) applied, substantial evidence established that Cornelio lacked the capacity to enter an arbitration agreement.</w:t>
      </w:r>
      <w:r>
        <w:rPr>
          <w:rFonts w:ascii="Century Schoolbook" w:hAnsi="Century Schoolbook"/>
          <w:szCs w:val="26"/>
        </w:rPr>
        <w:t xml:space="preserve">  </w:t>
      </w:r>
    </w:p>
    <w:p w:rsidR="00312923" w:rsidP="00312923">
      <w:pPr>
        <w:spacing w:line="288" w:lineRule="auto"/>
        <w:ind w:firstLine="720"/>
        <w:rPr>
          <w:rFonts w:ascii="Century Schoolbook" w:hAnsi="Century Schoolbook"/>
          <w:szCs w:val="26"/>
        </w:rPr>
      </w:pPr>
      <w:r>
        <w:rPr>
          <w:rFonts w:ascii="Century Schoolbook" w:hAnsi="Century Schoolbook"/>
          <w:szCs w:val="26"/>
        </w:rPr>
        <w:t>Medical professionals at St. John’s concluded that Cornelio had deficits in receptive and expressive communication, memory, problem solving, following abstract directions, and executive functioning.  Their reports showed deficits in mental functions pertaining to information processing, such as memory and</w:t>
      </w:r>
      <w:r w:rsidRPr="00DA27FB">
        <w:rPr>
          <w:rFonts w:ascii="Century Schoolbook" w:hAnsi="Century Schoolbook"/>
          <w:szCs w:val="26"/>
        </w:rPr>
        <w:t xml:space="preserve"> </w:t>
      </w:r>
      <w:r>
        <w:rPr>
          <w:rFonts w:ascii="Century Schoolbook" w:hAnsi="Century Schoolbook"/>
          <w:szCs w:val="26"/>
        </w:rPr>
        <w:t xml:space="preserve">the </w:t>
      </w:r>
      <w:r w:rsidRPr="00DA27FB">
        <w:rPr>
          <w:rFonts w:ascii="Century Schoolbook" w:hAnsi="Century Schoolbook"/>
          <w:szCs w:val="26"/>
        </w:rPr>
        <w:t>a</w:t>
      </w:r>
      <w:r>
        <w:rPr>
          <w:rFonts w:ascii="Century Schoolbook" w:hAnsi="Century Schoolbook"/>
          <w:szCs w:val="26"/>
        </w:rPr>
        <w:t>bility</w:t>
      </w:r>
      <w:r w:rsidRPr="00DA27FB">
        <w:rPr>
          <w:rFonts w:ascii="Century Schoolbook" w:hAnsi="Century Schoolbook"/>
          <w:szCs w:val="26"/>
        </w:rPr>
        <w:t xml:space="preserve"> to plan, organize, and carry out actions </w:t>
      </w:r>
      <w:r w:rsidRPr="00F70B98">
        <w:rPr>
          <w:rFonts w:ascii="Century Schoolbook" w:hAnsi="Century Schoolbook"/>
          <w:szCs w:val="26"/>
        </w:rPr>
        <w:t>(Prob. Code, § 811, subd. (a)(2)(A)</w:t>
      </w:r>
      <w:r>
        <w:rPr>
          <w:rFonts w:ascii="Century Schoolbook" w:hAnsi="Century Schoolbook"/>
          <w:szCs w:val="26"/>
        </w:rPr>
        <w:t xml:space="preserve"> &amp; </w:t>
      </w:r>
      <w:r w:rsidRPr="00DA27FB">
        <w:rPr>
          <w:rFonts w:ascii="Century Schoolbook" w:hAnsi="Century Schoolbook"/>
          <w:szCs w:val="26"/>
        </w:rPr>
        <w:t>(F))</w:t>
      </w:r>
      <w:r>
        <w:rPr>
          <w:rFonts w:ascii="Century Schoolbook" w:hAnsi="Century Schoolbook"/>
          <w:szCs w:val="26"/>
        </w:rPr>
        <w:t>.  There was also a deficit in alertness and attention, including the ability to understand or communicate with others (</w:t>
      </w:r>
      <w:r w:rsidRPr="00E27EB9">
        <w:rPr>
          <w:rFonts w:ascii="Century Schoolbook" w:hAnsi="Century Schoolbook"/>
          <w:i/>
          <w:iCs/>
          <w:szCs w:val="26"/>
        </w:rPr>
        <w:t>id</w:t>
      </w:r>
      <w:r>
        <w:rPr>
          <w:rFonts w:ascii="Century Schoolbook" w:hAnsi="Century Schoolbook"/>
          <w:szCs w:val="26"/>
        </w:rPr>
        <w:t>., subd. (a)(2)(B)).  Wernher’s declaration additionally showed that Cornelio was unable to recognize familiar persons (</w:t>
      </w:r>
      <w:r w:rsidRPr="00AE09B6">
        <w:rPr>
          <w:rFonts w:ascii="Century Schoolbook" w:hAnsi="Century Schoolbook"/>
          <w:i/>
          <w:iCs/>
          <w:szCs w:val="26"/>
        </w:rPr>
        <w:t>id</w:t>
      </w:r>
      <w:r>
        <w:rPr>
          <w:rFonts w:ascii="Century Schoolbook" w:hAnsi="Century Schoolbook"/>
          <w:szCs w:val="26"/>
        </w:rPr>
        <w:t xml:space="preserve">., subd. (a)(2)(C)).  </w:t>
      </w:r>
    </w:p>
    <w:p w:rsidR="00706F75" w:rsidP="00312923">
      <w:pPr>
        <w:spacing w:line="288" w:lineRule="auto"/>
        <w:ind w:firstLine="720"/>
        <w:rPr>
          <w:rFonts w:ascii="Century Schoolbook" w:hAnsi="Century Schoolbook"/>
          <w:szCs w:val="26"/>
        </w:rPr>
      </w:pPr>
      <w:r>
        <w:rPr>
          <w:rFonts w:ascii="Century Schoolbook" w:hAnsi="Century Schoolbook"/>
          <w:szCs w:val="26"/>
        </w:rPr>
        <w:t xml:space="preserve">The trial court could reasonably infer from the evidence, including Cornelio’s inability to recognize his wife or granddaughter, failure to respond to questions about his care, inability to understand speech, and ability to respond to only simple questions or commands, that his deficits “significantly impair[ed]” his “ability to understand and appreciate the consequences” of waiving his right to trial.  (Prob. Code, §§ 811, subd. (b), 812.)  Because substantial evidence supported the trial court’s finding that Cornelio was not competent to enter into an arbitration agreement, Oxnard Manor did not meet its burden to establish a valid agreement.  </w:t>
      </w:r>
    </w:p>
    <w:p w:rsidR="000F603F" w:rsidRPr="00D6789D" w:rsidP="00706F75">
      <w:pPr>
        <w:spacing w:line="288" w:lineRule="auto"/>
        <w:ind w:firstLine="720"/>
        <w:rPr>
          <w:rStyle w:val="PageNumber"/>
          <w:rFonts w:ascii="Century Schoolbook" w:hAnsi="Century Schoolbook"/>
          <w:sz w:val="26"/>
          <w:szCs w:val="26"/>
        </w:rPr>
      </w:pPr>
      <w:r>
        <w:rPr>
          <w:rFonts w:ascii="Century Schoolbook" w:hAnsi="Century Schoolbook"/>
          <w:szCs w:val="26"/>
        </w:rPr>
        <w:t xml:space="preserve">The trial court’s ruling is consistent with </w:t>
      </w:r>
      <w:r w:rsidRPr="000F603F">
        <w:rPr>
          <w:rFonts w:ascii="Century Schoolbook" w:hAnsi="Century Schoolbook"/>
          <w:i/>
          <w:iCs/>
          <w:szCs w:val="26"/>
        </w:rPr>
        <w:t>Smalley v. Baker</w:t>
      </w:r>
      <w:r w:rsidRPr="000F603F">
        <w:rPr>
          <w:rFonts w:ascii="Century Schoolbook" w:hAnsi="Century Schoolbook"/>
          <w:szCs w:val="26"/>
        </w:rPr>
        <w:t> (1968) 262 Cal.App.2d 824,</w:t>
      </w:r>
      <w:r>
        <w:rPr>
          <w:rFonts w:ascii="Century Schoolbook" w:hAnsi="Century Schoolbook"/>
          <w:szCs w:val="26"/>
        </w:rPr>
        <w:t xml:space="preserve"> upon which Oxnard Manor relies.  </w:t>
      </w:r>
      <w:r w:rsidRPr="003D1991">
        <w:rPr>
          <w:rFonts w:ascii="Century Schoolbook" w:hAnsi="Century Schoolbook"/>
          <w:i/>
          <w:iCs/>
          <w:szCs w:val="26"/>
        </w:rPr>
        <w:t>Smalley</w:t>
      </w:r>
      <w:r>
        <w:rPr>
          <w:rFonts w:ascii="Century Schoolbook" w:hAnsi="Century Schoolbook"/>
          <w:szCs w:val="26"/>
        </w:rPr>
        <w:t xml:space="preserve"> was decided before the enactment of Probate Code sections 810 through 812, and was based on Civil Code sections 38 and 39.  It held that “</w:t>
      </w:r>
      <w:r w:rsidRPr="000F603F">
        <w:rPr>
          <w:rFonts w:ascii="Century Schoolbook" w:hAnsi="Century Schoolbook"/>
          <w:szCs w:val="26"/>
        </w:rPr>
        <w:t>a party is entitled to rescission of a contract if, when he entered into the contract, he was not mentally competent to deal with the subject before him with a full understanding of his rights, the test being, in each instance, whether he understood the nature, purpose and effect of what he did.</w:t>
      </w:r>
      <w:r>
        <w:rPr>
          <w:rFonts w:ascii="Century Schoolbook" w:hAnsi="Century Schoolbook"/>
          <w:szCs w:val="26"/>
        </w:rPr>
        <w:t>”  (</w:t>
      </w:r>
      <w:r>
        <w:rPr>
          <w:rFonts w:ascii="Century Schoolbook" w:hAnsi="Century Schoolbook"/>
          <w:i/>
          <w:iCs/>
          <w:szCs w:val="26"/>
        </w:rPr>
        <w:t>Smalley</w:t>
      </w:r>
      <w:r>
        <w:rPr>
          <w:rFonts w:ascii="Century Schoolbook" w:hAnsi="Century Schoolbook"/>
          <w:szCs w:val="26"/>
        </w:rPr>
        <w:t xml:space="preserve">, at p. 832.)  </w:t>
      </w:r>
      <w:r w:rsidRPr="00F9220E">
        <w:rPr>
          <w:rFonts w:ascii="Century Schoolbook" w:hAnsi="Century Schoolbook"/>
          <w:i/>
          <w:iCs/>
          <w:szCs w:val="26"/>
        </w:rPr>
        <w:t>Smalley</w:t>
      </w:r>
      <w:r>
        <w:rPr>
          <w:rFonts w:ascii="Century Schoolbook" w:hAnsi="Century Schoolbook"/>
          <w:szCs w:val="26"/>
        </w:rPr>
        <w:t xml:space="preserve"> reviewed</w:t>
      </w:r>
      <w:r w:rsidRPr="00860D6E">
        <w:rPr>
          <w:rFonts w:ascii="Century Schoolbook" w:hAnsi="Century Schoolbook"/>
          <w:szCs w:val="26"/>
        </w:rPr>
        <w:t xml:space="preserve"> </w:t>
      </w:r>
      <w:r>
        <w:rPr>
          <w:rFonts w:ascii="Century Schoolbook" w:hAnsi="Century Schoolbook"/>
          <w:szCs w:val="26"/>
        </w:rPr>
        <w:t>for substantial evidence the trial court’s finding that he lacked “</w:t>
      </w:r>
      <w:r w:rsidRPr="00485B43">
        <w:rPr>
          <w:rFonts w:ascii="Century Schoolbook" w:hAnsi="Century Schoolbook"/>
          <w:szCs w:val="26"/>
        </w:rPr>
        <w:t>the requisite mental capacity to enter into a contract</w:t>
      </w:r>
      <w:r>
        <w:rPr>
          <w:rFonts w:ascii="Century Schoolbook" w:hAnsi="Century Schoolbook"/>
          <w:szCs w:val="26"/>
        </w:rPr>
        <w:t>.”  (</w:t>
      </w:r>
      <w:r w:rsidRPr="00485B43">
        <w:rPr>
          <w:rFonts w:ascii="Century Schoolbook" w:hAnsi="Century Schoolbook"/>
          <w:i/>
          <w:iCs/>
          <w:szCs w:val="26"/>
        </w:rPr>
        <w:t>Ibid</w:t>
      </w:r>
      <w:r>
        <w:rPr>
          <w:rFonts w:ascii="Century Schoolbook" w:hAnsi="Century Schoolbook"/>
          <w:szCs w:val="26"/>
        </w:rPr>
        <w:t>.)  As discussed above, substantial evidence here supports the trial court’s finding that Cornelio lacked the capacity to consent to arbitration.</w:t>
      </w:r>
    </w:p>
    <w:p w:rsidR="00F05A72" w:rsidRPr="00535215" w:rsidP="00207054">
      <w:pPr>
        <w:spacing w:line="288" w:lineRule="auto"/>
        <w:ind w:firstLine="720"/>
        <w:rPr>
          <w:rFonts w:ascii="Century Schoolbook" w:hAnsi="Century Schoolbook"/>
          <w:szCs w:val="26"/>
        </w:rPr>
      </w:pPr>
      <w:r>
        <w:rPr>
          <w:rFonts w:ascii="Century Schoolbook" w:hAnsi="Century Schoolbook"/>
          <w:szCs w:val="26"/>
        </w:rPr>
        <w:t xml:space="preserve">Finally, we conclude the trial court acted within its authority as a finder of fact when it credited the St. John’s reports and gave “little weight </w:t>
      </w:r>
      <w:r w:rsidRPr="00207054">
        <w:rPr>
          <w:rFonts w:ascii="Century Schoolbook" w:hAnsi="Century Schoolbook"/>
          <w:szCs w:val="26"/>
        </w:rPr>
        <w:t>on the bare</w:t>
      </w:r>
      <w:r>
        <w:rPr>
          <w:rFonts w:ascii="Century Schoolbook" w:hAnsi="Century Schoolbook"/>
          <w:szCs w:val="26"/>
        </w:rPr>
        <w:t xml:space="preserve"> </w:t>
      </w:r>
      <w:r w:rsidRPr="00207054">
        <w:rPr>
          <w:rFonts w:ascii="Century Schoolbook" w:hAnsi="Century Schoolbook"/>
          <w:szCs w:val="26"/>
        </w:rPr>
        <w:t>assertions that Cornelio had the capacity to understand and make decisions.</w:t>
      </w:r>
      <w:r>
        <w:rPr>
          <w:rFonts w:ascii="Century Schoolbook" w:hAnsi="Century Schoolbook"/>
          <w:szCs w:val="26"/>
        </w:rPr>
        <w:t>”  (</w:t>
      </w:r>
      <w:r w:rsidRPr="00942EBD">
        <w:rPr>
          <w:rFonts w:ascii="Century Schoolbook" w:hAnsi="Century Schoolbook"/>
          <w:i/>
          <w:iCs/>
          <w:szCs w:val="26"/>
        </w:rPr>
        <w:t>Jennings v. Palomar Pomerado Health Systems, Inc.</w:t>
      </w:r>
      <w:r>
        <w:rPr>
          <w:rFonts w:ascii="Century Schoolbook" w:hAnsi="Century Schoolbook"/>
          <w:szCs w:val="26"/>
        </w:rPr>
        <w:t xml:space="preserve"> (2003) 114 Cal.App.4th 1108, 1117.)  </w:t>
      </w:r>
      <w:r w:rsidRPr="00F70B98">
        <w:rPr>
          <w:rFonts w:ascii="Century Schoolbook" w:hAnsi="Century Schoolbook"/>
          <w:szCs w:val="26"/>
        </w:rPr>
        <w:t xml:space="preserve">The trial court </w:t>
      </w:r>
      <w:r>
        <w:rPr>
          <w:rFonts w:ascii="Century Schoolbook" w:hAnsi="Century Schoolbook"/>
          <w:szCs w:val="26"/>
        </w:rPr>
        <w:t>found</w:t>
      </w:r>
      <w:r w:rsidRPr="00F70B98">
        <w:rPr>
          <w:rFonts w:ascii="Century Schoolbook" w:hAnsi="Century Schoolbook"/>
          <w:szCs w:val="26"/>
        </w:rPr>
        <w:t xml:space="preserve"> medical notes from Oxnard Manor </w:t>
      </w:r>
      <w:r>
        <w:rPr>
          <w:rFonts w:ascii="Century Schoolbook" w:hAnsi="Century Schoolbook"/>
          <w:szCs w:val="26"/>
        </w:rPr>
        <w:t>to be</w:t>
      </w:r>
      <w:r w:rsidRPr="00F70B98">
        <w:rPr>
          <w:rFonts w:ascii="Century Schoolbook" w:hAnsi="Century Schoolbook"/>
          <w:szCs w:val="26"/>
        </w:rPr>
        <w:t xml:space="preserve"> “nearly illegible,” and noted that no expert declaration was submitted to</w:t>
      </w:r>
      <w:r>
        <w:rPr>
          <w:rFonts w:ascii="Century Schoolbook" w:hAnsi="Century Schoolbook"/>
          <w:szCs w:val="26"/>
        </w:rPr>
        <w:t xml:space="preserve"> </w:t>
      </w:r>
      <w:r w:rsidRPr="00F70B98">
        <w:rPr>
          <w:rFonts w:ascii="Century Schoolbook" w:hAnsi="Century Schoolbook"/>
          <w:szCs w:val="26"/>
        </w:rPr>
        <w:t xml:space="preserve">interpret them.  </w:t>
      </w:r>
      <w:r>
        <w:rPr>
          <w:rFonts w:ascii="Century Schoolbook" w:hAnsi="Century Schoolbook"/>
          <w:szCs w:val="26"/>
        </w:rPr>
        <w:t xml:space="preserve">It weighed the evidence and found “[t]he more persuasive and compelling evidence is that prior to his admission into defendants’ facility, Cornelio had a substantial cognitive deficit and, although he was improving, he was progressing slowly.  There is no credible evidence supporting the abrupt improvement in his condition that defendants urge the court to find.”  </w:t>
      </w:r>
      <w:r w:rsidRPr="00F70B98">
        <w:rPr>
          <w:rFonts w:ascii="Century Schoolbook" w:hAnsi="Century Schoolbook"/>
          <w:szCs w:val="26"/>
        </w:rPr>
        <w:t>This is substantial evidence that Cornelio lacked capacity to enter into the arbitration agreement.</w:t>
      </w:r>
    </w:p>
    <w:p w:rsidR="00F11AF7" w:rsidRPr="00D6789D" w:rsidP="00D6789D">
      <w:pPr>
        <w:spacing w:line="288" w:lineRule="auto"/>
        <w:jc w:val="center"/>
        <w:rPr>
          <w:rStyle w:val="PageNumber"/>
          <w:rFonts w:ascii="Century Schoolbook" w:hAnsi="Century Schoolbook"/>
          <w:sz w:val="26"/>
          <w:szCs w:val="26"/>
        </w:rPr>
      </w:pPr>
      <w:r w:rsidRPr="00D6789D">
        <w:rPr>
          <w:rStyle w:val="PageNumber"/>
          <w:rFonts w:ascii="Century Schoolbook" w:hAnsi="Century Schoolbook"/>
          <w:sz w:val="26"/>
          <w:szCs w:val="26"/>
        </w:rPr>
        <w:t>DISPOSITION</w:t>
      </w:r>
    </w:p>
    <w:p w:rsidR="00F11AF7" w:rsidRPr="00D6789D" w:rsidP="00D6789D">
      <w:pPr>
        <w:spacing w:line="288" w:lineRule="auto"/>
        <w:rPr>
          <w:rStyle w:val="PageNumber"/>
          <w:rFonts w:ascii="Century Schoolbook" w:hAnsi="Century Schoolbook"/>
          <w:sz w:val="26"/>
          <w:szCs w:val="26"/>
        </w:rPr>
      </w:pPr>
      <w:r w:rsidRPr="00D6789D">
        <w:rPr>
          <w:rStyle w:val="PageNumber"/>
          <w:rFonts w:ascii="Century Schoolbook" w:hAnsi="Century Schoolbook"/>
          <w:sz w:val="26"/>
          <w:szCs w:val="26"/>
        </w:rPr>
        <w:tab/>
        <w:t>The order denying appellant</w:t>
      </w:r>
      <w:r>
        <w:rPr>
          <w:rStyle w:val="PageNumber"/>
          <w:rFonts w:ascii="Century Schoolbook" w:hAnsi="Century Schoolbook"/>
          <w:sz w:val="26"/>
          <w:szCs w:val="26"/>
        </w:rPr>
        <w:t>’</w:t>
      </w:r>
      <w:r w:rsidRPr="00D6789D">
        <w:rPr>
          <w:rStyle w:val="PageNumber"/>
          <w:rFonts w:ascii="Century Schoolbook" w:hAnsi="Century Schoolbook"/>
          <w:sz w:val="26"/>
          <w:szCs w:val="26"/>
        </w:rPr>
        <w:t>s</w:t>
      </w:r>
      <w:r>
        <w:rPr>
          <w:rStyle w:val="PageNumber"/>
          <w:rFonts w:ascii="Century Schoolbook" w:hAnsi="Century Schoolbook"/>
          <w:sz w:val="26"/>
          <w:szCs w:val="26"/>
        </w:rPr>
        <w:t xml:space="preserve"> petition </w:t>
      </w:r>
      <w:r w:rsidRPr="00D6789D">
        <w:rPr>
          <w:rStyle w:val="PageNumber"/>
          <w:rFonts w:ascii="Century Schoolbook" w:hAnsi="Century Schoolbook"/>
          <w:sz w:val="26"/>
          <w:szCs w:val="26"/>
        </w:rPr>
        <w:t>to compel arbitration is affirmed.  Respondents shall be awarded costs on appeal.</w:t>
      </w:r>
    </w:p>
    <w:p w:rsidR="00F11AF7" w:rsidP="00EF2F8B">
      <w:pPr>
        <w:tabs>
          <w:tab w:val="left" w:pos="1440"/>
          <w:tab w:val="left" w:pos="2880"/>
          <w:tab w:val="left" w:pos="4320"/>
          <w:tab w:val="left" w:pos="5760"/>
          <w:tab w:val="left" w:pos="7200"/>
        </w:tabs>
        <w:spacing w:line="288" w:lineRule="auto"/>
        <w:ind w:firstLine="720"/>
        <w:rPr>
          <w:rStyle w:val="PageNumber"/>
          <w:rFonts w:ascii="Century Schoolbook" w:hAnsi="Century Schoolbook"/>
          <w:sz w:val="26"/>
          <w:szCs w:val="26"/>
        </w:rPr>
      </w:pPr>
      <w:r>
        <w:rPr>
          <w:rStyle w:val="PageNumber"/>
          <w:rFonts w:ascii="Century Schoolbook" w:hAnsi="Century Schoolbook"/>
          <w:sz w:val="26"/>
          <w:szCs w:val="26"/>
          <w:u w:val="single"/>
        </w:rPr>
        <w:t>CERTIFIED FOR PUBLICATION</w:t>
      </w:r>
      <w:r w:rsidRPr="00D6789D">
        <w:rPr>
          <w:rStyle w:val="PageNumber"/>
          <w:rFonts w:ascii="Century Schoolbook" w:hAnsi="Century Schoolbook"/>
          <w:sz w:val="26"/>
          <w:szCs w:val="26"/>
          <w:u w:val="single"/>
        </w:rPr>
        <w:t>.</w:t>
      </w:r>
    </w:p>
    <w:p w:rsidR="007F268A"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p>
    <w:p w:rsidR="00930895"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p>
    <w:p w:rsidR="00930895"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p>
    <w:p w:rsidR="00EF2F8B" w:rsidRPr="00D6789D"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p>
    <w:p w:rsidR="00F11AF7"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r w:rsidRPr="00D6789D">
        <w:rPr>
          <w:rStyle w:val="PageNumber"/>
          <w:rFonts w:ascii="Century Schoolbook" w:hAnsi="Century Schoolbook"/>
          <w:sz w:val="26"/>
          <w:szCs w:val="26"/>
        </w:rPr>
        <w:tab/>
      </w:r>
      <w:r w:rsidRPr="00D6789D">
        <w:rPr>
          <w:rStyle w:val="PageNumber"/>
          <w:rFonts w:ascii="Century Schoolbook" w:hAnsi="Century Schoolbook"/>
          <w:sz w:val="26"/>
          <w:szCs w:val="26"/>
        </w:rPr>
        <w:tab/>
      </w:r>
      <w:r w:rsidRPr="00D6789D">
        <w:rPr>
          <w:rStyle w:val="PageNumber"/>
          <w:rFonts w:ascii="Century Schoolbook" w:hAnsi="Century Schoolbook"/>
          <w:sz w:val="26"/>
          <w:szCs w:val="26"/>
        </w:rPr>
        <w:tab/>
        <w:t>BALTODANO, J.</w:t>
      </w:r>
    </w:p>
    <w:p w:rsidR="00930895"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p>
    <w:p w:rsidR="00930895" w:rsidRPr="00D6789D"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p>
    <w:p w:rsidR="00F11AF7" w:rsidRPr="00D6789D"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r w:rsidRPr="00D6789D">
        <w:rPr>
          <w:rStyle w:val="PageNumber"/>
          <w:rFonts w:ascii="Century Schoolbook" w:hAnsi="Century Schoolbook"/>
          <w:sz w:val="26"/>
          <w:szCs w:val="26"/>
        </w:rPr>
        <w:t>We concur:</w:t>
      </w:r>
    </w:p>
    <w:p w:rsidR="00EF2F8B"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p>
    <w:p w:rsidR="00930895"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p>
    <w:p w:rsidR="00930895" w:rsidRPr="00D6789D"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p>
    <w:p w:rsidR="00930895"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r w:rsidRPr="00D6789D">
        <w:rPr>
          <w:rStyle w:val="PageNumber"/>
          <w:rFonts w:ascii="Century Schoolbook" w:hAnsi="Century Schoolbook"/>
          <w:sz w:val="26"/>
          <w:szCs w:val="26"/>
        </w:rPr>
        <w:tab/>
        <w:t>GILBERT, P. J.</w:t>
      </w:r>
      <w:r>
        <w:rPr>
          <w:rStyle w:val="PageNumber"/>
          <w:rFonts w:ascii="Century Schoolbook" w:hAnsi="Century Schoolbook"/>
          <w:sz w:val="26"/>
          <w:szCs w:val="26"/>
        </w:rPr>
        <w:tab/>
      </w:r>
    </w:p>
    <w:p w:rsidR="00930895"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p>
    <w:p w:rsidR="00930895"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p>
    <w:p w:rsidR="00930895"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p>
    <w:p w:rsidR="007F268A"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sectPr w:rsidSect="00530A9C">
          <w:headerReference w:type="even" r:id="rId5"/>
          <w:headerReference w:type="default" r:id="rId6"/>
          <w:footerReference w:type="even" r:id="rId7"/>
          <w:footerReference w:type="default" r:id="rId8"/>
          <w:headerReference w:type="first" r:id="rId9"/>
          <w:footerReference w:type="first" r:id="rId10"/>
          <w:pgSz w:w="12240" w:h="15840"/>
          <w:pgMar w:top="2160" w:right="2160" w:bottom="2160" w:left="2160" w:header="720" w:footer="720" w:gutter="0"/>
          <w:cols w:space="720"/>
          <w:titlePg/>
          <w:docGrid w:linePitch="354"/>
        </w:sectPr>
      </w:pPr>
      <w:r>
        <w:rPr>
          <w:rStyle w:val="PageNumber"/>
          <w:rFonts w:ascii="Century Schoolbook" w:hAnsi="Century Schoolbook"/>
          <w:sz w:val="26"/>
          <w:szCs w:val="26"/>
        </w:rPr>
        <w:tab/>
      </w:r>
      <w:r w:rsidRPr="00D6789D">
        <w:rPr>
          <w:rStyle w:val="PageNumber"/>
          <w:rFonts w:ascii="Century Schoolbook" w:hAnsi="Century Schoolbook"/>
          <w:sz w:val="26"/>
          <w:szCs w:val="26"/>
        </w:rPr>
        <w:t>YEGAN, J.</w:t>
      </w:r>
    </w:p>
    <w:p w:rsidR="00F11AF7" w:rsidP="007F268A">
      <w:pPr>
        <w:tabs>
          <w:tab w:val="left" w:pos="1440"/>
          <w:tab w:val="left" w:pos="2880"/>
          <w:tab w:val="left" w:pos="4320"/>
          <w:tab w:val="left" w:pos="5760"/>
          <w:tab w:val="left" w:pos="7200"/>
        </w:tabs>
        <w:spacing w:line="288" w:lineRule="auto"/>
        <w:jc w:val="center"/>
        <w:rPr>
          <w:rStyle w:val="PageNumber"/>
          <w:rFonts w:ascii="Century Schoolbook" w:hAnsi="Century Schoolbook"/>
          <w:sz w:val="26"/>
          <w:szCs w:val="26"/>
        </w:rPr>
      </w:pPr>
      <w:r>
        <w:rPr>
          <w:rStyle w:val="PageNumber"/>
          <w:rFonts w:ascii="Century Schoolbook" w:hAnsi="Century Schoolbook"/>
          <w:sz w:val="26"/>
          <w:szCs w:val="26"/>
        </w:rPr>
        <w:t>Mark S. Borrell, Judge</w:t>
      </w:r>
    </w:p>
    <w:p w:rsidR="007F268A" w:rsidP="007F268A">
      <w:pPr>
        <w:tabs>
          <w:tab w:val="left" w:pos="1440"/>
          <w:tab w:val="left" w:pos="2880"/>
          <w:tab w:val="left" w:pos="4320"/>
          <w:tab w:val="left" w:pos="5760"/>
          <w:tab w:val="left" w:pos="7200"/>
        </w:tabs>
        <w:spacing w:line="288" w:lineRule="auto"/>
        <w:jc w:val="center"/>
        <w:rPr>
          <w:rStyle w:val="PageNumber"/>
          <w:rFonts w:ascii="Century Schoolbook" w:hAnsi="Century Schoolbook"/>
          <w:sz w:val="26"/>
          <w:szCs w:val="26"/>
        </w:rPr>
      </w:pPr>
    </w:p>
    <w:p w:rsidR="007F268A" w:rsidP="007F268A">
      <w:pPr>
        <w:tabs>
          <w:tab w:val="left" w:pos="1440"/>
          <w:tab w:val="left" w:pos="2880"/>
          <w:tab w:val="left" w:pos="4320"/>
          <w:tab w:val="left" w:pos="5760"/>
          <w:tab w:val="left" w:pos="7200"/>
        </w:tabs>
        <w:spacing w:line="288" w:lineRule="auto"/>
        <w:jc w:val="center"/>
        <w:rPr>
          <w:rStyle w:val="PageNumber"/>
          <w:rFonts w:ascii="Century Schoolbook" w:hAnsi="Century Schoolbook"/>
          <w:sz w:val="26"/>
          <w:szCs w:val="26"/>
        </w:rPr>
      </w:pPr>
      <w:r>
        <w:rPr>
          <w:rStyle w:val="PageNumber"/>
          <w:rFonts w:ascii="Century Schoolbook" w:hAnsi="Century Schoolbook"/>
          <w:sz w:val="26"/>
          <w:szCs w:val="26"/>
        </w:rPr>
        <w:t>Superior Court County of Ventura</w:t>
      </w:r>
    </w:p>
    <w:p w:rsidR="007F268A" w:rsidP="007F268A">
      <w:pPr>
        <w:tabs>
          <w:tab w:val="left" w:pos="1440"/>
          <w:tab w:val="left" w:pos="2880"/>
          <w:tab w:val="left" w:pos="4320"/>
          <w:tab w:val="left" w:pos="5760"/>
          <w:tab w:val="left" w:pos="7200"/>
        </w:tabs>
        <w:spacing w:line="288" w:lineRule="auto"/>
        <w:jc w:val="center"/>
        <w:rPr>
          <w:rStyle w:val="PageNumber"/>
          <w:rFonts w:ascii="Century Schoolbook" w:hAnsi="Century Schoolbook"/>
          <w:sz w:val="26"/>
          <w:szCs w:val="26"/>
        </w:rPr>
      </w:pPr>
    </w:p>
    <w:p w:rsidR="007F268A" w:rsidP="007F268A">
      <w:pPr>
        <w:tabs>
          <w:tab w:val="left" w:pos="1440"/>
          <w:tab w:val="left" w:pos="2880"/>
          <w:tab w:val="left" w:pos="4320"/>
          <w:tab w:val="left" w:pos="5760"/>
          <w:tab w:val="left" w:pos="7200"/>
        </w:tabs>
        <w:spacing w:line="288" w:lineRule="auto"/>
        <w:jc w:val="center"/>
        <w:rPr>
          <w:rStyle w:val="PageNumber"/>
          <w:rFonts w:ascii="Century Schoolbook" w:hAnsi="Century Schoolbook"/>
          <w:sz w:val="26"/>
          <w:szCs w:val="26"/>
        </w:rPr>
      </w:pPr>
      <w:r>
        <w:rPr>
          <w:rStyle w:val="PageNumber"/>
          <w:rFonts w:ascii="Century Schoolbook" w:hAnsi="Century Schoolbook"/>
          <w:sz w:val="26"/>
          <w:szCs w:val="26"/>
        </w:rPr>
        <w:t>______________________________</w:t>
      </w:r>
    </w:p>
    <w:p w:rsidR="007F268A" w:rsidP="007F268A">
      <w:pPr>
        <w:tabs>
          <w:tab w:val="left" w:pos="1440"/>
          <w:tab w:val="left" w:pos="2880"/>
          <w:tab w:val="left" w:pos="4320"/>
          <w:tab w:val="left" w:pos="5760"/>
          <w:tab w:val="left" w:pos="7200"/>
        </w:tabs>
        <w:spacing w:line="288" w:lineRule="auto"/>
        <w:jc w:val="center"/>
        <w:rPr>
          <w:rStyle w:val="PageNumber"/>
          <w:rFonts w:ascii="Century Schoolbook" w:hAnsi="Century Schoolbook"/>
          <w:sz w:val="26"/>
          <w:szCs w:val="26"/>
        </w:rPr>
      </w:pPr>
    </w:p>
    <w:p w:rsidR="007F268A" w:rsidP="007F268A">
      <w:pPr>
        <w:tabs>
          <w:tab w:val="left" w:pos="1440"/>
          <w:tab w:val="left" w:pos="2880"/>
          <w:tab w:val="left" w:pos="4320"/>
          <w:tab w:val="left" w:pos="5760"/>
          <w:tab w:val="left" w:pos="7200"/>
        </w:tabs>
        <w:spacing w:line="288" w:lineRule="auto"/>
        <w:jc w:val="center"/>
        <w:rPr>
          <w:rStyle w:val="PageNumber"/>
          <w:rFonts w:ascii="Century Schoolbook" w:hAnsi="Century Schoolbook"/>
          <w:sz w:val="26"/>
          <w:szCs w:val="26"/>
        </w:rPr>
      </w:pPr>
    </w:p>
    <w:p w:rsidR="002F7534" w:rsidRPr="002F7534" w:rsidP="002F7534">
      <w:pPr>
        <w:ind w:firstLine="720"/>
        <w:rPr>
          <w:rFonts w:ascii="Century Schoolbook" w:hAnsi="Century Schoolbook"/>
        </w:rPr>
      </w:pPr>
      <w:r>
        <w:rPr>
          <w:rFonts w:ascii="Century Schoolbook" w:hAnsi="Century Schoolbook"/>
        </w:rPr>
        <w:t>Zarmi Law and David Zarmi</w:t>
      </w:r>
      <w:r w:rsidRPr="002F7534">
        <w:rPr>
          <w:rFonts w:ascii="Century Schoolbook" w:hAnsi="Century Schoolbook"/>
        </w:rPr>
        <w:t xml:space="preserve"> for Defendant and Appellant.  </w:t>
      </w:r>
    </w:p>
    <w:p w:rsidR="002F7534" w:rsidRPr="002F7534" w:rsidP="002F7534">
      <w:pPr>
        <w:ind w:firstLine="720"/>
        <w:rPr>
          <w:rFonts w:ascii="Century Schoolbook" w:hAnsi="Century Schoolbook"/>
        </w:rPr>
      </w:pPr>
      <w:r>
        <w:rPr>
          <w:rFonts w:ascii="Century Schoolbook" w:hAnsi="Century Schoolbook"/>
        </w:rPr>
        <w:t>Francis</w:t>
      </w:r>
      <w:r w:rsidRPr="002F7534">
        <w:rPr>
          <w:rFonts w:ascii="Century Schoolbook" w:hAnsi="Century Schoolbook"/>
        </w:rPr>
        <w:t xml:space="preserve"> Law and </w:t>
      </w:r>
      <w:r>
        <w:rPr>
          <w:rFonts w:ascii="Century Schoolbook" w:hAnsi="Century Schoolbook"/>
        </w:rPr>
        <w:t>Glenna M. Francis</w:t>
      </w:r>
      <w:r w:rsidRPr="002F7534">
        <w:rPr>
          <w:rFonts w:ascii="Century Schoolbook" w:hAnsi="Century Schoolbook"/>
        </w:rPr>
        <w:t xml:space="preserve"> for Plaintiff</w:t>
      </w:r>
      <w:r>
        <w:rPr>
          <w:rFonts w:ascii="Century Schoolbook" w:hAnsi="Century Schoolbook"/>
        </w:rPr>
        <w:t>s</w:t>
      </w:r>
      <w:r w:rsidRPr="002F7534">
        <w:rPr>
          <w:rFonts w:ascii="Century Schoolbook" w:hAnsi="Century Schoolbook"/>
        </w:rPr>
        <w:t xml:space="preserve"> and Respondent</w:t>
      </w:r>
      <w:r>
        <w:rPr>
          <w:rFonts w:ascii="Century Schoolbook" w:hAnsi="Century Schoolbook"/>
        </w:rPr>
        <w:t>s</w:t>
      </w:r>
      <w:r w:rsidRPr="002F7534">
        <w:rPr>
          <w:rFonts w:ascii="Century Schoolbook" w:hAnsi="Century Schoolbook"/>
        </w:rPr>
        <w:t xml:space="preserve">. </w:t>
      </w:r>
    </w:p>
    <w:p w:rsidR="007F268A" w:rsidRPr="002F7534" w:rsidP="007F268A">
      <w:pPr>
        <w:tabs>
          <w:tab w:val="left" w:pos="1440"/>
          <w:tab w:val="left" w:pos="2880"/>
          <w:tab w:val="left" w:pos="4320"/>
          <w:tab w:val="left" w:pos="5760"/>
          <w:tab w:val="left" w:pos="7200"/>
        </w:tabs>
        <w:spacing w:line="360" w:lineRule="auto"/>
        <w:rPr>
          <w:rStyle w:val="PageNumber"/>
          <w:rFonts w:ascii="Century Schoolbook" w:hAnsi="Century Schoolbook"/>
          <w:sz w:val="26"/>
          <w:szCs w:val="26"/>
        </w:rPr>
      </w:pPr>
    </w:p>
    <w:p w:rsidR="00F11AF7" w:rsidRPr="002F7534"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p>
    <w:p w:rsidR="00F11AF7" w:rsidRPr="002F7534"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r w:rsidRPr="002F7534">
        <w:rPr>
          <w:rStyle w:val="PageNumber"/>
          <w:rFonts w:ascii="Century Schoolbook" w:hAnsi="Century Schoolbook"/>
          <w:sz w:val="26"/>
          <w:szCs w:val="26"/>
        </w:rPr>
        <w:tab/>
      </w:r>
    </w:p>
    <w:p w:rsidR="00F11AF7" w:rsidRPr="00D6789D" w:rsidP="00D6789D">
      <w:pPr>
        <w:tabs>
          <w:tab w:val="left" w:pos="1440"/>
          <w:tab w:val="left" w:pos="2880"/>
          <w:tab w:val="left" w:pos="4320"/>
          <w:tab w:val="left" w:pos="5760"/>
          <w:tab w:val="left" w:pos="7200"/>
        </w:tabs>
        <w:spacing w:line="288" w:lineRule="auto"/>
        <w:rPr>
          <w:rStyle w:val="PageNumber"/>
          <w:rFonts w:ascii="Century Schoolbook" w:hAnsi="Century Schoolbook"/>
          <w:sz w:val="26"/>
          <w:szCs w:val="26"/>
        </w:rPr>
      </w:pPr>
    </w:p>
    <w:p w:rsidR="008A74B8" w:rsidRPr="00D6789D" w:rsidP="00D6789D">
      <w:pPr>
        <w:spacing w:line="288" w:lineRule="auto"/>
        <w:rPr>
          <w:rStyle w:val="PageNumber"/>
          <w:rFonts w:ascii="Century Schoolbook" w:hAnsi="Century Schoolbook"/>
          <w:sz w:val="26"/>
          <w:szCs w:val="26"/>
        </w:rPr>
      </w:pPr>
    </w:p>
    <w:sectPr w:rsidSect="007F268A">
      <w:pgSz w:w="12240" w:h="15840"/>
      <w:pgMar w:top="2160" w:right="2160" w:bottom="2160" w:left="2160"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0D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2D" w:rsidRPr="00DD6CAB">
    <w:pPr>
      <w:pStyle w:val="Footer"/>
      <w:framePr w:wrap="auto" w:vAnchor="text" w:hAnchor="margin" w:xAlign="center" w:y="1"/>
      <w:rPr>
        <w:rStyle w:val="PageNumber"/>
        <w:rFonts w:ascii="Century Schoolbook" w:hAnsi="Century Schoolbook"/>
        <w:sz w:val="26"/>
        <w:szCs w:val="26"/>
      </w:rPr>
    </w:pPr>
    <w:r w:rsidRPr="00DD6CAB">
      <w:rPr>
        <w:rStyle w:val="PageNumber"/>
        <w:rFonts w:ascii="Century Schoolbook" w:hAnsi="Century Schoolbook"/>
        <w:sz w:val="26"/>
        <w:szCs w:val="26"/>
      </w:rPr>
      <w:fldChar w:fldCharType="begin"/>
    </w:r>
    <w:r w:rsidRPr="00DD6CAB">
      <w:rPr>
        <w:rStyle w:val="PageNumber"/>
        <w:rFonts w:ascii="Century Schoolbook" w:hAnsi="Century Schoolbook"/>
        <w:sz w:val="26"/>
        <w:szCs w:val="26"/>
      </w:rPr>
      <w:instrText xml:space="preserve">PAGE  </w:instrText>
    </w:r>
    <w:r w:rsidRPr="00DD6CAB">
      <w:rPr>
        <w:rStyle w:val="PageNumber"/>
        <w:rFonts w:ascii="Century Schoolbook" w:hAnsi="Century Schoolbook"/>
        <w:sz w:val="26"/>
        <w:szCs w:val="26"/>
      </w:rPr>
      <w:fldChar w:fldCharType="separate"/>
    </w:r>
    <w:r>
      <w:rPr>
        <w:rStyle w:val="PageNumber"/>
        <w:rFonts w:ascii="Century Schoolbook" w:hAnsi="Century Schoolbook"/>
        <w:noProof/>
        <w:sz w:val="26"/>
        <w:szCs w:val="26"/>
      </w:rPr>
      <w:t>4</w:t>
    </w:r>
    <w:r w:rsidRPr="00DD6CAB">
      <w:rPr>
        <w:rStyle w:val="PageNumber"/>
        <w:rFonts w:ascii="Century Schoolbook" w:hAnsi="Century Schoolbook"/>
        <w:sz w:val="26"/>
        <w:szCs w:val="26"/>
      </w:rPr>
      <w:fldChar w:fldCharType="end"/>
    </w:r>
  </w:p>
  <w:p w:rsidR="00C75E2D" w:rsidRPr="00DD6CAB">
    <w:pPr>
      <w:pStyle w:val="Footer"/>
      <w:rPr>
        <w:rFonts w:ascii="Century Schoolbook" w:hAnsi="Century Schoolbook"/>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0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70F59">
      <w:r>
        <w:separator/>
      </w:r>
    </w:p>
  </w:footnote>
  <w:footnote w:type="continuationSeparator" w:id="1">
    <w:p w:rsidR="00170F59">
      <w:r>
        <w:continuationSeparator/>
      </w:r>
    </w:p>
  </w:footnote>
  <w:footnote w:id="2">
    <w:p w:rsidR="00B229D0" w:rsidRPr="00B57DE1" w:rsidP="00B229D0">
      <w:pPr>
        <w:pStyle w:val="FootnoteText"/>
        <w:rPr>
          <w:rFonts w:ascii="Century Schoolbook" w:hAnsi="Century Schoolbook"/>
          <w:szCs w:val="26"/>
        </w:rPr>
      </w:pPr>
      <w:r w:rsidRPr="002D629C">
        <w:rPr>
          <w:rStyle w:val="FootnoteReference"/>
          <w:rFonts w:ascii="Century Schoolbook" w:eastAsia="Calibri" w:hAnsi="Century Schoolbook"/>
          <w:b w:val="0"/>
          <w:position w:val="8"/>
          <w:sz w:val="20"/>
        </w:rPr>
        <w:footnoteRef/>
      </w:r>
      <w:r w:rsidRPr="002D629C">
        <w:rPr>
          <w:rStyle w:val="FootnoteReference"/>
          <w:rFonts w:ascii="Century Schoolbook" w:eastAsia="Calibri" w:hAnsi="Century Schoolbook"/>
          <w:position w:val="8"/>
          <w:sz w:val="20"/>
        </w:rPr>
        <w:t xml:space="preserve"> </w:t>
      </w:r>
      <w:r w:rsidRPr="00B57DE1">
        <w:rPr>
          <w:rFonts w:ascii="Century Schoolbook" w:hAnsi="Century Schoolbook"/>
          <w:szCs w:val="26"/>
        </w:rPr>
        <w:t xml:space="preserve">We refer to Cornelio </w:t>
      </w:r>
      <w:r>
        <w:rPr>
          <w:rFonts w:ascii="Century Schoolbook" w:hAnsi="Century Schoolbook"/>
          <w:szCs w:val="26"/>
        </w:rPr>
        <w:t xml:space="preserve">Heyres and Wernher </w:t>
      </w:r>
      <w:r w:rsidRPr="00B57DE1">
        <w:rPr>
          <w:rFonts w:ascii="Century Schoolbook" w:hAnsi="Century Schoolbook"/>
          <w:szCs w:val="26"/>
        </w:rPr>
        <w:t xml:space="preserve">Heyres by </w:t>
      </w:r>
      <w:r>
        <w:rPr>
          <w:rFonts w:ascii="Century Schoolbook" w:hAnsi="Century Schoolbook"/>
          <w:szCs w:val="26"/>
        </w:rPr>
        <w:t>their</w:t>
      </w:r>
      <w:r w:rsidRPr="00B57DE1">
        <w:rPr>
          <w:rFonts w:ascii="Century Schoolbook" w:hAnsi="Century Schoolbook"/>
          <w:szCs w:val="26"/>
        </w:rPr>
        <w:t xml:space="preserve"> first name</w:t>
      </w:r>
      <w:r>
        <w:rPr>
          <w:rFonts w:ascii="Century Schoolbook" w:hAnsi="Century Schoolbook"/>
          <w:szCs w:val="26"/>
        </w:rPr>
        <w:t>s</w:t>
      </w:r>
      <w:r w:rsidRPr="00B57DE1">
        <w:rPr>
          <w:rFonts w:ascii="Century Schoolbook" w:hAnsi="Century Schoolbook"/>
          <w:szCs w:val="26"/>
        </w:rPr>
        <w:t xml:space="preserve"> for clarity.  </w:t>
      </w:r>
      <w:r w:rsidRPr="00DC7E59">
        <w:rPr>
          <w:rFonts w:ascii="Century Schoolbook" w:hAnsi="Century Schoolbook"/>
          <w:szCs w:val="26"/>
        </w:rPr>
        <w:t>No disrespect is intended.</w:t>
      </w:r>
    </w:p>
  </w:footnote>
  <w:footnote w:id="3">
    <w:p w:rsidR="0055648A" w:rsidRPr="005B2F6D" w:rsidP="00A0262C">
      <w:pPr>
        <w:pStyle w:val="FootnoteText"/>
        <w:rPr>
          <w:rFonts w:ascii="Century Schoolbook" w:hAnsi="Century Schoolbook"/>
          <w:b/>
          <w:bCs/>
          <w:szCs w:val="26"/>
        </w:rPr>
      </w:pPr>
      <w:r w:rsidRPr="00580761">
        <w:rPr>
          <w:rStyle w:val="FootnoteReference"/>
          <w:rFonts w:ascii="Century Schoolbook" w:eastAsia="Calibri" w:hAnsi="Century Schoolbook"/>
          <w:b w:val="0"/>
          <w:position w:val="8"/>
          <w:sz w:val="20"/>
        </w:rPr>
        <w:footnoteRef/>
      </w:r>
      <w:r w:rsidRPr="005B2F6D">
        <w:rPr>
          <w:rFonts w:ascii="Century Schoolbook" w:hAnsi="Century Schoolbook"/>
          <w:bCs/>
          <w:szCs w:val="26"/>
        </w:rPr>
        <w:t xml:space="preserve"> </w:t>
      </w:r>
      <w:r>
        <w:rPr>
          <w:rFonts w:ascii="Century Schoolbook" w:hAnsi="Century Schoolbook"/>
          <w:szCs w:val="26"/>
        </w:rPr>
        <w:t>“A</w:t>
      </w:r>
      <w:r w:rsidRPr="005B2F6D">
        <w:rPr>
          <w:rFonts w:ascii="Century Schoolbook" w:hAnsi="Century Schoolbook"/>
          <w:szCs w:val="26"/>
        </w:rPr>
        <w:t>phasia</w:t>
      </w:r>
      <w:r>
        <w:rPr>
          <w:rFonts w:ascii="Century Schoolbook" w:hAnsi="Century Schoolbook"/>
          <w:szCs w:val="26"/>
        </w:rPr>
        <w:t>” was defined</w:t>
      </w:r>
      <w:r w:rsidRPr="005B2F6D">
        <w:rPr>
          <w:rFonts w:ascii="Century Schoolbook" w:hAnsi="Century Schoolbook"/>
          <w:szCs w:val="26"/>
        </w:rPr>
        <w:t xml:space="preserve"> as “</w:t>
      </w:r>
      <w:r>
        <w:rPr>
          <w:rFonts w:ascii="Century Schoolbook" w:hAnsi="Century Schoolbook"/>
          <w:szCs w:val="26"/>
        </w:rPr>
        <w:t> </w:t>
      </w:r>
      <w:r w:rsidRPr="005B2F6D">
        <w:rPr>
          <w:rFonts w:ascii="Century Schoolbook" w:hAnsi="Century Schoolbook"/>
          <w:szCs w:val="26"/>
        </w:rPr>
        <w:t>‘a disorder that results from damage to portions of the brain that are responsible for language</w:t>
      </w:r>
      <w:r>
        <w:rPr>
          <w:rFonts w:ascii="Century Schoolbook" w:hAnsi="Century Schoolbook"/>
          <w:szCs w:val="26"/>
        </w:rPr>
        <w:t>.</w:t>
      </w:r>
      <w:r w:rsidRPr="005B2F6D">
        <w:rPr>
          <w:rFonts w:ascii="Century Schoolbook" w:hAnsi="Century Schoolbook"/>
          <w:szCs w:val="26"/>
        </w:rPr>
        <w:t xml:space="preserve"> .</w:t>
      </w:r>
      <w:r>
        <w:rPr>
          <w:rFonts w:ascii="Century Schoolbook" w:hAnsi="Century Schoolbook"/>
          <w:szCs w:val="26"/>
        </w:rPr>
        <w:t> </w:t>
      </w:r>
      <w:r w:rsidRPr="005B2F6D">
        <w:rPr>
          <w:rFonts w:ascii="Century Schoolbook" w:hAnsi="Century Schoolbook"/>
          <w:szCs w:val="26"/>
        </w:rPr>
        <w:t>.</w:t>
      </w:r>
      <w:r>
        <w:rPr>
          <w:rFonts w:ascii="Century Schoolbook" w:hAnsi="Century Schoolbook"/>
          <w:szCs w:val="26"/>
        </w:rPr>
        <w:t> </w:t>
      </w:r>
      <w:r w:rsidRPr="005B2F6D">
        <w:rPr>
          <w:rFonts w:ascii="Century Schoolbook" w:hAnsi="Century Schoolbook"/>
          <w:szCs w:val="26"/>
        </w:rPr>
        <w:t>.</w:t>
      </w:r>
      <w:r>
        <w:rPr>
          <w:rFonts w:ascii="Century Schoolbook" w:hAnsi="Century Schoolbook"/>
          <w:szCs w:val="26"/>
        </w:rPr>
        <w:t xml:space="preserve">  </w:t>
      </w:r>
      <w:r w:rsidRPr="005B2F6D">
        <w:rPr>
          <w:rFonts w:ascii="Century Schoolbook" w:hAnsi="Century Schoolbook"/>
          <w:szCs w:val="26"/>
        </w:rPr>
        <w:t>The disorder impairs the expression and understanding of language as well as reading and writing.</w:t>
      </w:r>
      <w:r>
        <w:rPr>
          <w:rFonts w:ascii="Century Schoolbook" w:hAnsi="Century Schoolbook"/>
          <w:szCs w:val="26"/>
        </w:rPr>
        <w:t>’ </w:t>
      </w:r>
      <w:r w:rsidRPr="005B2F6D">
        <w:rPr>
          <w:rFonts w:ascii="Century Schoolbook" w:hAnsi="Century Schoolbook"/>
          <w:szCs w:val="26"/>
        </w:rPr>
        <w:t xml:space="preserve">” </w:t>
      </w:r>
    </w:p>
  </w:footnote>
  <w:footnote w:id="4">
    <w:p w:rsidR="00656A92" w:rsidRPr="00152B76" w:rsidP="00656A92">
      <w:pPr>
        <w:pStyle w:val="FootnoteText"/>
        <w:rPr>
          <w:rFonts w:ascii="Century Schoolbook" w:hAnsi="Century Schoolbook"/>
          <w:szCs w:val="26"/>
        </w:rPr>
      </w:pPr>
      <w:r w:rsidRPr="00580761">
        <w:rPr>
          <w:rStyle w:val="FootnoteReference"/>
          <w:rFonts w:ascii="Century Schoolbook" w:eastAsia="Calibri" w:hAnsi="Century Schoolbook"/>
          <w:b w:val="0"/>
          <w:position w:val="8"/>
          <w:sz w:val="20"/>
        </w:rPr>
        <w:footnoteRef/>
      </w:r>
      <w:r w:rsidRPr="00152B76">
        <w:rPr>
          <w:rFonts w:ascii="Century Schoolbook" w:hAnsi="Century Schoolbook"/>
          <w:szCs w:val="26"/>
        </w:rPr>
        <w:t xml:space="preserve"> We consider the declaration even though the trial court’s ruling did not cite it.  (</w:t>
      </w:r>
      <w:r w:rsidRPr="00152B76">
        <w:rPr>
          <w:rFonts w:ascii="Century Schoolbook" w:hAnsi="Century Schoolbook"/>
          <w:i/>
          <w:iCs/>
          <w:szCs w:val="26"/>
        </w:rPr>
        <w:t>ASP Properties Group, L.P. v. Fard, Inc.</w:t>
      </w:r>
      <w:r w:rsidRPr="00152B76">
        <w:rPr>
          <w:rFonts w:ascii="Century Schoolbook" w:hAnsi="Century Schoolbook"/>
          <w:szCs w:val="26"/>
        </w:rPr>
        <w:t xml:space="preserve"> (2005) 133 Cal.App.4th 1257, 1268.)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0D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2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0D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30"/>
  <w:displayHorizont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Times New Roman" w:hAnsi="Century Schoolbook" w:cs="Times New Roman"/>
        <w:position w:val="6"/>
        <w:sz w:val="24"/>
        <w:lang w:val="en-US" w:eastAsia="en-US" w:bidi="ar-SA"/>
      </w:rPr>
    </w:rPrDefault>
    <w:pPrDefault>
      <w:pPr>
        <w:spacing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AF7"/>
    <w:pPr>
      <w:widowControl w:val="0"/>
      <w:spacing w:line="360" w:lineRule="exact"/>
    </w:pPr>
    <w:rPr>
      <w:rFonts w:ascii="Times New Roman" w:hAnsi="Times New Roman"/>
      <w:position w:val="0"/>
      <w:sz w:val="26"/>
    </w:rPr>
  </w:style>
  <w:style w:type="paragraph" w:styleId="Heading1">
    <w:name w:val="heading 1"/>
    <w:basedOn w:val="Normal"/>
    <w:next w:val="Normal"/>
    <w:qFormat/>
    <w:rsid w:val="00757BDE"/>
    <w:pPr>
      <w:keepNext/>
      <w:spacing w:line="360" w:lineRule="auto"/>
      <w:outlineLvl w:val="0"/>
    </w:pPr>
    <w:rPr>
      <w:rFonts w:ascii="Courier New" w:hAnsi="Courier New"/>
      <w:u w:val="single"/>
    </w:rPr>
  </w:style>
  <w:style w:type="paragraph" w:styleId="Heading2">
    <w:name w:val="heading 2"/>
    <w:basedOn w:val="Normal"/>
    <w:next w:val="Normal"/>
    <w:qFormat/>
    <w:rsid w:val="00757BDE"/>
    <w:pPr>
      <w:keepNext/>
      <w:spacing w:line="360" w:lineRule="auto"/>
      <w:outlineLvl w:val="1"/>
    </w:pPr>
    <w:rPr>
      <w:rFonts w:ascii="Courier New" w:hAnsi="Courier New"/>
      <w:i/>
    </w:rPr>
  </w:style>
  <w:style w:type="paragraph" w:styleId="Heading3">
    <w:name w:val="heading 3"/>
    <w:basedOn w:val="Normal"/>
    <w:next w:val="Normal"/>
    <w:qFormat/>
    <w:rsid w:val="00757BDE"/>
    <w:pPr>
      <w:keepNext/>
      <w:spacing w:line="360" w:lineRule="auto"/>
      <w:outlineLvl w:val="2"/>
    </w:pPr>
    <w:rPr>
      <w:rFonts w:ascii="Courier New" w:hAnsi="Courier New"/>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4D81"/>
    <w:pPr>
      <w:framePr w:w="7920" w:h="1980" w:hRule="exact" w:hSpace="180" w:wrap="auto" w:hAnchor="page" w:xAlign="center" w:yAlign="bottom"/>
      <w:ind w:left="2880"/>
    </w:pPr>
    <w:rPr>
      <w:rFonts w:ascii="Courier New" w:hAnsi="Courier New"/>
    </w:rPr>
  </w:style>
  <w:style w:type="paragraph" w:styleId="Footer">
    <w:name w:val="footer"/>
    <w:basedOn w:val="Normal"/>
    <w:rsid w:val="00C74D81"/>
    <w:pPr>
      <w:tabs>
        <w:tab w:val="center" w:pos="4320"/>
        <w:tab w:val="right" w:pos="8640"/>
      </w:tabs>
      <w:spacing w:line="360" w:lineRule="auto"/>
    </w:pPr>
    <w:rPr>
      <w:rFonts w:ascii="Courier New" w:hAnsi="Courier New"/>
    </w:rPr>
  </w:style>
  <w:style w:type="character" w:styleId="FootnoteReference">
    <w:name w:val="footnote reference"/>
    <w:basedOn w:val="DefaultParagraphFont"/>
    <w:uiPriority w:val="99"/>
    <w:rsid w:val="001A0915"/>
    <w:rPr>
      <w:rFonts w:ascii="Times New Roman" w:hAnsi="Times New Roman"/>
      <w:b/>
      <w:color w:val="auto"/>
      <w:spacing w:val="0"/>
      <w:kern w:val="0"/>
      <w:position w:val="6"/>
      <w:sz w:val="24"/>
      <w:vertAlign w:val="baseline"/>
    </w:rPr>
  </w:style>
  <w:style w:type="paragraph" w:styleId="FootnoteText">
    <w:name w:val="footnote text"/>
    <w:basedOn w:val="Normal"/>
    <w:link w:val="FootnoteTextChar"/>
    <w:rsid w:val="001A0915"/>
    <w:pPr>
      <w:spacing w:line="240" w:lineRule="auto"/>
      <w:ind w:firstLine="720"/>
    </w:pPr>
  </w:style>
  <w:style w:type="paragraph" w:styleId="Header">
    <w:name w:val="header"/>
    <w:basedOn w:val="Normal"/>
    <w:rsid w:val="00C74D81"/>
    <w:pPr>
      <w:tabs>
        <w:tab w:val="center" w:pos="4320"/>
        <w:tab w:val="right" w:pos="8640"/>
      </w:tabs>
      <w:spacing w:line="360" w:lineRule="auto"/>
    </w:pPr>
    <w:rPr>
      <w:rFonts w:ascii="Courier New" w:hAnsi="Courier New"/>
    </w:rPr>
  </w:style>
  <w:style w:type="character" w:styleId="PageNumber">
    <w:name w:val="page number"/>
    <w:basedOn w:val="DefaultParagraphFont"/>
    <w:rsid w:val="00C74D81"/>
    <w:rPr>
      <w:rFonts w:ascii="Courier New" w:hAnsi="Courier New"/>
      <w:sz w:val="24"/>
    </w:rPr>
  </w:style>
  <w:style w:type="character" w:customStyle="1" w:styleId="FootnoteTextChar">
    <w:name w:val="Footnote Text Char"/>
    <w:basedOn w:val="DefaultParagraphFont"/>
    <w:link w:val="FootnoteText"/>
    <w:rsid w:val="00F11AF7"/>
  </w:style>
  <w:style w:type="character" w:styleId="CommentReference">
    <w:name w:val="annotation reference"/>
    <w:basedOn w:val="DefaultParagraphFont"/>
    <w:semiHidden/>
    <w:unhideWhenUsed/>
    <w:rsid w:val="00B27567"/>
    <w:rPr>
      <w:sz w:val="16"/>
      <w:szCs w:val="16"/>
    </w:rPr>
  </w:style>
  <w:style w:type="paragraph" w:styleId="CommentText">
    <w:name w:val="annotation text"/>
    <w:basedOn w:val="Normal"/>
    <w:link w:val="CommentTextChar"/>
    <w:unhideWhenUsed/>
    <w:rsid w:val="00B27567"/>
    <w:pPr>
      <w:spacing w:line="240" w:lineRule="auto"/>
    </w:pPr>
    <w:rPr>
      <w:sz w:val="20"/>
    </w:rPr>
  </w:style>
  <w:style w:type="character" w:customStyle="1" w:styleId="CommentTextChar">
    <w:name w:val="Comment Text Char"/>
    <w:basedOn w:val="DefaultParagraphFont"/>
    <w:link w:val="CommentText"/>
    <w:rsid w:val="00B27567"/>
    <w:rPr>
      <w:rFonts w:ascii="Times New Roman" w:hAnsi="Times New Roman"/>
      <w:position w:val="0"/>
      <w:sz w:val="20"/>
    </w:rPr>
  </w:style>
  <w:style w:type="paragraph" w:styleId="CommentSubject">
    <w:name w:val="annotation subject"/>
    <w:basedOn w:val="CommentText"/>
    <w:next w:val="CommentText"/>
    <w:link w:val="CommentSubjectChar"/>
    <w:semiHidden/>
    <w:unhideWhenUsed/>
    <w:rsid w:val="00B27567"/>
    <w:rPr>
      <w:b/>
      <w:bCs/>
    </w:rPr>
  </w:style>
  <w:style w:type="character" w:customStyle="1" w:styleId="CommentSubjectChar">
    <w:name w:val="Comment Subject Char"/>
    <w:basedOn w:val="CommentTextChar"/>
    <w:link w:val="CommentSubject"/>
    <w:semiHidden/>
    <w:rsid w:val="00B27567"/>
    <w:rPr>
      <w:rFonts w:ascii="Times New Roman" w:hAnsi="Times New Roman"/>
      <w:b/>
      <w:bCs/>
      <w:position w:val="0"/>
      <w:sz w:val="20"/>
    </w:rPr>
  </w:style>
  <w:style w:type="paragraph" w:styleId="Revision">
    <w:name w:val="Revision"/>
    <w:hidden/>
    <w:uiPriority w:val="99"/>
    <w:semiHidden/>
    <w:rsid w:val="001A019A"/>
    <w:pPr>
      <w:spacing w:line="240" w:lineRule="auto"/>
    </w:pPr>
    <w:rPr>
      <w:rFonts w:ascii="Times New Roman" w:hAnsi="Times New Roman"/>
      <w:position w:val="0"/>
      <w:sz w:val="26"/>
    </w:rPr>
  </w:style>
  <w:style w:type="paragraph" w:styleId="BalloonText">
    <w:name w:val="Balloon Text"/>
    <w:basedOn w:val="Normal"/>
    <w:link w:val="BalloonTextChar"/>
    <w:semiHidden/>
    <w:unhideWhenUsed/>
    <w:rsid w:val="00DF1B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F1B22"/>
    <w:rPr>
      <w:rFonts w:ascii="Segoe UI" w:hAnsi="Segoe UI" w:cs="Segoe UI"/>
      <w:positio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2023-02-28T19:10:05Z</dcterms:created>
  <dcterms:modified xsi:type="dcterms:W3CDTF">2023-02-28T19:10:05Z</dcterms:modified>
</cp:coreProperties>
</file>