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20114" w:rsidRPr="00DB2716" w:rsidP="00DB2716" w14:paraId="4478116E" w14:textId="6DDB575E">
      <w:pPr>
        <w:spacing w:line="240" w:lineRule="auto"/>
        <w:rPr>
          <w:rFonts w:ascii="Century Schoolbook" w:hAnsi="Century Schoolbook"/>
          <w:bCs/>
          <w:sz w:val="20"/>
        </w:rPr>
      </w:pPr>
      <w:r w:rsidRPr="00DB2716">
        <w:rPr>
          <w:rFonts w:ascii="Century Schoolbook" w:hAnsi="Century Schoolbook"/>
          <w:bCs/>
          <w:sz w:val="20"/>
        </w:rPr>
        <w:t>Filed 2/27/23</w:t>
      </w:r>
    </w:p>
    <w:p w:rsidR="00786410" w:rsidP="00682127" w14:paraId="765FA7AF" w14:textId="506B6E6C">
      <w:pPr>
        <w:spacing w:line="240" w:lineRule="auto"/>
        <w:jc w:val="center"/>
        <w:rPr>
          <w:rFonts w:ascii="Century Schoolbook" w:hAnsi="Century Schoolbook"/>
          <w:b/>
          <w:szCs w:val="24"/>
        </w:rPr>
      </w:pPr>
      <w:r>
        <w:rPr>
          <w:rFonts w:ascii="Century Schoolbook" w:hAnsi="Century Schoolbook"/>
          <w:b/>
          <w:szCs w:val="24"/>
        </w:rPr>
        <w:t>CERTIFIED FOR PUBLICATION</w:t>
      </w:r>
    </w:p>
    <w:p w:rsidR="00AA016D" w:rsidRPr="002C33BC" w:rsidP="008E51D6" w14:paraId="4EB0DBA2" w14:textId="77777777">
      <w:pPr>
        <w:spacing w:line="240" w:lineRule="auto"/>
        <w:rPr>
          <w:rFonts w:ascii="Century Schoolbook" w:hAnsi="Century Schoolbook"/>
          <w:szCs w:val="24"/>
        </w:rPr>
      </w:pPr>
    </w:p>
    <w:p w:rsidR="003C58B2" w:rsidRPr="002C33BC" w14:paraId="71E6C7D1" w14:textId="77777777">
      <w:pPr>
        <w:spacing w:line="240" w:lineRule="auto"/>
        <w:jc w:val="center"/>
        <w:rPr>
          <w:rFonts w:ascii="Century Schoolbook" w:hAnsi="Century Schoolbook"/>
        </w:rPr>
      </w:pPr>
      <w:r w:rsidRPr="002C33BC">
        <w:rPr>
          <w:rFonts w:ascii="Century Schoolbook" w:hAnsi="Century Schoolbook"/>
        </w:rPr>
        <w:t>IN THE COURT OF APPEAL OF THE STATE OF CALIFORNIA</w:t>
      </w:r>
    </w:p>
    <w:p w:rsidR="003C58B2" w:rsidRPr="002C33BC" w14:paraId="3D8C8155" w14:textId="77777777">
      <w:pPr>
        <w:spacing w:line="240" w:lineRule="auto"/>
        <w:jc w:val="center"/>
        <w:rPr>
          <w:rFonts w:ascii="Century Schoolbook" w:hAnsi="Century Schoolbook"/>
        </w:rPr>
      </w:pPr>
    </w:p>
    <w:p w:rsidR="003C58B2" w:rsidRPr="002C33BC" w14:paraId="524A5CA4" w14:textId="77777777">
      <w:pPr>
        <w:spacing w:line="240" w:lineRule="auto"/>
        <w:jc w:val="center"/>
        <w:rPr>
          <w:rFonts w:ascii="Century Schoolbook" w:hAnsi="Century Schoolbook"/>
        </w:rPr>
      </w:pPr>
      <w:r w:rsidRPr="002C33BC">
        <w:rPr>
          <w:rFonts w:ascii="Century Schoolbook" w:hAnsi="Century Schoolbook"/>
        </w:rPr>
        <w:t>SECOND APPELLATE DISTRICT</w:t>
      </w:r>
    </w:p>
    <w:p w:rsidR="003C58B2" w:rsidRPr="002C33BC" w14:paraId="09D0D35A" w14:textId="77777777">
      <w:pPr>
        <w:spacing w:line="240" w:lineRule="auto"/>
        <w:jc w:val="center"/>
        <w:rPr>
          <w:rFonts w:ascii="Century Schoolbook" w:hAnsi="Century Schoolbook"/>
        </w:rPr>
      </w:pPr>
    </w:p>
    <w:p w:rsidR="003C58B2" w:rsidRPr="002C33BC" w14:paraId="2B48DA05" w14:textId="77777777">
      <w:pPr>
        <w:spacing w:line="240" w:lineRule="auto"/>
        <w:jc w:val="center"/>
        <w:rPr>
          <w:rFonts w:ascii="Century Schoolbook" w:hAnsi="Century Schoolbook"/>
        </w:rPr>
      </w:pPr>
      <w:r w:rsidRPr="002C33BC">
        <w:rPr>
          <w:rFonts w:ascii="Century Schoolbook" w:hAnsi="Century Schoolbook"/>
        </w:rPr>
        <w:t>DIVISION EIGHT</w:t>
      </w:r>
    </w:p>
    <w:p w:rsidR="00CE0862" w:rsidRPr="002C33BC" w14:paraId="24E0BFBE" w14:textId="77777777">
      <w:pPr>
        <w:spacing w:line="240" w:lineRule="auto"/>
        <w:jc w:val="center"/>
        <w:rPr>
          <w:rFonts w:ascii="Century Schoolbook" w:hAnsi="Century Schoolbook"/>
        </w:rPr>
      </w:pPr>
    </w:p>
    <w:p w:rsidR="00CE0862" w:rsidRPr="002C33BC" w14:paraId="5D28B244" w14:textId="77777777">
      <w:pPr>
        <w:spacing w:line="240" w:lineRule="auto"/>
        <w:jc w:val="center"/>
        <w:rPr>
          <w:rFonts w:ascii="Century Schoolbook" w:hAnsi="Century Schoolbook"/>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5508"/>
      </w:tblGrid>
      <w:tr w14:paraId="1F78F7F9" w14:textId="77777777" w:rsidTr="00907E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68" w:type="dxa"/>
            <w:tcBorders>
              <w:top w:val="nil"/>
              <w:left w:val="nil"/>
            </w:tcBorders>
          </w:tcPr>
          <w:p w:rsidR="003C58B2" w:rsidRPr="002C33BC" w14:paraId="7D4BB729" w14:textId="77777777">
            <w:pPr>
              <w:spacing w:line="240" w:lineRule="auto"/>
              <w:rPr>
                <w:rFonts w:ascii="Century Schoolbook" w:hAnsi="Century Schoolbook"/>
              </w:rPr>
            </w:pPr>
            <w:r w:rsidRPr="002C33BC">
              <w:rPr>
                <w:rFonts w:ascii="Century Schoolbook" w:hAnsi="Century Schoolbook"/>
              </w:rPr>
              <w:t>THE PEOPLE,</w:t>
            </w:r>
          </w:p>
          <w:p w:rsidR="003C58B2" w:rsidRPr="002C33BC" w14:paraId="5CBEA5A4" w14:textId="77777777">
            <w:pPr>
              <w:spacing w:line="240" w:lineRule="auto"/>
              <w:rPr>
                <w:rFonts w:ascii="Century Schoolbook" w:hAnsi="Century Schoolbook"/>
              </w:rPr>
            </w:pPr>
          </w:p>
          <w:p w:rsidR="003C58B2" w:rsidRPr="002C33BC" w:rsidP="00907EAA" w14:paraId="18E56743" w14:textId="77777777">
            <w:pPr>
              <w:spacing w:line="240" w:lineRule="auto"/>
              <w:jc w:val="center"/>
              <w:rPr>
                <w:rFonts w:ascii="Century Schoolbook" w:hAnsi="Century Schoolbook"/>
              </w:rPr>
            </w:pPr>
            <w:r w:rsidRPr="002C33BC">
              <w:rPr>
                <w:rFonts w:ascii="Century Schoolbook" w:hAnsi="Century Schoolbook"/>
              </w:rPr>
              <w:t>Plaintiff and Respondent,</w:t>
            </w:r>
          </w:p>
          <w:p w:rsidR="003C58B2" w:rsidRPr="002C33BC" w14:paraId="33B73149" w14:textId="77777777">
            <w:pPr>
              <w:spacing w:line="240" w:lineRule="auto"/>
              <w:rPr>
                <w:rFonts w:ascii="Century Schoolbook" w:hAnsi="Century Schoolbook"/>
              </w:rPr>
            </w:pPr>
          </w:p>
          <w:p w:rsidR="003C58B2" w:rsidRPr="002C33BC" w14:paraId="15EA7CFD" w14:textId="77777777">
            <w:pPr>
              <w:spacing w:line="240" w:lineRule="auto"/>
              <w:rPr>
                <w:rFonts w:ascii="Century Schoolbook" w:hAnsi="Century Schoolbook"/>
              </w:rPr>
            </w:pPr>
            <w:r w:rsidRPr="002C33BC">
              <w:rPr>
                <w:rFonts w:ascii="Century Schoolbook" w:hAnsi="Century Schoolbook"/>
              </w:rPr>
              <w:tab/>
            </w:r>
            <w:r w:rsidRPr="002C33BC">
              <w:rPr>
                <w:rFonts w:ascii="Century Schoolbook" w:hAnsi="Century Schoolbook"/>
              </w:rPr>
              <w:tab/>
              <w:t>v.</w:t>
            </w:r>
          </w:p>
          <w:p w:rsidR="003C58B2" w:rsidRPr="002C33BC" w14:paraId="5FC9A39D" w14:textId="77777777">
            <w:pPr>
              <w:spacing w:line="240" w:lineRule="auto"/>
              <w:rPr>
                <w:rFonts w:ascii="Century Schoolbook" w:hAnsi="Century Schoolbook"/>
              </w:rPr>
            </w:pPr>
          </w:p>
          <w:p w:rsidR="003C58B2" w:rsidRPr="002C33BC" w14:paraId="5596B698" w14:textId="77777777">
            <w:pPr>
              <w:spacing w:line="240" w:lineRule="auto"/>
              <w:rPr>
                <w:rFonts w:ascii="Century Schoolbook" w:hAnsi="Century Schoolbook"/>
              </w:rPr>
            </w:pPr>
            <w:r>
              <w:rPr>
                <w:rFonts w:ascii="Century Schoolbook" w:hAnsi="Century Schoolbook"/>
              </w:rPr>
              <w:t>RASHEED MALCOLM JONES</w:t>
            </w:r>
            <w:r w:rsidRPr="002C33BC">
              <w:rPr>
                <w:rFonts w:ascii="Century Schoolbook" w:hAnsi="Century Schoolbook"/>
              </w:rPr>
              <w:t>,</w:t>
            </w:r>
          </w:p>
          <w:p w:rsidR="003C58B2" w:rsidRPr="002C33BC" w14:paraId="11E7C907" w14:textId="77777777">
            <w:pPr>
              <w:spacing w:line="240" w:lineRule="auto"/>
              <w:rPr>
                <w:rFonts w:ascii="Century Schoolbook" w:hAnsi="Century Schoolbook"/>
              </w:rPr>
            </w:pPr>
          </w:p>
          <w:p w:rsidR="003C58B2" w:rsidRPr="002C33BC" w:rsidP="00907EAA" w14:paraId="0417C2ED" w14:textId="77777777">
            <w:pPr>
              <w:spacing w:line="240" w:lineRule="auto"/>
              <w:jc w:val="center"/>
              <w:rPr>
                <w:rFonts w:ascii="Century Schoolbook" w:hAnsi="Century Schoolbook"/>
              </w:rPr>
            </w:pPr>
            <w:r w:rsidRPr="002C33BC">
              <w:rPr>
                <w:rFonts w:ascii="Century Schoolbook" w:hAnsi="Century Schoolbook"/>
              </w:rPr>
              <w:t>Defendant and Appellant.</w:t>
            </w:r>
          </w:p>
          <w:p w:rsidR="003C58B2" w:rsidRPr="002C33BC" w14:paraId="1E9DA61D" w14:textId="77777777">
            <w:pPr>
              <w:spacing w:line="240" w:lineRule="auto"/>
              <w:rPr>
                <w:rFonts w:ascii="Century Schoolbook" w:hAnsi="Century Schoolbook"/>
              </w:rPr>
            </w:pPr>
          </w:p>
        </w:tc>
        <w:tc>
          <w:tcPr>
            <w:tcW w:w="5508" w:type="dxa"/>
            <w:tcBorders>
              <w:top w:val="nil"/>
              <w:bottom w:val="nil"/>
              <w:right w:val="nil"/>
            </w:tcBorders>
          </w:tcPr>
          <w:p w:rsidR="003C58B2" w:rsidRPr="0063739A" w14:paraId="20FA59DD" w14:textId="77777777">
            <w:pPr>
              <w:spacing w:line="240" w:lineRule="auto"/>
              <w:rPr>
                <w:rFonts w:ascii="Century Schoolbook" w:hAnsi="Century Schoolbook"/>
              </w:rPr>
            </w:pPr>
            <w:r w:rsidRPr="0063739A">
              <w:rPr>
                <w:rFonts w:ascii="Century Schoolbook" w:hAnsi="Century Schoolbook"/>
                <w:i/>
                <w:iCs/>
              </w:rPr>
              <w:t xml:space="preserve">      </w:t>
            </w:r>
            <w:r w:rsidRPr="0063739A">
              <w:rPr>
                <w:rFonts w:ascii="Century Schoolbook" w:hAnsi="Century Schoolbook"/>
              </w:rPr>
              <w:t>B</w:t>
            </w:r>
            <w:r w:rsidRPr="0063739A" w:rsidR="00BB1B8E">
              <w:rPr>
                <w:rFonts w:ascii="Century Schoolbook" w:hAnsi="Century Schoolbook"/>
              </w:rPr>
              <w:t>3</w:t>
            </w:r>
            <w:r w:rsidR="00E51EC5">
              <w:rPr>
                <w:rFonts w:ascii="Century Schoolbook" w:hAnsi="Century Schoolbook"/>
              </w:rPr>
              <w:t>18732</w:t>
            </w:r>
          </w:p>
          <w:p w:rsidR="003C58B2" w:rsidRPr="0063739A" w14:paraId="3F563705" w14:textId="77777777">
            <w:pPr>
              <w:spacing w:line="240" w:lineRule="auto"/>
              <w:rPr>
                <w:rFonts w:ascii="Century Schoolbook" w:hAnsi="Century Schoolbook"/>
                <w:i/>
                <w:iCs/>
              </w:rPr>
            </w:pPr>
          </w:p>
          <w:p w:rsidR="003C58B2" w:rsidRPr="0063739A" w14:paraId="69899C72" w14:textId="77777777">
            <w:pPr>
              <w:spacing w:line="240" w:lineRule="auto"/>
              <w:rPr>
                <w:rFonts w:ascii="Century Schoolbook" w:hAnsi="Century Schoolbook"/>
              </w:rPr>
            </w:pPr>
            <w:r w:rsidRPr="0063739A">
              <w:rPr>
                <w:rFonts w:ascii="Century Schoolbook" w:hAnsi="Century Schoolbook"/>
                <w:i/>
                <w:iCs/>
              </w:rPr>
              <w:t xml:space="preserve">      </w:t>
            </w:r>
            <w:r w:rsidRPr="0063739A">
              <w:rPr>
                <w:rFonts w:ascii="Century Schoolbook" w:hAnsi="Century Schoolbook"/>
              </w:rPr>
              <w:t xml:space="preserve">(Los Angeles County </w:t>
            </w:r>
          </w:p>
          <w:p w:rsidR="003C58B2" w:rsidRPr="0063739A" w14:paraId="5F43B540" w14:textId="77777777">
            <w:pPr>
              <w:spacing w:line="240" w:lineRule="auto"/>
              <w:rPr>
                <w:rFonts w:ascii="Century Schoolbook" w:hAnsi="Century Schoolbook"/>
              </w:rPr>
            </w:pPr>
            <w:r w:rsidRPr="0063739A">
              <w:rPr>
                <w:rFonts w:ascii="Century Schoolbook" w:hAnsi="Century Schoolbook"/>
              </w:rPr>
              <w:t xml:space="preserve">       Super. Ct. No. </w:t>
            </w:r>
            <w:r w:rsidR="00E51EC5">
              <w:rPr>
                <w:rFonts w:ascii="Century Schoolbook" w:hAnsi="Century Schoolbook"/>
              </w:rPr>
              <w:t>T</w:t>
            </w:r>
            <w:r w:rsidR="00604109">
              <w:rPr>
                <w:rFonts w:ascii="Century Schoolbook" w:hAnsi="Century Schoolbook"/>
              </w:rPr>
              <w:t>A</w:t>
            </w:r>
            <w:r w:rsidR="00E51EC5">
              <w:rPr>
                <w:rFonts w:ascii="Century Schoolbook" w:hAnsi="Century Schoolbook"/>
              </w:rPr>
              <w:t>152434</w:t>
            </w:r>
            <w:r w:rsidRPr="0063739A">
              <w:rPr>
                <w:rFonts w:ascii="Century Schoolbook" w:hAnsi="Century Schoolbook"/>
              </w:rPr>
              <w:t>)</w:t>
            </w:r>
          </w:p>
          <w:p w:rsidR="003C58B2" w:rsidRPr="0063739A" w14:paraId="438D5169" w14:textId="77777777">
            <w:pPr>
              <w:spacing w:line="240" w:lineRule="auto"/>
              <w:rPr>
                <w:rFonts w:ascii="Century Schoolbook" w:hAnsi="Century Schoolbook"/>
                <w:i/>
                <w:iCs/>
              </w:rPr>
            </w:pPr>
          </w:p>
        </w:tc>
      </w:tr>
    </w:tbl>
    <w:p w:rsidR="003C58B2" w:rsidRPr="002C33BC" w14:paraId="7ECDC23A" w14:textId="77777777">
      <w:pPr>
        <w:spacing w:line="320" w:lineRule="exact"/>
        <w:rPr>
          <w:rFonts w:ascii="Century Schoolbook" w:hAnsi="Century Schoolbook"/>
        </w:rPr>
      </w:pPr>
    </w:p>
    <w:p w:rsidR="003C58B2" w:rsidP="00F5110E" w14:paraId="36A122CE" w14:textId="0A365470">
      <w:pPr>
        <w:spacing w:line="288" w:lineRule="auto"/>
        <w:rPr>
          <w:rFonts w:ascii="Century Schoolbook" w:hAnsi="Century Schoolbook"/>
        </w:rPr>
      </w:pPr>
      <w:r w:rsidRPr="002C33BC">
        <w:rPr>
          <w:rFonts w:ascii="Century Schoolbook" w:hAnsi="Century Schoolbook"/>
        </w:rPr>
        <w:tab/>
        <w:t xml:space="preserve">APPEAL from </w:t>
      </w:r>
      <w:r w:rsidR="00AE77F9">
        <w:rPr>
          <w:rFonts w:ascii="Century Schoolbook" w:hAnsi="Century Schoolbook"/>
        </w:rPr>
        <w:t>a</w:t>
      </w:r>
      <w:r w:rsidR="00B30321">
        <w:rPr>
          <w:rFonts w:ascii="Century Schoolbook" w:hAnsi="Century Schoolbook"/>
        </w:rPr>
        <w:t xml:space="preserve"> judgment of</w:t>
      </w:r>
      <w:r w:rsidRPr="002C33BC">
        <w:rPr>
          <w:rFonts w:ascii="Century Schoolbook" w:hAnsi="Century Schoolbook"/>
        </w:rPr>
        <w:t xml:space="preserve"> the Superior Court of Los Angeles County.  </w:t>
      </w:r>
      <w:r w:rsidR="00E51EC5">
        <w:rPr>
          <w:rFonts w:ascii="Century Schoolbook" w:hAnsi="Century Schoolbook"/>
        </w:rPr>
        <w:t>Connie R. Quinones</w:t>
      </w:r>
      <w:r w:rsidR="0063739A">
        <w:rPr>
          <w:rFonts w:ascii="Century Schoolbook" w:hAnsi="Century Schoolbook"/>
        </w:rPr>
        <w:t>,</w:t>
      </w:r>
      <w:r w:rsidRPr="002C33BC">
        <w:rPr>
          <w:rFonts w:ascii="Century Schoolbook" w:hAnsi="Century Schoolbook"/>
        </w:rPr>
        <w:t xml:space="preserve"> Judge.  </w:t>
      </w:r>
      <w:r w:rsidR="0063739A">
        <w:rPr>
          <w:rFonts w:ascii="Century Schoolbook" w:hAnsi="Century Schoolbook"/>
        </w:rPr>
        <w:t>Affirm</w:t>
      </w:r>
      <w:r w:rsidRPr="002C33BC" w:rsidR="00A05436">
        <w:rPr>
          <w:rFonts w:ascii="Century Schoolbook" w:hAnsi="Century Schoolbook"/>
        </w:rPr>
        <w:t>ed</w:t>
      </w:r>
      <w:r w:rsidR="00FF765D">
        <w:rPr>
          <w:rFonts w:ascii="Century Schoolbook" w:hAnsi="Century Schoolbook"/>
        </w:rPr>
        <w:t xml:space="preserve"> as modified</w:t>
      </w:r>
      <w:r w:rsidRPr="002C33BC" w:rsidR="00A05436">
        <w:rPr>
          <w:rFonts w:ascii="Century Schoolbook" w:hAnsi="Century Schoolbook"/>
        </w:rPr>
        <w:t xml:space="preserve">. </w:t>
      </w:r>
    </w:p>
    <w:p w:rsidR="00157AB1" w:rsidRPr="002C33BC" w:rsidP="00F5110E" w14:paraId="61520C60" w14:textId="77777777">
      <w:pPr>
        <w:spacing w:line="288" w:lineRule="auto"/>
        <w:rPr>
          <w:rFonts w:ascii="Century Schoolbook" w:hAnsi="Century Schoolbook"/>
        </w:rPr>
      </w:pPr>
    </w:p>
    <w:p w:rsidR="00BB1B8E" w:rsidP="00F5110E" w14:paraId="5EC11CDD" w14:textId="7DC5CBFA">
      <w:pPr>
        <w:spacing w:line="288" w:lineRule="auto"/>
        <w:rPr>
          <w:rFonts w:ascii="Century Schoolbook" w:hAnsi="Century Schoolbook"/>
        </w:rPr>
      </w:pPr>
      <w:r w:rsidRPr="002C33BC">
        <w:rPr>
          <w:rFonts w:ascii="Century Schoolbook" w:hAnsi="Century Schoolbook"/>
        </w:rPr>
        <w:tab/>
      </w:r>
      <w:r w:rsidR="00E51EC5">
        <w:rPr>
          <w:rFonts w:ascii="Century Schoolbook" w:hAnsi="Century Schoolbook"/>
        </w:rPr>
        <w:t>Michael S. Evans</w:t>
      </w:r>
      <w:r w:rsidR="0031102F">
        <w:rPr>
          <w:rFonts w:ascii="Century Schoolbook" w:hAnsi="Century Schoolbook"/>
        </w:rPr>
        <w:t xml:space="preserve"> </w:t>
      </w:r>
      <w:r w:rsidRPr="002C33BC">
        <w:rPr>
          <w:rFonts w:ascii="Century Schoolbook" w:hAnsi="Century Schoolbook"/>
        </w:rPr>
        <w:t>for Defendant and</w:t>
      </w:r>
      <w:r w:rsidRPr="002C33BC" w:rsidR="00C55873">
        <w:rPr>
          <w:rFonts w:ascii="Century Schoolbook" w:hAnsi="Century Schoolbook"/>
        </w:rPr>
        <w:t xml:space="preserve"> Appellant</w:t>
      </w:r>
      <w:r w:rsidRPr="002C33BC">
        <w:rPr>
          <w:rFonts w:ascii="Century Schoolbook" w:hAnsi="Century Schoolbook"/>
        </w:rPr>
        <w:t>.</w:t>
      </w:r>
    </w:p>
    <w:p w:rsidR="00573C28" w:rsidP="00F5110E" w14:paraId="282F34AD" w14:textId="77777777">
      <w:pPr>
        <w:spacing w:line="288" w:lineRule="auto"/>
        <w:rPr>
          <w:rFonts w:ascii="Century Schoolbook" w:hAnsi="Century Schoolbook"/>
        </w:rPr>
      </w:pPr>
    </w:p>
    <w:p w:rsidR="003C58B2" w:rsidP="00F5110E" w14:paraId="317D36EF" w14:textId="48F5B232">
      <w:pPr>
        <w:spacing w:line="288" w:lineRule="auto"/>
        <w:rPr>
          <w:rFonts w:ascii="Century Schoolbook" w:hAnsi="Century Schoolbook"/>
        </w:rPr>
      </w:pPr>
      <w:r>
        <w:rPr>
          <w:rFonts w:ascii="Century Schoolbook" w:hAnsi="Century Schoolbook"/>
        </w:rPr>
        <w:tab/>
      </w:r>
      <w:r w:rsidR="00D564BB">
        <w:rPr>
          <w:rFonts w:ascii="Century Schoolbook" w:hAnsi="Century Schoolbook"/>
        </w:rPr>
        <w:t xml:space="preserve">Rob Bonta, Attorney General, Lance E. Winters, Chief Assistant Attorney General, Susan Sullivan Pithey, Assistant Attorney General, Steven D. Matthews and Rama R. Maline, </w:t>
      </w:r>
      <w:r w:rsidR="00907EAA">
        <w:rPr>
          <w:rFonts w:ascii="Century Schoolbook" w:hAnsi="Century Schoolbook"/>
        </w:rPr>
        <w:t>for Plaintiff and R</w:t>
      </w:r>
      <w:r>
        <w:rPr>
          <w:rFonts w:ascii="Century Schoolbook" w:hAnsi="Century Schoolbook"/>
        </w:rPr>
        <w:t xml:space="preserve">espondent. </w:t>
      </w:r>
      <w:r w:rsidRPr="002C33BC">
        <w:rPr>
          <w:rFonts w:ascii="Century Schoolbook" w:hAnsi="Century Schoolbook"/>
        </w:rPr>
        <w:t xml:space="preserve"> </w:t>
      </w:r>
    </w:p>
    <w:p w:rsidR="00573C28" w:rsidRPr="002C33BC" w:rsidP="00F5110E" w14:paraId="14C208E6" w14:textId="77777777">
      <w:pPr>
        <w:spacing w:line="288" w:lineRule="auto"/>
        <w:rPr>
          <w:rFonts w:ascii="Century Schoolbook" w:hAnsi="Century Schoolbook"/>
        </w:rPr>
      </w:pPr>
    </w:p>
    <w:p w:rsidR="00786410" w:rsidRPr="002C33BC" w:rsidP="00F5110E" w14:paraId="2BB130D6" w14:textId="77777777">
      <w:pPr>
        <w:spacing w:line="288" w:lineRule="auto"/>
        <w:jc w:val="center"/>
        <w:rPr>
          <w:rFonts w:ascii="Century Schoolbook" w:hAnsi="Century Schoolbook"/>
        </w:rPr>
      </w:pPr>
      <w:r w:rsidRPr="002C33BC">
        <w:rPr>
          <w:rFonts w:ascii="Century Schoolbook" w:hAnsi="Century Schoolbook"/>
        </w:rPr>
        <w:t>* * * * * * * * * *</w:t>
      </w:r>
    </w:p>
    <w:p w:rsidR="00D564BB" w:rsidP="00D564BB" w14:paraId="47AB5C8E" w14:textId="31C7E05A">
      <w:pPr>
        <w:spacing w:line="288" w:lineRule="auto"/>
        <w:rPr>
          <w:rFonts w:ascii="Century Schoolbook" w:hAnsi="Century Schoolbook"/>
        </w:rPr>
      </w:pPr>
      <w:r>
        <w:rPr>
          <w:rFonts w:ascii="Century Schoolbook" w:hAnsi="Century Schoolbook"/>
        </w:rPr>
        <w:tab/>
      </w:r>
      <w:r w:rsidR="005037D5">
        <w:rPr>
          <w:rFonts w:ascii="Century Schoolbook" w:hAnsi="Century Schoolbook"/>
        </w:rPr>
        <w:t xml:space="preserve"> </w:t>
      </w:r>
      <w:r w:rsidR="00945EB5">
        <w:rPr>
          <w:rFonts w:ascii="Century Schoolbook" w:hAnsi="Century Schoolbook"/>
        </w:rPr>
        <w:t>The sole issue presented is whether the trial court incorrectly calculated</w:t>
      </w:r>
      <w:r w:rsidR="00721FE7">
        <w:rPr>
          <w:rFonts w:ascii="Century Schoolbook" w:hAnsi="Century Schoolbook"/>
        </w:rPr>
        <w:t xml:space="preserve"> presentence custody credits. </w:t>
      </w:r>
      <w:r w:rsidR="00945EB5">
        <w:rPr>
          <w:rFonts w:ascii="Century Schoolbook" w:hAnsi="Century Schoolbook"/>
        </w:rPr>
        <w:t xml:space="preserve"> D</w:t>
      </w:r>
      <w:r w:rsidR="006F44A0">
        <w:rPr>
          <w:rFonts w:ascii="Century Schoolbook" w:hAnsi="Century Schoolbook"/>
        </w:rPr>
        <w:t xml:space="preserve">efendant and appellant </w:t>
      </w:r>
      <w:r w:rsidR="00945EB5">
        <w:rPr>
          <w:rFonts w:ascii="Century Schoolbook" w:hAnsi="Century Schoolbook"/>
        </w:rPr>
        <w:t xml:space="preserve">Rasheed Malcolm Jones </w:t>
      </w:r>
      <w:r w:rsidR="00721FE7">
        <w:rPr>
          <w:rFonts w:ascii="Century Schoolbook" w:hAnsi="Century Schoolbook"/>
        </w:rPr>
        <w:t>pled no contest to one count of assault with a firearm and admitted a prior 2012 conviction</w:t>
      </w:r>
      <w:r w:rsidR="00502B66">
        <w:rPr>
          <w:rFonts w:ascii="Century Schoolbook" w:hAnsi="Century Schoolbook"/>
        </w:rPr>
        <w:t xml:space="preserve"> </w:t>
      </w:r>
      <w:r w:rsidR="00721FE7">
        <w:rPr>
          <w:rFonts w:ascii="Century Schoolbook" w:hAnsi="Century Schoolbook"/>
        </w:rPr>
        <w:t xml:space="preserve">for the same offense in exchange for a four-year sentence. </w:t>
      </w:r>
      <w:r w:rsidR="00443514">
        <w:rPr>
          <w:rFonts w:ascii="Century Schoolbook" w:hAnsi="Century Schoolbook"/>
        </w:rPr>
        <w:t xml:space="preserve"> </w:t>
      </w:r>
      <w:r w:rsidR="00721FE7">
        <w:rPr>
          <w:rFonts w:ascii="Century Schoolbook" w:hAnsi="Century Schoolbook"/>
        </w:rPr>
        <w:t xml:space="preserve">Defendant contends the court erred in </w:t>
      </w:r>
      <w:r w:rsidR="00FF765D">
        <w:rPr>
          <w:rFonts w:ascii="Century Schoolbook" w:hAnsi="Century Schoolbook"/>
        </w:rPr>
        <w:t xml:space="preserve">not awarding him presentence custody credits in accordance with </w:t>
      </w:r>
      <w:r w:rsidR="00443514">
        <w:rPr>
          <w:rFonts w:ascii="Century Schoolbook" w:hAnsi="Century Schoolbook"/>
        </w:rPr>
        <w:t>Penal Code section</w:t>
      </w:r>
      <w:r w:rsidR="00FF765D">
        <w:rPr>
          <w:rFonts w:ascii="Century Schoolbook" w:hAnsi="Century Schoolbook"/>
        </w:rPr>
        <w:t xml:space="preserve"> 4019.  </w:t>
      </w:r>
    </w:p>
    <w:p w:rsidR="00721FE7" w:rsidP="00D564BB" w14:paraId="140A931F" w14:textId="77777777">
      <w:pPr>
        <w:spacing w:line="288" w:lineRule="auto"/>
        <w:rPr>
          <w:rFonts w:ascii="Century Schoolbook" w:hAnsi="Century Schoolbook"/>
        </w:rPr>
      </w:pPr>
      <w:r>
        <w:rPr>
          <w:rFonts w:ascii="Century Schoolbook" w:hAnsi="Century Schoolbook"/>
        </w:rPr>
        <w:tab/>
        <w:t xml:space="preserve">We </w:t>
      </w:r>
      <w:r w:rsidR="00FF765D">
        <w:rPr>
          <w:rFonts w:ascii="Century Schoolbook" w:hAnsi="Century Schoolbook"/>
        </w:rPr>
        <w:t xml:space="preserve">agree that presentence custody credits should have been calculated pursuant to Penal Code section 4019.  We therefore modify the judgment to reflect presentence custody credits in the total amount of </w:t>
      </w:r>
      <w:r w:rsidR="00774606">
        <w:rPr>
          <w:rFonts w:ascii="Century Schoolbook" w:hAnsi="Century Schoolbook"/>
        </w:rPr>
        <w:t>993 days</w:t>
      </w:r>
      <w:r w:rsidR="00FF765D">
        <w:rPr>
          <w:rFonts w:ascii="Century Schoolbook" w:hAnsi="Century Schoolbook"/>
        </w:rPr>
        <w:t xml:space="preserve"> and </w:t>
      </w:r>
      <w:r w:rsidR="00774606">
        <w:rPr>
          <w:rFonts w:ascii="Century Schoolbook" w:hAnsi="Century Schoolbook"/>
        </w:rPr>
        <w:t xml:space="preserve">otherwise </w:t>
      </w:r>
      <w:r w:rsidR="00FF765D">
        <w:rPr>
          <w:rFonts w:ascii="Century Schoolbook" w:hAnsi="Century Schoolbook"/>
        </w:rPr>
        <w:t>affirm the judgment as so modified</w:t>
      </w:r>
      <w:r>
        <w:rPr>
          <w:rFonts w:ascii="Century Schoolbook" w:hAnsi="Century Schoolbook"/>
        </w:rPr>
        <w:t>.</w:t>
      </w:r>
    </w:p>
    <w:p w:rsidR="00721FE7" w:rsidP="00721FE7" w14:paraId="74BAD670" w14:textId="77777777">
      <w:pPr>
        <w:spacing w:line="288" w:lineRule="auto"/>
        <w:jc w:val="center"/>
        <w:rPr>
          <w:rFonts w:ascii="Century Schoolbook" w:hAnsi="Century Schoolbook"/>
        </w:rPr>
      </w:pPr>
      <w:r>
        <w:rPr>
          <w:rFonts w:ascii="Century Schoolbook" w:hAnsi="Century Schoolbook"/>
          <w:b/>
          <w:bCs/>
        </w:rPr>
        <w:t>FACTUAL AND PROCEDURAL SUMMARY</w:t>
      </w:r>
    </w:p>
    <w:p w:rsidR="00D564BB" w:rsidP="00455D71" w14:paraId="3EC18026" w14:textId="77777777">
      <w:pPr>
        <w:spacing w:line="288" w:lineRule="auto"/>
        <w:rPr>
          <w:rFonts w:ascii="Century Schoolbook" w:hAnsi="Century Schoolbook"/>
        </w:rPr>
      </w:pPr>
      <w:r>
        <w:rPr>
          <w:rFonts w:ascii="Century Schoolbook" w:hAnsi="Century Schoolbook"/>
        </w:rPr>
        <w:tab/>
        <w:t xml:space="preserve">Defendant was charged, along with three codefendants, with several felonies.  In January 2022, </w:t>
      </w:r>
      <w:r w:rsidR="008F104F">
        <w:rPr>
          <w:rFonts w:ascii="Century Schoolbook" w:hAnsi="Century Schoolbook"/>
        </w:rPr>
        <w:t xml:space="preserve">pursuant to a negotiated plea agreement, defendant pled no contest to one count of </w:t>
      </w:r>
      <w:r w:rsidR="00455D71">
        <w:rPr>
          <w:rFonts w:ascii="Century Schoolbook" w:hAnsi="Century Schoolbook"/>
        </w:rPr>
        <w:t>assault with</w:t>
      </w:r>
      <w:r>
        <w:rPr>
          <w:rFonts w:ascii="Century Schoolbook" w:hAnsi="Century Schoolbook"/>
        </w:rPr>
        <w:t xml:space="preserve"> </w:t>
      </w:r>
      <w:r w:rsidR="00455D71">
        <w:rPr>
          <w:rFonts w:ascii="Century Schoolbook" w:hAnsi="Century Schoolbook"/>
        </w:rPr>
        <w:t xml:space="preserve">a firearm (Pen. Code, § 245, subd. (a)(2)) and admitted having suffered a prior conviction for assault with a firearm in 2012 in exchange for a four-year prison sentence.  </w:t>
      </w:r>
      <w:r w:rsidRPr="00455D71" w:rsidR="00455D71">
        <w:rPr>
          <w:rFonts w:ascii="Century Schoolbook" w:hAnsi="Century Schoolbook"/>
        </w:rPr>
        <w:t>The parties stipulated to a factual basis for the plea and the court accepted defendant’s plea and waivers on the record, finding them to have been knowingly, intelligently and voluntarily made.  The remaining counts</w:t>
      </w:r>
      <w:r w:rsidR="00455D71">
        <w:rPr>
          <w:rFonts w:ascii="Century Schoolbook" w:hAnsi="Century Schoolbook"/>
        </w:rPr>
        <w:t xml:space="preserve"> against defendant were dismissed.</w:t>
      </w:r>
      <w:r w:rsidR="00D0138B">
        <w:rPr>
          <w:rFonts w:ascii="Century Schoolbook" w:hAnsi="Century Schoolbook"/>
        </w:rPr>
        <w:t xml:space="preserve">  The court imposed sentence according to the negotiated plea agreement.</w:t>
      </w:r>
      <w:r w:rsidR="00455D71">
        <w:rPr>
          <w:rFonts w:ascii="Century Schoolbook" w:hAnsi="Century Schoolbook"/>
        </w:rPr>
        <w:t xml:space="preserve">  </w:t>
      </w:r>
    </w:p>
    <w:p w:rsidR="004A3883" w:rsidP="00D564BB" w14:paraId="205DF637" w14:textId="00E1A090">
      <w:pPr>
        <w:spacing w:line="288" w:lineRule="auto"/>
        <w:rPr>
          <w:rFonts w:ascii="Century Schoolbook" w:hAnsi="Century Schoolbook"/>
        </w:rPr>
      </w:pPr>
      <w:r>
        <w:rPr>
          <w:rFonts w:ascii="Century Schoolbook" w:hAnsi="Century Schoolbook"/>
        </w:rPr>
        <w:tab/>
        <w:t>The court awarded defendant presentence custody credits in the</w:t>
      </w:r>
      <w:r w:rsidR="00346CFB">
        <w:rPr>
          <w:rFonts w:ascii="Century Schoolbook" w:hAnsi="Century Schoolbook"/>
        </w:rPr>
        <w:t xml:space="preserve"> </w:t>
      </w:r>
      <w:r>
        <w:rPr>
          <w:rFonts w:ascii="Century Schoolbook" w:hAnsi="Century Schoolbook"/>
        </w:rPr>
        <w:t xml:space="preserve">total amount of </w:t>
      </w:r>
      <w:r w:rsidR="00346CFB">
        <w:rPr>
          <w:rFonts w:ascii="Century Schoolbook" w:hAnsi="Century Schoolbook"/>
        </w:rPr>
        <w:t>596 days (497 actual</w:t>
      </w:r>
      <w:r w:rsidR="00443514">
        <w:rPr>
          <w:rFonts w:ascii="Century Schoolbook" w:hAnsi="Century Schoolbook"/>
        </w:rPr>
        <w:t>,</w:t>
      </w:r>
      <w:r w:rsidR="00346CFB">
        <w:rPr>
          <w:rFonts w:ascii="Century Schoolbook" w:hAnsi="Century Schoolbook"/>
        </w:rPr>
        <w:t xml:space="preserve"> plus 99 conduct). </w:t>
      </w:r>
      <w:r w:rsidR="002B2469">
        <w:rPr>
          <w:rFonts w:ascii="Century Schoolbook" w:hAnsi="Century Schoolbook"/>
        </w:rPr>
        <w:t xml:space="preserve"> </w:t>
      </w:r>
      <w:r w:rsidR="00D0138B">
        <w:rPr>
          <w:rFonts w:ascii="Century Schoolbook" w:hAnsi="Century Schoolbook"/>
        </w:rPr>
        <w:t>T</w:t>
      </w:r>
      <w:r w:rsidR="00346CFB">
        <w:rPr>
          <w:rFonts w:ascii="Century Schoolbook" w:hAnsi="Century Schoolbook"/>
        </w:rPr>
        <w:t xml:space="preserve">he court rejected defendant’s argument that presentence custody credits should be awarded pursuant to Penal Code section 4019. </w:t>
      </w:r>
    </w:p>
    <w:p w:rsidR="00721FE7" w:rsidP="00D564BB" w14:paraId="4FBB6F9A" w14:textId="77777777">
      <w:pPr>
        <w:spacing w:line="288" w:lineRule="auto"/>
        <w:rPr>
          <w:rFonts w:ascii="Century Schoolbook" w:hAnsi="Century Schoolbook"/>
        </w:rPr>
      </w:pPr>
      <w:r>
        <w:rPr>
          <w:rFonts w:ascii="Century Schoolbook" w:hAnsi="Century Schoolbook"/>
        </w:rPr>
        <w:tab/>
        <w:t xml:space="preserve">Defendant did not seek a certificate of probable cause, but rather, filed a timely notice of appeal. </w:t>
      </w:r>
    </w:p>
    <w:p w:rsidR="00721FE7" w:rsidP="00721FE7" w14:paraId="64B535B1" w14:textId="77777777">
      <w:pPr>
        <w:spacing w:line="288" w:lineRule="auto"/>
        <w:jc w:val="center"/>
        <w:rPr>
          <w:rFonts w:ascii="Century Schoolbook" w:hAnsi="Century Schoolbook"/>
        </w:rPr>
      </w:pPr>
      <w:r>
        <w:rPr>
          <w:rFonts w:ascii="Century Schoolbook" w:hAnsi="Century Schoolbook"/>
          <w:b/>
          <w:bCs/>
        </w:rPr>
        <w:t>DISCUSSION</w:t>
      </w:r>
    </w:p>
    <w:p w:rsidR="00721FE7" w:rsidRPr="00DD5B9E" w:rsidP="00443514" w14:paraId="16D9C3D6" w14:textId="77777777">
      <w:pPr>
        <w:numPr>
          <w:ilvl w:val="0"/>
          <w:numId w:val="2"/>
        </w:numPr>
        <w:spacing w:line="288" w:lineRule="auto"/>
        <w:ind w:hanging="720"/>
        <w:rPr>
          <w:rFonts w:ascii="Century Schoolbook" w:hAnsi="Century Schoolbook"/>
          <w:b/>
          <w:bCs/>
        </w:rPr>
      </w:pPr>
      <w:r w:rsidRPr="00DD5B9E">
        <w:rPr>
          <w:rFonts w:ascii="Century Schoolbook" w:hAnsi="Century Schoolbook"/>
          <w:b/>
          <w:bCs/>
        </w:rPr>
        <w:t xml:space="preserve">Dismissal of the Appeal </w:t>
      </w:r>
      <w:r w:rsidR="00443514">
        <w:rPr>
          <w:rFonts w:ascii="Century Schoolbook" w:hAnsi="Century Schoolbook"/>
          <w:b/>
          <w:bCs/>
        </w:rPr>
        <w:t>I</w:t>
      </w:r>
      <w:r w:rsidRPr="00DD5B9E">
        <w:rPr>
          <w:rFonts w:ascii="Century Schoolbook" w:hAnsi="Century Schoolbook"/>
          <w:b/>
          <w:bCs/>
        </w:rPr>
        <w:t xml:space="preserve">s Not Warranted. </w:t>
      </w:r>
    </w:p>
    <w:p w:rsidR="00DD5B9E" w:rsidP="00DD5B9E" w14:paraId="3B3A97DF" w14:textId="77777777">
      <w:pPr>
        <w:spacing w:line="288" w:lineRule="auto"/>
        <w:ind w:firstLine="720"/>
        <w:rPr>
          <w:rFonts w:ascii="Century Schoolbook" w:hAnsi="Century Schoolbook"/>
        </w:rPr>
      </w:pPr>
      <w:r w:rsidRPr="005E5E42">
        <w:rPr>
          <w:rFonts w:ascii="Century Schoolbook" w:hAnsi="Century Schoolbook"/>
        </w:rPr>
        <w:t>The People argue the</w:t>
      </w:r>
      <w:r>
        <w:rPr>
          <w:rFonts w:ascii="Century Schoolbook" w:hAnsi="Century Schoolbook"/>
        </w:rPr>
        <w:t xml:space="preserve"> appeal must be dismissed </w:t>
      </w:r>
      <w:r w:rsidR="008E33B8">
        <w:rPr>
          <w:rFonts w:ascii="Century Schoolbook" w:hAnsi="Century Schoolbook"/>
        </w:rPr>
        <w:t xml:space="preserve">pursuant to Penal Code section 1237.5 </w:t>
      </w:r>
      <w:r>
        <w:rPr>
          <w:rFonts w:ascii="Century Schoolbook" w:hAnsi="Century Schoolbook"/>
        </w:rPr>
        <w:t xml:space="preserve">because defendant did not obtain a certificate of probable cause, or alternatively, </w:t>
      </w:r>
      <w:r w:rsidR="008E33B8">
        <w:rPr>
          <w:rFonts w:ascii="Century Schoolbook" w:hAnsi="Century Schoolbook"/>
        </w:rPr>
        <w:t xml:space="preserve">because he </w:t>
      </w:r>
      <w:r>
        <w:rPr>
          <w:rFonts w:ascii="Century Schoolbook" w:hAnsi="Century Schoolbook"/>
        </w:rPr>
        <w:t>did not first raise the issue in the trial court</w:t>
      </w:r>
      <w:r w:rsidR="008E33B8">
        <w:rPr>
          <w:rFonts w:ascii="Century Schoolbook" w:hAnsi="Century Schoolbook"/>
        </w:rPr>
        <w:t xml:space="preserve"> as required by section</w:t>
      </w:r>
      <w:r w:rsidR="00443514">
        <w:rPr>
          <w:rFonts w:ascii="Century Schoolbook" w:hAnsi="Century Schoolbook"/>
        </w:rPr>
        <w:t> </w:t>
      </w:r>
      <w:r w:rsidR="008E33B8">
        <w:rPr>
          <w:rFonts w:ascii="Century Schoolbook" w:hAnsi="Century Schoolbook"/>
        </w:rPr>
        <w:t>1237.1</w:t>
      </w:r>
      <w:r>
        <w:rPr>
          <w:rFonts w:ascii="Century Schoolbook" w:hAnsi="Century Schoolbook"/>
        </w:rPr>
        <w:t xml:space="preserve">.  We do not agree. </w:t>
      </w:r>
    </w:p>
    <w:p w:rsidR="00A643F6" w:rsidP="00A643F6" w14:paraId="51E12984" w14:textId="77777777">
      <w:pPr>
        <w:spacing w:line="288" w:lineRule="auto"/>
        <w:ind w:firstLine="720"/>
        <w:rPr>
          <w:rFonts w:ascii="Century Schoolbook" w:hAnsi="Century Schoolbook"/>
        </w:rPr>
      </w:pPr>
      <w:r>
        <w:rPr>
          <w:rFonts w:ascii="Century Schoolbook" w:hAnsi="Century Schoolbook"/>
        </w:rPr>
        <w:t>“</w:t>
      </w:r>
      <w:r w:rsidRPr="00361E3C">
        <w:rPr>
          <w:rFonts w:ascii="Century Schoolbook" w:hAnsi="Century Schoolbook"/>
        </w:rPr>
        <w:t xml:space="preserve">In determining whether </w:t>
      </w:r>
      <w:r>
        <w:rPr>
          <w:rFonts w:ascii="Century Schoolbook" w:hAnsi="Century Schoolbook"/>
        </w:rPr>
        <w:t xml:space="preserve">[Penal Code] </w:t>
      </w:r>
      <w:r w:rsidRPr="00361E3C">
        <w:rPr>
          <w:rFonts w:ascii="Century Schoolbook" w:hAnsi="Century Schoolbook"/>
        </w:rPr>
        <w:t>section 1237.5 applies to a challenge of a sentence imposed after a plea of guilty or no contest, courts must look to the substance of the appeal</w:t>
      </w:r>
      <w:r>
        <w:rPr>
          <w:rFonts w:ascii="Century Schoolbook" w:hAnsi="Century Schoolbook"/>
        </w:rPr>
        <w:t xml:space="preserve"> . . . </w:t>
      </w:r>
      <w:r w:rsidRPr="00361E3C">
        <w:rPr>
          <w:rFonts w:ascii="Century Schoolbook" w:hAnsi="Century Schoolbook"/>
        </w:rPr>
        <w:t xml:space="preserve">the critical inquiry is whether a challenge to the sentence is </w:t>
      </w:r>
      <w:r w:rsidRPr="00682127">
        <w:rPr>
          <w:rFonts w:ascii="Century Schoolbook" w:hAnsi="Century Schoolbook"/>
        </w:rPr>
        <w:t>in substance</w:t>
      </w:r>
      <w:r w:rsidRPr="00361E3C">
        <w:rPr>
          <w:rFonts w:ascii="Century Schoolbook" w:hAnsi="Century Schoolbook"/>
        </w:rPr>
        <w:t xml:space="preserve"> a challenge to the validity of the plea, thus rendering the appeal subject to the requirements of section 1237.5.</w:t>
      </w:r>
      <w:r>
        <w:rPr>
          <w:rFonts w:ascii="Century Schoolbook" w:hAnsi="Century Schoolbook"/>
        </w:rPr>
        <w:t>”</w:t>
      </w:r>
      <w:r w:rsidR="00443514">
        <w:rPr>
          <w:rFonts w:ascii="Century Schoolbook" w:hAnsi="Century Schoolbook"/>
        </w:rPr>
        <w:t xml:space="preserve"> </w:t>
      </w:r>
      <w:r>
        <w:rPr>
          <w:rFonts w:ascii="Century Schoolbook" w:hAnsi="Century Schoolbook"/>
        </w:rPr>
        <w:t xml:space="preserve"> </w:t>
      </w:r>
      <w:r w:rsidRPr="00361E3C">
        <w:rPr>
          <w:rFonts w:ascii="Century Schoolbook" w:hAnsi="Century Schoolbook"/>
        </w:rPr>
        <w:t>(</w:t>
      </w:r>
      <w:r w:rsidRPr="008E33B8">
        <w:rPr>
          <w:rFonts w:ascii="Century Schoolbook" w:hAnsi="Century Schoolbook"/>
          <w:i/>
          <w:iCs/>
        </w:rPr>
        <w:t>People v. Panizzon</w:t>
      </w:r>
      <w:r w:rsidRPr="00361E3C">
        <w:rPr>
          <w:rFonts w:ascii="Century Schoolbook" w:hAnsi="Century Schoolbook"/>
        </w:rPr>
        <w:t xml:space="preserve"> (1996) 13 Cal.4th 68, 76</w:t>
      </w:r>
      <w:r w:rsidR="00017426">
        <w:rPr>
          <w:rFonts w:ascii="Century Schoolbook" w:hAnsi="Century Schoolbook"/>
        </w:rPr>
        <w:t>, citation &amp; italics omitted</w:t>
      </w:r>
      <w:r>
        <w:rPr>
          <w:rFonts w:ascii="Century Schoolbook" w:hAnsi="Century Schoolbook"/>
        </w:rPr>
        <w:t xml:space="preserve">; accord, </w:t>
      </w:r>
      <w:r w:rsidRPr="00A643F6">
        <w:rPr>
          <w:rFonts w:ascii="Century Schoolbook" w:hAnsi="Century Schoolbook"/>
          <w:i/>
          <w:iCs/>
        </w:rPr>
        <w:t>People v. Cuevas</w:t>
      </w:r>
      <w:r w:rsidRPr="00361E3C">
        <w:rPr>
          <w:rFonts w:ascii="Century Schoolbook" w:hAnsi="Century Schoolbook"/>
        </w:rPr>
        <w:t xml:space="preserve"> (2008) 44 Cal.4th 374, 381.)</w:t>
      </w:r>
    </w:p>
    <w:p w:rsidR="00361E3C" w:rsidP="00361E3C" w14:paraId="46028F2F" w14:textId="77777777">
      <w:pPr>
        <w:spacing w:line="288" w:lineRule="auto"/>
        <w:ind w:firstLine="720"/>
        <w:rPr>
          <w:rFonts w:ascii="Century Schoolbook" w:hAnsi="Century Schoolbook"/>
        </w:rPr>
      </w:pPr>
      <w:r>
        <w:rPr>
          <w:rFonts w:ascii="Century Schoolbook" w:hAnsi="Century Schoolbook"/>
        </w:rPr>
        <w:t xml:space="preserve">The plea agreement </w:t>
      </w:r>
      <w:r w:rsidR="008E33B8">
        <w:rPr>
          <w:rFonts w:ascii="Century Schoolbook" w:hAnsi="Century Schoolbook"/>
        </w:rPr>
        <w:t>required defendant to admit to a prior 2012 conviction for assault with a firearm.</w:t>
      </w:r>
      <w:r>
        <w:rPr>
          <w:rFonts w:ascii="Century Schoolbook" w:hAnsi="Century Schoolbook"/>
        </w:rPr>
        <w:t xml:space="preserve">  </w:t>
      </w:r>
      <w:r w:rsidRPr="007E0233">
        <w:rPr>
          <w:rFonts w:ascii="Century Schoolbook" w:hAnsi="Century Schoolbook"/>
        </w:rPr>
        <w:t>The People contend</w:t>
      </w:r>
      <w:r>
        <w:rPr>
          <w:rFonts w:ascii="Century Schoolbook" w:hAnsi="Century Schoolbook"/>
        </w:rPr>
        <w:t xml:space="preserve"> </w:t>
      </w:r>
      <w:r w:rsidR="008E33B8">
        <w:rPr>
          <w:rFonts w:ascii="Century Schoolbook" w:hAnsi="Century Schoolbook"/>
        </w:rPr>
        <w:t xml:space="preserve">defendant’s admission of the prior </w:t>
      </w:r>
      <w:r>
        <w:rPr>
          <w:rFonts w:ascii="Century Schoolbook" w:hAnsi="Century Schoolbook"/>
        </w:rPr>
        <w:t xml:space="preserve">strike expressly limits </w:t>
      </w:r>
      <w:r w:rsidR="008E33B8">
        <w:rPr>
          <w:rFonts w:ascii="Century Schoolbook" w:hAnsi="Century Schoolbook"/>
        </w:rPr>
        <w:t>his</w:t>
      </w:r>
      <w:r>
        <w:rPr>
          <w:rFonts w:ascii="Century Schoolbook" w:hAnsi="Century Schoolbook"/>
        </w:rPr>
        <w:t xml:space="preserve"> custody credits to no more than one-fifth or </w:t>
      </w:r>
      <w:r w:rsidR="00443514">
        <w:rPr>
          <w:rFonts w:ascii="Century Schoolbook" w:hAnsi="Century Schoolbook"/>
        </w:rPr>
        <w:t>20</w:t>
      </w:r>
      <w:r>
        <w:rPr>
          <w:rFonts w:ascii="Century Schoolbook" w:hAnsi="Century Schoolbook"/>
        </w:rPr>
        <w:t xml:space="preserve"> percent of his total prison sentence.  They say that defendant’s challenge to the calculation of custody credits which amounts to a request to have an upward modification of custody credits greater than </w:t>
      </w:r>
      <w:r w:rsidR="0031102F">
        <w:rPr>
          <w:rFonts w:ascii="Century Schoolbook" w:hAnsi="Century Schoolbook"/>
        </w:rPr>
        <w:t>20 </w:t>
      </w:r>
      <w:r>
        <w:rPr>
          <w:rFonts w:ascii="Century Schoolbook" w:hAnsi="Century Schoolbook"/>
        </w:rPr>
        <w:t xml:space="preserve">percent of his agreed-upon sentence is </w:t>
      </w:r>
      <w:r w:rsidR="008E33B8">
        <w:rPr>
          <w:rFonts w:ascii="Century Schoolbook" w:hAnsi="Century Schoolbook"/>
        </w:rPr>
        <w:t xml:space="preserve">therefore an attack on the validity of the plea requiring a certificate of probable cause.  </w:t>
      </w:r>
    </w:p>
    <w:p w:rsidR="00721FE7" w:rsidP="00721FE7" w14:paraId="6B3BDCEE" w14:textId="77777777">
      <w:pPr>
        <w:spacing w:line="288" w:lineRule="auto"/>
        <w:rPr>
          <w:rFonts w:ascii="Century Schoolbook" w:hAnsi="Century Schoolbook"/>
        </w:rPr>
      </w:pPr>
      <w:r>
        <w:rPr>
          <w:rFonts w:ascii="Century Schoolbook" w:hAnsi="Century Schoolbook"/>
        </w:rPr>
        <w:tab/>
      </w:r>
      <w:r w:rsidR="00976DEC">
        <w:rPr>
          <w:rFonts w:ascii="Century Schoolbook" w:hAnsi="Century Schoolbook"/>
        </w:rPr>
        <w:t xml:space="preserve">As we explain in part 2 below, defendant was entitled to an award of presentence custody credits in accordance with Penal Code section 4019, notwithstanding his admission of the strike.  Defendant’s appeal does not challenge the validity of the plea but raises only a claim that the presentence credits were miscalculated—an appellate contention that does not require a certificate of probable cause. </w:t>
      </w:r>
      <w:r w:rsidR="00443514">
        <w:rPr>
          <w:rFonts w:ascii="Century Schoolbook" w:hAnsi="Century Schoolbook"/>
        </w:rPr>
        <w:t xml:space="preserve"> </w:t>
      </w:r>
      <w:r>
        <w:rPr>
          <w:rFonts w:ascii="Century Schoolbook" w:hAnsi="Century Schoolbook"/>
        </w:rPr>
        <w:t>(See</w:t>
      </w:r>
      <w:r w:rsidR="00443514">
        <w:rPr>
          <w:rFonts w:ascii="Century Schoolbook" w:hAnsi="Century Schoolbook"/>
        </w:rPr>
        <w:t>,</w:t>
      </w:r>
      <w:r>
        <w:rPr>
          <w:rFonts w:ascii="Century Schoolbook" w:hAnsi="Century Schoolbook"/>
        </w:rPr>
        <w:t xml:space="preserve"> e.g., </w:t>
      </w:r>
      <w:r w:rsidRPr="00D3661E" w:rsidR="00D3661E">
        <w:rPr>
          <w:rFonts w:ascii="Century Schoolbook" w:hAnsi="Century Schoolbook"/>
          <w:i/>
          <w:iCs/>
        </w:rPr>
        <w:t>People v. Hodges</w:t>
      </w:r>
      <w:r w:rsidRPr="007D5316" w:rsidR="00D3661E">
        <w:rPr>
          <w:rFonts w:ascii="Century Schoolbook" w:hAnsi="Century Schoolbook"/>
        </w:rPr>
        <w:t xml:space="preserve"> (2009) 174 Cal.App.4th 1096, 1102, fn. 5</w:t>
      </w:r>
      <w:r w:rsidR="00D3661E">
        <w:rPr>
          <w:rFonts w:ascii="Century Schoolbook" w:hAnsi="Century Schoolbook"/>
        </w:rPr>
        <w:t xml:space="preserve"> [“</w:t>
      </w:r>
      <w:r w:rsidRPr="007D5316" w:rsidR="00D3661E">
        <w:rPr>
          <w:rFonts w:ascii="Century Schoolbook" w:hAnsi="Century Schoolbook"/>
        </w:rPr>
        <w:t>Presentence custody credit issues do not require a certificate of probable cause.</w:t>
      </w:r>
      <w:r w:rsidR="00D3661E">
        <w:rPr>
          <w:rFonts w:ascii="Century Schoolbook" w:hAnsi="Century Schoolbook"/>
        </w:rPr>
        <w:t>”]</w:t>
      </w:r>
      <w:r>
        <w:rPr>
          <w:rFonts w:ascii="Century Schoolbook" w:hAnsi="Century Schoolbook"/>
        </w:rPr>
        <w:t>.)</w:t>
      </w:r>
    </w:p>
    <w:p w:rsidR="00774606" w:rsidP="00A643F6" w14:paraId="72979503" w14:textId="77777777">
      <w:pPr>
        <w:spacing w:line="288" w:lineRule="auto"/>
        <w:rPr>
          <w:rFonts w:ascii="Century Schoolbook" w:hAnsi="Century Schoolbook"/>
        </w:rPr>
      </w:pPr>
      <w:r>
        <w:rPr>
          <w:rFonts w:ascii="Century Schoolbook" w:hAnsi="Century Schoolbook"/>
        </w:rPr>
        <w:tab/>
        <w:t>Penal Code section 1237.1 also does not require a dismissal here.  The statute provides that no appeal shall be taken alleging a miscalculation of presentence custody credits “</w:t>
      </w:r>
      <w:r w:rsidRPr="006D4F3C" w:rsidR="006D4F3C">
        <w:rPr>
          <w:rFonts w:ascii="Century Schoolbook" w:hAnsi="Century Schoolbook"/>
        </w:rPr>
        <w:t>unless the defendant first presents the claim in the trial court at the time of sentencing, or if the error is not discovered until after sentencing, the defendant first makes a motion for correction of the record in the trial court, which may be made informally in writing.</w:t>
      </w:r>
      <w:r>
        <w:rPr>
          <w:rFonts w:ascii="Century Schoolbook" w:hAnsi="Century Schoolbook"/>
        </w:rPr>
        <w:t xml:space="preserve">”  </w:t>
      </w:r>
      <w:r w:rsidRPr="006D4F3C" w:rsidR="006D4F3C">
        <w:rPr>
          <w:rFonts w:ascii="Century Schoolbook" w:hAnsi="Century Schoolbook"/>
        </w:rPr>
        <w:t>(</w:t>
      </w:r>
      <w:r w:rsidR="00443514">
        <w:rPr>
          <w:rFonts w:ascii="Century Schoolbook" w:hAnsi="Century Schoolbook"/>
          <w:i/>
          <w:iCs/>
        </w:rPr>
        <w:t>Ibid</w:t>
      </w:r>
      <w:r>
        <w:rPr>
          <w:rFonts w:ascii="Century Schoolbook" w:hAnsi="Century Schoolbook"/>
        </w:rPr>
        <w:t xml:space="preserve">.) </w:t>
      </w:r>
    </w:p>
    <w:p w:rsidR="00976DEC" w:rsidP="00A643F6" w14:paraId="3C3C8C5A" w14:textId="1F3D2219">
      <w:pPr>
        <w:spacing w:line="288" w:lineRule="auto"/>
        <w:rPr>
          <w:rFonts w:ascii="Century Schoolbook" w:hAnsi="Century Schoolbook"/>
        </w:rPr>
      </w:pPr>
      <w:r>
        <w:rPr>
          <w:rFonts w:ascii="Century Schoolbook" w:hAnsi="Century Schoolbook"/>
        </w:rPr>
        <w:tab/>
        <w:t>At the sentencing hearing, defense counsel expressly requested the court to order “day-for-day” conduct credits because a charge of assault with a firearm qualifies only as a serious felony but not a violent felony.  The court rejected defendant’s argument and said he was not entitled to day-for-day credits because he was admitting the prior strike.</w:t>
      </w:r>
      <w:r w:rsidR="00573C28">
        <w:rPr>
          <w:rFonts w:ascii="Century Schoolbook" w:hAnsi="Century Schoolbook"/>
        </w:rPr>
        <w:t xml:space="preserve"> </w:t>
      </w:r>
      <w:r>
        <w:rPr>
          <w:rFonts w:ascii="Century Schoolbook" w:hAnsi="Century Schoolbook"/>
        </w:rPr>
        <w:t xml:space="preserve"> Defendant therefore satisfied the requirement in Penal Code section 1237.1 of presenting “the claim in the trial court at the time of sentencing.”  </w:t>
      </w:r>
      <w:r w:rsidR="00E92360">
        <w:rPr>
          <w:rFonts w:ascii="Century Schoolbook" w:hAnsi="Century Schoolbook"/>
        </w:rPr>
        <w:t>(</w:t>
      </w:r>
      <w:r w:rsidR="00E92360">
        <w:rPr>
          <w:rFonts w:ascii="Century Schoolbook" w:hAnsi="Century Schoolbook"/>
          <w:i/>
          <w:iCs/>
        </w:rPr>
        <w:t>Ibid.</w:t>
      </w:r>
      <w:r w:rsidR="00E92360">
        <w:rPr>
          <w:rFonts w:ascii="Century Schoolbook" w:hAnsi="Century Schoolbook"/>
        </w:rPr>
        <w:t xml:space="preserve">)  </w:t>
      </w:r>
      <w:r w:rsidR="00346CFB">
        <w:rPr>
          <w:rFonts w:ascii="Century Schoolbook" w:hAnsi="Century Schoolbook"/>
        </w:rPr>
        <w:t>He was not required to do anything further in the trial court before bringing his appeal.</w:t>
      </w:r>
    </w:p>
    <w:p w:rsidR="004A3883" w:rsidRPr="004A3883" w:rsidP="00443514" w14:paraId="79E120B3" w14:textId="77777777">
      <w:pPr>
        <w:numPr>
          <w:ilvl w:val="0"/>
          <w:numId w:val="2"/>
        </w:numPr>
        <w:spacing w:line="288" w:lineRule="auto"/>
        <w:ind w:hanging="720"/>
        <w:rPr>
          <w:rFonts w:ascii="Century Schoolbook" w:hAnsi="Century Schoolbook"/>
          <w:b/>
          <w:bCs/>
        </w:rPr>
      </w:pPr>
      <w:r w:rsidRPr="004A3883">
        <w:rPr>
          <w:rFonts w:ascii="Century Schoolbook" w:hAnsi="Century Schoolbook"/>
          <w:b/>
          <w:bCs/>
        </w:rPr>
        <w:t xml:space="preserve">Presentence Custody Credits </w:t>
      </w:r>
      <w:r w:rsidR="00443514">
        <w:rPr>
          <w:rFonts w:ascii="Century Schoolbook" w:hAnsi="Century Schoolbook"/>
          <w:b/>
          <w:bCs/>
        </w:rPr>
        <w:t>W</w:t>
      </w:r>
      <w:r w:rsidRPr="004A3883">
        <w:rPr>
          <w:rFonts w:ascii="Century Schoolbook" w:hAnsi="Century Schoolbook"/>
          <w:b/>
          <w:bCs/>
        </w:rPr>
        <w:t xml:space="preserve">ere Miscalculated. </w:t>
      </w:r>
    </w:p>
    <w:p w:rsidR="004204F8" w:rsidP="004204F8" w14:paraId="4CB06238" w14:textId="77777777">
      <w:pPr>
        <w:spacing w:line="288" w:lineRule="auto"/>
        <w:ind w:firstLine="720"/>
        <w:rPr>
          <w:rFonts w:ascii="Century Schoolbook" w:hAnsi="Century Schoolbook"/>
        </w:rPr>
      </w:pPr>
      <w:r>
        <w:rPr>
          <w:rFonts w:ascii="Century Schoolbook" w:hAnsi="Century Schoolbook"/>
        </w:rPr>
        <w:t xml:space="preserve">Ordinarily, presentence custody credits are calculated according to Penal Code section 4019.  </w:t>
      </w:r>
      <w:r w:rsidRPr="00AC64A8">
        <w:rPr>
          <w:rFonts w:ascii="Century Schoolbook" w:hAnsi="Century Schoolbook"/>
        </w:rPr>
        <w:t>(</w:t>
      </w:r>
      <w:r w:rsidRPr="004204F8">
        <w:rPr>
          <w:rFonts w:ascii="Century Schoolbook" w:hAnsi="Century Schoolbook"/>
          <w:i/>
          <w:iCs/>
        </w:rPr>
        <w:t>People v. Thomas</w:t>
      </w:r>
      <w:r w:rsidRPr="00AC64A8">
        <w:rPr>
          <w:rFonts w:ascii="Century Schoolbook" w:hAnsi="Century Schoolbook"/>
        </w:rPr>
        <w:t xml:space="preserve"> (1999) 21 Cal.4th 1122, 1125</w:t>
      </w:r>
      <w:r w:rsidR="00443514">
        <w:rPr>
          <w:rFonts w:ascii="Century Schoolbook" w:hAnsi="Century Schoolbook"/>
        </w:rPr>
        <w:t xml:space="preserve"> (</w:t>
      </w:r>
      <w:r w:rsidR="00443514">
        <w:rPr>
          <w:rFonts w:ascii="Century Schoolbook" w:hAnsi="Century Schoolbook"/>
          <w:i/>
          <w:iCs/>
        </w:rPr>
        <w:t>Thomas</w:t>
      </w:r>
      <w:r w:rsidR="00443514">
        <w:rPr>
          <w:rFonts w:ascii="Century Schoolbook" w:hAnsi="Century Schoolbook"/>
        </w:rPr>
        <w:t>)</w:t>
      </w:r>
      <w:r>
        <w:rPr>
          <w:rFonts w:ascii="Century Schoolbook" w:hAnsi="Century Schoolbook"/>
        </w:rPr>
        <w:t xml:space="preserve">.)  </w:t>
      </w:r>
      <w:r w:rsidR="002D4831">
        <w:rPr>
          <w:rFonts w:ascii="Century Schoolbook" w:hAnsi="Century Schoolbook"/>
        </w:rPr>
        <w:t>S</w:t>
      </w:r>
      <w:r>
        <w:rPr>
          <w:rFonts w:ascii="Century Schoolbook" w:hAnsi="Century Schoolbook"/>
        </w:rPr>
        <w:t>ection 2900.5, subdivision (a) provides in relevant part that “[i]</w:t>
      </w:r>
      <w:r w:rsidRPr="00A45894">
        <w:rPr>
          <w:rFonts w:ascii="Century Schoolbook" w:hAnsi="Century Schoolbook"/>
        </w:rPr>
        <w:t xml:space="preserve">n all felony and </w:t>
      </w:r>
      <w:r>
        <w:rPr>
          <w:rFonts w:ascii="Century Schoolbook" w:hAnsi="Century Schoolbook"/>
        </w:rPr>
        <w:t>m</w:t>
      </w:r>
      <w:r w:rsidRPr="00A45894">
        <w:rPr>
          <w:rFonts w:ascii="Century Schoolbook" w:hAnsi="Century Schoolbook"/>
        </w:rPr>
        <w:t>isdemeanor convictions, either by plea or by verdict</w:t>
      </w:r>
      <w:r>
        <w:rPr>
          <w:rFonts w:ascii="Century Schoolbook" w:hAnsi="Century Schoolbook"/>
        </w:rPr>
        <w:t>” where the defendant has been in custody prior to sentencing, the defendant shall be given presentence credits “</w:t>
      </w:r>
      <w:r w:rsidRPr="00A45894">
        <w:rPr>
          <w:rFonts w:ascii="Century Schoolbook" w:hAnsi="Century Schoolbook"/>
        </w:rPr>
        <w:t>pursuant to Section 4019</w:t>
      </w:r>
      <w:r>
        <w:rPr>
          <w:rFonts w:ascii="Century Schoolbook" w:hAnsi="Century Schoolbook"/>
        </w:rPr>
        <w:t xml:space="preserve">.”  </w:t>
      </w:r>
    </w:p>
    <w:p w:rsidR="00E6208F" w:rsidP="00E6208F" w14:paraId="25B4ED77" w14:textId="1A71F847">
      <w:pPr>
        <w:spacing w:line="288" w:lineRule="auto"/>
        <w:ind w:firstLine="720"/>
        <w:rPr>
          <w:rFonts w:ascii="Century Schoolbook" w:hAnsi="Century Schoolbook"/>
        </w:rPr>
      </w:pPr>
      <w:r>
        <w:rPr>
          <w:rFonts w:ascii="Century Schoolbook" w:hAnsi="Century Schoolbook"/>
        </w:rPr>
        <w:t xml:space="preserve">Penal Code section 2933.1 creates an exception to the general rule for defendants convicted of a violent felony within the meaning of the Three Strikes law.  </w:t>
      </w:r>
      <w:r w:rsidR="00FE6BE6">
        <w:rPr>
          <w:rFonts w:ascii="Century Schoolbook" w:hAnsi="Century Schoolbook"/>
        </w:rPr>
        <w:t>Section 2933.1</w:t>
      </w:r>
      <w:r>
        <w:rPr>
          <w:rFonts w:ascii="Century Schoolbook" w:hAnsi="Century Schoolbook"/>
        </w:rPr>
        <w:t xml:space="preserve"> provides in relevant part that “[n]</w:t>
      </w:r>
      <w:r w:rsidRPr="00E6208F">
        <w:rPr>
          <w:rFonts w:ascii="Century Schoolbook" w:hAnsi="Century Schoolbook"/>
        </w:rPr>
        <w:t xml:space="preserve">otwithstanding Section 4019 or any other provision of law, the maximum credit that may be earned against a period of confinement </w:t>
      </w:r>
      <w:r>
        <w:rPr>
          <w:rFonts w:ascii="Century Schoolbook" w:hAnsi="Century Schoolbook"/>
        </w:rPr>
        <w:t xml:space="preserve">. . . </w:t>
      </w:r>
      <w:r w:rsidRPr="00E6208F">
        <w:rPr>
          <w:rFonts w:ascii="Century Schoolbook" w:hAnsi="Century Schoolbook"/>
        </w:rPr>
        <w:t>following arrest and prior to placement in the custody of the Director of Corrections, shall not exceed 15 percent of the actual period of confinement for any person specified in subdivision (a).</w:t>
      </w:r>
      <w:r>
        <w:rPr>
          <w:rFonts w:ascii="Century Schoolbook" w:hAnsi="Century Schoolbook"/>
        </w:rPr>
        <w:t>”  (</w:t>
      </w:r>
      <w:r w:rsidR="00443514">
        <w:rPr>
          <w:rFonts w:ascii="Century Schoolbook" w:hAnsi="Century Schoolbook"/>
          <w:i/>
          <w:iCs/>
        </w:rPr>
        <w:t>Id.</w:t>
      </w:r>
      <w:r>
        <w:rPr>
          <w:rFonts w:ascii="Century Schoolbook" w:hAnsi="Century Schoolbook"/>
        </w:rPr>
        <w:t>, subd.</w:t>
      </w:r>
      <w:r w:rsidR="00443514">
        <w:rPr>
          <w:rFonts w:ascii="Century Schoolbook" w:hAnsi="Century Schoolbook"/>
        </w:rPr>
        <w:t> </w:t>
      </w:r>
      <w:r>
        <w:rPr>
          <w:rFonts w:ascii="Century Schoolbook" w:hAnsi="Century Schoolbook"/>
        </w:rPr>
        <w:t>(c).)  Subdivision</w:t>
      </w:r>
      <w:r w:rsidR="00573C28">
        <w:rPr>
          <w:rFonts w:ascii="Century Schoolbook" w:hAnsi="Century Schoolbook"/>
        </w:rPr>
        <w:t> </w:t>
      </w:r>
      <w:r>
        <w:rPr>
          <w:rFonts w:ascii="Century Schoolbook" w:hAnsi="Century Schoolbook"/>
        </w:rPr>
        <w:t>(a) provides that “</w:t>
      </w:r>
      <w:r w:rsidRPr="003B7D2C">
        <w:rPr>
          <w:rFonts w:ascii="Century Schoolbook" w:hAnsi="Century Schoolbook"/>
        </w:rPr>
        <w:t>any person who is convicted of a felony offense listed in subdivision (c) of Section</w:t>
      </w:r>
      <w:r w:rsidR="00443514">
        <w:rPr>
          <w:rFonts w:ascii="Century Schoolbook" w:hAnsi="Century Schoolbook"/>
        </w:rPr>
        <w:t> </w:t>
      </w:r>
      <w:r w:rsidRPr="003B7D2C">
        <w:rPr>
          <w:rFonts w:ascii="Century Schoolbook" w:hAnsi="Century Schoolbook"/>
        </w:rPr>
        <w:t>667.5 shall accrue no more than 15 percent of worktime credit, as defined in Section 2933.</w:t>
      </w:r>
      <w:r>
        <w:rPr>
          <w:rFonts w:ascii="Century Schoolbook" w:hAnsi="Century Schoolbook"/>
        </w:rPr>
        <w:t xml:space="preserve">” </w:t>
      </w:r>
    </w:p>
    <w:p w:rsidR="00E6208F" w:rsidP="00E6208F" w14:paraId="2906B005" w14:textId="77777777">
      <w:pPr>
        <w:spacing w:line="288" w:lineRule="auto"/>
        <w:ind w:firstLine="720"/>
        <w:rPr>
          <w:rFonts w:ascii="Century Schoolbook" w:hAnsi="Century Schoolbook"/>
        </w:rPr>
      </w:pPr>
      <w:r>
        <w:rPr>
          <w:rFonts w:ascii="Century Schoolbook" w:hAnsi="Century Schoolbook"/>
        </w:rPr>
        <w:t xml:space="preserve">Defendant pled to one count of assault with a firearm and admitted he suffered a conviction for that same offense in 2012.  Assault with a firearm is not a violent felony </w:t>
      </w:r>
      <w:r w:rsidR="00D0138B">
        <w:rPr>
          <w:rFonts w:ascii="Century Schoolbook" w:hAnsi="Century Schoolbook"/>
        </w:rPr>
        <w:t>listed in</w:t>
      </w:r>
      <w:r>
        <w:rPr>
          <w:rFonts w:ascii="Century Schoolbook" w:hAnsi="Century Schoolbook"/>
        </w:rPr>
        <w:t xml:space="preserve"> Penal Code section </w:t>
      </w:r>
      <w:r w:rsidRPr="00FE193D">
        <w:rPr>
          <w:rFonts w:ascii="Century Schoolbook" w:hAnsi="Century Schoolbook"/>
        </w:rPr>
        <w:t>667.5, subdivision (c)</w:t>
      </w:r>
      <w:r>
        <w:rPr>
          <w:rFonts w:ascii="Century Schoolbook" w:hAnsi="Century Schoolbook"/>
        </w:rPr>
        <w:t xml:space="preserve">.  Therefore, the limitation on presentence credits </w:t>
      </w:r>
      <w:r w:rsidRPr="00E92360">
        <w:rPr>
          <w:rFonts w:ascii="Century Schoolbook" w:hAnsi="Century Schoolbook"/>
        </w:rPr>
        <w:t>in section 2933.1 does</w:t>
      </w:r>
      <w:r>
        <w:rPr>
          <w:rFonts w:ascii="Century Schoolbook" w:hAnsi="Century Schoolbook"/>
        </w:rPr>
        <w:t xml:space="preserve"> not apply</w:t>
      </w:r>
      <w:r w:rsidR="00EC38DF">
        <w:rPr>
          <w:rFonts w:ascii="Century Schoolbook" w:hAnsi="Century Schoolbook"/>
        </w:rPr>
        <w:t xml:space="preserve"> here</w:t>
      </w:r>
      <w:r>
        <w:rPr>
          <w:rFonts w:ascii="Century Schoolbook" w:hAnsi="Century Schoolbook"/>
        </w:rPr>
        <w:t xml:space="preserve">.  </w:t>
      </w:r>
      <w:r w:rsidRPr="00FE193D">
        <w:rPr>
          <w:rFonts w:ascii="Century Schoolbook" w:hAnsi="Century Schoolbook"/>
        </w:rPr>
        <w:t>(</w:t>
      </w:r>
      <w:r w:rsidRPr="00E6208F">
        <w:rPr>
          <w:rFonts w:ascii="Century Schoolbook" w:hAnsi="Century Schoolbook"/>
          <w:i/>
          <w:iCs/>
        </w:rPr>
        <w:t>Thomas</w:t>
      </w:r>
      <w:r>
        <w:rPr>
          <w:rFonts w:ascii="Century Schoolbook" w:hAnsi="Century Schoolbook"/>
        </w:rPr>
        <w:t xml:space="preserve">, </w:t>
      </w:r>
      <w:r w:rsidRPr="00E6208F">
        <w:rPr>
          <w:rFonts w:ascii="Century Schoolbook" w:hAnsi="Century Schoolbook"/>
          <w:i/>
          <w:iCs/>
        </w:rPr>
        <w:t>supra</w:t>
      </w:r>
      <w:r>
        <w:rPr>
          <w:rFonts w:ascii="Century Schoolbook" w:hAnsi="Century Schoolbook"/>
        </w:rPr>
        <w:t>,</w:t>
      </w:r>
      <w:r w:rsidRPr="00FE193D">
        <w:rPr>
          <w:rFonts w:ascii="Century Schoolbook" w:hAnsi="Century Schoolbook"/>
        </w:rPr>
        <w:t xml:space="preserve"> 21 Cal.4th </w:t>
      </w:r>
      <w:r>
        <w:rPr>
          <w:rFonts w:ascii="Century Schoolbook" w:hAnsi="Century Schoolbook"/>
        </w:rPr>
        <w:t>at p.</w:t>
      </w:r>
      <w:r w:rsidRPr="00FE193D">
        <w:rPr>
          <w:rFonts w:ascii="Century Schoolbook" w:hAnsi="Century Schoolbook"/>
        </w:rPr>
        <w:t xml:space="preserve"> 1130.)</w:t>
      </w:r>
      <w:r>
        <w:rPr>
          <w:rFonts w:ascii="Century Schoolbook" w:hAnsi="Century Schoolbook"/>
        </w:rPr>
        <w:t xml:space="preserve"> </w:t>
      </w:r>
    </w:p>
    <w:p w:rsidR="00A83965" w:rsidP="00E6208F" w14:paraId="009B75BB" w14:textId="77777777">
      <w:pPr>
        <w:spacing w:line="288" w:lineRule="auto"/>
        <w:ind w:firstLine="720"/>
        <w:rPr>
          <w:rFonts w:ascii="Century Schoolbook" w:hAnsi="Century Schoolbook"/>
        </w:rPr>
      </w:pPr>
      <w:r>
        <w:rPr>
          <w:rFonts w:ascii="Century Schoolbook" w:hAnsi="Century Schoolbook"/>
        </w:rPr>
        <w:t xml:space="preserve">While not a qualifying violent felony, defendant’s assault charge and prior strike qualify as a serious felony. </w:t>
      </w:r>
      <w:r w:rsidR="00EC38DF">
        <w:rPr>
          <w:rFonts w:ascii="Century Schoolbook" w:hAnsi="Century Schoolbook"/>
        </w:rPr>
        <w:t xml:space="preserve"> (Pen. Code, §</w:t>
      </w:r>
      <w:r w:rsidR="00443514">
        <w:rPr>
          <w:rFonts w:ascii="Century Schoolbook" w:hAnsi="Century Schoolbook"/>
        </w:rPr>
        <w:t> </w:t>
      </w:r>
      <w:r w:rsidR="00EC38DF">
        <w:rPr>
          <w:rFonts w:ascii="Century Schoolbook" w:hAnsi="Century Schoolbook"/>
        </w:rPr>
        <w:t xml:space="preserve">1192.7, subd. (c)(31).)  </w:t>
      </w:r>
      <w:r>
        <w:rPr>
          <w:rFonts w:ascii="Century Schoolbook" w:hAnsi="Century Schoolbook"/>
        </w:rPr>
        <w:t xml:space="preserve">The People </w:t>
      </w:r>
      <w:r w:rsidRPr="007E0233">
        <w:rPr>
          <w:rFonts w:ascii="Century Schoolbook" w:hAnsi="Century Schoolbook"/>
        </w:rPr>
        <w:t>therefore rely on sections 667 and 1170.12 i</w:t>
      </w:r>
      <w:r>
        <w:rPr>
          <w:rFonts w:ascii="Century Schoolbook" w:hAnsi="Century Schoolbook"/>
        </w:rPr>
        <w:t>n arguing that defendant’s prior strike mean</w:t>
      </w:r>
      <w:r w:rsidR="00EC38DF">
        <w:rPr>
          <w:rFonts w:ascii="Century Schoolbook" w:hAnsi="Century Schoolbook"/>
        </w:rPr>
        <w:t>s</w:t>
      </w:r>
      <w:r>
        <w:rPr>
          <w:rFonts w:ascii="Century Schoolbook" w:hAnsi="Century Schoolbook"/>
        </w:rPr>
        <w:t xml:space="preserve"> his presentence credits </w:t>
      </w:r>
      <w:r w:rsidR="00D8161D">
        <w:rPr>
          <w:rFonts w:ascii="Century Schoolbook" w:hAnsi="Century Schoolbook"/>
        </w:rPr>
        <w:t>were limited by</w:t>
      </w:r>
      <w:r w:rsidR="00EC38DF">
        <w:rPr>
          <w:rFonts w:ascii="Century Schoolbook" w:hAnsi="Century Schoolbook"/>
        </w:rPr>
        <w:t xml:space="preserve"> those statutes</w:t>
      </w:r>
      <w:r>
        <w:rPr>
          <w:rFonts w:ascii="Century Schoolbook" w:hAnsi="Century Schoolbook"/>
        </w:rPr>
        <w:t xml:space="preserve">.  </w:t>
      </w:r>
      <w:r w:rsidR="00D81B69">
        <w:rPr>
          <w:rFonts w:ascii="Century Schoolbook" w:hAnsi="Century Schoolbook"/>
        </w:rPr>
        <w:t xml:space="preserve">But the Three Strikes law has no effect on the calculation of </w:t>
      </w:r>
      <w:r w:rsidRPr="00D81B69" w:rsidR="00D81B69">
        <w:rPr>
          <w:rFonts w:ascii="Century Schoolbook" w:hAnsi="Century Schoolbook"/>
          <w:i/>
          <w:iCs/>
        </w:rPr>
        <w:t>presentence</w:t>
      </w:r>
      <w:r w:rsidR="00D81B69">
        <w:rPr>
          <w:rFonts w:ascii="Century Schoolbook" w:hAnsi="Century Schoolbook"/>
        </w:rPr>
        <w:t xml:space="preserve"> conduct credits.</w:t>
      </w:r>
      <w:r>
        <w:rPr>
          <w:rFonts w:ascii="Century Schoolbook" w:hAnsi="Century Schoolbook"/>
        </w:rPr>
        <w:t xml:space="preserve">  </w:t>
      </w:r>
    </w:p>
    <w:p w:rsidR="004A3883" w:rsidP="00A83965" w14:paraId="6700261A" w14:textId="77777777">
      <w:pPr>
        <w:spacing w:line="288" w:lineRule="auto"/>
        <w:ind w:firstLine="720"/>
        <w:rPr>
          <w:rFonts w:ascii="Century Schoolbook" w:hAnsi="Century Schoolbook"/>
        </w:rPr>
      </w:pPr>
      <w:r>
        <w:rPr>
          <w:rFonts w:ascii="Century Schoolbook" w:hAnsi="Century Schoolbook"/>
        </w:rPr>
        <w:t>As the Supreme Court explained</w:t>
      </w:r>
      <w:r w:rsidR="00A83965">
        <w:rPr>
          <w:rFonts w:ascii="Century Schoolbook" w:hAnsi="Century Schoolbook"/>
        </w:rPr>
        <w:t xml:space="preserve"> in </w:t>
      </w:r>
      <w:r w:rsidRPr="00A83965" w:rsidR="00A83965">
        <w:rPr>
          <w:rFonts w:ascii="Century Schoolbook" w:hAnsi="Century Schoolbook"/>
          <w:i/>
          <w:iCs/>
        </w:rPr>
        <w:t>People v. Buckhalter</w:t>
      </w:r>
      <w:r>
        <w:rPr>
          <w:rFonts w:ascii="Century Schoolbook" w:hAnsi="Century Schoolbook"/>
        </w:rPr>
        <w:t>, “[w]</w:t>
      </w:r>
      <w:r w:rsidRPr="00AC64A8" w:rsidR="00AC64A8">
        <w:rPr>
          <w:rFonts w:ascii="Century Schoolbook" w:hAnsi="Century Schoolbook"/>
        </w:rPr>
        <w:t xml:space="preserve">e recently held that restrictions on the rights of Three Strikes prisoners to earn term-shortening credits do not apply to confinement in a local facility prior to sentencing. </w:t>
      </w:r>
      <w:r>
        <w:rPr>
          <w:rFonts w:ascii="Century Schoolbook" w:hAnsi="Century Schoolbook"/>
        </w:rPr>
        <w:t xml:space="preserve"> </w:t>
      </w:r>
      <w:r w:rsidRPr="00AC64A8" w:rsidR="00AC64A8">
        <w:rPr>
          <w:rFonts w:ascii="Century Schoolbook" w:hAnsi="Century Schoolbook"/>
        </w:rPr>
        <w:t xml:space="preserve">We emphasized that when limiting the credit rights of offenders sentenced thereunder, the Three Strikes law (§§ 667, subd. (c)(5), 1170.12, subd. (a)(5)) expressly refers only to </w:t>
      </w:r>
      <w:r>
        <w:rPr>
          <w:rFonts w:ascii="Century Schoolbook" w:hAnsi="Century Schoolbook"/>
        </w:rPr>
        <w:t>‘</w:t>
      </w:r>
      <w:r w:rsidRPr="00A83965" w:rsidR="00AC64A8">
        <w:rPr>
          <w:rFonts w:ascii="Century Schoolbook" w:hAnsi="Century Schoolbook"/>
          <w:i/>
          <w:iCs/>
        </w:rPr>
        <w:t>post</w:t>
      </w:r>
      <w:r w:rsidRPr="00AC64A8" w:rsidR="00AC64A8">
        <w:rPr>
          <w:rFonts w:ascii="Century Schoolbook" w:hAnsi="Century Schoolbook"/>
        </w:rPr>
        <w:t>sentence . . . credits,</w:t>
      </w:r>
      <w:r>
        <w:rPr>
          <w:rFonts w:ascii="Century Schoolbook" w:hAnsi="Century Schoolbook"/>
        </w:rPr>
        <w:t>’</w:t>
      </w:r>
      <w:r w:rsidRPr="00AC64A8" w:rsidR="00AC64A8">
        <w:rPr>
          <w:rFonts w:ascii="Century Schoolbook" w:hAnsi="Century Schoolbook"/>
        </w:rPr>
        <w:t xml:space="preserve"> i.e., those </w:t>
      </w:r>
      <w:r w:rsidR="00A83965">
        <w:rPr>
          <w:rFonts w:ascii="Century Schoolbook" w:hAnsi="Century Schoolbook"/>
        </w:rPr>
        <w:t>‘ “</w:t>
      </w:r>
      <w:r w:rsidRPr="00AC64A8" w:rsidR="00AC64A8">
        <w:rPr>
          <w:rFonts w:ascii="Century Schoolbook" w:hAnsi="Century Schoolbook"/>
        </w:rPr>
        <w:t>awarded pursuant to [a]rticle 2.5</w:t>
      </w:r>
      <w:r w:rsidR="00A83965">
        <w:rPr>
          <w:rFonts w:ascii="Century Schoolbook" w:hAnsi="Century Schoolbook"/>
        </w:rPr>
        <w:t>” ’</w:t>
      </w:r>
      <w:r w:rsidRPr="00AC64A8" w:rsidR="00AC64A8">
        <w:rPr>
          <w:rFonts w:ascii="Century Schoolbook" w:hAnsi="Century Schoolbook"/>
        </w:rPr>
        <w:t xml:space="preserve"> </w:t>
      </w:r>
      <w:r w:rsidR="00A83965">
        <w:rPr>
          <w:rFonts w:ascii="Century Schoolbook" w:hAnsi="Century Schoolbook"/>
        </w:rPr>
        <w:t xml:space="preserve">[citation] </w:t>
      </w:r>
      <w:r w:rsidRPr="00AC64A8" w:rsidR="00AC64A8">
        <w:rPr>
          <w:rFonts w:ascii="Century Schoolbook" w:hAnsi="Century Schoolbook"/>
        </w:rPr>
        <w:t xml:space="preserve">and </w:t>
      </w:r>
      <w:r w:rsidR="00A83965">
        <w:rPr>
          <w:rFonts w:ascii="Century Schoolbook" w:hAnsi="Century Schoolbook"/>
        </w:rPr>
        <w:t>‘</w:t>
      </w:r>
      <w:r w:rsidRPr="00AC64A8" w:rsidR="00AC64A8">
        <w:rPr>
          <w:rFonts w:ascii="Century Schoolbook" w:hAnsi="Century Schoolbook"/>
        </w:rPr>
        <w:t xml:space="preserve">does not address </w:t>
      </w:r>
      <w:r w:rsidRPr="00A83965" w:rsidR="00AC64A8">
        <w:rPr>
          <w:rFonts w:ascii="Century Schoolbook" w:hAnsi="Century Schoolbook"/>
          <w:i/>
          <w:iCs/>
        </w:rPr>
        <w:t>pre</w:t>
      </w:r>
      <w:r w:rsidRPr="00D94BA7" w:rsidR="00AC64A8">
        <w:rPr>
          <w:rFonts w:ascii="Century Schoolbook" w:hAnsi="Century Schoolbook"/>
        </w:rPr>
        <w:t>s</w:t>
      </w:r>
      <w:r w:rsidRPr="00573C28" w:rsidR="00AC64A8">
        <w:rPr>
          <w:rFonts w:ascii="Century Schoolbook" w:hAnsi="Century Schoolbook"/>
          <w:i/>
          <w:iCs/>
        </w:rPr>
        <w:t>entence</w:t>
      </w:r>
      <w:r w:rsidRPr="00AC64A8" w:rsidR="00AC64A8">
        <w:rPr>
          <w:rFonts w:ascii="Century Schoolbook" w:hAnsi="Century Schoolbook"/>
        </w:rPr>
        <w:t xml:space="preserve"> . . . credits</w:t>
      </w:r>
      <w:r w:rsidR="00A83965">
        <w:rPr>
          <w:rFonts w:ascii="Century Schoolbook" w:hAnsi="Century Schoolbook"/>
        </w:rPr>
        <w:t>’</w:t>
      </w:r>
      <w:r w:rsidRPr="00AC64A8" w:rsidR="00AC64A8">
        <w:rPr>
          <w:rFonts w:ascii="Century Schoolbook" w:hAnsi="Century Schoolbook"/>
        </w:rPr>
        <w:t xml:space="preserve"> for Three Strikes defendants</w:t>
      </w:r>
      <w:r w:rsidR="00A83965">
        <w:rPr>
          <w:rFonts w:ascii="Century Schoolbook" w:hAnsi="Century Schoolbook"/>
        </w:rPr>
        <w:t xml:space="preserve">.”  </w:t>
      </w:r>
      <w:r w:rsidRPr="00AC64A8" w:rsidR="00AC64A8">
        <w:rPr>
          <w:rFonts w:ascii="Century Schoolbook" w:hAnsi="Century Schoolbook"/>
        </w:rPr>
        <w:t>(</w:t>
      </w:r>
      <w:r w:rsidRPr="00A83965" w:rsidR="00AC64A8">
        <w:rPr>
          <w:rFonts w:ascii="Century Schoolbook" w:hAnsi="Century Schoolbook"/>
          <w:i/>
          <w:iCs/>
        </w:rPr>
        <w:t>People v. Buckhalter</w:t>
      </w:r>
      <w:r w:rsidRPr="00AC64A8" w:rsidR="00AC64A8">
        <w:rPr>
          <w:rFonts w:ascii="Century Schoolbook" w:hAnsi="Century Schoolbook"/>
        </w:rPr>
        <w:t xml:space="preserve"> (2001) 26 Cal.4th 20, 32</w:t>
      </w:r>
      <w:r w:rsidR="00D94BA7">
        <w:rPr>
          <w:rFonts w:ascii="Century Schoolbook" w:hAnsi="Century Schoolbook"/>
        </w:rPr>
        <w:t xml:space="preserve">.) </w:t>
      </w:r>
    </w:p>
    <w:p w:rsidR="00FE193D" w:rsidP="00415BBB" w14:paraId="0BC2A2DE" w14:textId="77777777">
      <w:pPr>
        <w:spacing w:line="288" w:lineRule="auto"/>
        <w:ind w:firstLine="720"/>
        <w:rPr>
          <w:rFonts w:ascii="Century Schoolbook" w:hAnsi="Century Schoolbook"/>
        </w:rPr>
      </w:pPr>
      <w:r>
        <w:rPr>
          <w:rFonts w:ascii="Century Schoolbook" w:hAnsi="Century Schoolbook"/>
        </w:rPr>
        <w:t xml:space="preserve">Defendant’s presentence credits should have been calculated according to Penal Code section 4019.  </w:t>
      </w:r>
      <w:r w:rsidR="00415BBB">
        <w:rPr>
          <w:rFonts w:ascii="Century Schoolbook" w:hAnsi="Century Schoolbook"/>
        </w:rPr>
        <w:t xml:space="preserve">We modify the judgment to reflect total presentence custody credits in the amount of 993 days (497 actual and 496 conduct credits).  </w:t>
      </w:r>
    </w:p>
    <w:p w:rsidR="00786410" w:rsidRPr="002C33BC" w:rsidP="00F5110E" w14:paraId="44EEE169" w14:textId="77777777">
      <w:pPr>
        <w:spacing w:line="288" w:lineRule="auto"/>
        <w:jc w:val="center"/>
        <w:rPr>
          <w:rFonts w:ascii="Century Schoolbook" w:hAnsi="Century Schoolbook"/>
          <w:b/>
        </w:rPr>
      </w:pPr>
      <w:r w:rsidRPr="002C33BC">
        <w:rPr>
          <w:rFonts w:ascii="Century Schoolbook" w:hAnsi="Century Schoolbook"/>
          <w:b/>
        </w:rPr>
        <w:t>DISPOSITION</w:t>
      </w:r>
    </w:p>
    <w:p w:rsidR="00786410" w:rsidP="00F5110E" w14:paraId="1B4A4CEB" w14:textId="77777777">
      <w:pPr>
        <w:spacing w:line="288" w:lineRule="auto"/>
        <w:rPr>
          <w:rFonts w:ascii="Century Schoolbook" w:hAnsi="Century Schoolbook"/>
        </w:rPr>
      </w:pPr>
      <w:r w:rsidRPr="002C33BC">
        <w:rPr>
          <w:rFonts w:ascii="Century Schoolbook" w:hAnsi="Century Schoolbook"/>
        </w:rPr>
        <w:tab/>
        <w:t xml:space="preserve">The </w:t>
      </w:r>
      <w:r w:rsidR="004E324C">
        <w:rPr>
          <w:rFonts w:ascii="Century Schoolbook" w:hAnsi="Century Schoolbook"/>
        </w:rPr>
        <w:t xml:space="preserve">judgment of </w:t>
      </w:r>
      <w:r w:rsidR="00415BBB">
        <w:rPr>
          <w:rFonts w:ascii="Century Schoolbook" w:hAnsi="Century Schoolbook"/>
        </w:rPr>
        <w:t xml:space="preserve">conviction is modified to reflect 993 days of presentence custody credits (497 actual and 496 conduct).  The judgment is otherwise affirmed as so modified.  On issuance of the remittitur, the superior court is directed to prepare and transmit a modified abstract of judgment to the Department of Corrections and Rehabilitation. </w:t>
      </w:r>
      <w:r w:rsidRPr="002C33BC">
        <w:rPr>
          <w:rFonts w:ascii="Century Schoolbook" w:hAnsi="Century Schoolbook"/>
        </w:rPr>
        <w:t xml:space="preserve"> </w:t>
      </w:r>
    </w:p>
    <w:p w:rsidR="00443514" w:rsidRPr="002C33BC" w:rsidP="00F5110E" w14:paraId="0C7589B3" w14:textId="77777777">
      <w:pPr>
        <w:spacing w:line="288" w:lineRule="auto"/>
        <w:rPr>
          <w:rFonts w:ascii="Century Schoolbook" w:hAnsi="Century Schoolbook"/>
        </w:rPr>
      </w:pPr>
    </w:p>
    <w:p w:rsidR="00786410" w:rsidRPr="002C33BC" w:rsidP="00F5110E" w14:paraId="14303F98" w14:textId="77777777">
      <w:pPr>
        <w:spacing w:line="288" w:lineRule="auto"/>
        <w:rPr>
          <w:rFonts w:ascii="Century Schoolbook" w:hAnsi="Century Schoolbook"/>
        </w:rPr>
      </w:pPr>
    </w:p>
    <w:p w:rsidR="00CB4272" w:rsidP="004E324C" w14:paraId="1A045A1A" w14:textId="137A8546">
      <w:pPr>
        <w:spacing w:line="288" w:lineRule="auto"/>
        <w:rPr>
          <w:rFonts w:ascii="Century Schoolbook" w:hAnsi="Century Schoolbook"/>
        </w:rPr>
      </w:pPr>
      <w:r w:rsidRPr="002C33BC">
        <w:rPr>
          <w:rFonts w:ascii="Century Schoolbook" w:hAnsi="Century Schoolbook"/>
        </w:rPr>
        <w:tab/>
      </w:r>
      <w:r w:rsidRPr="002C33BC">
        <w:rPr>
          <w:rFonts w:ascii="Century Schoolbook" w:hAnsi="Century Schoolbook"/>
        </w:rPr>
        <w:tab/>
      </w:r>
      <w:r w:rsidRPr="002C33BC">
        <w:rPr>
          <w:rFonts w:ascii="Century Schoolbook" w:hAnsi="Century Schoolbook"/>
        </w:rPr>
        <w:tab/>
      </w:r>
      <w:r w:rsidRPr="002C33BC">
        <w:rPr>
          <w:rFonts w:ascii="Century Schoolbook" w:hAnsi="Century Schoolbook"/>
        </w:rPr>
        <w:tab/>
        <w:t xml:space="preserve">GRIMES, </w:t>
      </w:r>
      <w:r w:rsidR="00443514">
        <w:rPr>
          <w:rFonts w:ascii="Century Schoolbook" w:hAnsi="Century Schoolbook"/>
        </w:rPr>
        <w:t xml:space="preserve">Acting P. </w:t>
      </w:r>
      <w:r w:rsidRPr="002C33BC">
        <w:rPr>
          <w:rFonts w:ascii="Century Schoolbook" w:hAnsi="Century Schoolbook"/>
        </w:rPr>
        <w:t>J.</w:t>
      </w:r>
    </w:p>
    <w:p w:rsidR="00443514" w:rsidP="004E324C" w14:paraId="34014D8B" w14:textId="77777777">
      <w:pPr>
        <w:spacing w:line="288" w:lineRule="auto"/>
        <w:rPr>
          <w:rFonts w:ascii="Century Schoolbook" w:hAnsi="Century Schoolbook"/>
        </w:rPr>
      </w:pPr>
    </w:p>
    <w:p w:rsidR="00443514" w:rsidP="004E324C" w14:paraId="3108ACE2" w14:textId="77777777">
      <w:pPr>
        <w:spacing w:line="288" w:lineRule="auto"/>
        <w:rPr>
          <w:rFonts w:ascii="Century Schoolbook" w:hAnsi="Century Schoolbook"/>
        </w:rPr>
      </w:pPr>
      <w:r>
        <w:rPr>
          <w:rFonts w:ascii="Century Schoolbook" w:hAnsi="Century Schoolbook"/>
        </w:rPr>
        <w:tab/>
        <w:t>WE CONCUR:</w:t>
      </w:r>
    </w:p>
    <w:p w:rsidR="00443514" w:rsidP="004E324C" w14:paraId="34DD1658" w14:textId="77777777">
      <w:pPr>
        <w:spacing w:line="288" w:lineRule="auto"/>
        <w:rPr>
          <w:rFonts w:ascii="Century Schoolbook" w:hAnsi="Century Schoolbook"/>
        </w:rPr>
      </w:pPr>
    </w:p>
    <w:p w:rsidR="00E92360" w:rsidP="004E324C" w14:paraId="20AF094F" w14:textId="77777777">
      <w:pPr>
        <w:spacing w:line="288" w:lineRule="auto"/>
        <w:rPr>
          <w:rFonts w:ascii="Century Schoolbook" w:hAnsi="Century Schoolbook"/>
        </w:rPr>
      </w:pPr>
    </w:p>
    <w:p w:rsidR="0053791D" w:rsidP="004E324C" w14:paraId="7604DF48" w14:textId="77777777">
      <w:pPr>
        <w:spacing w:line="288"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WILEY, J.</w:t>
      </w:r>
      <w:r>
        <w:rPr>
          <w:rFonts w:ascii="Century Schoolbook" w:hAnsi="Century Schoolbook"/>
        </w:rPr>
        <w:tab/>
      </w:r>
      <w:r>
        <w:rPr>
          <w:rFonts w:ascii="Century Schoolbook" w:hAnsi="Century Schoolbook"/>
        </w:rPr>
        <w:tab/>
      </w:r>
    </w:p>
    <w:p w:rsidR="0053791D" w:rsidP="004E324C" w14:paraId="33F6C737" w14:textId="77777777">
      <w:pPr>
        <w:spacing w:line="288" w:lineRule="auto"/>
        <w:rPr>
          <w:rFonts w:ascii="Century Schoolbook" w:hAnsi="Century Schoolbook"/>
        </w:rPr>
      </w:pPr>
    </w:p>
    <w:p w:rsidR="0053791D" w:rsidP="004E324C" w14:paraId="1D455EC7" w14:textId="77777777">
      <w:pPr>
        <w:spacing w:line="288" w:lineRule="auto"/>
        <w:rPr>
          <w:rFonts w:ascii="Century Schoolbook" w:hAnsi="Century Schoolbook"/>
        </w:rPr>
      </w:pPr>
    </w:p>
    <w:p w:rsidR="00E21D2C" w:rsidP="004E324C" w14:paraId="0951AAF3" w14:textId="77777777">
      <w:pPr>
        <w:spacing w:line="288" w:lineRule="auto"/>
        <w:rPr>
          <w:rFonts w:ascii="Century Schoolbook" w:hAnsi="Century Schoolbook"/>
        </w:rPr>
      </w:pPr>
    </w:p>
    <w:p w:rsidR="00443514" w:rsidRPr="002C33BC" w:rsidP="0053791D" w14:paraId="1D17D7AA" w14:textId="77777777">
      <w:pPr>
        <w:spacing w:line="288" w:lineRule="auto"/>
        <w:ind w:left="2160" w:firstLine="720"/>
        <w:rPr>
          <w:rFonts w:ascii="Century Schoolbook" w:hAnsi="Century Schoolbook"/>
        </w:rPr>
      </w:pPr>
      <w:r>
        <w:rPr>
          <w:rFonts w:ascii="Century Schoolbook" w:hAnsi="Century Schoolbook"/>
        </w:rPr>
        <w:t xml:space="preserve">VIRAMONTES, J. </w:t>
      </w:r>
    </w:p>
    <w:sectPr w:rsidSect="000572E3">
      <w:footerReference w:type="even" r:id="rId4"/>
      <w:footerReference w:type="default" r:id="rId5"/>
      <w:pgSz w:w="12240" w:h="15840"/>
      <w:pgMar w:top="2160" w:right="2160" w:bottom="2160" w:left="2160" w:header="720" w:footer="720" w:gutter="0"/>
      <w:pgNumType w:start="1"/>
      <w:cols w:space="720"/>
      <w:titlePg/>
      <w:docGrid w:linePitch="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69E" w14:paraId="1AF204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16D">
      <w:rPr>
        <w:rStyle w:val="PageNumber"/>
        <w:noProof/>
      </w:rPr>
      <w:t>1</w:t>
    </w:r>
    <w:r>
      <w:rPr>
        <w:rStyle w:val="PageNumber"/>
      </w:rPr>
      <w:fldChar w:fldCharType="end"/>
    </w:r>
  </w:p>
  <w:p w:rsidR="00DA569E" w14:paraId="51942D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69E" w14:paraId="3CB0614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58C">
      <w:rPr>
        <w:rStyle w:val="PageNumber"/>
        <w:noProof/>
      </w:rPr>
      <w:t>3</w:t>
    </w:r>
    <w:r>
      <w:rPr>
        <w:rStyle w:val="PageNumber"/>
      </w:rPr>
      <w:fldChar w:fldCharType="end"/>
    </w:r>
  </w:p>
  <w:p w:rsidR="00DA569E" w14:paraId="5590433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004128"/>
    <w:multiLevelType w:val="hybridMultilevel"/>
    <w:tmpl w:val="ABB49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892A52"/>
    <w:multiLevelType w:val="hybridMultilevel"/>
    <w:tmpl w:val="C486D496"/>
    <w:lvl w:ilvl="0">
      <w:start w:val="1"/>
      <w:numFmt w:val="decimal"/>
      <w:lvlText w:val="(%1)"/>
      <w:lvlJc w:val="left"/>
      <w:pPr>
        <w:tabs>
          <w:tab w:val="num" w:pos="1815"/>
        </w:tabs>
        <w:ind w:left="1815" w:hanging="109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195"/>
  <w:drawingGridVerticalSpacing w:val="265"/>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B2"/>
    <w:rsid w:val="000006E6"/>
    <w:rsid w:val="000046E3"/>
    <w:rsid w:val="000118B3"/>
    <w:rsid w:val="00017426"/>
    <w:rsid w:val="00025DBC"/>
    <w:rsid w:val="0004135E"/>
    <w:rsid w:val="000572E3"/>
    <w:rsid w:val="00060466"/>
    <w:rsid w:val="00072018"/>
    <w:rsid w:val="000733E3"/>
    <w:rsid w:val="00087206"/>
    <w:rsid w:val="000B372F"/>
    <w:rsid w:val="000B5C3A"/>
    <w:rsid w:val="000D6D2C"/>
    <w:rsid w:val="000D7759"/>
    <w:rsid w:val="000E1002"/>
    <w:rsid w:val="000F70E9"/>
    <w:rsid w:val="00102E56"/>
    <w:rsid w:val="00122FC5"/>
    <w:rsid w:val="001317DB"/>
    <w:rsid w:val="00144FED"/>
    <w:rsid w:val="001475DE"/>
    <w:rsid w:val="00153038"/>
    <w:rsid w:val="001535F4"/>
    <w:rsid w:val="00157AB1"/>
    <w:rsid w:val="00160C53"/>
    <w:rsid w:val="00176ECA"/>
    <w:rsid w:val="00177D8A"/>
    <w:rsid w:val="0018148B"/>
    <w:rsid w:val="001840A4"/>
    <w:rsid w:val="001864EA"/>
    <w:rsid w:val="00191F4B"/>
    <w:rsid w:val="001A1D23"/>
    <w:rsid w:val="001A1FE2"/>
    <w:rsid w:val="001D6F38"/>
    <w:rsid w:val="001E0251"/>
    <w:rsid w:val="001E0B82"/>
    <w:rsid w:val="001E7D5C"/>
    <w:rsid w:val="001F0BD0"/>
    <w:rsid w:val="0023202C"/>
    <w:rsid w:val="00234730"/>
    <w:rsid w:val="00252F31"/>
    <w:rsid w:val="0026165F"/>
    <w:rsid w:val="002653AF"/>
    <w:rsid w:val="00266077"/>
    <w:rsid w:val="002665F6"/>
    <w:rsid w:val="002669D3"/>
    <w:rsid w:val="002B2469"/>
    <w:rsid w:val="002C0B35"/>
    <w:rsid w:val="002C33BC"/>
    <w:rsid w:val="002C7116"/>
    <w:rsid w:val="002D4831"/>
    <w:rsid w:val="002D4FCF"/>
    <w:rsid w:val="002D584E"/>
    <w:rsid w:val="00302072"/>
    <w:rsid w:val="0031102F"/>
    <w:rsid w:val="00323E91"/>
    <w:rsid w:val="00334FD0"/>
    <w:rsid w:val="00340F2F"/>
    <w:rsid w:val="00346CFB"/>
    <w:rsid w:val="00361E3C"/>
    <w:rsid w:val="00367E0F"/>
    <w:rsid w:val="00374567"/>
    <w:rsid w:val="00384D5D"/>
    <w:rsid w:val="00385617"/>
    <w:rsid w:val="003873F2"/>
    <w:rsid w:val="003955EA"/>
    <w:rsid w:val="003A29A2"/>
    <w:rsid w:val="003B19E8"/>
    <w:rsid w:val="003B39B3"/>
    <w:rsid w:val="003B7D2C"/>
    <w:rsid w:val="003C58B2"/>
    <w:rsid w:val="003C6C39"/>
    <w:rsid w:val="003F0C28"/>
    <w:rsid w:val="004121A8"/>
    <w:rsid w:val="00412373"/>
    <w:rsid w:val="004128A9"/>
    <w:rsid w:val="00413B68"/>
    <w:rsid w:val="00415A01"/>
    <w:rsid w:val="00415BBB"/>
    <w:rsid w:val="004204F8"/>
    <w:rsid w:val="00422935"/>
    <w:rsid w:val="00430D87"/>
    <w:rsid w:val="00436853"/>
    <w:rsid w:val="004371D3"/>
    <w:rsid w:val="0044217B"/>
    <w:rsid w:val="0044326E"/>
    <w:rsid w:val="00443514"/>
    <w:rsid w:val="0044559F"/>
    <w:rsid w:val="00455D71"/>
    <w:rsid w:val="00475505"/>
    <w:rsid w:val="00485C83"/>
    <w:rsid w:val="004875E3"/>
    <w:rsid w:val="004A3883"/>
    <w:rsid w:val="004E324C"/>
    <w:rsid w:val="00500994"/>
    <w:rsid w:val="00502600"/>
    <w:rsid w:val="00502B66"/>
    <w:rsid w:val="005037D5"/>
    <w:rsid w:val="00506D66"/>
    <w:rsid w:val="00513EAB"/>
    <w:rsid w:val="005362CD"/>
    <w:rsid w:val="0053791D"/>
    <w:rsid w:val="00551152"/>
    <w:rsid w:val="00573C28"/>
    <w:rsid w:val="005741E8"/>
    <w:rsid w:val="0058488B"/>
    <w:rsid w:val="0058658C"/>
    <w:rsid w:val="00593C95"/>
    <w:rsid w:val="00595A5A"/>
    <w:rsid w:val="005A3990"/>
    <w:rsid w:val="005A4A8B"/>
    <w:rsid w:val="005C6C1C"/>
    <w:rsid w:val="005D2A9D"/>
    <w:rsid w:val="005E2A0D"/>
    <w:rsid w:val="005E5E42"/>
    <w:rsid w:val="005E68C6"/>
    <w:rsid w:val="005F76BC"/>
    <w:rsid w:val="005F7D5C"/>
    <w:rsid w:val="00604109"/>
    <w:rsid w:val="00625A08"/>
    <w:rsid w:val="006278DC"/>
    <w:rsid w:val="0063619D"/>
    <w:rsid w:val="0063739A"/>
    <w:rsid w:val="00640D67"/>
    <w:rsid w:val="00646540"/>
    <w:rsid w:val="00671A2A"/>
    <w:rsid w:val="00671B6A"/>
    <w:rsid w:val="00682127"/>
    <w:rsid w:val="006927A5"/>
    <w:rsid w:val="006A2D4B"/>
    <w:rsid w:val="006A6B92"/>
    <w:rsid w:val="006C36A0"/>
    <w:rsid w:val="006D0884"/>
    <w:rsid w:val="006D4F3C"/>
    <w:rsid w:val="006E3820"/>
    <w:rsid w:val="006F44A0"/>
    <w:rsid w:val="006F5E64"/>
    <w:rsid w:val="0070584B"/>
    <w:rsid w:val="00712605"/>
    <w:rsid w:val="00715602"/>
    <w:rsid w:val="00720114"/>
    <w:rsid w:val="00721FE7"/>
    <w:rsid w:val="00727FEB"/>
    <w:rsid w:val="00732784"/>
    <w:rsid w:val="00736B80"/>
    <w:rsid w:val="00740110"/>
    <w:rsid w:val="0075269B"/>
    <w:rsid w:val="007616C4"/>
    <w:rsid w:val="00764D9A"/>
    <w:rsid w:val="00771838"/>
    <w:rsid w:val="00774606"/>
    <w:rsid w:val="00786407"/>
    <w:rsid w:val="00786410"/>
    <w:rsid w:val="00787D9A"/>
    <w:rsid w:val="007A61A8"/>
    <w:rsid w:val="007A7246"/>
    <w:rsid w:val="007B57C3"/>
    <w:rsid w:val="007D5316"/>
    <w:rsid w:val="007E0233"/>
    <w:rsid w:val="007E555D"/>
    <w:rsid w:val="00815830"/>
    <w:rsid w:val="008253EF"/>
    <w:rsid w:val="00826728"/>
    <w:rsid w:val="00844242"/>
    <w:rsid w:val="0084432B"/>
    <w:rsid w:val="00845C5F"/>
    <w:rsid w:val="00855F85"/>
    <w:rsid w:val="00874A2F"/>
    <w:rsid w:val="00877CE4"/>
    <w:rsid w:val="00885AC8"/>
    <w:rsid w:val="00886A37"/>
    <w:rsid w:val="008962EE"/>
    <w:rsid w:val="008C6687"/>
    <w:rsid w:val="008D0322"/>
    <w:rsid w:val="008E33B8"/>
    <w:rsid w:val="008E51D6"/>
    <w:rsid w:val="008F104F"/>
    <w:rsid w:val="008F424D"/>
    <w:rsid w:val="008F4BBF"/>
    <w:rsid w:val="00907EAA"/>
    <w:rsid w:val="00917919"/>
    <w:rsid w:val="00941518"/>
    <w:rsid w:val="00945EB5"/>
    <w:rsid w:val="00946DF1"/>
    <w:rsid w:val="009542DB"/>
    <w:rsid w:val="00954B13"/>
    <w:rsid w:val="00976DEC"/>
    <w:rsid w:val="00982911"/>
    <w:rsid w:val="00984D0E"/>
    <w:rsid w:val="00986DDD"/>
    <w:rsid w:val="009946BA"/>
    <w:rsid w:val="009A19CA"/>
    <w:rsid w:val="009B0B72"/>
    <w:rsid w:val="009B1C8E"/>
    <w:rsid w:val="009B66A1"/>
    <w:rsid w:val="009C0484"/>
    <w:rsid w:val="009C1030"/>
    <w:rsid w:val="009C76D8"/>
    <w:rsid w:val="009D044F"/>
    <w:rsid w:val="009D5F8A"/>
    <w:rsid w:val="009E0AD4"/>
    <w:rsid w:val="009F1060"/>
    <w:rsid w:val="00A024AF"/>
    <w:rsid w:val="00A05436"/>
    <w:rsid w:val="00A161D7"/>
    <w:rsid w:val="00A21593"/>
    <w:rsid w:val="00A25A09"/>
    <w:rsid w:val="00A44D9A"/>
    <w:rsid w:val="00A45894"/>
    <w:rsid w:val="00A557C0"/>
    <w:rsid w:val="00A643F6"/>
    <w:rsid w:val="00A64517"/>
    <w:rsid w:val="00A67C3A"/>
    <w:rsid w:val="00A70EFB"/>
    <w:rsid w:val="00A7149F"/>
    <w:rsid w:val="00A7432C"/>
    <w:rsid w:val="00A83965"/>
    <w:rsid w:val="00AA016D"/>
    <w:rsid w:val="00AA7F2F"/>
    <w:rsid w:val="00AB0A3A"/>
    <w:rsid w:val="00AB5B57"/>
    <w:rsid w:val="00AC64A8"/>
    <w:rsid w:val="00AE0A95"/>
    <w:rsid w:val="00AE5942"/>
    <w:rsid w:val="00AE77F9"/>
    <w:rsid w:val="00AF2285"/>
    <w:rsid w:val="00AF7AEF"/>
    <w:rsid w:val="00B062A6"/>
    <w:rsid w:val="00B30321"/>
    <w:rsid w:val="00B3591C"/>
    <w:rsid w:val="00B53DB7"/>
    <w:rsid w:val="00B5698D"/>
    <w:rsid w:val="00B56D58"/>
    <w:rsid w:val="00B608BC"/>
    <w:rsid w:val="00B7156F"/>
    <w:rsid w:val="00B71F55"/>
    <w:rsid w:val="00B7309E"/>
    <w:rsid w:val="00B758DE"/>
    <w:rsid w:val="00B84000"/>
    <w:rsid w:val="00B97572"/>
    <w:rsid w:val="00BA00E1"/>
    <w:rsid w:val="00BA676D"/>
    <w:rsid w:val="00BB1B8E"/>
    <w:rsid w:val="00BC2213"/>
    <w:rsid w:val="00BE5B02"/>
    <w:rsid w:val="00C0110E"/>
    <w:rsid w:val="00C04265"/>
    <w:rsid w:val="00C142BC"/>
    <w:rsid w:val="00C2000C"/>
    <w:rsid w:val="00C241F3"/>
    <w:rsid w:val="00C55873"/>
    <w:rsid w:val="00C561A1"/>
    <w:rsid w:val="00C628FF"/>
    <w:rsid w:val="00C70951"/>
    <w:rsid w:val="00C73681"/>
    <w:rsid w:val="00C9702D"/>
    <w:rsid w:val="00C9721D"/>
    <w:rsid w:val="00CA2022"/>
    <w:rsid w:val="00CA4BA9"/>
    <w:rsid w:val="00CB2327"/>
    <w:rsid w:val="00CB4272"/>
    <w:rsid w:val="00CB6DA7"/>
    <w:rsid w:val="00CC4052"/>
    <w:rsid w:val="00CC7753"/>
    <w:rsid w:val="00CD2A9F"/>
    <w:rsid w:val="00CD36F3"/>
    <w:rsid w:val="00CE0862"/>
    <w:rsid w:val="00CE2844"/>
    <w:rsid w:val="00CF1BFC"/>
    <w:rsid w:val="00CF37BF"/>
    <w:rsid w:val="00D0138B"/>
    <w:rsid w:val="00D018DD"/>
    <w:rsid w:val="00D21316"/>
    <w:rsid w:val="00D21803"/>
    <w:rsid w:val="00D23DC4"/>
    <w:rsid w:val="00D3661E"/>
    <w:rsid w:val="00D43C07"/>
    <w:rsid w:val="00D44E03"/>
    <w:rsid w:val="00D50A76"/>
    <w:rsid w:val="00D564BB"/>
    <w:rsid w:val="00D7467F"/>
    <w:rsid w:val="00D76B6C"/>
    <w:rsid w:val="00D8161D"/>
    <w:rsid w:val="00D81B69"/>
    <w:rsid w:val="00D90A06"/>
    <w:rsid w:val="00D93BE2"/>
    <w:rsid w:val="00D94BA7"/>
    <w:rsid w:val="00D95A01"/>
    <w:rsid w:val="00DA569E"/>
    <w:rsid w:val="00DB2716"/>
    <w:rsid w:val="00DC76D5"/>
    <w:rsid w:val="00DD5B9E"/>
    <w:rsid w:val="00DD75C2"/>
    <w:rsid w:val="00DF76EA"/>
    <w:rsid w:val="00E001BD"/>
    <w:rsid w:val="00E00CE7"/>
    <w:rsid w:val="00E21D2C"/>
    <w:rsid w:val="00E42691"/>
    <w:rsid w:val="00E51EC5"/>
    <w:rsid w:val="00E56AC4"/>
    <w:rsid w:val="00E57838"/>
    <w:rsid w:val="00E6208F"/>
    <w:rsid w:val="00E7059F"/>
    <w:rsid w:val="00E72A0A"/>
    <w:rsid w:val="00E739A9"/>
    <w:rsid w:val="00E77C3B"/>
    <w:rsid w:val="00E92360"/>
    <w:rsid w:val="00EA6E8C"/>
    <w:rsid w:val="00EC38DF"/>
    <w:rsid w:val="00ED3BD9"/>
    <w:rsid w:val="00EE2044"/>
    <w:rsid w:val="00EF1B0D"/>
    <w:rsid w:val="00EF4729"/>
    <w:rsid w:val="00F1591E"/>
    <w:rsid w:val="00F16159"/>
    <w:rsid w:val="00F248E8"/>
    <w:rsid w:val="00F2575C"/>
    <w:rsid w:val="00F3183B"/>
    <w:rsid w:val="00F32C60"/>
    <w:rsid w:val="00F46A92"/>
    <w:rsid w:val="00F5110E"/>
    <w:rsid w:val="00F704B9"/>
    <w:rsid w:val="00F76892"/>
    <w:rsid w:val="00F857CF"/>
    <w:rsid w:val="00F864DC"/>
    <w:rsid w:val="00F90B58"/>
    <w:rsid w:val="00FB18D9"/>
    <w:rsid w:val="00FB376F"/>
    <w:rsid w:val="00FB4BA3"/>
    <w:rsid w:val="00FC1712"/>
    <w:rsid w:val="00FC4EB1"/>
    <w:rsid w:val="00FD11DD"/>
    <w:rsid w:val="00FD55CF"/>
    <w:rsid w:val="00FE193D"/>
    <w:rsid w:val="00FE6BE6"/>
    <w:rsid w:val="00FF5B47"/>
    <w:rsid w:val="00FF76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A5"/>
    <w:pPr>
      <w:spacing w:line="460" w:lineRule="exact"/>
    </w:pPr>
    <w:rPr>
      <w:sz w:val="26"/>
    </w:rPr>
  </w:style>
  <w:style w:type="paragraph" w:styleId="Heading1">
    <w:name w:val="heading 1"/>
    <w:basedOn w:val="Normal"/>
    <w:next w:val="Normal"/>
    <w:qFormat/>
    <w:pPr>
      <w:keepNext/>
      <w:spacing w:line="240" w:lineRule="auto"/>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semiHidden/>
    <w:pPr>
      <w:spacing w:after="240" w:line="300" w:lineRule="exact"/>
    </w:pPr>
    <w:rPr>
      <w:sz w:val="26"/>
    </w:rPr>
  </w:style>
  <w:style w:type="character" w:styleId="FootnoteReference">
    <w:name w:val="footnote reference"/>
    <w:semiHidden/>
    <w:rPr>
      <w:rFonts w:ascii="Times New Roman" w:hAnsi="Times New Roman"/>
      <w:b/>
      <w:position w:val="8"/>
      <w:sz w:val="20"/>
      <w:vertAlign w:val="baseli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firstLine="72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link w:val="Header"/>
    <w:uiPriority w:val="99"/>
    <w:rsid w:val="0031102F"/>
    <w:rPr>
      <w:sz w:val="26"/>
    </w:rPr>
  </w:style>
  <w:style w:type="character" w:customStyle="1" w:styleId="BodyTextIndentChar">
    <w:name w:val="Body Text Indent Char"/>
    <w:link w:val="BodyTextIndent"/>
    <w:rsid w:val="006927A5"/>
    <w:rPr>
      <w:sz w:val="26"/>
    </w:rPr>
  </w:style>
  <w:style w:type="character" w:customStyle="1" w:styleId="FooterChar">
    <w:name w:val="Footer Char"/>
    <w:link w:val="Footer"/>
    <w:uiPriority w:val="99"/>
    <w:rsid w:val="0031102F"/>
    <w:rPr>
      <w:sz w:val="26"/>
    </w:rPr>
  </w:style>
  <w:style w:type="character" w:customStyle="1" w:styleId="Title1">
    <w:name w:val="Title1"/>
    <w:rsid w:val="0031102F"/>
  </w:style>
  <w:style w:type="paragraph" w:styleId="Revision">
    <w:name w:val="Revision"/>
    <w:hidden/>
    <w:uiPriority w:val="99"/>
    <w:semiHidden/>
    <w:rsid w:val="00AA016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Filed 4/30/03</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2023-02-27T18:33:29Z</dcterms:created>
  <dcterms:modified xsi:type="dcterms:W3CDTF">2023-02-27T18:33:29Z</dcterms:modified>
</cp:coreProperties>
</file>