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F035" w14:textId="77777777" w:rsidR="00032B4F" w:rsidRPr="00A356F7" w:rsidRDefault="003E2177" w:rsidP="00032B4F">
      <w:pPr>
        <w:rPr>
          <w:sz w:val="20"/>
        </w:rPr>
      </w:pPr>
      <w:r>
        <w:rPr>
          <w:sz w:val="20"/>
        </w:rPr>
        <w:t>Filed 9/20/23</w:t>
      </w:r>
      <w:r w:rsidR="00BB7E23">
        <w:rPr>
          <w:sz w:val="20"/>
        </w:rPr>
        <w:t xml:space="preserve"> </w:t>
      </w:r>
      <w:r w:rsidR="00FE4FB8">
        <w:rPr>
          <w:sz w:val="20"/>
        </w:rPr>
        <w:t>Certified for Publication 10/19/23 (order attached)</w:t>
      </w:r>
    </w:p>
    <w:p w14:paraId="0230F036" w14:textId="77777777" w:rsidR="00032B4F" w:rsidRPr="00712178" w:rsidRDefault="00032B4F" w:rsidP="00032B4F">
      <w:pPr>
        <w:jc w:val="center"/>
        <w:rPr>
          <w:b/>
        </w:rPr>
      </w:pPr>
    </w:p>
    <w:p w14:paraId="0230F037" w14:textId="77777777" w:rsidR="00032B4F" w:rsidRDefault="00032B4F" w:rsidP="00032B4F">
      <w:pPr>
        <w:jc w:val="center"/>
        <w:rPr>
          <w:b/>
        </w:rPr>
      </w:pPr>
    </w:p>
    <w:p w14:paraId="0230F038" w14:textId="77777777" w:rsidR="00CA2D0B" w:rsidRPr="00712178" w:rsidRDefault="00CA2D0B" w:rsidP="00032B4F">
      <w:pPr>
        <w:jc w:val="center"/>
        <w:rPr>
          <w:b/>
        </w:rPr>
      </w:pPr>
    </w:p>
    <w:p w14:paraId="0230F039" w14:textId="77777777" w:rsidR="00032B4F" w:rsidRPr="00712178" w:rsidRDefault="00032B4F" w:rsidP="00032B4F">
      <w:pPr>
        <w:jc w:val="center"/>
      </w:pPr>
    </w:p>
    <w:p w14:paraId="0230F03A" w14:textId="77777777" w:rsidR="00032B4F" w:rsidRPr="00712178" w:rsidRDefault="003E2177" w:rsidP="00032B4F">
      <w:pPr>
        <w:jc w:val="center"/>
      </w:pPr>
      <w:r w:rsidRPr="00712178">
        <w:t>IN THE COURT OF APPEAL OF THE STATE OF CALIFORNIA</w:t>
      </w:r>
    </w:p>
    <w:p w14:paraId="0230F03B" w14:textId="77777777" w:rsidR="00032B4F" w:rsidRPr="00712178" w:rsidRDefault="00032B4F" w:rsidP="00032B4F">
      <w:pPr>
        <w:jc w:val="center"/>
      </w:pPr>
    </w:p>
    <w:p w14:paraId="0230F03C" w14:textId="77777777" w:rsidR="00032B4F" w:rsidRPr="00712178" w:rsidRDefault="003E2177" w:rsidP="00032B4F">
      <w:pPr>
        <w:jc w:val="center"/>
      </w:pPr>
      <w:r w:rsidRPr="00712178">
        <w:t>SECOND APPELLATE DISTRICT</w:t>
      </w:r>
    </w:p>
    <w:p w14:paraId="0230F03D" w14:textId="77777777" w:rsidR="00032B4F" w:rsidRPr="00712178" w:rsidRDefault="00032B4F" w:rsidP="00032B4F">
      <w:pPr>
        <w:jc w:val="center"/>
      </w:pPr>
    </w:p>
    <w:p w14:paraId="0230F03E" w14:textId="77777777" w:rsidR="00032B4F" w:rsidRPr="00712178" w:rsidRDefault="003E2177" w:rsidP="00032B4F">
      <w:pPr>
        <w:jc w:val="center"/>
        <w:rPr>
          <w:rStyle w:val="FootnoteReference"/>
        </w:rPr>
      </w:pPr>
      <w:r w:rsidRPr="00712178">
        <w:t>DIVISION THREE</w:t>
      </w:r>
    </w:p>
    <w:p w14:paraId="0230F03F" w14:textId="77777777" w:rsidR="00032B4F" w:rsidRPr="00712178" w:rsidRDefault="00032B4F" w:rsidP="00032B4F">
      <w:pPr>
        <w:jc w:val="center"/>
      </w:pPr>
    </w:p>
    <w:tbl>
      <w:tblPr>
        <w:tblW w:w="0" w:type="auto"/>
        <w:tblLayout w:type="fixed"/>
        <w:tblLook w:val="0000" w:firstRow="0" w:lastRow="0" w:firstColumn="0" w:lastColumn="0" w:noHBand="0" w:noVBand="0"/>
      </w:tblPr>
      <w:tblGrid>
        <w:gridCol w:w="5040"/>
        <w:gridCol w:w="5040"/>
      </w:tblGrid>
      <w:tr w:rsidR="00112598" w14:paraId="0230F053" w14:textId="77777777">
        <w:tc>
          <w:tcPr>
            <w:tcW w:w="5040" w:type="dxa"/>
            <w:tcBorders>
              <w:bottom w:val="single" w:sz="6" w:space="0" w:color="auto"/>
              <w:right w:val="single" w:sz="6" w:space="0" w:color="auto"/>
            </w:tcBorders>
          </w:tcPr>
          <w:p w14:paraId="0230F040" w14:textId="77777777" w:rsidR="00032B4F" w:rsidRPr="00712178" w:rsidRDefault="003E2177">
            <w:r>
              <w:t>LOUIS ACOSTA</w:t>
            </w:r>
            <w:r w:rsidRPr="00712178">
              <w:t>,</w:t>
            </w:r>
          </w:p>
          <w:p w14:paraId="0230F041" w14:textId="77777777" w:rsidR="00032B4F" w:rsidRPr="00712178" w:rsidRDefault="00032B4F"/>
          <w:p w14:paraId="0230F042" w14:textId="77777777" w:rsidR="00032B4F" w:rsidRPr="00712178" w:rsidRDefault="003E2177">
            <w:r w:rsidRPr="00712178">
              <w:tab/>
              <w:t>P</w:t>
            </w:r>
            <w:r w:rsidR="00C83707">
              <w:t xml:space="preserve">laintiff and </w:t>
            </w:r>
            <w:r w:rsidR="00283E0F">
              <w:t>Respondent</w:t>
            </w:r>
            <w:r w:rsidRPr="00712178">
              <w:t>,</w:t>
            </w:r>
          </w:p>
          <w:p w14:paraId="0230F043" w14:textId="77777777" w:rsidR="00032B4F" w:rsidRPr="00712178" w:rsidRDefault="00032B4F"/>
          <w:p w14:paraId="0230F044" w14:textId="77777777" w:rsidR="00032B4F" w:rsidRPr="0080349A" w:rsidRDefault="003E2177">
            <w:pPr>
              <w:rPr>
                <w:lang w:val="es-ES"/>
              </w:rPr>
            </w:pPr>
            <w:r w:rsidRPr="00712178">
              <w:tab/>
            </w:r>
            <w:r w:rsidRPr="0080349A">
              <w:rPr>
                <w:lang w:val="es-ES"/>
              </w:rPr>
              <w:t>v.</w:t>
            </w:r>
          </w:p>
          <w:p w14:paraId="0230F045" w14:textId="77777777" w:rsidR="00032B4F" w:rsidRPr="0080349A" w:rsidRDefault="00032B4F">
            <w:pPr>
              <w:rPr>
                <w:lang w:val="es-ES"/>
              </w:rPr>
            </w:pPr>
          </w:p>
          <w:p w14:paraId="0230F046" w14:textId="77777777" w:rsidR="00032B4F" w:rsidRPr="00E96DDB" w:rsidRDefault="003E2177">
            <w:pPr>
              <w:rPr>
                <w:lang w:val="es-ES"/>
              </w:rPr>
            </w:pPr>
            <w:r w:rsidRPr="00E96DDB">
              <w:rPr>
                <w:lang w:val="es-ES"/>
              </w:rPr>
              <w:t>MAS REALTY, LLC</w:t>
            </w:r>
            <w:r w:rsidR="00142203" w:rsidRPr="00E96DDB">
              <w:rPr>
                <w:lang w:val="es-ES"/>
              </w:rPr>
              <w:t>, et al.</w:t>
            </w:r>
            <w:r w:rsidR="00A438A2" w:rsidRPr="00E96DDB">
              <w:rPr>
                <w:lang w:val="es-ES"/>
              </w:rPr>
              <w:t>,</w:t>
            </w:r>
          </w:p>
          <w:p w14:paraId="0230F047" w14:textId="77777777" w:rsidR="00032B4F" w:rsidRPr="00E96DDB" w:rsidRDefault="00032B4F">
            <w:pPr>
              <w:rPr>
                <w:lang w:val="es-ES"/>
              </w:rPr>
            </w:pPr>
          </w:p>
          <w:p w14:paraId="0230F048" w14:textId="77777777" w:rsidR="00C52820" w:rsidRDefault="003E2177">
            <w:r w:rsidRPr="00E96DDB">
              <w:rPr>
                <w:lang w:val="es-ES"/>
              </w:rPr>
              <w:tab/>
            </w:r>
            <w:r w:rsidR="00C83707">
              <w:t>Defendant</w:t>
            </w:r>
            <w:r w:rsidR="00A363BD">
              <w:t>s</w:t>
            </w:r>
            <w:r w:rsidR="00C83707">
              <w:t xml:space="preserve"> and </w:t>
            </w:r>
            <w:proofErr w:type="gramStart"/>
            <w:r w:rsidR="00415C89">
              <w:t>Appellants</w:t>
            </w:r>
            <w:r>
              <w:t>;</w:t>
            </w:r>
            <w:proofErr w:type="gramEnd"/>
          </w:p>
          <w:p w14:paraId="0230F049" w14:textId="77777777" w:rsidR="00C52820" w:rsidRDefault="00C52820"/>
          <w:p w14:paraId="0230F04A" w14:textId="77777777" w:rsidR="00AD5793" w:rsidRDefault="003E2177">
            <w:r>
              <w:t>HORIZON LIGHTING, INC.,</w:t>
            </w:r>
          </w:p>
          <w:p w14:paraId="0230F04B" w14:textId="77777777" w:rsidR="00AD5793" w:rsidRDefault="00AD5793"/>
          <w:p w14:paraId="0230F04C" w14:textId="77777777" w:rsidR="00032B4F" w:rsidRDefault="003E2177">
            <w:r>
              <w:tab/>
              <w:t>Cross-defendant and Respondent</w:t>
            </w:r>
            <w:r w:rsidR="00C83707">
              <w:t>.</w:t>
            </w:r>
          </w:p>
          <w:p w14:paraId="0230F04D" w14:textId="77777777" w:rsidR="00032B4F" w:rsidRPr="00712178" w:rsidRDefault="00032B4F"/>
        </w:tc>
        <w:tc>
          <w:tcPr>
            <w:tcW w:w="5040" w:type="dxa"/>
            <w:tcBorders>
              <w:left w:val="nil"/>
            </w:tcBorders>
          </w:tcPr>
          <w:p w14:paraId="0230F04E" w14:textId="77777777" w:rsidR="00032B4F" w:rsidRPr="00712178" w:rsidRDefault="003E2177">
            <w:pPr>
              <w:ind w:left="450"/>
            </w:pPr>
            <w:r>
              <w:t>B</w:t>
            </w:r>
            <w:r w:rsidR="00644F51">
              <w:t>316</w:t>
            </w:r>
            <w:r w:rsidR="00337206">
              <w:t>420</w:t>
            </w:r>
          </w:p>
          <w:p w14:paraId="0230F04F" w14:textId="77777777" w:rsidR="00032B4F" w:rsidRPr="00712178" w:rsidRDefault="00032B4F"/>
          <w:p w14:paraId="0230F050" w14:textId="77777777" w:rsidR="00032B4F" w:rsidRPr="00712178" w:rsidRDefault="003E2177">
            <w:pPr>
              <w:ind w:firstLine="450"/>
            </w:pPr>
            <w:r w:rsidRPr="00712178">
              <w:t>(Los Angeles County</w:t>
            </w:r>
          </w:p>
          <w:p w14:paraId="0230F051" w14:textId="77777777" w:rsidR="00032B4F" w:rsidRPr="00712178" w:rsidRDefault="003E2177">
            <w:pPr>
              <w:ind w:firstLine="450"/>
            </w:pPr>
            <w:r w:rsidRPr="00712178">
              <w:t>Super. Ct. No.</w:t>
            </w:r>
            <w:r w:rsidR="001B033F">
              <w:t xml:space="preserve"> </w:t>
            </w:r>
            <w:r w:rsidR="00337206">
              <w:t>BC717512</w:t>
            </w:r>
            <w:r w:rsidRPr="00712178">
              <w:t>)</w:t>
            </w:r>
          </w:p>
          <w:p w14:paraId="0230F052" w14:textId="77777777" w:rsidR="00032B4F" w:rsidRPr="00712178" w:rsidRDefault="00032B4F"/>
        </w:tc>
      </w:tr>
    </w:tbl>
    <w:p w14:paraId="0230F054" w14:textId="77777777" w:rsidR="00032B4F" w:rsidRPr="00712178" w:rsidRDefault="00032B4F" w:rsidP="00032B4F">
      <w:pPr>
        <w:spacing w:line="360" w:lineRule="auto"/>
      </w:pPr>
    </w:p>
    <w:p w14:paraId="0230F055" w14:textId="77777777" w:rsidR="00032B4F" w:rsidRDefault="003E2177" w:rsidP="00032B4F">
      <w:r w:rsidRPr="00712178">
        <w:tab/>
        <w:t>APPEAL from a</w:t>
      </w:r>
      <w:r w:rsidR="00245D00">
        <w:t xml:space="preserve"> judgment</w:t>
      </w:r>
      <w:r w:rsidRPr="00712178">
        <w:t xml:space="preserve"> of the Superior Court of Los</w:t>
      </w:r>
      <w:r w:rsidR="00855A93">
        <w:t> </w:t>
      </w:r>
      <w:r w:rsidRPr="00712178">
        <w:t xml:space="preserve">Angeles County, </w:t>
      </w:r>
      <w:r w:rsidR="00337206">
        <w:t>Mark V. Mooney</w:t>
      </w:r>
      <w:r w:rsidRPr="00712178">
        <w:t xml:space="preserve">, Judge.  </w:t>
      </w:r>
      <w:r w:rsidR="00337206" w:rsidRPr="00F23B60">
        <w:t>Reversed</w:t>
      </w:r>
      <w:r w:rsidR="000141E8">
        <w:t xml:space="preserve"> with directions</w:t>
      </w:r>
      <w:r w:rsidRPr="00F23B60">
        <w:t>.</w:t>
      </w:r>
    </w:p>
    <w:p w14:paraId="0230F056" w14:textId="77777777" w:rsidR="00485DEE" w:rsidRPr="00712178" w:rsidRDefault="003E2177" w:rsidP="00485DEE">
      <w:pPr>
        <w:ind w:firstLine="720"/>
      </w:pPr>
      <w:r>
        <w:lastRenderedPageBreak/>
        <w:t xml:space="preserve">Law Offices of </w:t>
      </w:r>
      <w:proofErr w:type="spellStart"/>
      <w:r>
        <w:t>Cleidin</w:t>
      </w:r>
      <w:proofErr w:type="spellEnd"/>
      <w:r>
        <w:t xml:space="preserve"> Z. </w:t>
      </w:r>
      <w:proofErr w:type="spellStart"/>
      <w:r>
        <w:t>Atano</w:t>
      </w:r>
      <w:r w:rsidR="00590AD6">
        <w:t>u</w:t>
      </w:r>
      <w:r>
        <w:t>s</w:t>
      </w:r>
      <w:proofErr w:type="spellEnd"/>
      <w:r w:rsidR="00B119BC">
        <w:t xml:space="preserve">, </w:t>
      </w:r>
      <w:proofErr w:type="spellStart"/>
      <w:r w:rsidR="007A57E4">
        <w:t>Cleidi</w:t>
      </w:r>
      <w:r>
        <w:t>n</w:t>
      </w:r>
      <w:proofErr w:type="spellEnd"/>
      <w:r>
        <w:t xml:space="preserve"> Z. </w:t>
      </w:r>
      <w:proofErr w:type="spellStart"/>
      <w:r>
        <w:t>Atanous</w:t>
      </w:r>
      <w:proofErr w:type="spellEnd"/>
      <w:r>
        <w:t xml:space="preserve">; </w:t>
      </w:r>
      <w:r w:rsidR="00192CEB">
        <w:t>The</w:t>
      </w:r>
      <w:r w:rsidR="00B119BC">
        <w:t> </w:t>
      </w:r>
      <w:proofErr w:type="spellStart"/>
      <w:r w:rsidR="00192CEB">
        <w:t>Safarian</w:t>
      </w:r>
      <w:proofErr w:type="spellEnd"/>
      <w:r w:rsidR="00192CEB">
        <w:t xml:space="preserve"> Firm, Harry A. </w:t>
      </w:r>
      <w:proofErr w:type="spellStart"/>
      <w:r w:rsidR="00192CEB">
        <w:t>Safarian</w:t>
      </w:r>
      <w:proofErr w:type="spellEnd"/>
      <w:r w:rsidR="00192CEB">
        <w:t>, and Chri</w:t>
      </w:r>
      <w:r w:rsidR="00B119BC">
        <w:t>s</w:t>
      </w:r>
      <w:r w:rsidR="00192CEB">
        <w:t xml:space="preserve">tina S. </w:t>
      </w:r>
      <w:proofErr w:type="spellStart"/>
      <w:r w:rsidR="00192CEB">
        <w:t>Karayan</w:t>
      </w:r>
      <w:proofErr w:type="spellEnd"/>
      <w:r w:rsidR="00192CEB">
        <w:t xml:space="preserve"> </w:t>
      </w:r>
      <w:r>
        <w:t xml:space="preserve">for </w:t>
      </w:r>
      <w:r w:rsidR="007A57E4">
        <w:t>Defendants</w:t>
      </w:r>
      <w:r w:rsidR="007F1F3B">
        <w:t xml:space="preserve"> and Appellant</w:t>
      </w:r>
      <w:r w:rsidR="007A57E4">
        <w:t>s</w:t>
      </w:r>
      <w:r>
        <w:t>.</w:t>
      </w:r>
    </w:p>
    <w:p w14:paraId="0230F057" w14:textId="77777777" w:rsidR="00032B4F" w:rsidRDefault="003E2177" w:rsidP="00032B4F">
      <w:r w:rsidRPr="00712178">
        <w:tab/>
      </w:r>
      <w:r w:rsidR="008E48C3">
        <w:t xml:space="preserve">Kramer Trial Lawyers, Daniel K. Kramer, Teresa A. Johnson; </w:t>
      </w:r>
      <w:proofErr w:type="spellStart"/>
      <w:r w:rsidR="008E48C3">
        <w:t>Esner</w:t>
      </w:r>
      <w:proofErr w:type="spellEnd"/>
      <w:r w:rsidR="008E48C3">
        <w:t xml:space="preserve">, Chang &amp; Boyer, Stuart </w:t>
      </w:r>
      <w:proofErr w:type="spellStart"/>
      <w:r w:rsidR="008E48C3">
        <w:t>Esner</w:t>
      </w:r>
      <w:proofErr w:type="spellEnd"/>
      <w:r w:rsidR="008E48C3">
        <w:t>, Andrew N. Chang, and Kevin K. Nguyen</w:t>
      </w:r>
      <w:r w:rsidRPr="00712178">
        <w:t xml:space="preserve"> for </w:t>
      </w:r>
      <w:r w:rsidR="008E48C3">
        <w:t xml:space="preserve">Plaintiff </w:t>
      </w:r>
      <w:r w:rsidR="00485DEE">
        <w:t>and Respondent</w:t>
      </w:r>
      <w:r w:rsidRPr="00712178">
        <w:t>.</w:t>
      </w:r>
    </w:p>
    <w:p w14:paraId="0230F058" w14:textId="77777777" w:rsidR="00E64124" w:rsidRDefault="003E2177" w:rsidP="00032B4F">
      <w:r>
        <w:tab/>
        <w:t xml:space="preserve">Horvitz &amp; Levy, H. Thomas Watson, Jason R. </w:t>
      </w:r>
      <w:proofErr w:type="spellStart"/>
      <w:r>
        <w:t>Litt</w:t>
      </w:r>
      <w:proofErr w:type="spellEnd"/>
      <w:r>
        <w:t>; Bremer Whyte Brown &amp; O’Meara</w:t>
      </w:r>
      <w:r w:rsidR="00874442">
        <w:t xml:space="preserve"> and </w:t>
      </w:r>
      <w:r>
        <w:t xml:space="preserve">Daniel A. Crespo for </w:t>
      </w:r>
      <w:r w:rsidR="00C52820">
        <w:t>Cross-defendant and Respondent.</w:t>
      </w:r>
    </w:p>
    <w:p w14:paraId="0230F059" w14:textId="77777777" w:rsidR="00032B4F" w:rsidRDefault="003E2177" w:rsidP="00032B4F">
      <w:r>
        <w:tab/>
      </w:r>
    </w:p>
    <w:p w14:paraId="0230F05A" w14:textId="77777777" w:rsidR="001D08D3" w:rsidRPr="00E94151" w:rsidRDefault="003E2177">
      <w:pPr>
        <w:jc w:val="center"/>
        <w:rPr>
          <w:bCs/>
          <w:szCs w:val="26"/>
        </w:rPr>
      </w:pPr>
      <w:r w:rsidRPr="00E94151">
        <w:rPr>
          <w:bCs/>
          <w:szCs w:val="26"/>
        </w:rPr>
        <w:t>‗‗‗‗‗‗‗‗‗‗‗‗‗‗‗‗‗‗‗‗‗‗‗‗‗‗‗‗</w:t>
      </w:r>
    </w:p>
    <w:p w14:paraId="0230F05B" w14:textId="77777777" w:rsidR="00E00CAB" w:rsidRDefault="00E00CAB" w:rsidP="00B20310"/>
    <w:p w14:paraId="0230F05C" w14:textId="77777777" w:rsidR="00E00CAB" w:rsidRDefault="003E2177" w:rsidP="00B20310">
      <w:pPr>
        <w:rPr>
          <w:bCs/>
          <w:szCs w:val="26"/>
        </w:rPr>
      </w:pPr>
      <w:r>
        <w:tab/>
      </w:r>
      <w:r>
        <w:rPr>
          <w:bCs/>
          <w:szCs w:val="26"/>
        </w:rPr>
        <w:t>Plaintiff Louis Acosta</w:t>
      </w:r>
      <w:r w:rsidR="003E7B15">
        <w:rPr>
          <w:bCs/>
          <w:szCs w:val="26"/>
        </w:rPr>
        <w:t>, an electrical technician,</w:t>
      </w:r>
      <w:r>
        <w:rPr>
          <w:bCs/>
          <w:szCs w:val="26"/>
        </w:rPr>
        <w:t xml:space="preserve"> was injured </w:t>
      </w:r>
      <w:r w:rsidR="00EA59F3">
        <w:rPr>
          <w:bCs/>
          <w:szCs w:val="26"/>
        </w:rPr>
        <w:t>when a</w:t>
      </w:r>
      <w:r w:rsidR="00F72F17">
        <w:rPr>
          <w:bCs/>
          <w:szCs w:val="26"/>
        </w:rPr>
        <w:t xml:space="preserve"> broken </w:t>
      </w:r>
      <w:r w:rsidR="00EA59F3">
        <w:rPr>
          <w:bCs/>
          <w:szCs w:val="26"/>
        </w:rPr>
        <w:t xml:space="preserve">hatch </w:t>
      </w:r>
      <w:r w:rsidR="0047214E">
        <w:rPr>
          <w:bCs/>
          <w:szCs w:val="26"/>
        </w:rPr>
        <w:t xml:space="preserve">providing access to the roof of a commercial building </w:t>
      </w:r>
      <w:r w:rsidR="007E59F3">
        <w:rPr>
          <w:bCs/>
          <w:szCs w:val="26"/>
        </w:rPr>
        <w:t xml:space="preserve">slammed shut </w:t>
      </w:r>
      <w:r w:rsidR="00F72F17">
        <w:rPr>
          <w:bCs/>
          <w:szCs w:val="26"/>
        </w:rPr>
        <w:t xml:space="preserve">on his back, herniating several </w:t>
      </w:r>
      <w:r w:rsidR="005455B5">
        <w:rPr>
          <w:bCs/>
          <w:szCs w:val="26"/>
        </w:rPr>
        <w:t xml:space="preserve">of his </w:t>
      </w:r>
      <w:r w:rsidR="00F72F17">
        <w:rPr>
          <w:bCs/>
          <w:szCs w:val="26"/>
        </w:rPr>
        <w:t>dis</w:t>
      </w:r>
      <w:r w:rsidR="00FF225F">
        <w:rPr>
          <w:bCs/>
          <w:szCs w:val="26"/>
        </w:rPr>
        <w:t xml:space="preserve">cs.  </w:t>
      </w:r>
      <w:r w:rsidR="005455B5">
        <w:rPr>
          <w:bCs/>
          <w:szCs w:val="26"/>
        </w:rPr>
        <w:t xml:space="preserve">He sued the building’s owner and management company </w:t>
      </w:r>
      <w:r w:rsidR="002E5C66">
        <w:rPr>
          <w:bCs/>
          <w:szCs w:val="26"/>
        </w:rPr>
        <w:t xml:space="preserve">for negligence and premises liability, contending that defendants </w:t>
      </w:r>
      <w:r w:rsidR="00E75A29">
        <w:rPr>
          <w:bCs/>
          <w:szCs w:val="26"/>
        </w:rPr>
        <w:t xml:space="preserve">had </w:t>
      </w:r>
      <w:r w:rsidR="002E5C66">
        <w:rPr>
          <w:bCs/>
          <w:szCs w:val="26"/>
        </w:rPr>
        <w:t xml:space="preserve">failed </w:t>
      </w:r>
      <w:r w:rsidR="00FE4978">
        <w:rPr>
          <w:bCs/>
          <w:szCs w:val="26"/>
        </w:rPr>
        <w:t xml:space="preserve">either </w:t>
      </w:r>
      <w:r w:rsidR="002E5C66">
        <w:rPr>
          <w:bCs/>
          <w:szCs w:val="26"/>
        </w:rPr>
        <w:t xml:space="preserve">to repair </w:t>
      </w:r>
      <w:r w:rsidR="00E75A29">
        <w:rPr>
          <w:bCs/>
          <w:szCs w:val="26"/>
        </w:rPr>
        <w:t>a</w:t>
      </w:r>
      <w:r w:rsidR="002E5C66">
        <w:rPr>
          <w:bCs/>
          <w:szCs w:val="26"/>
        </w:rPr>
        <w:t xml:space="preserve"> dangerous condition</w:t>
      </w:r>
      <w:r w:rsidR="00E75A29">
        <w:rPr>
          <w:bCs/>
          <w:szCs w:val="26"/>
        </w:rPr>
        <w:t xml:space="preserve"> of which they were aware</w:t>
      </w:r>
      <w:r w:rsidR="00FE4978">
        <w:rPr>
          <w:bCs/>
          <w:szCs w:val="26"/>
        </w:rPr>
        <w:t xml:space="preserve"> or to warn him of it</w:t>
      </w:r>
      <w:r w:rsidR="00E75A29">
        <w:rPr>
          <w:bCs/>
          <w:szCs w:val="26"/>
        </w:rPr>
        <w:t>.</w:t>
      </w:r>
      <w:r w:rsidR="004D2430">
        <w:rPr>
          <w:bCs/>
          <w:szCs w:val="26"/>
        </w:rPr>
        <w:t xml:space="preserve">  A jury </w:t>
      </w:r>
      <w:r w:rsidR="00017BB3">
        <w:rPr>
          <w:bCs/>
          <w:szCs w:val="26"/>
        </w:rPr>
        <w:t xml:space="preserve">returned a special verdict for Acosta and </w:t>
      </w:r>
      <w:r w:rsidR="004D2430">
        <w:rPr>
          <w:bCs/>
          <w:szCs w:val="26"/>
        </w:rPr>
        <w:t xml:space="preserve">awarded him </w:t>
      </w:r>
      <w:r w:rsidR="00017BB3">
        <w:rPr>
          <w:bCs/>
          <w:szCs w:val="26"/>
        </w:rPr>
        <w:t xml:space="preserve">damages </w:t>
      </w:r>
      <w:proofErr w:type="gramStart"/>
      <w:r w:rsidR="00017BB3">
        <w:rPr>
          <w:bCs/>
          <w:szCs w:val="26"/>
        </w:rPr>
        <w:t>in excess of</w:t>
      </w:r>
      <w:proofErr w:type="gramEnd"/>
      <w:r w:rsidR="00017BB3">
        <w:rPr>
          <w:bCs/>
          <w:szCs w:val="26"/>
        </w:rPr>
        <w:t xml:space="preserve"> $12.6</w:t>
      </w:r>
      <w:r w:rsidR="00E16461">
        <w:rPr>
          <w:bCs/>
          <w:szCs w:val="26"/>
        </w:rPr>
        <w:t> </w:t>
      </w:r>
      <w:r w:rsidR="00017BB3">
        <w:rPr>
          <w:bCs/>
          <w:szCs w:val="26"/>
        </w:rPr>
        <w:t>million</w:t>
      </w:r>
      <w:r w:rsidR="00716FED">
        <w:rPr>
          <w:bCs/>
          <w:szCs w:val="26"/>
        </w:rPr>
        <w:t>.</w:t>
      </w:r>
    </w:p>
    <w:p w14:paraId="0230F05D" w14:textId="77777777" w:rsidR="00032B4F" w:rsidRPr="00712178" w:rsidRDefault="003E2177" w:rsidP="00B20310">
      <w:r>
        <w:rPr>
          <w:bCs/>
          <w:szCs w:val="26"/>
        </w:rPr>
        <w:tab/>
        <w:t>We</w:t>
      </w:r>
      <w:r>
        <w:rPr>
          <w:bCs/>
          <w:szCs w:val="26"/>
        </w:rPr>
        <w:t xml:space="preserve"> reverse.  </w:t>
      </w:r>
      <w:r w:rsidR="006E7B1A">
        <w:rPr>
          <w:bCs/>
          <w:szCs w:val="26"/>
        </w:rPr>
        <w:t xml:space="preserve">As we discuss, under </w:t>
      </w:r>
      <w:proofErr w:type="spellStart"/>
      <w:r w:rsidR="006E7B1A" w:rsidRPr="00791131">
        <w:rPr>
          <w:bCs/>
          <w:i/>
          <w:iCs/>
          <w:szCs w:val="26"/>
        </w:rPr>
        <w:t>Privette</w:t>
      </w:r>
      <w:proofErr w:type="spellEnd"/>
      <w:r w:rsidR="006E7B1A" w:rsidRPr="00791131">
        <w:rPr>
          <w:bCs/>
          <w:i/>
          <w:iCs/>
          <w:szCs w:val="26"/>
        </w:rPr>
        <w:t xml:space="preserve"> v. Superior Court</w:t>
      </w:r>
      <w:r w:rsidR="006E7B1A" w:rsidRPr="00791131">
        <w:rPr>
          <w:bCs/>
          <w:szCs w:val="26"/>
        </w:rPr>
        <w:t xml:space="preserve"> (1993) 5</w:t>
      </w:r>
      <w:r w:rsidR="006E7B1A">
        <w:rPr>
          <w:bCs/>
          <w:szCs w:val="26"/>
        </w:rPr>
        <w:t> </w:t>
      </w:r>
      <w:r w:rsidR="006E7B1A" w:rsidRPr="00791131">
        <w:rPr>
          <w:bCs/>
          <w:szCs w:val="26"/>
        </w:rPr>
        <w:t>Cal.4th 689</w:t>
      </w:r>
      <w:r w:rsidR="006E7B1A">
        <w:rPr>
          <w:bCs/>
          <w:szCs w:val="26"/>
        </w:rPr>
        <w:t xml:space="preserve"> (</w:t>
      </w:r>
      <w:proofErr w:type="spellStart"/>
      <w:r w:rsidR="006E7B1A">
        <w:rPr>
          <w:bCs/>
          <w:i/>
          <w:iCs/>
          <w:szCs w:val="26"/>
        </w:rPr>
        <w:t>Privette</w:t>
      </w:r>
      <w:proofErr w:type="spellEnd"/>
      <w:r w:rsidR="006E7B1A">
        <w:rPr>
          <w:bCs/>
          <w:szCs w:val="26"/>
        </w:rPr>
        <w:t>) and its progeny, a property owner who hires an independent contractor may be liable to the contractor’s employee for injuries sustained on the job only if the owner</w:t>
      </w:r>
      <w:r w:rsidR="006E7B1A" w:rsidRPr="001A23CD">
        <w:rPr>
          <w:bCs/>
          <w:szCs w:val="26"/>
        </w:rPr>
        <w:t xml:space="preserve"> exercises retained control over any part of the contractor</w:t>
      </w:r>
      <w:r w:rsidR="006E7B1A">
        <w:rPr>
          <w:bCs/>
          <w:szCs w:val="26"/>
        </w:rPr>
        <w:t>’</w:t>
      </w:r>
      <w:r w:rsidR="006E7B1A" w:rsidRPr="001A23CD">
        <w:rPr>
          <w:bCs/>
          <w:szCs w:val="26"/>
        </w:rPr>
        <w:t>s work in a manner that affirmatively contributes to the worker</w:t>
      </w:r>
      <w:r w:rsidR="006E7B1A">
        <w:rPr>
          <w:bCs/>
          <w:szCs w:val="26"/>
        </w:rPr>
        <w:t>’</w:t>
      </w:r>
      <w:r w:rsidR="006E7B1A" w:rsidRPr="001A23CD">
        <w:rPr>
          <w:bCs/>
          <w:szCs w:val="26"/>
        </w:rPr>
        <w:t>s injuries</w:t>
      </w:r>
      <w:r w:rsidR="006E7B1A">
        <w:rPr>
          <w:bCs/>
          <w:szCs w:val="26"/>
        </w:rPr>
        <w:t xml:space="preserve">, or the employee is injured by a </w:t>
      </w:r>
      <w:r w:rsidR="006E7B1A" w:rsidRPr="000C3774">
        <w:rPr>
          <w:bCs/>
          <w:iCs/>
          <w:szCs w:val="26"/>
        </w:rPr>
        <w:t>concealed hazard</w:t>
      </w:r>
      <w:r w:rsidR="00E16461">
        <w:rPr>
          <w:bCs/>
          <w:iCs/>
          <w:szCs w:val="26"/>
        </w:rPr>
        <w:t xml:space="preserve"> </w:t>
      </w:r>
      <w:r w:rsidR="006E7B1A">
        <w:rPr>
          <w:bCs/>
          <w:iCs/>
          <w:szCs w:val="26"/>
        </w:rPr>
        <w:t xml:space="preserve">that is unknown and not reasonably ascertainable by the </w:t>
      </w:r>
      <w:r w:rsidR="006E7B1A" w:rsidRPr="000C3774">
        <w:rPr>
          <w:bCs/>
          <w:iCs/>
          <w:szCs w:val="26"/>
        </w:rPr>
        <w:t>contractor</w:t>
      </w:r>
      <w:r w:rsidR="006E7B1A">
        <w:rPr>
          <w:bCs/>
          <w:iCs/>
          <w:szCs w:val="26"/>
        </w:rPr>
        <w:t xml:space="preserve">.  In the present case, Acosta does not contend that defendants exercised any retained control over the work site, and the </w:t>
      </w:r>
      <w:r w:rsidR="006E7B1A">
        <w:rPr>
          <w:bCs/>
          <w:iCs/>
          <w:szCs w:val="26"/>
        </w:rPr>
        <w:lastRenderedPageBreak/>
        <w:t>undisputed evidence established that Acosta and his employer</w:t>
      </w:r>
      <w:r w:rsidR="006E7B1A" w:rsidRPr="000C3774">
        <w:rPr>
          <w:bCs/>
          <w:iCs/>
          <w:szCs w:val="26"/>
        </w:rPr>
        <w:t xml:space="preserve"> </w:t>
      </w:r>
      <w:r w:rsidR="006E7B1A">
        <w:rPr>
          <w:bCs/>
          <w:iCs/>
          <w:szCs w:val="26"/>
        </w:rPr>
        <w:t xml:space="preserve">could reasonably have </w:t>
      </w:r>
      <w:r w:rsidR="006E7B1A" w:rsidRPr="000C3774">
        <w:rPr>
          <w:bCs/>
          <w:iCs/>
          <w:szCs w:val="26"/>
        </w:rPr>
        <w:t>ascertain</w:t>
      </w:r>
      <w:r w:rsidR="006E7B1A">
        <w:rPr>
          <w:bCs/>
          <w:iCs/>
          <w:szCs w:val="26"/>
        </w:rPr>
        <w:t xml:space="preserve">ed </w:t>
      </w:r>
      <w:r w:rsidR="00C931BE">
        <w:rPr>
          <w:bCs/>
          <w:iCs/>
          <w:szCs w:val="26"/>
        </w:rPr>
        <w:t xml:space="preserve">the </w:t>
      </w:r>
      <w:r w:rsidR="006E7B1A">
        <w:rPr>
          <w:bCs/>
          <w:iCs/>
          <w:szCs w:val="26"/>
        </w:rPr>
        <w:t xml:space="preserve">hazardous condition of </w:t>
      </w:r>
      <w:r w:rsidR="00BF270D">
        <w:rPr>
          <w:bCs/>
          <w:iCs/>
          <w:szCs w:val="26"/>
        </w:rPr>
        <w:t xml:space="preserve">the </w:t>
      </w:r>
      <w:r w:rsidR="00BC6813">
        <w:rPr>
          <w:bCs/>
          <w:iCs/>
          <w:szCs w:val="26"/>
        </w:rPr>
        <w:t>site</w:t>
      </w:r>
      <w:r w:rsidR="00F91793">
        <w:rPr>
          <w:bCs/>
          <w:iCs/>
          <w:szCs w:val="26"/>
        </w:rPr>
        <w:t>—</w:t>
      </w:r>
      <w:r w:rsidR="00BC6813">
        <w:rPr>
          <w:bCs/>
          <w:iCs/>
          <w:szCs w:val="26"/>
        </w:rPr>
        <w:t xml:space="preserve">i.e., </w:t>
      </w:r>
      <w:r w:rsidR="00F91793">
        <w:rPr>
          <w:bCs/>
          <w:iCs/>
          <w:szCs w:val="26"/>
        </w:rPr>
        <w:t xml:space="preserve">that </w:t>
      </w:r>
      <w:r w:rsidR="00BF270D">
        <w:rPr>
          <w:bCs/>
          <w:iCs/>
          <w:szCs w:val="26"/>
        </w:rPr>
        <w:t>the</w:t>
      </w:r>
      <w:r w:rsidR="00CD6516">
        <w:rPr>
          <w:bCs/>
          <w:iCs/>
          <w:szCs w:val="26"/>
        </w:rPr>
        <w:t xml:space="preserve"> </w:t>
      </w:r>
      <w:r w:rsidR="00BC6813">
        <w:rPr>
          <w:bCs/>
          <w:iCs/>
          <w:szCs w:val="26"/>
        </w:rPr>
        <w:t xml:space="preserve">mechanism </w:t>
      </w:r>
      <w:r w:rsidR="00CD6516">
        <w:rPr>
          <w:bCs/>
          <w:iCs/>
          <w:szCs w:val="26"/>
        </w:rPr>
        <w:t xml:space="preserve">designed to hold the roof hatch open was </w:t>
      </w:r>
      <w:r w:rsidR="00BC6813">
        <w:rPr>
          <w:bCs/>
          <w:iCs/>
          <w:szCs w:val="26"/>
        </w:rPr>
        <w:t>broken</w:t>
      </w:r>
      <w:r w:rsidR="00CD6516">
        <w:rPr>
          <w:bCs/>
          <w:iCs/>
          <w:szCs w:val="26"/>
        </w:rPr>
        <w:t xml:space="preserve"> and the </w:t>
      </w:r>
      <w:r w:rsidR="001144EE">
        <w:rPr>
          <w:bCs/>
          <w:iCs/>
          <w:szCs w:val="26"/>
        </w:rPr>
        <w:t>ladder that provided access to the hatch did not reach all the way to the roof</w:t>
      </w:r>
      <w:r w:rsidR="00E9447F">
        <w:rPr>
          <w:bCs/>
          <w:iCs/>
          <w:szCs w:val="26"/>
        </w:rPr>
        <w:t>.</w:t>
      </w:r>
      <w:r w:rsidR="006E7B1A">
        <w:rPr>
          <w:bCs/>
          <w:iCs/>
          <w:szCs w:val="26"/>
        </w:rPr>
        <w:t xml:space="preserve"> Accordingly, we will direct entry of judgment for defendants.</w:t>
      </w:r>
    </w:p>
    <w:p w14:paraId="0230F05E" w14:textId="77777777" w:rsidR="00032B4F" w:rsidRPr="00340B4C" w:rsidRDefault="003E2177" w:rsidP="00122908">
      <w:pPr>
        <w:pStyle w:val="Heading1"/>
      </w:pPr>
      <w:r w:rsidRPr="00340B4C">
        <w:t xml:space="preserve">FACTUAL AND PROCEDURAL </w:t>
      </w:r>
      <w:r w:rsidRPr="00340B4C">
        <w:t>BACKGROUND</w:t>
      </w:r>
    </w:p>
    <w:p w14:paraId="0230F05F" w14:textId="77777777" w:rsidR="00A07CEF" w:rsidRPr="008B2DD1" w:rsidRDefault="003E2177" w:rsidP="008B2DD1">
      <w:pPr>
        <w:pStyle w:val="Heading2"/>
      </w:pPr>
      <w:r w:rsidRPr="008B2DD1">
        <w:t>I.</w:t>
      </w:r>
      <w:r w:rsidRPr="008B2DD1">
        <w:tab/>
        <w:t>Background</w:t>
      </w:r>
      <w:r w:rsidR="003F7ED6">
        <w:t>.</w:t>
      </w:r>
    </w:p>
    <w:p w14:paraId="0230F060" w14:textId="77777777" w:rsidR="004142E6" w:rsidRDefault="003E2177" w:rsidP="00032B4F">
      <w:pPr>
        <w:rPr>
          <w:bCs/>
          <w:szCs w:val="26"/>
        </w:rPr>
      </w:pPr>
      <w:r>
        <w:rPr>
          <w:bCs/>
          <w:szCs w:val="26"/>
        </w:rPr>
        <w:tab/>
      </w:r>
      <w:r w:rsidR="004B0803">
        <w:rPr>
          <w:bCs/>
          <w:szCs w:val="26"/>
        </w:rPr>
        <w:t xml:space="preserve">Defendant </w:t>
      </w:r>
      <w:r w:rsidR="00EF2B4B">
        <w:rPr>
          <w:bCs/>
          <w:szCs w:val="26"/>
        </w:rPr>
        <w:t>MAS Realty</w:t>
      </w:r>
      <w:r w:rsidR="0080349A">
        <w:rPr>
          <w:bCs/>
          <w:szCs w:val="26"/>
        </w:rPr>
        <w:t>,</w:t>
      </w:r>
      <w:r w:rsidR="008F36EF">
        <w:rPr>
          <w:bCs/>
          <w:szCs w:val="26"/>
        </w:rPr>
        <w:t xml:space="preserve"> LLC</w:t>
      </w:r>
      <w:r w:rsidR="00EF2B4B">
        <w:rPr>
          <w:bCs/>
          <w:szCs w:val="26"/>
        </w:rPr>
        <w:t xml:space="preserve"> (MAS)</w:t>
      </w:r>
      <w:r w:rsidR="00EE2D9B">
        <w:rPr>
          <w:bCs/>
          <w:szCs w:val="26"/>
        </w:rPr>
        <w:t xml:space="preserve"> </w:t>
      </w:r>
      <w:r w:rsidR="008209E8">
        <w:rPr>
          <w:bCs/>
          <w:szCs w:val="26"/>
        </w:rPr>
        <w:t>owns</w:t>
      </w:r>
      <w:r w:rsidR="000D53C5">
        <w:rPr>
          <w:bCs/>
          <w:szCs w:val="26"/>
        </w:rPr>
        <w:t xml:space="preserve"> </w:t>
      </w:r>
      <w:r w:rsidR="00B230E8">
        <w:rPr>
          <w:bCs/>
          <w:szCs w:val="26"/>
        </w:rPr>
        <w:t xml:space="preserve">a shopping center called </w:t>
      </w:r>
      <w:r w:rsidR="008209E8">
        <w:rPr>
          <w:bCs/>
          <w:szCs w:val="26"/>
        </w:rPr>
        <w:t xml:space="preserve">Arlington Plaza.  </w:t>
      </w:r>
      <w:r w:rsidR="006477A0">
        <w:rPr>
          <w:bCs/>
          <w:szCs w:val="26"/>
        </w:rPr>
        <w:t xml:space="preserve">Arlington Plaza </w:t>
      </w:r>
      <w:r w:rsidR="00511E1D">
        <w:rPr>
          <w:bCs/>
          <w:szCs w:val="26"/>
        </w:rPr>
        <w:t>is made up of</w:t>
      </w:r>
      <w:r w:rsidR="001E2F93">
        <w:rPr>
          <w:bCs/>
          <w:szCs w:val="26"/>
        </w:rPr>
        <w:t xml:space="preserve"> one large building and three smaller buildings</w:t>
      </w:r>
      <w:r w:rsidR="00511E1D">
        <w:rPr>
          <w:bCs/>
          <w:szCs w:val="26"/>
        </w:rPr>
        <w:t>, each of which is identified by a letter</w:t>
      </w:r>
      <w:r w:rsidR="008040DC">
        <w:rPr>
          <w:bCs/>
          <w:szCs w:val="26"/>
        </w:rPr>
        <w:t>.</w:t>
      </w:r>
      <w:r w:rsidR="001E2F93">
        <w:rPr>
          <w:bCs/>
          <w:szCs w:val="26"/>
        </w:rPr>
        <w:t xml:space="preserve">  </w:t>
      </w:r>
      <w:r w:rsidR="00551D57">
        <w:rPr>
          <w:bCs/>
          <w:szCs w:val="26"/>
        </w:rPr>
        <w:t xml:space="preserve">The building at issue in this case </w:t>
      </w:r>
      <w:r w:rsidR="00211521">
        <w:rPr>
          <w:bCs/>
          <w:szCs w:val="26"/>
        </w:rPr>
        <w:t>is</w:t>
      </w:r>
      <w:r w:rsidR="00551D57">
        <w:rPr>
          <w:bCs/>
          <w:szCs w:val="26"/>
        </w:rPr>
        <w:t xml:space="preserve"> referred to as “Building A</w:t>
      </w:r>
      <w:r w:rsidR="00B70ACF">
        <w:rPr>
          <w:bCs/>
          <w:szCs w:val="26"/>
        </w:rPr>
        <w:t>,</w:t>
      </w:r>
      <w:r w:rsidR="00551D57">
        <w:rPr>
          <w:bCs/>
          <w:szCs w:val="26"/>
        </w:rPr>
        <w:t xml:space="preserve">” </w:t>
      </w:r>
      <w:r w:rsidR="00B70ACF">
        <w:rPr>
          <w:bCs/>
          <w:szCs w:val="26"/>
        </w:rPr>
        <w:t xml:space="preserve">“Sector A,” </w:t>
      </w:r>
      <w:r w:rsidR="00551D57">
        <w:rPr>
          <w:bCs/>
          <w:szCs w:val="26"/>
        </w:rPr>
        <w:t>or “Pad A.”</w:t>
      </w:r>
    </w:p>
    <w:p w14:paraId="0230F061" w14:textId="77777777" w:rsidR="00440D12" w:rsidRDefault="003E2177" w:rsidP="000C3BB6">
      <w:pPr>
        <w:rPr>
          <w:bCs/>
          <w:szCs w:val="26"/>
        </w:rPr>
      </w:pPr>
      <w:r>
        <w:rPr>
          <w:bCs/>
          <w:szCs w:val="26"/>
        </w:rPr>
        <w:tab/>
      </w:r>
      <w:r w:rsidR="005335F5">
        <w:rPr>
          <w:bCs/>
          <w:szCs w:val="26"/>
        </w:rPr>
        <w:t xml:space="preserve">In </w:t>
      </w:r>
      <w:r w:rsidR="003F2883">
        <w:rPr>
          <w:bCs/>
          <w:szCs w:val="26"/>
        </w:rPr>
        <w:t>2014,</w:t>
      </w:r>
      <w:r w:rsidR="005335F5">
        <w:rPr>
          <w:bCs/>
          <w:szCs w:val="26"/>
        </w:rPr>
        <w:t xml:space="preserve"> </w:t>
      </w:r>
      <w:r w:rsidR="00B70ACF">
        <w:rPr>
          <w:bCs/>
          <w:szCs w:val="26"/>
        </w:rPr>
        <w:t>M</w:t>
      </w:r>
      <w:r>
        <w:rPr>
          <w:bCs/>
          <w:szCs w:val="26"/>
        </w:rPr>
        <w:t xml:space="preserve">AS </w:t>
      </w:r>
      <w:r w:rsidR="001C07E0">
        <w:rPr>
          <w:bCs/>
          <w:szCs w:val="26"/>
        </w:rPr>
        <w:t>hired</w:t>
      </w:r>
      <w:r>
        <w:rPr>
          <w:bCs/>
          <w:szCs w:val="26"/>
        </w:rPr>
        <w:t xml:space="preserve"> </w:t>
      </w:r>
      <w:r w:rsidR="00FC6D97">
        <w:rPr>
          <w:bCs/>
          <w:szCs w:val="26"/>
        </w:rPr>
        <w:t xml:space="preserve">defendant </w:t>
      </w:r>
      <w:r>
        <w:rPr>
          <w:bCs/>
          <w:szCs w:val="26"/>
        </w:rPr>
        <w:t xml:space="preserve">Athena Property Management, Inc. (Athena) </w:t>
      </w:r>
      <w:r w:rsidR="005335F5">
        <w:rPr>
          <w:bCs/>
          <w:szCs w:val="26"/>
        </w:rPr>
        <w:t xml:space="preserve">to manage Arlington Plaza. </w:t>
      </w:r>
      <w:r w:rsidR="003F2883">
        <w:rPr>
          <w:bCs/>
          <w:szCs w:val="26"/>
        </w:rPr>
        <w:t xml:space="preserve"> </w:t>
      </w:r>
      <w:r w:rsidR="00561190">
        <w:rPr>
          <w:bCs/>
          <w:szCs w:val="26"/>
        </w:rPr>
        <w:t xml:space="preserve">The same </w:t>
      </w:r>
      <w:r w:rsidR="0056505C">
        <w:rPr>
          <w:bCs/>
          <w:szCs w:val="26"/>
        </w:rPr>
        <w:t>year</w:t>
      </w:r>
      <w:r w:rsidR="000C3BB6">
        <w:rPr>
          <w:bCs/>
          <w:szCs w:val="26"/>
        </w:rPr>
        <w:t xml:space="preserve">, Athena hired </w:t>
      </w:r>
      <w:r w:rsidR="009D15B6">
        <w:rPr>
          <w:bCs/>
          <w:szCs w:val="26"/>
        </w:rPr>
        <w:t xml:space="preserve">a roofing company, </w:t>
      </w:r>
      <w:r w:rsidR="00A97418">
        <w:rPr>
          <w:bCs/>
          <w:szCs w:val="26"/>
        </w:rPr>
        <w:t xml:space="preserve">The </w:t>
      </w:r>
      <w:r w:rsidR="000670F8">
        <w:rPr>
          <w:bCs/>
          <w:szCs w:val="26"/>
        </w:rPr>
        <w:t xml:space="preserve">Roof Depot, </w:t>
      </w:r>
      <w:r w:rsidR="00A97418">
        <w:rPr>
          <w:bCs/>
          <w:szCs w:val="26"/>
        </w:rPr>
        <w:t>Inc. (Roof Depot)</w:t>
      </w:r>
      <w:r w:rsidR="009D15B6">
        <w:rPr>
          <w:bCs/>
          <w:szCs w:val="26"/>
        </w:rPr>
        <w:t xml:space="preserve">, to </w:t>
      </w:r>
      <w:r w:rsidR="005A7C82">
        <w:rPr>
          <w:bCs/>
          <w:szCs w:val="26"/>
        </w:rPr>
        <w:t xml:space="preserve">inspect </w:t>
      </w:r>
      <w:r w:rsidR="006B1A45">
        <w:rPr>
          <w:bCs/>
          <w:szCs w:val="26"/>
        </w:rPr>
        <w:t>Arlington</w:t>
      </w:r>
      <w:r w:rsidR="00161BB0">
        <w:rPr>
          <w:bCs/>
          <w:szCs w:val="26"/>
        </w:rPr>
        <w:t> </w:t>
      </w:r>
      <w:r w:rsidR="006B1A45">
        <w:rPr>
          <w:bCs/>
          <w:szCs w:val="26"/>
        </w:rPr>
        <w:t xml:space="preserve">Plaza’s </w:t>
      </w:r>
      <w:r w:rsidR="007A0925">
        <w:rPr>
          <w:bCs/>
          <w:szCs w:val="26"/>
        </w:rPr>
        <w:t>roof</w:t>
      </w:r>
      <w:r w:rsidR="003024E8">
        <w:rPr>
          <w:bCs/>
          <w:szCs w:val="26"/>
        </w:rPr>
        <w:t>s</w:t>
      </w:r>
      <w:r w:rsidR="00713B0F">
        <w:rPr>
          <w:bCs/>
          <w:szCs w:val="26"/>
        </w:rPr>
        <w:t xml:space="preserve"> </w:t>
      </w:r>
      <w:r w:rsidR="006B1A45">
        <w:rPr>
          <w:bCs/>
          <w:szCs w:val="26"/>
        </w:rPr>
        <w:t>and make any necessary repairs</w:t>
      </w:r>
      <w:r w:rsidR="007A0925">
        <w:rPr>
          <w:bCs/>
          <w:szCs w:val="26"/>
        </w:rPr>
        <w:t>.</w:t>
      </w:r>
      <w:r w:rsidR="00713B0F">
        <w:rPr>
          <w:bCs/>
          <w:szCs w:val="26"/>
        </w:rPr>
        <w:t xml:space="preserve">  </w:t>
      </w:r>
      <w:r>
        <w:rPr>
          <w:bCs/>
          <w:szCs w:val="26"/>
        </w:rPr>
        <w:t xml:space="preserve">In </w:t>
      </w:r>
      <w:r w:rsidR="00E62AA3">
        <w:rPr>
          <w:bCs/>
          <w:szCs w:val="26"/>
        </w:rPr>
        <w:t>September 2014</w:t>
      </w:r>
      <w:r>
        <w:rPr>
          <w:bCs/>
          <w:szCs w:val="26"/>
        </w:rPr>
        <w:t xml:space="preserve">, </w:t>
      </w:r>
      <w:r w:rsidR="00836CDD">
        <w:rPr>
          <w:bCs/>
          <w:szCs w:val="26"/>
        </w:rPr>
        <w:t xml:space="preserve">Roof Depot advised </w:t>
      </w:r>
      <w:r w:rsidR="00160F49">
        <w:rPr>
          <w:bCs/>
          <w:szCs w:val="26"/>
        </w:rPr>
        <w:t xml:space="preserve">Athena </w:t>
      </w:r>
      <w:r w:rsidR="003C1EB7">
        <w:rPr>
          <w:bCs/>
          <w:szCs w:val="26"/>
        </w:rPr>
        <w:t>of</w:t>
      </w:r>
      <w:r w:rsidR="005A6FBE">
        <w:rPr>
          <w:bCs/>
          <w:szCs w:val="26"/>
        </w:rPr>
        <w:t xml:space="preserve"> two </w:t>
      </w:r>
      <w:r w:rsidR="00A75BC4">
        <w:rPr>
          <w:bCs/>
          <w:szCs w:val="26"/>
        </w:rPr>
        <w:t xml:space="preserve">issues with the </w:t>
      </w:r>
      <w:r w:rsidR="00200312">
        <w:rPr>
          <w:bCs/>
          <w:szCs w:val="26"/>
        </w:rPr>
        <w:t xml:space="preserve">Building A </w:t>
      </w:r>
      <w:r w:rsidR="00A75BC4">
        <w:rPr>
          <w:bCs/>
          <w:szCs w:val="26"/>
        </w:rPr>
        <w:t>roof access</w:t>
      </w:r>
      <w:r w:rsidR="0056505C">
        <w:rPr>
          <w:bCs/>
          <w:szCs w:val="26"/>
        </w:rPr>
        <w:t>.</w:t>
      </w:r>
      <w:r w:rsidR="00362F4F">
        <w:rPr>
          <w:bCs/>
          <w:szCs w:val="26"/>
        </w:rPr>
        <w:t xml:space="preserve"> </w:t>
      </w:r>
      <w:r w:rsidR="0016117D">
        <w:rPr>
          <w:bCs/>
          <w:szCs w:val="26"/>
        </w:rPr>
        <w:t xml:space="preserve"> </w:t>
      </w:r>
      <w:r w:rsidR="00362F4F">
        <w:rPr>
          <w:bCs/>
          <w:szCs w:val="26"/>
        </w:rPr>
        <w:t xml:space="preserve">First, the roof </w:t>
      </w:r>
      <w:r w:rsidR="00924630">
        <w:rPr>
          <w:bCs/>
          <w:szCs w:val="26"/>
        </w:rPr>
        <w:t>access</w:t>
      </w:r>
      <w:r w:rsidR="00362F4F">
        <w:rPr>
          <w:bCs/>
          <w:szCs w:val="26"/>
        </w:rPr>
        <w:t xml:space="preserve"> cover </w:t>
      </w:r>
      <w:r w:rsidR="00FD2646">
        <w:rPr>
          <w:bCs/>
          <w:szCs w:val="26"/>
        </w:rPr>
        <w:t>(</w:t>
      </w:r>
      <w:r w:rsidR="00D2085E">
        <w:rPr>
          <w:bCs/>
          <w:szCs w:val="26"/>
        </w:rPr>
        <w:t>also</w:t>
      </w:r>
      <w:r w:rsidR="00FD2646">
        <w:rPr>
          <w:bCs/>
          <w:szCs w:val="26"/>
        </w:rPr>
        <w:t xml:space="preserve"> referred to as </w:t>
      </w:r>
      <w:r w:rsidR="00D2085E">
        <w:rPr>
          <w:bCs/>
          <w:szCs w:val="26"/>
        </w:rPr>
        <w:t>a</w:t>
      </w:r>
      <w:r w:rsidR="003A26E0">
        <w:rPr>
          <w:bCs/>
          <w:szCs w:val="26"/>
        </w:rPr>
        <w:t xml:space="preserve"> “hatch” or “</w:t>
      </w:r>
      <w:r w:rsidR="00FD2646">
        <w:rPr>
          <w:bCs/>
          <w:szCs w:val="26"/>
        </w:rPr>
        <w:t>roof hatch</w:t>
      </w:r>
      <w:r w:rsidR="003A26E0">
        <w:rPr>
          <w:bCs/>
          <w:szCs w:val="26"/>
        </w:rPr>
        <w:t>”</w:t>
      </w:r>
      <w:r w:rsidR="00FD2646">
        <w:rPr>
          <w:bCs/>
          <w:szCs w:val="26"/>
        </w:rPr>
        <w:t xml:space="preserve">) </w:t>
      </w:r>
      <w:r w:rsidR="00AD1199">
        <w:rPr>
          <w:bCs/>
          <w:szCs w:val="26"/>
        </w:rPr>
        <w:t>“</w:t>
      </w:r>
      <w:r w:rsidR="00E1374D">
        <w:rPr>
          <w:bCs/>
          <w:szCs w:val="26"/>
        </w:rPr>
        <w:t> ‘</w:t>
      </w:r>
      <w:r w:rsidR="00AD1199">
        <w:rPr>
          <w:bCs/>
          <w:szCs w:val="26"/>
        </w:rPr>
        <w:t xml:space="preserve">does not close properly.  Spring is broken making it heavy and dangerous to </w:t>
      </w:r>
      <w:r w:rsidR="0060259E">
        <w:rPr>
          <w:bCs/>
          <w:szCs w:val="26"/>
        </w:rPr>
        <w:t>open and close.</w:t>
      </w:r>
      <w:r w:rsidR="00ED378C">
        <w:rPr>
          <w:bCs/>
          <w:szCs w:val="26"/>
        </w:rPr>
        <w:t>’ </w:t>
      </w:r>
      <w:r w:rsidR="0060259E">
        <w:rPr>
          <w:bCs/>
          <w:szCs w:val="26"/>
        </w:rPr>
        <w:t xml:space="preserve">”  </w:t>
      </w:r>
      <w:r w:rsidR="00EC4882">
        <w:rPr>
          <w:bCs/>
          <w:szCs w:val="26"/>
        </w:rPr>
        <w:t>Second, the</w:t>
      </w:r>
      <w:r w:rsidR="00F527A5">
        <w:rPr>
          <w:bCs/>
          <w:szCs w:val="26"/>
        </w:rPr>
        <w:t xml:space="preserve"> “</w:t>
      </w:r>
      <w:r w:rsidR="00ED378C">
        <w:rPr>
          <w:bCs/>
          <w:szCs w:val="26"/>
        </w:rPr>
        <w:t> ‘</w:t>
      </w:r>
      <w:r w:rsidR="00EC4882">
        <w:rPr>
          <w:bCs/>
          <w:szCs w:val="26"/>
        </w:rPr>
        <w:t xml:space="preserve">[r]oof ladder is too short.  </w:t>
      </w:r>
      <w:r w:rsidR="00873E9E">
        <w:rPr>
          <w:bCs/>
          <w:szCs w:val="26"/>
        </w:rPr>
        <w:t>Roof ladder stops two feet from the top of the roof hatch.  Does not meet OSHA specifications.</w:t>
      </w:r>
      <w:r w:rsidR="00ED378C">
        <w:rPr>
          <w:bCs/>
          <w:szCs w:val="26"/>
        </w:rPr>
        <w:t>’ </w:t>
      </w:r>
      <w:r w:rsidR="00873E9E">
        <w:rPr>
          <w:bCs/>
          <w:szCs w:val="26"/>
        </w:rPr>
        <w:t xml:space="preserve">” </w:t>
      </w:r>
      <w:r w:rsidR="00DD5426">
        <w:rPr>
          <w:bCs/>
          <w:szCs w:val="26"/>
        </w:rPr>
        <w:t xml:space="preserve"> </w:t>
      </w:r>
      <w:r w:rsidR="00CC162A">
        <w:rPr>
          <w:bCs/>
          <w:szCs w:val="26"/>
        </w:rPr>
        <w:t xml:space="preserve">Roof Depot advised that the cost to repair these </w:t>
      </w:r>
      <w:r w:rsidR="00F527A5">
        <w:rPr>
          <w:bCs/>
          <w:szCs w:val="26"/>
        </w:rPr>
        <w:t>issues</w:t>
      </w:r>
      <w:r w:rsidR="00CC162A">
        <w:rPr>
          <w:bCs/>
          <w:szCs w:val="26"/>
        </w:rPr>
        <w:t xml:space="preserve"> was $3,353.</w:t>
      </w:r>
      <w:r w:rsidR="00522B9C">
        <w:rPr>
          <w:bCs/>
          <w:szCs w:val="26"/>
        </w:rPr>
        <w:t xml:space="preserve"> </w:t>
      </w:r>
      <w:r w:rsidR="00CC162A">
        <w:rPr>
          <w:bCs/>
          <w:szCs w:val="26"/>
        </w:rPr>
        <w:t xml:space="preserve"> </w:t>
      </w:r>
      <w:r w:rsidR="001A0481">
        <w:rPr>
          <w:bCs/>
          <w:szCs w:val="26"/>
        </w:rPr>
        <w:t>It is undisputed that these repairs were not made</w:t>
      </w:r>
      <w:r w:rsidR="00B26912">
        <w:rPr>
          <w:bCs/>
          <w:szCs w:val="26"/>
        </w:rPr>
        <w:t>.</w:t>
      </w:r>
    </w:p>
    <w:p w14:paraId="0230F062" w14:textId="77777777" w:rsidR="00292716" w:rsidRDefault="003E2177" w:rsidP="00D2085E">
      <w:pPr>
        <w:pStyle w:val="Heading2"/>
        <w:keepNext/>
      </w:pPr>
      <w:r>
        <w:t>II.</w:t>
      </w:r>
      <w:r>
        <w:tab/>
      </w:r>
      <w:r w:rsidR="002222A4">
        <w:t xml:space="preserve">The August 10, </w:t>
      </w:r>
      <w:proofErr w:type="gramStart"/>
      <w:r w:rsidR="002222A4">
        <w:t>2016</w:t>
      </w:r>
      <w:proofErr w:type="gramEnd"/>
      <w:r w:rsidR="002222A4">
        <w:t xml:space="preserve"> incident.</w:t>
      </w:r>
    </w:p>
    <w:p w14:paraId="0230F063" w14:textId="77777777" w:rsidR="00211B0F" w:rsidRDefault="003E2177" w:rsidP="008A70AD">
      <w:pPr>
        <w:ind w:firstLine="720"/>
        <w:rPr>
          <w:bCs/>
          <w:szCs w:val="26"/>
        </w:rPr>
      </w:pPr>
      <w:r>
        <w:rPr>
          <w:bCs/>
          <w:szCs w:val="26"/>
        </w:rPr>
        <w:t>Acosta</w:t>
      </w:r>
      <w:r w:rsidR="000D039E">
        <w:rPr>
          <w:bCs/>
          <w:szCs w:val="26"/>
        </w:rPr>
        <w:t xml:space="preserve"> is a</w:t>
      </w:r>
      <w:r w:rsidR="006511EA">
        <w:rPr>
          <w:bCs/>
          <w:szCs w:val="26"/>
        </w:rPr>
        <w:t>n</w:t>
      </w:r>
      <w:r w:rsidR="000D039E">
        <w:rPr>
          <w:bCs/>
          <w:szCs w:val="26"/>
        </w:rPr>
        <w:t xml:space="preserve"> electrical technicia</w:t>
      </w:r>
      <w:r w:rsidR="006072AD">
        <w:rPr>
          <w:bCs/>
          <w:szCs w:val="26"/>
        </w:rPr>
        <w:t>n.</w:t>
      </w:r>
      <w:r w:rsidR="00325A27">
        <w:rPr>
          <w:bCs/>
          <w:szCs w:val="26"/>
        </w:rPr>
        <w:t xml:space="preserve"> </w:t>
      </w:r>
      <w:r w:rsidR="006072AD">
        <w:rPr>
          <w:bCs/>
          <w:szCs w:val="26"/>
        </w:rPr>
        <w:t xml:space="preserve"> In 201</w:t>
      </w:r>
      <w:r w:rsidR="006A34AD">
        <w:rPr>
          <w:bCs/>
          <w:szCs w:val="26"/>
        </w:rPr>
        <w:t>5</w:t>
      </w:r>
      <w:r w:rsidR="006072AD">
        <w:rPr>
          <w:bCs/>
          <w:szCs w:val="26"/>
        </w:rPr>
        <w:t xml:space="preserve">, he </w:t>
      </w:r>
      <w:r w:rsidR="006A34AD">
        <w:rPr>
          <w:bCs/>
          <w:szCs w:val="26"/>
        </w:rPr>
        <w:t xml:space="preserve">began working for </w:t>
      </w:r>
      <w:r w:rsidR="006072AD">
        <w:rPr>
          <w:bCs/>
          <w:szCs w:val="26"/>
        </w:rPr>
        <w:t>Horizon Lighting</w:t>
      </w:r>
      <w:r w:rsidR="008A70AD">
        <w:rPr>
          <w:bCs/>
          <w:szCs w:val="26"/>
        </w:rPr>
        <w:t xml:space="preserve">, Inc. (Horizon), which had </w:t>
      </w:r>
      <w:r w:rsidR="008A70AD">
        <w:rPr>
          <w:bCs/>
          <w:szCs w:val="26"/>
        </w:rPr>
        <w:lastRenderedPageBreak/>
        <w:t xml:space="preserve">contracted with Athena to </w:t>
      </w:r>
      <w:r w:rsidR="003E6E6E">
        <w:rPr>
          <w:bCs/>
          <w:szCs w:val="26"/>
        </w:rPr>
        <w:t>maintain the lights in Arlington Plaza’s common areas</w:t>
      </w:r>
      <w:r w:rsidR="00A45100">
        <w:rPr>
          <w:bCs/>
          <w:szCs w:val="26"/>
        </w:rPr>
        <w:t>, including the exterior and parking lot lights.</w:t>
      </w:r>
    </w:p>
    <w:p w14:paraId="0230F064" w14:textId="77777777" w:rsidR="008D21C0" w:rsidRDefault="003E2177" w:rsidP="008A70AD">
      <w:pPr>
        <w:ind w:firstLine="720"/>
        <w:rPr>
          <w:bCs/>
          <w:szCs w:val="26"/>
        </w:rPr>
      </w:pPr>
      <w:r>
        <w:rPr>
          <w:bCs/>
          <w:szCs w:val="26"/>
        </w:rPr>
        <w:t>On August 10, 2016, Arlington Plaza was the first stop on Acosta’s</w:t>
      </w:r>
      <w:r>
        <w:rPr>
          <w:bCs/>
          <w:szCs w:val="26"/>
        </w:rPr>
        <w:t xml:space="preserve"> maintenance route.</w:t>
      </w:r>
      <w:r w:rsidR="000A0FFB">
        <w:rPr>
          <w:bCs/>
          <w:szCs w:val="26"/>
        </w:rPr>
        <w:t xml:space="preserve">  </w:t>
      </w:r>
      <w:r w:rsidR="00260E1F">
        <w:rPr>
          <w:bCs/>
          <w:szCs w:val="26"/>
        </w:rPr>
        <w:t>Acosta</w:t>
      </w:r>
      <w:r w:rsidR="006B1DCA">
        <w:rPr>
          <w:bCs/>
          <w:szCs w:val="26"/>
        </w:rPr>
        <w:t xml:space="preserve"> noticed that the exterior lights of Building A were still on, </w:t>
      </w:r>
      <w:r w:rsidR="00C336DB">
        <w:rPr>
          <w:bCs/>
          <w:szCs w:val="26"/>
        </w:rPr>
        <w:t xml:space="preserve">which he attributed to an incorrectly set time clock or a malfunctioning photocell.  </w:t>
      </w:r>
      <w:r w:rsidR="00A2707A">
        <w:rPr>
          <w:bCs/>
          <w:szCs w:val="26"/>
        </w:rPr>
        <w:t xml:space="preserve">A security guard let Acosta into </w:t>
      </w:r>
      <w:r w:rsidR="00260E1F">
        <w:rPr>
          <w:bCs/>
          <w:szCs w:val="26"/>
        </w:rPr>
        <w:t xml:space="preserve">Building A’s </w:t>
      </w:r>
      <w:r w:rsidR="00A2707A">
        <w:rPr>
          <w:bCs/>
          <w:szCs w:val="26"/>
        </w:rPr>
        <w:t>locked electrical room</w:t>
      </w:r>
      <w:r w:rsidR="00335253">
        <w:rPr>
          <w:bCs/>
          <w:szCs w:val="26"/>
        </w:rPr>
        <w:t>.</w:t>
      </w:r>
      <w:r w:rsidR="00522B9C">
        <w:rPr>
          <w:bCs/>
          <w:szCs w:val="26"/>
        </w:rPr>
        <w:t xml:space="preserve"> </w:t>
      </w:r>
      <w:r w:rsidR="00335253">
        <w:rPr>
          <w:bCs/>
          <w:szCs w:val="26"/>
        </w:rPr>
        <w:t xml:space="preserve"> </w:t>
      </w:r>
      <w:r>
        <w:rPr>
          <w:bCs/>
          <w:szCs w:val="26"/>
        </w:rPr>
        <w:t>Acosta</w:t>
      </w:r>
      <w:r w:rsidR="00902E35">
        <w:rPr>
          <w:bCs/>
          <w:szCs w:val="26"/>
        </w:rPr>
        <w:t xml:space="preserve"> attempted to switch on the room’s interior </w:t>
      </w:r>
      <w:proofErr w:type="gramStart"/>
      <w:r w:rsidR="00902E35">
        <w:rPr>
          <w:bCs/>
          <w:szCs w:val="26"/>
        </w:rPr>
        <w:t>light</w:t>
      </w:r>
      <w:proofErr w:type="gramEnd"/>
      <w:r w:rsidR="00902E35">
        <w:rPr>
          <w:bCs/>
          <w:szCs w:val="26"/>
        </w:rPr>
        <w:t xml:space="preserve"> but it did not come on. </w:t>
      </w:r>
      <w:r w:rsidR="0097403E">
        <w:rPr>
          <w:bCs/>
          <w:szCs w:val="26"/>
        </w:rPr>
        <w:t xml:space="preserve"> </w:t>
      </w:r>
      <w:r w:rsidR="00417699">
        <w:rPr>
          <w:bCs/>
          <w:szCs w:val="26"/>
        </w:rPr>
        <w:t>There n</w:t>
      </w:r>
      <w:r w:rsidR="00CD242F">
        <w:rPr>
          <w:bCs/>
          <w:szCs w:val="26"/>
        </w:rPr>
        <w:t xml:space="preserve">onetheless was enough light in the room for </w:t>
      </w:r>
      <w:r w:rsidR="00823A36">
        <w:rPr>
          <w:bCs/>
          <w:szCs w:val="26"/>
        </w:rPr>
        <w:t xml:space="preserve">Acosta to “distinguish what was on the electrical panel” and to “get around.”  </w:t>
      </w:r>
      <w:r w:rsidR="0097403E">
        <w:rPr>
          <w:bCs/>
          <w:szCs w:val="26"/>
        </w:rPr>
        <w:t xml:space="preserve">When </w:t>
      </w:r>
      <w:r>
        <w:rPr>
          <w:bCs/>
          <w:szCs w:val="26"/>
        </w:rPr>
        <w:t>Acosta</w:t>
      </w:r>
      <w:r w:rsidR="0097403E">
        <w:rPr>
          <w:bCs/>
          <w:szCs w:val="26"/>
        </w:rPr>
        <w:t xml:space="preserve"> did not find a time clock or </w:t>
      </w:r>
      <w:r w:rsidR="00E06B13">
        <w:rPr>
          <w:bCs/>
          <w:szCs w:val="26"/>
        </w:rPr>
        <w:t xml:space="preserve">circuit </w:t>
      </w:r>
      <w:r w:rsidR="0097403E">
        <w:rPr>
          <w:bCs/>
          <w:szCs w:val="26"/>
        </w:rPr>
        <w:t xml:space="preserve">breaker in the room, he </w:t>
      </w:r>
      <w:r w:rsidR="003843BA">
        <w:rPr>
          <w:bCs/>
          <w:szCs w:val="26"/>
        </w:rPr>
        <w:t>decided to go onto the roof to inspect the rooftop photocells.</w:t>
      </w:r>
    </w:p>
    <w:p w14:paraId="0230F065" w14:textId="77777777" w:rsidR="005C1B5F" w:rsidRDefault="003E2177" w:rsidP="008D21C0">
      <w:pPr>
        <w:ind w:firstLine="720"/>
        <w:rPr>
          <w:bCs/>
          <w:szCs w:val="26"/>
        </w:rPr>
      </w:pPr>
      <w:r>
        <w:rPr>
          <w:bCs/>
          <w:szCs w:val="26"/>
        </w:rPr>
        <w:t xml:space="preserve">Acosta </w:t>
      </w:r>
      <w:r w:rsidR="00182032">
        <w:rPr>
          <w:bCs/>
          <w:szCs w:val="26"/>
        </w:rPr>
        <w:t xml:space="preserve">saw a </w:t>
      </w:r>
      <w:r w:rsidR="00200312">
        <w:rPr>
          <w:bCs/>
          <w:szCs w:val="26"/>
        </w:rPr>
        <w:t xml:space="preserve">fixed </w:t>
      </w:r>
      <w:r w:rsidR="00182032">
        <w:rPr>
          <w:bCs/>
          <w:szCs w:val="26"/>
        </w:rPr>
        <w:t>ladder leading to the roof acc</w:t>
      </w:r>
      <w:r w:rsidR="00F121E4">
        <w:rPr>
          <w:bCs/>
          <w:szCs w:val="26"/>
        </w:rPr>
        <w:t xml:space="preserve">ess, and after </w:t>
      </w:r>
      <w:r w:rsidR="003A26E0">
        <w:rPr>
          <w:bCs/>
          <w:szCs w:val="26"/>
        </w:rPr>
        <w:t>tugging on it to be sure</w:t>
      </w:r>
      <w:r w:rsidR="00F121E4">
        <w:rPr>
          <w:bCs/>
          <w:szCs w:val="26"/>
        </w:rPr>
        <w:t xml:space="preserve"> that </w:t>
      </w:r>
      <w:r w:rsidR="00E810B2">
        <w:rPr>
          <w:bCs/>
          <w:szCs w:val="26"/>
        </w:rPr>
        <w:t>it</w:t>
      </w:r>
      <w:r w:rsidR="00F121E4">
        <w:rPr>
          <w:bCs/>
          <w:szCs w:val="26"/>
        </w:rPr>
        <w:t xml:space="preserve"> was firmly attached, he began climbing </w:t>
      </w:r>
      <w:r w:rsidR="00E810B2">
        <w:rPr>
          <w:bCs/>
          <w:szCs w:val="26"/>
        </w:rPr>
        <w:t>the ladder</w:t>
      </w:r>
      <w:r w:rsidR="00F121E4">
        <w:rPr>
          <w:bCs/>
          <w:szCs w:val="26"/>
        </w:rPr>
        <w:t xml:space="preserve">.  </w:t>
      </w:r>
      <w:r w:rsidR="008C07C7">
        <w:rPr>
          <w:bCs/>
          <w:szCs w:val="26"/>
        </w:rPr>
        <w:t xml:space="preserve">As he got </w:t>
      </w:r>
      <w:r w:rsidR="00785C4E">
        <w:rPr>
          <w:bCs/>
          <w:szCs w:val="26"/>
        </w:rPr>
        <w:t>near</w:t>
      </w:r>
      <w:r w:rsidR="008C07C7">
        <w:rPr>
          <w:bCs/>
          <w:szCs w:val="26"/>
        </w:rPr>
        <w:t xml:space="preserve"> the top, he held onto the top rung of the ladder with </w:t>
      </w:r>
      <w:r w:rsidR="00B43670">
        <w:rPr>
          <w:bCs/>
          <w:szCs w:val="26"/>
        </w:rPr>
        <w:t>one</w:t>
      </w:r>
      <w:r w:rsidR="003E0361">
        <w:rPr>
          <w:bCs/>
          <w:szCs w:val="26"/>
        </w:rPr>
        <w:t xml:space="preserve"> hand and unlatched the hatch with his </w:t>
      </w:r>
      <w:r w:rsidR="00B43670">
        <w:rPr>
          <w:bCs/>
          <w:szCs w:val="26"/>
        </w:rPr>
        <w:t>other hand</w:t>
      </w:r>
      <w:r w:rsidR="003E0361">
        <w:rPr>
          <w:bCs/>
          <w:szCs w:val="26"/>
        </w:rPr>
        <w:t xml:space="preserve">. </w:t>
      </w:r>
      <w:r w:rsidR="00B458F9">
        <w:rPr>
          <w:bCs/>
          <w:szCs w:val="26"/>
        </w:rPr>
        <w:t xml:space="preserve"> After doing so, </w:t>
      </w:r>
      <w:r w:rsidR="00092A62">
        <w:rPr>
          <w:bCs/>
          <w:szCs w:val="26"/>
        </w:rPr>
        <w:t xml:space="preserve">he realized that the ladder did not reach all the way to the roof.  </w:t>
      </w:r>
      <w:r w:rsidR="007C3500">
        <w:rPr>
          <w:bCs/>
          <w:szCs w:val="26"/>
        </w:rPr>
        <w:t>He climbed one more step, fully opened the hatch, and locked it into place</w:t>
      </w:r>
      <w:r w:rsidR="00672510">
        <w:rPr>
          <w:bCs/>
          <w:szCs w:val="26"/>
        </w:rPr>
        <w:t>.</w:t>
      </w:r>
      <w:r>
        <w:rPr>
          <w:bCs/>
          <w:szCs w:val="26"/>
        </w:rPr>
        <w:t xml:space="preserve">  </w:t>
      </w:r>
      <w:r w:rsidR="0006577B">
        <w:rPr>
          <w:bCs/>
          <w:szCs w:val="26"/>
        </w:rPr>
        <w:t xml:space="preserve">Acosta then climbed to the top of the ladder, </w:t>
      </w:r>
      <w:r w:rsidR="00924E06">
        <w:rPr>
          <w:bCs/>
          <w:szCs w:val="26"/>
        </w:rPr>
        <w:t xml:space="preserve">grabbed the frame of the hatch, and swung </w:t>
      </w:r>
      <w:r w:rsidR="00873C98">
        <w:rPr>
          <w:bCs/>
          <w:szCs w:val="26"/>
        </w:rPr>
        <w:t>one</w:t>
      </w:r>
      <w:r w:rsidR="00924E06">
        <w:rPr>
          <w:bCs/>
          <w:szCs w:val="26"/>
        </w:rPr>
        <w:t xml:space="preserve"> leg over the frame</w:t>
      </w:r>
      <w:r w:rsidR="00535A35">
        <w:rPr>
          <w:bCs/>
          <w:szCs w:val="26"/>
        </w:rPr>
        <w:t xml:space="preserve">.  </w:t>
      </w:r>
      <w:r w:rsidR="00A54499">
        <w:rPr>
          <w:bCs/>
          <w:szCs w:val="26"/>
        </w:rPr>
        <w:t>A</w:t>
      </w:r>
      <w:r w:rsidR="00535A35">
        <w:rPr>
          <w:bCs/>
          <w:szCs w:val="26"/>
        </w:rPr>
        <w:t xml:space="preserve">s he pulled his </w:t>
      </w:r>
      <w:r w:rsidR="00873C98">
        <w:rPr>
          <w:bCs/>
          <w:szCs w:val="26"/>
        </w:rPr>
        <w:t>other</w:t>
      </w:r>
      <w:r w:rsidR="00535A35">
        <w:rPr>
          <w:bCs/>
          <w:szCs w:val="26"/>
        </w:rPr>
        <w:t xml:space="preserve"> leg over the frame</w:t>
      </w:r>
      <w:r w:rsidR="008C0F25">
        <w:rPr>
          <w:bCs/>
          <w:szCs w:val="26"/>
        </w:rPr>
        <w:t xml:space="preserve">, the hatch released and fell on him, pinning him between the </w:t>
      </w:r>
      <w:r w:rsidR="00D43747">
        <w:rPr>
          <w:bCs/>
          <w:szCs w:val="26"/>
        </w:rPr>
        <w:t>hatch</w:t>
      </w:r>
      <w:r w:rsidR="001549AB">
        <w:rPr>
          <w:bCs/>
          <w:szCs w:val="26"/>
        </w:rPr>
        <w:t xml:space="preserve"> and the frame.</w:t>
      </w:r>
      <w:r w:rsidR="00535A35">
        <w:rPr>
          <w:bCs/>
          <w:szCs w:val="26"/>
        </w:rPr>
        <w:t xml:space="preserve"> </w:t>
      </w:r>
      <w:r w:rsidR="008C4EE9">
        <w:rPr>
          <w:bCs/>
          <w:szCs w:val="26"/>
        </w:rPr>
        <w:t xml:space="preserve"> He felt a numbing sensation on the right side of his body and </w:t>
      </w:r>
      <w:r w:rsidR="007E39AA">
        <w:rPr>
          <w:bCs/>
          <w:szCs w:val="26"/>
        </w:rPr>
        <w:t xml:space="preserve">almost fell to the ground.  </w:t>
      </w:r>
      <w:r w:rsidR="00621C87">
        <w:rPr>
          <w:bCs/>
          <w:szCs w:val="26"/>
        </w:rPr>
        <w:t>He was able to maintain his grip, pushed the door back open,</w:t>
      </w:r>
      <w:r w:rsidR="009E5FFE">
        <w:rPr>
          <w:bCs/>
          <w:szCs w:val="26"/>
        </w:rPr>
        <w:t xml:space="preserve"> and pull</w:t>
      </w:r>
      <w:r w:rsidR="00873C98">
        <w:rPr>
          <w:bCs/>
          <w:szCs w:val="26"/>
        </w:rPr>
        <w:t>ed</w:t>
      </w:r>
      <w:r w:rsidR="009E5FFE">
        <w:rPr>
          <w:bCs/>
          <w:szCs w:val="26"/>
        </w:rPr>
        <w:t xml:space="preserve"> himself onto the rooftop.</w:t>
      </w:r>
    </w:p>
    <w:p w14:paraId="0230F066" w14:textId="77777777" w:rsidR="00B01333" w:rsidRDefault="003E2177" w:rsidP="0006577B">
      <w:pPr>
        <w:rPr>
          <w:bCs/>
          <w:szCs w:val="26"/>
        </w:rPr>
      </w:pPr>
      <w:r>
        <w:rPr>
          <w:bCs/>
          <w:szCs w:val="26"/>
        </w:rPr>
        <w:tab/>
        <w:t xml:space="preserve">Acosta </w:t>
      </w:r>
      <w:r w:rsidR="00E01026">
        <w:rPr>
          <w:bCs/>
          <w:szCs w:val="26"/>
        </w:rPr>
        <w:t xml:space="preserve">reported the accident to </w:t>
      </w:r>
      <w:r>
        <w:rPr>
          <w:bCs/>
          <w:szCs w:val="26"/>
        </w:rPr>
        <w:t>his supervisor</w:t>
      </w:r>
      <w:r w:rsidR="00E01026">
        <w:rPr>
          <w:bCs/>
          <w:szCs w:val="26"/>
        </w:rPr>
        <w:t xml:space="preserve">, who </w:t>
      </w:r>
      <w:r w:rsidR="00873C98">
        <w:rPr>
          <w:bCs/>
          <w:szCs w:val="26"/>
        </w:rPr>
        <w:t>asked</w:t>
      </w:r>
      <w:r w:rsidR="00E01026">
        <w:rPr>
          <w:bCs/>
          <w:szCs w:val="26"/>
        </w:rPr>
        <w:t xml:space="preserve"> him to take photographs and try to determine why the hatch had </w:t>
      </w:r>
      <w:r w:rsidR="00E01026">
        <w:rPr>
          <w:bCs/>
          <w:szCs w:val="26"/>
        </w:rPr>
        <w:lastRenderedPageBreak/>
        <w:t>fallen on him</w:t>
      </w:r>
      <w:r>
        <w:rPr>
          <w:bCs/>
          <w:szCs w:val="26"/>
        </w:rPr>
        <w:t xml:space="preserve">.  </w:t>
      </w:r>
      <w:r w:rsidR="00550450">
        <w:rPr>
          <w:bCs/>
          <w:szCs w:val="26"/>
        </w:rPr>
        <w:t xml:space="preserve">From the roof, </w:t>
      </w:r>
      <w:r w:rsidR="00A540AB">
        <w:rPr>
          <w:bCs/>
          <w:szCs w:val="26"/>
        </w:rPr>
        <w:t xml:space="preserve">Acosta </w:t>
      </w:r>
      <w:r w:rsidR="00C72582">
        <w:rPr>
          <w:bCs/>
          <w:szCs w:val="26"/>
        </w:rPr>
        <w:t>opened the</w:t>
      </w:r>
      <w:r w:rsidR="00385437">
        <w:rPr>
          <w:bCs/>
          <w:szCs w:val="26"/>
        </w:rPr>
        <w:t xml:space="preserve"> hatch with one hand and unlatched the locking mechanism with his other hand.  As he did so, the </w:t>
      </w:r>
      <w:r w:rsidR="00826F27">
        <w:rPr>
          <w:bCs/>
          <w:szCs w:val="26"/>
        </w:rPr>
        <w:t>hatch fell shut.  Because the</w:t>
      </w:r>
      <w:r w:rsidR="0078378D">
        <w:rPr>
          <w:bCs/>
          <w:szCs w:val="26"/>
        </w:rPr>
        <w:t xml:space="preserve">re was no resistance preventing the hatch from closing, </w:t>
      </w:r>
      <w:r w:rsidR="00AC3D52">
        <w:rPr>
          <w:bCs/>
          <w:szCs w:val="26"/>
        </w:rPr>
        <w:t xml:space="preserve">Acosta believed that the spring designed to hold the </w:t>
      </w:r>
      <w:r w:rsidR="008D21C0">
        <w:rPr>
          <w:bCs/>
          <w:szCs w:val="26"/>
        </w:rPr>
        <w:t>hatch</w:t>
      </w:r>
      <w:r w:rsidR="00AC3D52">
        <w:rPr>
          <w:bCs/>
          <w:szCs w:val="26"/>
        </w:rPr>
        <w:t xml:space="preserve"> open was either </w:t>
      </w:r>
      <w:r w:rsidR="00335803">
        <w:rPr>
          <w:bCs/>
          <w:szCs w:val="26"/>
        </w:rPr>
        <w:t>“</w:t>
      </w:r>
      <w:r w:rsidR="0070334C">
        <w:rPr>
          <w:bCs/>
          <w:szCs w:val="26"/>
        </w:rPr>
        <w:t xml:space="preserve"> broken</w:t>
      </w:r>
      <w:r w:rsidR="00335803">
        <w:rPr>
          <w:bCs/>
          <w:szCs w:val="26"/>
        </w:rPr>
        <w:t xml:space="preserve"> </w:t>
      </w:r>
      <w:r w:rsidR="00267EF1">
        <w:rPr>
          <w:bCs/>
          <w:szCs w:val="26"/>
        </w:rPr>
        <w:t xml:space="preserve">or missing </w:t>
      </w:r>
      <w:r w:rsidR="00335803">
        <w:rPr>
          <w:bCs/>
          <w:szCs w:val="26"/>
        </w:rPr>
        <w:t xml:space="preserve">or wrong </w:t>
      </w:r>
      <w:r w:rsidR="006C6BE6">
        <w:rPr>
          <w:bCs/>
          <w:szCs w:val="26"/>
        </w:rPr>
        <w:t>type of spring</w:t>
      </w:r>
      <w:r w:rsidR="0070334C">
        <w:rPr>
          <w:bCs/>
          <w:szCs w:val="26"/>
        </w:rPr>
        <w:t>.</w:t>
      </w:r>
      <w:r w:rsidR="006C6BE6">
        <w:rPr>
          <w:bCs/>
          <w:szCs w:val="26"/>
        </w:rPr>
        <w:t>”</w:t>
      </w:r>
      <w:r w:rsidR="0070334C">
        <w:rPr>
          <w:bCs/>
          <w:szCs w:val="26"/>
        </w:rPr>
        <w:t xml:space="preserve"> </w:t>
      </w:r>
      <w:r w:rsidR="006B2C47">
        <w:rPr>
          <w:bCs/>
          <w:szCs w:val="26"/>
        </w:rPr>
        <w:t xml:space="preserve"> </w:t>
      </w:r>
      <w:r w:rsidR="00BE0333">
        <w:rPr>
          <w:bCs/>
          <w:szCs w:val="26"/>
        </w:rPr>
        <w:t>Acosta</w:t>
      </w:r>
      <w:r w:rsidR="006B2C47">
        <w:rPr>
          <w:bCs/>
          <w:szCs w:val="26"/>
        </w:rPr>
        <w:t xml:space="preserve"> took pictures of the area, climbed </w:t>
      </w:r>
      <w:r>
        <w:rPr>
          <w:bCs/>
          <w:szCs w:val="26"/>
        </w:rPr>
        <w:t>off the roof</w:t>
      </w:r>
      <w:r w:rsidR="006B2C47">
        <w:rPr>
          <w:bCs/>
          <w:szCs w:val="26"/>
        </w:rPr>
        <w:t>, closed the hatch</w:t>
      </w:r>
      <w:r>
        <w:rPr>
          <w:bCs/>
          <w:szCs w:val="26"/>
        </w:rPr>
        <w:t>, and climbed down the ladder</w:t>
      </w:r>
      <w:r w:rsidR="006B2C47">
        <w:rPr>
          <w:bCs/>
          <w:szCs w:val="26"/>
        </w:rPr>
        <w:t xml:space="preserve">. </w:t>
      </w:r>
      <w:r>
        <w:rPr>
          <w:bCs/>
          <w:szCs w:val="26"/>
        </w:rPr>
        <w:t xml:space="preserve"> As he descended, he </w:t>
      </w:r>
      <w:r w:rsidR="00243EE6">
        <w:rPr>
          <w:bCs/>
          <w:szCs w:val="26"/>
        </w:rPr>
        <w:t xml:space="preserve">noticed </w:t>
      </w:r>
      <w:r w:rsidR="002F592D">
        <w:rPr>
          <w:bCs/>
          <w:szCs w:val="26"/>
        </w:rPr>
        <w:t>a handwritten note</w:t>
      </w:r>
      <w:r w:rsidR="00243EE6">
        <w:rPr>
          <w:bCs/>
          <w:szCs w:val="26"/>
        </w:rPr>
        <w:t xml:space="preserve"> on the </w:t>
      </w:r>
      <w:r w:rsidR="0035572C">
        <w:rPr>
          <w:bCs/>
          <w:szCs w:val="26"/>
        </w:rPr>
        <w:t>wall that said, “H</w:t>
      </w:r>
      <w:r w:rsidR="008B4A98">
        <w:rPr>
          <w:bCs/>
          <w:szCs w:val="26"/>
        </w:rPr>
        <w:t>ATCH BROKEN!  WATCH FINGERS AND HEAD</w:t>
      </w:r>
      <w:r w:rsidR="00406C84">
        <w:rPr>
          <w:bCs/>
          <w:szCs w:val="26"/>
        </w:rPr>
        <w:t xml:space="preserve">  </w:t>
      </w:r>
      <w:r w:rsidR="00406C84" w:rsidRPr="00406C84">
        <w:rPr>
          <w:bCs/>
          <w:szCs w:val="26"/>
        </w:rPr>
        <w:t>☹</w:t>
      </w:r>
      <w:r w:rsidR="0035572C">
        <w:rPr>
          <w:bCs/>
          <w:szCs w:val="26"/>
        </w:rPr>
        <w:t xml:space="preserve">.”  </w:t>
      </w:r>
      <w:r w:rsidR="00427A71">
        <w:rPr>
          <w:bCs/>
          <w:szCs w:val="26"/>
        </w:rPr>
        <w:t>Acosta wished he had seen the handwritten warning prior to asce</w:t>
      </w:r>
      <w:r w:rsidR="001142E7">
        <w:rPr>
          <w:bCs/>
          <w:szCs w:val="26"/>
        </w:rPr>
        <w:t>nding the ladder.</w:t>
      </w:r>
    </w:p>
    <w:p w14:paraId="0230F067" w14:textId="77777777" w:rsidR="00A671E7" w:rsidRDefault="003E2177" w:rsidP="00A671E7">
      <w:pPr>
        <w:rPr>
          <w:bCs/>
          <w:szCs w:val="26"/>
        </w:rPr>
      </w:pPr>
      <w:r>
        <w:rPr>
          <w:bCs/>
          <w:szCs w:val="26"/>
        </w:rPr>
        <w:tab/>
        <w:t>The day after the accident, Acosta prepared a written statement for his employer describing the accident’s cause.  His statement said as follows:  “On August 10, 2016, I arrived at Arlington Plaza in Riverside at 6:20</w:t>
      </w:r>
      <w:r>
        <w:rPr>
          <w:bCs/>
          <w:szCs w:val="26"/>
        </w:rPr>
        <w:t xml:space="preserve"> a.m.  I performed a survey and had made several repairs throughout the property.  I noticed a set of lights that were still on and needed to replace a bad photocell on the rooftop.  At around 7:55 a.m. security had unlocked the roof access and I began to </w:t>
      </w:r>
      <w:r>
        <w:rPr>
          <w:bCs/>
          <w:szCs w:val="26"/>
        </w:rPr>
        <w:t xml:space="preserve">go up the ladder.  I opened the roof hatch and noticed that the spring assist was broken.  I latched the bar that holds the hatch open and proceeded to climb </w:t>
      </w:r>
      <w:r w:rsidR="00DB363B">
        <w:rPr>
          <w:bCs/>
          <w:szCs w:val="26"/>
        </w:rPr>
        <w:t>t</w:t>
      </w:r>
      <w:r>
        <w:rPr>
          <w:bCs/>
          <w:szCs w:val="26"/>
        </w:rPr>
        <w:t>he last few steps of the ladder.  The ladder didn’t go all the way to the top like all other acce</w:t>
      </w:r>
      <w:r>
        <w:rPr>
          <w:bCs/>
          <w:szCs w:val="26"/>
        </w:rPr>
        <w:t>ss ladders do, this one was about 3 feet shorter.  I needed to get on the last step and throw my leg over [the] top of the hatch to get on the roof.  While doing this, one of the pockets of my tool belt had caught the latch and caused the hatch to close an</w:t>
      </w:r>
      <w:r>
        <w:rPr>
          <w:bCs/>
          <w:szCs w:val="26"/>
        </w:rPr>
        <w:t xml:space="preserve">d land on my back.  My body was partially out and the metal tab that is used for a padlock had struck the right shoulder blade area and the rest of </w:t>
      </w:r>
      <w:r>
        <w:rPr>
          <w:bCs/>
          <w:szCs w:val="26"/>
        </w:rPr>
        <w:lastRenderedPageBreak/>
        <w:t>the door had hit the upper middle back area.  [¶]  I put the hatch back up and secured it, then got on the r</w:t>
      </w:r>
      <w:r>
        <w:rPr>
          <w:bCs/>
          <w:szCs w:val="26"/>
        </w:rPr>
        <w:t>ooftop.”</w:t>
      </w:r>
    </w:p>
    <w:p w14:paraId="0230F068" w14:textId="77777777" w:rsidR="00AA5141" w:rsidRDefault="003E2177" w:rsidP="00AA5141">
      <w:pPr>
        <w:rPr>
          <w:bCs/>
          <w:szCs w:val="26"/>
        </w:rPr>
      </w:pPr>
      <w:r>
        <w:rPr>
          <w:bCs/>
          <w:szCs w:val="26"/>
        </w:rPr>
        <w:tab/>
        <w:t xml:space="preserve">Although Acosta was able to continue working immediately after the accident, he felt worse as the day progressed and sought medical care.  </w:t>
      </w:r>
      <w:r w:rsidR="00AF5BE0">
        <w:rPr>
          <w:bCs/>
          <w:szCs w:val="26"/>
        </w:rPr>
        <w:t>Eventually</w:t>
      </w:r>
      <w:r>
        <w:rPr>
          <w:bCs/>
          <w:szCs w:val="26"/>
        </w:rPr>
        <w:t>, Acosta was diagnosed with ruptured dis</w:t>
      </w:r>
      <w:r w:rsidR="00C509C4">
        <w:rPr>
          <w:bCs/>
          <w:szCs w:val="26"/>
        </w:rPr>
        <w:t>c</w:t>
      </w:r>
      <w:r>
        <w:rPr>
          <w:bCs/>
          <w:szCs w:val="26"/>
        </w:rPr>
        <w:t>s in his cervical and lumbar spine.  He experienced pain</w:t>
      </w:r>
      <w:r>
        <w:rPr>
          <w:bCs/>
          <w:szCs w:val="26"/>
        </w:rPr>
        <w:t>, numbness, and weakness in his neck, back, shoulders, and legs, and ultimately underwent two spinal surgeries.  Acosta continues to experience chronic pain and has been unable to work regularly since the accident.</w:t>
      </w:r>
    </w:p>
    <w:p w14:paraId="0230F069" w14:textId="77777777" w:rsidR="00582E66" w:rsidRDefault="003E2177" w:rsidP="00582E66">
      <w:pPr>
        <w:pStyle w:val="Heading2"/>
      </w:pPr>
      <w:r>
        <w:t>III.</w:t>
      </w:r>
      <w:r>
        <w:tab/>
        <w:t>The present action.</w:t>
      </w:r>
    </w:p>
    <w:p w14:paraId="0230F06A" w14:textId="77777777" w:rsidR="00582E66" w:rsidRDefault="003E2177" w:rsidP="00AA5141">
      <w:pPr>
        <w:rPr>
          <w:bCs/>
          <w:szCs w:val="26"/>
        </w:rPr>
      </w:pPr>
      <w:r>
        <w:rPr>
          <w:bCs/>
          <w:szCs w:val="26"/>
        </w:rPr>
        <w:tab/>
        <w:t>In August 2018,</w:t>
      </w:r>
      <w:r>
        <w:rPr>
          <w:bCs/>
          <w:szCs w:val="26"/>
        </w:rPr>
        <w:t xml:space="preserve"> Acosta filed the present action against MAS and Athena (collectively, defendants) for negligence and premises liability.  Defendants cross-claimed against Acosta’s employer, Horizon, for contractual indemnity and declaratory relief.</w:t>
      </w:r>
      <w:r>
        <w:rPr>
          <w:rStyle w:val="FootnoteReference"/>
          <w:bCs/>
          <w:szCs w:val="26"/>
        </w:rPr>
        <w:footnoteReference w:id="2"/>
      </w:r>
    </w:p>
    <w:p w14:paraId="0230F06B" w14:textId="77777777" w:rsidR="00EB4336" w:rsidRDefault="003E2177" w:rsidP="00817D0B">
      <w:pPr>
        <w:pStyle w:val="Heading2"/>
        <w:keepNext/>
        <w:keepLines/>
      </w:pPr>
      <w:r>
        <w:t>I</w:t>
      </w:r>
      <w:r w:rsidR="00582E66">
        <w:t>V</w:t>
      </w:r>
      <w:r>
        <w:t>.</w:t>
      </w:r>
      <w:r>
        <w:tab/>
      </w:r>
      <w:r w:rsidR="00EC6AC2">
        <w:t xml:space="preserve">The cause of the accident and </w:t>
      </w:r>
      <w:r w:rsidR="00F26CBE">
        <w:t xml:space="preserve">Acosta’s </w:t>
      </w:r>
      <w:r w:rsidR="00C10170">
        <w:t>awareness</w:t>
      </w:r>
      <w:r w:rsidR="00F26CBE">
        <w:t xml:space="preserve"> of the broken hatch.</w:t>
      </w:r>
    </w:p>
    <w:p w14:paraId="0230F06C" w14:textId="77777777" w:rsidR="00EC6AC2" w:rsidRDefault="003E2177" w:rsidP="00817D0B">
      <w:pPr>
        <w:pStyle w:val="Heading3"/>
        <w:keepNext/>
        <w:keepLines/>
      </w:pPr>
      <w:r>
        <w:t>A.</w:t>
      </w:r>
      <w:r>
        <w:tab/>
        <w:t>The accident’s cause.</w:t>
      </w:r>
    </w:p>
    <w:p w14:paraId="0230F06D" w14:textId="77777777" w:rsidR="00EC6AC2" w:rsidRDefault="003E2177" w:rsidP="00C0113A">
      <w:pPr>
        <w:ind w:firstLine="720"/>
        <w:rPr>
          <w:bCs/>
          <w:szCs w:val="26"/>
        </w:rPr>
      </w:pPr>
      <w:r>
        <w:rPr>
          <w:bCs/>
          <w:szCs w:val="26"/>
        </w:rPr>
        <w:t xml:space="preserve">Acosta’s retained safety engineering expert, Brad </w:t>
      </w:r>
      <w:proofErr w:type="spellStart"/>
      <w:r>
        <w:rPr>
          <w:bCs/>
          <w:szCs w:val="26"/>
        </w:rPr>
        <w:t>Avrit</w:t>
      </w:r>
      <w:proofErr w:type="spellEnd"/>
      <w:r>
        <w:rPr>
          <w:bCs/>
          <w:szCs w:val="26"/>
        </w:rPr>
        <w:t xml:space="preserve">, testified that the accident occurred because the compression cylinder designed to keep the roof hatch open was broken.  </w:t>
      </w:r>
      <w:proofErr w:type="spellStart"/>
      <w:r w:rsidR="00202815">
        <w:rPr>
          <w:bCs/>
          <w:szCs w:val="26"/>
        </w:rPr>
        <w:t>Avrit</w:t>
      </w:r>
      <w:proofErr w:type="spellEnd"/>
      <w:r>
        <w:rPr>
          <w:bCs/>
          <w:szCs w:val="26"/>
        </w:rPr>
        <w:t xml:space="preserve"> explained that a compression cylinder contains a spring that is compresse</w:t>
      </w:r>
      <w:r>
        <w:rPr>
          <w:bCs/>
          <w:szCs w:val="26"/>
        </w:rPr>
        <w:t>d when the hatch is closed</w:t>
      </w:r>
      <w:r w:rsidR="00B826B0">
        <w:rPr>
          <w:bCs/>
          <w:szCs w:val="26"/>
        </w:rPr>
        <w:t>.  O</w:t>
      </w:r>
      <w:r>
        <w:rPr>
          <w:bCs/>
          <w:szCs w:val="26"/>
        </w:rPr>
        <w:t>nce released, the spring</w:t>
      </w:r>
      <w:r w:rsidR="003B500A">
        <w:rPr>
          <w:bCs/>
          <w:szCs w:val="26"/>
        </w:rPr>
        <w:t xml:space="preserve"> </w:t>
      </w:r>
      <w:r>
        <w:rPr>
          <w:bCs/>
          <w:szCs w:val="26"/>
        </w:rPr>
        <w:t xml:space="preserve">helps to push the hatch open and then holds </w:t>
      </w:r>
      <w:r w:rsidR="002C2893">
        <w:rPr>
          <w:bCs/>
          <w:szCs w:val="26"/>
        </w:rPr>
        <w:t xml:space="preserve">the hatch </w:t>
      </w:r>
      <w:r>
        <w:rPr>
          <w:bCs/>
          <w:szCs w:val="26"/>
        </w:rPr>
        <w:t xml:space="preserve">in the </w:t>
      </w:r>
      <w:r>
        <w:rPr>
          <w:bCs/>
          <w:szCs w:val="26"/>
        </w:rPr>
        <w:lastRenderedPageBreak/>
        <w:t xml:space="preserve">open position until it is actively pulled shut.  The purpose of the compression cylinder is to assist in opening the </w:t>
      </w:r>
      <w:r w:rsidR="00885587">
        <w:rPr>
          <w:bCs/>
          <w:szCs w:val="26"/>
        </w:rPr>
        <w:t xml:space="preserve">approximately </w:t>
      </w:r>
      <w:r w:rsidR="00A37873">
        <w:rPr>
          <w:bCs/>
          <w:szCs w:val="26"/>
        </w:rPr>
        <w:t>100</w:t>
      </w:r>
      <w:r w:rsidR="00DE54C2">
        <w:rPr>
          <w:bCs/>
          <w:szCs w:val="26"/>
        </w:rPr>
        <w:t>-</w:t>
      </w:r>
      <w:r w:rsidR="00AC4098">
        <w:rPr>
          <w:bCs/>
          <w:szCs w:val="26"/>
        </w:rPr>
        <w:t xml:space="preserve">pound </w:t>
      </w:r>
      <w:r>
        <w:rPr>
          <w:bCs/>
          <w:szCs w:val="26"/>
        </w:rPr>
        <w:t xml:space="preserve">hatch and to keep </w:t>
      </w:r>
      <w:r w:rsidR="00537733">
        <w:rPr>
          <w:bCs/>
          <w:szCs w:val="26"/>
        </w:rPr>
        <w:t>it</w:t>
      </w:r>
      <w:r>
        <w:rPr>
          <w:bCs/>
          <w:szCs w:val="26"/>
        </w:rPr>
        <w:t xml:space="preserve"> from falling shut</w:t>
      </w:r>
      <w:r w:rsidR="00D16C30">
        <w:rPr>
          <w:bCs/>
          <w:szCs w:val="26"/>
        </w:rPr>
        <w:t xml:space="preserve"> </w:t>
      </w:r>
      <w:r w:rsidR="00537733">
        <w:rPr>
          <w:bCs/>
          <w:szCs w:val="26"/>
        </w:rPr>
        <w:t>when</w:t>
      </w:r>
      <w:r w:rsidR="00D16C30">
        <w:rPr>
          <w:bCs/>
          <w:szCs w:val="26"/>
        </w:rPr>
        <w:t xml:space="preserve"> the locking </w:t>
      </w:r>
      <w:r w:rsidR="003C62E5">
        <w:rPr>
          <w:bCs/>
          <w:szCs w:val="26"/>
        </w:rPr>
        <w:t>mechanism</w:t>
      </w:r>
      <w:r w:rsidR="00D16C30">
        <w:rPr>
          <w:bCs/>
          <w:szCs w:val="26"/>
        </w:rPr>
        <w:t xml:space="preserve"> is released</w:t>
      </w:r>
      <w:r>
        <w:rPr>
          <w:bCs/>
          <w:szCs w:val="26"/>
        </w:rPr>
        <w:t xml:space="preserve">.  </w:t>
      </w:r>
      <w:r w:rsidR="00AA1175">
        <w:rPr>
          <w:bCs/>
          <w:szCs w:val="26"/>
        </w:rPr>
        <w:t xml:space="preserve">Had </w:t>
      </w:r>
      <w:r w:rsidR="00710EF6">
        <w:rPr>
          <w:bCs/>
          <w:szCs w:val="26"/>
        </w:rPr>
        <w:t xml:space="preserve">the compression cylinder worked as intended, the hatch would have </w:t>
      </w:r>
      <w:r w:rsidR="00B30DAA">
        <w:rPr>
          <w:bCs/>
          <w:szCs w:val="26"/>
        </w:rPr>
        <w:t xml:space="preserve">immediately </w:t>
      </w:r>
      <w:r w:rsidR="00710EF6">
        <w:rPr>
          <w:bCs/>
          <w:szCs w:val="26"/>
        </w:rPr>
        <w:t xml:space="preserve">opened six to 12 inches once it was unlocked and would have remained open </w:t>
      </w:r>
      <w:r w:rsidR="00AD063E">
        <w:rPr>
          <w:bCs/>
          <w:szCs w:val="26"/>
        </w:rPr>
        <w:t>until it was actively pulled shut</w:t>
      </w:r>
      <w:r w:rsidR="00710EF6">
        <w:rPr>
          <w:bCs/>
          <w:szCs w:val="26"/>
        </w:rPr>
        <w:t xml:space="preserve">.  </w:t>
      </w:r>
      <w:r>
        <w:rPr>
          <w:bCs/>
          <w:szCs w:val="26"/>
        </w:rPr>
        <w:t xml:space="preserve">In this case, </w:t>
      </w:r>
      <w:r w:rsidR="009A53E2">
        <w:rPr>
          <w:bCs/>
          <w:szCs w:val="26"/>
        </w:rPr>
        <w:t xml:space="preserve">however, </w:t>
      </w:r>
      <w:r>
        <w:rPr>
          <w:bCs/>
          <w:szCs w:val="26"/>
        </w:rPr>
        <w:t xml:space="preserve">the cylinder was present, but the spring was missing.  As a result, when the locking </w:t>
      </w:r>
      <w:r w:rsidR="00867587">
        <w:rPr>
          <w:bCs/>
          <w:szCs w:val="26"/>
        </w:rPr>
        <w:t>mechanism</w:t>
      </w:r>
      <w:r>
        <w:rPr>
          <w:bCs/>
          <w:szCs w:val="26"/>
        </w:rPr>
        <w:t xml:space="preserve"> </w:t>
      </w:r>
      <w:r w:rsidR="009A53E2">
        <w:rPr>
          <w:bCs/>
          <w:szCs w:val="26"/>
        </w:rPr>
        <w:t>wa</w:t>
      </w:r>
      <w:r w:rsidR="0045498F">
        <w:rPr>
          <w:bCs/>
          <w:szCs w:val="26"/>
        </w:rPr>
        <w:t>s</w:t>
      </w:r>
      <w:r>
        <w:rPr>
          <w:bCs/>
          <w:szCs w:val="26"/>
        </w:rPr>
        <w:t xml:space="preserve"> touched, “the roof hatch just free falls </w:t>
      </w:r>
      <w:r w:rsidR="00DB46C9">
        <w:rPr>
          <w:bCs/>
          <w:szCs w:val="26"/>
        </w:rPr>
        <w:t xml:space="preserve">down </w:t>
      </w:r>
      <w:r>
        <w:rPr>
          <w:bCs/>
          <w:szCs w:val="26"/>
        </w:rPr>
        <w:t>and closes.”</w:t>
      </w:r>
    </w:p>
    <w:p w14:paraId="0230F06E" w14:textId="77777777" w:rsidR="00EC6AC2" w:rsidRDefault="003E2177" w:rsidP="00EC6AC2">
      <w:pPr>
        <w:ind w:firstLine="720"/>
        <w:rPr>
          <w:bCs/>
          <w:szCs w:val="26"/>
        </w:rPr>
      </w:pPr>
      <w:proofErr w:type="spellStart"/>
      <w:r>
        <w:rPr>
          <w:bCs/>
          <w:szCs w:val="26"/>
        </w:rPr>
        <w:t>Avrit</w:t>
      </w:r>
      <w:proofErr w:type="spellEnd"/>
      <w:r>
        <w:rPr>
          <w:bCs/>
          <w:szCs w:val="26"/>
        </w:rPr>
        <w:t xml:space="preserve"> testified that a secondary cause of the accident was</w:t>
      </w:r>
      <w:r>
        <w:rPr>
          <w:bCs/>
          <w:szCs w:val="26"/>
        </w:rPr>
        <w:t xml:space="preserve"> that the top rung of the fixed ladder in the electrical room was about 30 inches below the roof hatch.  This violated OSHA regulations, which require a fixed ladder to extend all the way to the roof.  </w:t>
      </w:r>
      <w:proofErr w:type="spellStart"/>
      <w:r>
        <w:rPr>
          <w:bCs/>
          <w:szCs w:val="26"/>
        </w:rPr>
        <w:t>Avrit</w:t>
      </w:r>
      <w:proofErr w:type="spellEnd"/>
      <w:r>
        <w:rPr>
          <w:bCs/>
          <w:szCs w:val="26"/>
        </w:rPr>
        <w:t xml:space="preserve"> opined that the short ladder contributed to the </w:t>
      </w:r>
      <w:r>
        <w:rPr>
          <w:bCs/>
          <w:szCs w:val="26"/>
        </w:rPr>
        <w:t xml:space="preserve">accident because Acosta could not step from the top rung onto the </w:t>
      </w:r>
      <w:proofErr w:type="gramStart"/>
      <w:r>
        <w:rPr>
          <w:bCs/>
          <w:szCs w:val="26"/>
        </w:rPr>
        <w:t>roof, but</w:t>
      </w:r>
      <w:proofErr w:type="gramEnd"/>
      <w:r>
        <w:rPr>
          <w:bCs/>
          <w:szCs w:val="26"/>
        </w:rPr>
        <w:t xml:space="preserve"> had to lift his leg up and over the hatch, increasing the probability of coming into contact with the locking mechanism.</w:t>
      </w:r>
    </w:p>
    <w:p w14:paraId="0230F06F" w14:textId="77777777" w:rsidR="00074FD7" w:rsidRDefault="003E2177" w:rsidP="00EC6AC2">
      <w:pPr>
        <w:ind w:firstLine="720"/>
        <w:rPr>
          <w:bCs/>
          <w:szCs w:val="26"/>
        </w:rPr>
      </w:pPr>
      <w:r>
        <w:rPr>
          <w:bCs/>
          <w:szCs w:val="26"/>
        </w:rPr>
        <w:t xml:space="preserve">In </w:t>
      </w:r>
      <w:proofErr w:type="spellStart"/>
      <w:r>
        <w:rPr>
          <w:bCs/>
          <w:szCs w:val="26"/>
        </w:rPr>
        <w:t>Avrit’s</w:t>
      </w:r>
      <w:proofErr w:type="spellEnd"/>
      <w:r>
        <w:rPr>
          <w:bCs/>
          <w:szCs w:val="26"/>
        </w:rPr>
        <w:t xml:space="preserve"> opinion, the hatch </w:t>
      </w:r>
      <w:r w:rsidR="00FF5FAA">
        <w:rPr>
          <w:bCs/>
          <w:szCs w:val="26"/>
        </w:rPr>
        <w:t>was</w:t>
      </w:r>
      <w:r>
        <w:rPr>
          <w:bCs/>
          <w:szCs w:val="26"/>
        </w:rPr>
        <w:t xml:space="preserve"> </w:t>
      </w:r>
      <w:r w:rsidR="00597B3E">
        <w:rPr>
          <w:bCs/>
          <w:szCs w:val="26"/>
        </w:rPr>
        <w:t>“absolutely not safe” because “if the hold-open arm is just touched, . . . just a minimal amount of pressure, that thing can</w:t>
      </w:r>
      <w:r w:rsidR="00826E5E">
        <w:rPr>
          <w:bCs/>
          <w:szCs w:val="26"/>
        </w:rPr>
        <w:t xml:space="preserve"> come slamming down. . . .  And it’s</w:t>
      </w:r>
      <w:r w:rsidR="00C90FCB">
        <w:rPr>
          <w:bCs/>
          <w:szCs w:val="26"/>
        </w:rPr>
        <w:t>—</w:t>
      </w:r>
      <w:r w:rsidR="00826E5E">
        <w:rPr>
          <w:bCs/>
          <w:szCs w:val="26"/>
        </w:rPr>
        <w:t>it</w:t>
      </w:r>
      <w:r w:rsidR="000D0629">
        <w:rPr>
          <w:bCs/>
          <w:szCs w:val="26"/>
        </w:rPr>
        <w:t>’</w:t>
      </w:r>
      <w:r w:rsidR="00826E5E">
        <w:rPr>
          <w:bCs/>
          <w:szCs w:val="26"/>
        </w:rPr>
        <w:t xml:space="preserve">s unnecessarily not safe.  All you need to do </w:t>
      </w:r>
      <w:r w:rsidR="000F2D46">
        <w:rPr>
          <w:bCs/>
          <w:szCs w:val="26"/>
        </w:rPr>
        <w:t xml:space="preserve">is </w:t>
      </w:r>
      <w:r w:rsidR="00826E5E">
        <w:rPr>
          <w:bCs/>
          <w:szCs w:val="26"/>
        </w:rPr>
        <w:t>install those spring hinges and the lid will stay up.  And it won’t be until you pull on it that it will come down, and only come down as hard as you pull on it.”</w:t>
      </w:r>
    </w:p>
    <w:p w14:paraId="0230F070" w14:textId="77777777" w:rsidR="00EC6AC2" w:rsidRDefault="003E2177" w:rsidP="00EC6AC2">
      <w:pPr>
        <w:pStyle w:val="Heading3"/>
      </w:pPr>
      <w:r>
        <w:t>B.</w:t>
      </w:r>
      <w:r>
        <w:tab/>
        <w:t>Acosta’s awareness of the broken hatch.</w:t>
      </w:r>
    </w:p>
    <w:p w14:paraId="0230F071" w14:textId="77777777" w:rsidR="005E7D29" w:rsidRDefault="003E2177" w:rsidP="00333FE5">
      <w:pPr>
        <w:rPr>
          <w:bCs/>
          <w:szCs w:val="26"/>
        </w:rPr>
      </w:pPr>
      <w:r>
        <w:rPr>
          <w:bCs/>
          <w:szCs w:val="26"/>
        </w:rPr>
        <w:tab/>
      </w:r>
      <w:r w:rsidR="00F43D9C">
        <w:rPr>
          <w:bCs/>
          <w:szCs w:val="26"/>
        </w:rPr>
        <w:t xml:space="preserve">Acosta testified that </w:t>
      </w:r>
      <w:r w:rsidR="004E3F66">
        <w:rPr>
          <w:bCs/>
          <w:szCs w:val="26"/>
        </w:rPr>
        <w:t xml:space="preserve">he used roof hatches frequently, typically </w:t>
      </w:r>
      <w:r w:rsidR="005200BF">
        <w:rPr>
          <w:bCs/>
          <w:szCs w:val="26"/>
        </w:rPr>
        <w:t>several times a month</w:t>
      </w:r>
      <w:r w:rsidR="009C26D3">
        <w:rPr>
          <w:bCs/>
          <w:szCs w:val="26"/>
        </w:rPr>
        <w:t>, or about 650 times</w:t>
      </w:r>
      <w:r w:rsidR="00270349">
        <w:rPr>
          <w:bCs/>
          <w:szCs w:val="26"/>
        </w:rPr>
        <w:t xml:space="preserve"> over the course of his </w:t>
      </w:r>
      <w:r w:rsidR="00FB597D">
        <w:rPr>
          <w:bCs/>
          <w:szCs w:val="26"/>
        </w:rPr>
        <w:t>13-year career</w:t>
      </w:r>
      <w:r w:rsidR="005200BF">
        <w:rPr>
          <w:bCs/>
          <w:szCs w:val="26"/>
        </w:rPr>
        <w:t xml:space="preserve">. </w:t>
      </w:r>
      <w:r w:rsidR="00543532">
        <w:rPr>
          <w:bCs/>
          <w:szCs w:val="26"/>
        </w:rPr>
        <w:t xml:space="preserve"> </w:t>
      </w:r>
      <w:r w:rsidR="00B945B6">
        <w:rPr>
          <w:bCs/>
          <w:szCs w:val="26"/>
        </w:rPr>
        <w:t xml:space="preserve">He considered himself an expert on </w:t>
      </w:r>
      <w:r w:rsidR="00B945B6">
        <w:rPr>
          <w:bCs/>
          <w:szCs w:val="26"/>
        </w:rPr>
        <w:lastRenderedPageBreak/>
        <w:t xml:space="preserve">the operation and functionality of roof hatches “to a certain extent.”  </w:t>
      </w:r>
      <w:r w:rsidR="00A42452">
        <w:rPr>
          <w:bCs/>
          <w:szCs w:val="26"/>
        </w:rPr>
        <w:t xml:space="preserve">He had </w:t>
      </w:r>
      <w:proofErr w:type="gramStart"/>
      <w:r w:rsidR="00A42452">
        <w:rPr>
          <w:bCs/>
          <w:szCs w:val="26"/>
        </w:rPr>
        <w:t>never before</w:t>
      </w:r>
      <w:proofErr w:type="gramEnd"/>
      <w:r w:rsidR="00A42452">
        <w:rPr>
          <w:bCs/>
          <w:szCs w:val="26"/>
        </w:rPr>
        <w:t xml:space="preserve"> encountered a broken roof hatch.</w:t>
      </w:r>
    </w:p>
    <w:p w14:paraId="0230F072" w14:textId="77777777" w:rsidR="00FF0AB1" w:rsidRDefault="003E2177" w:rsidP="00F43D9C">
      <w:pPr>
        <w:ind w:firstLine="720"/>
        <w:rPr>
          <w:bCs/>
          <w:szCs w:val="26"/>
        </w:rPr>
      </w:pPr>
      <w:r>
        <w:rPr>
          <w:bCs/>
          <w:szCs w:val="26"/>
        </w:rPr>
        <w:t>As note</w:t>
      </w:r>
      <w:r>
        <w:rPr>
          <w:bCs/>
          <w:szCs w:val="26"/>
        </w:rPr>
        <w:t xml:space="preserve">d above, </w:t>
      </w:r>
      <w:r w:rsidR="00BF77E5">
        <w:rPr>
          <w:bCs/>
          <w:szCs w:val="26"/>
        </w:rPr>
        <w:t xml:space="preserve">in his </w:t>
      </w:r>
      <w:r w:rsidR="00E1076D">
        <w:rPr>
          <w:bCs/>
          <w:szCs w:val="26"/>
        </w:rPr>
        <w:t xml:space="preserve">written statement </w:t>
      </w:r>
      <w:r w:rsidR="009A5B7A">
        <w:rPr>
          <w:bCs/>
          <w:szCs w:val="26"/>
        </w:rPr>
        <w:t>regarding the accident</w:t>
      </w:r>
      <w:r w:rsidR="00BF77E5">
        <w:rPr>
          <w:bCs/>
          <w:szCs w:val="26"/>
        </w:rPr>
        <w:t xml:space="preserve">, Acosta </w:t>
      </w:r>
      <w:r w:rsidR="00E1076D">
        <w:rPr>
          <w:bCs/>
          <w:szCs w:val="26"/>
        </w:rPr>
        <w:t xml:space="preserve">said that </w:t>
      </w:r>
      <w:r w:rsidR="0090665A">
        <w:rPr>
          <w:bCs/>
          <w:szCs w:val="26"/>
        </w:rPr>
        <w:t xml:space="preserve">he noticed the spring assist was broken as soon as he opened the roof hatch.  </w:t>
      </w:r>
      <w:r w:rsidR="00065CCE">
        <w:rPr>
          <w:bCs/>
          <w:szCs w:val="26"/>
        </w:rPr>
        <w:t xml:space="preserve">When questioned </w:t>
      </w:r>
      <w:r w:rsidR="00947D85">
        <w:rPr>
          <w:bCs/>
          <w:szCs w:val="26"/>
        </w:rPr>
        <w:t xml:space="preserve">at his deposition </w:t>
      </w:r>
      <w:r w:rsidR="00065CCE">
        <w:rPr>
          <w:bCs/>
          <w:szCs w:val="26"/>
        </w:rPr>
        <w:t xml:space="preserve">about this statement, Acosta </w:t>
      </w:r>
      <w:r w:rsidR="007F3EBE">
        <w:rPr>
          <w:bCs/>
          <w:szCs w:val="26"/>
        </w:rPr>
        <w:t xml:space="preserve">initially testified that he </w:t>
      </w:r>
      <w:r w:rsidR="0078762D">
        <w:rPr>
          <w:bCs/>
          <w:szCs w:val="26"/>
        </w:rPr>
        <w:t>knew the spring assist was broken before he climbed through the hatch</w:t>
      </w:r>
      <w:r w:rsidR="00CC1820">
        <w:rPr>
          <w:bCs/>
          <w:szCs w:val="26"/>
        </w:rPr>
        <w:t xml:space="preserve">.  He said:  </w:t>
      </w:r>
      <w:r w:rsidR="007013DB">
        <w:rPr>
          <w:bCs/>
          <w:szCs w:val="26"/>
        </w:rPr>
        <w:t>“</w:t>
      </w:r>
      <w:r w:rsidR="00257D10">
        <w:rPr>
          <w:bCs/>
          <w:szCs w:val="26"/>
        </w:rPr>
        <w:t xml:space="preserve"> ‘</w:t>
      </w:r>
      <w:r w:rsidR="007013DB">
        <w:rPr>
          <w:bCs/>
          <w:szCs w:val="26"/>
        </w:rPr>
        <w:t xml:space="preserve">When I had opened up the door, typically what the spring assist is </w:t>
      </w:r>
      <w:r w:rsidR="004F0FC5">
        <w:rPr>
          <w:bCs/>
          <w:szCs w:val="26"/>
        </w:rPr>
        <w:t xml:space="preserve">it has pressure to </w:t>
      </w:r>
      <w:proofErr w:type="gramStart"/>
      <w:r w:rsidR="004F0FC5">
        <w:rPr>
          <w:bCs/>
          <w:szCs w:val="26"/>
        </w:rPr>
        <w:t>where</w:t>
      </w:r>
      <w:proofErr w:type="gramEnd"/>
      <w:r w:rsidR="004F0FC5">
        <w:rPr>
          <w:bCs/>
          <w:szCs w:val="26"/>
        </w:rPr>
        <w:t xml:space="preserve"> opening up the door would be assisted with the spring, so the entire weight of the door is</w:t>
      </w:r>
      <w:r w:rsidR="00720534">
        <w:rPr>
          <w:bCs/>
          <w:szCs w:val="26"/>
        </w:rPr>
        <w:t>—</w:t>
      </w:r>
      <w:r w:rsidR="004F0FC5">
        <w:rPr>
          <w:bCs/>
          <w:szCs w:val="26"/>
        </w:rPr>
        <w:t>is</w:t>
      </w:r>
      <w:r w:rsidR="00CE6736">
        <w:rPr>
          <w:bCs/>
          <w:szCs w:val="26"/>
        </w:rPr>
        <w:t>—</w:t>
      </w:r>
      <w:r w:rsidR="00847728">
        <w:rPr>
          <w:bCs/>
          <w:szCs w:val="26"/>
        </w:rPr>
        <w:t>wouldn’t be</w:t>
      </w:r>
      <w:r w:rsidR="00CE6736">
        <w:rPr>
          <w:bCs/>
          <w:szCs w:val="26"/>
        </w:rPr>
        <w:t>—</w:t>
      </w:r>
      <w:r w:rsidR="00847728">
        <w:rPr>
          <w:bCs/>
          <w:szCs w:val="26"/>
        </w:rPr>
        <w:t>how can I say this.  The whole weight of the door would be assisted in</w:t>
      </w:r>
      <w:r w:rsidR="00B848F8">
        <w:rPr>
          <w:bCs/>
          <w:szCs w:val="26"/>
        </w:rPr>
        <w:t>—</w:t>
      </w:r>
      <w:r w:rsidR="00847728">
        <w:rPr>
          <w:bCs/>
          <w:szCs w:val="26"/>
        </w:rPr>
        <w:t xml:space="preserve">in </w:t>
      </w:r>
      <w:proofErr w:type="gramStart"/>
      <w:r w:rsidR="00847728">
        <w:rPr>
          <w:bCs/>
          <w:szCs w:val="26"/>
        </w:rPr>
        <w:t>opening up</w:t>
      </w:r>
      <w:proofErr w:type="gramEnd"/>
      <w:r w:rsidR="00847728">
        <w:rPr>
          <w:bCs/>
          <w:szCs w:val="26"/>
        </w:rPr>
        <w:t xml:space="preserve"> by the spring</w:t>
      </w:r>
      <w:r w:rsidR="005748AB">
        <w:rPr>
          <w:bCs/>
          <w:szCs w:val="26"/>
        </w:rPr>
        <w:t xml:space="preserve"> so it would</w:t>
      </w:r>
      <w:r w:rsidR="00B848F8">
        <w:rPr>
          <w:bCs/>
          <w:szCs w:val="26"/>
        </w:rPr>
        <w:t>—</w:t>
      </w:r>
      <w:r w:rsidR="005748AB">
        <w:rPr>
          <w:bCs/>
          <w:szCs w:val="26"/>
        </w:rPr>
        <w:t>it would alleviate some of the weight off of the person opening up the door.  It’s kind of like a</w:t>
      </w:r>
      <w:r w:rsidR="001470C1">
        <w:rPr>
          <w:bCs/>
          <w:szCs w:val="26"/>
        </w:rPr>
        <w:t>—</w:t>
      </w:r>
      <w:r w:rsidR="005748AB">
        <w:rPr>
          <w:bCs/>
          <w:szCs w:val="26"/>
        </w:rPr>
        <w:t xml:space="preserve">just make[s] it easier to </w:t>
      </w:r>
      <w:proofErr w:type="gramStart"/>
      <w:r w:rsidR="005748AB">
        <w:rPr>
          <w:bCs/>
          <w:szCs w:val="26"/>
        </w:rPr>
        <w:t>open up</w:t>
      </w:r>
      <w:proofErr w:type="gramEnd"/>
      <w:r w:rsidR="005748AB">
        <w:rPr>
          <w:bCs/>
          <w:szCs w:val="26"/>
        </w:rPr>
        <w:t>.</w:t>
      </w:r>
      <w:r w:rsidR="00B852E7">
        <w:rPr>
          <w:bCs/>
          <w:szCs w:val="26"/>
        </w:rPr>
        <w:t>’ </w:t>
      </w:r>
      <w:r w:rsidR="005748AB">
        <w:rPr>
          <w:bCs/>
          <w:szCs w:val="26"/>
        </w:rPr>
        <w:t>”</w:t>
      </w:r>
    </w:p>
    <w:p w14:paraId="0230F073" w14:textId="77777777" w:rsidR="00065CCE" w:rsidRDefault="003E2177" w:rsidP="00FF0AB1">
      <w:pPr>
        <w:ind w:firstLine="720"/>
        <w:rPr>
          <w:bCs/>
          <w:szCs w:val="26"/>
        </w:rPr>
      </w:pPr>
      <w:r>
        <w:rPr>
          <w:bCs/>
          <w:szCs w:val="26"/>
        </w:rPr>
        <w:t>After</w:t>
      </w:r>
      <w:r w:rsidR="006744AC">
        <w:rPr>
          <w:bCs/>
          <w:szCs w:val="26"/>
        </w:rPr>
        <w:t xml:space="preserve"> taking a break and conferring with his counsel, Acosta clarified his</w:t>
      </w:r>
      <w:r w:rsidR="00FF0AB1">
        <w:rPr>
          <w:bCs/>
          <w:szCs w:val="26"/>
        </w:rPr>
        <w:t xml:space="preserve"> deposition</w:t>
      </w:r>
      <w:r w:rsidR="006744AC">
        <w:rPr>
          <w:bCs/>
          <w:szCs w:val="26"/>
        </w:rPr>
        <w:t xml:space="preserve"> </w:t>
      </w:r>
      <w:r w:rsidR="001872FF">
        <w:rPr>
          <w:bCs/>
          <w:szCs w:val="26"/>
        </w:rPr>
        <w:t xml:space="preserve">testimony as follows:  </w:t>
      </w:r>
      <w:r w:rsidR="002A3A7D">
        <w:rPr>
          <w:bCs/>
          <w:szCs w:val="26"/>
        </w:rPr>
        <w:t>“</w:t>
      </w:r>
      <w:r w:rsidR="00B852E7">
        <w:rPr>
          <w:bCs/>
          <w:szCs w:val="26"/>
        </w:rPr>
        <w:t> ‘</w:t>
      </w:r>
      <w:r w:rsidR="002A3A7D">
        <w:rPr>
          <w:bCs/>
          <w:szCs w:val="26"/>
        </w:rPr>
        <w:t xml:space="preserve">When I stated I </w:t>
      </w:r>
      <w:proofErr w:type="gramStart"/>
      <w:r w:rsidR="002A3A7D">
        <w:rPr>
          <w:bCs/>
          <w:szCs w:val="26"/>
        </w:rPr>
        <w:t>opened up</w:t>
      </w:r>
      <w:proofErr w:type="gramEnd"/>
      <w:r w:rsidR="002A3A7D">
        <w:rPr>
          <w:bCs/>
          <w:szCs w:val="26"/>
        </w:rPr>
        <w:t xml:space="preserve"> the roof hatch and noticed that the spring was broken, so at the time of the incident I only noticed that the roof hatch was heavier than expected.  At the time I didn’t realize it was broken.  The reason why I wrote it in this report is </w:t>
      </w:r>
      <w:r w:rsidR="00066C7B">
        <w:rPr>
          <w:bCs/>
          <w:szCs w:val="26"/>
        </w:rPr>
        <w:t xml:space="preserve">I </w:t>
      </w:r>
      <w:r w:rsidR="002A3A7D">
        <w:rPr>
          <w:bCs/>
          <w:szCs w:val="26"/>
        </w:rPr>
        <w:t>just put two and two together and figured out that</w:t>
      </w:r>
      <w:r w:rsidR="00D221F5">
        <w:rPr>
          <w:bCs/>
          <w:szCs w:val="26"/>
        </w:rPr>
        <w:t xml:space="preserve"> [was] the reason why it fell on me.  </w:t>
      </w:r>
      <w:proofErr w:type="gramStart"/>
      <w:r w:rsidR="00D221F5">
        <w:rPr>
          <w:bCs/>
          <w:szCs w:val="26"/>
        </w:rPr>
        <w:t>At the moment</w:t>
      </w:r>
      <w:proofErr w:type="gramEnd"/>
      <w:r w:rsidR="00D221F5">
        <w:rPr>
          <w:bCs/>
          <w:szCs w:val="26"/>
        </w:rPr>
        <w:t xml:space="preserve"> of my exit or opening that door, I just remember it was a little heavier than expected, but not being able to see physically inside of the cylinder if the spring was bro</w:t>
      </w:r>
      <w:r w:rsidR="001A1A2A">
        <w:rPr>
          <w:bCs/>
          <w:szCs w:val="26"/>
        </w:rPr>
        <w:t>ken or not, I wasn’t able to really know that it was broken until it actually fell on me.</w:t>
      </w:r>
      <w:r w:rsidR="00CC5FAC">
        <w:rPr>
          <w:bCs/>
          <w:szCs w:val="26"/>
        </w:rPr>
        <w:t>’ </w:t>
      </w:r>
      <w:r w:rsidR="00CC7ADF">
        <w:rPr>
          <w:bCs/>
          <w:szCs w:val="26"/>
        </w:rPr>
        <w:t>”</w:t>
      </w:r>
    </w:p>
    <w:p w14:paraId="0230F074" w14:textId="77777777" w:rsidR="000E05C5" w:rsidRDefault="003E2177" w:rsidP="0006577B">
      <w:pPr>
        <w:rPr>
          <w:bCs/>
          <w:szCs w:val="26"/>
        </w:rPr>
      </w:pPr>
      <w:r>
        <w:rPr>
          <w:bCs/>
          <w:szCs w:val="26"/>
        </w:rPr>
        <w:tab/>
      </w:r>
      <w:r w:rsidR="00A76CDD">
        <w:rPr>
          <w:bCs/>
          <w:szCs w:val="26"/>
        </w:rPr>
        <w:t>In his direct testimony</w:t>
      </w:r>
      <w:r w:rsidR="00FF0AB1">
        <w:rPr>
          <w:bCs/>
          <w:szCs w:val="26"/>
        </w:rPr>
        <w:t xml:space="preserve"> at trial</w:t>
      </w:r>
      <w:r w:rsidR="00A76CDD">
        <w:rPr>
          <w:bCs/>
          <w:szCs w:val="26"/>
        </w:rPr>
        <w:t xml:space="preserve">, </w:t>
      </w:r>
      <w:r>
        <w:rPr>
          <w:bCs/>
          <w:szCs w:val="26"/>
        </w:rPr>
        <w:t xml:space="preserve">Acosta testified that </w:t>
      </w:r>
      <w:r w:rsidR="00A17327">
        <w:rPr>
          <w:bCs/>
          <w:szCs w:val="26"/>
        </w:rPr>
        <w:t xml:space="preserve">before the hatch fell on him, he did not </w:t>
      </w:r>
      <w:r w:rsidR="004A479B">
        <w:rPr>
          <w:bCs/>
          <w:szCs w:val="26"/>
        </w:rPr>
        <w:t>“</w:t>
      </w:r>
      <w:r w:rsidR="00A17327">
        <w:rPr>
          <w:bCs/>
          <w:szCs w:val="26"/>
        </w:rPr>
        <w:t>know for a fact</w:t>
      </w:r>
      <w:r w:rsidR="004A479B">
        <w:rPr>
          <w:bCs/>
          <w:szCs w:val="26"/>
        </w:rPr>
        <w:t>”</w:t>
      </w:r>
      <w:r w:rsidR="00A17327">
        <w:rPr>
          <w:bCs/>
          <w:szCs w:val="26"/>
        </w:rPr>
        <w:t xml:space="preserve"> that the spring </w:t>
      </w:r>
      <w:r w:rsidR="00A17327">
        <w:rPr>
          <w:bCs/>
          <w:szCs w:val="26"/>
        </w:rPr>
        <w:lastRenderedPageBreak/>
        <w:t xml:space="preserve">was broken or missing.  </w:t>
      </w:r>
      <w:r w:rsidR="00F20492">
        <w:rPr>
          <w:bCs/>
          <w:szCs w:val="26"/>
        </w:rPr>
        <w:t xml:space="preserve">He </w:t>
      </w:r>
      <w:r w:rsidR="00552265">
        <w:rPr>
          <w:bCs/>
          <w:szCs w:val="26"/>
        </w:rPr>
        <w:t>also</w:t>
      </w:r>
      <w:r w:rsidR="00F20492">
        <w:rPr>
          <w:bCs/>
          <w:szCs w:val="26"/>
        </w:rPr>
        <w:t xml:space="preserve"> </w:t>
      </w:r>
      <w:r w:rsidR="00552265">
        <w:rPr>
          <w:bCs/>
          <w:szCs w:val="26"/>
        </w:rPr>
        <w:t xml:space="preserve">did not </w:t>
      </w:r>
      <w:r w:rsidR="00F20492">
        <w:rPr>
          <w:bCs/>
          <w:szCs w:val="26"/>
        </w:rPr>
        <w:t>realize</w:t>
      </w:r>
      <w:r w:rsidR="00155CE5">
        <w:rPr>
          <w:bCs/>
          <w:szCs w:val="26"/>
        </w:rPr>
        <w:t xml:space="preserve"> until after the accident</w:t>
      </w:r>
      <w:r w:rsidR="00F20492">
        <w:rPr>
          <w:bCs/>
          <w:szCs w:val="26"/>
        </w:rPr>
        <w:t xml:space="preserve"> that the ladder </w:t>
      </w:r>
      <w:r w:rsidR="00552265">
        <w:rPr>
          <w:bCs/>
          <w:szCs w:val="26"/>
        </w:rPr>
        <w:t>was too short.</w:t>
      </w:r>
    </w:p>
    <w:p w14:paraId="0230F075" w14:textId="77777777" w:rsidR="00A76CDD" w:rsidRDefault="003E2177" w:rsidP="000E05C5">
      <w:pPr>
        <w:ind w:firstLine="720"/>
        <w:rPr>
          <w:bCs/>
          <w:szCs w:val="26"/>
        </w:rPr>
      </w:pPr>
      <w:r>
        <w:rPr>
          <w:bCs/>
          <w:szCs w:val="26"/>
        </w:rPr>
        <w:t xml:space="preserve">During cross-examination, </w:t>
      </w:r>
      <w:r w:rsidR="000E05C5">
        <w:rPr>
          <w:bCs/>
          <w:szCs w:val="26"/>
        </w:rPr>
        <w:t xml:space="preserve">defense counsel questioned Acosta at length about </w:t>
      </w:r>
      <w:r w:rsidR="00533D0E">
        <w:rPr>
          <w:bCs/>
          <w:szCs w:val="26"/>
        </w:rPr>
        <w:t>the discrepancies between his initial and subsequent deposition testimony</w:t>
      </w:r>
      <w:r w:rsidR="004342FD">
        <w:rPr>
          <w:bCs/>
          <w:szCs w:val="26"/>
        </w:rPr>
        <w:t xml:space="preserve"> and whether Acosta was aware of the broken cylinder prior to the accident.  The relevant colloquy </w:t>
      </w:r>
      <w:r w:rsidR="00550450">
        <w:rPr>
          <w:bCs/>
          <w:szCs w:val="26"/>
        </w:rPr>
        <w:t>wa</w:t>
      </w:r>
      <w:r w:rsidR="004342FD">
        <w:rPr>
          <w:bCs/>
          <w:szCs w:val="26"/>
        </w:rPr>
        <w:t xml:space="preserve">s </w:t>
      </w:r>
      <w:r>
        <w:rPr>
          <w:bCs/>
          <w:szCs w:val="26"/>
        </w:rPr>
        <w:t>as follows:</w:t>
      </w:r>
    </w:p>
    <w:p w14:paraId="0230F076" w14:textId="77777777" w:rsidR="005D3D40" w:rsidRDefault="003E2177" w:rsidP="0006577B">
      <w:pPr>
        <w:rPr>
          <w:bCs/>
          <w:szCs w:val="26"/>
        </w:rPr>
      </w:pPr>
      <w:r>
        <w:rPr>
          <w:bCs/>
          <w:szCs w:val="26"/>
        </w:rPr>
        <w:tab/>
        <w:t>“Q:</w:t>
      </w:r>
      <w:r>
        <w:rPr>
          <w:bCs/>
          <w:szCs w:val="26"/>
        </w:rPr>
        <w:tab/>
        <w:t>[W]</w:t>
      </w:r>
      <w:proofErr w:type="spellStart"/>
      <w:r>
        <w:rPr>
          <w:bCs/>
          <w:szCs w:val="26"/>
        </w:rPr>
        <w:t>e’ve</w:t>
      </w:r>
      <w:proofErr w:type="spellEnd"/>
      <w:r>
        <w:rPr>
          <w:bCs/>
          <w:szCs w:val="26"/>
        </w:rPr>
        <w:t xml:space="preserve"> discussed how the spring assist mechanism is there so that the lid or the hatch </w:t>
      </w:r>
      <w:proofErr w:type="gramStart"/>
      <w:r>
        <w:rPr>
          <w:bCs/>
          <w:szCs w:val="26"/>
        </w:rPr>
        <w:t>opens up</w:t>
      </w:r>
      <w:proofErr w:type="gramEnd"/>
      <w:r>
        <w:rPr>
          <w:bCs/>
          <w:szCs w:val="26"/>
        </w:rPr>
        <w:t xml:space="preserve"> by itself a number of inches once it’s unlocked, correct?</w:t>
      </w:r>
    </w:p>
    <w:p w14:paraId="0230F077" w14:textId="77777777" w:rsidR="005D3D40" w:rsidRDefault="003E2177" w:rsidP="0006577B">
      <w:pPr>
        <w:rPr>
          <w:bCs/>
          <w:szCs w:val="26"/>
        </w:rPr>
      </w:pPr>
      <w:r>
        <w:rPr>
          <w:bCs/>
          <w:szCs w:val="26"/>
        </w:rPr>
        <w:tab/>
        <w:t xml:space="preserve">“A: </w:t>
      </w:r>
      <w:r>
        <w:rPr>
          <w:bCs/>
          <w:szCs w:val="26"/>
        </w:rPr>
        <w:tab/>
        <w:t>Yes.</w:t>
      </w:r>
    </w:p>
    <w:p w14:paraId="0230F078" w14:textId="77777777" w:rsidR="005D3D40" w:rsidRDefault="003E2177" w:rsidP="0006577B">
      <w:pPr>
        <w:rPr>
          <w:bCs/>
          <w:szCs w:val="26"/>
        </w:rPr>
      </w:pPr>
      <w:r>
        <w:rPr>
          <w:bCs/>
          <w:szCs w:val="26"/>
        </w:rPr>
        <w:tab/>
        <w:t xml:space="preserve">“Q:  </w:t>
      </w:r>
      <w:r>
        <w:rPr>
          <w:bCs/>
          <w:szCs w:val="26"/>
        </w:rPr>
        <w:tab/>
        <w:t>And that day once you unlocked it</w:t>
      </w:r>
      <w:r w:rsidR="00483B00">
        <w:rPr>
          <w:bCs/>
          <w:szCs w:val="26"/>
        </w:rPr>
        <w:t>[,]</w:t>
      </w:r>
      <w:r>
        <w:rPr>
          <w:bCs/>
          <w:szCs w:val="26"/>
        </w:rPr>
        <w:t xml:space="preserve"> i</w:t>
      </w:r>
      <w:r>
        <w:rPr>
          <w:bCs/>
          <w:szCs w:val="26"/>
        </w:rPr>
        <w:t>t did not go up by itself; is that correct?</w:t>
      </w:r>
    </w:p>
    <w:p w14:paraId="0230F079" w14:textId="77777777" w:rsidR="005D3D40" w:rsidRDefault="003E2177" w:rsidP="0006577B">
      <w:pPr>
        <w:rPr>
          <w:bCs/>
          <w:szCs w:val="26"/>
        </w:rPr>
      </w:pPr>
      <w:r>
        <w:rPr>
          <w:bCs/>
          <w:szCs w:val="26"/>
        </w:rPr>
        <w:tab/>
        <w:t>“A:</w:t>
      </w:r>
      <w:r>
        <w:rPr>
          <w:bCs/>
          <w:szCs w:val="26"/>
        </w:rPr>
        <w:tab/>
        <w:t>That is correct.</w:t>
      </w:r>
    </w:p>
    <w:p w14:paraId="0230F07A" w14:textId="77777777" w:rsidR="003B22FA" w:rsidRDefault="003E2177" w:rsidP="0006577B">
      <w:pPr>
        <w:rPr>
          <w:bCs/>
          <w:szCs w:val="26"/>
        </w:rPr>
      </w:pPr>
      <w:r>
        <w:rPr>
          <w:bCs/>
          <w:szCs w:val="26"/>
        </w:rPr>
        <w:tab/>
        <w:t>“Q:</w:t>
      </w:r>
      <w:r>
        <w:rPr>
          <w:bCs/>
          <w:szCs w:val="26"/>
        </w:rPr>
        <w:tab/>
        <w:t>Having been through 650 hatches, you know that is not normal behavior for a properly functioning hatch, correct?</w:t>
      </w:r>
    </w:p>
    <w:p w14:paraId="0230F07B" w14:textId="77777777" w:rsidR="003B22FA" w:rsidRDefault="003E2177" w:rsidP="0006577B">
      <w:pPr>
        <w:rPr>
          <w:bCs/>
          <w:szCs w:val="26"/>
        </w:rPr>
      </w:pPr>
      <w:r>
        <w:rPr>
          <w:bCs/>
          <w:szCs w:val="26"/>
        </w:rPr>
        <w:tab/>
        <w:t>“A:</w:t>
      </w:r>
      <w:r>
        <w:rPr>
          <w:bCs/>
          <w:szCs w:val="26"/>
        </w:rPr>
        <w:tab/>
        <w:t>I’ve ran across a couple of hatches that were the same way.</w:t>
      </w:r>
      <w:r w:rsidR="00694A81">
        <w:rPr>
          <w:bCs/>
          <w:szCs w:val="26"/>
        </w:rPr>
        <w:t xml:space="preserve"> . . .</w:t>
      </w:r>
    </w:p>
    <w:p w14:paraId="0230F07C" w14:textId="77777777" w:rsidR="00694A81" w:rsidRDefault="003E2177" w:rsidP="0006577B">
      <w:pPr>
        <w:rPr>
          <w:bCs/>
          <w:szCs w:val="26"/>
        </w:rPr>
      </w:pPr>
      <w:r>
        <w:rPr>
          <w:bCs/>
          <w:szCs w:val="26"/>
        </w:rPr>
        <w:tab/>
        <w:t>“Q:</w:t>
      </w:r>
      <w:r>
        <w:rPr>
          <w:bCs/>
          <w:szCs w:val="26"/>
        </w:rPr>
        <w:tab/>
        <w:t>And you know when you run across one that doesn’t do that</w:t>
      </w:r>
      <w:r w:rsidR="00AF5C6B">
        <w:rPr>
          <w:bCs/>
          <w:szCs w:val="26"/>
        </w:rPr>
        <w:t xml:space="preserve"> it’s not working properly, correct?</w:t>
      </w:r>
    </w:p>
    <w:p w14:paraId="0230F07D" w14:textId="77777777" w:rsidR="00AF5C6B" w:rsidRDefault="003E2177" w:rsidP="0006577B">
      <w:pPr>
        <w:rPr>
          <w:bCs/>
          <w:szCs w:val="26"/>
        </w:rPr>
      </w:pPr>
      <w:r>
        <w:rPr>
          <w:bCs/>
          <w:szCs w:val="26"/>
        </w:rPr>
        <w:tab/>
        <w:t>“A:</w:t>
      </w:r>
      <w:r>
        <w:rPr>
          <w:bCs/>
          <w:szCs w:val="26"/>
        </w:rPr>
        <w:tab/>
        <w:t>It could be just some of the simple wear and tear also.</w:t>
      </w:r>
    </w:p>
    <w:p w14:paraId="0230F07E" w14:textId="77777777" w:rsidR="00AF5C6B" w:rsidRDefault="003E2177" w:rsidP="0006577B">
      <w:pPr>
        <w:rPr>
          <w:bCs/>
          <w:szCs w:val="26"/>
        </w:rPr>
      </w:pPr>
      <w:r>
        <w:rPr>
          <w:bCs/>
          <w:szCs w:val="26"/>
        </w:rPr>
        <w:tab/>
        <w:t>“Q:</w:t>
      </w:r>
      <w:r>
        <w:rPr>
          <w:bCs/>
          <w:szCs w:val="26"/>
        </w:rPr>
        <w:tab/>
        <w:t>Okay.  But you know it’s not normally functioning how it should, correct?</w:t>
      </w:r>
    </w:p>
    <w:p w14:paraId="0230F07F" w14:textId="77777777" w:rsidR="00A24298" w:rsidRDefault="003E2177" w:rsidP="0006577B">
      <w:pPr>
        <w:rPr>
          <w:bCs/>
          <w:szCs w:val="26"/>
        </w:rPr>
      </w:pPr>
      <w:r>
        <w:rPr>
          <w:bCs/>
          <w:szCs w:val="26"/>
        </w:rPr>
        <w:tab/>
        <w:t>“A:</w:t>
      </w:r>
      <w:r>
        <w:rPr>
          <w:bCs/>
          <w:szCs w:val="26"/>
        </w:rPr>
        <w:tab/>
        <w:t>You could sa</w:t>
      </w:r>
      <w:r>
        <w:rPr>
          <w:bCs/>
          <w:szCs w:val="26"/>
        </w:rPr>
        <w:t>y that.</w:t>
      </w:r>
    </w:p>
    <w:p w14:paraId="0230F080" w14:textId="77777777" w:rsidR="00A24298" w:rsidRDefault="003E2177" w:rsidP="0006577B">
      <w:pPr>
        <w:rPr>
          <w:bCs/>
          <w:szCs w:val="26"/>
        </w:rPr>
      </w:pPr>
      <w:r>
        <w:rPr>
          <w:bCs/>
          <w:szCs w:val="26"/>
        </w:rPr>
        <w:tab/>
        <w:t xml:space="preserve">“Q:  </w:t>
      </w:r>
      <w:r>
        <w:rPr>
          <w:bCs/>
          <w:szCs w:val="26"/>
        </w:rPr>
        <w:tab/>
        <w:t xml:space="preserve">Okay.  </w:t>
      </w:r>
      <w:proofErr w:type="gramStart"/>
      <w:r>
        <w:rPr>
          <w:bCs/>
          <w:szCs w:val="26"/>
        </w:rPr>
        <w:t>So</w:t>
      </w:r>
      <w:proofErr w:type="gramEnd"/>
      <w:r>
        <w:rPr>
          <w:bCs/>
          <w:szCs w:val="26"/>
        </w:rPr>
        <w:t xml:space="preserve"> before you go through the hatch, you know it’s not functioning how it should, correct?</w:t>
      </w:r>
    </w:p>
    <w:p w14:paraId="0230F081" w14:textId="77777777" w:rsidR="00C05B8B" w:rsidRDefault="003E2177" w:rsidP="0006577B">
      <w:pPr>
        <w:rPr>
          <w:bCs/>
          <w:szCs w:val="26"/>
        </w:rPr>
      </w:pPr>
      <w:r>
        <w:rPr>
          <w:bCs/>
          <w:szCs w:val="26"/>
        </w:rPr>
        <w:tab/>
        <w:t xml:space="preserve">“A: </w:t>
      </w:r>
      <w:r>
        <w:rPr>
          <w:bCs/>
          <w:szCs w:val="26"/>
        </w:rPr>
        <w:tab/>
        <w:t>Initially I just felt</w:t>
      </w:r>
      <w:r w:rsidR="00651B06">
        <w:rPr>
          <w:bCs/>
          <w:szCs w:val="26"/>
        </w:rPr>
        <w:t>—</w:t>
      </w:r>
      <w:r>
        <w:rPr>
          <w:bCs/>
          <w:szCs w:val="26"/>
        </w:rPr>
        <w:t xml:space="preserve">like I said before, it just felt a little bit heavier </w:t>
      </w:r>
      <w:r w:rsidR="00A52056">
        <w:rPr>
          <w:bCs/>
          <w:szCs w:val="26"/>
        </w:rPr>
        <w:t>than usual</w:t>
      </w:r>
      <w:r w:rsidR="00DB090B">
        <w:rPr>
          <w:bCs/>
          <w:szCs w:val="26"/>
        </w:rPr>
        <w:t xml:space="preserve">.  That’s the only thing that I was thinking. </w:t>
      </w:r>
    </w:p>
    <w:p w14:paraId="0230F082" w14:textId="77777777" w:rsidR="00DB090B" w:rsidRDefault="003E2177" w:rsidP="0006577B">
      <w:pPr>
        <w:rPr>
          <w:bCs/>
          <w:szCs w:val="26"/>
        </w:rPr>
      </w:pPr>
      <w:r>
        <w:rPr>
          <w:bCs/>
          <w:szCs w:val="26"/>
        </w:rPr>
        <w:lastRenderedPageBreak/>
        <w:tab/>
        <w:t>“Q:</w:t>
      </w:r>
      <w:r>
        <w:rPr>
          <w:bCs/>
          <w:szCs w:val="26"/>
        </w:rPr>
        <w:tab/>
      </w:r>
      <w:r>
        <w:rPr>
          <w:bCs/>
          <w:szCs w:val="26"/>
        </w:rPr>
        <w:t xml:space="preserve">I understand that.  But that’s not how it should be functioning based upon your 650 experiences </w:t>
      </w:r>
      <w:r w:rsidR="00AB2FD0">
        <w:rPr>
          <w:bCs/>
          <w:szCs w:val="26"/>
        </w:rPr>
        <w:t xml:space="preserve">approximately </w:t>
      </w:r>
      <w:r>
        <w:rPr>
          <w:bCs/>
          <w:szCs w:val="26"/>
        </w:rPr>
        <w:t>going through roof hatches, correct?</w:t>
      </w:r>
    </w:p>
    <w:p w14:paraId="0230F083" w14:textId="77777777" w:rsidR="00DB090B" w:rsidRDefault="003E2177" w:rsidP="0006577B">
      <w:pPr>
        <w:rPr>
          <w:bCs/>
          <w:szCs w:val="26"/>
        </w:rPr>
      </w:pPr>
      <w:r>
        <w:rPr>
          <w:bCs/>
          <w:szCs w:val="26"/>
        </w:rPr>
        <w:tab/>
        <w:t>“A:</w:t>
      </w:r>
      <w:r>
        <w:rPr>
          <w:bCs/>
          <w:szCs w:val="26"/>
        </w:rPr>
        <w:tab/>
        <w:t>Yeah, you could say that.</w:t>
      </w:r>
    </w:p>
    <w:p w14:paraId="0230F084" w14:textId="77777777" w:rsidR="000A4D52" w:rsidRDefault="003E2177" w:rsidP="0006577B">
      <w:pPr>
        <w:rPr>
          <w:bCs/>
          <w:szCs w:val="26"/>
        </w:rPr>
      </w:pPr>
      <w:r>
        <w:rPr>
          <w:bCs/>
          <w:szCs w:val="26"/>
        </w:rPr>
        <w:tab/>
        <w:t>“Q:</w:t>
      </w:r>
      <w:r>
        <w:rPr>
          <w:bCs/>
          <w:szCs w:val="26"/>
        </w:rPr>
        <w:tab/>
        <w:t xml:space="preserve">Okay.  </w:t>
      </w:r>
      <w:proofErr w:type="gramStart"/>
      <w:r>
        <w:rPr>
          <w:bCs/>
          <w:szCs w:val="26"/>
        </w:rPr>
        <w:t>So</w:t>
      </w:r>
      <w:proofErr w:type="gramEnd"/>
      <w:r>
        <w:rPr>
          <w:bCs/>
          <w:szCs w:val="26"/>
        </w:rPr>
        <w:t xml:space="preserve"> as you’re going through the hatch you know it’s not working cor</w:t>
      </w:r>
      <w:r>
        <w:rPr>
          <w:bCs/>
          <w:szCs w:val="26"/>
        </w:rPr>
        <w:t>rectly, yes or no?</w:t>
      </w:r>
    </w:p>
    <w:p w14:paraId="0230F085" w14:textId="77777777" w:rsidR="000A4D52" w:rsidRDefault="003E2177" w:rsidP="0006577B">
      <w:pPr>
        <w:rPr>
          <w:bCs/>
          <w:szCs w:val="26"/>
        </w:rPr>
      </w:pPr>
      <w:r>
        <w:rPr>
          <w:bCs/>
          <w:szCs w:val="26"/>
        </w:rPr>
        <w:tab/>
        <w:t>“A:</w:t>
      </w:r>
      <w:r>
        <w:rPr>
          <w:bCs/>
          <w:szCs w:val="26"/>
        </w:rPr>
        <w:tab/>
        <w:t>Yes.</w:t>
      </w:r>
      <w:r w:rsidR="009153AB">
        <w:rPr>
          <w:bCs/>
          <w:szCs w:val="26"/>
        </w:rPr>
        <w:t xml:space="preserve"> </w:t>
      </w:r>
      <w:r w:rsidR="00C27869">
        <w:rPr>
          <w:bCs/>
          <w:szCs w:val="26"/>
        </w:rPr>
        <w:t>. . .</w:t>
      </w:r>
    </w:p>
    <w:p w14:paraId="0230F086" w14:textId="77777777" w:rsidR="002A7723" w:rsidRDefault="003E2177" w:rsidP="0006577B">
      <w:pPr>
        <w:rPr>
          <w:bCs/>
          <w:szCs w:val="26"/>
        </w:rPr>
      </w:pPr>
      <w:r>
        <w:rPr>
          <w:bCs/>
          <w:szCs w:val="26"/>
        </w:rPr>
        <w:tab/>
        <w:t>“</w:t>
      </w:r>
      <w:r w:rsidR="00256FCC">
        <w:rPr>
          <w:bCs/>
          <w:szCs w:val="26"/>
        </w:rPr>
        <w:t xml:space="preserve">Q: </w:t>
      </w:r>
      <w:r w:rsidR="00256FCC">
        <w:rPr>
          <w:bCs/>
          <w:szCs w:val="26"/>
        </w:rPr>
        <w:tab/>
        <w:t xml:space="preserve">Okay, now when you have a spring assisted hatch, it’s effortless and all 60 pounds, assuming it weighed 60, would </w:t>
      </w:r>
      <w:proofErr w:type="gramStart"/>
      <w:r w:rsidR="00256FCC">
        <w:rPr>
          <w:bCs/>
          <w:szCs w:val="26"/>
        </w:rPr>
        <w:t>open up</w:t>
      </w:r>
      <w:proofErr w:type="gramEnd"/>
      <w:r w:rsidR="00256FCC">
        <w:rPr>
          <w:bCs/>
          <w:szCs w:val="26"/>
        </w:rPr>
        <w:t xml:space="preserve"> by itself, correct?</w:t>
      </w:r>
    </w:p>
    <w:p w14:paraId="0230F087" w14:textId="77777777" w:rsidR="00256FCC" w:rsidRDefault="003E2177" w:rsidP="0006577B">
      <w:pPr>
        <w:rPr>
          <w:bCs/>
          <w:szCs w:val="26"/>
        </w:rPr>
      </w:pPr>
      <w:r>
        <w:rPr>
          <w:bCs/>
          <w:szCs w:val="26"/>
        </w:rPr>
        <w:tab/>
        <w:t>“A:</w:t>
      </w:r>
      <w:r>
        <w:rPr>
          <w:bCs/>
          <w:szCs w:val="26"/>
        </w:rPr>
        <w:tab/>
        <w:t>Typically, yes.</w:t>
      </w:r>
    </w:p>
    <w:p w14:paraId="0230F088" w14:textId="77777777" w:rsidR="00256FCC" w:rsidRDefault="003E2177" w:rsidP="0006577B">
      <w:pPr>
        <w:rPr>
          <w:bCs/>
          <w:szCs w:val="26"/>
        </w:rPr>
      </w:pPr>
      <w:r>
        <w:rPr>
          <w:bCs/>
          <w:szCs w:val="26"/>
        </w:rPr>
        <w:tab/>
        <w:t>“Q:</w:t>
      </w:r>
      <w:r>
        <w:rPr>
          <w:bCs/>
          <w:szCs w:val="26"/>
        </w:rPr>
        <w:tab/>
        <w:t xml:space="preserve">You used your left side, your </w:t>
      </w:r>
      <w:r>
        <w:rPr>
          <w:bCs/>
          <w:szCs w:val="26"/>
        </w:rPr>
        <w:t>nondominant side, that day to open the hatch, correct?</w:t>
      </w:r>
    </w:p>
    <w:p w14:paraId="0230F089" w14:textId="77777777" w:rsidR="00256FCC" w:rsidRDefault="003E2177" w:rsidP="0006577B">
      <w:pPr>
        <w:rPr>
          <w:bCs/>
          <w:szCs w:val="26"/>
        </w:rPr>
      </w:pPr>
      <w:r>
        <w:rPr>
          <w:bCs/>
          <w:szCs w:val="26"/>
        </w:rPr>
        <w:tab/>
        <w:t>“A:</w:t>
      </w:r>
      <w:r>
        <w:rPr>
          <w:bCs/>
          <w:szCs w:val="26"/>
        </w:rPr>
        <w:tab/>
        <w:t>That is correct.</w:t>
      </w:r>
    </w:p>
    <w:p w14:paraId="0230F08A" w14:textId="77777777" w:rsidR="00256FCC" w:rsidRDefault="003E2177" w:rsidP="0006577B">
      <w:pPr>
        <w:rPr>
          <w:bCs/>
          <w:szCs w:val="26"/>
        </w:rPr>
      </w:pPr>
      <w:r>
        <w:rPr>
          <w:bCs/>
          <w:szCs w:val="26"/>
        </w:rPr>
        <w:tab/>
        <w:t>“Q:</w:t>
      </w:r>
      <w:r>
        <w:rPr>
          <w:bCs/>
          <w:szCs w:val="26"/>
        </w:rPr>
        <w:tab/>
        <w:t>You pushed up with your nondominant side, 60</w:t>
      </w:r>
      <w:r w:rsidR="00FB3F59">
        <w:rPr>
          <w:bCs/>
          <w:szCs w:val="26"/>
        </w:rPr>
        <w:t> </w:t>
      </w:r>
      <w:r>
        <w:rPr>
          <w:bCs/>
          <w:szCs w:val="26"/>
        </w:rPr>
        <w:t>pounds of force, to open the hatch, correct?</w:t>
      </w:r>
    </w:p>
    <w:p w14:paraId="0230F08B" w14:textId="77777777" w:rsidR="00CC45DE" w:rsidRDefault="003E2177" w:rsidP="0006577B">
      <w:pPr>
        <w:rPr>
          <w:bCs/>
          <w:szCs w:val="26"/>
        </w:rPr>
      </w:pPr>
      <w:r>
        <w:rPr>
          <w:bCs/>
          <w:szCs w:val="26"/>
        </w:rPr>
        <w:tab/>
        <w:t>“A:</w:t>
      </w:r>
      <w:r>
        <w:rPr>
          <w:bCs/>
          <w:szCs w:val="26"/>
        </w:rPr>
        <w:tab/>
        <w:t>That is correct.</w:t>
      </w:r>
    </w:p>
    <w:p w14:paraId="0230F08C" w14:textId="77777777" w:rsidR="00CC45DE" w:rsidRDefault="003E2177" w:rsidP="0006577B">
      <w:pPr>
        <w:rPr>
          <w:bCs/>
          <w:szCs w:val="26"/>
        </w:rPr>
      </w:pPr>
      <w:r>
        <w:rPr>
          <w:bCs/>
          <w:szCs w:val="26"/>
        </w:rPr>
        <w:tab/>
        <w:t>“Q:</w:t>
      </w:r>
      <w:r>
        <w:rPr>
          <w:bCs/>
          <w:szCs w:val="26"/>
        </w:rPr>
        <w:tab/>
      </w:r>
      <w:proofErr w:type="gramStart"/>
      <w:r>
        <w:rPr>
          <w:bCs/>
          <w:szCs w:val="26"/>
        </w:rPr>
        <w:t>So</w:t>
      </w:r>
      <w:proofErr w:type="gramEnd"/>
      <w:r>
        <w:rPr>
          <w:bCs/>
          <w:szCs w:val="26"/>
        </w:rPr>
        <w:t xml:space="preserve"> you could easily tell the difference between an automa</w:t>
      </w:r>
      <w:r>
        <w:rPr>
          <w:bCs/>
          <w:szCs w:val="26"/>
        </w:rPr>
        <w:t xml:space="preserve">tically opening door versus a 60-pound weight </w:t>
      </w:r>
      <w:r w:rsidR="000547D0">
        <w:rPr>
          <w:bCs/>
          <w:szCs w:val="26"/>
        </w:rPr>
        <w:t>that you’re pushing, correct?</w:t>
      </w:r>
    </w:p>
    <w:p w14:paraId="0230F08D" w14:textId="77777777" w:rsidR="008723A3" w:rsidRDefault="003E2177" w:rsidP="0006577B">
      <w:pPr>
        <w:rPr>
          <w:bCs/>
          <w:szCs w:val="26"/>
        </w:rPr>
      </w:pPr>
      <w:r>
        <w:rPr>
          <w:bCs/>
          <w:szCs w:val="26"/>
        </w:rPr>
        <w:tab/>
        <w:t>“A:</w:t>
      </w:r>
      <w:r>
        <w:rPr>
          <w:bCs/>
          <w:szCs w:val="26"/>
        </w:rPr>
        <w:tab/>
        <w:t xml:space="preserve">Yes. </w:t>
      </w:r>
      <w:r w:rsidR="007B44C7">
        <w:rPr>
          <w:bCs/>
          <w:szCs w:val="26"/>
        </w:rPr>
        <w:t xml:space="preserve"> [¶] </w:t>
      </w:r>
      <w:r>
        <w:rPr>
          <w:bCs/>
          <w:szCs w:val="26"/>
        </w:rPr>
        <w:t>. . .</w:t>
      </w:r>
      <w:r w:rsidR="007B44C7">
        <w:rPr>
          <w:bCs/>
          <w:szCs w:val="26"/>
        </w:rPr>
        <w:t xml:space="preserve"> [¶] </w:t>
      </w:r>
    </w:p>
    <w:p w14:paraId="0230F08E" w14:textId="77777777" w:rsidR="00E84008" w:rsidRDefault="003E2177" w:rsidP="008723A3">
      <w:pPr>
        <w:ind w:firstLine="720"/>
        <w:rPr>
          <w:bCs/>
          <w:szCs w:val="26"/>
        </w:rPr>
      </w:pPr>
      <w:r>
        <w:rPr>
          <w:bCs/>
          <w:szCs w:val="26"/>
        </w:rPr>
        <w:t>“</w:t>
      </w:r>
      <w:r w:rsidR="008723A3">
        <w:rPr>
          <w:bCs/>
          <w:szCs w:val="26"/>
        </w:rPr>
        <w:t>Q:</w:t>
      </w:r>
      <w:r w:rsidR="008723A3">
        <w:rPr>
          <w:bCs/>
          <w:szCs w:val="26"/>
        </w:rPr>
        <w:tab/>
      </w:r>
      <w:r w:rsidR="0004264B">
        <w:rPr>
          <w:bCs/>
          <w:szCs w:val="26"/>
        </w:rPr>
        <w:t xml:space="preserve">. . . </w:t>
      </w:r>
      <w:r>
        <w:rPr>
          <w:bCs/>
          <w:szCs w:val="26"/>
        </w:rPr>
        <w:t xml:space="preserve">[I]f you’re pushing 60 pounds or so unassisted without any spring mechanism versus something </w:t>
      </w:r>
      <w:proofErr w:type="gramStart"/>
      <w:r>
        <w:rPr>
          <w:bCs/>
          <w:szCs w:val="26"/>
        </w:rPr>
        <w:t>opening up</w:t>
      </w:r>
      <w:proofErr w:type="gramEnd"/>
      <w:r>
        <w:rPr>
          <w:bCs/>
          <w:szCs w:val="26"/>
        </w:rPr>
        <w:t xml:space="preserve"> by itself, that is obvious to </w:t>
      </w:r>
      <w:r>
        <w:rPr>
          <w:bCs/>
          <w:szCs w:val="26"/>
        </w:rPr>
        <w:t>anyone, especially a trained expert like you, correct?</w:t>
      </w:r>
    </w:p>
    <w:p w14:paraId="0230F08F" w14:textId="77777777" w:rsidR="009153AB" w:rsidRDefault="003E2177" w:rsidP="008723A3">
      <w:pPr>
        <w:ind w:firstLine="720"/>
        <w:rPr>
          <w:bCs/>
          <w:szCs w:val="26"/>
        </w:rPr>
      </w:pPr>
      <w:r>
        <w:rPr>
          <w:bCs/>
          <w:szCs w:val="26"/>
        </w:rPr>
        <w:t xml:space="preserve">“A:  </w:t>
      </w:r>
      <w:r>
        <w:rPr>
          <w:bCs/>
          <w:szCs w:val="26"/>
        </w:rPr>
        <w:tab/>
        <w:t>Yes.</w:t>
      </w:r>
      <w:r w:rsidR="00925C83">
        <w:rPr>
          <w:bCs/>
          <w:szCs w:val="26"/>
        </w:rPr>
        <w:t>”</w:t>
      </w:r>
    </w:p>
    <w:p w14:paraId="0230F090" w14:textId="77777777" w:rsidR="00131B0B" w:rsidRDefault="003E2177" w:rsidP="008723A3">
      <w:pPr>
        <w:ind w:firstLine="720"/>
        <w:rPr>
          <w:bCs/>
          <w:szCs w:val="26"/>
        </w:rPr>
      </w:pPr>
      <w:r>
        <w:rPr>
          <w:bCs/>
          <w:szCs w:val="26"/>
        </w:rPr>
        <w:t xml:space="preserve">Acosta also acknowledged that he was aware </w:t>
      </w:r>
      <w:r w:rsidR="00E24B6B">
        <w:rPr>
          <w:bCs/>
          <w:szCs w:val="26"/>
        </w:rPr>
        <w:t xml:space="preserve">the ladder did not reach all the way </w:t>
      </w:r>
      <w:r w:rsidR="00C15307">
        <w:rPr>
          <w:bCs/>
          <w:szCs w:val="26"/>
        </w:rPr>
        <w:t xml:space="preserve">to the hatch’s edge </w:t>
      </w:r>
      <w:r>
        <w:rPr>
          <w:bCs/>
          <w:szCs w:val="26"/>
        </w:rPr>
        <w:t>before he climbed through the roof access.</w:t>
      </w:r>
    </w:p>
    <w:p w14:paraId="0230F091" w14:textId="77777777" w:rsidR="00B06130" w:rsidRDefault="003E2177" w:rsidP="0006577B">
      <w:pPr>
        <w:rPr>
          <w:bCs/>
          <w:szCs w:val="26"/>
        </w:rPr>
      </w:pPr>
      <w:r>
        <w:rPr>
          <w:bCs/>
          <w:szCs w:val="26"/>
        </w:rPr>
        <w:lastRenderedPageBreak/>
        <w:tab/>
      </w:r>
      <w:proofErr w:type="gramStart"/>
      <w:r w:rsidR="00714935">
        <w:rPr>
          <w:bCs/>
          <w:szCs w:val="26"/>
        </w:rPr>
        <w:t>With regard to</w:t>
      </w:r>
      <w:proofErr w:type="gramEnd"/>
      <w:r w:rsidR="00714935">
        <w:rPr>
          <w:bCs/>
          <w:szCs w:val="26"/>
        </w:rPr>
        <w:t xml:space="preserve"> the handwritten warning</w:t>
      </w:r>
      <w:r w:rsidR="00014787">
        <w:rPr>
          <w:bCs/>
          <w:szCs w:val="26"/>
        </w:rPr>
        <w:t xml:space="preserve"> on the wall of the electrical room</w:t>
      </w:r>
      <w:r w:rsidR="00F60296">
        <w:rPr>
          <w:bCs/>
          <w:szCs w:val="26"/>
        </w:rPr>
        <w:t>,</w:t>
      </w:r>
      <w:r w:rsidR="00714935">
        <w:rPr>
          <w:bCs/>
          <w:szCs w:val="26"/>
        </w:rPr>
        <w:t xml:space="preserve"> </w:t>
      </w:r>
      <w:r w:rsidR="00255811">
        <w:rPr>
          <w:bCs/>
          <w:szCs w:val="26"/>
        </w:rPr>
        <w:t xml:space="preserve">Acosta testified that </w:t>
      </w:r>
      <w:r w:rsidR="001E2C47">
        <w:rPr>
          <w:bCs/>
          <w:szCs w:val="26"/>
        </w:rPr>
        <w:t xml:space="preserve">the room was sufficiently well lit to see the warning, but he did not see it before climbing through the roof hatch because he was looking up.  </w:t>
      </w:r>
      <w:r w:rsidR="00292653">
        <w:rPr>
          <w:bCs/>
          <w:szCs w:val="26"/>
        </w:rPr>
        <w:t xml:space="preserve">He agreed that he had been trained to inspect every rung before climbing a ladder, and that had he done so, he would have seen the handwritten warning.  </w:t>
      </w:r>
      <w:r w:rsidR="00106903">
        <w:rPr>
          <w:bCs/>
          <w:szCs w:val="26"/>
        </w:rPr>
        <w:t>However, h</w:t>
      </w:r>
      <w:r w:rsidR="00A64EEC">
        <w:rPr>
          <w:bCs/>
          <w:szCs w:val="26"/>
        </w:rPr>
        <w:t xml:space="preserve">e said workers in his industry did not typically check every rung on a ladder, especially if </w:t>
      </w:r>
      <w:r w:rsidR="00E7535E">
        <w:rPr>
          <w:bCs/>
          <w:szCs w:val="26"/>
        </w:rPr>
        <w:t>the ladder</w:t>
      </w:r>
      <w:r w:rsidR="00A64EEC">
        <w:rPr>
          <w:bCs/>
          <w:szCs w:val="26"/>
        </w:rPr>
        <w:t xml:space="preserve"> </w:t>
      </w:r>
      <w:proofErr w:type="gramStart"/>
      <w:r w:rsidR="00A64EEC">
        <w:rPr>
          <w:bCs/>
          <w:szCs w:val="26"/>
        </w:rPr>
        <w:t>was</w:t>
      </w:r>
      <w:proofErr w:type="gramEnd"/>
      <w:r w:rsidR="00A64EEC">
        <w:rPr>
          <w:bCs/>
          <w:szCs w:val="26"/>
        </w:rPr>
        <w:t xml:space="preserve"> stored indoors</w:t>
      </w:r>
      <w:r w:rsidR="00E7535E">
        <w:rPr>
          <w:bCs/>
          <w:szCs w:val="26"/>
        </w:rPr>
        <w:t xml:space="preserve"> where it would </w:t>
      </w:r>
      <w:r w:rsidR="001F5B92">
        <w:rPr>
          <w:bCs/>
          <w:szCs w:val="26"/>
        </w:rPr>
        <w:t>not be exposed to</w:t>
      </w:r>
      <w:r w:rsidR="00E7535E">
        <w:rPr>
          <w:bCs/>
          <w:szCs w:val="26"/>
        </w:rPr>
        <w:t xml:space="preserve"> sun damage.</w:t>
      </w:r>
    </w:p>
    <w:p w14:paraId="0230F092" w14:textId="77777777" w:rsidR="00F26CBE" w:rsidRDefault="003E2177" w:rsidP="00241E3A">
      <w:pPr>
        <w:ind w:firstLine="720"/>
        <w:rPr>
          <w:bCs/>
          <w:szCs w:val="26"/>
        </w:rPr>
      </w:pPr>
      <w:r>
        <w:rPr>
          <w:bCs/>
          <w:szCs w:val="26"/>
        </w:rPr>
        <w:t xml:space="preserve">Plaintiff’s expert, </w:t>
      </w:r>
      <w:proofErr w:type="spellStart"/>
      <w:r>
        <w:rPr>
          <w:bCs/>
          <w:szCs w:val="26"/>
        </w:rPr>
        <w:t>Avrit</w:t>
      </w:r>
      <w:proofErr w:type="spellEnd"/>
      <w:r>
        <w:rPr>
          <w:bCs/>
          <w:szCs w:val="26"/>
        </w:rPr>
        <w:t xml:space="preserve">, </w:t>
      </w:r>
      <w:r w:rsidR="00806117">
        <w:rPr>
          <w:bCs/>
          <w:szCs w:val="26"/>
        </w:rPr>
        <w:t xml:space="preserve">testified that </w:t>
      </w:r>
      <w:r w:rsidR="00DF4B84">
        <w:rPr>
          <w:bCs/>
          <w:szCs w:val="26"/>
        </w:rPr>
        <w:t xml:space="preserve">had the compression cylinder worked as intended, the hatch would have </w:t>
      </w:r>
      <w:r w:rsidR="001F5B92">
        <w:rPr>
          <w:bCs/>
          <w:szCs w:val="26"/>
        </w:rPr>
        <w:t>sprung open</w:t>
      </w:r>
      <w:r w:rsidR="00DF4B84">
        <w:rPr>
          <w:bCs/>
          <w:szCs w:val="26"/>
        </w:rPr>
        <w:t xml:space="preserve"> once it was unlocked and would have remained open even after the hatch’s locking mechanism was released.  </w:t>
      </w:r>
      <w:r w:rsidR="00432EC6">
        <w:rPr>
          <w:bCs/>
          <w:szCs w:val="26"/>
        </w:rPr>
        <w:t xml:space="preserve">He said that </w:t>
      </w:r>
      <w:r w:rsidR="00827CF6">
        <w:rPr>
          <w:bCs/>
          <w:szCs w:val="26"/>
        </w:rPr>
        <w:t xml:space="preserve">to someone knowledgeable about roof hatches, </w:t>
      </w:r>
      <w:r w:rsidR="00112F12">
        <w:rPr>
          <w:bCs/>
          <w:szCs w:val="26"/>
        </w:rPr>
        <w:t xml:space="preserve">once the hatch was unlocked and did not lift </w:t>
      </w:r>
      <w:r w:rsidR="00F2457F">
        <w:rPr>
          <w:bCs/>
          <w:szCs w:val="26"/>
        </w:rPr>
        <w:t>several</w:t>
      </w:r>
      <w:r w:rsidR="00112F12">
        <w:rPr>
          <w:bCs/>
          <w:szCs w:val="26"/>
        </w:rPr>
        <w:t xml:space="preserve"> inches, </w:t>
      </w:r>
      <w:r w:rsidR="003A6BAB">
        <w:rPr>
          <w:bCs/>
          <w:szCs w:val="26"/>
        </w:rPr>
        <w:t xml:space="preserve">it would be “plainly obvious . . . </w:t>
      </w:r>
      <w:r w:rsidR="00B85595">
        <w:rPr>
          <w:bCs/>
          <w:szCs w:val="26"/>
        </w:rPr>
        <w:t xml:space="preserve">that </w:t>
      </w:r>
      <w:r w:rsidR="003A6BAB">
        <w:rPr>
          <w:bCs/>
          <w:szCs w:val="26"/>
        </w:rPr>
        <w:t>the spring assist is not doing what it’s supposed to do”</w:t>
      </w:r>
      <w:r w:rsidR="000C45F3">
        <w:rPr>
          <w:bCs/>
          <w:szCs w:val="26"/>
        </w:rPr>
        <w:t xml:space="preserve"> and </w:t>
      </w:r>
      <w:r w:rsidR="00FF667F">
        <w:rPr>
          <w:bCs/>
          <w:szCs w:val="26"/>
        </w:rPr>
        <w:t>was</w:t>
      </w:r>
      <w:r w:rsidR="000C45F3">
        <w:rPr>
          <w:bCs/>
          <w:szCs w:val="26"/>
        </w:rPr>
        <w:t xml:space="preserve"> “not in good condition.”</w:t>
      </w:r>
      <w:r w:rsidR="003A6BAB">
        <w:rPr>
          <w:bCs/>
          <w:szCs w:val="26"/>
        </w:rPr>
        <w:t xml:space="preserve"> </w:t>
      </w:r>
      <w:r>
        <w:rPr>
          <w:bCs/>
          <w:szCs w:val="26"/>
        </w:rPr>
        <w:t xml:space="preserve"> </w:t>
      </w:r>
      <w:proofErr w:type="spellStart"/>
      <w:r w:rsidR="00DC7435">
        <w:rPr>
          <w:bCs/>
          <w:szCs w:val="26"/>
        </w:rPr>
        <w:t>Avrit</w:t>
      </w:r>
      <w:proofErr w:type="spellEnd"/>
      <w:r w:rsidR="00DC384B">
        <w:rPr>
          <w:bCs/>
          <w:szCs w:val="26"/>
        </w:rPr>
        <w:t xml:space="preserve"> nonetheless opined that Acosta had acted reasonably</w:t>
      </w:r>
      <w:r w:rsidR="00355AB8">
        <w:rPr>
          <w:bCs/>
          <w:szCs w:val="26"/>
        </w:rPr>
        <w:t xml:space="preserve"> in accessing the roof through the </w:t>
      </w:r>
      <w:r w:rsidR="00F71DAD">
        <w:rPr>
          <w:bCs/>
          <w:szCs w:val="26"/>
        </w:rPr>
        <w:t>hatch</w:t>
      </w:r>
      <w:r w:rsidR="00527460">
        <w:rPr>
          <w:bCs/>
          <w:szCs w:val="26"/>
        </w:rPr>
        <w:t>:  “He climbed up the ladder, he was asked to go up to the roof to ch</w:t>
      </w:r>
      <w:r w:rsidR="00332A60">
        <w:rPr>
          <w:bCs/>
          <w:szCs w:val="26"/>
        </w:rPr>
        <w:t>e</w:t>
      </w:r>
      <w:r w:rsidR="00527460">
        <w:rPr>
          <w:bCs/>
          <w:szCs w:val="26"/>
        </w:rPr>
        <w:t>ck on some lighting fixtures.  He went up</w:t>
      </w:r>
      <w:r w:rsidR="00907318">
        <w:rPr>
          <w:bCs/>
          <w:szCs w:val="26"/>
        </w:rPr>
        <w:t>—</w:t>
      </w:r>
      <w:r w:rsidR="00332A60">
        <w:rPr>
          <w:bCs/>
          <w:szCs w:val="26"/>
        </w:rPr>
        <w:t xml:space="preserve">the only designated way to get up to the roof is through this ladder.  He got up to the top, he opened the hatch, he locked the arm, and then did his best to </w:t>
      </w:r>
      <w:r w:rsidR="00EF4DB3">
        <w:rPr>
          <w:bCs/>
          <w:szCs w:val="26"/>
        </w:rPr>
        <w:t xml:space="preserve">try and </w:t>
      </w:r>
      <w:r w:rsidR="00332A60">
        <w:rPr>
          <w:bCs/>
          <w:szCs w:val="26"/>
        </w:rPr>
        <w:t xml:space="preserve">crawl out.  I didn’t see that he did anything that was out of the ordinary or unreasonable.” </w:t>
      </w:r>
      <w:r w:rsidR="00DC384B">
        <w:rPr>
          <w:bCs/>
          <w:szCs w:val="26"/>
        </w:rPr>
        <w:t xml:space="preserve"> </w:t>
      </w:r>
      <w:proofErr w:type="spellStart"/>
      <w:r>
        <w:rPr>
          <w:bCs/>
          <w:szCs w:val="26"/>
        </w:rPr>
        <w:t>Avrit</w:t>
      </w:r>
      <w:proofErr w:type="spellEnd"/>
      <w:r>
        <w:rPr>
          <w:bCs/>
          <w:szCs w:val="26"/>
        </w:rPr>
        <w:t xml:space="preserve"> </w:t>
      </w:r>
      <w:r w:rsidR="00DC7435">
        <w:rPr>
          <w:bCs/>
          <w:szCs w:val="26"/>
        </w:rPr>
        <w:t xml:space="preserve">further </w:t>
      </w:r>
      <w:r>
        <w:rPr>
          <w:bCs/>
          <w:szCs w:val="26"/>
        </w:rPr>
        <w:t xml:space="preserve">testified that the handwritten warning was not adequate to </w:t>
      </w:r>
      <w:r w:rsidR="00952A4F">
        <w:rPr>
          <w:bCs/>
          <w:szCs w:val="26"/>
        </w:rPr>
        <w:t xml:space="preserve">put </w:t>
      </w:r>
      <w:r>
        <w:rPr>
          <w:bCs/>
          <w:szCs w:val="26"/>
        </w:rPr>
        <w:t xml:space="preserve">Acosta </w:t>
      </w:r>
      <w:r w:rsidR="00952A4F">
        <w:rPr>
          <w:bCs/>
          <w:szCs w:val="26"/>
        </w:rPr>
        <w:t xml:space="preserve">on notice </w:t>
      </w:r>
      <w:r>
        <w:rPr>
          <w:bCs/>
          <w:szCs w:val="26"/>
        </w:rPr>
        <w:t>of the broken hatch</w:t>
      </w:r>
      <w:r w:rsidR="00A9229F">
        <w:rPr>
          <w:bCs/>
          <w:szCs w:val="26"/>
        </w:rPr>
        <w:t xml:space="preserve"> because</w:t>
      </w:r>
      <w:r>
        <w:rPr>
          <w:bCs/>
          <w:szCs w:val="26"/>
        </w:rPr>
        <w:t xml:space="preserve"> it</w:t>
      </w:r>
      <w:r w:rsidR="00332A60">
        <w:rPr>
          <w:bCs/>
          <w:szCs w:val="26"/>
        </w:rPr>
        <w:t xml:space="preserve"> did not comply with OSHA, </w:t>
      </w:r>
      <w:r>
        <w:rPr>
          <w:bCs/>
          <w:szCs w:val="26"/>
        </w:rPr>
        <w:t>“looks like graffiti</w:t>
      </w:r>
      <w:r w:rsidR="00332A60">
        <w:rPr>
          <w:bCs/>
          <w:szCs w:val="26"/>
        </w:rPr>
        <w:t>,</w:t>
      </w:r>
      <w:r>
        <w:rPr>
          <w:bCs/>
          <w:szCs w:val="26"/>
        </w:rPr>
        <w:t xml:space="preserve">” and “doesn’t stand </w:t>
      </w:r>
      <w:r>
        <w:rPr>
          <w:bCs/>
          <w:szCs w:val="26"/>
        </w:rPr>
        <w:t>out from anything else that was written on the wall.”</w:t>
      </w:r>
      <w:r w:rsidR="00543532">
        <w:rPr>
          <w:bCs/>
          <w:szCs w:val="26"/>
        </w:rPr>
        <w:t xml:space="preserve"> </w:t>
      </w:r>
      <w:r>
        <w:rPr>
          <w:bCs/>
          <w:szCs w:val="26"/>
        </w:rPr>
        <w:t xml:space="preserve"> </w:t>
      </w:r>
      <w:r w:rsidR="009732FA">
        <w:rPr>
          <w:bCs/>
          <w:szCs w:val="26"/>
        </w:rPr>
        <w:t xml:space="preserve">He agreed, </w:t>
      </w:r>
      <w:r w:rsidR="009732FA">
        <w:rPr>
          <w:bCs/>
          <w:szCs w:val="26"/>
        </w:rPr>
        <w:lastRenderedPageBreak/>
        <w:t xml:space="preserve">however, </w:t>
      </w:r>
      <w:r w:rsidR="00090C9D">
        <w:rPr>
          <w:bCs/>
          <w:szCs w:val="26"/>
        </w:rPr>
        <w:t xml:space="preserve">that </w:t>
      </w:r>
      <w:r w:rsidR="00AE698B">
        <w:rPr>
          <w:bCs/>
          <w:szCs w:val="26"/>
        </w:rPr>
        <w:t>Acosta should i</w:t>
      </w:r>
      <w:r w:rsidR="00D36AB0">
        <w:rPr>
          <w:bCs/>
          <w:szCs w:val="26"/>
        </w:rPr>
        <w:t xml:space="preserve">nspect a ladder before </w:t>
      </w:r>
      <w:r w:rsidR="008F5D8F">
        <w:rPr>
          <w:bCs/>
          <w:szCs w:val="26"/>
        </w:rPr>
        <w:t xml:space="preserve">using </w:t>
      </w:r>
      <w:r w:rsidR="00D36AB0">
        <w:rPr>
          <w:bCs/>
          <w:szCs w:val="26"/>
        </w:rPr>
        <w:t>it and should “have good visual contact with each rung” while climbing</w:t>
      </w:r>
      <w:r w:rsidR="00543532">
        <w:rPr>
          <w:bCs/>
          <w:szCs w:val="26"/>
        </w:rPr>
        <w:t>.</w:t>
      </w:r>
    </w:p>
    <w:p w14:paraId="0230F093" w14:textId="77777777" w:rsidR="00DB595F" w:rsidRDefault="003E2177" w:rsidP="00DB595F">
      <w:pPr>
        <w:ind w:firstLine="720"/>
        <w:rPr>
          <w:bCs/>
          <w:szCs w:val="26"/>
        </w:rPr>
      </w:pPr>
      <w:r>
        <w:rPr>
          <w:bCs/>
          <w:szCs w:val="26"/>
        </w:rPr>
        <w:t>Defendant</w:t>
      </w:r>
      <w:r w:rsidR="00BD3600">
        <w:rPr>
          <w:bCs/>
          <w:szCs w:val="26"/>
        </w:rPr>
        <w:t xml:space="preserve">s’ safety </w:t>
      </w:r>
      <w:r>
        <w:rPr>
          <w:bCs/>
          <w:szCs w:val="26"/>
        </w:rPr>
        <w:t xml:space="preserve">expert, Gidon </w:t>
      </w:r>
      <w:proofErr w:type="spellStart"/>
      <w:r>
        <w:rPr>
          <w:bCs/>
          <w:szCs w:val="26"/>
        </w:rPr>
        <w:t>Vardi</w:t>
      </w:r>
      <w:proofErr w:type="spellEnd"/>
      <w:r>
        <w:rPr>
          <w:bCs/>
          <w:szCs w:val="26"/>
        </w:rPr>
        <w:t xml:space="preserve">, </w:t>
      </w:r>
      <w:r w:rsidR="003F29EB">
        <w:rPr>
          <w:bCs/>
          <w:szCs w:val="26"/>
        </w:rPr>
        <w:t xml:space="preserve">testified that if the </w:t>
      </w:r>
      <w:r w:rsidR="005952B2">
        <w:rPr>
          <w:bCs/>
          <w:szCs w:val="26"/>
        </w:rPr>
        <w:t xml:space="preserve">spring assist had been functioning properly, it would </w:t>
      </w:r>
      <w:r w:rsidR="004A2D13">
        <w:rPr>
          <w:bCs/>
          <w:szCs w:val="26"/>
        </w:rPr>
        <w:t>“literally create[</w:t>
      </w:r>
      <w:r w:rsidR="00753710">
        <w:rPr>
          <w:bCs/>
          <w:szCs w:val="26"/>
        </w:rPr>
        <w:t xml:space="preserve"> </w:t>
      </w:r>
      <w:r w:rsidR="004A2D13">
        <w:rPr>
          <w:bCs/>
          <w:szCs w:val="26"/>
        </w:rPr>
        <w:t>] a non</w:t>
      </w:r>
      <w:r w:rsidR="000253CB">
        <w:rPr>
          <w:bCs/>
          <w:szCs w:val="26"/>
        </w:rPr>
        <w:t>resistant</w:t>
      </w:r>
      <w:r w:rsidR="004A2D13">
        <w:rPr>
          <w:bCs/>
          <w:szCs w:val="26"/>
        </w:rPr>
        <w:t xml:space="preserve"> action, meaning it will spring up . . . by itself.”</w:t>
      </w:r>
      <w:r w:rsidR="00DF45C5">
        <w:rPr>
          <w:bCs/>
          <w:szCs w:val="26"/>
        </w:rPr>
        <w:t xml:space="preserve"> </w:t>
      </w:r>
      <w:r w:rsidR="006847D2">
        <w:rPr>
          <w:bCs/>
          <w:szCs w:val="26"/>
        </w:rPr>
        <w:t xml:space="preserve"> If a spring assist were broken, </w:t>
      </w:r>
      <w:r w:rsidR="00924F78">
        <w:rPr>
          <w:bCs/>
          <w:szCs w:val="26"/>
        </w:rPr>
        <w:t xml:space="preserve">a knowledgeable person would be aware of the problem “almost instantaneously.  It would be immediate.”  </w:t>
      </w:r>
      <w:r w:rsidR="009E653B">
        <w:rPr>
          <w:bCs/>
          <w:szCs w:val="26"/>
        </w:rPr>
        <w:t xml:space="preserve">In the present case, </w:t>
      </w:r>
      <w:proofErr w:type="spellStart"/>
      <w:r w:rsidR="009E653B">
        <w:rPr>
          <w:bCs/>
          <w:szCs w:val="26"/>
        </w:rPr>
        <w:t>Vardi</w:t>
      </w:r>
      <w:proofErr w:type="spellEnd"/>
      <w:r w:rsidR="009E653B">
        <w:rPr>
          <w:bCs/>
          <w:szCs w:val="26"/>
        </w:rPr>
        <w:t xml:space="preserve"> said </w:t>
      </w:r>
      <w:r w:rsidR="00A4133C">
        <w:rPr>
          <w:bCs/>
          <w:szCs w:val="26"/>
        </w:rPr>
        <w:t>that when he inspected the hatch</w:t>
      </w:r>
      <w:r w:rsidR="007F3ACA">
        <w:rPr>
          <w:bCs/>
          <w:szCs w:val="26"/>
        </w:rPr>
        <w:t>,</w:t>
      </w:r>
      <w:r w:rsidR="00A4133C">
        <w:rPr>
          <w:bCs/>
          <w:szCs w:val="26"/>
        </w:rPr>
        <w:t xml:space="preserve"> </w:t>
      </w:r>
      <w:r w:rsidR="009E653B">
        <w:rPr>
          <w:bCs/>
          <w:szCs w:val="26"/>
        </w:rPr>
        <w:t>he could tell tha</w:t>
      </w:r>
      <w:r w:rsidR="006E6FDF">
        <w:rPr>
          <w:bCs/>
          <w:szCs w:val="26"/>
        </w:rPr>
        <w:t>t the spring assist was not completely operational even before he opened the hatch because “[t]here was a missing spring that you could see that’s missing.”</w:t>
      </w:r>
      <w:r w:rsidR="00543532">
        <w:rPr>
          <w:bCs/>
          <w:szCs w:val="26"/>
        </w:rPr>
        <w:t xml:space="preserve"> </w:t>
      </w:r>
      <w:r w:rsidR="00E7339F">
        <w:rPr>
          <w:bCs/>
          <w:szCs w:val="26"/>
        </w:rPr>
        <w:t xml:space="preserve"> </w:t>
      </w:r>
      <w:r w:rsidR="00AB7344">
        <w:rPr>
          <w:bCs/>
          <w:szCs w:val="26"/>
        </w:rPr>
        <w:t>I</w:t>
      </w:r>
      <w:r w:rsidR="00E7339F">
        <w:rPr>
          <w:bCs/>
          <w:szCs w:val="26"/>
        </w:rPr>
        <w:t xml:space="preserve">t was also obvious that the ladder was short. </w:t>
      </w:r>
      <w:r w:rsidR="006E6FDF">
        <w:rPr>
          <w:bCs/>
          <w:szCs w:val="26"/>
        </w:rPr>
        <w:t xml:space="preserve"> </w:t>
      </w:r>
      <w:proofErr w:type="gramStart"/>
      <w:r>
        <w:rPr>
          <w:bCs/>
          <w:szCs w:val="26"/>
        </w:rPr>
        <w:t>And,</w:t>
      </w:r>
      <w:proofErr w:type="gramEnd"/>
      <w:r>
        <w:rPr>
          <w:bCs/>
          <w:szCs w:val="26"/>
        </w:rPr>
        <w:t xml:space="preserve"> </w:t>
      </w:r>
      <w:proofErr w:type="spellStart"/>
      <w:r w:rsidR="00AB7344">
        <w:rPr>
          <w:bCs/>
          <w:szCs w:val="26"/>
        </w:rPr>
        <w:t>Vardi</w:t>
      </w:r>
      <w:proofErr w:type="spellEnd"/>
      <w:r>
        <w:rPr>
          <w:bCs/>
          <w:szCs w:val="26"/>
        </w:rPr>
        <w:t xml:space="preserve"> </w:t>
      </w:r>
      <w:r w:rsidR="00501FE0">
        <w:rPr>
          <w:bCs/>
          <w:szCs w:val="26"/>
        </w:rPr>
        <w:t>opined that while the handwritten warning was “not perfect,</w:t>
      </w:r>
      <w:r w:rsidR="00E752EC">
        <w:rPr>
          <w:bCs/>
          <w:szCs w:val="26"/>
        </w:rPr>
        <w:t>” it was clearly visible</w:t>
      </w:r>
      <w:r w:rsidR="00E61562">
        <w:rPr>
          <w:bCs/>
          <w:szCs w:val="26"/>
        </w:rPr>
        <w:t>—“</w:t>
      </w:r>
      <w:r w:rsidR="00BF5AB5">
        <w:rPr>
          <w:bCs/>
          <w:szCs w:val="26"/>
        </w:rPr>
        <w:t>literally</w:t>
      </w:r>
      <w:r w:rsidR="00D05F27">
        <w:rPr>
          <w:bCs/>
          <w:szCs w:val="26"/>
        </w:rPr>
        <w:t xml:space="preserve"> </w:t>
      </w:r>
      <w:r w:rsidR="00E61562">
        <w:rPr>
          <w:bCs/>
          <w:szCs w:val="26"/>
        </w:rPr>
        <w:t>in your face”—</w:t>
      </w:r>
      <w:r w:rsidR="00D05F27">
        <w:rPr>
          <w:bCs/>
          <w:szCs w:val="26"/>
        </w:rPr>
        <w:t>and</w:t>
      </w:r>
      <w:r w:rsidR="00E61562">
        <w:rPr>
          <w:bCs/>
          <w:szCs w:val="26"/>
        </w:rPr>
        <w:t xml:space="preserve"> </w:t>
      </w:r>
      <w:r w:rsidR="00D05F27">
        <w:rPr>
          <w:bCs/>
          <w:szCs w:val="26"/>
        </w:rPr>
        <w:t xml:space="preserve">was typical of </w:t>
      </w:r>
      <w:r w:rsidR="00E66D57">
        <w:rPr>
          <w:bCs/>
          <w:szCs w:val="26"/>
        </w:rPr>
        <w:t xml:space="preserve">warnings often present on </w:t>
      </w:r>
      <w:r w:rsidR="00D05F27">
        <w:rPr>
          <w:bCs/>
          <w:szCs w:val="26"/>
        </w:rPr>
        <w:t>construction sites</w:t>
      </w:r>
      <w:r w:rsidR="00E752EC">
        <w:rPr>
          <w:bCs/>
          <w:szCs w:val="26"/>
        </w:rPr>
        <w:t>.</w:t>
      </w:r>
    </w:p>
    <w:p w14:paraId="0230F094" w14:textId="77777777" w:rsidR="00501FE0" w:rsidRDefault="003E2177" w:rsidP="00DB595F">
      <w:pPr>
        <w:ind w:firstLine="720"/>
        <w:rPr>
          <w:bCs/>
          <w:szCs w:val="26"/>
        </w:rPr>
      </w:pPr>
      <w:proofErr w:type="spellStart"/>
      <w:r>
        <w:rPr>
          <w:bCs/>
          <w:szCs w:val="26"/>
        </w:rPr>
        <w:t>Vardi</w:t>
      </w:r>
      <w:proofErr w:type="spellEnd"/>
      <w:r>
        <w:rPr>
          <w:bCs/>
          <w:szCs w:val="26"/>
        </w:rPr>
        <w:t xml:space="preserve"> </w:t>
      </w:r>
      <w:r w:rsidR="00373462">
        <w:rPr>
          <w:bCs/>
          <w:szCs w:val="26"/>
        </w:rPr>
        <w:t xml:space="preserve">opined that </w:t>
      </w:r>
      <w:r w:rsidR="00E66D57">
        <w:rPr>
          <w:bCs/>
          <w:szCs w:val="26"/>
        </w:rPr>
        <w:t xml:space="preserve">when entering a job site, a worker </w:t>
      </w:r>
      <w:r w:rsidR="00E4585C">
        <w:rPr>
          <w:bCs/>
          <w:szCs w:val="26"/>
        </w:rPr>
        <w:t>is</w:t>
      </w:r>
      <w:r w:rsidR="00E66D57">
        <w:rPr>
          <w:bCs/>
          <w:szCs w:val="26"/>
        </w:rPr>
        <w:t xml:space="preserve"> </w:t>
      </w:r>
      <w:r w:rsidR="00093849">
        <w:rPr>
          <w:bCs/>
          <w:szCs w:val="26"/>
        </w:rPr>
        <w:t xml:space="preserve">“required, absolutely required to make </w:t>
      </w:r>
      <w:r w:rsidR="00686FC8">
        <w:rPr>
          <w:bCs/>
          <w:szCs w:val="26"/>
        </w:rPr>
        <w:t>[</w:t>
      </w:r>
      <w:r w:rsidR="00093849">
        <w:rPr>
          <w:bCs/>
          <w:szCs w:val="26"/>
        </w:rPr>
        <w:t>a</w:t>
      </w:r>
      <w:r w:rsidR="00686FC8">
        <w:rPr>
          <w:bCs/>
          <w:szCs w:val="26"/>
        </w:rPr>
        <w:t>]</w:t>
      </w:r>
      <w:r w:rsidR="00093849">
        <w:rPr>
          <w:bCs/>
          <w:szCs w:val="26"/>
        </w:rPr>
        <w:t xml:space="preserve"> safety assessment of the site.  They </w:t>
      </w:r>
      <w:proofErr w:type="gramStart"/>
      <w:r w:rsidR="00093849">
        <w:rPr>
          <w:bCs/>
          <w:szCs w:val="26"/>
        </w:rPr>
        <w:t>have to</w:t>
      </w:r>
      <w:proofErr w:type="gramEnd"/>
      <w:r w:rsidR="00093849">
        <w:rPr>
          <w:bCs/>
          <w:szCs w:val="26"/>
        </w:rPr>
        <w:t xml:space="preserve"> make sure that the site is absolutely safe </w:t>
      </w:r>
      <w:r w:rsidR="00686FC8">
        <w:rPr>
          <w:bCs/>
          <w:szCs w:val="26"/>
        </w:rPr>
        <w:t xml:space="preserve">for them to conduct </w:t>
      </w:r>
      <w:r w:rsidR="00093849">
        <w:rPr>
          <w:bCs/>
          <w:szCs w:val="26"/>
        </w:rPr>
        <w:t>their duties.”</w:t>
      </w:r>
      <w:r w:rsidR="00543532">
        <w:rPr>
          <w:bCs/>
          <w:szCs w:val="26"/>
        </w:rPr>
        <w:t xml:space="preserve"> </w:t>
      </w:r>
      <w:r w:rsidR="00E4585C">
        <w:rPr>
          <w:bCs/>
          <w:szCs w:val="26"/>
        </w:rPr>
        <w:t xml:space="preserve"> For an electrical technician like Acosta, </w:t>
      </w:r>
      <w:proofErr w:type="gramStart"/>
      <w:r w:rsidR="00E4585C">
        <w:rPr>
          <w:bCs/>
          <w:szCs w:val="26"/>
        </w:rPr>
        <w:t>that</w:t>
      </w:r>
      <w:proofErr w:type="gramEnd"/>
      <w:r w:rsidR="00E4585C">
        <w:rPr>
          <w:bCs/>
          <w:szCs w:val="26"/>
        </w:rPr>
        <w:t xml:space="preserve"> includes </w:t>
      </w:r>
      <w:r w:rsidR="00F63AFE">
        <w:rPr>
          <w:bCs/>
          <w:szCs w:val="26"/>
        </w:rPr>
        <w:t>making sure there is no active electrical charge, and if it</w:t>
      </w:r>
      <w:r w:rsidR="008F5D8F">
        <w:rPr>
          <w:bCs/>
          <w:szCs w:val="26"/>
        </w:rPr>
        <w:t xml:space="preserve"> is</w:t>
      </w:r>
      <w:r w:rsidR="00F63AFE">
        <w:rPr>
          <w:bCs/>
          <w:szCs w:val="26"/>
        </w:rPr>
        <w:t xml:space="preserve"> necess</w:t>
      </w:r>
      <w:r w:rsidR="009E36E5">
        <w:rPr>
          <w:bCs/>
          <w:szCs w:val="26"/>
        </w:rPr>
        <w:t xml:space="preserve">ary to ascend a ladder, “you have to actually check every single rung, making sure you actually physically make sure the ladder [is] attached and </w:t>
      </w:r>
      <w:r w:rsidR="000256EA">
        <w:rPr>
          <w:bCs/>
          <w:szCs w:val="26"/>
        </w:rPr>
        <w:t xml:space="preserve">it’s secure.  And then you </w:t>
      </w:r>
      <w:proofErr w:type="gramStart"/>
      <w:r w:rsidR="000256EA">
        <w:rPr>
          <w:bCs/>
          <w:szCs w:val="26"/>
        </w:rPr>
        <w:t>have to</w:t>
      </w:r>
      <w:proofErr w:type="gramEnd"/>
      <w:r w:rsidR="000256EA">
        <w:rPr>
          <w:bCs/>
          <w:szCs w:val="26"/>
        </w:rPr>
        <w:t xml:space="preserve"> make sure that it goes all the way up to the top so you can climb </w:t>
      </w:r>
      <w:r w:rsidR="00F07049">
        <w:rPr>
          <w:bCs/>
          <w:szCs w:val="26"/>
        </w:rPr>
        <w:t>onto the roof properly</w:t>
      </w:r>
      <w:r w:rsidR="000256EA">
        <w:rPr>
          <w:bCs/>
          <w:szCs w:val="26"/>
        </w:rPr>
        <w:t xml:space="preserve"> without any hazards.  And then of course you would have to look at the hatch itself.</w:t>
      </w:r>
      <w:r w:rsidR="00401D1D">
        <w:rPr>
          <w:bCs/>
          <w:szCs w:val="26"/>
        </w:rPr>
        <w:t>”</w:t>
      </w:r>
    </w:p>
    <w:p w14:paraId="0230F095" w14:textId="77777777" w:rsidR="00BB5B6E" w:rsidRDefault="003E2177" w:rsidP="00543532">
      <w:pPr>
        <w:pStyle w:val="Heading2"/>
        <w:keepNext/>
        <w:keepLines/>
      </w:pPr>
      <w:r>
        <w:lastRenderedPageBreak/>
        <w:t>V.</w:t>
      </w:r>
      <w:r>
        <w:tab/>
      </w:r>
      <w:r w:rsidR="002E0568">
        <w:t>Trial and verdict</w:t>
      </w:r>
      <w:r>
        <w:t>.</w:t>
      </w:r>
    </w:p>
    <w:p w14:paraId="0230F096" w14:textId="77777777" w:rsidR="000D0849" w:rsidRDefault="003E2177" w:rsidP="00543532">
      <w:pPr>
        <w:pStyle w:val="Heading3"/>
        <w:keepNext/>
        <w:keepLines/>
      </w:pPr>
      <w:r>
        <w:t>A.</w:t>
      </w:r>
      <w:r>
        <w:tab/>
        <w:t>Motion for nonsuit.</w:t>
      </w:r>
    </w:p>
    <w:p w14:paraId="0230F097" w14:textId="77777777" w:rsidR="00C132FE" w:rsidRDefault="003E2177" w:rsidP="00543532">
      <w:pPr>
        <w:keepNext/>
        <w:keepLines/>
        <w:rPr>
          <w:bCs/>
          <w:szCs w:val="26"/>
        </w:rPr>
      </w:pPr>
      <w:r>
        <w:rPr>
          <w:bCs/>
          <w:szCs w:val="26"/>
        </w:rPr>
        <w:tab/>
      </w:r>
      <w:r w:rsidR="00D716B0">
        <w:rPr>
          <w:bCs/>
          <w:szCs w:val="26"/>
        </w:rPr>
        <w:t xml:space="preserve">Defendants moved for a nonsuit at the conclusion of plaintiff’s case. </w:t>
      </w:r>
      <w:r w:rsidR="0083532D">
        <w:rPr>
          <w:bCs/>
          <w:szCs w:val="26"/>
        </w:rPr>
        <w:t xml:space="preserve"> Defense counsel argued </w:t>
      </w:r>
      <w:r w:rsidR="00652677">
        <w:rPr>
          <w:bCs/>
          <w:szCs w:val="26"/>
        </w:rPr>
        <w:t>that u</w:t>
      </w:r>
      <w:r w:rsidR="00B054D1">
        <w:rPr>
          <w:bCs/>
          <w:szCs w:val="26"/>
        </w:rPr>
        <w:t xml:space="preserve">nder </w:t>
      </w:r>
      <w:r w:rsidR="004A7547">
        <w:rPr>
          <w:bCs/>
          <w:i/>
          <w:iCs/>
          <w:szCs w:val="26"/>
        </w:rPr>
        <w:t>Kinsman v. Unocal Corp.</w:t>
      </w:r>
      <w:r w:rsidR="004A7547">
        <w:rPr>
          <w:bCs/>
          <w:szCs w:val="26"/>
        </w:rPr>
        <w:t xml:space="preserve"> (2005) 37 Cal.4th 659 (</w:t>
      </w:r>
      <w:r w:rsidR="004A7547">
        <w:rPr>
          <w:bCs/>
          <w:i/>
          <w:iCs/>
          <w:szCs w:val="26"/>
        </w:rPr>
        <w:t>Kinsman</w:t>
      </w:r>
      <w:r w:rsidR="004A7547">
        <w:rPr>
          <w:bCs/>
          <w:szCs w:val="26"/>
        </w:rPr>
        <w:t xml:space="preserve">), </w:t>
      </w:r>
      <w:r w:rsidR="00EF1449">
        <w:rPr>
          <w:bCs/>
          <w:szCs w:val="26"/>
        </w:rPr>
        <w:t>“[</w:t>
      </w:r>
      <w:proofErr w:type="spellStart"/>
      <w:r w:rsidR="00EF1449">
        <w:rPr>
          <w:bCs/>
          <w:szCs w:val="26"/>
        </w:rPr>
        <w:t>i</w:t>
      </w:r>
      <w:proofErr w:type="spellEnd"/>
      <w:r w:rsidR="00EF1449">
        <w:rPr>
          <w:bCs/>
          <w:szCs w:val="26"/>
        </w:rPr>
        <w:t>]f</w:t>
      </w:r>
      <w:r w:rsidR="00C6499B">
        <w:rPr>
          <w:bCs/>
          <w:szCs w:val="26"/>
        </w:rPr>
        <w:t xml:space="preserve"> the plaintiff knows or </w:t>
      </w:r>
      <w:r w:rsidR="009C5017">
        <w:rPr>
          <w:bCs/>
          <w:szCs w:val="26"/>
        </w:rPr>
        <w:t xml:space="preserve">could </w:t>
      </w:r>
      <w:r w:rsidR="00C6499B">
        <w:rPr>
          <w:bCs/>
          <w:szCs w:val="26"/>
        </w:rPr>
        <w:t xml:space="preserve">reasonably </w:t>
      </w:r>
      <w:r w:rsidR="009C5017">
        <w:rPr>
          <w:bCs/>
          <w:szCs w:val="26"/>
        </w:rPr>
        <w:t xml:space="preserve">have known there was a defect with the hatch, then the plaintiff assumes the risk[.]  [I]t is </w:t>
      </w:r>
      <w:r w:rsidR="00493D1F">
        <w:rPr>
          <w:bCs/>
          <w:szCs w:val="26"/>
        </w:rPr>
        <w:t xml:space="preserve">the plaintiff’s or his employer’s burden to inspect and eliminate the risk.  If the plaintiff encounters it knowing or should </w:t>
      </w:r>
      <w:r w:rsidR="00E41679">
        <w:rPr>
          <w:bCs/>
          <w:szCs w:val="26"/>
        </w:rPr>
        <w:t>k</w:t>
      </w:r>
      <w:r w:rsidR="00493D1F">
        <w:rPr>
          <w:bCs/>
          <w:szCs w:val="26"/>
        </w:rPr>
        <w:t>now that there’s an issue, his claims are barred.  The plaintiff just acknowledged on the sta</w:t>
      </w:r>
      <w:r w:rsidR="00784A04">
        <w:rPr>
          <w:bCs/>
          <w:szCs w:val="26"/>
        </w:rPr>
        <w:t>nd . . . [that] he knew the hatch was not functioning properly.</w:t>
      </w:r>
      <w:r w:rsidR="000C3A2A">
        <w:rPr>
          <w:bCs/>
          <w:szCs w:val="26"/>
        </w:rPr>
        <w:t xml:space="preserve">”  </w:t>
      </w:r>
      <w:r w:rsidR="00101610">
        <w:rPr>
          <w:bCs/>
          <w:szCs w:val="26"/>
        </w:rPr>
        <w:t xml:space="preserve">Further, counsel said, </w:t>
      </w:r>
      <w:r w:rsidR="00526B02">
        <w:rPr>
          <w:bCs/>
          <w:szCs w:val="26"/>
        </w:rPr>
        <w:t>“[t]he plaintiff doesn’t need to know specifically what the defect is.  He just needs to know that there was a problem with the roof hatch</w:t>
      </w:r>
      <w:r w:rsidR="00C13C6E">
        <w:rPr>
          <w:bCs/>
          <w:szCs w:val="26"/>
        </w:rPr>
        <w:t xml:space="preserve">.  We don’t need him to diagnose it.  Once he realizes there’s a problem with the hatch, then it’s over under </w:t>
      </w:r>
      <w:r w:rsidR="00C13C6E">
        <w:rPr>
          <w:bCs/>
          <w:i/>
          <w:iCs/>
          <w:szCs w:val="26"/>
        </w:rPr>
        <w:t>Kinsman</w:t>
      </w:r>
      <w:r w:rsidR="00C13C6E">
        <w:rPr>
          <w:bCs/>
          <w:szCs w:val="26"/>
        </w:rPr>
        <w:t xml:space="preserve"> and plaintiff cannot </w:t>
      </w:r>
      <w:r w:rsidR="00F07049">
        <w:rPr>
          <w:bCs/>
          <w:szCs w:val="26"/>
        </w:rPr>
        <w:t>proceed any further</w:t>
      </w:r>
      <w:r w:rsidR="00C13C6E">
        <w:rPr>
          <w:bCs/>
          <w:szCs w:val="26"/>
        </w:rPr>
        <w:t>.</w:t>
      </w:r>
      <w:r w:rsidR="00DF682C">
        <w:rPr>
          <w:bCs/>
          <w:szCs w:val="26"/>
        </w:rPr>
        <w:t>”</w:t>
      </w:r>
    </w:p>
    <w:p w14:paraId="0230F098" w14:textId="77777777" w:rsidR="008D6B1F" w:rsidRDefault="003E2177" w:rsidP="00A403D1">
      <w:pPr>
        <w:rPr>
          <w:bCs/>
          <w:szCs w:val="26"/>
        </w:rPr>
      </w:pPr>
      <w:r>
        <w:rPr>
          <w:bCs/>
          <w:szCs w:val="26"/>
        </w:rPr>
        <w:tab/>
      </w:r>
      <w:r w:rsidR="00EB5C59">
        <w:rPr>
          <w:bCs/>
          <w:szCs w:val="26"/>
        </w:rPr>
        <w:t xml:space="preserve">Acosta’s counsel </w:t>
      </w:r>
      <w:r w:rsidR="004859BB">
        <w:rPr>
          <w:bCs/>
          <w:szCs w:val="26"/>
        </w:rPr>
        <w:t>disagreed</w:t>
      </w:r>
      <w:r w:rsidR="00EB5C59">
        <w:rPr>
          <w:bCs/>
          <w:szCs w:val="26"/>
        </w:rPr>
        <w:t xml:space="preserve">, </w:t>
      </w:r>
      <w:r w:rsidR="006B7588">
        <w:rPr>
          <w:bCs/>
          <w:szCs w:val="26"/>
        </w:rPr>
        <w:t xml:space="preserve">arguing that “counsel simply misreads </w:t>
      </w:r>
      <w:r w:rsidR="006B7588">
        <w:rPr>
          <w:bCs/>
          <w:i/>
          <w:iCs/>
          <w:szCs w:val="26"/>
        </w:rPr>
        <w:t>Kinsman</w:t>
      </w:r>
      <w:r w:rsidR="006B7588">
        <w:rPr>
          <w:bCs/>
          <w:szCs w:val="26"/>
        </w:rPr>
        <w:t xml:space="preserve">.  </w:t>
      </w:r>
      <w:proofErr w:type="gramStart"/>
      <w:r w:rsidR="00173358">
        <w:rPr>
          <w:bCs/>
          <w:i/>
          <w:iCs/>
          <w:szCs w:val="26"/>
        </w:rPr>
        <w:t>Kinsman</w:t>
      </w:r>
      <w:proofErr w:type="gramEnd"/>
      <w:r w:rsidR="00173358">
        <w:rPr>
          <w:bCs/>
          <w:szCs w:val="26"/>
        </w:rPr>
        <w:t xml:space="preserve"> is very clear that the knowledge of the concealed condition has to be known by the contractor itself, not the contractor’s employee. </w:t>
      </w:r>
      <w:r w:rsidR="004A7547">
        <w:rPr>
          <w:bCs/>
          <w:szCs w:val="26"/>
        </w:rPr>
        <w:t>. . .</w:t>
      </w:r>
      <w:r w:rsidR="00AF5D7B">
        <w:rPr>
          <w:bCs/>
          <w:szCs w:val="26"/>
        </w:rPr>
        <w:t xml:space="preserve">  It </w:t>
      </w:r>
      <w:proofErr w:type="gramStart"/>
      <w:r w:rsidR="00AF5D7B">
        <w:rPr>
          <w:bCs/>
          <w:szCs w:val="26"/>
        </w:rPr>
        <w:t>has to</w:t>
      </w:r>
      <w:proofErr w:type="gramEnd"/>
      <w:r w:rsidR="00AF5D7B">
        <w:rPr>
          <w:bCs/>
          <w:szCs w:val="26"/>
        </w:rPr>
        <w:t xml:space="preserve"> be that Horizon in this case was aware the door was dangerous </w:t>
      </w:r>
      <w:r w:rsidR="003F70C9">
        <w:rPr>
          <w:bCs/>
          <w:szCs w:val="26"/>
        </w:rPr>
        <w:t xml:space="preserve">or that </w:t>
      </w:r>
      <w:r w:rsidR="00EA0636">
        <w:rPr>
          <w:bCs/>
          <w:szCs w:val="26"/>
        </w:rPr>
        <w:t xml:space="preserve">they </w:t>
      </w:r>
      <w:r w:rsidR="003F70C9">
        <w:rPr>
          <w:bCs/>
          <w:szCs w:val="26"/>
        </w:rPr>
        <w:t>were properly warned of it.  There’s . . . zero evidence of that here.</w:t>
      </w:r>
      <w:r w:rsidR="00B073C6">
        <w:rPr>
          <w:bCs/>
          <w:szCs w:val="26"/>
        </w:rPr>
        <w:t>”</w:t>
      </w:r>
    </w:p>
    <w:p w14:paraId="0230F099" w14:textId="77777777" w:rsidR="0088489E" w:rsidRDefault="003E2177" w:rsidP="00A403D1">
      <w:pPr>
        <w:rPr>
          <w:bCs/>
          <w:szCs w:val="26"/>
        </w:rPr>
      </w:pPr>
      <w:r>
        <w:rPr>
          <w:bCs/>
          <w:szCs w:val="26"/>
        </w:rPr>
        <w:tab/>
        <w:t>The trial court denied the motion.  It said:  “</w:t>
      </w:r>
      <w:r w:rsidR="005348C8">
        <w:rPr>
          <w:bCs/>
          <w:szCs w:val="26"/>
        </w:rPr>
        <w:t xml:space="preserve">What we’ve got is a situation where we have Mr. Acosta testifying, yes, he was having difficulty opening the latch.  Does that equal an open and obvious condition?  I don’t think I can make that leap.  </w:t>
      </w:r>
      <w:r w:rsidR="006D5897">
        <w:rPr>
          <w:bCs/>
          <w:szCs w:val="26"/>
        </w:rPr>
        <w:t>All we know is he’s having difficulty opening it.  That’</w:t>
      </w:r>
      <w:r w:rsidR="008A4FFE">
        <w:rPr>
          <w:bCs/>
          <w:szCs w:val="26"/>
        </w:rPr>
        <w:t>s</w:t>
      </w:r>
      <w:r w:rsidR="006D5897">
        <w:rPr>
          <w:bCs/>
          <w:szCs w:val="26"/>
        </w:rPr>
        <w:t xml:space="preserve"> not the same as an open and obvious condition.  </w:t>
      </w:r>
      <w:proofErr w:type="gramStart"/>
      <w:r w:rsidR="000D0849">
        <w:rPr>
          <w:bCs/>
          <w:szCs w:val="26"/>
        </w:rPr>
        <w:t>So</w:t>
      </w:r>
      <w:proofErr w:type="gramEnd"/>
      <w:r w:rsidR="000D0849">
        <w:rPr>
          <w:bCs/>
          <w:szCs w:val="26"/>
        </w:rPr>
        <w:t xml:space="preserve"> I think that’s a jury call.”</w:t>
      </w:r>
    </w:p>
    <w:p w14:paraId="0230F09A" w14:textId="77777777" w:rsidR="00F22744" w:rsidRDefault="003E2177" w:rsidP="00015245">
      <w:pPr>
        <w:pStyle w:val="Heading3"/>
        <w:keepNext/>
        <w:keepLines/>
      </w:pPr>
      <w:r>
        <w:lastRenderedPageBreak/>
        <w:t>B.</w:t>
      </w:r>
      <w:r>
        <w:tab/>
        <w:t>Motion for a directed verdict.</w:t>
      </w:r>
    </w:p>
    <w:p w14:paraId="0230F09B" w14:textId="77777777" w:rsidR="00F22744" w:rsidRDefault="003E2177" w:rsidP="00A403D1">
      <w:pPr>
        <w:rPr>
          <w:bCs/>
          <w:szCs w:val="26"/>
        </w:rPr>
      </w:pPr>
      <w:r>
        <w:rPr>
          <w:bCs/>
          <w:szCs w:val="26"/>
        </w:rPr>
        <w:tab/>
        <w:t xml:space="preserve">At the close of trial, defendants moved for a </w:t>
      </w:r>
      <w:r>
        <w:rPr>
          <w:bCs/>
          <w:szCs w:val="26"/>
        </w:rPr>
        <w:t>directed verdict.  Defense counsel again urged the court that there were no factual issues for the jury to decide because Acosta conceded that he was aware of the unsafe condition of the hatch.  The court denied the motion, explaining:  “I still think it’s</w:t>
      </w:r>
      <w:r>
        <w:rPr>
          <w:bCs/>
          <w:szCs w:val="26"/>
        </w:rPr>
        <w:t xml:space="preserve"> a factual issue for the jury to determine </w:t>
      </w:r>
      <w:proofErr w:type="gramStart"/>
      <w:r>
        <w:rPr>
          <w:bCs/>
          <w:szCs w:val="26"/>
        </w:rPr>
        <w:t>whether or not</w:t>
      </w:r>
      <w:proofErr w:type="gramEnd"/>
      <w:r>
        <w:rPr>
          <w:bCs/>
          <w:szCs w:val="26"/>
        </w:rPr>
        <w:t xml:space="preserve"> . . . Mr. Acosta appreciated the severity of the dangerous condition.  He was aware . . . that the latch was difficult to raise.  How dangerous was </w:t>
      </w:r>
      <w:proofErr w:type="gramStart"/>
      <w:r>
        <w:rPr>
          <w:bCs/>
          <w:szCs w:val="26"/>
        </w:rPr>
        <w:t>that,</w:t>
      </w:r>
      <w:proofErr w:type="gramEnd"/>
      <w:r>
        <w:rPr>
          <w:bCs/>
          <w:szCs w:val="26"/>
        </w:rPr>
        <w:t xml:space="preserve"> I don’t know.  That’s for the jury to decide</w:t>
      </w:r>
      <w:r>
        <w:rPr>
          <w:bCs/>
          <w:szCs w:val="26"/>
        </w:rPr>
        <w:t xml:space="preserve"> whether he reasonably should have known.”</w:t>
      </w:r>
    </w:p>
    <w:p w14:paraId="0230F09C" w14:textId="77777777" w:rsidR="00E30038" w:rsidRPr="00C13C6E" w:rsidRDefault="003E2177" w:rsidP="00E24A0F">
      <w:pPr>
        <w:pStyle w:val="Heading3"/>
        <w:keepNext/>
        <w:keepLines/>
      </w:pPr>
      <w:r>
        <w:t>C.</w:t>
      </w:r>
      <w:r>
        <w:tab/>
        <w:t>Jury verdict.</w:t>
      </w:r>
    </w:p>
    <w:p w14:paraId="0230F09D" w14:textId="77777777" w:rsidR="004211B2" w:rsidRDefault="003E2177" w:rsidP="007C2C32">
      <w:pPr>
        <w:ind w:firstLine="720"/>
        <w:rPr>
          <w:bCs/>
          <w:szCs w:val="26"/>
        </w:rPr>
      </w:pPr>
      <w:r>
        <w:rPr>
          <w:bCs/>
          <w:szCs w:val="26"/>
        </w:rPr>
        <w:t xml:space="preserve">The trial court adopted Acosta’s proposed special verdict form, which was based on CACI </w:t>
      </w:r>
      <w:r w:rsidR="00622E40">
        <w:rPr>
          <w:bCs/>
          <w:szCs w:val="26"/>
        </w:rPr>
        <w:t xml:space="preserve">No. </w:t>
      </w:r>
      <w:r w:rsidR="00E43D2A">
        <w:rPr>
          <w:bCs/>
          <w:szCs w:val="26"/>
        </w:rPr>
        <w:t>1009A</w:t>
      </w:r>
      <w:r>
        <w:rPr>
          <w:bCs/>
          <w:szCs w:val="26"/>
        </w:rPr>
        <w:t xml:space="preserve">.  </w:t>
      </w:r>
      <w:r w:rsidR="00E30038">
        <w:rPr>
          <w:bCs/>
          <w:szCs w:val="26"/>
        </w:rPr>
        <w:t xml:space="preserve">The </w:t>
      </w:r>
      <w:r w:rsidR="00BF3FEE">
        <w:rPr>
          <w:bCs/>
          <w:szCs w:val="26"/>
        </w:rPr>
        <w:t xml:space="preserve">jury returned </w:t>
      </w:r>
      <w:r w:rsidR="00E30038">
        <w:rPr>
          <w:bCs/>
          <w:szCs w:val="26"/>
        </w:rPr>
        <w:t xml:space="preserve">a </w:t>
      </w:r>
      <w:r w:rsidR="00BF3FEE">
        <w:rPr>
          <w:bCs/>
          <w:szCs w:val="26"/>
        </w:rPr>
        <w:t>special verdict</w:t>
      </w:r>
      <w:r w:rsidR="00E30038">
        <w:rPr>
          <w:bCs/>
          <w:szCs w:val="26"/>
        </w:rPr>
        <w:t xml:space="preserve"> for Acosta as follows</w:t>
      </w:r>
      <w:r w:rsidR="00BF3FEE">
        <w:rPr>
          <w:bCs/>
          <w:szCs w:val="26"/>
        </w:rPr>
        <w:t>:</w:t>
      </w:r>
    </w:p>
    <w:p w14:paraId="0230F09E" w14:textId="77777777" w:rsidR="00A06373" w:rsidRDefault="003E2177" w:rsidP="00A06373">
      <w:pPr>
        <w:rPr>
          <w:bCs/>
          <w:szCs w:val="26"/>
        </w:rPr>
      </w:pPr>
      <w:r>
        <w:rPr>
          <w:bCs/>
          <w:szCs w:val="26"/>
        </w:rPr>
        <w:tab/>
        <w:t>1.</w:t>
      </w:r>
      <w:r>
        <w:rPr>
          <w:bCs/>
          <w:szCs w:val="26"/>
        </w:rPr>
        <w:tab/>
        <w:t>Did Athena</w:t>
      </w:r>
      <w:r w:rsidR="00F52D3A">
        <w:rPr>
          <w:bCs/>
          <w:szCs w:val="26"/>
        </w:rPr>
        <w:t xml:space="preserve"> </w:t>
      </w:r>
      <w:r w:rsidR="001B04B6">
        <w:rPr>
          <w:bCs/>
          <w:szCs w:val="26"/>
        </w:rPr>
        <w:t>know or reasonably should have known about a preexisting unsafe concealed condition on the property?</w:t>
      </w:r>
      <w:r w:rsidR="00360794">
        <w:rPr>
          <w:bCs/>
          <w:szCs w:val="26"/>
        </w:rPr>
        <w:t xml:space="preserve">  </w:t>
      </w:r>
      <w:r w:rsidR="00360794" w:rsidRPr="00E43D2A">
        <w:rPr>
          <w:bCs/>
          <w:szCs w:val="26"/>
          <w:u w:val="single"/>
        </w:rPr>
        <w:t>Yes</w:t>
      </w:r>
      <w:r w:rsidR="00360794">
        <w:rPr>
          <w:bCs/>
          <w:szCs w:val="26"/>
        </w:rPr>
        <w:t>.</w:t>
      </w:r>
      <w:r w:rsidR="00E2048D">
        <w:rPr>
          <w:bCs/>
          <w:szCs w:val="26"/>
        </w:rPr>
        <w:t xml:space="preserve">  </w:t>
      </w:r>
    </w:p>
    <w:p w14:paraId="0230F09F" w14:textId="77777777" w:rsidR="007239E3" w:rsidRDefault="003E2177" w:rsidP="006C69A1">
      <w:pPr>
        <w:ind w:firstLine="720"/>
        <w:rPr>
          <w:bCs/>
          <w:szCs w:val="26"/>
        </w:rPr>
      </w:pPr>
      <w:r>
        <w:rPr>
          <w:bCs/>
          <w:szCs w:val="26"/>
        </w:rPr>
        <w:t>Did MAS know or reasonably should have known about a</w:t>
      </w:r>
      <w:r w:rsidR="000525C5">
        <w:rPr>
          <w:bCs/>
          <w:szCs w:val="26"/>
        </w:rPr>
        <w:t xml:space="preserve"> </w:t>
      </w:r>
      <w:r>
        <w:rPr>
          <w:bCs/>
          <w:szCs w:val="26"/>
        </w:rPr>
        <w:t xml:space="preserve">preexisting unsafe concealed condition on the property?  </w:t>
      </w:r>
      <w:r w:rsidR="00E2048D" w:rsidRPr="00E43D2A">
        <w:rPr>
          <w:bCs/>
          <w:szCs w:val="26"/>
          <w:u w:val="single"/>
        </w:rPr>
        <w:t>Yes</w:t>
      </w:r>
      <w:r w:rsidR="00E2048D">
        <w:rPr>
          <w:bCs/>
          <w:szCs w:val="26"/>
        </w:rPr>
        <w:t>.</w:t>
      </w:r>
    </w:p>
    <w:p w14:paraId="0230F0A0" w14:textId="77777777" w:rsidR="00E2048D" w:rsidRDefault="003E2177" w:rsidP="00E2048D">
      <w:pPr>
        <w:ind w:firstLine="720"/>
        <w:rPr>
          <w:bCs/>
          <w:szCs w:val="26"/>
        </w:rPr>
      </w:pPr>
      <w:r>
        <w:rPr>
          <w:bCs/>
          <w:szCs w:val="26"/>
        </w:rPr>
        <w:t>2.</w:t>
      </w:r>
      <w:r>
        <w:rPr>
          <w:bCs/>
          <w:szCs w:val="26"/>
        </w:rPr>
        <w:tab/>
        <w:t>Did Horizon not know or could not hav</w:t>
      </w:r>
      <w:r>
        <w:rPr>
          <w:bCs/>
          <w:szCs w:val="26"/>
        </w:rPr>
        <w:t>e reasonably known about the unsafe concealed condition?</w:t>
      </w:r>
      <w:r w:rsidR="00071B59">
        <w:rPr>
          <w:bCs/>
          <w:szCs w:val="26"/>
        </w:rPr>
        <w:t xml:space="preserve">  </w:t>
      </w:r>
      <w:r w:rsidR="00071B59" w:rsidRPr="00656E8E">
        <w:rPr>
          <w:bCs/>
          <w:szCs w:val="26"/>
          <w:u w:val="single"/>
        </w:rPr>
        <w:t>Yes</w:t>
      </w:r>
      <w:r w:rsidR="00071B59">
        <w:rPr>
          <w:bCs/>
          <w:szCs w:val="26"/>
        </w:rPr>
        <w:t>.</w:t>
      </w:r>
    </w:p>
    <w:p w14:paraId="0230F0A1" w14:textId="77777777" w:rsidR="00071B59" w:rsidRDefault="003E2177" w:rsidP="00E2048D">
      <w:pPr>
        <w:ind w:firstLine="720"/>
        <w:rPr>
          <w:bCs/>
          <w:szCs w:val="26"/>
        </w:rPr>
      </w:pPr>
      <w:r>
        <w:rPr>
          <w:bCs/>
          <w:szCs w:val="26"/>
        </w:rPr>
        <w:t>3.</w:t>
      </w:r>
      <w:r>
        <w:rPr>
          <w:bCs/>
          <w:szCs w:val="26"/>
        </w:rPr>
        <w:tab/>
        <w:t xml:space="preserve">Was the condition part of the work Horizon was hired to perform?  </w:t>
      </w:r>
      <w:r w:rsidR="00AE6723" w:rsidRPr="00743070">
        <w:rPr>
          <w:bCs/>
          <w:szCs w:val="26"/>
          <w:u w:val="single"/>
        </w:rPr>
        <w:t>No</w:t>
      </w:r>
      <w:r w:rsidR="00AE6723">
        <w:rPr>
          <w:bCs/>
          <w:szCs w:val="26"/>
        </w:rPr>
        <w:t>.</w:t>
      </w:r>
    </w:p>
    <w:p w14:paraId="0230F0A2" w14:textId="77777777" w:rsidR="00AE6723" w:rsidRDefault="003E2177" w:rsidP="00E2048D">
      <w:pPr>
        <w:ind w:firstLine="720"/>
        <w:rPr>
          <w:bCs/>
          <w:szCs w:val="26"/>
        </w:rPr>
      </w:pPr>
      <w:r>
        <w:rPr>
          <w:bCs/>
          <w:szCs w:val="26"/>
        </w:rPr>
        <w:t>4.</w:t>
      </w:r>
      <w:r>
        <w:rPr>
          <w:bCs/>
          <w:szCs w:val="26"/>
        </w:rPr>
        <w:tab/>
      </w:r>
      <w:r w:rsidR="00F52D3A">
        <w:rPr>
          <w:bCs/>
          <w:szCs w:val="26"/>
        </w:rPr>
        <w:t xml:space="preserve">Did </w:t>
      </w:r>
      <w:r w:rsidR="006F1C88">
        <w:rPr>
          <w:bCs/>
          <w:szCs w:val="26"/>
        </w:rPr>
        <w:t xml:space="preserve">Athena fail to warn Horizon about the condition?  </w:t>
      </w:r>
      <w:r w:rsidR="006F1C88" w:rsidRPr="00656E8E">
        <w:rPr>
          <w:bCs/>
          <w:szCs w:val="26"/>
          <w:u w:val="single"/>
        </w:rPr>
        <w:t>Yes</w:t>
      </w:r>
      <w:r w:rsidR="006F1C88">
        <w:rPr>
          <w:bCs/>
          <w:szCs w:val="26"/>
        </w:rPr>
        <w:t>.</w:t>
      </w:r>
    </w:p>
    <w:p w14:paraId="0230F0A3" w14:textId="77777777" w:rsidR="006F1C88" w:rsidRDefault="003E2177" w:rsidP="006C69A1">
      <w:pPr>
        <w:ind w:firstLine="720"/>
        <w:rPr>
          <w:bCs/>
          <w:szCs w:val="26"/>
        </w:rPr>
      </w:pPr>
      <w:r>
        <w:rPr>
          <w:bCs/>
          <w:szCs w:val="26"/>
        </w:rPr>
        <w:t xml:space="preserve">Did </w:t>
      </w:r>
      <w:r w:rsidR="00656E8E">
        <w:rPr>
          <w:bCs/>
          <w:szCs w:val="26"/>
        </w:rPr>
        <w:t xml:space="preserve">MAS </w:t>
      </w:r>
      <w:r>
        <w:rPr>
          <w:bCs/>
          <w:szCs w:val="26"/>
        </w:rPr>
        <w:t xml:space="preserve">fail to warn Horizon about the condition?  </w:t>
      </w:r>
      <w:r w:rsidR="00663A30" w:rsidRPr="0050302B">
        <w:rPr>
          <w:bCs/>
          <w:szCs w:val="26"/>
          <w:u w:val="single"/>
        </w:rPr>
        <w:t>Y</w:t>
      </w:r>
      <w:r w:rsidRPr="00656E8E">
        <w:rPr>
          <w:bCs/>
          <w:szCs w:val="26"/>
          <w:u w:val="single"/>
        </w:rPr>
        <w:t>es</w:t>
      </w:r>
      <w:r>
        <w:rPr>
          <w:bCs/>
          <w:szCs w:val="26"/>
        </w:rPr>
        <w:t>.</w:t>
      </w:r>
    </w:p>
    <w:p w14:paraId="0230F0A4" w14:textId="77777777" w:rsidR="00656E8E" w:rsidRDefault="003E2177" w:rsidP="00E2048D">
      <w:pPr>
        <w:ind w:firstLine="720"/>
        <w:rPr>
          <w:bCs/>
          <w:szCs w:val="26"/>
        </w:rPr>
      </w:pPr>
      <w:r>
        <w:rPr>
          <w:bCs/>
          <w:szCs w:val="26"/>
        </w:rPr>
        <w:t>5.</w:t>
      </w:r>
      <w:r>
        <w:rPr>
          <w:bCs/>
          <w:szCs w:val="26"/>
        </w:rPr>
        <w:tab/>
        <w:t>Was Acosta harmed?</w:t>
      </w:r>
      <w:r w:rsidR="00B40A90">
        <w:rPr>
          <w:bCs/>
          <w:szCs w:val="26"/>
        </w:rPr>
        <w:t xml:space="preserve">  </w:t>
      </w:r>
      <w:r w:rsidR="00B40A90">
        <w:rPr>
          <w:bCs/>
          <w:szCs w:val="26"/>
          <w:u w:val="single"/>
        </w:rPr>
        <w:t>Yes</w:t>
      </w:r>
      <w:r w:rsidR="00B40A90">
        <w:rPr>
          <w:bCs/>
          <w:szCs w:val="26"/>
        </w:rPr>
        <w:t>.</w:t>
      </w:r>
    </w:p>
    <w:p w14:paraId="0230F0A5" w14:textId="77777777" w:rsidR="003A6808" w:rsidRDefault="003E2177" w:rsidP="00E2048D">
      <w:pPr>
        <w:ind w:firstLine="720"/>
        <w:rPr>
          <w:bCs/>
          <w:szCs w:val="26"/>
        </w:rPr>
      </w:pPr>
      <w:r>
        <w:rPr>
          <w:bCs/>
          <w:szCs w:val="26"/>
        </w:rPr>
        <w:lastRenderedPageBreak/>
        <w:t>6.</w:t>
      </w:r>
      <w:r>
        <w:rPr>
          <w:bCs/>
          <w:szCs w:val="26"/>
        </w:rPr>
        <w:tab/>
      </w:r>
      <w:proofErr w:type="gramStart"/>
      <w:r>
        <w:rPr>
          <w:bCs/>
          <w:szCs w:val="26"/>
        </w:rPr>
        <w:t>Was</w:t>
      </w:r>
      <w:proofErr w:type="gramEnd"/>
      <w:r>
        <w:rPr>
          <w:bCs/>
          <w:szCs w:val="26"/>
        </w:rPr>
        <w:t xml:space="preserve"> Athena’s conduct a substantial factor in causing harm to Acosta?  </w:t>
      </w:r>
      <w:r>
        <w:rPr>
          <w:bCs/>
          <w:szCs w:val="26"/>
          <w:u w:val="single"/>
        </w:rPr>
        <w:t>Yes</w:t>
      </w:r>
      <w:r>
        <w:rPr>
          <w:bCs/>
          <w:szCs w:val="26"/>
        </w:rPr>
        <w:t>.</w:t>
      </w:r>
    </w:p>
    <w:p w14:paraId="0230F0A6" w14:textId="77777777" w:rsidR="00B40A90" w:rsidRDefault="003E2177" w:rsidP="00E40986">
      <w:pPr>
        <w:ind w:firstLine="1440"/>
        <w:rPr>
          <w:bCs/>
          <w:szCs w:val="26"/>
        </w:rPr>
      </w:pPr>
      <w:proofErr w:type="gramStart"/>
      <w:r>
        <w:rPr>
          <w:bCs/>
          <w:szCs w:val="26"/>
        </w:rPr>
        <w:t>Was</w:t>
      </w:r>
      <w:proofErr w:type="gramEnd"/>
      <w:r>
        <w:rPr>
          <w:bCs/>
          <w:szCs w:val="26"/>
        </w:rPr>
        <w:t xml:space="preserve"> MAS</w:t>
      </w:r>
      <w:r w:rsidR="00E40986">
        <w:rPr>
          <w:bCs/>
          <w:szCs w:val="26"/>
        </w:rPr>
        <w:t>’</w:t>
      </w:r>
      <w:r>
        <w:rPr>
          <w:bCs/>
          <w:szCs w:val="26"/>
        </w:rPr>
        <w:t xml:space="preserve">s conduct a substantial factor in causing harm to Acosta?  </w:t>
      </w:r>
      <w:r>
        <w:rPr>
          <w:bCs/>
          <w:szCs w:val="26"/>
          <w:u w:val="single"/>
        </w:rPr>
        <w:t>Yes</w:t>
      </w:r>
      <w:r>
        <w:rPr>
          <w:bCs/>
          <w:szCs w:val="26"/>
        </w:rPr>
        <w:t>.</w:t>
      </w:r>
    </w:p>
    <w:p w14:paraId="0230F0A7" w14:textId="77777777" w:rsidR="007C65EF" w:rsidRDefault="003E2177" w:rsidP="00E2048D">
      <w:pPr>
        <w:ind w:firstLine="720"/>
        <w:rPr>
          <w:bCs/>
          <w:szCs w:val="26"/>
        </w:rPr>
      </w:pPr>
      <w:r>
        <w:rPr>
          <w:bCs/>
          <w:szCs w:val="26"/>
        </w:rPr>
        <w:t>7.</w:t>
      </w:r>
      <w:r>
        <w:rPr>
          <w:bCs/>
          <w:szCs w:val="26"/>
        </w:rPr>
        <w:tab/>
        <w:t xml:space="preserve">What are Acosta’s </w:t>
      </w:r>
      <w:r w:rsidR="00222794">
        <w:rPr>
          <w:bCs/>
          <w:szCs w:val="26"/>
        </w:rPr>
        <w:t xml:space="preserve">total damages?  </w:t>
      </w:r>
    </w:p>
    <w:p w14:paraId="0230F0A8" w14:textId="77777777" w:rsidR="00222794" w:rsidRDefault="003E2177" w:rsidP="00E2048D">
      <w:pPr>
        <w:ind w:firstLine="720"/>
        <w:rPr>
          <w:bCs/>
          <w:szCs w:val="26"/>
        </w:rPr>
      </w:pPr>
      <w:r>
        <w:rPr>
          <w:bCs/>
          <w:szCs w:val="26"/>
        </w:rPr>
        <w:t>a.</w:t>
      </w:r>
      <w:r>
        <w:rPr>
          <w:bCs/>
          <w:szCs w:val="26"/>
        </w:rPr>
        <w:tab/>
      </w:r>
      <w:r w:rsidRPr="00B92790">
        <w:rPr>
          <w:bCs/>
          <w:szCs w:val="26"/>
          <w:u w:val="single"/>
        </w:rPr>
        <w:t>Past economic loss</w:t>
      </w:r>
    </w:p>
    <w:p w14:paraId="0230F0A9" w14:textId="77777777" w:rsidR="00222794" w:rsidRDefault="003E2177" w:rsidP="00E2048D">
      <w:pPr>
        <w:ind w:firstLine="720"/>
        <w:rPr>
          <w:bCs/>
          <w:szCs w:val="26"/>
        </w:rPr>
      </w:pPr>
      <w:r>
        <w:rPr>
          <w:bCs/>
          <w:szCs w:val="26"/>
        </w:rPr>
        <w:tab/>
        <w:t>Lost earnings:</w:t>
      </w:r>
      <w:r>
        <w:rPr>
          <w:bCs/>
          <w:szCs w:val="26"/>
        </w:rPr>
        <w:tab/>
      </w:r>
      <w:r>
        <w:rPr>
          <w:bCs/>
          <w:szCs w:val="26"/>
        </w:rPr>
        <w:tab/>
      </w:r>
      <w:r>
        <w:rPr>
          <w:bCs/>
          <w:szCs w:val="26"/>
        </w:rPr>
        <w:tab/>
      </w:r>
      <w:r>
        <w:rPr>
          <w:bCs/>
          <w:szCs w:val="26"/>
        </w:rPr>
        <w:tab/>
        <w:t>$266,000</w:t>
      </w:r>
    </w:p>
    <w:p w14:paraId="0230F0AA" w14:textId="77777777" w:rsidR="00222794" w:rsidRDefault="003E2177" w:rsidP="00E2048D">
      <w:pPr>
        <w:ind w:firstLine="720"/>
        <w:rPr>
          <w:bCs/>
          <w:szCs w:val="26"/>
        </w:rPr>
      </w:pPr>
      <w:r>
        <w:rPr>
          <w:bCs/>
          <w:szCs w:val="26"/>
        </w:rPr>
        <w:tab/>
        <w:t>Medical expenses:</w:t>
      </w:r>
      <w:r>
        <w:rPr>
          <w:bCs/>
          <w:szCs w:val="26"/>
        </w:rPr>
        <w:tab/>
      </w:r>
      <w:r>
        <w:rPr>
          <w:bCs/>
          <w:szCs w:val="26"/>
        </w:rPr>
        <w:tab/>
      </w:r>
      <w:r>
        <w:rPr>
          <w:bCs/>
          <w:szCs w:val="26"/>
        </w:rPr>
        <w:tab/>
        <w:t>$606,238.75</w:t>
      </w:r>
    </w:p>
    <w:p w14:paraId="0230F0AB" w14:textId="77777777" w:rsidR="00222794" w:rsidRDefault="003E2177" w:rsidP="00E2048D">
      <w:pPr>
        <w:ind w:firstLine="720"/>
        <w:rPr>
          <w:bCs/>
          <w:szCs w:val="26"/>
        </w:rPr>
      </w:pPr>
      <w:r>
        <w:rPr>
          <w:bCs/>
          <w:szCs w:val="26"/>
        </w:rPr>
        <w:tab/>
        <w:t>Total past economic damages:</w:t>
      </w:r>
      <w:r>
        <w:rPr>
          <w:bCs/>
          <w:szCs w:val="26"/>
        </w:rPr>
        <w:tab/>
      </w:r>
      <w:r>
        <w:rPr>
          <w:bCs/>
          <w:szCs w:val="26"/>
        </w:rPr>
        <w:tab/>
        <w:t>$872,238.75</w:t>
      </w:r>
    </w:p>
    <w:p w14:paraId="0230F0AC" w14:textId="77777777" w:rsidR="00222794" w:rsidRDefault="003E2177" w:rsidP="00E2048D">
      <w:pPr>
        <w:ind w:firstLine="720"/>
        <w:rPr>
          <w:bCs/>
          <w:szCs w:val="26"/>
        </w:rPr>
      </w:pPr>
      <w:r>
        <w:rPr>
          <w:bCs/>
          <w:szCs w:val="26"/>
        </w:rPr>
        <w:t>b.</w:t>
      </w:r>
      <w:r>
        <w:rPr>
          <w:bCs/>
          <w:szCs w:val="26"/>
        </w:rPr>
        <w:tab/>
      </w:r>
      <w:r w:rsidRPr="00B92790">
        <w:rPr>
          <w:bCs/>
          <w:szCs w:val="26"/>
          <w:u w:val="single"/>
        </w:rPr>
        <w:t>Future economic loss</w:t>
      </w:r>
    </w:p>
    <w:p w14:paraId="0230F0AD" w14:textId="77777777" w:rsidR="00222794" w:rsidRDefault="003E2177" w:rsidP="00E2048D">
      <w:pPr>
        <w:ind w:firstLine="720"/>
        <w:rPr>
          <w:bCs/>
          <w:szCs w:val="26"/>
        </w:rPr>
      </w:pPr>
      <w:r>
        <w:rPr>
          <w:bCs/>
          <w:szCs w:val="26"/>
        </w:rPr>
        <w:tab/>
        <w:t>Lost earnings:</w:t>
      </w:r>
      <w:r>
        <w:rPr>
          <w:bCs/>
          <w:szCs w:val="26"/>
        </w:rPr>
        <w:tab/>
      </w:r>
      <w:r>
        <w:rPr>
          <w:bCs/>
          <w:szCs w:val="26"/>
        </w:rPr>
        <w:tab/>
      </w:r>
      <w:r>
        <w:rPr>
          <w:bCs/>
          <w:szCs w:val="26"/>
        </w:rPr>
        <w:tab/>
      </w:r>
      <w:r>
        <w:rPr>
          <w:bCs/>
          <w:szCs w:val="26"/>
        </w:rPr>
        <w:tab/>
        <w:t>$1,500,000</w:t>
      </w:r>
    </w:p>
    <w:p w14:paraId="0230F0AE" w14:textId="77777777" w:rsidR="00222794" w:rsidRDefault="003E2177" w:rsidP="00E2048D">
      <w:pPr>
        <w:ind w:firstLine="720"/>
        <w:rPr>
          <w:bCs/>
          <w:szCs w:val="26"/>
        </w:rPr>
      </w:pPr>
      <w:r>
        <w:rPr>
          <w:bCs/>
          <w:szCs w:val="26"/>
        </w:rPr>
        <w:tab/>
        <w:t>Medical expenses:</w:t>
      </w:r>
      <w:r>
        <w:rPr>
          <w:bCs/>
          <w:szCs w:val="26"/>
        </w:rPr>
        <w:tab/>
      </w:r>
      <w:r>
        <w:rPr>
          <w:bCs/>
          <w:szCs w:val="26"/>
        </w:rPr>
        <w:tab/>
      </w:r>
      <w:r>
        <w:rPr>
          <w:bCs/>
          <w:szCs w:val="26"/>
        </w:rPr>
        <w:tab/>
        <w:t>$450,000</w:t>
      </w:r>
    </w:p>
    <w:p w14:paraId="0230F0AF" w14:textId="77777777" w:rsidR="00222794" w:rsidRDefault="003E2177" w:rsidP="00E2048D">
      <w:pPr>
        <w:ind w:firstLine="720"/>
        <w:rPr>
          <w:bCs/>
          <w:szCs w:val="26"/>
        </w:rPr>
      </w:pPr>
      <w:r>
        <w:rPr>
          <w:bCs/>
          <w:szCs w:val="26"/>
        </w:rPr>
        <w:tab/>
        <w:t>Total Future Economic Damages:</w:t>
      </w:r>
      <w:r>
        <w:rPr>
          <w:bCs/>
          <w:szCs w:val="26"/>
        </w:rPr>
        <w:tab/>
        <w:t>$1,950</w:t>
      </w:r>
      <w:r>
        <w:rPr>
          <w:bCs/>
          <w:szCs w:val="26"/>
        </w:rPr>
        <w:t>,000</w:t>
      </w:r>
    </w:p>
    <w:p w14:paraId="0230F0B0" w14:textId="77777777" w:rsidR="00222794" w:rsidRDefault="003E2177" w:rsidP="00E2048D">
      <w:pPr>
        <w:ind w:firstLine="720"/>
        <w:rPr>
          <w:bCs/>
          <w:szCs w:val="26"/>
        </w:rPr>
      </w:pPr>
      <w:r>
        <w:rPr>
          <w:bCs/>
          <w:szCs w:val="26"/>
        </w:rPr>
        <w:t>c.</w:t>
      </w:r>
      <w:r>
        <w:rPr>
          <w:bCs/>
          <w:szCs w:val="26"/>
        </w:rPr>
        <w:tab/>
        <w:t>Past noneconomic loss:</w:t>
      </w:r>
      <w:r>
        <w:rPr>
          <w:bCs/>
          <w:szCs w:val="26"/>
        </w:rPr>
        <w:tab/>
      </w:r>
      <w:r>
        <w:rPr>
          <w:bCs/>
          <w:szCs w:val="26"/>
        </w:rPr>
        <w:tab/>
      </w:r>
      <w:r>
        <w:rPr>
          <w:bCs/>
          <w:szCs w:val="26"/>
        </w:rPr>
        <w:tab/>
        <w:t>$1,800,000</w:t>
      </w:r>
    </w:p>
    <w:p w14:paraId="0230F0B1" w14:textId="77777777" w:rsidR="00222794" w:rsidRDefault="003E2177" w:rsidP="001D242F">
      <w:pPr>
        <w:widowControl w:val="0"/>
        <w:ind w:firstLine="720"/>
        <w:rPr>
          <w:bCs/>
          <w:szCs w:val="26"/>
        </w:rPr>
      </w:pPr>
      <w:r>
        <w:rPr>
          <w:bCs/>
          <w:szCs w:val="26"/>
        </w:rPr>
        <w:t>d.</w:t>
      </w:r>
      <w:r>
        <w:rPr>
          <w:bCs/>
          <w:szCs w:val="26"/>
        </w:rPr>
        <w:tab/>
        <w:t>Future noneconomic loss:</w:t>
      </w:r>
      <w:r>
        <w:rPr>
          <w:bCs/>
          <w:szCs w:val="26"/>
        </w:rPr>
        <w:tab/>
      </w:r>
      <w:r>
        <w:rPr>
          <w:bCs/>
          <w:szCs w:val="26"/>
        </w:rPr>
        <w:tab/>
        <w:t>$8,000,000</w:t>
      </w:r>
    </w:p>
    <w:p w14:paraId="0230F0B2" w14:textId="77777777" w:rsidR="006C69A1" w:rsidRDefault="003E2177" w:rsidP="001A44DD">
      <w:pPr>
        <w:widowControl w:val="0"/>
        <w:ind w:firstLine="720"/>
        <w:rPr>
          <w:bCs/>
          <w:szCs w:val="26"/>
        </w:rPr>
      </w:pPr>
      <w:r w:rsidRPr="007239E3">
        <w:rPr>
          <w:b/>
          <w:szCs w:val="26"/>
        </w:rPr>
        <w:t>TOTAL</w:t>
      </w:r>
      <w:r>
        <w:rPr>
          <w:bCs/>
          <w:szCs w:val="26"/>
        </w:rPr>
        <w:t>:</w:t>
      </w:r>
      <w:r>
        <w:rPr>
          <w:bCs/>
          <w:szCs w:val="26"/>
        </w:rPr>
        <w:tab/>
      </w:r>
      <w:r>
        <w:rPr>
          <w:bCs/>
          <w:szCs w:val="26"/>
        </w:rPr>
        <w:tab/>
      </w:r>
      <w:r>
        <w:rPr>
          <w:bCs/>
          <w:szCs w:val="26"/>
        </w:rPr>
        <w:tab/>
      </w:r>
      <w:r>
        <w:rPr>
          <w:bCs/>
          <w:szCs w:val="26"/>
        </w:rPr>
        <w:tab/>
      </w:r>
      <w:r>
        <w:rPr>
          <w:bCs/>
          <w:szCs w:val="26"/>
        </w:rPr>
        <w:tab/>
      </w:r>
      <w:r>
        <w:rPr>
          <w:bCs/>
          <w:szCs w:val="26"/>
        </w:rPr>
        <w:tab/>
        <w:t>$12,622,238.75</w:t>
      </w:r>
    </w:p>
    <w:p w14:paraId="0230F0B3" w14:textId="77777777" w:rsidR="00222794" w:rsidRDefault="003E2177" w:rsidP="001A44DD">
      <w:pPr>
        <w:keepNext/>
        <w:keepLines/>
        <w:ind w:firstLine="720"/>
        <w:rPr>
          <w:bCs/>
          <w:szCs w:val="26"/>
        </w:rPr>
      </w:pPr>
      <w:r>
        <w:rPr>
          <w:bCs/>
          <w:szCs w:val="26"/>
        </w:rPr>
        <w:t>8.</w:t>
      </w:r>
      <w:r>
        <w:rPr>
          <w:bCs/>
          <w:szCs w:val="26"/>
        </w:rPr>
        <w:tab/>
        <w:t>Was Acosta negligent?</w:t>
      </w:r>
      <w:r>
        <w:rPr>
          <w:bCs/>
          <w:szCs w:val="26"/>
        </w:rPr>
        <w:tab/>
      </w:r>
      <w:r w:rsidRPr="00364CB5">
        <w:rPr>
          <w:bCs/>
          <w:szCs w:val="26"/>
          <w:u w:val="single"/>
        </w:rPr>
        <w:t>No</w:t>
      </w:r>
      <w:r>
        <w:rPr>
          <w:bCs/>
          <w:szCs w:val="26"/>
        </w:rPr>
        <w:t>.</w:t>
      </w:r>
    </w:p>
    <w:p w14:paraId="0230F0B4" w14:textId="77777777" w:rsidR="00222794" w:rsidRDefault="003E2177" w:rsidP="00E2048D">
      <w:pPr>
        <w:ind w:firstLine="720"/>
        <w:rPr>
          <w:bCs/>
          <w:szCs w:val="26"/>
        </w:rPr>
      </w:pPr>
      <w:r>
        <w:rPr>
          <w:bCs/>
          <w:szCs w:val="26"/>
        </w:rPr>
        <w:t>9.</w:t>
      </w:r>
      <w:r>
        <w:rPr>
          <w:bCs/>
          <w:szCs w:val="26"/>
        </w:rPr>
        <w:tab/>
        <w:t>Was Acosta’s negligence a substantial factor in causing his harm?</w:t>
      </w:r>
      <w:r>
        <w:rPr>
          <w:bCs/>
          <w:szCs w:val="26"/>
        </w:rPr>
        <w:tab/>
        <w:t>[Not answered.]</w:t>
      </w:r>
    </w:p>
    <w:p w14:paraId="0230F0B5" w14:textId="77777777" w:rsidR="00222794" w:rsidRDefault="003E2177" w:rsidP="00E2048D">
      <w:pPr>
        <w:ind w:firstLine="720"/>
        <w:rPr>
          <w:bCs/>
          <w:szCs w:val="26"/>
        </w:rPr>
      </w:pPr>
      <w:r>
        <w:rPr>
          <w:bCs/>
          <w:szCs w:val="26"/>
        </w:rPr>
        <w:t>10.</w:t>
      </w:r>
      <w:r>
        <w:rPr>
          <w:bCs/>
          <w:szCs w:val="26"/>
        </w:rPr>
        <w:tab/>
        <w:t xml:space="preserve">Was The Roof Depot </w:t>
      </w:r>
      <w:r>
        <w:rPr>
          <w:bCs/>
          <w:szCs w:val="26"/>
        </w:rPr>
        <w:t>negligent?</w:t>
      </w:r>
      <w:r>
        <w:rPr>
          <w:bCs/>
          <w:szCs w:val="26"/>
        </w:rPr>
        <w:tab/>
      </w:r>
      <w:r w:rsidRPr="00364CB5">
        <w:rPr>
          <w:bCs/>
          <w:szCs w:val="26"/>
          <w:u w:val="single"/>
        </w:rPr>
        <w:t>No</w:t>
      </w:r>
      <w:r>
        <w:rPr>
          <w:bCs/>
          <w:szCs w:val="26"/>
        </w:rPr>
        <w:t>.</w:t>
      </w:r>
    </w:p>
    <w:p w14:paraId="0230F0B6" w14:textId="77777777" w:rsidR="00222794" w:rsidRDefault="003E2177" w:rsidP="00E2048D">
      <w:pPr>
        <w:ind w:firstLine="720"/>
        <w:rPr>
          <w:bCs/>
          <w:szCs w:val="26"/>
        </w:rPr>
      </w:pPr>
      <w:r>
        <w:rPr>
          <w:bCs/>
          <w:szCs w:val="26"/>
        </w:rPr>
        <w:t>11.</w:t>
      </w:r>
      <w:r>
        <w:rPr>
          <w:bCs/>
          <w:szCs w:val="26"/>
        </w:rPr>
        <w:tab/>
        <w:t>Was The Roof Depot’s negligence a substantial factor in causing Mr. Acosta’s harm?</w:t>
      </w:r>
      <w:r>
        <w:rPr>
          <w:bCs/>
          <w:szCs w:val="26"/>
        </w:rPr>
        <w:tab/>
        <w:t>[Not answered.]</w:t>
      </w:r>
    </w:p>
    <w:p w14:paraId="0230F0B7" w14:textId="77777777" w:rsidR="00222794" w:rsidRDefault="003E2177" w:rsidP="00222794">
      <w:pPr>
        <w:rPr>
          <w:bCs/>
          <w:szCs w:val="26"/>
        </w:rPr>
      </w:pPr>
      <w:r>
        <w:rPr>
          <w:bCs/>
          <w:szCs w:val="26"/>
        </w:rPr>
        <w:tab/>
        <w:t>12.</w:t>
      </w:r>
      <w:r>
        <w:rPr>
          <w:bCs/>
          <w:szCs w:val="26"/>
        </w:rPr>
        <w:tab/>
        <w:t>What percentage of responsibility for Plaintiff Louis Acosta’s harm do you assign to the following:</w:t>
      </w:r>
    </w:p>
    <w:p w14:paraId="0230F0B8" w14:textId="77777777" w:rsidR="00222794" w:rsidRDefault="003E2177" w:rsidP="00222794">
      <w:pPr>
        <w:rPr>
          <w:bCs/>
          <w:szCs w:val="26"/>
        </w:rPr>
      </w:pPr>
      <w:r>
        <w:rPr>
          <w:bCs/>
          <w:szCs w:val="26"/>
        </w:rPr>
        <w:tab/>
        <w:t>Athena Management, Inc.:</w:t>
      </w:r>
      <w:r>
        <w:rPr>
          <w:bCs/>
          <w:szCs w:val="26"/>
        </w:rPr>
        <w:tab/>
        <w:t>80%</w:t>
      </w:r>
    </w:p>
    <w:p w14:paraId="0230F0B9" w14:textId="77777777" w:rsidR="00222794" w:rsidRDefault="003E2177" w:rsidP="00222794">
      <w:pPr>
        <w:rPr>
          <w:bCs/>
          <w:szCs w:val="26"/>
        </w:rPr>
      </w:pPr>
      <w:r>
        <w:rPr>
          <w:bCs/>
          <w:szCs w:val="26"/>
        </w:rPr>
        <w:tab/>
        <w:t>MA</w:t>
      </w:r>
      <w:r>
        <w:rPr>
          <w:bCs/>
          <w:szCs w:val="26"/>
        </w:rPr>
        <w:t>S Realty:</w:t>
      </w:r>
      <w:r>
        <w:rPr>
          <w:bCs/>
          <w:szCs w:val="26"/>
        </w:rPr>
        <w:tab/>
      </w:r>
      <w:r>
        <w:rPr>
          <w:bCs/>
          <w:szCs w:val="26"/>
        </w:rPr>
        <w:tab/>
      </w:r>
      <w:r>
        <w:rPr>
          <w:bCs/>
          <w:szCs w:val="26"/>
        </w:rPr>
        <w:tab/>
        <w:t>20%</w:t>
      </w:r>
    </w:p>
    <w:p w14:paraId="0230F0BA" w14:textId="77777777" w:rsidR="00222794" w:rsidRDefault="003E2177" w:rsidP="00222794">
      <w:pPr>
        <w:rPr>
          <w:bCs/>
          <w:szCs w:val="26"/>
        </w:rPr>
      </w:pPr>
      <w:r>
        <w:rPr>
          <w:bCs/>
          <w:szCs w:val="26"/>
        </w:rPr>
        <w:tab/>
      </w:r>
      <w:r w:rsidR="007239E3">
        <w:rPr>
          <w:bCs/>
          <w:szCs w:val="26"/>
        </w:rPr>
        <w:t>The Roof Depot:</w:t>
      </w:r>
      <w:r w:rsidR="007239E3">
        <w:rPr>
          <w:bCs/>
          <w:szCs w:val="26"/>
        </w:rPr>
        <w:tab/>
      </w:r>
      <w:r w:rsidR="007239E3">
        <w:rPr>
          <w:bCs/>
          <w:szCs w:val="26"/>
        </w:rPr>
        <w:tab/>
      </w:r>
      <w:r w:rsidR="007239E3">
        <w:rPr>
          <w:bCs/>
          <w:szCs w:val="26"/>
        </w:rPr>
        <w:tab/>
        <w:t>0%</w:t>
      </w:r>
    </w:p>
    <w:p w14:paraId="0230F0BB" w14:textId="77777777" w:rsidR="007D5F83" w:rsidRDefault="003E2177" w:rsidP="00222794">
      <w:pPr>
        <w:rPr>
          <w:bCs/>
          <w:szCs w:val="26"/>
        </w:rPr>
      </w:pPr>
      <w:r>
        <w:rPr>
          <w:bCs/>
          <w:szCs w:val="26"/>
        </w:rPr>
        <w:tab/>
        <w:t>Louis Acosta:</w:t>
      </w:r>
      <w:r>
        <w:rPr>
          <w:bCs/>
          <w:szCs w:val="26"/>
        </w:rPr>
        <w:tab/>
      </w:r>
      <w:r>
        <w:rPr>
          <w:bCs/>
          <w:szCs w:val="26"/>
        </w:rPr>
        <w:tab/>
      </w:r>
      <w:r>
        <w:rPr>
          <w:bCs/>
          <w:szCs w:val="26"/>
        </w:rPr>
        <w:tab/>
        <w:t>0%</w:t>
      </w:r>
    </w:p>
    <w:p w14:paraId="0230F0BC" w14:textId="77777777" w:rsidR="007D5F83" w:rsidRPr="007D5F83" w:rsidRDefault="003E2177" w:rsidP="00222794">
      <w:pPr>
        <w:rPr>
          <w:bCs/>
          <w:szCs w:val="26"/>
        </w:rPr>
      </w:pPr>
      <w:r>
        <w:rPr>
          <w:bCs/>
          <w:szCs w:val="26"/>
        </w:rPr>
        <w:tab/>
      </w:r>
      <w:r>
        <w:rPr>
          <w:b/>
          <w:szCs w:val="26"/>
        </w:rPr>
        <w:t>TOTAL:</w:t>
      </w:r>
      <w:r>
        <w:rPr>
          <w:b/>
          <w:szCs w:val="26"/>
        </w:rPr>
        <w:tab/>
      </w:r>
      <w:r>
        <w:rPr>
          <w:b/>
          <w:szCs w:val="26"/>
        </w:rPr>
        <w:tab/>
      </w:r>
      <w:r>
        <w:rPr>
          <w:b/>
          <w:szCs w:val="26"/>
        </w:rPr>
        <w:tab/>
      </w:r>
      <w:r>
        <w:rPr>
          <w:b/>
          <w:szCs w:val="26"/>
        </w:rPr>
        <w:tab/>
      </w:r>
      <w:r>
        <w:rPr>
          <w:bCs/>
          <w:szCs w:val="26"/>
        </w:rPr>
        <w:t>100%</w:t>
      </w:r>
    </w:p>
    <w:p w14:paraId="0230F0BD" w14:textId="77777777" w:rsidR="00222794" w:rsidRPr="00B40A90" w:rsidRDefault="00222794" w:rsidP="00E2048D">
      <w:pPr>
        <w:ind w:firstLine="720"/>
        <w:rPr>
          <w:bCs/>
          <w:szCs w:val="26"/>
        </w:rPr>
      </w:pPr>
    </w:p>
    <w:p w14:paraId="0230F0BE" w14:textId="77777777" w:rsidR="00C21305" w:rsidRDefault="003E2177" w:rsidP="00444BDE">
      <w:pPr>
        <w:pStyle w:val="Heading3"/>
        <w:keepNext/>
      </w:pPr>
      <w:r>
        <w:lastRenderedPageBreak/>
        <w:t>D</w:t>
      </w:r>
      <w:r w:rsidR="007D5F83">
        <w:t>.</w:t>
      </w:r>
      <w:r w:rsidR="007D5F83">
        <w:tab/>
      </w:r>
      <w:r w:rsidR="00353EEC">
        <w:t>Judgment and p</w:t>
      </w:r>
      <w:r w:rsidR="007D5F83">
        <w:t>ost-trial motions.</w:t>
      </w:r>
    </w:p>
    <w:p w14:paraId="0230F0BF" w14:textId="77777777" w:rsidR="00DE1663" w:rsidRPr="00150067" w:rsidRDefault="003E2177" w:rsidP="007D5F83">
      <w:pPr>
        <w:rPr>
          <w:bCs/>
          <w:i/>
          <w:iCs/>
          <w:szCs w:val="26"/>
        </w:rPr>
      </w:pPr>
      <w:r>
        <w:rPr>
          <w:bCs/>
          <w:szCs w:val="26"/>
        </w:rPr>
        <w:tab/>
      </w:r>
      <w:r w:rsidR="001A44DD">
        <w:rPr>
          <w:bCs/>
          <w:szCs w:val="26"/>
        </w:rPr>
        <w:t>D</w:t>
      </w:r>
      <w:r w:rsidR="007D5F83">
        <w:rPr>
          <w:bCs/>
          <w:szCs w:val="26"/>
        </w:rPr>
        <w:t>efendants filed motions for judgment notwithstanding the verdict and for a new trial</w:t>
      </w:r>
      <w:r w:rsidR="00A76ADF">
        <w:rPr>
          <w:bCs/>
          <w:szCs w:val="26"/>
        </w:rPr>
        <w:t>.  The trial court denied both motions.</w:t>
      </w:r>
      <w:r w:rsidR="00B51D8C">
        <w:rPr>
          <w:bCs/>
          <w:szCs w:val="26"/>
        </w:rPr>
        <w:t xml:space="preserve">  </w:t>
      </w:r>
      <w:r w:rsidR="001A44DD">
        <w:rPr>
          <w:bCs/>
          <w:szCs w:val="26"/>
        </w:rPr>
        <w:t>D</w:t>
      </w:r>
      <w:r w:rsidR="00B158CD">
        <w:rPr>
          <w:bCs/>
          <w:szCs w:val="26"/>
        </w:rPr>
        <w:t xml:space="preserve">efendants </w:t>
      </w:r>
      <w:r w:rsidR="001A44DD">
        <w:rPr>
          <w:bCs/>
          <w:szCs w:val="26"/>
        </w:rPr>
        <w:t xml:space="preserve">timely </w:t>
      </w:r>
      <w:r w:rsidR="00A52C49">
        <w:rPr>
          <w:bCs/>
          <w:szCs w:val="26"/>
        </w:rPr>
        <w:t xml:space="preserve">appealed </w:t>
      </w:r>
      <w:r w:rsidR="00B158CD">
        <w:rPr>
          <w:bCs/>
          <w:szCs w:val="26"/>
        </w:rPr>
        <w:t xml:space="preserve">from </w:t>
      </w:r>
      <w:r w:rsidR="002F35B2">
        <w:rPr>
          <w:bCs/>
          <w:szCs w:val="26"/>
        </w:rPr>
        <w:t>the judgment.</w:t>
      </w:r>
    </w:p>
    <w:p w14:paraId="0230F0C0" w14:textId="77777777" w:rsidR="00E91197" w:rsidRDefault="003E2177" w:rsidP="00444BDE">
      <w:pPr>
        <w:pStyle w:val="Heading1"/>
      </w:pPr>
      <w:r>
        <w:t>DISCUSSION</w:t>
      </w:r>
    </w:p>
    <w:p w14:paraId="0230F0C1" w14:textId="77777777" w:rsidR="005D76BB" w:rsidRDefault="003E2177" w:rsidP="00032B4F">
      <w:pPr>
        <w:rPr>
          <w:bCs/>
          <w:szCs w:val="26"/>
        </w:rPr>
      </w:pPr>
      <w:r>
        <w:rPr>
          <w:bCs/>
          <w:szCs w:val="26"/>
        </w:rPr>
        <w:tab/>
        <w:t xml:space="preserve">Defendants contend </w:t>
      </w:r>
      <w:r w:rsidR="00C5434C">
        <w:rPr>
          <w:bCs/>
          <w:szCs w:val="26"/>
        </w:rPr>
        <w:t xml:space="preserve">substantial evidence did not support the jury’s verdict </w:t>
      </w:r>
      <w:r>
        <w:rPr>
          <w:bCs/>
          <w:szCs w:val="26"/>
        </w:rPr>
        <w:t>because the evidence was undisputed that Acosta knew or reasonably should have known of the hazard</w:t>
      </w:r>
      <w:r w:rsidR="00FB0827">
        <w:rPr>
          <w:bCs/>
          <w:szCs w:val="26"/>
        </w:rPr>
        <w:t>s</w:t>
      </w:r>
      <w:r>
        <w:rPr>
          <w:bCs/>
          <w:szCs w:val="26"/>
        </w:rPr>
        <w:t xml:space="preserve">—i.e., that the roof hatch was </w:t>
      </w:r>
      <w:proofErr w:type="gramStart"/>
      <w:r>
        <w:rPr>
          <w:bCs/>
          <w:szCs w:val="26"/>
        </w:rPr>
        <w:t>broken</w:t>
      </w:r>
      <w:proofErr w:type="gramEnd"/>
      <w:r>
        <w:rPr>
          <w:bCs/>
          <w:szCs w:val="26"/>
        </w:rPr>
        <w:t xml:space="preserve"> and the ladder did not extend to the roof</w:t>
      </w:r>
      <w:r w:rsidR="00640AC3">
        <w:rPr>
          <w:bCs/>
          <w:szCs w:val="26"/>
        </w:rPr>
        <w:t xml:space="preserve">—and </w:t>
      </w:r>
      <w:r w:rsidR="001748B1">
        <w:rPr>
          <w:bCs/>
          <w:szCs w:val="26"/>
        </w:rPr>
        <w:t>there was a visible warning of the broken hatch</w:t>
      </w:r>
      <w:r w:rsidR="00E94590">
        <w:rPr>
          <w:bCs/>
          <w:szCs w:val="26"/>
        </w:rPr>
        <w:t xml:space="preserve">. In the alternative, defendants contend </w:t>
      </w:r>
      <w:r w:rsidR="00590621">
        <w:rPr>
          <w:bCs/>
          <w:szCs w:val="26"/>
        </w:rPr>
        <w:t xml:space="preserve">they are entitled to a new trial because the trial court prejudicially </w:t>
      </w:r>
      <w:proofErr w:type="spellStart"/>
      <w:r w:rsidR="00590621">
        <w:rPr>
          <w:bCs/>
          <w:szCs w:val="26"/>
        </w:rPr>
        <w:t>misinstructed</w:t>
      </w:r>
      <w:proofErr w:type="spellEnd"/>
      <w:r w:rsidR="00590621">
        <w:rPr>
          <w:bCs/>
          <w:szCs w:val="26"/>
        </w:rPr>
        <w:t xml:space="preserve"> the jury</w:t>
      </w:r>
      <w:r>
        <w:rPr>
          <w:bCs/>
          <w:szCs w:val="26"/>
        </w:rPr>
        <w:t>, the</w:t>
      </w:r>
      <w:r w:rsidR="005600DE">
        <w:rPr>
          <w:bCs/>
          <w:szCs w:val="26"/>
        </w:rPr>
        <w:t>re were errors in the</w:t>
      </w:r>
      <w:r>
        <w:rPr>
          <w:bCs/>
          <w:szCs w:val="26"/>
        </w:rPr>
        <w:t xml:space="preserve"> special verdict form</w:t>
      </w:r>
      <w:r w:rsidR="00F14803">
        <w:rPr>
          <w:bCs/>
          <w:szCs w:val="26"/>
        </w:rPr>
        <w:t>, and the damage award was excessive,</w:t>
      </w:r>
      <w:r>
        <w:rPr>
          <w:bCs/>
          <w:szCs w:val="26"/>
        </w:rPr>
        <w:t xml:space="preserve"> </w:t>
      </w:r>
      <w:r w:rsidR="00F14803">
        <w:rPr>
          <w:bCs/>
          <w:szCs w:val="26"/>
        </w:rPr>
        <w:t>among other things.</w:t>
      </w:r>
    </w:p>
    <w:p w14:paraId="0230F0C2" w14:textId="77777777" w:rsidR="005D76BB" w:rsidRDefault="003E2177" w:rsidP="00032B4F">
      <w:pPr>
        <w:rPr>
          <w:bCs/>
          <w:szCs w:val="26"/>
        </w:rPr>
      </w:pPr>
      <w:r>
        <w:rPr>
          <w:bCs/>
          <w:szCs w:val="26"/>
        </w:rPr>
        <w:tab/>
        <w:t xml:space="preserve">As we discuss, under </w:t>
      </w:r>
      <w:proofErr w:type="spellStart"/>
      <w:r w:rsidRPr="00791131">
        <w:rPr>
          <w:bCs/>
          <w:i/>
          <w:iCs/>
          <w:szCs w:val="26"/>
        </w:rPr>
        <w:t>Privette</w:t>
      </w:r>
      <w:proofErr w:type="spellEnd"/>
      <w:r w:rsidRPr="00791131">
        <w:rPr>
          <w:bCs/>
          <w:i/>
          <w:iCs/>
          <w:szCs w:val="26"/>
        </w:rPr>
        <w:t xml:space="preserve"> </w:t>
      </w:r>
      <w:r>
        <w:rPr>
          <w:bCs/>
          <w:szCs w:val="26"/>
        </w:rPr>
        <w:t xml:space="preserve">and its progeny, </w:t>
      </w:r>
      <w:r w:rsidR="004322A8">
        <w:rPr>
          <w:bCs/>
          <w:szCs w:val="26"/>
        </w:rPr>
        <w:t xml:space="preserve">a property owner who hires an independent contractor </w:t>
      </w:r>
      <w:r w:rsidR="00FB7486">
        <w:rPr>
          <w:bCs/>
          <w:szCs w:val="26"/>
        </w:rPr>
        <w:t xml:space="preserve">may </w:t>
      </w:r>
      <w:r w:rsidR="004322A8">
        <w:rPr>
          <w:bCs/>
          <w:szCs w:val="26"/>
        </w:rPr>
        <w:t xml:space="preserve">be liable to the contractor’s employee for </w:t>
      </w:r>
      <w:r w:rsidR="00FB7486">
        <w:rPr>
          <w:bCs/>
          <w:szCs w:val="26"/>
        </w:rPr>
        <w:t xml:space="preserve">injuries sustained on the </w:t>
      </w:r>
      <w:r w:rsidR="004B1472">
        <w:rPr>
          <w:bCs/>
          <w:szCs w:val="26"/>
        </w:rPr>
        <w:t>job only if the owner</w:t>
      </w:r>
      <w:r w:rsidR="004B1472" w:rsidRPr="001A23CD">
        <w:rPr>
          <w:bCs/>
          <w:szCs w:val="26"/>
        </w:rPr>
        <w:t xml:space="preserve"> exercises retained control over any part of the contractor</w:t>
      </w:r>
      <w:r w:rsidR="004B1472">
        <w:rPr>
          <w:bCs/>
          <w:szCs w:val="26"/>
        </w:rPr>
        <w:t>’</w:t>
      </w:r>
      <w:r w:rsidR="004B1472" w:rsidRPr="001A23CD">
        <w:rPr>
          <w:bCs/>
          <w:szCs w:val="26"/>
        </w:rPr>
        <w:t>s work in a manner that affirmatively contributes to the worker</w:t>
      </w:r>
      <w:r w:rsidR="004B1472">
        <w:rPr>
          <w:bCs/>
          <w:szCs w:val="26"/>
        </w:rPr>
        <w:t>’</w:t>
      </w:r>
      <w:r w:rsidR="004B1472" w:rsidRPr="001A23CD">
        <w:rPr>
          <w:bCs/>
          <w:szCs w:val="26"/>
        </w:rPr>
        <w:t>s injuries</w:t>
      </w:r>
      <w:r w:rsidR="004B1472">
        <w:rPr>
          <w:bCs/>
          <w:szCs w:val="26"/>
        </w:rPr>
        <w:t xml:space="preserve">, or </w:t>
      </w:r>
      <w:r w:rsidR="002D4E16">
        <w:rPr>
          <w:bCs/>
          <w:szCs w:val="26"/>
        </w:rPr>
        <w:t xml:space="preserve">the employee is injured by a </w:t>
      </w:r>
      <w:r w:rsidR="002D4E16" w:rsidRPr="000C3774">
        <w:rPr>
          <w:bCs/>
          <w:iCs/>
          <w:szCs w:val="26"/>
        </w:rPr>
        <w:t xml:space="preserve">concealed hazardous condition </w:t>
      </w:r>
      <w:r w:rsidR="002C63C0">
        <w:rPr>
          <w:bCs/>
          <w:iCs/>
          <w:szCs w:val="26"/>
        </w:rPr>
        <w:t xml:space="preserve">that is unknown and not reasonably ascertainable by the </w:t>
      </w:r>
      <w:r w:rsidR="002D4E16" w:rsidRPr="000C3774">
        <w:rPr>
          <w:bCs/>
          <w:iCs/>
          <w:szCs w:val="26"/>
        </w:rPr>
        <w:t>contractor</w:t>
      </w:r>
      <w:r w:rsidR="002654F3">
        <w:rPr>
          <w:bCs/>
          <w:iCs/>
          <w:szCs w:val="26"/>
        </w:rPr>
        <w:t xml:space="preserve">.  In the present case, </w:t>
      </w:r>
      <w:r w:rsidR="00D01577">
        <w:rPr>
          <w:bCs/>
          <w:iCs/>
          <w:szCs w:val="26"/>
        </w:rPr>
        <w:t>Acosta does not contend that defendants exercised any retained control over the work site, and the undisputed evidence establishe</w:t>
      </w:r>
      <w:r w:rsidR="00912EDB">
        <w:rPr>
          <w:bCs/>
          <w:iCs/>
          <w:szCs w:val="26"/>
        </w:rPr>
        <w:t xml:space="preserve">d </w:t>
      </w:r>
      <w:r w:rsidR="00D01577">
        <w:rPr>
          <w:bCs/>
          <w:iCs/>
          <w:szCs w:val="26"/>
        </w:rPr>
        <w:t xml:space="preserve">as a matter of law that </w:t>
      </w:r>
      <w:r w:rsidR="004273A0">
        <w:rPr>
          <w:bCs/>
          <w:iCs/>
          <w:szCs w:val="26"/>
        </w:rPr>
        <w:t xml:space="preserve">Acosta and his employer could </w:t>
      </w:r>
      <w:r w:rsidR="00C60246">
        <w:rPr>
          <w:bCs/>
          <w:iCs/>
          <w:szCs w:val="26"/>
        </w:rPr>
        <w:t xml:space="preserve">reasonably have </w:t>
      </w:r>
      <w:r w:rsidR="004273A0" w:rsidRPr="000C3774">
        <w:rPr>
          <w:bCs/>
          <w:iCs/>
          <w:szCs w:val="26"/>
        </w:rPr>
        <w:t>ascertain</w:t>
      </w:r>
      <w:r w:rsidR="00C60246">
        <w:rPr>
          <w:bCs/>
          <w:iCs/>
          <w:szCs w:val="26"/>
        </w:rPr>
        <w:t xml:space="preserve">ed </w:t>
      </w:r>
      <w:r w:rsidR="00AD5949">
        <w:rPr>
          <w:bCs/>
          <w:iCs/>
          <w:szCs w:val="26"/>
        </w:rPr>
        <w:t xml:space="preserve">the </w:t>
      </w:r>
      <w:r w:rsidR="00C60246">
        <w:rPr>
          <w:bCs/>
          <w:iCs/>
          <w:szCs w:val="26"/>
        </w:rPr>
        <w:t>hazardous condition of the hatch</w:t>
      </w:r>
      <w:r w:rsidR="00BF4AAA">
        <w:rPr>
          <w:bCs/>
          <w:iCs/>
          <w:szCs w:val="26"/>
        </w:rPr>
        <w:t xml:space="preserve"> and ladder</w:t>
      </w:r>
      <w:r w:rsidR="00C60246">
        <w:rPr>
          <w:bCs/>
          <w:iCs/>
          <w:szCs w:val="26"/>
        </w:rPr>
        <w:t xml:space="preserve">.  Accordingly, </w:t>
      </w:r>
      <w:r w:rsidR="00D25C92">
        <w:rPr>
          <w:bCs/>
          <w:iCs/>
          <w:szCs w:val="26"/>
        </w:rPr>
        <w:t>we will direct entry of judgment for defendants.</w:t>
      </w:r>
    </w:p>
    <w:p w14:paraId="0230F0C3" w14:textId="77777777" w:rsidR="00FF7A69" w:rsidRDefault="003E2177" w:rsidP="00573F61">
      <w:pPr>
        <w:pStyle w:val="Heading2"/>
        <w:keepNext/>
        <w:keepLines/>
      </w:pPr>
      <w:r>
        <w:lastRenderedPageBreak/>
        <w:t>I.</w:t>
      </w:r>
      <w:r>
        <w:tab/>
        <w:t>Standard of review.</w:t>
      </w:r>
    </w:p>
    <w:p w14:paraId="0230F0C4" w14:textId="77777777" w:rsidR="00FF7A69" w:rsidRDefault="003E2177" w:rsidP="00573F61">
      <w:pPr>
        <w:keepNext/>
        <w:keepLines/>
        <w:ind w:firstLine="720"/>
        <w:rPr>
          <w:bCs/>
          <w:iCs/>
          <w:szCs w:val="26"/>
        </w:rPr>
      </w:pPr>
      <w:r w:rsidRPr="00B2434C">
        <w:rPr>
          <w:bCs/>
          <w:iCs/>
          <w:szCs w:val="26"/>
        </w:rPr>
        <w:t>“</w:t>
      </w:r>
      <w:r>
        <w:rPr>
          <w:bCs/>
          <w:iCs/>
          <w:szCs w:val="26"/>
        </w:rPr>
        <w:t xml:space="preserve"> ‘</w:t>
      </w:r>
      <w:r w:rsidRPr="00B2434C">
        <w:rPr>
          <w:bCs/>
          <w:iCs/>
          <w:szCs w:val="26"/>
        </w:rPr>
        <w:t>We will reverse a jury</w:t>
      </w:r>
      <w:r>
        <w:rPr>
          <w:bCs/>
          <w:iCs/>
          <w:szCs w:val="26"/>
        </w:rPr>
        <w:t>’</w:t>
      </w:r>
      <w:r w:rsidRPr="00B2434C">
        <w:rPr>
          <w:bCs/>
          <w:iCs/>
          <w:szCs w:val="26"/>
        </w:rPr>
        <w:t xml:space="preserve">s verdict only if it is </w:t>
      </w:r>
      <w:r w:rsidRPr="00B2434C">
        <w:rPr>
          <w:bCs/>
          <w:iCs/>
          <w:szCs w:val="26"/>
        </w:rPr>
        <w:t>unsupported by any substantial evidence, meaning to prevail on appeal defendants must show that the evidence was such as would justify a directed verdict in their favor.</w:t>
      </w:r>
      <w:r w:rsidR="009025E5">
        <w:rPr>
          <w:bCs/>
          <w:iCs/>
          <w:szCs w:val="26"/>
        </w:rPr>
        <w:t>’ </w:t>
      </w:r>
      <w:r>
        <w:rPr>
          <w:bCs/>
          <w:iCs/>
          <w:szCs w:val="26"/>
        </w:rPr>
        <w:t>”  (</w:t>
      </w:r>
      <w:r w:rsidRPr="009513E1">
        <w:rPr>
          <w:bCs/>
          <w:i/>
          <w:szCs w:val="26"/>
        </w:rPr>
        <w:t>Kim v. TWA Construction, Inc</w:t>
      </w:r>
      <w:r w:rsidRPr="00B2434C">
        <w:rPr>
          <w:bCs/>
          <w:iCs/>
          <w:szCs w:val="26"/>
        </w:rPr>
        <w:t>. (2022) 78 Cal.App.5th 808, 837</w:t>
      </w:r>
      <w:r>
        <w:rPr>
          <w:bCs/>
          <w:iCs/>
          <w:szCs w:val="26"/>
        </w:rPr>
        <w:t xml:space="preserve">.)  </w:t>
      </w:r>
      <w:r w:rsidRPr="003E1C3E">
        <w:rPr>
          <w:bCs/>
          <w:iCs/>
          <w:szCs w:val="26"/>
        </w:rPr>
        <w:t>Under this standa</w:t>
      </w:r>
      <w:r w:rsidRPr="003E1C3E">
        <w:rPr>
          <w:bCs/>
          <w:iCs/>
          <w:szCs w:val="26"/>
        </w:rPr>
        <w:t xml:space="preserve">rd, we consider “whether a reasonable trier of fact could have found for the </w:t>
      </w:r>
      <w:r w:rsidR="00353F34">
        <w:rPr>
          <w:bCs/>
          <w:iCs/>
          <w:szCs w:val="26"/>
        </w:rPr>
        <w:t xml:space="preserve">respondent </w:t>
      </w:r>
      <w:r w:rsidRPr="003E1C3E">
        <w:rPr>
          <w:bCs/>
          <w:iCs/>
          <w:szCs w:val="26"/>
        </w:rPr>
        <w:t xml:space="preserve">based on the entire record.” </w:t>
      </w:r>
      <w:r>
        <w:rPr>
          <w:bCs/>
          <w:iCs/>
          <w:szCs w:val="26"/>
        </w:rPr>
        <w:t xml:space="preserve"> </w:t>
      </w:r>
      <w:r w:rsidRPr="003E1C3E">
        <w:rPr>
          <w:bCs/>
          <w:iCs/>
          <w:szCs w:val="26"/>
        </w:rPr>
        <w:t>(</w:t>
      </w:r>
      <w:r w:rsidRPr="003E1C3E">
        <w:rPr>
          <w:bCs/>
          <w:i/>
          <w:szCs w:val="26"/>
        </w:rPr>
        <w:t>Quigley v. McClellan</w:t>
      </w:r>
      <w:r w:rsidRPr="003E1C3E">
        <w:rPr>
          <w:bCs/>
          <w:iCs/>
          <w:szCs w:val="26"/>
        </w:rPr>
        <w:t xml:space="preserve"> (2013) 214 Cal.App.4th 1276, 1282.)</w:t>
      </w:r>
      <w:r>
        <w:rPr>
          <w:bCs/>
          <w:iCs/>
          <w:szCs w:val="26"/>
        </w:rPr>
        <w:t xml:space="preserve">  In doing so, we </w:t>
      </w:r>
      <w:r w:rsidRPr="005C798C">
        <w:rPr>
          <w:bCs/>
          <w:iCs/>
          <w:szCs w:val="26"/>
        </w:rPr>
        <w:t xml:space="preserve">“consider the whole record, view the evidence in the light </w:t>
      </w:r>
      <w:r w:rsidRPr="005C798C">
        <w:rPr>
          <w:bCs/>
          <w:iCs/>
          <w:szCs w:val="26"/>
        </w:rPr>
        <w:t>most favorable to the judgment, presume every fact the trier of fact could reasonably deduce from the evidence, and defer to the trier of fact</w:t>
      </w:r>
      <w:r w:rsidR="004B285F">
        <w:rPr>
          <w:bCs/>
          <w:iCs/>
          <w:szCs w:val="26"/>
        </w:rPr>
        <w:t>’</w:t>
      </w:r>
      <w:r w:rsidRPr="005C798C">
        <w:rPr>
          <w:bCs/>
          <w:iCs/>
          <w:szCs w:val="26"/>
        </w:rPr>
        <w:t xml:space="preserve">s determination of the weight and credibility of the evidence.” </w:t>
      </w:r>
      <w:r w:rsidR="004B285F">
        <w:rPr>
          <w:bCs/>
          <w:iCs/>
          <w:szCs w:val="26"/>
        </w:rPr>
        <w:t xml:space="preserve"> </w:t>
      </w:r>
      <w:r w:rsidRPr="005C798C">
        <w:rPr>
          <w:bCs/>
          <w:iCs/>
          <w:szCs w:val="26"/>
        </w:rPr>
        <w:t>(</w:t>
      </w:r>
      <w:proofErr w:type="spellStart"/>
      <w:r w:rsidRPr="00E76DAE">
        <w:rPr>
          <w:bCs/>
          <w:i/>
          <w:szCs w:val="26"/>
        </w:rPr>
        <w:t>Rufo</w:t>
      </w:r>
      <w:proofErr w:type="spellEnd"/>
      <w:r w:rsidRPr="00E76DAE">
        <w:rPr>
          <w:bCs/>
          <w:i/>
          <w:szCs w:val="26"/>
        </w:rPr>
        <w:t xml:space="preserve"> v. Simpson</w:t>
      </w:r>
      <w:r w:rsidRPr="00E76DAE">
        <w:rPr>
          <w:bCs/>
          <w:iCs/>
          <w:szCs w:val="26"/>
        </w:rPr>
        <w:t xml:space="preserve"> (2001) 86 Cal.App.4th 573</w:t>
      </w:r>
      <w:r>
        <w:rPr>
          <w:bCs/>
          <w:iCs/>
          <w:szCs w:val="26"/>
        </w:rPr>
        <w:t xml:space="preserve">, </w:t>
      </w:r>
      <w:r w:rsidRPr="005C798C">
        <w:rPr>
          <w:bCs/>
          <w:iCs/>
          <w:szCs w:val="26"/>
        </w:rPr>
        <w:t>614.</w:t>
      </w:r>
      <w:r w:rsidRPr="005C798C">
        <w:rPr>
          <w:bCs/>
          <w:iCs/>
          <w:szCs w:val="26"/>
        </w:rPr>
        <w:t>)</w:t>
      </w:r>
    </w:p>
    <w:p w14:paraId="0230F0C5" w14:textId="77777777" w:rsidR="008F6359" w:rsidRDefault="003E2177" w:rsidP="002A1947">
      <w:pPr>
        <w:pStyle w:val="Heading2"/>
        <w:keepNext/>
        <w:keepLines/>
      </w:pPr>
      <w:r>
        <w:rPr>
          <w:bCs/>
        </w:rPr>
        <w:t>II</w:t>
      </w:r>
      <w:r w:rsidR="00954770">
        <w:rPr>
          <w:bCs/>
        </w:rPr>
        <w:t>.</w:t>
      </w:r>
      <w:r w:rsidR="00954770">
        <w:rPr>
          <w:bCs/>
        </w:rPr>
        <w:tab/>
      </w:r>
      <w:r w:rsidR="003C0234">
        <w:t>Applicable law</w:t>
      </w:r>
      <w:r w:rsidR="009A26CB">
        <w:t>.</w:t>
      </w:r>
    </w:p>
    <w:p w14:paraId="0230F0C6" w14:textId="77777777" w:rsidR="00480CB4" w:rsidRDefault="003E2177" w:rsidP="002A1947">
      <w:pPr>
        <w:pStyle w:val="Heading3"/>
      </w:pPr>
      <w:r>
        <w:t>A.</w:t>
      </w:r>
      <w:r>
        <w:tab/>
      </w:r>
      <w:r w:rsidR="003C0234">
        <w:t xml:space="preserve">The </w:t>
      </w:r>
      <w:proofErr w:type="spellStart"/>
      <w:r w:rsidR="003C0234">
        <w:rPr>
          <w:i/>
          <w:iCs/>
        </w:rPr>
        <w:t>Privette</w:t>
      </w:r>
      <w:proofErr w:type="spellEnd"/>
      <w:r w:rsidR="003C0234">
        <w:t xml:space="preserve"> doctrine</w:t>
      </w:r>
      <w:r>
        <w:t>.</w:t>
      </w:r>
    </w:p>
    <w:p w14:paraId="0230F0C7" w14:textId="77777777" w:rsidR="00157ED7" w:rsidRDefault="003E2177" w:rsidP="005D7500">
      <w:pPr>
        <w:ind w:firstLine="720"/>
        <w:rPr>
          <w:bCs/>
          <w:szCs w:val="26"/>
        </w:rPr>
      </w:pPr>
      <w:r w:rsidRPr="001A23CD">
        <w:rPr>
          <w:bCs/>
          <w:szCs w:val="26"/>
        </w:rPr>
        <w:t xml:space="preserve">In </w:t>
      </w:r>
      <w:proofErr w:type="spellStart"/>
      <w:r w:rsidR="00791131" w:rsidRPr="00791131">
        <w:rPr>
          <w:bCs/>
          <w:i/>
          <w:iCs/>
          <w:szCs w:val="26"/>
        </w:rPr>
        <w:t>Privette</w:t>
      </w:r>
      <w:proofErr w:type="spellEnd"/>
      <w:r w:rsidR="002A1947">
        <w:rPr>
          <w:bCs/>
          <w:szCs w:val="26"/>
        </w:rPr>
        <w:t xml:space="preserve">, </w:t>
      </w:r>
      <w:r w:rsidR="002A1947">
        <w:rPr>
          <w:bCs/>
          <w:i/>
          <w:iCs/>
          <w:szCs w:val="26"/>
        </w:rPr>
        <w:t>supra</w:t>
      </w:r>
      <w:r w:rsidR="002A1947">
        <w:rPr>
          <w:bCs/>
          <w:szCs w:val="26"/>
        </w:rPr>
        <w:t xml:space="preserve">, </w:t>
      </w:r>
      <w:r w:rsidR="00791131" w:rsidRPr="00791131">
        <w:rPr>
          <w:bCs/>
          <w:szCs w:val="26"/>
        </w:rPr>
        <w:t>5 Cal.4th 689</w:t>
      </w:r>
      <w:r w:rsidRPr="001A23CD">
        <w:rPr>
          <w:bCs/>
          <w:szCs w:val="26"/>
        </w:rPr>
        <w:t xml:space="preserve">, </w:t>
      </w:r>
      <w:r w:rsidR="00791131">
        <w:rPr>
          <w:bCs/>
          <w:szCs w:val="26"/>
        </w:rPr>
        <w:t xml:space="preserve">our Supreme Court </w:t>
      </w:r>
      <w:r w:rsidRPr="001A23CD">
        <w:rPr>
          <w:bCs/>
          <w:szCs w:val="26"/>
        </w:rPr>
        <w:t xml:space="preserve">considered whether a landowner </w:t>
      </w:r>
      <w:r w:rsidR="00E441C0">
        <w:rPr>
          <w:bCs/>
          <w:szCs w:val="26"/>
        </w:rPr>
        <w:t>was</w:t>
      </w:r>
      <w:r w:rsidRPr="001A23CD">
        <w:rPr>
          <w:bCs/>
          <w:szCs w:val="26"/>
        </w:rPr>
        <w:t xml:space="preserve"> liable for injuries sustained </w:t>
      </w:r>
      <w:r w:rsidR="00E441C0">
        <w:rPr>
          <w:bCs/>
          <w:szCs w:val="26"/>
        </w:rPr>
        <w:t xml:space="preserve">by </w:t>
      </w:r>
      <w:r w:rsidRPr="001A23CD">
        <w:rPr>
          <w:bCs/>
          <w:szCs w:val="26"/>
        </w:rPr>
        <w:t>an independent contractor</w:t>
      </w:r>
      <w:r w:rsidR="003D795B">
        <w:rPr>
          <w:bCs/>
          <w:szCs w:val="26"/>
        </w:rPr>
        <w:t>’</w:t>
      </w:r>
      <w:r w:rsidRPr="001A23CD">
        <w:rPr>
          <w:bCs/>
          <w:szCs w:val="26"/>
        </w:rPr>
        <w:t xml:space="preserve">s employee </w:t>
      </w:r>
      <w:r w:rsidR="00E441C0">
        <w:rPr>
          <w:bCs/>
          <w:szCs w:val="26"/>
        </w:rPr>
        <w:t xml:space="preserve">who </w:t>
      </w:r>
      <w:r w:rsidRPr="001A23CD">
        <w:rPr>
          <w:bCs/>
          <w:szCs w:val="26"/>
        </w:rPr>
        <w:t xml:space="preserve">fell off a ladder while carrying hot tar up to a roof during a roof installation. </w:t>
      </w:r>
      <w:r w:rsidR="003D795B">
        <w:rPr>
          <w:bCs/>
          <w:szCs w:val="26"/>
        </w:rPr>
        <w:t xml:space="preserve"> The court </w:t>
      </w:r>
      <w:r w:rsidRPr="001A23CD">
        <w:rPr>
          <w:bCs/>
          <w:szCs w:val="26"/>
        </w:rPr>
        <w:t>held that the</w:t>
      </w:r>
      <w:r w:rsidR="00364C46">
        <w:rPr>
          <w:bCs/>
          <w:szCs w:val="26"/>
        </w:rPr>
        <w:t xml:space="preserve"> common law</w:t>
      </w:r>
      <w:r w:rsidRPr="001A23CD">
        <w:rPr>
          <w:bCs/>
          <w:szCs w:val="26"/>
        </w:rPr>
        <w:t xml:space="preserve"> doctrine of peculiar risk—which </w:t>
      </w:r>
      <w:proofErr w:type="gramStart"/>
      <w:r w:rsidRPr="001A23CD">
        <w:rPr>
          <w:bCs/>
          <w:szCs w:val="26"/>
        </w:rPr>
        <w:t>provide</w:t>
      </w:r>
      <w:r w:rsidR="00364C46">
        <w:rPr>
          <w:bCs/>
          <w:szCs w:val="26"/>
        </w:rPr>
        <w:t>d</w:t>
      </w:r>
      <w:r w:rsidRPr="001A23CD">
        <w:rPr>
          <w:bCs/>
          <w:szCs w:val="26"/>
        </w:rPr>
        <w:t xml:space="preserve"> that</w:t>
      </w:r>
      <w:proofErr w:type="gramEnd"/>
      <w:r w:rsidRPr="001A23CD">
        <w:rPr>
          <w:bCs/>
          <w:szCs w:val="26"/>
        </w:rPr>
        <w:t xml:space="preserve"> landowners </w:t>
      </w:r>
      <w:r w:rsidR="00364C46">
        <w:rPr>
          <w:bCs/>
          <w:szCs w:val="26"/>
        </w:rPr>
        <w:t>were</w:t>
      </w:r>
      <w:r w:rsidRPr="001A23CD">
        <w:rPr>
          <w:bCs/>
          <w:szCs w:val="26"/>
        </w:rPr>
        <w:t xml:space="preserve"> vicariously liable for injuries to third parties resulting from the negligen</w:t>
      </w:r>
      <w:r w:rsidRPr="001A23CD">
        <w:rPr>
          <w:bCs/>
          <w:szCs w:val="26"/>
        </w:rPr>
        <w:t>ce of independent contractors performing inherently dangerous work on the landowners’ property—</w:t>
      </w:r>
      <w:r w:rsidR="00EF3F23">
        <w:rPr>
          <w:bCs/>
          <w:szCs w:val="26"/>
        </w:rPr>
        <w:t>did</w:t>
      </w:r>
      <w:r w:rsidRPr="001A23CD">
        <w:rPr>
          <w:bCs/>
          <w:szCs w:val="26"/>
        </w:rPr>
        <w:t xml:space="preserve"> not apply to injuries sustained by</w:t>
      </w:r>
      <w:r w:rsidR="00F566AF">
        <w:rPr>
          <w:bCs/>
          <w:szCs w:val="26"/>
        </w:rPr>
        <w:t xml:space="preserve"> the independent</w:t>
      </w:r>
      <w:r w:rsidRPr="001A23CD">
        <w:rPr>
          <w:bCs/>
          <w:szCs w:val="26"/>
        </w:rPr>
        <w:t xml:space="preserve"> contractor</w:t>
      </w:r>
      <w:r w:rsidR="00F566AF">
        <w:rPr>
          <w:bCs/>
          <w:szCs w:val="26"/>
        </w:rPr>
        <w:t>’</w:t>
      </w:r>
      <w:r w:rsidRPr="001A23CD">
        <w:rPr>
          <w:bCs/>
          <w:szCs w:val="26"/>
        </w:rPr>
        <w:t xml:space="preserve">s own employees. </w:t>
      </w:r>
      <w:r w:rsidR="00EF3F23">
        <w:rPr>
          <w:bCs/>
          <w:szCs w:val="26"/>
        </w:rPr>
        <w:t xml:space="preserve"> </w:t>
      </w:r>
      <w:r w:rsidR="00EF3F23" w:rsidRPr="00EF3F23">
        <w:rPr>
          <w:bCs/>
          <w:szCs w:val="26"/>
        </w:rPr>
        <w:t>(</w:t>
      </w:r>
      <w:r w:rsidR="00EF3F23" w:rsidRPr="00EF3F23">
        <w:rPr>
          <w:bCs/>
          <w:i/>
          <w:szCs w:val="26"/>
        </w:rPr>
        <w:t>Id.</w:t>
      </w:r>
      <w:r w:rsidR="00EF3F23" w:rsidRPr="00EF3F23">
        <w:rPr>
          <w:bCs/>
          <w:szCs w:val="26"/>
        </w:rPr>
        <w:t xml:space="preserve"> at p</w:t>
      </w:r>
      <w:r w:rsidR="00B12599">
        <w:rPr>
          <w:bCs/>
          <w:szCs w:val="26"/>
        </w:rPr>
        <w:t>p</w:t>
      </w:r>
      <w:r w:rsidR="00EF3F23" w:rsidRPr="00EF3F23">
        <w:rPr>
          <w:bCs/>
          <w:szCs w:val="26"/>
        </w:rPr>
        <w:t>.</w:t>
      </w:r>
      <w:r w:rsidR="00EF3F23">
        <w:rPr>
          <w:bCs/>
          <w:szCs w:val="26"/>
        </w:rPr>
        <w:t xml:space="preserve"> 691–692.)  The court </w:t>
      </w:r>
      <w:r w:rsidRPr="001A23CD">
        <w:rPr>
          <w:bCs/>
          <w:szCs w:val="26"/>
        </w:rPr>
        <w:t xml:space="preserve">explained that the </w:t>
      </w:r>
      <w:r w:rsidR="00EF3F23">
        <w:rPr>
          <w:bCs/>
          <w:szCs w:val="26"/>
        </w:rPr>
        <w:t xml:space="preserve">peculiar risk </w:t>
      </w:r>
      <w:r w:rsidRPr="001A23CD">
        <w:rPr>
          <w:bCs/>
          <w:szCs w:val="26"/>
        </w:rPr>
        <w:t>doctrine wa</w:t>
      </w:r>
      <w:r w:rsidRPr="001A23CD">
        <w:rPr>
          <w:bCs/>
          <w:szCs w:val="26"/>
        </w:rPr>
        <w:t xml:space="preserve">s meant to ensure that third parties received compensation from the </w:t>
      </w:r>
      <w:r w:rsidR="00577111">
        <w:rPr>
          <w:bCs/>
          <w:szCs w:val="26"/>
        </w:rPr>
        <w:t xml:space="preserve">landowner who </w:t>
      </w:r>
      <w:r w:rsidRPr="001A23CD">
        <w:rPr>
          <w:bCs/>
          <w:szCs w:val="26"/>
        </w:rPr>
        <w:t xml:space="preserve">benefitted from the work </w:t>
      </w:r>
      <w:r w:rsidR="00017BE9">
        <w:rPr>
          <w:bCs/>
          <w:szCs w:val="26"/>
        </w:rPr>
        <w:t>i</w:t>
      </w:r>
      <w:r w:rsidR="00877155">
        <w:rPr>
          <w:bCs/>
          <w:szCs w:val="26"/>
        </w:rPr>
        <w:t xml:space="preserve">n the event </w:t>
      </w:r>
      <w:r w:rsidR="00017BE9">
        <w:rPr>
          <w:bCs/>
          <w:szCs w:val="26"/>
        </w:rPr>
        <w:t xml:space="preserve">the </w:t>
      </w:r>
      <w:r w:rsidR="00017BE9">
        <w:rPr>
          <w:bCs/>
          <w:szCs w:val="26"/>
        </w:rPr>
        <w:lastRenderedPageBreak/>
        <w:t xml:space="preserve">independent </w:t>
      </w:r>
      <w:r w:rsidRPr="001A23CD">
        <w:rPr>
          <w:bCs/>
          <w:szCs w:val="26"/>
        </w:rPr>
        <w:t xml:space="preserve">contractor was insolvent. </w:t>
      </w:r>
      <w:r w:rsidR="00EA013E">
        <w:rPr>
          <w:bCs/>
          <w:szCs w:val="26"/>
        </w:rPr>
        <w:t xml:space="preserve"> </w:t>
      </w:r>
      <w:r w:rsidRPr="001A23CD">
        <w:rPr>
          <w:bCs/>
          <w:szCs w:val="26"/>
        </w:rPr>
        <w:t>(</w:t>
      </w:r>
      <w:r w:rsidRPr="00EA013E">
        <w:rPr>
          <w:bCs/>
          <w:i/>
          <w:iCs/>
          <w:szCs w:val="26"/>
        </w:rPr>
        <w:t>Id</w:t>
      </w:r>
      <w:r w:rsidRPr="001A23CD">
        <w:rPr>
          <w:bCs/>
          <w:szCs w:val="26"/>
        </w:rPr>
        <w:t>. at p.</w:t>
      </w:r>
      <w:r w:rsidR="00EA013E">
        <w:rPr>
          <w:bCs/>
          <w:szCs w:val="26"/>
        </w:rPr>
        <w:t> </w:t>
      </w:r>
      <w:r w:rsidRPr="001A23CD">
        <w:rPr>
          <w:bCs/>
          <w:szCs w:val="26"/>
        </w:rPr>
        <w:t xml:space="preserve">701.) </w:t>
      </w:r>
      <w:r w:rsidR="00017BE9">
        <w:rPr>
          <w:bCs/>
          <w:szCs w:val="26"/>
        </w:rPr>
        <w:t xml:space="preserve"> </w:t>
      </w:r>
      <w:r w:rsidRPr="001A23CD">
        <w:rPr>
          <w:bCs/>
          <w:szCs w:val="26"/>
        </w:rPr>
        <w:t>The availability of workers’ compensation, however, eliminate</w:t>
      </w:r>
      <w:r w:rsidR="00E74544">
        <w:rPr>
          <w:bCs/>
          <w:szCs w:val="26"/>
        </w:rPr>
        <w:t>d</w:t>
      </w:r>
      <w:r w:rsidRPr="001A23CD">
        <w:rPr>
          <w:bCs/>
          <w:szCs w:val="26"/>
        </w:rPr>
        <w:t xml:space="preserve"> this concern</w:t>
      </w:r>
      <w:r w:rsidRPr="001A23CD">
        <w:rPr>
          <w:bCs/>
          <w:szCs w:val="26"/>
        </w:rPr>
        <w:t xml:space="preserve"> as to the contractor</w:t>
      </w:r>
      <w:r w:rsidR="00E74544">
        <w:rPr>
          <w:bCs/>
          <w:szCs w:val="26"/>
        </w:rPr>
        <w:t>’s</w:t>
      </w:r>
      <w:r w:rsidRPr="001A23CD">
        <w:rPr>
          <w:bCs/>
          <w:szCs w:val="26"/>
        </w:rPr>
        <w:t xml:space="preserve"> own employees by ensuring that th</w:t>
      </w:r>
      <w:r w:rsidR="005044EC">
        <w:rPr>
          <w:bCs/>
          <w:szCs w:val="26"/>
        </w:rPr>
        <w:t xml:space="preserve">ose </w:t>
      </w:r>
      <w:r w:rsidRPr="001A23CD">
        <w:rPr>
          <w:bCs/>
          <w:szCs w:val="26"/>
        </w:rPr>
        <w:t xml:space="preserve">employees will receive some compensation for their injuries. </w:t>
      </w:r>
      <w:r w:rsidR="00E74544">
        <w:rPr>
          <w:bCs/>
          <w:szCs w:val="26"/>
        </w:rPr>
        <w:t xml:space="preserve"> </w:t>
      </w:r>
      <w:r w:rsidRPr="001A23CD">
        <w:rPr>
          <w:bCs/>
          <w:szCs w:val="26"/>
        </w:rPr>
        <w:t>(</w:t>
      </w:r>
      <w:r w:rsidRPr="00613F92">
        <w:rPr>
          <w:bCs/>
          <w:i/>
          <w:iCs/>
          <w:szCs w:val="26"/>
        </w:rPr>
        <w:t>Id</w:t>
      </w:r>
      <w:r w:rsidRPr="001A23CD">
        <w:rPr>
          <w:bCs/>
          <w:szCs w:val="26"/>
        </w:rPr>
        <w:t xml:space="preserve">. at pp. 701–702.) </w:t>
      </w:r>
      <w:r w:rsidR="00613F92">
        <w:rPr>
          <w:bCs/>
          <w:szCs w:val="26"/>
        </w:rPr>
        <w:t xml:space="preserve"> Further, allowing </w:t>
      </w:r>
      <w:r w:rsidRPr="001A23CD">
        <w:rPr>
          <w:bCs/>
          <w:szCs w:val="26"/>
        </w:rPr>
        <w:t>a contractor</w:t>
      </w:r>
      <w:r w:rsidR="00613F92">
        <w:rPr>
          <w:bCs/>
          <w:szCs w:val="26"/>
        </w:rPr>
        <w:t>’</w:t>
      </w:r>
      <w:r w:rsidRPr="001A23CD">
        <w:rPr>
          <w:bCs/>
          <w:szCs w:val="26"/>
        </w:rPr>
        <w:t>s</w:t>
      </w:r>
      <w:r w:rsidR="005D7500">
        <w:rPr>
          <w:bCs/>
          <w:szCs w:val="26"/>
        </w:rPr>
        <w:t xml:space="preserve"> em</w:t>
      </w:r>
      <w:r w:rsidRPr="001A23CD">
        <w:rPr>
          <w:bCs/>
          <w:szCs w:val="26"/>
        </w:rPr>
        <w:t>ployees to sue the hirer</w:t>
      </w:r>
      <w:r>
        <w:rPr>
          <w:bCs/>
          <w:szCs w:val="26"/>
        </w:rPr>
        <w:t xml:space="preserve"> </w:t>
      </w:r>
      <w:r w:rsidR="00007004">
        <w:rPr>
          <w:bCs/>
          <w:szCs w:val="26"/>
        </w:rPr>
        <w:t xml:space="preserve">would </w:t>
      </w:r>
      <w:r>
        <w:rPr>
          <w:bCs/>
          <w:szCs w:val="26"/>
        </w:rPr>
        <w:t>“</w:t>
      </w:r>
      <w:r w:rsidR="00E736D2">
        <w:rPr>
          <w:bCs/>
          <w:szCs w:val="26"/>
        </w:rPr>
        <w:t>produce[</w:t>
      </w:r>
      <w:r w:rsidR="00D22EA0">
        <w:rPr>
          <w:bCs/>
          <w:szCs w:val="26"/>
        </w:rPr>
        <w:t xml:space="preserve"> </w:t>
      </w:r>
      <w:r w:rsidR="00E736D2">
        <w:rPr>
          <w:bCs/>
          <w:szCs w:val="26"/>
        </w:rPr>
        <w:t xml:space="preserve">] </w:t>
      </w:r>
      <w:r w:rsidR="00007004">
        <w:rPr>
          <w:bCs/>
          <w:szCs w:val="26"/>
        </w:rPr>
        <w:t>t</w:t>
      </w:r>
      <w:r w:rsidRPr="00157ED7">
        <w:rPr>
          <w:bCs/>
          <w:szCs w:val="26"/>
        </w:rPr>
        <w:t xml:space="preserve">he anomalous result that a </w:t>
      </w:r>
      <w:r w:rsidRPr="00157ED7">
        <w:rPr>
          <w:bCs/>
          <w:szCs w:val="26"/>
        </w:rPr>
        <w:t>nonnegligent person</w:t>
      </w:r>
      <w:r w:rsidR="00007004">
        <w:rPr>
          <w:bCs/>
          <w:szCs w:val="26"/>
        </w:rPr>
        <w:t>’</w:t>
      </w:r>
      <w:r w:rsidRPr="00157ED7">
        <w:rPr>
          <w:bCs/>
          <w:szCs w:val="26"/>
        </w:rPr>
        <w:t xml:space="preserve">s liability for an injury is greater than that of the </w:t>
      </w:r>
      <w:r w:rsidR="00C352A3">
        <w:rPr>
          <w:bCs/>
          <w:szCs w:val="26"/>
        </w:rPr>
        <w:t>[independent contractor]</w:t>
      </w:r>
      <w:r w:rsidRPr="00157ED7">
        <w:rPr>
          <w:bCs/>
          <w:szCs w:val="26"/>
        </w:rPr>
        <w:t xml:space="preserve"> whose negligence actually caused the injury</w:t>
      </w:r>
      <w:r w:rsidR="00007004">
        <w:rPr>
          <w:bCs/>
          <w:szCs w:val="26"/>
        </w:rPr>
        <w:t xml:space="preserve">.”  </w:t>
      </w:r>
      <w:r w:rsidR="00007004" w:rsidRPr="00007004">
        <w:rPr>
          <w:bCs/>
          <w:szCs w:val="26"/>
        </w:rPr>
        <w:t>(</w:t>
      </w:r>
      <w:r w:rsidR="00007004" w:rsidRPr="00007004">
        <w:rPr>
          <w:bCs/>
          <w:i/>
          <w:szCs w:val="26"/>
        </w:rPr>
        <w:t>Id.</w:t>
      </w:r>
      <w:r w:rsidR="00007004" w:rsidRPr="00007004">
        <w:rPr>
          <w:bCs/>
          <w:szCs w:val="26"/>
        </w:rPr>
        <w:t xml:space="preserve"> at p.</w:t>
      </w:r>
      <w:r w:rsidR="00007004">
        <w:rPr>
          <w:bCs/>
          <w:szCs w:val="26"/>
        </w:rPr>
        <w:t xml:space="preserve"> </w:t>
      </w:r>
      <w:r w:rsidR="00C07BBA">
        <w:rPr>
          <w:bCs/>
          <w:szCs w:val="26"/>
        </w:rPr>
        <w:t>698.)</w:t>
      </w:r>
    </w:p>
    <w:p w14:paraId="0230F0C8" w14:textId="77777777" w:rsidR="001A23CD" w:rsidRDefault="003E2177" w:rsidP="00636576">
      <w:pPr>
        <w:ind w:firstLine="720"/>
        <w:rPr>
          <w:bCs/>
          <w:szCs w:val="26"/>
        </w:rPr>
      </w:pPr>
      <w:r>
        <w:rPr>
          <w:bCs/>
          <w:szCs w:val="26"/>
        </w:rPr>
        <w:t xml:space="preserve">Since </w:t>
      </w:r>
      <w:proofErr w:type="spellStart"/>
      <w:r>
        <w:rPr>
          <w:bCs/>
          <w:i/>
          <w:iCs/>
          <w:szCs w:val="26"/>
        </w:rPr>
        <w:t>Privette</w:t>
      </w:r>
      <w:proofErr w:type="spellEnd"/>
      <w:r>
        <w:rPr>
          <w:bCs/>
          <w:szCs w:val="26"/>
        </w:rPr>
        <w:t>, our Supreme Court has “</w:t>
      </w:r>
      <w:r w:rsidRPr="001A23CD">
        <w:rPr>
          <w:bCs/>
          <w:szCs w:val="26"/>
        </w:rPr>
        <w:t>repeatedly reaffirmed the basic rule that a hirer is t</w:t>
      </w:r>
      <w:r w:rsidRPr="001A23CD">
        <w:rPr>
          <w:bCs/>
          <w:szCs w:val="26"/>
        </w:rPr>
        <w:t xml:space="preserve">ypically not liable for injuries sustained by an independent contractor or its workers while on the job. </w:t>
      </w:r>
      <w:r>
        <w:rPr>
          <w:bCs/>
          <w:szCs w:val="26"/>
        </w:rPr>
        <w:t xml:space="preserve"> [The</w:t>
      </w:r>
      <w:r w:rsidR="008B2278">
        <w:rPr>
          <w:bCs/>
          <w:szCs w:val="26"/>
        </w:rPr>
        <w:t>]</w:t>
      </w:r>
      <w:r w:rsidRPr="001A23CD">
        <w:rPr>
          <w:bCs/>
          <w:szCs w:val="26"/>
        </w:rPr>
        <w:t xml:space="preserve"> more recent cases emphasize delegation as the key principle underlying this rule: </w:t>
      </w:r>
      <w:r w:rsidR="008B2278">
        <w:rPr>
          <w:bCs/>
          <w:szCs w:val="26"/>
        </w:rPr>
        <w:t xml:space="preserve"> </w:t>
      </w:r>
      <w:r w:rsidRPr="001A23CD">
        <w:rPr>
          <w:bCs/>
          <w:szCs w:val="26"/>
        </w:rPr>
        <w:t xml:space="preserve">Because the hirer presumptively delegates to the independent </w:t>
      </w:r>
      <w:r w:rsidRPr="001A23CD">
        <w:rPr>
          <w:bCs/>
          <w:szCs w:val="26"/>
        </w:rPr>
        <w:t xml:space="preserve">contractor the authority to determine the </w:t>
      </w:r>
      <w:proofErr w:type="gramStart"/>
      <w:r w:rsidRPr="001A23CD">
        <w:rPr>
          <w:bCs/>
          <w:szCs w:val="26"/>
        </w:rPr>
        <w:t>manner in which</w:t>
      </w:r>
      <w:proofErr w:type="gramEnd"/>
      <w:r w:rsidRPr="001A23CD">
        <w:rPr>
          <w:bCs/>
          <w:szCs w:val="26"/>
        </w:rPr>
        <w:t xml:space="preserve"> the work is to be performed, the contractor also assumes the responsibility to ensure that the worksite is safe, and the work is performed safely. </w:t>
      </w:r>
      <w:r w:rsidR="00DF0125">
        <w:rPr>
          <w:bCs/>
          <w:szCs w:val="26"/>
        </w:rPr>
        <w:t xml:space="preserve"> </w:t>
      </w:r>
      <w:r w:rsidRPr="001A23CD">
        <w:rPr>
          <w:bCs/>
          <w:szCs w:val="26"/>
        </w:rPr>
        <w:t>(</w:t>
      </w:r>
      <w:proofErr w:type="spellStart"/>
      <w:r w:rsidRPr="00DF0125">
        <w:rPr>
          <w:bCs/>
          <w:i/>
          <w:iCs/>
          <w:szCs w:val="26"/>
        </w:rPr>
        <w:t>SeaBright</w:t>
      </w:r>
      <w:proofErr w:type="spellEnd"/>
      <w:r w:rsidR="00D56BAB">
        <w:rPr>
          <w:bCs/>
          <w:i/>
          <w:iCs/>
          <w:szCs w:val="26"/>
        </w:rPr>
        <w:t xml:space="preserve"> </w:t>
      </w:r>
      <w:r w:rsidR="00D56BAB">
        <w:rPr>
          <w:bCs/>
          <w:szCs w:val="26"/>
        </w:rPr>
        <w:t>[</w:t>
      </w:r>
      <w:r w:rsidR="00D56BAB" w:rsidRPr="00D56BAB">
        <w:rPr>
          <w:bCs/>
          <w:i/>
          <w:iCs/>
          <w:szCs w:val="26"/>
        </w:rPr>
        <w:t>Ins. Co. v. US Airways, Inc</w:t>
      </w:r>
      <w:r w:rsidR="00D56BAB" w:rsidRPr="00D56BAB">
        <w:rPr>
          <w:bCs/>
          <w:szCs w:val="26"/>
        </w:rPr>
        <w:t>. (2011) 52 Cal.4th 590</w:t>
      </w:r>
      <w:r w:rsidR="00D56BAB">
        <w:rPr>
          <w:bCs/>
          <w:szCs w:val="26"/>
        </w:rPr>
        <w:t>],</w:t>
      </w:r>
      <w:r w:rsidRPr="001A23CD">
        <w:rPr>
          <w:bCs/>
          <w:szCs w:val="26"/>
        </w:rPr>
        <w:t xml:space="preserve"> 600</w:t>
      </w:r>
      <w:r w:rsidR="00D56BAB">
        <w:rPr>
          <w:bCs/>
          <w:szCs w:val="26"/>
        </w:rPr>
        <w:t xml:space="preserve"> [(</w:t>
      </w:r>
      <w:proofErr w:type="spellStart"/>
      <w:r w:rsidR="00D56BAB">
        <w:rPr>
          <w:bCs/>
          <w:i/>
          <w:iCs/>
          <w:szCs w:val="26"/>
        </w:rPr>
        <w:t>Sea</w:t>
      </w:r>
      <w:r w:rsidR="00DD4FB3">
        <w:rPr>
          <w:bCs/>
          <w:i/>
          <w:iCs/>
          <w:szCs w:val="26"/>
        </w:rPr>
        <w:t>B</w:t>
      </w:r>
      <w:r w:rsidR="00D56BAB">
        <w:rPr>
          <w:bCs/>
          <w:i/>
          <w:iCs/>
          <w:szCs w:val="26"/>
        </w:rPr>
        <w:t>right</w:t>
      </w:r>
      <w:proofErr w:type="spellEnd"/>
      <w:r w:rsidR="00D56BAB">
        <w:rPr>
          <w:bCs/>
          <w:szCs w:val="26"/>
        </w:rPr>
        <w:t>)]</w:t>
      </w:r>
      <w:r w:rsidRPr="001A23CD">
        <w:rPr>
          <w:bCs/>
          <w:szCs w:val="26"/>
        </w:rPr>
        <w:t xml:space="preserve">.) </w:t>
      </w:r>
      <w:r w:rsidR="00DF0125">
        <w:rPr>
          <w:bCs/>
          <w:szCs w:val="26"/>
        </w:rPr>
        <w:t xml:space="preserve"> </w:t>
      </w:r>
      <w:r w:rsidRPr="001A23CD">
        <w:rPr>
          <w:bCs/>
          <w:szCs w:val="26"/>
        </w:rPr>
        <w:t>This rule applies even where the hirer was at least partially to blame due to its negligent hiring (</w:t>
      </w:r>
      <w:r w:rsidRPr="00DF0125">
        <w:rPr>
          <w:bCs/>
          <w:i/>
          <w:iCs/>
          <w:szCs w:val="26"/>
        </w:rPr>
        <w:t xml:space="preserve">Camargo v. </w:t>
      </w:r>
      <w:proofErr w:type="spellStart"/>
      <w:r w:rsidRPr="00DF0125">
        <w:rPr>
          <w:bCs/>
          <w:i/>
          <w:iCs/>
          <w:szCs w:val="26"/>
        </w:rPr>
        <w:t>Tjaarda</w:t>
      </w:r>
      <w:proofErr w:type="spellEnd"/>
      <w:r w:rsidRPr="00DF0125">
        <w:rPr>
          <w:bCs/>
          <w:i/>
          <w:iCs/>
          <w:szCs w:val="26"/>
        </w:rPr>
        <w:t xml:space="preserve"> Dairy</w:t>
      </w:r>
      <w:r w:rsidRPr="001A23CD">
        <w:rPr>
          <w:bCs/>
          <w:szCs w:val="26"/>
        </w:rPr>
        <w:t xml:space="preserve"> (2001) 25 Cal.4th 1235, 1238) or its failure to comply with preexisting statutory or r</w:t>
      </w:r>
      <w:r w:rsidRPr="001A23CD">
        <w:rPr>
          <w:bCs/>
          <w:szCs w:val="26"/>
        </w:rPr>
        <w:t>egulatory workplace safety requirements (</w:t>
      </w:r>
      <w:proofErr w:type="spellStart"/>
      <w:r w:rsidRPr="00DF0125">
        <w:rPr>
          <w:bCs/>
          <w:i/>
          <w:iCs/>
          <w:szCs w:val="26"/>
        </w:rPr>
        <w:t>SeaBright</w:t>
      </w:r>
      <w:proofErr w:type="spellEnd"/>
      <w:r w:rsidRPr="001A23CD">
        <w:rPr>
          <w:bCs/>
          <w:szCs w:val="26"/>
        </w:rPr>
        <w:t xml:space="preserve">, at p. 594). </w:t>
      </w:r>
      <w:r w:rsidR="00F77FE0">
        <w:rPr>
          <w:bCs/>
          <w:szCs w:val="26"/>
        </w:rPr>
        <w:t xml:space="preserve"> </w:t>
      </w:r>
      <w:r w:rsidRPr="001A23CD">
        <w:rPr>
          <w:bCs/>
          <w:szCs w:val="26"/>
        </w:rPr>
        <w:t xml:space="preserve">It also applies to a solo independent contractor who has no employees and who has declined to obtain workers’ compensation insurance, such that the contractor will receive no coverage for </w:t>
      </w:r>
      <w:proofErr w:type="gramStart"/>
      <w:r w:rsidRPr="001A23CD">
        <w:rPr>
          <w:bCs/>
          <w:szCs w:val="26"/>
        </w:rPr>
        <w:t>his</w:t>
      </w:r>
      <w:r w:rsidRPr="001A23CD">
        <w:rPr>
          <w:bCs/>
          <w:szCs w:val="26"/>
        </w:rPr>
        <w:t xml:space="preserve"> or her</w:t>
      </w:r>
      <w:proofErr w:type="gramEnd"/>
      <w:r w:rsidRPr="001A23CD">
        <w:rPr>
          <w:bCs/>
          <w:szCs w:val="26"/>
        </w:rPr>
        <w:t xml:space="preserve"> injuries. </w:t>
      </w:r>
      <w:r w:rsidR="00DF0125">
        <w:rPr>
          <w:bCs/>
          <w:szCs w:val="26"/>
        </w:rPr>
        <w:t xml:space="preserve"> </w:t>
      </w:r>
      <w:r w:rsidRPr="001A23CD">
        <w:rPr>
          <w:bCs/>
          <w:szCs w:val="26"/>
        </w:rPr>
        <w:t>(</w:t>
      </w:r>
      <w:proofErr w:type="spellStart"/>
      <w:r w:rsidRPr="00DF0125">
        <w:rPr>
          <w:bCs/>
          <w:i/>
          <w:iCs/>
          <w:szCs w:val="26"/>
        </w:rPr>
        <w:t>Tverberg</w:t>
      </w:r>
      <w:proofErr w:type="spellEnd"/>
      <w:r w:rsidRPr="00DF0125">
        <w:rPr>
          <w:bCs/>
          <w:i/>
          <w:iCs/>
          <w:szCs w:val="26"/>
        </w:rPr>
        <w:t xml:space="preserve"> v. </w:t>
      </w:r>
      <w:proofErr w:type="spellStart"/>
      <w:r w:rsidRPr="00DF0125">
        <w:rPr>
          <w:bCs/>
          <w:i/>
          <w:iCs/>
          <w:szCs w:val="26"/>
        </w:rPr>
        <w:t>Fillner</w:t>
      </w:r>
      <w:proofErr w:type="spellEnd"/>
      <w:r w:rsidRPr="00DF0125">
        <w:rPr>
          <w:bCs/>
          <w:i/>
          <w:iCs/>
          <w:szCs w:val="26"/>
        </w:rPr>
        <w:t xml:space="preserve"> Construction, Inc</w:t>
      </w:r>
      <w:r w:rsidRPr="001A23CD">
        <w:rPr>
          <w:bCs/>
          <w:szCs w:val="26"/>
        </w:rPr>
        <w:t>. (2010) 49 Cal.4th 518, 521 (</w:t>
      </w:r>
      <w:proofErr w:type="spellStart"/>
      <w:r w:rsidRPr="00DF0125">
        <w:rPr>
          <w:bCs/>
          <w:i/>
          <w:iCs/>
          <w:szCs w:val="26"/>
        </w:rPr>
        <w:t>Tverberg</w:t>
      </w:r>
      <w:proofErr w:type="spellEnd"/>
      <w:r w:rsidRPr="001A23CD">
        <w:rPr>
          <w:bCs/>
          <w:szCs w:val="26"/>
        </w:rPr>
        <w:t>).)</w:t>
      </w:r>
      <w:r w:rsidR="003D3F18">
        <w:rPr>
          <w:bCs/>
          <w:szCs w:val="26"/>
        </w:rPr>
        <w:t>”  (</w:t>
      </w:r>
      <w:r w:rsidR="003D3F18" w:rsidRPr="003D3F18">
        <w:rPr>
          <w:bCs/>
          <w:i/>
          <w:iCs/>
          <w:szCs w:val="26"/>
        </w:rPr>
        <w:t>Gonzalez v. Mathis</w:t>
      </w:r>
      <w:r w:rsidR="003D3F18" w:rsidRPr="001A23CD">
        <w:rPr>
          <w:bCs/>
          <w:szCs w:val="26"/>
        </w:rPr>
        <w:t xml:space="preserve"> (2021) 12 Cal.5th 29, 41–42</w:t>
      </w:r>
      <w:r w:rsidR="00982336">
        <w:rPr>
          <w:bCs/>
          <w:szCs w:val="26"/>
        </w:rPr>
        <w:t xml:space="preserve"> (</w:t>
      </w:r>
      <w:r w:rsidR="00982336">
        <w:rPr>
          <w:bCs/>
          <w:i/>
          <w:iCs/>
          <w:szCs w:val="26"/>
        </w:rPr>
        <w:t>Gonzalez</w:t>
      </w:r>
      <w:r w:rsidR="00982336">
        <w:rPr>
          <w:bCs/>
          <w:szCs w:val="26"/>
        </w:rPr>
        <w:t>)</w:t>
      </w:r>
      <w:r w:rsidR="003D3F18">
        <w:rPr>
          <w:bCs/>
          <w:szCs w:val="26"/>
        </w:rPr>
        <w:t xml:space="preserve">.)  </w:t>
      </w:r>
    </w:p>
    <w:p w14:paraId="0230F0C9" w14:textId="77777777" w:rsidR="001A23CD" w:rsidRPr="00ED088E" w:rsidRDefault="003E2177" w:rsidP="009968D7">
      <w:pPr>
        <w:ind w:firstLine="720"/>
        <w:rPr>
          <w:bCs/>
          <w:szCs w:val="26"/>
        </w:rPr>
      </w:pPr>
      <w:r>
        <w:rPr>
          <w:bCs/>
          <w:szCs w:val="26"/>
        </w:rPr>
        <w:lastRenderedPageBreak/>
        <w:t xml:space="preserve">Our high court has identified just two situations in which </w:t>
      </w:r>
      <w:r w:rsidR="009968D7">
        <w:rPr>
          <w:bCs/>
          <w:szCs w:val="26"/>
        </w:rPr>
        <w:t xml:space="preserve">a </w:t>
      </w:r>
      <w:r w:rsidRPr="001A23CD">
        <w:rPr>
          <w:bCs/>
          <w:szCs w:val="26"/>
        </w:rPr>
        <w:t xml:space="preserve">hirer </w:t>
      </w:r>
      <w:r w:rsidR="009968D7">
        <w:rPr>
          <w:bCs/>
          <w:szCs w:val="26"/>
        </w:rPr>
        <w:t xml:space="preserve">may be liable to an independent contractor’s employees for a workplace injury.  </w:t>
      </w:r>
      <w:r w:rsidR="00716B6A">
        <w:rPr>
          <w:bCs/>
          <w:szCs w:val="26"/>
        </w:rPr>
        <w:t>I</w:t>
      </w:r>
      <w:r w:rsidRPr="001A23CD">
        <w:rPr>
          <w:bCs/>
          <w:szCs w:val="26"/>
        </w:rPr>
        <w:t xml:space="preserve">n </w:t>
      </w:r>
      <w:r w:rsidRPr="0016584A">
        <w:rPr>
          <w:bCs/>
          <w:i/>
          <w:iCs/>
          <w:szCs w:val="26"/>
        </w:rPr>
        <w:t>Hooker</w:t>
      </w:r>
      <w:r w:rsidR="00200EB7" w:rsidRPr="0016584A">
        <w:rPr>
          <w:bCs/>
          <w:i/>
          <w:iCs/>
          <w:szCs w:val="26"/>
        </w:rPr>
        <w:t xml:space="preserve"> v. Department of Transportation</w:t>
      </w:r>
      <w:r w:rsidR="00200EB7">
        <w:rPr>
          <w:bCs/>
          <w:szCs w:val="26"/>
        </w:rPr>
        <w:t xml:space="preserve"> (</w:t>
      </w:r>
      <w:r w:rsidR="0016584A">
        <w:rPr>
          <w:bCs/>
          <w:szCs w:val="26"/>
        </w:rPr>
        <w:t>2002) 27 Cal.4th 198</w:t>
      </w:r>
      <w:r w:rsidR="002D6A6A">
        <w:rPr>
          <w:bCs/>
          <w:szCs w:val="26"/>
        </w:rPr>
        <w:t>, 202</w:t>
      </w:r>
      <w:r w:rsidR="0016584A">
        <w:rPr>
          <w:bCs/>
          <w:szCs w:val="26"/>
        </w:rPr>
        <w:t xml:space="preserve"> </w:t>
      </w:r>
      <w:r w:rsidR="00FC4DEE">
        <w:rPr>
          <w:bCs/>
          <w:szCs w:val="26"/>
        </w:rPr>
        <w:t xml:space="preserve">and </w:t>
      </w:r>
      <w:proofErr w:type="spellStart"/>
      <w:r w:rsidR="00FC4DEE">
        <w:rPr>
          <w:bCs/>
          <w:i/>
          <w:iCs/>
          <w:szCs w:val="26"/>
        </w:rPr>
        <w:t>McKown</w:t>
      </w:r>
      <w:proofErr w:type="spellEnd"/>
      <w:r w:rsidR="00FC4DEE">
        <w:rPr>
          <w:bCs/>
          <w:i/>
          <w:iCs/>
          <w:szCs w:val="26"/>
        </w:rPr>
        <w:t xml:space="preserve"> </w:t>
      </w:r>
      <w:r w:rsidR="008B4071">
        <w:rPr>
          <w:bCs/>
          <w:i/>
          <w:iCs/>
          <w:szCs w:val="26"/>
        </w:rPr>
        <w:t xml:space="preserve">v. Wal-Mart Stores, Inc. </w:t>
      </w:r>
      <w:r w:rsidR="008B4071" w:rsidRPr="008B4071">
        <w:rPr>
          <w:bCs/>
          <w:szCs w:val="26"/>
        </w:rPr>
        <w:t>(2002) 27 Cal.4th 219, 225</w:t>
      </w:r>
      <w:r w:rsidR="0016584A">
        <w:rPr>
          <w:bCs/>
          <w:szCs w:val="26"/>
        </w:rPr>
        <w:t xml:space="preserve">, the court held </w:t>
      </w:r>
      <w:r w:rsidRPr="001A23CD">
        <w:rPr>
          <w:bCs/>
          <w:szCs w:val="26"/>
        </w:rPr>
        <w:t xml:space="preserve">that a hirer </w:t>
      </w:r>
      <w:r w:rsidR="00716B6A">
        <w:rPr>
          <w:bCs/>
          <w:szCs w:val="26"/>
        </w:rPr>
        <w:t>may</w:t>
      </w:r>
      <w:r w:rsidRPr="001A23CD">
        <w:rPr>
          <w:bCs/>
          <w:szCs w:val="26"/>
        </w:rPr>
        <w:t xml:space="preserve"> be liable </w:t>
      </w:r>
      <w:r w:rsidR="00716B6A">
        <w:rPr>
          <w:bCs/>
          <w:szCs w:val="26"/>
        </w:rPr>
        <w:t>if</w:t>
      </w:r>
      <w:r w:rsidRPr="001A23CD">
        <w:rPr>
          <w:bCs/>
          <w:szCs w:val="26"/>
        </w:rPr>
        <w:t xml:space="preserve"> it exercises retained control over any part of the </w:t>
      </w:r>
      <w:r w:rsidR="0016584A">
        <w:rPr>
          <w:bCs/>
          <w:szCs w:val="26"/>
        </w:rPr>
        <w:t xml:space="preserve">independent </w:t>
      </w:r>
      <w:r w:rsidRPr="001A23CD">
        <w:rPr>
          <w:bCs/>
          <w:szCs w:val="26"/>
        </w:rPr>
        <w:t>contractor</w:t>
      </w:r>
      <w:r w:rsidR="008B4071">
        <w:rPr>
          <w:bCs/>
          <w:szCs w:val="26"/>
        </w:rPr>
        <w:t>’</w:t>
      </w:r>
      <w:r w:rsidRPr="001A23CD">
        <w:rPr>
          <w:bCs/>
          <w:szCs w:val="26"/>
        </w:rPr>
        <w:t>s work in a manner that affirmatively contributes to the worker</w:t>
      </w:r>
      <w:r w:rsidR="0016584A">
        <w:rPr>
          <w:bCs/>
          <w:szCs w:val="26"/>
        </w:rPr>
        <w:t>’</w:t>
      </w:r>
      <w:r w:rsidRPr="001A23CD">
        <w:rPr>
          <w:bCs/>
          <w:szCs w:val="26"/>
        </w:rPr>
        <w:t>s injuries.</w:t>
      </w:r>
      <w:r w:rsidR="00ED088E">
        <w:rPr>
          <w:bCs/>
          <w:szCs w:val="26"/>
        </w:rPr>
        <w:t xml:space="preserve">  </w:t>
      </w:r>
      <w:r w:rsidR="00716B6A">
        <w:rPr>
          <w:bCs/>
          <w:szCs w:val="26"/>
        </w:rPr>
        <w:t>Subsequently,</w:t>
      </w:r>
      <w:r w:rsidR="00052B55">
        <w:rPr>
          <w:bCs/>
          <w:szCs w:val="26"/>
        </w:rPr>
        <w:t xml:space="preserve"> in </w:t>
      </w:r>
      <w:r w:rsidR="00052B55">
        <w:rPr>
          <w:bCs/>
          <w:i/>
          <w:iCs/>
          <w:szCs w:val="26"/>
        </w:rPr>
        <w:t>Kinsman</w:t>
      </w:r>
      <w:r w:rsidR="002D4AC0">
        <w:rPr>
          <w:bCs/>
          <w:szCs w:val="26"/>
        </w:rPr>
        <w:t xml:space="preserve">, </w:t>
      </w:r>
      <w:r w:rsidR="002D4AC0">
        <w:rPr>
          <w:bCs/>
          <w:i/>
          <w:iCs/>
          <w:szCs w:val="26"/>
        </w:rPr>
        <w:t>supra</w:t>
      </w:r>
      <w:r w:rsidR="002D4AC0">
        <w:rPr>
          <w:bCs/>
          <w:szCs w:val="26"/>
        </w:rPr>
        <w:t xml:space="preserve">, </w:t>
      </w:r>
      <w:r w:rsidR="00052B55">
        <w:rPr>
          <w:bCs/>
          <w:szCs w:val="26"/>
        </w:rPr>
        <w:t>37 Cal.4th 659,</w:t>
      </w:r>
      <w:r w:rsidR="0058538F">
        <w:rPr>
          <w:bCs/>
          <w:szCs w:val="26"/>
        </w:rPr>
        <w:t xml:space="preserve"> the court held tha</w:t>
      </w:r>
      <w:r w:rsidR="00716B6A">
        <w:rPr>
          <w:bCs/>
          <w:szCs w:val="26"/>
        </w:rPr>
        <w:t>t</w:t>
      </w:r>
      <w:r w:rsidR="002E0F84">
        <w:rPr>
          <w:bCs/>
          <w:szCs w:val="26"/>
        </w:rPr>
        <w:t xml:space="preserve"> </w:t>
      </w:r>
      <w:r w:rsidR="0058538F">
        <w:rPr>
          <w:bCs/>
          <w:szCs w:val="26"/>
        </w:rPr>
        <w:t>a landowner may be liable</w:t>
      </w:r>
      <w:r w:rsidR="002E0F84">
        <w:rPr>
          <w:bCs/>
          <w:szCs w:val="26"/>
        </w:rPr>
        <w:t xml:space="preserve"> </w:t>
      </w:r>
      <w:r w:rsidR="0058538F">
        <w:rPr>
          <w:bCs/>
          <w:szCs w:val="26"/>
        </w:rPr>
        <w:t xml:space="preserve">for injuries </w:t>
      </w:r>
      <w:r w:rsidR="002E0F84">
        <w:rPr>
          <w:bCs/>
          <w:szCs w:val="26"/>
        </w:rPr>
        <w:t xml:space="preserve">to an </w:t>
      </w:r>
      <w:r w:rsidR="0058538F">
        <w:rPr>
          <w:bCs/>
          <w:szCs w:val="26"/>
        </w:rPr>
        <w:t>independent contractor’s employee that were caused by a concealed hazard</w:t>
      </w:r>
      <w:r w:rsidR="00A22232">
        <w:rPr>
          <w:bCs/>
          <w:szCs w:val="26"/>
        </w:rPr>
        <w:t>.</w:t>
      </w:r>
      <w:r w:rsidR="00374848">
        <w:rPr>
          <w:bCs/>
          <w:szCs w:val="26"/>
        </w:rPr>
        <w:t xml:space="preserve">  </w:t>
      </w:r>
      <w:r w:rsidR="00480F82">
        <w:rPr>
          <w:bCs/>
          <w:szCs w:val="26"/>
        </w:rPr>
        <w:t xml:space="preserve">Since the </w:t>
      </w:r>
      <w:r w:rsidR="00BE4E39">
        <w:rPr>
          <w:bCs/>
          <w:szCs w:val="26"/>
        </w:rPr>
        <w:t xml:space="preserve">concealed hazard exception is </w:t>
      </w:r>
      <w:r w:rsidR="00D76316">
        <w:rPr>
          <w:bCs/>
          <w:szCs w:val="26"/>
        </w:rPr>
        <w:t>a critical issue in this appeal</w:t>
      </w:r>
      <w:r w:rsidR="003C0234">
        <w:rPr>
          <w:bCs/>
          <w:szCs w:val="26"/>
        </w:rPr>
        <w:t>, we will discuss it in some detail.</w:t>
      </w:r>
    </w:p>
    <w:p w14:paraId="0230F0CA" w14:textId="77777777" w:rsidR="001A23CD" w:rsidRDefault="003E2177" w:rsidP="00FE4F9F">
      <w:pPr>
        <w:rPr>
          <w:bCs/>
          <w:szCs w:val="26"/>
        </w:rPr>
      </w:pPr>
      <w:r>
        <w:rPr>
          <w:bCs/>
          <w:szCs w:val="26"/>
        </w:rPr>
        <w:tab/>
      </w:r>
      <w:proofErr w:type="gramStart"/>
      <w:r>
        <w:rPr>
          <w:bCs/>
          <w:i/>
          <w:iCs/>
          <w:szCs w:val="26"/>
        </w:rPr>
        <w:t>Kinsman</w:t>
      </w:r>
      <w:proofErr w:type="gramEnd"/>
      <w:r>
        <w:rPr>
          <w:bCs/>
          <w:szCs w:val="26"/>
        </w:rPr>
        <w:t xml:space="preserve"> was brought by a </w:t>
      </w:r>
      <w:r w:rsidR="00513511">
        <w:rPr>
          <w:bCs/>
          <w:szCs w:val="26"/>
        </w:rPr>
        <w:t>plaintiff</w:t>
      </w:r>
      <w:r w:rsidR="00A02AE0">
        <w:rPr>
          <w:bCs/>
          <w:szCs w:val="26"/>
        </w:rPr>
        <w:t xml:space="preserve"> employed by an independent contractor </w:t>
      </w:r>
      <w:r w:rsidR="00DC2649">
        <w:rPr>
          <w:bCs/>
          <w:szCs w:val="26"/>
        </w:rPr>
        <w:t xml:space="preserve">who performed </w:t>
      </w:r>
      <w:r w:rsidR="00A02AE0">
        <w:rPr>
          <w:bCs/>
          <w:szCs w:val="26"/>
        </w:rPr>
        <w:t xml:space="preserve">scaffolding work at defendant Unocal’s refinery.  </w:t>
      </w:r>
      <w:r w:rsidR="00374848">
        <w:rPr>
          <w:bCs/>
          <w:szCs w:val="26"/>
        </w:rPr>
        <w:t xml:space="preserve">After </w:t>
      </w:r>
      <w:r w:rsidR="00FE4F9F">
        <w:rPr>
          <w:bCs/>
          <w:szCs w:val="26"/>
        </w:rPr>
        <w:t>develop</w:t>
      </w:r>
      <w:r w:rsidR="00374848">
        <w:rPr>
          <w:bCs/>
          <w:szCs w:val="26"/>
        </w:rPr>
        <w:t>ing</w:t>
      </w:r>
      <w:r w:rsidR="00FE4F9F">
        <w:rPr>
          <w:bCs/>
          <w:szCs w:val="26"/>
        </w:rPr>
        <w:t xml:space="preserve"> </w:t>
      </w:r>
      <w:r w:rsidR="00D024E8">
        <w:rPr>
          <w:bCs/>
          <w:szCs w:val="26"/>
        </w:rPr>
        <w:t xml:space="preserve">mesothelioma </w:t>
      </w:r>
      <w:proofErr w:type="gramStart"/>
      <w:r w:rsidR="00FE4F9F">
        <w:rPr>
          <w:bCs/>
          <w:szCs w:val="26"/>
        </w:rPr>
        <w:t>as a result of</w:t>
      </w:r>
      <w:proofErr w:type="gramEnd"/>
      <w:r w:rsidR="00FE4F9F">
        <w:rPr>
          <w:bCs/>
          <w:szCs w:val="26"/>
        </w:rPr>
        <w:t xml:space="preserve"> </w:t>
      </w:r>
      <w:r w:rsidR="00550DD7">
        <w:rPr>
          <w:bCs/>
          <w:szCs w:val="26"/>
        </w:rPr>
        <w:t>expos</w:t>
      </w:r>
      <w:r w:rsidR="00FE4F9F">
        <w:rPr>
          <w:bCs/>
          <w:szCs w:val="26"/>
        </w:rPr>
        <w:t xml:space="preserve">ure </w:t>
      </w:r>
      <w:r w:rsidR="00550DD7">
        <w:rPr>
          <w:bCs/>
          <w:szCs w:val="26"/>
        </w:rPr>
        <w:t xml:space="preserve">to </w:t>
      </w:r>
      <w:r w:rsidR="00D024E8">
        <w:rPr>
          <w:bCs/>
          <w:szCs w:val="26"/>
        </w:rPr>
        <w:t>asbestos</w:t>
      </w:r>
      <w:r w:rsidR="003F6961">
        <w:rPr>
          <w:bCs/>
          <w:szCs w:val="26"/>
        </w:rPr>
        <w:t xml:space="preserve"> at the refinery</w:t>
      </w:r>
      <w:r w:rsidR="00374848">
        <w:rPr>
          <w:bCs/>
          <w:szCs w:val="26"/>
        </w:rPr>
        <w:t>, the plaintiff sued Unocal for premises liability and negligent exercise of retained control</w:t>
      </w:r>
      <w:r w:rsidR="003F6961">
        <w:rPr>
          <w:bCs/>
          <w:szCs w:val="26"/>
        </w:rPr>
        <w:t>.  (</w:t>
      </w:r>
      <w:r w:rsidR="003F6961">
        <w:rPr>
          <w:bCs/>
          <w:i/>
          <w:iCs/>
          <w:szCs w:val="26"/>
        </w:rPr>
        <w:t>Kinsman</w:t>
      </w:r>
      <w:r w:rsidR="003F6961">
        <w:rPr>
          <w:bCs/>
          <w:szCs w:val="26"/>
        </w:rPr>
        <w:t xml:space="preserve">, </w:t>
      </w:r>
      <w:r w:rsidR="003F6961">
        <w:rPr>
          <w:bCs/>
          <w:i/>
          <w:iCs/>
          <w:szCs w:val="26"/>
        </w:rPr>
        <w:t>supra</w:t>
      </w:r>
      <w:r w:rsidR="003F6961">
        <w:rPr>
          <w:bCs/>
          <w:szCs w:val="26"/>
        </w:rPr>
        <w:t>, 37 Cal.4th at p</w:t>
      </w:r>
      <w:r w:rsidR="00BD354D">
        <w:rPr>
          <w:bCs/>
          <w:szCs w:val="26"/>
        </w:rPr>
        <w:t>p. 664–665</w:t>
      </w:r>
      <w:r w:rsidR="009D6596">
        <w:rPr>
          <w:bCs/>
          <w:szCs w:val="26"/>
        </w:rPr>
        <w:t xml:space="preserve">.)  </w:t>
      </w:r>
      <w:r w:rsidR="00A021EB">
        <w:rPr>
          <w:bCs/>
          <w:szCs w:val="26"/>
        </w:rPr>
        <w:t>A</w:t>
      </w:r>
      <w:r w:rsidR="004C6D72">
        <w:rPr>
          <w:bCs/>
          <w:szCs w:val="26"/>
        </w:rPr>
        <w:t xml:space="preserve"> jury </w:t>
      </w:r>
      <w:r w:rsidR="00231182">
        <w:rPr>
          <w:bCs/>
          <w:szCs w:val="26"/>
        </w:rPr>
        <w:t>found for plaintiff on the premises liability theory only</w:t>
      </w:r>
      <w:r w:rsidR="0004096D">
        <w:rPr>
          <w:bCs/>
          <w:szCs w:val="26"/>
        </w:rPr>
        <w:t xml:space="preserve">, </w:t>
      </w:r>
      <w:r w:rsidR="007A34DF">
        <w:rPr>
          <w:bCs/>
          <w:szCs w:val="26"/>
        </w:rPr>
        <w:t>and Unocal appealed</w:t>
      </w:r>
      <w:r w:rsidR="001410C1">
        <w:rPr>
          <w:bCs/>
          <w:szCs w:val="26"/>
        </w:rPr>
        <w:t xml:space="preserve">.  </w:t>
      </w:r>
      <w:r w:rsidR="001410C1" w:rsidRPr="001410C1">
        <w:rPr>
          <w:bCs/>
          <w:szCs w:val="26"/>
        </w:rPr>
        <w:t>(</w:t>
      </w:r>
      <w:r w:rsidR="001410C1" w:rsidRPr="001410C1">
        <w:rPr>
          <w:bCs/>
          <w:i/>
          <w:szCs w:val="26"/>
        </w:rPr>
        <w:t>Id.</w:t>
      </w:r>
      <w:r w:rsidR="001410C1" w:rsidRPr="001410C1">
        <w:rPr>
          <w:bCs/>
          <w:szCs w:val="26"/>
        </w:rPr>
        <w:t xml:space="preserve"> at p.</w:t>
      </w:r>
      <w:r w:rsidR="0004096D">
        <w:rPr>
          <w:bCs/>
          <w:szCs w:val="26"/>
        </w:rPr>
        <w:t> </w:t>
      </w:r>
      <w:r w:rsidR="001410C1">
        <w:rPr>
          <w:bCs/>
          <w:szCs w:val="26"/>
        </w:rPr>
        <w:t xml:space="preserve">666.)  </w:t>
      </w:r>
      <w:r w:rsidR="00AE418F">
        <w:rPr>
          <w:bCs/>
          <w:szCs w:val="26"/>
        </w:rPr>
        <w:t xml:space="preserve">The </w:t>
      </w:r>
      <w:r w:rsidR="009D4CC3">
        <w:rPr>
          <w:bCs/>
          <w:szCs w:val="26"/>
        </w:rPr>
        <w:t>Supreme Court granted review</w:t>
      </w:r>
      <w:r w:rsidR="00674D33">
        <w:rPr>
          <w:bCs/>
          <w:szCs w:val="26"/>
        </w:rPr>
        <w:t xml:space="preserve"> and </w:t>
      </w:r>
      <w:r w:rsidR="003C0234">
        <w:rPr>
          <w:bCs/>
          <w:szCs w:val="26"/>
        </w:rPr>
        <w:t>ordered a new trial</w:t>
      </w:r>
      <w:r w:rsidR="009D4CC3">
        <w:rPr>
          <w:bCs/>
          <w:szCs w:val="26"/>
        </w:rPr>
        <w:t xml:space="preserve">.  </w:t>
      </w:r>
      <w:r w:rsidR="00A1224E" w:rsidRPr="00A1224E">
        <w:rPr>
          <w:rFonts w:cs="Century Schoolbook"/>
          <w:bCs/>
          <w:szCs w:val="26"/>
        </w:rPr>
        <w:t>(</w:t>
      </w:r>
      <w:r w:rsidR="00A1224E" w:rsidRPr="00A1224E">
        <w:rPr>
          <w:rFonts w:cs="Century Schoolbook"/>
          <w:bCs/>
          <w:i/>
          <w:szCs w:val="26"/>
        </w:rPr>
        <w:t>Ibid.</w:t>
      </w:r>
      <w:r w:rsidR="00A1224E" w:rsidRPr="00A1224E">
        <w:rPr>
          <w:rFonts w:cs="Century Schoolbook"/>
          <w:bCs/>
          <w:szCs w:val="26"/>
        </w:rPr>
        <w:t>)</w:t>
      </w:r>
      <w:r w:rsidR="00A1224E">
        <w:rPr>
          <w:bCs/>
          <w:szCs w:val="26"/>
        </w:rPr>
        <w:t xml:space="preserve"> </w:t>
      </w:r>
    </w:p>
    <w:p w14:paraId="0230F0CB" w14:textId="77777777" w:rsidR="00CA679E" w:rsidRDefault="003E2177" w:rsidP="00CA679E">
      <w:pPr>
        <w:rPr>
          <w:bCs/>
          <w:iCs/>
          <w:szCs w:val="26"/>
        </w:rPr>
      </w:pPr>
      <w:r>
        <w:rPr>
          <w:bCs/>
          <w:szCs w:val="26"/>
        </w:rPr>
        <w:tab/>
        <w:t xml:space="preserve">The </w:t>
      </w:r>
      <w:r>
        <w:rPr>
          <w:bCs/>
          <w:szCs w:val="26"/>
        </w:rPr>
        <w:t>Supreme Court e</w:t>
      </w:r>
      <w:r w:rsidR="00F4327B">
        <w:rPr>
          <w:bCs/>
          <w:szCs w:val="26"/>
        </w:rPr>
        <w:t xml:space="preserve">xplained that </w:t>
      </w:r>
      <w:r w:rsidR="00D918BA">
        <w:rPr>
          <w:bCs/>
          <w:szCs w:val="26"/>
        </w:rPr>
        <w:t>under common law principles, a landowne</w:t>
      </w:r>
      <w:r w:rsidR="00E67287">
        <w:rPr>
          <w:bCs/>
          <w:szCs w:val="26"/>
        </w:rPr>
        <w:t xml:space="preserve">r </w:t>
      </w:r>
      <w:r w:rsidR="00262A49">
        <w:rPr>
          <w:bCs/>
          <w:szCs w:val="26"/>
        </w:rPr>
        <w:t xml:space="preserve">can be </w:t>
      </w:r>
      <w:r w:rsidR="00E67287">
        <w:rPr>
          <w:bCs/>
          <w:szCs w:val="26"/>
        </w:rPr>
        <w:t xml:space="preserve">liable </w:t>
      </w:r>
      <w:r w:rsidR="006B47FA">
        <w:rPr>
          <w:bCs/>
          <w:szCs w:val="26"/>
        </w:rPr>
        <w:t xml:space="preserve">for injuries </w:t>
      </w:r>
      <w:r w:rsidR="00B8008B">
        <w:rPr>
          <w:bCs/>
          <w:szCs w:val="26"/>
        </w:rPr>
        <w:t xml:space="preserve">to invitees </w:t>
      </w:r>
      <w:r w:rsidR="00262A49">
        <w:rPr>
          <w:bCs/>
          <w:szCs w:val="26"/>
        </w:rPr>
        <w:t xml:space="preserve">caused </w:t>
      </w:r>
      <w:r w:rsidR="00B8008B">
        <w:rPr>
          <w:bCs/>
          <w:szCs w:val="26"/>
        </w:rPr>
        <w:t xml:space="preserve">by a condition of the property </w:t>
      </w:r>
      <w:r w:rsidR="00DF6ABB">
        <w:rPr>
          <w:bCs/>
          <w:szCs w:val="26"/>
        </w:rPr>
        <w:t xml:space="preserve">of which </w:t>
      </w:r>
      <w:r w:rsidR="00B8008B">
        <w:rPr>
          <w:bCs/>
          <w:szCs w:val="26"/>
        </w:rPr>
        <w:t xml:space="preserve">the landowner </w:t>
      </w:r>
      <w:r w:rsidR="00262A49">
        <w:rPr>
          <w:bCs/>
          <w:szCs w:val="26"/>
        </w:rPr>
        <w:t xml:space="preserve">is or should be aware.  </w:t>
      </w:r>
      <w:r w:rsidR="003202F7">
        <w:rPr>
          <w:bCs/>
          <w:szCs w:val="26"/>
        </w:rPr>
        <w:t>(</w:t>
      </w:r>
      <w:r w:rsidR="003202F7">
        <w:rPr>
          <w:bCs/>
          <w:i/>
          <w:iCs/>
          <w:szCs w:val="26"/>
        </w:rPr>
        <w:t>Kinsman</w:t>
      </w:r>
      <w:r w:rsidR="003202F7">
        <w:rPr>
          <w:bCs/>
          <w:szCs w:val="26"/>
        </w:rPr>
        <w:t xml:space="preserve">, </w:t>
      </w:r>
      <w:r w:rsidR="003202F7">
        <w:rPr>
          <w:bCs/>
          <w:i/>
          <w:iCs/>
          <w:szCs w:val="26"/>
        </w:rPr>
        <w:t>supra</w:t>
      </w:r>
      <w:r w:rsidR="003202F7">
        <w:rPr>
          <w:bCs/>
          <w:szCs w:val="26"/>
        </w:rPr>
        <w:t>, 37 Cal.4th at p. 673.)  U</w:t>
      </w:r>
      <w:r w:rsidR="00F4327B">
        <w:rPr>
          <w:bCs/>
          <w:szCs w:val="26"/>
        </w:rPr>
        <w:t xml:space="preserve">nder </w:t>
      </w:r>
      <w:proofErr w:type="spellStart"/>
      <w:r w:rsidR="00F4327B">
        <w:rPr>
          <w:bCs/>
          <w:i/>
          <w:iCs/>
          <w:szCs w:val="26"/>
        </w:rPr>
        <w:t>Privette</w:t>
      </w:r>
      <w:proofErr w:type="spellEnd"/>
      <w:r w:rsidR="00932D18">
        <w:rPr>
          <w:bCs/>
          <w:szCs w:val="26"/>
        </w:rPr>
        <w:t xml:space="preserve">, </w:t>
      </w:r>
      <w:r w:rsidR="003202F7">
        <w:rPr>
          <w:bCs/>
          <w:szCs w:val="26"/>
        </w:rPr>
        <w:t xml:space="preserve">however, </w:t>
      </w:r>
      <w:r w:rsidR="00932D18">
        <w:rPr>
          <w:bCs/>
          <w:szCs w:val="26"/>
        </w:rPr>
        <w:t>t</w:t>
      </w:r>
      <w:r w:rsidR="00932D18" w:rsidRPr="00932D18">
        <w:rPr>
          <w:bCs/>
          <w:iCs/>
          <w:szCs w:val="26"/>
        </w:rPr>
        <w:t xml:space="preserve">he hirer generally delegates to </w:t>
      </w:r>
      <w:r w:rsidR="00022395">
        <w:rPr>
          <w:bCs/>
          <w:iCs/>
          <w:szCs w:val="26"/>
        </w:rPr>
        <w:t>an</w:t>
      </w:r>
      <w:r w:rsidR="00932D18" w:rsidRPr="00932D18">
        <w:rPr>
          <w:bCs/>
          <w:iCs/>
          <w:szCs w:val="26"/>
        </w:rPr>
        <w:t xml:space="preserve"> independent contractor the responsibility for supervising </w:t>
      </w:r>
      <w:r w:rsidR="00022395">
        <w:rPr>
          <w:bCs/>
          <w:iCs/>
          <w:szCs w:val="26"/>
        </w:rPr>
        <w:t>a</w:t>
      </w:r>
      <w:r w:rsidR="00932D18" w:rsidRPr="00932D18">
        <w:rPr>
          <w:bCs/>
          <w:iCs/>
          <w:szCs w:val="26"/>
        </w:rPr>
        <w:t xml:space="preserve"> job, including taking proper precautions to protect against obvious hazards.  Thus, when there is a known safety hazard on a hirer’s </w:t>
      </w:r>
      <w:r w:rsidR="00932D18" w:rsidRPr="00932D18">
        <w:rPr>
          <w:bCs/>
          <w:iCs/>
          <w:szCs w:val="26"/>
        </w:rPr>
        <w:lastRenderedPageBreak/>
        <w:t xml:space="preserve">premises, </w:t>
      </w:r>
      <w:r w:rsidR="00F17187">
        <w:rPr>
          <w:bCs/>
          <w:iCs/>
          <w:szCs w:val="26"/>
        </w:rPr>
        <w:t>“</w:t>
      </w:r>
      <w:r w:rsidR="00932D18" w:rsidRPr="00932D18">
        <w:rPr>
          <w:bCs/>
          <w:iCs/>
          <w:szCs w:val="26"/>
        </w:rPr>
        <w:t xml:space="preserve">a corollary of </w:t>
      </w:r>
      <w:proofErr w:type="spellStart"/>
      <w:r w:rsidR="00932D18" w:rsidRPr="00932D18">
        <w:rPr>
          <w:bCs/>
          <w:i/>
          <w:szCs w:val="26"/>
        </w:rPr>
        <w:t>Privette</w:t>
      </w:r>
      <w:proofErr w:type="spellEnd"/>
      <w:r w:rsidR="00932D18" w:rsidRPr="00932D18">
        <w:rPr>
          <w:bCs/>
          <w:iCs/>
          <w:szCs w:val="26"/>
        </w:rPr>
        <w:t xml:space="preserve"> and its progeny is that the hirer generally delegates the responsibility to take such precautions to the </w:t>
      </w:r>
      <w:proofErr w:type="gramStart"/>
      <w:r w:rsidR="00932D18" w:rsidRPr="00932D18">
        <w:rPr>
          <w:bCs/>
          <w:iCs/>
          <w:szCs w:val="26"/>
        </w:rPr>
        <w:t>contractor, and</w:t>
      </w:r>
      <w:proofErr w:type="gramEnd"/>
      <w:r w:rsidR="00932D18" w:rsidRPr="00932D18">
        <w:rPr>
          <w:bCs/>
          <w:iCs/>
          <w:szCs w:val="26"/>
        </w:rPr>
        <w:t xml:space="preserve"> is not liable to the contractor’s employee if the contractor fails to do so.</w:t>
      </w:r>
      <w:r w:rsidR="003E3EEF">
        <w:rPr>
          <w:bCs/>
          <w:iCs/>
          <w:szCs w:val="26"/>
        </w:rPr>
        <w:t xml:space="preserve">”  </w:t>
      </w:r>
      <w:r w:rsidR="003E3EEF" w:rsidRPr="003E3EEF">
        <w:rPr>
          <w:bCs/>
          <w:iCs/>
          <w:szCs w:val="26"/>
        </w:rPr>
        <w:t>(</w:t>
      </w:r>
      <w:r w:rsidR="003E3EEF" w:rsidRPr="003E3EEF">
        <w:rPr>
          <w:bCs/>
          <w:i/>
          <w:iCs/>
          <w:szCs w:val="26"/>
        </w:rPr>
        <w:t>Id.</w:t>
      </w:r>
      <w:r w:rsidR="003E3EEF" w:rsidRPr="003E3EEF">
        <w:rPr>
          <w:bCs/>
          <w:iCs/>
          <w:szCs w:val="26"/>
        </w:rPr>
        <w:t xml:space="preserve"> at pp.</w:t>
      </w:r>
      <w:r w:rsidR="00AE2B39">
        <w:rPr>
          <w:bCs/>
          <w:iCs/>
          <w:szCs w:val="26"/>
        </w:rPr>
        <w:t> </w:t>
      </w:r>
      <w:r w:rsidR="003E3EEF">
        <w:rPr>
          <w:bCs/>
          <w:iCs/>
          <w:szCs w:val="26"/>
        </w:rPr>
        <w:t xml:space="preserve">673–674.)  </w:t>
      </w:r>
      <w:r w:rsidR="00B32661">
        <w:rPr>
          <w:bCs/>
          <w:iCs/>
          <w:szCs w:val="26"/>
        </w:rPr>
        <w:t>However</w:t>
      </w:r>
      <w:r w:rsidR="00932D18" w:rsidRPr="00932D18">
        <w:rPr>
          <w:bCs/>
          <w:iCs/>
          <w:szCs w:val="26"/>
        </w:rPr>
        <w:t xml:space="preserve">, </w:t>
      </w:r>
      <w:r w:rsidR="00592628">
        <w:rPr>
          <w:bCs/>
          <w:iCs/>
          <w:szCs w:val="26"/>
        </w:rPr>
        <w:t>“</w:t>
      </w:r>
      <w:r w:rsidR="00932D18" w:rsidRPr="00932D18">
        <w:rPr>
          <w:bCs/>
          <w:iCs/>
          <w:szCs w:val="26"/>
        </w:rPr>
        <w:t xml:space="preserve">if the hazard </w:t>
      </w:r>
      <w:r w:rsidR="00932D18" w:rsidRPr="001571C9">
        <w:rPr>
          <w:bCs/>
          <w:i/>
          <w:szCs w:val="26"/>
        </w:rPr>
        <w:t>is concealed</w:t>
      </w:r>
      <w:r w:rsidR="00932D18" w:rsidRPr="00932D18">
        <w:rPr>
          <w:bCs/>
          <w:iCs/>
          <w:szCs w:val="26"/>
        </w:rPr>
        <w:t xml:space="preserve"> from the contractor but known to the landowner, </w:t>
      </w:r>
      <w:r w:rsidR="00592628">
        <w:rPr>
          <w:bCs/>
          <w:iCs/>
          <w:szCs w:val="26"/>
        </w:rPr>
        <w:t xml:space="preserve">the rule must be different.  </w:t>
      </w:r>
      <w:r w:rsidRPr="00CA679E">
        <w:rPr>
          <w:bCs/>
          <w:iCs/>
          <w:szCs w:val="26"/>
        </w:rPr>
        <w:t>A landowner cannot effectively delegate to the contractor responsibility for the safety of its employees if it fails to disclose critical informatio</w:t>
      </w:r>
      <w:r w:rsidRPr="00CA679E">
        <w:rPr>
          <w:bCs/>
          <w:iCs/>
          <w:szCs w:val="26"/>
        </w:rPr>
        <w:t>n needed to fulfill that responsibility, and therefore the landowner would be liable to the contractor</w:t>
      </w:r>
      <w:r>
        <w:rPr>
          <w:bCs/>
          <w:iCs/>
          <w:szCs w:val="26"/>
        </w:rPr>
        <w:t>’</w:t>
      </w:r>
      <w:r w:rsidRPr="00CA679E">
        <w:rPr>
          <w:bCs/>
          <w:iCs/>
          <w:szCs w:val="26"/>
        </w:rPr>
        <w:t>s employee if the employee</w:t>
      </w:r>
      <w:r w:rsidR="00F20CD3">
        <w:rPr>
          <w:bCs/>
          <w:iCs/>
          <w:szCs w:val="26"/>
        </w:rPr>
        <w:t>’</w:t>
      </w:r>
      <w:r w:rsidRPr="00CA679E">
        <w:rPr>
          <w:bCs/>
          <w:iCs/>
          <w:szCs w:val="26"/>
        </w:rPr>
        <w:t>s injury is attributable to an undisclosed hazard.</w:t>
      </w:r>
      <w:r>
        <w:rPr>
          <w:bCs/>
          <w:iCs/>
          <w:szCs w:val="26"/>
        </w:rPr>
        <w:t xml:space="preserve">”  </w:t>
      </w:r>
      <w:r w:rsidR="00B67746" w:rsidRPr="00B67746">
        <w:rPr>
          <w:bCs/>
          <w:iCs/>
          <w:szCs w:val="26"/>
        </w:rPr>
        <w:t>(</w:t>
      </w:r>
      <w:r w:rsidR="00B67746" w:rsidRPr="00B67746">
        <w:rPr>
          <w:bCs/>
          <w:i/>
          <w:iCs/>
          <w:szCs w:val="26"/>
        </w:rPr>
        <w:t>Id.</w:t>
      </w:r>
      <w:r w:rsidR="00B67746" w:rsidRPr="00B67746">
        <w:rPr>
          <w:bCs/>
          <w:iCs/>
          <w:szCs w:val="26"/>
        </w:rPr>
        <w:t xml:space="preserve"> at p.</w:t>
      </w:r>
      <w:r w:rsidR="00B67746">
        <w:rPr>
          <w:bCs/>
          <w:iCs/>
          <w:szCs w:val="26"/>
        </w:rPr>
        <w:t xml:space="preserve"> 674</w:t>
      </w:r>
      <w:r w:rsidR="00553FCC">
        <w:rPr>
          <w:bCs/>
          <w:iCs/>
          <w:szCs w:val="26"/>
        </w:rPr>
        <w:t>, italics added</w:t>
      </w:r>
      <w:r w:rsidR="00B67746">
        <w:rPr>
          <w:bCs/>
          <w:iCs/>
          <w:szCs w:val="26"/>
        </w:rPr>
        <w:t xml:space="preserve">.)  </w:t>
      </w:r>
      <w:r w:rsidR="000C3774">
        <w:rPr>
          <w:bCs/>
          <w:iCs/>
          <w:szCs w:val="26"/>
        </w:rPr>
        <w:t>The court thus announced the following rule:  “[T]</w:t>
      </w:r>
      <w:r w:rsidR="000C3774" w:rsidRPr="000C3774">
        <w:rPr>
          <w:bCs/>
          <w:iCs/>
          <w:szCs w:val="26"/>
        </w:rPr>
        <w:t xml:space="preserve">he </w:t>
      </w:r>
      <w:proofErr w:type="spellStart"/>
      <w:r w:rsidR="000C3774" w:rsidRPr="000C3774">
        <w:rPr>
          <w:bCs/>
          <w:iCs/>
          <w:szCs w:val="26"/>
        </w:rPr>
        <w:t>hirer</w:t>
      </w:r>
      <w:proofErr w:type="spellEnd"/>
      <w:r w:rsidR="000C3774" w:rsidRPr="000C3774">
        <w:rPr>
          <w:bCs/>
          <w:iCs/>
          <w:szCs w:val="26"/>
        </w:rPr>
        <w:t xml:space="preserve"> as landowner may be independently liable to the contractor</w:t>
      </w:r>
      <w:r w:rsidR="000C3774">
        <w:rPr>
          <w:bCs/>
          <w:iCs/>
          <w:szCs w:val="26"/>
        </w:rPr>
        <w:t>’</w:t>
      </w:r>
      <w:r w:rsidR="000C3774" w:rsidRPr="000C3774">
        <w:rPr>
          <w:bCs/>
          <w:iCs/>
          <w:szCs w:val="26"/>
        </w:rPr>
        <w:t>s employee, even if it does not retain control over the work, if</w:t>
      </w:r>
      <w:r w:rsidR="00F84CDB">
        <w:rPr>
          <w:bCs/>
          <w:iCs/>
          <w:szCs w:val="26"/>
        </w:rPr>
        <w:t xml:space="preserve">: </w:t>
      </w:r>
      <w:r w:rsidR="000C3774" w:rsidRPr="000C3774">
        <w:rPr>
          <w:bCs/>
          <w:iCs/>
          <w:szCs w:val="26"/>
        </w:rPr>
        <w:t xml:space="preserve"> (1) it knows or reasonably should know of a concealed, preexisting hazardous condition on its premises; (2) the contractor does not know and could not reasonably ascertain the condition; and (3)</w:t>
      </w:r>
      <w:r w:rsidR="001571C9">
        <w:rPr>
          <w:bCs/>
          <w:iCs/>
          <w:szCs w:val="26"/>
        </w:rPr>
        <w:t> </w:t>
      </w:r>
      <w:r w:rsidR="000C3774" w:rsidRPr="000C3774">
        <w:rPr>
          <w:bCs/>
          <w:iCs/>
          <w:szCs w:val="26"/>
        </w:rPr>
        <w:t>the landowner fails to warn the contractor.</w:t>
      </w:r>
      <w:r w:rsidR="000C3774">
        <w:rPr>
          <w:bCs/>
          <w:iCs/>
          <w:szCs w:val="26"/>
        </w:rPr>
        <w:t xml:space="preserve">”  </w:t>
      </w:r>
      <w:r w:rsidR="000C3774" w:rsidRPr="000C3774">
        <w:rPr>
          <w:bCs/>
          <w:iCs/>
          <w:szCs w:val="26"/>
        </w:rPr>
        <w:t>(</w:t>
      </w:r>
      <w:r w:rsidR="000C3774" w:rsidRPr="000C3774">
        <w:rPr>
          <w:bCs/>
          <w:i/>
          <w:iCs/>
          <w:szCs w:val="26"/>
        </w:rPr>
        <w:t>Id.</w:t>
      </w:r>
      <w:r w:rsidR="000C3774" w:rsidRPr="000C3774">
        <w:rPr>
          <w:bCs/>
          <w:iCs/>
          <w:szCs w:val="26"/>
        </w:rPr>
        <w:t xml:space="preserve"> at p.</w:t>
      </w:r>
      <w:r w:rsidR="000C3774">
        <w:rPr>
          <w:bCs/>
          <w:iCs/>
          <w:szCs w:val="26"/>
        </w:rPr>
        <w:t xml:space="preserve"> </w:t>
      </w:r>
      <w:r w:rsidR="00D56EAA">
        <w:rPr>
          <w:bCs/>
          <w:iCs/>
          <w:szCs w:val="26"/>
        </w:rPr>
        <w:t>675.)</w:t>
      </w:r>
    </w:p>
    <w:p w14:paraId="0230F0CC" w14:textId="77777777" w:rsidR="003B5DBD" w:rsidRDefault="003E2177" w:rsidP="00916A68">
      <w:pPr>
        <w:rPr>
          <w:bCs/>
          <w:iCs/>
          <w:szCs w:val="26"/>
        </w:rPr>
      </w:pPr>
      <w:r>
        <w:rPr>
          <w:bCs/>
          <w:iCs/>
          <w:szCs w:val="26"/>
        </w:rPr>
        <w:tab/>
      </w:r>
      <w:r w:rsidR="00F20CD3">
        <w:rPr>
          <w:bCs/>
          <w:iCs/>
          <w:szCs w:val="26"/>
        </w:rPr>
        <w:t>As a corollary to this rule, the court explained that the</w:t>
      </w:r>
      <w:r w:rsidRPr="008221C5">
        <w:rPr>
          <w:iCs/>
          <w:szCs w:val="26"/>
        </w:rPr>
        <w:t xml:space="preserve"> responsibility for job safety delegated</w:t>
      </w:r>
      <w:r w:rsidRPr="008221C5">
        <w:rPr>
          <w:iCs/>
          <w:szCs w:val="26"/>
        </w:rPr>
        <w:t xml:space="preserve"> to independent contractors </w:t>
      </w:r>
      <w:r w:rsidR="00A97B75">
        <w:rPr>
          <w:iCs/>
          <w:szCs w:val="26"/>
        </w:rPr>
        <w:t>“</w:t>
      </w:r>
      <w:r w:rsidRPr="008221C5">
        <w:rPr>
          <w:iCs/>
          <w:szCs w:val="26"/>
        </w:rPr>
        <w:t>may and generally does include explicitly or implicitly a limited duty to inspect the premises</w:t>
      </w:r>
      <w:r w:rsidR="00C5288C">
        <w:rPr>
          <w:iCs/>
          <w:szCs w:val="26"/>
        </w:rPr>
        <w:t>.”  (</w:t>
      </w:r>
      <w:r w:rsidR="00C5288C">
        <w:rPr>
          <w:bCs/>
          <w:i/>
          <w:szCs w:val="26"/>
        </w:rPr>
        <w:t>Kinsman</w:t>
      </w:r>
      <w:r w:rsidR="00C5288C">
        <w:rPr>
          <w:bCs/>
          <w:iCs/>
          <w:szCs w:val="26"/>
        </w:rPr>
        <w:t xml:space="preserve">, </w:t>
      </w:r>
      <w:r w:rsidR="00C5288C">
        <w:rPr>
          <w:bCs/>
          <w:i/>
          <w:szCs w:val="26"/>
        </w:rPr>
        <w:t>supra</w:t>
      </w:r>
      <w:r w:rsidR="00C5288C">
        <w:rPr>
          <w:bCs/>
          <w:iCs/>
          <w:szCs w:val="26"/>
        </w:rPr>
        <w:t>, 37 Cal.4th at p.</w:t>
      </w:r>
      <w:r w:rsidR="00D60D6B">
        <w:rPr>
          <w:bCs/>
          <w:iCs/>
          <w:szCs w:val="26"/>
        </w:rPr>
        <w:t> </w:t>
      </w:r>
      <w:r w:rsidR="00C5288C" w:rsidRPr="008221C5">
        <w:rPr>
          <w:bCs/>
          <w:iCs/>
          <w:szCs w:val="26"/>
        </w:rPr>
        <w:t>677</w:t>
      </w:r>
      <w:r w:rsidR="00C5288C">
        <w:rPr>
          <w:bCs/>
          <w:iCs/>
          <w:szCs w:val="26"/>
        </w:rPr>
        <w:t xml:space="preserve">.)  </w:t>
      </w:r>
      <w:r w:rsidR="00D50C6F">
        <w:rPr>
          <w:bCs/>
          <w:iCs/>
          <w:szCs w:val="26"/>
        </w:rPr>
        <w:t>Accordingly</w:t>
      </w:r>
      <w:r w:rsidR="00C5288C">
        <w:rPr>
          <w:bCs/>
          <w:iCs/>
          <w:szCs w:val="26"/>
        </w:rPr>
        <w:t>, “</w:t>
      </w:r>
      <w:r w:rsidRPr="008221C5">
        <w:rPr>
          <w:iCs/>
          <w:szCs w:val="26"/>
        </w:rPr>
        <w:t xml:space="preserve">the landowner would not be liable when the contractor has failed to </w:t>
      </w:r>
      <w:r w:rsidRPr="008221C5">
        <w:rPr>
          <w:iCs/>
          <w:szCs w:val="26"/>
        </w:rPr>
        <w:t>engage in inspections of the premises implicitly or explicitly delegated to it.</w:t>
      </w:r>
      <w:r w:rsidRPr="008221C5">
        <w:rPr>
          <w:bCs/>
          <w:iCs/>
          <w:szCs w:val="26"/>
        </w:rPr>
        <w:t xml:space="preserve">  Thus, for example, an employee of a roofing contractor sent to repair a defective roof would generally not be able to sue the hirer if injured when he fell through the same ro</w:t>
      </w:r>
      <w:r w:rsidRPr="008221C5">
        <w:rPr>
          <w:bCs/>
          <w:iCs/>
          <w:szCs w:val="26"/>
        </w:rPr>
        <w:t xml:space="preserve">of due to a structural defect, </w:t>
      </w:r>
      <w:proofErr w:type="gramStart"/>
      <w:r w:rsidRPr="008221C5">
        <w:rPr>
          <w:bCs/>
          <w:iCs/>
          <w:szCs w:val="26"/>
        </w:rPr>
        <w:t>inasmuch as</w:t>
      </w:r>
      <w:proofErr w:type="gramEnd"/>
      <w:r w:rsidRPr="008221C5">
        <w:rPr>
          <w:bCs/>
          <w:iCs/>
          <w:szCs w:val="26"/>
        </w:rPr>
        <w:t xml:space="preserve"> inspection for such defects could reasonably be implied to be </w:t>
      </w:r>
      <w:r w:rsidRPr="008221C5">
        <w:rPr>
          <w:bCs/>
          <w:iCs/>
          <w:szCs w:val="26"/>
        </w:rPr>
        <w:lastRenderedPageBreak/>
        <w:t>within the scope of the contractor</w:t>
      </w:r>
      <w:r w:rsidR="00EB09D1">
        <w:rPr>
          <w:bCs/>
          <w:iCs/>
          <w:szCs w:val="26"/>
        </w:rPr>
        <w:t>’</w:t>
      </w:r>
      <w:r w:rsidRPr="008221C5">
        <w:rPr>
          <w:bCs/>
          <w:iCs/>
          <w:szCs w:val="26"/>
        </w:rPr>
        <w:t>s employment.  On the other hand, if the same employee fell from a ladder because the wall on which the ladder was p</w:t>
      </w:r>
      <w:r w:rsidRPr="008221C5">
        <w:rPr>
          <w:bCs/>
          <w:iCs/>
          <w:szCs w:val="26"/>
        </w:rPr>
        <w:t xml:space="preserve">ropped collapsed, assuming that this defect was not related to the roof under repair, the employee may be able to sustain a suit against the hirer.  Put in other terms, the contractor was not being paid to inspect the premises generally, and therefore the </w:t>
      </w:r>
      <w:r w:rsidRPr="008221C5">
        <w:rPr>
          <w:bCs/>
          <w:iCs/>
          <w:szCs w:val="26"/>
        </w:rPr>
        <w:t>duty of general inspection could not be said to have been delegated to it.</w:t>
      </w:r>
      <w:r w:rsidR="002C752D">
        <w:rPr>
          <w:bCs/>
          <w:iCs/>
          <w:szCs w:val="26"/>
        </w:rPr>
        <w:t xml:space="preserve">  </w:t>
      </w:r>
      <w:r w:rsidR="002C752D" w:rsidRPr="002C752D">
        <w:rPr>
          <w:bCs/>
          <w:iCs/>
          <w:szCs w:val="26"/>
        </w:rPr>
        <w:t>Under those circumstances, the landowner</w:t>
      </w:r>
      <w:r w:rsidR="002C752D">
        <w:rPr>
          <w:bCs/>
          <w:iCs/>
          <w:szCs w:val="26"/>
        </w:rPr>
        <w:t>’</w:t>
      </w:r>
      <w:r w:rsidR="002C752D" w:rsidRPr="002C752D">
        <w:rPr>
          <w:bCs/>
          <w:iCs/>
          <w:szCs w:val="26"/>
        </w:rPr>
        <w:t>s failure to reasonably inspect the premises, when a hidden hazard leads directly to the employee</w:t>
      </w:r>
      <w:r w:rsidR="002C752D">
        <w:rPr>
          <w:bCs/>
          <w:iCs/>
          <w:szCs w:val="26"/>
        </w:rPr>
        <w:t>’</w:t>
      </w:r>
      <w:r w:rsidR="002C752D" w:rsidRPr="002C752D">
        <w:rPr>
          <w:bCs/>
          <w:iCs/>
          <w:szCs w:val="26"/>
        </w:rPr>
        <w:t>s injury, may well result in liability.</w:t>
      </w:r>
      <w:r w:rsidRPr="008221C5">
        <w:rPr>
          <w:bCs/>
          <w:iCs/>
          <w:szCs w:val="26"/>
        </w:rPr>
        <w:t xml:space="preserve">” </w:t>
      </w:r>
      <w:r w:rsidRPr="008221C5">
        <w:rPr>
          <w:bCs/>
          <w:iCs/>
          <w:szCs w:val="26"/>
        </w:rPr>
        <w:t xml:space="preserve"> </w:t>
      </w:r>
      <w:r w:rsidR="00F10506" w:rsidRPr="00F10506">
        <w:rPr>
          <w:bCs/>
          <w:iCs/>
          <w:szCs w:val="26"/>
        </w:rPr>
        <w:t>(</w:t>
      </w:r>
      <w:r w:rsidR="00F10506" w:rsidRPr="00F10506">
        <w:rPr>
          <w:bCs/>
          <w:i/>
          <w:iCs/>
          <w:szCs w:val="26"/>
        </w:rPr>
        <w:t>Id.</w:t>
      </w:r>
      <w:r w:rsidR="00F10506" w:rsidRPr="00F10506">
        <w:rPr>
          <w:bCs/>
          <w:iCs/>
          <w:szCs w:val="26"/>
        </w:rPr>
        <w:t xml:space="preserve"> at </w:t>
      </w:r>
      <w:r w:rsidR="00D83664">
        <w:rPr>
          <w:bCs/>
          <w:iCs/>
          <w:szCs w:val="26"/>
        </w:rPr>
        <w:t xml:space="preserve">pp. </w:t>
      </w:r>
      <w:r w:rsidRPr="008221C5">
        <w:rPr>
          <w:bCs/>
          <w:iCs/>
          <w:szCs w:val="26"/>
        </w:rPr>
        <w:t>677–678</w:t>
      </w:r>
      <w:r w:rsidR="00D83664">
        <w:rPr>
          <w:bCs/>
          <w:iCs/>
          <w:szCs w:val="26"/>
        </w:rPr>
        <w:t>.)</w:t>
      </w:r>
      <w:r w:rsidR="00F10506">
        <w:rPr>
          <w:bCs/>
          <w:iCs/>
          <w:szCs w:val="26"/>
        </w:rPr>
        <w:t xml:space="preserve">  </w:t>
      </w:r>
      <w:r w:rsidR="00916A68">
        <w:rPr>
          <w:bCs/>
          <w:iCs/>
          <w:szCs w:val="26"/>
        </w:rPr>
        <w:t>The court noted</w:t>
      </w:r>
      <w:r w:rsidR="00721B56">
        <w:rPr>
          <w:bCs/>
          <w:iCs/>
          <w:szCs w:val="26"/>
        </w:rPr>
        <w:t xml:space="preserve">, moreover, </w:t>
      </w:r>
      <w:r w:rsidR="00916A68">
        <w:rPr>
          <w:bCs/>
          <w:iCs/>
          <w:szCs w:val="26"/>
        </w:rPr>
        <w:t xml:space="preserve">that there was no reason </w:t>
      </w:r>
      <w:r w:rsidR="00916A68" w:rsidRPr="00916A68">
        <w:rPr>
          <w:bCs/>
          <w:iCs/>
          <w:szCs w:val="26"/>
        </w:rPr>
        <w:t>to distinguish conceptually between premises liability based on a hazardous substance that is concealed because it is invisible to the contractor and known only to the landowner and premises liability based on a hazardous substance that is visible but is known to be hazardous only to the landowner.</w:t>
      </w:r>
      <w:r>
        <w:rPr>
          <w:bCs/>
          <w:iCs/>
          <w:szCs w:val="26"/>
        </w:rPr>
        <w:t xml:space="preserve">  It explained:  “</w:t>
      </w:r>
      <w:r w:rsidR="00916A68" w:rsidRPr="00916A68">
        <w:rPr>
          <w:iCs/>
          <w:szCs w:val="26"/>
        </w:rPr>
        <w:t>If the hazard is not reasonably apparent,</w:t>
      </w:r>
      <w:r w:rsidR="00916A68" w:rsidRPr="00916A68">
        <w:rPr>
          <w:bCs/>
          <w:iCs/>
          <w:szCs w:val="26"/>
        </w:rPr>
        <w:t xml:space="preserve"> and is known only to the landowner, </w:t>
      </w:r>
      <w:r w:rsidR="00916A68" w:rsidRPr="00916A68">
        <w:rPr>
          <w:iCs/>
          <w:szCs w:val="26"/>
        </w:rPr>
        <w:t>it is a concealed hazard, whether or not the substance creating the hazard is visible</w:t>
      </w:r>
      <w:r w:rsidR="00916A68" w:rsidRPr="00916A68">
        <w:rPr>
          <w:bCs/>
          <w:iCs/>
          <w:szCs w:val="26"/>
        </w:rPr>
        <w:t xml:space="preserve">.”  </w:t>
      </w:r>
      <w:r w:rsidR="00F10506" w:rsidRPr="00F10506">
        <w:rPr>
          <w:bCs/>
          <w:iCs/>
          <w:szCs w:val="26"/>
        </w:rPr>
        <w:t>(</w:t>
      </w:r>
      <w:r w:rsidR="00F10506" w:rsidRPr="00F10506">
        <w:rPr>
          <w:bCs/>
          <w:i/>
          <w:iCs/>
          <w:szCs w:val="26"/>
        </w:rPr>
        <w:t>Id.</w:t>
      </w:r>
      <w:r w:rsidR="00F10506" w:rsidRPr="00F10506">
        <w:rPr>
          <w:bCs/>
          <w:iCs/>
          <w:szCs w:val="26"/>
        </w:rPr>
        <w:t xml:space="preserve"> at p.</w:t>
      </w:r>
      <w:r w:rsidR="00F10506">
        <w:rPr>
          <w:bCs/>
          <w:iCs/>
          <w:szCs w:val="26"/>
        </w:rPr>
        <w:t xml:space="preserve"> </w:t>
      </w:r>
      <w:r w:rsidR="00916A68" w:rsidRPr="00916A68">
        <w:rPr>
          <w:bCs/>
          <w:iCs/>
          <w:szCs w:val="26"/>
        </w:rPr>
        <w:t>678.</w:t>
      </w:r>
      <w:r w:rsidR="00211FA1">
        <w:rPr>
          <w:bCs/>
          <w:iCs/>
          <w:szCs w:val="26"/>
        </w:rPr>
        <w:t>)</w:t>
      </w:r>
    </w:p>
    <w:p w14:paraId="0230F0CD" w14:textId="77777777" w:rsidR="00DA635E" w:rsidRPr="00DA635E" w:rsidRDefault="003E2177" w:rsidP="002658B7">
      <w:pPr>
        <w:rPr>
          <w:bCs/>
          <w:iCs/>
          <w:szCs w:val="26"/>
        </w:rPr>
      </w:pPr>
      <w:r>
        <w:rPr>
          <w:bCs/>
          <w:iCs/>
          <w:szCs w:val="26"/>
        </w:rPr>
        <w:tab/>
        <w:t>Applying these principles to the case before it, the court held that the jury had not been properly instructed.</w:t>
      </w:r>
      <w:r w:rsidR="00014BF9">
        <w:rPr>
          <w:bCs/>
          <w:iCs/>
          <w:szCs w:val="26"/>
        </w:rPr>
        <w:t xml:space="preserve">  (</w:t>
      </w:r>
      <w:r w:rsidR="00014BF9">
        <w:rPr>
          <w:bCs/>
          <w:i/>
          <w:szCs w:val="26"/>
        </w:rPr>
        <w:t>Kinsman</w:t>
      </w:r>
      <w:r w:rsidR="00014BF9">
        <w:rPr>
          <w:bCs/>
          <w:iCs/>
          <w:szCs w:val="26"/>
        </w:rPr>
        <w:t xml:space="preserve">, </w:t>
      </w:r>
      <w:r w:rsidR="00014BF9">
        <w:rPr>
          <w:bCs/>
          <w:i/>
          <w:szCs w:val="26"/>
        </w:rPr>
        <w:t>supra</w:t>
      </w:r>
      <w:r w:rsidR="00014BF9">
        <w:rPr>
          <w:bCs/>
          <w:iCs/>
          <w:szCs w:val="26"/>
        </w:rPr>
        <w:t xml:space="preserve">, 37 Cal.4th at p. </w:t>
      </w:r>
      <w:r w:rsidR="004B0E30">
        <w:rPr>
          <w:bCs/>
          <w:iCs/>
          <w:szCs w:val="26"/>
        </w:rPr>
        <w:t xml:space="preserve">681.)  The trial court had instructed the jury </w:t>
      </w:r>
      <w:r w:rsidR="001C75F8">
        <w:rPr>
          <w:bCs/>
          <w:iCs/>
          <w:szCs w:val="26"/>
        </w:rPr>
        <w:t xml:space="preserve">pursuant to BAJI No. 8.01 that the owner of </w:t>
      </w:r>
      <w:r w:rsidR="00363C44">
        <w:rPr>
          <w:bCs/>
          <w:iCs/>
          <w:szCs w:val="26"/>
        </w:rPr>
        <w:t xml:space="preserve">the </w:t>
      </w:r>
      <w:r w:rsidR="001C75F8">
        <w:rPr>
          <w:bCs/>
          <w:iCs/>
          <w:szCs w:val="26"/>
        </w:rPr>
        <w:t>premises is under a duty to exercise ordinary ca</w:t>
      </w:r>
      <w:r w:rsidR="00646C2B">
        <w:rPr>
          <w:bCs/>
          <w:iCs/>
          <w:szCs w:val="26"/>
        </w:rPr>
        <w:t>re in the use and management of the premises</w:t>
      </w:r>
      <w:r w:rsidR="000A5A9D">
        <w:rPr>
          <w:bCs/>
          <w:iCs/>
          <w:szCs w:val="26"/>
        </w:rPr>
        <w:t>, and that failing to do so is negligence.  (</w:t>
      </w:r>
      <w:r w:rsidR="000A5A9D">
        <w:rPr>
          <w:bCs/>
          <w:i/>
          <w:szCs w:val="26"/>
        </w:rPr>
        <w:t>Kinsman</w:t>
      </w:r>
      <w:r w:rsidR="000A5A9D">
        <w:rPr>
          <w:bCs/>
          <w:iCs/>
          <w:szCs w:val="26"/>
        </w:rPr>
        <w:t xml:space="preserve">, at p. </w:t>
      </w:r>
      <w:r w:rsidR="00583EA6">
        <w:rPr>
          <w:bCs/>
          <w:iCs/>
          <w:szCs w:val="26"/>
        </w:rPr>
        <w:t xml:space="preserve">681.)  The Supreme Court held that this instruction, while an accurate statement of premises liability generally, </w:t>
      </w:r>
      <w:r w:rsidR="00674B4C">
        <w:rPr>
          <w:bCs/>
          <w:iCs/>
          <w:szCs w:val="26"/>
        </w:rPr>
        <w:t>“</w:t>
      </w:r>
      <w:r w:rsidR="00674B4C" w:rsidRPr="00674B4C">
        <w:rPr>
          <w:bCs/>
          <w:iCs/>
          <w:szCs w:val="26"/>
        </w:rPr>
        <w:t>is partly erroneous when applied to the present situation.</w:t>
      </w:r>
      <w:r w:rsidR="009B681E">
        <w:rPr>
          <w:bCs/>
          <w:iCs/>
          <w:szCs w:val="26"/>
        </w:rPr>
        <w:t xml:space="preserve">”  It explained:  </w:t>
      </w:r>
      <w:r w:rsidR="00C13505">
        <w:rPr>
          <w:bCs/>
          <w:iCs/>
          <w:szCs w:val="26"/>
        </w:rPr>
        <w:t>“[T]</w:t>
      </w:r>
      <w:r w:rsidR="00674B4C" w:rsidRPr="00674B4C">
        <w:rPr>
          <w:bCs/>
          <w:iCs/>
          <w:szCs w:val="26"/>
        </w:rPr>
        <w:t xml:space="preserve">he landowner who has delegated job </w:t>
      </w:r>
      <w:r w:rsidR="00674B4C" w:rsidRPr="00674B4C">
        <w:rPr>
          <w:bCs/>
          <w:iCs/>
          <w:szCs w:val="26"/>
        </w:rPr>
        <w:lastRenderedPageBreak/>
        <w:t xml:space="preserve">safety to the independent contractor only has a duty to the employee if the condition is concealed. </w:t>
      </w:r>
      <w:r w:rsidR="00951EBB">
        <w:rPr>
          <w:bCs/>
          <w:iCs/>
          <w:szCs w:val="26"/>
        </w:rPr>
        <w:t xml:space="preserve"> </w:t>
      </w:r>
      <w:r w:rsidR="00674B4C" w:rsidRPr="00674B4C">
        <w:rPr>
          <w:bCs/>
          <w:iCs/>
          <w:szCs w:val="26"/>
        </w:rPr>
        <w:t>Because the general premises liability instruction given does not make clear that the hazard must have been unknown and not reasonably ascertainable to the independent contractor that employed Kinsman and to other contractors working contemporaneously on the premises—the jury instruction was in error.</w:t>
      </w:r>
      <w:r w:rsidR="00951EBB">
        <w:rPr>
          <w:bCs/>
          <w:iCs/>
          <w:szCs w:val="26"/>
        </w:rPr>
        <w:t xml:space="preserve">”  </w:t>
      </w:r>
      <w:r w:rsidR="00951EBB" w:rsidRPr="00951EBB">
        <w:rPr>
          <w:bCs/>
          <w:iCs/>
          <w:szCs w:val="26"/>
        </w:rPr>
        <w:t>(</w:t>
      </w:r>
      <w:r w:rsidR="00951EBB" w:rsidRPr="00951EBB">
        <w:rPr>
          <w:bCs/>
          <w:i/>
          <w:iCs/>
          <w:szCs w:val="26"/>
        </w:rPr>
        <w:t>Id.</w:t>
      </w:r>
      <w:r w:rsidR="00951EBB" w:rsidRPr="00951EBB">
        <w:rPr>
          <w:bCs/>
          <w:iCs/>
          <w:szCs w:val="26"/>
        </w:rPr>
        <w:t xml:space="preserve"> at p.</w:t>
      </w:r>
      <w:r w:rsidR="00951EBB">
        <w:rPr>
          <w:bCs/>
          <w:iCs/>
          <w:szCs w:val="26"/>
        </w:rPr>
        <w:t xml:space="preserve"> </w:t>
      </w:r>
      <w:r w:rsidR="00674B4C" w:rsidRPr="00674B4C">
        <w:rPr>
          <w:bCs/>
          <w:iCs/>
          <w:szCs w:val="26"/>
        </w:rPr>
        <w:t>682</w:t>
      </w:r>
      <w:r w:rsidR="00951EBB">
        <w:rPr>
          <w:bCs/>
          <w:iCs/>
          <w:szCs w:val="26"/>
        </w:rPr>
        <w:t>.)</w:t>
      </w:r>
      <w:r w:rsidR="00AA7456">
        <w:rPr>
          <w:bCs/>
          <w:iCs/>
          <w:szCs w:val="26"/>
        </w:rPr>
        <w:t xml:space="preserve">  </w:t>
      </w:r>
      <w:r w:rsidR="003A7D72">
        <w:rPr>
          <w:bCs/>
          <w:iCs/>
          <w:szCs w:val="26"/>
        </w:rPr>
        <w:t xml:space="preserve">Further, the court said, the </w:t>
      </w:r>
      <w:r w:rsidR="00432DBA">
        <w:rPr>
          <w:bCs/>
          <w:iCs/>
          <w:szCs w:val="26"/>
        </w:rPr>
        <w:t>instructional error was prejudici</w:t>
      </w:r>
      <w:r>
        <w:rPr>
          <w:bCs/>
          <w:iCs/>
          <w:szCs w:val="26"/>
        </w:rPr>
        <w:t>al:  “</w:t>
      </w:r>
      <w:r w:rsidRPr="00DA635E">
        <w:rPr>
          <w:bCs/>
          <w:iCs/>
          <w:szCs w:val="26"/>
        </w:rPr>
        <w:t>Although the jury, in finding Unocal negligent under a premises liability theory, implicitly found that Unocal knew or should have known of the hazard of asbestos dust on its property, it made no finding about whether Kinsman</w:t>
      </w:r>
      <w:r>
        <w:rPr>
          <w:bCs/>
          <w:iCs/>
          <w:szCs w:val="26"/>
        </w:rPr>
        <w:t>’</w:t>
      </w:r>
      <w:r w:rsidRPr="00DA635E">
        <w:rPr>
          <w:bCs/>
          <w:iCs/>
          <w:szCs w:val="26"/>
        </w:rPr>
        <w:t>s employer</w:t>
      </w:r>
      <w:r w:rsidR="001F067D">
        <w:rPr>
          <w:bCs/>
          <w:iCs/>
          <w:szCs w:val="26"/>
        </w:rPr>
        <w:t xml:space="preserve"> . . .</w:t>
      </w:r>
      <w:r w:rsidRPr="00DA635E">
        <w:rPr>
          <w:bCs/>
          <w:iCs/>
          <w:szCs w:val="26"/>
        </w:rPr>
        <w:t xml:space="preserve"> knew or should have known of the hazard</w:t>
      </w:r>
      <w:r w:rsidR="009B49AF">
        <w:rPr>
          <w:bCs/>
          <w:iCs/>
          <w:szCs w:val="26"/>
        </w:rPr>
        <w:t xml:space="preserve"> . . . </w:t>
      </w:r>
      <w:r w:rsidRPr="00DA635E">
        <w:rPr>
          <w:bCs/>
          <w:iCs/>
          <w:szCs w:val="26"/>
        </w:rPr>
        <w:t xml:space="preserve">. </w:t>
      </w:r>
      <w:r w:rsidR="00B32661">
        <w:rPr>
          <w:bCs/>
          <w:iCs/>
          <w:szCs w:val="26"/>
        </w:rPr>
        <w:t xml:space="preserve"> </w:t>
      </w:r>
      <w:r w:rsidRPr="00DA635E">
        <w:rPr>
          <w:bCs/>
          <w:iCs/>
          <w:szCs w:val="26"/>
        </w:rPr>
        <w:t xml:space="preserve">As discussed, a finding that </w:t>
      </w:r>
      <w:r w:rsidR="00F170FE">
        <w:rPr>
          <w:bCs/>
          <w:iCs/>
          <w:szCs w:val="26"/>
        </w:rPr>
        <w:t>[the employer]</w:t>
      </w:r>
      <w:r w:rsidRPr="00DA635E">
        <w:rPr>
          <w:bCs/>
          <w:iCs/>
          <w:szCs w:val="26"/>
        </w:rPr>
        <w:t xml:space="preserve"> did know that the dust in the refinery was asbestos and was hazardous to an employee like Kinsman, would, under the principles articulated in the </w:t>
      </w:r>
      <w:proofErr w:type="spellStart"/>
      <w:r w:rsidRPr="009B49AF">
        <w:rPr>
          <w:bCs/>
          <w:i/>
          <w:szCs w:val="26"/>
        </w:rPr>
        <w:t>Privette</w:t>
      </w:r>
      <w:proofErr w:type="spellEnd"/>
      <w:r w:rsidRPr="00DA635E">
        <w:rPr>
          <w:bCs/>
          <w:iCs/>
          <w:szCs w:val="26"/>
        </w:rPr>
        <w:t xml:space="preserve"> line o</w:t>
      </w:r>
      <w:r w:rsidRPr="00DA635E">
        <w:rPr>
          <w:bCs/>
          <w:iCs/>
          <w:szCs w:val="26"/>
        </w:rPr>
        <w:t>f cases and in this opinion, completely relieve Unocal of liability for any resultant employee injury.</w:t>
      </w:r>
      <w:r w:rsidR="007E6AEA">
        <w:rPr>
          <w:bCs/>
          <w:iCs/>
          <w:szCs w:val="26"/>
        </w:rPr>
        <w:t xml:space="preserve">  [¶]  </w:t>
      </w:r>
      <w:r w:rsidRPr="00DA635E">
        <w:rPr>
          <w:bCs/>
          <w:iCs/>
          <w:szCs w:val="26"/>
        </w:rPr>
        <w:t xml:space="preserve">Whether a hazard is concealed is a factual matter, and the record before us is inconclusive on this issue. </w:t>
      </w:r>
      <w:r w:rsidR="007E6AEA">
        <w:rPr>
          <w:bCs/>
          <w:iCs/>
          <w:szCs w:val="26"/>
        </w:rPr>
        <w:t xml:space="preserve"> </w:t>
      </w:r>
      <w:r w:rsidRPr="00DA635E">
        <w:rPr>
          <w:bCs/>
          <w:iCs/>
          <w:szCs w:val="26"/>
        </w:rPr>
        <w:t>On the one hand, there is no evidence i</w:t>
      </w:r>
      <w:r w:rsidRPr="00DA635E">
        <w:rPr>
          <w:bCs/>
          <w:iCs/>
          <w:szCs w:val="26"/>
        </w:rPr>
        <w:t xml:space="preserve">n the record before us regarding whether </w:t>
      </w:r>
      <w:r w:rsidR="00F170FE">
        <w:rPr>
          <w:bCs/>
          <w:iCs/>
          <w:szCs w:val="26"/>
        </w:rPr>
        <w:t>[</w:t>
      </w:r>
      <w:r w:rsidR="00CE695F">
        <w:rPr>
          <w:bCs/>
          <w:iCs/>
          <w:szCs w:val="26"/>
        </w:rPr>
        <w:t>Kinsman’s employer]</w:t>
      </w:r>
      <w:r w:rsidRPr="00DA635E">
        <w:rPr>
          <w:bCs/>
          <w:iCs/>
          <w:szCs w:val="26"/>
        </w:rPr>
        <w:t xml:space="preserve"> knew about the hazards of asbestos or even whether asbestos was present. </w:t>
      </w:r>
      <w:r w:rsidR="002658B7">
        <w:rPr>
          <w:bCs/>
          <w:iCs/>
          <w:szCs w:val="26"/>
        </w:rPr>
        <w:t xml:space="preserve">. . .  </w:t>
      </w:r>
      <w:r w:rsidR="001B7886">
        <w:rPr>
          <w:bCs/>
          <w:iCs/>
          <w:szCs w:val="26"/>
        </w:rPr>
        <w:t xml:space="preserve">[¶]  </w:t>
      </w:r>
      <w:r w:rsidR="002658B7" w:rsidRPr="002658B7">
        <w:rPr>
          <w:bCs/>
          <w:iCs/>
          <w:szCs w:val="26"/>
        </w:rPr>
        <w:t>On the other hand, the various reports issued to the oil industry in the 1930</w:t>
      </w:r>
      <w:r w:rsidR="002658B7">
        <w:rPr>
          <w:bCs/>
          <w:iCs/>
          <w:szCs w:val="26"/>
        </w:rPr>
        <w:t>’</w:t>
      </w:r>
      <w:r w:rsidR="002658B7" w:rsidRPr="002658B7">
        <w:rPr>
          <w:bCs/>
          <w:iCs/>
          <w:szCs w:val="26"/>
        </w:rPr>
        <w:t>s and 1940</w:t>
      </w:r>
      <w:r w:rsidR="002658B7">
        <w:rPr>
          <w:bCs/>
          <w:iCs/>
          <w:szCs w:val="26"/>
        </w:rPr>
        <w:t>’</w:t>
      </w:r>
      <w:r w:rsidR="002658B7" w:rsidRPr="002658B7">
        <w:rPr>
          <w:bCs/>
          <w:iCs/>
          <w:szCs w:val="26"/>
        </w:rPr>
        <w:t>s, from which Unocal obtained its knowledge, were not secret or classified, and there was a limited public knowledge about the health hazards of asbestos dust.</w:t>
      </w:r>
      <w:r w:rsidR="002658B7">
        <w:rPr>
          <w:bCs/>
          <w:iCs/>
          <w:szCs w:val="26"/>
        </w:rPr>
        <w:t xml:space="preserve">”  </w:t>
      </w:r>
      <w:r w:rsidR="002658B7" w:rsidRPr="002658B7">
        <w:rPr>
          <w:bCs/>
          <w:iCs/>
          <w:szCs w:val="26"/>
        </w:rPr>
        <w:t>(</w:t>
      </w:r>
      <w:r w:rsidR="002658B7" w:rsidRPr="002658B7">
        <w:rPr>
          <w:bCs/>
          <w:i/>
          <w:iCs/>
          <w:szCs w:val="26"/>
        </w:rPr>
        <w:t>Id.</w:t>
      </w:r>
      <w:r w:rsidR="002658B7" w:rsidRPr="002658B7">
        <w:rPr>
          <w:bCs/>
          <w:iCs/>
          <w:szCs w:val="26"/>
        </w:rPr>
        <w:t xml:space="preserve"> at pp.</w:t>
      </w:r>
      <w:r w:rsidR="00CE695F">
        <w:rPr>
          <w:bCs/>
          <w:iCs/>
          <w:szCs w:val="26"/>
        </w:rPr>
        <w:t> </w:t>
      </w:r>
      <w:r w:rsidR="00D24E16">
        <w:rPr>
          <w:bCs/>
          <w:iCs/>
          <w:szCs w:val="26"/>
        </w:rPr>
        <w:t xml:space="preserve">682–683.)  </w:t>
      </w:r>
      <w:r w:rsidR="002658B7" w:rsidRPr="002658B7">
        <w:rPr>
          <w:bCs/>
          <w:iCs/>
          <w:szCs w:val="26"/>
        </w:rPr>
        <w:t xml:space="preserve"> </w:t>
      </w:r>
      <w:r w:rsidR="004E1054">
        <w:rPr>
          <w:bCs/>
          <w:iCs/>
          <w:szCs w:val="26"/>
        </w:rPr>
        <w:t>In short, “a</w:t>
      </w:r>
      <w:r w:rsidR="002658B7" w:rsidRPr="002658B7">
        <w:rPr>
          <w:bCs/>
          <w:iCs/>
          <w:szCs w:val="26"/>
        </w:rPr>
        <w:t xml:space="preserve"> properly instructed jury may have concluded, based on the record before us, that the contractors knew or should have known about the airborne asbestos hazard, which would have meant a verdict in Unocal</w:t>
      </w:r>
      <w:r w:rsidR="00E10D04">
        <w:rPr>
          <w:bCs/>
          <w:iCs/>
          <w:szCs w:val="26"/>
        </w:rPr>
        <w:t>’</w:t>
      </w:r>
      <w:r w:rsidR="002658B7" w:rsidRPr="002658B7">
        <w:rPr>
          <w:bCs/>
          <w:iCs/>
          <w:szCs w:val="26"/>
        </w:rPr>
        <w:t xml:space="preserve">s favor. </w:t>
      </w:r>
      <w:r w:rsidR="004E1054">
        <w:rPr>
          <w:bCs/>
          <w:iCs/>
          <w:szCs w:val="26"/>
        </w:rPr>
        <w:t xml:space="preserve"> </w:t>
      </w:r>
      <w:r w:rsidR="002658B7" w:rsidRPr="002658B7">
        <w:rPr>
          <w:bCs/>
          <w:iCs/>
          <w:szCs w:val="26"/>
        </w:rPr>
        <w:t xml:space="preserve">But the </w:t>
      </w:r>
      <w:r w:rsidR="002658B7" w:rsidRPr="002658B7">
        <w:rPr>
          <w:bCs/>
          <w:iCs/>
          <w:szCs w:val="26"/>
        </w:rPr>
        <w:lastRenderedPageBreak/>
        <w:t xml:space="preserve">evidence does not compel that conclusion. </w:t>
      </w:r>
      <w:r w:rsidR="0036473A">
        <w:rPr>
          <w:bCs/>
          <w:iCs/>
          <w:szCs w:val="26"/>
        </w:rPr>
        <w:t xml:space="preserve"> </w:t>
      </w:r>
      <w:r w:rsidR="002658B7" w:rsidRPr="002658B7">
        <w:rPr>
          <w:bCs/>
          <w:iCs/>
          <w:szCs w:val="26"/>
        </w:rPr>
        <w:t>Because the evidence is capable of inferences in both Kinsman</w:t>
      </w:r>
      <w:r w:rsidR="004E1054">
        <w:rPr>
          <w:bCs/>
          <w:iCs/>
          <w:szCs w:val="26"/>
        </w:rPr>
        <w:t>’</w:t>
      </w:r>
      <w:r w:rsidR="002658B7" w:rsidRPr="002658B7">
        <w:rPr>
          <w:bCs/>
          <w:iCs/>
          <w:szCs w:val="26"/>
        </w:rPr>
        <w:t>s and Unocal</w:t>
      </w:r>
      <w:r w:rsidR="004E1054">
        <w:rPr>
          <w:bCs/>
          <w:iCs/>
          <w:szCs w:val="26"/>
        </w:rPr>
        <w:t>’</w:t>
      </w:r>
      <w:r w:rsidR="002658B7" w:rsidRPr="002658B7">
        <w:rPr>
          <w:bCs/>
          <w:iCs/>
          <w:szCs w:val="26"/>
        </w:rPr>
        <w:t>s favor, and because the concealed hazards issue was never properly submitted to the jury, it is appropriate to reverse the judgment and to remand for a new trial on that issue</w:t>
      </w:r>
      <w:r w:rsidR="004E1054">
        <w:rPr>
          <w:bCs/>
          <w:iCs/>
          <w:szCs w:val="26"/>
        </w:rPr>
        <w:t xml:space="preserve">.”  </w:t>
      </w:r>
      <w:r w:rsidR="004E1054" w:rsidRPr="004E1054">
        <w:rPr>
          <w:bCs/>
          <w:iCs/>
          <w:szCs w:val="26"/>
        </w:rPr>
        <w:t>(</w:t>
      </w:r>
      <w:r w:rsidR="004E1054" w:rsidRPr="004E1054">
        <w:rPr>
          <w:bCs/>
          <w:i/>
          <w:iCs/>
          <w:szCs w:val="26"/>
        </w:rPr>
        <w:t>Id.</w:t>
      </w:r>
      <w:r w:rsidR="004E1054" w:rsidRPr="004E1054">
        <w:rPr>
          <w:bCs/>
          <w:iCs/>
          <w:szCs w:val="26"/>
        </w:rPr>
        <w:t xml:space="preserve"> at p.</w:t>
      </w:r>
      <w:r w:rsidR="004E1054">
        <w:rPr>
          <w:bCs/>
          <w:iCs/>
          <w:szCs w:val="26"/>
        </w:rPr>
        <w:t xml:space="preserve"> </w:t>
      </w:r>
      <w:r w:rsidR="002658B7" w:rsidRPr="002658B7">
        <w:rPr>
          <w:bCs/>
          <w:iCs/>
          <w:szCs w:val="26"/>
        </w:rPr>
        <w:t>683</w:t>
      </w:r>
      <w:r w:rsidR="004E1054">
        <w:rPr>
          <w:bCs/>
          <w:iCs/>
          <w:szCs w:val="26"/>
        </w:rPr>
        <w:t>.)</w:t>
      </w:r>
    </w:p>
    <w:p w14:paraId="0230F0CE" w14:textId="77777777" w:rsidR="00CB3CE5" w:rsidRDefault="003E2177" w:rsidP="00CB3CE5">
      <w:pPr>
        <w:rPr>
          <w:bCs/>
          <w:iCs/>
          <w:szCs w:val="26"/>
        </w:rPr>
      </w:pPr>
      <w:r>
        <w:rPr>
          <w:bCs/>
          <w:iCs/>
          <w:szCs w:val="26"/>
        </w:rPr>
        <w:tab/>
        <w:t xml:space="preserve">The Supreme Court considered a related issue </w:t>
      </w:r>
      <w:r w:rsidR="000A2764">
        <w:rPr>
          <w:bCs/>
          <w:iCs/>
          <w:szCs w:val="26"/>
        </w:rPr>
        <w:t xml:space="preserve">in </w:t>
      </w:r>
      <w:r w:rsidRPr="006B5595">
        <w:rPr>
          <w:i/>
          <w:iCs/>
          <w:szCs w:val="26"/>
        </w:rPr>
        <w:t>Gonzalez</w:t>
      </w:r>
      <w:r w:rsidR="006B5595">
        <w:rPr>
          <w:szCs w:val="26"/>
        </w:rPr>
        <w:t xml:space="preserve">, </w:t>
      </w:r>
      <w:r w:rsidR="006B5595">
        <w:rPr>
          <w:i/>
          <w:iCs/>
          <w:szCs w:val="26"/>
        </w:rPr>
        <w:t>supra</w:t>
      </w:r>
      <w:r w:rsidR="006B5595">
        <w:rPr>
          <w:szCs w:val="26"/>
        </w:rPr>
        <w:t xml:space="preserve">, </w:t>
      </w:r>
      <w:r w:rsidRPr="006B5595">
        <w:rPr>
          <w:szCs w:val="26"/>
        </w:rPr>
        <w:t>12</w:t>
      </w:r>
      <w:r w:rsidRPr="00CB3CE5">
        <w:rPr>
          <w:iCs/>
          <w:szCs w:val="26"/>
        </w:rPr>
        <w:t xml:space="preserve"> Cal.5th 29</w:t>
      </w:r>
      <w:r w:rsidR="000A2764">
        <w:rPr>
          <w:iCs/>
          <w:szCs w:val="26"/>
        </w:rPr>
        <w:t xml:space="preserve">.  There, </w:t>
      </w:r>
      <w:r w:rsidR="006E303E">
        <w:rPr>
          <w:iCs/>
          <w:szCs w:val="26"/>
        </w:rPr>
        <w:t xml:space="preserve">the plaintiff, </w:t>
      </w:r>
      <w:r w:rsidR="000A2764">
        <w:rPr>
          <w:iCs/>
          <w:szCs w:val="26"/>
        </w:rPr>
        <w:t>a</w:t>
      </w:r>
      <w:r w:rsidR="00994381">
        <w:rPr>
          <w:iCs/>
          <w:szCs w:val="26"/>
        </w:rPr>
        <w:t xml:space="preserve"> p</w:t>
      </w:r>
      <w:r w:rsidRPr="00CB3CE5">
        <w:rPr>
          <w:bCs/>
          <w:iCs/>
          <w:szCs w:val="26"/>
        </w:rPr>
        <w:t>rofessional window washer</w:t>
      </w:r>
      <w:r w:rsidR="006E303E">
        <w:rPr>
          <w:bCs/>
          <w:iCs/>
          <w:szCs w:val="26"/>
        </w:rPr>
        <w:t>,</w:t>
      </w:r>
      <w:r w:rsidRPr="00CB3CE5">
        <w:rPr>
          <w:bCs/>
          <w:iCs/>
          <w:szCs w:val="26"/>
        </w:rPr>
        <w:t xml:space="preserve"> was</w:t>
      </w:r>
      <w:r w:rsidR="00DA7CF7">
        <w:rPr>
          <w:bCs/>
          <w:iCs/>
          <w:szCs w:val="26"/>
        </w:rPr>
        <w:t xml:space="preserve"> seriously</w:t>
      </w:r>
      <w:r w:rsidRPr="00CB3CE5">
        <w:rPr>
          <w:bCs/>
          <w:iCs/>
          <w:szCs w:val="26"/>
        </w:rPr>
        <w:t xml:space="preserve"> injured while </w:t>
      </w:r>
      <w:r w:rsidR="000C0A91">
        <w:rPr>
          <w:bCs/>
          <w:iCs/>
          <w:szCs w:val="26"/>
        </w:rPr>
        <w:t xml:space="preserve">cleaning skylights </w:t>
      </w:r>
      <w:r w:rsidRPr="00CB3CE5">
        <w:rPr>
          <w:bCs/>
          <w:iCs/>
          <w:szCs w:val="26"/>
        </w:rPr>
        <w:t xml:space="preserve">on </w:t>
      </w:r>
      <w:r w:rsidR="00815B0F">
        <w:rPr>
          <w:bCs/>
          <w:iCs/>
          <w:szCs w:val="26"/>
        </w:rPr>
        <w:t xml:space="preserve">a homeowner’s </w:t>
      </w:r>
      <w:r w:rsidRPr="00CB3CE5">
        <w:rPr>
          <w:bCs/>
          <w:iCs/>
          <w:szCs w:val="26"/>
        </w:rPr>
        <w:t xml:space="preserve">roof.  </w:t>
      </w:r>
      <w:r w:rsidR="00DA7CF7">
        <w:rPr>
          <w:bCs/>
          <w:iCs/>
          <w:szCs w:val="26"/>
        </w:rPr>
        <w:t xml:space="preserve">The plaintiff </w:t>
      </w:r>
      <w:r w:rsidR="00815B0F">
        <w:rPr>
          <w:bCs/>
          <w:iCs/>
          <w:szCs w:val="26"/>
        </w:rPr>
        <w:t xml:space="preserve">sued the homeowner, claiming the </w:t>
      </w:r>
      <w:r w:rsidRPr="00CB3CE5">
        <w:rPr>
          <w:bCs/>
          <w:iCs/>
          <w:szCs w:val="26"/>
        </w:rPr>
        <w:t xml:space="preserve">accident happened because </w:t>
      </w:r>
      <w:r w:rsidR="00645AC8" w:rsidRPr="00CB3CE5">
        <w:rPr>
          <w:bCs/>
          <w:iCs/>
          <w:szCs w:val="26"/>
        </w:rPr>
        <w:t>the roof lacked a guardrail</w:t>
      </w:r>
      <w:r w:rsidR="00645AC8">
        <w:rPr>
          <w:bCs/>
          <w:iCs/>
          <w:szCs w:val="26"/>
        </w:rPr>
        <w:t xml:space="preserve"> and </w:t>
      </w:r>
      <w:r w:rsidR="00815B0F">
        <w:rPr>
          <w:bCs/>
          <w:iCs/>
          <w:szCs w:val="26"/>
        </w:rPr>
        <w:t xml:space="preserve">the homeowner </w:t>
      </w:r>
      <w:r w:rsidRPr="00CB3CE5">
        <w:rPr>
          <w:bCs/>
          <w:iCs/>
          <w:szCs w:val="26"/>
        </w:rPr>
        <w:t>fail</w:t>
      </w:r>
      <w:r w:rsidR="00815B0F">
        <w:rPr>
          <w:bCs/>
          <w:iCs/>
          <w:szCs w:val="26"/>
        </w:rPr>
        <w:t>ed</w:t>
      </w:r>
      <w:r w:rsidRPr="00CB3CE5">
        <w:rPr>
          <w:bCs/>
          <w:iCs/>
          <w:szCs w:val="26"/>
        </w:rPr>
        <w:t xml:space="preserve"> to properly maintain </w:t>
      </w:r>
      <w:r w:rsidR="002D4101">
        <w:rPr>
          <w:bCs/>
          <w:iCs/>
          <w:szCs w:val="26"/>
        </w:rPr>
        <w:t>the</w:t>
      </w:r>
      <w:r w:rsidRPr="00CB3CE5">
        <w:rPr>
          <w:bCs/>
          <w:iCs/>
          <w:szCs w:val="26"/>
        </w:rPr>
        <w:t xml:space="preserve"> roof</w:t>
      </w:r>
      <w:r w:rsidR="00391A74">
        <w:rPr>
          <w:bCs/>
          <w:iCs/>
          <w:szCs w:val="26"/>
        </w:rPr>
        <w:t xml:space="preserve">. </w:t>
      </w:r>
      <w:r w:rsidR="00645AC8">
        <w:rPr>
          <w:bCs/>
          <w:iCs/>
          <w:szCs w:val="26"/>
        </w:rPr>
        <w:t xml:space="preserve"> </w:t>
      </w:r>
      <w:r w:rsidR="003C31CA" w:rsidRPr="003C31CA">
        <w:rPr>
          <w:bCs/>
          <w:iCs/>
          <w:szCs w:val="26"/>
        </w:rPr>
        <w:t>(</w:t>
      </w:r>
      <w:r w:rsidR="003C31CA" w:rsidRPr="003C31CA">
        <w:rPr>
          <w:bCs/>
          <w:i/>
          <w:iCs/>
          <w:szCs w:val="26"/>
        </w:rPr>
        <w:t>Id.</w:t>
      </w:r>
      <w:r w:rsidR="003C31CA" w:rsidRPr="003C31CA">
        <w:rPr>
          <w:bCs/>
          <w:iCs/>
          <w:szCs w:val="26"/>
        </w:rPr>
        <w:t xml:space="preserve"> at </w:t>
      </w:r>
      <w:r w:rsidR="003C31CA">
        <w:rPr>
          <w:bCs/>
          <w:iCs/>
          <w:szCs w:val="26"/>
        </w:rPr>
        <w:t>pp.</w:t>
      </w:r>
      <w:r w:rsidR="00391A74">
        <w:rPr>
          <w:bCs/>
          <w:iCs/>
          <w:szCs w:val="26"/>
        </w:rPr>
        <w:t> </w:t>
      </w:r>
      <w:r w:rsidR="003C31CA">
        <w:rPr>
          <w:bCs/>
          <w:iCs/>
          <w:szCs w:val="26"/>
        </w:rPr>
        <w:t xml:space="preserve">39–40.)  </w:t>
      </w:r>
      <w:r w:rsidR="00A62C17">
        <w:rPr>
          <w:bCs/>
          <w:iCs/>
          <w:szCs w:val="26"/>
        </w:rPr>
        <w:t>The plaintiff conceded that he knew of these conditions</w:t>
      </w:r>
      <w:r w:rsidR="00C875D1">
        <w:rPr>
          <w:bCs/>
          <w:iCs/>
          <w:szCs w:val="26"/>
        </w:rPr>
        <w:t xml:space="preserve"> before beginning the job, but he</w:t>
      </w:r>
      <w:r w:rsidR="004E5A6D">
        <w:rPr>
          <w:bCs/>
          <w:iCs/>
          <w:szCs w:val="26"/>
        </w:rPr>
        <w:t xml:space="preserve"> </w:t>
      </w:r>
      <w:r w:rsidR="006E303E">
        <w:rPr>
          <w:bCs/>
          <w:iCs/>
          <w:szCs w:val="26"/>
        </w:rPr>
        <w:t>said</w:t>
      </w:r>
      <w:r w:rsidR="004E5A6D">
        <w:rPr>
          <w:bCs/>
          <w:iCs/>
          <w:szCs w:val="26"/>
        </w:rPr>
        <w:t xml:space="preserve"> he</w:t>
      </w:r>
      <w:r w:rsidR="00C875D1">
        <w:rPr>
          <w:bCs/>
          <w:iCs/>
          <w:szCs w:val="26"/>
        </w:rPr>
        <w:t xml:space="preserve"> had previously </w:t>
      </w:r>
      <w:r w:rsidR="004E5A6D">
        <w:rPr>
          <w:bCs/>
          <w:iCs/>
          <w:szCs w:val="26"/>
        </w:rPr>
        <w:t>reported the roof’s dangerous condition to the</w:t>
      </w:r>
      <w:r w:rsidR="00C875D1">
        <w:rPr>
          <w:bCs/>
          <w:iCs/>
          <w:szCs w:val="26"/>
        </w:rPr>
        <w:t xml:space="preserve"> homeowner</w:t>
      </w:r>
      <w:r w:rsidR="005A4AA1">
        <w:rPr>
          <w:bCs/>
          <w:iCs/>
          <w:szCs w:val="26"/>
        </w:rPr>
        <w:t xml:space="preserve">, who had not repaired it.  </w:t>
      </w:r>
      <w:r w:rsidR="00F7205C" w:rsidRPr="00F7205C">
        <w:rPr>
          <w:bCs/>
          <w:iCs/>
          <w:szCs w:val="26"/>
        </w:rPr>
        <w:t>(</w:t>
      </w:r>
      <w:r w:rsidR="00F7205C" w:rsidRPr="00F7205C">
        <w:rPr>
          <w:bCs/>
          <w:i/>
          <w:iCs/>
          <w:szCs w:val="26"/>
        </w:rPr>
        <w:t>Id.</w:t>
      </w:r>
      <w:r w:rsidR="00F7205C" w:rsidRPr="00F7205C">
        <w:rPr>
          <w:bCs/>
          <w:iCs/>
          <w:szCs w:val="26"/>
        </w:rPr>
        <w:t xml:space="preserve"> at p.</w:t>
      </w:r>
      <w:r w:rsidR="00F7205C">
        <w:rPr>
          <w:bCs/>
          <w:iCs/>
          <w:szCs w:val="26"/>
        </w:rPr>
        <w:t xml:space="preserve"> 40.)</w:t>
      </w:r>
    </w:p>
    <w:p w14:paraId="0230F0CF" w14:textId="77777777" w:rsidR="007F2070" w:rsidRDefault="003E2177" w:rsidP="0057499D">
      <w:pPr>
        <w:rPr>
          <w:bCs/>
          <w:iCs/>
          <w:szCs w:val="26"/>
        </w:rPr>
      </w:pPr>
      <w:r>
        <w:rPr>
          <w:bCs/>
          <w:iCs/>
          <w:szCs w:val="26"/>
        </w:rPr>
        <w:tab/>
        <w:t xml:space="preserve">The Supreme Court affirmed the grant of summary judgment for the homeowner.  </w:t>
      </w:r>
      <w:r w:rsidR="004D3EAB">
        <w:rPr>
          <w:bCs/>
          <w:iCs/>
          <w:szCs w:val="26"/>
        </w:rPr>
        <w:t>It explained that</w:t>
      </w:r>
      <w:r w:rsidR="005D1941">
        <w:rPr>
          <w:bCs/>
          <w:iCs/>
          <w:szCs w:val="26"/>
        </w:rPr>
        <w:t xml:space="preserve"> o</w:t>
      </w:r>
      <w:r w:rsidR="004D3EAB" w:rsidRPr="004D3EAB">
        <w:rPr>
          <w:bCs/>
          <w:iCs/>
          <w:szCs w:val="26"/>
        </w:rPr>
        <w:t xml:space="preserve">nce an independent contractor becomes aware of a hazard on </w:t>
      </w:r>
      <w:r w:rsidR="004959DE">
        <w:rPr>
          <w:bCs/>
          <w:iCs/>
          <w:szCs w:val="26"/>
        </w:rPr>
        <w:t xml:space="preserve">a property owner’s </w:t>
      </w:r>
      <w:r w:rsidR="004D3EAB" w:rsidRPr="004D3EAB">
        <w:rPr>
          <w:bCs/>
          <w:iCs/>
          <w:szCs w:val="26"/>
        </w:rPr>
        <w:t xml:space="preserve">premises, the responsibility </w:t>
      </w:r>
      <w:r w:rsidR="00E14A41">
        <w:rPr>
          <w:bCs/>
          <w:iCs/>
          <w:szCs w:val="26"/>
        </w:rPr>
        <w:t xml:space="preserve">for </w:t>
      </w:r>
      <w:r w:rsidR="004D3EAB" w:rsidRPr="004D3EAB">
        <w:rPr>
          <w:bCs/>
          <w:iCs/>
          <w:szCs w:val="26"/>
        </w:rPr>
        <w:t xml:space="preserve">employee safety </w:t>
      </w:r>
      <w:r w:rsidR="00E14A41">
        <w:rPr>
          <w:bCs/>
          <w:iCs/>
          <w:szCs w:val="26"/>
        </w:rPr>
        <w:t xml:space="preserve">is delegated to </w:t>
      </w:r>
      <w:r w:rsidR="004D3EAB" w:rsidRPr="004D3EAB">
        <w:rPr>
          <w:bCs/>
          <w:iCs/>
          <w:szCs w:val="26"/>
        </w:rPr>
        <w:t>the contracto</w:t>
      </w:r>
      <w:r w:rsidR="00E14A41">
        <w:rPr>
          <w:bCs/>
          <w:iCs/>
          <w:szCs w:val="26"/>
        </w:rPr>
        <w:t>r</w:t>
      </w:r>
      <w:r w:rsidR="004D3EAB" w:rsidRPr="004D3EAB">
        <w:rPr>
          <w:bCs/>
          <w:iCs/>
          <w:szCs w:val="26"/>
        </w:rPr>
        <w:t xml:space="preserve"> </w:t>
      </w:r>
      <w:r w:rsidR="00E14A41">
        <w:rPr>
          <w:bCs/>
          <w:iCs/>
          <w:szCs w:val="26"/>
        </w:rPr>
        <w:t xml:space="preserve">as a matter of law, </w:t>
      </w:r>
      <w:r w:rsidR="004D3EAB" w:rsidRPr="004D3EAB">
        <w:rPr>
          <w:bCs/>
          <w:iCs/>
          <w:szCs w:val="26"/>
        </w:rPr>
        <w:t xml:space="preserve">and </w:t>
      </w:r>
      <w:r w:rsidR="00500908">
        <w:rPr>
          <w:bCs/>
          <w:iCs/>
          <w:szCs w:val="26"/>
        </w:rPr>
        <w:t xml:space="preserve">the </w:t>
      </w:r>
      <w:r w:rsidR="00E14A41">
        <w:rPr>
          <w:bCs/>
          <w:iCs/>
          <w:szCs w:val="26"/>
        </w:rPr>
        <w:t>owner</w:t>
      </w:r>
      <w:r w:rsidR="004D3EAB" w:rsidRPr="004D3EAB">
        <w:rPr>
          <w:bCs/>
          <w:iCs/>
          <w:szCs w:val="26"/>
        </w:rPr>
        <w:t xml:space="preserve"> has no duty to protect the employee </w:t>
      </w:r>
      <w:r w:rsidR="00E14A41">
        <w:rPr>
          <w:bCs/>
          <w:iCs/>
          <w:szCs w:val="26"/>
        </w:rPr>
        <w:t xml:space="preserve">if </w:t>
      </w:r>
      <w:r w:rsidR="004D3EAB" w:rsidRPr="004D3EAB">
        <w:rPr>
          <w:bCs/>
          <w:iCs/>
          <w:szCs w:val="26"/>
        </w:rPr>
        <w:t>the contractor fails in that task</w:t>
      </w:r>
      <w:r w:rsidR="00500908">
        <w:rPr>
          <w:bCs/>
          <w:iCs/>
          <w:szCs w:val="26"/>
        </w:rPr>
        <w:t>.</w:t>
      </w:r>
      <w:r w:rsidR="004D3EAB" w:rsidRPr="004D3EAB">
        <w:rPr>
          <w:bCs/>
          <w:iCs/>
          <w:szCs w:val="26"/>
        </w:rPr>
        <w:t xml:space="preserve"> </w:t>
      </w:r>
      <w:r w:rsidR="005A3220">
        <w:rPr>
          <w:bCs/>
          <w:iCs/>
          <w:szCs w:val="26"/>
        </w:rPr>
        <w:t xml:space="preserve"> </w:t>
      </w:r>
      <w:r w:rsidR="004D3EAB" w:rsidRPr="004D3EAB">
        <w:rPr>
          <w:bCs/>
          <w:iCs/>
          <w:szCs w:val="26"/>
        </w:rPr>
        <w:t>(</w:t>
      </w:r>
      <w:r w:rsidR="00701A79">
        <w:rPr>
          <w:bCs/>
          <w:i/>
          <w:szCs w:val="26"/>
        </w:rPr>
        <w:t>Gonzalez</w:t>
      </w:r>
      <w:r w:rsidR="00701A79">
        <w:rPr>
          <w:bCs/>
          <w:iCs/>
          <w:szCs w:val="26"/>
        </w:rPr>
        <w:t xml:space="preserve">, </w:t>
      </w:r>
      <w:r w:rsidR="00701A79">
        <w:rPr>
          <w:bCs/>
          <w:i/>
          <w:szCs w:val="26"/>
        </w:rPr>
        <w:t>supra</w:t>
      </w:r>
      <w:r w:rsidR="00701A79">
        <w:rPr>
          <w:bCs/>
          <w:iCs/>
          <w:szCs w:val="26"/>
        </w:rPr>
        <w:t xml:space="preserve">, 12 Cal.5th at p. </w:t>
      </w:r>
      <w:r w:rsidR="00A026B6">
        <w:rPr>
          <w:bCs/>
          <w:iCs/>
          <w:szCs w:val="26"/>
        </w:rPr>
        <w:t xml:space="preserve">45, citing </w:t>
      </w:r>
      <w:r w:rsidR="004D3EAB" w:rsidRPr="00A026B6">
        <w:rPr>
          <w:bCs/>
          <w:i/>
          <w:szCs w:val="26"/>
        </w:rPr>
        <w:t>Kinsman</w:t>
      </w:r>
      <w:r w:rsidR="004D3EAB" w:rsidRPr="004D3EAB">
        <w:rPr>
          <w:bCs/>
          <w:iCs/>
          <w:szCs w:val="26"/>
        </w:rPr>
        <w:t xml:space="preserve">, </w:t>
      </w:r>
      <w:r w:rsidR="00A026B6" w:rsidRPr="00A026B6">
        <w:rPr>
          <w:bCs/>
          <w:i/>
          <w:szCs w:val="26"/>
        </w:rPr>
        <w:t>supra</w:t>
      </w:r>
      <w:r w:rsidR="00A026B6">
        <w:rPr>
          <w:bCs/>
          <w:iCs/>
          <w:szCs w:val="26"/>
        </w:rPr>
        <w:t>, 37</w:t>
      </w:r>
      <w:r w:rsidR="00500908">
        <w:rPr>
          <w:bCs/>
          <w:iCs/>
          <w:szCs w:val="26"/>
        </w:rPr>
        <w:t> </w:t>
      </w:r>
      <w:r w:rsidR="00A026B6">
        <w:rPr>
          <w:bCs/>
          <w:iCs/>
          <w:szCs w:val="26"/>
        </w:rPr>
        <w:t xml:space="preserve">Cal.4th </w:t>
      </w:r>
      <w:r w:rsidR="004D3EAB" w:rsidRPr="00A026B6">
        <w:rPr>
          <w:bCs/>
          <w:iCs/>
          <w:szCs w:val="26"/>
        </w:rPr>
        <w:t>at</w:t>
      </w:r>
      <w:r w:rsidR="004D3EAB" w:rsidRPr="004D3EAB">
        <w:rPr>
          <w:bCs/>
          <w:iCs/>
          <w:szCs w:val="26"/>
        </w:rPr>
        <w:t xml:space="preserve"> p. 674.) </w:t>
      </w:r>
      <w:r w:rsidR="00500908">
        <w:rPr>
          <w:bCs/>
          <w:iCs/>
          <w:szCs w:val="26"/>
        </w:rPr>
        <w:t xml:space="preserve"> This was so, the court </w:t>
      </w:r>
      <w:r w:rsidR="0050382E">
        <w:rPr>
          <w:bCs/>
          <w:iCs/>
          <w:szCs w:val="26"/>
        </w:rPr>
        <w:t xml:space="preserve">said, even where the </w:t>
      </w:r>
      <w:r w:rsidR="00530736">
        <w:rPr>
          <w:bCs/>
          <w:iCs/>
          <w:szCs w:val="26"/>
        </w:rPr>
        <w:t>property owner</w:t>
      </w:r>
      <w:r w:rsidR="0050382E">
        <w:rPr>
          <w:bCs/>
          <w:iCs/>
          <w:szCs w:val="26"/>
        </w:rPr>
        <w:t xml:space="preserve"> was aware of the ha</w:t>
      </w:r>
      <w:r w:rsidR="006D4DEF">
        <w:rPr>
          <w:bCs/>
          <w:iCs/>
          <w:szCs w:val="26"/>
        </w:rPr>
        <w:t>za</w:t>
      </w:r>
      <w:r w:rsidR="0050382E">
        <w:rPr>
          <w:bCs/>
          <w:iCs/>
          <w:szCs w:val="26"/>
        </w:rPr>
        <w:t xml:space="preserve">rd and there were </w:t>
      </w:r>
      <w:r w:rsidR="004D3EAB" w:rsidRPr="004D3EAB">
        <w:rPr>
          <w:bCs/>
          <w:iCs/>
          <w:szCs w:val="26"/>
        </w:rPr>
        <w:t>no reasonable safety precautions the contractor could have adopted to protect against the hazard</w:t>
      </w:r>
      <w:r w:rsidR="0050382E">
        <w:rPr>
          <w:bCs/>
          <w:iCs/>
          <w:szCs w:val="26"/>
        </w:rPr>
        <w:t xml:space="preserve">.  </w:t>
      </w:r>
      <w:r w:rsidR="00272FEE">
        <w:rPr>
          <w:bCs/>
          <w:iCs/>
          <w:szCs w:val="26"/>
        </w:rPr>
        <w:t>(</w:t>
      </w:r>
      <w:r w:rsidR="004D3EAB" w:rsidRPr="009736EA">
        <w:rPr>
          <w:bCs/>
          <w:i/>
          <w:szCs w:val="26"/>
        </w:rPr>
        <w:t>Gonzalez</w:t>
      </w:r>
      <w:r w:rsidR="00272FEE">
        <w:rPr>
          <w:bCs/>
          <w:iCs/>
          <w:szCs w:val="26"/>
        </w:rPr>
        <w:t xml:space="preserve">, at </w:t>
      </w:r>
      <w:r w:rsidR="009736EA">
        <w:rPr>
          <w:bCs/>
          <w:iCs/>
          <w:szCs w:val="26"/>
        </w:rPr>
        <w:t>p. 45.)</w:t>
      </w:r>
      <w:r w:rsidR="0057499D">
        <w:rPr>
          <w:bCs/>
          <w:iCs/>
          <w:szCs w:val="26"/>
        </w:rPr>
        <w:t xml:space="preserve">  The court explained:  “</w:t>
      </w:r>
      <w:r w:rsidR="0057499D" w:rsidRPr="0057499D">
        <w:rPr>
          <w:bCs/>
          <w:iCs/>
          <w:szCs w:val="26"/>
        </w:rPr>
        <w:t>A</w:t>
      </w:r>
      <w:r w:rsidR="00D5669C">
        <w:rPr>
          <w:bCs/>
          <w:iCs/>
          <w:szCs w:val="26"/>
        </w:rPr>
        <w:t> </w:t>
      </w:r>
      <w:r w:rsidR="0057499D" w:rsidRPr="0057499D">
        <w:rPr>
          <w:bCs/>
          <w:iCs/>
          <w:szCs w:val="26"/>
        </w:rPr>
        <w:t xml:space="preserve">rule establishing landowner liability for a known hazard where there were no reasonable safety precautions the contractor could have adopted to protect against the hazard would turn </w:t>
      </w:r>
      <w:proofErr w:type="spellStart"/>
      <w:r w:rsidR="0057499D" w:rsidRPr="0057499D">
        <w:rPr>
          <w:bCs/>
          <w:i/>
          <w:szCs w:val="26"/>
        </w:rPr>
        <w:t>Privette</w:t>
      </w:r>
      <w:r w:rsidR="0057499D" w:rsidRPr="0057499D">
        <w:rPr>
          <w:bCs/>
          <w:iCs/>
          <w:szCs w:val="26"/>
        </w:rPr>
        <w:t>’s</w:t>
      </w:r>
      <w:proofErr w:type="spellEnd"/>
      <w:r w:rsidR="0057499D" w:rsidRPr="0057499D">
        <w:rPr>
          <w:bCs/>
          <w:iCs/>
          <w:szCs w:val="26"/>
        </w:rPr>
        <w:t xml:space="preserve"> presumption of delegation on its head by </w:t>
      </w:r>
      <w:r w:rsidR="0057499D" w:rsidRPr="0057499D">
        <w:rPr>
          <w:bCs/>
          <w:iCs/>
          <w:szCs w:val="26"/>
        </w:rPr>
        <w:lastRenderedPageBreak/>
        <w:t xml:space="preserve">requiring the landowner to affirmatively assess workplace safety. </w:t>
      </w:r>
      <w:r w:rsidR="0057499D">
        <w:rPr>
          <w:bCs/>
          <w:iCs/>
          <w:szCs w:val="26"/>
        </w:rPr>
        <w:t xml:space="preserve"> </w:t>
      </w:r>
      <w:r w:rsidR="0057499D" w:rsidRPr="0057499D">
        <w:rPr>
          <w:bCs/>
          <w:iCs/>
          <w:szCs w:val="26"/>
        </w:rPr>
        <w:t xml:space="preserve">The landowner would need to determine whether the contractor is able to adopt reasonable safety precautions to protect against the known hazard and, if not, to remedy the hazard. </w:t>
      </w:r>
      <w:r w:rsidR="0057499D">
        <w:rPr>
          <w:bCs/>
          <w:iCs/>
          <w:szCs w:val="26"/>
        </w:rPr>
        <w:t xml:space="preserve"> </w:t>
      </w:r>
      <w:r w:rsidR="0057499D" w:rsidRPr="0057499D">
        <w:rPr>
          <w:bCs/>
          <w:iCs/>
          <w:szCs w:val="26"/>
        </w:rPr>
        <w:t>This makes little sense given that a landowner typically hires an independent contractor precisely because of the contractor</w:t>
      </w:r>
      <w:r w:rsidR="0057499D">
        <w:rPr>
          <w:bCs/>
          <w:iCs/>
          <w:szCs w:val="26"/>
        </w:rPr>
        <w:t>’</w:t>
      </w:r>
      <w:r w:rsidR="0057499D" w:rsidRPr="0057499D">
        <w:rPr>
          <w:bCs/>
          <w:iCs/>
          <w:szCs w:val="26"/>
        </w:rPr>
        <w:t>s expertise in the contracted-for work and the hirer usually has no right to interfere with the contractor</w:t>
      </w:r>
      <w:r w:rsidR="0057499D">
        <w:rPr>
          <w:bCs/>
          <w:iCs/>
          <w:szCs w:val="26"/>
        </w:rPr>
        <w:t>’</w:t>
      </w:r>
      <w:r w:rsidR="0057499D" w:rsidRPr="0057499D">
        <w:rPr>
          <w:bCs/>
          <w:iCs/>
          <w:szCs w:val="26"/>
        </w:rPr>
        <w:t>s decisions regarding safety or otherwise control the contractor</w:t>
      </w:r>
      <w:r w:rsidR="0057499D">
        <w:rPr>
          <w:bCs/>
          <w:iCs/>
          <w:szCs w:val="26"/>
        </w:rPr>
        <w:t>’</w:t>
      </w:r>
      <w:r w:rsidR="0057499D" w:rsidRPr="0057499D">
        <w:rPr>
          <w:bCs/>
          <w:iCs/>
          <w:szCs w:val="26"/>
        </w:rPr>
        <w:t xml:space="preserve">s work. </w:t>
      </w:r>
      <w:r w:rsidR="0057499D">
        <w:rPr>
          <w:bCs/>
          <w:iCs/>
          <w:szCs w:val="26"/>
        </w:rPr>
        <w:t xml:space="preserve"> </w:t>
      </w:r>
      <w:r w:rsidR="003E70F0">
        <w:rPr>
          <w:bCs/>
          <w:iCs/>
          <w:szCs w:val="26"/>
        </w:rPr>
        <w:t xml:space="preserve">[Citations.]  </w:t>
      </w:r>
      <w:r w:rsidR="0057499D" w:rsidRPr="0057499D">
        <w:rPr>
          <w:bCs/>
          <w:iCs/>
          <w:szCs w:val="26"/>
        </w:rPr>
        <w:t xml:space="preserve">Our conclusion in </w:t>
      </w:r>
      <w:r w:rsidR="0057499D" w:rsidRPr="0018271B">
        <w:rPr>
          <w:bCs/>
          <w:i/>
          <w:szCs w:val="26"/>
        </w:rPr>
        <w:t>Kinsman</w:t>
      </w:r>
      <w:r w:rsidR="0057499D" w:rsidRPr="0057499D">
        <w:rPr>
          <w:bCs/>
          <w:iCs/>
          <w:szCs w:val="26"/>
        </w:rPr>
        <w:t xml:space="preserve"> that a landowner delegates all responsibility to independent contractors to ‘</w:t>
      </w:r>
      <w:r w:rsidR="0018271B">
        <w:rPr>
          <w:bCs/>
          <w:iCs/>
          <w:szCs w:val="26"/>
        </w:rPr>
        <w:t xml:space="preserve"> “</w:t>
      </w:r>
      <w:r w:rsidR="0057499D" w:rsidRPr="0057499D">
        <w:rPr>
          <w:bCs/>
          <w:iCs/>
          <w:szCs w:val="26"/>
        </w:rPr>
        <w:t>protect themselves against</w:t>
      </w:r>
      <w:r w:rsidR="0018271B">
        <w:rPr>
          <w:bCs/>
          <w:iCs/>
          <w:szCs w:val="26"/>
        </w:rPr>
        <w:t>” ’</w:t>
      </w:r>
      <w:r w:rsidR="0057499D" w:rsidRPr="0057499D">
        <w:rPr>
          <w:bCs/>
          <w:iCs/>
          <w:szCs w:val="26"/>
        </w:rPr>
        <w:t xml:space="preserve"> a known hazard (</w:t>
      </w:r>
      <w:r w:rsidR="0057499D" w:rsidRPr="0018271B">
        <w:rPr>
          <w:bCs/>
          <w:i/>
          <w:szCs w:val="26"/>
        </w:rPr>
        <w:t>Kinsman</w:t>
      </w:r>
      <w:r w:rsidR="0057499D" w:rsidRPr="0057499D">
        <w:rPr>
          <w:bCs/>
          <w:iCs/>
          <w:szCs w:val="26"/>
        </w:rPr>
        <w:t>, at p.</w:t>
      </w:r>
      <w:r w:rsidR="0018271B">
        <w:rPr>
          <w:bCs/>
          <w:iCs/>
          <w:szCs w:val="26"/>
        </w:rPr>
        <w:t> </w:t>
      </w:r>
      <w:r w:rsidR="0057499D" w:rsidRPr="0057499D">
        <w:rPr>
          <w:bCs/>
          <w:iCs/>
          <w:szCs w:val="26"/>
        </w:rPr>
        <w:t xml:space="preserve">674, italics omitted), coupled with the principles underlying </w:t>
      </w:r>
      <w:proofErr w:type="spellStart"/>
      <w:r w:rsidR="0057499D" w:rsidRPr="0018271B">
        <w:rPr>
          <w:bCs/>
          <w:i/>
          <w:szCs w:val="26"/>
        </w:rPr>
        <w:t>Privette</w:t>
      </w:r>
      <w:r w:rsidR="0057499D" w:rsidRPr="0057499D">
        <w:rPr>
          <w:bCs/>
          <w:iCs/>
          <w:szCs w:val="26"/>
        </w:rPr>
        <w:t>’s</w:t>
      </w:r>
      <w:proofErr w:type="spellEnd"/>
      <w:r w:rsidR="0057499D" w:rsidRPr="0057499D">
        <w:rPr>
          <w:bCs/>
          <w:iCs/>
          <w:szCs w:val="26"/>
        </w:rPr>
        <w:t xml:space="preserve"> straightforward rule that a hirer of an independent contractor delegates to the contractor all responsibility for workplace safety (see </w:t>
      </w:r>
      <w:proofErr w:type="spellStart"/>
      <w:r w:rsidR="0057499D" w:rsidRPr="0018271B">
        <w:rPr>
          <w:bCs/>
          <w:i/>
          <w:szCs w:val="26"/>
        </w:rPr>
        <w:t>Privette</w:t>
      </w:r>
      <w:proofErr w:type="spellEnd"/>
      <w:r w:rsidR="0057499D" w:rsidRPr="0057499D">
        <w:rPr>
          <w:bCs/>
          <w:iCs/>
          <w:szCs w:val="26"/>
        </w:rPr>
        <w:t>, at p.</w:t>
      </w:r>
      <w:r w:rsidR="001B3E29">
        <w:rPr>
          <w:bCs/>
          <w:iCs/>
          <w:szCs w:val="26"/>
        </w:rPr>
        <w:t> </w:t>
      </w:r>
      <w:r w:rsidR="0057499D" w:rsidRPr="0057499D">
        <w:rPr>
          <w:bCs/>
          <w:iCs/>
          <w:szCs w:val="26"/>
        </w:rPr>
        <w:t xml:space="preserve">693; </w:t>
      </w:r>
      <w:proofErr w:type="spellStart"/>
      <w:r w:rsidR="0057499D" w:rsidRPr="0018271B">
        <w:rPr>
          <w:bCs/>
          <w:i/>
          <w:szCs w:val="26"/>
        </w:rPr>
        <w:t>SeaBright</w:t>
      </w:r>
      <w:proofErr w:type="spellEnd"/>
      <w:r w:rsidR="0057499D" w:rsidRPr="0057499D">
        <w:rPr>
          <w:bCs/>
          <w:iCs/>
          <w:szCs w:val="26"/>
        </w:rPr>
        <w:t xml:space="preserve">, </w:t>
      </w:r>
      <w:r w:rsidR="0057499D" w:rsidRPr="0018271B">
        <w:rPr>
          <w:bCs/>
          <w:i/>
          <w:szCs w:val="26"/>
        </w:rPr>
        <w:t>supra</w:t>
      </w:r>
      <w:r w:rsidR="0057499D" w:rsidRPr="0057499D">
        <w:rPr>
          <w:bCs/>
          <w:iCs/>
          <w:szCs w:val="26"/>
        </w:rPr>
        <w:t>, 52</w:t>
      </w:r>
      <w:r w:rsidR="0018271B">
        <w:rPr>
          <w:bCs/>
          <w:iCs/>
          <w:szCs w:val="26"/>
        </w:rPr>
        <w:t> </w:t>
      </w:r>
      <w:r w:rsidR="0057499D" w:rsidRPr="0057499D">
        <w:rPr>
          <w:bCs/>
          <w:iCs/>
          <w:szCs w:val="26"/>
        </w:rPr>
        <w:t>Cal.4th at p. 597), leads us to reject a rule that would allow a contractor to recover in tort so long as it proves it was unable to adopt reasonable safety precautions in the face of a known hazard.</w:t>
      </w:r>
      <w:r w:rsidR="0018271B">
        <w:rPr>
          <w:bCs/>
          <w:iCs/>
          <w:szCs w:val="26"/>
        </w:rPr>
        <w:t>”  (</w:t>
      </w:r>
      <w:r w:rsidR="0057499D" w:rsidRPr="0018271B">
        <w:rPr>
          <w:bCs/>
          <w:i/>
          <w:szCs w:val="26"/>
        </w:rPr>
        <w:t>Gonzalez</w:t>
      </w:r>
      <w:r w:rsidR="0018271B">
        <w:rPr>
          <w:bCs/>
          <w:iCs/>
          <w:szCs w:val="26"/>
        </w:rPr>
        <w:t xml:space="preserve">, at pp. </w:t>
      </w:r>
      <w:r w:rsidR="0057499D" w:rsidRPr="0057499D">
        <w:rPr>
          <w:bCs/>
          <w:iCs/>
          <w:szCs w:val="26"/>
        </w:rPr>
        <w:t>45–46</w:t>
      </w:r>
      <w:r w:rsidR="0018271B">
        <w:rPr>
          <w:bCs/>
          <w:iCs/>
          <w:szCs w:val="26"/>
        </w:rPr>
        <w:t>.)</w:t>
      </w:r>
    </w:p>
    <w:p w14:paraId="0230F0D0" w14:textId="77777777" w:rsidR="007D20A3" w:rsidRDefault="003E2177" w:rsidP="000978CE">
      <w:pPr>
        <w:rPr>
          <w:bCs/>
          <w:iCs/>
          <w:szCs w:val="26"/>
        </w:rPr>
      </w:pPr>
      <w:r>
        <w:rPr>
          <w:bCs/>
          <w:iCs/>
          <w:szCs w:val="26"/>
        </w:rPr>
        <w:tab/>
        <w:t xml:space="preserve">In so concluding, the Supreme Court rejected the plaintiff’s </w:t>
      </w:r>
      <w:r w:rsidR="00935AB8">
        <w:rPr>
          <w:bCs/>
          <w:iCs/>
          <w:szCs w:val="26"/>
        </w:rPr>
        <w:t xml:space="preserve">contention that the </w:t>
      </w:r>
      <w:proofErr w:type="spellStart"/>
      <w:r w:rsidR="000978CE" w:rsidRPr="000978CE">
        <w:rPr>
          <w:bCs/>
          <w:i/>
          <w:szCs w:val="26"/>
        </w:rPr>
        <w:t>Privette</w:t>
      </w:r>
      <w:proofErr w:type="spellEnd"/>
      <w:r w:rsidR="000978CE" w:rsidRPr="000978CE">
        <w:rPr>
          <w:bCs/>
          <w:iCs/>
          <w:szCs w:val="26"/>
        </w:rPr>
        <w:t xml:space="preserve"> doctrine applies only where the independent contractor is specifically tasked with repairing the hazard or where the hazard was created by the work for which the contractor was retained. </w:t>
      </w:r>
      <w:r w:rsidR="000978CE">
        <w:rPr>
          <w:bCs/>
          <w:iCs/>
          <w:szCs w:val="26"/>
        </w:rPr>
        <w:t xml:space="preserve"> </w:t>
      </w:r>
      <w:r w:rsidR="00EF111B">
        <w:rPr>
          <w:bCs/>
          <w:iCs/>
          <w:szCs w:val="26"/>
        </w:rPr>
        <w:t>The court explained:  “</w:t>
      </w:r>
      <w:r w:rsidR="000978CE" w:rsidRPr="000978CE">
        <w:rPr>
          <w:bCs/>
          <w:iCs/>
          <w:szCs w:val="26"/>
        </w:rPr>
        <w:t>Gonzalez</w:t>
      </w:r>
      <w:r w:rsidR="00EF111B">
        <w:rPr>
          <w:bCs/>
          <w:iCs/>
          <w:szCs w:val="26"/>
        </w:rPr>
        <w:t>’</w:t>
      </w:r>
      <w:r w:rsidR="000978CE" w:rsidRPr="000978CE">
        <w:rPr>
          <w:bCs/>
          <w:iCs/>
          <w:szCs w:val="26"/>
        </w:rPr>
        <w:t xml:space="preserve">s argument goes well beyond the rule adopted by the Court of Appeal and fails on its merits for at least two reasons. </w:t>
      </w:r>
      <w:r w:rsidR="00EF111B">
        <w:rPr>
          <w:bCs/>
          <w:iCs/>
          <w:szCs w:val="26"/>
        </w:rPr>
        <w:t xml:space="preserve"> </w:t>
      </w:r>
      <w:r w:rsidR="000978CE" w:rsidRPr="000978CE">
        <w:rPr>
          <w:bCs/>
          <w:iCs/>
          <w:szCs w:val="26"/>
        </w:rPr>
        <w:t>First, Gonzalez</w:t>
      </w:r>
      <w:r w:rsidR="00EF111B">
        <w:rPr>
          <w:bCs/>
          <w:iCs/>
          <w:szCs w:val="26"/>
        </w:rPr>
        <w:t>’</w:t>
      </w:r>
      <w:r w:rsidR="000978CE" w:rsidRPr="000978CE">
        <w:rPr>
          <w:bCs/>
          <w:iCs/>
          <w:szCs w:val="26"/>
        </w:rPr>
        <w:t xml:space="preserve">s view of the risk inherent to his work is overly narrow: It cannot be seriously disputed that cleaning a skylight will always entail at least some risk of falling off a roof. </w:t>
      </w:r>
      <w:r w:rsidR="00EF111B">
        <w:rPr>
          <w:bCs/>
          <w:iCs/>
          <w:szCs w:val="26"/>
        </w:rPr>
        <w:t xml:space="preserve"> </w:t>
      </w:r>
      <w:r w:rsidR="000978CE" w:rsidRPr="000978CE">
        <w:rPr>
          <w:bCs/>
          <w:iCs/>
          <w:szCs w:val="26"/>
        </w:rPr>
        <w:t xml:space="preserve">Second, </w:t>
      </w:r>
      <w:r w:rsidR="000978CE" w:rsidRPr="000978CE">
        <w:rPr>
          <w:bCs/>
          <w:iCs/>
          <w:szCs w:val="26"/>
        </w:rPr>
        <w:lastRenderedPageBreak/>
        <w:t>Gonzalez</w:t>
      </w:r>
      <w:r w:rsidR="00EF111B">
        <w:rPr>
          <w:bCs/>
          <w:iCs/>
          <w:szCs w:val="26"/>
        </w:rPr>
        <w:t>’</w:t>
      </w:r>
      <w:r w:rsidR="000978CE" w:rsidRPr="000978CE">
        <w:rPr>
          <w:bCs/>
          <w:iCs/>
          <w:szCs w:val="26"/>
        </w:rPr>
        <w:t xml:space="preserve">s position is contrary to our holdings in </w:t>
      </w:r>
      <w:proofErr w:type="spellStart"/>
      <w:r w:rsidR="000978CE" w:rsidRPr="00EF111B">
        <w:rPr>
          <w:bCs/>
          <w:i/>
          <w:szCs w:val="26"/>
        </w:rPr>
        <w:t>Tverberg</w:t>
      </w:r>
      <w:proofErr w:type="spellEnd"/>
      <w:r w:rsidR="00C66297" w:rsidRPr="008A5373">
        <w:rPr>
          <w:bCs/>
          <w:iCs/>
          <w:szCs w:val="26"/>
          <w:vertAlign w:val="superscript"/>
        </w:rPr>
        <w:t>[</w:t>
      </w:r>
      <w:r>
        <w:rPr>
          <w:rStyle w:val="FootnoteReference"/>
          <w:bCs/>
          <w:iCs/>
          <w:szCs w:val="26"/>
        </w:rPr>
        <w:footnoteReference w:id="3"/>
      </w:r>
      <w:r w:rsidR="00C66297" w:rsidRPr="008A5373">
        <w:rPr>
          <w:bCs/>
          <w:iCs/>
          <w:szCs w:val="26"/>
          <w:vertAlign w:val="superscript"/>
        </w:rPr>
        <w:t>]</w:t>
      </w:r>
      <w:r w:rsidR="008D23E9">
        <w:rPr>
          <w:bCs/>
          <w:iCs/>
          <w:szCs w:val="26"/>
        </w:rPr>
        <w:t xml:space="preserve"> </w:t>
      </w:r>
      <w:r w:rsidR="000978CE" w:rsidRPr="000978CE">
        <w:rPr>
          <w:bCs/>
          <w:iCs/>
          <w:szCs w:val="26"/>
        </w:rPr>
        <w:t xml:space="preserve">and </w:t>
      </w:r>
      <w:r w:rsidR="000978CE" w:rsidRPr="00EF111B">
        <w:rPr>
          <w:bCs/>
          <w:i/>
          <w:szCs w:val="26"/>
        </w:rPr>
        <w:t>Kinsman</w:t>
      </w:r>
      <w:r w:rsidR="000978CE" w:rsidRPr="000978CE">
        <w:rPr>
          <w:bCs/>
          <w:iCs/>
          <w:szCs w:val="26"/>
        </w:rPr>
        <w:t>.</w:t>
      </w:r>
      <w:r w:rsidR="00540F4E">
        <w:rPr>
          <w:bCs/>
          <w:iCs/>
          <w:szCs w:val="26"/>
        </w:rPr>
        <w:t xml:space="preserve"> </w:t>
      </w:r>
      <w:r w:rsidR="000978CE" w:rsidRPr="000978CE">
        <w:rPr>
          <w:bCs/>
          <w:iCs/>
          <w:szCs w:val="26"/>
        </w:rPr>
        <w:t xml:space="preserve"> We recognized in </w:t>
      </w:r>
      <w:proofErr w:type="spellStart"/>
      <w:r w:rsidR="000978CE" w:rsidRPr="008D23E9">
        <w:rPr>
          <w:bCs/>
          <w:i/>
          <w:szCs w:val="26"/>
        </w:rPr>
        <w:t>Tverberg</w:t>
      </w:r>
      <w:proofErr w:type="spellEnd"/>
      <w:r w:rsidR="000978CE" w:rsidRPr="000978CE">
        <w:rPr>
          <w:bCs/>
          <w:iCs/>
          <w:szCs w:val="26"/>
        </w:rPr>
        <w:t xml:space="preserve"> that the bollard holes that caused the independent contractor</w:t>
      </w:r>
      <w:r w:rsidR="001B6935">
        <w:rPr>
          <w:bCs/>
          <w:iCs/>
          <w:szCs w:val="26"/>
        </w:rPr>
        <w:t>’</w:t>
      </w:r>
      <w:r w:rsidR="000978CE" w:rsidRPr="000978CE">
        <w:rPr>
          <w:bCs/>
          <w:iCs/>
          <w:szCs w:val="26"/>
        </w:rPr>
        <w:t xml:space="preserve">s injury were wholly unrelated to his task of constructing a metal canopy. </w:t>
      </w:r>
      <w:r w:rsidR="008D23E9">
        <w:rPr>
          <w:bCs/>
          <w:iCs/>
          <w:szCs w:val="26"/>
        </w:rPr>
        <w:t xml:space="preserve"> </w:t>
      </w:r>
      <w:r w:rsidR="000978CE" w:rsidRPr="000978CE">
        <w:rPr>
          <w:bCs/>
          <w:iCs/>
          <w:szCs w:val="26"/>
        </w:rPr>
        <w:t>(</w:t>
      </w:r>
      <w:proofErr w:type="spellStart"/>
      <w:r w:rsidR="000978CE" w:rsidRPr="008D23E9">
        <w:rPr>
          <w:bCs/>
          <w:i/>
          <w:szCs w:val="26"/>
        </w:rPr>
        <w:t>Tverberg</w:t>
      </w:r>
      <w:proofErr w:type="spellEnd"/>
      <w:r w:rsidR="000978CE" w:rsidRPr="000978CE">
        <w:rPr>
          <w:bCs/>
          <w:iCs/>
          <w:szCs w:val="26"/>
        </w:rPr>
        <w:t xml:space="preserve">, </w:t>
      </w:r>
      <w:r w:rsidR="000978CE" w:rsidRPr="008D23E9">
        <w:rPr>
          <w:bCs/>
          <w:i/>
          <w:szCs w:val="26"/>
        </w:rPr>
        <w:t>supra</w:t>
      </w:r>
      <w:r w:rsidR="000978CE" w:rsidRPr="000978CE">
        <w:rPr>
          <w:bCs/>
          <w:iCs/>
          <w:szCs w:val="26"/>
        </w:rPr>
        <w:t>, 49</w:t>
      </w:r>
      <w:r w:rsidR="00AF422B">
        <w:rPr>
          <w:bCs/>
          <w:iCs/>
          <w:szCs w:val="26"/>
        </w:rPr>
        <w:t> </w:t>
      </w:r>
      <w:r w:rsidR="000978CE" w:rsidRPr="000978CE">
        <w:rPr>
          <w:bCs/>
          <w:iCs/>
          <w:szCs w:val="26"/>
        </w:rPr>
        <w:t>Cal.4th at p.</w:t>
      </w:r>
      <w:r w:rsidR="008D23E9">
        <w:rPr>
          <w:bCs/>
          <w:iCs/>
          <w:szCs w:val="26"/>
        </w:rPr>
        <w:t> </w:t>
      </w:r>
      <w:r w:rsidR="000978CE" w:rsidRPr="000978CE">
        <w:rPr>
          <w:bCs/>
          <w:iCs/>
          <w:szCs w:val="26"/>
        </w:rPr>
        <w:t>523 [</w:t>
      </w:r>
      <w:r w:rsidR="008D23E9">
        <w:rPr>
          <w:bCs/>
          <w:iCs/>
          <w:szCs w:val="26"/>
        </w:rPr>
        <w:t>‘</w:t>
      </w:r>
      <w:r w:rsidR="000978CE" w:rsidRPr="000978CE">
        <w:rPr>
          <w:bCs/>
          <w:iCs/>
          <w:szCs w:val="26"/>
        </w:rPr>
        <w:t>The bollards had no connection to the building of the metal canopy, and [the independent contractor] had never before seen bollard holes at a canopy installation</w:t>
      </w:r>
      <w:r w:rsidR="008D23E9">
        <w:rPr>
          <w:bCs/>
          <w:iCs/>
          <w:szCs w:val="26"/>
        </w:rPr>
        <w:t>’</w:t>
      </w:r>
      <w:r w:rsidR="000978CE" w:rsidRPr="000978CE">
        <w:rPr>
          <w:bCs/>
          <w:iCs/>
          <w:szCs w:val="26"/>
        </w:rPr>
        <w:t xml:space="preserve">].) </w:t>
      </w:r>
      <w:r w:rsidR="008D23E9">
        <w:rPr>
          <w:bCs/>
          <w:iCs/>
          <w:szCs w:val="26"/>
        </w:rPr>
        <w:t xml:space="preserve"> </w:t>
      </w:r>
      <w:r w:rsidR="000978CE" w:rsidRPr="000978CE">
        <w:rPr>
          <w:bCs/>
          <w:iCs/>
          <w:szCs w:val="26"/>
        </w:rPr>
        <w:t xml:space="preserve">The contractor also did not create the hazard; the holes were dug by a different subcontractor for a different purpose. </w:t>
      </w:r>
      <w:r w:rsidR="008D23E9">
        <w:rPr>
          <w:bCs/>
          <w:iCs/>
          <w:szCs w:val="26"/>
        </w:rPr>
        <w:t xml:space="preserve"> </w:t>
      </w:r>
      <w:r w:rsidR="000978CE" w:rsidRPr="000978CE">
        <w:rPr>
          <w:bCs/>
          <w:iCs/>
          <w:szCs w:val="26"/>
        </w:rPr>
        <w:t>(</w:t>
      </w:r>
      <w:r w:rsidR="000978CE" w:rsidRPr="008D23E9">
        <w:rPr>
          <w:bCs/>
          <w:i/>
          <w:szCs w:val="26"/>
        </w:rPr>
        <w:t>Id</w:t>
      </w:r>
      <w:r w:rsidR="000978CE" w:rsidRPr="000978CE">
        <w:rPr>
          <w:bCs/>
          <w:iCs/>
          <w:szCs w:val="26"/>
        </w:rPr>
        <w:t>. at p.</w:t>
      </w:r>
      <w:r w:rsidR="00AF422B">
        <w:rPr>
          <w:bCs/>
          <w:iCs/>
          <w:szCs w:val="26"/>
        </w:rPr>
        <w:t> </w:t>
      </w:r>
      <w:r w:rsidR="000978CE" w:rsidRPr="000978CE">
        <w:rPr>
          <w:bCs/>
          <w:iCs/>
          <w:szCs w:val="26"/>
        </w:rPr>
        <w:t xml:space="preserve">522.) </w:t>
      </w:r>
      <w:r w:rsidR="008D23E9">
        <w:rPr>
          <w:bCs/>
          <w:iCs/>
          <w:szCs w:val="26"/>
        </w:rPr>
        <w:t xml:space="preserve"> </w:t>
      </w:r>
      <w:r w:rsidR="000978CE" w:rsidRPr="000978CE">
        <w:rPr>
          <w:bCs/>
          <w:iCs/>
          <w:szCs w:val="26"/>
        </w:rPr>
        <w:t xml:space="preserve">Nevertheless, we determined that the doctrine of peculiar risk does not apply when an independent contractor </w:t>
      </w:r>
      <w:r w:rsidR="008D23E9">
        <w:rPr>
          <w:bCs/>
          <w:iCs/>
          <w:szCs w:val="26"/>
        </w:rPr>
        <w:t>‘</w:t>
      </w:r>
      <w:r w:rsidR="000978CE" w:rsidRPr="000978CE">
        <w:rPr>
          <w:bCs/>
          <w:iCs/>
          <w:szCs w:val="26"/>
        </w:rPr>
        <w:t xml:space="preserve">seeks to hold the general contractor vicariously liable for injuries arising from risks inherent in the nature </w:t>
      </w:r>
      <w:r w:rsidR="000978CE" w:rsidRPr="00320CFF">
        <w:rPr>
          <w:bCs/>
          <w:i/>
          <w:szCs w:val="26"/>
        </w:rPr>
        <w:t>or the location</w:t>
      </w:r>
      <w:r w:rsidR="000978CE" w:rsidRPr="000978CE">
        <w:rPr>
          <w:bCs/>
          <w:iCs/>
          <w:szCs w:val="26"/>
        </w:rPr>
        <w:t xml:space="preserve"> of the hired work over which the independent contractor has, through the chain of delegation, been granted control.</w:t>
      </w:r>
      <w:r w:rsidR="008D23E9">
        <w:rPr>
          <w:bCs/>
          <w:iCs/>
          <w:szCs w:val="26"/>
        </w:rPr>
        <w:t>’</w:t>
      </w:r>
      <w:r w:rsidR="000978CE" w:rsidRPr="000978CE">
        <w:rPr>
          <w:bCs/>
          <w:iCs/>
          <w:szCs w:val="26"/>
        </w:rPr>
        <w:t xml:space="preserve"> </w:t>
      </w:r>
      <w:r w:rsidR="007B08F6">
        <w:rPr>
          <w:bCs/>
          <w:iCs/>
          <w:szCs w:val="26"/>
        </w:rPr>
        <w:t xml:space="preserve"> </w:t>
      </w:r>
      <w:r w:rsidR="000978CE" w:rsidRPr="000978CE">
        <w:rPr>
          <w:bCs/>
          <w:iCs/>
          <w:szCs w:val="26"/>
        </w:rPr>
        <w:t>(</w:t>
      </w:r>
      <w:r w:rsidR="000978CE" w:rsidRPr="007B08F6">
        <w:rPr>
          <w:bCs/>
          <w:i/>
          <w:szCs w:val="26"/>
        </w:rPr>
        <w:t>Id</w:t>
      </w:r>
      <w:r w:rsidR="000978CE" w:rsidRPr="000978CE">
        <w:rPr>
          <w:bCs/>
          <w:iCs/>
          <w:szCs w:val="26"/>
        </w:rPr>
        <w:t xml:space="preserve">. at pp. 528–529, italics added.) </w:t>
      </w:r>
      <w:r w:rsidR="00320CFF">
        <w:rPr>
          <w:bCs/>
          <w:iCs/>
          <w:szCs w:val="26"/>
        </w:rPr>
        <w:t xml:space="preserve"> </w:t>
      </w:r>
      <w:r w:rsidR="000978CE" w:rsidRPr="000978CE">
        <w:rPr>
          <w:bCs/>
          <w:iCs/>
          <w:szCs w:val="26"/>
        </w:rPr>
        <w:t xml:space="preserve">Since the proximity of the bollard holes to the location where the canopy was to be constructed made </w:t>
      </w:r>
      <w:r w:rsidR="00320CFF">
        <w:rPr>
          <w:bCs/>
          <w:iCs/>
          <w:szCs w:val="26"/>
        </w:rPr>
        <w:t>‘</w:t>
      </w:r>
      <w:r w:rsidR="000978CE" w:rsidRPr="000978CE">
        <w:rPr>
          <w:bCs/>
          <w:iCs/>
          <w:szCs w:val="26"/>
        </w:rPr>
        <w:t>the possibility of falling into one of those holes .</w:t>
      </w:r>
      <w:r w:rsidR="004C2EBD">
        <w:rPr>
          <w:bCs/>
          <w:iCs/>
          <w:szCs w:val="26"/>
        </w:rPr>
        <w:t xml:space="preserve"> </w:t>
      </w:r>
      <w:r w:rsidR="000978CE" w:rsidRPr="000978CE">
        <w:rPr>
          <w:bCs/>
          <w:iCs/>
          <w:szCs w:val="26"/>
        </w:rPr>
        <w:t>.</w:t>
      </w:r>
      <w:r w:rsidR="004C2EBD">
        <w:rPr>
          <w:bCs/>
          <w:iCs/>
          <w:szCs w:val="26"/>
        </w:rPr>
        <w:t xml:space="preserve"> </w:t>
      </w:r>
      <w:r w:rsidR="000978CE" w:rsidRPr="000978CE">
        <w:rPr>
          <w:bCs/>
          <w:iCs/>
          <w:szCs w:val="26"/>
        </w:rPr>
        <w:t>. an inherent risk of” the contractor</w:t>
      </w:r>
      <w:r w:rsidR="00E434B1">
        <w:rPr>
          <w:bCs/>
          <w:iCs/>
          <w:szCs w:val="26"/>
        </w:rPr>
        <w:t>’</w:t>
      </w:r>
      <w:r w:rsidR="000978CE" w:rsidRPr="000978CE">
        <w:rPr>
          <w:bCs/>
          <w:iCs/>
          <w:szCs w:val="26"/>
        </w:rPr>
        <w:t xml:space="preserve">s work, the contractor—and not the hirer—was responsible for protecting himself against that risk. </w:t>
      </w:r>
      <w:r w:rsidR="00320CFF">
        <w:rPr>
          <w:bCs/>
          <w:iCs/>
          <w:szCs w:val="26"/>
        </w:rPr>
        <w:t xml:space="preserve"> </w:t>
      </w:r>
      <w:r w:rsidR="000978CE" w:rsidRPr="000978CE">
        <w:rPr>
          <w:bCs/>
          <w:iCs/>
          <w:szCs w:val="26"/>
        </w:rPr>
        <w:t>(</w:t>
      </w:r>
      <w:r w:rsidR="000978CE" w:rsidRPr="00320CFF">
        <w:rPr>
          <w:bCs/>
          <w:i/>
          <w:szCs w:val="26"/>
        </w:rPr>
        <w:t>Id</w:t>
      </w:r>
      <w:r w:rsidR="000978CE" w:rsidRPr="000978CE">
        <w:rPr>
          <w:bCs/>
          <w:iCs/>
          <w:szCs w:val="26"/>
        </w:rPr>
        <w:t>. at p.</w:t>
      </w:r>
      <w:r w:rsidR="00320CFF">
        <w:rPr>
          <w:bCs/>
          <w:iCs/>
          <w:szCs w:val="26"/>
        </w:rPr>
        <w:t> </w:t>
      </w:r>
      <w:r w:rsidR="000978CE" w:rsidRPr="000978CE">
        <w:rPr>
          <w:bCs/>
          <w:iCs/>
          <w:szCs w:val="26"/>
        </w:rPr>
        <w:t xml:space="preserve">529.) </w:t>
      </w:r>
      <w:r w:rsidR="00320CFF">
        <w:rPr>
          <w:bCs/>
          <w:iCs/>
          <w:szCs w:val="26"/>
        </w:rPr>
        <w:t xml:space="preserve"> </w:t>
      </w:r>
      <w:r w:rsidR="000978CE" w:rsidRPr="000978CE">
        <w:rPr>
          <w:bCs/>
          <w:iCs/>
          <w:szCs w:val="26"/>
        </w:rPr>
        <w:t xml:space="preserve">Similarly, in </w:t>
      </w:r>
      <w:r w:rsidR="000978CE" w:rsidRPr="00320CFF">
        <w:rPr>
          <w:bCs/>
          <w:i/>
          <w:szCs w:val="26"/>
        </w:rPr>
        <w:t>Kinsman</w:t>
      </w:r>
      <w:r w:rsidR="000978CE" w:rsidRPr="000978CE">
        <w:rPr>
          <w:bCs/>
          <w:iCs/>
          <w:szCs w:val="26"/>
        </w:rPr>
        <w:t xml:space="preserve">, the independent contractor was hired to install scaffolding and not to remove or remediate the asbestos hazard. </w:t>
      </w:r>
      <w:r w:rsidR="00320CFF">
        <w:rPr>
          <w:bCs/>
          <w:iCs/>
          <w:szCs w:val="26"/>
        </w:rPr>
        <w:t xml:space="preserve"> </w:t>
      </w:r>
      <w:r w:rsidR="000978CE" w:rsidRPr="000978CE">
        <w:rPr>
          <w:bCs/>
          <w:iCs/>
          <w:szCs w:val="26"/>
        </w:rPr>
        <w:t>(</w:t>
      </w:r>
      <w:r w:rsidR="000978CE" w:rsidRPr="00320CFF">
        <w:rPr>
          <w:bCs/>
          <w:i/>
          <w:szCs w:val="26"/>
        </w:rPr>
        <w:t>Kinsman</w:t>
      </w:r>
      <w:r w:rsidR="000978CE" w:rsidRPr="000978CE">
        <w:rPr>
          <w:bCs/>
          <w:iCs/>
          <w:szCs w:val="26"/>
        </w:rPr>
        <w:t xml:space="preserve">, </w:t>
      </w:r>
      <w:r w:rsidR="000978CE" w:rsidRPr="00320CFF">
        <w:rPr>
          <w:bCs/>
          <w:i/>
          <w:szCs w:val="26"/>
        </w:rPr>
        <w:t>supra</w:t>
      </w:r>
      <w:r w:rsidR="000978CE" w:rsidRPr="000978CE">
        <w:rPr>
          <w:bCs/>
          <w:iCs/>
          <w:szCs w:val="26"/>
        </w:rPr>
        <w:t xml:space="preserve">, 37 Cal.4th at p. 664.) </w:t>
      </w:r>
      <w:r w:rsidR="00320CFF">
        <w:rPr>
          <w:bCs/>
          <w:iCs/>
          <w:szCs w:val="26"/>
        </w:rPr>
        <w:t xml:space="preserve"> </w:t>
      </w:r>
      <w:r w:rsidR="000978CE" w:rsidRPr="000978CE">
        <w:rPr>
          <w:bCs/>
          <w:iCs/>
          <w:szCs w:val="26"/>
        </w:rPr>
        <w:t>The plaintiff</w:t>
      </w:r>
      <w:r w:rsidR="00320CFF">
        <w:rPr>
          <w:bCs/>
          <w:iCs/>
          <w:szCs w:val="26"/>
        </w:rPr>
        <w:t>’</w:t>
      </w:r>
      <w:r w:rsidR="000978CE" w:rsidRPr="000978CE">
        <w:rPr>
          <w:bCs/>
          <w:iCs/>
          <w:szCs w:val="26"/>
        </w:rPr>
        <w:t xml:space="preserve">s exposure to asbestos was also not caused by his work; instead, the work of other contractors generated asbestos dust </w:t>
      </w:r>
      <w:r w:rsidR="000978CE" w:rsidRPr="000978CE">
        <w:rPr>
          <w:bCs/>
          <w:iCs/>
          <w:szCs w:val="26"/>
        </w:rPr>
        <w:lastRenderedPageBreak/>
        <w:t xml:space="preserve">and debris to which the plaintiff was exposed. </w:t>
      </w:r>
      <w:r w:rsidR="00320CFF">
        <w:rPr>
          <w:bCs/>
          <w:iCs/>
          <w:szCs w:val="26"/>
        </w:rPr>
        <w:t xml:space="preserve"> </w:t>
      </w:r>
      <w:r w:rsidR="000978CE" w:rsidRPr="000978CE">
        <w:rPr>
          <w:bCs/>
          <w:iCs/>
          <w:szCs w:val="26"/>
        </w:rPr>
        <w:t>(</w:t>
      </w:r>
      <w:r w:rsidR="000978CE" w:rsidRPr="00320CFF">
        <w:rPr>
          <w:bCs/>
          <w:i/>
          <w:szCs w:val="26"/>
        </w:rPr>
        <w:t>Ibid</w:t>
      </w:r>
      <w:r w:rsidR="000978CE" w:rsidRPr="000978CE">
        <w:rPr>
          <w:bCs/>
          <w:iCs/>
          <w:szCs w:val="26"/>
        </w:rPr>
        <w:t xml:space="preserve">.) </w:t>
      </w:r>
      <w:r w:rsidR="00320CFF">
        <w:rPr>
          <w:bCs/>
          <w:iCs/>
          <w:szCs w:val="26"/>
        </w:rPr>
        <w:t xml:space="preserve"> </w:t>
      </w:r>
      <w:r w:rsidR="000978CE" w:rsidRPr="000978CE">
        <w:rPr>
          <w:bCs/>
          <w:iCs/>
          <w:szCs w:val="26"/>
        </w:rPr>
        <w:t xml:space="preserve">We did not hold that the landowner in </w:t>
      </w:r>
      <w:r w:rsidR="000978CE" w:rsidRPr="00320CFF">
        <w:rPr>
          <w:bCs/>
          <w:i/>
          <w:szCs w:val="26"/>
        </w:rPr>
        <w:t>Kinsman</w:t>
      </w:r>
      <w:r w:rsidR="000978CE" w:rsidRPr="000978CE">
        <w:rPr>
          <w:bCs/>
          <w:iCs/>
          <w:szCs w:val="26"/>
        </w:rPr>
        <w:t xml:space="preserve"> could be liable because the hazard was not inherent to the contractor</w:t>
      </w:r>
      <w:r w:rsidR="00320CFF">
        <w:rPr>
          <w:bCs/>
          <w:iCs/>
          <w:szCs w:val="26"/>
        </w:rPr>
        <w:t>’</w:t>
      </w:r>
      <w:r w:rsidR="000978CE" w:rsidRPr="000978CE">
        <w:rPr>
          <w:bCs/>
          <w:iCs/>
          <w:szCs w:val="26"/>
        </w:rPr>
        <w:t xml:space="preserve">s work. </w:t>
      </w:r>
      <w:r w:rsidR="00320CFF">
        <w:rPr>
          <w:bCs/>
          <w:iCs/>
          <w:szCs w:val="26"/>
        </w:rPr>
        <w:t xml:space="preserve"> </w:t>
      </w:r>
      <w:r w:rsidR="000978CE" w:rsidRPr="000978CE">
        <w:rPr>
          <w:bCs/>
          <w:iCs/>
          <w:szCs w:val="26"/>
        </w:rPr>
        <w:t xml:space="preserve">Instead, we held that the landowner could be liable if the asbestos hazard </w:t>
      </w:r>
      <w:proofErr w:type="gramStart"/>
      <w:r w:rsidR="000978CE" w:rsidRPr="000978CE">
        <w:rPr>
          <w:bCs/>
          <w:iCs/>
          <w:szCs w:val="26"/>
        </w:rPr>
        <w:t>was</w:t>
      </w:r>
      <w:proofErr w:type="gramEnd"/>
      <w:r w:rsidR="000978CE" w:rsidRPr="000978CE">
        <w:rPr>
          <w:bCs/>
          <w:iCs/>
          <w:szCs w:val="26"/>
        </w:rPr>
        <w:t xml:space="preserve"> unknown to and undiscoverable by the contractor and the landowner failed to warn of it, irrespective of the fact that the contractor did not create the hazard and was not hired to remediate the hazard. </w:t>
      </w:r>
      <w:r w:rsidR="00A113C3">
        <w:rPr>
          <w:bCs/>
          <w:iCs/>
          <w:szCs w:val="26"/>
        </w:rPr>
        <w:t xml:space="preserve"> </w:t>
      </w:r>
      <w:r w:rsidR="000978CE" w:rsidRPr="000978CE">
        <w:rPr>
          <w:bCs/>
          <w:iCs/>
          <w:szCs w:val="26"/>
        </w:rPr>
        <w:t>(</w:t>
      </w:r>
      <w:r w:rsidR="000978CE" w:rsidRPr="00A113C3">
        <w:rPr>
          <w:bCs/>
          <w:i/>
          <w:szCs w:val="26"/>
        </w:rPr>
        <w:t>Id</w:t>
      </w:r>
      <w:r w:rsidR="000978CE" w:rsidRPr="000978CE">
        <w:rPr>
          <w:bCs/>
          <w:iCs/>
          <w:szCs w:val="26"/>
        </w:rPr>
        <w:t>. at p</w:t>
      </w:r>
      <w:r w:rsidR="00AC2630">
        <w:rPr>
          <w:bCs/>
          <w:iCs/>
          <w:szCs w:val="26"/>
        </w:rPr>
        <w:t>p</w:t>
      </w:r>
      <w:r w:rsidR="000978CE" w:rsidRPr="000978CE">
        <w:rPr>
          <w:bCs/>
          <w:iCs/>
          <w:szCs w:val="26"/>
        </w:rPr>
        <w:t>. 675</w:t>
      </w:r>
      <w:r w:rsidR="008619AE">
        <w:rPr>
          <w:bCs/>
          <w:iCs/>
          <w:szCs w:val="26"/>
        </w:rPr>
        <w:t>, 683</w:t>
      </w:r>
      <w:r w:rsidR="000978CE" w:rsidRPr="000978CE">
        <w:rPr>
          <w:bCs/>
          <w:iCs/>
          <w:szCs w:val="26"/>
        </w:rPr>
        <w:t xml:space="preserve">.) </w:t>
      </w:r>
      <w:r w:rsidR="00A113C3">
        <w:rPr>
          <w:bCs/>
          <w:iCs/>
          <w:szCs w:val="26"/>
        </w:rPr>
        <w:t xml:space="preserve"> </w:t>
      </w:r>
      <w:r w:rsidR="000978CE" w:rsidRPr="000978CE">
        <w:rPr>
          <w:bCs/>
          <w:iCs/>
          <w:szCs w:val="26"/>
        </w:rPr>
        <w:t xml:space="preserve">As these and our other </w:t>
      </w:r>
      <w:proofErr w:type="spellStart"/>
      <w:r w:rsidR="000978CE" w:rsidRPr="00A113C3">
        <w:rPr>
          <w:bCs/>
          <w:i/>
          <w:szCs w:val="26"/>
        </w:rPr>
        <w:t>Privette</w:t>
      </w:r>
      <w:proofErr w:type="spellEnd"/>
      <w:r w:rsidR="000978CE" w:rsidRPr="000978CE">
        <w:rPr>
          <w:bCs/>
          <w:iCs/>
          <w:szCs w:val="26"/>
        </w:rPr>
        <w:t xml:space="preserve"> cases make clear, a hirer presumptively delegates to an independent contractor all responsibility for workplace safety, such that the hirer is not responsible for any injury resulting from a known unsafe condition at the worksite—regardless of whether the contractor was specifically tasked with repairing the unsafe condition and regardless of whether the danger was created by the work for which the contractor was retained.</w:t>
      </w:r>
      <w:r w:rsidR="00764397">
        <w:rPr>
          <w:bCs/>
          <w:iCs/>
          <w:szCs w:val="26"/>
        </w:rPr>
        <w:t>”  (</w:t>
      </w:r>
      <w:r w:rsidR="000978CE" w:rsidRPr="00764397">
        <w:rPr>
          <w:bCs/>
          <w:i/>
          <w:szCs w:val="26"/>
        </w:rPr>
        <w:t>Gonzalez</w:t>
      </w:r>
      <w:r w:rsidR="00764397">
        <w:rPr>
          <w:bCs/>
          <w:iCs/>
          <w:szCs w:val="26"/>
        </w:rPr>
        <w:t xml:space="preserve">, </w:t>
      </w:r>
      <w:r w:rsidR="00E458F8" w:rsidRPr="00E708C2">
        <w:rPr>
          <w:bCs/>
          <w:i/>
          <w:szCs w:val="26"/>
        </w:rPr>
        <w:t>supra</w:t>
      </w:r>
      <w:r w:rsidR="00E458F8">
        <w:rPr>
          <w:bCs/>
          <w:iCs/>
          <w:szCs w:val="26"/>
        </w:rPr>
        <w:t xml:space="preserve">, </w:t>
      </w:r>
      <w:r w:rsidR="00E708C2">
        <w:rPr>
          <w:bCs/>
          <w:iCs/>
          <w:szCs w:val="26"/>
        </w:rPr>
        <w:t xml:space="preserve">12 Cal. 5th </w:t>
      </w:r>
      <w:r w:rsidR="00764397">
        <w:rPr>
          <w:bCs/>
          <w:iCs/>
          <w:szCs w:val="26"/>
        </w:rPr>
        <w:t xml:space="preserve">at pp. </w:t>
      </w:r>
      <w:r w:rsidR="000978CE" w:rsidRPr="000978CE">
        <w:rPr>
          <w:bCs/>
          <w:iCs/>
          <w:szCs w:val="26"/>
        </w:rPr>
        <w:t>51–52</w:t>
      </w:r>
      <w:r w:rsidR="00764397">
        <w:rPr>
          <w:bCs/>
          <w:iCs/>
          <w:szCs w:val="26"/>
        </w:rPr>
        <w:t>.)</w:t>
      </w:r>
    </w:p>
    <w:p w14:paraId="0230F0D1" w14:textId="77777777" w:rsidR="006205DF" w:rsidRPr="006A55CD" w:rsidRDefault="003E2177" w:rsidP="00970C48">
      <w:pPr>
        <w:rPr>
          <w:bCs/>
          <w:iCs/>
          <w:szCs w:val="26"/>
        </w:rPr>
      </w:pPr>
      <w:r>
        <w:rPr>
          <w:bCs/>
          <w:iCs/>
          <w:szCs w:val="26"/>
        </w:rPr>
        <w:tab/>
        <w:t xml:space="preserve">Applying these principles, </w:t>
      </w:r>
      <w:r w:rsidR="0085173C">
        <w:rPr>
          <w:bCs/>
          <w:iCs/>
          <w:szCs w:val="26"/>
        </w:rPr>
        <w:t xml:space="preserve">the court held </w:t>
      </w:r>
      <w:r w:rsidR="00157510">
        <w:rPr>
          <w:bCs/>
          <w:iCs/>
          <w:szCs w:val="26"/>
        </w:rPr>
        <w:t xml:space="preserve">that </w:t>
      </w:r>
      <w:r w:rsidR="0085173C">
        <w:rPr>
          <w:bCs/>
          <w:iCs/>
          <w:szCs w:val="26"/>
        </w:rPr>
        <w:t xml:space="preserve">summary judgment had properly been granted for the homeowner:  </w:t>
      </w:r>
      <w:r w:rsidR="00EC3FF8">
        <w:rPr>
          <w:bCs/>
          <w:iCs/>
          <w:szCs w:val="26"/>
        </w:rPr>
        <w:t>“</w:t>
      </w:r>
      <w:r w:rsidR="00EC3FF8" w:rsidRPr="00EC3FF8">
        <w:rPr>
          <w:bCs/>
          <w:iCs/>
          <w:szCs w:val="26"/>
        </w:rPr>
        <w:t>Gonzalez contends that Mathis</w:t>
      </w:r>
      <w:r w:rsidR="00EC3FF8">
        <w:rPr>
          <w:bCs/>
          <w:iCs/>
          <w:szCs w:val="26"/>
        </w:rPr>
        <w:t>’</w:t>
      </w:r>
      <w:r w:rsidR="00EC3FF8" w:rsidRPr="00EC3FF8">
        <w:rPr>
          <w:bCs/>
          <w:iCs/>
          <w:szCs w:val="26"/>
        </w:rPr>
        <w:t>s roof was hazardous because the skylight could only be cleaned while walking along an unreasonably narrow path between the parapet wall and the roo</w:t>
      </w:r>
      <w:r w:rsidR="00EC3FF8">
        <w:rPr>
          <w:bCs/>
          <w:iCs/>
          <w:szCs w:val="26"/>
        </w:rPr>
        <w:t>f’</w:t>
      </w:r>
      <w:r w:rsidR="00EC3FF8" w:rsidRPr="00EC3FF8">
        <w:rPr>
          <w:bCs/>
          <w:iCs/>
          <w:szCs w:val="26"/>
        </w:rPr>
        <w:t>s exposed edge and, due to Mathis</w:t>
      </w:r>
      <w:r w:rsidR="00EC3FF8">
        <w:rPr>
          <w:bCs/>
          <w:iCs/>
          <w:szCs w:val="26"/>
        </w:rPr>
        <w:t>’</w:t>
      </w:r>
      <w:r w:rsidR="00EC3FF8" w:rsidRPr="00EC3FF8">
        <w:rPr>
          <w:bCs/>
          <w:iCs/>
          <w:szCs w:val="26"/>
        </w:rPr>
        <w:t xml:space="preserve">s years-long failure to maintain the roof, this path was slippery and covered in loose sand, gravel, and rocks. </w:t>
      </w:r>
      <w:r w:rsidR="00AA1910">
        <w:rPr>
          <w:bCs/>
          <w:iCs/>
          <w:szCs w:val="26"/>
        </w:rPr>
        <w:t xml:space="preserve"> </w:t>
      </w:r>
      <w:r w:rsidR="00EC3FF8" w:rsidRPr="00EC3FF8">
        <w:rPr>
          <w:bCs/>
          <w:iCs/>
          <w:szCs w:val="26"/>
        </w:rPr>
        <w:t xml:space="preserve">Gonzalez additionally argues that he was not hired to and lacked the expertise necessary to repair the roof or change the permanent fixtures on the roof such that he and his workers could clean the skylight safely. </w:t>
      </w:r>
      <w:r w:rsidR="00AA1910">
        <w:rPr>
          <w:bCs/>
          <w:iCs/>
          <w:szCs w:val="26"/>
        </w:rPr>
        <w:t xml:space="preserve"> </w:t>
      </w:r>
      <w:r w:rsidR="00EC3FF8" w:rsidRPr="00EC3FF8">
        <w:rPr>
          <w:bCs/>
          <w:iCs/>
          <w:szCs w:val="26"/>
        </w:rPr>
        <w:t>Thus, Gonzalez concludes, Mathis</w:t>
      </w:r>
      <w:r w:rsidR="00AA1910">
        <w:rPr>
          <w:bCs/>
          <w:iCs/>
          <w:szCs w:val="26"/>
        </w:rPr>
        <w:t>’</w:t>
      </w:r>
      <w:r w:rsidR="00EC3FF8" w:rsidRPr="00EC3FF8">
        <w:rPr>
          <w:bCs/>
          <w:iCs/>
          <w:szCs w:val="26"/>
        </w:rPr>
        <w:t xml:space="preserve">s duty to maintain the roof in a reasonably safe condition was never delegated to him. </w:t>
      </w:r>
      <w:r w:rsidR="00AA1910">
        <w:rPr>
          <w:bCs/>
          <w:iCs/>
          <w:szCs w:val="26"/>
        </w:rPr>
        <w:t xml:space="preserve"> </w:t>
      </w:r>
      <w:r w:rsidR="00EC3FF8" w:rsidRPr="00EC3FF8">
        <w:rPr>
          <w:bCs/>
          <w:iCs/>
          <w:szCs w:val="26"/>
        </w:rPr>
        <w:t xml:space="preserve">But while Mathis may not have delegated any duty to repair the roof or make other </w:t>
      </w:r>
      <w:r w:rsidR="00EC3FF8" w:rsidRPr="00EC3FF8">
        <w:rPr>
          <w:bCs/>
          <w:iCs/>
          <w:szCs w:val="26"/>
        </w:rPr>
        <w:lastRenderedPageBreak/>
        <w:t xml:space="preserve">structural changes to it, Mathis did delegate to Gonzalez a duty to provide a safe workplace to his workers and to perform the work for which he was retained in a safe manner. </w:t>
      </w:r>
      <w:r w:rsidR="004442FC">
        <w:rPr>
          <w:bCs/>
          <w:iCs/>
          <w:szCs w:val="26"/>
        </w:rPr>
        <w:t xml:space="preserve"> </w:t>
      </w:r>
      <w:r w:rsidR="00EC3FF8" w:rsidRPr="00EC3FF8">
        <w:rPr>
          <w:bCs/>
          <w:iCs/>
          <w:szCs w:val="26"/>
        </w:rPr>
        <w:t>This encompassed a duty on Gonzalez</w:t>
      </w:r>
      <w:r w:rsidR="00AA1910">
        <w:rPr>
          <w:bCs/>
          <w:iCs/>
          <w:szCs w:val="26"/>
        </w:rPr>
        <w:t>’</w:t>
      </w:r>
      <w:r w:rsidR="00EC3FF8" w:rsidRPr="00EC3FF8">
        <w:rPr>
          <w:bCs/>
          <w:iCs/>
          <w:szCs w:val="26"/>
        </w:rPr>
        <w:t xml:space="preserve">s part to assess whether he and his workers could clean the skylight safely despite the existence of the known hazardous conditions on the roof. </w:t>
      </w:r>
      <w:r w:rsidR="00AA1910">
        <w:rPr>
          <w:bCs/>
          <w:iCs/>
          <w:szCs w:val="26"/>
        </w:rPr>
        <w:t xml:space="preserve"> </w:t>
      </w:r>
      <w:r w:rsidR="00EC3FF8" w:rsidRPr="00EC3FF8">
        <w:rPr>
          <w:bCs/>
          <w:iCs/>
          <w:szCs w:val="26"/>
        </w:rPr>
        <w:t xml:space="preserve">It would be contrary to the principles underlying </w:t>
      </w:r>
      <w:proofErr w:type="spellStart"/>
      <w:r w:rsidR="00EC3FF8" w:rsidRPr="00AA1910">
        <w:rPr>
          <w:bCs/>
          <w:i/>
          <w:szCs w:val="26"/>
        </w:rPr>
        <w:t>Privette</w:t>
      </w:r>
      <w:proofErr w:type="spellEnd"/>
      <w:r w:rsidR="00EC3FF8" w:rsidRPr="00EC3FF8">
        <w:rPr>
          <w:bCs/>
          <w:iCs/>
          <w:szCs w:val="26"/>
        </w:rPr>
        <w:t xml:space="preserve"> to hold that Mathis also had a duty to determine whether the work could be performed safely absent remediation of a known hazard.</w:t>
      </w:r>
      <w:r w:rsidR="00540F4E">
        <w:rPr>
          <w:bCs/>
          <w:iCs/>
          <w:szCs w:val="26"/>
        </w:rPr>
        <w:t xml:space="preserve"> </w:t>
      </w:r>
      <w:r w:rsidR="00EC3FF8" w:rsidRPr="00EC3FF8">
        <w:rPr>
          <w:bCs/>
          <w:iCs/>
          <w:szCs w:val="26"/>
        </w:rPr>
        <w:t xml:space="preserve"> Landowners, like Mathis, hire independent contractors precisely because of their expertise in the contracted-for work. </w:t>
      </w:r>
      <w:r w:rsidR="00AA1910">
        <w:rPr>
          <w:bCs/>
          <w:iCs/>
          <w:szCs w:val="26"/>
        </w:rPr>
        <w:t xml:space="preserve"> </w:t>
      </w:r>
      <w:r w:rsidR="00EC3FF8" w:rsidRPr="00EC3FF8">
        <w:rPr>
          <w:bCs/>
          <w:iCs/>
          <w:szCs w:val="26"/>
        </w:rPr>
        <w:t>This expertise puts contractors in a better position to determine whether they can protect their workers against a known hazard on the worksite and whether the work can be performed safely despite the hazard.</w:t>
      </w:r>
      <w:r w:rsidR="00910A35">
        <w:rPr>
          <w:bCs/>
          <w:iCs/>
          <w:szCs w:val="26"/>
        </w:rPr>
        <w:t>”  (</w:t>
      </w:r>
      <w:r w:rsidR="00EC3FF8" w:rsidRPr="00910A35">
        <w:rPr>
          <w:bCs/>
          <w:i/>
          <w:szCs w:val="26"/>
        </w:rPr>
        <w:t>Gonzalez</w:t>
      </w:r>
      <w:r w:rsidR="00910A35">
        <w:rPr>
          <w:bCs/>
          <w:iCs/>
          <w:szCs w:val="26"/>
        </w:rPr>
        <w:t xml:space="preserve">, </w:t>
      </w:r>
      <w:r w:rsidR="00910A35" w:rsidRPr="00910A35">
        <w:rPr>
          <w:bCs/>
          <w:i/>
          <w:szCs w:val="26"/>
        </w:rPr>
        <w:t>supra</w:t>
      </w:r>
      <w:r w:rsidR="00910A35">
        <w:rPr>
          <w:bCs/>
          <w:iCs/>
          <w:szCs w:val="26"/>
        </w:rPr>
        <w:t xml:space="preserve">, </w:t>
      </w:r>
      <w:r w:rsidR="00EC3FF8" w:rsidRPr="00EC3FF8">
        <w:rPr>
          <w:bCs/>
          <w:iCs/>
          <w:szCs w:val="26"/>
        </w:rPr>
        <w:t xml:space="preserve">12 Cal.5th </w:t>
      </w:r>
      <w:r w:rsidR="00910A35">
        <w:rPr>
          <w:bCs/>
          <w:iCs/>
          <w:szCs w:val="26"/>
        </w:rPr>
        <w:t xml:space="preserve">at p. </w:t>
      </w:r>
      <w:r w:rsidR="00EC3FF8" w:rsidRPr="00EC3FF8">
        <w:rPr>
          <w:bCs/>
          <w:iCs/>
          <w:szCs w:val="26"/>
        </w:rPr>
        <w:t>54</w:t>
      </w:r>
      <w:r w:rsidR="00910A35">
        <w:rPr>
          <w:bCs/>
          <w:iCs/>
          <w:szCs w:val="26"/>
        </w:rPr>
        <w:t xml:space="preserve">.)  The court noted, however, that this holding </w:t>
      </w:r>
      <w:r w:rsidR="006A31E1">
        <w:rPr>
          <w:bCs/>
          <w:iCs/>
          <w:szCs w:val="26"/>
        </w:rPr>
        <w:t>“</w:t>
      </w:r>
      <w:r w:rsidR="006A31E1" w:rsidRPr="006A31E1">
        <w:rPr>
          <w:bCs/>
          <w:iCs/>
          <w:szCs w:val="26"/>
        </w:rPr>
        <w:t xml:space="preserve">applies only to hazards on the premises of which the independent contractor is aware </w:t>
      </w:r>
      <w:r w:rsidR="006A31E1" w:rsidRPr="00E27E68">
        <w:rPr>
          <w:bCs/>
          <w:i/>
          <w:szCs w:val="26"/>
        </w:rPr>
        <w:t>or should reasonably detect</w:t>
      </w:r>
      <w:r w:rsidR="006A31E1" w:rsidRPr="006A31E1">
        <w:rPr>
          <w:bCs/>
          <w:iCs/>
          <w:szCs w:val="26"/>
        </w:rPr>
        <w:t>.</w:t>
      </w:r>
      <w:r w:rsidR="006105B6">
        <w:rPr>
          <w:bCs/>
          <w:iCs/>
          <w:szCs w:val="26"/>
        </w:rPr>
        <w:t xml:space="preserve">  [Citation.]  </w:t>
      </w:r>
      <w:r w:rsidR="006A31E1" w:rsidRPr="006A31E1">
        <w:rPr>
          <w:bCs/>
          <w:iCs/>
          <w:szCs w:val="26"/>
        </w:rPr>
        <w:t xml:space="preserve">Although we recognized in </w:t>
      </w:r>
      <w:r w:rsidR="006A31E1" w:rsidRPr="006105B6">
        <w:rPr>
          <w:bCs/>
          <w:i/>
          <w:szCs w:val="26"/>
        </w:rPr>
        <w:t>Kinsman</w:t>
      </w:r>
      <w:r w:rsidR="006A31E1" w:rsidRPr="006A31E1">
        <w:rPr>
          <w:bCs/>
          <w:iCs/>
          <w:szCs w:val="26"/>
        </w:rPr>
        <w:t xml:space="preserve"> that the delegation of responsibility for workplace safety to independent contractors may include a limited duty to inspect the premises </w:t>
      </w:r>
      <w:r w:rsidR="003732E4">
        <w:rPr>
          <w:bCs/>
          <w:iCs/>
          <w:szCs w:val="26"/>
        </w:rPr>
        <w:t>(</w:t>
      </w:r>
      <w:r w:rsidR="006105B6">
        <w:rPr>
          <w:bCs/>
          <w:iCs/>
          <w:szCs w:val="26"/>
        </w:rPr>
        <w:t>[</w:t>
      </w:r>
      <w:r w:rsidR="006105B6">
        <w:rPr>
          <w:bCs/>
          <w:i/>
          <w:szCs w:val="26"/>
        </w:rPr>
        <w:t>Kinsman</w:t>
      </w:r>
      <w:r w:rsidR="006105B6">
        <w:rPr>
          <w:bCs/>
          <w:iCs/>
          <w:szCs w:val="26"/>
        </w:rPr>
        <w:t xml:space="preserve">, </w:t>
      </w:r>
      <w:r w:rsidR="006105B6">
        <w:rPr>
          <w:bCs/>
          <w:i/>
          <w:szCs w:val="26"/>
        </w:rPr>
        <w:t>supra</w:t>
      </w:r>
      <w:r w:rsidR="006105B6">
        <w:rPr>
          <w:bCs/>
          <w:iCs/>
          <w:szCs w:val="26"/>
        </w:rPr>
        <w:t xml:space="preserve">, </w:t>
      </w:r>
      <w:r w:rsidR="003732E4">
        <w:rPr>
          <w:bCs/>
          <w:iCs/>
          <w:szCs w:val="26"/>
        </w:rPr>
        <w:t>37 Cal.4th]</w:t>
      </w:r>
      <w:r w:rsidR="006A31E1" w:rsidRPr="006A31E1">
        <w:rPr>
          <w:bCs/>
          <w:iCs/>
          <w:szCs w:val="26"/>
        </w:rPr>
        <w:t xml:space="preserve"> at p. 677), it would not be reasonable to expect Gonzalez to identify every conceivable dangerous condition on the roof given that he is not a licensed roofer and was not hired to repair the roof (see </w:t>
      </w:r>
      <w:r w:rsidR="006A31E1" w:rsidRPr="00970C48">
        <w:rPr>
          <w:bCs/>
          <w:i/>
          <w:szCs w:val="26"/>
        </w:rPr>
        <w:t>id</w:t>
      </w:r>
      <w:r w:rsidR="006A31E1" w:rsidRPr="006A31E1">
        <w:rPr>
          <w:bCs/>
          <w:iCs/>
          <w:szCs w:val="26"/>
        </w:rPr>
        <w:t>. at pp.</w:t>
      </w:r>
      <w:r w:rsidR="00970C48">
        <w:rPr>
          <w:bCs/>
          <w:iCs/>
          <w:szCs w:val="26"/>
        </w:rPr>
        <w:t> </w:t>
      </w:r>
      <w:r w:rsidR="006A31E1" w:rsidRPr="006A31E1">
        <w:rPr>
          <w:bCs/>
          <w:iCs/>
          <w:szCs w:val="26"/>
        </w:rPr>
        <w:t xml:space="preserve">677–678). </w:t>
      </w:r>
      <w:r w:rsidR="00970C48">
        <w:rPr>
          <w:bCs/>
          <w:iCs/>
          <w:szCs w:val="26"/>
        </w:rPr>
        <w:t xml:space="preserve"> </w:t>
      </w:r>
      <w:r w:rsidR="006A31E1" w:rsidRPr="006A31E1">
        <w:rPr>
          <w:bCs/>
          <w:iCs/>
          <w:szCs w:val="26"/>
        </w:rPr>
        <w:t>Here, however, it is undisputed that Gonzalez was aware of the roof</w:t>
      </w:r>
      <w:r w:rsidR="000317EE">
        <w:rPr>
          <w:bCs/>
          <w:iCs/>
          <w:szCs w:val="26"/>
        </w:rPr>
        <w:t>’</w:t>
      </w:r>
      <w:r w:rsidR="006A31E1" w:rsidRPr="006A31E1">
        <w:rPr>
          <w:bCs/>
          <w:iCs/>
          <w:szCs w:val="26"/>
        </w:rPr>
        <w:t xml:space="preserve">s dangerous conditions. </w:t>
      </w:r>
      <w:r w:rsidR="00BE039A">
        <w:rPr>
          <w:bCs/>
          <w:iCs/>
          <w:szCs w:val="26"/>
        </w:rPr>
        <w:t xml:space="preserve"> </w:t>
      </w:r>
      <w:r w:rsidR="006A31E1" w:rsidRPr="006A31E1">
        <w:rPr>
          <w:bCs/>
          <w:iCs/>
          <w:szCs w:val="26"/>
        </w:rPr>
        <w:t>Consequently, Gonzalez had a duty to determine whether he and his workers would be able to clean the skylight safely despite the known dangerous conditions.</w:t>
      </w:r>
      <w:r w:rsidR="00970C48">
        <w:rPr>
          <w:bCs/>
          <w:iCs/>
          <w:szCs w:val="26"/>
        </w:rPr>
        <w:t xml:space="preserve">”  </w:t>
      </w:r>
      <w:r w:rsidR="007637A8">
        <w:rPr>
          <w:bCs/>
          <w:iCs/>
          <w:szCs w:val="26"/>
        </w:rPr>
        <w:t>(</w:t>
      </w:r>
      <w:r w:rsidR="007637A8">
        <w:rPr>
          <w:bCs/>
          <w:i/>
          <w:szCs w:val="26"/>
        </w:rPr>
        <w:t>Gonzalez</w:t>
      </w:r>
      <w:r w:rsidR="007637A8">
        <w:rPr>
          <w:bCs/>
          <w:iCs/>
          <w:szCs w:val="26"/>
        </w:rPr>
        <w:t xml:space="preserve">, </w:t>
      </w:r>
      <w:r w:rsidR="006A55CD">
        <w:rPr>
          <w:bCs/>
          <w:iCs/>
          <w:szCs w:val="26"/>
        </w:rPr>
        <w:t xml:space="preserve">at </w:t>
      </w:r>
      <w:r w:rsidR="005372AD">
        <w:rPr>
          <w:bCs/>
          <w:iCs/>
          <w:szCs w:val="26"/>
        </w:rPr>
        <w:t>p</w:t>
      </w:r>
      <w:r w:rsidR="006A55CD">
        <w:rPr>
          <w:bCs/>
          <w:iCs/>
          <w:szCs w:val="26"/>
        </w:rPr>
        <w:t>p. 54</w:t>
      </w:r>
      <w:r w:rsidR="005372AD">
        <w:rPr>
          <w:bCs/>
          <w:iCs/>
          <w:szCs w:val="26"/>
        </w:rPr>
        <w:t>–</w:t>
      </w:r>
      <w:r w:rsidR="00554470">
        <w:rPr>
          <w:bCs/>
          <w:iCs/>
          <w:szCs w:val="26"/>
        </w:rPr>
        <w:t>55, italics added</w:t>
      </w:r>
      <w:r w:rsidR="006A55CD">
        <w:rPr>
          <w:bCs/>
          <w:iCs/>
          <w:szCs w:val="26"/>
        </w:rPr>
        <w:t>.)</w:t>
      </w:r>
    </w:p>
    <w:p w14:paraId="0230F0D2" w14:textId="77777777" w:rsidR="0090651A" w:rsidRDefault="003E2177" w:rsidP="00FC3E39">
      <w:pPr>
        <w:pStyle w:val="Heading3"/>
        <w:keepNext/>
        <w:keepLines/>
      </w:pPr>
      <w:r>
        <w:lastRenderedPageBreak/>
        <w:t>B.</w:t>
      </w:r>
      <w:r>
        <w:tab/>
        <w:t>Subsequent appellate decisions.</w:t>
      </w:r>
    </w:p>
    <w:p w14:paraId="0230F0D3" w14:textId="77777777" w:rsidR="00235202" w:rsidRDefault="003E2177" w:rsidP="00FC3E39">
      <w:pPr>
        <w:keepNext/>
        <w:keepLines/>
        <w:rPr>
          <w:bCs/>
          <w:iCs/>
          <w:szCs w:val="26"/>
        </w:rPr>
      </w:pPr>
      <w:r>
        <w:rPr>
          <w:bCs/>
          <w:szCs w:val="26"/>
        </w:rPr>
        <w:tab/>
        <w:t>Two recent appellate decision</w:t>
      </w:r>
      <w:r w:rsidR="00A04406">
        <w:rPr>
          <w:bCs/>
          <w:szCs w:val="26"/>
        </w:rPr>
        <w:t>s</w:t>
      </w:r>
      <w:r w:rsidR="00254B11">
        <w:rPr>
          <w:bCs/>
          <w:szCs w:val="26"/>
        </w:rPr>
        <w:t xml:space="preserve"> provide additional guidance about </w:t>
      </w:r>
      <w:r w:rsidR="00274D1F">
        <w:rPr>
          <w:bCs/>
          <w:szCs w:val="26"/>
        </w:rPr>
        <w:t xml:space="preserve">the application of the </w:t>
      </w:r>
      <w:proofErr w:type="spellStart"/>
      <w:r w:rsidR="00274D1F">
        <w:rPr>
          <w:bCs/>
          <w:i/>
          <w:iCs/>
          <w:szCs w:val="26"/>
        </w:rPr>
        <w:t>Privette</w:t>
      </w:r>
      <w:proofErr w:type="spellEnd"/>
      <w:r w:rsidR="00274D1F">
        <w:rPr>
          <w:bCs/>
          <w:szCs w:val="26"/>
        </w:rPr>
        <w:t xml:space="preserve"> doctrine in the context of an allegedly concealed hazard.  </w:t>
      </w:r>
      <w:r w:rsidR="00EF6877">
        <w:rPr>
          <w:bCs/>
          <w:szCs w:val="26"/>
        </w:rPr>
        <w:t xml:space="preserve">In </w:t>
      </w:r>
      <w:r w:rsidR="00EF6877" w:rsidRPr="00EF6877">
        <w:rPr>
          <w:i/>
          <w:szCs w:val="26"/>
        </w:rPr>
        <w:t>Johnson v. The Raytheon Co., Inc.</w:t>
      </w:r>
      <w:r w:rsidR="00EF6877" w:rsidRPr="00EF6877">
        <w:rPr>
          <w:iCs/>
          <w:szCs w:val="26"/>
        </w:rPr>
        <w:t xml:space="preserve"> (2019) 33 Cal.App.5th 617</w:t>
      </w:r>
      <w:r w:rsidR="00FD512E">
        <w:rPr>
          <w:iCs/>
          <w:szCs w:val="26"/>
        </w:rPr>
        <w:t xml:space="preserve"> (</w:t>
      </w:r>
      <w:r w:rsidR="00FD512E">
        <w:rPr>
          <w:i/>
          <w:szCs w:val="26"/>
        </w:rPr>
        <w:t>Johnson</w:t>
      </w:r>
      <w:r w:rsidR="00FD512E">
        <w:rPr>
          <w:iCs/>
          <w:szCs w:val="26"/>
        </w:rPr>
        <w:t>)</w:t>
      </w:r>
      <w:r w:rsidR="00EF6877">
        <w:rPr>
          <w:iCs/>
          <w:szCs w:val="26"/>
        </w:rPr>
        <w:t>, the p</w:t>
      </w:r>
      <w:r w:rsidR="00EF6877" w:rsidRPr="00EF6877">
        <w:rPr>
          <w:bCs/>
          <w:iCs/>
          <w:szCs w:val="26"/>
        </w:rPr>
        <w:t>laintiff was employed by an independent contractor that provided maintenance engineering for defendant Raytheon</w:t>
      </w:r>
      <w:r w:rsidR="00EF6877">
        <w:rPr>
          <w:bCs/>
          <w:iCs/>
          <w:szCs w:val="26"/>
        </w:rPr>
        <w:t xml:space="preserve">.  The plaintiff was </w:t>
      </w:r>
      <w:r w:rsidR="00EF6877" w:rsidRPr="00EF6877">
        <w:rPr>
          <w:bCs/>
          <w:iCs/>
          <w:szCs w:val="26"/>
        </w:rPr>
        <w:t xml:space="preserve">seriously injured </w:t>
      </w:r>
      <w:r w:rsidR="003703A5">
        <w:rPr>
          <w:bCs/>
          <w:iCs/>
          <w:szCs w:val="26"/>
        </w:rPr>
        <w:t xml:space="preserve">on Raytheon’s premises </w:t>
      </w:r>
      <w:r w:rsidR="00EF6877" w:rsidRPr="00EF6877">
        <w:rPr>
          <w:bCs/>
          <w:iCs/>
          <w:szCs w:val="26"/>
        </w:rPr>
        <w:t xml:space="preserve">when he fell from a </w:t>
      </w:r>
      <w:proofErr w:type="gramStart"/>
      <w:r w:rsidR="00EF6877" w:rsidRPr="00EF6877">
        <w:rPr>
          <w:bCs/>
          <w:iCs/>
          <w:szCs w:val="26"/>
        </w:rPr>
        <w:t>ladder</w:t>
      </w:r>
      <w:proofErr w:type="gramEnd"/>
      <w:r w:rsidR="00EF6877" w:rsidRPr="00EF6877">
        <w:rPr>
          <w:bCs/>
          <w:iCs/>
          <w:szCs w:val="26"/>
        </w:rPr>
        <w:t xml:space="preserve"> he </w:t>
      </w:r>
      <w:r w:rsidR="00535E30">
        <w:rPr>
          <w:bCs/>
          <w:iCs/>
          <w:szCs w:val="26"/>
        </w:rPr>
        <w:t>had c</w:t>
      </w:r>
      <w:r w:rsidR="00EF6877" w:rsidRPr="00EF6877">
        <w:rPr>
          <w:bCs/>
          <w:iCs/>
          <w:szCs w:val="26"/>
        </w:rPr>
        <w:t xml:space="preserve">limbed </w:t>
      </w:r>
      <w:r w:rsidR="00EA0D31">
        <w:rPr>
          <w:bCs/>
          <w:iCs/>
          <w:szCs w:val="26"/>
        </w:rPr>
        <w:t xml:space="preserve">to investigate a </w:t>
      </w:r>
      <w:r w:rsidR="004078DE">
        <w:rPr>
          <w:bCs/>
          <w:iCs/>
          <w:szCs w:val="26"/>
        </w:rPr>
        <w:t>low</w:t>
      </w:r>
      <w:r w:rsidR="00194E99">
        <w:rPr>
          <w:bCs/>
          <w:iCs/>
          <w:szCs w:val="26"/>
        </w:rPr>
        <w:t>-</w:t>
      </w:r>
      <w:r w:rsidR="004078DE">
        <w:rPr>
          <w:bCs/>
          <w:iCs/>
          <w:szCs w:val="26"/>
        </w:rPr>
        <w:t>water alarm</w:t>
      </w:r>
      <w:r w:rsidR="008630EE">
        <w:rPr>
          <w:bCs/>
          <w:iCs/>
          <w:szCs w:val="26"/>
        </w:rPr>
        <w:t xml:space="preserve"> in one of Raytheon’s cooling </w:t>
      </w:r>
      <w:r w:rsidR="0009000F">
        <w:rPr>
          <w:bCs/>
          <w:iCs/>
          <w:szCs w:val="26"/>
        </w:rPr>
        <w:t>towers</w:t>
      </w:r>
      <w:r w:rsidR="00EF6877" w:rsidRPr="00EF6877">
        <w:rPr>
          <w:bCs/>
          <w:iCs/>
          <w:szCs w:val="26"/>
        </w:rPr>
        <w:t xml:space="preserve">.  </w:t>
      </w:r>
      <w:r w:rsidR="00C2506C" w:rsidRPr="00C2506C">
        <w:rPr>
          <w:bCs/>
          <w:iCs/>
          <w:szCs w:val="26"/>
        </w:rPr>
        <w:t>(</w:t>
      </w:r>
      <w:r w:rsidR="00C2506C" w:rsidRPr="00C2506C">
        <w:rPr>
          <w:bCs/>
          <w:i/>
          <w:iCs/>
          <w:szCs w:val="26"/>
        </w:rPr>
        <w:t>Id.</w:t>
      </w:r>
      <w:r w:rsidR="00C2506C" w:rsidRPr="00C2506C">
        <w:rPr>
          <w:bCs/>
          <w:iCs/>
          <w:szCs w:val="26"/>
        </w:rPr>
        <w:t xml:space="preserve"> at p.</w:t>
      </w:r>
      <w:r w:rsidR="00C2506C">
        <w:rPr>
          <w:bCs/>
          <w:iCs/>
          <w:szCs w:val="26"/>
        </w:rPr>
        <w:t xml:space="preserve"> 621.)  </w:t>
      </w:r>
      <w:r w:rsidR="007E21B2">
        <w:rPr>
          <w:bCs/>
          <w:iCs/>
          <w:szCs w:val="26"/>
        </w:rPr>
        <w:t xml:space="preserve">The </w:t>
      </w:r>
      <w:r w:rsidR="00EF6877" w:rsidRPr="00EF6877">
        <w:rPr>
          <w:bCs/>
          <w:iCs/>
          <w:szCs w:val="26"/>
        </w:rPr>
        <w:t>ladder had been left behind by another contractor</w:t>
      </w:r>
      <w:r w:rsidR="00D540EF">
        <w:rPr>
          <w:bCs/>
          <w:iCs/>
          <w:szCs w:val="26"/>
        </w:rPr>
        <w:t>; it was the upper half of an extension lad</w:t>
      </w:r>
      <w:r w:rsidR="00126ED2">
        <w:rPr>
          <w:bCs/>
          <w:iCs/>
          <w:szCs w:val="26"/>
        </w:rPr>
        <w:t xml:space="preserve">der </w:t>
      </w:r>
      <w:r w:rsidR="007E21B2">
        <w:rPr>
          <w:bCs/>
          <w:iCs/>
          <w:szCs w:val="26"/>
        </w:rPr>
        <w:t xml:space="preserve">and contained </w:t>
      </w:r>
      <w:r w:rsidR="00EF6877" w:rsidRPr="00EF6877">
        <w:rPr>
          <w:bCs/>
          <w:iCs/>
          <w:szCs w:val="26"/>
        </w:rPr>
        <w:t xml:space="preserve">a warning label that said:  </w:t>
      </w:r>
      <w:r w:rsidR="004E1322">
        <w:rPr>
          <w:bCs/>
          <w:iCs/>
          <w:szCs w:val="26"/>
        </w:rPr>
        <w:t>“</w:t>
      </w:r>
      <w:r w:rsidR="0002270B">
        <w:rPr>
          <w:bCs/>
          <w:iCs/>
          <w:szCs w:val="26"/>
        </w:rPr>
        <w:t xml:space="preserve"> ‘</w:t>
      </w:r>
      <w:r w:rsidR="00EF6877" w:rsidRPr="00EF6877">
        <w:rPr>
          <w:bCs/>
          <w:iCs/>
          <w:szCs w:val="26"/>
        </w:rPr>
        <w:t>CAUTION</w:t>
      </w:r>
      <w:r w:rsidR="00A47796">
        <w:rPr>
          <w:bCs/>
          <w:iCs/>
          <w:szCs w:val="26"/>
        </w:rPr>
        <w:t>’</w:t>
      </w:r>
      <w:r w:rsidR="00126ED2">
        <w:rPr>
          <w:bCs/>
          <w:iCs/>
          <w:szCs w:val="26"/>
        </w:rPr>
        <w:t xml:space="preserve"> and </w:t>
      </w:r>
      <w:r w:rsidR="00A47796">
        <w:rPr>
          <w:bCs/>
          <w:iCs/>
          <w:szCs w:val="26"/>
        </w:rPr>
        <w:t>‘</w:t>
      </w:r>
      <w:r w:rsidR="00EF6877" w:rsidRPr="00EF6877">
        <w:rPr>
          <w:bCs/>
          <w:iCs/>
          <w:szCs w:val="26"/>
        </w:rPr>
        <w:t>THIS LADDER SECTION IS NOT DESIGNED FOR SEPARATE USE.</w:t>
      </w:r>
      <w:r w:rsidR="00065275">
        <w:rPr>
          <w:bCs/>
          <w:iCs/>
          <w:szCs w:val="26"/>
        </w:rPr>
        <w:t xml:space="preserve">’ </w:t>
      </w:r>
      <w:r w:rsidR="00126ED2">
        <w:rPr>
          <w:bCs/>
          <w:iCs/>
          <w:szCs w:val="26"/>
        </w:rPr>
        <w:t xml:space="preserve">” </w:t>
      </w:r>
      <w:r w:rsidR="007C7F77">
        <w:rPr>
          <w:bCs/>
          <w:iCs/>
          <w:szCs w:val="26"/>
        </w:rPr>
        <w:t xml:space="preserve"> </w:t>
      </w:r>
      <w:r w:rsidR="007C7F77" w:rsidRPr="007C7F77">
        <w:rPr>
          <w:bCs/>
          <w:iCs/>
          <w:szCs w:val="26"/>
        </w:rPr>
        <w:t>(</w:t>
      </w:r>
      <w:r w:rsidR="007C7F77" w:rsidRPr="007C7F77">
        <w:rPr>
          <w:bCs/>
          <w:i/>
          <w:iCs/>
          <w:szCs w:val="26"/>
        </w:rPr>
        <w:t>Id.</w:t>
      </w:r>
      <w:r w:rsidR="007C7F77" w:rsidRPr="007C7F77">
        <w:rPr>
          <w:bCs/>
          <w:iCs/>
          <w:szCs w:val="26"/>
        </w:rPr>
        <w:t xml:space="preserve"> at p.</w:t>
      </w:r>
      <w:r w:rsidR="007C7F77">
        <w:rPr>
          <w:bCs/>
          <w:iCs/>
          <w:szCs w:val="26"/>
        </w:rPr>
        <w:t xml:space="preserve"> 622.)</w:t>
      </w:r>
      <w:r w:rsidR="00EF6877" w:rsidRPr="00EF6877">
        <w:rPr>
          <w:bCs/>
          <w:iCs/>
          <w:szCs w:val="26"/>
        </w:rPr>
        <w:t xml:space="preserve">  </w:t>
      </w:r>
      <w:r w:rsidR="0022714A">
        <w:rPr>
          <w:bCs/>
          <w:iCs/>
          <w:szCs w:val="26"/>
        </w:rPr>
        <w:t>The p</w:t>
      </w:r>
      <w:r w:rsidR="00EF6877" w:rsidRPr="00EF6877">
        <w:rPr>
          <w:bCs/>
          <w:iCs/>
          <w:szCs w:val="26"/>
        </w:rPr>
        <w:t>laintiff did not see the warning</w:t>
      </w:r>
      <w:r w:rsidR="007C7F77">
        <w:rPr>
          <w:bCs/>
          <w:iCs/>
          <w:szCs w:val="26"/>
        </w:rPr>
        <w:t xml:space="preserve"> and </w:t>
      </w:r>
      <w:r w:rsidR="00EF6877" w:rsidRPr="00EF6877">
        <w:rPr>
          <w:bCs/>
          <w:iCs/>
          <w:szCs w:val="26"/>
        </w:rPr>
        <w:t xml:space="preserve">was injured when the ladder slipped out from under him.  </w:t>
      </w:r>
      <w:r w:rsidR="0022714A" w:rsidRPr="0022714A">
        <w:rPr>
          <w:bCs/>
          <w:iCs/>
          <w:szCs w:val="26"/>
        </w:rPr>
        <w:t>(</w:t>
      </w:r>
      <w:r w:rsidR="0022714A" w:rsidRPr="0022714A">
        <w:rPr>
          <w:bCs/>
          <w:i/>
          <w:iCs/>
          <w:szCs w:val="26"/>
        </w:rPr>
        <w:t>Id.</w:t>
      </w:r>
      <w:r w:rsidR="0022714A" w:rsidRPr="0022714A">
        <w:rPr>
          <w:bCs/>
          <w:iCs/>
          <w:szCs w:val="26"/>
        </w:rPr>
        <w:t xml:space="preserve"> at pp.</w:t>
      </w:r>
      <w:r w:rsidR="0022714A">
        <w:rPr>
          <w:bCs/>
          <w:iCs/>
          <w:szCs w:val="26"/>
        </w:rPr>
        <w:t xml:space="preserve"> 622–623.)  </w:t>
      </w:r>
    </w:p>
    <w:p w14:paraId="0230F0D4" w14:textId="77777777" w:rsidR="00A90067" w:rsidRDefault="003E2177" w:rsidP="00A90067">
      <w:pPr>
        <w:ind w:firstLine="720"/>
        <w:rPr>
          <w:bCs/>
          <w:iCs/>
          <w:szCs w:val="26"/>
        </w:rPr>
      </w:pPr>
      <w:r>
        <w:rPr>
          <w:bCs/>
          <w:iCs/>
          <w:szCs w:val="26"/>
        </w:rPr>
        <w:t xml:space="preserve">The plaintiff sued </w:t>
      </w:r>
      <w:r w:rsidR="000A7B0A">
        <w:rPr>
          <w:bCs/>
          <w:iCs/>
          <w:szCs w:val="26"/>
        </w:rPr>
        <w:t xml:space="preserve">Raytheon, </w:t>
      </w:r>
      <w:r w:rsidR="005829A8">
        <w:rPr>
          <w:bCs/>
          <w:iCs/>
          <w:szCs w:val="26"/>
        </w:rPr>
        <w:t xml:space="preserve">among others, for </w:t>
      </w:r>
      <w:r w:rsidR="00EF6877" w:rsidRPr="00EF6877">
        <w:rPr>
          <w:bCs/>
          <w:iCs/>
          <w:szCs w:val="26"/>
        </w:rPr>
        <w:t xml:space="preserve">negligence and premises liability. </w:t>
      </w:r>
      <w:r w:rsidR="00EC7E0E">
        <w:rPr>
          <w:bCs/>
          <w:iCs/>
          <w:szCs w:val="26"/>
        </w:rPr>
        <w:t xml:space="preserve"> </w:t>
      </w:r>
      <w:r w:rsidR="00EC7E0E" w:rsidRPr="00EC7E0E">
        <w:rPr>
          <w:bCs/>
          <w:iCs/>
          <w:szCs w:val="26"/>
        </w:rPr>
        <w:t>(</w:t>
      </w:r>
      <w:r w:rsidR="00FD512E">
        <w:rPr>
          <w:bCs/>
          <w:i/>
          <w:iCs/>
          <w:szCs w:val="26"/>
        </w:rPr>
        <w:t>Johnson</w:t>
      </w:r>
      <w:r w:rsidR="00FD512E">
        <w:rPr>
          <w:bCs/>
          <w:szCs w:val="26"/>
        </w:rPr>
        <w:t xml:space="preserve">, </w:t>
      </w:r>
      <w:r w:rsidR="00FD512E">
        <w:rPr>
          <w:bCs/>
          <w:i/>
          <w:iCs/>
          <w:szCs w:val="26"/>
        </w:rPr>
        <w:t>supra</w:t>
      </w:r>
      <w:r w:rsidR="00FD512E">
        <w:rPr>
          <w:bCs/>
          <w:szCs w:val="26"/>
        </w:rPr>
        <w:t xml:space="preserve">, </w:t>
      </w:r>
      <w:r w:rsidR="00993BEB">
        <w:rPr>
          <w:bCs/>
          <w:szCs w:val="26"/>
        </w:rPr>
        <w:t>33 Cal.App.5th at</w:t>
      </w:r>
      <w:r w:rsidR="00EC7E0E" w:rsidRPr="00EC7E0E">
        <w:rPr>
          <w:bCs/>
          <w:iCs/>
          <w:szCs w:val="26"/>
        </w:rPr>
        <w:t xml:space="preserve"> p.</w:t>
      </w:r>
      <w:r w:rsidR="00EC7E0E">
        <w:rPr>
          <w:bCs/>
          <w:iCs/>
          <w:szCs w:val="26"/>
        </w:rPr>
        <w:t> 623.)  The trial court granted summary judgment for Raytheon</w:t>
      </w:r>
      <w:r w:rsidR="005335ED">
        <w:rPr>
          <w:bCs/>
          <w:iCs/>
          <w:szCs w:val="26"/>
        </w:rPr>
        <w:t xml:space="preserve">, and the Court of Appeal affirmed.  </w:t>
      </w:r>
      <w:r w:rsidR="00A41080">
        <w:rPr>
          <w:bCs/>
          <w:iCs/>
          <w:szCs w:val="26"/>
        </w:rPr>
        <w:t>It</w:t>
      </w:r>
      <w:r w:rsidR="003E3987">
        <w:rPr>
          <w:bCs/>
          <w:iCs/>
          <w:szCs w:val="26"/>
        </w:rPr>
        <w:t xml:space="preserve"> noted that under </w:t>
      </w:r>
      <w:r w:rsidR="003E3987">
        <w:rPr>
          <w:bCs/>
          <w:i/>
          <w:szCs w:val="26"/>
        </w:rPr>
        <w:t>Kinsman</w:t>
      </w:r>
      <w:r w:rsidR="003E3987">
        <w:rPr>
          <w:bCs/>
          <w:iCs/>
          <w:szCs w:val="26"/>
        </w:rPr>
        <w:t xml:space="preserve">, </w:t>
      </w:r>
      <w:r w:rsidR="00220E0C">
        <w:rPr>
          <w:bCs/>
          <w:iCs/>
          <w:szCs w:val="26"/>
        </w:rPr>
        <w:t xml:space="preserve">a hiring defendant is </w:t>
      </w:r>
      <w:r w:rsidR="00A41080">
        <w:rPr>
          <w:bCs/>
          <w:iCs/>
          <w:szCs w:val="26"/>
        </w:rPr>
        <w:t xml:space="preserve">liable only </w:t>
      </w:r>
      <w:r w:rsidR="00A41080" w:rsidRPr="00A41080">
        <w:rPr>
          <w:bCs/>
          <w:iCs/>
          <w:szCs w:val="26"/>
        </w:rPr>
        <w:t>if (1) it knew, or should have known, of a latent or concealed preexisting condition on its property; (2)</w:t>
      </w:r>
      <w:r w:rsidR="00FD512E">
        <w:rPr>
          <w:bCs/>
          <w:iCs/>
          <w:szCs w:val="26"/>
        </w:rPr>
        <w:t xml:space="preserve"> the independent contractor </w:t>
      </w:r>
      <w:r w:rsidR="00A41080" w:rsidRPr="00A41080">
        <w:rPr>
          <w:bCs/>
          <w:iCs/>
          <w:szCs w:val="26"/>
        </w:rPr>
        <w:t xml:space="preserve">did not know and could not reasonably have discovered the hazardous condition; and (3) </w:t>
      </w:r>
      <w:r w:rsidR="00220E0C">
        <w:rPr>
          <w:bCs/>
          <w:iCs/>
          <w:szCs w:val="26"/>
        </w:rPr>
        <w:t xml:space="preserve">the hirer </w:t>
      </w:r>
      <w:r w:rsidR="00A41080" w:rsidRPr="00A41080">
        <w:rPr>
          <w:bCs/>
          <w:iCs/>
          <w:szCs w:val="26"/>
        </w:rPr>
        <w:t xml:space="preserve">failed to warn the contractor about the condition.  </w:t>
      </w:r>
      <w:r w:rsidR="00993BEB" w:rsidRPr="00993BEB">
        <w:rPr>
          <w:bCs/>
          <w:iCs/>
          <w:szCs w:val="26"/>
        </w:rPr>
        <w:t>(</w:t>
      </w:r>
      <w:r w:rsidR="00993BEB" w:rsidRPr="00993BEB">
        <w:rPr>
          <w:bCs/>
          <w:i/>
          <w:iCs/>
          <w:szCs w:val="26"/>
        </w:rPr>
        <w:t>Id.</w:t>
      </w:r>
      <w:r w:rsidR="00993BEB" w:rsidRPr="00993BEB">
        <w:rPr>
          <w:bCs/>
          <w:iCs/>
          <w:szCs w:val="26"/>
        </w:rPr>
        <w:t xml:space="preserve"> at p.</w:t>
      </w:r>
      <w:r w:rsidR="00993BEB">
        <w:rPr>
          <w:bCs/>
          <w:iCs/>
          <w:szCs w:val="26"/>
        </w:rPr>
        <w:t xml:space="preserve"> </w:t>
      </w:r>
      <w:r w:rsidR="00A41080" w:rsidRPr="00A41080">
        <w:rPr>
          <w:bCs/>
          <w:iCs/>
          <w:szCs w:val="26"/>
        </w:rPr>
        <w:t>631.</w:t>
      </w:r>
      <w:r w:rsidR="00993BEB">
        <w:rPr>
          <w:bCs/>
          <w:iCs/>
          <w:szCs w:val="26"/>
        </w:rPr>
        <w:t>)</w:t>
      </w:r>
      <w:r w:rsidR="00F21D8D">
        <w:rPr>
          <w:bCs/>
          <w:iCs/>
          <w:szCs w:val="26"/>
        </w:rPr>
        <w:t xml:space="preserve">  In the case</w:t>
      </w:r>
      <w:r w:rsidR="00E1522E">
        <w:rPr>
          <w:bCs/>
          <w:iCs/>
          <w:szCs w:val="26"/>
        </w:rPr>
        <w:t xml:space="preserve"> before </w:t>
      </w:r>
      <w:r w:rsidR="00AD0CCC">
        <w:rPr>
          <w:bCs/>
          <w:iCs/>
          <w:szCs w:val="26"/>
        </w:rPr>
        <w:t>i</w:t>
      </w:r>
      <w:r w:rsidR="00E1522E">
        <w:rPr>
          <w:bCs/>
          <w:iCs/>
          <w:szCs w:val="26"/>
        </w:rPr>
        <w:t>t</w:t>
      </w:r>
      <w:r w:rsidR="00F21D8D">
        <w:rPr>
          <w:bCs/>
          <w:iCs/>
          <w:szCs w:val="26"/>
        </w:rPr>
        <w:t xml:space="preserve">, </w:t>
      </w:r>
      <w:r w:rsidR="00D5435A">
        <w:rPr>
          <w:bCs/>
          <w:iCs/>
          <w:szCs w:val="26"/>
        </w:rPr>
        <w:t>the court</w:t>
      </w:r>
      <w:r w:rsidR="00277D05">
        <w:rPr>
          <w:bCs/>
          <w:iCs/>
          <w:szCs w:val="26"/>
        </w:rPr>
        <w:t xml:space="preserve"> held that the </w:t>
      </w:r>
      <w:r w:rsidR="0065668B">
        <w:rPr>
          <w:bCs/>
          <w:iCs/>
          <w:szCs w:val="26"/>
        </w:rPr>
        <w:t>plaintiff could not establish the second factor</w:t>
      </w:r>
      <w:r w:rsidR="000F4393">
        <w:rPr>
          <w:bCs/>
          <w:iCs/>
          <w:szCs w:val="26"/>
        </w:rPr>
        <w:t xml:space="preserve">—that </w:t>
      </w:r>
      <w:r w:rsidR="00D65721" w:rsidRPr="00D65721">
        <w:rPr>
          <w:bCs/>
          <w:iCs/>
          <w:szCs w:val="26"/>
        </w:rPr>
        <w:t>plaintiff’s employer could not have reasonably discovered the hazardous condition</w:t>
      </w:r>
      <w:r w:rsidR="000F4393">
        <w:rPr>
          <w:bCs/>
          <w:iCs/>
          <w:szCs w:val="26"/>
        </w:rPr>
        <w:t xml:space="preserve">.  </w:t>
      </w:r>
      <w:r w:rsidR="00B9633D">
        <w:rPr>
          <w:bCs/>
          <w:iCs/>
          <w:szCs w:val="26"/>
        </w:rPr>
        <w:t>The court noted that the ladder was clearly marked with a “</w:t>
      </w:r>
      <w:r w:rsidR="001D3B49">
        <w:rPr>
          <w:bCs/>
          <w:iCs/>
          <w:szCs w:val="26"/>
        </w:rPr>
        <w:t xml:space="preserve"> ‘</w:t>
      </w:r>
      <w:r w:rsidR="00B9633D">
        <w:rPr>
          <w:bCs/>
          <w:iCs/>
          <w:szCs w:val="26"/>
        </w:rPr>
        <w:t>caution</w:t>
      </w:r>
      <w:r w:rsidR="001D3B49">
        <w:rPr>
          <w:bCs/>
          <w:iCs/>
          <w:szCs w:val="26"/>
        </w:rPr>
        <w:t>’ </w:t>
      </w:r>
      <w:r w:rsidR="00B9633D">
        <w:rPr>
          <w:bCs/>
          <w:iCs/>
          <w:szCs w:val="26"/>
        </w:rPr>
        <w:t>” sticker</w:t>
      </w:r>
      <w:r w:rsidR="006A0B97">
        <w:rPr>
          <w:bCs/>
          <w:iCs/>
          <w:szCs w:val="26"/>
        </w:rPr>
        <w:t xml:space="preserve">, which </w:t>
      </w:r>
      <w:r w:rsidR="00B9633D">
        <w:rPr>
          <w:bCs/>
          <w:iCs/>
          <w:szCs w:val="26"/>
        </w:rPr>
        <w:t>identif</w:t>
      </w:r>
      <w:r w:rsidR="006A0B97">
        <w:rPr>
          <w:bCs/>
          <w:iCs/>
          <w:szCs w:val="26"/>
        </w:rPr>
        <w:t>ied</w:t>
      </w:r>
      <w:r w:rsidR="00B9633D">
        <w:rPr>
          <w:bCs/>
          <w:iCs/>
          <w:szCs w:val="26"/>
        </w:rPr>
        <w:t xml:space="preserve"> it as a partial </w:t>
      </w:r>
      <w:r w:rsidR="00B9633D">
        <w:rPr>
          <w:bCs/>
          <w:iCs/>
          <w:szCs w:val="26"/>
        </w:rPr>
        <w:lastRenderedPageBreak/>
        <w:t xml:space="preserve">extension ladder not </w:t>
      </w:r>
      <w:r w:rsidR="00BD7090">
        <w:rPr>
          <w:bCs/>
          <w:iCs/>
          <w:szCs w:val="26"/>
        </w:rPr>
        <w:t xml:space="preserve">to be used without the other part.  </w:t>
      </w:r>
      <w:r w:rsidR="00BD7090" w:rsidRPr="00BD7090">
        <w:rPr>
          <w:bCs/>
          <w:iCs/>
          <w:szCs w:val="26"/>
        </w:rPr>
        <w:t>(</w:t>
      </w:r>
      <w:r w:rsidR="00BD7090" w:rsidRPr="00BD7090">
        <w:rPr>
          <w:bCs/>
          <w:i/>
          <w:iCs/>
          <w:szCs w:val="26"/>
        </w:rPr>
        <w:t>Id.</w:t>
      </w:r>
      <w:r w:rsidR="00BD7090" w:rsidRPr="00BD7090">
        <w:rPr>
          <w:bCs/>
          <w:iCs/>
          <w:szCs w:val="26"/>
        </w:rPr>
        <w:t xml:space="preserve"> at p.</w:t>
      </w:r>
      <w:r w:rsidR="008F5A55">
        <w:rPr>
          <w:bCs/>
          <w:iCs/>
          <w:szCs w:val="26"/>
        </w:rPr>
        <w:t> </w:t>
      </w:r>
      <w:r w:rsidR="00BD7090">
        <w:rPr>
          <w:bCs/>
          <w:iCs/>
          <w:szCs w:val="26"/>
        </w:rPr>
        <w:t xml:space="preserve">632.)  Further, although it was dark, </w:t>
      </w:r>
      <w:r w:rsidR="002A092E">
        <w:rPr>
          <w:bCs/>
          <w:iCs/>
          <w:szCs w:val="26"/>
        </w:rPr>
        <w:t xml:space="preserve">the plaintiff had a flashlight, and </w:t>
      </w:r>
      <w:r w:rsidR="00AF6A49">
        <w:rPr>
          <w:bCs/>
          <w:iCs/>
          <w:szCs w:val="26"/>
        </w:rPr>
        <w:t>“[</w:t>
      </w:r>
      <w:proofErr w:type="spellStart"/>
      <w:r w:rsidR="00AF6A49">
        <w:rPr>
          <w:bCs/>
          <w:iCs/>
          <w:szCs w:val="26"/>
        </w:rPr>
        <w:t>i</w:t>
      </w:r>
      <w:proofErr w:type="spellEnd"/>
      <w:r w:rsidR="00AF6A49">
        <w:rPr>
          <w:bCs/>
          <w:iCs/>
          <w:szCs w:val="26"/>
        </w:rPr>
        <w:t xml:space="preserve">]f he had inspected the ladder, he would have discovered the danger it presented.”  </w:t>
      </w:r>
      <w:r w:rsidR="00AF6A49" w:rsidRPr="00AF6A49">
        <w:rPr>
          <w:rFonts w:cs="Century Schoolbook"/>
          <w:bCs/>
          <w:iCs/>
          <w:szCs w:val="26"/>
        </w:rPr>
        <w:t>(</w:t>
      </w:r>
      <w:r w:rsidR="00AF6A49" w:rsidRPr="00AF6A49">
        <w:rPr>
          <w:rFonts w:cs="Century Schoolbook"/>
          <w:bCs/>
          <w:i/>
          <w:iCs/>
          <w:szCs w:val="26"/>
        </w:rPr>
        <w:t>Ibid.</w:t>
      </w:r>
      <w:r w:rsidR="00AF6A49" w:rsidRPr="00AF6A49">
        <w:rPr>
          <w:rFonts w:cs="Century Schoolbook"/>
          <w:bCs/>
          <w:iCs/>
          <w:szCs w:val="26"/>
        </w:rPr>
        <w:t>)</w:t>
      </w:r>
      <w:r>
        <w:rPr>
          <w:rStyle w:val="FootnoteReference"/>
          <w:rFonts w:cs="Century Schoolbook"/>
          <w:bCs/>
          <w:iCs/>
          <w:szCs w:val="26"/>
        </w:rPr>
        <w:footnoteReference w:id="4"/>
      </w:r>
      <w:r w:rsidR="00AF6A49">
        <w:rPr>
          <w:bCs/>
          <w:iCs/>
          <w:szCs w:val="26"/>
        </w:rPr>
        <w:t xml:space="preserve"> </w:t>
      </w:r>
      <w:r w:rsidR="00327A89">
        <w:rPr>
          <w:bCs/>
          <w:iCs/>
          <w:szCs w:val="26"/>
        </w:rPr>
        <w:t xml:space="preserve"> Finally, the court rejected the plaintiff’s contention that his own </w:t>
      </w:r>
      <w:r w:rsidR="00177D81">
        <w:rPr>
          <w:bCs/>
          <w:iCs/>
          <w:szCs w:val="26"/>
        </w:rPr>
        <w:t xml:space="preserve">failure to use due care would be relevant only to comparative negligence and would not absolve Raytheon of liability.  </w:t>
      </w:r>
      <w:r w:rsidR="0008750F">
        <w:rPr>
          <w:bCs/>
          <w:iCs/>
          <w:szCs w:val="26"/>
        </w:rPr>
        <w:t>The court</w:t>
      </w:r>
      <w:r w:rsidR="00177D81">
        <w:rPr>
          <w:bCs/>
          <w:iCs/>
          <w:szCs w:val="26"/>
        </w:rPr>
        <w:t xml:space="preserve"> explained</w:t>
      </w:r>
      <w:r w:rsidR="00286D58">
        <w:rPr>
          <w:bCs/>
          <w:iCs/>
          <w:szCs w:val="26"/>
        </w:rPr>
        <w:t xml:space="preserve"> that the case on which the plaintiff relied </w:t>
      </w:r>
      <w:r w:rsidR="00A75A5B">
        <w:rPr>
          <w:bCs/>
          <w:iCs/>
          <w:szCs w:val="26"/>
        </w:rPr>
        <w:t xml:space="preserve">involved the dangerous condition of public property and was not a </w:t>
      </w:r>
      <w:proofErr w:type="spellStart"/>
      <w:r w:rsidR="00A75A5B">
        <w:rPr>
          <w:bCs/>
          <w:i/>
          <w:szCs w:val="26"/>
        </w:rPr>
        <w:t>Privette</w:t>
      </w:r>
      <w:proofErr w:type="spellEnd"/>
      <w:r w:rsidR="00A75A5B">
        <w:rPr>
          <w:bCs/>
          <w:i/>
          <w:szCs w:val="26"/>
        </w:rPr>
        <w:t xml:space="preserve">/Kinsman </w:t>
      </w:r>
      <w:r w:rsidR="00A75A5B">
        <w:rPr>
          <w:bCs/>
          <w:iCs/>
          <w:szCs w:val="26"/>
        </w:rPr>
        <w:t xml:space="preserve">case.  </w:t>
      </w:r>
      <w:r w:rsidR="003426B8">
        <w:rPr>
          <w:bCs/>
          <w:iCs/>
          <w:szCs w:val="26"/>
        </w:rPr>
        <w:t>Under</w:t>
      </w:r>
      <w:r w:rsidR="00011722">
        <w:rPr>
          <w:bCs/>
          <w:iCs/>
          <w:szCs w:val="26"/>
        </w:rPr>
        <w:t xml:space="preserve"> </w:t>
      </w:r>
      <w:r w:rsidRPr="00A90067">
        <w:rPr>
          <w:bCs/>
          <w:i/>
          <w:szCs w:val="26"/>
        </w:rPr>
        <w:t>Kinsman</w:t>
      </w:r>
      <w:r w:rsidR="003426B8">
        <w:rPr>
          <w:bCs/>
          <w:iCs/>
          <w:szCs w:val="26"/>
        </w:rPr>
        <w:t xml:space="preserve">, the relevant test is </w:t>
      </w:r>
      <w:r w:rsidRPr="00A90067">
        <w:rPr>
          <w:bCs/>
          <w:iCs/>
          <w:szCs w:val="26"/>
        </w:rPr>
        <w:t>whether the independent contractor could reasonably have discovered the latent hazardous condition</w:t>
      </w:r>
      <w:r w:rsidR="00BD598C">
        <w:rPr>
          <w:bCs/>
          <w:iCs/>
          <w:szCs w:val="26"/>
        </w:rPr>
        <w:t xml:space="preserve">—a test that </w:t>
      </w:r>
      <w:r w:rsidR="00882109">
        <w:rPr>
          <w:bCs/>
          <w:iCs/>
          <w:szCs w:val="26"/>
        </w:rPr>
        <w:t>“</w:t>
      </w:r>
      <w:r w:rsidR="008B707E">
        <w:rPr>
          <w:bCs/>
          <w:iCs/>
          <w:szCs w:val="26"/>
        </w:rPr>
        <w:t>[</w:t>
      </w:r>
      <w:r w:rsidR="00882109">
        <w:rPr>
          <w:bCs/>
          <w:iCs/>
          <w:szCs w:val="26"/>
        </w:rPr>
        <w:t>is</w:t>
      </w:r>
      <w:r w:rsidR="008B707E">
        <w:rPr>
          <w:bCs/>
          <w:iCs/>
          <w:szCs w:val="26"/>
        </w:rPr>
        <w:t>]</w:t>
      </w:r>
      <w:r w:rsidR="00882109">
        <w:rPr>
          <w:bCs/>
          <w:iCs/>
          <w:szCs w:val="26"/>
        </w:rPr>
        <w:t xml:space="preserve"> </w:t>
      </w:r>
      <w:r w:rsidRPr="00A90067">
        <w:rPr>
          <w:bCs/>
          <w:iCs/>
          <w:szCs w:val="26"/>
        </w:rPr>
        <w:t>defeated wher</w:t>
      </w:r>
      <w:r w:rsidRPr="00A90067">
        <w:rPr>
          <w:bCs/>
          <w:iCs/>
          <w:szCs w:val="26"/>
        </w:rPr>
        <w:t>e, as here, there is undisputed evidence that the hazard could reasonably have been discovered (by inspecting the ladder) and, once discovered, avoided (by getting another ladder).</w:t>
      </w:r>
      <w:r w:rsidR="00882109">
        <w:rPr>
          <w:bCs/>
          <w:iCs/>
          <w:szCs w:val="26"/>
        </w:rPr>
        <w:t>”  (</w:t>
      </w:r>
      <w:r w:rsidR="00882109">
        <w:rPr>
          <w:bCs/>
          <w:i/>
          <w:szCs w:val="26"/>
        </w:rPr>
        <w:t>Johnson</w:t>
      </w:r>
      <w:r w:rsidR="00882109">
        <w:rPr>
          <w:bCs/>
          <w:iCs/>
          <w:szCs w:val="26"/>
        </w:rPr>
        <w:t>,</w:t>
      </w:r>
      <w:r w:rsidR="00103E45">
        <w:rPr>
          <w:bCs/>
          <w:iCs/>
          <w:szCs w:val="26"/>
        </w:rPr>
        <w:t xml:space="preserve"> at p. 632.)</w:t>
      </w:r>
    </w:p>
    <w:p w14:paraId="0230F0D5" w14:textId="77777777" w:rsidR="00662E3E" w:rsidRDefault="003E2177" w:rsidP="001F5D37">
      <w:pPr>
        <w:ind w:firstLine="720"/>
        <w:rPr>
          <w:bCs/>
          <w:iCs/>
          <w:szCs w:val="26"/>
        </w:rPr>
      </w:pPr>
      <w:r>
        <w:rPr>
          <w:bCs/>
          <w:iCs/>
          <w:szCs w:val="26"/>
        </w:rPr>
        <w:t xml:space="preserve">The court reached a similar result in </w:t>
      </w:r>
      <w:r>
        <w:rPr>
          <w:bCs/>
          <w:i/>
          <w:szCs w:val="26"/>
        </w:rPr>
        <w:t>Blaylock v. D</w:t>
      </w:r>
      <w:r>
        <w:rPr>
          <w:bCs/>
          <w:i/>
          <w:szCs w:val="26"/>
        </w:rPr>
        <w:t>MP 250 Newport Center, LLC</w:t>
      </w:r>
      <w:r w:rsidR="00B96722">
        <w:rPr>
          <w:bCs/>
          <w:iCs/>
          <w:szCs w:val="26"/>
        </w:rPr>
        <w:t xml:space="preserve"> (2023</w:t>
      </w:r>
      <w:r w:rsidR="00F855EF">
        <w:rPr>
          <w:bCs/>
          <w:iCs/>
          <w:szCs w:val="26"/>
        </w:rPr>
        <w:t xml:space="preserve">) </w:t>
      </w:r>
      <w:r w:rsidR="001F5D37" w:rsidRPr="001F5D37">
        <w:rPr>
          <w:bCs/>
          <w:iCs/>
          <w:szCs w:val="26"/>
        </w:rPr>
        <w:t>92</w:t>
      </w:r>
      <w:r w:rsidR="001F5D37">
        <w:rPr>
          <w:bCs/>
          <w:iCs/>
          <w:szCs w:val="26"/>
        </w:rPr>
        <w:t> </w:t>
      </w:r>
      <w:r w:rsidR="001F5D37" w:rsidRPr="001F5D37">
        <w:rPr>
          <w:bCs/>
          <w:iCs/>
          <w:szCs w:val="26"/>
        </w:rPr>
        <w:t>Cal.App.5th 863</w:t>
      </w:r>
      <w:r w:rsidR="00F855EF">
        <w:rPr>
          <w:bCs/>
          <w:iCs/>
          <w:szCs w:val="26"/>
        </w:rPr>
        <w:t xml:space="preserve"> (</w:t>
      </w:r>
      <w:r w:rsidR="00F855EF">
        <w:rPr>
          <w:bCs/>
          <w:i/>
          <w:szCs w:val="26"/>
        </w:rPr>
        <w:t>Blaylock</w:t>
      </w:r>
      <w:r w:rsidR="00F855EF">
        <w:rPr>
          <w:bCs/>
          <w:iCs/>
          <w:szCs w:val="26"/>
        </w:rPr>
        <w:t xml:space="preserve">).  </w:t>
      </w:r>
      <w:r w:rsidR="007E1024">
        <w:rPr>
          <w:bCs/>
          <w:iCs/>
          <w:szCs w:val="26"/>
        </w:rPr>
        <w:t xml:space="preserve">There, the plaintiff was employed by an independent contractor hired to maintain and service </w:t>
      </w:r>
      <w:r w:rsidR="00F250A4">
        <w:rPr>
          <w:bCs/>
          <w:iCs/>
          <w:szCs w:val="26"/>
        </w:rPr>
        <w:t>HVAC equipment</w:t>
      </w:r>
      <w:r w:rsidR="007C5762">
        <w:rPr>
          <w:bCs/>
          <w:iCs/>
          <w:szCs w:val="26"/>
        </w:rPr>
        <w:t xml:space="preserve"> </w:t>
      </w:r>
      <w:r>
        <w:rPr>
          <w:bCs/>
          <w:iCs/>
          <w:szCs w:val="26"/>
        </w:rPr>
        <w:t xml:space="preserve">on the roof of </w:t>
      </w:r>
      <w:r w:rsidR="007C5762">
        <w:rPr>
          <w:bCs/>
          <w:iCs/>
          <w:szCs w:val="26"/>
        </w:rPr>
        <w:t xml:space="preserve">a </w:t>
      </w:r>
      <w:r>
        <w:rPr>
          <w:bCs/>
          <w:iCs/>
          <w:szCs w:val="26"/>
        </w:rPr>
        <w:t>commercial building owned by the defendant</w:t>
      </w:r>
      <w:r w:rsidR="007C5762">
        <w:rPr>
          <w:bCs/>
          <w:iCs/>
          <w:szCs w:val="26"/>
        </w:rPr>
        <w:t xml:space="preserve">. </w:t>
      </w:r>
      <w:r w:rsidR="005C1341">
        <w:rPr>
          <w:bCs/>
          <w:iCs/>
          <w:szCs w:val="26"/>
        </w:rPr>
        <w:t xml:space="preserve"> The HVAC equipment was</w:t>
      </w:r>
      <w:r>
        <w:rPr>
          <w:bCs/>
          <w:iCs/>
          <w:szCs w:val="26"/>
        </w:rPr>
        <w:t xml:space="preserve"> </w:t>
      </w:r>
      <w:r w:rsidRPr="00662E3E">
        <w:rPr>
          <w:bCs/>
          <w:iCs/>
          <w:szCs w:val="26"/>
        </w:rPr>
        <w:t>connected to ductwork that penetrate</w:t>
      </w:r>
      <w:r w:rsidR="00BD598C">
        <w:rPr>
          <w:bCs/>
          <w:iCs/>
          <w:szCs w:val="26"/>
        </w:rPr>
        <w:t>d</w:t>
      </w:r>
      <w:r w:rsidRPr="00662E3E">
        <w:rPr>
          <w:bCs/>
          <w:iCs/>
          <w:szCs w:val="26"/>
        </w:rPr>
        <w:t xml:space="preserve"> the roof </w:t>
      </w:r>
      <w:r w:rsidRPr="00662E3E">
        <w:rPr>
          <w:bCs/>
          <w:iCs/>
          <w:szCs w:val="26"/>
        </w:rPr>
        <w:lastRenderedPageBreak/>
        <w:t xml:space="preserve">into a crawl space between the roof and </w:t>
      </w:r>
      <w:r w:rsidR="003D155D">
        <w:rPr>
          <w:bCs/>
          <w:iCs/>
          <w:szCs w:val="26"/>
        </w:rPr>
        <w:t xml:space="preserve">the </w:t>
      </w:r>
      <w:r w:rsidRPr="00662E3E">
        <w:rPr>
          <w:bCs/>
          <w:iCs/>
          <w:szCs w:val="26"/>
        </w:rPr>
        <w:t xml:space="preserve">ceiling of the floor below.  The “floor” of the crawl space was wallboard panels that covered the ceiling joists </w:t>
      </w:r>
      <w:proofErr w:type="gramStart"/>
      <w:r w:rsidRPr="00662E3E">
        <w:rPr>
          <w:bCs/>
          <w:iCs/>
          <w:szCs w:val="26"/>
        </w:rPr>
        <w:t>below</w:t>
      </w:r>
      <w:r w:rsidR="0097477B">
        <w:rPr>
          <w:bCs/>
          <w:iCs/>
          <w:szCs w:val="26"/>
        </w:rPr>
        <w:t>, and</w:t>
      </w:r>
      <w:proofErr w:type="gramEnd"/>
      <w:r w:rsidR="0097477B">
        <w:rPr>
          <w:bCs/>
          <w:iCs/>
          <w:szCs w:val="26"/>
        </w:rPr>
        <w:t xml:space="preserve"> was partially covered by plywood</w:t>
      </w:r>
      <w:r w:rsidRPr="00662E3E">
        <w:rPr>
          <w:bCs/>
          <w:iCs/>
          <w:szCs w:val="26"/>
        </w:rPr>
        <w:t>.  Th</w:t>
      </w:r>
      <w:r w:rsidR="00DF3F55">
        <w:rPr>
          <w:bCs/>
          <w:iCs/>
          <w:szCs w:val="26"/>
        </w:rPr>
        <w:t>e “floor”</w:t>
      </w:r>
      <w:r w:rsidRPr="00662E3E">
        <w:rPr>
          <w:bCs/>
          <w:iCs/>
          <w:szCs w:val="26"/>
        </w:rPr>
        <w:t xml:space="preserve"> also </w:t>
      </w:r>
      <w:r w:rsidR="00553CC7">
        <w:rPr>
          <w:bCs/>
          <w:iCs/>
          <w:szCs w:val="26"/>
        </w:rPr>
        <w:t xml:space="preserve">contained </w:t>
      </w:r>
      <w:r w:rsidRPr="00662E3E">
        <w:rPr>
          <w:bCs/>
          <w:iCs/>
          <w:szCs w:val="26"/>
        </w:rPr>
        <w:t>an access panel</w:t>
      </w:r>
      <w:r w:rsidR="0097477B">
        <w:rPr>
          <w:bCs/>
          <w:iCs/>
          <w:szCs w:val="26"/>
        </w:rPr>
        <w:t xml:space="preserve"> (referred to in the opinion as a “trap door”)</w:t>
      </w:r>
      <w:r w:rsidRPr="00662E3E">
        <w:rPr>
          <w:bCs/>
          <w:iCs/>
          <w:szCs w:val="26"/>
        </w:rPr>
        <w:t xml:space="preserve"> that permitted access from the crawl space to </w:t>
      </w:r>
      <w:r w:rsidR="00C6695E">
        <w:rPr>
          <w:bCs/>
          <w:iCs/>
          <w:szCs w:val="26"/>
        </w:rPr>
        <w:t>a</w:t>
      </w:r>
      <w:r w:rsidRPr="00662E3E">
        <w:rPr>
          <w:bCs/>
          <w:iCs/>
          <w:szCs w:val="26"/>
        </w:rPr>
        <w:t xml:space="preserve"> </w:t>
      </w:r>
      <w:r w:rsidR="0097477B">
        <w:rPr>
          <w:bCs/>
          <w:iCs/>
          <w:szCs w:val="26"/>
        </w:rPr>
        <w:t xml:space="preserve">utility </w:t>
      </w:r>
      <w:r w:rsidRPr="00662E3E">
        <w:rPr>
          <w:bCs/>
          <w:iCs/>
          <w:szCs w:val="26"/>
        </w:rPr>
        <w:t xml:space="preserve">room below.  </w:t>
      </w:r>
      <w:r w:rsidR="00553CC7">
        <w:rPr>
          <w:bCs/>
          <w:iCs/>
          <w:szCs w:val="26"/>
        </w:rPr>
        <w:t>From the crawl space, t</w:t>
      </w:r>
      <w:r w:rsidR="001E380A">
        <w:rPr>
          <w:bCs/>
          <w:iCs/>
          <w:szCs w:val="26"/>
        </w:rPr>
        <w:t xml:space="preserve">he access </w:t>
      </w:r>
      <w:r w:rsidRPr="00662E3E">
        <w:rPr>
          <w:bCs/>
          <w:iCs/>
          <w:szCs w:val="26"/>
        </w:rPr>
        <w:t>panel presented as a square plywood surface tha</w:t>
      </w:r>
      <w:r w:rsidRPr="00662E3E">
        <w:rPr>
          <w:bCs/>
          <w:iCs/>
          <w:szCs w:val="26"/>
        </w:rPr>
        <w:t xml:space="preserve">t sat below the ceiling joists that framed it on all four sides.  </w:t>
      </w:r>
      <w:r w:rsidR="00E543E6">
        <w:rPr>
          <w:bCs/>
          <w:iCs/>
          <w:szCs w:val="26"/>
        </w:rPr>
        <w:t xml:space="preserve">Plaintiff and his coworkers were not aware of </w:t>
      </w:r>
      <w:r w:rsidR="00CF5853">
        <w:rPr>
          <w:bCs/>
          <w:iCs/>
          <w:szCs w:val="26"/>
        </w:rPr>
        <w:t xml:space="preserve">the </w:t>
      </w:r>
      <w:r w:rsidR="00E543E6">
        <w:rPr>
          <w:bCs/>
          <w:iCs/>
          <w:szCs w:val="26"/>
        </w:rPr>
        <w:t>access panel</w:t>
      </w:r>
      <w:r w:rsidR="00321693">
        <w:rPr>
          <w:bCs/>
          <w:iCs/>
          <w:szCs w:val="26"/>
        </w:rPr>
        <w:t xml:space="preserve">.  </w:t>
      </w:r>
      <w:r w:rsidRPr="00662E3E">
        <w:rPr>
          <w:bCs/>
          <w:iCs/>
          <w:szCs w:val="26"/>
        </w:rPr>
        <w:t xml:space="preserve">While working in the crawlspace, </w:t>
      </w:r>
      <w:r w:rsidR="00321693">
        <w:rPr>
          <w:bCs/>
          <w:iCs/>
          <w:szCs w:val="26"/>
        </w:rPr>
        <w:t xml:space="preserve">the </w:t>
      </w:r>
      <w:r w:rsidRPr="00662E3E">
        <w:rPr>
          <w:bCs/>
          <w:iCs/>
          <w:szCs w:val="26"/>
        </w:rPr>
        <w:t>plaintiff fell through the access panel onto the floor below</w:t>
      </w:r>
      <w:r w:rsidR="00BD03C1">
        <w:rPr>
          <w:bCs/>
          <w:iCs/>
          <w:szCs w:val="26"/>
        </w:rPr>
        <w:t xml:space="preserve">, suffering a </w:t>
      </w:r>
      <w:r w:rsidR="00301621">
        <w:rPr>
          <w:bCs/>
          <w:iCs/>
          <w:szCs w:val="26"/>
        </w:rPr>
        <w:t>serious injury</w:t>
      </w:r>
      <w:r w:rsidR="00BD03C1">
        <w:rPr>
          <w:bCs/>
          <w:iCs/>
          <w:szCs w:val="26"/>
        </w:rPr>
        <w:t xml:space="preserve">.  </w:t>
      </w:r>
      <w:r w:rsidR="00321693" w:rsidRPr="00321693">
        <w:rPr>
          <w:bCs/>
          <w:iCs/>
          <w:szCs w:val="26"/>
        </w:rPr>
        <w:t>(</w:t>
      </w:r>
      <w:r w:rsidR="00321693" w:rsidRPr="00321693">
        <w:rPr>
          <w:bCs/>
          <w:i/>
          <w:iCs/>
          <w:szCs w:val="26"/>
        </w:rPr>
        <w:t>Id.</w:t>
      </w:r>
      <w:r w:rsidR="00321693" w:rsidRPr="00321693">
        <w:rPr>
          <w:bCs/>
          <w:iCs/>
          <w:szCs w:val="26"/>
        </w:rPr>
        <w:t xml:space="preserve"> at p</w:t>
      </w:r>
      <w:r w:rsidR="00301621">
        <w:rPr>
          <w:bCs/>
          <w:iCs/>
          <w:szCs w:val="26"/>
        </w:rPr>
        <w:t>p</w:t>
      </w:r>
      <w:r w:rsidR="00321693" w:rsidRPr="00321693">
        <w:rPr>
          <w:bCs/>
          <w:iCs/>
          <w:szCs w:val="26"/>
        </w:rPr>
        <w:t>.</w:t>
      </w:r>
      <w:r w:rsidR="00AE0831">
        <w:rPr>
          <w:bCs/>
          <w:iCs/>
          <w:szCs w:val="26"/>
        </w:rPr>
        <w:t> </w:t>
      </w:r>
      <w:r w:rsidR="00747221">
        <w:rPr>
          <w:bCs/>
          <w:iCs/>
          <w:szCs w:val="26"/>
        </w:rPr>
        <w:t>86</w:t>
      </w:r>
      <w:r w:rsidR="0022785D">
        <w:rPr>
          <w:bCs/>
          <w:iCs/>
          <w:szCs w:val="26"/>
        </w:rPr>
        <w:t>6–</w:t>
      </w:r>
      <w:r w:rsidR="00B43979">
        <w:rPr>
          <w:bCs/>
          <w:iCs/>
          <w:szCs w:val="26"/>
        </w:rPr>
        <w:t>867</w:t>
      </w:r>
      <w:r w:rsidR="00747221">
        <w:rPr>
          <w:bCs/>
          <w:iCs/>
          <w:szCs w:val="26"/>
        </w:rPr>
        <w:t xml:space="preserve">, </w:t>
      </w:r>
      <w:r w:rsidR="00014E17">
        <w:rPr>
          <w:bCs/>
          <w:iCs/>
          <w:szCs w:val="26"/>
        </w:rPr>
        <w:t>872</w:t>
      </w:r>
      <w:r w:rsidRPr="00662E3E">
        <w:rPr>
          <w:bCs/>
          <w:iCs/>
          <w:szCs w:val="26"/>
        </w:rPr>
        <w:t>.</w:t>
      </w:r>
      <w:r w:rsidR="00321693">
        <w:rPr>
          <w:bCs/>
          <w:iCs/>
          <w:szCs w:val="26"/>
        </w:rPr>
        <w:t>)</w:t>
      </w:r>
    </w:p>
    <w:p w14:paraId="0230F0D6" w14:textId="77777777" w:rsidR="00596372" w:rsidRDefault="003E2177" w:rsidP="00662E3E">
      <w:pPr>
        <w:ind w:firstLine="720"/>
        <w:rPr>
          <w:bCs/>
          <w:iCs/>
          <w:szCs w:val="26"/>
        </w:rPr>
      </w:pPr>
      <w:r>
        <w:rPr>
          <w:bCs/>
          <w:iCs/>
          <w:szCs w:val="26"/>
        </w:rPr>
        <w:t>The plaintiff sued the building owner for premises liability and negligence.</w:t>
      </w:r>
      <w:r w:rsidRPr="00662E3E">
        <w:rPr>
          <w:bCs/>
          <w:iCs/>
          <w:szCs w:val="26"/>
        </w:rPr>
        <w:t xml:space="preserve"> </w:t>
      </w:r>
      <w:r>
        <w:rPr>
          <w:bCs/>
          <w:iCs/>
          <w:szCs w:val="26"/>
        </w:rPr>
        <w:t xml:space="preserve"> </w:t>
      </w:r>
      <w:r w:rsidR="00AD2A2C">
        <w:rPr>
          <w:bCs/>
          <w:iCs/>
          <w:szCs w:val="26"/>
        </w:rPr>
        <w:t>The trial court granted summary judgment for the building owner</w:t>
      </w:r>
      <w:r w:rsidR="00AE0831">
        <w:rPr>
          <w:bCs/>
          <w:iCs/>
          <w:szCs w:val="26"/>
        </w:rPr>
        <w:t>,</w:t>
      </w:r>
      <w:r w:rsidR="00AD2A2C">
        <w:rPr>
          <w:bCs/>
          <w:iCs/>
          <w:szCs w:val="26"/>
        </w:rPr>
        <w:t xml:space="preserve"> and the</w:t>
      </w:r>
      <w:r w:rsidR="0003637A">
        <w:rPr>
          <w:bCs/>
          <w:iCs/>
          <w:szCs w:val="26"/>
        </w:rPr>
        <w:t xml:space="preserve"> plaintiff appealed, urging that there were triable issues of material fact </w:t>
      </w:r>
      <w:r w:rsidR="00737DCE" w:rsidRPr="00737DCE">
        <w:rPr>
          <w:bCs/>
          <w:iCs/>
          <w:szCs w:val="26"/>
        </w:rPr>
        <w:t>about whether the access panel</w:t>
      </w:r>
      <w:r w:rsidR="00737DCE">
        <w:rPr>
          <w:bCs/>
          <w:iCs/>
          <w:szCs w:val="26"/>
        </w:rPr>
        <w:t xml:space="preserve"> </w:t>
      </w:r>
      <w:r w:rsidR="00737DCE" w:rsidRPr="00737DCE">
        <w:rPr>
          <w:bCs/>
          <w:iCs/>
          <w:szCs w:val="26"/>
        </w:rPr>
        <w:t xml:space="preserve">qualified as a hazard </w:t>
      </w:r>
      <w:r w:rsidR="00EC2BE0">
        <w:rPr>
          <w:bCs/>
          <w:iCs/>
          <w:szCs w:val="26"/>
        </w:rPr>
        <w:t>that</w:t>
      </w:r>
      <w:r w:rsidR="00737DCE" w:rsidRPr="00737DCE">
        <w:rPr>
          <w:bCs/>
          <w:iCs/>
          <w:szCs w:val="26"/>
        </w:rPr>
        <w:t xml:space="preserve"> was concealed from </w:t>
      </w:r>
      <w:r w:rsidR="00EC2BE0">
        <w:rPr>
          <w:bCs/>
          <w:iCs/>
          <w:szCs w:val="26"/>
        </w:rPr>
        <w:t>workers</w:t>
      </w:r>
      <w:r w:rsidR="00737DCE" w:rsidRPr="00737DCE">
        <w:rPr>
          <w:bCs/>
          <w:iCs/>
          <w:szCs w:val="26"/>
        </w:rPr>
        <w:t xml:space="preserve"> inside the crawl space</w:t>
      </w:r>
      <w:r w:rsidR="00737DCE">
        <w:rPr>
          <w:bCs/>
          <w:iCs/>
          <w:szCs w:val="26"/>
        </w:rPr>
        <w:t xml:space="preserve">.  </w:t>
      </w:r>
      <w:r w:rsidR="00387354">
        <w:rPr>
          <w:bCs/>
          <w:iCs/>
          <w:szCs w:val="26"/>
        </w:rPr>
        <w:t>(</w:t>
      </w:r>
      <w:r w:rsidR="00387354">
        <w:rPr>
          <w:bCs/>
          <w:i/>
          <w:szCs w:val="26"/>
        </w:rPr>
        <w:t>Blaylock</w:t>
      </w:r>
      <w:r w:rsidR="00387354">
        <w:rPr>
          <w:bCs/>
          <w:iCs/>
          <w:szCs w:val="26"/>
        </w:rPr>
        <w:t xml:space="preserve">, </w:t>
      </w:r>
      <w:r w:rsidR="00387354">
        <w:rPr>
          <w:bCs/>
          <w:i/>
          <w:szCs w:val="26"/>
        </w:rPr>
        <w:t>supra</w:t>
      </w:r>
      <w:r w:rsidR="00387354">
        <w:rPr>
          <w:bCs/>
          <w:iCs/>
          <w:szCs w:val="26"/>
        </w:rPr>
        <w:t xml:space="preserve">, </w:t>
      </w:r>
      <w:r w:rsidR="00DD0939">
        <w:rPr>
          <w:bCs/>
          <w:iCs/>
          <w:szCs w:val="26"/>
        </w:rPr>
        <w:t xml:space="preserve">92 Cal.App.5th </w:t>
      </w:r>
      <w:r w:rsidR="009C5561">
        <w:rPr>
          <w:bCs/>
          <w:iCs/>
          <w:szCs w:val="26"/>
        </w:rPr>
        <w:t>at p</w:t>
      </w:r>
      <w:r w:rsidR="00DF4771">
        <w:rPr>
          <w:bCs/>
          <w:iCs/>
          <w:szCs w:val="26"/>
        </w:rPr>
        <w:t>p. 868–</w:t>
      </w:r>
      <w:r w:rsidR="00B75B53">
        <w:rPr>
          <w:bCs/>
          <w:iCs/>
          <w:szCs w:val="26"/>
        </w:rPr>
        <w:t xml:space="preserve">869, </w:t>
      </w:r>
      <w:r w:rsidR="00685BB3">
        <w:rPr>
          <w:bCs/>
          <w:iCs/>
          <w:szCs w:val="26"/>
        </w:rPr>
        <w:t>872.)</w:t>
      </w:r>
      <w:r w:rsidR="0086527E">
        <w:rPr>
          <w:bCs/>
          <w:iCs/>
          <w:szCs w:val="26"/>
        </w:rPr>
        <w:t xml:space="preserve">  </w:t>
      </w:r>
      <w:r w:rsidR="00F575AB">
        <w:rPr>
          <w:bCs/>
          <w:iCs/>
          <w:szCs w:val="26"/>
        </w:rPr>
        <w:t>S</w:t>
      </w:r>
      <w:r w:rsidR="00F575AB" w:rsidRPr="00F575AB">
        <w:rPr>
          <w:bCs/>
          <w:iCs/>
          <w:szCs w:val="26"/>
        </w:rPr>
        <w:t xml:space="preserve">pecifically, </w:t>
      </w:r>
      <w:r w:rsidR="00F575AB">
        <w:rPr>
          <w:bCs/>
          <w:iCs/>
          <w:szCs w:val="26"/>
        </w:rPr>
        <w:t xml:space="preserve">the plaintiff asserted that the access </w:t>
      </w:r>
      <w:r w:rsidR="00CC340F">
        <w:rPr>
          <w:bCs/>
          <w:iCs/>
          <w:szCs w:val="26"/>
        </w:rPr>
        <w:t xml:space="preserve">panel could not be seen </w:t>
      </w:r>
      <w:r w:rsidR="00F575AB" w:rsidRPr="00F575AB">
        <w:rPr>
          <w:bCs/>
          <w:iCs/>
          <w:szCs w:val="26"/>
        </w:rPr>
        <w:t>from inside the crawl space</w:t>
      </w:r>
      <w:r w:rsidR="00CC340F">
        <w:rPr>
          <w:bCs/>
          <w:iCs/>
          <w:szCs w:val="26"/>
        </w:rPr>
        <w:t xml:space="preserve"> because </w:t>
      </w:r>
      <w:r w:rsidR="00C93E8F">
        <w:rPr>
          <w:bCs/>
          <w:iCs/>
          <w:szCs w:val="26"/>
        </w:rPr>
        <w:t xml:space="preserve">it </w:t>
      </w:r>
      <w:r w:rsidR="00F575AB" w:rsidRPr="00F575AB">
        <w:rPr>
          <w:bCs/>
          <w:iCs/>
          <w:szCs w:val="26"/>
        </w:rPr>
        <w:t>was covered with the same plywood that covered most of the crawl space floor</w:t>
      </w:r>
      <w:r w:rsidR="00CF5853">
        <w:rPr>
          <w:bCs/>
          <w:iCs/>
          <w:szCs w:val="26"/>
        </w:rPr>
        <w:t>;</w:t>
      </w:r>
      <w:r w:rsidR="0085598C">
        <w:rPr>
          <w:bCs/>
          <w:iCs/>
          <w:szCs w:val="26"/>
        </w:rPr>
        <w:t xml:space="preserve"> the crawl space was dimly lit</w:t>
      </w:r>
      <w:r w:rsidR="00CF5853">
        <w:rPr>
          <w:bCs/>
          <w:iCs/>
          <w:szCs w:val="26"/>
        </w:rPr>
        <w:t>;</w:t>
      </w:r>
      <w:r w:rsidR="0085598C">
        <w:rPr>
          <w:bCs/>
          <w:iCs/>
          <w:szCs w:val="26"/>
        </w:rPr>
        <w:t xml:space="preserve"> the access panel’s hinge was not visible from within the crawl space</w:t>
      </w:r>
      <w:r w:rsidR="00CF5853">
        <w:rPr>
          <w:bCs/>
          <w:iCs/>
          <w:szCs w:val="26"/>
        </w:rPr>
        <w:t>;</w:t>
      </w:r>
      <w:r w:rsidR="0085598C">
        <w:rPr>
          <w:bCs/>
          <w:iCs/>
          <w:szCs w:val="26"/>
        </w:rPr>
        <w:t xml:space="preserve"> and none of </w:t>
      </w:r>
      <w:r w:rsidR="00730831">
        <w:rPr>
          <w:bCs/>
          <w:iCs/>
          <w:szCs w:val="26"/>
        </w:rPr>
        <w:t xml:space="preserve">the contractor’s employees, including the plaintiff, </w:t>
      </w:r>
      <w:r w:rsidR="00F575AB" w:rsidRPr="00F575AB">
        <w:rPr>
          <w:bCs/>
          <w:iCs/>
          <w:szCs w:val="26"/>
        </w:rPr>
        <w:t xml:space="preserve">recognized it as </w:t>
      </w:r>
      <w:r w:rsidR="008149E4">
        <w:rPr>
          <w:bCs/>
          <w:iCs/>
          <w:szCs w:val="26"/>
        </w:rPr>
        <w:t xml:space="preserve">an access panel.  </w:t>
      </w:r>
      <w:r w:rsidR="008149E4" w:rsidRPr="008149E4">
        <w:rPr>
          <w:bCs/>
          <w:iCs/>
          <w:szCs w:val="26"/>
        </w:rPr>
        <w:t>(</w:t>
      </w:r>
      <w:r w:rsidR="008149E4" w:rsidRPr="008149E4">
        <w:rPr>
          <w:bCs/>
          <w:i/>
          <w:iCs/>
          <w:szCs w:val="26"/>
        </w:rPr>
        <w:t>Id.</w:t>
      </w:r>
      <w:r w:rsidR="008149E4" w:rsidRPr="008149E4">
        <w:rPr>
          <w:bCs/>
          <w:iCs/>
          <w:szCs w:val="26"/>
        </w:rPr>
        <w:t xml:space="preserve"> at p.</w:t>
      </w:r>
      <w:r w:rsidR="00AE0831">
        <w:rPr>
          <w:bCs/>
          <w:iCs/>
          <w:szCs w:val="26"/>
        </w:rPr>
        <w:t> </w:t>
      </w:r>
      <w:r w:rsidR="00685BB3">
        <w:rPr>
          <w:bCs/>
          <w:iCs/>
          <w:szCs w:val="26"/>
        </w:rPr>
        <w:t>872</w:t>
      </w:r>
      <w:r w:rsidR="008149E4">
        <w:rPr>
          <w:bCs/>
          <w:iCs/>
          <w:szCs w:val="26"/>
        </w:rPr>
        <w:t xml:space="preserve">.)  </w:t>
      </w:r>
    </w:p>
    <w:p w14:paraId="0230F0D7" w14:textId="77777777" w:rsidR="00630579" w:rsidRDefault="003E2177" w:rsidP="00F06B7D">
      <w:pPr>
        <w:ind w:firstLine="720"/>
        <w:rPr>
          <w:bCs/>
          <w:iCs/>
          <w:szCs w:val="26"/>
        </w:rPr>
      </w:pPr>
      <w:r>
        <w:rPr>
          <w:bCs/>
          <w:iCs/>
          <w:szCs w:val="26"/>
        </w:rPr>
        <w:t>The Court of Appeal affirmed</w:t>
      </w:r>
      <w:r w:rsidR="00596372">
        <w:rPr>
          <w:bCs/>
          <w:iCs/>
          <w:szCs w:val="26"/>
        </w:rPr>
        <w:t xml:space="preserve"> the grant of summary judgment</w:t>
      </w:r>
      <w:r w:rsidR="00D72D4F">
        <w:rPr>
          <w:bCs/>
          <w:iCs/>
          <w:szCs w:val="26"/>
        </w:rPr>
        <w:t xml:space="preserve"> for the building owner</w:t>
      </w:r>
      <w:r w:rsidR="00596372">
        <w:rPr>
          <w:bCs/>
          <w:iCs/>
          <w:szCs w:val="26"/>
        </w:rPr>
        <w:t>.  It explained</w:t>
      </w:r>
      <w:r>
        <w:rPr>
          <w:bCs/>
          <w:iCs/>
          <w:szCs w:val="26"/>
        </w:rPr>
        <w:t>:</w:t>
      </w:r>
      <w:r w:rsidR="00596372">
        <w:rPr>
          <w:bCs/>
          <w:iCs/>
          <w:szCs w:val="26"/>
        </w:rPr>
        <w:t xml:space="preserve">  </w:t>
      </w:r>
      <w:r>
        <w:rPr>
          <w:bCs/>
          <w:iCs/>
          <w:szCs w:val="26"/>
        </w:rPr>
        <w:t>“</w:t>
      </w:r>
      <w:r w:rsidRPr="00630579">
        <w:rPr>
          <w:bCs/>
          <w:iCs/>
          <w:szCs w:val="26"/>
        </w:rPr>
        <w:t xml:space="preserve">First, the suggestion that the trap door was concealed because the lighting inside the crawl space was inadequate is not persuasive. </w:t>
      </w:r>
      <w:r w:rsidR="00F06B7D">
        <w:rPr>
          <w:bCs/>
          <w:iCs/>
          <w:szCs w:val="26"/>
        </w:rPr>
        <w:t xml:space="preserve"> </w:t>
      </w:r>
      <w:r w:rsidRPr="00630579">
        <w:rPr>
          <w:bCs/>
          <w:iCs/>
          <w:szCs w:val="26"/>
        </w:rPr>
        <w:t xml:space="preserve">As noted </w:t>
      </w:r>
      <w:r w:rsidRPr="00F06B7D">
        <w:rPr>
          <w:bCs/>
          <w:i/>
          <w:szCs w:val="26"/>
        </w:rPr>
        <w:t>ante</w:t>
      </w:r>
      <w:r w:rsidRPr="00630579">
        <w:rPr>
          <w:bCs/>
          <w:iCs/>
          <w:szCs w:val="26"/>
        </w:rPr>
        <w:t xml:space="preserve">, </w:t>
      </w:r>
      <w:r w:rsidR="00F06B7D">
        <w:rPr>
          <w:bCs/>
          <w:iCs/>
          <w:szCs w:val="26"/>
        </w:rPr>
        <w:t>‘</w:t>
      </w:r>
      <w:r w:rsidRPr="00630579">
        <w:rPr>
          <w:bCs/>
          <w:iCs/>
          <w:szCs w:val="26"/>
        </w:rPr>
        <w:t>when there is a known safety hazard on a hirer</w:t>
      </w:r>
      <w:r w:rsidR="00F06B7D">
        <w:rPr>
          <w:bCs/>
          <w:iCs/>
          <w:szCs w:val="26"/>
        </w:rPr>
        <w:t>’</w:t>
      </w:r>
      <w:r w:rsidRPr="00630579">
        <w:rPr>
          <w:bCs/>
          <w:iCs/>
          <w:szCs w:val="26"/>
        </w:rPr>
        <w:t xml:space="preserve">s </w:t>
      </w:r>
      <w:r w:rsidRPr="00630579">
        <w:rPr>
          <w:bCs/>
          <w:iCs/>
          <w:szCs w:val="26"/>
        </w:rPr>
        <w:lastRenderedPageBreak/>
        <w:t xml:space="preserve">premises that can be addressed through reasonable safety </w:t>
      </w:r>
      <w:r w:rsidRPr="00630579">
        <w:rPr>
          <w:bCs/>
          <w:iCs/>
          <w:szCs w:val="26"/>
        </w:rPr>
        <w:t xml:space="preserve">precautions on the part of the independent contractor, a corollary of </w:t>
      </w:r>
      <w:proofErr w:type="spellStart"/>
      <w:r w:rsidRPr="00F06B7D">
        <w:rPr>
          <w:bCs/>
          <w:i/>
          <w:szCs w:val="26"/>
        </w:rPr>
        <w:t>Privette</w:t>
      </w:r>
      <w:proofErr w:type="spellEnd"/>
      <w:r w:rsidRPr="00630579">
        <w:rPr>
          <w:bCs/>
          <w:iCs/>
          <w:szCs w:val="26"/>
        </w:rPr>
        <w:t xml:space="preserve"> and its progeny is that the hirer generally delegates the responsibility to take such precautions to the contractor, and is not liable to the contractor</w:t>
      </w:r>
      <w:r w:rsidR="00F06B7D">
        <w:rPr>
          <w:bCs/>
          <w:iCs/>
          <w:szCs w:val="26"/>
        </w:rPr>
        <w:t>’</w:t>
      </w:r>
      <w:r w:rsidRPr="00630579">
        <w:rPr>
          <w:bCs/>
          <w:iCs/>
          <w:szCs w:val="26"/>
        </w:rPr>
        <w:t>s employee if the contra</w:t>
      </w:r>
      <w:r w:rsidRPr="00630579">
        <w:rPr>
          <w:bCs/>
          <w:iCs/>
          <w:szCs w:val="26"/>
        </w:rPr>
        <w:t>ctor fails to do so.</w:t>
      </w:r>
      <w:r w:rsidR="00F06B7D">
        <w:rPr>
          <w:bCs/>
          <w:iCs/>
          <w:szCs w:val="26"/>
        </w:rPr>
        <w:t>’</w:t>
      </w:r>
      <w:r w:rsidRPr="00630579">
        <w:rPr>
          <w:bCs/>
          <w:iCs/>
          <w:szCs w:val="26"/>
        </w:rPr>
        <w:t xml:space="preserve"> </w:t>
      </w:r>
      <w:r w:rsidR="00F06B7D">
        <w:rPr>
          <w:bCs/>
          <w:iCs/>
          <w:szCs w:val="26"/>
        </w:rPr>
        <w:t xml:space="preserve"> </w:t>
      </w:r>
      <w:r w:rsidRPr="00630579">
        <w:rPr>
          <w:bCs/>
          <w:iCs/>
          <w:szCs w:val="26"/>
        </w:rPr>
        <w:t>(</w:t>
      </w:r>
      <w:r w:rsidRPr="00F06B7D">
        <w:rPr>
          <w:bCs/>
          <w:i/>
          <w:szCs w:val="26"/>
        </w:rPr>
        <w:t>Kinsman</w:t>
      </w:r>
      <w:r w:rsidRPr="00630579">
        <w:rPr>
          <w:bCs/>
          <w:iCs/>
          <w:szCs w:val="26"/>
        </w:rPr>
        <w:t xml:space="preserve">, </w:t>
      </w:r>
      <w:r w:rsidRPr="00F06B7D">
        <w:rPr>
          <w:bCs/>
          <w:i/>
          <w:szCs w:val="26"/>
        </w:rPr>
        <w:t>supra</w:t>
      </w:r>
      <w:r w:rsidRPr="00630579">
        <w:rPr>
          <w:bCs/>
          <w:iCs/>
          <w:szCs w:val="26"/>
        </w:rPr>
        <w:t>, 37 Cal.4th at pp. 673</w:t>
      </w:r>
      <w:r w:rsidR="00F06B7D">
        <w:rPr>
          <w:bCs/>
          <w:iCs/>
          <w:szCs w:val="26"/>
        </w:rPr>
        <w:t>–</w:t>
      </w:r>
      <w:r w:rsidRPr="00630579">
        <w:rPr>
          <w:bCs/>
          <w:iCs/>
          <w:szCs w:val="26"/>
        </w:rPr>
        <w:t xml:space="preserve">674.) </w:t>
      </w:r>
      <w:r w:rsidR="00F06B7D">
        <w:rPr>
          <w:bCs/>
          <w:iCs/>
          <w:szCs w:val="26"/>
        </w:rPr>
        <w:t xml:space="preserve"> </w:t>
      </w:r>
      <w:r w:rsidRPr="00630579">
        <w:rPr>
          <w:bCs/>
          <w:iCs/>
          <w:szCs w:val="26"/>
        </w:rPr>
        <w:t xml:space="preserve">Inadequate lighting in the crawl space is the kind of known hazard that falls within that rule; it was </w:t>
      </w:r>
      <w:r w:rsidR="00F06B7D">
        <w:rPr>
          <w:bCs/>
          <w:iCs/>
          <w:szCs w:val="26"/>
        </w:rPr>
        <w:t>[the contractor’s]</w:t>
      </w:r>
      <w:r w:rsidRPr="00630579">
        <w:rPr>
          <w:bCs/>
          <w:iCs/>
          <w:szCs w:val="26"/>
        </w:rPr>
        <w:t xml:space="preserve"> responsibility to ensure the workspace was adequately lit to ensu</w:t>
      </w:r>
      <w:r w:rsidRPr="00630579">
        <w:rPr>
          <w:bCs/>
          <w:iCs/>
          <w:szCs w:val="26"/>
        </w:rPr>
        <w:t>re worker safety.</w:t>
      </w:r>
    </w:p>
    <w:p w14:paraId="0230F0D8" w14:textId="77777777" w:rsidR="00630579" w:rsidRPr="00630579" w:rsidRDefault="003E2177" w:rsidP="00630579">
      <w:pPr>
        <w:ind w:firstLine="720"/>
        <w:rPr>
          <w:bCs/>
          <w:iCs/>
          <w:szCs w:val="26"/>
        </w:rPr>
      </w:pPr>
      <w:r>
        <w:rPr>
          <w:bCs/>
          <w:iCs/>
          <w:szCs w:val="26"/>
        </w:rPr>
        <w:t>“</w:t>
      </w:r>
      <w:r w:rsidRPr="00630579">
        <w:rPr>
          <w:bCs/>
          <w:iCs/>
          <w:szCs w:val="26"/>
        </w:rPr>
        <w:t xml:space="preserve">Second, the fact that neither </w:t>
      </w:r>
      <w:r w:rsidR="00E12EA9">
        <w:rPr>
          <w:bCs/>
          <w:iCs/>
          <w:szCs w:val="26"/>
        </w:rPr>
        <w:t>[plaintiff]</w:t>
      </w:r>
      <w:r w:rsidRPr="00630579">
        <w:rPr>
          <w:bCs/>
          <w:iCs/>
          <w:szCs w:val="26"/>
        </w:rPr>
        <w:t xml:space="preserve"> nor his coworkers noticed any safety concerns in the crawl space, and none had recognized the panel </w:t>
      </w:r>
      <w:r w:rsidR="00E12EA9">
        <w:rPr>
          <w:bCs/>
          <w:iCs/>
          <w:szCs w:val="26"/>
        </w:rPr>
        <w:t>[plaintiff]</w:t>
      </w:r>
      <w:r w:rsidRPr="00630579">
        <w:rPr>
          <w:bCs/>
          <w:iCs/>
          <w:szCs w:val="26"/>
        </w:rPr>
        <w:t xml:space="preserve"> fell through as a </w:t>
      </w:r>
      <w:r>
        <w:rPr>
          <w:bCs/>
          <w:iCs/>
          <w:szCs w:val="26"/>
        </w:rPr>
        <w:t>‘</w:t>
      </w:r>
      <w:r w:rsidRPr="00630579">
        <w:rPr>
          <w:bCs/>
          <w:iCs/>
          <w:szCs w:val="26"/>
        </w:rPr>
        <w:t>trap door,</w:t>
      </w:r>
      <w:r>
        <w:rPr>
          <w:bCs/>
          <w:iCs/>
          <w:szCs w:val="26"/>
        </w:rPr>
        <w:t>’</w:t>
      </w:r>
      <w:r w:rsidRPr="00630579">
        <w:rPr>
          <w:bCs/>
          <w:iCs/>
          <w:szCs w:val="26"/>
        </w:rPr>
        <w:t xml:space="preserve"> is not sufficient to suggest the trap door was concealed from the perspective of </w:t>
      </w:r>
      <w:r>
        <w:rPr>
          <w:bCs/>
          <w:iCs/>
          <w:szCs w:val="26"/>
        </w:rPr>
        <w:t>[the contractor]</w:t>
      </w:r>
      <w:r w:rsidRPr="00630579">
        <w:rPr>
          <w:bCs/>
          <w:iCs/>
          <w:szCs w:val="26"/>
        </w:rPr>
        <w:t xml:space="preserve">. </w:t>
      </w:r>
      <w:r>
        <w:rPr>
          <w:bCs/>
          <w:iCs/>
          <w:szCs w:val="26"/>
        </w:rPr>
        <w:t xml:space="preserve"> [The contractor] </w:t>
      </w:r>
      <w:r w:rsidRPr="00630579">
        <w:rPr>
          <w:bCs/>
          <w:iCs/>
          <w:szCs w:val="26"/>
        </w:rPr>
        <w:t xml:space="preserve">had a duty to inspect the work premises for potential safety hazards; </w:t>
      </w:r>
      <w:r w:rsidR="00E12EA9">
        <w:rPr>
          <w:bCs/>
          <w:iCs/>
          <w:szCs w:val="26"/>
        </w:rPr>
        <w:t>[plaintiff]</w:t>
      </w:r>
      <w:r w:rsidRPr="00630579">
        <w:rPr>
          <w:bCs/>
          <w:iCs/>
          <w:szCs w:val="26"/>
        </w:rPr>
        <w:t xml:space="preserve"> offers no evidence that any such inspection occurred.</w:t>
      </w:r>
    </w:p>
    <w:p w14:paraId="0230F0D9" w14:textId="77777777" w:rsidR="00630579" w:rsidRPr="00630579" w:rsidRDefault="003E2177" w:rsidP="00A64F7E">
      <w:pPr>
        <w:ind w:firstLine="720"/>
        <w:rPr>
          <w:bCs/>
          <w:iCs/>
          <w:szCs w:val="26"/>
        </w:rPr>
      </w:pPr>
      <w:r>
        <w:rPr>
          <w:bCs/>
          <w:iCs/>
          <w:szCs w:val="26"/>
        </w:rPr>
        <w:t>“</w:t>
      </w:r>
      <w:r w:rsidRPr="00630579">
        <w:rPr>
          <w:bCs/>
          <w:iCs/>
          <w:szCs w:val="26"/>
        </w:rPr>
        <w:t>T</w:t>
      </w:r>
      <w:r w:rsidRPr="00630579">
        <w:rPr>
          <w:bCs/>
          <w:iCs/>
          <w:szCs w:val="26"/>
        </w:rPr>
        <w:t xml:space="preserve">he photographs in our record demonstrate that, had </w:t>
      </w:r>
      <w:r>
        <w:rPr>
          <w:bCs/>
          <w:iCs/>
          <w:szCs w:val="26"/>
        </w:rPr>
        <w:t xml:space="preserve">[the contractors’] </w:t>
      </w:r>
      <w:r w:rsidRPr="00630579">
        <w:rPr>
          <w:bCs/>
          <w:iCs/>
          <w:szCs w:val="26"/>
        </w:rPr>
        <w:t xml:space="preserve">employees engaged in a safety inspection of the premises, they would have seen the plywood panel which turned out to be the sealed </w:t>
      </w:r>
      <w:r>
        <w:rPr>
          <w:bCs/>
          <w:iCs/>
          <w:szCs w:val="26"/>
        </w:rPr>
        <w:t>‘</w:t>
      </w:r>
      <w:r w:rsidRPr="00630579">
        <w:rPr>
          <w:bCs/>
          <w:iCs/>
          <w:szCs w:val="26"/>
        </w:rPr>
        <w:t>trap door</w:t>
      </w:r>
      <w:r>
        <w:rPr>
          <w:bCs/>
          <w:iCs/>
          <w:szCs w:val="26"/>
        </w:rPr>
        <w:t>’</w:t>
      </w:r>
      <w:r w:rsidRPr="00630579">
        <w:rPr>
          <w:bCs/>
          <w:iCs/>
          <w:szCs w:val="26"/>
        </w:rPr>
        <w:t xml:space="preserve"> exposed in the crawl space as the wallboard</w:t>
      </w:r>
      <w:r w:rsidRPr="00630579">
        <w:rPr>
          <w:bCs/>
          <w:iCs/>
          <w:szCs w:val="26"/>
        </w:rPr>
        <w:t xml:space="preserve"> </w:t>
      </w:r>
      <w:r>
        <w:rPr>
          <w:bCs/>
          <w:iCs/>
          <w:szCs w:val="26"/>
        </w:rPr>
        <w:t>‘</w:t>
      </w:r>
      <w:r w:rsidRPr="00630579">
        <w:rPr>
          <w:bCs/>
          <w:iCs/>
          <w:szCs w:val="26"/>
        </w:rPr>
        <w:t>floor</w:t>
      </w:r>
      <w:r>
        <w:rPr>
          <w:bCs/>
          <w:iCs/>
          <w:szCs w:val="26"/>
        </w:rPr>
        <w:t>’</w:t>
      </w:r>
      <w:r w:rsidRPr="00630579">
        <w:rPr>
          <w:bCs/>
          <w:iCs/>
          <w:szCs w:val="26"/>
        </w:rPr>
        <w:t xml:space="preserve"> laid across the top of the joists was cut around it. </w:t>
      </w:r>
      <w:r>
        <w:rPr>
          <w:bCs/>
          <w:iCs/>
          <w:szCs w:val="26"/>
        </w:rPr>
        <w:t xml:space="preserve"> </w:t>
      </w:r>
      <w:r w:rsidRPr="00630579">
        <w:rPr>
          <w:bCs/>
          <w:iCs/>
          <w:szCs w:val="26"/>
        </w:rPr>
        <w:t xml:space="preserve">That recognition might well have revealed the existence of the sealed </w:t>
      </w:r>
      <w:r w:rsidR="00253566">
        <w:rPr>
          <w:bCs/>
          <w:iCs/>
          <w:szCs w:val="26"/>
        </w:rPr>
        <w:t>‘</w:t>
      </w:r>
      <w:r w:rsidRPr="00630579">
        <w:rPr>
          <w:bCs/>
          <w:iCs/>
          <w:szCs w:val="26"/>
        </w:rPr>
        <w:t>trap door.</w:t>
      </w:r>
      <w:r w:rsidR="00253566">
        <w:rPr>
          <w:bCs/>
          <w:iCs/>
          <w:szCs w:val="26"/>
        </w:rPr>
        <w:t>’</w:t>
      </w:r>
    </w:p>
    <w:p w14:paraId="0230F0DA" w14:textId="77777777" w:rsidR="00630579" w:rsidRPr="00630579" w:rsidRDefault="003E2177" w:rsidP="00630579">
      <w:pPr>
        <w:ind w:firstLine="720"/>
        <w:rPr>
          <w:bCs/>
          <w:iCs/>
          <w:szCs w:val="26"/>
        </w:rPr>
      </w:pPr>
      <w:r>
        <w:rPr>
          <w:bCs/>
          <w:iCs/>
          <w:szCs w:val="26"/>
        </w:rPr>
        <w:t>“</w:t>
      </w:r>
      <w:r w:rsidRPr="00630579">
        <w:rPr>
          <w:bCs/>
          <w:iCs/>
          <w:szCs w:val="26"/>
        </w:rPr>
        <w:t xml:space="preserve">A reasonable inspection would have also revealed that the exposed plywood surface was attached to the </w:t>
      </w:r>
      <w:r w:rsidRPr="00E96DDB">
        <w:rPr>
          <w:bCs/>
          <w:i/>
          <w:szCs w:val="26"/>
        </w:rPr>
        <w:t>bottom</w:t>
      </w:r>
      <w:r w:rsidRPr="00630579">
        <w:rPr>
          <w:bCs/>
          <w:iCs/>
          <w:szCs w:val="26"/>
        </w:rPr>
        <w:t xml:space="preserve"> </w:t>
      </w:r>
      <w:r w:rsidRPr="00630579">
        <w:rPr>
          <w:bCs/>
          <w:iCs/>
          <w:szCs w:val="26"/>
        </w:rPr>
        <w:t xml:space="preserve">of the joists, rather than the top of them. </w:t>
      </w:r>
      <w:r>
        <w:rPr>
          <w:bCs/>
          <w:iCs/>
          <w:szCs w:val="26"/>
        </w:rPr>
        <w:t xml:space="preserve"> </w:t>
      </w:r>
      <w:r w:rsidRPr="00630579">
        <w:rPr>
          <w:bCs/>
          <w:iCs/>
          <w:szCs w:val="26"/>
        </w:rPr>
        <w:t xml:space="preserve">The </w:t>
      </w:r>
      <w:r>
        <w:rPr>
          <w:bCs/>
          <w:iCs/>
          <w:szCs w:val="26"/>
        </w:rPr>
        <w:t>[contractor’s]</w:t>
      </w:r>
      <w:r w:rsidRPr="00630579">
        <w:rPr>
          <w:bCs/>
          <w:iCs/>
          <w:szCs w:val="26"/>
        </w:rPr>
        <w:t xml:space="preserve"> employees would thus have recognized the plywood functioned as part of the ceiling of the room below, rather than part of the floor of the crawl space.</w:t>
      </w:r>
    </w:p>
    <w:p w14:paraId="0230F0DB" w14:textId="77777777" w:rsidR="00630579" w:rsidRPr="00630579" w:rsidRDefault="003E2177" w:rsidP="00630579">
      <w:pPr>
        <w:ind w:firstLine="720"/>
        <w:rPr>
          <w:bCs/>
          <w:iCs/>
          <w:szCs w:val="26"/>
        </w:rPr>
      </w:pPr>
      <w:r>
        <w:rPr>
          <w:bCs/>
          <w:iCs/>
          <w:szCs w:val="26"/>
        </w:rPr>
        <w:lastRenderedPageBreak/>
        <w:t>“</w:t>
      </w:r>
      <w:r w:rsidRPr="00630579">
        <w:rPr>
          <w:bCs/>
          <w:iCs/>
          <w:szCs w:val="26"/>
        </w:rPr>
        <w:t xml:space="preserve">Third, </w:t>
      </w:r>
      <w:r w:rsidR="008475D0">
        <w:rPr>
          <w:bCs/>
          <w:iCs/>
          <w:szCs w:val="26"/>
        </w:rPr>
        <w:t>[plaintiff]</w:t>
      </w:r>
      <w:r w:rsidRPr="00630579">
        <w:rPr>
          <w:bCs/>
          <w:iCs/>
          <w:szCs w:val="26"/>
        </w:rPr>
        <w:t xml:space="preserve"> ignores the undisput</w:t>
      </w:r>
      <w:r w:rsidRPr="00630579">
        <w:rPr>
          <w:bCs/>
          <w:iCs/>
          <w:szCs w:val="26"/>
        </w:rPr>
        <w:t xml:space="preserve">ed evidence which reflected that the </w:t>
      </w:r>
      <w:r>
        <w:rPr>
          <w:bCs/>
          <w:iCs/>
          <w:szCs w:val="26"/>
        </w:rPr>
        <w:t>[contractor’s]</w:t>
      </w:r>
      <w:r w:rsidRPr="00630579">
        <w:rPr>
          <w:bCs/>
          <w:iCs/>
          <w:szCs w:val="26"/>
        </w:rPr>
        <w:t xml:space="preserve"> employees were trained that when working in a crawl space between the roof of a building and the ceiling of the interior space below, they could not assume the surfaces below them would hold their weight.</w:t>
      </w:r>
      <w:r w:rsidRPr="00630579">
        <w:rPr>
          <w:bCs/>
          <w:iCs/>
          <w:szCs w:val="26"/>
        </w:rPr>
        <w:t xml:space="preserve"> </w:t>
      </w:r>
      <w:r>
        <w:rPr>
          <w:bCs/>
          <w:iCs/>
          <w:szCs w:val="26"/>
        </w:rPr>
        <w:t xml:space="preserve"> </w:t>
      </w:r>
      <w:r w:rsidRPr="00630579">
        <w:rPr>
          <w:bCs/>
          <w:iCs/>
          <w:szCs w:val="26"/>
        </w:rPr>
        <w:t xml:space="preserve">They were trained to check any flooring before putting their weight on it, to move around on all fours as much as possible to distribute their weight, and to do their best to stay on top of the floor joists </w:t>
      </w:r>
      <w:r w:rsidR="005B0EE6">
        <w:rPr>
          <w:bCs/>
          <w:iCs/>
          <w:szCs w:val="26"/>
        </w:rPr>
        <w:t>. . .</w:t>
      </w:r>
      <w:r w:rsidRPr="00630579">
        <w:rPr>
          <w:bCs/>
          <w:iCs/>
          <w:szCs w:val="26"/>
        </w:rPr>
        <w:t xml:space="preserve"> because stepping onto other surfaces woul</w:t>
      </w:r>
      <w:r w:rsidRPr="00630579">
        <w:rPr>
          <w:bCs/>
          <w:iCs/>
          <w:szCs w:val="26"/>
        </w:rPr>
        <w:t xml:space="preserve">d risk going </w:t>
      </w:r>
      <w:r w:rsidR="001D706B">
        <w:rPr>
          <w:bCs/>
          <w:iCs/>
          <w:szCs w:val="26"/>
        </w:rPr>
        <w:t>‘</w:t>
      </w:r>
      <w:r w:rsidRPr="00630579">
        <w:rPr>
          <w:bCs/>
          <w:iCs/>
          <w:szCs w:val="26"/>
        </w:rPr>
        <w:t>through the drywall or through the ceiling.</w:t>
      </w:r>
      <w:r>
        <w:rPr>
          <w:bCs/>
          <w:iCs/>
          <w:szCs w:val="26"/>
        </w:rPr>
        <w:t>’</w:t>
      </w:r>
      <w:r w:rsidR="00704F7A">
        <w:rPr>
          <w:bCs/>
          <w:iCs/>
          <w:szCs w:val="26"/>
        </w:rPr>
        <w:t xml:space="preserve">  [Fn. omitted.]</w:t>
      </w:r>
    </w:p>
    <w:p w14:paraId="0230F0DC" w14:textId="77777777" w:rsidR="00630579" w:rsidRPr="00630579" w:rsidRDefault="003E2177" w:rsidP="00630579">
      <w:pPr>
        <w:ind w:firstLine="720"/>
        <w:rPr>
          <w:bCs/>
          <w:iCs/>
          <w:szCs w:val="26"/>
        </w:rPr>
      </w:pPr>
      <w:r>
        <w:rPr>
          <w:bCs/>
          <w:iCs/>
          <w:szCs w:val="26"/>
        </w:rPr>
        <w:t>“</w:t>
      </w:r>
      <w:r w:rsidRPr="00630579">
        <w:rPr>
          <w:bCs/>
          <w:iCs/>
          <w:szCs w:val="26"/>
        </w:rPr>
        <w:t xml:space="preserve">Based on that undisputed evidence, we conclude, as a matter of law, if </w:t>
      </w:r>
      <w:r>
        <w:rPr>
          <w:bCs/>
          <w:iCs/>
          <w:szCs w:val="26"/>
        </w:rPr>
        <w:t>[the contractor]</w:t>
      </w:r>
      <w:r w:rsidRPr="00630579">
        <w:rPr>
          <w:bCs/>
          <w:iCs/>
          <w:szCs w:val="26"/>
        </w:rPr>
        <w:t xml:space="preserve"> (i.e., </w:t>
      </w:r>
      <w:r w:rsidR="00C7465E">
        <w:rPr>
          <w:bCs/>
          <w:iCs/>
          <w:szCs w:val="26"/>
        </w:rPr>
        <w:t>[plaintiff]</w:t>
      </w:r>
      <w:r w:rsidRPr="00630579">
        <w:rPr>
          <w:bCs/>
          <w:iCs/>
          <w:szCs w:val="26"/>
        </w:rPr>
        <w:t xml:space="preserve"> and his coworkers) inspected the premises for safety issues, they would h</w:t>
      </w:r>
      <w:r w:rsidRPr="00630579">
        <w:rPr>
          <w:bCs/>
          <w:iCs/>
          <w:szCs w:val="26"/>
        </w:rPr>
        <w:t>ave recognized that the access panel which appeared to be part of the ceiling below the joists, was unsafe to walk on.</w:t>
      </w:r>
      <w:r w:rsidR="00704F7A">
        <w:rPr>
          <w:bCs/>
          <w:iCs/>
          <w:szCs w:val="26"/>
        </w:rPr>
        <w:t xml:space="preserve">  [Fn.</w:t>
      </w:r>
      <w:r w:rsidR="002D030B">
        <w:rPr>
          <w:bCs/>
          <w:iCs/>
          <w:szCs w:val="26"/>
        </w:rPr>
        <w:t> </w:t>
      </w:r>
      <w:r w:rsidR="00704F7A">
        <w:rPr>
          <w:bCs/>
          <w:iCs/>
          <w:szCs w:val="26"/>
        </w:rPr>
        <w:t>omitted.]</w:t>
      </w:r>
    </w:p>
    <w:p w14:paraId="0230F0DD" w14:textId="77777777" w:rsidR="00630579" w:rsidRDefault="003E2177" w:rsidP="00630579">
      <w:pPr>
        <w:ind w:firstLine="720"/>
        <w:rPr>
          <w:bCs/>
          <w:iCs/>
          <w:szCs w:val="26"/>
        </w:rPr>
      </w:pPr>
      <w:r>
        <w:rPr>
          <w:bCs/>
          <w:iCs/>
          <w:szCs w:val="26"/>
        </w:rPr>
        <w:t>“</w:t>
      </w:r>
      <w:r w:rsidRPr="00630579">
        <w:rPr>
          <w:bCs/>
          <w:iCs/>
          <w:szCs w:val="26"/>
        </w:rPr>
        <w:t xml:space="preserve">We consequently reject </w:t>
      </w:r>
      <w:r w:rsidR="00C7465E">
        <w:rPr>
          <w:bCs/>
          <w:iCs/>
          <w:szCs w:val="26"/>
        </w:rPr>
        <w:t xml:space="preserve">[plaintiff’s] </w:t>
      </w:r>
      <w:r w:rsidRPr="00630579">
        <w:rPr>
          <w:bCs/>
          <w:iCs/>
          <w:szCs w:val="26"/>
        </w:rPr>
        <w:t>contention there is a triable issue of fact about whether the plywood panel</w:t>
      </w:r>
      <w:r>
        <w:rPr>
          <w:bCs/>
          <w:iCs/>
          <w:szCs w:val="26"/>
        </w:rPr>
        <w:t>’</w:t>
      </w:r>
      <w:r w:rsidRPr="00630579">
        <w:rPr>
          <w:bCs/>
          <w:iCs/>
          <w:szCs w:val="26"/>
        </w:rPr>
        <w:t xml:space="preserve">s status as a </w:t>
      </w:r>
      <w:r>
        <w:rPr>
          <w:bCs/>
          <w:iCs/>
          <w:szCs w:val="26"/>
        </w:rPr>
        <w:t>‘</w:t>
      </w:r>
      <w:r w:rsidRPr="00630579">
        <w:rPr>
          <w:bCs/>
          <w:iCs/>
          <w:szCs w:val="26"/>
        </w:rPr>
        <w:t>trap door</w:t>
      </w:r>
      <w:r>
        <w:rPr>
          <w:bCs/>
          <w:iCs/>
          <w:szCs w:val="26"/>
        </w:rPr>
        <w:t>’</w:t>
      </w:r>
      <w:r w:rsidRPr="00630579">
        <w:rPr>
          <w:bCs/>
          <w:iCs/>
          <w:szCs w:val="26"/>
        </w:rPr>
        <w:t xml:space="preserve"> was concealed from </w:t>
      </w:r>
      <w:r>
        <w:rPr>
          <w:bCs/>
          <w:iCs/>
          <w:szCs w:val="26"/>
        </w:rPr>
        <w:t xml:space="preserve">[the contractor] </w:t>
      </w:r>
      <w:r w:rsidRPr="00630579">
        <w:rPr>
          <w:bCs/>
          <w:iCs/>
          <w:szCs w:val="26"/>
        </w:rPr>
        <w:t xml:space="preserve">and its employees. Whether or not it could be readily identified as a </w:t>
      </w:r>
      <w:r>
        <w:rPr>
          <w:bCs/>
          <w:iCs/>
          <w:szCs w:val="26"/>
        </w:rPr>
        <w:t>‘</w:t>
      </w:r>
      <w:r w:rsidRPr="00630579">
        <w:rPr>
          <w:bCs/>
          <w:iCs/>
          <w:szCs w:val="26"/>
        </w:rPr>
        <w:t>trap door,</w:t>
      </w:r>
      <w:r>
        <w:rPr>
          <w:bCs/>
          <w:iCs/>
          <w:szCs w:val="26"/>
        </w:rPr>
        <w:t>’</w:t>
      </w:r>
      <w:r w:rsidRPr="00630579">
        <w:rPr>
          <w:bCs/>
          <w:iCs/>
          <w:szCs w:val="26"/>
        </w:rPr>
        <w:t xml:space="preserve"> its hazardous nature was not concealed from the workers in the crawl space.</w:t>
      </w:r>
      <w:r w:rsidR="004352FF">
        <w:rPr>
          <w:bCs/>
          <w:iCs/>
          <w:szCs w:val="26"/>
        </w:rPr>
        <w:t>”  (</w:t>
      </w:r>
      <w:r w:rsidRPr="004352FF">
        <w:rPr>
          <w:bCs/>
          <w:i/>
          <w:szCs w:val="26"/>
        </w:rPr>
        <w:t>Blaylock</w:t>
      </w:r>
      <w:r w:rsidR="004352FF">
        <w:rPr>
          <w:bCs/>
          <w:iCs/>
          <w:szCs w:val="26"/>
        </w:rPr>
        <w:t>,</w:t>
      </w:r>
      <w:r w:rsidR="0048010F">
        <w:rPr>
          <w:bCs/>
          <w:iCs/>
          <w:szCs w:val="26"/>
        </w:rPr>
        <w:t xml:space="preserve"> </w:t>
      </w:r>
      <w:r w:rsidR="0048010F" w:rsidRPr="0048010F">
        <w:rPr>
          <w:bCs/>
          <w:i/>
          <w:szCs w:val="26"/>
        </w:rPr>
        <w:t>supra</w:t>
      </w:r>
      <w:r w:rsidR="0048010F">
        <w:rPr>
          <w:bCs/>
          <w:iCs/>
          <w:szCs w:val="26"/>
        </w:rPr>
        <w:t>, 92 Cal.App.5th</w:t>
      </w:r>
      <w:r w:rsidR="004352FF">
        <w:rPr>
          <w:bCs/>
          <w:iCs/>
          <w:szCs w:val="26"/>
        </w:rPr>
        <w:t xml:space="preserve"> </w:t>
      </w:r>
      <w:r w:rsidRPr="00630579">
        <w:rPr>
          <w:bCs/>
          <w:iCs/>
          <w:szCs w:val="26"/>
        </w:rPr>
        <w:t xml:space="preserve">at </w:t>
      </w:r>
      <w:r w:rsidR="004352FF">
        <w:rPr>
          <w:bCs/>
          <w:iCs/>
          <w:szCs w:val="26"/>
        </w:rPr>
        <w:t>p</w:t>
      </w:r>
      <w:r w:rsidR="00FE6834">
        <w:rPr>
          <w:bCs/>
          <w:iCs/>
          <w:szCs w:val="26"/>
        </w:rPr>
        <w:t>p</w:t>
      </w:r>
      <w:r w:rsidR="004352FF">
        <w:rPr>
          <w:bCs/>
          <w:iCs/>
          <w:szCs w:val="26"/>
        </w:rPr>
        <w:t xml:space="preserve">. </w:t>
      </w:r>
      <w:r w:rsidR="00FE6834">
        <w:rPr>
          <w:bCs/>
          <w:iCs/>
          <w:szCs w:val="26"/>
        </w:rPr>
        <w:t>872–</w:t>
      </w:r>
      <w:r w:rsidR="005B2142">
        <w:rPr>
          <w:bCs/>
          <w:iCs/>
          <w:szCs w:val="26"/>
        </w:rPr>
        <w:t>873</w:t>
      </w:r>
      <w:r w:rsidR="004352FF">
        <w:rPr>
          <w:bCs/>
          <w:iCs/>
          <w:szCs w:val="26"/>
        </w:rPr>
        <w:t>.)</w:t>
      </w:r>
    </w:p>
    <w:p w14:paraId="0230F0DE" w14:textId="77777777" w:rsidR="002D3F0A" w:rsidRDefault="003E2177" w:rsidP="00630579">
      <w:pPr>
        <w:ind w:firstLine="720"/>
        <w:rPr>
          <w:bCs/>
          <w:iCs/>
          <w:szCs w:val="26"/>
        </w:rPr>
      </w:pPr>
      <w:r>
        <w:rPr>
          <w:bCs/>
          <w:iCs/>
          <w:szCs w:val="26"/>
        </w:rPr>
        <w:t>With these principles in mind, we now turn to the facts of the present case.</w:t>
      </w:r>
    </w:p>
    <w:p w14:paraId="0230F0DF" w14:textId="77777777" w:rsidR="00601B1E" w:rsidRDefault="003E2177" w:rsidP="000D6F67">
      <w:pPr>
        <w:pStyle w:val="Heading2"/>
        <w:keepNext/>
      </w:pPr>
      <w:r w:rsidRPr="000D3F3D">
        <w:t>I</w:t>
      </w:r>
      <w:r>
        <w:t>I</w:t>
      </w:r>
      <w:r w:rsidRPr="000D3F3D">
        <w:t>I.</w:t>
      </w:r>
      <w:r w:rsidRPr="000D3F3D">
        <w:tab/>
        <w:t>The jury’s verdict is not supported by substantial evidence</w:t>
      </w:r>
      <w:r w:rsidR="00F47073">
        <w:t xml:space="preserve"> because the </w:t>
      </w:r>
      <w:r w:rsidR="00725ED2">
        <w:t xml:space="preserve">hazardous </w:t>
      </w:r>
      <w:r w:rsidR="00F47073">
        <w:t xml:space="preserve">condition of the roof hatch </w:t>
      </w:r>
      <w:r w:rsidR="00725ED2">
        <w:t xml:space="preserve">and ladder were </w:t>
      </w:r>
      <w:r w:rsidR="00F47073">
        <w:t>not concealed as a matter of law</w:t>
      </w:r>
      <w:r w:rsidRPr="000D3F3D">
        <w:t>.</w:t>
      </w:r>
    </w:p>
    <w:p w14:paraId="0230F0E0" w14:textId="77777777" w:rsidR="00601B1E" w:rsidRDefault="003E2177" w:rsidP="00630579">
      <w:pPr>
        <w:ind w:firstLine="720"/>
        <w:rPr>
          <w:bCs/>
          <w:iCs/>
          <w:szCs w:val="26"/>
        </w:rPr>
      </w:pPr>
      <w:r>
        <w:rPr>
          <w:bCs/>
          <w:iCs/>
          <w:szCs w:val="26"/>
        </w:rPr>
        <w:t xml:space="preserve">Defendants contend that under the cases discussed above, the </w:t>
      </w:r>
      <w:r w:rsidR="000D6F67">
        <w:rPr>
          <w:bCs/>
          <w:iCs/>
          <w:szCs w:val="26"/>
        </w:rPr>
        <w:t xml:space="preserve">hazard presented by the roof hatch </w:t>
      </w:r>
      <w:r w:rsidR="00725ED2">
        <w:rPr>
          <w:bCs/>
          <w:iCs/>
          <w:szCs w:val="26"/>
        </w:rPr>
        <w:t xml:space="preserve">and ladder were </w:t>
      </w:r>
      <w:r w:rsidR="000D6F67">
        <w:rPr>
          <w:bCs/>
          <w:iCs/>
          <w:szCs w:val="26"/>
        </w:rPr>
        <w:t xml:space="preserve">not </w:t>
      </w:r>
      <w:r w:rsidR="000D6F67">
        <w:rPr>
          <w:bCs/>
          <w:iCs/>
          <w:szCs w:val="26"/>
        </w:rPr>
        <w:lastRenderedPageBreak/>
        <w:t xml:space="preserve">concealed as a matter of law.  </w:t>
      </w:r>
      <w:proofErr w:type="gramStart"/>
      <w:r w:rsidR="009723E0">
        <w:rPr>
          <w:bCs/>
          <w:iCs/>
          <w:szCs w:val="26"/>
        </w:rPr>
        <w:t>For the reasons that</w:t>
      </w:r>
      <w:proofErr w:type="gramEnd"/>
      <w:r w:rsidR="009723E0">
        <w:rPr>
          <w:bCs/>
          <w:iCs/>
          <w:szCs w:val="26"/>
        </w:rPr>
        <w:t xml:space="preserve"> follow, w</w:t>
      </w:r>
      <w:r w:rsidR="000D6F67">
        <w:rPr>
          <w:bCs/>
          <w:iCs/>
          <w:szCs w:val="26"/>
        </w:rPr>
        <w:t>e agree.</w:t>
      </w:r>
    </w:p>
    <w:p w14:paraId="0230F0E1" w14:textId="77777777" w:rsidR="00F131CA" w:rsidRDefault="003E2177" w:rsidP="00F131CA">
      <w:pPr>
        <w:ind w:firstLine="720"/>
        <w:rPr>
          <w:bCs/>
          <w:iCs/>
          <w:szCs w:val="26"/>
        </w:rPr>
      </w:pPr>
      <w:r>
        <w:rPr>
          <w:bCs/>
          <w:iCs/>
          <w:szCs w:val="26"/>
        </w:rPr>
        <w:t xml:space="preserve">As discussed above, </w:t>
      </w:r>
      <w:r w:rsidR="00423BB3">
        <w:rPr>
          <w:bCs/>
          <w:iCs/>
          <w:szCs w:val="26"/>
        </w:rPr>
        <w:t xml:space="preserve">under </w:t>
      </w:r>
      <w:r w:rsidR="00423BB3">
        <w:rPr>
          <w:bCs/>
          <w:i/>
          <w:szCs w:val="26"/>
        </w:rPr>
        <w:t>Kinsman</w:t>
      </w:r>
      <w:r w:rsidR="00423BB3">
        <w:rPr>
          <w:bCs/>
          <w:iCs/>
          <w:szCs w:val="26"/>
        </w:rPr>
        <w:t xml:space="preserve">, a </w:t>
      </w:r>
      <w:r w:rsidR="00B8236D">
        <w:rPr>
          <w:bCs/>
          <w:iCs/>
          <w:szCs w:val="26"/>
        </w:rPr>
        <w:t>landowner</w:t>
      </w:r>
      <w:r w:rsidR="00826111">
        <w:rPr>
          <w:bCs/>
          <w:iCs/>
          <w:szCs w:val="26"/>
        </w:rPr>
        <w:t xml:space="preserve"> </w:t>
      </w:r>
      <w:r w:rsidR="00423BB3" w:rsidRPr="00423BB3">
        <w:rPr>
          <w:bCs/>
          <w:iCs/>
          <w:szCs w:val="26"/>
        </w:rPr>
        <w:t xml:space="preserve">may be liable </w:t>
      </w:r>
      <w:r w:rsidR="00801248">
        <w:rPr>
          <w:bCs/>
          <w:iCs/>
          <w:szCs w:val="26"/>
        </w:rPr>
        <w:t xml:space="preserve">for an injury </w:t>
      </w:r>
      <w:r w:rsidR="00423BB3" w:rsidRPr="00423BB3">
        <w:rPr>
          <w:bCs/>
          <w:iCs/>
          <w:szCs w:val="26"/>
        </w:rPr>
        <w:t xml:space="preserve">to </w:t>
      </w:r>
      <w:r w:rsidR="006352A3">
        <w:rPr>
          <w:bCs/>
          <w:iCs/>
          <w:szCs w:val="26"/>
        </w:rPr>
        <w:t xml:space="preserve">an independent </w:t>
      </w:r>
      <w:r w:rsidR="00423BB3" w:rsidRPr="00423BB3">
        <w:rPr>
          <w:bCs/>
          <w:iCs/>
          <w:szCs w:val="26"/>
        </w:rPr>
        <w:t>contractor</w:t>
      </w:r>
      <w:r w:rsidR="006352A3">
        <w:rPr>
          <w:bCs/>
          <w:iCs/>
          <w:szCs w:val="26"/>
        </w:rPr>
        <w:t>’</w:t>
      </w:r>
      <w:r w:rsidR="00423BB3" w:rsidRPr="00423BB3">
        <w:rPr>
          <w:bCs/>
          <w:iCs/>
          <w:szCs w:val="26"/>
        </w:rPr>
        <w:t xml:space="preserve">s employee, even if it does not retain control over the work, if </w:t>
      </w:r>
      <w:r w:rsidR="00801248">
        <w:rPr>
          <w:bCs/>
          <w:iCs/>
          <w:szCs w:val="26"/>
        </w:rPr>
        <w:t>“</w:t>
      </w:r>
      <w:r w:rsidR="00423BB3" w:rsidRPr="00423BB3">
        <w:rPr>
          <w:bCs/>
          <w:iCs/>
          <w:szCs w:val="26"/>
        </w:rPr>
        <w:t xml:space="preserve">(1) it knows or reasonably should know of a concealed, preexisting hazardous condition on its premises; (2) </w:t>
      </w:r>
      <w:r w:rsidR="00423BB3" w:rsidRPr="00916BEB">
        <w:rPr>
          <w:bCs/>
          <w:iCs/>
          <w:szCs w:val="26"/>
        </w:rPr>
        <w:t>the contractor does not know and</w:t>
      </w:r>
      <w:r w:rsidR="00423BB3" w:rsidRPr="00801248">
        <w:rPr>
          <w:bCs/>
          <w:i/>
          <w:szCs w:val="26"/>
        </w:rPr>
        <w:t xml:space="preserve"> </w:t>
      </w:r>
      <w:r w:rsidR="00423BB3" w:rsidRPr="00916BEB">
        <w:rPr>
          <w:bCs/>
          <w:iCs/>
          <w:szCs w:val="26"/>
        </w:rPr>
        <w:t>could not reasonably ascertain the condition</w:t>
      </w:r>
      <w:r w:rsidR="00423BB3" w:rsidRPr="00423BB3">
        <w:rPr>
          <w:bCs/>
          <w:iCs/>
          <w:szCs w:val="26"/>
        </w:rPr>
        <w:t>; and (3) the landowner fails to warn the contractor</w:t>
      </w:r>
      <w:r w:rsidR="00801248">
        <w:rPr>
          <w:bCs/>
          <w:iCs/>
          <w:szCs w:val="26"/>
        </w:rPr>
        <w:t>.”  (</w:t>
      </w:r>
      <w:r w:rsidR="00801248">
        <w:rPr>
          <w:bCs/>
          <w:i/>
          <w:szCs w:val="26"/>
        </w:rPr>
        <w:t>Kinsman</w:t>
      </w:r>
      <w:r w:rsidR="00801248">
        <w:rPr>
          <w:bCs/>
          <w:iCs/>
          <w:szCs w:val="26"/>
        </w:rPr>
        <w:t xml:space="preserve">, </w:t>
      </w:r>
      <w:r w:rsidR="00801248">
        <w:rPr>
          <w:bCs/>
          <w:i/>
          <w:szCs w:val="26"/>
        </w:rPr>
        <w:t>supra</w:t>
      </w:r>
      <w:r w:rsidR="00801248">
        <w:rPr>
          <w:bCs/>
          <w:iCs/>
          <w:szCs w:val="26"/>
        </w:rPr>
        <w:t xml:space="preserve">, </w:t>
      </w:r>
      <w:r w:rsidR="00423BB3" w:rsidRPr="00423BB3">
        <w:rPr>
          <w:bCs/>
          <w:iCs/>
          <w:szCs w:val="26"/>
        </w:rPr>
        <w:t>37</w:t>
      </w:r>
      <w:r w:rsidR="00801248">
        <w:rPr>
          <w:bCs/>
          <w:iCs/>
          <w:szCs w:val="26"/>
        </w:rPr>
        <w:t> </w:t>
      </w:r>
      <w:r w:rsidR="00423BB3" w:rsidRPr="00423BB3">
        <w:rPr>
          <w:bCs/>
          <w:iCs/>
          <w:szCs w:val="26"/>
        </w:rPr>
        <w:t xml:space="preserve">Cal.4th </w:t>
      </w:r>
      <w:r w:rsidR="00801248">
        <w:rPr>
          <w:bCs/>
          <w:iCs/>
          <w:szCs w:val="26"/>
        </w:rPr>
        <w:t xml:space="preserve">at p. </w:t>
      </w:r>
      <w:r w:rsidR="00423BB3" w:rsidRPr="00423BB3">
        <w:rPr>
          <w:bCs/>
          <w:iCs/>
          <w:szCs w:val="26"/>
        </w:rPr>
        <w:t>675</w:t>
      </w:r>
      <w:r w:rsidR="00801248">
        <w:rPr>
          <w:bCs/>
          <w:iCs/>
          <w:szCs w:val="26"/>
        </w:rPr>
        <w:t>.)</w:t>
      </w:r>
      <w:r w:rsidR="0064525F">
        <w:rPr>
          <w:bCs/>
          <w:iCs/>
          <w:szCs w:val="26"/>
        </w:rPr>
        <w:t xml:space="preserve">  </w:t>
      </w:r>
      <w:r w:rsidR="00185544">
        <w:rPr>
          <w:bCs/>
          <w:iCs/>
          <w:szCs w:val="26"/>
        </w:rPr>
        <w:t>In other words</w:t>
      </w:r>
      <w:r w:rsidR="0064525F">
        <w:rPr>
          <w:bCs/>
          <w:iCs/>
          <w:szCs w:val="26"/>
        </w:rPr>
        <w:t>,</w:t>
      </w:r>
      <w:r w:rsidR="00B8236D">
        <w:rPr>
          <w:bCs/>
          <w:iCs/>
          <w:szCs w:val="26"/>
        </w:rPr>
        <w:t xml:space="preserve"> </w:t>
      </w:r>
      <w:r w:rsidR="00ED1096">
        <w:rPr>
          <w:bCs/>
          <w:iCs/>
          <w:szCs w:val="26"/>
        </w:rPr>
        <w:t>a</w:t>
      </w:r>
      <w:r w:rsidR="003F630C">
        <w:rPr>
          <w:bCs/>
          <w:iCs/>
          <w:szCs w:val="26"/>
        </w:rPr>
        <w:t xml:space="preserve"> landowner</w:t>
      </w:r>
      <w:r w:rsidR="00B8236D">
        <w:rPr>
          <w:bCs/>
          <w:iCs/>
          <w:szCs w:val="26"/>
        </w:rPr>
        <w:t xml:space="preserve"> </w:t>
      </w:r>
      <w:r w:rsidR="00ED1096">
        <w:rPr>
          <w:bCs/>
          <w:iCs/>
          <w:szCs w:val="26"/>
        </w:rPr>
        <w:t xml:space="preserve">who </w:t>
      </w:r>
      <w:r w:rsidR="00B8236D">
        <w:rPr>
          <w:bCs/>
          <w:iCs/>
          <w:szCs w:val="26"/>
        </w:rPr>
        <w:t xml:space="preserve">fails to warn </w:t>
      </w:r>
      <w:r w:rsidR="00ED1096">
        <w:rPr>
          <w:bCs/>
          <w:iCs/>
          <w:szCs w:val="26"/>
        </w:rPr>
        <w:t>a</w:t>
      </w:r>
      <w:r w:rsidR="00B8236D">
        <w:rPr>
          <w:bCs/>
          <w:iCs/>
          <w:szCs w:val="26"/>
        </w:rPr>
        <w:t xml:space="preserve"> contractor of a </w:t>
      </w:r>
      <w:r w:rsidR="00566441">
        <w:rPr>
          <w:bCs/>
          <w:iCs/>
          <w:szCs w:val="26"/>
        </w:rPr>
        <w:t xml:space="preserve">known </w:t>
      </w:r>
      <w:r w:rsidR="00B8236D" w:rsidRPr="00423BB3">
        <w:rPr>
          <w:bCs/>
          <w:iCs/>
          <w:szCs w:val="26"/>
        </w:rPr>
        <w:t xml:space="preserve">hazardous condition </w:t>
      </w:r>
      <w:r w:rsidR="00566441">
        <w:rPr>
          <w:bCs/>
          <w:iCs/>
          <w:szCs w:val="26"/>
        </w:rPr>
        <w:t xml:space="preserve">on its property </w:t>
      </w:r>
      <w:r w:rsidR="00551924">
        <w:rPr>
          <w:bCs/>
          <w:iCs/>
          <w:szCs w:val="26"/>
        </w:rPr>
        <w:t xml:space="preserve">can be liable </w:t>
      </w:r>
      <w:r w:rsidR="003F630C">
        <w:rPr>
          <w:bCs/>
          <w:iCs/>
          <w:szCs w:val="26"/>
        </w:rPr>
        <w:t>to the contractor’s employe</w:t>
      </w:r>
      <w:r w:rsidR="00A33890">
        <w:rPr>
          <w:bCs/>
          <w:iCs/>
          <w:szCs w:val="26"/>
        </w:rPr>
        <w:t>e</w:t>
      </w:r>
      <w:r w:rsidR="003F630C">
        <w:rPr>
          <w:bCs/>
          <w:iCs/>
          <w:szCs w:val="26"/>
        </w:rPr>
        <w:t xml:space="preserve"> </w:t>
      </w:r>
      <w:r w:rsidR="003F630C" w:rsidRPr="00566441">
        <w:rPr>
          <w:bCs/>
          <w:iCs/>
          <w:szCs w:val="26"/>
        </w:rPr>
        <w:t>only</w:t>
      </w:r>
      <w:r w:rsidR="003F630C">
        <w:rPr>
          <w:bCs/>
          <w:iCs/>
          <w:szCs w:val="26"/>
        </w:rPr>
        <w:t xml:space="preserve"> if </w:t>
      </w:r>
      <w:r w:rsidR="0064525F" w:rsidRPr="00916BEB">
        <w:rPr>
          <w:bCs/>
          <w:iCs/>
          <w:szCs w:val="26"/>
        </w:rPr>
        <w:t xml:space="preserve">the contractor does not know </w:t>
      </w:r>
      <w:r w:rsidR="0064525F" w:rsidRPr="003F630C">
        <w:rPr>
          <w:bCs/>
          <w:i/>
          <w:szCs w:val="26"/>
        </w:rPr>
        <w:t xml:space="preserve">and </w:t>
      </w:r>
      <w:r w:rsidR="00F47073">
        <w:rPr>
          <w:bCs/>
          <w:i/>
          <w:szCs w:val="26"/>
        </w:rPr>
        <w:t>can</w:t>
      </w:r>
      <w:r w:rsidR="0064525F" w:rsidRPr="003F630C">
        <w:rPr>
          <w:bCs/>
          <w:i/>
          <w:szCs w:val="26"/>
        </w:rPr>
        <w:t>not reasonably ascertain</w:t>
      </w:r>
      <w:r w:rsidR="0064525F" w:rsidRPr="00916BEB">
        <w:rPr>
          <w:bCs/>
          <w:iCs/>
          <w:szCs w:val="26"/>
        </w:rPr>
        <w:t xml:space="preserve"> </w:t>
      </w:r>
      <w:r w:rsidR="003F630C">
        <w:rPr>
          <w:bCs/>
          <w:iCs/>
          <w:szCs w:val="26"/>
        </w:rPr>
        <w:t>th</w:t>
      </w:r>
      <w:r w:rsidR="00185544">
        <w:rPr>
          <w:bCs/>
          <w:iCs/>
          <w:szCs w:val="26"/>
        </w:rPr>
        <w:t>e</w:t>
      </w:r>
      <w:r w:rsidR="003F630C">
        <w:rPr>
          <w:bCs/>
          <w:iCs/>
          <w:szCs w:val="26"/>
        </w:rPr>
        <w:t xml:space="preserve"> condition.  </w:t>
      </w:r>
      <w:r w:rsidR="00160CB2">
        <w:rPr>
          <w:bCs/>
          <w:iCs/>
          <w:szCs w:val="26"/>
        </w:rPr>
        <w:t xml:space="preserve">Further, </w:t>
      </w:r>
      <w:r w:rsidR="00BE5BF5">
        <w:rPr>
          <w:bCs/>
          <w:iCs/>
          <w:szCs w:val="26"/>
        </w:rPr>
        <w:t xml:space="preserve">a contractor has </w:t>
      </w:r>
      <w:r w:rsidR="0070546D">
        <w:rPr>
          <w:bCs/>
          <w:iCs/>
          <w:szCs w:val="26"/>
        </w:rPr>
        <w:t>a</w:t>
      </w:r>
      <w:r w:rsidR="00BE5BF5">
        <w:rPr>
          <w:bCs/>
          <w:iCs/>
          <w:szCs w:val="26"/>
        </w:rPr>
        <w:t xml:space="preserve"> duty to inspect the work site</w:t>
      </w:r>
      <w:r w:rsidR="000A6AC5">
        <w:rPr>
          <w:bCs/>
          <w:iCs/>
          <w:szCs w:val="26"/>
        </w:rPr>
        <w:t xml:space="preserve"> to identify safety hazards</w:t>
      </w:r>
      <w:r w:rsidR="00E80CE1">
        <w:rPr>
          <w:bCs/>
          <w:iCs/>
          <w:szCs w:val="26"/>
        </w:rPr>
        <w:t xml:space="preserve"> before beginning work.  (</w:t>
      </w:r>
      <w:r w:rsidR="00E80CE1" w:rsidRPr="00E80CE1">
        <w:rPr>
          <w:bCs/>
          <w:i/>
          <w:iCs/>
          <w:szCs w:val="26"/>
        </w:rPr>
        <w:t>Id.</w:t>
      </w:r>
      <w:r w:rsidR="00E80CE1" w:rsidRPr="00E80CE1">
        <w:rPr>
          <w:bCs/>
          <w:iCs/>
          <w:szCs w:val="26"/>
        </w:rPr>
        <w:t xml:space="preserve"> at p.</w:t>
      </w:r>
      <w:r w:rsidR="00D3664E">
        <w:rPr>
          <w:bCs/>
          <w:iCs/>
          <w:szCs w:val="26"/>
        </w:rPr>
        <w:t xml:space="preserve"> 677 [“</w:t>
      </w:r>
      <w:r w:rsidR="00D3664E" w:rsidRPr="00D3664E">
        <w:rPr>
          <w:bCs/>
          <w:iCs/>
          <w:szCs w:val="26"/>
        </w:rPr>
        <w:t>the responsibility for job safety delegated to independent contractors may and generally does include explicitly or implicitly a limited duty to inspect the premises</w:t>
      </w:r>
      <w:r w:rsidR="00EB4DD1">
        <w:rPr>
          <w:bCs/>
          <w:iCs/>
          <w:szCs w:val="26"/>
        </w:rPr>
        <w:t>”]</w:t>
      </w:r>
      <w:r w:rsidR="00CE72F5">
        <w:rPr>
          <w:bCs/>
          <w:iCs/>
          <w:szCs w:val="26"/>
        </w:rPr>
        <w:t xml:space="preserve">; </w:t>
      </w:r>
      <w:r w:rsidR="00933A8F" w:rsidRPr="00492D21">
        <w:rPr>
          <w:bCs/>
          <w:i/>
          <w:szCs w:val="26"/>
        </w:rPr>
        <w:t>Gonzalez</w:t>
      </w:r>
      <w:r w:rsidR="00933A8F">
        <w:rPr>
          <w:bCs/>
          <w:iCs/>
          <w:szCs w:val="26"/>
        </w:rPr>
        <w:t xml:space="preserve">, </w:t>
      </w:r>
      <w:r w:rsidR="00492D21" w:rsidRPr="00492D21">
        <w:rPr>
          <w:bCs/>
          <w:i/>
          <w:szCs w:val="26"/>
        </w:rPr>
        <w:t>supra</w:t>
      </w:r>
      <w:r w:rsidR="00492D21">
        <w:rPr>
          <w:bCs/>
          <w:iCs/>
          <w:szCs w:val="26"/>
        </w:rPr>
        <w:t xml:space="preserve">, </w:t>
      </w:r>
      <w:r w:rsidR="00933A8F" w:rsidRPr="00933A8F">
        <w:rPr>
          <w:bCs/>
          <w:iCs/>
          <w:szCs w:val="26"/>
        </w:rPr>
        <w:t>12</w:t>
      </w:r>
      <w:r w:rsidR="00492D21">
        <w:rPr>
          <w:bCs/>
          <w:iCs/>
          <w:szCs w:val="26"/>
        </w:rPr>
        <w:t> </w:t>
      </w:r>
      <w:r w:rsidR="00933A8F" w:rsidRPr="00933A8F">
        <w:rPr>
          <w:bCs/>
          <w:iCs/>
          <w:szCs w:val="26"/>
        </w:rPr>
        <w:t xml:space="preserve">Cal.5th </w:t>
      </w:r>
      <w:r w:rsidR="00492D21">
        <w:rPr>
          <w:bCs/>
          <w:iCs/>
          <w:szCs w:val="26"/>
        </w:rPr>
        <w:t>at p.</w:t>
      </w:r>
      <w:r w:rsidR="00082AAD">
        <w:rPr>
          <w:bCs/>
          <w:iCs/>
          <w:szCs w:val="26"/>
        </w:rPr>
        <w:t> </w:t>
      </w:r>
      <w:r w:rsidR="00933A8F" w:rsidRPr="00933A8F">
        <w:rPr>
          <w:bCs/>
          <w:iCs/>
          <w:szCs w:val="26"/>
        </w:rPr>
        <w:t>54</w:t>
      </w:r>
      <w:r w:rsidR="00492D21">
        <w:rPr>
          <w:bCs/>
          <w:iCs/>
          <w:szCs w:val="26"/>
        </w:rPr>
        <w:t xml:space="preserve"> [“</w:t>
      </w:r>
      <w:r w:rsidR="00494192">
        <w:rPr>
          <w:bCs/>
          <w:iCs/>
          <w:szCs w:val="26"/>
        </w:rPr>
        <w:t xml:space="preserve">the </w:t>
      </w:r>
      <w:r w:rsidR="00933A8F" w:rsidRPr="00933A8F">
        <w:rPr>
          <w:bCs/>
          <w:iCs/>
          <w:szCs w:val="26"/>
        </w:rPr>
        <w:t>delegation of responsibility for workplace safety to independent contractors may include a limited duty to inspect the premises</w:t>
      </w:r>
      <w:r w:rsidR="00494192">
        <w:rPr>
          <w:bCs/>
          <w:iCs/>
          <w:szCs w:val="26"/>
        </w:rPr>
        <w:t>”]</w:t>
      </w:r>
      <w:r>
        <w:rPr>
          <w:bCs/>
          <w:iCs/>
          <w:szCs w:val="26"/>
        </w:rPr>
        <w:t xml:space="preserve">; </w:t>
      </w:r>
      <w:r w:rsidRPr="00F131CA">
        <w:rPr>
          <w:bCs/>
          <w:i/>
          <w:szCs w:val="26"/>
        </w:rPr>
        <w:t>Blaylock</w:t>
      </w:r>
      <w:r w:rsidR="00C776B6">
        <w:rPr>
          <w:bCs/>
          <w:iCs/>
          <w:szCs w:val="26"/>
        </w:rPr>
        <w:t xml:space="preserve">, </w:t>
      </w:r>
      <w:r w:rsidR="00C776B6">
        <w:rPr>
          <w:bCs/>
          <w:i/>
          <w:szCs w:val="26"/>
        </w:rPr>
        <w:t>supra</w:t>
      </w:r>
      <w:r w:rsidR="00C776B6">
        <w:rPr>
          <w:bCs/>
          <w:iCs/>
          <w:szCs w:val="26"/>
        </w:rPr>
        <w:t>,</w:t>
      </w:r>
      <w:r w:rsidRPr="00F131CA">
        <w:rPr>
          <w:bCs/>
          <w:i/>
          <w:szCs w:val="26"/>
        </w:rPr>
        <w:t xml:space="preserve"> </w:t>
      </w:r>
      <w:r w:rsidRPr="00F131CA">
        <w:rPr>
          <w:bCs/>
          <w:iCs/>
          <w:szCs w:val="26"/>
        </w:rPr>
        <w:t>92</w:t>
      </w:r>
      <w:r w:rsidR="00082AAD">
        <w:rPr>
          <w:bCs/>
          <w:iCs/>
          <w:szCs w:val="26"/>
        </w:rPr>
        <w:t> </w:t>
      </w:r>
      <w:r w:rsidRPr="00F131CA">
        <w:rPr>
          <w:bCs/>
          <w:iCs/>
          <w:szCs w:val="26"/>
        </w:rPr>
        <w:t>Cal.App.5th</w:t>
      </w:r>
      <w:r>
        <w:rPr>
          <w:bCs/>
          <w:iCs/>
          <w:szCs w:val="26"/>
        </w:rPr>
        <w:t xml:space="preserve"> at p. 8</w:t>
      </w:r>
      <w:r w:rsidR="00D50EDA">
        <w:rPr>
          <w:bCs/>
          <w:iCs/>
          <w:szCs w:val="26"/>
        </w:rPr>
        <w:t>73</w:t>
      </w:r>
      <w:r>
        <w:rPr>
          <w:bCs/>
          <w:iCs/>
          <w:szCs w:val="26"/>
        </w:rPr>
        <w:t xml:space="preserve"> [contractor “</w:t>
      </w:r>
      <w:r w:rsidRPr="00F131CA">
        <w:rPr>
          <w:bCs/>
          <w:iCs/>
          <w:szCs w:val="26"/>
        </w:rPr>
        <w:t xml:space="preserve">had a duty to inspect the work premises for potential safety </w:t>
      </w:r>
      <w:r w:rsidRPr="00F131CA">
        <w:rPr>
          <w:bCs/>
          <w:iCs/>
          <w:szCs w:val="26"/>
        </w:rPr>
        <w:t>hazards</w:t>
      </w:r>
      <w:r>
        <w:rPr>
          <w:bCs/>
          <w:iCs/>
          <w:szCs w:val="26"/>
        </w:rPr>
        <w:t>”</w:t>
      </w:r>
      <w:r w:rsidR="00FA6C07">
        <w:rPr>
          <w:bCs/>
          <w:iCs/>
          <w:szCs w:val="26"/>
        </w:rPr>
        <w:t>].)</w:t>
      </w:r>
    </w:p>
    <w:p w14:paraId="0230F0E2" w14:textId="77777777" w:rsidR="001F743D" w:rsidRPr="006604F3" w:rsidRDefault="003E2177" w:rsidP="005A19F5">
      <w:pPr>
        <w:ind w:firstLine="720"/>
        <w:rPr>
          <w:bCs/>
          <w:iCs/>
          <w:szCs w:val="26"/>
        </w:rPr>
      </w:pPr>
      <w:r>
        <w:rPr>
          <w:bCs/>
          <w:iCs/>
          <w:szCs w:val="26"/>
        </w:rPr>
        <w:t xml:space="preserve">In the present case, </w:t>
      </w:r>
      <w:r w:rsidR="00630422">
        <w:rPr>
          <w:bCs/>
          <w:iCs/>
          <w:szCs w:val="26"/>
        </w:rPr>
        <w:t>it is undisputed that t</w:t>
      </w:r>
      <w:r>
        <w:rPr>
          <w:bCs/>
          <w:iCs/>
          <w:szCs w:val="26"/>
        </w:rPr>
        <w:t>he hazardous condition of the ladder—that it did not reach all the way to the roof</w:t>
      </w:r>
      <w:r w:rsidR="00F9521D">
        <w:rPr>
          <w:bCs/>
          <w:iCs/>
          <w:szCs w:val="26"/>
        </w:rPr>
        <w:t>—</w:t>
      </w:r>
      <w:r>
        <w:rPr>
          <w:bCs/>
          <w:iCs/>
          <w:szCs w:val="26"/>
        </w:rPr>
        <w:t>was not concealed</w:t>
      </w:r>
      <w:r w:rsidR="00630422">
        <w:rPr>
          <w:bCs/>
          <w:iCs/>
          <w:szCs w:val="26"/>
        </w:rPr>
        <w:t xml:space="preserve">.  </w:t>
      </w:r>
      <w:r w:rsidR="00563DD4">
        <w:rPr>
          <w:bCs/>
          <w:iCs/>
          <w:szCs w:val="26"/>
        </w:rPr>
        <w:t>Acosta admitted that</w:t>
      </w:r>
      <w:r w:rsidR="00F30BB1">
        <w:rPr>
          <w:bCs/>
          <w:iCs/>
          <w:szCs w:val="26"/>
        </w:rPr>
        <w:t xml:space="preserve"> he</w:t>
      </w:r>
      <w:r w:rsidR="00563DD4">
        <w:rPr>
          <w:bCs/>
          <w:iCs/>
          <w:szCs w:val="26"/>
        </w:rPr>
        <w:t xml:space="preserve"> </w:t>
      </w:r>
      <w:r w:rsidR="00CB55CA">
        <w:rPr>
          <w:bCs/>
          <w:iCs/>
          <w:szCs w:val="26"/>
        </w:rPr>
        <w:t xml:space="preserve">perceived the ladder was </w:t>
      </w:r>
      <w:r w:rsidR="00A44BCA">
        <w:rPr>
          <w:bCs/>
          <w:iCs/>
          <w:szCs w:val="26"/>
        </w:rPr>
        <w:t>short once he opened the hatch</w:t>
      </w:r>
      <w:r w:rsidR="00E17929">
        <w:rPr>
          <w:bCs/>
          <w:iCs/>
          <w:szCs w:val="26"/>
        </w:rPr>
        <w:t xml:space="preserve">, and his </w:t>
      </w:r>
      <w:r>
        <w:rPr>
          <w:bCs/>
          <w:iCs/>
          <w:szCs w:val="26"/>
        </w:rPr>
        <w:t xml:space="preserve">expert, </w:t>
      </w:r>
      <w:proofErr w:type="spellStart"/>
      <w:r>
        <w:rPr>
          <w:bCs/>
          <w:iCs/>
          <w:szCs w:val="26"/>
        </w:rPr>
        <w:t>Avrit</w:t>
      </w:r>
      <w:proofErr w:type="spellEnd"/>
      <w:r>
        <w:rPr>
          <w:bCs/>
          <w:iCs/>
          <w:szCs w:val="26"/>
        </w:rPr>
        <w:t xml:space="preserve">, conceded that it would be apparent before climbing from the ladder onto the roof “that there [is] a two-foot gap between the ladder and roof.”  Accordingly, </w:t>
      </w:r>
      <w:r w:rsidR="00EE7459">
        <w:rPr>
          <w:bCs/>
          <w:iCs/>
          <w:szCs w:val="26"/>
        </w:rPr>
        <w:t xml:space="preserve">the undisputed evidence </w:t>
      </w:r>
      <w:r w:rsidR="00EE7459">
        <w:rPr>
          <w:bCs/>
          <w:iCs/>
          <w:szCs w:val="26"/>
        </w:rPr>
        <w:lastRenderedPageBreak/>
        <w:t xml:space="preserve">established both that </w:t>
      </w:r>
      <w:r w:rsidR="0007128C">
        <w:rPr>
          <w:bCs/>
          <w:iCs/>
          <w:szCs w:val="26"/>
        </w:rPr>
        <w:t>Acosta knew of the ladder’s condition before he climbed onto the roof</w:t>
      </w:r>
      <w:r w:rsidR="005A19F5">
        <w:rPr>
          <w:bCs/>
          <w:iCs/>
          <w:szCs w:val="26"/>
        </w:rPr>
        <w:t xml:space="preserve"> and that the </w:t>
      </w:r>
      <w:r>
        <w:rPr>
          <w:bCs/>
          <w:iCs/>
          <w:szCs w:val="26"/>
        </w:rPr>
        <w:t xml:space="preserve">condition was reasonably discoverable.  </w:t>
      </w:r>
    </w:p>
    <w:p w14:paraId="0230F0E3" w14:textId="77777777" w:rsidR="00E16748" w:rsidRDefault="003E2177" w:rsidP="00551924">
      <w:pPr>
        <w:ind w:firstLine="720"/>
        <w:rPr>
          <w:bCs/>
          <w:iCs/>
          <w:szCs w:val="26"/>
        </w:rPr>
      </w:pPr>
      <w:proofErr w:type="gramStart"/>
      <w:r>
        <w:rPr>
          <w:bCs/>
          <w:iCs/>
          <w:szCs w:val="26"/>
        </w:rPr>
        <w:t>With regard to</w:t>
      </w:r>
      <w:proofErr w:type="gramEnd"/>
      <w:r>
        <w:rPr>
          <w:bCs/>
          <w:iCs/>
          <w:szCs w:val="26"/>
        </w:rPr>
        <w:t xml:space="preserve"> the </w:t>
      </w:r>
      <w:r w:rsidR="00D91635">
        <w:rPr>
          <w:bCs/>
          <w:iCs/>
          <w:szCs w:val="26"/>
        </w:rPr>
        <w:t xml:space="preserve">hazardous condition of the roof hatch, </w:t>
      </w:r>
      <w:r>
        <w:rPr>
          <w:bCs/>
          <w:iCs/>
          <w:szCs w:val="26"/>
        </w:rPr>
        <w:t xml:space="preserve">although the evidence was disputed as to whether </w:t>
      </w:r>
      <w:r w:rsidR="00433038">
        <w:rPr>
          <w:bCs/>
          <w:iCs/>
          <w:szCs w:val="26"/>
        </w:rPr>
        <w:t xml:space="preserve">Acosta </w:t>
      </w:r>
      <w:r w:rsidR="00331600">
        <w:rPr>
          <w:bCs/>
          <w:iCs/>
          <w:szCs w:val="26"/>
        </w:rPr>
        <w:t xml:space="preserve">actually </w:t>
      </w:r>
      <w:r w:rsidR="00433038">
        <w:rPr>
          <w:bCs/>
          <w:iCs/>
          <w:szCs w:val="26"/>
        </w:rPr>
        <w:t>knew the</w:t>
      </w:r>
      <w:r w:rsidR="004C2540">
        <w:rPr>
          <w:bCs/>
          <w:iCs/>
          <w:szCs w:val="26"/>
        </w:rPr>
        <w:t xml:space="preserve"> compression cylinder was</w:t>
      </w:r>
      <w:r w:rsidR="00913C3D">
        <w:rPr>
          <w:bCs/>
          <w:iCs/>
          <w:szCs w:val="26"/>
        </w:rPr>
        <w:t xml:space="preserve"> broken before he began climbing onto the roof, </w:t>
      </w:r>
      <w:r w:rsidR="00331600">
        <w:rPr>
          <w:bCs/>
          <w:iCs/>
          <w:szCs w:val="26"/>
        </w:rPr>
        <w:t xml:space="preserve">the undisputed evidence compels the conclusion that </w:t>
      </w:r>
      <w:r w:rsidR="000C5B1B">
        <w:rPr>
          <w:bCs/>
          <w:iCs/>
          <w:szCs w:val="26"/>
        </w:rPr>
        <w:t>the condition was reasonably ascertainable.</w:t>
      </w:r>
      <w:r w:rsidR="00786F2C">
        <w:rPr>
          <w:bCs/>
          <w:iCs/>
          <w:szCs w:val="26"/>
        </w:rPr>
        <w:t xml:space="preserve">  Both Acosta and his expert testified that </w:t>
      </w:r>
      <w:r w:rsidR="00D6657D">
        <w:rPr>
          <w:bCs/>
          <w:iCs/>
          <w:szCs w:val="26"/>
        </w:rPr>
        <w:t>if</w:t>
      </w:r>
      <w:r w:rsidR="00E82561">
        <w:rPr>
          <w:bCs/>
          <w:iCs/>
          <w:szCs w:val="26"/>
        </w:rPr>
        <w:t xml:space="preserve"> the compression cylinder </w:t>
      </w:r>
      <w:r w:rsidR="00D6657D">
        <w:rPr>
          <w:bCs/>
          <w:iCs/>
          <w:szCs w:val="26"/>
        </w:rPr>
        <w:t xml:space="preserve">had </w:t>
      </w:r>
      <w:r w:rsidR="00E82561">
        <w:rPr>
          <w:bCs/>
          <w:iCs/>
          <w:szCs w:val="26"/>
        </w:rPr>
        <w:t xml:space="preserve">been working properly, </w:t>
      </w:r>
      <w:r w:rsidR="00D6657D">
        <w:rPr>
          <w:bCs/>
          <w:iCs/>
          <w:szCs w:val="26"/>
        </w:rPr>
        <w:t xml:space="preserve">it would have pushed the hatch open </w:t>
      </w:r>
      <w:r w:rsidR="00686B8E">
        <w:rPr>
          <w:bCs/>
          <w:iCs/>
          <w:szCs w:val="26"/>
        </w:rPr>
        <w:t>six to 12 inches</w:t>
      </w:r>
      <w:r w:rsidR="0099625B">
        <w:rPr>
          <w:bCs/>
          <w:iCs/>
          <w:szCs w:val="26"/>
        </w:rPr>
        <w:t xml:space="preserve"> once </w:t>
      </w:r>
      <w:r w:rsidR="00D6657D">
        <w:rPr>
          <w:bCs/>
          <w:iCs/>
          <w:szCs w:val="26"/>
        </w:rPr>
        <w:t>the hatch was unlocked</w:t>
      </w:r>
      <w:r w:rsidR="00686B8E">
        <w:rPr>
          <w:bCs/>
          <w:iCs/>
          <w:szCs w:val="26"/>
        </w:rPr>
        <w:t xml:space="preserve">. </w:t>
      </w:r>
      <w:r w:rsidR="006A02DB">
        <w:rPr>
          <w:bCs/>
          <w:iCs/>
          <w:szCs w:val="26"/>
        </w:rPr>
        <w:t xml:space="preserve"> </w:t>
      </w:r>
      <w:r w:rsidR="00181615">
        <w:rPr>
          <w:bCs/>
          <w:iCs/>
          <w:szCs w:val="26"/>
        </w:rPr>
        <w:t xml:space="preserve">A properly functioning compression cylinder would also have </w:t>
      </w:r>
      <w:r w:rsidR="004D6640">
        <w:rPr>
          <w:bCs/>
          <w:iCs/>
          <w:szCs w:val="26"/>
        </w:rPr>
        <w:t>borne some</w:t>
      </w:r>
      <w:r w:rsidR="00EA53CB">
        <w:rPr>
          <w:bCs/>
          <w:iCs/>
          <w:szCs w:val="26"/>
        </w:rPr>
        <w:t xml:space="preserve"> or most</w:t>
      </w:r>
      <w:r w:rsidR="004D6640">
        <w:rPr>
          <w:bCs/>
          <w:iCs/>
          <w:szCs w:val="26"/>
        </w:rPr>
        <w:t xml:space="preserve"> of the weight of the </w:t>
      </w:r>
      <w:r w:rsidR="00363FB5">
        <w:rPr>
          <w:bCs/>
          <w:iCs/>
          <w:szCs w:val="26"/>
        </w:rPr>
        <w:t>100-pound hatch</w:t>
      </w:r>
      <w:r w:rsidR="004D6640">
        <w:rPr>
          <w:bCs/>
          <w:iCs/>
          <w:szCs w:val="26"/>
        </w:rPr>
        <w:t xml:space="preserve">. </w:t>
      </w:r>
      <w:r w:rsidR="0080249F">
        <w:rPr>
          <w:bCs/>
          <w:iCs/>
          <w:szCs w:val="26"/>
        </w:rPr>
        <w:t xml:space="preserve"> </w:t>
      </w:r>
      <w:r w:rsidR="00C426DD">
        <w:rPr>
          <w:bCs/>
          <w:iCs/>
          <w:szCs w:val="26"/>
        </w:rPr>
        <w:t xml:space="preserve">In this case, however, </w:t>
      </w:r>
      <w:r w:rsidR="00E716EF">
        <w:rPr>
          <w:bCs/>
          <w:iCs/>
          <w:szCs w:val="26"/>
        </w:rPr>
        <w:t xml:space="preserve">the hatch did not open by itself once it was </w:t>
      </w:r>
      <w:r w:rsidR="00DB07E1">
        <w:rPr>
          <w:bCs/>
          <w:iCs/>
          <w:szCs w:val="26"/>
        </w:rPr>
        <w:t>unlocked and, by Acosta’s own admission, it felt “</w:t>
      </w:r>
      <w:r w:rsidR="009D2FB7">
        <w:rPr>
          <w:bCs/>
          <w:iCs/>
          <w:szCs w:val="26"/>
        </w:rPr>
        <w:t>heavier than expected”</w:t>
      </w:r>
      <w:r w:rsidR="00575852">
        <w:rPr>
          <w:bCs/>
          <w:iCs/>
          <w:szCs w:val="26"/>
        </w:rPr>
        <w:t xml:space="preserve"> or “heavier than usual.”</w:t>
      </w:r>
      <w:r w:rsidR="009D2FB7">
        <w:rPr>
          <w:bCs/>
          <w:iCs/>
          <w:szCs w:val="26"/>
        </w:rPr>
        <w:t xml:space="preserve">  </w:t>
      </w:r>
      <w:r w:rsidR="00575852">
        <w:rPr>
          <w:bCs/>
          <w:iCs/>
          <w:szCs w:val="26"/>
        </w:rPr>
        <w:t>As a result, Acosta was aware that the hatch was “not working correctly.”</w:t>
      </w:r>
    </w:p>
    <w:p w14:paraId="0230F0E4" w14:textId="77777777" w:rsidR="00E93DB3" w:rsidRPr="00423BB3" w:rsidRDefault="003E2177" w:rsidP="00B77B20">
      <w:pPr>
        <w:ind w:firstLine="720"/>
        <w:rPr>
          <w:bCs/>
          <w:iCs/>
          <w:szCs w:val="26"/>
        </w:rPr>
      </w:pPr>
      <w:r>
        <w:rPr>
          <w:bCs/>
          <w:iCs/>
          <w:szCs w:val="26"/>
        </w:rPr>
        <w:t xml:space="preserve">Even more significantly, </w:t>
      </w:r>
      <w:r w:rsidR="00AF7079">
        <w:rPr>
          <w:bCs/>
          <w:iCs/>
          <w:szCs w:val="26"/>
        </w:rPr>
        <w:t xml:space="preserve">although the </w:t>
      </w:r>
      <w:r w:rsidR="00A32931">
        <w:rPr>
          <w:bCs/>
          <w:iCs/>
          <w:szCs w:val="26"/>
        </w:rPr>
        <w:t xml:space="preserve">broken spring inside the compression </w:t>
      </w:r>
      <w:r w:rsidR="0032252B">
        <w:rPr>
          <w:bCs/>
          <w:iCs/>
          <w:szCs w:val="26"/>
        </w:rPr>
        <w:t>cylinder was not</w:t>
      </w:r>
      <w:r w:rsidR="00455717">
        <w:rPr>
          <w:bCs/>
          <w:iCs/>
          <w:szCs w:val="26"/>
        </w:rPr>
        <w:t xml:space="preserve"> </w:t>
      </w:r>
      <w:r w:rsidR="00A32931">
        <w:rPr>
          <w:bCs/>
          <w:iCs/>
          <w:szCs w:val="26"/>
        </w:rPr>
        <w:t xml:space="preserve">visible, the </w:t>
      </w:r>
      <w:r w:rsidR="00B60B41">
        <w:rPr>
          <w:bCs/>
          <w:iCs/>
          <w:szCs w:val="26"/>
        </w:rPr>
        <w:t xml:space="preserve">hatch’s dangerous condition—that is, </w:t>
      </w:r>
      <w:r w:rsidR="006D7523">
        <w:rPr>
          <w:bCs/>
          <w:iCs/>
          <w:szCs w:val="26"/>
        </w:rPr>
        <w:t xml:space="preserve">the fact that </w:t>
      </w:r>
      <w:r w:rsidR="004C0E62">
        <w:rPr>
          <w:bCs/>
          <w:iCs/>
          <w:szCs w:val="26"/>
        </w:rPr>
        <w:t xml:space="preserve">the hatch comes “slamming down” </w:t>
      </w:r>
      <w:r w:rsidR="00D46352">
        <w:rPr>
          <w:bCs/>
          <w:iCs/>
          <w:szCs w:val="26"/>
        </w:rPr>
        <w:t xml:space="preserve">if </w:t>
      </w:r>
      <w:r w:rsidR="004C0E62">
        <w:rPr>
          <w:bCs/>
          <w:iCs/>
          <w:szCs w:val="26"/>
        </w:rPr>
        <w:t>“</w:t>
      </w:r>
      <w:r w:rsidR="00D46352">
        <w:rPr>
          <w:bCs/>
          <w:iCs/>
          <w:szCs w:val="26"/>
        </w:rPr>
        <w:t>the hold-open arm is just touched</w:t>
      </w:r>
      <w:r w:rsidR="004F3522">
        <w:rPr>
          <w:bCs/>
          <w:iCs/>
          <w:szCs w:val="26"/>
        </w:rPr>
        <w:t>”</w:t>
      </w:r>
      <w:r w:rsidR="00366FE1">
        <w:rPr>
          <w:bCs/>
          <w:iCs/>
          <w:szCs w:val="26"/>
        </w:rPr>
        <w:t xml:space="preserve">—was readily apparent upon </w:t>
      </w:r>
      <w:r w:rsidR="00965A5F">
        <w:rPr>
          <w:bCs/>
          <w:iCs/>
          <w:szCs w:val="26"/>
        </w:rPr>
        <w:t>inspection.</w:t>
      </w:r>
      <w:r w:rsidR="004F3522">
        <w:rPr>
          <w:bCs/>
          <w:iCs/>
          <w:szCs w:val="26"/>
        </w:rPr>
        <w:t xml:space="preserve">  </w:t>
      </w:r>
      <w:r w:rsidR="00C17785">
        <w:rPr>
          <w:bCs/>
          <w:iCs/>
          <w:szCs w:val="26"/>
        </w:rPr>
        <w:t xml:space="preserve">Acosta testified that </w:t>
      </w:r>
      <w:r w:rsidR="00964A52">
        <w:rPr>
          <w:bCs/>
          <w:iCs/>
          <w:szCs w:val="26"/>
        </w:rPr>
        <w:t>immediately after the accident</w:t>
      </w:r>
      <w:r w:rsidR="00996C87">
        <w:rPr>
          <w:bCs/>
          <w:iCs/>
          <w:szCs w:val="26"/>
        </w:rPr>
        <w:t xml:space="preserve"> </w:t>
      </w:r>
      <w:r w:rsidR="00611A7B">
        <w:rPr>
          <w:bCs/>
          <w:iCs/>
          <w:szCs w:val="26"/>
        </w:rPr>
        <w:t xml:space="preserve">his supervisor </w:t>
      </w:r>
      <w:r w:rsidR="00996C87">
        <w:rPr>
          <w:bCs/>
          <w:iCs/>
          <w:szCs w:val="26"/>
        </w:rPr>
        <w:t xml:space="preserve">asked him to try to </w:t>
      </w:r>
      <w:r w:rsidR="004E2E5F">
        <w:rPr>
          <w:bCs/>
          <w:iCs/>
          <w:szCs w:val="26"/>
        </w:rPr>
        <w:t xml:space="preserve">determine </w:t>
      </w:r>
      <w:r w:rsidR="00996C87">
        <w:rPr>
          <w:bCs/>
          <w:iCs/>
          <w:szCs w:val="26"/>
        </w:rPr>
        <w:t xml:space="preserve">why the hatch had fallen. </w:t>
      </w:r>
      <w:r w:rsidR="00F10914">
        <w:rPr>
          <w:bCs/>
          <w:iCs/>
          <w:szCs w:val="26"/>
        </w:rPr>
        <w:t xml:space="preserve"> After </w:t>
      </w:r>
      <w:r w:rsidR="004E2E5F">
        <w:rPr>
          <w:bCs/>
          <w:iCs/>
          <w:szCs w:val="26"/>
        </w:rPr>
        <w:t>confirming</w:t>
      </w:r>
      <w:r w:rsidR="00F10914">
        <w:rPr>
          <w:bCs/>
          <w:iCs/>
          <w:szCs w:val="26"/>
        </w:rPr>
        <w:t xml:space="preserve"> that the cylinder was in place, Acosta </w:t>
      </w:r>
      <w:r w:rsidR="005D635B">
        <w:rPr>
          <w:bCs/>
          <w:iCs/>
          <w:szCs w:val="26"/>
        </w:rPr>
        <w:t xml:space="preserve">opened the hatch </w:t>
      </w:r>
      <w:r w:rsidR="00070275">
        <w:rPr>
          <w:bCs/>
          <w:iCs/>
          <w:szCs w:val="26"/>
        </w:rPr>
        <w:t xml:space="preserve">from the roof </w:t>
      </w:r>
      <w:r w:rsidR="005D635B">
        <w:rPr>
          <w:bCs/>
          <w:iCs/>
          <w:szCs w:val="26"/>
        </w:rPr>
        <w:t xml:space="preserve">and released </w:t>
      </w:r>
      <w:r w:rsidR="00EE4A1A">
        <w:rPr>
          <w:bCs/>
          <w:iCs/>
          <w:szCs w:val="26"/>
        </w:rPr>
        <w:t xml:space="preserve">the locking mechanism. </w:t>
      </w:r>
      <w:r w:rsidR="00F25E1B">
        <w:rPr>
          <w:bCs/>
          <w:iCs/>
          <w:szCs w:val="26"/>
        </w:rPr>
        <w:t xml:space="preserve"> As soon as he did so, “the full weight of the door came all the way down</w:t>
      </w:r>
      <w:r w:rsidR="00F22290">
        <w:rPr>
          <w:bCs/>
          <w:iCs/>
          <w:szCs w:val="26"/>
        </w:rPr>
        <w:t>.”  Because “[t]here was no resistance on th</w:t>
      </w:r>
      <w:r w:rsidR="00D23827">
        <w:rPr>
          <w:bCs/>
          <w:iCs/>
          <w:szCs w:val="26"/>
        </w:rPr>
        <w:t>at</w:t>
      </w:r>
      <w:r w:rsidR="00F22290">
        <w:rPr>
          <w:bCs/>
          <w:iCs/>
          <w:szCs w:val="26"/>
        </w:rPr>
        <w:t xml:space="preserve"> door shutting</w:t>
      </w:r>
      <w:r w:rsidR="00464F10">
        <w:rPr>
          <w:bCs/>
          <w:iCs/>
          <w:szCs w:val="26"/>
        </w:rPr>
        <w:t>,</w:t>
      </w:r>
      <w:r w:rsidR="00F22290">
        <w:rPr>
          <w:bCs/>
          <w:iCs/>
          <w:szCs w:val="26"/>
        </w:rPr>
        <w:t>”</w:t>
      </w:r>
      <w:r w:rsidR="00464F10">
        <w:rPr>
          <w:bCs/>
          <w:iCs/>
          <w:szCs w:val="26"/>
        </w:rPr>
        <w:t xml:space="preserve"> Acosta believed “there was either a broken or missing or wrong type of spring that was mounted on </w:t>
      </w:r>
      <w:r w:rsidR="00070275">
        <w:rPr>
          <w:bCs/>
          <w:iCs/>
          <w:szCs w:val="26"/>
        </w:rPr>
        <w:t>[the hatch]</w:t>
      </w:r>
      <w:r w:rsidR="001D0AB4">
        <w:rPr>
          <w:bCs/>
          <w:iCs/>
          <w:szCs w:val="26"/>
        </w:rPr>
        <w:t>.</w:t>
      </w:r>
      <w:r w:rsidR="00551D83">
        <w:rPr>
          <w:bCs/>
          <w:iCs/>
          <w:szCs w:val="26"/>
        </w:rPr>
        <w:t xml:space="preserve">” </w:t>
      </w:r>
      <w:r w:rsidR="004F2F70">
        <w:rPr>
          <w:bCs/>
          <w:iCs/>
          <w:szCs w:val="26"/>
        </w:rPr>
        <w:t xml:space="preserve"> Indeed, Acosta said, although he could not tell </w:t>
      </w:r>
      <w:r w:rsidR="007464B8">
        <w:rPr>
          <w:bCs/>
          <w:iCs/>
          <w:szCs w:val="26"/>
        </w:rPr>
        <w:lastRenderedPageBreak/>
        <w:t>precisely what was wrong with the compression spring, it was “obvious[</w:t>
      </w:r>
      <w:r w:rsidR="00B77B20">
        <w:rPr>
          <w:bCs/>
          <w:iCs/>
          <w:szCs w:val="26"/>
        </w:rPr>
        <w:t xml:space="preserve"> </w:t>
      </w:r>
      <w:r w:rsidR="007464B8">
        <w:rPr>
          <w:bCs/>
          <w:iCs/>
          <w:szCs w:val="26"/>
        </w:rPr>
        <w:t>]” that</w:t>
      </w:r>
      <w:r w:rsidR="00443286">
        <w:rPr>
          <w:bCs/>
          <w:iCs/>
          <w:szCs w:val="26"/>
        </w:rPr>
        <w:t xml:space="preserve"> </w:t>
      </w:r>
      <w:r w:rsidR="007D24DD">
        <w:rPr>
          <w:bCs/>
          <w:iCs/>
          <w:szCs w:val="26"/>
        </w:rPr>
        <w:t>“that spring” was the cause of the accident.</w:t>
      </w:r>
    </w:p>
    <w:p w14:paraId="0230F0E5" w14:textId="77777777" w:rsidR="00FD3D58" w:rsidRDefault="003E2177" w:rsidP="00FD3D58">
      <w:pPr>
        <w:ind w:firstLine="720"/>
        <w:rPr>
          <w:bCs/>
          <w:iCs/>
          <w:szCs w:val="26"/>
        </w:rPr>
      </w:pPr>
      <w:r>
        <w:rPr>
          <w:bCs/>
          <w:iCs/>
          <w:szCs w:val="26"/>
        </w:rPr>
        <w:t xml:space="preserve">The present case thus is analogous to </w:t>
      </w:r>
      <w:r w:rsidR="00A44876">
        <w:rPr>
          <w:bCs/>
          <w:i/>
          <w:szCs w:val="26"/>
        </w:rPr>
        <w:t xml:space="preserve">Blaylock </w:t>
      </w:r>
      <w:r w:rsidR="000F507E">
        <w:rPr>
          <w:bCs/>
          <w:iCs/>
          <w:szCs w:val="26"/>
        </w:rPr>
        <w:t>and</w:t>
      </w:r>
      <w:r w:rsidR="00A764CE">
        <w:rPr>
          <w:bCs/>
          <w:iCs/>
          <w:szCs w:val="26"/>
        </w:rPr>
        <w:t xml:space="preserve"> </w:t>
      </w:r>
      <w:r w:rsidR="00A764CE">
        <w:rPr>
          <w:bCs/>
          <w:i/>
          <w:szCs w:val="26"/>
        </w:rPr>
        <w:t>Johnson</w:t>
      </w:r>
      <w:r w:rsidR="00A44876">
        <w:rPr>
          <w:bCs/>
          <w:iCs/>
          <w:szCs w:val="26"/>
        </w:rPr>
        <w:t>.</w:t>
      </w:r>
      <w:r w:rsidR="007114D2">
        <w:rPr>
          <w:bCs/>
          <w:iCs/>
          <w:szCs w:val="26"/>
        </w:rPr>
        <w:t xml:space="preserve">  </w:t>
      </w:r>
      <w:r w:rsidR="00FC1F98">
        <w:rPr>
          <w:bCs/>
          <w:iCs/>
          <w:szCs w:val="26"/>
        </w:rPr>
        <w:t xml:space="preserve">In </w:t>
      </w:r>
      <w:r w:rsidR="00840CAF">
        <w:rPr>
          <w:bCs/>
          <w:i/>
          <w:szCs w:val="26"/>
        </w:rPr>
        <w:t>Blaylock</w:t>
      </w:r>
      <w:r w:rsidR="00840CAF">
        <w:rPr>
          <w:bCs/>
          <w:iCs/>
          <w:szCs w:val="26"/>
        </w:rPr>
        <w:t xml:space="preserve">, </w:t>
      </w:r>
      <w:r w:rsidR="007114D2">
        <w:rPr>
          <w:bCs/>
          <w:iCs/>
          <w:szCs w:val="26"/>
        </w:rPr>
        <w:t>the hazard was</w:t>
      </w:r>
      <w:r w:rsidR="00C0197D">
        <w:rPr>
          <w:bCs/>
          <w:iCs/>
          <w:szCs w:val="26"/>
        </w:rPr>
        <w:t xml:space="preserve"> neither obvious nor </w:t>
      </w:r>
      <w:r w:rsidR="004867FC">
        <w:rPr>
          <w:bCs/>
          <w:iCs/>
          <w:szCs w:val="26"/>
        </w:rPr>
        <w:t>known to the employee</w:t>
      </w:r>
      <w:r w:rsidR="00801CBF">
        <w:rPr>
          <w:bCs/>
          <w:iCs/>
          <w:szCs w:val="26"/>
        </w:rPr>
        <w:t xml:space="preserve">:  </w:t>
      </w:r>
      <w:r w:rsidR="00FA3E29">
        <w:rPr>
          <w:bCs/>
          <w:iCs/>
          <w:szCs w:val="26"/>
        </w:rPr>
        <w:t>The access panel was “</w:t>
      </w:r>
      <w:r w:rsidR="00840CAF">
        <w:rPr>
          <w:bCs/>
          <w:iCs/>
          <w:szCs w:val="26"/>
        </w:rPr>
        <w:t> </w:t>
      </w:r>
      <w:r w:rsidR="00FA3E29">
        <w:rPr>
          <w:bCs/>
          <w:iCs/>
          <w:szCs w:val="26"/>
        </w:rPr>
        <w:t xml:space="preserve">‘covered with the same </w:t>
      </w:r>
      <w:r w:rsidR="00F62C99">
        <w:rPr>
          <w:bCs/>
          <w:iCs/>
          <w:szCs w:val="26"/>
        </w:rPr>
        <w:t>plywood that covered most of the crawl space floor</w:t>
      </w:r>
      <w:r w:rsidR="00C76C9D">
        <w:rPr>
          <w:bCs/>
          <w:iCs/>
          <w:szCs w:val="26"/>
        </w:rPr>
        <w:t xml:space="preserve">’ ”; the </w:t>
      </w:r>
      <w:r w:rsidR="00D047D5">
        <w:rPr>
          <w:bCs/>
          <w:iCs/>
          <w:szCs w:val="26"/>
        </w:rPr>
        <w:t xml:space="preserve">panel’s hinge was not visible from within the crawl space; and none of the contractor’s four workers recognized it as </w:t>
      </w:r>
      <w:r w:rsidR="000F507E">
        <w:rPr>
          <w:bCs/>
          <w:iCs/>
          <w:szCs w:val="26"/>
        </w:rPr>
        <w:t>a</w:t>
      </w:r>
      <w:r w:rsidR="00840CAF">
        <w:rPr>
          <w:bCs/>
          <w:iCs/>
          <w:szCs w:val="26"/>
        </w:rPr>
        <w:t>n access panel.</w:t>
      </w:r>
      <w:r w:rsidR="000435D8">
        <w:rPr>
          <w:bCs/>
          <w:iCs/>
          <w:szCs w:val="26"/>
        </w:rPr>
        <w:t xml:space="preserve">  </w:t>
      </w:r>
      <w:r w:rsidR="000435D8" w:rsidRPr="000435D8">
        <w:rPr>
          <w:bCs/>
          <w:iCs/>
          <w:szCs w:val="26"/>
        </w:rPr>
        <w:t>(</w:t>
      </w:r>
      <w:r w:rsidR="006B558A">
        <w:rPr>
          <w:bCs/>
          <w:i/>
          <w:szCs w:val="26"/>
        </w:rPr>
        <w:t>Blaylock</w:t>
      </w:r>
      <w:r w:rsidR="006B558A">
        <w:rPr>
          <w:bCs/>
          <w:iCs/>
          <w:szCs w:val="26"/>
        </w:rPr>
        <w:t xml:space="preserve">, </w:t>
      </w:r>
      <w:r w:rsidR="006B558A">
        <w:rPr>
          <w:bCs/>
          <w:i/>
          <w:szCs w:val="26"/>
        </w:rPr>
        <w:t>supra</w:t>
      </w:r>
      <w:r w:rsidR="00E55953">
        <w:rPr>
          <w:bCs/>
          <w:iCs/>
          <w:szCs w:val="26"/>
        </w:rPr>
        <w:t xml:space="preserve">, </w:t>
      </w:r>
      <w:r w:rsidR="006B558A" w:rsidRPr="001F5D37">
        <w:rPr>
          <w:bCs/>
          <w:iCs/>
          <w:szCs w:val="26"/>
        </w:rPr>
        <w:t>92</w:t>
      </w:r>
      <w:r w:rsidR="00E55953">
        <w:rPr>
          <w:bCs/>
          <w:iCs/>
          <w:szCs w:val="26"/>
        </w:rPr>
        <w:t> </w:t>
      </w:r>
      <w:r w:rsidR="006B558A" w:rsidRPr="001F5D37">
        <w:rPr>
          <w:bCs/>
          <w:iCs/>
          <w:szCs w:val="26"/>
        </w:rPr>
        <w:t xml:space="preserve">Cal.App.5th </w:t>
      </w:r>
      <w:r w:rsidR="00E55953">
        <w:rPr>
          <w:bCs/>
          <w:iCs/>
          <w:szCs w:val="26"/>
        </w:rPr>
        <w:t>at p.</w:t>
      </w:r>
      <w:r w:rsidR="000435D8">
        <w:rPr>
          <w:bCs/>
          <w:iCs/>
          <w:szCs w:val="26"/>
        </w:rPr>
        <w:t xml:space="preserve"> </w:t>
      </w:r>
      <w:r w:rsidR="0047778E">
        <w:rPr>
          <w:bCs/>
          <w:iCs/>
          <w:szCs w:val="26"/>
        </w:rPr>
        <w:t>872</w:t>
      </w:r>
      <w:r w:rsidR="00173D49">
        <w:rPr>
          <w:bCs/>
          <w:iCs/>
          <w:szCs w:val="26"/>
        </w:rPr>
        <w:t xml:space="preserve">.)  </w:t>
      </w:r>
      <w:r w:rsidR="00E73710">
        <w:rPr>
          <w:bCs/>
          <w:iCs/>
          <w:szCs w:val="26"/>
        </w:rPr>
        <w:t xml:space="preserve">Similarly, in </w:t>
      </w:r>
      <w:r w:rsidR="00E73710">
        <w:rPr>
          <w:bCs/>
          <w:i/>
          <w:szCs w:val="26"/>
        </w:rPr>
        <w:t>Johnson</w:t>
      </w:r>
      <w:r w:rsidR="00E73710">
        <w:rPr>
          <w:bCs/>
          <w:iCs/>
          <w:szCs w:val="26"/>
        </w:rPr>
        <w:t>,</w:t>
      </w:r>
      <w:r w:rsidR="006F121C">
        <w:rPr>
          <w:bCs/>
          <w:iCs/>
          <w:szCs w:val="26"/>
        </w:rPr>
        <w:t xml:space="preserve"> </w:t>
      </w:r>
      <w:r w:rsidR="00E9718E">
        <w:rPr>
          <w:bCs/>
          <w:iCs/>
          <w:szCs w:val="26"/>
        </w:rPr>
        <w:t xml:space="preserve">the ladder that caused the plaintiff’s injury was easily mistaken </w:t>
      </w:r>
      <w:r w:rsidR="00B20DEF">
        <w:rPr>
          <w:bCs/>
          <w:iCs/>
          <w:szCs w:val="26"/>
        </w:rPr>
        <w:t xml:space="preserve">for a straight ladder, and plaintiff </w:t>
      </w:r>
      <w:r w:rsidR="00E24A79">
        <w:rPr>
          <w:bCs/>
          <w:iCs/>
          <w:szCs w:val="26"/>
        </w:rPr>
        <w:t xml:space="preserve">was </w:t>
      </w:r>
      <w:r w:rsidR="0002212D">
        <w:rPr>
          <w:bCs/>
          <w:iCs/>
          <w:szCs w:val="26"/>
        </w:rPr>
        <w:t>un</w:t>
      </w:r>
      <w:r w:rsidR="00E24A79">
        <w:rPr>
          <w:bCs/>
          <w:iCs/>
          <w:szCs w:val="26"/>
        </w:rPr>
        <w:t xml:space="preserve">aware the ladder was not designed to be used alone.  </w:t>
      </w:r>
      <w:r w:rsidR="00AD5A5A">
        <w:rPr>
          <w:bCs/>
          <w:iCs/>
          <w:szCs w:val="26"/>
        </w:rPr>
        <w:t>(</w:t>
      </w:r>
      <w:r w:rsidR="00E24A79">
        <w:rPr>
          <w:bCs/>
          <w:i/>
          <w:szCs w:val="26"/>
        </w:rPr>
        <w:t>Johnson</w:t>
      </w:r>
      <w:r w:rsidR="009A1027">
        <w:rPr>
          <w:bCs/>
          <w:iCs/>
          <w:szCs w:val="26"/>
        </w:rPr>
        <w:t xml:space="preserve">, </w:t>
      </w:r>
      <w:r w:rsidR="009A1027">
        <w:rPr>
          <w:bCs/>
          <w:i/>
          <w:szCs w:val="26"/>
        </w:rPr>
        <w:t>supra</w:t>
      </w:r>
      <w:r w:rsidR="009A1027">
        <w:rPr>
          <w:bCs/>
          <w:iCs/>
          <w:szCs w:val="26"/>
        </w:rPr>
        <w:t>,</w:t>
      </w:r>
      <w:r w:rsidR="00E24A79">
        <w:rPr>
          <w:bCs/>
          <w:i/>
          <w:szCs w:val="26"/>
        </w:rPr>
        <w:t xml:space="preserve"> </w:t>
      </w:r>
      <w:r w:rsidR="00AD5A5A">
        <w:rPr>
          <w:bCs/>
          <w:iCs/>
          <w:szCs w:val="26"/>
        </w:rPr>
        <w:t>33</w:t>
      </w:r>
      <w:r w:rsidR="009A1027">
        <w:rPr>
          <w:bCs/>
          <w:iCs/>
          <w:szCs w:val="26"/>
        </w:rPr>
        <w:t> </w:t>
      </w:r>
      <w:r w:rsidR="00AD5A5A">
        <w:rPr>
          <w:bCs/>
          <w:iCs/>
          <w:szCs w:val="26"/>
        </w:rPr>
        <w:t xml:space="preserve">Cal.App.5th at p. </w:t>
      </w:r>
      <w:r w:rsidR="009B15FD">
        <w:rPr>
          <w:bCs/>
          <w:iCs/>
          <w:szCs w:val="26"/>
        </w:rPr>
        <w:t xml:space="preserve">622.)  </w:t>
      </w:r>
      <w:r w:rsidR="0002212D">
        <w:rPr>
          <w:bCs/>
          <w:iCs/>
          <w:szCs w:val="26"/>
        </w:rPr>
        <w:t xml:space="preserve">Nonetheless, the courts </w:t>
      </w:r>
      <w:r w:rsidR="00087148">
        <w:rPr>
          <w:bCs/>
          <w:iCs/>
          <w:szCs w:val="26"/>
        </w:rPr>
        <w:t xml:space="preserve">held </w:t>
      </w:r>
      <w:r w:rsidR="0002212D">
        <w:rPr>
          <w:bCs/>
          <w:iCs/>
          <w:szCs w:val="26"/>
        </w:rPr>
        <w:t xml:space="preserve">in both cases </w:t>
      </w:r>
      <w:r w:rsidR="00803E03">
        <w:rPr>
          <w:bCs/>
          <w:iCs/>
          <w:szCs w:val="26"/>
        </w:rPr>
        <w:t xml:space="preserve">that the plaintiffs were barred from recovering because </w:t>
      </w:r>
      <w:r w:rsidR="00DB2D27">
        <w:rPr>
          <w:bCs/>
          <w:iCs/>
          <w:szCs w:val="26"/>
        </w:rPr>
        <w:t>the</w:t>
      </w:r>
      <w:r w:rsidR="00212949">
        <w:rPr>
          <w:bCs/>
          <w:iCs/>
          <w:szCs w:val="26"/>
        </w:rPr>
        <w:t xml:space="preserve">y </w:t>
      </w:r>
      <w:r w:rsidR="00327C16">
        <w:rPr>
          <w:bCs/>
          <w:iCs/>
          <w:szCs w:val="26"/>
        </w:rPr>
        <w:t>w</w:t>
      </w:r>
      <w:r w:rsidR="00212949">
        <w:rPr>
          <w:bCs/>
          <w:iCs/>
          <w:szCs w:val="26"/>
        </w:rPr>
        <w:t>ould have discovered the</w:t>
      </w:r>
      <w:r w:rsidR="00DB2D27">
        <w:rPr>
          <w:bCs/>
          <w:iCs/>
          <w:szCs w:val="26"/>
        </w:rPr>
        <w:t xml:space="preserve"> hazards had </w:t>
      </w:r>
      <w:r w:rsidR="00212949">
        <w:rPr>
          <w:bCs/>
          <w:iCs/>
          <w:szCs w:val="26"/>
        </w:rPr>
        <w:t xml:space="preserve">they </w:t>
      </w:r>
      <w:r w:rsidR="001479AC">
        <w:rPr>
          <w:bCs/>
          <w:iCs/>
          <w:szCs w:val="26"/>
        </w:rPr>
        <w:t xml:space="preserve">or their employers </w:t>
      </w:r>
      <w:r w:rsidR="00DB2D27">
        <w:rPr>
          <w:bCs/>
          <w:iCs/>
          <w:szCs w:val="26"/>
        </w:rPr>
        <w:t xml:space="preserve">inspected the premises for safety issues.  </w:t>
      </w:r>
      <w:r w:rsidR="007025E8">
        <w:rPr>
          <w:bCs/>
          <w:iCs/>
          <w:szCs w:val="26"/>
        </w:rPr>
        <w:t>(</w:t>
      </w:r>
      <w:r w:rsidR="007025E8" w:rsidRPr="007025E8">
        <w:rPr>
          <w:bCs/>
          <w:i/>
          <w:szCs w:val="26"/>
        </w:rPr>
        <w:t>Blaylock</w:t>
      </w:r>
      <w:r w:rsidR="007025E8">
        <w:rPr>
          <w:bCs/>
          <w:iCs/>
          <w:szCs w:val="26"/>
        </w:rPr>
        <w:t xml:space="preserve">, at </w:t>
      </w:r>
      <w:r w:rsidR="00445B58">
        <w:rPr>
          <w:bCs/>
          <w:iCs/>
          <w:szCs w:val="26"/>
        </w:rPr>
        <w:t>p. </w:t>
      </w:r>
      <w:r w:rsidR="00002620">
        <w:rPr>
          <w:bCs/>
          <w:iCs/>
          <w:szCs w:val="26"/>
        </w:rPr>
        <w:t>873</w:t>
      </w:r>
      <w:r w:rsidR="00BE03B1">
        <w:rPr>
          <w:bCs/>
          <w:iCs/>
          <w:szCs w:val="26"/>
        </w:rPr>
        <w:t xml:space="preserve"> [</w:t>
      </w:r>
      <w:r w:rsidR="002D0D63">
        <w:rPr>
          <w:bCs/>
          <w:iCs/>
          <w:szCs w:val="26"/>
        </w:rPr>
        <w:t>“</w:t>
      </w:r>
      <w:r w:rsidR="007025E8" w:rsidRPr="007025E8">
        <w:rPr>
          <w:bCs/>
          <w:iCs/>
          <w:szCs w:val="26"/>
        </w:rPr>
        <w:t xml:space="preserve">we conclude, as a matter of law, if </w:t>
      </w:r>
      <w:r w:rsidR="002D0D63">
        <w:rPr>
          <w:bCs/>
          <w:iCs/>
          <w:szCs w:val="26"/>
        </w:rPr>
        <w:t xml:space="preserve">[the contractor] </w:t>
      </w:r>
      <w:r w:rsidR="007025E8" w:rsidRPr="007025E8">
        <w:rPr>
          <w:bCs/>
          <w:iCs/>
          <w:szCs w:val="26"/>
        </w:rPr>
        <w:t>(i.e., Blaylock and his coworkers) inspected the premises for safety issues, they would have recognized that the access panel which appeared to be part of the ceiling below the joists, was unsafe to walk on</w:t>
      </w:r>
      <w:r w:rsidR="002D0D63">
        <w:rPr>
          <w:bCs/>
          <w:iCs/>
          <w:szCs w:val="26"/>
        </w:rPr>
        <w:t xml:space="preserve">”]; </w:t>
      </w:r>
      <w:r w:rsidRPr="00FD3D58">
        <w:rPr>
          <w:bCs/>
          <w:i/>
          <w:szCs w:val="26"/>
        </w:rPr>
        <w:t>Johnson</w:t>
      </w:r>
      <w:r>
        <w:rPr>
          <w:bCs/>
          <w:iCs/>
          <w:szCs w:val="26"/>
        </w:rPr>
        <w:t xml:space="preserve">, at p. </w:t>
      </w:r>
      <w:r w:rsidRPr="00FD3D58">
        <w:rPr>
          <w:bCs/>
          <w:iCs/>
          <w:szCs w:val="26"/>
        </w:rPr>
        <w:t>632</w:t>
      </w:r>
      <w:r>
        <w:rPr>
          <w:bCs/>
          <w:iCs/>
          <w:szCs w:val="26"/>
        </w:rPr>
        <w:t xml:space="preserve"> [“</w:t>
      </w:r>
      <w:r w:rsidRPr="00FD3D58">
        <w:rPr>
          <w:bCs/>
          <w:iCs/>
          <w:szCs w:val="26"/>
        </w:rPr>
        <w:t xml:space="preserve">If </w:t>
      </w:r>
      <w:r w:rsidR="00327C16">
        <w:rPr>
          <w:bCs/>
          <w:iCs/>
          <w:szCs w:val="26"/>
        </w:rPr>
        <w:t xml:space="preserve">[plaintiff] </w:t>
      </w:r>
      <w:r w:rsidRPr="00FD3D58">
        <w:rPr>
          <w:bCs/>
          <w:iCs/>
          <w:szCs w:val="26"/>
        </w:rPr>
        <w:t>had inspected the ladder, he would have discovered the danger it presented</w:t>
      </w:r>
      <w:r w:rsidR="00F031FA">
        <w:rPr>
          <w:bCs/>
          <w:iCs/>
          <w:szCs w:val="26"/>
        </w:rPr>
        <w:t>.</w:t>
      </w:r>
      <w:r w:rsidR="00327C16">
        <w:rPr>
          <w:bCs/>
          <w:iCs/>
          <w:szCs w:val="26"/>
        </w:rPr>
        <w:t>”].)</w:t>
      </w:r>
    </w:p>
    <w:p w14:paraId="0230F0E6" w14:textId="77777777" w:rsidR="003B0753" w:rsidRDefault="003E2177" w:rsidP="00FD3D58">
      <w:pPr>
        <w:ind w:firstLine="720"/>
        <w:rPr>
          <w:bCs/>
          <w:iCs/>
          <w:szCs w:val="26"/>
        </w:rPr>
      </w:pPr>
      <w:r>
        <w:rPr>
          <w:bCs/>
          <w:iCs/>
          <w:szCs w:val="26"/>
        </w:rPr>
        <w:t xml:space="preserve">The present case is analogous. </w:t>
      </w:r>
      <w:r w:rsidR="007D5222">
        <w:rPr>
          <w:bCs/>
          <w:iCs/>
          <w:szCs w:val="26"/>
        </w:rPr>
        <w:t xml:space="preserve"> There is no evidence that Horizon </w:t>
      </w:r>
      <w:r w:rsidR="00F72BD0">
        <w:rPr>
          <w:bCs/>
          <w:iCs/>
          <w:szCs w:val="26"/>
        </w:rPr>
        <w:t xml:space="preserve">or Acosta </w:t>
      </w:r>
      <w:r w:rsidR="007D5222">
        <w:rPr>
          <w:bCs/>
          <w:iCs/>
          <w:szCs w:val="26"/>
        </w:rPr>
        <w:t>conducted a safety inspection of the worksite, and</w:t>
      </w:r>
      <w:r w:rsidR="00F72BD0">
        <w:rPr>
          <w:bCs/>
          <w:iCs/>
          <w:szCs w:val="26"/>
        </w:rPr>
        <w:t xml:space="preserve"> t</w:t>
      </w:r>
      <w:r w:rsidR="00F73384">
        <w:rPr>
          <w:bCs/>
          <w:iCs/>
          <w:szCs w:val="26"/>
        </w:rPr>
        <w:t xml:space="preserve">he undisputed evidence </w:t>
      </w:r>
      <w:r w:rsidR="00C76893">
        <w:rPr>
          <w:bCs/>
          <w:iCs/>
          <w:szCs w:val="26"/>
        </w:rPr>
        <w:t>demonstrates</w:t>
      </w:r>
      <w:r w:rsidR="00152819">
        <w:rPr>
          <w:bCs/>
          <w:iCs/>
          <w:szCs w:val="26"/>
        </w:rPr>
        <w:t xml:space="preserve"> t</w:t>
      </w:r>
      <w:r w:rsidR="00F73384">
        <w:rPr>
          <w:bCs/>
          <w:iCs/>
          <w:szCs w:val="26"/>
        </w:rPr>
        <w:t xml:space="preserve">hat </w:t>
      </w:r>
      <w:r w:rsidR="008C064B">
        <w:rPr>
          <w:bCs/>
          <w:iCs/>
          <w:szCs w:val="26"/>
        </w:rPr>
        <w:t xml:space="preserve">an inspection would have revealed its </w:t>
      </w:r>
      <w:r w:rsidR="009E3989">
        <w:rPr>
          <w:bCs/>
          <w:iCs/>
          <w:szCs w:val="26"/>
        </w:rPr>
        <w:t xml:space="preserve">hazardous condition—that is, </w:t>
      </w:r>
      <w:r w:rsidR="00AC5E70">
        <w:rPr>
          <w:bCs/>
          <w:iCs/>
          <w:szCs w:val="26"/>
        </w:rPr>
        <w:t xml:space="preserve">that </w:t>
      </w:r>
      <w:r w:rsidR="001759EF">
        <w:rPr>
          <w:bCs/>
          <w:iCs/>
          <w:szCs w:val="26"/>
        </w:rPr>
        <w:t>the hatch slam</w:t>
      </w:r>
      <w:r w:rsidR="00EB21AD">
        <w:rPr>
          <w:bCs/>
          <w:iCs/>
          <w:szCs w:val="26"/>
        </w:rPr>
        <w:t>med</w:t>
      </w:r>
      <w:r w:rsidR="001759EF">
        <w:rPr>
          <w:bCs/>
          <w:iCs/>
          <w:szCs w:val="26"/>
        </w:rPr>
        <w:t xml:space="preserve"> shut as soon as it was unlocked</w:t>
      </w:r>
      <w:r w:rsidR="00E25EA4">
        <w:rPr>
          <w:bCs/>
          <w:iCs/>
          <w:szCs w:val="26"/>
        </w:rPr>
        <w:t xml:space="preserve">.  </w:t>
      </w:r>
      <w:r w:rsidR="00CF2D95">
        <w:rPr>
          <w:bCs/>
          <w:iCs/>
          <w:szCs w:val="26"/>
        </w:rPr>
        <w:t>Accordingly</w:t>
      </w:r>
      <w:r w:rsidR="00E25EA4">
        <w:rPr>
          <w:bCs/>
          <w:iCs/>
          <w:szCs w:val="26"/>
        </w:rPr>
        <w:t xml:space="preserve">, </w:t>
      </w:r>
      <w:proofErr w:type="gramStart"/>
      <w:r w:rsidR="00CB0977">
        <w:rPr>
          <w:bCs/>
          <w:iCs/>
          <w:szCs w:val="26"/>
        </w:rPr>
        <w:t>whether or not</w:t>
      </w:r>
      <w:proofErr w:type="gramEnd"/>
      <w:r w:rsidR="00A6375B">
        <w:rPr>
          <w:bCs/>
          <w:iCs/>
          <w:szCs w:val="26"/>
        </w:rPr>
        <w:t xml:space="preserve"> Acosta </w:t>
      </w:r>
      <w:r w:rsidR="00AA19E6" w:rsidRPr="00AA19E6">
        <w:rPr>
          <w:bCs/>
          <w:i/>
          <w:szCs w:val="26"/>
        </w:rPr>
        <w:t>actually</w:t>
      </w:r>
      <w:r w:rsidR="00AA19E6">
        <w:rPr>
          <w:bCs/>
          <w:iCs/>
          <w:szCs w:val="26"/>
        </w:rPr>
        <w:t xml:space="preserve"> </w:t>
      </w:r>
      <w:r w:rsidR="00AA19E6" w:rsidRPr="001B5EB7">
        <w:rPr>
          <w:bCs/>
          <w:i/>
          <w:szCs w:val="26"/>
        </w:rPr>
        <w:t>kn</w:t>
      </w:r>
      <w:r w:rsidR="00CB0977">
        <w:rPr>
          <w:bCs/>
          <w:i/>
          <w:szCs w:val="26"/>
        </w:rPr>
        <w:t>e</w:t>
      </w:r>
      <w:r w:rsidR="00AA19E6" w:rsidRPr="001B5EB7">
        <w:rPr>
          <w:bCs/>
          <w:i/>
          <w:szCs w:val="26"/>
        </w:rPr>
        <w:t>w</w:t>
      </w:r>
      <w:r w:rsidR="00AA19E6">
        <w:rPr>
          <w:bCs/>
          <w:iCs/>
          <w:szCs w:val="26"/>
        </w:rPr>
        <w:t xml:space="preserve"> that the roof hatch was broken,</w:t>
      </w:r>
      <w:r w:rsidR="001B5EB7">
        <w:rPr>
          <w:bCs/>
          <w:iCs/>
          <w:szCs w:val="26"/>
        </w:rPr>
        <w:t xml:space="preserve"> its hazardous condition was </w:t>
      </w:r>
      <w:r w:rsidR="00111499" w:rsidRPr="008B1902">
        <w:rPr>
          <w:bCs/>
          <w:i/>
          <w:szCs w:val="26"/>
        </w:rPr>
        <w:t>reasonably discoverable</w:t>
      </w:r>
      <w:r w:rsidR="00111499">
        <w:rPr>
          <w:bCs/>
          <w:iCs/>
          <w:szCs w:val="26"/>
        </w:rPr>
        <w:t xml:space="preserve"> as a </w:t>
      </w:r>
      <w:r w:rsidR="00111499">
        <w:rPr>
          <w:bCs/>
          <w:iCs/>
          <w:szCs w:val="26"/>
        </w:rPr>
        <w:lastRenderedPageBreak/>
        <w:t xml:space="preserve">matter of law.  Under </w:t>
      </w:r>
      <w:r w:rsidR="007037F1">
        <w:rPr>
          <w:bCs/>
          <w:i/>
          <w:szCs w:val="26"/>
        </w:rPr>
        <w:t>Kinsman</w:t>
      </w:r>
      <w:r w:rsidR="007037F1">
        <w:rPr>
          <w:bCs/>
          <w:iCs/>
          <w:szCs w:val="26"/>
        </w:rPr>
        <w:t xml:space="preserve">, </w:t>
      </w:r>
      <w:r w:rsidR="007A760F">
        <w:rPr>
          <w:bCs/>
          <w:i/>
          <w:szCs w:val="26"/>
        </w:rPr>
        <w:t>Gonzalez</w:t>
      </w:r>
      <w:r w:rsidR="007A760F">
        <w:rPr>
          <w:bCs/>
          <w:iCs/>
          <w:szCs w:val="26"/>
        </w:rPr>
        <w:t xml:space="preserve">, </w:t>
      </w:r>
      <w:r w:rsidR="007A760F">
        <w:rPr>
          <w:bCs/>
          <w:i/>
          <w:szCs w:val="26"/>
        </w:rPr>
        <w:t>Johnson</w:t>
      </w:r>
      <w:r w:rsidR="007A760F">
        <w:rPr>
          <w:bCs/>
          <w:iCs/>
          <w:szCs w:val="26"/>
        </w:rPr>
        <w:t xml:space="preserve">, and </w:t>
      </w:r>
      <w:r w:rsidR="007A760F">
        <w:rPr>
          <w:bCs/>
          <w:i/>
          <w:szCs w:val="26"/>
        </w:rPr>
        <w:t>Blaylock</w:t>
      </w:r>
      <w:r w:rsidR="007A760F">
        <w:rPr>
          <w:bCs/>
          <w:iCs/>
          <w:szCs w:val="26"/>
        </w:rPr>
        <w:t xml:space="preserve">, therefore, </w:t>
      </w:r>
      <w:r w:rsidR="002B6189">
        <w:rPr>
          <w:bCs/>
          <w:iCs/>
          <w:szCs w:val="26"/>
        </w:rPr>
        <w:t>defendants were entitled to judgment.</w:t>
      </w:r>
    </w:p>
    <w:p w14:paraId="0230F0E7" w14:textId="77777777" w:rsidR="004A2379" w:rsidRDefault="003E2177" w:rsidP="00FD3D58">
      <w:pPr>
        <w:ind w:firstLine="720"/>
        <w:rPr>
          <w:bCs/>
          <w:iCs/>
          <w:szCs w:val="26"/>
        </w:rPr>
      </w:pPr>
      <w:r>
        <w:rPr>
          <w:bCs/>
          <w:iCs/>
          <w:szCs w:val="26"/>
        </w:rPr>
        <w:t>None of Acosta’s contrary contentions persuades us otherwise.</w:t>
      </w:r>
      <w:r>
        <w:rPr>
          <w:rStyle w:val="FootnoteReference"/>
          <w:bCs/>
          <w:szCs w:val="26"/>
        </w:rPr>
        <w:footnoteReference w:id="5"/>
      </w:r>
      <w:r>
        <w:rPr>
          <w:bCs/>
          <w:iCs/>
          <w:szCs w:val="26"/>
        </w:rPr>
        <w:t xml:space="preserve">  First, Acosta contends that </w:t>
      </w:r>
      <w:r w:rsidR="00EB21AD">
        <w:rPr>
          <w:bCs/>
          <w:iCs/>
          <w:szCs w:val="26"/>
        </w:rPr>
        <w:t xml:space="preserve">neither he nor Horizon </w:t>
      </w:r>
      <w:r w:rsidR="008E6464">
        <w:rPr>
          <w:bCs/>
          <w:iCs/>
          <w:szCs w:val="26"/>
        </w:rPr>
        <w:t xml:space="preserve">had </w:t>
      </w:r>
      <w:r w:rsidR="00EB21AD">
        <w:rPr>
          <w:bCs/>
          <w:iCs/>
          <w:szCs w:val="26"/>
        </w:rPr>
        <w:t xml:space="preserve">a </w:t>
      </w:r>
      <w:r w:rsidR="008E6464">
        <w:rPr>
          <w:bCs/>
          <w:iCs/>
          <w:szCs w:val="26"/>
        </w:rPr>
        <w:t>duty to inspect the roof hat</w:t>
      </w:r>
      <w:r w:rsidR="00702D83">
        <w:rPr>
          <w:bCs/>
          <w:iCs/>
          <w:szCs w:val="26"/>
        </w:rPr>
        <w:t xml:space="preserve">ch because it was not within the scope of </w:t>
      </w:r>
      <w:r w:rsidR="003B5231">
        <w:rPr>
          <w:bCs/>
          <w:iCs/>
          <w:szCs w:val="26"/>
        </w:rPr>
        <w:t xml:space="preserve">the work </w:t>
      </w:r>
      <w:r w:rsidR="00EB21AD">
        <w:rPr>
          <w:bCs/>
          <w:iCs/>
          <w:szCs w:val="26"/>
        </w:rPr>
        <w:t xml:space="preserve">Horizon </w:t>
      </w:r>
      <w:r w:rsidR="003B5231">
        <w:rPr>
          <w:bCs/>
          <w:iCs/>
          <w:szCs w:val="26"/>
        </w:rPr>
        <w:t>was hired to do</w:t>
      </w:r>
      <w:r w:rsidR="00702D83">
        <w:rPr>
          <w:bCs/>
          <w:iCs/>
          <w:szCs w:val="26"/>
        </w:rPr>
        <w:t>.</w:t>
      </w:r>
      <w:r>
        <w:rPr>
          <w:rStyle w:val="FootnoteReference"/>
          <w:bCs/>
          <w:iCs/>
          <w:szCs w:val="26"/>
        </w:rPr>
        <w:footnoteReference w:id="6"/>
      </w:r>
      <w:r w:rsidR="00702D83">
        <w:rPr>
          <w:bCs/>
          <w:iCs/>
          <w:szCs w:val="26"/>
        </w:rPr>
        <w:t xml:space="preserve">  </w:t>
      </w:r>
      <w:r w:rsidR="003B5231">
        <w:rPr>
          <w:bCs/>
          <w:iCs/>
          <w:szCs w:val="26"/>
        </w:rPr>
        <w:t xml:space="preserve">He </w:t>
      </w:r>
      <w:r w:rsidR="005A62F1">
        <w:rPr>
          <w:bCs/>
          <w:iCs/>
          <w:szCs w:val="26"/>
        </w:rPr>
        <w:t>notes</w:t>
      </w:r>
      <w:r w:rsidR="003B5231">
        <w:rPr>
          <w:bCs/>
          <w:iCs/>
          <w:szCs w:val="26"/>
        </w:rPr>
        <w:t xml:space="preserve"> that </w:t>
      </w:r>
      <w:r w:rsidR="0060451B">
        <w:rPr>
          <w:bCs/>
          <w:iCs/>
          <w:szCs w:val="26"/>
        </w:rPr>
        <w:t xml:space="preserve">the duty to inspect under </w:t>
      </w:r>
      <w:r w:rsidR="003B5231">
        <w:rPr>
          <w:bCs/>
          <w:i/>
          <w:szCs w:val="26"/>
        </w:rPr>
        <w:t xml:space="preserve">Kinsman </w:t>
      </w:r>
      <w:r w:rsidR="003B5231">
        <w:rPr>
          <w:bCs/>
          <w:iCs/>
          <w:szCs w:val="26"/>
        </w:rPr>
        <w:t xml:space="preserve">and </w:t>
      </w:r>
      <w:r w:rsidR="00B91E7A">
        <w:rPr>
          <w:bCs/>
          <w:i/>
          <w:szCs w:val="26"/>
        </w:rPr>
        <w:t>Gonzalez</w:t>
      </w:r>
      <w:r w:rsidR="00B91E7A">
        <w:rPr>
          <w:bCs/>
          <w:iCs/>
          <w:szCs w:val="26"/>
        </w:rPr>
        <w:t xml:space="preserve"> </w:t>
      </w:r>
      <w:r w:rsidR="0060451B">
        <w:rPr>
          <w:bCs/>
          <w:iCs/>
          <w:szCs w:val="26"/>
        </w:rPr>
        <w:t xml:space="preserve">is </w:t>
      </w:r>
      <w:r w:rsidR="00B91E7A">
        <w:rPr>
          <w:bCs/>
          <w:iCs/>
          <w:szCs w:val="26"/>
        </w:rPr>
        <w:t>limited</w:t>
      </w:r>
      <w:r w:rsidR="006D4A34">
        <w:rPr>
          <w:bCs/>
          <w:iCs/>
          <w:szCs w:val="26"/>
        </w:rPr>
        <w:t xml:space="preserve">, </w:t>
      </w:r>
      <w:r w:rsidR="00426AAB">
        <w:rPr>
          <w:bCs/>
          <w:iCs/>
          <w:szCs w:val="26"/>
        </w:rPr>
        <w:t xml:space="preserve">and </w:t>
      </w:r>
      <w:r w:rsidR="00454512">
        <w:rPr>
          <w:bCs/>
          <w:iCs/>
          <w:szCs w:val="26"/>
        </w:rPr>
        <w:t xml:space="preserve">he suggests that </w:t>
      </w:r>
      <w:r w:rsidR="00655D19">
        <w:rPr>
          <w:bCs/>
          <w:iCs/>
          <w:szCs w:val="26"/>
        </w:rPr>
        <w:t xml:space="preserve">it </w:t>
      </w:r>
      <w:r w:rsidR="00F65C46">
        <w:rPr>
          <w:bCs/>
          <w:iCs/>
          <w:szCs w:val="26"/>
        </w:rPr>
        <w:t xml:space="preserve">would not have been reasonable to expect him to identify “every </w:t>
      </w:r>
      <w:r w:rsidR="00860AEA">
        <w:rPr>
          <w:bCs/>
          <w:iCs/>
          <w:szCs w:val="26"/>
        </w:rPr>
        <w:t>conceivable dangerous condition of the hatch leading to the roof given that he is not a licensed hatch repairer and was not hired to repair the hatch.”</w:t>
      </w:r>
      <w:r w:rsidR="00543532">
        <w:rPr>
          <w:bCs/>
          <w:iCs/>
          <w:szCs w:val="26"/>
        </w:rPr>
        <w:t xml:space="preserve"> </w:t>
      </w:r>
      <w:r w:rsidR="00860AEA">
        <w:rPr>
          <w:bCs/>
          <w:iCs/>
          <w:szCs w:val="26"/>
        </w:rPr>
        <w:t xml:space="preserve"> </w:t>
      </w:r>
      <w:r w:rsidR="009C47AC">
        <w:rPr>
          <w:bCs/>
          <w:iCs/>
          <w:szCs w:val="26"/>
        </w:rPr>
        <w:t xml:space="preserve">Thus, he urges, “[t]he hazardous condition of the hatch, which simply provided access to plaintiff’s work site, was not delegated to Horizon simply by reason of the fact that he was </w:t>
      </w:r>
      <w:r w:rsidR="00273633">
        <w:rPr>
          <w:bCs/>
          <w:iCs/>
          <w:szCs w:val="26"/>
        </w:rPr>
        <w:t>to work on lighting which might require access to the roof.”</w:t>
      </w:r>
    </w:p>
    <w:p w14:paraId="0230F0E8" w14:textId="77777777" w:rsidR="00EB0B34" w:rsidRPr="00365DA6" w:rsidRDefault="003E2177" w:rsidP="00F33469">
      <w:pPr>
        <w:ind w:firstLine="720"/>
        <w:rPr>
          <w:bCs/>
          <w:iCs/>
          <w:szCs w:val="26"/>
        </w:rPr>
      </w:pPr>
      <w:r>
        <w:rPr>
          <w:bCs/>
          <w:iCs/>
          <w:szCs w:val="26"/>
        </w:rPr>
        <w:lastRenderedPageBreak/>
        <w:t>We do not agree that the duty to inspect is as limited as Acosta suggests.</w:t>
      </w:r>
      <w:r w:rsidR="000F5753">
        <w:rPr>
          <w:bCs/>
          <w:iCs/>
          <w:szCs w:val="26"/>
        </w:rPr>
        <w:t xml:space="preserve">  He is correct that </w:t>
      </w:r>
      <w:r w:rsidR="00195E81">
        <w:rPr>
          <w:bCs/>
          <w:iCs/>
          <w:szCs w:val="26"/>
        </w:rPr>
        <w:t xml:space="preserve">an independent contractor </w:t>
      </w:r>
      <w:r w:rsidR="008C3994">
        <w:rPr>
          <w:bCs/>
          <w:iCs/>
          <w:szCs w:val="26"/>
        </w:rPr>
        <w:t xml:space="preserve">does not have a duty to inspect </w:t>
      </w:r>
      <w:proofErr w:type="gramStart"/>
      <w:r w:rsidR="008C3994">
        <w:rPr>
          <w:bCs/>
          <w:iCs/>
          <w:szCs w:val="26"/>
        </w:rPr>
        <w:t>all of</w:t>
      </w:r>
      <w:proofErr w:type="gramEnd"/>
      <w:r w:rsidR="008C3994">
        <w:rPr>
          <w:bCs/>
          <w:iCs/>
          <w:szCs w:val="26"/>
        </w:rPr>
        <w:t xml:space="preserve"> the </w:t>
      </w:r>
      <w:r w:rsidR="001031A9">
        <w:rPr>
          <w:bCs/>
          <w:iCs/>
          <w:szCs w:val="26"/>
        </w:rPr>
        <w:t>landowner’s property or to identify hazards wholly outside his area of expertise</w:t>
      </w:r>
      <w:r w:rsidR="00FA39C6">
        <w:rPr>
          <w:bCs/>
          <w:iCs/>
          <w:szCs w:val="26"/>
        </w:rPr>
        <w:t>.  (</w:t>
      </w:r>
      <w:r w:rsidR="00814451">
        <w:rPr>
          <w:bCs/>
          <w:iCs/>
          <w:szCs w:val="26"/>
        </w:rPr>
        <w:t>See </w:t>
      </w:r>
      <w:r w:rsidR="00E43251" w:rsidRPr="00E43251">
        <w:rPr>
          <w:bCs/>
          <w:i/>
          <w:szCs w:val="26"/>
        </w:rPr>
        <w:t>Gonzalez</w:t>
      </w:r>
      <w:r w:rsidR="00E43251">
        <w:rPr>
          <w:bCs/>
          <w:iCs/>
          <w:szCs w:val="26"/>
        </w:rPr>
        <w:t xml:space="preserve">, </w:t>
      </w:r>
      <w:r w:rsidR="00E43251">
        <w:rPr>
          <w:bCs/>
          <w:i/>
          <w:szCs w:val="26"/>
        </w:rPr>
        <w:t>supra</w:t>
      </w:r>
      <w:r w:rsidR="00E43251">
        <w:rPr>
          <w:bCs/>
          <w:iCs/>
          <w:szCs w:val="26"/>
        </w:rPr>
        <w:t xml:space="preserve">, </w:t>
      </w:r>
      <w:r w:rsidR="00E43251" w:rsidRPr="00E43251">
        <w:rPr>
          <w:bCs/>
          <w:iCs/>
          <w:szCs w:val="26"/>
        </w:rPr>
        <w:t xml:space="preserve">12 Cal.5th </w:t>
      </w:r>
      <w:r w:rsidR="00E43251">
        <w:rPr>
          <w:bCs/>
          <w:iCs/>
          <w:szCs w:val="26"/>
        </w:rPr>
        <w:t xml:space="preserve">at pp. </w:t>
      </w:r>
      <w:r w:rsidR="00E43251" w:rsidRPr="00E43251">
        <w:rPr>
          <w:bCs/>
          <w:iCs/>
          <w:szCs w:val="26"/>
        </w:rPr>
        <w:t>54–55</w:t>
      </w:r>
      <w:r w:rsidR="00E43251">
        <w:rPr>
          <w:bCs/>
          <w:iCs/>
          <w:szCs w:val="26"/>
        </w:rPr>
        <w:t xml:space="preserve"> [“</w:t>
      </w:r>
      <w:r w:rsidR="00E43251" w:rsidRPr="00E43251">
        <w:rPr>
          <w:bCs/>
          <w:iCs/>
          <w:szCs w:val="26"/>
        </w:rPr>
        <w:t>it would not be reasonable to expect Gonzalez to identify every conceivable dangerous condition on the roof given that he is not a licensed roofer and was not hired to repair the roof</w:t>
      </w:r>
      <w:r w:rsidR="00980A6A">
        <w:rPr>
          <w:bCs/>
          <w:iCs/>
          <w:szCs w:val="26"/>
        </w:rPr>
        <w:t>” or</w:t>
      </w:r>
      <w:r w:rsidR="00D42C54">
        <w:rPr>
          <w:bCs/>
          <w:iCs/>
          <w:szCs w:val="26"/>
        </w:rPr>
        <w:t xml:space="preserve"> </w:t>
      </w:r>
      <w:r w:rsidR="009F72CC">
        <w:rPr>
          <w:bCs/>
          <w:iCs/>
          <w:szCs w:val="26"/>
        </w:rPr>
        <w:t>to protect himself against “</w:t>
      </w:r>
      <w:r w:rsidR="00D42C54">
        <w:rPr>
          <w:bCs/>
          <w:iCs/>
          <w:szCs w:val="26"/>
        </w:rPr>
        <w:t xml:space="preserve">a </w:t>
      </w:r>
      <w:r w:rsidR="00473DF5">
        <w:rPr>
          <w:bCs/>
          <w:iCs/>
          <w:szCs w:val="26"/>
        </w:rPr>
        <w:t xml:space="preserve">known </w:t>
      </w:r>
      <w:r w:rsidR="00E43251" w:rsidRPr="00E43251">
        <w:rPr>
          <w:bCs/>
          <w:iCs/>
          <w:szCs w:val="26"/>
        </w:rPr>
        <w:t>hazard on the premises that is not located on or near the worksite</w:t>
      </w:r>
      <w:r w:rsidR="009F72CC">
        <w:rPr>
          <w:bCs/>
          <w:iCs/>
          <w:szCs w:val="26"/>
        </w:rPr>
        <w:t>”</w:t>
      </w:r>
      <w:r w:rsidR="00FC570E">
        <w:rPr>
          <w:bCs/>
          <w:iCs/>
          <w:szCs w:val="26"/>
        </w:rPr>
        <w:t>]</w:t>
      </w:r>
      <w:r w:rsidR="0089424F">
        <w:rPr>
          <w:bCs/>
          <w:iCs/>
          <w:szCs w:val="26"/>
        </w:rPr>
        <w:t xml:space="preserve">; </w:t>
      </w:r>
      <w:r w:rsidR="0089424F" w:rsidRPr="0089424F">
        <w:rPr>
          <w:bCs/>
          <w:i/>
          <w:szCs w:val="26"/>
        </w:rPr>
        <w:t>Kinsman</w:t>
      </w:r>
      <w:r w:rsidR="0089424F">
        <w:rPr>
          <w:bCs/>
          <w:iCs/>
          <w:szCs w:val="26"/>
        </w:rPr>
        <w:t xml:space="preserve">, </w:t>
      </w:r>
      <w:r w:rsidR="0089424F" w:rsidRPr="0089424F">
        <w:rPr>
          <w:bCs/>
          <w:i/>
          <w:szCs w:val="26"/>
        </w:rPr>
        <w:t>supra</w:t>
      </w:r>
      <w:r w:rsidR="0089424F">
        <w:rPr>
          <w:bCs/>
          <w:iCs/>
          <w:szCs w:val="26"/>
        </w:rPr>
        <w:t xml:space="preserve">, </w:t>
      </w:r>
      <w:r w:rsidR="0089424F" w:rsidRPr="0089424F">
        <w:rPr>
          <w:bCs/>
          <w:iCs/>
          <w:szCs w:val="26"/>
        </w:rPr>
        <w:t xml:space="preserve">37 Cal.4th </w:t>
      </w:r>
      <w:r w:rsidR="0089424F">
        <w:rPr>
          <w:bCs/>
          <w:iCs/>
          <w:szCs w:val="26"/>
        </w:rPr>
        <w:t xml:space="preserve">at p. </w:t>
      </w:r>
      <w:r w:rsidR="0089424F" w:rsidRPr="0089424F">
        <w:rPr>
          <w:bCs/>
          <w:iCs/>
          <w:szCs w:val="26"/>
        </w:rPr>
        <w:t>678</w:t>
      </w:r>
      <w:r w:rsidR="0089424F">
        <w:rPr>
          <w:bCs/>
          <w:iCs/>
          <w:szCs w:val="26"/>
        </w:rPr>
        <w:t xml:space="preserve"> [“</w:t>
      </w:r>
      <w:r w:rsidR="0089424F" w:rsidRPr="0089424F">
        <w:rPr>
          <w:bCs/>
          <w:iCs/>
          <w:szCs w:val="26"/>
        </w:rPr>
        <w:t>the</w:t>
      </w:r>
      <w:r w:rsidR="00D447C6">
        <w:rPr>
          <w:bCs/>
          <w:iCs/>
          <w:szCs w:val="26"/>
        </w:rPr>
        <w:t> </w:t>
      </w:r>
      <w:r w:rsidR="0089424F" w:rsidRPr="0089424F">
        <w:rPr>
          <w:bCs/>
          <w:iCs/>
          <w:szCs w:val="26"/>
        </w:rPr>
        <w:t>contractor was not being paid to inspect the premises generally, and therefore the duty of general inspection could not be said to have been delegated to it</w:t>
      </w:r>
      <w:r w:rsidR="0089424F">
        <w:rPr>
          <w:bCs/>
          <w:iCs/>
          <w:szCs w:val="26"/>
        </w:rPr>
        <w:t>”].)</w:t>
      </w:r>
      <w:r w:rsidR="00585B30">
        <w:rPr>
          <w:bCs/>
          <w:iCs/>
          <w:szCs w:val="26"/>
        </w:rPr>
        <w:t xml:space="preserve">  But a landowner who hires an independent contractor “</w:t>
      </w:r>
      <w:r w:rsidR="00585B30" w:rsidRPr="00585B30">
        <w:rPr>
          <w:bCs/>
          <w:iCs/>
          <w:szCs w:val="26"/>
        </w:rPr>
        <w:t>presumptively delegates to that contractor its tort law duty to provide a safe workplace for the contractor</w:t>
      </w:r>
      <w:r w:rsidR="000F36FC">
        <w:rPr>
          <w:bCs/>
          <w:iCs/>
          <w:szCs w:val="26"/>
        </w:rPr>
        <w:t>’</w:t>
      </w:r>
      <w:r w:rsidR="00585B30" w:rsidRPr="00585B30">
        <w:rPr>
          <w:bCs/>
          <w:iCs/>
          <w:szCs w:val="26"/>
        </w:rPr>
        <w:t>s employees</w:t>
      </w:r>
      <w:r w:rsidR="00585B30">
        <w:rPr>
          <w:bCs/>
          <w:iCs/>
          <w:szCs w:val="26"/>
        </w:rPr>
        <w:t>” (</w:t>
      </w:r>
      <w:proofErr w:type="spellStart"/>
      <w:r w:rsidR="00585B30" w:rsidRPr="00585B30">
        <w:rPr>
          <w:bCs/>
          <w:i/>
          <w:szCs w:val="26"/>
        </w:rPr>
        <w:t>SeaBright</w:t>
      </w:r>
      <w:proofErr w:type="spellEnd"/>
      <w:r w:rsidR="008F0790" w:rsidRPr="008F0790">
        <w:rPr>
          <w:bCs/>
          <w:iCs/>
          <w:szCs w:val="26"/>
        </w:rPr>
        <w:t>,</w:t>
      </w:r>
      <w:r w:rsidR="008F0790">
        <w:rPr>
          <w:bCs/>
          <w:i/>
          <w:szCs w:val="26"/>
        </w:rPr>
        <w:t xml:space="preserve"> supra</w:t>
      </w:r>
      <w:r w:rsidR="008F0790" w:rsidRPr="008F0790">
        <w:rPr>
          <w:bCs/>
          <w:iCs/>
          <w:szCs w:val="26"/>
        </w:rPr>
        <w:t>,</w:t>
      </w:r>
      <w:r w:rsidR="008F0790">
        <w:rPr>
          <w:bCs/>
          <w:i/>
          <w:szCs w:val="26"/>
        </w:rPr>
        <w:t xml:space="preserve"> </w:t>
      </w:r>
      <w:r w:rsidR="00585B30" w:rsidRPr="00585B30">
        <w:rPr>
          <w:bCs/>
          <w:iCs/>
          <w:szCs w:val="26"/>
        </w:rPr>
        <w:t>52 Cal.4th</w:t>
      </w:r>
      <w:r w:rsidR="0021118D">
        <w:rPr>
          <w:bCs/>
          <w:iCs/>
          <w:szCs w:val="26"/>
        </w:rPr>
        <w:t xml:space="preserve"> at p.</w:t>
      </w:r>
      <w:r w:rsidR="00585B30" w:rsidRPr="00585B30">
        <w:rPr>
          <w:bCs/>
          <w:iCs/>
          <w:szCs w:val="26"/>
        </w:rPr>
        <w:t xml:space="preserve"> 600</w:t>
      </w:r>
      <w:r w:rsidR="00585B30">
        <w:rPr>
          <w:bCs/>
          <w:iCs/>
          <w:szCs w:val="26"/>
        </w:rPr>
        <w:t>)</w:t>
      </w:r>
      <w:r w:rsidR="005926F6">
        <w:rPr>
          <w:bCs/>
          <w:iCs/>
          <w:szCs w:val="26"/>
        </w:rPr>
        <w:t xml:space="preserve">, and thus </w:t>
      </w:r>
      <w:r w:rsidR="00893FCB">
        <w:rPr>
          <w:bCs/>
          <w:iCs/>
          <w:szCs w:val="26"/>
        </w:rPr>
        <w:t>the</w:t>
      </w:r>
      <w:r w:rsidR="005926F6">
        <w:rPr>
          <w:bCs/>
          <w:iCs/>
          <w:szCs w:val="26"/>
        </w:rPr>
        <w:t xml:space="preserve"> independent contractor has</w:t>
      </w:r>
      <w:r w:rsidR="00871D41">
        <w:rPr>
          <w:bCs/>
          <w:iCs/>
          <w:szCs w:val="26"/>
        </w:rPr>
        <w:t xml:space="preserve"> a duty to d</w:t>
      </w:r>
      <w:r w:rsidR="00893FCB">
        <w:rPr>
          <w:bCs/>
          <w:iCs/>
          <w:szCs w:val="26"/>
        </w:rPr>
        <w:t xml:space="preserve">etermine whether its employees can </w:t>
      </w:r>
      <w:r w:rsidR="00BE08C9">
        <w:rPr>
          <w:bCs/>
          <w:iCs/>
          <w:szCs w:val="26"/>
        </w:rPr>
        <w:t>safe</w:t>
      </w:r>
      <w:r w:rsidR="00084278">
        <w:rPr>
          <w:bCs/>
          <w:iCs/>
          <w:szCs w:val="26"/>
        </w:rPr>
        <w:t>l</w:t>
      </w:r>
      <w:r w:rsidR="00BE08C9">
        <w:rPr>
          <w:bCs/>
          <w:iCs/>
          <w:szCs w:val="26"/>
        </w:rPr>
        <w:t>y perform the work they have been hired to do</w:t>
      </w:r>
      <w:r w:rsidR="00D9761E">
        <w:rPr>
          <w:bCs/>
          <w:iCs/>
          <w:szCs w:val="26"/>
        </w:rPr>
        <w:t xml:space="preserve"> (</w:t>
      </w:r>
      <w:r w:rsidR="00D9761E">
        <w:rPr>
          <w:bCs/>
          <w:i/>
          <w:szCs w:val="26"/>
        </w:rPr>
        <w:t>Gonzalez</w:t>
      </w:r>
      <w:r w:rsidR="00D9761E">
        <w:rPr>
          <w:bCs/>
          <w:iCs/>
          <w:szCs w:val="26"/>
        </w:rPr>
        <w:t>, at p. 55</w:t>
      </w:r>
      <w:r w:rsidR="00BE08C9">
        <w:rPr>
          <w:bCs/>
          <w:iCs/>
          <w:szCs w:val="26"/>
        </w:rPr>
        <w:t xml:space="preserve">).  </w:t>
      </w:r>
      <w:r w:rsidR="00882B2A">
        <w:rPr>
          <w:bCs/>
          <w:iCs/>
          <w:szCs w:val="26"/>
        </w:rPr>
        <w:t>That include</w:t>
      </w:r>
      <w:r w:rsidR="00943140">
        <w:rPr>
          <w:bCs/>
          <w:iCs/>
          <w:szCs w:val="26"/>
        </w:rPr>
        <w:t xml:space="preserve">s a duty to inspect </w:t>
      </w:r>
      <w:r w:rsidR="002B367E">
        <w:rPr>
          <w:bCs/>
          <w:iCs/>
          <w:szCs w:val="26"/>
        </w:rPr>
        <w:t>not only the worksite itself, but the “means to access the worksite</w:t>
      </w:r>
      <w:r w:rsidR="00775EB5">
        <w:rPr>
          <w:bCs/>
          <w:iCs/>
          <w:szCs w:val="26"/>
        </w:rPr>
        <w:t>.</w:t>
      </w:r>
      <w:r w:rsidR="002B367E">
        <w:rPr>
          <w:bCs/>
          <w:iCs/>
          <w:szCs w:val="26"/>
        </w:rPr>
        <w:t>”</w:t>
      </w:r>
      <w:r w:rsidR="00775EB5">
        <w:rPr>
          <w:bCs/>
          <w:iCs/>
          <w:szCs w:val="26"/>
        </w:rPr>
        <w:t xml:space="preserve">  </w:t>
      </w:r>
      <w:r w:rsidR="00775EB5" w:rsidRPr="00775EB5">
        <w:rPr>
          <w:rFonts w:cs="Century Schoolbook"/>
          <w:bCs/>
          <w:iCs/>
          <w:szCs w:val="26"/>
        </w:rPr>
        <w:t>(</w:t>
      </w:r>
      <w:r w:rsidR="00775EB5" w:rsidRPr="00775EB5">
        <w:rPr>
          <w:rFonts w:cs="Century Schoolbook"/>
          <w:bCs/>
          <w:i/>
          <w:iCs/>
          <w:szCs w:val="26"/>
        </w:rPr>
        <w:t>Ibid.</w:t>
      </w:r>
      <w:r w:rsidR="00775EB5" w:rsidRPr="00775EB5">
        <w:rPr>
          <w:rFonts w:cs="Century Schoolbook"/>
          <w:bCs/>
          <w:iCs/>
          <w:szCs w:val="26"/>
        </w:rPr>
        <w:t>)</w:t>
      </w:r>
      <w:r w:rsidR="00775EB5">
        <w:rPr>
          <w:bCs/>
          <w:iCs/>
          <w:szCs w:val="26"/>
        </w:rPr>
        <w:t xml:space="preserve">  Thus, for example, </w:t>
      </w:r>
      <w:r>
        <w:rPr>
          <w:bCs/>
          <w:iCs/>
          <w:szCs w:val="26"/>
        </w:rPr>
        <w:t xml:space="preserve">the court rejected the plaintiff’s claim </w:t>
      </w:r>
      <w:r w:rsidR="00775EB5">
        <w:rPr>
          <w:bCs/>
          <w:iCs/>
          <w:szCs w:val="26"/>
        </w:rPr>
        <w:t xml:space="preserve">in </w:t>
      </w:r>
      <w:r w:rsidR="00775EB5">
        <w:rPr>
          <w:bCs/>
          <w:i/>
          <w:szCs w:val="26"/>
        </w:rPr>
        <w:t>Gonzalez</w:t>
      </w:r>
      <w:r w:rsidR="002B367E">
        <w:rPr>
          <w:bCs/>
          <w:iCs/>
          <w:szCs w:val="26"/>
        </w:rPr>
        <w:t xml:space="preserve"> </w:t>
      </w:r>
      <w:r>
        <w:rPr>
          <w:bCs/>
          <w:iCs/>
          <w:szCs w:val="26"/>
        </w:rPr>
        <w:t xml:space="preserve">that he </w:t>
      </w:r>
      <w:r w:rsidR="00B75289">
        <w:rPr>
          <w:bCs/>
          <w:iCs/>
          <w:szCs w:val="26"/>
        </w:rPr>
        <w:t>was</w:t>
      </w:r>
      <w:r>
        <w:rPr>
          <w:bCs/>
          <w:iCs/>
          <w:szCs w:val="26"/>
        </w:rPr>
        <w:t xml:space="preserve"> not</w:t>
      </w:r>
      <w:r w:rsidR="003B1EC6">
        <w:rPr>
          <w:bCs/>
          <w:iCs/>
          <w:szCs w:val="26"/>
        </w:rPr>
        <w:t xml:space="preserve"> responsible for ensuring the safety of the </w:t>
      </w:r>
      <w:r w:rsidR="009201F3">
        <w:rPr>
          <w:bCs/>
          <w:iCs/>
          <w:szCs w:val="26"/>
        </w:rPr>
        <w:t>area of the roof abutting the skylights the plaintiff had been hired to clean</w:t>
      </w:r>
      <w:r w:rsidR="004763CE">
        <w:rPr>
          <w:bCs/>
          <w:iCs/>
          <w:szCs w:val="26"/>
        </w:rPr>
        <w:t xml:space="preserve">.  </w:t>
      </w:r>
      <w:r w:rsidR="00B75289">
        <w:rPr>
          <w:bCs/>
          <w:iCs/>
          <w:szCs w:val="26"/>
        </w:rPr>
        <w:t>The court</w:t>
      </w:r>
      <w:r w:rsidR="004763CE">
        <w:rPr>
          <w:bCs/>
          <w:iCs/>
          <w:szCs w:val="26"/>
        </w:rPr>
        <w:t xml:space="preserve"> explained:  “Gonzalez argues that the</w:t>
      </w:r>
      <w:r w:rsidR="007244FA">
        <w:rPr>
          <w:bCs/>
          <w:iCs/>
          <w:szCs w:val="26"/>
        </w:rPr>
        <w:t xml:space="preserve"> </w:t>
      </w:r>
      <w:r w:rsidRPr="00EB0B34">
        <w:rPr>
          <w:bCs/>
          <w:iCs/>
          <w:szCs w:val="26"/>
        </w:rPr>
        <w:t>path between the parapet wall and the edge of the roof was just a means to access the worksite, as opposed to being a part of the worksite, but t</w:t>
      </w:r>
      <w:r w:rsidRPr="00EB0B34">
        <w:rPr>
          <w:bCs/>
          <w:iCs/>
          <w:szCs w:val="26"/>
        </w:rPr>
        <w:t xml:space="preserve">his is belied by the undisputed evidence in the record. </w:t>
      </w:r>
      <w:r w:rsidR="004763CE">
        <w:rPr>
          <w:bCs/>
          <w:iCs/>
          <w:szCs w:val="26"/>
        </w:rPr>
        <w:t xml:space="preserve"> </w:t>
      </w:r>
      <w:r w:rsidRPr="00EB0B34">
        <w:rPr>
          <w:bCs/>
          <w:iCs/>
          <w:szCs w:val="26"/>
        </w:rPr>
        <w:t xml:space="preserve">The path ran parallel to the skylight and Gonzalez testified that he utilized it </w:t>
      </w:r>
      <w:r w:rsidRPr="00E96DDB">
        <w:rPr>
          <w:bCs/>
          <w:i/>
          <w:szCs w:val="26"/>
        </w:rPr>
        <w:t>while</w:t>
      </w:r>
      <w:r w:rsidRPr="00EB0B34">
        <w:rPr>
          <w:bCs/>
          <w:iCs/>
          <w:szCs w:val="26"/>
        </w:rPr>
        <w:t xml:space="preserve"> cleaning the skylight. </w:t>
      </w:r>
      <w:r w:rsidR="004763CE">
        <w:rPr>
          <w:bCs/>
          <w:iCs/>
          <w:szCs w:val="26"/>
        </w:rPr>
        <w:t xml:space="preserve"> </w:t>
      </w:r>
      <w:r w:rsidRPr="00EB0B34">
        <w:rPr>
          <w:bCs/>
          <w:iCs/>
          <w:szCs w:val="26"/>
        </w:rPr>
        <w:t xml:space="preserve">Moreover, even if it were true that Gonzalez was </w:t>
      </w:r>
      <w:r w:rsidRPr="00EB0B34">
        <w:rPr>
          <w:bCs/>
          <w:iCs/>
          <w:szCs w:val="26"/>
        </w:rPr>
        <w:lastRenderedPageBreak/>
        <w:t>required to traverse the path just to g</w:t>
      </w:r>
      <w:r w:rsidRPr="00EB0B34">
        <w:rPr>
          <w:bCs/>
          <w:iCs/>
          <w:szCs w:val="26"/>
        </w:rPr>
        <w:t>et to the skylight, it still would have constituted an inherent risk in the job for which he was hired.</w:t>
      </w:r>
      <w:r w:rsidR="004763CE">
        <w:rPr>
          <w:bCs/>
          <w:iCs/>
          <w:szCs w:val="26"/>
        </w:rPr>
        <w:t xml:space="preserve">”  </w:t>
      </w:r>
      <w:r w:rsidR="001E4E05" w:rsidRPr="001E4E05">
        <w:rPr>
          <w:bCs/>
          <w:iCs/>
          <w:szCs w:val="26"/>
        </w:rPr>
        <w:t>(</w:t>
      </w:r>
      <w:r w:rsidR="001E4E05" w:rsidRPr="001E4E05">
        <w:rPr>
          <w:bCs/>
          <w:i/>
          <w:iCs/>
          <w:szCs w:val="26"/>
        </w:rPr>
        <w:t>Id.</w:t>
      </w:r>
      <w:r w:rsidR="001E4E05" w:rsidRPr="001E4E05">
        <w:rPr>
          <w:bCs/>
          <w:iCs/>
          <w:szCs w:val="26"/>
        </w:rPr>
        <w:t xml:space="preserve"> at p.</w:t>
      </w:r>
      <w:r w:rsidR="001E4E05">
        <w:rPr>
          <w:bCs/>
          <w:iCs/>
          <w:szCs w:val="26"/>
        </w:rPr>
        <w:t xml:space="preserve"> 5</w:t>
      </w:r>
      <w:r w:rsidR="00BA52A2">
        <w:rPr>
          <w:bCs/>
          <w:iCs/>
          <w:szCs w:val="26"/>
        </w:rPr>
        <w:t>5</w:t>
      </w:r>
      <w:r w:rsidR="001E4E05">
        <w:rPr>
          <w:bCs/>
          <w:iCs/>
          <w:szCs w:val="26"/>
        </w:rPr>
        <w:t xml:space="preserve">.)  Similarly, in </w:t>
      </w:r>
      <w:proofErr w:type="spellStart"/>
      <w:r w:rsidRPr="005D4639">
        <w:rPr>
          <w:bCs/>
          <w:i/>
          <w:szCs w:val="26"/>
        </w:rPr>
        <w:t>Tverberg</w:t>
      </w:r>
      <w:proofErr w:type="spellEnd"/>
      <w:r w:rsidRPr="00EB0B34">
        <w:rPr>
          <w:bCs/>
          <w:iCs/>
          <w:szCs w:val="26"/>
        </w:rPr>
        <w:t xml:space="preserve">, </w:t>
      </w:r>
      <w:r w:rsidR="0085189E">
        <w:rPr>
          <w:bCs/>
          <w:iCs/>
          <w:szCs w:val="26"/>
        </w:rPr>
        <w:t xml:space="preserve">the court held that </w:t>
      </w:r>
      <w:r w:rsidR="001513BE">
        <w:rPr>
          <w:bCs/>
          <w:iCs/>
          <w:szCs w:val="26"/>
        </w:rPr>
        <w:t xml:space="preserve">the plaintiff could not recover for injuries he suffered when </w:t>
      </w:r>
      <w:r w:rsidR="00E811E7">
        <w:rPr>
          <w:bCs/>
          <w:iCs/>
          <w:szCs w:val="26"/>
        </w:rPr>
        <w:t xml:space="preserve">he fell into a hole </w:t>
      </w:r>
      <w:r w:rsidR="008E3E8B">
        <w:rPr>
          <w:bCs/>
          <w:iCs/>
          <w:szCs w:val="26"/>
        </w:rPr>
        <w:t xml:space="preserve">dug in the area adjacent to where </w:t>
      </w:r>
      <w:r w:rsidR="00BE72E4">
        <w:rPr>
          <w:bCs/>
          <w:iCs/>
          <w:szCs w:val="26"/>
        </w:rPr>
        <w:t>he had been hired to erect a metal canopy</w:t>
      </w:r>
      <w:r w:rsidR="005431F6">
        <w:rPr>
          <w:bCs/>
          <w:iCs/>
          <w:szCs w:val="26"/>
        </w:rPr>
        <w:t>.  It explained:</w:t>
      </w:r>
      <w:r w:rsidR="00DB6104">
        <w:rPr>
          <w:bCs/>
          <w:iCs/>
          <w:szCs w:val="26"/>
        </w:rPr>
        <w:t xml:space="preserve"> </w:t>
      </w:r>
      <w:r w:rsidR="00BE72E4">
        <w:rPr>
          <w:bCs/>
          <w:iCs/>
          <w:szCs w:val="26"/>
        </w:rPr>
        <w:t xml:space="preserve"> “</w:t>
      </w:r>
      <w:r w:rsidRPr="00EB0B34">
        <w:rPr>
          <w:bCs/>
          <w:iCs/>
          <w:szCs w:val="26"/>
        </w:rPr>
        <w:t xml:space="preserve">Because the bollard holes were located </w:t>
      </w:r>
      <w:r w:rsidRPr="00F132A6">
        <w:rPr>
          <w:bCs/>
          <w:i/>
          <w:szCs w:val="26"/>
        </w:rPr>
        <w:t>next to</w:t>
      </w:r>
      <w:r w:rsidRPr="00EB0B34">
        <w:rPr>
          <w:bCs/>
          <w:iCs/>
          <w:szCs w:val="26"/>
        </w:rPr>
        <w:t xml:space="preserve"> the area where </w:t>
      </w:r>
      <w:proofErr w:type="spellStart"/>
      <w:r w:rsidRPr="00EB0B34">
        <w:rPr>
          <w:bCs/>
          <w:iCs/>
          <w:szCs w:val="26"/>
        </w:rPr>
        <w:t>Tverberg</w:t>
      </w:r>
      <w:proofErr w:type="spellEnd"/>
      <w:r w:rsidRPr="00EB0B34">
        <w:rPr>
          <w:bCs/>
          <w:iCs/>
          <w:szCs w:val="26"/>
        </w:rPr>
        <w:t xml:space="preserve"> was to erect the metal canopy, the possibility of falling into one of those holes constituted an inherent risk of the canopy work</w:t>
      </w:r>
      <w:r w:rsidR="00BE72E4">
        <w:rPr>
          <w:bCs/>
          <w:iCs/>
          <w:szCs w:val="26"/>
        </w:rPr>
        <w:t>.</w:t>
      </w:r>
      <w:r w:rsidRPr="00EB0B34">
        <w:rPr>
          <w:bCs/>
          <w:iCs/>
          <w:szCs w:val="26"/>
        </w:rPr>
        <w:t>”</w:t>
      </w:r>
      <w:r w:rsidR="00BE72E4">
        <w:rPr>
          <w:bCs/>
          <w:iCs/>
          <w:szCs w:val="26"/>
        </w:rPr>
        <w:t xml:space="preserve">  </w:t>
      </w:r>
      <w:r w:rsidR="00F33469">
        <w:rPr>
          <w:bCs/>
          <w:iCs/>
          <w:szCs w:val="26"/>
        </w:rPr>
        <w:t>(</w:t>
      </w:r>
      <w:proofErr w:type="spellStart"/>
      <w:r w:rsidR="00F33469" w:rsidRPr="00F33469">
        <w:rPr>
          <w:bCs/>
          <w:i/>
          <w:szCs w:val="26"/>
        </w:rPr>
        <w:t>Tverberg</w:t>
      </w:r>
      <w:proofErr w:type="spellEnd"/>
      <w:r w:rsidR="00F33469">
        <w:rPr>
          <w:bCs/>
          <w:iCs/>
          <w:szCs w:val="26"/>
        </w:rPr>
        <w:t xml:space="preserve">, </w:t>
      </w:r>
      <w:r w:rsidR="00F33469" w:rsidRPr="00D447C6">
        <w:rPr>
          <w:bCs/>
          <w:i/>
          <w:szCs w:val="26"/>
        </w:rPr>
        <w:t>supra</w:t>
      </w:r>
      <w:r w:rsidR="00F33469">
        <w:rPr>
          <w:bCs/>
          <w:iCs/>
          <w:szCs w:val="26"/>
        </w:rPr>
        <w:t xml:space="preserve">, </w:t>
      </w:r>
      <w:r w:rsidR="00F33469" w:rsidRPr="00F33469">
        <w:rPr>
          <w:bCs/>
          <w:iCs/>
          <w:szCs w:val="26"/>
        </w:rPr>
        <w:t xml:space="preserve">49 Cal.4th </w:t>
      </w:r>
      <w:r w:rsidR="00F33469">
        <w:rPr>
          <w:bCs/>
          <w:iCs/>
          <w:szCs w:val="26"/>
        </w:rPr>
        <w:t xml:space="preserve">at p. </w:t>
      </w:r>
      <w:r w:rsidR="00F33469" w:rsidRPr="00F33469">
        <w:rPr>
          <w:bCs/>
          <w:iCs/>
          <w:szCs w:val="26"/>
        </w:rPr>
        <w:t>529</w:t>
      </w:r>
      <w:r w:rsidR="00CD046B">
        <w:rPr>
          <w:bCs/>
          <w:iCs/>
          <w:szCs w:val="26"/>
        </w:rPr>
        <w:t>, italics added</w:t>
      </w:r>
      <w:r w:rsidR="00F33469">
        <w:rPr>
          <w:bCs/>
          <w:iCs/>
          <w:szCs w:val="26"/>
        </w:rPr>
        <w:t xml:space="preserve">.) </w:t>
      </w:r>
      <w:r w:rsidR="001F1B6B">
        <w:rPr>
          <w:bCs/>
          <w:iCs/>
          <w:szCs w:val="26"/>
        </w:rPr>
        <w:t xml:space="preserve"> And, in </w:t>
      </w:r>
      <w:r w:rsidR="001F1B6B">
        <w:rPr>
          <w:bCs/>
          <w:i/>
          <w:szCs w:val="26"/>
        </w:rPr>
        <w:t>Blaylock</w:t>
      </w:r>
      <w:r w:rsidR="001F1B6B">
        <w:rPr>
          <w:bCs/>
          <w:iCs/>
          <w:szCs w:val="26"/>
        </w:rPr>
        <w:t>, the court held the p</w:t>
      </w:r>
      <w:r w:rsidR="00964343">
        <w:rPr>
          <w:bCs/>
          <w:iCs/>
          <w:szCs w:val="26"/>
        </w:rPr>
        <w:t xml:space="preserve">laintiff’s employer had a duty to inspect </w:t>
      </w:r>
      <w:r w:rsidR="009E1808">
        <w:rPr>
          <w:bCs/>
          <w:iCs/>
          <w:szCs w:val="26"/>
        </w:rPr>
        <w:t xml:space="preserve">not merely the ducts it was hired to repair, but the crawl space </w:t>
      </w:r>
      <w:r w:rsidR="00926EFE">
        <w:rPr>
          <w:bCs/>
          <w:iCs/>
          <w:szCs w:val="26"/>
        </w:rPr>
        <w:t xml:space="preserve">through which </w:t>
      </w:r>
      <w:r w:rsidR="00365DA6">
        <w:rPr>
          <w:bCs/>
          <w:iCs/>
          <w:szCs w:val="26"/>
        </w:rPr>
        <w:t>the ducts</w:t>
      </w:r>
      <w:r w:rsidR="00926EFE">
        <w:rPr>
          <w:bCs/>
          <w:iCs/>
          <w:szCs w:val="26"/>
        </w:rPr>
        <w:t xml:space="preserve"> were accessed</w:t>
      </w:r>
      <w:r w:rsidR="00365DA6">
        <w:rPr>
          <w:bCs/>
          <w:iCs/>
          <w:szCs w:val="26"/>
        </w:rPr>
        <w:t>.  (</w:t>
      </w:r>
      <w:r w:rsidR="00365DA6">
        <w:rPr>
          <w:bCs/>
          <w:i/>
          <w:szCs w:val="26"/>
        </w:rPr>
        <w:t>Blaylock</w:t>
      </w:r>
      <w:r w:rsidR="00365DA6">
        <w:rPr>
          <w:bCs/>
          <w:iCs/>
          <w:szCs w:val="26"/>
        </w:rPr>
        <w:t xml:space="preserve">, </w:t>
      </w:r>
      <w:r w:rsidR="00365DA6">
        <w:rPr>
          <w:bCs/>
          <w:i/>
          <w:szCs w:val="26"/>
        </w:rPr>
        <w:t>supra</w:t>
      </w:r>
      <w:r w:rsidR="00365DA6">
        <w:rPr>
          <w:bCs/>
          <w:iCs/>
          <w:szCs w:val="26"/>
        </w:rPr>
        <w:t xml:space="preserve">, </w:t>
      </w:r>
      <w:r w:rsidR="00B22442" w:rsidRPr="001F5D37">
        <w:rPr>
          <w:bCs/>
          <w:iCs/>
          <w:szCs w:val="26"/>
        </w:rPr>
        <w:t>92</w:t>
      </w:r>
      <w:r w:rsidR="00B22442">
        <w:rPr>
          <w:bCs/>
          <w:iCs/>
          <w:szCs w:val="26"/>
        </w:rPr>
        <w:t> </w:t>
      </w:r>
      <w:r w:rsidR="00B22442" w:rsidRPr="001F5D37">
        <w:rPr>
          <w:bCs/>
          <w:iCs/>
          <w:szCs w:val="26"/>
        </w:rPr>
        <w:t xml:space="preserve">Cal.App.5th </w:t>
      </w:r>
      <w:r w:rsidR="00926EFE">
        <w:rPr>
          <w:bCs/>
          <w:iCs/>
          <w:szCs w:val="26"/>
        </w:rPr>
        <w:t xml:space="preserve">at </w:t>
      </w:r>
      <w:r w:rsidR="00037D8F">
        <w:rPr>
          <w:bCs/>
          <w:iCs/>
          <w:szCs w:val="26"/>
        </w:rPr>
        <w:t>pp.</w:t>
      </w:r>
      <w:r w:rsidR="00E609A2">
        <w:rPr>
          <w:bCs/>
          <w:iCs/>
          <w:szCs w:val="26"/>
        </w:rPr>
        <w:t xml:space="preserve"> 866, </w:t>
      </w:r>
      <w:r w:rsidR="00773B67">
        <w:rPr>
          <w:bCs/>
          <w:iCs/>
          <w:szCs w:val="26"/>
        </w:rPr>
        <w:t>872–873</w:t>
      </w:r>
      <w:r w:rsidR="004151AB">
        <w:rPr>
          <w:bCs/>
          <w:iCs/>
          <w:szCs w:val="26"/>
        </w:rPr>
        <w:t>.)</w:t>
      </w:r>
    </w:p>
    <w:p w14:paraId="0230F0E9" w14:textId="77777777" w:rsidR="000D4A21" w:rsidRDefault="003E2177" w:rsidP="00C8133E">
      <w:pPr>
        <w:ind w:firstLine="720"/>
        <w:rPr>
          <w:bCs/>
          <w:iCs/>
          <w:szCs w:val="26"/>
        </w:rPr>
      </w:pPr>
      <w:r>
        <w:rPr>
          <w:bCs/>
          <w:iCs/>
          <w:szCs w:val="26"/>
        </w:rPr>
        <w:t xml:space="preserve">In the present case, </w:t>
      </w:r>
      <w:r w:rsidR="00874655">
        <w:rPr>
          <w:bCs/>
          <w:iCs/>
          <w:szCs w:val="26"/>
        </w:rPr>
        <w:t>although Acosta</w:t>
      </w:r>
      <w:r w:rsidR="00500B57">
        <w:rPr>
          <w:bCs/>
          <w:iCs/>
          <w:szCs w:val="26"/>
        </w:rPr>
        <w:t>’s employer</w:t>
      </w:r>
      <w:r w:rsidR="000604E7">
        <w:rPr>
          <w:bCs/>
          <w:iCs/>
          <w:szCs w:val="26"/>
        </w:rPr>
        <w:t xml:space="preserve">, </w:t>
      </w:r>
      <w:r w:rsidR="003B1672">
        <w:rPr>
          <w:bCs/>
          <w:iCs/>
          <w:szCs w:val="26"/>
        </w:rPr>
        <w:t>Horizon</w:t>
      </w:r>
      <w:r w:rsidR="00375F8C">
        <w:rPr>
          <w:bCs/>
          <w:iCs/>
          <w:szCs w:val="26"/>
        </w:rPr>
        <w:t>,</w:t>
      </w:r>
      <w:r w:rsidR="00874655">
        <w:rPr>
          <w:bCs/>
          <w:iCs/>
          <w:szCs w:val="26"/>
        </w:rPr>
        <w:t xml:space="preserve"> was not hired to inspect or repair the roof hatch, the </w:t>
      </w:r>
      <w:r w:rsidR="00500B57">
        <w:rPr>
          <w:bCs/>
          <w:iCs/>
          <w:szCs w:val="26"/>
        </w:rPr>
        <w:t xml:space="preserve">electrical </w:t>
      </w:r>
      <w:r w:rsidR="00874655">
        <w:rPr>
          <w:bCs/>
          <w:iCs/>
          <w:szCs w:val="26"/>
        </w:rPr>
        <w:t xml:space="preserve">work for which </w:t>
      </w:r>
      <w:r w:rsidR="00500B57">
        <w:rPr>
          <w:bCs/>
          <w:iCs/>
          <w:szCs w:val="26"/>
        </w:rPr>
        <w:t xml:space="preserve">it was hired required roof access.  </w:t>
      </w:r>
      <w:r w:rsidR="004151AB">
        <w:rPr>
          <w:bCs/>
          <w:iCs/>
          <w:szCs w:val="26"/>
        </w:rPr>
        <w:t>Because</w:t>
      </w:r>
      <w:r w:rsidR="00D412A3">
        <w:rPr>
          <w:bCs/>
          <w:iCs/>
          <w:szCs w:val="26"/>
        </w:rPr>
        <w:t xml:space="preserve"> Horizon, through Acosta, chose to access the roof through the roof hatch</w:t>
      </w:r>
      <w:r w:rsidR="00B53D3A">
        <w:rPr>
          <w:bCs/>
          <w:iCs/>
          <w:szCs w:val="26"/>
        </w:rPr>
        <w:t xml:space="preserve"> by means of the fixed ladder, the </w:t>
      </w:r>
      <w:r w:rsidR="00AA2D9F">
        <w:rPr>
          <w:bCs/>
          <w:iCs/>
          <w:szCs w:val="26"/>
        </w:rPr>
        <w:t xml:space="preserve">roof hatch </w:t>
      </w:r>
      <w:r w:rsidR="00B53D3A">
        <w:rPr>
          <w:bCs/>
          <w:iCs/>
          <w:szCs w:val="26"/>
        </w:rPr>
        <w:t xml:space="preserve">and ladder </w:t>
      </w:r>
      <w:r w:rsidR="00AA2D9F">
        <w:rPr>
          <w:bCs/>
          <w:iCs/>
          <w:szCs w:val="26"/>
        </w:rPr>
        <w:t xml:space="preserve">necessarily </w:t>
      </w:r>
      <w:r w:rsidR="00B53D3A">
        <w:rPr>
          <w:bCs/>
          <w:iCs/>
          <w:szCs w:val="26"/>
        </w:rPr>
        <w:t xml:space="preserve">were </w:t>
      </w:r>
      <w:r w:rsidR="00AA2D9F">
        <w:rPr>
          <w:bCs/>
          <w:iCs/>
          <w:szCs w:val="26"/>
        </w:rPr>
        <w:t xml:space="preserve">part of </w:t>
      </w:r>
      <w:r w:rsidR="00375F8C">
        <w:rPr>
          <w:bCs/>
          <w:iCs/>
          <w:szCs w:val="26"/>
        </w:rPr>
        <w:t>the</w:t>
      </w:r>
      <w:r w:rsidR="000604E7">
        <w:rPr>
          <w:bCs/>
          <w:iCs/>
          <w:szCs w:val="26"/>
        </w:rPr>
        <w:t xml:space="preserve"> worksite</w:t>
      </w:r>
      <w:r w:rsidR="00862AB5">
        <w:rPr>
          <w:bCs/>
          <w:iCs/>
          <w:szCs w:val="26"/>
        </w:rPr>
        <w:t xml:space="preserve"> </w:t>
      </w:r>
      <w:r w:rsidR="00953F95">
        <w:rPr>
          <w:bCs/>
          <w:iCs/>
          <w:szCs w:val="26"/>
        </w:rPr>
        <w:t xml:space="preserve">and </w:t>
      </w:r>
      <w:r w:rsidR="00B53D3A">
        <w:rPr>
          <w:bCs/>
          <w:iCs/>
          <w:szCs w:val="26"/>
        </w:rPr>
        <w:t xml:space="preserve">were </w:t>
      </w:r>
      <w:r w:rsidR="00953F95">
        <w:rPr>
          <w:bCs/>
          <w:iCs/>
          <w:szCs w:val="26"/>
        </w:rPr>
        <w:t>within Horizon’s duty to inspect</w:t>
      </w:r>
      <w:r w:rsidR="000604E7">
        <w:rPr>
          <w:bCs/>
          <w:iCs/>
          <w:szCs w:val="26"/>
        </w:rPr>
        <w:t>.</w:t>
      </w:r>
      <w:r w:rsidR="00E0599F">
        <w:rPr>
          <w:bCs/>
          <w:iCs/>
          <w:szCs w:val="26"/>
        </w:rPr>
        <w:t xml:space="preserve"> </w:t>
      </w:r>
      <w:r w:rsidR="002D44CD">
        <w:rPr>
          <w:bCs/>
          <w:iCs/>
          <w:szCs w:val="26"/>
        </w:rPr>
        <w:t xml:space="preserve"> (See </w:t>
      </w:r>
      <w:r w:rsidR="002D44CD">
        <w:rPr>
          <w:bCs/>
          <w:i/>
          <w:szCs w:val="26"/>
        </w:rPr>
        <w:t>Gonzalez</w:t>
      </w:r>
      <w:r w:rsidR="002D44CD">
        <w:rPr>
          <w:bCs/>
          <w:iCs/>
          <w:szCs w:val="26"/>
        </w:rPr>
        <w:t xml:space="preserve">, </w:t>
      </w:r>
      <w:r w:rsidR="005F32F3">
        <w:rPr>
          <w:bCs/>
          <w:i/>
          <w:szCs w:val="26"/>
        </w:rPr>
        <w:t>supra</w:t>
      </w:r>
      <w:r w:rsidR="005F32F3">
        <w:rPr>
          <w:bCs/>
          <w:iCs/>
          <w:szCs w:val="26"/>
        </w:rPr>
        <w:t xml:space="preserve">, 12 Cal.5th </w:t>
      </w:r>
      <w:r w:rsidR="00B002BE">
        <w:rPr>
          <w:bCs/>
          <w:iCs/>
          <w:szCs w:val="26"/>
        </w:rPr>
        <w:t>at p. 48</w:t>
      </w:r>
      <w:r w:rsidR="00C8133E">
        <w:rPr>
          <w:bCs/>
          <w:iCs/>
          <w:szCs w:val="26"/>
        </w:rPr>
        <w:t xml:space="preserve"> [“</w:t>
      </w:r>
      <w:r w:rsidR="00C8133E" w:rsidRPr="00C8133E">
        <w:rPr>
          <w:bCs/>
          <w:iCs/>
          <w:szCs w:val="26"/>
        </w:rPr>
        <w:t>even where an unsafe condition exists on the premises due to the landowner</w:t>
      </w:r>
      <w:r w:rsidR="00C8133E">
        <w:rPr>
          <w:bCs/>
          <w:iCs/>
          <w:szCs w:val="26"/>
        </w:rPr>
        <w:t>’</w:t>
      </w:r>
      <w:r w:rsidR="00C8133E" w:rsidRPr="00C8133E">
        <w:rPr>
          <w:bCs/>
          <w:iCs/>
          <w:szCs w:val="26"/>
        </w:rPr>
        <w:t xml:space="preserve">s failure to comply with specific statutory and regulatory duties, the landowner is not liable because </w:t>
      </w:r>
      <w:r w:rsidR="00C8133E" w:rsidRPr="00C8133E">
        <w:rPr>
          <w:bCs/>
          <w:i/>
          <w:szCs w:val="26"/>
        </w:rPr>
        <w:t>it is the contractor who is responsible for its own workers</w:t>
      </w:r>
      <w:r w:rsidR="00280DB2">
        <w:rPr>
          <w:bCs/>
          <w:i/>
          <w:szCs w:val="26"/>
        </w:rPr>
        <w:t>’</w:t>
      </w:r>
      <w:r w:rsidR="00C8133E" w:rsidRPr="00C8133E">
        <w:rPr>
          <w:bCs/>
          <w:i/>
          <w:szCs w:val="26"/>
        </w:rPr>
        <w:t xml:space="preserve"> safety</w:t>
      </w:r>
      <w:r w:rsidR="00C8133E">
        <w:rPr>
          <w:bCs/>
          <w:iCs/>
          <w:szCs w:val="26"/>
        </w:rPr>
        <w:t>”], italics</w:t>
      </w:r>
      <w:r w:rsidR="009F6A4B">
        <w:rPr>
          <w:bCs/>
          <w:iCs/>
          <w:szCs w:val="26"/>
        </w:rPr>
        <w:t> </w:t>
      </w:r>
      <w:r w:rsidR="00C8133E">
        <w:rPr>
          <w:bCs/>
          <w:iCs/>
          <w:szCs w:val="26"/>
        </w:rPr>
        <w:t>added</w:t>
      </w:r>
      <w:r w:rsidR="005754CA">
        <w:rPr>
          <w:bCs/>
          <w:iCs/>
          <w:szCs w:val="26"/>
        </w:rPr>
        <w:t xml:space="preserve">.)  </w:t>
      </w:r>
      <w:r w:rsidR="00DC1A98">
        <w:rPr>
          <w:bCs/>
          <w:iCs/>
          <w:szCs w:val="26"/>
        </w:rPr>
        <w:t xml:space="preserve">Further, </w:t>
      </w:r>
      <w:r w:rsidR="00F13B1D">
        <w:rPr>
          <w:bCs/>
          <w:iCs/>
          <w:szCs w:val="26"/>
        </w:rPr>
        <w:t>while</w:t>
      </w:r>
      <w:r>
        <w:rPr>
          <w:bCs/>
          <w:iCs/>
          <w:szCs w:val="26"/>
        </w:rPr>
        <w:t xml:space="preserve"> </w:t>
      </w:r>
      <w:r w:rsidR="00F13B1D">
        <w:rPr>
          <w:bCs/>
          <w:iCs/>
          <w:szCs w:val="26"/>
        </w:rPr>
        <w:t xml:space="preserve">it </w:t>
      </w:r>
      <w:r>
        <w:rPr>
          <w:bCs/>
          <w:iCs/>
          <w:szCs w:val="26"/>
        </w:rPr>
        <w:t>“</w:t>
      </w:r>
      <w:r w:rsidRPr="000D4A21">
        <w:rPr>
          <w:bCs/>
          <w:iCs/>
          <w:szCs w:val="26"/>
        </w:rPr>
        <w:t xml:space="preserve">would not be reasonable to expect </w:t>
      </w:r>
      <w:r w:rsidR="00F13B1D">
        <w:rPr>
          <w:bCs/>
          <w:iCs/>
          <w:szCs w:val="26"/>
        </w:rPr>
        <w:t>[</w:t>
      </w:r>
      <w:r w:rsidR="00431E0C">
        <w:rPr>
          <w:bCs/>
          <w:iCs/>
          <w:szCs w:val="26"/>
        </w:rPr>
        <w:t>Horizon</w:t>
      </w:r>
      <w:r w:rsidR="00F13B1D">
        <w:rPr>
          <w:bCs/>
          <w:iCs/>
          <w:szCs w:val="26"/>
        </w:rPr>
        <w:t xml:space="preserve">] </w:t>
      </w:r>
      <w:r w:rsidRPr="000D4A21">
        <w:rPr>
          <w:bCs/>
          <w:iCs/>
          <w:szCs w:val="26"/>
        </w:rPr>
        <w:t>to</w:t>
      </w:r>
      <w:r w:rsidRPr="000D4A21">
        <w:rPr>
          <w:bCs/>
          <w:iCs/>
          <w:szCs w:val="26"/>
        </w:rPr>
        <w:t xml:space="preserve"> identify every conceivable dangerous condition on the roof given that </w:t>
      </w:r>
      <w:r w:rsidR="00B2383B">
        <w:rPr>
          <w:bCs/>
          <w:iCs/>
          <w:szCs w:val="26"/>
        </w:rPr>
        <w:t>[it]</w:t>
      </w:r>
      <w:r w:rsidRPr="000D4A21">
        <w:rPr>
          <w:bCs/>
          <w:iCs/>
          <w:szCs w:val="26"/>
        </w:rPr>
        <w:t xml:space="preserve"> is not a licensed roofer and was not hired to repair the roof</w:t>
      </w:r>
      <w:r w:rsidR="00B2383B">
        <w:rPr>
          <w:bCs/>
          <w:iCs/>
          <w:szCs w:val="26"/>
        </w:rPr>
        <w:t>” (</w:t>
      </w:r>
      <w:r w:rsidR="004F7D4C">
        <w:rPr>
          <w:bCs/>
          <w:iCs/>
          <w:szCs w:val="26"/>
        </w:rPr>
        <w:t xml:space="preserve">see </w:t>
      </w:r>
      <w:r w:rsidR="00F54236" w:rsidRPr="00F54236">
        <w:rPr>
          <w:bCs/>
          <w:i/>
          <w:szCs w:val="26"/>
        </w:rPr>
        <w:t>id</w:t>
      </w:r>
      <w:r w:rsidR="00F54236">
        <w:rPr>
          <w:bCs/>
          <w:iCs/>
          <w:szCs w:val="26"/>
        </w:rPr>
        <w:t>.</w:t>
      </w:r>
      <w:r w:rsidR="00327DBD">
        <w:rPr>
          <w:bCs/>
          <w:iCs/>
          <w:szCs w:val="26"/>
        </w:rPr>
        <w:t xml:space="preserve"> at pp. 54–55)</w:t>
      </w:r>
      <w:r w:rsidR="00311F99">
        <w:rPr>
          <w:bCs/>
          <w:iCs/>
          <w:szCs w:val="26"/>
        </w:rPr>
        <w:t>,</w:t>
      </w:r>
      <w:r w:rsidR="00E35177">
        <w:rPr>
          <w:bCs/>
          <w:iCs/>
          <w:szCs w:val="26"/>
        </w:rPr>
        <w:t xml:space="preserve"> under</w:t>
      </w:r>
      <w:r w:rsidR="00311F99">
        <w:rPr>
          <w:bCs/>
          <w:iCs/>
          <w:szCs w:val="26"/>
        </w:rPr>
        <w:t xml:space="preserve"> </w:t>
      </w:r>
      <w:r w:rsidR="005C21DF">
        <w:rPr>
          <w:bCs/>
          <w:iCs/>
          <w:szCs w:val="26"/>
        </w:rPr>
        <w:t xml:space="preserve">the </w:t>
      </w:r>
      <w:r w:rsidR="00311F99">
        <w:rPr>
          <w:bCs/>
          <w:iCs/>
          <w:szCs w:val="26"/>
        </w:rPr>
        <w:t>cases discussed</w:t>
      </w:r>
      <w:r w:rsidR="00BD4205">
        <w:rPr>
          <w:bCs/>
          <w:iCs/>
          <w:szCs w:val="26"/>
        </w:rPr>
        <w:t xml:space="preserve"> above, the law attributes to </w:t>
      </w:r>
      <w:r w:rsidR="00E35177">
        <w:rPr>
          <w:bCs/>
          <w:iCs/>
          <w:szCs w:val="26"/>
        </w:rPr>
        <w:t xml:space="preserve">Horizon </w:t>
      </w:r>
      <w:r w:rsidR="00BD4205">
        <w:rPr>
          <w:bCs/>
          <w:iCs/>
          <w:szCs w:val="26"/>
        </w:rPr>
        <w:t xml:space="preserve">knowledge of </w:t>
      </w:r>
      <w:r w:rsidR="005C21DF">
        <w:rPr>
          <w:bCs/>
          <w:iCs/>
          <w:szCs w:val="26"/>
        </w:rPr>
        <w:lastRenderedPageBreak/>
        <w:t>those hazards that a</w:t>
      </w:r>
      <w:r w:rsidR="00650597">
        <w:rPr>
          <w:bCs/>
          <w:iCs/>
          <w:szCs w:val="26"/>
        </w:rPr>
        <w:t xml:space="preserve"> reasonable</w:t>
      </w:r>
      <w:r w:rsidR="005C21DF">
        <w:rPr>
          <w:bCs/>
          <w:iCs/>
          <w:szCs w:val="26"/>
        </w:rPr>
        <w:t xml:space="preserve"> inspection </w:t>
      </w:r>
      <w:r w:rsidR="00EE5F19">
        <w:rPr>
          <w:bCs/>
          <w:iCs/>
          <w:szCs w:val="26"/>
        </w:rPr>
        <w:t xml:space="preserve">by a non-roofer </w:t>
      </w:r>
      <w:r w:rsidR="00650597">
        <w:rPr>
          <w:bCs/>
          <w:iCs/>
          <w:szCs w:val="26"/>
        </w:rPr>
        <w:t xml:space="preserve">would have revealed. </w:t>
      </w:r>
      <w:r w:rsidR="00FA3824">
        <w:rPr>
          <w:bCs/>
          <w:iCs/>
          <w:szCs w:val="26"/>
        </w:rPr>
        <w:t xml:space="preserve"> As we have discussed, the broken condition of the hatch</w:t>
      </w:r>
      <w:r w:rsidR="00CE2CD1">
        <w:rPr>
          <w:bCs/>
          <w:iCs/>
          <w:szCs w:val="26"/>
        </w:rPr>
        <w:t>,</w:t>
      </w:r>
      <w:r w:rsidR="00B53D3A">
        <w:rPr>
          <w:bCs/>
          <w:iCs/>
          <w:szCs w:val="26"/>
        </w:rPr>
        <w:t xml:space="preserve"> and the fact that the ladder did not reach all the way to the roof, were </w:t>
      </w:r>
      <w:r w:rsidR="00FA3824">
        <w:rPr>
          <w:bCs/>
          <w:iCs/>
          <w:szCs w:val="26"/>
        </w:rPr>
        <w:t xml:space="preserve">not concealed and would have been apparent had </w:t>
      </w:r>
      <w:r w:rsidR="00C17335">
        <w:rPr>
          <w:bCs/>
          <w:iCs/>
          <w:szCs w:val="26"/>
        </w:rPr>
        <w:t xml:space="preserve">Acosta or Horizon </w:t>
      </w:r>
      <w:r w:rsidR="00FA3824">
        <w:rPr>
          <w:bCs/>
          <w:iCs/>
          <w:szCs w:val="26"/>
        </w:rPr>
        <w:t>inspected</w:t>
      </w:r>
      <w:r w:rsidR="00C17335">
        <w:rPr>
          <w:bCs/>
          <w:iCs/>
          <w:szCs w:val="26"/>
        </w:rPr>
        <w:t xml:space="preserve"> the hatch</w:t>
      </w:r>
      <w:r w:rsidR="00B53D3A">
        <w:rPr>
          <w:bCs/>
          <w:iCs/>
          <w:szCs w:val="26"/>
        </w:rPr>
        <w:t xml:space="preserve"> and ladder</w:t>
      </w:r>
      <w:r w:rsidR="00126970">
        <w:rPr>
          <w:bCs/>
          <w:iCs/>
          <w:szCs w:val="26"/>
        </w:rPr>
        <w:t>.  Thu</w:t>
      </w:r>
      <w:r w:rsidR="00A63377">
        <w:rPr>
          <w:bCs/>
          <w:iCs/>
          <w:szCs w:val="26"/>
        </w:rPr>
        <w:t>s</w:t>
      </w:r>
      <w:r w:rsidR="004F72F7">
        <w:rPr>
          <w:bCs/>
          <w:iCs/>
          <w:szCs w:val="26"/>
        </w:rPr>
        <w:t>,</w:t>
      </w:r>
      <w:r w:rsidR="00A63377">
        <w:rPr>
          <w:bCs/>
          <w:iCs/>
          <w:szCs w:val="26"/>
        </w:rPr>
        <w:t xml:space="preserve"> Horizon is deemed</w:t>
      </w:r>
      <w:r w:rsidR="00B8058A">
        <w:rPr>
          <w:bCs/>
          <w:iCs/>
          <w:szCs w:val="26"/>
        </w:rPr>
        <w:t xml:space="preserve"> as a matter of law</w:t>
      </w:r>
      <w:r w:rsidR="00A63377">
        <w:rPr>
          <w:bCs/>
          <w:iCs/>
          <w:szCs w:val="26"/>
        </w:rPr>
        <w:t xml:space="preserve"> to have been aware of </w:t>
      </w:r>
      <w:r w:rsidR="00B53D3A">
        <w:rPr>
          <w:bCs/>
          <w:iCs/>
          <w:szCs w:val="26"/>
        </w:rPr>
        <w:t xml:space="preserve">the </w:t>
      </w:r>
      <w:r w:rsidR="00A63377">
        <w:rPr>
          <w:bCs/>
          <w:iCs/>
          <w:szCs w:val="26"/>
        </w:rPr>
        <w:t xml:space="preserve">condition </w:t>
      </w:r>
      <w:r w:rsidR="00B8058A">
        <w:rPr>
          <w:bCs/>
          <w:iCs/>
          <w:szCs w:val="26"/>
        </w:rPr>
        <w:t>of the hatch and ladder</w:t>
      </w:r>
      <w:r w:rsidR="00A63377">
        <w:rPr>
          <w:bCs/>
          <w:iCs/>
          <w:szCs w:val="26"/>
        </w:rPr>
        <w:t xml:space="preserve">. </w:t>
      </w:r>
    </w:p>
    <w:p w14:paraId="0230F0EA" w14:textId="77777777" w:rsidR="0090247C" w:rsidRPr="00A05E6A" w:rsidRDefault="003E2177" w:rsidP="00C8133E">
      <w:pPr>
        <w:ind w:firstLine="720"/>
        <w:rPr>
          <w:bCs/>
          <w:iCs/>
          <w:szCs w:val="26"/>
        </w:rPr>
      </w:pPr>
      <w:r>
        <w:rPr>
          <w:bCs/>
          <w:iCs/>
          <w:szCs w:val="26"/>
        </w:rPr>
        <w:t xml:space="preserve">Next, Acosta contends that the </w:t>
      </w:r>
      <w:r w:rsidR="00B20E62">
        <w:rPr>
          <w:bCs/>
          <w:iCs/>
          <w:szCs w:val="26"/>
        </w:rPr>
        <w:t>defect was hidden because</w:t>
      </w:r>
      <w:r w:rsidR="009E0F16">
        <w:rPr>
          <w:bCs/>
          <w:iCs/>
          <w:szCs w:val="26"/>
        </w:rPr>
        <w:t xml:space="preserve"> the</w:t>
      </w:r>
      <w:r w:rsidR="00B20E62">
        <w:rPr>
          <w:bCs/>
          <w:iCs/>
          <w:szCs w:val="26"/>
        </w:rPr>
        <w:t xml:space="preserve"> broken spring was not readily visible.  </w:t>
      </w:r>
      <w:r w:rsidR="001D7626">
        <w:rPr>
          <w:bCs/>
          <w:iCs/>
          <w:szCs w:val="26"/>
        </w:rPr>
        <w:t>Not</w:t>
      </w:r>
      <w:r w:rsidR="00266816">
        <w:rPr>
          <w:bCs/>
          <w:iCs/>
          <w:szCs w:val="26"/>
        </w:rPr>
        <w:t> </w:t>
      </w:r>
      <w:r w:rsidR="001D7626">
        <w:rPr>
          <w:bCs/>
          <w:iCs/>
          <w:szCs w:val="26"/>
        </w:rPr>
        <w:t xml:space="preserve">so.  </w:t>
      </w:r>
      <w:r w:rsidR="008D7A58">
        <w:rPr>
          <w:bCs/>
          <w:iCs/>
          <w:szCs w:val="26"/>
        </w:rPr>
        <w:t xml:space="preserve">As </w:t>
      </w:r>
      <w:r w:rsidR="0068466D">
        <w:rPr>
          <w:bCs/>
          <w:i/>
          <w:szCs w:val="26"/>
        </w:rPr>
        <w:t xml:space="preserve">Kinsman </w:t>
      </w:r>
      <w:r w:rsidR="008D7A58">
        <w:rPr>
          <w:bCs/>
          <w:iCs/>
          <w:szCs w:val="26"/>
        </w:rPr>
        <w:t>explained, the relevant inquiry is whether “</w:t>
      </w:r>
      <w:r w:rsidR="008D7A58" w:rsidRPr="00D91E4E">
        <w:rPr>
          <w:bCs/>
          <w:i/>
          <w:szCs w:val="26"/>
        </w:rPr>
        <w:t>the hazard</w:t>
      </w:r>
      <w:r w:rsidR="0068466D" w:rsidRPr="00D91E4E">
        <w:rPr>
          <w:bCs/>
          <w:i/>
          <w:szCs w:val="26"/>
        </w:rPr>
        <w:t>ous condition</w:t>
      </w:r>
      <w:r w:rsidR="008D7A58">
        <w:rPr>
          <w:bCs/>
          <w:iCs/>
          <w:szCs w:val="26"/>
        </w:rPr>
        <w:t>”</w:t>
      </w:r>
      <w:r w:rsidR="0068466D">
        <w:rPr>
          <w:bCs/>
          <w:iCs/>
          <w:szCs w:val="26"/>
        </w:rPr>
        <w:t xml:space="preserve"> is known or reasonably knowable.  </w:t>
      </w:r>
      <w:r w:rsidR="00D91E4E">
        <w:rPr>
          <w:bCs/>
          <w:iCs/>
          <w:szCs w:val="26"/>
        </w:rPr>
        <w:t>(</w:t>
      </w:r>
      <w:r w:rsidR="00D91E4E">
        <w:rPr>
          <w:bCs/>
          <w:i/>
          <w:szCs w:val="26"/>
        </w:rPr>
        <w:t>Kinsman</w:t>
      </w:r>
      <w:r w:rsidR="00D91E4E">
        <w:rPr>
          <w:bCs/>
          <w:iCs/>
          <w:szCs w:val="26"/>
        </w:rPr>
        <w:t xml:space="preserve">, </w:t>
      </w:r>
      <w:r w:rsidR="00D91E4E">
        <w:rPr>
          <w:bCs/>
          <w:i/>
          <w:szCs w:val="26"/>
        </w:rPr>
        <w:t>supra</w:t>
      </w:r>
      <w:r w:rsidR="00D91E4E">
        <w:rPr>
          <w:bCs/>
          <w:iCs/>
          <w:szCs w:val="26"/>
        </w:rPr>
        <w:t>, 37 Cal.4th at p. 675</w:t>
      </w:r>
      <w:r w:rsidR="00266816">
        <w:rPr>
          <w:bCs/>
          <w:iCs/>
          <w:szCs w:val="26"/>
        </w:rPr>
        <w:t>, italics added</w:t>
      </w:r>
      <w:r w:rsidR="00D91E4E">
        <w:rPr>
          <w:bCs/>
          <w:iCs/>
          <w:szCs w:val="26"/>
        </w:rPr>
        <w:t>.)</w:t>
      </w:r>
      <w:r w:rsidR="002078E6">
        <w:rPr>
          <w:bCs/>
          <w:iCs/>
          <w:szCs w:val="26"/>
        </w:rPr>
        <w:t xml:space="preserve">  In the present case, the </w:t>
      </w:r>
      <w:r w:rsidR="00266816">
        <w:rPr>
          <w:bCs/>
          <w:iCs/>
          <w:szCs w:val="26"/>
        </w:rPr>
        <w:t>“</w:t>
      </w:r>
      <w:r w:rsidR="002078E6">
        <w:rPr>
          <w:bCs/>
          <w:iCs/>
          <w:szCs w:val="26"/>
        </w:rPr>
        <w:t>hazardous condition</w:t>
      </w:r>
      <w:r w:rsidR="00266816">
        <w:rPr>
          <w:bCs/>
          <w:iCs/>
          <w:szCs w:val="26"/>
        </w:rPr>
        <w:t>”</w:t>
      </w:r>
      <w:r w:rsidR="002078E6">
        <w:rPr>
          <w:bCs/>
          <w:iCs/>
          <w:szCs w:val="26"/>
        </w:rPr>
        <w:t xml:space="preserve"> was t</w:t>
      </w:r>
      <w:r w:rsidR="00A4705E">
        <w:rPr>
          <w:bCs/>
          <w:iCs/>
          <w:szCs w:val="26"/>
        </w:rPr>
        <w:t xml:space="preserve">hat the roof hatch </w:t>
      </w:r>
      <w:r>
        <w:rPr>
          <w:bCs/>
          <w:iCs/>
          <w:szCs w:val="26"/>
        </w:rPr>
        <w:t xml:space="preserve">would </w:t>
      </w:r>
      <w:r w:rsidR="00F92640">
        <w:rPr>
          <w:bCs/>
          <w:iCs/>
          <w:szCs w:val="26"/>
        </w:rPr>
        <w:t>slam shut immediately upon being released</w:t>
      </w:r>
      <w:r w:rsidR="00266816">
        <w:rPr>
          <w:bCs/>
          <w:iCs/>
          <w:szCs w:val="26"/>
        </w:rPr>
        <w:t>.  T</w:t>
      </w:r>
      <w:r w:rsidR="00F92640">
        <w:rPr>
          <w:bCs/>
          <w:iCs/>
          <w:szCs w:val="26"/>
        </w:rPr>
        <w:t>he broken</w:t>
      </w:r>
      <w:r w:rsidR="00A05E6A">
        <w:rPr>
          <w:bCs/>
          <w:iCs/>
          <w:szCs w:val="26"/>
        </w:rPr>
        <w:t xml:space="preserve"> spring was the </w:t>
      </w:r>
      <w:r w:rsidR="00A05E6A">
        <w:rPr>
          <w:bCs/>
          <w:i/>
          <w:szCs w:val="26"/>
        </w:rPr>
        <w:t>cause</w:t>
      </w:r>
      <w:r w:rsidR="00A05E6A">
        <w:rPr>
          <w:bCs/>
          <w:iCs/>
          <w:szCs w:val="26"/>
        </w:rPr>
        <w:t xml:space="preserve"> of the hazardous </w:t>
      </w:r>
      <w:proofErr w:type="gramStart"/>
      <w:r w:rsidR="00A05E6A">
        <w:rPr>
          <w:bCs/>
          <w:iCs/>
          <w:szCs w:val="26"/>
        </w:rPr>
        <w:t>condition</w:t>
      </w:r>
      <w:r w:rsidR="00266816">
        <w:rPr>
          <w:bCs/>
          <w:iCs/>
          <w:szCs w:val="26"/>
        </w:rPr>
        <w:t>,</w:t>
      </w:r>
      <w:r w:rsidR="00A05E6A">
        <w:rPr>
          <w:bCs/>
          <w:iCs/>
          <w:szCs w:val="26"/>
        </w:rPr>
        <w:t xml:space="preserve"> but</w:t>
      </w:r>
      <w:proofErr w:type="gramEnd"/>
      <w:r w:rsidR="00A05E6A">
        <w:rPr>
          <w:bCs/>
          <w:iCs/>
          <w:szCs w:val="26"/>
        </w:rPr>
        <w:t xml:space="preserve"> was not itself hazardous. </w:t>
      </w:r>
      <w:r w:rsidR="00905FAA">
        <w:rPr>
          <w:bCs/>
          <w:iCs/>
          <w:szCs w:val="26"/>
        </w:rPr>
        <w:t xml:space="preserve"> B</w:t>
      </w:r>
      <w:r w:rsidR="002019FD">
        <w:rPr>
          <w:bCs/>
          <w:iCs/>
          <w:szCs w:val="26"/>
        </w:rPr>
        <w:t>ecause a reasonable inspection would have revealed th</w:t>
      </w:r>
      <w:r w:rsidR="00B46CFD">
        <w:rPr>
          <w:bCs/>
          <w:iCs/>
          <w:szCs w:val="26"/>
        </w:rPr>
        <w:t xml:space="preserve">e unsafe condition of the hatch, the hazard was </w:t>
      </w:r>
      <w:r w:rsidR="00905FAA">
        <w:rPr>
          <w:bCs/>
          <w:iCs/>
          <w:szCs w:val="26"/>
        </w:rPr>
        <w:t>not “concealed</w:t>
      </w:r>
      <w:r>
        <w:rPr>
          <w:bCs/>
          <w:iCs/>
          <w:szCs w:val="26"/>
        </w:rPr>
        <w:t>,</w:t>
      </w:r>
      <w:r w:rsidR="00905FAA">
        <w:rPr>
          <w:bCs/>
          <w:iCs/>
          <w:szCs w:val="26"/>
        </w:rPr>
        <w:t>”</w:t>
      </w:r>
      <w:r w:rsidR="00232EA9">
        <w:rPr>
          <w:bCs/>
          <w:iCs/>
          <w:szCs w:val="26"/>
        </w:rPr>
        <w:t xml:space="preserve"> even though the cause of the hazardous condition was not readily apparent.</w:t>
      </w:r>
    </w:p>
    <w:p w14:paraId="0230F0EB" w14:textId="77777777" w:rsidR="00AB75C5" w:rsidRDefault="003E2177" w:rsidP="00C1214A">
      <w:pPr>
        <w:ind w:firstLine="720"/>
        <w:rPr>
          <w:bCs/>
          <w:iCs/>
          <w:szCs w:val="26"/>
        </w:rPr>
      </w:pPr>
      <w:r>
        <w:rPr>
          <w:bCs/>
          <w:iCs/>
          <w:szCs w:val="26"/>
        </w:rPr>
        <w:t xml:space="preserve">Third, </w:t>
      </w:r>
      <w:r w:rsidR="00BD0A0E">
        <w:rPr>
          <w:bCs/>
          <w:iCs/>
          <w:szCs w:val="26"/>
        </w:rPr>
        <w:t xml:space="preserve">Acosta contends that </w:t>
      </w:r>
      <w:r>
        <w:rPr>
          <w:bCs/>
          <w:iCs/>
          <w:szCs w:val="26"/>
        </w:rPr>
        <w:t>even if</w:t>
      </w:r>
      <w:r w:rsidR="00B360EB">
        <w:rPr>
          <w:bCs/>
          <w:iCs/>
          <w:szCs w:val="26"/>
        </w:rPr>
        <w:t xml:space="preserve"> </w:t>
      </w:r>
      <w:r>
        <w:rPr>
          <w:bCs/>
          <w:iCs/>
          <w:szCs w:val="26"/>
        </w:rPr>
        <w:t xml:space="preserve">he </w:t>
      </w:r>
      <w:r w:rsidR="0034487A">
        <w:rPr>
          <w:bCs/>
          <w:iCs/>
          <w:szCs w:val="26"/>
        </w:rPr>
        <w:t>be</w:t>
      </w:r>
      <w:r w:rsidR="007B40B7">
        <w:rPr>
          <w:bCs/>
          <w:iCs/>
          <w:szCs w:val="26"/>
        </w:rPr>
        <w:t xml:space="preserve">came aware that the hatch was broken when he began opening it, “any such </w:t>
      </w:r>
      <w:r w:rsidR="00B360EB">
        <w:rPr>
          <w:bCs/>
          <w:iCs/>
          <w:szCs w:val="26"/>
        </w:rPr>
        <w:t xml:space="preserve">knowledge </w:t>
      </w:r>
      <w:r w:rsidR="007B40B7">
        <w:rPr>
          <w:bCs/>
          <w:iCs/>
          <w:szCs w:val="26"/>
        </w:rPr>
        <w:t>[</w:t>
      </w:r>
      <w:r w:rsidR="00B360EB">
        <w:rPr>
          <w:bCs/>
          <w:iCs/>
          <w:szCs w:val="26"/>
        </w:rPr>
        <w:t>was</w:t>
      </w:r>
      <w:r w:rsidR="007B40B7">
        <w:rPr>
          <w:bCs/>
          <w:iCs/>
          <w:szCs w:val="26"/>
        </w:rPr>
        <w:t xml:space="preserve">] not instantaneously imputed to Horizon”  </w:t>
      </w:r>
      <w:r w:rsidR="00DC4093">
        <w:rPr>
          <w:bCs/>
          <w:iCs/>
          <w:szCs w:val="26"/>
        </w:rPr>
        <w:t xml:space="preserve">because </w:t>
      </w:r>
      <w:r w:rsidR="00C1214A" w:rsidRPr="00C1214A">
        <w:rPr>
          <w:bCs/>
          <w:iCs/>
          <w:szCs w:val="26"/>
        </w:rPr>
        <w:t>“</w:t>
      </w:r>
      <w:r w:rsidR="00492621">
        <w:rPr>
          <w:bCs/>
          <w:iCs/>
          <w:szCs w:val="26"/>
        </w:rPr>
        <w:t> ‘</w:t>
      </w:r>
      <w:r w:rsidR="00C1214A" w:rsidRPr="00C1214A">
        <w:rPr>
          <w:bCs/>
          <w:iCs/>
          <w:szCs w:val="26"/>
        </w:rPr>
        <w:t>a principal is not affected by the knowledge of an agent until it is communicated to him or until the one having the knowledge has committed a fault either in transacting something for the principal or in failing to communicate it to others who are to act upon it.</w:t>
      </w:r>
      <w:r w:rsidR="00492621">
        <w:rPr>
          <w:bCs/>
          <w:iCs/>
          <w:szCs w:val="26"/>
        </w:rPr>
        <w:t xml:space="preserve">’ </w:t>
      </w:r>
      <w:r w:rsidR="00C1214A" w:rsidRPr="00C1214A">
        <w:rPr>
          <w:bCs/>
          <w:iCs/>
          <w:szCs w:val="26"/>
        </w:rPr>
        <w:t xml:space="preserve">” </w:t>
      </w:r>
      <w:r w:rsidR="00492621">
        <w:rPr>
          <w:bCs/>
          <w:iCs/>
          <w:szCs w:val="26"/>
        </w:rPr>
        <w:t xml:space="preserve"> (</w:t>
      </w:r>
      <w:r w:rsidR="00C1214A" w:rsidRPr="00492621">
        <w:rPr>
          <w:bCs/>
          <w:i/>
          <w:szCs w:val="26"/>
        </w:rPr>
        <w:t>Kelley v. British Commercial Ins. Co</w:t>
      </w:r>
      <w:r w:rsidR="00C1214A" w:rsidRPr="00C1214A">
        <w:rPr>
          <w:bCs/>
          <w:iCs/>
          <w:szCs w:val="26"/>
        </w:rPr>
        <w:t>. (1963) 221</w:t>
      </w:r>
      <w:r w:rsidR="007371D4">
        <w:rPr>
          <w:bCs/>
          <w:iCs/>
          <w:szCs w:val="26"/>
        </w:rPr>
        <w:t> </w:t>
      </w:r>
      <w:r w:rsidR="00C1214A" w:rsidRPr="00C1214A">
        <w:rPr>
          <w:bCs/>
          <w:iCs/>
          <w:szCs w:val="26"/>
        </w:rPr>
        <w:t>Cal.App.2d 554, 561</w:t>
      </w:r>
      <w:r w:rsidR="00EA187F">
        <w:rPr>
          <w:bCs/>
          <w:iCs/>
          <w:szCs w:val="26"/>
        </w:rPr>
        <w:t xml:space="preserve">.)  </w:t>
      </w:r>
      <w:r w:rsidR="00D03503">
        <w:rPr>
          <w:bCs/>
          <w:iCs/>
          <w:szCs w:val="26"/>
        </w:rPr>
        <w:t xml:space="preserve">As a result, </w:t>
      </w:r>
      <w:r w:rsidR="005C7DC8">
        <w:rPr>
          <w:bCs/>
          <w:iCs/>
          <w:szCs w:val="26"/>
        </w:rPr>
        <w:t>Acosta</w:t>
      </w:r>
      <w:r w:rsidR="00D03503">
        <w:rPr>
          <w:bCs/>
          <w:iCs/>
          <w:szCs w:val="26"/>
        </w:rPr>
        <w:t xml:space="preserve"> suggests, because </w:t>
      </w:r>
      <w:r w:rsidR="00605F58">
        <w:rPr>
          <w:bCs/>
          <w:iCs/>
          <w:szCs w:val="26"/>
        </w:rPr>
        <w:t xml:space="preserve">he had no meaningful opportunity to communicate his knowledge </w:t>
      </w:r>
      <w:r w:rsidR="00605F58">
        <w:rPr>
          <w:bCs/>
          <w:iCs/>
          <w:szCs w:val="26"/>
        </w:rPr>
        <w:lastRenderedPageBreak/>
        <w:t>to Horizon prior to his injury, “there necessarily can be no effective delegation to the contractor to correct that condition.”</w:t>
      </w:r>
    </w:p>
    <w:p w14:paraId="0230F0EC" w14:textId="77777777" w:rsidR="00BD0A0E" w:rsidRDefault="003E2177" w:rsidP="00C1214A">
      <w:pPr>
        <w:ind w:firstLine="720"/>
        <w:rPr>
          <w:bCs/>
          <w:iCs/>
          <w:szCs w:val="26"/>
        </w:rPr>
      </w:pPr>
      <w:r>
        <w:rPr>
          <w:bCs/>
          <w:iCs/>
          <w:szCs w:val="26"/>
        </w:rPr>
        <w:t xml:space="preserve">Acosta’s contention misunderstands the nature of the contractor’s duty under </w:t>
      </w:r>
      <w:proofErr w:type="spellStart"/>
      <w:r w:rsidR="002D7699">
        <w:rPr>
          <w:bCs/>
          <w:i/>
          <w:szCs w:val="26"/>
        </w:rPr>
        <w:t>Privette</w:t>
      </w:r>
      <w:proofErr w:type="spellEnd"/>
      <w:r w:rsidR="002D7699">
        <w:rPr>
          <w:bCs/>
          <w:iCs/>
          <w:szCs w:val="26"/>
        </w:rPr>
        <w:t xml:space="preserve"> and its progeny</w:t>
      </w:r>
      <w:r w:rsidR="002F021D">
        <w:rPr>
          <w:bCs/>
          <w:iCs/>
          <w:szCs w:val="26"/>
        </w:rPr>
        <w:t xml:space="preserve">.  </w:t>
      </w:r>
      <w:r w:rsidR="00615E0C">
        <w:rPr>
          <w:bCs/>
          <w:iCs/>
          <w:szCs w:val="26"/>
        </w:rPr>
        <w:t>As we have discussed, Horizon, as the independent contractor hired by defendants, had a duty to ensure a safe workplace for its employees</w:t>
      </w:r>
      <w:r w:rsidR="0021369C">
        <w:rPr>
          <w:bCs/>
          <w:iCs/>
          <w:szCs w:val="26"/>
        </w:rPr>
        <w:t xml:space="preserve"> and is deemed to have been aware of any hazards that a reasonable inspection of the workplace would have revealed.</w:t>
      </w:r>
      <w:r w:rsidR="007764E8">
        <w:rPr>
          <w:bCs/>
          <w:iCs/>
          <w:szCs w:val="26"/>
        </w:rPr>
        <w:t xml:space="preserve">  Whether the </w:t>
      </w:r>
      <w:r w:rsidR="00A36691">
        <w:rPr>
          <w:bCs/>
          <w:iCs/>
          <w:szCs w:val="26"/>
        </w:rPr>
        <w:t xml:space="preserve">independent contractor </w:t>
      </w:r>
      <w:proofErr w:type="gramStart"/>
      <w:r w:rsidR="00A36691">
        <w:rPr>
          <w:bCs/>
          <w:i/>
          <w:szCs w:val="26"/>
        </w:rPr>
        <w:t xml:space="preserve">actually </w:t>
      </w:r>
      <w:r w:rsidR="00A36691">
        <w:rPr>
          <w:bCs/>
          <w:iCs/>
          <w:szCs w:val="26"/>
        </w:rPr>
        <w:t>inspected</w:t>
      </w:r>
      <w:proofErr w:type="gramEnd"/>
      <w:r w:rsidR="00005F06">
        <w:rPr>
          <w:bCs/>
          <w:iCs/>
          <w:szCs w:val="26"/>
        </w:rPr>
        <w:t xml:space="preserve">, or </w:t>
      </w:r>
      <w:r w:rsidR="00A36691">
        <w:rPr>
          <w:bCs/>
          <w:iCs/>
          <w:szCs w:val="26"/>
        </w:rPr>
        <w:t xml:space="preserve">whether an employee of the independent contractor </w:t>
      </w:r>
      <w:r w:rsidR="00A36691">
        <w:rPr>
          <w:bCs/>
          <w:i/>
          <w:szCs w:val="26"/>
        </w:rPr>
        <w:t>actually</w:t>
      </w:r>
      <w:r w:rsidR="00A36691">
        <w:rPr>
          <w:bCs/>
          <w:iCs/>
          <w:szCs w:val="26"/>
        </w:rPr>
        <w:t xml:space="preserve"> communicated </w:t>
      </w:r>
      <w:r w:rsidR="00005F06">
        <w:rPr>
          <w:bCs/>
          <w:iCs/>
          <w:szCs w:val="26"/>
        </w:rPr>
        <w:t>an unsafe condition to the contractor</w:t>
      </w:r>
      <w:r w:rsidR="00152BC4">
        <w:rPr>
          <w:bCs/>
          <w:iCs/>
          <w:szCs w:val="26"/>
        </w:rPr>
        <w:t xml:space="preserve">, is irrelevant—what matters is whether the </w:t>
      </w:r>
      <w:r w:rsidR="005244F4">
        <w:rPr>
          <w:bCs/>
          <w:iCs/>
          <w:szCs w:val="26"/>
        </w:rPr>
        <w:t>hazard</w:t>
      </w:r>
      <w:r w:rsidR="00152BC4">
        <w:rPr>
          <w:bCs/>
          <w:iCs/>
          <w:szCs w:val="26"/>
        </w:rPr>
        <w:t xml:space="preserve"> </w:t>
      </w:r>
      <w:r w:rsidR="005244F4">
        <w:rPr>
          <w:bCs/>
          <w:iCs/>
          <w:szCs w:val="26"/>
        </w:rPr>
        <w:t xml:space="preserve">would have been revealed by a reasonable inspection.  </w:t>
      </w:r>
      <w:r w:rsidR="006F4244">
        <w:rPr>
          <w:bCs/>
          <w:iCs/>
          <w:szCs w:val="26"/>
        </w:rPr>
        <w:t xml:space="preserve">Thus, </w:t>
      </w:r>
      <w:r w:rsidR="00AD1584">
        <w:rPr>
          <w:bCs/>
          <w:iCs/>
          <w:szCs w:val="26"/>
        </w:rPr>
        <w:t xml:space="preserve">for example, </w:t>
      </w:r>
      <w:r w:rsidR="008C0C08">
        <w:rPr>
          <w:bCs/>
          <w:iCs/>
          <w:szCs w:val="26"/>
        </w:rPr>
        <w:t xml:space="preserve">the court in </w:t>
      </w:r>
      <w:r w:rsidR="008C0C08">
        <w:rPr>
          <w:bCs/>
          <w:i/>
          <w:szCs w:val="26"/>
        </w:rPr>
        <w:t>Johnson</w:t>
      </w:r>
      <w:r w:rsidR="008C0C08">
        <w:rPr>
          <w:bCs/>
          <w:iCs/>
          <w:szCs w:val="26"/>
        </w:rPr>
        <w:t xml:space="preserve"> held </w:t>
      </w:r>
      <w:r w:rsidR="0089733B">
        <w:rPr>
          <w:bCs/>
          <w:iCs/>
          <w:szCs w:val="26"/>
        </w:rPr>
        <w:t>that the plaintiff could not recover for his injuries because he “cannot establish that</w:t>
      </w:r>
      <w:r w:rsidR="00887E03">
        <w:rPr>
          <w:bCs/>
          <w:iCs/>
          <w:szCs w:val="26"/>
        </w:rPr>
        <w:t xml:space="preserve"> [</w:t>
      </w:r>
      <w:r w:rsidR="0089733B">
        <w:rPr>
          <w:bCs/>
          <w:iCs/>
          <w:szCs w:val="26"/>
        </w:rPr>
        <w:t>his employer] could not reasonably have discovered the ha</w:t>
      </w:r>
      <w:r w:rsidR="00397042">
        <w:rPr>
          <w:bCs/>
          <w:iCs/>
          <w:szCs w:val="26"/>
        </w:rPr>
        <w:t>z</w:t>
      </w:r>
      <w:r w:rsidR="0089733B">
        <w:rPr>
          <w:bCs/>
          <w:iCs/>
          <w:szCs w:val="26"/>
        </w:rPr>
        <w:t>ardou</w:t>
      </w:r>
      <w:r w:rsidR="00397042">
        <w:rPr>
          <w:bCs/>
          <w:iCs/>
          <w:szCs w:val="26"/>
        </w:rPr>
        <w:t>s condition.”  (</w:t>
      </w:r>
      <w:r w:rsidR="00397042">
        <w:rPr>
          <w:bCs/>
          <w:i/>
          <w:szCs w:val="26"/>
        </w:rPr>
        <w:t>Johnson</w:t>
      </w:r>
      <w:r w:rsidR="00397042">
        <w:rPr>
          <w:bCs/>
          <w:iCs/>
          <w:szCs w:val="26"/>
        </w:rPr>
        <w:t xml:space="preserve">, </w:t>
      </w:r>
      <w:r w:rsidR="00397042">
        <w:rPr>
          <w:bCs/>
          <w:i/>
          <w:szCs w:val="26"/>
        </w:rPr>
        <w:t>supra</w:t>
      </w:r>
      <w:r w:rsidR="00397042">
        <w:rPr>
          <w:bCs/>
          <w:iCs/>
          <w:szCs w:val="26"/>
        </w:rPr>
        <w:t>, 33 Cal.App.5th at p. 632.</w:t>
      </w:r>
      <w:r w:rsidR="00887E03">
        <w:rPr>
          <w:bCs/>
          <w:iCs/>
          <w:szCs w:val="26"/>
        </w:rPr>
        <w:t>)</w:t>
      </w:r>
      <w:r w:rsidR="00BE1183">
        <w:rPr>
          <w:bCs/>
          <w:iCs/>
          <w:szCs w:val="26"/>
        </w:rPr>
        <w:t xml:space="preserve">  Similarly, </w:t>
      </w:r>
      <w:r w:rsidR="00FC5FA0">
        <w:rPr>
          <w:bCs/>
          <w:iCs/>
          <w:szCs w:val="26"/>
        </w:rPr>
        <w:t xml:space="preserve">the </w:t>
      </w:r>
      <w:r w:rsidR="00FC5FA0">
        <w:rPr>
          <w:bCs/>
          <w:i/>
          <w:szCs w:val="26"/>
        </w:rPr>
        <w:t>Blaylock</w:t>
      </w:r>
      <w:r w:rsidR="00FC5FA0">
        <w:rPr>
          <w:bCs/>
          <w:iCs/>
          <w:szCs w:val="26"/>
        </w:rPr>
        <w:t xml:space="preserve"> court held that </w:t>
      </w:r>
      <w:r w:rsidR="00E366AC">
        <w:rPr>
          <w:bCs/>
          <w:iCs/>
          <w:szCs w:val="26"/>
        </w:rPr>
        <w:t xml:space="preserve">the plaintiff could not recover because the undisputed evidence established that </w:t>
      </w:r>
      <w:r w:rsidR="00F75EFA">
        <w:rPr>
          <w:bCs/>
          <w:iCs/>
          <w:szCs w:val="26"/>
        </w:rPr>
        <w:t xml:space="preserve">“if ACS (i.e., Blaylock </w:t>
      </w:r>
      <w:r w:rsidR="006E5323" w:rsidRPr="006E5323">
        <w:rPr>
          <w:bCs/>
          <w:iCs/>
          <w:szCs w:val="26"/>
        </w:rPr>
        <w:t>and his coworkers) inspected the premises for safety issues, they would have recognized that the access panel which appeared to be part of the ceiling below the joists, was unsafe to walk on.</w:t>
      </w:r>
      <w:r w:rsidR="006E5323">
        <w:rPr>
          <w:bCs/>
          <w:iCs/>
          <w:szCs w:val="26"/>
        </w:rPr>
        <w:t xml:space="preserve">”  </w:t>
      </w:r>
      <w:r w:rsidR="003567B1">
        <w:rPr>
          <w:bCs/>
          <w:iCs/>
          <w:szCs w:val="26"/>
        </w:rPr>
        <w:t>(</w:t>
      </w:r>
      <w:r w:rsidR="003567B1">
        <w:rPr>
          <w:bCs/>
          <w:i/>
          <w:szCs w:val="26"/>
        </w:rPr>
        <w:t>Blaylock</w:t>
      </w:r>
      <w:r w:rsidR="003567B1">
        <w:rPr>
          <w:bCs/>
          <w:iCs/>
          <w:szCs w:val="26"/>
        </w:rPr>
        <w:t xml:space="preserve">, </w:t>
      </w:r>
      <w:r w:rsidR="003567B1">
        <w:rPr>
          <w:bCs/>
          <w:i/>
          <w:szCs w:val="26"/>
        </w:rPr>
        <w:t>supra</w:t>
      </w:r>
      <w:r w:rsidR="003567B1">
        <w:rPr>
          <w:bCs/>
          <w:iCs/>
          <w:szCs w:val="26"/>
        </w:rPr>
        <w:t xml:space="preserve">, 92 Cal.App.5th at p. </w:t>
      </w:r>
      <w:r w:rsidR="003E4D83">
        <w:rPr>
          <w:bCs/>
          <w:iCs/>
          <w:szCs w:val="26"/>
        </w:rPr>
        <w:t>873</w:t>
      </w:r>
      <w:r w:rsidR="003567B1">
        <w:rPr>
          <w:bCs/>
          <w:iCs/>
          <w:szCs w:val="26"/>
        </w:rPr>
        <w:t>.)</w:t>
      </w:r>
      <w:r w:rsidR="00877BFF">
        <w:rPr>
          <w:bCs/>
          <w:iCs/>
          <w:szCs w:val="26"/>
        </w:rPr>
        <w:t xml:space="preserve">  </w:t>
      </w:r>
      <w:proofErr w:type="gramStart"/>
      <w:r w:rsidR="00877BFF">
        <w:rPr>
          <w:bCs/>
          <w:iCs/>
          <w:szCs w:val="26"/>
        </w:rPr>
        <w:t>Similarly</w:t>
      </w:r>
      <w:proofErr w:type="gramEnd"/>
      <w:r w:rsidR="00877BFF">
        <w:rPr>
          <w:bCs/>
          <w:iCs/>
          <w:szCs w:val="26"/>
        </w:rPr>
        <w:t xml:space="preserve"> here, the information that would have been revealed </w:t>
      </w:r>
      <w:r w:rsidR="00841C89">
        <w:rPr>
          <w:bCs/>
          <w:iCs/>
          <w:szCs w:val="26"/>
        </w:rPr>
        <w:t xml:space="preserve">if Acosta or any other Horizon employee conducted a reasonable </w:t>
      </w:r>
      <w:r w:rsidR="00035E63">
        <w:rPr>
          <w:bCs/>
          <w:iCs/>
          <w:szCs w:val="26"/>
        </w:rPr>
        <w:t>inspection of the workplace is attributed to Horizon as</w:t>
      </w:r>
      <w:r w:rsidR="00EC2650">
        <w:rPr>
          <w:bCs/>
          <w:iCs/>
          <w:szCs w:val="26"/>
        </w:rPr>
        <w:t xml:space="preserve"> a</w:t>
      </w:r>
      <w:r w:rsidR="00035E63">
        <w:rPr>
          <w:bCs/>
          <w:iCs/>
          <w:szCs w:val="26"/>
        </w:rPr>
        <w:t xml:space="preserve"> matter of law</w:t>
      </w:r>
      <w:r w:rsidR="00AB65B3">
        <w:rPr>
          <w:bCs/>
          <w:iCs/>
          <w:szCs w:val="26"/>
        </w:rPr>
        <w:t>,</w:t>
      </w:r>
      <w:r w:rsidR="0034457A">
        <w:rPr>
          <w:bCs/>
          <w:iCs/>
          <w:szCs w:val="26"/>
        </w:rPr>
        <w:t xml:space="preserve"> regardless of Acosta’s actual knowledge or ability to transmit that knowledge to Horizon.</w:t>
      </w:r>
    </w:p>
    <w:p w14:paraId="0230F0ED" w14:textId="77777777" w:rsidR="00EE1C22" w:rsidRDefault="003E2177" w:rsidP="00A67C27">
      <w:pPr>
        <w:ind w:firstLine="720"/>
        <w:rPr>
          <w:bCs/>
          <w:iCs/>
          <w:szCs w:val="26"/>
        </w:rPr>
      </w:pPr>
      <w:r>
        <w:rPr>
          <w:bCs/>
          <w:iCs/>
          <w:szCs w:val="26"/>
        </w:rPr>
        <w:t xml:space="preserve">Fourth, </w:t>
      </w:r>
      <w:r w:rsidR="00C308AD">
        <w:rPr>
          <w:bCs/>
          <w:iCs/>
          <w:szCs w:val="26"/>
        </w:rPr>
        <w:t xml:space="preserve">Acosta contends that </w:t>
      </w:r>
      <w:r w:rsidR="00715DB8">
        <w:rPr>
          <w:bCs/>
          <w:iCs/>
          <w:szCs w:val="26"/>
        </w:rPr>
        <w:t xml:space="preserve">even if he was aware that the hatch was heavier than expected, </w:t>
      </w:r>
      <w:r w:rsidR="004147D3">
        <w:rPr>
          <w:bCs/>
          <w:iCs/>
          <w:szCs w:val="26"/>
        </w:rPr>
        <w:t xml:space="preserve">he cannot be charged with </w:t>
      </w:r>
      <w:r w:rsidR="004147D3">
        <w:rPr>
          <w:bCs/>
          <w:iCs/>
          <w:szCs w:val="26"/>
        </w:rPr>
        <w:lastRenderedPageBreak/>
        <w:t xml:space="preserve">knowledge that the hatch was hazardous.  </w:t>
      </w:r>
      <w:r w:rsidR="009A519B">
        <w:rPr>
          <w:bCs/>
          <w:iCs/>
          <w:szCs w:val="26"/>
        </w:rPr>
        <w:t xml:space="preserve">Again, this contention misunderstands </w:t>
      </w:r>
      <w:proofErr w:type="spellStart"/>
      <w:r w:rsidR="00BC3D69">
        <w:rPr>
          <w:bCs/>
          <w:i/>
          <w:szCs w:val="26"/>
        </w:rPr>
        <w:t>Privette</w:t>
      </w:r>
      <w:proofErr w:type="spellEnd"/>
      <w:r w:rsidR="00BC3D69">
        <w:rPr>
          <w:bCs/>
          <w:iCs/>
          <w:szCs w:val="26"/>
        </w:rPr>
        <w:t xml:space="preserve"> and its progeny.  Acosta is correct that </w:t>
      </w:r>
      <w:r w:rsidR="009E2D31">
        <w:rPr>
          <w:bCs/>
          <w:iCs/>
          <w:szCs w:val="26"/>
        </w:rPr>
        <w:t xml:space="preserve">under the relevant cases, including </w:t>
      </w:r>
      <w:r w:rsidR="009E2D31">
        <w:rPr>
          <w:bCs/>
          <w:i/>
          <w:szCs w:val="26"/>
        </w:rPr>
        <w:t>Blaylock</w:t>
      </w:r>
      <w:r w:rsidR="009E2D31">
        <w:rPr>
          <w:bCs/>
          <w:iCs/>
          <w:szCs w:val="26"/>
        </w:rPr>
        <w:t xml:space="preserve">, </w:t>
      </w:r>
      <w:r w:rsidR="00A67C27">
        <w:rPr>
          <w:bCs/>
          <w:iCs/>
          <w:szCs w:val="26"/>
        </w:rPr>
        <w:t>“</w:t>
      </w:r>
      <w:r w:rsidR="00A67C27" w:rsidRPr="00A67C27">
        <w:rPr>
          <w:bCs/>
          <w:iCs/>
          <w:szCs w:val="26"/>
        </w:rPr>
        <w:t xml:space="preserve">knowing </w:t>
      </w:r>
      <w:r w:rsidR="006C52B4">
        <w:rPr>
          <w:bCs/>
          <w:iCs/>
          <w:szCs w:val="26"/>
        </w:rPr>
        <w:t xml:space="preserve">[a] </w:t>
      </w:r>
      <w:r w:rsidR="00A67C27" w:rsidRPr="00A67C27">
        <w:rPr>
          <w:bCs/>
          <w:iCs/>
          <w:szCs w:val="26"/>
        </w:rPr>
        <w:t>condition exists is not the same as knowing or suspecting it could create a hazard</w:t>
      </w:r>
      <w:r w:rsidR="006C52B4">
        <w:rPr>
          <w:bCs/>
          <w:iCs/>
          <w:szCs w:val="26"/>
        </w:rPr>
        <w:t>.”  (</w:t>
      </w:r>
      <w:r w:rsidR="00A67C27" w:rsidRPr="00AB65B3">
        <w:rPr>
          <w:bCs/>
          <w:i/>
          <w:szCs w:val="26"/>
        </w:rPr>
        <w:t>Blaylock</w:t>
      </w:r>
      <w:r w:rsidR="006C52B4">
        <w:rPr>
          <w:bCs/>
          <w:iCs/>
          <w:szCs w:val="26"/>
        </w:rPr>
        <w:t xml:space="preserve">, </w:t>
      </w:r>
      <w:r w:rsidR="006C52B4">
        <w:rPr>
          <w:bCs/>
          <w:i/>
          <w:szCs w:val="26"/>
        </w:rPr>
        <w:t>supra</w:t>
      </w:r>
      <w:r w:rsidR="006C52B4">
        <w:rPr>
          <w:bCs/>
          <w:iCs/>
          <w:szCs w:val="26"/>
        </w:rPr>
        <w:t>, 92</w:t>
      </w:r>
      <w:r w:rsidR="00C11665">
        <w:rPr>
          <w:bCs/>
          <w:iCs/>
          <w:szCs w:val="26"/>
        </w:rPr>
        <w:t> </w:t>
      </w:r>
      <w:r w:rsidR="006C52B4">
        <w:rPr>
          <w:bCs/>
          <w:iCs/>
          <w:szCs w:val="26"/>
        </w:rPr>
        <w:t xml:space="preserve">Cal.App.5th at p. </w:t>
      </w:r>
      <w:r w:rsidR="00C3282E">
        <w:rPr>
          <w:bCs/>
          <w:iCs/>
          <w:szCs w:val="26"/>
        </w:rPr>
        <w:t>874</w:t>
      </w:r>
      <w:r w:rsidR="00C11665">
        <w:rPr>
          <w:bCs/>
          <w:iCs/>
          <w:szCs w:val="26"/>
        </w:rPr>
        <w:t xml:space="preserve">.)  But as we have said, the relevant inquiry is not what Acosta </w:t>
      </w:r>
      <w:proofErr w:type="gramStart"/>
      <w:r w:rsidR="00C11665">
        <w:rPr>
          <w:bCs/>
          <w:i/>
          <w:szCs w:val="26"/>
        </w:rPr>
        <w:t>actually</w:t>
      </w:r>
      <w:r w:rsidR="00C11665">
        <w:rPr>
          <w:bCs/>
          <w:iCs/>
          <w:szCs w:val="26"/>
        </w:rPr>
        <w:t xml:space="preserve"> knew</w:t>
      </w:r>
      <w:proofErr w:type="gramEnd"/>
      <w:r w:rsidR="00AB1E71">
        <w:rPr>
          <w:bCs/>
          <w:iCs/>
          <w:szCs w:val="26"/>
        </w:rPr>
        <w:t>, but rather what a reasonable inspection would have revealed.  Because a reasonabl</w:t>
      </w:r>
      <w:r w:rsidR="00027130">
        <w:rPr>
          <w:bCs/>
          <w:iCs/>
          <w:szCs w:val="26"/>
        </w:rPr>
        <w:t>e</w:t>
      </w:r>
      <w:r w:rsidR="00AB1E71">
        <w:rPr>
          <w:bCs/>
          <w:iCs/>
          <w:szCs w:val="26"/>
        </w:rPr>
        <w:t xml:space="preserve"> inspection would have revealed not only that the </w:t>
      </w:r>
      <w:r w:rsidR="000B31AD">
        <w:rPr>
          <w:bCs/>
          <w:iCs/>
          <w:szCs w:val="26"/>
        </w:rPr>
        <w:t xml:space="preserve">hatch was heavier than </w:t>
      </w:r>
      <w:r w:rsidR="009F7EDC">
        <w:rPr>
          <w:bCs/>
          <w:iCs/>
          <w:szCs w:val="26"/>
        </w:rPr>
        <w:t>ex</w:t>
      </w:r>
      <w:r w:rsidR="000B31AD">
        <w:rPr>
          <w:bCs/>
          <w:iCs/>
          <w:szCs w:val="26"/>
        </w:rPr>
        <w:t xml:space="preserve">pected but also that </w:t>
      </w:r>
      <w:r w:rsidR="006F2DE2">
        <w:rPr>
          <w:bCs/>
          <w:iCs/>
          <w:szCs w:val="26"/>
        </w:rPr>
        <w:t>the hatch</w:t>
      </w:r>
      <w:r w:rsidR="00813F1D">
        <w:rPr>
          <w:bCs/>
          <w:iCs/>
          <w:szCs w:val="26"/>
        </w:rPr>
        <w:t>, once unlocked,</w:t>
      </w:r>
      <w:r w:rsidR="006F2DE2">
        <w:rPr>
          <w:bCs/>
          <w:iCs/>
          <w:szCs w:val="26"/>
        </w:rPr>
        <w:t xml:space="preserve"> </w:t>
      </w:r>
      <w:r w:rsidR="00813F1D">
        <w:rPr>
          <w:bCs/>
          <w:iCs/>
          <w:szCs w:val="26"/>
        </w:rPr>
        <w:t xml:space="preserve">would </w:t>
      </w:r>
      <w:r w:rsidR="006F2DE2">
        <w:rPr>
          <w:bCs/>
          <w:iCs/>
          <w:szCs w:val="26"/>
        </w:rPr>
        <w:t>come “slamming down”</w:t>
      </w:r>
      <w:r w:rsidR="006A5BFF">
        <w:rPr>
          <w:bCs/>
          <w:iCs/>
          <w:szCs w:val="26"/>
        </w:rPr>
        <w:t xml:space="preserve"> if the hold-open arm </w:t>
      </w:r>
      <w:proofErr w:type="gramStart"/>
      <w:r w:rsidR="00ED1B80">
        <w:rPr>
          <w:bCs/>
          <w:iCs/>
          <w:szCs w:val="26"/>
        </w:rPr>
        <w:t>was</w:t>
      </w:r>
      <w:proofErr w:type="gramEnd"/>
      <w:r w:rsidR="00ED1B80">
        <w:rPr>
          <w:bCs/>
          <w:iCs/>
          <w:szCs w:val="26"/>
        </w:rPr>
        <w:t xml:space="preserve"> touched,</w:t>
      </w:r>
      <w:r w:rsidR="006F2DE2">
        <w:rPr>
          <w:bCs/>
          <w:iCs/>
          <w:szCs w:val="26"/>
        </w:rPr>
        <w:t xml:space="preserve"> </w:t>
      </w:r>
      <w:r w:rsidR="00522C48">
        <w:rPr>
          <w:bCs/>
          <w:iCs/>
          <w:szCs w:val="26"/>
        </w:rPr>
        <w:t>the distinction between knowledge of a condition and knowledge of a hazard is not relevant to our analysis.</w:t>
      </w:r>
    </w:p>
    <w:p w14:paraId="0230F0EE" w14:textId="77777777" w:rsidR="000D4A21" w:rsidRDefault="003E2177" w:rsidP="00234E56">
      <w:pPr>
        <w:ind w:firstLine="720"/>
        <w:rPr>
          <w:bCs/>
          <w:iCs/>
          <w:szCs w:val="26"/>
        </w:rPr>
      </w:pPr>
      <w:r>
        <w:rPr>
          <w:bCs/>
          <w:iCs/>
          <w:szCs w:val="26"/>
        </w:rPr>
        <w:t>Fifth</w:t>
      </w:r>
      <w:r w:rsidR="00441C25">
        <w:rPr>
          <w:bCs/>
          <w:iCs/>
          <w:szCs w:val="26"/>
        </w:rPr>
        <w:t xml:space="preserve">, </w:t>
      </w:r>
      <w:r w:rsidR="0076337D">
        <w:rPr>
          <w:bCs/>
          <w:iCs/>
          <w:szCs w:val="26"/>
        </w:rPr>
        <w:t xml:space="preserve">Acosta contends that </w:t>
      </w:r>
      <w:r w:rsidR="00C91A9B">
        <w:rPr>
          <w:bCs/>
          <w:iCs/>
          <w:szCs w:val="26"/>
        </w:rPr>
        <w:t xml:space="preserve">defendants’ reliance on </w:t>
      </w:r>
      <w:r w:rsidR="00C91A9B">
        <w:rPr>
          <w:bCs/>
          <w:i/>
          <w:szCs w:val="26"/>
        </w:rPr>
        <w:t>Blaylock</w:t>
      </w:r>
      <w:r w:rsidR="00C91A9B">
        <w:rPr>
          <w:bCs/>
          <w:iCs/>
          <w:szCs w:val="26"/>
        </w:rPr>
        <w:t xml:space="preserve"> and other cases disregards the applicable standard of review</w:t>
      </w:r>
      <w:r w:rsidR="002C37E9">
        <w:rPr>
          <w:bCs/>
          <w:iCs/>
          <w:szCs w:val="26"/>
        </w:rPr>
        <w:t xml:space="preserve">—that is, that because </w:t>
      </w:r>
      <w:r w:rsidR="002C37E9">
        <w:rPr>
          <w:bCs/>
          <w:i/>
          <w:szCs w:val="26"/>
        </w:rPr>
        <w:t>Blaylock</w:t>
      </w:r>
      <w:r w:rsidR="002C37E9">
        <w:rPr>
          <w:bCs/>
          <w:iCs/>
          <w:szCs w:val="26"/>
        </w:rPr>
        <w:t xml:space="preserve"> and </w:t>
      </w:r>
      <w:r w:rsidR="00B7655C">
        <w:rPr>
          <w:bCs/>
          <w:i/>
          <w:szCs w:val="26"/>
        </w:rPr>
        <w:t>Johnson</w:t>
      </w:r>
      <w:r w:rsidR="00B7655C">
        <w:rPr>
          <w:bCs/>
          <w:iCs/>
          <w:szCs w:val="26"/>
        </w:rPr>
        <w:t xml:space="preserve"> were appeals from grants of summary judgment, </w:t>
      </w:r>
      <w:r w:rsidR="001F5E46">
        <w:rPr>
          <w:bCs/>
          <w:iCs/>
          <w:szCs w:val="26"/>
        </w:rPr>
        <w:t xml:space="preserve">they are irrelevant to </w:t>
      </w:r>
      <w:r w:rsidR="00901555">
        <w:rPr>
          <w:bCs/>
          <w:iCs/>
          <w:szCs w:val="26"/>
        </w:rPr>
        <w:t xml:space="preserve">the present </w:t>
      </w:r>
      <w:r w:rsidR="001F5E46">
        <w:rPr>
          <w:bCs/>
          <w:iCs/>
          <w:szCs w:val="26"/>
        </w:rPr>
        <w:t xml:space="preserve">appeal from the grant of judgment following a jury trial. </w:t>
      </w:r>
      <w:r w:rsidR="00E67310">
        <w:rPr>
          <w:bCs/>
          <w:iCs/>
          <w:szCs w:val="26"/>
        </w:rPr>
        <w:t xml:space="preserve"> Not so.  </w:t>
      </w:r>
      <w:r w:rsidR="00E120C8">
        <w:rPr>
          <w:bCs/>
          <w:iCs/>
          <w:szCs w:val="26"/>
        </w:rPr>
        <w:t xml:space="preserve">The standards applicable to </w:t>
      </w:r>
      <w:r w:rsidR="0051402E">
        <w:rPr>
          <w:bCs/>
          <w:iCs/>
          <w:szCs w:val="26"/>
        </w:rPr>
        <w:t>nonsuit,</w:t>
      </w:r>
      <w:r w:rsidR="00E72F2D">
        <w:rPr>
          <w:bCs/>
          <w:iCs/>
          <w:szCs w:val="26"/>
        </w:rPr>
        <w:t xml:space="preserve"> directed verdict,</w:t>
      </w:r>
      <w:r w:rsidR="0051402E">
        <w:rPr>
          <w:bCs/>
          <w:iCs/>
          <w:szCs w:val="26"/>
        </w:rPr>
        <w:t xml:space="preserve"> </w:t>
      </w:r>
      <w:r w:rsidR="000402BB">
        <w:rPr>
          <w:bCs/>
          <w:iCs/>
          <w:szCs w:val="26"/>
        </w:rPr>
        <w:t xml:space="preserve">and </w:t>
      </w:r>
      <w:r w:rsidR="0051402E">
        <w:rPr>
          <w:bCs/>
          <w:iCs/>
          <w:szCs w:val="26"/>
        </w:rPr>
        <w:t>judgment notwithstanding the verdict</w:t>
      </w:r>
      <w:r w:rsidR="000402BB">
        <w:rPr>
          <w:bCs/>
          <w:iCs/>
          <w:szCs w:val="26"/>
        </w:rPr>
        <w:t xml:space="preserve"> “</w:t>
      </w:r>
      <w:r w:rsidR="00565087" w:rsidRPr="00565087">
        <w:rPr>
          <w:bCs/>
          <w:iCs/>
          <w:szCs w:val="26"/>
        </w:rPr>
        <w:t>are analytically the same and governed by the same rules</w:t>
      </w:r>
      <w:r w:rsidR="00021853">
        <w:rPr>
          <w:bCs/>
          <w:iCs/>
          <w:szCs w:val="26"/>
        </w:rPr>
        <w:t>”</w:t>
      </w:r>
      <w:r w:rsidR="00C37A16">
        <w:rPr>
          <w:bCs/>
          <w:iCs/>
          <w:szCs w:val="26"/>
        </w:rPr>
        <w:t xml:space="preserve">—that is, they may be granted only if </w:t>
      </w:r>
      <w:r w:rsidR="00956EBF">
        <w:rPr>
          <w:bCs/>
          <w:iCs/>
          <w:szCs w:val="26"/>
        </w:rPr>
        <w:t>“t</w:t>
      </w:r>
      <w:r w:rsidR="00956EBF" w:rsidRPr="00956EBF">
        <w:rPr>
          <w:bCs/>
          <w:iCs/>
          <w:szCs w:val="26"/>
        </w:rPr>
        <w:t>he plaintiff has not presented substantial evidence to establish a cause of action</w:t>
      </w:r>
      <w:r w:rsidR="00956EBF">
        <w:rPr>
          <w:bCs/>
          <w:iCs/>
          <w:szCs w:val="26"/>
        </w:rPr>
        <w:t xml:space="preserve">.”  </w:t>
      </w:r>
      <w:r w:rsidR="00021853">
        <w:rPr>
          <w:bCs/>
          <w:iCs/>
          <w:szCs w:val="26"/>
        </w:rPr>
        <w:t>(</w:t>
      </w:r>
      <w:r w:rsidR="00565087" w:rsidRPr="00956EBF">
        <w:rPr>
          <w:bCs/>
          <w:i/>
          <w:szCs w:val="26"/>
        </w:rPr>
        <w:t>Fountain Valley Chateau Blanc Homeowner</w:t>
      </w:r>
      <w:r w:rsidR="00021853" w:rsidRPr="00956EBF">
        <w:rPr>
          <w:bCs/>
          <w:i/>
          <w:szCs w:val="26"/>
        </w:rPr>
        <w:t>’</w:t>
      </w:r>
      <w:r w:rsidR="00565087" w:rsidRPr="00956EBF">
        <w:rPr>
          <w:bCs/>
          <w:i/>
          <w:szCs w:val="26"/>
        </w:rPr>
        <w:t>s Assn. v. Department of Veterans Affairs</w:t>
      </w:r>
      <w:r w:rsidR="00565087" w:rsidRPr="00565087">
        <w:rPr>
          <w:bCs/>
          <w:iCs/>
          <w:szCs w:val="26"/>
        </w:rPr>
        <w:t xml:space="preserve"> (1998) 67</w:t>
      </w:r>
      <w:r w:rsidR="00021853">
        <w:rPr>
          <w:bCs/>
          <w:iCs/>
          <w:szCs w:val="26"/>
        </w:rPr>
        <w:t> </w:t>
      </w:r>
      <w:r w:rsidR="00565087" w:rsidRPr="00565087">
        <w:rPr>
          <w:bCs/>
          <w:iCs/>
          <w:szCs w:val="26"/>
        </w:rPr>
        <w:t>Cal.App.4th 743, 750</w:t>
      </w:r>
      <w:r w:rsidR="00956EBF">
        <w:rPr>
          <w:bCs/>
          <w:iCs/>
          <w:szCs w:val="26"/>
        </w:rPr>
        <w:t xml:space="preserve">.)  </w:t>
      </w:r>
      <w:r w:rsidR="007821B0">
        <w:rPr>
          <w:bCs/>
          <w:iCs/>
          <w:szCs w:val="26"/>
        </w:rPr>
        <w:t>A</w:t>
      </w:r>
      <w:r w:rsidR="006D763E">
        <w:rPr>
          <w:bCs/>
          <w:iCs/>
          <w:szCs w:val="26"/>
        </w:rPr>
        <w:t xml:space="preserve"> substantial evidence </w:t>
      </w:r>
      <w:proofErr w:type="gramStart"/>
      <w:r w:rsidR="006D763E">
        <w:rPr>
          <w:bCs/>
          <w:iCs/>
          <w:szCs w:val="26"/>
        </w:rPr>
        <w:t>challenge</w:t>
      </w:r>
      <w:proofErr w:type="gramEnd"/>
      <w:r w:rsidR="006D763E">
        <w:rPr>
          <w:bCs/>
          <w:iCs/>
          <w:szCs w:val="26"/>
        </w:rPr>
        <w:t xml:space="preserve"> to a verdict following a trial </w:t>
      </w:r>
      <w:r w:rsidR="007821B0">
        <w:rPr>
          <w:bCs/>
          <w:iCs/>
          <w:szCs w:val="26"/>
        </w:rPr>
        <w:t xml:space="preserve">raises the same issues and is subject to the same standard of review.  </w:t>
      </w:r>
      <w:r w:rsidR="00A04AF2">
        <w:rPr>
          <w:bCs/>
          <w:iCs/>
          <w:szCs w:val="26"/>
        </w:rPr>
        <w:t>(</w:t>
      </w:r>
      <w:proofErr w:type="spellStart"/>
      <w:r w:rsidR="00A04AF2" w:rsidRPr="00A04AF2">
        <w:rPr>
          <w:bCs/>
          <w:i/>
          <w:szCs w:val="26"/>
        </w:rPr>
        <w:t>Padideh</w:t>
      </w:r>
      <w:proofErr w:type="spellEnd"/>
      <w:r w:rsidR="00A04AF2" w:rsidRPr="00A04AF2">
        <w:rPr>
          <w:bCs/>
          <w:i/>
          <w:szCs w:val="26"/>
        </w:rPr>
        <w:t xml:space="preserve"> v. Moradi</w:t>
      </w:r>
      <w:r w:rsidR="00A04AF2" w:rsidRPr="00A04AF2">
        <w:rPr>
          <w:bCs/>
          <w:iCs/>
          <w:szCs w:val="26"/>
        </w:rPr>
        <w:t xml:space="preserve"> (2023) 89 Cal.App.5th 418, 435</w:t>
      </w:r>
      <w:r w:rsidR="00A04AF2">
        <w:rPr>
          <w:bCs/>
          <w:iCs/>
          <w:szCs w:val="26"/>
        </w:rPr>
        <w:t>, fn.</w:t>
      </w:r>
      <w:r w:rsidR="008C3505">
        <w:rPr>
          <w:bCs/>
          <w:iCs/>
          <w:szCs w:val="26"/>
        </w:rPr>
        <w:t> </w:t>
      </w:r>
      <w:r w:rsidR="00A04AF2">
        <w:rPr>
          <w:bCs/>
          <w:iCs/>
          <w:szCs w:val="26"/>
        </w:rPr>
        <w:t xml:space="preserve">11.)  </w:t>
      </w:r>
      <w:proofErr w:type="gramStart"/>
      <w:r w:rsidR="00A04AF2">
        <w:rPr>
          <w:bCs/>
          <w:iCs/>
          <w:szCs w:val="26"/>
        </w:rPr>
        <w:t>And,</w:t>
      </w:r>
      <w:proofErr w:type="gramEnd"/>
      <w:r w:rsidR="00A04AF2">
        <w:rPr>
          <w:bCs/>
          <w:iCs/>
          <w:szCs w:val="26"/>
        </w:rPr>
        <w:t xml:space="preserve"> </w:t>
      </w:r>
      <w:r w:rsidR="005B01F9">
        <w:rPr>
          <w:bCs/>
          <w:iCs/>
          <w:szCs w:val="26"/>
        </w:rPr>
        <w:t>a defense motion for summary judgment may be granted only if “</w:t>
      </w:r>
      <w:r w:rsidR="00234E56" w:rsidRPr="00234E56">
        <w:rPr>
          <w:bCs/>
          <w:iCs/>
          <w:szCs w:val="26"/>
        </w:rPr>
        <w:t xml:space="preserve">the plaintiff has substantiated, or can substantiate, the elements of his or her </w:t>
      </w:r>
      <w:r w:rsidR="00234E56" w:rsidRPr="00234E56">
        <w:rPr>
          <w:bCs/>
          <w:iCs/>
          <w:szCs w:val="26"/>
        </w:rPr>
        <w:lastRenderedPageBreak/>
        <w:t>cause of action with evidence that, if believed, would justify a favorable verdict.”</w:t>
      </w:r>
      <w:r w:rsidR="005B01F9">
        <w:rPr>
          <w:bCs/>
          <w:iCs/>
          <w:szCs w:val="26"/>
        </w:rPr>
        <w:t xml:space="preserve">  (</w:t>
      </w:r>
      <w:r w:rsidR="00234E56" w:rsidRPr="005B01F9">
        <w:rPr>
          <w:bCs/>
          <w:i/>
          <w:szCs w:val="26"/>
        </w:rPr>
        <w:t>Kinsella v. Kinsella</w:t>
      </w:r>
      <w:r w:rsidR="00234E56" w:rsidRPr="00234E56">
        <w:rPr>
          <w:bCs/>
          <w:iCs/>
          <w:szCs w:val="26"/>
        </w:rPr>
        <w:t xml:space="preserve"> (2020) 45 Cal.App.5th 442, 455</w:t>
      </w:r>
      <w:r w:rsidR="005B01F9">
        <w:rPr>
          <w:bCs/>
          <w:iCs/>
          <w:szCs w:val="26"/>
        </w:rPr>
        <w:t xml:space="preserve">.)  </w:t>
      </w:r>
      <w:r w:rsidR="00FD54BE">
        <w:rPr>
          <w:bCs/>
          <w:iCs/>
          <w:szCs w:val="26"/>
        </w:rPr>
        <w:t>In short, the standard of review in each case is essentially the same</w:t>
      </w:r>
      <w:r w:rsidR="00F471DF">
        <w:rPr>
          <w:bCs/>
          <w:iCs/>
          <w:szCs w:val="26"/>
        </w:rPr>
        <w:t xml:space="preserve">:  Whether there is evidence sufficient to support a judgment in the plaintiff’s favor.  </w:t>
      </w:r>
      <w:r w:rsidR="00C24585">
        <w:rPr>
          <w:bCs/>
          <w:iCs/>
          <w:szCs w:val="26"/>
        </w:rPr>
        <w:t xml:space="preserve">The courts’ conclusions in </w:t>
      </w:r>
      <w:r w:rsidR="003139C6">
        <w:rPr>
          <w:bCs/>
          <w:i/>
          <w:szCs w:val="26"/>
        </w:rPr>
        <w:t>Blaylock</w:t>
      </w:r>
      <w:r w:rsidR="003139C6">
        <w:rPr>
          <w:bCs/>
          <w:iCs/>
          <w:szCs w:val="26"/>
        </w:rPr>
        <w:t xml:space="preserve"> and </w:t>
      </w:r>
      <w:r w:rsidR="003139C6">
        <w:rPr>
          <w:bCs/>
          <w:i/>
          <w:szCs w:val="26"/>
        </w:rPr>
        <w:t>Johnson</w:t>
      </w:r>
      <w:r w:rsidR="003139C6">
        <w:rPr>
          <w:bCs/>
          <w:iCs/>
          <w:szCs w:val="26"/>
        </w:rPr>
        <w:t xml:space="preserve"> that the plaintiffs’ evidence would not support verdicts in their favor, thus, is equally relevant here.</w:t>
      </w:r>
    </w:p>
    <w:p w14:paraId="0230F0EF" w14:textId="77777777" w:rsidR="00C95EE3" w:rsidRPr="00C8075B" w:rsidRDefault="003E2177" w:rsidP="00234E56">
      <w:pPr>
        <w:ind w:firstLine="720"/>
        <w:rPr>
          <w:bCs/>
          <w:iCs/>
          <w:szCs w:val="26"/>
        </w:rPr>
      </w:pPr>
      <w:r>
        <w:rPr>
          <w:bCs/>
          <w:iCs/>
          <w:szCs w:val="26"/>
        </w:rPr>
        <w:t xml:space="preserve">Finally, Acosta contends that </w:t>
      </w:r>
      <w:r w:rsidR="004B33A0">
        <w:rPr>
          <w:bCs/>
          <w:iCs/>
          <w:szCs w:val="26"/>
        </w:rPr>
        <w:t xml:space="preserve">the jury’s verdict must be upheld because substantial evidence “amply supported the jury’s finding that Acosta acted reasonably and was not at fault.”  </w:t>
      </w:r>
      <w:r w:rsidR="007559D8">
        <w:rPr>
          <w:bCs/>
          <w:iCs/>
          <w:szCs w:val="26"/>
        </w:rPr>
        <w:t>This contention con</w:t>
      </w:r>
      <w:r w:rsidR="006F7C5F">
        <w:rPr>
          <w:bCs/>
          <w:iCs/>
          <w:szCs w:val="26"/>
        </w:rPr>
        <w:t xml:space="preserve">founds the </w:t>
      </w:r>
      <w:r w:rsidR="00E13743">
        <w:rPr>
          <w:bCs/>
          <w:iCs/>
          <w:szCs w:val="26"/>
        </w:rPr>
        <w:t xml:space="preserve">analytically </w:t>
      </w:r>
      <w:r w:rsidR="00E04C00">
        <w:rPr>
          <w:bCs/>
          <w:iCs/>
          <w:szCs w:val="26"/>
        </w:rPr>
        <w:t>separate doctrines of negligence and</w:t>
      </w:r>
      <w:r w:rsidR="0038547C">
        <w:rPr>
          <w:bCs/>
          <w:iCs/>
          <w:szCs w:val="26"/>
        </w:rPr>
        <w:t xml:space="preserve"> peculiar risk.</w:t>
      </w:r>
      <w:r w:rsidR="009805A8">
        <w:rPr>
          <w:bCs/>
          <w:iCs/>
          <w:szCs w:val="26"/>
        </w:rPr>
        <w:t xml:space="preserve">  </w:t>
      </w:r>
      <w:r w:rsidR="00ED68ED">
        <w:rPr>
          <w:bCs/>
          <w:iCs/>
          <w:szCs w:val="26"/>
        </w:rPr>
        <w:t>T</w:t>
      </w:r>
      <w:r w:rsidR="009805A8">
        <w:rPr>
          <w:bCs/>
          <w:iCs/>
          <w:szCs w:val="26"/>
        </w:rPr>
        <w:t xml:space="preserve">he court explained in </w:t>
      </w:r>
      <w:r w:rsidR="009805A8">
        <w:rPr>
          <w:bCs/>
          <w:i/>
          <w:szCs w:val="26"/>
        </w:rPr>
        <w:t>Kinsman</w:t>
      </w:r>
      <w:r w:rsidR="00ED68ED">
        <w:rPr>
          <w:bCs/>
          <w:iCs/>
          <w:szCs w:val="26"/>
        </w:rPr>
        <w:t xml:space="preserve"> that a</w:t>
      </w:r>
      <w:r w:rsidR="00521BF9">
        <w:rPr>
          <w:bCs/>
          <w:iCs/>
          <w:szCs w:val="26"/>
        </w:rPr>
        <w:t xml:space="preserve">n instruction that </w:t>
      </w:r>
      <w:r w:rsidR="00E2564C">
        <w:rPr>
          <w:bCs/>
          <w:iCs/>
          <w:szCs w:val="26"/>
        </w:rPr>
        <w:t>a landowner was responsible for taking “reasonable” safety precautions</w:t>
      </w:r>
      <w:r w:rsidR="004621AF">
        <w:rPr>
          <w:bCs/>
          <w:iCs/>
          <w:szCs w:val="26"/>
        </w:rPr>
        <w:t>, “while an accurate statement of premise</w:t>
      </w:r>
      <w:r w:rsidR="003978ED">
        <w:rPr>
          <w:bCs/>
          <w:iCs/>
          <w:szCs w:val="26"/>
        </w:rPr>
        <w:t>s</w:t>
      </w:r>
      <w:r w:rsidR="004621AF">
        <w:rPr>
          <w:bCs/>
          <w:iCs/>
          <w:szCs w:val="26"/>
        </w:rPr>
        <w:t xml:space="preserve"> liability</w:t>
      </w:r>
      <w:r w:rsidR="003978ED" w:rsidRPr="00983B04">
        <w:rPr>
          <w:bCs/>
          <w:iCs/>
          <w:szCs w:val="26"/>
          <w:vertAlign w:val="superscript"/>
        </w:rPr>
        <w:t>[</w:t>
      </w:r>
      <w:r>
        <w:rPr>
          <w:rStyle w:val="FootnoteReference"/>
          <w:bCs/>
          <w:iCs/>
          <w:szCs w:val="26"/>
        </w:rPr>
        <w:footnoteReference w:id="7"/>
      </w:r>
      <w:r w:rsidR="003978ED" w:rsidRPr="00983B04">
        <w:rPr>
          <w:bCs/>
          <w:iCs/>
          <w:szCs w:val="26"/>
          <w:vertAlign w:val="superscript"/>
        </w:rPr>
        <w:t>]</w:t>
      </w:r>
      <w:r w:rsidR="009D6BA7">
        <w:rPr>
          <w:bCs/>
          <w:iCs/>
          <w:szCs w:val="26"/>
        </w:rPr>
        <w:t xml:space="preserve"> </w:t>
      </w:r>
      <w:r w:rsidR="004621AF">
        <w:rPr>
          <w:bCs/>
          <w:iCs/>
          <w:szCs w:val="26"/>
        </w:rPr>
        <w:t xml:space="preserve">generally,” was erroneous when applied to the </w:t>
      </w:r>
      <w:r w:rsidR="00256342">
        <w:rPr>
          <w:bCs/>
          <w:iCs/>
          <w:szCs w:val="26"/>
        </w:rPr>
        <w:t>case at hand</w:t>
      </w:r>
      <w:r w:rsidR="00FB53F5">
        <w:rPr>
          <w:bCs/>
          <w:iCs/>
          <w:szCs w:val="26"/>
        </w:rPr>
        <w:t xml:space="preserve"> because “the landowner who has delegated job safety to the independent contractor </w:t>
      </w:r>
      <w:r w:rsidR="00792D13">
        <w:rPr>
          <w:bCs/>
          <w:iCs/>
          <w:szCs w:val="26"/>
        </w:rPr>
        <w:t>only has a duty to the employee if the condition is concealed</w:t>
      </w:r>
      <w:r w:rsidR="004F57B3">
        <w:rPr>
          <w:bCs/>
          <w:iCs/>
          <w:szCs w:val="26"/>
        </w:rPr>
        <w:t>.”</w:t>
      </w:r>
      <w:r w:rsidR="009D6BA7">
        <w:rPr>
          <w:bCs/>
          <w:iCs/>
          <w:szCs w:val="26"/>
        </w:rPr>
        <w:t xml:space="preserve"> </w:t>
      </w:r>
      <w:r w:rsidR="004F57B3">
        <w:rPr>
          <w:bCs/>
          <w:iCs/>
          <w:szCs w:val="26"/>
        </w:rPr>
        <w:t xml:space="preserve"> (</w:t>
      </w:r>
      <w:r w:rsidR="004F57B3">
        <w:rPr>
          <w:bCs/>
          <w:i/>
          <w:szCs w:val="26"/>
        </w:rPr>
        <w:t>Kinsman</w:t>
      </w:r>
      <w:r w:rsidR="004F57B3">
        <w:rPr>
          <w:bCs/>
          <w:iCs/>
          <w:szCs w:val="26"/>
        </w:rPr>
        <w:t xml:space="preserve">, </w:t>
      </w:r>
      <w:r w:rsidR="004F57B3">
        <w:rPr>
          <w:bCs/>
          <w:i/>
          <w:szCs w:val="26"/>
        </w:rPr>
        <w:t>supra</w:t>
      </w:r>
      <w:r w:rsidR="004F57B3">
        <w:rPr>
          <w:bCs/>
          <w:iCs/>
          <w:szCs w:val="26"/>
        </w:rPr>
        <w:t>, 37</w:t>
      </w:r>
      <w:r w:rsidR="00DF0909">
        <w:rPr>
          <w:bCs/>
          <w:iCs/>
          <w:szCs w:val="26"/>
        </w:rPr>
        <w:t> </w:t>
      </w:r>
      <w:r w:rsidR="004F57B3">
        <w:rPr>
          <w:bCs/>
          <w:iCs/>
          <w:szCs w:val="26"/>
        </w:rPr>
        <w:t>Cal.4th at p. 682.</w:t>
      </w:r>
      <w:r w:rsidR="00256342">
        <w:rPr>
          <w:bCs/>
          <w:iCs/>
          <w:szCs w:val="26"/>
        </w:rPr>
        <w:t xml:space="preserve">)  </w:t>
      </w:r>
      <w:r w:rsidR="00C8075B">
        <w:rPr>
          <w:bCs/>
          <w:iCs/>
          <w:szCs w:val="26"/>
        </w:rPr>
        <w:t xml:space="preserve">In other words, under </w:t>
      </w:r>
      <w:proofErr w:type="spellStart"/>
      <w:r w:rsidR="00C8075B">
        <w:rPr>
          <w:bCs/>
          <w:i/>
          <w:szCs w:val="26"/>
        </w:rPr>
        <w:t>Privette</w:t>
      </w:r>
      <w:proofErr w:type="spellEnd"/>
      <w:r w:rsidR="00C8075B">
        <w:rPr>
          <w:bCs/>
          <w:iCs/>
          <w:szCs w:val="26"/>
        </w:rPr>
        <w:t xml:space="preserve"> </w:t>
      </w:r>
      <w:r w:rsidR="003D3BA5">
        <w:rPr>
          <w:bCs/>
          <w:iCs/>
          <w:szCs w:val="26"/>
        </w:rPr>
        <w:t xml:space="preserve">the relevant question is not whether the plaintiff acted reasonably, but whether the hazard was known or reasonably discoverable by the </w:t>
      </w:r>
      <w:r w:rsidR="003D3BA5">
        <w:rPr>
          <w:bCs/>
          <w:iCs/>
          <w:szCs w:val="26"/>
        </w:rPr>
        <w:lastRenderedPageBreak/>
        <w:t xml:space="preserve">plaintiff or his employer.  </w:t>
      </w:r>
      <w:r w:rsidR="00566C65">
        <w:rPr>
          <w:bCs/>
          <w:iCs/>
          <w:szCs w:val="26"/>
        </w:rPr>
        <w:t>The jury’s finding that Acosta acted reasonably, therefore, is wholly irrelevant to our analysis.</w:t>
      </w:r>
      <w:r>
        <w:rPr>
          <w:rStyle w:val="FootnoteReference"/>
          <w:bCs/>
          <w:iCs/>
          <w:szCs w:val="26"/>
        </w:rPr>
        <w:footnoteReference w:id="8"/>
      </w:r>
    </w:p>
    <w:p w14:paraId="0230F0F0" w14:textId="77777777" w:rsidR="00455091" w:rsidRPr="00455091" w:rsidRDefault="003E2177" w:rsidP="00455091">
      <w:pPr>
        <w:ind w:firstLine="720"/>
        <w:rPr>
          <w:bCs/>
          <w:iCs/>
          <w:szCs w:val="26"/>
        </w:rPr>
      </w:pPr>
      <w:r>
        <w:rPr>
          <w:bCs/>
          <w:iCs/>
          <w:szCs w:val="26"/>
        </w:rPr>
        <w:t xml:space="preserve">For all the foregoing reasons, we conclude that substantial evidence did not support the </w:t>
      </w:r>
      <w:r w:rsidR="005B730C">
        <w:rPr>
          <w:bCs/>
          <w:iCs/>
          <w:szCs w:val="26"/>
        </w:rPr>
        <w:t xml:space="preserve">jury’s finding that </w:t>
      </w:r>
      <w:r w:rsidR="00A153CE">
        <w:rPr>
          <w:bCs/>
          <w:iCs/>
          <w:szCs w:val="26"/>
        </w:rPr>
        <w:t>the roof hatch’s hazardous condition</w:t>
      </w:r>
      <w:r w:rsidR="00355496">
        <w:rPr>
          <w:bCs/>
          <w:iCs/>
          <w:szCs w:val="26"/>
        </w:rPr>
        <w:t xml:space="preserve"> could not </w:t>
      </w:r>
      <w:r w:rsidR="007F79D9">
        <w:rPr>
          <w:bCs/>
          <w:iCs/>
          <w:szCs w:val="26"/>
        </w:rPr>
        <w:t xml:space="preserve">reasonably have been discovered </w:t>
      </w:r>
      <w:r w:rsidR="007F79D9">
        <w:rPr>
          <w:bCs/>
          <w:iCs/>
          <w:szCs w:val="26"/>
        </w:rPr>
        <w:lastRenderedPageBreak/>
        <w:t>by Horizon.</w:t>
      </w:r>
      <w:r>
        <w:rPr>
          <w:rStyle w:val="FootnoteReference"/>
          <w:bCs/>
          <w:iCs/>
          <w:szCs w:val="26"/>
        </w:rPr>
        <w:footnoteReference w:id="9"/>
      </w:r>
      <w:r w:rsidR="007F79D9">
        <w:rPr>
          <w:bCs/>
          <w:iCs/>
          <w:szCs w:val="26"/>
        </w:rPr>
        <w:t xml:space="preserve">  </w:t>
      </w:r>
      <w:r w:rsidR="006C1E40">
        <w:rPr>
          <w:bCs/>
          <w:iCs/>
          <w:szCs w:val="26"/>
        </w:rPr>
        <w:t xml:space="preserve">Because this is an essential element of Acosta’s claim, the absence of evidence of this element is dispositive of the appeal.  </w:t>
      </w:r>
      <w:r w:rsidR="003F5467">
        <w:rPr>
          <w:bCs/>
          <w:iCs/>
          <w:szCs w:val="26"/>
        </w:rPr>
        <w:t xml:space="preserve">We therefore will reverse the judgment and </w:t>
      </w:r>
      <w:r w:rsidR="0059172A">
        <w:rPr>
          <w:bCs/>
          <w:iCs/>
          <w:szCs w:val="26"/>
        </w:rPr>
        <w:t>direct entry of judgment for defendants.</w:t>
      </w:r>
      <w:r w:rsidR="00E029F8">
        <w:rPr>
          <w:bCs/>
          <w:iCs/>
          <w:szCs w:val="26"/>
        </w:rPr>
        <w:t xml:space="preserve">  (</w:t>
      </w:r>
      <w:r w:rsidR="004B710F">
        <w:rPr>
          <w:bCs/>
          <w:iCs/>
          <w:szCs w:val="26"/>
        </w:rPr>
        <w:t>Code Civ. Proc., § 629, subd. (c)</w:t>
      </w:r>
      <w:r w:rsidR="00E024BD">
        <w:rPr>
          <w:bCs/>
          <w:iCs/>
          <w:szCs w:val="26"/>
        </w:rPr>
        <w:t xml:space="preserve"> [“</w:t>
      </w:r>
      <w:r w:rsidR="00E024BD" w:rsidRPr="00E024BD">
        <w:rPr>
          <w:bCs/>
          <w:iCs/>
          <w:szCs w:val="26"/>
        </w:rPr>
        <w:t>If</w:t>
      </w:r>
      <w:r w:rsidR="00C77A3F">
        <w:rPr>
          <w:bCs/>
          <w:iCs/>
          <w:szCs w:val="26"/>
        </w:rPr>
        <w:t> </w:t>
      </w:r>
      <w:r w:rsidR="00E024BD" w:rsidRPr="00E024BD">
        <w:rPr>
          <w:bCs/>
          <w:iCs/>
          <w:szCs w:val="26"/>
        </w:rPr>
        <w:t>the motion for judgment notwithstanding the verdict is denied and if a new trial is denied, the appellate court shall, if it appears that the motion for judgment notwithstanding the verdict should have been granted, order judgment to be so entered on appeal from the judgment or from the order denying the motion for judgment notwithstanding the verdict</w:t>
      </w:r>
      <w:r w:rsidR="002B0467">
        <w:rPr>
          <w:bCs/>
          <w:iCs/>
          <w:szCs w:val="26"/>
        </w:rPr>
        <w:t>.</w:t>
      </w:r>
      <w:r w:rsidR="00E024BD">
        <w:rPr>
          <w:bCs/>
          <w:iCs/>
          <w:szCs w:val="26"/>
        </w:rPr>
        <w:t>”]</w:t>
      </w:r>
      <w:r w:rsidR="000B735D">
        <w:rPr>
          <w:bCs/>
          <w:iCs/>
          <w:szCs w:val="26"/>
        </w:rPr>
        <w:t>;</w:t>
      </w:r>
      <w:r>
        <w:rPr>
          <w:bCs/>
          <w:iCs/>
          <w:szCs w:val="26"/>
        </w:rPr>
        <w:t xml:space="preserve"> </w:t>
      </w:r>
      <w:r w:rsidRPr="00455091">
        <w:rPr>
          <w:bCs/>
          <w:i/>
          <w:szCs w:val="26"/>
        </w:rPr>
        <w:t>Bank of America v. Superior Court</w:t>
      </w:r>
      <w:r w:rsidRPr="00455091">
        <w:rPr>
          <w:bCs/>
          <w:iCs/>
          <w:szCs w:val="26"/>
        </w:rPr>
        <w:t xml:space="preserve"> (1990) 220</w:t>
      </w:r>
      <w:r>
        <w:rPr>
          <w:bCs/>
          <w:iCs/>
          <w:szCs w:val="26"/>
        </w:rPr>
        <w:t> </w:t>
      </w:r>
      <w:r w:rsidRPr="00455091">
        <w:rPr>
          <w:bCs/>
          <w:iCs/>
          <w:szCs w:val="26"/>
        </w:rPr>
        <w:t>Cal.App.3d 613, 624</w:t>
      </w:r>
      <w:r>
        <w:rPr>
          <w:bCs/>
          <w:iCs/>
          <w:szCs w:val="26"/>
        </w:rPr>
        <w:t xml:space="preserve"> [“</w:t>
      </w:r>
      <w:r w:rsidRPr="00455091">
        <w:rPr>
          <w:bCs/>
          <w:iCs/>
          <w:szCs w:val="26"/>
        </w:rPr>
        <w:t xml:space="preserve">The effect of </w:t>
      </w:r>
      <w:r>
        <w:rPr>
          <w:bCs/>
          <w:iCs/>
          <w:szCs w:val="26"/>
        </w:rPr>
        <w:t xml:space="preserve">[Code of Civil Procedure] </w:t>
      </w:r>
      <w:r w:rsidRPr="00455091">
        <w:rPr>
          <w:bCs/>
          <w:iCs/>
          <w:szCs w:val="26"/>
        </w:rPr>
        <w:t>section 629 is that a reversal on appeal for insufficiency of the evidence concludes the litigation just as it would have been concluded if the trial court had correctly entered judgment notwithstanding the verdict</w:t>
      </w:r>
      <w:r w:rsidR="002B3E5B">
        <w:rPr>
          <w:bCs/>
          <w:iCs/>
          <w:szCs w:val="26"/>
        </w:rPr>
        <w:t>.</w:t>
      </w:r>
      <w:r>
        <w:rPr>
          <w:bCs/>
          <w:iCs/>
          <w:szCs w:val="26"/>
        </w:rPr>
        <w:t>”].)</w:t>
      </w:r>
    </w:p>
    <w:p w14:paraId="0230F0F1" w14:textId="77777777" w:rsidR="00032B4F" w:rsidRDefault="003E2177" w:rsidP="00133C41">
      <w:pPr>
        <w:pStyle w:val="Heading1"/>
        <w:keepNext/>
        <w:keepLines/>
      </w:pPr>
      <w:r w:rsidRPr="00996A1B">
        <w:lastRenderedPageBreak/>
        <w:t>DISPOSITIO</w:t>
      </w:r>
      <w:r w:rsidRPr="00996A1B">
        <w:t>N</w:t>
      </w:r>
    </w:p>
    <w:p w14:paraId="0230F0F2" w14:textId="77777777" w:rsidR="00B20310" w:rsidRPr="00B20310" w:rsidRDefault="003E2177" w:rsidP="00133C41">
      <w:pPr>
        <w:keepNext/>
        <w:keepLines/>
      </w:pPr>
      <w:r>
        <w:tab/>
      </w:r>
      <w:r w:rsidR="00DA6CBB">
        <w:t>The judgment is reversed</w:t>
      </w:r>
      <w:r w:rsidR="00523247">
        <w:t>, and the trial court is directed to enter judgment for defendants</w:t>
      </w:r>
      <w:r w:rsidR="000A4710">
        <w:t xml:space="preserve"> on the complaint</w:t>
      </w:r>
      <w:r w:rsidR="00523247">
        <w:t>.  Defendants are awarded their appellate costs.</w:t>
      </w:r>
    </w:p>
    <w:p w14:paraId="0230F0F3" w14:textId="77777777" w:rsidR="00032B4F" w:rsidRDefault="00032B4F" w:rsidP="00133C41">
      <w:pPr>
        <w:keepNext/>
        <w:keepLines/>
        <w:rPr>
          <w:b/>
          <w:bCs/>
          <w:szCs w:val="26"/>
        </w:rPr>
      </w:pPr>
    </w:p>
    <w:p w14:paraId="0230F0F4" w14:textId="77777777" w:rsidR="007E1A8E" w:rsidRPr="00712178" w:rsidRDefault="007E1A8E" w:rsidP="00133C41">
      <w:pPr>
        <w:keepNext/>
        <w:keepLines/>
        <w:rPr>
          <w:b/>
          <w:bCs/>
          <w:szCs w:val="26"/>
        </w:rPr>
      </w:pPr>
    </w:p>
    <w:p w14:paraId="0230F0F5" w14:textId="77777777" w:rsidR="00032B4F" w:rsidRDefault="00032B4F" w:rsidP="00133C41">
      <w:pPr>
        <w:keepNext/>
        <w:keepLines/>
        <w:rPr>
          <w:b/>
          <w:bCs/>
          <w:szCs w:val="26"/>
        </w:rPr>
      </w:pPr>
    </w:p>
    <w:p w14:paraId="0230F0F6" w14:textId="77777777" w:rsidR="00032B4F" w:rsidRPr="00712178" w:rsidRDefault="003E2177" w:rsidP="00133C41">
      <w:pPr>
        <w:keepNext/>
        <w:keepLines/>
      </w:pPr>
      <w:r w:rsidRPr="00712178">
        <w:rPr>
          <w:bCs/>
          <w:szCs w:val="26"/>
        </w:rPr>
        <w:tab/>
      </w:r>
      <w:r w:rsidRPr="00712178">
        <w:rPr>
          <w:bCs/>
          <w:szCs w:val="26"/>
        </w:rPr>
        <w:tab/>
      </w:r>
      <w:r w:rsidRPr="00712178">
        <w:rPr>
          <w:bCs/>
          <w:szCs w:val="26"/>
        </w:rPr>
        <w:tab/>
      </w:r>
      <w:r w:rsidRPr="00712178">
        <w:rPr>
          <w:bCs/>
          <w:szCs w:val="26"/>
        </w:rPr>
        <w:tab/>
      </w:r>
      <w:r w:rsidRPr="00712178">
        <w:rPr>
          <w:bCs/>
          <w:szCs w:val="26"/>
        </w:rPr>
        <w:tab/>
      </w:r>
      <w:r w:rsidRPr="00712178">
        <w:rPr>
          <w:bCs/>
          <w:szCs w:val="26"/>
        </w:rPr>
        <w:tab/>
      </w:r>
      <w:r w:rsidRPr="00712178">
        <w:rPr>
          <w:bCs/>
          <w:szCs w:val="26"/>
        </w:rPr>
        <w:tab/>
      </w:r>
      <w:r w:rsidRPr="00712178">
        <w:t>EDMON, P. J.</w:t>
      </w:r>
    </w:p>
    <w:p w14:paraId="0230F0F7" w14:textId="77777777" w:rsidR="00032B4F" w:rsidRPr="00712178" w:rsidRDefault="00032B4F" w:rsidP="00133C41">
      <w:pPr>
        <w:keepNext/>
        <w:keepLines/>
        <w:rPr>
          <w:bCs/>
          <w:szCs w:val="26"/>
        </w:rPr>
      </w:pPr>
    </w:p>
    <w:p w14:paraId="0230F0F8" w14:textId="77777777" w:rsidR="00032B4F" w:rsidRPr="00712178" w:rsidRDefault="003E2177" w:rsidP="00133C41">
      <w:pPr>
        <w:keepNext/>
        <w:keepLines/>
        <w:rPr>
          <w:bCs/>
          <w:szCs w:val="26"/>
        </w:rPr>
      </w:pPr>
      <w:r w:rsidRPr="00712178">
        <w:rPr>
          <w:bCs/>
          <w:szCs w:val="26"/>
        </w:rPr>
        <w:t>We concur:</w:t>
      </w:r>
    </w:p>
    <w:p w14:paraId="0230F0F9" w14:textId="77777777" w:rsidR="00032B4F" w:rsidRDefault="00032B4F" w:rsidP="00133C41">
      <w:pPr>
        <w:keepNext/>
        <w:keepLines/>
        <w:rPr>
          <w:bCs/>
          <w:szCs w:val="26"/>
        </w:rPr>
      </w:pPr>
    </w:p>
    <w:p w14:paraId="0230F0FA" w14:textId="77777777" w:rsidR="007E1A8E" w:rsidRPr="00712178" w:rsidRDefault="007E1A8E" w:rsidP="00133C41">
      <w:pPr>
        <w:keepNext/>
        <w:keepLines/>
        <w:rPr>
          <w:bCs/>
          <w:szCs w:val="26"/>
        </w:rPr>
      </w:pPr>
    </w:p>
    <w:p w14:paraId="0230F0FB" w14:textId="77777777" w:rsidR="00032B4F" w:rsidRPr="00712178" w:rsidRDefault="00032B4F" w:rsidP="00133C41">
      <w:pPr>
        <w:keepNext/>
        <w:keepLines/>
        <w:rPr>
          <w:bCs/>
          <w:szCs w:val="26"/>
        </w:rPr>
      </w:pPr>
    </w:p>
    <w:p w14:paraId="0230F0FC" w14:textId="77777777" w:rsidR="00032B4F" w:rsidRPr="00712178" w:rsidRDefault="003E2177" w:rsidP="00133C41">
      <w:pPr>
        <w:keepNext/>
        <w:keepLines/>
      </w:pPr>
      <w:r w:rsidRPr="00712178">
        <w:rPr>
          <w:bCs/>
          <w:szCs w:val="26"/>
        </w:rPr>
        <w:tab/>
      </w:r>
      <w:r w:rsidRPr="00712178">
        <w:rPr>
          <w:bCs/>
          <w:szCs w:val="26"/>
        </w:rPr>
        <w:tab/>
      </w:r>
      <w:r w:rsidRPr="00712178">
        <w:rPr>
          <w:bCs/>
          <w:szCs w:val="26"/>
        </w:rPr>
        <w:tab/>
      </w:r>
      <w:r w:rsidR="00DF0EAF">
        <w:rPr>
          <w:bCs/>
          <w:szCs w:val="26"/>
        </w:rPr>
        <w:t>LAVIN</w:t>
      </w:r>
      <w:r w:rsidRPr="00712178">
        <w:t>, J.</w:t>
      </w:r>
    </w:p>
    <w:p w14:paraId="0230F0FD" w14:textId="77777777" w:rsidR="00032B4F" w:rsidRDefault="00032B4F" w:rsidP="00133C41">
      <w:pPr>
        <w:keepNext/>
        <w:keepLines/>
      </w:pPr>
    </w:p>
    <w:p w14:paraId="0230F0FE" w14:textId="77777777" w:rsidR="004B36B0" w:rsidRDefault="004B36B0" w:rsidP="00133C41">
      <w:pPr>
        <w:keepNext/>
        <w:keepLines/>
      </w:pPr>
    </w:p>
    <w:p w14:paraId="0230F0FF" w14:textId="77777777" w:rsidR="007E1A8E" w:rsidRPr="00712178" w:rsidRDefault="007E1A8E" w:rsidP="00133C41">
      <w:pPr>
        <w:keepNext/>
        <w:keepLines/>
      </w:pPr>
    </w:p>
    <w:p w14:paraId="0230F100" w14:textId="77777777" w:rsidR="00032B4F" w:rsidRPr="00712178" w:rsidRDefault="00032B4F" w:rsidP="00133C41">
      <w:pPr>
        <w:keepNext/>
        <w:keepLines/>
      </w:pPr>
    </w:p>
    <w:p w14:paraId="0230F101" w14:textId="77777777" w:rsidR="0052118E" w:rsidRDefault="003E2177" w:rsidP="00133C41">
      <w:pPr>
        <w:keepNext/>
        <w:keepLines/>
      </w:pPr>
      <w:r w:rsidRPr="00712178">
        <w:tab/>
      </w:r>
      <w:r w:rsidRPr="00712178">
        <w:tab/>
      </w:r>
      <w:r w:rsidRPr="00712178">
        <w:tab/>
      </w:r>
      <w:r w:rsidR="006B0465">
        <w:t>EGERTON, J.</w:t>
      </w:r>
    </w:p>
    <w:p w14:paraId="0230F102" w14:textId="77777777" w:rsidR="00F0045E" w:rsidRDefault="00F0045E" w:rsidP="00F0045E">
      <w:pPr>
        <w:widowControl w:val="0"/>
        <w:sectPr w:rsidR="00F0045E" w:rsidSect="00CA1A5E">
          <w:footerReference w:type="default" r:id="rId8"/>
          <w:footerReference w:type="first" r:id="rId9"/>
          <w:pgSz w:w="12240" w:h="15840"/>
          <w:pgMar w:top="2160" w:right="2160" w:bottom="2160" w:left="2160" w:header="720" w:footer="720" w:gutter="0"/>
          <w:pgNumType w:start="1"/>
          <w:cols w:space="720"/>
          <w:titlePg/>
          <w:docGrid w:linePitch="360"/>
        </w:sectPr>
      </w:pPr>
    </w:p>
    <w:p w14:paraId="2BC6FFB6" w14:textId="77777777" w:rsidR="00DA7FB2" w:rsidRPr="00101580" w:rsidRDefault="00DA7FB2" w:rsidP="00DA7FB2">
      <w:pPr>
        <w:rPr>
          <w:bCs/>
          <w:sz w:val="20"/>
        </w:rPr>
      </w:pPr>
      <w:r>
        <w:rPr>
          <w:bCs/>
          <w:sz w:val="20"/>
        </w:rPr>
        <w:lastRenderedPageBreak/>
        <w:t xml:space="preserve">Filed </w:t>
      </w:r>
      <w:proofErr w:type="gramStart"/>
      <w:r>
        <w:rPr>
          <w:bCs/>
          <w:sz w:val="20"/>
        </w:rPr>
        <w:t>10/19/23</w:t>
      </w:r>
      <w:proofErr w:type="gramEnd"/>
    </w:p>
    <w:p w14:paraId="0C4CB852" w14:textId="77777777" w:rsidR="00DA7FB2" w:rsidRPr="00712178" w:rsidRDefault="00DA7FB2" w:rsidP="00DA7FB2">
      <w:pPr>
        <w:jc w:val="center"/>
        <w:rPr>
          <w:b/>
        </w:rPr>
      </w:pPr>
      <w:r>
        <w:rPr>
          <w:b/>
        </w:rPr>
        <w:t>CERTIFIED FOR PUBLICATION</w:t>
      </w:r>
    </w:p>
    <w:p w14:paraId="7647D509" w14:textId="77777777" w:rsidR="00DA7FB2" w:rsidRDefault="00DA7FB2" w:rsidP="00DA7FB2">
      <w:pPr>
        <w:jc w:val="center"/>
      </w:pPr>
    </w:p>
    <w:p w14:paraId="3CC4C3C3" w14:textId="77777777" w:rsidR="00DA7FB2" w:rsidRPr="00712178" w:rsidRDefault="00DA7FB2" w:rsidP="00DA7FB2">
      <w:pPr>
        <w:jc w:val="center"/>
      </w:pPr>
      <w:r w:rsidRPr="00712178">
        <w:t>IN THE COURT OF APPEAL OF THE STATE OF CALIFORNIA</w:t>
      </w:r>
    </w:p>
    <w:p w14:paraId="6396F5AA" w14:textId="77777777" w:rsidR="00DA7FB2" w:rsidRPr="00712178" w:rsidRDefault="00DA7FB2" w:rsidP="00DA7FB2">
      <w:pPr>
        <w:jc w:val="center"/>
      </w:pPr>
    </w:p>
    <w:p w14:paraId="315B7531" w14:textId="77777777" w:rsidR="00DA7FB2" w:rsidRPr="00712178" w:rsidRDefault="00DA7FB2" w:rsidP="00DA7FB2">
      <w:pPr>
        <w:jc w:val="center"/>
      </w:pPr>
      <w:r w:rsidRPr="00712178">
        <w:t>SECOND APPELLATE DISTRICT</w:t>
      </w:r>
    </w:p>
    <w:p w14:paraId="1CABAB00" w14:textId="77777777" w:rsidR="00DA7FB2" w:rsidRPr="00712178" w:rsidRDefault="00DA7FB2" w:rsidP="00DA7FB2">
      <w:pPr>
        <w:jc w:val="center"/>
      </w:pPr>
    </w:p>
    <w:p w14:paraId="00CBDC72" w14:textId="77777777" w:rsidR="00DA7FB2" w:rsidRPr="00712178" w:rsidRDefault="00DA7FB2" w:rsidP="00DA7FB2">
      <w:pPr>
        <w:jc w:val="center"/>
        <w:rPr>
          <w:rStyle w:val="FootnoteReference"/>
        </w:rPr>
      </w:pPr>
      <w:r w:rsidRPr="00712178">
        <w:t>DIVISION THREE</w:t>
      </w:r>
    </w:p>
    <w:p w14:paraId="27D4B2CB" w14:textId="77777777" w:rsidR="00DA7FB2" w:rsidRPr="00712178" w:rsidRDefault="00DA7FB2" w:rsidP="00DA7FB2">
      <w:pPr>
        <w:jc w:val="center"/>
      </w:pPr>
    </w:p>
    <w:tbl>
      <w:tblPr>
        <w:tblW w:w="0" w:type="auto"/>
        <w:tblLayout w:type="fixed"/>
        <w:tblLook w:val="0000" w:firstRow="0" w:lastRow="0" w:firstColumn="0" w:lastColumn="0" w:noHBand="0" w:noVBand="0"/>
      </w:tblPr>
      <w:tblGrid>
        <w:gridCol w:w="5040"/>
        <w:gridCol w:w="5040"/>
      </w:tblGrid>
      <w:tr w:rsidR="00DA7FB2" w:rsidRPr="00712178" w14:paraId="322F612F" w14:textId="77777777" w:rsidTr="000266E8">
        <w:tc>
          <w:tcPr>
            <w:tcW w:w="5040" w:type="dxa"/>
            <w:tcBorders>
              <w:bottom w:val="single" w:sz="6" w:space="0" w:color="auto"/>
              <w:right w:val="single" w:sz="6" w:space="0" w:color="auto"/>
            </w:tcBorders>
          </w:tcPr>
          <w:p w14:paraId="25DBE420" w14:textId="77777777" w:rsidR="00DA7FB2" w:rsidRPr="00712178" w:rsidRDefault="00DA7FB2" w:rsidP="000266E8">
            <w:r>
              <w:t>LOUIS ACOSTA</w:t>
            </w:r>
            <w:r w:rsidRPr="00712178">
              <w:t>,</w:t>
            </w:r>
          </w:p>
          <w:p w14:paraId="7FCB5E73" w14:textId="77777777" w:rsidR="00DA7FB2" w:rsidRPr="00712178" w:rsidRDefault="00DA7FB2" w:rsidP="000266E8"/>
          <w:p w14:paraId="37F35A86" w14:textId="77777777" w:rsidR="00DA7FB2" w:rsidRPr="00712178" w:rsidRDefault="00DA7FB2" w:rsidP="000266E8">
            <w:r w:rsidRPr="00712178">
              <w:tab/>
              <w:t>P</w:t>
            </w:r>
            <w:r>
              <w:t>laintiff and Respondent</w:t>
            </w:r>
            <w:r w:rsidRPr="00712178">
              <w:t>,</w:t>
            </w:r>
          </w:p>
          <w:p w14:paraId="0DE4A8C4" w14:textId="77777777" w:rsidR="00DA7FB2" w:rsidRPr="00712178" w:rsidRDefault="00DA7FB2" w:rsidP="000266E8"/>
          <w:p w14:paraId="182B11C4" w14:textId="77777777" w:rsidR="00DA7FB2" w:rsidRPr="0080349A" w:rsidRDefault="00DA7FB2" w:rsidP="000266E8">
            <w:pPr>
              <w:rPr>
                <w:lang w:val="es-ES"/>
              </w:rPr>
            </w:pPr>
            <w:r w:rsidRPr="00712178">
              <w:tab/>
            </w:r>
            <w:r w:rsidRPr="0080349A">
              <w:rPr>
                <w:lang w:val="es-ES"/>
              </w:rPr>
              <w:t>v.</w:t>
            </w:r>
          </w:p>
          <w:p w14:paraId="47554646" w14:textId="77777777" w:rsidR="00DA7FB2" w:rsidRPr="0080349A" w:rsidRDefault="00DA7FB2" w:rsidP="000266E8">
            <w:pPr>
              <w:rPr>
                <w:lang w:val="es-ES"/>
              </w:rPr>
            </w:pPr>
          </w:p>
          <w:p w14:paraId="2D75BC81" w14:textId="77777777" w:rsidR="00DA7FB2" w:rsidRPr="00E96DDB" w:rsidRDefault="00DA7FB2" w:rsidP="000266E8">
            <w:pPr>
              <w:rPr>
                <w:lang w:val="es-ES"/>
              </w:rPr>
            </w:pPr>
            <w:r w:rsidRPr="00E96DDB">
              <w:rPr>
                <w:lang w:val="es-ES"/>
              </w:rPr>
              <w:t>MAS REALTY, LLC, et al.,</w:t>
            </w:r>
          </w:p>
          <w:p w14:paraId="18CD68DF" w14:textId="77777777" w:rsidR="00DA7FB2" w:rsidRPr="00E96DDB" w:rsidRDefault="00DA7FB2" w:rsidP="000266E8">
            <w:pPr>
              <w:rPr>
                <w:lang w:val="es-ES"/>
              </w:rPr>
            </w:pPr>
          </w:p>
          <w:p w14:paraId="1B3CFBD8" w14:textId="77777777" w:rsidR="00DA7FB2" w:rsidRDefault="00DA7FB2" w:rsidP="000266E8">
            <w:r w:rsidRPr="00E96DDB">
              <w:rPr>
                <w:lang w:val="es-ES"/>
              </w:rPr>
              <w:tab/>
            </w:r>
            <w:r>
              <w:t xml:space="preserve">Defendants and </w:t>
            </w:r>
            <w:proofErr w:type="gramStart"/>
            <w:r>
              <w:t>Appellants;</w:t>
            </w:r>
            <w:proofErr w:type="gramEnd"/>
          </w:p>
          <w:p w14:paraId="0D96563A" w14:textId="77777777" w:rsidR="00DA7FB2" w:rsidRDefault="00DA7FB2" w:rsidP="000266E8"/>
          <w:p w14:paraId="5B76B0DB" w14:textId="77777777" w:rsidR="00DA7FB2" w:rsidRDefault="00DA7FB2" w:rsidP="000266E8">
            <w:r>
              <w:t>HORIZON LIGHTING, INC.,</w:t>
            </w:r>
          </w:p>
          <w:p w14:paraId="736BADD4" w14:textId="77777777" w:rsidR="00DA7FB2" w:rsidRDefault="00DA7FB2" w:rsidP="000266E8"/>
          <w:p w14:paraId="04F889EB" w14:textId="77777777" w:rsidR="00DA7FB2" w:rsidRDefault="00DA7FB2" w:rsidP="000266E8">
            <w:r>
              <w:tab/>
              <w:t>Cross-defendant and Respondent.</w:t>
            </w:r>
          </w:p>
          <w:p w14:paraId="4DCF9F10" w14:textId="77777777" w:rsidR="00DA7FB2" w:rsidRPr="00712178" w:rsidRDefault="00DA7FB2" w:rsidP="000266E8"/>
        </w:tc>
        <w:tc>
          <w:tcPr>
            <w:tcW w:w="5040" w:type="dxa"/>
            <w:tcBorders>
              <w:left w:val="nil"/>
            </w:tcBorders>
          </w:tcPr>
          <w:p w14:paraId="31160679" w14:textId="77777777" w:rsidR="00DA7FB2" w:rsidRPr="00712178" w:rsidRDefault="00DA7FB2" w:rsidP="000266E8">
            <w:pPr>
              <w:ind w:left="450"/>
            </w:pPr>
            <w:r>
              <w:t>B316420</w:t>
            </w:r>
          </w:p>
          <w:p w14:paraId="35032BBF" w14:textId="77777777" w:rsidR="00DA7FB2" w:rsidRPr="00712178" w:rsidRDefault="00DA7FB2" w:rsidP="000266E8"/>
          <w:p w14:paraId="55B2056B" w14:textId="77777777" w:rsidR="00DA7FB2" w:rsidRPr="00712178" w:rsidRDefault="00DA7FB2" w:rsidP="000266E8">
            <w:pPr>
              <w:ind w:firstLine="450"/>
            </w:pPr>
            <w:r w:rsidRPr="00712178">
              <w:t>(Los Angeles County</w:t>
            </w:r>
          </w:p>
          <w:p w14:paraId="2986BB34" w14:textId="77777777" w:rsidR="00DA7FB2" w:rsidRDefault="00DA7FB2" w:rsidP="000266E8">
            <w:pPr>
              <w:ind w:firstLine="450"/>
            </w:pPr>
            <w:r w:rsidRPr="00712178">
              <w:t>Super. Ct. No.</w:t>
            </w:r>
            <w:r>
              <w:t xml:space="preserve"> BC717512</w:t>
            </w:r>
            <w:r w:rsidRPr="00712178">
              <w:t>)</w:t>
            </w:r>
          </w:p>
          <w:p w14:paraId="30C891DC" w14:textId="77777777" w:rsidR="00DA7FB2" w:rsidRDefault="00DA7FB2" w:rsidP="000266E8">
            <w:pPr>
              <w:ind w:firstLine="450"/>
            </w:pPr>
          </w:p>
          <w:p w14:paraId="199061D7" w14:textId="77777777" w:rsidR="00DA7FB2" w:rsidRPr="00712178" w:rsidRDefault="00DA7FB2" w:rsidP="000266E8">
            <w:pPr>
              <w:ind w:left="432" w:firstLine="18"/>
            </w:pPr>
            <w:r>
              <w:t>ORDER MODIFYING AND CERTIFYING OPINION FOR PUBLICATION [NO CHANGE IN JUDGMENT]</w:t>
            </w:r>
          </w:p>
          <w:p w14:paraId="5306426E" w14:textId="77777777" w:rsidR="00DA7FB2" w:rsidRPr="00712178" w:rsidRDefault="00DA7FB2" w:rsidP="000266E8"/>
        </w:tc>
      </w:tr>
    </w:tbl>
    <w:p w14:paraId="5EB01F24" w14:textId="77777777" w:rsidR="00DA7FB2" w:rsidRPr="00712178" w:rsidRDefault="00DA7FB2" w:rsidP="00DA7FB2">
      <w:pPr>
        <w:spacing w:line="360" w:lineRule="auto"/>
      </w:pPr>
    </w:p>
    <w:p w14:paraId="25A78477" w14:textId="77777777" w:rsidR="00DA7FB2" w:rsidRDefault="00DA7FB2" w:rsidP="00DA7FB2">
      <w:r>
        <w:t>THE COURT:</w:t>
      </w:r>
    </w:p>
    <w:p w14:paraId="2691A1A6" w14:textId="77777777" w:rsidR="00DA7FB2" w:rsidRDefault="00DA7FB2" w:rsidP="00DA7FB2">
      <w:r w:rsidRPr="00712178">
        <w:tab/>
      </w:r>
      <w:r>
        <w:t>The opinion in the above-entitled matter filed on September 20, 2023, was not certified for publication in the Official Reports.  For good cause, it now appears that the opinion should be published in the Official Reports.</w:t>
      </w:r>
    </w:p>
    <w:p w14:paraId="3BF31DAB" w14:textId="77777777" w:rsidR="00DA7FB2" w:rsidRDefault="00DA7FB2" w:rsidP="00DA7FB2">
      <w:r>
        <w:lastRenderedPageBreak/>
        <w:tab/>
        <w:t xml:space="preserve">It is ordered that the opinion be modified as follows:  The final sentence on page 41 is omitted and replaced with the following:  </w:t>
      </w:r>
      <w:r w:rsidRPr="000A40AF">
        <w:t>And, a defense motion for summary judgment may be granted only if the plaintiff has not, or cannot, “substantiate[] the elements of his or her cause of action with evidence that, if believed, would justify a favorable verdict.”  (</w:t>
      </w:r>
      <w:r w:rsidRPr="000A40AF">
        <w:rPr>
          <w:i/>
          <w:iCs/>
        </w:rPr>
        <w:t>Kinsella v. Kinsella</w:t>
      </w:r>
      <w:r w:rsidRPr="000A40AF">
        <w:t xml:space="preserve"> (2020) 45 Cal.App.5th 442, 455.)</w:t>
      </w:r>
      <w:r>
        <w:t>”</w:t>
      </w:r>
    </w:p>
    <w:p w14:paraId="78C60415" w14:textId="77777777" w:rsidR="00DA7FB2" w:rsidRDefault="00DA7FB2" w:rsidP="00DA7FB2"/>
    <w:p w14:paraId="5F978719" w14:textId="77777777" w:rsidR="00DA7FB2" w:rsidRDefault="00DA7FB2" w:rsidP="00DA7FB2">
      <w:pPr>
        <w:ind w:firstLine="720"/>
      </w:pPr>
      <w:r>
        <w:t>[There is no change in judgment.]</w:t>
      </w:r>
    </w:p>
    <w:p w14:paraId="5326B275" w14:textId="77777777" w:rsidR="00DA7FB2" w:rsidRDefault="00DA7FB2" w:rsidP="00DA7FB2">
      <w:pPr>
        <w:ind w:firstLine="720"/>
      </w:pPr>
    </w:p>
    <w:p w14:paraId="0E990D52" w14:textId="77777777" w:rsidR="00DA7FB2" w:rsidRDefault="00DA7FB2" w:rsidP="00DA7FB2">
      <w:pPr>
        <w:ind w:firstLine="720"/>
      </w:pPr>
    </w:p>
    <w:p w14:paraId="20A0BBF6" w14:textId="77777777" w:rsidR="00DA7FB2" w:rsidRDefault="00DA7FB2" w:rsidP="00DA7FB2">
      <w:r>
        <w:t>____________________________________________________________</w:t>
      </w:r>
    </w:p>
    <w:p w14:paraId="5157968C" w14:textId="77777777" w:rsidR="00DA7FB2" w:rsidRDefault="00DA7FB2" w:rsidP="00DA7FB2">
      <w:r>
        <w:t>EDMON, P. J.</w:t>
      </w:r>
      <w:r>
        <w:tab/>
      </w:r>
      <w:r>
        <w:tab/>
        <w:t>LAVIN, J.</w:t>
      </w:r>
      <w:r>
        <w:tab/>
      </w:r>
      <w:r>
        <w:tab/>
        <w:t>EGERTON, J.</w:t>
      </w:r>
    </w:p>
    <w:p w14:paraId="0230F12B" w14:textId="77777777" w:rsidR="00F0045E" w:rsidRDefault="00F0045E" w:rsidP="005E5170"/>
    <w:sectPr w:rsidR="00F0045E" w:rsidSect="00CA1A5E">
      <w:footerReference w:type="default" r:id="rId10"/>
      <w:footerReference w:type="first" r:id="rId11"/>
      <w:pgSz w:w="12240" w:h="15840"/>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F13A" w14:textId="77777777" w:rsidR="00000000" w:rsidRDefault="003E2177">
      <w:pPr>
        <w:spacing w:line="240" w:lineRule="auto"/>
      </w:pPr>
      <w:r>
        <w:separator/>
      </w:r>
    </w:p>
  </w:endnote>
  <w:endnote w:type="continuationSeparator" w:id="0">
    <w:p w14:paraId="0230F13C" w14:textId="77777777" w:rsidR="00000000" w:rsidRDefault="003E2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30086"/>
      <w:docPartObj>
        <w:docPartGallery w:val="Page Numbers (Bottom of Page)"/>
        <w:docPartUnique/>
      </w:docPartObj>
    </w:sdtPr>
    <w:sdtEndPr>
      <w:rPr>
        <w:noProof/>
      </w:rPr>
    </w:sdtEndPr>
    <w:sdtContent>
      <w:p w14:paraId="0230F12F" w14:textId="77777777" w:rsidR="00CA1A5E" w:rsidRDefault="003E2177">
        <w:pPr>
          <w:pStyle w:val="Footer"/>
          <w:jc w:val="center"/>
        </w:pPr>
        <w:r>
          <w:fldChar w:fldCharType="begin"/>
        </w:r>
        <w:r>
          <w:instrText xml:space="preserve"> PAGE   \* MERGEFORMAT </w:instrText>
        </w:r>
        <w:r>
          <w:fldChar w:fldCharType="separate"/>
        </w:r>
        <w:r w:rsidR="00C83707">
          <w:rPr>
            <w:noProof/>
          </w:rPr>
          <w:t>2</w:t>
        </w:r>
        <w:r>
          <w:rPr>
            <w:noProof/>
          </w:rPr>
          <w:fldChar w:fldCharType="end"/>
        </w:r>
      </w:p>
    </w:sdtContent>
  </w:sdt>
  <w:p w14:paraId="0230F130" w14:textId="77777777" w:rsidR="007C5498" w:rsidRDefault="007C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F131" w14:textId="77777777" w:rsidR="00CA1A5E" w:rsidRDefault="00CA1A5E">
    <w:pPr>
      <w:pStyle w:val="Footer"/>
      <w:jc w:val="center"/>
    </w:pPr>
  </w:p>
  <w:p w14:paraId="0230F132" w14:textId="77777777" w:rsidR="007C5498" w:rsidRDefault="007C5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41746"/>
      <w:docPartObj>
        <w:docPartGallery w:val="Page Numbers (Bottom of Page)"/>
        <w:docPartUnique/>
      </w:docPartObj>
    </w:sdtPr>
    <w:sdtEndPr>
      <w:rPr>
        <w:noProof/>
      </w:rPr>
    </w:sdtEndPr>
    <w:sdtContent>
      <w:p w14:paraId="2F1E6842" w14:textId="77777777" w:rsidR="00CA1A5E" w:rsidRDefault="00CA1A5E">
        <w:pPr>
          <w:pStyle w:val="Footer"/>
          <w:jc w:val="center"/>
        </w:pPr>
        <w:r>
          <w:fldChar w:fldCharType="begin"/>
        </w:r>
        <w:r>
          <w:instrText xml:space="preserve"> PAGE   \* MERGEFORMAT </w:instrText>
        </w:r>
        <w:r>
          <w:fldChar w:fldCharType="separate"/>
        </w:r>
        <w:r w:rsidR="00C83707">
          <w:rPr>
            <w:noProof/>
          </w:rPr>
          <w:t>2</w:t>
        </w:r>
        <w:r>
          <w:rPr>
            <w:noProof/>
          </w:rPr>
          <w:fldChar w:fldCharType="end"/>
        </w:r>
      </w:p>
    </w:sdtContent>
  </w:sdt>
  <w:p w14:paraId="3C927EEC" w14:textId="77777777" w:rsidR="007C5498" w:rsidRDefault="007C54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D07" w14:textId="77777777" w:rsidR="00CA1A5E" w:rsidRDefault="00CA1A5E">
    <w:pPr>
      <w:pStyle w:val="Footer"/>
      <w:jc w:val="center"/>
    </w:pPr>
  </w:p>
  <w:p w14:paraId="656B4E07" w14:textId="77777777" w:rsidR="007C5498" w:rsidRDefault="007C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F12C" w14:textId="77777777" w:rsidR="009938CB" w:rsidRDefault="003E2177" w:rsidP="00032B4F">
      <w:pPr>
        <w:spacing w:line="240" w:lineRule="auto"/>
      </w:pPr>
      <w:r>
        <w:separator/>
      </w:r>
    </w:p>
  </w:footnote>
  <w:footnote w:type="continuationSeparator" w:id="0">
    <w:p w14:paraId="0230F12D" w14:textId="77777777" w:rsidR="009938CB" w:rsidRDefault="003E2177" w:rsidP="00032B4F">
      <w:pPr>
        <w:spacing w:line="240" w:lineRule="auto"/>
      </w:pPr>
      <w:r>
        <w:continuationSeparator/>
      </w:r>
    </w:p>
  </w:footnote>
  <w:footnote w:type="continuationNotice" w:id="1">
    <w:p w14:paraId="0230F12E" w14:textId="77777777" w:rsidR="009938CB" w:rsidRDefault="009938CB">
      <w:pPr>
        <w:spacing w:line="240" w:lineRule="auto"/>
      </w:pPr>
    </w:p>
  </w:footnote>
  <w:footnote w:id="2">
    <w:p w14:paraId="0230F137" w14:textId="77777777" w:rsidR="00AE4DD4" w:rsidRDefault="003E2177">
      <w:pPr>
        <w:pStyle w:val="FootnoteText"/>
      </w:pPr>
      <w:r>
        <w:rPr>
          <w:rStyle w:val="FootnoteReference"/>
        </w:rPr>
        <w:footnoteRef/>
      </w:r>
      <w:r>
        <w:t xml:space="preserve"> </w:t>
      </w:r>
      <w:r>
        <w:tab/>
      </w:r>
      <w:r w:rsidR="00D07314">
        <w:t xml:space="preserve">Horizon has represented that </w:t>
      </w:r>
      <w:r w:rsidR="00AA1324">
        <w:t xml:space="preserve">the </w:t>
      </w:r>
      <w:r w:rsidR="00344C4C">
        <w:t xml:space="preserve">trial on the </w:t>
      </w:r>
      <w:r w:rsidR="00AA1324">
        <w:t>cross-complaint was to begin after the completion of the personal injury trial</w:t>
      </w:r>
      <w:r w:rsidR="00282D22">
        <w:t xml:space="preserve">; </w:t>
      </w:r>
      <w:r w:rsidR="00344C4C">
        <w:t xml:space="preserve">it </w:t>
      </w:r>
      <w:r w:rsidR="00AA1324">
        <w:t>remains pending before the superior court.</w:t>
      </w:r>
    </w:p>
  </w:footnote>
  <w:footnote w:id="3">
    <w:p w14:paraId="0230F138" w14:textId="77777777" w:rsidR="00530736" w:rsidRPr="000C1E52" w:rsidRDefault="003E2177" w:rsidP="00AF703E">
      <w:pPr>
        <w:pStyle w:val="FootnoteText"/>
      </w:pPr>
      <w:r>
        <w:rPr>
          <w:rStyle w:val="FootnoteReference"/>
        </w:rPr>
        <w:footnoteRef/>
      </w:r>
      <w:r>
        <w:t xml:space="preserve"> </w:t>
      </w:r>
      <w:r w:rsidR="000C1E52">
        <w:tab/>
      </w:r>
      <w:proofErr w:type="spellStart"/>
      <w:r w:rsidR="000C1E52">
        <w:rPr>
          <w:i/>
          <w:iCs/>
        </w:rPr>
        <w:t>Tverberg</w:t>
      </w:r>
      <w:proofErr w:type="spellEnd"/>
      <w:r w:rsidR="000C1E52">
        <w:t xml:space="preserve"> </w:t>
      </w:r>
      <w:r w:rsidR="00E331D5">
        <w:t xml:space="preserve">was an action by </w:t>
      </w:r>
      <w:r w:rsidR="00F924DC">
        <w:t xml:space="preserve">the employee of a subcontractor hired to erect a metal canopy over fuel-pumping units </w:t>
      </w:r>
      <w:r w:rsidR="009F6293">
        <w:t>at</w:t>
      </w:r>
      <w:r w:rsidR="00F924DC">
        <w:t xml:space="preserve"> a commercial</w:t>
      </w:r>
      <w:r w:rsidR="000A4486">
        <w:t xml:space="preserve"> </w:t>
      </w:r>
      <w:r w:rsidR="00F924DC">
        <w:t xml:space="preserve">fuel facility.  The employee was injured </w:t>
      </w:r>
      <w:r w:rsidR="00932E2B">
        <w:t>when he fell in</w:t>
      </w:r>
      <w:r w:rsidR="002B7436">
        <w:t>to a</w:t>
      </w:r>
      <w:r w:rsidR="00932E2B">
        <w:t xml:space="preserve"> large hole dug to erect </w:t>
      </w:r>
      <w:r w:rsidR="009F6293">
        <w:t xml:space="preserve">a </w:t>
      </w:r>
      <w:r w:rsidR="002B7436">
        <w:t xml:space="preserve">concrete post called </w:t>
      </w:r>
      <w:r w:rsidR="009F6293">
        <w:t xml:space="preserve">a </w:t>
      </w:r>
      <w:r w:rsidR="00932E2B">
        <w:t>“bollard</w:t>
      </w:r>
      <w:r w:rsidR="002B7436">
        <w:t>.</w:t>
      </w:r>
      <w:r w:rsidR="00932E2B">
        <w:t xml:space="preserve">” </w:t>
      </w:r>
      <w:r w:rsidR="00AF703E">
        <w:t xml:space="preserve"> (</w:t>
      </w:r>
      <w:proofErr w:type="spellStart"/>
      <w:r w:rsidR="00AF703E" w:rsidRPr="00AF703E">
        <w:rPr>
          <w:i/>
          <w:iCs/>
        </w:rPr>
        <w:t>Tverberg</w:t>
      </w:r>
      <w:proofErr w:type="spellEnd"/>
      <w:r w:rsidR="009F6293">
        <w:t xml:space="preserve">, </w:t>
      </w:r>
      <w:r w:rsidR="009F6293">
        <w:rPr>
          <w:i/>
          <w:iCs/>
        </w:rPr>
        <w:t>supra</w:t>
      </w:r>
      <w:r w:rsidR="009F6293">
        <w:t>,</w:t>
      </w:r>
      <w:r w:rsidR="00AF703E" w:rsidRPr="00AF703E">
        <w:rPr>
          <w:i/>
          <w:iCs/>
        </w:rPr>
        <w:t xml:space="preserve"> </w:t>
      </w:r>
      <w:r w:rsidR="00AF703E">
        <w:t xml:space="preserve">49 Cal.4th </w:t>
      </w:r>
      <w:r w:rsidR="009F6293">
        <w:t>at p</w:t>
      </w:r>
      <w:r w:rsidR="005A3220">
        <w:t>p</w:t>
      </w:r>
      <w:r w:rsidR="009F6293">
        <w:t xml:space="preserve">. </w:t>
      </w:r>
      <w:r w:rsidR="00AF703E">
        <w:t>522</w:t>
      </w:r>
      <w:r w:rsidR="009F6293">
        <w:t>–523</w:t>
      </w:r>
      <w:r w:rsidR="00363C44">
        <w:t>.)</w:t>
      </w:r>
    </w:p>
  </w:footnote>
  <w:footnote w:id="4">
    <w:p w14:paraId="0230F139" w14:textId="77777777" w:rsidR="006D2D18" w:rsidRDefault="003E2177" w:rsidP="00790FEC">
      <w:pPr>
        <w:pStyle w:val="FootnoteText"/>
      </w:pPr>
      <w:r>
        <w:rPr>
          <w:rStyle w:val="FootnoteReference"/>
        </w:rPr>
        <w:footnoteRef/>
      </w:r>
      <w:r>
        <w:t xml:space="preserve"> </w:t>
      </w:r>
      <w:r>
        <w:tab/>
        <w:t xml:space="preserve">The court rejected plaintiff’s contention that the </w:t>
      </w:r>
      <w:r w:rsidR="005D101C">
        <w:t xml:space="preserve">warning was inadequate because it did not notify him that the extension ladder posed a safety hazard.  It explained:  </w:t>
      </w:r>
      <w:r w:rsidR="00805010">
        <w:t>“</w:t>
      </w:r>
      <w:r w:rsidR="00790FEC">
        <w:t xml:space="preserve">[T]he </w:t>
      </w:r>
      <w:proofErr w:type="gramStart"/>
      <w:r w:rsidR="00790FEC">
        <w:t>caution</w:t>
      </w:r>
      <w:proofErr w:type="gramEnd"/>
      <w:r w:rsidR="00790FEC">
        <w:t xml:space="preserve"> label states, ‘CAUTION.</w:t>
      </w:r>
      <w:r w:rsidR="004D5300">
        <w:t xml:space="preserve"> </w:t>
      </w:r>
      <w:r w:rsidR="00790FEC">
        <w:t xml:space="preserve"> THIS LADDER SECTION IS NOT DESIGNED FOR SEPARATE USE.’  To the extent Johnson suggests that the label must specifically warn of serious bodily injury, we disagree.”  (</w:t>
      </w:r>
      <w:r w:rsidR="00790FEC" w:rsidRPr="00790FEC">
        <w:rPr>
          <w:i/>
          <w:iCs/>
        </w:rPr>
        <w:t>Johnson</w:t>
      </w:r>
      <w:r w:rsidR="00790FEC">
        <w:t xml:space="preserve">, </w:t>
      </w:r>
      <w:r w:rsidR="00790FEC" w:rsidRPr="00790FEC">
        <w:rPr>
          <w:i/>
          <w:iCs/>
        </w:rPr>
        <w:t>supra</w:t>
      </w:r>
      <w:r w:rsidR="00790FEC">
        <w:t>, 33 Cal.App.5th at p. 632, fn. 10.)</w:t>
      </w:r>
    </w:p>
  </w:footnote>
  <w:footnote w:id="5">
    <w:p w14:paraId="0230F13A" w14:textId="77777777" w:rsidR="00FD559F" w:rsidRDefault="003E2177" w:rsidP="00FD559F">
      <w:pPr>
        <w:pStyle w:val="FootnoteText"/>
      </w:pPr>
      <w:r>
        <w:rPr>
          <w:rStyle w:val="FootnoteReference"/>
        </w:rPr>
        <w:footnoteRef/>
      </w:r>
      <w:r>
        <w:t xml:space="preserve"> </w:t>
      </w:r>
      <w:r>
        <w:tab/>
        <w:t>Because Acosta’s and Horizon’s interests are aligned for purposes</w:t>
      </w:r>
      <w:r>
        <w:t xml:space="preserve"> of this appeal, we will not distinguish between </w:t>
      </w:r>
      <w:r w:rsidR="00AD063E">
        <w:t>the appellate arguments made by each of them.</w:t>
      </w:r>
    </w:p>
  </w:footnote>
  <w:footnote w:id="6">
    <w:p w14:paraId="0230F13B" w14:textId="77777777" w:rsidR="002D33C5" w:rsidRDefault="003E2177" w:rsidP="001748DD">
      <w:pPr>
        <w:pStyle w:val="FootnoteText"/>
      </w:pPr>
      <w:r>
        <w:rPr>
          <w:rStyle w:val="FootnoteReference"/>
        </w:rPr>
        <w:footnoteRef/>
      </w:r>
      <w:r>
        <w:t xml:space="preserve"> </w:t>
      </w:r>
      <w:r>
        <w:tab/>
      </w:r>
      <w:r w:rsidR="00043F71">
        <w:t>Acosta</w:t>
      </w:r>
      <w:r>
        <w:t xml:space="preserve"> </w:t>
      </w:r>
      <w:r w:rsidR="00985238">
        <w:t xml:space="preserve">also contends that defendants </w:t>
      </w:r>
      <w:r w:rsidR="00D33EBF">
        <w:t xml:space="preserve">waived this issue because they </w:t>
      </w:r>
      <w:r w:rsidR="00985238">
        <w:t xml:space="preserve">withdrew their request that the </w:t>
      </w:r>
      <w:r w:rsidR="00161A2C">
        <w:t>trial court instruct the jury that Acosta had a duty to inspect</w:t>
      </w:r>
      <w:r w:rsidR="008D184D">
        <w:t xml:space="preserve">. </w:t>
      </w:r>
      <w:r w:rsidR="00125D09">
        <w:t xml:space="preserve"> </w:t>
      </w:r>
      <w:r w:rsidR="008D184D">
        <w:t>Not so.</w:t>
      </w:r>
      <w:r w:rsidR="009C2050">
        <w:t xml:space="preserve">  </w:t>
      </w:r>
      <w:r w:rsidR="009C2050" w:rsidRPr="009C2050">
        <w:t>“Generally, issues not raised in the trial court cannot be raised on appeal.  ‘</w:t>
      </w:r>
      <w:r w:rsidR="009C2050" w:rsidRPr="00D33EBF">
        <w:rPr>
          <w:i/>
          <w:iCs/>
        </w:rPr>
        <w:t>The contention that a judgment is not supported by substantial evidence, however, is an obvious exception to the rule</w:t>
      </w:r>
      <w:r w:rsidR="009C2050" w:rsidRPr="009C2050">
        <w:t>.’</w:t>
      </w:r>
      <w:r w:rsidR="00D33EBF">
        <w:t> </w:t>
      </w:r>
      <w:r w:rsidR="00F9175B">
        <w:t>”</w:t>
      </w:r>
      <w:r w:rsidR="009C2050" w:rsidRPr="009C2050">
        <w:t xml:space="preserve">  (</w:t>
      </w:r>
      <w:r w:rsidR="009C2050" w:rsidRPr="00F9175B">
        <w:rPr>
          <w:i/>
          <w:iCs/>
        </w:rPr>
        <w:t>In re Javier G</w:t>
      </w:r>
      <w:r w:rsidR="009C2050" w:rsidRPr="009C2050">
        <w:t>. (2006) 137 Cal.App.4th 453, 464</w:t>
      </w:r>
      <w:r w:rsidR="00F9175B">
        <w:t xml:space="preserve">, </w:t>
      </w:r>
      <w:r w:rsidR="00D33EBF">
        <w:t xml:space="preserve">italics added, </w:t>
      </w:r>
      <w:r w:rsidR="00F9175B">
        <w:t xml:space="preserve">quoting </w:t>
      </w:r>
      <w:r w:rsidR="00245913" w:rsidRPr="00245913">
        <w:rPr>
          <w:i/>
          <w:iCs/>
        </w:rPr>
        <w:t>Tahoe National Bank v. Phillips</w:t>
      </w:r>
      <w:r w:rsidR="00245913">
        <w:t xml:space="preserve"> (1971) 4 Cal.3d 11, 23, fn. 17</w:t>
      </w:r>
      <w:r w:rsidR="001748DD">
        <w:t xml:space="preserve">; see also </w:t>
      </w:r>
      <w:r w:rsidR="001748DD" w:rsidRPr="001748DD">
        <w:rPr>
          <w:i/>
          <w:iCs/>
        </w:rPr>
        <w:t>Kevin Q. v. Lauren W</w:t>
      </w:r>
      <w:r w:rsidR="001748DD">
        <w:t>. (2009) 175 Cal.App.4th 1119, 1136 [same]</w:t>
      </w:r>
      <w:r w:rsidR="00245913">
        <w:t>.)</w:t>
      </w:r>
      <w:r w:rsidR="001748DD">
        <w:t xml:space="preserve">  </w:t>
      </w:r>
      <w:r w:rsidR="00147E06">
        <w:t xml:space="preserve">Defendants’ withdrawal of their proposed jury instruction, therefore, did not forfeit their </w:t>
      </w:r>
      <w:r w:rsidR="006C66E0">
        <w:t>appellate contention that the judgment is not supported by substantial evidence.</w:t>
      </w:r>
    </w:p>
  </w:footnote>
  <w:footnote w:id="7">
    <w:p w14:paraId="0230F13C" w14:textId="77777777" w:rsidR="003978ED" w:rsidRDefault="003E2177" w:rsidP="003978ED">
      <w:pPr>
        <w:pStyle w:val="FootnoteText"/>
      </w:pPr>
      <w:r>
        <w:rPr>
          <w:rStyle w:val="FootnoteReference"/>
        </w:rPr>
        <w:footnoteRef/>
      </w:r>
      <w:r>
        <w:t xml:space="preserve"> </w:t>
      </w:r>
      <w:r>
        <w:tab/>
        <w:t xml:space="preserve">“The elements of a negligence </w:t>
      </w:r>
      <w:proofErr w:type="gramStart"/>
      <w:r>
        <w:t>claim</w:t>
      </w:r>
      <w:proofErr w:type="gramEnd"/>
      <w:r>
        <w:t xml:space="preserve"> and a premises liability claim are the same:</w:t>
      </w:r>
      <w:r w:rsidR="00E33A05">
        <w:t xml:space="preserve"> </w:t>
      </w:r>
      <w:r>
        <w:t xml:space="preserve"> a legal duty of care, breach of that duty, and proximate cause resulting in i</w:t>
      </w:r>
      <w:r>
        <w:t>njury.”  (</w:t>
      </w:r>
      <w:proofErr w:type="spellStart"/>
      <w:r w:rsidRPr="009D6BA7">
        <w:rPr>
          <w:i/>
          <w:iCs/>
        </w:rPr>
        <w:t>Kesner</w:t>
      </w:r>
      <w:proofErr w:type="spellEnd"/>
      <w:r w:rsidRPr="009D6BA7">
        <w:rPr>
          <w:i/>
          <w:iCs/>
        </w:rPr>
        <w:t xml:space="preserve"> v. Superior Court</w:t>
      </w:r>
      <w:r>
        <w:t xml:space="preserve"> (2016) 1 Cal.5th 1132, 1158.)</w:t>
      </w:r>
    </w:p>
  </w:footnote>
  <w:footnote w:id="8">
    <w:p w14:paraId="0230F13D" w14:textId="77777777" w:rsidR="006D1E00" w:rsidRPr="00840D5F" w:rsidRDefault="003E2177" w:rsidP="00DC12B6">
      <w:pPr>
        <w:pStyle w:val="FootnoteText"/>
      </w:pPr>
      <w:r>
        <w:rPr>
          <w:rStyle w:val="FootnoteReference"/>
        </w:rPr>
        <w:footnoteRef/>
      </w:r>
      <w:r>
        <w:t xml:space="preserve"> </w:t>
      </w:r>
      <w:r>
        <w:tab/>
        <w:t xml:space="preserve">Although not relevant to our analysis, we note that </w:t>
      </w:r>
      <w:r w:rsidR="00FB7EC7">
        <w:t xml:space="preserve">the trial court </w:t>
      </w:r>
      <w:r w:rsidR="00746AE0">
        <w:t xml:space="preserve">instructed the jury on </w:t>
      </w:r>
      <w:r w:rsidR="00E84F0F">
        <w:t>negligence</w:t>
      </w:r>
      <w:r w:rsidR="001B6B5C">
        <w:t xml:space="preserve"> (CACI </w:t>
      </w:r>
      <w:r w:rsidR="00340C96">
        <w:t xml:space="preserve">No. </w:t>
      </w:r>
      <w:r w:rsidR="001B6B5C">
        <w:t>400–</w:t>
      </w:r>
      <w:r w:rsidR="00C066FF">
        <w:t>411)</w:t>
      </w:r>
      <w:r w:rsidR="00351813">
        <w:t xml:space="preserve">, </w:t>
      </w:r>
      <w:r w:rsidR="0063059A">
        <w:t xml:space="preserve">landowners’ </w:t>
      </w:r>
      <w:r w:rsidR="001B6B5C">
        <w:t>nondelegable dut</w:t>
      </w:r>
      <w:r w:rsidR="0063059A">
        <w:t xml:space="preserve">ies </w:t>
      </w:r>
      <w:r w:rsidR="001B6B5C">
        <w:t xml:space="preserve"> (CACI </w:t>
      </w:r>
      <w:r w:rsidR="00293E83">
        <w:t xml:space="preserve">No. </w:t>
      </w:r>
      <w:r w:rsidR="001B6B5C">
        <w:t>3713)</w:t>
      </w:r>
      <w:r w:rsidR="00767BBD">
        <w:t xml:space="preserve">, and landowner liability to employees of independent contractors for unsafe concealed conditions under </w:t>
      </w:r>
      <w:proofErr w:type="spellStart"/>
      <w:r w:rsidR="00767BBD">
        <w:rPr>
          <w:i/>
          <w:iCs/>
        </w:rPr>
        <w:t>Privette</w:t>
      </w:r>
      <w:proofErr w:type="spellEnd"/>
      <w:r w:rsidR="00767BBD">
        <w:rPr>
          <w:i/>
          <w:iCs/>
        </w:rPr>
        <w:t>/Kinsman</w:t>
      </w:r>
      <w:r w:rsidR="00767BBD">
        <w:t xml:space="preserve"> (CACI </w:t>
      </w:r>
      <w:r w:rsidR="00293E83">
        <w:t>No. </w:t>
      </w:r>
      <w:r w:rsidR="00767BBD">
        <w:t>1009A)</w:t>
      </w:r>
      <w:r w:rsidR="00E84F0F">
        <w:t>.</w:t>
      </w:r>
      <w:r w:rsidR="0084239D">
        <w:t xml:space="preserve"> </w:t>
      </w:r>
      <w:r w:rsidR="00E84F0F">
        <w:t xml:space="preserve"> In other words, the jury </w:t>
      </w:r>
      <w:r w:rsidR="002260B6">
        <w:t xml:space="preserve">was instructed that </w:t>
      </w:r>
      <w:r w:rsidR="005641A3">
        <w:t>(1</w:t>
      </w:r>
      <w:r w:rsidR="00767BBD">
        <w:t>)</w:t>
      </w:r>
      <w:r w:rsidR="0032726A">
        <w:t> </w:t>
      </w:r>
      <w:r w:rsidR="000B38DF">
        <w:t>defendants were negligen</w:t>
      </w:r>
      <w:r w:rsidR="000439FE">
        <w:t>t</w:t>
      </w:r>
      <w:r w:rsidR="000B38DF">
        <w:t xml:space="preserve"> if they failed to use reasonable care to prevent harm to </w:t>
      </w:r>
      <w:r w:rsidR="000439FE">
        <w:t xml:space="preserve">Acosta, </w:t>
      </w:r>
      <w:r w:rsidR="00E77D5D">
        <w:t>(2)</w:t>
      </w:r>
      <w:r w:rsidR="001B2C98">
        <w:t xml:space="preserve"> MAS had a nondelegable duty to keep A</w:t>
      </w:r>
      <w:r w:rsidR="00617D15">
        <w:t xml:space="preserve">rlington Plaza in a safe condition, </w:t>
      </w:r>
      <w:r w:rsidR="00617D15">
        <w:rPr>
          <w:i/>
          <w:iCs/>
        </w:rPr>
        <w:t>and</w:t>
      </w:r>
      <w:r w:rsidR="00617D15">
        <w:t xml:space="preserve"> (3) </w:t>
      </w:r>
      <w:r w:rsidR="00C91189">
        <w:t xml:space="preserve">defendants could be liable to Acosta only if they knew or reasonably should have known of </w:t>
      </w:r>
      <w:r w:rsidR="00A97992">
        <w:t>a</w:t>
      </w:r>
      <w:r w:rsidR="006067B2">
        <w:t>n</w:t>
      </w:r>
      <w:r w:rsidR="00A97992">
        <w:t xml:space="preserve"> unsafe concealed condition </w:t>
      </w:r>
      <w:r w:rsidR="006067B2">
        <w:t>at Arlington Plaza</w:t>
      </w:r>
      <w:r w:rsidR="00A97992">
        <w:t>, and Horizon neither knew nor reasonably could be expected to know of th</w:t>
      </w:r>
      <w:r w:rsidR="006067B2">
        <w:t>at</w:t>
      </w:r>
      <w:r w:rsidR="00A97992">
        <w:t xml:space="preserve"> </w:t>
      </w:r>
      <w:r w:rsidR="00D654EC">
        <w:t xml:space="preserve">unsafe concealed condition. </w:t>
      </w:r>
      <w:r w:rsidR="00DC12B6">
        <w:t xml:space="preserve"> The jury was not </w:t>
      </w:r>
      <w:r w:rsidR="00037BAD">
        <w:t xml:space="preserve">told how the separate concepts of negligence, nondelegable duty, and peculiar risk relate to one another for purposes of determining defendants’ liability, and </w:t>
      </w:r>
      <w:r w:rsidR="00D9062F">
        <w:t xml:space="preserve">the CACI use notes do not appear to give trial courts any guidance about whether negligence and/or nondelegable duty instructions should be given in peculiar risk cases.  </w:t>
      </w:r>
      <w:r w:rsidR="00671F3C">
        <w:t xml:space="preserve">Further, CACI </w:t>
      </w:r>
      <w:r w:rsidR="0032726A">
        <w:t xml:space="preserve">No. </w:t>
      </w:r>
      <w:r w:rsidR="00671F3C">
        <w:t xml:space="preserve">1009A does not </w:t>
      </w:r>
      <w:r w:rsidR="00BE586C">
        <w:t xml:space="preserve">include a description of the independent contractor’s duty to </w:t>
      </w:r>
      <w:r w:rsidR="00784EC1">
        <w:t>inspect for safety issues</w:t>
      </w:r>
      <w:r w:rsidR="00D1547F">
        <w:t xml:space="preserve">, as described in </w:t>
      </w:r>
      <w:r w:rsidR="00BC5468">
        <w:rPr>
          <w:i/>
          <w:iCs/>
        </w:rPr>
        <w:t>Kinsman</w:t>
      </w:r>
      <w:r w:rsidR="00BC5468">
        <w:t xml:space="preserve">, </w:t>
      </w:r>
      <w:r w:rsidR="00C357E4">
        <w:rPr>
          <w:i/>
          <w:iCs/>
        </w:rPr>
        <w:t>Gonzalez</w:t>
      </w:r>
      <w:r w:rsidR="00C357E4">
        <w:t>,</w:t>
      </w:r>
      <w:r w:rsidR="00FA54E8">
        <w:t xml:space="preserve"> </w:t>
      </w:r>
      <w:r w:rsidR="00FA54E8">
        <w:rPr>
          <w:i/>
          <w:iCs/>
        </w:rPr>
        <w:t>Johnson</w:t>
      </w:r>
      <w:r w:rsidR="00FA54E8">
        <w:t xml:space="preserve">, and </w:t>
      </w:r>
      <w:r w:rsidR="00FA54E8">
        <w:rPr>
          <w:i/>
          <w:iCs/>
        </w:rPr>
        <w:t>Blaylock</w:t>
      </w:r>
      <w:r w:rsidR="00FA54E8">
        <w:t>.</w:t>
      </w:r>
      <w:r w:rsidR="00C357E4">
        <w:t xml:space="preserve"> </w:t>
      </w:r>
      <w:r w:rsidR="00BC5468">
        <w:rPr>
          <w:i/>
          <w:iCs/>
        </w:rPr>
        <w:t xml:space="preserve"> </w:t>
      </w:r>
      <w:r w:rsidR="00E9223B">
        <w:t xml:space="preserve">We urge the </w:t>
      </w:r>
      <w:r w:rsidR="003E4044" w:rsidRPr="003E4044">
        <w:t xml:space="preserve">Judicial Council and its Advisory Committee on Civil Jury Instructions </w:t>
      </w:r>
      <w:r w:rsidR="003E4044">
        <w:t xml:space="preserve">to consider </w:t>
      </w:r>
      <w:r w:rsidR="00C74EC9">
        <w:t>CACI</w:t>
      </w:r>
      <w:r w:rsidR="00560544">
        <w:t xml:space="preserve"> No.</w:t>
      </w:r>
      <w:r w:rsidR="00C74EC9">
        <w:t> 1009A</w:t>
      </w:r>
      <w:r w:rsidR="003E4044">
        <w:t xml:space="preserve"> </w:t>
      </w:r>
      <w:r w:rsidR="009A7935">
        <w:t xml:space="preserve">and its use notes </w:t>
      </w:r>
      <w:proofErr w:type="gramStart"/>
      <w:r w:rsidR="00C74EC9">
        <w:t>in light of</w:t>
      </w:r>
      <w:proofErr w:type="gramEnd"/>
      <w:r w:rsidR="00A829BE">
        <w:t xml:space="preserve"> recent decision</w:t>
      </w:r>
      <w:r w:rsidR="009A7935">
        <w:t>s</w:t>
      </w:r>
      <w:r w:rsidR="00A829BE">
        <w:t xml:space="preserve">, including </w:t>
      </w:r>
      <w:r w:rsidR="00840D5F">
        <w:rPr>
          <w:i/>
          <w:iCs/>
        </w:rPr>
        <w:t>Gonzalez</w:t>
      </w:r>
      <w:r w:rsidR="004E3C36">
        <w:t xml:space="preserve">, </w:t>
      </w:r>
      <w:r w:rsidR="0063059A">
        <w:rPr>
          <w:i/>
          <w:iCs/>
        </w:rPr>
        <w:t>Johnson</w:t>
      </w:r>
      <w:r w:rsidR="00FA54E8">
        <w:t xml:space="preserve">, and </w:t>
      </w:r>
      <w:r w:rsidR="00FA54E8">
        <w:rPr>
          <w:i/>
          <w:iCs/>
        </w:rPr>
        <w:t>Blaylock</w:t>
      </w:r>
      <w:r w:rsidR="0063059A">
        <w:rPr>
          <w:i/>
          <w:iCs/>
        </w:rPr>
        <w:t>.</w:t>
      </w:r>
      <w:r w:rsidR="00771BD4">
        <w:t xml:space="preserve">  </w:t>
      </w:r>
    </w:p>
  </w:footnote>
  <w:footnote w:id="9">
    <w:p w14:paraId="0230F13E" w14:textId="77777777" w:rsidR="003F5467" w:rsidRDefault="003E2177">
      <w:pPr>
        <w:pStyle w:val="FootnoteText"/>
      </w:pPr>
      <w:r>
        <w:rPr>
          <w:rStyle w:val="FootnoteReference"/>
        </w:rPr>
        <w:footnoteRef/>
      </w:r>
      <w:r>
        <w:t xml:space="preserve"> </w:t>
      </w:r>
      <w:r>
        <w:tab/>
      </w:r>
      <w:r w:rsidRPr="003F5467">
        <w:t xml:space="preserve">Having so concluded, we need not consider </w:t>
      </w:r>
      <w:r w:rsidR="007A208E">
        <w:t xml:space="preserve">defendants’ other contentions, including </w:t>
      </w:r>
      <w:r w:rsidR="00AD7FFC">
        <w:t>that</w:t>
      </w:r>
      <w:r w:rsidRPr="003F5467">
        <w:t xml:space="preserve"> substantial evidence </w:t>
      </w:r>
      <w:r w:rsidR="00AD7FFC">
        <w:t xml:space="preserve">did not </w:t>
      </w:r>
      <w:r w:rsidRPr="003F5467">
        <w:t>support the jury’s finding</w:t>
      </w:r>
      <w:r w:rsidR="00EF68E6">
        <w:t>s</w:t>
      </w:r>
      <w:r w:rsidRPr="003F5467">
        <w:t xml:space="preserve"> that defendants were aware of the hazard posed by the roof hatch</w:t>
      </w:r>
      <w:r w:rsidR="00AD7FFC">
        <w:t xml:space="preserve"> and that </w:t>
      </w:r>
      <w:r w:rsidRPr="003F5467">
        <w:t xml:space="preserve">defendants </w:t>
      </w:r>
      <w:r w:rsidR="00AD7FFC">
        <w:t xml:space="preserve">did not </w:t>
      </w:r>
      <w:r w:rsidRPr="003F5467">
        <w:t>fail to warn Horizon of the hazard</w:t>
      </w:r>
      <w:r w:rsidR="00346FE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67C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8AE8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7C04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A83D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8ADB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D2D5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8A2C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9AA5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58D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72D438"/>
    <w:lvl w:ilvl="0">
      <w:start w:val="1"/>
      <w:numFmt w:val="bullet"/>
      <w:lvlText w:val=""/>
      <w:lvlJc w:val="left"/>
      <w:pPr>
        <w:tabs>
          <w:tab w:val="num" w:pos="360"/>
        </w:tabs>
        <w:ind w:left="360" w:hanging="360"/>
      </w:pPr>
      <w:rPr>
        <w:rFonts w:ascii="Symbol" w:hAnsi="Symbol" w:hint="default"/>
      </w:rPr>
    </w:lvl>
  </w:abstractNum>
  <w:num w:numId="1" w16cid:durableId="1650399173">
    <w:abstractNumId w:val="9"/>
  </w:num>
  <w:num w:numId="2" w16cid:durableId="1018193396">
    <w:abstractNumId w:val="7"/>
  </w:num>
  <w:num w:numId="3" w16cid:durableId="405962036">
    <w:abstractNumId w:val="6"/>
  </w:num>
  <w:num w:numId="4" w16cid:durableId="1216235350">
    <w:abstractNumId w:val="5"/>
  </w:num>
  <w:num w:numId="5" w16cid:durableId="1035810725">
    <w:abstractNumId w:val="4"/>
  </w:num>
  <w:num w:numId="6" w16cid:durableId="1134372463">
    <w:abstractNumId w:val="8"/>
  </w:num>
  <w:num w:numId="7" w16cid:durableId="19429283">
    <w:abstractNumId w:val="3"/>
  </w:num>
  <w:num w:numId="8" w16cid:durableId="2105956513">
    <w:abstractNumId w:val="2"/>
  </w:num>
  <w:num w:numId="9" w16cid:durableId="1173572632">
    <w:abstractNumId w:val="1"/>
  </w:num>
  <w:num w:numId="10" w16cid:durableId="173081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4F"/>
    <w:rsid w:val="000013B8"/>
    <w:rsid w:val="00002620"/>
    <w:rsid w:val="00003DC3"/>
    <w:rsid w:val="00005F06"/>
    <w:rsid w:val="00007004"/>
    <w:rsid w:val="00011225"/>
    <w:rsid w:val="00011722"/>
    <w:rsid w:val="00013656"/>
    <w:rsid w:val="00014123"/>
    <w:rsid w:val="000141E8"/>
    <w:rsid w:val="00014787"/>
    <w:rsid w:val="00014BF9"/>
    <w:rsid w:val="00014E17"/>
    <w:rsid w:val="00015245"/>
    <w:rsid w:val="00017BB3"/>
    <w:rsid w:val="00017BE9"/>
    <w:rsid w:val="00021853"/>
    <w:rsid w:val="0002212D"/>
    <w:rsid w:val="00022395"/>
    <w:rsid w:val="0002270B"/>
    <w:rsid w:val="00022BD5"/>
    <w:rsid w:val="000253CB"/>
    <w:rsid w:val="000256EA"/>
    <w:rsid w:val="000266E8"/>
    <w:rsid w:val="00027130"/>
    <w:rsid w:val="00030E8E"/>
    <w:rsid w:val="000317EE"/>
    <w:rsid w:val="00032689"/>
    <w:rsid w:val="00032B4F"/>
    <w:rsid w:val="00032C62"/>
    <w:rsid w:val="00033CDA"/>
    <w:rsid w:val="0003526A"/>
    <w:rsid w:val="00035E63"/>
    <w:rsid w:val="0003637A"/>
    <w:rsid w:val="00037BAD"/>
    <w:rsid w:val="00037D32"/>
    <w:rsid w:val="00037D8F"/>
    <w:rsid w:val="000402BB"/>
    <w:rsid w:val="00040565"/>
    <w:rsid w:val="0004096D"/>
    <w:rsid w:val="00041B89"/>
    <w:rsid w:val="0004264B"/>
    <w:rsid w:val="000435D8"/>
    <w:rsid w:val="0004367A"/>
    <w:rsid w:val="000439FE"/>
    <w:rsid w:val="00043F71"/>
    <w:rsid w:val="00045856"/>
    <w:rsid w:val="00045B16"/>
    <w:rsid w:val="00045E47"/>
    <w:rsid w:val="00046062"/>
    <w:rsid w:val="00050738"/>
    <w:rsid w:val="000509FE"/>
    <w:rsid w:val="000524FD"/>
    <w:rsid w:val="000525C5"/>
    <w:rsid w:val="00052B55"/>
    <w:rsid w:val="000547D0"/>
    <w:rsid w:val="000604E7"/>
    <w:rsid w:val="00061A6F"/>
    <w:rsid w:val="0006263C"/>
    <w:rsid w:val="0006450D"/>
    <w:rsid w:val="00064D41"/>
    <w:rsid w:val="00065275"/>
    <w:rsid w:val="0006577B"/>
    <w:rsid w:val="00065CCE"/>
    <w:rsid w:val="00066A18"/>
    <w:rsid w:val="00066AC4"/>
    <w:rsid w:val="00066C7B"/>
    <w:rsid w:val="000670F8"/>
    <w:rsid w:val="00070275"/>
    <w:rsid w:val="0007128C"/>
    <w:rsid w:val="00071B59"/>
    <w:rsid w:val="00073241"/>
    <w:rsid w:val="00073BDA"/>
    <w:rsid w:val="0007445C"/>
    <w:rsid w:val="00074FD7"/>
    <w:rsid w:val="00075719"/>
    <w:rsid w:val="00077BA8"/>
    <w:rsid w:val="00080C20"/>
    <w:rsid w:val="00081CF8"/>
    <w:rsid w:val="00082AAD"/>
    <w:rsid w:val="00083493"/>
    <w:rsid w:val="00084278"/>
    <w:rsid w:val="00087148"/>
    <w:rsid w:val="0008750F"/>
    <w:rsid w:val="000877D5"/>
    <w:rsid w:val="0009000F"/>
    <w:rsid w:val="00090926"/>
    <w:rsid w:val="00090C9D"/>
    <w:rsid w:val="0009224A"/>
    <w:rsid w:val="0009277E"/>
    <w:rsid w:val="00092A62"/>
    <w:rsid w:val="00092ABD"/>
    <w:rsid w:val="00093849"/>
    <w:rsid w:val="000978CE"/>
    <w:rsid w:val="00097A0C"/>
    <w:rsid w:val="00097A23"/>
    <w:rsid w:val="000A0FFB"/>
    <w:rsid w:val="000A1D97"/>
    <w:rsid w:val="000A2764"/>
    <w:rsid w:val="000A2DBC"/>
    <w:rsid w:val="000A4486"/>
    <w:rsid w:val="000A4710"/>
    <w:rsid w:val="000A4D52"/>
    <w:rsid w:val="000A5A9D"/>
    <w:rsid w:val="000A6AC5"/>
    <w:rsid w:val="000A71BE"/>
    <w:rsid w:val="000A7590"/>
    <w:rsid w:val="000A7B0A"/>
    <w:rsid w:val="000B0F10"/>
    <w:rsid w:val="000B2B36"/>
    <w:rsid w:val="000B31AD"/>
    <w:rsid w:val="000B3657"/>
    <w:rsid w:val="000B38DF"/>
    <w:rsid w:val="000B4690"/>
    <w:rsid w:val="000B4750"/>
    <w:rsid w:val="000B63D7"/>
    <w:rsid w:val="000B6815"/>
    <w:rsid w:val="000B68E1"/>
    <w:rsid w:val="000B705B"/>
    <w:rsid w:val="000B735D"/>
    <w:rsid w:val="000C0A91"/>
    <w:rsid w:val="000C1E52"/>
    <w:rsid w:val="000C3774"/>
    <w:rsid w:val="000C3A2A"/>
    <w:rsid w:val="000C3BB6"/>
    <w:rsid w:val="000C45F3"/>
    <w:rsid w:val="000C5B1B"/>
    <w:rsid w:val="000C6B4D"/>
    <w:rsid w:val="000C7D7E"/>
    <w:rsid w:val="000D039E"/>
    <w:rsid w:val="000D0629"/>
    <w:rsid w:val="000D0849"/>
    <w:rsid w:val="000D1D3E"/>
    <w:rsid w:val="000D3F3D"/>
    <w:rsid w:val="000D4A21"/>
    <w:rsid w:val="000D4C75"/>
    <w:rsid w:val="000D53C5"/>
    <w:rsid w:val="000D5D19"/>
    <w:rsid w:val="000D6F67"/>
    <w:rsid w:val="000D75DD"/>
    <w:rsid w:val="000E05C5"/>
    <w:rsid w:val="000E0953"/>
    <w:rsid w:val="000E3BF1"/>
    <w:rsid w:val="000E4815"/>
    <w:rsid w:val="000E5BE6"/>
    <w:rsid w:val="000E60E4"/>
    <w:rsid w:val="000E644D"/>
    <w:rsid w:val="000E7BAF"/>
    <w:rsid w:val="000F1A45"/>
    <w:rsid w:val="000F1D21"/>
    <w:rsid w:val="000F2D46"/>
    <w:rsid w:val="000F36FC"/>
    <w:rsid w:val="000F4393"/>
    <w:rsid w:val="000F507E"/>
    <w:rsid w:val="000F5753"/>
    <w:rsid w:val="001002FC"/>
    <w:rsid w:val="0010063C"/>
    <w:rsid w:val="001008ED"/>
    <w:rsid w:val="00101177"/>
    <w:rsid w:val="00101610"/>
    <w:rsid w:val="00102610"/>
    <w:rsid w:val="0010277B"/>
    <w:rsid w:val="001031A9"/>
    <w:rsid w:val="00103E45"/>
    <w:rsid w:val="00104CF1"/>
    <w:rsid w:val="0010605F"/>
    <w:rsid w:val="00106903"/>
    <w:rsid w:val="00110EFF"/>
    <w:rsid w:val="00111499"/>
    <w:rsid w:val="00111932"/>
    <w:rsid w:val="00112598"/>
    <w:rsid w:val="00112821"/>
    <w:rsid w:val="00112F12"/>
    <w:rsid w:val="001142E7"/>
    <w:rsid w:val="00114401"/>
    <w:rsid w:val="001144EE"/>
    <w:rsid w:val="00116452"/>
    <w:rsid w:val="00122908"/>
    <w:rsid w:val="00125D09"/>
    <w:rsid w:val="00125D59"/>
    <w:rsid w:val="00126402"/>
    <w:rsid w:val="00126838"/>
    <w:rsid w:val="00126970"/>
    <w:rsid w:val="00126ED2"/>
    <w:rsid w:val="001303EA"/>
    <w:rsid w:val="00131B0B"/>
    <w:rsid w:val="001320EE"/>
    <w:rsid w:val="001333CB"/>
    <w:rsid w:val="001336FA"/>
    <w:rsid w:val="001339C6"/>
    <w:rsid w:val="00133C41"/>
    <w:rsid w:val="00135076"/>
    <w:rsid w:val="001366E5"/>
    <w:rsid w:val="0013728C"/>
    <w:rsid w:val="00140448"/>
    <w:rsid w:val="001404DD"/>
    <w:rsid w:val="0014084B"/>
    <w:rsid w:val="00140B47"/>
    <w:rsid w:val="00140E77"/>
    <w:rsid w:val="001410C1"/>
    <w:rsid w:val="00142203"/>
    <w:rsid w:val="00143B62"/>
    <w:rsid w:val="00143D59"/>
    <w:rsid w:val="00144A77"/>
    <w:rsid w:val="001470C1"/>
    <w:rsid w:val="001479AC"/>
    <w:rsid w:val="00147E06"/>
    <w:rsid w:val="00150067"/>
    <w:rsid w:val="001513BE"/>
    <w:rsid w:val="00152819"/>
    <w:rsid w:val="00152BC4"/>
    <w:rsid w:val="00154460"/>
    <w:rsid w:val="001549AB"/>
    <w:rsid w:val="00155CE5"/>
    <w:rsid w:val="001571C9"/>
    <w:rsid w:val="00157510"/>
    <w:rsid w:val="00157ED7"/>
    <w:rsid w:val="00160CB2"/>
    <w:rsid w:val="00160F49"/>
    <w:rsid w:val="0016117D"/>
    <w:rsid w:val="00161A2C"/>
    <w:rsid w:val="00161BB0"/>
    <w:rsid w:val="001620BF"/>
    <w:rsid w:val="0016317B"/>
    <w:rsid w:val="00164F13"/>
    <w:rsid w:val="0016584A"/>
    <w:rsid w:val="00165DD9"/>
    <w:rsid w:val="00167697"/>
    <w:rsid w:val="00171D6B"/>
    <w:rsid w:val="0017310E"/>
    <w:rsid w:val="00173358"/>
    <w:rsid w:val="001737A1"/>
    <w:rsid w:val="00173D49"/>
    <w:rsid w:val="00173E23"/>
    <w:rsid w:val="001748B1"/>
    <w:rsid w:val="001748DD"/>
    <w:rsid w:val="00175031"/>
    <w:rsid w:val="0017544D"/>
    <w:rsid w:val="001759EF"/>
    <w:rsid w:val="00175FFC"/>
    <w:rsid w:val="00177D81"/>
    <w:rsid w:val="00180274"/>
    <w:rsid w:val="00181615"/>
    <w:rsid w:val="00181D98"/>
    <w:rsid w:val="00182032"/>
    <w:rsid w:val="0018271B"/>
    <w:rsid w:val="00185544"/>
    <w:rsid w:val="00186A66"/>
    <w:rsid w:val="001872FF"/>
    <w:rsid w:val="00192CEB"/>
    <w:rsid w:val="00193003"/>
    <w:rsid w:val="001936E1"/>
    <w:rsid w:val="00194E99"/>
    <w:rsid w:val="00195E81"/>
    <w:rsid w:val="001A00E9"/>
    <w:rsid w:val="001A0481"/>
    <w:rsid w:val="001A1A2A"/>
    <w:rsid w:val="001A1B79"/>
    <w:rsid w:val="001A1EE2"/>
    <w:rsid w:val="001A23CD"/>
    <w:rsid w:val="001A3DDA"/>
    <w:rsid w:val="001A44DD"/>
    <w:rsid w:val="001A485D"/>
    <w:rsid w:val="001B033F"/>
    <w:rsid w:val="001B04B6"/>
    <w:rsid w:val="001B22CE"/>
    <w:rsid w:val="001B2915"/>
    <w:rsid w:val="001B2C98"/>
    <w:rsid w:val="001B2F00"/>
    <w:rsid w:val="001B3E29"/>
    <w:rsid w:val="001B5EB7"/>
    <w:rsid w:val="001B5F15"/>
    <w:rsid w:val="001B6430"/>
    <w:rsid w:val="001B6935"/>
    <w:rsid w:val="001B6B5C"/>
    <w:rsid w:val="001B7886"/>
    <w:rsid w:val="001C0277"/>
    <w:rsid w:val="001C07E0"/>
    <w:rsid w:val="001C0DE6"/>
    <w:rsid w:val="001C100F"/>
    <w:rsid w:val="001C166B"/>
    <w:rsid w:val="001C2EC8"/>
    <w:rsid w:val="001C43D7"/>
    <w:rsid w:val="001C5204"/>
    <w:rsid w:val="001C75F8"/>
    <w:rsid w:val="001C7E63"/>
    <w:rsid w:val="001D06C4"/>
    <w:rsid w:val="001D08D3"/>
    <w:rsid w:val="001D0AB4"/>
    <w:rsid w:val="001D1762"/>
    <w:rsid w:val="001D2256"/>
    <w:rsid w:val="001D242F"/>
    <w:rsid w:val="001D29E1"/>
    <w:rsid w:val="001D3B49"/>
    <w:rsid w:val="001D4C3A"/>
    <w:rsid w:val="001D4DB5"/>
    <w:rsid w:val="001D62E2"/>
    <w:rsid w:val="001D6ABA"/>
    <w:rsid w:val="001D706B"/>
    <w:rsid w:val="001D7626"/>
    <w:rsid w:val="001E0838"/>
    <w:rsid w:val="001E0D3A"/>
    <w:rsid w:val="001E1478"/>
    <w:rsid w:val="001E2C47"/>
    <w:rsid w:val="001E2F93"/>
    <w:rsid w:val="001E34BB"/>
    <w:rsid w:val="001E380A"/>
    <w:rsid w:val="001E4E05"/>
    <w:rsid w:val="001E5498"/>
    <w:rsid w:val="001E5ACA"/>
    <w:rsid w:val="001E6082"/>
    <w:rsid w:val="001E6B18"/>
    <w:rsid w:val="001E7CF7"/>
    <w:rsid w:val="001E7F6C"/>
    <w:rsid w:val="001F067D"/>
    <w:rsid w:val="001F1B6B"/>
    <w:rsid w:val="001F26EC"/>
    <w:rsid w:val="001F3049"/>
    <w:rsid w:val="001F5375"/>
    <w:rsid w:val="001F5B92"/>
    <w:rsid w:val="001F5CCF"/>
    <w:rsid w:val="001F5D37"/>
    <w:rsid w:val="001F5E46"/>
    <w:rsid w:val="001F69A0"/>
    <w:rsid w:val="001F73F9"/>
    <w:rsid w:val="001F743D"/>
    <w:rsid w:val="00200312"/>
    <w:rsid w:val="00200EB7"/>
    <w:rsid w:val="002019FD"/>
    <w:rsid w:val="00201C18"/>
    <w:rsid w:val="00202815"/>
    <w:rsid w:val="00202C6F"/>
    <w:rsid w:val="00203669"/>
    <w:rsid w:val="00203FEE"/>
    <w:rsid w:val="00204608"/>
    <w:rsid w:val="002054A8"/>
    <w:rsid w:val="00205D3F"/>
    <w:rsid w:val="002071F0"/>
    <w:rsid w:val="002078E6"/>
    <w:rsid w:val="002106F3"/>
    <w:rsid w:val="0021098C"/>
    <w:rsid w:val="0021118D"/>
    <w:rsid w:val="00211521"/>
    <w:rsid w:val="00211B0F"/>
    <w:rsid w:val="00211FA1"/>
    <w:rsid w:val="00212949"/>
    <w:rsid w:val="00212B0D"/>
    <w:rsid w:val="0021369C"/>
    <w:rsid w:val="00217AE1"/>
    <w:rsid w:val="00220E0C"/>
    <w:rsid w:val="002222A4"/>
    <w:rsid w:val="00222794"/>
    <w:rsid w:val="0022399D"/>
    <w:rsid w:val="00225249"/>
    <w:rsid w:val="00225F08"/>
    <w:rsid w:val="002260B6"/>
    <w:rsid w:val="0022714A"/>
    <w:rsid w:val="00227544"/>
    <w:rsid w:val="0022785D"/>
    <w:rsid w:val="00231182"/>
    <w:rsid w:val="00231998"/>
    <w:rsid w:val="00232298"/>
    <w:rsid w:val="00232EA9"/>
    <w:rsid w:val="00234491"/>
    <w:rsid w:val="00234979"/>
    <w:rsid w:val="00234E56"/>
    <w:rsid w:val="00235202"/>
    <w:rsid w:val="00237823"/>
    <w:rsid w:val="00240C4F"/>
    <w:rsid w:val="00241E3A"/>
    <w:rsid w:val="00242B46"/>
    <w:rsid w:val="00243D0C"/>
    <w:rsid w:val="00243EE6"/>
    <w:rsid w:val="00245913"/>
    <w:rsid w:val="00245D00"/>
    <w:rsid w:val="00245E58"/>
    <w:rsid w:val="00250646"/>
    <w:rsid w:val="00253566"/>
    <w:rsid w:val="00253ED9"/>
    <w:rsid w:val="0025442C"/>
    <w:rsid w:val="00254B11"/>
    <w:rsid w:val="00255811"/>
    <w:rsid w:val="00255864"/>
    <w:rsid w:val="00256342"/>
    <w:rsid w:val="00256FCC"/>
    <w:rsid w:val="0025762E"/>
    <w:rsid w:val="00257C20"/>
    <w:rsid w:val="00257CA6"/>
    <w:rsid w:val="00257D10"/>
    <w:rsid w:val="00257F27"/>
    <w:rsid w:val="00257F39"/>
    <w:rsid w:val="00260E1F"/>
    <w:rsid w:val="002612E2"/>
    <w:rsid w:val="00261D64"/>
    <w:rsid w:val="00262A49"/>
    <w:rsid w:val="00263694"/>
    <w:rsid w:val="002654F3"/>
    <w:rsid w:val="002658B7"/>
    <w:rsid w:val="0026590E"/>
    <w:rsid w:val="00265AD4"/>
    <w:rsid w:val="002665E8"/>
    <w:rsid w:val="00266816"/>
    <w:rsid w:val="00266BBD"/>
    <w:rsid w:val="00266E64"/>
    <w:rsid w:val="00267EF1"/>
    <w:rsid w:val="00270349"/>
    <w:rsid w:val="00272173"/>
    <w:rsid w:val="00272FEE"/>
    <w:rsid w:val="002735D1"/>
    <w:rsid w:val="00273633"/>
    <w:rsid w:val="00273927"/>
    <w:rsid w:val="00273EBE"/>
    <w:rsid w:val="002744E2"/>
    <w:rsid w:val="00274D1F"/>
    <w:rsid w:val="002759CB"/>
    <w:rsid w:val="00277D05"/>
    <w:rsid w:val="00280DB2"/>
    <w:rsid w:val="00282D22"/>
    <w:rsid w:val="00282F9A"/>
    <w:rsid w:val="00283657"/>
    <w:rsid w:val="00283E0F"/>
    <w:rsid w:val="002844F9"/>
    <w:rsid w:val="002851D9"/>
    <w:rsid w:val="00286C38"/>
    <w:rsid w:val="00286D58"/>
    <w:rsid w:val="002914C1"/>
    <w:rsid w:val="00291D9D"/>
    <w:rsid w:val="00291E1D"/>
    <w:rsid w:val="00292653"/>
    <w:rsid w:val="00292716"/>
    <w:rsid w:val="00293CE0"/>
    <w:rsid w:val="00293E83"/>
    <w:rsid w:val="002A092E"/>
    <w:rsid w:val="002A1947"/>
    <w:rsid w:val="002A1EE4"/>
    <w:rsid w:val="002A29E6"/>
    <w:rsid w:val="002A3A7D"/>
    <w:rsid w:val="002A499A"/>
    <w:rsid w:val="002A4D5A"/>
    <w:rsid w:val="002A5566"/>
    <w:rsid w:val="002A7723"/>
    <w:rsid w:val="002B0467"/>
    <w:rsid w:val="002B1B1E"/>
    <w:rsid w:val="002B367E"/>
    <w:rsid w:val="002B3E5B"/>
    <w:rsid w:val="002B6189"/>
    <w:rsid w:val="002B7436"/>
    <w:rsid w:val="002C1579"/>
    <w:rsid w:val="002C2893"/>
    <w:rsid w:val="002C37E9"/>
    <w:rsid w:val="002C63C0"/>
    <w:rsid w:val="002C752D"/>
    <w:rsid w:val="002D030B"/>
    <w:rsid w:val="002D0D63"/>
    <w:rsid w:val="002D1730"/>
    <w:rsid w:val="002D33C5"/>
    <w:rsid w:val="002D3ED3"/>
    <w:rsid w:val="002D3F0A"/>
    <w:rsid w:val="002D4101"/>
    <w:rsid w:val="002D44CD"/>
    <w:rsid w:val="002D4AC0"/>
    <w:rsid w:val="002D4E16"/>
    <w:rsid w:val="002D6A6A"/>
    <w:rsid w:val="002D7699"/>
    <w:rsid w:val="002E0568"/>
    <w:rsid w:val="002E0DEE"/>
    <w:rsid w:val="002E0F84"/>
    <w:rsid w:val="002E16EB"/>
    <w:rsid w:val="002E2261"/>
    <w:rsid w:val="002E36EA"/>
    <w:rsid w:val="002E4B36"/>
    <w:rsid w:val="002E5B3F"/>
    <w:rsid w:val="002E5C66"/>
    <w:rsid w:val="002F021D"/>
    <w:rsid w:val="002F021E"/>
    <w:rsid w:val="002F0848"/>
    <w:rsid w:val="002F35B2"/>
    <w:rsid w:val="002F3C98"/>
    <w:rsid w:val="002F3D19"/>
    <w:rsid w:val="002F44FD"/>
    <w:rsid w:val="002F592D"/>
    <w:rsid w:val="00300740"/>
    <w:rsid w:val="00301621"/>
    <w:rsid w:val="003024E8"/>
    <w:rsid w:val="003050A3"/>
    <w:rsid w:val="003060F1"/>
    <w:rsid w:val="003116AA"/>
    <w:rsid w:val="00311F99"/>
    <w:rsid w:val="00312D75"/>
    <w:rsid w:val="003139C6"/>
    <w:rsid w:val="00313B89"/>
    <w:rsid w:val="003202F7"/>
    <w:rsid w:val="0032087F"/>
    <w:rsid w:val="00320CFF"/>
    <w:rsid w:val="00321693"/>
    <w:rsid w:val="0032252B"/>
    <w:rsid w:val="00322A3E"/>
    <w:rsid w:val="00322F8A"/>
    <w:rsid w:val="0032340A"/>
    <w:rsid w:val="0032415E"/>
    <w:rsid w:val="00325A27"/>
    <w:rsid w:val="00326A2D"/>
    <w:rsid w:val="0032726A"/>
    <w:rsid w:val="00327A89"/>
    <w:rsid w:val="00327C16"/>
    <w:rsid w:val="00327DBD"/>
    <w:rsid w:val="00331600"/>
    <w:rsid w:val="00331D89"/>
    <w:rsid w:val="003323F1"/>
    <w:rsid w:val="00332A60"/>
    <w:rsid w:val="00333030"/>
    <w:rsid w:val="00333F7A"/>
    <w:rsid w:val="00333FE5"/>
    <w:rsid w:val="0033473D"/>
    <w:rsid w:val="003349EA"/>
    <w:rsid w:val="00335253"/>
    <w:rsid w:val="00335803"/>
    <w:rsid w:val="00337206"/>
    <w:rsid w:val="00337FE9"/>
    <w:rsid w:val="00340B4C"/>
    <w:rsid w:val="00340C96"/>
    <w:rsid w:val="00341B33"/>
    <w:rsid w:val="003426B8"/>
    <w:rsid w:val="0034281F"/>
    <w:rsid w:val="003435EF"/>
    <w:rsid w:val="0034457A"/>
    <w:rsid w:val="0034487A"/>
    <w:rsid w:val="00344C4C"/>
    <w:rsid w:val="00345202"/>
    <w:rsid w:val="00345C66"/>
    <w:rsid w:val="00345FC2"/>
    <w:rsid w:val="00346D95"/>
    <w:rsid w:val="00346E39"/>
    <w:rsid w:val="00346FEA"/>
    <w:rsid w:val="00351813"/>
    <w:rsid w:val="00352ABE"/>
    <w:rsid w:val="00353EEC"/>
    <w:rsid w:val="00353F34"/>
    <w:rsid w:val="00354079"/>
    <w:rsid w:val="00355496"/>
    <w:rsid w:val="00355670"/>
    <w:rsid w:val="0035572C"/>
    <w:rsid w:val="00355AB8"/>
    <w:rsid w:val="00355E52"/>
    <w:rsid w:val="003567B1"/>
    <w:rsid w:val="00357936"/>
    <w:rsid w:val="00360794"/>
    <w:rsid w:val="00361840"/>
    <w:rsid w:val="00361969"/>
    <w:rsid w:val="003629CE"/>
    <w:rsid w:val="00362F4F"/>
    <w:rsid w:val="00363C44"/>
    <w:rsid w:val="00363FB5"/>
    <w:rsid w:val="0036473A"/>
    <w:rsid w:val="00364C46"/>
    <w:rsid w:val="00364CB5"/>
    <w:rsid w:val="00365AE4"/>
    <w:rsid w:val="00365DA6"/>
    <w:rsid w:val="00366444"/>
    <w:rsid w:val="00366FE1"/>
    <w:rsid w:val="003703A5"/>
    <w:rsid w:val="00372173"/>
    <w:rsid w:val="003730BE"/>
    <w:rsid w:val="003732E4"/>
    <w:rsid w:val="003733E5"/>
    <w:rsid w:val="00373462"/>
    <w:rsid w:val="00373825"/>
    <w:rsid w:val="00374848"/>
    <w:rsid w:val="00375CFA"/>
    <w:rsid w:val="00375D8E"/>
    <w:rsid w:val="00375F8C"/>
    <w:rsid w:val="00376584"/>
    <w:rsid w:val="00376995"/>
    <w:rsid w:val="003776D0"/>
    <w:rsid w:val="00377C2B"/>
    <w:rsid w:val="00377C3E"/>
    <w:rsid w:val="00381A6F"/>
    <w:rsid w:val="00383CC3"/>
    <w:rsid w:val="003840E1"/>
    <w:rsid w:val="003843BA"/>
    <w:rsid w:val="00385437"/>
    <w:rsid w:val="0038547C"/>
    <w:rsid w:val="0038553B"/>
    <w:rsid w:val="00385BBB"/>
    <w:rsid w:val="00386312"/>
    <w:rsid w:val="00387354"/>
    <w:rsid w:val="00387FF5"/>
    <w:rsid w:val="00391A74"/>
    <w:rsid w:val="00392734"/>
    <w:rsid w:val="00392904"/>
    <w:rsid w:val="0039608A"/>
    <w:rsid w:val="00396822"/>
    <w:rsid w:val="00397042"/>
    <w:rsid w:val="003973DC"/>
    <w:rsid w:val="003978ED"/>
    <w:rsid w:val="003A130F"/>
    <w:rsid w:val="003A19F7"/>
    <w:rsid w:val="003A21F3"/>
    <w:rsid w:val="003A2284"/>
    <w:rsid w:val="003A26E0"/>
    <w:rsid w:val="003A2A47"/>
    <w:rsid w:val="003A6808"/>
    <w:rsid w:val="003A6BAB"/>
    <w:rsid w:val="003A7726"/>
    <w:rsid w:val="003A7D72"/>
    <w:rsid w:val="003B0753"/>
    <w:rsid w:val="003B0DCB"/>
    <w:rsid w:val="003B1315"/>
    <w:rsid w:val="003B1672"/>
    <w:rsid w:val="003B1695"/>
    <w:rsid w:val="003B1EC6"/>
    <w:rsid w:val="003B1F36"/>
    <w:rsid w:val="003B22FA"/>
    <w:rsid w:val="003B308A"/>
    <w:rsid w:val="003B346F"/>
    <w:rsid w:val="003B4542"/>
    <w:rsid w:val="003B500A"/>
    <w:rsid w:val="003B5231"/>
    <w:rsid w:val="003B589B"/>
    <w:rsid w:val="003B5DBD"/>
    <w:rsid w:val="003B6382"/>
    <w:rsid w:val="003B7996"/>
    <w:rsid w:val="003C0234"/>
    <w:rsid w:val="003C0E54"/>
    <w:rsid w:val="003C159C"/>
    <w:rsid w:val="003C1EB7"/>
    <w:rsid w:val="003C31CA"/>
    <w:rsid w:val="003C3585"/>
    <w:rsid w:val="003C3912"/>
    <w:rsid w:val="003C62E5"/>
    <w:rsid w:val="003C7791"/>
    <w:rsid w:val="003C7FF6"/>
    <w:rsid w:val="003D155D"/>
    <w:rsid w:val="003D1E7F"/>
    <w:rsid w:val="003D3114"/>
    <w:rsid w:val="003D3BA5"/>
    <w:rsid w:val="003D3F18"/>
    <w:rsid w:val="003D3FAA"/>
    <w:rsid w:val="003D795B"/>
    <w:rsid w:val="003D7E12"/>
    <w:rsid w:val="003E020F"/>
    <w:rsid w:val="003E0361"/>
    <w:rsid w:val="003E1B25"/>
    <w:rsid w:val="003E1C3E"/>
    <w:rsid w:val="003E20E6"/>
    <w:rsid w:val="003E2177"/>
    <w:rsid w:val="003E2844"/>
    <w:rsid w:val="003E32E5"/>
    <w:rsid w:val="003E3424"/>
    <w:rsid w:val="003E3987"/>
    <w:rsid w:val="003E3B77"/>
    <w:rsid w:val="003E3EEF"/>
    <w:rsid w:val="003E4044"/>
    <w:rsid w:val="003E4D83"/>
    <w:rsid w:val="003E56F1"/>
    <w:rsid w:val="003E6913"/>
    <w:rsid w:val="003E6E6E"/>
    <w:rsid w:val="003E70F0"/>
    <w:rsid w:val="003E7B15"/>
    <w:rsid w:val="003E7D48"/>
    <w:rsid w:val="003F0C84"/>
    <w:rsid w:val="003F2883"/>
    <w:rsid w:val="003F29EB"/>
    <w:rsid w:val="003F2CF6"/>
    <w:rsid w:val="003F2D49"/>
    <w:rsid w:val="003F3189"/>
    <w:rsid w:val="003F32F2"/>
    <w:rsid w:val="003F5271"/>
    <w:rsid w:val="003F5467"/>
    <w:rsid w:val="003F5507"/>
    <w:rsid w:val="003F630C"/>
    <w:rsid w:val="003F6961"/>
    <w:rsid w:val="003F70C9"/>
    <w:rsid w:val="003F73CE"/>
    <w:rsid w:val="003F7972"/>
    <w:rsid w:val="003F7BE5"/>
    <w:rsid w:val="003F7ED6"/>
    <w:rsid w:val="00400960"/>
    <w:rsid w:val="00401D1D"/>
    <w:rsid w:val="00402CB9"/>
    <w:rsid w:val="00403132"/>
    <w:rsid w:val="004035A5"/>
    <w:rsid w:val="00403798"/>
    <w:rsid w:val="0040423E"/>
    <w:rsid w:val="00404542"/>
    <w:rsid w:val="00406C84"/>
    <w:rsid w:val="00406F00"/>
    <w:rsid w:val="004078DE"/>
    <w:rsid w:val="00407FCD"/>
    <w:rsid w:val="00410F4F"/>
    <w:rsid w:val="00411D41"/>
    <w:rsid w:val="004142E6"/>
    <w:rsid w:val="004147D3"/>
    <w:rsid w:val="004151AB"/>
    <w:rsid w:val="00415C89"/>
    <w:rsid w:val="00415F48"/>
    <w:rsid w:val="004167F6"/>
    <w:rsid w:val="00416811"/>
    <w:rsid w:val="00416FDD"/>
    <w:rsid w:val="00417699"/>
    <w:rsid w:val="00417786"/>
    <w:rsid w:val="004211B2"/>
    <w:rsid w:val="00421F97"/>
    <w:rsid w:val="00423B51"/>
    <w:rsid w:val="00423BB3"/>
    <w:rsid w:val="00426AAB"/>
    <w:rsid w:val="004273A0"/>
    <w:rsid w:val="00427515"/>
    <w:rsid w:val="00427808"/>
    <w:rsid w:val="00427A71"/>
    <w:rsid w:val="00431E0C"/>
    <w:rsid w:val="00431F0A"/>
    <w:rsid w:val="004322A8"/>
    <w:rsid w:val="00432DBA"/>
    <w:rsid w:val="00432EC6"/>
    <w:rsid w:val="00433038"/>
    <w:rsid w:val="0043303A"/>
    <w:rsid w:val="00433A7D"/>
    <w:rsid w:val="004342FD"/>
    <w:rsid w:val="004352FF"/>
    <w:rsid w:val="00440D12"/>
    <w:rsid w:val="00440DBA"/>
    <w:rsid w:val="00440EE6"/>
    <w:rsid w:val="0044156D"/>
    <w:rsid w:val="00441C25"/>
    <w:rsid w:val="00442208"/>
    <w:rsid w:val="00443286"/>
    <w:rsid w:val="004433B8"/>
    <w:rsid w:val="00444270"/>
    <w:rsid w:val="004442FC"/>
    <w:rsid w:val="00444BDE"/>
    <w:rsid w:val="00445B58"/>
    <w:rsid w:val="00446E21"/>
    <w:rsid w:val="00447CC1"/>
    <w:rsid w:val="00450E6B"/>
    <w:rsid w:val="004510D6"/>
    <w:rsid w:val="00454512"/>
    <w:rsid w:val="004546F2"/>
    <w:rsid w:val="0045498F"/>
    <w:rsid w:val="00455091"/>
    <w:rsid w:val="00455717"/>
    <w:rsid w:val="004561C0"/>
    <w:rsid w:val="004605DA"/>
    <w:rsid w:val="00461BE4"/>
    <w:rsid w:val="004621AF"/>
    <w:rsid w:val="00464462"/>
    <w:rsid w:val="00464B6A"/>
    <w:rsid w:val="00464D32"/>
    <w:rsid w:val="00464F10"/>
    <w:rsid w:val="00465C27"/>
    <w:rsid w:val="00466E73"/>
    <w:rsid w:val="004708AA"/>
    <w:rsid w:val="0047214E"/>
    <w:rsid w:val="00473DF5"/>
    <w:rsid w:val="0047412B"/>
    <w:rsid w:val="00475FD9"/>
    <w:rsid w:val="004763CE"/>
    <w:rsid w:val="0047778E"/>
    <w:rsid w:val="0048010F"/>
    <w:rsid w:val="00480CB4"/>
    <w:rsid w:val="00480F82"/>
    <w:rsid w:val="0048138C"/>
    <w:rsid w:val="00483B00"/>
    <w:rsid w:val="004846C8"/>
    <w:rsid w:val="0048577A"/>
    <w:rsid w:val="00485881"/>
    <w:rsid w:val="004859BB"/>
    <w:rsid w:val="00485BC4"/>
    <w:rsid w:val="00485DEE"/>
    <w:rsid w:val="00486033"/>
    <w:rsid w:val="00486396"/>
    <w:rsid w:val="004865C1"/>
    <w:rsid w:val="004866C6"/>
    <w:rsid w:val="004867FC"/>
    <w:rsid w:val="00486AA0"/>
    <w:rsid w:val="0049201A"/>
    <w:rsid w:val="00492621"/>
    <w:rsid w:val="00492D21"/>
    <w:rsid w:val="00493080"/>
    <w:rsid w:val="00493D1F"/>
    <w:rsid w:val="00494192"/>
    <w:rsid w:val="004949BE"/>
    <w:rsid w:val="0049530B"/>
    <w:rsid w:val="004959DE"/>
    <w:rsid w:val="00495AE0"/>
    <w:rsid w:val="00495C22"/>
    <w:rsid w:val="00496623"/>
    <w:rsid w:val="004A2379"/>
    <w:rsid w:val="004A2D13"/>
    <w:rsid w:val="004A479B"/>
    <w:rsid w:val="004A4A36"/>
    <w:rsid w:val="004A4D3B"/>
    <w:rsid w:val="004A7547"/>
    <w:rsid w:val="004A7724"/>
    <w:rsid w:val="004A7D0A"/>
    <w:rsid w:val="004B0803"/>
    <w:rsid w:val="004B0C57"/>
    <w:rsid w:val="004B0E30"/>
    <w:rsid w:val="004B10B1"/>
    <w:rsid w:val="004B1472"/>
    <w:rsid w:val="004B285F"/>
    <w:rsid w:val="004B31E7"/>
    <w:rsid w:val="004B33A0"/>
    <w:rsid w:val="004B36B0"/>
    <w:rsid w:val="004B3AE2"/>
    <w:rsid w:val="004B48C3"/>
    <w:rsid w:val="004B4A5A"/>
    <w:rsid w:val="004B648E"/>
    <w:rsid w:val="004B710F"/>
    <w:rsid w:val="004C0B46"/>
    <w:rsid w:val="004C0E62"/>
    <w:rsid w:val="004C13C1"/>
    <w:rsid w:val="004C2366"/>
    <w:rsid w:val="004C2540"/>
    <w:rsid w:val="004C2552"/>
    <w:rsid w:val="004C2B2E"/>
    <w:rsid w:val="004C2EBD"/>
    <w:rsid w:val="004C4188"/>
    <w:rsid w:val="004C6D72"/>
    <w:rsid w:val="004C6E87"/>
    <w:rsid w:val="004C7122"/>
    <w:rsid w:val="004D2430"/>
    <w:rsid w:val="004D3041"/>
    <w:rsid w:val="004D30BA"/>
    <w:rsid w:val="004D3D04"/>
    <w:rsid w:val="004D3EAB"/>
    <w:rsid w:val="004D3F15"/>
    <w:rsid w:val="004D47C3"/>
    <w:rsid w:val="004D5300"/>
    <w:rsid w:val="004D585D"/>
    <w:rsid w:val="004D5BB8"/>
    <w:rsid w:val="004D61A4"/>
    <w:rsid w:val="004D6640"/>
    <w:rsid w:val="004D7A1E"/>
    <w:rsid w:val="004E0986"/>
    <w:rsid w:val="004E1054"/>
    <w:rsid w:val="004E1322"/>
    <w:rsid w:val="004E2E5F"/>
    <w:rsid w:val="004E3929"/>
    <w:rsid w:val="004E3C36"/>
    <w:rsid w:val="004E3F66"/>
    <w:rsid w:val="004E471D"/>
    <w:rsid w:val="004E4E61"/>
    <w:rsid w:val="004E52F5"/>
    <w:rsid w:val="004E5A6D"/>
    <w:rsid w:val="004E6B1A"/>
    <w:rsid w:val="004E6C50"/>
    <w:rsid w:val="004E716A"/>
    <w:rsid w:val="004F0FC5"/>
    <w:rsid w:val="004F1111"/>
    <w:rsid w:val="004F2B79"/>
    <w:rsid w:val="004F2F70"/>
    <w:rsid w:val="004F3522"/>
    <w:rsid w:val="004F3910"/>
    <w:rsid w:val="004F4799"/>
    <w:rsid w:val="004F54C7"/>
    <w:rsid w:val="004F57B3"/>
    <w:rsid w:val="004F71C3"/>
    <w:rsid w:val="004F72F7"/>
    <w:rsid w:val="004F7CDD"/>
    <w:rsid w:val="004F7D4C"/>
    <w:rsid w:val="0050042F"/>
    <w:rsid w:val="00500486"/>
    <w:rsid w:val="00500908"/>
    <w:rsid w:val="00500B57"/>
    <w:rsid w:val="00501F0A"/>
    <w:rsid w:val="00501FE0"/>
    <w:rsid w:val="00502854"/>
    <w:rsid w:val="0050302B"/>
    <w:rsid w:val="0050382E"/>
    <w:rsid w:val="005042A3"/>
    <w:rsid w:val="005044EC"/>
    <w:rsid w:val="005076BF"/>
    <w:rsid w:val="0050785A"/>
    <w:rsid w:val="00510B6C"/>
    <w:rsid w:val="00511E1D"/>
    <w:rsid w:val="005125FF"/>
    <w:rsid w:val="00513511"/>
    <w:rsid w:val="0051402E"/>
    <w:rsid w:val="00514FD5"/>
    <w:rsid w:val="005200BF"/>
    <w:rsid w:val="00520CA7"/>
    <w:rsid w:val="00520FA3"/>
    <w:rsid w:val="0052118E"/>
    <w:rsid w:val="005217D2"/>
    <w:rsid w:val="00521BF9"/>
    <w:rsid w:val="00522544"/>
    <w:rsid w:val="0052289A"/>
    <w:rsid w:val="00522B9C"/>
    <w:rsid w:val="00522C48"/>
    <w:rsid w:val="00523247"/>
    <w:rsid w:val="005244F4"/>
    <w:rsid w:val="005259A7"/>
    <w:rsid w:val="0052623A"/>
    <w:rsid w:val="00526B02"/>
    <w:rsid w:val="00527460"/>
    <w:rsid w:val="00527CB4"/>
    <w:rsid w:val="00530736"/>
    <w:rsid w:val="00532F40"/>
    <w:rsid w:val="0053309F"/>
    <w:rsid w:val="005335ED"/>
    <w:rsid w:val="005335F5"/>
    <w:rsid w:val="00533B67"/>
    <w:rsid w:val="00533D0E"/>
    <w:rsid w:val="005341B2"/>
    <w:rsid w:val="005348C8"/>
    <w:rsid w:val="005350FA"/>
    <w:rsid w:val="00535A35"/>
    <w:rsid w:val="00535E30"/>
    <w:rsid w:val="005372AD"/>
    <w:rsid w:val="00537733"/>
    <w:rsid w:val="00540F4E"/>
    <w:rsid w:val="00541C3C"/>
    <w:rsid w:val="00542892"/>
    <w:rsid w:val="005431F6"/>
    <w:rsid w:val="00543327"/>
    <w:rsid w:val="0054346D"/>
    <w:rsid w:val="00543532"/>
    <w:rsid w:val="00544F48"/>
    <w:rsid w:val="0054531C"/>
    <w:rsid w:val="005455B5"/>
    <w:rsid w:val="005456F4"/>
    <w:rsid w:val="00545B24"/>
    <w:rsid w:val="005502FF"/>
    <w:rsid w:val="00550450"/>
    <w:rsid w:val="00550DD7"/>
    <w:rsid w:val="00551924"/>
    <w:rsid w:val="00551D57"/>
    <w:rsid w:val="00551D83"/>
    <w:rsid w:val="00552265"/>
    <w:rsid w:val="00553CC7"/>
    <w:rsid w:val="00553FCC"/>
    <w:rsid w:val="00554470"/>
    <w:rsid w:val="005600DE"/>
    <w:rsid w:val="00560544"/>
    <w:rsid w:val="00560860"/>
    <w:rsid w:val="00561190"/>
    <w:rsid w:val="005614A4"/>
    <w:rsid w:val="00562814"/>
    <w:rsid w:val="00562A15"/>
    <w:rsid w:val="00563804"/>
    <w:rsid w:val="00563DD4"/>
    <w:rsid w:val="005641A3"/>
    <w:rsid w:val="0056505C"/>
    <w:rsid w:val="00565087"/>
    <w:rsid w:val="00565178"/>
    <w:rsid w:val="0056616B"/>
    <w:rsid w:val="00566441"/>
    <w:rsid w:val="00566C65"/>
    <w:rsid w:val="00571DE8"/>
    <w:rsid w:val="00572AC3"/>
    <w:rsid w:val="0057369D"/>
    <w:rsid w:val="00573851"/>
    <w:rsid w:val="00573F61"/>
    <w:rsid w:val="00574013"/>
    <w:rsid w:val="00574041"/>
    <w:rsid w:val="0057453F"/>
    <w:rsid w:val="0057459A"/>
    <w:rsid w:val="005748AB"/>
    <w:rsid w:val="0057499D"/>
    <w:rsid w:val="005754CA"/>
    <w:rsid w:val="00575778"/>
    <w:rsid w:val="00575852"/>
    <w:rsid w:val="00577111"/>
    <w:rsid w:val="005829A8"/>
    <w:rsid w:val="00582D20"/>
    <w:rsid w:val="00582E66"/>
    <w:rsid w:val="00582EC5"/>
    <w:rsid w:val="005833B3"/>
    <w:rsid w:val="00583EA6"/>
    <w:rsid w:val="0058538F"/>
    <w:rsid w:val="00585B30"/>
    <w:rsid w:val="00586E8E"/>
    <w:rsid w:val="0058767B"/>
    <w:rsid w:val="00590621"/>
    <w:rsid w:val="00590AD6"/>
    <w:rsid w:val="0059172A"/>
    <w:rsid w:val="00591C2C"/>
    <w:rsid w:val="005920CB"/>
    <w:rsid w:val="00592628"/>
    <w:rsid w:val="005926F6"/>
    <w:rsid w:val="005952B2"/>
    <w:rsid w:val="00596372"/>
    <w:rsid w:val="00597B3E"/>
    <w:rsid w:val="005A02F1"/>
    <w:rsid w:val="005A0A6A"/>
    <w:rsid w:val="005A19F5"/>
    <w:rsid w:val="005A1AAB"/>
    <w:rsid w:val="005A24D9"/>
    <w:rsid w:val="005A3220"/>
    <w:rsid w:val="005A3449"/>
    <w:rsid w:val="005A4AA1"/>
    <w:rsid w:val="005A62F1"/>
    <w:rsid w:val="005A6FBE"/>
    <w:rsid w:val="005A7C82"/>
    <w:rsid w:val="005B01F9"/>
    <w:rsid w:val="005B0EE6"/>
    <w:rsid w:val="005B2142"/>
    <w:rsid w:val="005B3032"/>
    <w:rsid w:val="005B358B"/>
    <w:rsid w:val="005B6D53"/>
    <w:rsid w:val="005B730C"/>
    <w:rsid w:val="005C1341"/>
    <w:rsid w:val="005C1B5F"/>
    <w:rsid w:val="005C21DF"/>
    <w:rsid w:val="005C7289"/>
    <w:rsid w:val="005C798C"/>
    <w:rsid w:val="005C7DC8"/>
    <w:rsid w:val="005D03E0"/>
    <w:rsid w:val="005D101C"/>
    <w:rsid w:val="005D17CB"/>
    <w:rsid w:val="005D1941"/>
    <w:rsid w:val="005D2B01"/>
    <w:rsid w:val="005D2CB8"/>
    <w:rsid w:val="005D3D40"/>
    <w:rsid w:val="005D4639"/>
    <w:rsid w:val="005D5B0C"/>
    <w:rsid w:val="005D61BF"/>
    <w:rsid w:val="005D635B"/>
    <w:rsid w:val="005D7500"/>
    <w:rsid w:val="005D75EF"/>
    <w:rsid w:val="005D76BB"/>
    <w:rsid w:val="005D7860"/>
    <w:rsid w:val="005E5170"/>
    <w:rsid w:val="005E714B"/>
    <w:rsid w:val="005E7D29"/>
    <w:rsid w:val="005F14DD"/>
    <w:rsid w:val="005F1DED"/>
    <w:rsid w:val="005F1FEC"/>
    <w:rsid w:val="005F239D"/>
    <w:rsid w:val="005F27FE"/>
    <w:rsid w:val="005F285B"/>
    <w:rsid w:val="005F32F3"/>
    <w:rsid w:val="005F4745"/>
    <w:rsid w:val="005F6417"/>
    <w:rsid w:val="005F6AA1"/>
    <w:rsid w:val="005F6CF3"/>
    <w:rsid w:val="00601B1E"/>
    <w:rsid w:val="00601DC2"/>
    <w:rsid w:val="0060259E"/>
    <w:rsid w:val="00602D95"/>
    <w:rsid w:val="0060451B"/>
    <w:rsid w:val="006049EC"/>
    <w:rsid w:val="00605F58"/>
    <w:rsid w:val="00606099"/>
    <w:rsid w:val="006067B2"/>
    <w:rsid w:val="00606DFC"/>
    <w:rsid w:val="006072AD"/>
    <w:rsid w:val="006105B6"/>
    <w:rsid w:val="006112AC"/>
    <w:rsid w:val="006119F8"/>
    <w:rsid w:val="00611A7B"/>
    <w:rsid w:val="006125CC"/>
    <w:rsid w:val="00613B13"/>
    <w:rsid w:val="00613F92"/>
    <w:rsid w:val="006140E8"/>
    <w:rsid w:val="00615E0C"/>
    <w:rsid w:val="00617D15"/>
    <w:rsid w:val="00617ED9"/>
    <w:rsid w:val="00620548"/>
    <w:rsid w:val="006205DF"/>
    <w:rsid w:val="00621C87"/>
    <w:rsid w:val="00622E40"/>
    <w:rsid w:val="00623028"/>
    <w:rsid w:val="00630422"/>
    <w:rsid w:val="00630439"/>
    <w:rsid w:val="00630579"/>
    <w:rsid w:val="0063059A"/>
    <w:rsid w:val="00630C25"/>
    <w:rsid w:val="006352A3"/>
    <w:rsid w:val="0063653B"/>
    <w:rsid w:val="00636576"/>
    <w:rsid w:val="0063797C"/>
    <w:rsid w:val="006402F2"/>
    <w:rsid w:val="00640AC3"/>
    <w:rsid w:val="00644ADE"/>
    <w:rsid w:val="00644F51"/>
    <w:rsid w:val="0064525F"/>
    <w:rsid w:val="00645AC8"/>
    <w:rsid w:val="00646C2B"/>
    <w:rsid w:val="006477A0"/>
    <w:rsid w:val="00650597"/>
    <w:rsid w:val="00651149"/>
    <w:rsid w:val="006511EA"/>
    <w:rsid w:val="00651B06"/>
    <w:rsid w:val="00652677"/>
    <w:rsid w:val="00655D19"/>
    <w:rsid w:val="0065668B"/>
    <w:rsid w:val="00656E8E"/>
    <w:rsid w:val="00657FFB"/>
    <w:rsid w:val="006604F3"/>
    <w:rsid w:val="00660D60"/>
    <w:rsid w:val="00662E3E"/>
    <w:rsid w:val="00663A30"/>
    <w:rsid w:val="00666290"/>
    <w:rsid w:val="00671F3C"/>
    <w:rsid w:val="00672510"/>
    <w:rsid w:val="00672BCA"/>
    <w:rsid w:val="006744AC"/>
    <w:rsid w:val="00674B4C"/>
    <w:rsid w:val="00674D33"/>
    <w:rsid w:val="006751AA"/>
    <w:rsid w:val="00675B48"/>
    <w:rsid w:val="00680D5A"/>
    <w:rsid w:val="006838ED"/>
    <w:rsid w:val="00683AC4"/>
    <w:rsid w:val="00684301"/>
    <w:rsid w:val="0068466D"/>
    <w:rsid w:val="006847D2"/>
    <w:rsid w:val="00685BB3"/>
    <w:rsid w:val="00686B88"/>
    <w:rsid w:val="00686B8E"/>
    <w:rsid w:val="00686FC8"/>
    <w:rsid w:val="0068706C"/>
    <w:rsid w:val="006879FD"/>
    <w:rsid w:val="00687A89"/>
    <w:rsid w:val="006902A0"/>
    <w:rsid w:val="00691ED5"/>
    <w:rsid w:val="006930A0"/>
    <w:rsid w:val="006948E6"/>
    <w:rsid w:val="00694A81"/>
    <w:rsid w:val="00695593"/>
    <w:rsid w:val="006962FE"/>
    <w:rsid w:val="006964B0"/>
    <w:rsid w:val="006977D2"/>
    <w:rsid w:val="006A02DB"/>
    <w:rsid w:val="006A07AB"/>
    <w:rsid w:val="006A0B97"/>
    <w:rsid w:val="006A0CCB"/>
    <w:rsid w:val="006A2683"/>
    <w:rsid w:val="006A3018"/>
    <w:rsid w:val="006A31E1"/>
    <w:rsid w:val="006A34AD"/>
    <w:rsid w:val="006A40BB"/>
    <w:rsid w:val="006A55CD"/>
    <w:rsid w:val="006A5BFF"/>
    <w:rsid w:val="006A612B"/>
    <w:rsid w:val="006A6723"/>
    <w:rsid w:val="006A7030"/>
    <w:rsid w:val="006A7D7F"/>
    <w:rsid w:val="006B0465"/>
    <w:rsid w:val="006B1A45"/>
    <w:rsid w:val="006B1DCA"/>
    <w:rsid w:val="006B1F0B"/>
    <w:rsid w:val="006B2C47"/>
    <w:rsid w:val="006B3F63"/>
    <w:rsid w:val="006B4167"/>
    <w:rsid w:val="006B47FA"/>
    <w:rsid w:val="006B558A"/>
    <w:rsid w:val="006B5595"/>
    <w:rsid w:val="006B7588"/>
    <w:rsid w:val="006C0837"/>
    <w:rsid w:val="006C099E"/>
    <w:rsid w:val="006C1E40"/>
    <w:rsid w:val="006C46DB"/>
    <w:rsid w:val="006C52B4"/>
    <w:rsid w:val="006C66E0"/>
    <w:rsid w:val="006C69A1"/>
    <w:rsid w:val="006C6BE6"/>
    <w:rsid w:val="006C7CCE"/>
    <w:rsid w:val="006D1E00"/>
    <w:rsid w:val="006D2D18"/>
    <w:rsid w:val="006D42E8"/>
    <w:rsid w:val="006D4A34"/>
    <w:rsid w:val="006D4DEF"/>
    <w:rsid w:val="006D5897"/>
    <w:rsid w:val="006D7523"/>
    <w:rsid w:val="006D763E"/>
    <w:rsid w:val="006E0636"/>
    <w:rsid w:val="006E0FF6"/>
    <w:rsid w:val="006E1AD2"/>
    <w:rsid w:val="006E303E"/>
    <w:rsid w:val="006E45FF"/>
    <w:rsid w:val="006E4887"/>
    <w:rsid w:val="006E48DA"/>
    <w:rsid w:val="006E5323"/>
    <w:rsid w:val="006E5515"/>
    <w:rsid w:val="006E6295"/>
    <w:rsid w:val="006E6FDF"/>
    <w:rsid w:val="006E79AF"/>
    <w:rsid w:val="006E7B1A"/>
    <w:rsid w:val="006F0B74"/>
    <w:rsid w:val="006F1201"/>
    <w:rsid w:val="006F121C"/>
    <w:rsid w:val="006F1C88"/>
    <w:rsid w:val="006F2DE2"/>
    <w:rsid w:val="006F3A01"/>
    <w:rsid w:val="006F4244"/>
    <w:rsid w:val="006F569A"/>
    <w:rsid w:val="006F5A6D"/>
    <w:rsid w:val="006F6F89"/>
    <w:rsid w:val="006F7010"/>
    <w:rsid w:val="006F7C5F"/>
    <w:rsid w:val="0070014D"/>
    <w:rsid w:val="007013DB"/>
    <w:rsid w:val="00701A79"/>
    <w:rsid w:val="007022A3"/>
    <w:rsid w:val="007025E8"/>
    <w:rsid w:val="00702A95"/>
    <w:rsid w:val="00702D83"/>
    <w:rsid w:val="0070334C"/>
    <w:rsid w:val="007037F1"/>
    <w:rsid w:val="00704F7A"/>
    <w:rsid w:val="0070546D"/>
    <w:rsid w:val="0070740C"/>
    <w:rsid w:val="007076AB"/>
    <w:rsid w:val="0071087F"/>
    <w:rsid w:val="00710EF6"/>
    <w:rsid w:val="00711072"/>
    <w:rsid w:val="007114D2"/>
    <w:rsid w:val="0071177E"/>
    <w:rsid w:val="00711A70"/>
    <w:rsid w:val="00712178"/>
    <w:rsid w:val="007125E9"/>
    <w:rsid w:val="0071295F"/>
    <w:rsid w:val="00713B0F"/>
    <w:rsid w:val="00713B76"/>
    <w:rsid w:val="00714935"/>
    <w:rsid w:val="00714970"/>
    <w:rsid w:val="00715369"/>
    <w:rsid w:val="0071587A"/>
    <w:rsid w:val="00715DB8"/>
    <w:rsid w:val="00716B6A"/>
    <w:rsid w:val="00716FED"/>
    <w:rsid w:val="00717730"/>
    <w:rsid w:val="0072020A"/>
    <w:rsid w:val="00720534"/>
    <w:rsid w:val="00721B56"/>
    <w:rsid w:val="007239E3"/>
    <w:rsid w:val="007244FA"/>
    <w:rsid w:val="00725D30"/>
    <w:rsid w:val="00725DC8"/>
    <w:rsid w:val="00725ED2"/>
    <w:rsid w:val="00730831"/>
    <w:rsid w:val="00732B84"/>
    <w:rsid w:val="00734F74"/>
    <w:rsid w:val="007355CC"/>
    <w:rsid w:val="00735C34"/>
    <w:rsid w:val="007371D4"/>
    <w:rsid w:val="00737DCE"/>
    <w:rsid w:val="00741C57"/>
    <w:rsid w:val="00741DDC"/>
    <w:rsid w:val="00743070"/>
    <w:rsid w:val="007439C0"/>
    <w:rsid w:val="00743A6F"/>
    <w:rsid w:val="00744786"/>
    <w:rsid w:val="007464B8"/>
    <w:rsid w:val="007468D6"/>
    <w:rsid w:val="00746AE0"/>
    <w:rsid w:val="00747221"/>
    <w:rsid w:val="00751EA7"/>
    <w:rsid w:val="00753109"/>
    <w:rsid w:val="00753710"/>
    <w:rsid w:val="00754D1F"/>
    <w:rsid w:val="007559D8"/>
    <w:rsid w:val="00762CC4"/>
    <w:rsid w:val="0076337D"/>
    <w:rsid w:val="007637A8"/>
    <w:rsid w:val="00764397"/>
    <w:rsid w:val="00765921"/>
    <w:rsid w:val="00767BBD"/>
    <w:rsid w:val="00767F14"/>
    <w:rsid w:val="007705E4"/>
    <w:rsid w:val="0077175D"/>
    <w:rsid w:val="00771BD4"/>
    <w:rsid w:val="00772ADE"/>
    <w:rsid w:val="00773B67"/>
    <w:rsid w:val="0077527F"/>
    <w:rsid w:val="00775518"/>
    <w:rsid w:val="00775EB5"/>
    <w:rsid w:val="00776337"/>
    <w:rsid w:val="007764E8"/>
    <w:rsid w:val="00777F0C"/>
    <w:rsid w:val="007821B0"/>
    <w:rsid w:val="0078378D"/>
    <w:rsid w:val="00784A04"/>
    <w:rsid w:val="00784D35"/>
    <w:rsid w:val="00784EC1"/>
    <w:rsid w:val="00785C4E"/>
    <w:rsid w:val="00786770"/>
    <w:rsid w:val="00786F2C"/>
    <w:rsid w:val="0078762D"/>
    <w:rsid w:val="00787B0F"/>
    <w:rsid w:val="007901B8"/>
    <w:rsid w:val="00790FEC"/>
    <w:rsid w:val="00791131"/>
    <w:rsid w:val="007917C8"/>
    <w:rsid w:val="00792779"/>
    <w:rsid w:val="00792D13"/>
    <w:rsid w:val="00796223"/>
    <w:rsid w:val="00797DA4"/>
    <w:rsid w:val="007A0925"/>
    <w:rsid w:val="007A1A7C"/>
    <w:rsid w:val="007A208E"/>
    <w:rsid w:val="007A34DF"/>
    <w:rsid w:val="007A3513"/>
    <w:rsid w:val="007A351B"/>
    <w:rsid w:val="007A41FA"/>
    <w:rsid w:val="007A5148"/>
    <w:rsid w:val="007A57E4"/>
    <w:rsid w:val="007A67E1"/>
    <w:rsid w:val="007A760F"/>
    <w:rsid w:val="007A7A66"/>
    <w:rsid w:val="007B04F9"/>
    <w:rsid w:val="007B0522"/>
    <w:rsid w:val="007B08F6"/>
    <w:rsid w:val="007B192D"/>
    <w:rsid w:val="007B40B7"/>
    <w:rsid w:val="007B44A6"/>
    <w:rsid w:val="007B44C7"/>
    <w:rsid w:val="007B4762"/>
    <w:rsid w:val="007B7366"/>
    <w:rsid w:val="007C040B"/>
    <w:rsid w:val="007C0D48"/>
    <w:rsid w:val="007C248F"/>
    <w:rsid w:val="007C2657"/>
    <w:rsid w:val="007C2C32"/>
    <w:rsid w:val="007C2D16"/>
    <w:rsid w:val="007C3207"/>
    <w:rsid w:val="007C3500"/>
    <w:rsid w:val="007C40A0"/>
    <w:rsid w:val="007C5498"/>
    <w:rsid w:val="007C5762"/>
    <w:rsid w:val="007C65EF"/>
    <w:rsid w:val="007C7F77"/>
    <w:rsid w:val="007D1C24"/>
    <w:rsid w:val="007D20A3"/>
    <w:rsid w:val="007D24DD"/>
    <w:rsid w:val="007D2D63"/>
    <w:rsid w:val="007D3D31"/>
    <w:rsid w:val="007D5222"/>
    <w:rsid w:val="007D5F83"/>
    <w:rsid w:val="007E1024"/>
    <w:rsid w:val="007E167C"/>
    <w:rsid w:val="007E16F4"/>
    <w:rsid w:val="007E1A8E"/>
    <w:rsid w:val="007E20CB"/>
    <w:rsid w:val="007E21B2"/>
    <w:rsid w:val="007E2719"/>
    <w:rsid w:val="007E352A"/>
    <w:rsid w:val="007E3722"/>
    <w:rsid w:val="007E39AA"/>
    <w:rsid w:val="007E4CBB"/>
    <w:rsid w:val="007E59F3"/>
    <w:rsid w:val="007E6555"/>
    <w:rsid w:val="007E6AEA"/>
    <w:rsid w:val="007F0321"/>
    <w:rsid w:val="007F0401"/>
    <w:rsid w:val="007F1F3B"/>
    <w:rsid w:val="007F2070"/>
    <w:rsid w:val="007F31C9"/>
    <w:rsid w:val="007F31F2"/>
    <w:rsid w:val="007F3ACA"/>
    <w:rsid w:val="007F3EBE"/>
    <w:rsid w:val="007F4025"/>
    <w:rsid w:val="007F59D1"/>
    <w:rsid w:val="007F7918"/>
    <w:rsid w:val="007F79D9"/>
    <w:rsid w:val="007F7D12"/>
    <w:rsid w:val="0080121F"/>
    <w:rsid w:val="00801248"/>
    <w:rsid w:val="00801CBF"/>
    <w:rsid w:val="00801D5E"/>
    <w:rsid w:val="008023A6"/>
    <w:rsid w:val="0080249F"/>
    <w:rsid w:val="0080349A"/>
    <w:rsid w:val="00803E03"/>
    <w:rsid w:val="008040DC"/>
    <w:rsid w:val="00804BDA"/>
    <w:rsid w:val="00805010"/>
    <w:rsid w:val="00805767"/>
    <w:rsid w:val="00806117"/>
    <w:rsid w:val="00807BD3"/>
    <w:rsid w:val="00812178"/>
    <w:rsid w:val="00813F1D"/>
    <w:rsid w:val="00814451"/>
    <w:rsid w:val="008149E4"/>
    <w:rsid w:val="008153F0"/>
    <w:rsid w:val="008154CC"/>
    <w:rsid w:val="00815B04"/>
    <w:rsid w:val="00815B0F"/>
    <w:rsid w:val="00816182"/>
    <w:rsid w:val="00817D0B"/>
    <w:rsid w:val="008209E8"/>
    <w:rsid w:val="00821C28"/>
    <w:rsid w:val="008221C5"/>
    <w:rsid w:val="0082382D"/>
    <w:rsid w:val="008239C1"/>
    <w:rsid w:val="00823A36"/>
    <w:rsid w:val="008253E3"/>
    <w:rsid w:val="00826111"/>
    <w:rsid w:val="00826BD5"/>
    <w:rsid w:val="00826E5E"/>
    <w:rsid w:val="00826F27"/>
    <w:rsid w:val="00827518"/>
    <w:rsid w:val="008276AD"/>
    <w:rsid w:val="00827CF6"/>
    <w:rsid w:val="00831F8D"/>
    <w:rsid w:val="00832B18"/>
    <w:rsid w:val="00834D70"/>
    <w:rsid w:val="0083532D"/>
    <w:rsid w:val="008360C6"/>
    <w:rsid w:val="00836CDD"/>
    <w:rsid w:val="00837BC9"/>
    <w:rsid w:val="008407BF"/>
    <w:rsid w:val="00840CAF"/>
    <w:rsid w:val="00840D5F"/>
    <w:rsid w:val="00841C63"/>
    <w:rsid w:val="00841C89"/>
    <w:rsid w:val="0084239D"/>
    <w:rsid w:val="00842A1F"/>
    <w:rsid w:val="008474EA"/>
    <w:rsid w:val="008475D0"/>
    <w:rsid w:val="00847728"/>
    <w:rsid w:val="00847A66"/>
    <w:rsid w:val="00850802"/>
    <w:rsid w:val="0085173C"/>
    <w:rsid w:val="0085189E"/>
    <w:rsid w:val="00852E5F"/>
    <w:rsid w:val="00853CC3"/>
    <w:rsid w:val="00853DB0"/>
    <w:rsid w:val="00854E2B"/>
    <w:rsid w:val="0085598C"/>
    <w:rsid w:val="00855A93"/>
    <w:rsid w:val="00856496"/>
    <w:rsid w:val="00856BF4"/>
    <w:rsid w:val="00856FAA"/>
    <w:rsid w:val="0086023E"/>
    <w:rsid w:val="00860AEA"/>
    <w:rsid w:val="0086104F"/>
    <w:rsid w:val="008619AE"/>
    <w:rsid w:val="00861F95"/>
    <w:rsid w:val="00862AB5"/>
    <w:rsid w:val="00862C0D"/>
    <w:rsid w:val="00862E45"/>
    <w:rsid w:val="008630EE"/>
    <w:rsid w:val="0086527E"/>
    <w:rsid w:val="0086706D"/>
    <w:rsid w:val="0086733F"/>
    <w:rsid w:val="00867587"/>
    <w:rsid w:val="00867ECE"/>
    <w:rsid w:val="0087009C"/>
    <w:rsid w:val="0087016E"/>
    <w:rsid w:val="00871693"/>
    <w:rsid w:val="00871D41"/>
    <w:rsid w:val="008723A3"/>
    <w:rsid w:val="00872B51"/>
    <w:rsid w:val="00873C98"/>
    <w:rsid w:val="00873E9E"/>
    <w:rsid w:val="008743B8"/>
    <w:rsid w:val="00874442"/>
    <w:rsid w:val="0087445F"/>
    <w:rsid w:val="00874655"/>
    <w:rsid w:val="00877155"/>
    <w:rsid w:val="00877BFF"/>
    <w:rsid w:val="00880071"/>
    <w:rsid w:val="00880E96"/>
    <w:rsid w:val="00882109"/>
    <w:rsid w:val="00882B2A"/>
    <w:rsid w:val="00882FD1"/>
    <w:rsid w:val="00883865"/>
    <w:rsid w:val="0088489E"/>
    <w:rsid w:val="00885587"/>
    <w:rsid w:val="008872A5"/>
    <w:rsid w:val="00887E03"/>
    <w:rsid w:val="0089024F"/>
    <w:rsid w:val="0089108E"/>
    <w:rsid w:val="00891D45"/>
    <w:rsid w:val="00891E3E"/>
    <w:rsid w:val="00893FCB"/>
    <w:rsid w:val="0089424F"/>
    <w:rsid w:val="00894C0C"/>
    <w:rsid w:val="00895AA2"/>
    <w:rsid w:val="00896E50"/>
    <w:rsid w:val="0089733B"/>
    <w:rsid w:val="008A02BF"/>
    <w:rsid w:val="008A2133"/>
    <w:rsid w:val="008A4FFE"/>
    <w:rsid w:val="008A5373"/>
    <w:rsid w:val="008A70AD"/>
    <w:rsid w:val="008A7E43"/>
    <w:rsid w:val="008B0B40"/>
    <w:rsid w:val="008B1902"/>
    <w:rsid w:val="008B2278"/>
    <w:rsid w:val="008B2DD1"/>
    <w:rsid w:val="008B3982"/>
    <w:rsid w:val="008B4071"/>
    <w:rsid w:val="008B4A98"/>
    <w:rsid w:val="008B707E"/>
    <w:rsid w:val="008C064B"/>
    <w:rsid w:val="008C07C7"/>
    <w:rsid w:val="008C0C08"/>
    <w:rsid w:val="008C0F25"/>
    <w:rsid w:val="008C24BE"/>
    <w:rsid w:val="008C3505"/>
    <w:rsid w:val="008C3994"/>
    <w:rsid w:val="008C4374"/>
    <w:rsid w:val="008C4EE9"/>
    <w:rsid w:val="008C6DF7"/>
    <w:rsid w:val="008D0232"/>
    <w:rsid w:val="008D0AD1"/>
    <w:rsid w:val="008D184D"/>
    <w:rsid w:val="008D21C0"/>
    <w:rsid w:val="008D23E9"/>
    <w:rsid w:val="008D2453"/>
    <w:rsid w:val="008D2BE3"/>
    <w:rsid w:val="008D3864"/>
    <w:rsid w:val="008D47CE"/>
    <w:rsid w:val="008D49D4"/>
    <w:rsid w:val="008D6B1F"/>
    <w:rsid w:val="008D7A58"/>
    <w:rsid w:val="008D7BB6"/>
    <w:rsid w:val="008E066F"/>
    <w:rsid w:val="008E3E8B"/>
    <w:rsid w:val="008E48C3"/>
    <w:rsid w:val="008E5310"/>
    <w:rsid w:val="008E6464"/>
    <w:rsid w:val="008F0790"/>
    <w:rsid w:val="008F0D29"/>
    <w:rsid w:val="008F36EF"/>
    <w:rsid w:val="008F3EAC"/>
    <w:rsid w:val="008F46FB"/>
    <w:rsid w:val="008F58D3"/>
    <w:rsid w:val="008F5A55"/>
    <w:rsid w:val="008F5D8F"/>
    <w:rsid w:val="008F6359"/>
    <w:rsid w:val="008F7167"/>
    <w:rsid w:val="008F7182"/>
    <w:rsid w:val="00901555"/>
    <w:rsid w:val="0090247C"/>
    <w:rsid w:val="009025E5"/>
    <w:rsid w:val="00902E35"/>
    <w:rsid w:val="009047A1"/>
    <w:rsid w:val="00905C4E"/>
    <w:rsid w:val="00905FAA"/>
    <w:rsid w:val="0090651A"/>
    <w:rsid w:val="0090665A"/>
    <w:rsid w:val="00907318"/>
    <w:rsid w:val="00910A35"/>
    <w:rsid w:val="00912364"/>
    <w:rsid w:val="009129E7"/>
    <w:rsid w:val="00912EDB"/>
    <w:rsid w:val="00912F0E"/>
    <w:rsid w:val="00913C3D"/>
    <w:rsid w:val="00913CF6"/>
    <w:rsid w:val="009153AB"/>
    <w:rsid w:val="00916A68"/>
    <w:rsid w:val="00916BEB"/>
    <w:rsid w:val="00916E9A"/>
    <w:rsid w:val="00917BDE"/>
    <w:rsid w:val="009201F3"/>
    <w:rsid w:val="0092040B"/>
    <w:rsid w:val="00920603"/>
    <w:rsid w:val="00920B8F"/>
    <w:rsid w:val="00922D6A"/>
    <w:rsid w:val="0092456B"/>
    <w:rsid w:val="00924630"/>
    <w:rsid w:val="00924E06"/>
    <w:rsid w:val="00924F78"/>
    <w:rsid w:val="0092537B"/>
    <w:rsid w:val="00925C83"/>
    <w:rsid w:val="00926C13"/>
    <w:rsid w:val="00926EFE"/>
    <w:rsid w:val="00930855"/>
    <w:rsid w:val="0093166D"/>
    <w:rsid w:val="0093206E"/>
    <w:rsid w:val="00932D18"/>
    <w:rsid w:val="00932E2B"/>
    <w:rsid w:val="00933A8F"/>
    <w:rsid w:val="00933B23"/>
    <w:rsid w:val="00935AB8"/>
    <w:rsid w:val="00936875"/>
    <w:rsid w:val="00937271"/>
    <w:rsid w:val="009375CF"/>
    <w:rsid w:val="00937A60"/>
    <w:rsid w:val="00940849"/>
    <w:rsid w:val="0094300F"/>
    <w:rsid w:val="00943140"/>
    <w:rsid w:val="00943C38"/>
    <w:rsid w:val="00944068"/>
    <w:rsid w:val="00944A6C"/>
    <w:rsid w:val="00946E6E"/>
    <w:rsid w:val="00947542"/>
    <w:rsid w:val="00947D85"/>
    <w:rsid w:val="00951372"/>
    <w:rsid w:val="009513E1"/>
    <w:rsid w:val="00951EBB"/>
    <w:rsid w:val="00952A4F"/>
    <w:rsid w:val="00952CEC"/>
    <w:rsid w:val="00953F95"/>
    <w:rsid w:val="00954770"/>
    <w:rsid w:val="00956EBF"/>
    <w:rsid w:val="0095774D"/>
    <w:rsid w:val="00957B25"/>
    <w:rsid w:val="009609E4"/>
    <w:rsid w:val="00961175"/>
    <w:rsid w:val="009623A5"/>
    <w:rsid w:val="00964343"/>
    <w:rsid w:val="00964595"/>
    <w:rsid w:val="00964A52"/>
    <w:rsid w:val="00964D7C"/>
    <w:rsid w:val="00965A5F"/>
    <w:rsid w:val="009669F3"/>
    <w:rsid w:val="0096756F"/>
    <w:rsid w:val="00970C48"/>
    <w:rsid w:val="009723E0"/>
    <w:rsid w:val="00972711"/>
    <w:rsid w:val="009729DB"/>
    <w:rsid w:val="009732FA"/>
    <w:rsid w:val="00973524"/>
    <w:rsid w:val="009736EA"/>
    <w:rsid w:val="0097403E"/>
    <w:rsid w:val="0097477B"/>
    <w:rsid w:val="00975B01"/>
    <w:rsid w:val="00976085"/>
    <w:rsid w:val="00976CD5"/>
    <w:rsid w:val="00977568"/>
    <w:rsid w:val="009805A8"/>
    <w:rsid w:val="00980A6A"/>
    <w:rsid w:val="00980F2F"/>
    <w:rsid w:val="00982147"/>
    <w:rsid w:val="00982336"/>
    <w:rsid w:val="00982721"/>
    <w:rsid w:val="00982818"/>
    <w:rsid w:val="0098343A"/>
    <w:rsid w:val="00983B04"/>
    <w:rsid w:val="00983B8D"/>
    <w:rsid w:val="00984808"/>
    <w:rsid w:val="00985238"/>
    <w:rsid w:val="00987909"/>
    <w:rsid w:val="00991C5E"/>
    <w:rsid w:val="009938CB"/>
    <w:rsid w:val="00993BEB"/>
    <w:rsid w:val="00994381"/>
    <w:rsid w:val="00995D64"/>
    <w:rsid w:val="0099625B"/>
    <w:rsid w:val="009968D7"/>
    <w:rsid w:val="00996A1B"/>
    <w:rsid w:val="00996C87"/>
    <w:rsid w:val="00996F43"/>
    <w:rsid w:val="00997F99"/>
    <w:rsid w:val="009A0720"/>
    <w:rsid w:val="009A09DB"/>
    <w:rsid w:val="009A1027"/>
    <w:rsid w:val="009A197E"/>
    <w:rsid w:val="009A1F8E"/>
    <w:rsid w:val="009A26CB"/>
    <w:rsid w:val="009A28A5"/>
    <w:rsid w:val="009A391F"/>
    <w:rsid w:val="009A3EA5"/>
    <w:rsid w:val="009A42D9"/>
    <w:rsid w:val="009A519B"/>
    <w:rsid w:val="009A53E2"/>
    <w:rsid w:val="009A5B7A"/>
    <w:rsid w:val="009A7935"/>
    <w:rsid w:val="009B15FD"/>
    <w:rsid w:val="009B2EC3"/>
    <w:rsid w:val="009B3510"/>
    <w:rsid w:val="009B49AF"/>
    <w:rsid w:val="009B4D39"/>
    <w:rsid w:val="009B5FC3"/>
    <w:rsid w:val="009B681E"/>
    <w:rsid w:val="009C00A6"/>
    <w:rsid w:val="009C092C"/>
    <w:rsid w:val="009C1374"/>
    <w:rsid w:val="009C2050"/>
    <w:rsid w:val="009C26D3"/>
    <w:rsid w:val="009C3015"/>
    <w:rsid w:val="009C438A"/>
    <w:rsid w:val="009C47AC"/>
    <w:rsid w:val="009C5017"/>
    <w:rsid w:val="009C5561"/>
    <w:rsid w:val="009C5BE6"/>
    <w:rsid w:val="009C617C"/>
    <w:rsid w:val="009C6C96"/>
    <w:rsid w:val="009D15B6"/>
    <w:rsid w:val="009D2804"/>
    <w:rsid w:val="009D2FB7"/>
    <w:rsid w:val="009D458B"/>
    <w:rsid w:val="009D4CC3"/>
    <w:rsid w:val="009D593B"/>
    <w:rsid w:val="009D6596"/>
    <w:rsid w:val="009D6BA7"/>
    <w:rsid w:val="009D7612"/>
    <w:rsid w:val="009E0F16"/>
    <w:rsid w:val="009E1808"/>
    <w:rsid w:val="009E20D9"/>
    <w:rsid w:val="009E2D31"/>
    <w:rsid w:val="009E36E5"/>
    <w:rsid w:val="009E3989"/>
    <w:rsid w:val="009E4B50"/>
    <w:rsid w:val="009E4F14"/>
    <w:rsid w:val="009E5FFE"/>
    <w:rsid w:val="009E653B"/>
    <w:rsid w:val="009E73CC"/>
    <w:rsid w:val="009E76AA"/>
    <w:rsid w:val="009E7ADE"/>
    <w:rsid w:val="009E7B29"/>
    <w:rsid w:val="009F142E"/>
    <w:rsid w:val="009F19A9"/>
    <w:rsid w:val="009F26D7"/>
    <w:rsid w:val="009F305D"/>
    <w:rsid w:val="009F5B62"/>
    <w:rsid w:val="009F6293"/>
    <w:rsid w:val="009F633B"/>
    <w:rsid w:val="009F636D"/>
    <w:rsid w:val="009F6A4B"/>
    <w:rsid w:val="009F72CC"/>
    <w:rsid w:val="009F7D90"/>
    <w:rsid w:val="009F7EDC"/>
    <w:rsid w:val="00A0082A"/>
    <w:rsid w:val="00A0097A"/>
    <w:rsid w:val="00A021EB"/>
    <w:rsid w:val="00A02201"/>
    <w:rsid w:val="00A026B6"/>
    <w:rsid w:val="00A02AE0"/>
    <w:rsid w:val="00A04406"/>
    <w:rsid w:val="00A04AF2"/>
    <w:rsid w:val="00A04B6A"/>
    <w:rsid w:val="00A05B1E"/>
    <w:rsid w:val="00A05E6A"/>
    <w:rsid w:val="00A06373"/>
    <w:rsid w:val="00A06F20"/>
    <w:rsid w:val="00A07258"/>
    <w:rsid w:val="00A076F3"/>
    <w:rsid w:val="00A07907"/>
    <w:rsid w:val="00A07CEF"/>
    <w:rsid w:val="00A102E1"/>
    <w:rsid w:val="00A10D7F"/>
    <w:rsid w:val="00A113C3"/>
    <w:rsid w:val="00A1224E"/>
    <w:rsid w:val="00A138A6"/>
    <w:rsid w:val="00A13907"/>
    <w:rsid w:val="00A13FCB"/>
    <w:rsid w:val="00A14C9C"/>
    <w:rsid w:val="00A153CE"/>
    <w:rsid w:val="00A17327"/>
    <w:rsid w:val="00A20096"/>
    <w:rsid w:val="00A21951"/>
    <w:rsid w:val="00A21BFD"/>
    <w:rsid w:val="00A21F67"/>
    <w:rsid w:val="00A22232"/>
    <w:rsid w:val="00A23FAB"/>
    <w:rsid w:val="00A24298"/>
    <w:rsid w:val="00A24753"/>
    <w:rsid w:val="00A24EF3"/>
    <w:rsid w:val="00A2707A"/>
    <w:rsid w:val="00A305A8"/>
    <w:rsid w:val="00A32931"/>
    <w:rsid w:val="00A33890"/>
    <w:rsid w:val="00A34428"/>
    <w:rsid w:val="00A356F7"/>
    <w:rsid w:val="00A363BD"/>
    <w:rsid w:val="00A365EF"/>
    <w:rsid w:val="00A36691"/>
    <w:rsid w:val="00A36F17"/>
    <w:rsid w:val="00A37873"/>
    <w:rsid w:val="00A37F95"/>
    <w:rsid w:val="00A400C4"/>
    <w:rsid w:val="00A403D1"/>
    <w:rsid w:val="00A40E30"/>
    <w:rsid w:val="00A41080"/>
    <w:rsid w:val="00A4133C"/>
    <w:rsid w:val="00A42452"/>
    <w:rsid w:val="00A438A2"/>
    <w:rsid w:val="00A44876"/>
    <w:rsid w:val="00A44BCA"/>
    <w:rsid w:val="00A45100"/>
    <w:rsid w:val="00A4705E"/>
    <w:rsid w:val="00A47796"/>
    <w:rsid w:val="00A47BA1"/>
    <w:rsid w:val="00A51171"/>
    <w:rsid w:val="00A51EED"/>
    <w:rsid w:val="00A52056"/>
    <w:rsid w:val="00A52C49"/>
    <w:rsid w:val="00A53F5E"/>
    <w:rsid w:val="00A540AB"/>
    <w:rsid w:val="00A54499"/>
    <w:rsid w:val="00A5574A"/>
    <w:rsid w:val="00A55FFE"/>
    <w:rsid w:val="00A57B8D"/>
    <w:rsid w:val="00A60BC4"/>
    <w:rsid w:val="00A60E35"/>
    <w:rsid w:val="00A6235D"/>
    <w:rsid w:val="00A62C17"/>
    <w:rsid w:val="00A62D34"/>
    <w:rsid w:val="00A63377"/>
    <w:rsid w:val="00A6375B"/>
    <w:rsid w:val="00A646C3"/>
    <w:rsid w:val="00A6488F"/>
    <w:rsid w:val="00A64EEC"/>
    <w:rsid w:val="00A64F7E"/>
    <w:rsid w:val="00A669EF"/>
    <w:rsid w:val="00A671E7"/>
    <w:rsid w:val="00A67C27"/>
    <w:rsid w:val="00A70A0F"/>
    <w:rsid w:val="00A7270F"/>
    <w:rsid w:val="00A728BA"/>
    <w:rsid w:val="00A737ED"/>
    <w:rsid w:val="00A75A5B"/>
    <w:rsid w:val="00A75BC4"/>
    <w:rsid w:val="00A764CE"/>
    <w:rsid w:val="00A76ADF"/>
    <w:rsid w:val="00A76CDD"/>
    <w:rsid w:val="00A8247B"/>
    <w:rsid w:val="00A829BE"/>
    <w:rsid w:val="00A82C65"/>
    <w:rsid w:val="00A83BED"/>
    <w:rsid w:val="00A850F0"/>
    <w:rsid w:val="00A85CA3"/>
    <w:rsid w:val="00A87CC7"/>
    <w:rsid w:val="00A90067"/>
    <w:rsid w:val="00A90E57"/>
    <w:rsid w:val="00A9229F"/>
    <w:rsid w:val="00A922EC"/>
    <w:rsid w:val="00A97418"/>
    <w:rsid w:val="00A9754B"/>
    <w:rsid w:val="00A976E2"/>
    <w:rsid w:val="00A97992"/>
    <w:rsid w:val="00A97B75"/>
    <w:rsid w:val="00AA0328"/>
    <w:rsid w:val="00AA1175"/>
    <w:rsid w:val="00AA1324"/>
    <w:rsid w:val="00AA14B4"/>
    <w:rsid w:val="00AA1910"/>
    <w:rsid w:val="00AA19E6"/>
    <w:rsid w:val="00AA2748"/>
    <w:rsid w:val="00AA2BEE"/>
    <w:rsid w:val="00AA2D9F"/>
    <w:rsid w:val="00AA3DC3"/>
    <w:rsid w:val="00AA4C37"/>
    <w:rsid w:val="00AA4E7C"/>
    <w:rsid w:val="00AA5141"/>
    <w:rsid w:val="00AA51A6"/>
    <w:rsid w:val="00AA7456"/>
    <w:rsid w:val="00AB1C88"/>
    <w:rsid w:val="00AB1E71"/>
    <w:rsid w:val="00AB2FD0"/>
    <w:rsid w:val="00AB3241"/>
    <w:rsid w:val="00AB6264"/>
    <w:rsid w:val="00AB65B3"/>
    <w:rsid w:val="00AB66BE"/>
    <w:rsid w:val="00AB6E5A"/>
    <w:rsid w:val="00AB6E7B"/>
    <w:rsid w:val="00AB7344"/>
    <w:rsid w:val="00AB75C5"/>
    <w:rsid w:val="00AB78C8"/>
    <w:rsid w:val="00AB7EAD"/>
    <w:rsid w:val="00AC1813"/>
    <w:rsid w:val="00AC2194"/>
    <w:rsid w:val="00AC2630"/>
    <w:rsid w:val="00AC315C"/>
    <w:rsid w:val="00AC3D52"/>
    <w:rsid w:val="00AC4098"/>
    <w:rsid w:val="00AC5866"/>
    <w:rsid w:val="00AC5B80"/>
    <w:rsid w:val="00AC5E70"/>
    <w:rsid w:val="00AC65A6"/>
    <w:rsid w:val="00AC7422"/>
    <w:rsid w:val="00AD063E"/>
    <w:rsid w:val="00AD0CCC"/>
    <w:rsid w:val="00AD0D62"/>
    <w:rsid w:val="00AD1199"/>
    <w:rsid w:val="00AD1584"/>
    <w:rsid w:val="00AD199E"/>
    <w:rsid w:val="00AD2A2C"/>
    <w:rsid w:val="00AD4B96"/>
    <w:rsid w:val="00AD5793"/>
    <w:rsid w:val="00AD5949"/>
    <w:rsid w:val="00AD59F4"/>
    <w:rsid w:val="00AD5A5A"/>
    <w:rsid w:val="00AD6B6D"/>
    <w:rsid w:val="00AD791E"/>
    <w:rsid w:val="00AD7FFC"/>
    <w:rsid w:val="00AE0831"/>
    <w:rsid w:val="00AE1C20"/>
    <w:rsid w:val="00AE1F16"/>
    <w:rsid w:val="00AE2B39"/>
    <w:rsid w:val="00AE418F"/>
    <w:rsid w:val="00AE42D8"/>
    <w:rsid w:val="00AE4B92"/>
    <w:rsid w:val="00AE4DD4"/>
    <w:rsid w:val="00AE4F64"/>
    <w:rsid w:val="00AE6723"/>
    <w:rsid w:val="00AE698B"/>
    <w:rsid w:val="00AE6A0A"/>
    <w:rsid w:val="00AF3F53"/>
    <w:rsid w:val="00AF422B"/>
    <w:rsid w:val="00AF4320"/>
    <w:rsid w:val="00AF55E0"/>
    <w:rsid w:val="00AF5BE0"/>
    <w:rsid w:val="00AF5C6B"/>
    <w:rsid w:val="00AF5D7B"/>
    <w:rsid w:val="00AF630F"/>
    <w:rsid w:val="00AF6A49"/>
    <w:rsid w:val="00AF703E"/>
    <w:rsid w:val="00AF7079"/>
    <w:rsid w:val="00AF7807"/>
    <w:rsid w:val="00B002BE"/>
    <w:rsid w:val="00B01333"/>
    <w:rsid w:val="00B05280"/>
    <w:rsid w:val="00B054D1"/>
    <w:rsid w:val="00B06130"/>
    <w:rsid w:val="00B073C6"/>
    <w:rsid w:val="00B10392"/>
    <w:rsid w:val="00B10ED4"/>
    <w:rsid w:val="00B119BC"/>
    <w:rsid w:val="00B11F56"/>
    <w:rsid w:val="00B12599"/>
    <w:rsid w:val="00B12BCC"/>
    <w:rsid w:val="00B14E0F"/>
    <w:rsid w:val="00B158CD"/>
    <w:rsid w:val="00B158D0"/>
    <w:rsid w:val="00B16DD6"/>
    <w:rsid w:val="00B20310"/>
    <w:rsid w:val="00B20DEF"/>
    <w:rsid w:val="00B20E62"/>
    <w:rsid w:val="00B20FE8"/>
    <w:rsid w:val="00B21022"/>
    <w:rsid w:val="00B21460"/>
    <w:rsid w:val="00B22442"/>
    <w:rsid w:val="00B230E8"/>
    <w:rsid w:val="00B2336E"/>
    <w:rsid w:val="00B2383B"/>
    <w:rsid w:val="00B2434C"/>
    <w:rsid w:val="00B24FA7"/>
    <w:rsid w:val="00B26912"/>
    <w:rsid w:val="00B27B21"/>
    <w:rsid w:val="00B302FD"/>
    <w:rsid w:val="00B30DAA"/>
    <w:rsid w:val="00B30F29"/>
    <w:rsid w:val="00B312F5"/>
    <w:rsid w:val="00B32661"/>
    <w:rsid w:val="00B346FD"/>
    <w:rsid w:val="00B34833"/>
    <w:rsid w:val="00B35CC6"/>
    <w:rsid w:val="00B360EB"/>
    <w:rsid w:val="00B367BD"/>
    <w:rsid w:val="00B36B23"/>
    <w:rsid w:val="00B37C86"/>
    <w:rsid w:val="00B40A90"/>
    <w:rsid w:val="00B4128E"/>
    <w:rsid w:val="00B412C9"/>
    <w:rsid w:val="00B41E98"/>
    <w:rsid w:val="00B41F2A"/>
    <w:rsid w:val="00B422BE"/>
    <w:rsid w:val="00B42EC6"/>
    <w:rsid w:val="00B43670"/>
    <w:rsid w:val="00B43979"/>
    <w:rsid w:val="00B44263"/>
    <w:rsid w:val="00B44988"/>
    <w:rsid w:val="00B45613"/>
    <w:rsid w:val="00B458F9"/>
    <w:rsid w:val="00B4591A"/>
    <w:rsid w:val="00B46CFD"/>
    <w:rsid w:val="00B509B6"/>
    <w:rsid w:val="00B5141F"/>
    <w:rsid w:val="00B51D8C"/>
    <w:rsid w:val="00B53D0A"/>
    <w:rsid w:val="00B53D3A"/>
    <w:rsid w:val="00B53E2B"/>
    <w:rsid w:val="00B54253"/>
    <w:rsid w:val="00B54B08"/>
    <w:rsid w:val="00B55412"/>
    <w:rsid w:val="00B565D9"/>
    <w:rsid w:val="00B57B06"/>
    <w:rsid w:val="00B605E3"/>
    <w:rsid w:val="00B60B41"/>
    <w:rsid w:val="00B618FB"/>
    <w:rsid w:val="00B67746"/>
    <w:rsid w:val="00B70ACF"/>
    <w:rsid w:val="00B7106D"/>
    <w:rsid w:val="00B72500"/>
    <w:rsid w:val="00B73D80"/>
    <w:rsid w:val="00B75289"/>
    <w:rsid w:val="00B75934"/>
    <w:rsid w:val="00B75B53"/>
    <w:rsid w:val="00B7655C"/>
    <w:rsid w:val="00B77446"/>
    <w:rsid w:val="00B77B20"/>
    <w:rsid w:val="00B8008B"/>
    <w:rsid w:val="00B8058A"/>
    <w:rsid w:val="00B8236D"/>
    <w:rsid w:val="00B826B0"/>
    <w:rsid w:val="00B83321"/>
    <w:rsid w:val="00B848F8"/>
    <w:rsid w:val="00B852E7"/>
    <w:rsid w:val="00B85595"/>
    <w:rsid w:val="00B855ED"/>
    <w:rsid w:val="00B85CE9"/>
    <w:rsid w:val="00B86373"/>
    <w:rsid w:val="00B87CC6"/>
    <w:rsid w:val="00B87E56"/>
    <w:rsid w:val="00B91E7A"/>
    <w:rsid w:val="00B92334"/>
    <w:rsid w:val="00B92418"/>
    <w:rsid w:val="00B92790"/>
    <w:rsid w:val="00B9359A"/>
    <w:rsid w:val="00B945B6"/>
    <w:rsid w:val="00B94644"/>
    <w:rsid w:val="00B95328"/>
    <w:rsid w:val="00B95700"/>
    <w:rsid w:val="00B9633D"/>
    <w:rsid w:val="00B96722"/>
    <w:rsid w:val="00BA11B8"/>
    <w:rsid w:val="00BA3DEE"/>
    <w:rsid w:val="00BA5134"/>
    <w:rsid w:val="00BA52A2"/>
    <w:rsid w:val="00BA6631"/>
    <w:rsid w:val="00BA7577"/>
    <w:rsid w:val="00BB02F8"/>
    <w:rsid w:val="00BB17EA"/>
    <w:rsid w:val="00BB1A31"/>
    <w:rsid w:val="00BB516D"/>
    <w:rsid w:val="00BB5B6E"/>
    <w:rsid w:val="00BB62FD"/>
    <w:rsid w:val="00BB7539"/>
    <w:rsid w:val="00BB75A4"/>
    <w:rsid w:val="00BB7E23"/>
    <w:rsid w:val="00BC10C7"/>
    <w:rsid w:val="00BC16DE"/>
    <w:rsid w:val="00BC2CC1"/>
    <w:rsid w:val="00BC3D69"/>
    <w:rsid w:val="00BC5468"/>
    <w:rsid w:val="00BC6813"/>
    <w:rsid w:val="00BC7EE1"/>
    <w:rsid w:val="00BD03C1"/>
    <w:rsid w:val="00BD0A0E"/>
    <w:rsid w:val="00BD0D4D"/>
    <w:rsid w:val="00BD0F3E"/>
    <w:rsid w:val="00BD1B47"/>
    <w:rsid w:val="00BD354D"/>
    <w:rsid w:val="00BD3600"/>
    <w:rsid w:val="00BD4205"/>
    <w:rsid w:val="00BD598C"/>
    <w:rsid w:val="00BD7090"/>
    <w:rsid w:val="00BE0333"/>
    <w:rsid w:val="00BE039A"/>
    <w:rsid w:val="00BE03B1"/>
    <w:rsid w:val="00BE08C9"/>
    <w:rsid w:val="00BE1183"/>
    <w:rsid w:val="00BE19FA"/>
    <w:rsid w:val="00BE2054"/>
    <w:rsid w:val="00BE3040"/>
    <w:rsid w:val="00BE38A0"/>
    <w:rsid w:val="00BE4E39"/>
    <w:rsid w:val="00BE586C"/>
    <w:rsid w:val="00BE5B78"/>
    <w:rsid w:val="00BE5BF5"/>
    <w:rsid w:val="00BE619A"/>
    <w:rsid w:val="00BE6C20"/>
    <w:rsid w:val="00BE72E4"/>
    <w:rsid w:val="00BE738E"/>
    <w:rsid w:val="00BF03AB"/>
    <w:rsid w:val="00BF1935"/>
    <w:rsid w:val="00BF270D"/>
    <w:rsid w:val="00BF3758"/>
    <w:rsid w:val="00BF3FEE"/>
    <w:rsid w:val="00BF4AAA"/>
    <w:rsid w:val="00BF5A7F"/>
    <w:rsid w:val="00BF5AB5"/>
    <w:rsid w:val="00BF5AD2"/>
    <w:rsid w:val="00BF621B"/>
    <w:rsid w:val="00BF77E5"/>
    <w:rsid w:val="00C004CA"/>
    <w:rsid w:val="00C0113A"/>
    <w:rsid w:val="00C01423"/>
    <w:rsid w:val="00C0197D"/>
    <w:rsid w:val="00C01B6D"/>
    <w:rsid w:val="00C0243C"/>
    <w:rsid w:val="00C024CE"/>
    <w:rsid w:val="00C05B8B"/>
    <w:rsid w:val="00C05C17"/>
    <w:rsid w:val="00C066FF"/>
    <w:rsid w:val="00C07964"/>
    <w:rsid w:val="00C07BBA"/>
    <w:rsid w:val="00C10170"/>
    <w:rsid w:val="00C1132B"/>
    <w:rsid w:val="00C11665"/>
    <w:rsid w:val="00C118DB"/>
    <w:rsid w:val="00C1214A"/>
    <w:rsid w:val="00C12EDD"/>
    <w:rsid w:val="00C132FE"/>
    <w:rsid w:val="00C13505"/>
    <w:rsid w:val="00C13C6E"/>
    <w:rsid w:val="00C15307"/>
    <w:rsid w:val="00C17335"/>
    <w:rsid w:val="00C17785"/>
    <w:rsid w:val="00C20759"/>
    <w:rsid w:val="00C21305"/>
    <w:rsid w:val="00C21F2F"/>
    <w:rsid w:val="00C2277C"/>
    <w:rsid w:val="00C23050"/>
    <w:rsid w:val="00C2320E"/>
    <w:rsid w:val="00C24585"/>
    <w:rsid w:val="00C2506C"/>
    <w:rsid w:val="00C251BF"/>
    <w:rsid w:val="00C25A58"/>
    <w:rsid w:val="00C25F71"/>
    <w:rsid w:val="00C26AAC"/>
    <w:rsid w:val="00C27869"/>
    <w:rsid w:val="00C279DF"/>
    <w:rsid w:val="00C27A0C"/>
    <w:rsid w:val="00C27F2B"/>
    <w:rsid w:val="00C308AD"/>
    <w:rsid w:val="00C3282E"/>
    <w:rsid w:val="00C336DB"/>
    <w:rsid w:val="00C3526B"/>
    <w:rsid w:val="00C352A3"/>
    <w:rsid w:val="00C357E4"/>
    <w:rsid w:val="00C36E4B"/>
    <w:rsid w:val="00C37887"/>
    <w:rsid w:val="00C37A16"/>
    <w:rsid w:val="00C426DD"/>
    <w:rsid w:val="00C43918"/>
    <w:rsid w:val="00C43B69"/>
    <w:rsid w:val="00C4495A"/>
    <w:rsid w:val="00C50658"/>
    <w:rsid w:val="00C5075B"/>
    <w:rsid w:val="00C509C4"/>
    <w:rsid w:val="00C50C57"/>
    <w:rsid w:val="00C50E75"/>
    <w:rsid w:val="00C510B5"/>
    <w:rsid w:val="00C52820"/>
    <w:rsid w:val="00C5288C"/>
    <w:rsid w:val="00C52B60"/>
    <w:rsid w:val="00C5434C"/>
    <w:rsid w:val="00C548A2"/>
    <w:rsid w:val="00C556DF"/>
    <w:rsid w:val="00C55973"/>
    <w:rsid w:val="00C55D69"/>
    <w:rsid w:val="00C60246"/>
    <w:rsid w:val="00C60E62"/>
    <w:rsid w:val="00C614A1"/>
    <w:rsid w:val="00C62319"/>
    <w:rsid w:val="00C6499B"/>
    <w:rsid w:val="00C64E21"/>
    <w:rsid w:val="00C66297"/>
    <w:rsid w:val="00C6695E"/>
    <w:rsid w:val="00C67271"/>
    <w:rsid w:val="00C67DE1"/>
    <w:rsid w:val="00C72456"/>
    <w:rsid w:val="00C72582"/>
    <w:rsid w:val="00C731FC"/>
    <w:rsid w:val="00C7465E"/>
    <w:rsid w:val="00C74EC9"/>
    <w:rsid w:val="00C76825"/>
    <w:rsid w:val="00C76893"/>
    <w:rsid w:val="00C76C9D"/>
    <w:rsid w:val="00C776B6"/>
    <w:rsid w:val="00C77A3F"/>
    <w:rsid w:val="00C8075B"/>
    <w:rsid w:val="00C81142"/>
    <w:rsid w:val="00C8133E"/>
    <w:rsid w:val="00C82E94"/>
    <w:rsid w:val="00C83707"/>
    <w:rsid w:val="00C85ED1"/>
    <w:rsid w:val="00C86725"/>
    <w:rsid w:val="00C875D1"/>
    <w:rsid w:val="00C876A7"/>
    <w:rsid w:val="00C90FCB"/>
    <w:rsid w:val="00C91189"/>
    <w:rsid w:val="00C91759"/>
    <w:rsid w:val="00C91A9B"/>
    <w:rsid w:val="00C931BE"/>
    <w:rsid w:val="00C93E8F"/>
    <w:rsid w:val="00C950F1"/>
    <w:rsid w:val="00C95EE3"/>
    <w:rsid w:val="00C96EEE"/>
    <w:rsid w:val="00C97CE2"/>
    <w:rsid w:val="00CA07B5"/>
    <w:rsid w:val="00CA1A5E"/>
    <w:rsid w:val="00CA2D0B"/>
    <w:rsid w:val="00CA4124"/>
    <w:rsid w:val="00CA44E1"/>
    <w:rsid w:val="00CA45F8"/>
    <w:rsid w:val="00CA5A9E"/>
    <w:rsid w:val="00CA679E"/>
    <w:rsid w:val="00CA7197"/>
    <w:rsid w:val="00CA77B4"/>
    <w:rsid w:val="00CA7B45"/>
    <w:rsid w:val="00CB01FB"/>
    <w:rsid w:val="00CB0977"/>
    <w:rsid w:val="00CB0ABE"/>
    <w:rsid w:val="00CB1D06"/>
    <w:rsid w:val="00CB2D6A"/>
    <w:rsid w:val="00CB36FD"/>
    <w:rsid w:val="00CB3CE5"/>
    <w:rsid w:val="00CB50C3"/>
    <w:rsid w:val="00CB55CA"/>
    <w:rsid w:val="00CB5D0E"/>
    <w:rsid w:val="00CB6456"/>
    <w:rsid w:val="00CB64CC"/>
    <w:rsid w:val="00CC0624"/>
    <w:rsid w:val="00CC0DB9"/>
    <w:rsid w:val="00CC162A"/>
    <w:rsid w:val="00CC1820"/>
    <w:rsid w:val="00CC3243"/>
    <w:rsid w:val="00CC340F"/>
    <w:rsid w:val="00CC45DE"/>
    <w:rsid w:val="00CC56D1"/>
    <w:rsid w:val="00CC5FAC"/>
    <w:rsid w:val="00CC7ADF"/>
    <w:rsid w:val="00CD046B"/>
    <w:rsid w:val="00CD242F"/>
    <w:rsid w:val="00CD2488"/>
    <w:rsid w:val="00CD4326"/>
    <w:rsid w:val="00CD53C8"/>
    <w:rsid w:val="00CD585A"/>
    <w:rsid w:val="00CD6516"/>
    <w:rsid w:val="00CE2CD1"/>
    <w:rsid w:val="00CE3DEE"/>
    <w:rsid w:val="00CE3FCC"/>
    <w:rsid w:val="00CE5241"/>
    <w:rsid w:val="00CE5778"/>
    <w:rsid w:val="00CE6736"/>
    <w:rsid w:val="00CE695F"/>
    <w:rsid w:val="00CE6E1D"/>
    <w:rsid w:val="00CE72F5"/>
    <w:rsid w:val="00CF166F"/>
    <w:rsid w:val="00CF2D95"/>
    <w:rsid w:val="00CF5853"/>
    <w:rsid w:val="00CF6F53"/>
    <w:rsid w:val="00D007CD"/>
    <w:rsid w:val="00D0109C"/>
    <w:rsid w:val="00D0125F"/>
    <w:rsid w:val="00D01577"/>
    <w:rsid w:val="00D024E8"/>
    <w:rsid w:val="00D03503"/>
    <w:rsid w:val="00D047D5"/>
    <w:rsid w:val="00D05501"/>
    <w:rsid w:val="00D05F27"/>
    <w:rsid w:val="00D07314"/>
    <w:rsid w:val="00D075AA"/>
    <w:rsid w:val="00D1216F"/>
    <w:rsid w:val="00D12A3B"/>
    <w:rsid w:val="00D133D4"/>
    <w:rsid w:val="00D137F6"/>
    <w:rsid w:val="00D1547F"/>
    <w:rsid w:val="00D16C30"/>
    <w:rsid w:val="00D17928"/>
    <w:rsid w:val="00D2085E"/>
    <w:rsid w:val="00D221F5"/>
    <w:rsid w:val="00D22BE8"/>
    <w:rsid w:val="00D22EA0"/>
    <w:rsid w:val="00D23827"/>
    <w:rsid w:val="00D243DB"/>
    <w:rsid w:val="00D24E16"/>
    <w:rsid w:val="00D25319"/>
    <w:rsid w:val="00D25C92"/>
    <w:rsid w:val="00D31865"/>
    <w:rsid w:val="00D328B5"/>
    <w:rsid w:val="00D33EBF"/>
    <w:rsid w:val="00D34660"/>
    <w:rsid w:val="00D35CE5"/>
    <w:rsid w:val="00D3664E"/>
    <w:rsid w:val="00D36AB0"/>
    <w:rsid w:val="00D412A3"/>
    <w:rsid w:val="00D4269E"/>
    <w:rsid w:val="00D42C54"/>
    <w:rsid w:val="00D43747"/>
    <w:rsid w:val="00D447C6"/>
    <w:rsid w:val="00D46352"/>
    <w:rsid w:val="00D46C74"/>
    <w:rsid w:val="00D47377"/>
    <w:rsid w:val="00D50A08"/>
    <w:rsid w:val="00D50C6F"/>
    <w:rsid w:val="00D50EDA"/>
    <w:rsid w:val="00D51571"/>
    <w:rsid w:val="00D540EF"/>
    <w:rsid w:val="00D5435A"/>
    <w:rsid w:val="00D544F8"/>
    <w:rsid w:val="00D554A8"/>
    <w:rsid w:val="00D5669C"/>
    <w:rsid w:val="00D56729"/>
    <w:rsid w:val="00D56BAB"/>
    <w:rsid w:val="00D56E90"/>
    <w:rsid w:val="00D56EAA"/>
    <w:rsid w:val="00D57224"/>
    <w:rsid w:val="00D60004"/>
    <w:rsid w:val="00D60741"/>
    <w:rsid w:val="00D60D6B"/>
    <w:rsid w:val="00D61113"/>
    <w:rsid w:val="00D62BC1"/>
    <w:rsid w:val="00D63A6F"/>
    <w:rsid w:val="00D654EC"/>
    <w:rsid w:val="00D65685"/>
    <w:rsid w:val="00D65721"/>
    <w:rsid w:val="00D6657D"/>
    <w:rsid w:val="00D71427"/>
    <w:rsid w:val="00D716B0"/>
    <w:rsid w:val="00D71FCC"/>
    <w:rsid w:val="00D71FF0"/>
    <w:rsid w:val="00D72D4F"/>
    <w:rsid w:val="00D72FE4"/>
    <w:rsid w:val="00D76316"/>
    <w:rsid w:val="00D7748E"/>
    <w:rsid w:val="00D80E62"/>
    <w:rsid w:val="00D8131C"/>
    <w:rsid w:val="00D82D91"/>
    <w:rsid w:val="00D83664"/>
    <w:rsid w:val="00D84E7C"/>
    <w:rsid w:val="00D8686E"/>
    <w:rsid w:val="00D8717B"/>
    <w:rsid w:val="00D901CE"/>
    <w:rsid w:val="00D9062F"/>
    <w:rsid w:val="00D90A2F"/>
    <w:rsid w:val="00D91635"/>
    <w:rsid w:val="00D916CD"/>
    <w:rsid w:val="00D918BA"/>
    <w:rsid w:val="00D91E4E"/>
    <w:rsid w:val="00D9243E"/>
    <w:rsid w:val="00D94730"/>
    <w:rsid w:val="00D94C75"/>
    <w:rsid w:val="00D96048"/>
    <w:rsid w:val="00D96A46"/>
    <w:rsid w:val="00D97226"/>
    <w:rsid w:val="00D9761E"/>
    <w:rsid w:val="00D976DA"/>
    <w:rsid w:val="00DA37AB"/>
    <w:rsid w:val="00DA635E"/>
    <w:rsid w:val="00DA6567"/>
    <w:rsid w:val="00DA6B29"/>
    <w:rsid w:val="00DA6CBB"/>
    <w:rsid w:val="00DA75F2"/>
    <w:rsid w:val="00DA7CF7"/>
    <w:rsid w:val="00DA7FB2"/>
    <w:rsid w:val="00DB02AB"/>
    <w:rsid w:val="00DB07E1"/>
    <w:rsid w:val="00DB090B"/>
    <w:rsid w:val="00DB2496"/>
    <w:rsid w:val="00DB2D27"/>
    <w:rsid w:val="00DB360B"/>
    <w:rsid w:val="00DB363B"/>
    <w:rsid w:val="00DB4522"/>
    <w:rsid w:val="00DB46C9"/>
    <w:rsid w:val="00DB5508"/>
    <w:rsid w:val="00DB595F"/>
    <w:rsid w:val="00DB6104"/>
    <w:rsid w:val="00DB7017"/>
    <w:rsid w:val="00DC03DD"/>
    <w:rsid w:val="00DC12B6"/>
    <w:rsid w:val="00DC1A98"/>
    <w:rsid w:val="00DC2649"/>
    <w:rsid w:val="00DC384B"/>
    <w:rsid w:val="00DC4093"/>
    <w:rsid w:val="00DC5FBE"/>
    <w:rsid w:val="00DC7435"/>
    <w:rsid w:val="00DD01A9"/>
    <w:rsid w:val="00DD0939"/>
    <w:rsid w:val="00DD16BB"/>
    <w:rsid w:val="00DD2AB6"/>
    <w:rsid w:val="00DD4FB3"/>
    <w:rsid w:val="00DD5426"/>
    <w:rsid w:val="00DE05DA"/>
    <w:rsid w:val="00DE1154"/>
    <w:rsid w:val="00DE1663"/>
    <w:rsid w:val="00DE225A"/>
    <w:rsid w:val="00DE23DC"/>
    <w:rsid w:val="00DE314B"/>
    <w:rsid w:val="00DE54C2"/>
    <w:rsid w:val="00DE5C03"/>
    <w:rsid w:val="00DE6B87"/>
    <w:rsid w:val="00DE6E8E"/>
    <w:rsid w:val="00DF0125"/>
    <w:rsid w:val="00DF0909"/>
    <w:rsid w:val="00DF0EAF"/>
    <w:rsid w:val="00DF3831"/>
    <w:rsid w:val="00DF3F55"/>
    <w:rsid w:val="00DF45C5"/>
    <w:rsid w:val="00DF4771"/>
    <w:rsid w:val="00DF4B84"/>
    <w:rsid w:val="00DF682C"/>
    <w:rsid w:val="00DF6ABB"/>
    <w:rsid w:val="00E00009"/>
    <w:rsid w:val="00E0018E"/>
    <w:rsid w:val="00E007D5"/>
    <w:rsid w:val="00E00CAB"/>
    <w:rsid w:val="00E01026"/>
    <w:rsid w:val="00E01D22"/>
    <w:rsid w:val="00E024BD"/>
    <w:rsid w:val="00E029F8"/>
    <w:rsid w:val="00E0321C"/>
    <w:rsid w:val="00E0458A"/>
    <w:rsid w:val="00E04C00"/>
    <w:rsid w:val="00E05582"/>
    <w:rsid w:val="00E0599F"/>
    <w:rsid w:val="00E06B13"/>
    <w:rsid w:val="00E06ED0"/>
    <w:rsid w:val="00E1076D"/>
    <w:rsid w:val="00E10D04"/>
    <w:rsid w:val="00E120C8"/>
    <w:rsid w:val="00E12EA9"/>
    <w:rsid w:val="00E13743"/>
    <w:rsid w:val="00E1374D"/>
    <w:rsid w:val="00E13A76"/>
    <w:rsid w:val="00E13CE9"/>
    <w:rsid w:val="00E14A41"/>
    <w:rsid w:val="00E1522E"/>
    <w:rsid w:val="00E163FD"/>
    <w:rsid w:val="00E16461"/>
    <w:rsid w:val="00E16748"/>
    <w:rsid w:val="00E17929"/>
    <w:rsid w:val="00E2048D"/>
    <w:rsid w:val="00E24A0F"/>
    <w:rsid w:val="00E24A79"/>
    <w:rsid w:val="00E24B6B"/>
    <w:rsid w:val="00E2564C"/>
    <w:rsid w:val="00E25EA4"/>
    <w:rsid w:val="00E261F9"/>
    <w:rsid w:val="00E27DDD"/>
    <w:rsid w:val="00E27E68"/>
    <w:rsid w:val="00E30038"/>
    <w:rsid w:val="00E30931"/>
    <w:rsid w:val="00E30B5E"/>
    <w:rsid w:val="00E30F67"/>
    <w:rsid w:val="00E331D5"/>
    <w:rsid w:val="00E33A05"/>
    <w:rsid w:val="00E33AF0"/>
    <w:rsid w:val="00E33B61"/>
    <w:rsid w:val="00E34D39"/>
    <w:rsid w:val="00E34E2A"/>
    <w:rsid w:val="00E35177"/>
    <w:rsid w:val="00E366AC"/>
    <w:rsid w:val="00E407B3"/>
    <w:rsid w:val="00E4095E"/>
    <w:rsid w:val="00E40986"/>
    <w:rsid w:val="00E41463"/>
    <w:rsid w:val="00E41679"/>
    <w:rsid w:val="00E42E45"/>
    <w:rsid w:val="00E43251"/>
    <w:rsid w:val="00E434B1"/>
    <w:rsid w:val="00E43813"/>
    <w:rsid w:val="00E43D2A"/>
    <w:rsid w:val="00E441C0"/>
    <w:rsid w:val="00E44BAF"/>
    <w:rsid w:val="00E44E51"/>
    <w:rsid w:val="00E4585C"/>
    <w:rsid w:val="00E458CE"/>
    <w:rsid w:val="00E458F8"/>
    <w:rsid w:val="00E45A07"/>
    <w:rsid w:val="00E508EA"/>
    <w:rsid w:val="00E514D8"/>
    <w:rsid w:val="00E53938"/>
    <w:rsid w:val="00E543E6"/>
    <w:rsid w:val="00E5513B"/>
    <w:rsid w:val="00E55953"/>
    <w:rsid w:val="00E55BE3"/>
    <w:rsid w:val="00E6085C"/>
    <w:rsid w:val="00E609A2"/>
    <w:rsid w:val="00E61562"/>
    <w:rsid w:val="00E6161E"/>
    <w:rsid w:val="00E62AA3"/>
    <w:rsid w:val="00E64124"/>
    <w:rsid w:val="00E66D57"/>
    <w:rsid w:val="00E67287"/>
    <w:rsid w:val="00E67310"/>
    <w:rsid w:val="00E708C2"/>
    <w:rsid w:val="00E71132"/>
    <w:rsid w:val="00E716EF"/>
    <w:rsid w:val="00E725EA"/>
    <w:rsid w:val="00E72F2D"/>
    <w:rsid w:val="00E7339F"/>
    <w:rsid w:val="00E736D2"/>
    <w:rsid w:val="00E73710"/>
    <w:rsid w:val="00E74544"/>
    <w:rsid w:val="00E75252"/>
    <w:rsid w:val="00E75275"/>
    <w:rsid w:val="00E752EC"/>
    <w:rsid w:val="00E7535E"/>
    <w:rsid w:val="00E75A29"/>
    <w:rsid w:val="00E76DAE"/>
    <w:rsid w:val="00E77489"/>
    <w:rsid w:val="00E77D5D"/>
    <w:rsid w:val="00E8023C"/>
    <w:rsid w:val="00E80CE1"/>
    <w:rsid w:val="00E810B2"/>
    <w:rsid w:val="00E811E7"/>
    <w:rsid w:val="00E814C2"/>
    <w:rsid w:val="00E82561"/>
    <w:rsid w:val="00E83552"/>
    <w:rsid w:val="00E84008"/>
    <w:rsid w:val="00E84F0F"/>
    <w:rsid w:val="00E85299"/>
    <w:rsid w:val="00E8789D"/>
    <w:rsid w:val="00E87BE0"/>
    <w:rsid w:val="00E90912"/>
    <w:rsid w:val="00E91197"/>
    <w:rsid w:val="00E9223B"/>
    <w:rsid w:val="00E9318F"/>
    <w:rsid w:val="00E93DB3"/>
    <w:rsid w:val="00E94151"/>
    <w:rsid w:val="00E9447F"/>
    <w:rsid w:val="00E94590"/>
    <w:rsid w:val="00E96DDB"/>
    <w:rsid w:val="00E9718E"/>
    <w:rsid w:val="00EA013E"/>
    <w:rsid w:val="00EA0151"/>
    <w:rsid w:val="00EA0636"/>
    <w:rsid w:val="00EA0B11"/>
    <w:rsid w:val="00EA0D31"/>
    <w:rsid w:val="00EA187F"/>
    <w:rsid w:val="00EA53CB"/>
    <w:rsid w:val="00EA59F3"/>
    <w:rsid w:val="00EA5EAB"/>
    <w:rsid w:val="00EA7840"/>
    <w:rsid w:val="00EA7E7C"/>
    <w:rsid w:val="00EB09D1"/>
    <w:rsid w:val="00EB0B34"/>
    <w:rsid w:val="00EB0E14"/>
    <w:rsid w:val="00EB140F"/>
    <w:rsid w:val="00EB21AD"/>
    <w:rsid w:val="00EB2735"/>
    <w:rsid w:val="00EB3BBD"/>
    <w:rsid w:val="00EB4336"/>
    <w:rsid w:val="00EB4A1C"/>
    <w:rsid w:val="00EB4D7B"/>
    <w:rsid w:val="00EB4DD1"/>
    <w:rsid w:val="00EB5AAA"/>
    <w:rsid w:val="00EB5BA3"/>
    <w:rsid w:val="00EB5C59"/>
    <w:rsid w:val="00EB6FFB"/>
    <w:rsid w:val="00EB70C4"/>
    <w:rsid w:val="00EC0116"/>
    <w:rsid w:val="00EC05E3"/>
    <w:rsid w:val="00EC2650"/>
    <w:rsid w:val="00EC2BE0"/>
    <w:rsid w:val="00EC3FF8"/>
    <w:rsid w:val="00EC4882"/>
    <w:rsid w:val="00EC684B"/>
    <w:rsid w:val="00EC6AC2"/>
    <w:rsid w:val="00EC7E0E"/>
    <w:rsid w:val="00ED0878"/>
    <w:rsid w:val="00ED088E"/>
    <w:rsid w:val="00ED1096"/>
    <w:rsid w:val="00ED1B80"/>
    <w:rsid w:val="00ED1F6F"/>
    <w:rsid w:val="00ED2DED"/>
    <w:rsid w:val="00ED378C"/>
    <w:rsid w:val="00ED3B6E"/>
    <w:rsid w:val="00ED6234"/>
    <w:rsid w:val="00ED68ED"/>
    <w:rsid w:val="00EE0EEE"/>
    <w:rsid w:val="00EE1C22"/>
    <w:rsid w:val="00EE2D9B"/>
    <w:rsid w:val="00EE4A1A"/>
    <w:rsid w:val="00EE5F19"/>
    <w:rsid w:val="00EE7459"/>
    <w:rsid w:val="00EF056A"/>
    <w:rsid w:val="00EF0A36"/>
    <w:rsid w:val="00EF0B22"/>
    <w:rsid w:val="00EF0F19"/>
    <w:rsid w:val="00EF111B"/>
    <w:rsid w:val="00EF1449"/>
    <w:rsid w:val="00EF2B4B"/>
    <w:rsid w:val="00EF3583"/>
    <w:rsid w:val="00EF3F23"/>
    <w:rsid w:val="00EF449F"/>
    <w:rsid w:val="00EF47F3"/>
    <w:rsid w:val="00EF4DB3"/>
    <w:rsid w:val="00EF5402"/>
    <w:rsid w:val="00EF6877"/>
    <w:rsid w:val="00EF68E6"/>
    <w:rsid w:val="00EF7C4D"/>
    <w:rsid w:val="00F00215"/>
    <w:rsid w:val="00F0045E"/>
    <w:rsid w:val="00F031FA"/>
    <w:rsid w:val="00F0591D"/>
    <w:rsid w:val="00F06B7D"/>
    <w:rsid w:val="00F07049"/>
    <w:rsid w:val="00F07776"/>
    <w:rsid w:val="00F10506"/>
    <w:rsid w:val="00F10914"/>
    <w:rsid w:val="00F121E4"/>
    <w:rsid w:val="00F131CA"/>
    <w:rsid w:val="00F132A6"/>
    <w:rsid w:val="00F134E6"/>
    <w:rsid w:val="00F13B1D"/>
    <w:rsid w:val="00F14803"/>
    <w:rsid w:val="00F1500B"/>
    <w:rsid w:val="00F170FE"/>
    <w:rsid w:val="00F17187"/>
    <w:rsid w:val="00F20492"/>
    <w:rsid w:val="00F20CD3"/>
    <w:rsid w:val="00F21D8D"/>
    <w:rsid w:val="00F22290"/>
    <w:rsid w:val="00F22744"/>
    <w:rsid w:val="00F23B60"/>
    <w:rsid w:val="00F2457F"/>
    <w:rsid w:val="00F250A4"/>
    <w:rsid w:val="00F25849"/>
    <w:rsid w:val="00F25E1B"/>
    <w:rsid w:val="00F26CBE"/>
    <w:rsid w:val="00F30079"/>
    <w:rsid w:val="00F30BB1"/>
    <w:rsid w:val="00F318CD"/>
    <w:rsid w:val="00F31A84"/>
    <w:rsid w:val="00F31E34"/>
    <w:rsid w:val="00F33469"/>
    <w:rsid w:val="00F342B3"/>
    <w:rsid w:val="00F34704"/>
    <w:rsid w:val="00F34FE8"/>
    <w:rsid w:val="00F3502B"/>
    <w:rsid w:val="00F4327B"/>
    <w:rsid w:val="00F43D9C"/>
    <w:rsid w:val="00F47073"/>
    <w:rsid w:val="00F471DF"/>
    <w:rsid w:val="00F514A0"/>
    <w:rsid w:val="00F527A5"/>
    <w:rsid w:val="00F52C6E"/>
    <w:rsid w:val="00F52D3A"/>
    <w:rsid w:val="00F54236"/>
    <w:rsid w:val="00F547D3"/>
    <w:rsid w:val="00F566AF"/>
    <w:rsid w:val="00F56FE5"/>
    <w:rsid w:val="00F575AB"/>
    <w:rsid w:val="00F57A7B"/>
    <w:rsid w:val="00F60133"/>
    <w:rsid w:val="00F60296"/>
    <w:rsid w:val="00F611F1"/>
    <w:rsid w:val="00F62C99"/>
    <w:rsid w:val="00F634DC"/>
    <w:rsid w:val="00F63AFE"/>
    <w:rsid w:val="00F63C42"/>
    <w:rsid w:val="00F65C46"/>
    <w:rsid w:val="00F676B6"/>
    <w:rsid w:val="00F71DAD"/>
    <w:rsid w:val="00F7205C"/>
    <w:rsid w:val="00F72713"/>
    <w:rsid w:val="00F72BD0"/>
    <w:rsid w:val="00F72F17"/>
    <w:rsid w:val="00F73384"/>
    <w:rsid w:val="00F73FF5"/>
    <w:rsid w:val="00F75D15"/>
    <w:rsid w:val="00F75EFA"/>
    <w:rsid w:val="00F76D4C"/>
    <w:rsid w:val="00F772F0"/>
    <w:rsid w:val="00F77395"/>
    <w:rsid w:val="00F77516"/>
    <w:rsid w:val="00F77FE0"/>
    <w:rsid w:val="00F80D54"/>
    <w:rsid w:val="00F8192D"/>
    <w:rsid w:val="00F81C84"/>
    <w:rsid w:val="00F82051"/>
    <w:rsid w:val="00F84CDB"/>
    <w:rsid w:val="00F855EF"/>
    <w:rsid w:val="00F85969"/>
    <w:rsid w:val="00F872E9"/>
    <w:rsid w:val="00F90211"/>
    <w:rsid w:val="00F9155F"/>
    <w:rsid w:val="00F9175B"/>
    <w:rsid w:val="00F91793"/>
    <w:rsid w:val="00F922FA"/>
    <w:rsid w:val="00F924DC"/>
    <w:rsid w:val="00F92640"/>
    <w:rsid w:val="00F93BB8"/>
    <w:rsid w:val="00F93C45"/>
    <w:rsid w:val="00F94A07"/>
    <w:rsid w:val="00F9521D"/>
    <w:rsid w:val="00F969E0"/>
    <w:rsid w:val="00F96D0F"/>
    <w:rsid w:val="00F979FB"/>
    <w:rsid w:val="00FA0464"/>
    <w:rsid w:val="00FA3824"/>
    <w:rsid w:val="00FA39C6"/>
    <w:rsid w:val="00FA3DC2"/>
    <w:rsid w:val="00FA3E29"/>
    <w:rsid w:val="00FA54E8"/>
    <w:rsid w:val="00FA57E1"/>
    <w:rsid w:val="00FA62AE"/>
    <w:rsid w:val="00FA65BF"/>
    <w:rsid w:val="00FA6C07"/>
    <w:rsid w:val="00FA7195"/>
    <w:rsid w:val="00FA7BD2"/>
    <w:rsid w:val="00FB0827"/>
    <w:rsid w:val="00FB10CC"/>
    <w:rsid w:val="00FB124D"/>
    <w:rsid w:val="00FB2451"/>
    <w:rsid w:val="00FB3198"/>
    <w:rsid w:val="00FB3A60"/>
    <w:rsid w:val="00FB3F59"/>
    <w:rsid w:val="00FB53F5"/>
    <w:rsid w:val="00FB597D"/>
    <w:rsid w:val="00FB5ADC"/>
    <w:rsid w:val="00FB7486"/>
    <w:rsid w:val="00FB7AB9"/>
    <w:rsid w:val="00FB7B11"/>
    <w:rsid w:val="00FB7EC7"/>
    <w:rsid w:val="00FC0CD1"/>
    <w:rsid w:val="00FC1F98"/>
    <w:rsid w:val="00FC229A"/>
    <w:rsid w:val="00FC3E39"/>
    <w:rsid w:val="00FC4524"/>
    <w:rsid w:val="00FC4769"/>
    <w:rsid w:val="00FC4DEE"/>
    <w:rsid w:val="00FC55C1"/>
    <w:rsid w:val="00FC570E"/>
    <w:rsid w:val="00FC5FA0"/>
    <w:rsid w:val="00FC6D97"/>
    <w:rsid w:val="00FD0555"/>
    <w:rsid w:val="00FD085D"/>
    <w:rsid w:val="00FD2646"/>
    <w:rsid w:val="00FD3D58"/>
    <w:rsid w:val="00FD512E"/>
    <w:rsid w:val="00FD54BE"/>
    <w:rsid w:val="00FD559F"/>
    <w:rsid w:val="00FD568D"/>
    <w:rsid w:val="00FD5E32"/>
    <w:rsid w:val="00FE4416"/>
    <w:rsid w:val="00FE4978"/>
    <w:rsid w:val="00FE4B3C"/>
    <w:rsid w:val="00FE4F9F"/>
    <w:rsid w:val="00FE4FB8"/>
    <w:rsid w:val="00FE6834"/>
    <w:rsid w:val="00FE690F"/>
    <w:rsid w:val="00FF0AB1"/>
    <w:rsid w:val="00FF1DE2"/>
    <w:rsid w:val="00FF225F"/>
    <w:rsid w:val="00FF228C"/>
    <w:rsid w:val="00FF239C"/>
    <w:rsid w:val="00FF2D25"/>
    <w:rsid w:val="00FF330F"/>
    <w:rsid w:val="00FF40C0"/>
    <w:rsid w:val="00FF5FAA"/>
    <w:rsid w:val="00FF667F"/>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0F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B4F"/>
    <w:pPr>
      <w:spacing w:after="0" w:line="288" w:lineRule="auto"/>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7A1A7C"/>
    <w:rPr>
      <w:rFonts w:ascii="Century Schoolbook" w:hAnsi="Century Schoolbook"/>
      <w:b/>
      <w:sz w:val="26"/>
      <w:vertAlign w:val="superscript"/>
    </w:rPr>
  </w:style>
  <w:style w:type="paragraph" w:styleId="FootnoteText">
    <w:name w:val="footnote text"/>
    <w:basedOn w:val="Normal"/>
    <w:link w:val="FootnoteTextChar"/>
    <w:autoRedefine/>
    <w:qFormat/>
    <w:rsid w:val="00A36F17"/>
    <w:pPr>
      <w:spacing w:after="240" w:line="240" w:lineRule="auto"/>
    </w:pPr>
    <w:rPr>
      <w:rFonts w:eastAsia="Times New Roman" w:cstheme="minorBidi"/>
      <w:bCs/>
    </w:rPr>
  </w:style>
  <w:style w:type="character" w:customStyle="1" w:styleId="FootnoteTextChar">
    <w:name w:val="Footnote Text Char"/>
    <w:basedOn w:val="DefaultParagraphFont"/>
    <w:link w:val="FootnoteText"/>
    <w:rsid w:val="00A36F17"/>
    <w:rPr>
      <w:rFonts w:ascii="Century Schoolbook" w:eastAsia="Times New Roman" w:hAnsi="Century Schoolbook" w:cstheme="minorBidi"/>
      <w:bCs/>
      <w:sz w:val="26"/>
    </w:rPr>
  </w:style>
  <w:style w:type="paragraph" w:styleId="BodyText">
    <w:name w:val="Body Text"/>
    <w:aliases w:val="Ken"/>
    <w:basedOn w:val="Normal"/>
    <w:link w:val="BodyTextChar"/>
    <w:uiPriority w:val="99"/>
    <w:semiHidden/>
    <w:unhideWhenUsed/>
    <w:qFormat/>
    <w:rsid w:val="00B87CC6"/>
    <w:pPr>
      <w:spacing w:line="480" w:lineRule="auto"/>
      <w:ind w:firstLine="720"/>
    </w:pPr>
    <w:rPr>
      <w:szCs w:val="22"/>
    </w:rPr>
  </w:style>
  <w:style w:type="character" w:customStyle="1" w:styleId="BodyTextChar">
    <w:name w:val="Body Text Char"/>
    <w:aliases w:val="Ken Char"/>
    <w:basedOn w:val="DefaultParagraphFont"/>
    <w:link w:val="BodyText"/>
    <w:uiPriority w:val="99"/>
    <w:semiHidden/>
    <w:rsid w:val="00B87CC6"/>
    <w:rPr>
      <w:rFonts w:ascii="Times New Roman" w:hAnsi="Times New Roman"/>
      <w:sz w:val="26"/>
      <w:szCs w:val="22"/>
    </w:rPr>
  </w:style>
  <w:style w:type="paragraph" w:styleId="BodyText2">
    <w:name w:val="Body Text 2"/>
    <w:aliases w:val="KEN BODY TEXT"/>
    <w:basedOn w:val="Normal"/>
    <w:link w:val="BodyText2Char"/>
    <w:uiPriority w:val="99"/>
    <w:semiHidden/>
    <w:unhideWhenUsed/>
    <w:qFormat/>
    <w:rsid w:val="006902A0"/>
    <w:pPr>
      <w:spacing w:line="480" w:lineRule="auto"/>
      <w:ind w:firstLine="720"/>
    </w:pPr>
    <w:rPr>
      <w:szCs w:val="22"/>
    </w:rPr>
  </w:style>
  <w:style w:type="character" w:customStyle="1" w:styleId="BodyText2Char">
    <w:name w:val="Body Text 2 Char"/>
    <w:aliases w:val="KEN BODY TEXT Char"/>
    <w:basedOn w:val="DefaultParagraphFont"/>
    <w:link w:val="BodyText2"/>
    <w:uiPriority w:val="99"/>
    <w:semiHidden/>
    <w:rsid w:val="006902A0"/>
    <w:rPr>
      <w:rFonts w:ascii="Times New Roman" w:hAnsi="Times New Roman"/>
      <w:sz w:val="26"/>
      <w:szCs w:val="22"/>
    </w:rPr>
  </w:style>
  <w:style w:type="paragraph" w:styleId="Footer">
    <w:name w:val="footer"/>
    <w:basedOn w:val="Normal"/>
    <w:link w:val="FooterChar"/>
    <w:uiPriority w:val="99"/>
    <w:unhideWhenUsed/>
    <w:rsid w:val="00032B4F"/>
    <w:pPr>
      <w:tabs>
        <w:tab w:val="center" w:pos="4680"/>
        <w:tab w:val="right" w:pos="9360"/>
      </w:tabs>
      <w:spacing w:line="240" w:lineRule="auto"/>
    </w:pPr>
  </w:style>
  <w:style w:type="character" w:customStyle="1" w:styleId="FooterChar">
    <w:name w:val="Footer Char"/>
    <w:basedOn w:val="DefaultParagraphFont"/>
    <w:link w:val="Footer"/>
    <w:uiPriority w:val="99"/>
    <w:rsid w:val="00032B4F"/>
    <w:rPr>
      <w:rFonts w:ascii="Century Schoolbook" w:hAnsi="Century Schoolbook"/>
      <w:sz w:val="26"/>
    </w:rPr>
  </w:style>
  <w:style w:type="paragraph" w:styleId="Header">
    <w:name w:val="header"/>
    <w:basedOn w:val="Normal"/>
    <w:link w:val="HeaderChar"/>
    <w:uiPriority w:val="99"/>
    <w:unhideWhenUsed/>
    <w:rsid w:val="00032B4F"/>
    <w:pPr>
      <w:tabs>
        <w:tab w:val="center" w:pos="4680"/>
        <w:tab w:val="right" w:pos="9360"/>
      </w:tabs>
      <w:spacing w:line="240" w:lineRule="auto"/>
    </w:pPr>
  </w:style>
  <w:style w:type="character" w:customStyle="1" w:styleId="HeaderChar">
    <w:name w:val="Header Char"/>
    <w:basedOn w:val="DefaultParagraphFont"/>
    <w:link w:val="Header"/>
    <w:uiPriority w:val="99"/>
    <w:rsid w:val="00032B4F"/>
    <w:rPr>
      <w:rFonts w:ascii="Century Schoolbook" w:hAnsi="Century Schoolbook"/>
      <w:sz w:val="26"/>
    </w:rPr>
  </w:style>
  <w:style w:type="paragraph" w:customStyle="1" w:styleId="Style1">
    <w:name w:val="Style1"/>
    <w:basedOn w:val="Normal"/>
    <w:link w:val="Style1Char"/>
    <w:qFormat/>
    <w:rsid w:val="004D3041"/>
    <w:rPr>
      <w:bCs/>
      <w:szCs w:val="26"/>
    </w:rPr>
  </w:style>
  <w:style w:type="paragraph" w:customStyle="1" w:styleId="Heading1">
    <w:name w:val="Heading1"/>
    <w:basedOn w:val="Style1"/>
    <w:link w:val="Heading1Char"/>
    <w:qFormat/>
    <w:rsid w:val="00122908"/>
    <w:pPr>
      <w:spacing w:before="120" w:after="120"/>
      <w:jc w:val="center"/>
    </w:pPr>
    <w:rPr>
      <w:b/>
      <w:bCs w:val="0"/>
    </w:rPr>
  </w:style>
  <w:style w:type="paragraph" w:customStyle="1" w:styleId="Heading2">
    <w:name w:val="Heading2"/>
    <w:basedOn w:val="Normal"/>
    <w:link w:val="Heading2Char"/>
    <w:qFormat/>
    <w:rsid w:val="008B2DD1"/>
    <w:pPr>
      <w:spacing w:before="120" w:after="120"/>
      <w:ind w:left="720" w:hanging="720"/>
    </w:pPr>
    <w:rPr>
      <w:b/>
      <w:szCs w:val="26"/>
    </w:rPr>
  </w:style>
  <w:style w:type="character" w:customStyle="1" w:styleId="Style1Char">
    <w:name w:val="Style1 Char"/>
    <w:basedOn w:val="DefaultParagraphFont"/>
    <w:link w:val="Style1"/>
    <w:rsid w:val="00122908"/>
    <w:rPr>
      <w:rFonts w:ascii="Century Schoolbook" w:hAnsi="Century Schoolbook"/>
      <w:bCs/>
      <w:sz w:val="26"/>
      <w:szCs w:val="26"/>
    </w:rPr>
  </w:style>
  <w:style w:type="character" w:customStyle="1" w:styleId="Heading1Char">
    <w:name w:val="Heading1 Char"/>
    <w:basedOn w:val="Style1Char"/>
    <w:link w:val="Heading1"/>
    <w:rsid w:val="00122908"/>
    <w:rPr>
      <w:rFonts w:ascii="Century Schoolbook" w:hAnsi="Century Schoolbook"/>
      <w:b/>
      <w:bCs w:val="0"/>
      <w:sz w:val="26"/>
      <w:szCs w:val="26"/>
    </w:rPr>
  </w:style>
  <w:style w:type="character" w:customStyle="1" w:styleId="Heading2Char">
    <w:name w:val="Heading2 Char"/>
    <w:basedOn w:val="DefaultParagraphFont"/>
    <w:link w:val="Heading2"/>
    <w:rsid w:val="008B2DD1"/>
    <w:rPr>
      <w:rFonts w:ascii="Century Schoolbook" w:hAnsi="Century Schoolbook"/>
      <w:b/>
      <w:sz w:val="26"/>
      <w:szCs w:val="26"/>
    </w:rPr>
  </w:style>
  <w:style w:type="paragraph" w:customStyle="1" w:styleId="Heading3">
    <w:name w:val="Heading3"/>
    <w:basedOn w:val="Normal"/>
    <w:link w:val="Heading3Char"/>
    <w:qFormat/>
    <w:rsid w:val="006F1201"/>
    <w:pPr>
      <w:spacing w:before="120" w:after="120"/>
      <w:ind w:left="1440" w:hanging="720"/>
    </w:pPr>
    <w:rPr>
      <w:b/>
      <w:szCs w:val="26"/>
    </w:rPr>
  </w:style>
  <w:style w:type="paragraph" w:customStyle="1" w:styleId="Heading4">
    <w:name w:val="Heading4"/>
    <w:basedOn w:val="Normal"/>
    <w:link w:val="Heading4Char"/>
    <w:qFormat/>
    <w:rsid w:val="00855A93"/>
    <w:pPr>
      <w:spacing w:before="120" w:after="120"/>
      <w:ind w:left="2160" w:hanging="720"/>
    </w:pPr>
    <w:rPr>
      <w:b/>
      <w:szCs w:val="26"/>
    </w:rPr>
  </w:style>
  <w:style w:type="character" w:customStyle="1" w:styleId="Heading3Char">
    <w:name w:val="Heading3 Char"/>
    <w:basedOn w:val="DefaultParagraphFont"/>
    <w:link w:val="Heading3"/>
    <w:rsid w:val="006F1201"/>
    <w:rPr>
      <w:rFonts w:ascii="Century Schoolbook" w:hAnsi="Century Schoolbook"/>
      <w:b/>
      <w:sz w:val="26"/>
      <w:szCs w:val="26"/>
    </w:rPr>
  </w:style>
  <w:style w:type="character" w:customStyle="1" w:styleId="Heading4Char">
    <w:name w:val="Heading4 Char"/>
    <w:basedOn w:val="DefaultParagraphFont"/>
    <w:link w:val="Heading4"/>
    <w:rsid w:val="00855A93"/>
    <w:rPr>
      <w:rFonts w:ascii="Century Schoolbook" w:hAnsi="Century Schoolbook"/>
      <w:b/>
      <w:sz w:val="26"/>
      <w:szCs w:val="26"/>
    </w:rPr>
  </w:style>
  <w:style w:type="paragraph" w:styleId="Revision">
    <w:name w:val="Revision"/>
    <w:hidden/>
    <w:uiPriority w:val="99"/>
    <w:semiHidden/>
    <w:rsid w:val="007F59D1"/>
    <w:pPr>
      <w:spacing w:after="0"/>
    </w:pPr>
    <w:rPr>
      <w:rFonts w:ascii="Century Schoolbook" w:hAnsi="Century Schoolbook"/>
      <w:sz w:val="26"/>
    </w:rPr>
  </w:style>
  <w:style w:type="character" w:styleId="CommentReference">
    <w:name w:val="annotation reference"/>
    <w:basedOn w:val="DefaultParagraphFont"/>
    <w:uiPriority w:val="99"/>
    <w:semiHidden/>
    <w:unhideWhenUsed/>
    <w:rsid w:val="00E458CE"/>
    <w:rPr>
      <w:sz w:val="16"/>
      <w:szCs w:val="16"/>
    </w:rPr>
  </w:style>
  <w:style w:type="paragraph" w:styleId="CommentText">
    <w:name w:val="annotation text"/>
    <w:basedOn w:val="Normal"/>
    <w:link w:val="CommentTextChar"/>
    <w:uiPriority w:val="99"/>
    <w:unhideWhenUsed/>
    <w:rsid w:val="00E458CE"/>
    <w:pPr>
      <w:spacing w:line="240" w:lineRule="auto"/>
    </w:pPr>
    <w:rPr>
      <w:sz w:val="20"/>
    </w:rPr>
  </w:style>
  <w:style w:type="character" w:customStyle="1" w:styleId="CommentTextChar">
    <w:name w:val="Comment Text Char"/>
    <w:basedOn w:val="DefaultParagraphFont"/>
    <w:link w:val="CommentText"/>
    <w:uiPriority w:val="99"/>
    <w:rsid w:val="00E458CE"/>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E458CE"/>
    <w:rPr>
      <w:b/>
      <w:bCs/>
    </w:rPr>
  </w:style>
  <w:style w:type="character" w:customStyle="1" w:styleId="CommentSubjectChar">
    <w:name w:val="Comment Subject Char"/>
    <w:basedOn w:val="CommentTextChar"/>
    <w:link w:val="CommentSubject"/>
    <w:uiPriority w:val="99"/>
    <w:semiHidden/>
    <w:rsid w:val="00E458CE"/>
    <w:rPr>
      <w:rFonts w:ascii="Century Schoolbook" w:hAnsi="Century Schoo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5A5F-784C-4019-A16B-23E416E5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10690</Words>
  <Characters>60935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2023-10-19T21:11:00Z</dcterms:created>
  <dcterms:modified xsi:type="dcterms:W3CDTF">2023-10-19T21:11:00Z</dcterms:modified>
</cp:coreProperties>
</file>