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9B75" w14:textId="78C4BB30" w:rsidR="005F1B51" w:rsidRPr="004360C5" w:rsidRDefault="005B4D30" w:rsidP="006E2E8F">
      <w:pPr>
        <w:spacing w:line="240" w:lineRule="auto"/>
        <w:rPr>
          <w:sz w:val="20"/>
          <w:szCs w:val="20"/>
        </w:rPr>
      </w:pPr>
      <w:r w:rsidRPr="004360C5">
        <w:rPr>
          <w:sz w:val="20"/>
          <w:szCs w:val="20"/>
        </w:rPr>
        <w:t>Filed 2/24/23</w:t>
      </w:r>
    </w:p>
    <w:p w14:paraId="58619ACA" w14:textId="3C0EEDF6" w:rsidR="005F1B51" w:rsidRDefault="005F1B51" w:rsidP="005F1B51">
      <w:pPr>
        <w:spacing w:line="240" w:lineRule="auto"/>
        <w:jc w:val="center"/>
        <w:rPr>
          <w:b/>
        </w:rPr>
      </w:pPr>
      <w:r>
        <w:rPr>
          <w:b/>
        </w:rPr>
        <w:t>CERTIFIED FOR PUBLICATION</w:t>
      </w:r>
    </w:p>
    <w:p w14:paraId="2C5EA776" w14:textId="464B2AF1" w:rsidR="005F1B51" w:rsidRDefault="005F1B51" w:rsidP="005F1B51">
      <w:pPr>
        <w:spacing w:line="240" w:lineRule="auto"/>
        <w:jc w:val="center"/>
      </w:pPr>
    </w:p>
    <w:p w14:paraId="4CBB278E" w14:textId="0E58FE6A" w:rsidR="005F1B51" w:rsidRDefault="005F1B51" w:rsidP="005F1B51">
      <w:pPr>
        <w:spacing w:line="240" w:lineRule="auto"/>
        <w:jc w:val="center"/>
      </w:pPr>
      <w:r>
        <w:t>IN THE COURT OF APPEAL OF THE STATE OF CALIFORNIA</w:t>
      </w:r>
    </w:p>
    <w:p w14:paraId="0724EA4C" w14:textId="2E3D2B85" w:rsidR="005F1B51" w:rsidRDefault="005F1B51" w:rsidP="005F1B51">
      <w:pPr>
        <w:spacing w:line="240" w:lineRule="auto"/>
        <w:jc w:val="center"/>
      </w:pPr>
    </w:p>
    <w:p w14:paraId="7BBB52D9" w14:textId="596EFAFC" w:rsidR="005F1B51" w:rsidRDefault="005F1B51" w:rsidP="005F1B51">
      <w:pPr>
        <w:spacing w:line="240" w:lineRule="auto"/>
        <w:jc w:val="center"/>
      </w:pPr>
      <w:r>
        <w:t>SECOND APPELLATE DISTRICT</w:t>
      </w:r>
    </w:p>
    <w:p w14:paraId="119F784E" w14:textId="2DD70B40" w:rsidR="005F1B51" w:rsidRDefault="005F1B51" w:rsidP="005F1B51">
      <w:pPr>
        <w:spacing w:line="240" w:lineRule="auto"/>
        <w:jc w:val="center"/>
      </w:pPr>
    </w:p>
    <w:p w14:paraId="2DD75198" w14:textId="23F3306F" w:rsidR="005F1B51" w:rsidRDefault="005F1B51" w:rsidP="005F1B51">
      <w:pPr>
        <w:spacing w:line="240" w:lineRule="auto"/>
        <w:jc w:val="center"/>
      </w:pPr>
      <w:r>
        <w:t>DIVISION TWO</w:t>
      </w:r>
    </w:p>
    <w:p w14:paraId="4395E186" w14:textId="67F9AB4B" w:rsidR="005F1B51" w:rsidRDefault="005F1B51" w:rsidP="005F1B51">
      <w:pPr>
        <w:spacing w:line="240" w:lineRule="auto"/>
        <w:jc w:val="center"/>
      </w:pPr>
    </w:p>
    <w:p w14:paraId="702D3F60" w14:textId="12E52BA1" w:rsidR="005F1B51" w:rsidRDefault="005F1B51" w:rsidP="005F1B51">
      <w:pPr>
        <w:spacing w:line="240" w:lineRule="auto"/>
        <w:jc w:val="center"/>
      </w:pPr>
    </w:p>
    <w:tbl>
      <w:tblPr>
        <w:tblW w:w="0" w:type="auto"/>
        <w:tblLayout w:type="fixed"/>
        <w:tblLook w:val="0000" w:firstRow="0" w:lastRow="0" w:firstColumn="0" w:lastColumn="0" w:noHBand="0" w:noVBand="0"/>
      </w:tblPr>
      <w:tblGrid>
        <w:gridCol w:w="4068"/>
        <w:gridCol w:w="4068"/>
      </w:tblGrid>
      <w:tr w:rsidR="005F1B51" w14:paraId="05534FE6" w14:textId="77777777" w:rsidTr="005F1B51">
        <w:tc>
          <w:tcPr>
            <w:tcW w:w="4068" w:type="dxa"/>
            <w:tcBorders>
              <w:bottom w:val="single" w:sz="4" w:space="0" w:color="auto"/>
              <w:right w:val="single" w:sz="4" w:space="0" w:color="auto"/>
            </w:tcBorders>
            <w:shd w:val="clear" w:color="auto" w:fill="auto"/>
          </w:tcPr>
          <w:p w14:paraId="4457C487" w14:textId="77777777" w:rsidR="005F1B51" w:rsidRDefault="005F1B51" w:rsidP="005F1B51">
            <w:pPr>
              <w:spacing w:line="240" w:lineRule="auto"/>
            </w:pPr>
            <w:r>
              <w:t>MAIRA E. DUARTE JUAREZ,</w:t>
            </w:r>
          </w:p>
          <w:p w14:paraId="0DF34CDB" w14:textId="77777777" w:rsidR="005F1B51" w:rsidRDefault="005F1B51" w:rsidP="005F1B51">
            <w:pPr>
              <w:spacing w:line="240" w:lineRule="auto"/>
            </w:pPr>
          </w:p>
          <w:p w14:paraId="7A0B05F2" w14:textId="77777777" w:rsidR="005F1B51" w:rsidRDefault="005F1B51" w:rsidP="005F1B51">
            <w:pPr>
              <w:spacing w:line="240" w:lineRule="auto"/>
            </w:pPr>
            <w:r>
              <w:tab/>
              <w:t>Plaintiff and Appellant,</w:t>
            </w:r>
          </w:p>
          <w:p w14:paraId="7D894481" w14:textId="77777777" w:rsidR="005F1B51" w:rsidRDefault="005F1B51" w:rsidP="005F1B51">
            <w:pPr>
              <w:spacing w:line="240" w:lineRule="auto"/>
            </w:pPr>
          </w:p>
          <w:p w14:paraId="200F5634" w14:textId="77777777" w:rsidR="005F1B51" w:rsidRDefault="005F1B51" w:rsidP="005F1B51">
            <w:pPr>
              <w:spacing w:line="240" w:lineRule="auto"/>
            </w:pPr>
            <w:r>
              <w:tab/>
              <w:t>v.</w:t>
            </w:r>
          </w:p>
          <w:p w14:paraId="25CBE82F" w14:textId="77777777" w:rsidR="005F1B51" w:rsidRDefault="005F1B51" w:rsidP="005F1B51">
            <w:pPr>
              <w:spacing w:line="240" w:lineRule="auto"/>
            </w:pPr>
          </w:p>
          <w:p w14:paraId="7F8DA0A5" w14:textId="77777777" w:rsidR="005F1B51" w:rsidRDefault="005F1B51" w:rsidP="005F1B51">
            <w:pPr>
              <w:spacing w:line="240" w:lineRule="auto"/>
            </w:pPr>
            <w:r>
              <w:t>DAVID S. WARD,</w:t>
            </w:r>
          </w:p>
          <w:p w14:paraId="286D5B54" w14:textId="77777777" w:rsidR="005F1B51" w:rsidRDefault="005F1B51" w:rsidP="005F1B51">
            <w:pPr>
              <w:spacing w:line="240" w:lineRule="auto"/>
            </w:pPr>
          </w:p>
          <w:p w14:paraId="032A6B42" w14:textId="2F6C5446" w:rsidR="005F1B51" w:rsidRDefault="005F1B51" w:rsidP="005F1B51">
            <w:pPr>
              <w:spacing w:line="240" w:lineRule="auto"/>
            </w:pPr>
            <w:r>
              <w:tab/>
              <w:t>Defendant;</w:t>
            </w:r>
          </w:p>
          <w:p w14:paraId="69E9CCF5" w14:textId="4968B070" w:rsidR="005F1B51" w:rsidRDefault="005F1B51" w:rsidP="005F1B51">
            <w:pPr>
              <w:spacing w:line="240" w:lineRule="auto"/>
            </w:pPr>
          </w:p>
          <w:p w14:paraId="5045A5EF" w14:textId="58C35F8A" w:rsidR="005F1B51" w:rsidRDefault="005F1B51" w:rsidP="005F1B51">
            <w:pPr>
              <w:spacing w:line="240" w:lineRule="auto"/>
            </w:pPr>
            <w:r>
              <w:t>THE ACADEMY OF MOTION PICTURE ARTS AND SCIENCES</w:t>
            </w:r>
            <w:r w:rsidR="009F2EC1">
              <w:t>,</w:t>
            </w:r>
          </w:p>
          <w:p w14:paraId="3D0A94EC" w14:textId="59FFF31B" w:rsidR="005F1B51" w:rsidRDefault="005F1B51" w:rsidP="005F1B51">
            <w:pPr>
              <w:spacing w:line="240" w:lineRule="auto"/>
            </w:pPr>
          </w:p>
          <w:p w14:paraId="4B1E36B0" w14:textId="3C7554D9" w:rsidR="005F1B51" w:rsidRDefault="005F1B51" w:rsidP="005F1B51">
            <w:pPr>
              <w:spacing w:line="240" w:lineRule="auto"/>
            </w:pPr>
            <w:r>
              <w:tab/>
              <w:t xml:space="preserve">Intervener and </w:t>
            </w:r>
            <w:r>
              <w:tab/>
              <w:t>Respondent.</w:t>
            </w:r>
          </w:p>
          <w:p w14:paraId="5C09F7EA" w14:textId="16743538" w:rsidR="005F1B51" w:rsidRDefault="005F1B51" w:rsidP="005F1B51">
            <w:pPr>
              <w:spacing w:line="240" w:lineRule="auto"/>
            </w:pPr>
          </w:p>
        </w:tc>
        <w:tc>
          <w:tcPr>
            <w:tcW w:w="4068" w:type="dxa"/>
            <w:tcBorders>
              <w:left w:val="single" w:sz="4" w:space="0" w:color="auto"/>
            </w:tcBorders>
            <w:shd w:val="clear" w:color="auto" w:fill="auto"/>
          </w:tcPr>
          <w:p w14:paraId="33D03096" w14:textId="77777777" w:rsidR="005F1B51" w:rsidRDefault="005F1B51" w:rsidP="005F1B51">
            <w:pPr>
              <w:spacing w:line="240" w:lineRule="auto"/>
            </w:pPr>
            <w:r>
              <w:t xml:space="preserve">      B313272</w:t>
            </w:r>
          </w:p>
          <w:p w14:paraId="663E8EB5" w14:textId="77777777" w:rsidR="005F1B51" w:rsidRDefault="005F1B51" w:rsidP="005F1B51">
            <w:pPr>
              <w:spacing w:line="240" w:lineRule="auto"/>
            </w:pPr>
          </w:p>
          <w:p w14:paraId="3827B668" w14:textId="77777777" w:rsidR="005F1B51" w:rsidRDefault="005F1B51" w:rsidP="005F1B51">
            <w:pPr>
              <w:spacing w:line="240" w:lineRule="auto"/>
            </w:pPr>
            <w:r>
              <w:t xml:space="preserve">      (Los Angeles County</w:t>
            </w:r>
          </w:p>
          <w:p w14:paraId="10820A15" w14:textId="77777777" w:rsidR="005F1B51" w:rsidRDefault="005F1B51" w:rsidP="005F1B51">
            <w:pPr>
              <w:spacing w:line="240" w:lineRule="auto"/>
            </w:pPr>
            <w:r>
              <w:t xml:space="preserve">      Super. Ct. No. </w:t>
            </w:r>
          </w:p>
          <w:p w14:paraId="2109049C" w14:textId="5E2502D3" w:rsidR="005F1B51" w:rsidRDefault="005F1B51" w:rsidP="005F1B51">
            <w:pPr>
              <w:spacing w:line="240" w:lineRule="auto"/>
            </w:pPr>
            <w:r>
              <w:t xml:space="preserve">      20STCP02070)</w:t>
            </w:r>
          </w:p>
          <w:p w14:paraId="0578C612" w14:textId="6039B607" w:rsidR="005F1B51" w:rsidRDefault="005F1B51" w:rsidP="005F1B51">
            <w:pPr>
              <w:spacing w:line="240" w:lineRule="auto"/>
            </w:pPr>
          </w:p>
        </w:tc>
      </w:tr>
    </w:tbl>
    <w:p w14:paraId="7CC78CBC" w14:textId="77777777" w:rsidR="005F1B51" w:rsidRPr="005F1B51" w:rsidRDefault="005F1B51" w:rsidP="005F1B51"/>
    <w:p w14:paraId="6A75FCBC" w14:textId="18488867" w:rsidR="005F1B51" w:rsidRDefault="005F1B51" w:rsidP="005F1B51">
      <w:r>
        <w:lastRenderedPageBreak/>
        <w:tab/>
        <w:t>APPEAL from a postjudgment order of the Superior Court of Los Angeles County, Holly J. Fujie, Judge.  Affirmed.</w:t>
      </w:r>
    </w:p>
    <w:p w14:paraId="31A59E3A" w14:textId="0DADD6C4" w:rsidR="005F1B51" w:rsidRDefault="00C001FA" w:rsidP="005F1B51">
      <w:r>
        <w:tab/>
        <w:t>Law Office of Benjamin G. Ramm and Benjamin G. Ramm for Plaintiff and Appellant.</w:t>
      </w:r>
    </w:p>
    <w:p w14:paraId="6114E090" w14:textId="1E234E73" w:rsidR="00C001FA" w:rsidRDefault="00C001FA" w:rsidP="005F1B51">
      <w:r>
        <w:tab/>
        <w:t>Quinn Emanuel Urquhart &amp; Sullivan, Christopher Tayback, Michael L. Fazio, Daniel C. Posner and Sage R. Vanden Heuvel for Intervener and Respondent.</w:t>
      </w:r>
    </w:p>
    <w:p w14:paraId="7236EE75" w14:textId="521AC7A8" w:rsidR="003E2EE9" w:rsidRDefault="005F1B51" w:rsidP="003D457B">
      <w:r>
        <w:tab/>
      </w:r>
      <w:r w:rsidR="003A4BAE">
        <w:t>A judgment creditor</w:t>
      </w:r>
      <w:r w:rsidR="00F90645" w:rsidRPr="00F90645">
        <w:t xml:space="preserve"> </w:t>
      </w:r>
      <w:r w:rsidR="007400E1">
        <w:t xml:space="preserve">seeks delivery of </w:t>
      </w:r>
      <w:r w:rsidR="00790251">
        <w:t>her debtor’s</w:t>
      </w:r>
      <w:r w:rsidR="00303E32">
        <w:t xml:space="preserve"> </w:t>
      </w:r>
      <w:r w:rsidR="00656EAB">
        <w:t xml:space="preserve">Academy Award statuette, </w:t>
      </w:r>
      <w:r w:rsidR="00E87AB0">
        <w:t>commonly</w:t>
      </w:r>
      <w:r w:rsidR="00656EAB">
        <w:t xml:space="preserve"> known as </w:t>
      </w:r>
      <w:r w:rsidR="00EE5AD2">
        <w:t>the</w:t>
      </w:r>
      <w:r w:rsidR="00656EAB">
        <w:t xml:space="preserve"> Oscar</w:t>
      </w:r>
      <w:r w:rsidR="00790251">
        <w:t xml:space="preserve">, </w:t>
      </w:r>
      <w:r w:rsidR="00EE03F8">
        <w:t>under the Enforcement of Judgments Law (EJL)</w:t>
      </w:r>
      <w:r w:rsidR="00303E32">
        <w:t>.</w:t>
      </w:r>
      <w:r w:rsidR="00E763D1">
        <w:t xml:space="preserve"> </w:t>
      </w:r>
      <w:r w:rsidR="007400E1">
        <w:t xml:space="preserve"> </w:t>
      </w:r>
      <w:r w:rsidR="00303E32">
        <w:t>(Code Civ. Proc., §</w:t>
      </w:r>
      <w:r w:rsidR="00C001FA">
        <w:t> </w:t>
      </w:r>
      <w:r w:rsidR="002D2A64">
        <w:t>6</w:t>
      </w:r>
      <w:r w:rsidR="00303E32">
        <w:t>8</w:t>
      </w:r>
      <w:r w:rsidR="002D2A64">
        <w:t>0</w:t>
      </w:r>
      <w:r w:rsidR="00303E32">
        <w:t>.010 et seq.)</w:t>
      </w:r>
      <w:r w:rsidR="00303E32" w:rsidRPr="00C001FA">
        <w:rPr>
          <w:rStyle w:val="FootnoteReference"/>
          <w:b/>
          <w:position w:val="6"/>
          <w:sz w:val="20"/>
          <w:vertAlign w:val="baseline"/>
        </w:rPr>
        <w:footnoteReference w:id="1"/>
      </w:r>
      <w:r w:rsidR="007B2B91">
        <w:t xml:space="preserve"> </w:t>
      </w:r>
      <w:r w:rsidR="00B4695A">
        <w:t xml:space="preserve"> </w:t>
      </w:r>
      <w:r w:rsidR="00EE03F8">
        <w:t>Respondent Academy of Motion Picture Arts and Sciences (AMPAS) intervened</w:t>
      </w:r>
      <w:r w:rsidR="001D4E59">
        <w:t xml:space="preserve"> in the litigation</w:t>
      </w:r>
      <w:r w:rsidR="00391511">
        <w:t xml:space="preserve">.  </w:t>
      </w:r>
      <w:r w:rsidR="00B959C9">
        <w:t xml:space="preserve">The </w:t>
      </w:r>
      <w:r w:rsidR="0042605F">
        <w:t xml:space="preserve">EJL </w:t>
      </w:r>
      <w:r w:rsidR="00391511">
        <w:t>allow</w:t>
      </w:r>
      <w:r w:rsidR="00E26E64">
        <w:t>ed</w:t>
      </w:r>
      <w:r w:rsidR="00391511">
        <w:t xml:space="preserve"> the trial court to determine if </w:t>
      </w:r>
      <w:r w:rsidR="0042605F">
        <w:t>AMPAS</w:t>
      </w:r>
      <w:r w:rsidR="00391511">
        <w:t xml:space="preserve"> ha</w:t>
      </w:r>
      <w:r w:rsidR="0042605F">
        <w:t>s</w:t>
      </w:r>
      <w:r w:rsidR="00391511">
        <w:t xml:space="preserve"> a right to </w:t>
      </w:r>
      <w:r w:rsidR="0042605F">
        <w:t xml:space="preserve">property </w:t>
      </w:r>
      <w:r w:rsidR="007400E1">
        <w:t>(the Oscar) that</w:t>
      </w:r>
      <w:r w:rsidR="0042605F">
        <w:t xml:space="preserve"> </w:t>
      </w:r>
      <w:r w:rsidR="007400E1">
        <w:t xml:space="preserve">came to </w:t>
      </w:r>
      <w:r w:rsidR="007400E1">
        <w:lastRenderedPageBreak/>
        <w:t>light in a</w:t>
      </w:r>
      <w:r w:rsidR="0042605F">
        <w:t xml:space="preserve"> debtor’s </w:t>
      </w:r>
      <w:r w:rsidR="007400E1">
        <w:t>examination</w:t>
      </w:r>
      <w:r w:rsidR="00391511">
        <w:t>.</w:t>
      </w:r>
      <w:r w:rsidR="007400E1">
        <w:t xml:space="preserve"> </w:t>
      </w:r>
      <w:r w:rsidR="00391511">
        <w:t xml:space="preserve"> (§§ </w:t>
      </w:r>
      <w:r w:rsidR="004A2842">
        <w:t xml:space="preserve">708.110, </w:t>
      </w:r>
      <w:r w:rsidR="00391511">
        <w:t>708.180, 708.190.)</w:t>
      </w:r>
    </w:p>
    <w:p w14:paraId="4066EC93" w14:textId="7EBDA022" w:rsidR="00F33466" w:rsidRDefault="00C001FA" w:rsidP="003D457B">
      <w:r>
        <w:tab/>
      </w:r>
      <w:r w:rsidR="00FB56D9">
        <w:t>The court</w:t>
      </w:r>
      <w:r w:rsidR="00A170B2" w:rsidRPr="00A170B2">
        <w:t xml:space="preserve"> </w:t>
      </w:r>
      <w:r w:rsidR="00A170B2">
        <w:t>did not abuse its discretion</w:t>
      </w:r>
      <w:r w:rsidR="004F24ED">
        <w:t xml:space="preserve"> by</w:t>
      </w:r>
      <w:r w:rsidR="00FB56D9">
        <w:t xml:space="preserve"> </w:t>
      </w:r>
      <w:r w:rsidR="002A4EBA">
        <w:t xml:space="preserve">denying the creditor’s request </w:t>
      </w:r>
      <w:r w:rsidR="003E2EE9">
        <w:t>for</w:t>
      </w:r>
      <w:r w:rsidR="002A4EBA">
        <w:t xml:space="preserve"> delivery of the Oscar.  </w:t>
      </w:r>
      <w:r w:rsidR="003E2EE9">
        <w:t>It</w:t>
      </w:r>
      <w:r w:rsidR="002A4EBA">
        <w:t xml:space="preserve"> correctly </w:t>
      </w:r>
      <w:r w:rsidR="004A2842">
        <w:t>found</w:t>
      </w:r>
      <w:r w:rsidR="00FB56D9">
        <w:t xml:space="preserve"> that </w:t>
      </w:r>
      <w:r w:rsidR="003D457B">
        <w:t>A</w:t>
      </w:r>
      <w:r w:rsidR="007B2B91">
        <w:t>MPAS</w:t>
      </w:r>
      <w:r w:rsidR="003D457B">
        <w:t xml:space="preserve"> </w:t>
      </w:r>
      <w:r w:rsidR="00FB56D9">
        <w:t>has</w:t>
      </w:r>
      <w:r w:rsidR="003D457B">
        <w:t xml:space="preserve"> </w:t>
      </w:r>
      <w:r w:rsidR="00790251">
        <w:t>the</w:t>
      </w:r>
      <w:r w:rsidR="003D457B">
        <w:t xml:space="preserve"> right to purchase </w:t>
      </w:r>
      <w:r w:rsidR="00B4695A">
        <w:t>the</w:t>
      </w:r>
      <w:r w:rsidR="00303E32">
        <w:t xml:space="preserve"> </w:t>
      </w:r>
      <w:r w:rsidR="003D457B">
        <w:t>Oscar</w:t>
      </w:r>
      <w:r w:rsidR="00FF3171">
        <w:t xml:space="preserve"> for $10</w:t>
      </w:r>
      <w:r w:rsidR="00B4695A">
        <w:t xml:space="preserve"> pursuant to a</w:t>
      </w:r>
      <w:r w:rsidR="00790251">
        <w:t xml:space="preserve"> written agreement with the Oscar winner</w:t>
      </w:r>
      <w:r w:rsidR="00B4695A">
        <w:t xml:space="preserve"> and </w:t>
      </w:r>
      <w:r w:rsidR="00790251">
        <w:t>AMPAS</w:t>
      </w:r>
      <w:r w:rsidR="00C658EB">
        <w:t>’s</w:t>
      </w:r>
      <w:r w:rsidR="00B4695A">
        <w:t xml:space="preserve"> bylaws</w:t>
      </w:r>
      <w:r w:rsidR="00F33466">
        <w:t>.</w:t>
      </w:r>
      <w:r w:rsidR="003E2EE9">
        <w:t xml:space="preserve">  </w:t>
      </w:r>
      <w:r w:rsidR="00E763D1">
        <w:t xml:space="preserve">No trial was required.  </w:t>
      </w:r>
      <w:r w:rsidR="003E2EE9">
        <w:t>We affirm.</w:t>
      </w:r>
    </w:p>
    <w:p w14:paraId="478E96CC" w14:textId="77777777" w:rsidR="00086D9D" w:rsidRPr="00086D9D" w:rsidRDefault="00086D9D" w:rsidP="00EC5864">
      <w:pPr>
        <w:keepNext/>
        <w:jc w:val="center"/>
        <w:rPr>
          <w:b/>
          <w:bCs/>
        </w:rPr>
      </w:pPr>
      <w:r>
        <w:rPr>
          <w:b/>
          <w:bCs/>
        </w:rPr>
        <w:t>FACTS AND PROCEDURAL HISTORY</w:t>
      </w:r>
    </w:p>
    <w:p w14:paraId="443BF051" w14:textId="082D0B92" w:rsidR="006805F4" w:rsidRPr="007A53DC" w:rsidRDefault="00EC5864" w:rsidP="006805F4">
      <w:r>
        <w:tab/>
      </w:r>
      <w:r w:rsidR="00086D9D">
        <w:t xml:space="preserve">In 1974, </w:t>
      </w:r>
      <w:r w:rsidR="00152F09">
        <w:t>defendant</w:t>
      </w:r>
      <w:r w:rsidR="00B4695A">
        <w:t xml:space="preserve"> David S. Ward</w:t>
      </w:r>
      <w:r w:rsidR="007D70C0">
        <w:t xml:space="preserve"> w</w:t>
      </w:r>
      <w:r w:rsidR="004917E4">
        <w:t>as awarded</w:t>
      </w:r>
      <w:r w:rsidR="007D70C0">
        <w:t xml:space="preserve"> </w:t>
      </w:r>
      <w:r w:rsidR="000175F6">
        <w:t>the</w:t>
      </w:r>
      <w:r w:rsidR="00086D9D">
        <w:t xml:space="preserve"> Oscar for </w:t>
      </w:r>
      <w:r w:rsidR="008829E6">
        <w:t>his work on</w:t>
      </w:r>
      <w:r w:rsidR="00086D9D">
        <w:t xml:space="preserve"> the film </w:t>
      </w:r>
      <w:r w:rsidR="00086D9D" w:rsidRPr="009F2EC1">
        <w:t>The Sting</w:t>
      </w:r>
      <w:r w:rsidR="00086D9D">
        <w:rPr>
          <w:i/>
          <w:iCs/>
        </w:rPr>
        <w:t>.</w:t>
      </w:r>
      <w:r w:rsidR="00B4695A">
        <w:t xml:space="preserve"> </w:t>
      </w:r>
      <w:r w:rsidR="000175F6">
        <w:t xml:space="preserve"> </w:t>
      </w:r>
      <w:r w:rsidR="00B4695A" w:rsidRPr="00B4695A">
        <w:rPr>
          <w:rStyle w:val="FootnoteReference"/>
        </w:rPr>
        <w:t xml:space="preserve"> </w:t>
      </w:r>
      <w:r w:rsidR="002B1171">
        <w:t>H</w:t>
      </w:r>
      <w:r w:rsidR="00FD2D13">
        <w:t xml:space="preserve">e </w:t>
      </w:r>
      <w:r w:rsidR="007A53DC">
        <w:t>signed a “winner’s agreement” (Agreement)</w:t>
      </w:r>
      <w:r w:rsidR="008829E6">
        <w:t xml:space="preserve">, as required by AMPAS’s bylaws.  As an AMPAS member, </w:t>
      </w:r>
      <w:r w:rsidR="006805F4">
        <w:t>Ward is bound by its bylaws.</w:t>
      </w:r>
    </w:p>
    <w:p w14:paraId="4A7F35F5" w14:textId="43219144" w:rsidR="001A6BFC" w:rsidRDefault="00152F09" w:rsidP="007A53DC">
      <w:r>
        <w:tab/>
      </w:r>
      <w:r w:rsidR="006805F4">
        <w:t>The Agreement</w:t>
      </w:r>
      <w:r w:rsidR="007A53DC">
        <w:t xml:space="preserve"> reads</w:t>
      </w:r>
      <w:r>
        <w:t xml:space="preserve">:  </w:t>
      </w:r>
      <w:r w:rsidR="007A53DC">
        <w:t>“</w:t>
      </w:r>
      <w:r w:rsidR="00D66398">
        <w:t xml:space="preserve">I hereby acknowledge receipt from you of replica </w:t>
      </w:r>
      <w:r w:rsidR="008829E6">
        <w:t xml:space="preserve">No. 1659 </w:t>
      </w:r>
      <w:r w:rsidR="00D66398">
        <w:t>of your copyrighted statuette, commonly known as ‘Oscar’</w:t>
      </w:r>
      <w:r w:rsidR="003411DC">
        <w:t>,</w:t>
      </w:r>
      <w:r w:rsidR="00D66398">
        <w:t xml:space="preserve"> as an </w:t>
      </w:r>
      <w:r w:rsidR="008829E6">
        <w:t>A</w:t>
      </w:r>
      <w:r w:rsidR="00D66398">
        <w:t xml:space="preserve">ward for </w:t>
      </w:r>
      <w:r w:rsidR="008829E6">
        <w:t>Best Story and Screenplay</w:t>
      </w:r>
      <w:r w:rsidR="003411DC">
        <w:t xml:space="preserve"> - </w:t>
      </w:r>
      <w:r w:rsidR="008829E6">
        <w:t>The Sting’</w:t>
      </w:r>
      <w:r w:rsidR="003411DC">
        <w:t>.</w:t>
      </w:r>
      <w:r w:rsidR="008829E6">
        <w:t xml:space="preserve"> </w:t>
      </w:r>
      <w:r w:rsidR="00D66398">
        <w:t xml:space="preserve"> I acknowledge that my receipt of said replica does not entitle me to any right whatever in </w:t>
      </w:r>
      <w:r w:rsidR="00D66398">
        <w:lastRenderedPageBreak/>
        <w:t xml:space="preserve">your copyright of said statuette and that only the physical replica itself shall belong to me.  </w:t>
      </w:r>
      <w:r w:rsidR="007A53DC">
        <w:t xml:space="preserve">In consideration of </w:t>
      </w:r>
      <w:r w:rsidR="00D66398">
        <w:t>your</w:t>
      </w:r>
      <w:r w:rsidR="007A53DC">
        <w:t xml:space="preserve"> delivering said </w:t>
      </w:r>
      <w:r w:rsidR="00D66398">
        <w:t>replica</w:t>
      </w:r>
      <w:r w:rsidR="007A53DC">
        <w:t xml:space="preserve"> to me, I agree to comply with </w:t>
      </w:r>
      <w:r w:rsidR="002E510B">
        <w:t>your</w:t>
      </w:r>
      <w:r w:rsidR="007A53DC">
        <w:t xml:space="preserve"> rules and regulations respecting its </w:t>
      </w:r>
      <w:r w:rsidR="001A6BFC">
        <w:t>u</w:t>
      </w:r>
      <w:r w:rsidR="007A53DC">
        <w:t xml:space="preserve">se and not to </w:t>
      </w:r>
      <w:r w:rsidR="007D70C0">
        <w:t xml:space="preserve">sell or otherwise dispose of </w:t>
      </w:r>
      <w:r w:rsidR="00253C6D">
        <w:t>it</w:t>
      </w:r>
      <w:r w:rsidR="007D70C0">
        <w:t xml:space="preserve">, nor permit it to be sold or disposed of by operation of law, without first offering to sell it to </w:t>
      </w:r>
      <w:r w:rsidR="00FD2D13">
        <w:t>you</w:t>
      </w:r>
      <w:r w:rsidR="007D70C0">
        <w:t xml:space="preserve"> for the sum of $10.00.</w:t>
      </w:r>
      <w:r w:rsidR="001A6BFC">
        <w:t xml:space="preserve">  You shall have thirty days after any such offer is made to you within which to accept it.</w:t>
      </w:r>
      <w:r w:rsidR="007D70C0">
        <w:t xml:space="preserve">  </w:t>
      </w:r>
      <w:r w:rsidR="007A53DC">
        <w:t>Th</w:t>
      </w:r>
      <w:r w:rsidR="001A6BFC">
        <w:t>is a</w:t>
      </w:r>
      <w:r w:rsidR="007A53DC">
        <w:t>greement</w:t>
      </w:r>
      <w:r w:rsidR="001A6BFC">
        <w:t xml:space="preserve"> shall be</w:t>
      </w:r>
      <w:r w:rsidR="007A53DC">
        <w:t xml:space="preserve"> binding </w:t>
      </w:r>
      <w:r w:rsidR="001A6BFC">
        <w:t>not only on me, but also on my</w:t>
      </w:r>
      <w:r w:rsidR="007A53DC">
        <w:t xml:space="preserve"> heirs, legatees, executors, administrators, </w:t>
      </w:r>
      <w:r w:rsidR="009E2BDE">
        <w:t>E</w:t>
      </w:r>
      <w:r w:rsidR="007A53DC">
        <w:t>state, successors and assigns.</w:t>
      </w:r>
      <w:r w:rsidR="001A6BFC">
        <w:t xml:space="preserve">  My legatees and heirs shall have the right to acquire said </w:t>
      </w:r>
      <w:r w:rsidR="00D66398">
        <w:t>replica</w:t>
      </w:r>
      <w:r w:rsidR="001A6BFC">
        <w:t xml:space="preserve"> if it becomes part of my </w:t>
      </w:r>
      <w:r w:rsidR="009E2BDE">
        <w:t>E</w:t>
      </w:r>
      <w:r w:rsidR="001A6BFC">
        <w:t>state, subject to this agreement.</w:t>
      </w:r>
      <w:r w:rsidR="00FD2D13">
        <w:t>”</w:t>
      </w:r>
    </w:p>
    <w:p w14:paraId="0D45CC60" w14:textId="65C908E7" w:rsidR="00435535" w:rsidRPr="00435535" w:rsidRDefault="00152F09" w:rsidP="00435535">
      <w:r>
        <w:tab/>
      </w:r>
      <w:r w:rsidR="001820BA">
        <w:t>In 2020,</w:t>
      </w:r>
      <w:r w:rsidR="00B4695A">
        <w:t xml:space="preserve"> </w:t>
      </w:r>
      <w:r w:rsidR="00E763D1">
        <w:t>appellant Maira Duarte Juarez</w:t>
      </w:r>
      <w:r w:rsidR="00F90645" w:rsidRPr="00F90645">
        <w:t xml:space="preserve"> </w:t>
      </w:r>
      <w:r w:rsidR="00E763D1">
        <w:t>obtained</w:t>
      </w:r>
      <w:r w:rsidR="006B4026">
        <w:t xml:space="preserve"> </w:t>
      </w:r>
      <w:r w:rsidR="00B4695A">
        <w:t>a judgment against Ward for</w:t>
      </w:r>
      <w:r w:rsidR="006B4026">
        <w:t xml:space="preserve"> unpaid </w:t>
      </w:r>
      <w:r w:rsidR="00403800">
        <w:t>wages</w:t>
      </w:r>
      <w:r w:rsidR="006B4026">
        <w:t xml:space="preserve"> and penalties.  </w:t>
      </w:r>
      <w:r w:rsidR="0094300B">
        <w:t>She served a demand for</w:t>
      </w:r>
      <w:r w:rsidR="00CC304E">
        <w:t xml:space="preserve"> a debtor’s examination</w:t>
      </w:r>
      <w:r w:rsidR="0094300B">
        <w:t xml:space="preserve">. </w:t>
      </w:r>
      <w:r w:rsidR="00766265">
        <w:t xml:space="preserve"> </w:t>
      </w:r>
      <w:r w:rsidR="0094300B">
        <w:t>(</w:t>
      </w:r>
      <w:r w:rsidR="00766265">
        <w:t xml:space="preserve">§ </w:t>
      </w:r>
      <w:r w:rsidR="0094300B">
        <w:t>708.110.)</w:t>
      </w:r>
      <w:r w:rsidR="00CC304E">
        <w:t xml:space="preserve"> </w:t>
      </w:r>
      <w:r w:rsidR="0094300B">
        <w:t xml:space="preserve"> At the examination, </w:t>
      </w:r>
      <w:r w:rsidR="00CC304E">
        <w:t>Ward disclosed that he has an Oscar</w:t>
      </w:r>
      <w:r w:rsidR="0094300B">
        <w:t xml:space="preserve"> but few other assets</w:t>
      </w:r>
      <w:r w:rsidR="00CC304E">
        <w:t xml:space="preserve">.  </w:t>
      </w:r>
      <w:r w:rsidR="00435535">
        <w:t>After the examination, Juarez obtained a court order for delivery of movie memora</w:t>
      </w:r>
      <w:r w:rsidR="00435535">
        <w:lastRenderedPageBreak/>
        <w:t xml:space="preserve">bilia—a baseball bat </w:t>
      </w:r>
      <w:r w:rsidR="00847931">
        <w:t xml:space="preserve">signed by </w:t>
      </w:r>
      <w:r w:rsidR="00435535">
        <w:t xml:space="preserve">the cast of the film </w:t>
      </w:r>
      <w:r w:rsidR="00435535" w:rsidRPr="009F2EC1">
        <w:t>Major League</w:t>
      </w:r>
      <w:r w:rsidR="00435535">
        <w:t>.  (§ 708.205.)</w:t>
      </w:r>
    </w:p>
    <w:p w14:paraId="49BE4695" w14:textId="5820C09B" w:rsidR="00F87559" w:rsidRPr="00B77036" w:rsidRDefault="00152F09" w:rsidP="003D457B">
      <w:r>
        <w:tab/>
      </w:r>
      <w:r w:rsidR="00A954F0">
        <w:t xml:space="preserve">Juarez </w:t>
      </w:r>
      <w:r w:rsidR="00435535">
        <w:t xml:space="preserve">also </w:t>
      </w:r>
      <w:r w:rsidR="00130B5B">
        <w:t xml:space="preserve">applied </w:t>
      </w:r>
      <w:r w:rsidR="008551F9">
        <w:t>for a</w:t>
      </w:r>
      <w:r w:rsidR="0094300B">
        <w:t>n</w:t>
      </w:r>
      <w:r w:rsidR="008551F9">
        <w:t xml:space="preserve"> order </w:t>
      </w:r>
      <w:r w:rsidR="00796018">
        <w:t>t</w:t>
      </w:r>
      <w:r w:rsidR="008551F9">
        <w:t>o</w:t>
      </w:r>
      <w:r w:rsidR="00A954F0">
        <w:t xml:space="preserve"> deliver </w:t>
      </w:r>
      <w:r w:rsidR="002C2AB9">
        <w:t>Ward’s</w:t>
      </w:r>
      <w:r w:rsidR="00A954F0">
        <w:t xml:space="preserve"> Oscar</w:t>
      </w:r>
      <w:r w:rsidR="00796018">
        <w:t xml:space="preserve"> for public sale</w:t>
      </w:r>
      <w:r w:rsidR="00A954F0">
        <w:t xml:space="preserve">. </w:t>
      </w:r>
      <w:r w:rsidR="0094300B">
        <w:t xml:space="preserve"> (</w:t>
      </w:r>
      <w:r w:rsidR="00766265">
        <w:t>§</w:t>
      </w:r>
      <w:r w:rsidR="0094300B">
        <w:t xml:space="preserve"> 708.205.) </w:t>
      </w:r>
      <w:r w:rsidR="00D124DE" w:rsidRPr="0021097D">
        <w:t xml:space="preserve"> </w:t>
      </w:r>
      <w:r w:rsidR="006D7106">
        <w:t>T</w:t>
      </w:r>
      <w:r w:rsidR="00CC304E">
        <w:t>he court</w:t>
      </w:r>
      <w:r w:rsidR="006D7106">
        <w:t xml:space="preserve"> </w:t>
      </w:r>
      <w:r w:rsidR="00EE4B0A">
        <w:t>ask</w:t>
      </w:r>
      <w:r w:rsidR="006D7106">
        <w:t>ed the parties to brief whether</w:t>
      </w:r>
      <w:r w:rsidR="00CC304E">
        <w:t xml:space="preserve"> </w:t>
      </w:r>
      <w:r w:rsidR="000175F6">
        <w:t>the</w:t>
      </w:r>
      <w:r w:rsidR="001820BA">
        <w:t xml:space="preserve"> </w:t>
      </w:r>
      <w:r w:rsidR="00CC304E">
        <w:t xml:space="preserve">Oscar can be sold. </w:t>
      </w:r>
      <w:r w:rsidR="001820BA" w:rsidRPr="00AB0649">
        <w:t xml:space="preserve"> </w:t>
      </w:r>
      <w:r w:rsidR="001820BA">
        <w:t>Juarez argu</w:t>
      </w:r>
      <w:r w:rsidR="00766E68">
        <w:t>ed</w:t>
      </w:r>
      <w:r w:rsidR="001820BA">
        <w:t xml:space="preserve"> that </w:t>
      </w:r>
      <w:r w:rsidR="0017115F">
        <w:t xml:space="preserve">the Oscar is </w:t>
      </w:r>
      <w:r w:rsidR="001820BA">
        <w:t>Ward</w:t>
      </w:r>
      <w:r w:rsidR="002E510B">
        <w:t>’</w:t>
      </w:r>
      <w:r w:rsidR="001820BA">
        <w:t xml:space="preserve">s </w:t>
      </w:r>
      <w:r w:rsidR="00E52BA9">
        <w:t xml:space="preserve">personal property and </w:t>
      </w:r>
      <w:r w:rsidR="00025664">
        <w:t>primary</w:t>
      </w:r>
      <w:r w:rsidR="001820BA">
        <w:t xml:space="preserve"> asset</w:t>
      </w:r>
      <w:r w:rsidR="00EE4B0A">
        <w:t>, and</w:t>
      </w:r>
      <w:r w:rsidR="00CD4336">
        <w:t xml:space="preserve"> </w:t>
      </w:r>
      <w:r w:rsidR="0017115F">
        <w:t>a</w:t>
      </w:r>
      <w:r w:rsidR="00CD4336">
        <w:t xml:space="preserve">ny restriction on </w:t>
      </w:r>
      <w:r w:rsidR="00766E68">
        <w:t xml:space="preserve">its </w:t>
      </w:r>
      <w:r w:rsidR="00CD4336">
        <w:t xml:space="preserve">sale does not bind her, as a </w:t>
      </w:r>
      <w:r w:rsidR="006A4A6E">
        <w:t xml:space="preserve">judgment </w:t>
      </w:r>
      <w:r w:rsidR="00CD4336">
        <w:t>creditor.</w:t>
      </w:r>
    </w:p>
    <w:p w14:paraId="23A69574" w14:textId="3E351D9F" w:rsidR="00EF26D1" w:rsidRDefault="00B77036" w:rsidP="003D457B">
      <w:r>
        <w:tab/>
      </w:r>
      <w:r w:rsidR="00E3501B">
        <w:t xml:space="preserve">AMPAS </w:t>
      </w:r>
      <w:r w:rsidR="00DF20D4">
        <w:t>sought</w:t>
      </w:r>
      <w:r w:rsidR="00E3501B">
        <w:t xml:space="preserve"> to intervene </w:t>
      </w:r>
      <w:r w:rsidR="003E10C1">
        <w:t>in this case</w:t>
      </w:r>
      <w:r w:rsidR="00363F6B">
        <w:t xml:space="preserve"> when it</w:t>
      </w:r>
      <w:r w:rsidR="003E10C1">
        <w:t xml:space="preserve"> learn</w:t>
      </w:r>
      <w:r w:rsidR="00363F6B">
        <w:t>ed</w:t>
      </w:r>
      <w:r w:rsidR="001D7AA5">
        <w:t xml:space="preserve"> of</w:t>
      </w:r>
      <w:r w:rsidR="003E10C1">
        <w:t xml:space="preserve"> Juarez’s efforts to </w:t>
      </w:r>
      <w:r w:rsidR="002B1171">
        <w:t>seize</w:t>
      </w:r>
      <w:r w:rsidR="003E10C1">
        <w:t xml:space="preserve"> </w:t>
      </w:r>
      <w:r w:rsidR="00363F6B">
        <w:t>the</w:t>
      </w:r>
      <w:r w:rsidR="002E510B">
        <w:t xml:space="preserve"> </w:t>
      </w:r>
      <w:r w:rsidR="004D1E55">
        <w:t>Oscar</w:t>
      </w:r>
      <w:r w:rsidR="003E10C1">
        <w:t xml:space="preserve">. </w:t>
      </w:r>
      <w:r w:rsidR="00F64FC0">
        <w:t xml:space="preserve"> </w:t>
      </w:r>
      <w:r w:rsidR="00796018">
        <w:t>AMPAS</w:t>
      </w:r>
      <w:r w:rsidR="00C658EB">
        <w:t>’s</w:t>
      </w:r>
      <w:r w:rsidR="00796018">
        <w:t xml:space="preserve"> </w:t>
      </w:r>
      <w:r w:rsidR="00EF26D1">
        <w:t>Chief Financial Officer Andy Horn declared that</w:t>
      </w:r>
      <w:r w:rsidR="00404436">
        <w:t xml:space="preserve"> the Oscar is a copyrighted work of art</w:t>
      </w:r>
      <w:r w:rsidR="00BA13F7">
        <w:t>; it</w:t>
      </w:r>
      <w:r w:rsidR="002E510B">
        <w:t xml:space="preserve"> represents the pinnacle of professional recognition in the film industry and</w:t>
      </w:r>
      <w:r w:rsidR="00404436">
        <w:t xml:space="preserve"> is </w:t>
      </w:r>
      <w:r w:rsidR="00842F69">
        <w:t>un</w:t>
      </w:r>
      <w:r w:rsidR="002E510B">
        <w:t>available</w:t>
      </w:r>
      <w:r w:rsidR="00404436">
        <w:t xml:space="preserve"> to the public.  </w:t>
      </w:r>
      <w:r w:rsidR="0016544D">
        <w:t xml:space="preserve">Since 1951, </w:t>
      </w:r>
      <w:r w:rsidR="002E510B">
        <w:t>AMPAS</w:t>
      </w:r>
      <w:r w:rsidR="00C658EB">
        <w:t>’s</w:t>
      </w:r>
      <w:r w:rsidR="002E510B">
        <w:t xml:space="preserve"> bylaws mandate that a member who receives an Oscar </w:t>
      </w:r>
      <w:r w:rsidR="00BA13F7">
        <w:t xml:space="preserve">must </w:t>
      </w:r>
      <w:r w:rsidR="004D1E55">
        <w:t>afford</w:t>
      </w:r>
      <w:r w:rsidR="002E510B">
        <w:t xml:space="preserve"> AMPAS a right of first refusal to purchase </w:t>
      </w:r>
      <w:r>
        <w:t>it if</w:t>
      </w:r>
      <w:r w:rsidR="004D1E55">
        <w:t xml:space="preserve"> it is to be sold or disposed of</w:t>
      </w:r>
      <w:r w:rsidR="002E510B">
        <w:t>.</w:t>
      </w:r>
      <w:r w:rsidR="00FD2D13">
        <w:t xml:space="preserve"> </w:t>
      </w:r>
      <w:r w:rsidR="002E510B">
        <w:t xml:space="preserve"> Receipt of an Oscar is conditioned on execution of the Agreement</w:t>
      </w:r>
      <w:r w:rsidR="00BA13F7">
        <w:t>, which</w:t>
      </w:r>
      <w:r w:rsidR="002E510B">
        <w:t xml:space="preserve"> </w:t>
      </w:r>
      <w:r w:rsidR="00FD2D13">
        <w:t xml:space="preserve">Ward signed in 1974.  </w:t>
      </w:r>
      <w:r w:rsidR="00200A02">
        <w:t>AMPAS in</w:t>
      </w:r>
      <w:r w:rsidR="00200A02">
        <w:lastRenderedPageBreak/>
        <w:t>formed Ward and Juarez that it is asserting its right to purchase Ward’s Oscar for $10.</w:t>
      </w:r>
    </w:p>
    <w:p w14:paraId="48C03604" w14:textId="23DF0697" w:rsidR="004A0EFE" w:rsidRPr="00B77036" w:rsidRDefault="00B77036" w:rsidP="003D457B">
      <w:r>
        <w:tab/>
      </w:r>
      <w:r w:rsidR="00110D2D">
        <w:t>T</w:t>
      </w:r>
      <w:r w:rsidR="004A0EFE">
        <w:t>he court ga</w:t>
      </w:r>
      <w:r w:rsidR="00E763D1">
        <w:t>v</w:t>
      </w:r>
      <w:r w:rsidR="004A0EFE">
        <w:t>e AMPAS leave to intervene</w:t>
      </w:r>
      <w:r w:rsidR="008176E3">
        <w:t>,</w:t>
      </w:r>
      <w:r w:rsidR="006A4A6E">
        <w:t xml:space="preserve"> allowed Juarez to propound discovery on AMPAS</w:t>
      </w:r>
      <w:r w:rsidR="008176E3">
        <w:t>,</w:t>
      </w:r>
      <w:r w:rsidR="006A4A6E">
        <w:t xml:space="preserve"> and ordered the parties to brief their claims. </w:t>
      </w:r>
      <w:r w:rsidR="006A4A6E" w:rsidRPr="006A4A6E">
        <w:t xml:space="preserve"> </w:t>
      </w:r>
      <w:r w:rsidR="00110D2D">
        <w:t>Before the court could rule</w:t>
      </w:r>
      <w:r w:rsidR="00E763D1">
        <w:t xml:space="preserve"> on </w:t>
      </w:r>
      <w:r w:rsidR="006A4A6E">
        <w:t>the</w:t>
      </w:r>
      <w:r w:rsidR="00E763D1">
        <w:t xml:space="preserve"> claim</w:t>
      </w:r>
      <w:r w:rsidR="00293E38">
        <w:t>s</w:t>
      </w:r>
      <w:r w:rsidR="005A5417">
        <w:t>,</w:t>
      </w:r>
      <w:r w:rsidR="00A33852">
        <w:t xml:space="preserve"> </w:t>
      </w:r>
      <w:r w:rsidR="001D29CE">
        <w:t xml:space="preserve">Ward </w:t>
      </w:r>
      <w:r w:rsidR="001644DB">
        <w:t>returned</w:t>
      </w:r>
      <w:r w:rsidR="001D29CE">
        <w:t xml:space="preserve"> the Oscar to AMPAS</w:t>
      </w:r>
      <w:r w:rsidR="001644DB">
        <w:t xml:space="preserve"> and was paid $10</w:t>
      </w:r>
      <w:r w:rsidR="001D29CE">
        <w:t xml:space="preserve">. </w:t>
      </w:r>
      <w:r w:rsidR="00D85403">
        <w:t xml:space="preserve"> Juarez argued that AMPAS “should be able to keep its statuette.  It also must pay the judgment .</w:t>
      </w:r>
      <w:r>
        <w:t> </w:t>
      </w:r>
      <w:r w:rsidR="00D85403">
        <w:t>.</w:t>
      </w:r>
      <w:r>
        <w:t> </w:t>
      </w:r>
      <w:r w:rsidR="00D85403">
        <w:t>. because property subject to a lien ‘may be proceeded against and either sold or sequestered, and its proceeds paid to a person in who</w:t>
      </w:r>
      <w:r>
        <w:t>se</w:t>
      </w:r>
      <w:r w:rsidR="00D85403">
        <w:t xml:space="preserve"> favor the lien exists.’</w:t>
      </w:r>
      <w:r>
        <w:t> </w:t>
      </w:r>
      <w:r w:rsidR="00D85403">
        <w:t>”</w:t>
      </w:r>
    </w:p>
    <w:p w14:paraId="10E51E1C" w14:textId="77777777" w:rsidR="00381D45" w:rsidRPr="00787974" w:rsidRDefault="00787974" w:rsidP="00B77036">
      <w:pPr>
        <w:keepNext/>
        <w:jc w:val="center"/>
        <w:rPr>
          <w:b/>
          <w:bCs/>
        </w:rPr>
      </w:pPr>
      <w:r>
        <w:rPr>
          <w:b/>
          <w:bCs/>
        </w:rPr>
        <w:t>THE COURT’S RULING</w:t>
      </w:r>
    </w:p>
    <w:p w14:paraId="40C0C5CE" w14:textId="3E0C9FC7" w:rsidR="00A33852" w:rsidRPr="00AB0649" w:rsidRDefault="00B77036" w:rsidP="003D457B">
      <w:r>
        <w:tab/>
      </w:r>
      <w:r w:rsidR="00787974">
        <w:t>The court found that Ward’s Oscar is subject to an equitable servitude</w:t>
      </w:r>
      <w:r w:rsidR="00475A36">
        <w:t>,</w:t>
      </w:r>
      <w:r w:rsidR="00787974">
        <w:t xml:space="preserve"> under the Agreement and</w:t>
      </w:r>
      <w:r w:rsidR="00796018">
        <w:t xml:space="preserve"> AMPAS</w:t>
      </w:r>
      <w:r w:rsidR="00C658EB">
        <w:t>’s</w:t>
      </w:r>
      <w:r w:rsidR="00787974">
        <w:t xml:space="preserve"> bylaws.  The servitude requires Ward to offer AMPAS the Oscar for $10 before selling or disposing of it by operation of law.  Conveying the Oscar </w:t>
      </w:r>
      <w:r w:rsidR="00796018">
        <w:t>f</w:t>
      </w:r>
      <w:r w:rsidR="00787974">
        <w:t>o</w:t>
      </w:r>
      <w:r w:rsidR="00796018">
        <w:t>r</w:t>
      </w:r>
      <w:r w:rsidR="00787974">
        <w:t xml:space="preserve"> Juarez</w:t>
      </w:r>
      <w:r w:rsidR="00796018">
        <w:t>’s benefit</w:t>
      </w:r>
      <w:r w:rsidR="00787974">
        <w:t xml:space="preserve"> </w:t>
      </w:r>
      <w:r w:rsidR="002D0B60">
        <w:t>is</w:t>
      </w:r>
      <w:r w:rsidR="00787974">
        <w:t xml:space="preserve"> “disposing” of it by operation of law.  Ward offered </w:t>
      </w:r>
      <w:r w:rsidR="00BA4274">
        <w:t>the Oscar</w:t>
      </w:r>
      <w:r w:rsidR="00787974">
        <w:t xml:space="preserve"> to AMPAS </w:t>
      </w:r>
      <w:r w:rsidR="00BA4274">
        <w:t>to comply with</w:t>
      </w:r>
      <w:r w:rsidR="00787974">
        <w:t xml:space="preserve"> his </w:t>
      </w:r>
      <w:r w:rsidR="00BA4274">
        <w:t xml:space="preserve">Agreement and </w:t>
      </w:r>
      <w:r w:rsidR="00787974">
        <w:t>membership ob</w:t>
      </w:r>
      <w:r w:rsidR="00787974">
        <w:lastRenderedPageBreak/>
        <w:t>ligations</w:t>
      </w:r>
      <w:r w:rsidR="00BA4274">
        <w:t>;</w:t>
      </w:r>
      <w:r w:rsidR="00787974">
        <w:t xml:space="preserve"> AMPAS purchased it for $10 and now </w:t>
      </w:r>
      <w:r w:rsidR="00BA4274">
        <w:t xml:space="preserve">owns and </w:t>
      </w:r>
      <w:r w:rsidR="00787974">
        <w:t xml:space="preserve">possesses it.  </w:t>
      </w:r>
      <w:r w:rsidR="00295B5D">
        <w:t>The court wrote, “</w:t>
      </w:r>
      <w:r w:rsidR="00C26B14">
        <w:t>[</w:t>
      </w:r>
      <w:r w:rsidR="00E4435A">
        <w:t>A</w:t>
      </w:r>
      <w:r w:rsidR="00C26B14">
        <w:t>]</w:t>
      </w:r>
      <w:r w:rsidR="00295B5D">
        <w:t>t this time, Plaintiff has neither sought delivery of the Oscar from the Academy nor has [she] argued that [she] has the right to do so.”</w:t>
      </w:r>
    </w:p>
    <w:p w14:paraId="3E713B10" w14:textId="055A75BB" w:rsidR="00A33852" w:rsidRDefault="00E4435A" w:rsidP="003D457B">
      <w:r>
        <w:tab/>
      </w:r>
      <w:r w:rsidR="00BA4274">
        <w:t xml:space="preserve">A judgment creditor can demand the proceeds from the sale of a debtor’s personal property.  </w:t>
      </w:r>
      <w:r w:rsidR="00787974">
        <w:t xml:space="preserve">Juarez </w:t>
      </w:r>
      <w:r w:rsidR="00BA4274">
        <w:t>h</w:t>
      </w:r>
      <w:r w:rsidR="00787974">
        <w:t xml:space="preserve">olds a lien on the </w:t>
      </w:r>
      <w:r w:rsidR="00BA4274">
        <w:t xml:space="preserve">$10 in </w:t>
      </w:r>
      <w:r w:rsidR="00787974">
        <w:t xml:space="preserve">proceeds from </w:t>
      </w:r>
      <w:r w:rsidR="00BA4274">
        <w:t>Ward’s</w:t>
      </w:r>
      <w:r w:rsidR="00787974">
        <w:t xml:space="preserve"> transfer of the Oscar </w:t>
      </w:r>
      <w:r w:rsidR="00BA4274">
        <w:t xml:space="preserve">to AMPAS.  AMPAS acquired it through a valid contract and paid the amount it was contractually required to pay.  Even if Juarez acquired the Oscar, </w:t>
      </w:r>
      <w:r w:rsidR="00402E04">
        <w:t>it cannot be</w:t>
      </w:r>
      <w:r w:rsidR="00BA4274">
        <w:t xml:space="preserve"> s</w:t>
      </w:r>
      <w:r w:rsidR="00402E04">
        <w:t>o</w:t>
      </w:r>
      <w:r w:rsidR="00BA4274">
        <w:t>l</w:t>
      </w:r>
      <w:r w:rsidR="00402E04">
        <w:t>d</w:t>
      </w:r>
      <w:r w:rsidR="00BA4274">
        <w:t xml:space="preserve"> because of the equitable servitude.  The court ordered Ward to surrender the $10 in proceeds to Juarez.</w:t>
      </w:r>
      <w:r w:rsidR="00DB4780">
        <w:t xml:space="preserve">  Juarez appealed the order.</w:t>
      </w:r>
      <w:r w:rsidR="00786291" w:rsidRPr="00E4435A">
        <w:rPr>
          <w:rStyle w:val="FootnoteReference"/>
          <w:b/>
          <w:position w:val="6"/>
          <w:sz w:val="20"/>
          <w:vertAlign w:val="baseline"/>
        </w:rPr>
        <w:footnoteReference w:id="2"/>
      </w:r>
    </w:p>
    <w:p w14:paraId="18F3BCBE" w14:textId="77777777" w:rsidR="00787974" w:rsidRPr="00787974" w:rsidRDefault="00787974" w:rsidP="00B947A1">
      <w:pPr>
        <w:keepNext/>
        <w:keepLines/>
        <w:jc w:val="center"/>
        <w:rPr>
          <w:b/>
          <w:bCs/>
        </w:rPr>
      </w:pPr>
      <w:r>
        <w:rPr>
          <w:b/>
          <w:bCs/>
        </w:rPr>
        <w:lastRenderedPageBreak/>
        <w:t>DISCUSSION</w:t>
      </w:r>
    </w:p>
    <w:p w14:paraId="599C7606" w14:textId="77777777" w:rsidR="00857D31" w:rsidRPr="00857D31" w:rsidRDefault="00857D31" w:rsidP="00B947A1">
      <w:pPr>
        <w:keepNext/>
        <w:keepLines/>
        <w:numPr>
          <w:ilvl w:val="0"/>
          <w:numId w:val="1"/>
        </w:numPr>
        <w:rPr>
          <w:b/>
          <w:bCs/>
        </w:rPr>
      </w:pPr>
      <w:r>
        <w:rPr>
          <w:b/>
          <w:bCs/>
        </w:rPr>
        <w:t xml:space="preserve"> Appeal and Review</w:t>
      </w:r>
    </w:p>
    <w:p w14:paraId="6268BC70" w14:textId="5E29C83C" w:rsidR="00787974" w:rsidRDefault="00E4435A" w:rsidP="003D457B">
      <w:r>
        <w:tab/>
      </w:r>
      <w:r w:rsidR="00BA4274">
        <w:t xml:space="preserve">The order </w:t>
      </w:r>
      <w:r w:rsidR="002B0F97">
        <w:t>arises</w:t>
      </w:r>
      <w:r w:rsidR="00BA4274">
        <w:t xml:space="preserve"> after</w:t>
      </w:r>
      <w:r w:rsidR="002B0F97">
        <w:t xml:space="preserve"> judgment in Juarez’s </w:t>
      </w:r>
      <w:r w:rsidR="00F15E9A">
        <w:t>l</w:t>
      </w:r>
      <w:r w:rsidR="003152A0">
        <w:t>abor</w:t>
      </w:r>
      <w:r w:rsidR="004A301B">
        <w:t xml:space="preserve"> law</w:t>
      </w:r>
      <w:r w:rsidR="003152A0">
        <w:t xml:space="preserve"> c</w:t>
      </w:r>
      <w:r w:rsidR="002B0F97">
        <w:t>ase against Ward.  (§ 904.1, subd. (a)(2)</w:t>
      </w:r>
      <w:r w:rsidR="00444CBF">
        <w:t xml:space="preserve">; </w:t>
      </w:r>
      <w:r w:rsidR="00444CBF">
        <w:rPr>
          <w:i/>
          <w:iCs/>
        </w:rPr>
        <w:t xml:space="preserve">Imperial Bank v. Pim Electric, Inc. </w:t>
      </w:r>
      <w:r w:rsidR="00444CBF">
        <w:t>(1995) 33 Cal.App.4th 540, 54</w:t>
      </w:r>
      <w:r w:rsidR="008A1659">
        <w:t>4,</w:t>
      </w:r>
      <w:r w:rsidR="00444CBF">
        <w:t xml:space="preserve"> fn. 1 </w:t>
      </w:r>
      <w:r w:rsidR="0083515D">
        <w:t>(</w:t>
      </w:r>
      <w:r w:rsidR="0083515D">
        <w:rPr>
          <w:i/>
          <w:iCs/>
        </w:rPr>
        <w:t>Pim</w:t>
      </w:r>
      <w:r w:rsidR="0083515D">
        <w:t xml:space="preserve">) </w:t>
      </w:r>
      <w:r w:rsidR="00444CBF">
        <w:t xml:space="preserve">[an order to enforce a judgment </w:t>
      </w:r>
      <w:r w:rsidR="00110D2D">
        <w:t xml:space="preserve">after </w:t>
      </w:r>
      <w:r w:rsidR="00857D31">
        <w:t xml:space="preserve">a debtor’s exam </w:t>
      </w:r>
      <w:r w:rsidR="00444CBF">
        <w:t>is appealable]</w:t>
      </w:r>
      <w:r w:rsidR="002B0F97">
        <w:t>.</w:t>
      </w:r>
      <w:r w:rsidR="00444CBF">
        <w:t>)</w:t>
      </w:r>
      <w:r w:rsidR="00131C24">
        <w:t xml:space="preserve">  When the court </w:t>
      </w:r>
      <w:r w:rsidR="00824817">
        <w:t>resolve</w:t>
      </w:r>
      <w:r w:rsidR="00131C24">
        <w:t>s competing interests in property, its “determination is conclusive as to the parties to the proceeding and the third person [claiming an interest], but an appeal may be taken from the determination.”  (§ 708.180, subd. (a).)</w:t>
      </w:r>
    </w:p>
    <w:p w14:paraId="671202FB" w14:textId="4A744EF2" w:rsidR="00BA4274" w:rsidRPr="000E2A73" w:rsidRDefault="00E4435A" w:rsidP="003D457B">
      <w:r>
        <w:tab/>
      </w:r>
      <w:r w:rsidR="003152A0">
        <w:t xml:space="preserve">On appeal, Juarez </w:t>
      </w:r>
      <w:r w:rsidR="00E52BA9">
        <w:t>addresse</w:t>
      </w:r>
      <w:r w:rsidR="003152A0">
        <w:t>s whether (1) the trial court was allowed to use a summary procedure; (2) the equitable servitude doctrine applies to chattels; and (3)</w:t>
      </w:r>
      <w:r w:rsidR="006B47D2">
        <w:t xml:space="preserve"> the Agreement creates an equitable servitude</w:t>
      </w:r>
      <w:r w:rsidR="00786291">
        <w:t xml:space="preserve"> on Ward’s Oscar</w:t>
      </w:r>
      <w:r w:rsidR="006B47D2">
        <w:t xml:space="preserve">.  </w:t>
      </w:r>
      <w:r w:rsidR="00780434">
        <w:t>“The trial court’s findings of</w:t>
      </w:r>
      <w:r w:rsidR="006B47D2">
        <w:t xml:space="preserve"> fact</w:t>
      </w:r>
      <w:r w:rsidR="00780434">
        <w:t xml:space="preserve"> are reviewed for substantial evidence, its conclusions of law are</w:t>
      </w:r>
      <w:r w:rsidR="006B47D2">
        <w:t xml:space="preserve"> review</w:t>
      </w:r>
      <w:r w:rsidR="00780434">
        <w:t>ed</w:t>
      </w:r>
      <w:r w:rsidR="006B47D2">
        <w:t xml:space="preserve"> de novo</w:t>
      </w:r>
      <w:r w:rsidR="00780434">
        <w:t xml:space="preserve">, and its application of the law to the facts is reversible only </w:t>
      </w:r>
      <w:r w:rsidR="00780434">
        <w:lastRenderedPageBreak/>
        <w:t>if arbitrary and capricious</w:t>
      </w:r>
      <w:r w:rsidR="006B47D2">
        <w:t>.</w:t>
      </w:r>
      <w:r w:rsidR="00780434">
        <w:t>”</w:t>
      </w:r>
      <w:r w:rsidR="006B47D2">
        <w:t xml:space="preserve">  (</w:t>
      </w:r>
      <w:r w:rsidR="00780434">
        <w:rPr>
          <w:i/>
          <w:iCs/>
        </w:rPr>
        <w:t>Haragu</w:t>
      </w:r>
      <w:r w:rsidR="000E2A73">
        <w:rPr>
          <w:i/>
          <w:iCs/>
        </w:rPr>
        <w:t xml:space="preserve">chi v. Superior Court </w:t>
      </w:r>
      <w:r w:rsidR="000E2A73">
        <w:t>(2008) 43 Cal.4th 706, 711</w:t>
      </w:r>
      <w:r>
        <w:t>–</w:t>
      </w:r>
      <w:r w:rsidR="000E2A73">
        <w:t>712</w:t>
      </w:r>
      <w:r w:rsidR="008A1659">
        <w:t>, fns. omitted</w:t>
      </w:r>
      <w:r w:rsidR="000E2A73">
        <w:t>.)</w:t>
      </w:r>
    </w:p>
    <w:p w14:paraId="39093F69" w14:textId="77777777" w:rsidR="003152A0" w:rsidRPr="00786291" w:rsidRDefault="00786291" w:rsidP="00983204">
      <w:pPr>
        <w:keepNext/>
        <w:numPr>
          <w:ilvl w:val="0"/>
          <w:numId w:val="1"/>
        </w:numPr>
        <w:rPr>
          <w:b/>
          <w:bCs/>
        </w:rPr>
      </w:pPr>
      <w:r>
        <w:rPr>
          <w:b/>
          <w:bCs/>
        </w:rPr>
        <w:t xml:space="preserve"> </w:t>
      </w:r>
      <w:r w:rsidR="004B7A3B">
        <w:rPr>
          <w:b/>
          <w:bCs/>
        </w:rPr>
        <w:t>The Court Properly Proceeded Under the EJL</w:t>
      </w:r>
    </w:p>
    <w:p w14:paraId="32D26C06" w14:textId="0099D24B" w:rsidR="0083515D" w:rsidRPr="00983204" w:rsidRDefault="00E4435A" w:rsidP="00C14695">
      <w:r w:rsidRPr="00983204">
        <w:tab/>
      </w:r>
      <w:r w:rsidR="0083515D" w:rsidRPr="00983204">
        <w:t>The EJL “is a comprehensive scheme governing the enforcement of all civil judgments in California.”  (</w:t>
      </w:r>
      <w:r w:rsidR="0083515D" w:rsidRPr="00983204">
        <w:rPr>
          <w:i/>
          <w:iCs/>
        </w:rPr>
        <w:t xml:space="preserve">Pim, supra, </w:t>
      </w:r>
      <w:r w:rsidR="0083515D" w:rsidRPr="00983204">
        <w:t>33 Cal.App.4th at p. 546.)  Under this scheme, a</w:t>
      </w:r>
      <w:r w:rsidR="00BE4BE2" w:rsidRPr="00983204">
        <w:t xml:space="preserve"> lien is created on all nonexempt personal property when the debtor is served with </w:t>
      </w:r>
      <w:r w:rsidR="00E06BB2" w:rsidRPr="00983204">
        <w:t>notice</w:t>
      </w:r>
      <w:r w:rsidR="00BE4BE2" w:rsidRPr="00983204">
        <w:t xml:space="preserve"> to appear for examination.  (</w:t>
      </w:r>
      <w:r w:rsidR="00E06BB2" w:rsidRPr="00983204">
        <w:rPr>
          <w:i/>
          <w:iCs/>
        </w:rPr>
        <w:t>Id.</w:t>
      </w:r>
      <w:r w:rsidR="00BE4BE2" w:rsidRPr="00983204">
        <w:t xml:space="preserve"> </w:t>
      </w:r>
      <w:r w:rsidR="00E06BB2" w:rsidRPr="00983204">
        <w:t>at pp. 552</w:t>
      </w:r>
      <w:r w:rsidRPr="00983204">
        <w:t>–</w:t>
      </w:r>
      <w:r w:rsidR="00E06BB2" w:rsidRPr="00983204">
        <w:t>553;</w:t>
      </w:r>
      <w:r w:rsidR="00BE4BE2" w:rsidRPr="00983204">
        <w:t xml:space="preserve"> § 708.110</w:t>
      </w:r>
      <w:r w:rsidR="00E06BB2" w:rsidRPr="00983204">
        <w:t>, subd. (d).)</w:t>
      </w:r>
      <w:r w:rsidR="00DF0480" w:rsidRPr="00983204">
        <w:t xml:space="preserve"> </w:t>
      </w:r>
      <w:r w:rsidR="00E06BB2" w:rsidRPr="00983204">
        <w:t xml:space="preserve"> </w:t>
      </w:r>
      <w:r w:rsidR="00DF0480" w:rsidRPr="00983204">
        <w:t>“Except as otherwise provided by law, all property of the judgment debtor is subject to enforcement of a money judgment.”</w:t>
      </w:r>
      <w:r w:rsidR="00E06BB2" w:rsidRPr="00983204">
        <w:t xml:space="preserve">  (§ 695.010</w:t>
      </w:r>
      <w:r w:rsidR="00C471C5">
        <w:t>, subd. (a)</w:t>
      </w:r>
      <w:r w:rsidR="00E06BB2" w:rsidRPr="00983204">
        <w:t>.</w:t>
      </w:r>
      <w:r w:rsidR="00BE4BE2" w:rsidRPr="00983204">
        <w:t>)</w:t>
      </w:r>
      <w:r w:rsidR="00983204" w:rsidRPr="00983204">
        <w:t xml:space="preserve">  However, “property of the judgment debtor that is not assignable or transferable is not subject to enforcement of a money judgment.”  (§ 695.030, subd. (a).)</w:t>
      </w:r>
    </w:p>
    <w:p w14:paraId="4D86E397" w14:textId="4E6C9FCC" w:rsidR="00BB052E" w:rsidRPr="009C4FD9" w:rsidRDefault="00E4435A" w:rsidP="00C14695">
      <w:pPr>
        <w:rPr>
          <w:b/>
          <w:bCs/>
        </w:rPr>
      </w:pPr>
      <w:r>
        <w:tab/>
      </w:r>
      <w:r w:rsidR="0083515D">
        <w:t xml:space="preserve">Juarez </w:t>
      </w:r>
      <w:r w:rsidR="009C4FD9">
        <w:t>demand</w:t>
      </w:r>
      <w:r w:rsidR="00E26847">
        <w:t>ed</w:t>
      </w:r>
      <w:r w:rsidR="009C4FD9">
        <w:t xml:space="preserve"> that Ward respond to requests for information about his assets. </w:t>
      </w:r>
      <w:r w:rsidR="009C4FD9" w:rsidRPr="00E4435A">
        <w:t xml:space="preserve"> </w:t>
      </w:r>
      <w:r w:rsidR="00847931">
        <w:t>A</w:t>
      </w:r>
      <w:r w:rsidR="004B7A3B">
        <w:t>fter</w:t>
      </w:r>
      <w:r w:rsidR="008551F9">
        <w:t xml:space="preserve"> </w:t>
      </w:r>
      <w:r w:rsidR="00AC1C48">
        <w:t xml:space="preserve">a </w:t>
      </w:r>
      <w:r w:rsidR="008551F9">
        <w:t>debtor’s exam</w:t>
      </w:r>
      <w:r w:rsidR="00002B19">
        <w:t>ination</w:t>
      </w:r>
      <w:r w:rsidR="00DF0480">
        <w:t xml:space="preserve"> (§ 708.110)</w:t>
      </w:r>
      <w:r w:rsidR="00847931">
        <w:t>, she requested</w:t>
      </w:r>
      <w:r w:rsidR="004B7A3B">
        <w:t xml:space="preserve"> </w:t>
      </w:r>
      <w:r w:rsidR="00AC1C48">
        <w:t>an order</w:t>
      </w:r>
      <w:r w:rsidR="009E5688">
        <w:t xml:space="preserve"> </w:t>
      </w:r>
      <w:r w:rsidR="00847931">
        <w:t xml:space="preserve">to </w:t>
      </w:r>
      <w:r w:rsidR="00DF0480">
        <w:t xml:space="preserve">have Ward’s </w:t>
      </w:r>
      <w:r w:rsidR="00847931">
        <w:t>property</w:t>
      </w:r>
      <w:r w:rsidR="00DF0480">
        <w:t xml:space="preserve"> applied to satisfy her judgment</w:t>
      </w:r>
      <w:r w:rsidR="009E5688">
        <w:t xml:space="preserve">.  </w:t>
      </w:r>
      <w:r w:rsidR="00002B19">
        <w:t xml:space="preserve">Under section 708.205, subdivision (a), the court </w:t>
      </w:r>
      <w:r w:rsidR="00002B19" w:rsidRPr="00047A33">
        <w:t>may</w:t>
      </w:r>
      <w:r w:rsidR="00002B19">
        <w:t xml:space="preserve"> order the judgment </w:t>
      </w:r>
      <w:r w:rsidR="00002B19">
        <w:lastRenderedPageBreak/>
        <w:t>debtor’s interest in property to be applied toward the satisfaction of the judgment.</w:t>
      </w:r>
      <w:r w:rsidR="009E5688">
        <w:t xml:space="preserve"> </w:t>
      </w:r>
      <w:r w:rsidR="00AC1C48">
        <w:t xml:space="preserve"> Juarez</w:t>
      </w:r>
      <w:r w:rsidR="009C4FD9">
        <w:t xml:space="preserve"> </w:t>
      </w:r>
      <w:r w:rsidR="004B7A3B">
        <w:t>secur</w:t>
      </w:r>
      <w:r w:rsidR="009C4FD9">
        <w:t xml:space="preserve">ed a signed order for </w:t>
      </w:r>
      <w:r w:rsidR="00A867F3">
        <w:t xml:space="preserve">movie </w:t>
      </w:r>
      <w:r w:rsidR="008D0C51">
        <w:t>memorabilia,</w:t>
      </w:r>
      <w:r w:rsidR="009C4FD9">
        <w:t xml:space="preserve"> </w:t>
      </w:r>
      <w:r w:rsidR="00AC1C48">
        <w:t xml:space="preserve">but </w:t>
      </w:r>
      <w:r w:rsidR="009E5688">
        <w:t xml:space="preserve">the court refused </w:t>
      </w:r>
      <w:r w:rsidR="00AC1C48">
        <w:t>her</w:t>
      </w:r>
      <w:r w:rsidR="009E5688">
        <w:t xml:space="preserve"> request </w:t>
      </w:r>
      <w:r w:rsidR="00AC1C48">
        <w:t>f</w:t>
      </w:r>
      <w:r w:rsidR="009E5688">
        <w:t>o</w:t>
      </w:r>
      <w:r w:rsidR="00AC1C48">
        <w:t>r</w:t>
      </w:r>
      <w:r w:rsidR="009C4FD9">
        <w:t xml:space="preserve"> the Oscar.</w:t>
      </w:r>
    </w:p>
    <w:p w14:paraId="4AD607A6" w14:textId="024EB2BD" w:rsidR="002A41EC" w:rsidRDefault="00E4435A" w:rsidP="00C14695">
      <w:r>
        <w:tab/>
      </w:r>
      <w:r w:rsidR="00C34F8C">
        <w:t xml:space="preserve">The court allowed </w:t>
      </w:r>
      <w:r w:rsidR="00BB052E">
        <w:t>AMPAS to intervene to claim a</w:t>
      </w:r>
      <w:r w:rsidR="006815C2">
        <w:t xml:space="preserve"> right</w:t>
      </w:r>
      <w:r w:rsidR="00BB052E">
        <w:t xml:space="preserve"> </w:t>
      </w:r>
      <w:r w:rsidR="006815C2">
        <w:t>to</w:t>
      </w:r>
      <w:r w:rsidR="00BB052E">
        <w:t xml:space="preserve"> the Oscar.  </w:t>
      </w:r>
      <w:r w:rsidR="002A41EC">
        <w:t>Section</w:t>
      </w:r>
      <w:r w:rsidR="00BB052E">
        <w:t xml:space="preserve"> 708.190 </w:t>
      </w:r>
      <w:r w:rsidR="002A41EC">
        <w:t>reads</w:t>
      </w:r>
      <w:r>
        <w:t xml:space="preserve">: </w:t>
      </w:r>
      <w:r w:rsidR="002A41EC">
        <w:t xml:space="preserve"> “The court may permit a person claiming </w:t>
      </w:r>
      <w:r w:rsidR="00BB052E">
        <w:t xml:space="preserve">an interest in </w:t>
      </w:r>
      <w:r w:rsidR="002A41EC">
        <w:t xml:space="preserve">the </w:t>
      </w:r>
      <w:r w:rsidR="00BB052E">
        <w:t xml:space="preserve">property </w:t>
      </w:r>
      <w:r w:rsidR="002A41EC">
        <w:t xml:space="preserve">or debt </w:t>
      </w:r>
      <w:r w:rsidR="00BB052E">
        <w:t xml:space="preserve">sought </w:t>
      </w:r>
      <w:r w:rsidR="002A41EC">
        <w:t xml:space="preserve">to be applied in an examination proceeding to </w:t>
      </w:r>
      <w:r w:rsidR="00BB052E">
        <w:t xml:space="preserve">intervene </w:t>
      </w:r>
      <w:r w:rsidR="002A41EC">
        <w:t>in the proceeding and may determine the person’s rights in the property or debt pursuant to Section 708.180.”  The purpose of this statute is to allow “the early resolution of a third-party claim to property that is the subject of an examination proceeding.”  (</w:t>
      </w:r>
      <w:r w:rsidR="00B139EF">
        <w:t xml:space="preserve">Cal. </w:t>
      </w:r>
      <w:r w:rsidR="002A41EC">
        <w:t>Law Rev</w:t>
      </w:r>
      <w:r w:rsidR="00C637CD">
        <w:t>ision</w:t>
      </w:r>
      <w:r w:rsidR="002A41EC">
        <w:t xml:space="preserve"> Com. </w:t>
      </w:r>
      <w:r w:rsidR="00C637CD">
        <w:t>c</w:t>
      </w:r>
      <w:r w:rsidR="002A41EC">
        <w:t>om</w:t>
      </w:r>
      <w:r w:rsidR="00C637CD">
        <w:t>.</w:t>
      </w:r>
      <w:r w:rsidR="00B139EF">
        <w:t>,</w:t>
      </w:r>
      <w:r w:rsidR="00B26BB4">
        <w:t xml:space="preserve"> Deering’s Ann. Code Civ. Proc. (2022)</w:t>
      </w:r>
      <w:r w:rsidR="002A41EC">
        <w:t xml:space="preserve"> </w:t>
      </w:r>
      <w:r w:rsidR="00B139EF">
        <w:t>foll.</w:t>
      </w:r>
      <w:r w:rsidR="002A41EC">
        <w:t xml:space="preserve"> </w:t>
      </w:r>
      <w:bookmarkStart w:id="0" w:name="_Hlk126914826"/>
      <w:r w:rsidR="002A41EC">
        <w:t>§</w:t>
      </w:r>
      <w:r w:rsidR="00B26BB4">
        <w:t> </w:t>
      </w:r>
      <w:r w:rsidR="002A41EC">
        <w:t>708.190.</w:t>
      </w:r>
      <w:bookmarkEnd w:id="0"/>
      <w:r w:rsidR="002A41EC">
        <w:t>)</w:t>
      </w:r>
      <w:r w:rsidR="00417393" w:rsidRPr="00E4435A">
        <w:rPr>
          <w:rStyle w:val="FootnoteReference"/>
          <w:b/>
          <w:position w:val="6"/>
          <w:sz w:val="20"/>
          <w:vertAlign w:val="baseline"/>
        </w:rPr>
        <w:footnoteReference w:id="3"/>
      </w:r>
    </w:p>
    <w:p w14:paraId="0FF04572" w14:textId="5E25DB13" w:rsidR="00005AD1" w:rsidRDefault="00E4435A" w:rsidP="00C14695">
      <w:r>
        <w:lastRenderedPageBreak/>
        <w:tab/>
      </w:r>
      <w:r w:rsidR="00E26847">
        <w:t>These</w:t>
      </w:r>
      <w:r w:rsidR="006634A2">
        <w:t xml:space="preserve"> procedures </w:t>
      </w:r>
      <w:r w:rsidR="001977A8">
        <w:t>ar</w:t>
      </w:r>
      <w:r w:rsidR="006634A2">
        <w:t>e a “</w:t>
      </w:r>
      <w:r w:rsidR="00BC6DEC">
        <w:t> ‘</w:t>
      </w:r>
      <w:r w:rsidR="00BE3EA6">
        <w:t xml:space="preserve">less expensive and </w:t>
      </w:r>
      <w:r w:rsidR="006634A2">
        <w:t>less cumbersome</w:t>
      </w:r>
      <w:r w:rsidR="00BC6DEC">
        <w:t>’ </w:t>
      </w:r>
      <w:r w:rsidR="006634A2">
        <w:t>” way of enforcing a debt.  (</w:t>
      </w:r>
      <w:r w:rsidR="006634A2">
        <w:rPr>
          <w:i/>
          <w:iCs/>
        </w:rPr>
        <w:t xml:space="preserve">Evans v. Paye </w:t>
      </w:r>
      <w:r w:rsidR="006634A2">
        <w:t>(1995) 32 Cal.App.4th 265, 27</w:t>
      </w:r>
      <w:r w:rsidR="00BE3EA6">
        <w:t>6</w:t>
      </w:r>
      <w:r w:rsidR="006634A2">
        <w:t>.)  When a third party claims an interest in property adverse to the debtor</w:t>
      </w:r>
      <w:r w:rsidR="009F019D">
        <w:t xml:space="preserve"> or creditor, the court</w:t>
      </w:r>
      <w:r w:rsidR="001977A8">
        <w:t>’s</w:t>
      </w:r>
      <w:r w:rsidR="009F019D">
        <w:t xml:space="preserve"> </w:t>
      </w:r>
      <w:r w:rsidR="001977A8">
        <w:t>resolution of</w:t>
      </w:r>
      <w:r w:rsidR="009F019D">
        <w:t xml:space="preserve"> the competing interests is conclusive.  (</w:t>
      </w:r>
      <w:r w:rsidR="009F019D">
        <w:rPr>
          <w:i/>
          <w:iCs/>
        </w:rPr>
        <w:t>Id.</w:t>
      </w:r>
      <w:r w:rsidR="009F019D">
        <w:t xml:space="preserve"> at pp. 277</w:t>
      </w:r>
      <w:r w:rsidR="00B139EF">
        <w:t>–</w:t>
      </w:r>
      <w:r w:rsidR="009F019D">
        <w:t>28</w:t>
      </w:r>
      <w:r w:rsidR="00032B6A">
        <w:t>0</w:t>
      </w:r>
      <w:r w:rsidR="009F019D">
        <w:t>.)  The EJL envisions that the court will make factual findings, without the need for a separate lawsuit.  (</w:t>
      </w:r>
      <w:r w:rsidR="009F019D">
        <w:rPr>
          <w:i/>
          <w:iCs/>
        </w:rPr>
        <w:t>Id.</w:t>
      </w:r>
      <w:r w:rsidR="009F019D">
        <w:t xml:space="preserve"> at pp. 2</w:t>
      </w:r>
      <w:r w:rsidR="00032B6A">
        <w:t>7</w:t>
      </w:r>
      <w:r w:rsidR="009F019D">
        <w:t>8</w:t>
      </w:r>
      <w:r w:rsidR="00B139EF">
        <w:t>–</w:t>
      </w:r>
      <w:r w:rsidR="009F019D">
        <w:t>282.)</w:t>
      </w:r>
    </w:p>
    <w:p w14:paraId="0FA4ED99" w14:textId="0FE20B93" w:rsidR="006634A2" w:rsidRPr="00032B6A" w:rsidRDefault="00B139EF" w:rsidP="00C14695">
      <w:r>
        <w:tab/>
      </w:r>
      <w:r w:rsidR="00032B6A">
        <w:t xml:space="preserve">A creditor’s suit may be required </w:t>
      </w:r>
      <w:r w:rsidR="00032B6A" w:rsidRPr="00005AD1">
        <w:rPr>
          <w:i/>
          <w:iCs/>
        </w:rPr>
        <w:t>if</w:t>
      </w:r>
      <w:r w:rsidR="00032B6A">
        <w:t xml:space="preserve"> the court finds that the third party’s claim is made in good faith </w:t>
      </w:r>
      <w:r w:rsidR="00032B6A">
        <w:rPr>
          <w:i/>
          <w:iCs/>
        </w:rPr>
        <w:t xml:space="preserve">and </w:t>
      </w:r>
      <w:r w:rsidR="00032B6A">
        <w:t>at least one of three conditions exists:  (1)</w:t>
      </w:r>
      <w:r>
        <w:t> </w:t>
      </w:r>
      <w:r w:rsidR="00032B6A">
        <w:t>the court is not a proper forum for adjudicating the claim; (2)</w:t>
      </w:r>
      <w:r>
        <w:t> </w:t>
      </w:r>
      <w:r w:rsidR="00032B6A">
        <w:t>another action is pending regarding the third party claim; or (3)</w:t>
      </w:r>
      <w:r>
        <w:t> </w:t>
      </w:r>
      <w:r w:rsidR="00032B6A">
        <w:t xml:space="preserve">the court believes the claim should be tried as an independent suit.  </w:t>
      </w:r>
      <w:r w:rsidR="00032B6A">
        <w:lastRenderedPageBreak/>
        <w:t>(§ 708.180</w:t>
      </w:r>
      <w:r w:rsidR="00B26BB4">
        <w:t>, subd. (b)</w:t>
      </w:r>
      <w:r w:rsidR="00032B6A">
        <w:t>.)</w:t>
      </w:r>
      <w:r w:rsidR="00005AD1">
        <w:t xml:space="preserve">  The court did not find that any of these conditions exist.</w:t>
      </w:r>
    </w:p>
    <w:p w14:paraId="453BCF7D" w14:textId="530BE05C" w:rsidR="008551F9" w:rsidRPr="00C34F8C" w:rsidRDefault="00B139EF" w:rsidP="00C14695">
      <w:r>
        <w:tab/>
      </w:r>
      <w:r w:rsidR="00C148C4">
        <w:t>When Juarez asked “to use post-judgment discovery procedures to investigate the Academy’s claims,” t</w:t>
      </w:r>
      <w:r w:rsidR="002A41EC">
        <w:t>he court</w:t>
      </w:r>
      <w:r w:rsidR="00BB052E">
        <w:t xml:space="preserve"> allow</w:t>
      </w:r>
      <w:r w:rsidR="002A41EC">
        <w:t>ed</w:t>
      </w:r>
      <w:r w:rsidR="00BB052E">
        <w:t xml:space="preserve"> </w:t>
      </w:r>
      <w:r w:rsidR="00C34F8C">
        <w:t>he</w:t>
      </w:r>
      <w:r w:rsidR="00C148C4">
        <w:t>r</w:t>
      </w:r>
      <w:r w:rsidR="00C34F8C">
        <w:t xml:space="preserve"> </w:t>
      </w:r>
      <w:r w:rsidR="002A41EC">
        <w:t xml:space="preserve">to </w:t>
      </w:r>
      <w:r w:rsidR="00C34F8C">
        <w:t>conduct discovery</w:t>
      </w:r>
      <w:r w:rsidR="00C148C4">
        <w:t>; the parties</w:t>
      </w:r>
      <w:r w:rsidR="00D63642">
        <w:t xml:space="preserve"> brief</w:t>
      </w:r>
      <w:r w:rsidR="00C148C4">
        <w:t>ed</w:t>
      </w:r>
      <w:r w:rsidR="00D63642">
        <w:t xml:space="preserve"> </w:t>
      </w:r>
      <w:r w:rsidR="00C34F8C">
        <w:t xml:space="preserve">their </w:t>
      </w:r>
      <w:r w:rsidR="006815C2">
        <w:t xml:space="preserve">competing </w:t>
      </w:r>
      <w:r w:rsidR="00417393">
        <w:t>claims</w:t>
      </w:r>
      <w:r w:rsidR="00175F06">
        <w:t xml:space="preserve"> to</w:t>
      </w:r>
      <w:r w:rsidR="00131C24">
        <w:t xml:space="preserve"> </w:t>
      </w:r>
      <w:r w:rsidR="00C34F8C">
        <w:t>Ward’s Oscar.</w:t>
      </w:r>
      <w:r w:rsidR="007061D9">
        <w:t xml:space="preserve">  (§ 708.180, subd. (a) [court may allow </w:t>
      </w:r>
      <w:r w:rsidR="00D63642">
        <w:t xml:space="preserve">a continuance </w:t>
      </w:r>
      <w:r w:rsidR="00B4047D">
        <w:t>f</w:t>
      </w:r>
      <w:r w:rsidR="00D63642">
        <w:t>o</w:t>
      </w:r>
      <w:r w:rsidR="00B4047D">
        <w:t>r</w:t>
      </w:r>
      <w:r w:rsidR="00D63642">
        <w:t xml:space="preserve"> </w:t>
      </w:r>
      <w:r w:rsidR="007061D9">
        <w:t>discovery, produc</w:t>
      </w:r>
      <w:r w:rsidR="00B4047D">
        <w:t>tion of</w:t>
      </w:r>
      <w:r w:rsidR="007061D9">
        <w:t xml:space="preserve"> evidence, or</w:t>
      </w:r>
      <w:r w:rsidR="00D63642">
        <w:t xml:space="preserve"> other</w:t>
      </w:r>
      <w:r w:rsidR="007061D9">
        <w:t xml:space="preserve"> preparation for the hearing].)</w:t>
      </w:r>
      <w:r w:rsidR="006E3C6E">
        <w:t xml:space="preserve"> </w:t>
      </w:r>
      <w:r w:rsidR="00D63642">
        <w:t xml:space="preserve"> </w:t>
      </w:r>
      <w:r w:rsidR="00481935">
        <w:t>Juarez asked the court to bar AMPAS from “purchasing the Oscar statuette out from under Ms. Juarez</w:t>
      </w:r>
      <w:r w:rsidR="00D63642">
        <w:t>,</w:t>
      </w:r>
      <w:r w:rsidR="00481935">
        <w:t xml:space="preserve">” </w:t>
      </w:r>
      <w:r w:rsidR="00D63642">
        <w:t>citing section 708.110</w:t>
      </w:r>
      <w:r w:rsidR="003F08F7">
        <w:t>, subdivision (d)</w:t>
      </w:r>
      <w:r w:rsidR="00D63642">
        <w:t xml:space="preserve">. </w:t>
      </w:r>
      <w:r w:rsidR="00D63642" w:rsidRPr="00983204">
        <w:t xml:space="preserve"> </w:t>
      </w:r>
      <w:r w:rsidR="005B499B">
        <w:t>Juarez</w:t>
      </w:r>
      <w:r w:rsidR="006E3C6E">
        <w:t xml:space="preserve"> now argues that the court </w:t>
      </w:r>
      <w:r w:rsidR="006A2B97">
        <w:t>should</w:t>
      </w:r>
      <w:r w:rsidR="006E3C6E">
        <w:t xml:space="preserve"> not </w:t>
      </w:r>
      <w:r w:rsidR="006A2B97">
        <w:t xml:space="preserve">have </w:t>
      </w:r>
      <w:r w:rsidR="006E3C6E">
        <w:t>follow</w:t>
      </w:r>
      <w:r w:rsidR="006A2B97">
        <w:t>ed</w:t>
      </w:r>
      <w:r w:rsidR="002A41EC">
        <w:t xml:space="preserve"> </w:t>
      </w:r>
      <w:r w:rsidR="00950B9D">
        <w:t xml:space="preserve">streamlined </w:t>
      </w:r>
      <w:r w:rsidR="006E3C6E">
        <w:t>procedure</w:t>
      </w:r>
      <w:r w:rsidR="006A2B97">
        <w:t>s</w:t>
      </w:r>
      <w:r w:rsidR="006E3C6E">
        <w:t>.</w:t>
      </w:r>
    </w:p>
    <w:p w14:paraId="2293BE23" w14:textId="02D699ED" w:rsidR="00580978" w:rsidRDefault="00983204" w:rsidP="00C14695">
      <w:r>
        <w:tab/>
        <w:t xml:space="preserve">The </w:t>
      </w:r>
      <w:r w:rsidR="00E16054">
        <w:t>EJL</w:t>
      </w:r>
      <w:r w:rsidR="009F24E8">
        <w:t xml:space="preserve"> summary procedure</w:t>
      </w:r>
      <w:r w:rsidR="000419C2">
        <w:t>s</w:t>
      </w:r>
      <w:r w:rsidR="006A2B97">
        <w:t xml:space="preserve"> w</w:t>
      </w:r>
      <w:r w:rsidR="000419C2">
        <w:t>ere</w:t>
      </w:r>
      <w:r w:rsidR="006A2B97">
        <w:t xml:space="preserve"> not “foisted” on </w:t>
      </w:r>
      <w:r w:rsidR="00B4047D">
        <w:t>Juarez</w:t>
      </w:r>
      <w:r w:rsidR="009C70B1">
        <w:t>, as she now argues</w:t>
      </w:r>
      <w:r w:rsidR="009F24E8">
        <w:t xml:space="preserve">; she acknowledges that </w:t>
      </w:r>
      <w:r w:rsidR="002271B7">
        <w:t>she</w:t>
      </w:r>
      <w:r w:rsidR="00E16054">
        <w:t xml:space="preserve"> </w:t>
      </w:r>
      <w:r w:rsidR="000419C2">
        <w:t>could have brought</w:t>
      </w:r>
      <w:r w:rsidR="00E16054">
        <w:t xml:space="preserve"> an independent civil action. </w:t>
      </w:r>
      <w:r w:rsidR="000419C2">
        <w:t xml:space="preserve"> (</w:t>
      </w:r>
      <w:r w:rsidR="000419C2">
        <w:rPr>
          <w:i/>
          <w:iCs/>
        </w:rPr>
        <w:t xml:space="preserve">Ilshin Investment Co., Ltd. v. Buena Vista Home Entertainment, Inc. </w:t>
      </w:r>
      <w:r w:rsidR="000419C2">
        <w:t>(2011) 195 Cal.App.4th 612, 626</w:t>
      </w:r>
      <w:r>
        <w:t>–</w:t>
      </w:r>
      <w:r w:rsidR="000419C2">
        <w:t>627.)</w:t>
      </w:r>
      <w:r w:rsidR="00E16054">
        <w:t xml:space="preserve"> </w:t>
      </w:r>
      <w:r w:rsidR="002271B7" w:rsidRPr="00983204">
        <w:t xml:space="preserve"> </w:t>
      </w:r>
      <w:r w:rsidR="009C70B1">
        <w:t xml:space="preserve">Juarez’s regret that she pursued </w:t>
      </w:r>
      <w:r w:rsidR="00005AD1">
        <w:t xml:space="preserve">her </w:t>
      </w:r>
      <w:r w:rsidR="009C70B1">
        <w:t xml:space="preserve">remedies under </w:t>
      </w:r>
      <w:r w:rsidR="000419C2">
        <w:t>section 708.110 et seq.</w:t>
      </w:r>
      <w:r w:rsidR="009C70B1">
        <w:t>, instead of a c</w:t>
      </w:r>
      <w:r w:rsidR="002271B7">
        <w:t>ivil</w:t>
      </w:r>
      <w:r w:rsidR="009C70B1">
        <w:t xml:space="preserve"> suit, </w:t>
      </w:r>
      <w:r w:rsidR="002B53CB">
        <w:t>i</w:t>
      </w:r>
      <w:r w:rsidR="009C70B1">
        <w:t xml:space="preserve">s not trial court error.  Nor would an </w:t>
      </w:r>
      <w:r w:rsidR="009C70B1">
        <w:lastRenderedPageBreak/>
        <w:t>independent action necessarily have produced a different result.</w:t>
      </w:r>
    </w:p>
    <w:p w14:paraId="18F20262" w14:textId="7DDBD244" w:rsidR="002E5EA5" w:rsidRDefault="00983204" w:rsidP="00C14695">
      <w:r>
        <w:tab/>
      </w:r>
      <w:r w:rsidR="009C4FD9">
        <w:t xml:space="preserve">Juarez argued below (a) there is no evidence that Ward is a member of AMPAS subject to its bylaws; (b) the bylaws do not bind third party creditors; and (c) even if the bylaws could restrict the rights of judgment creditors, she should not lose her right to collect on her judgment “simply because [AMPAS] </w:t>
      </w:r>
      <w:r w:rsidR="009C4FD9">
        <w:rPr>
          <w:i/>
          <w:iCs/>
        </w:rPr>
        <w:t>might</w:t>
      </w:r>
      <w:r w:rsidR="009C4FD9">
        <w:t xml:space="preserve"> decide to offer a low price for an asset that can be used to satisfy a judgment.  The Academy should be forced to buy the Award from the </w:t>
      </w:r>
      <w:r w:rsidR="009C4FD9">
        <w:rPr>
          <w:i/>
          <w:iCs/>
        </w:rPr>
        <w:t>Plaintiff</w:t>
      </w:r>
      <w:r w:rsidR="009C4FD9">
        <w:t xml:space="preserve"> for $1.00 [</w:t>
      </w:r>
      <w:r w:rsidR="009C4FD9">
        <w:rPr>
          <w:i/>
          <w:iCs/>
        </w:rPr>
        <w:t>sic</w:t>
      </w:r>
      <w:r w:rsidR="009C4FD9">
        <w:t>] or allow the levying officer to sell it.  At the very least, the Plaintiff is entitled to the $1.00 [</w:t>
      </w:r>
      <w:r w:rsidR="009C4FD9">
        <w:rPr>
          <w:i/>
          <w:iCs/>
        </w:rPr>
        <w:t>sic</w:t>
      </w:r>
      <w:r w:rsidR="009C4FD9">
        <w:t>].”</w:t>
      </w:r>
    </w:p>
    <w:p w14:paraId="17522FE3" w14:textId="602189AA" w:rsidR="002E5EA5" w:rsidRDefault="00983204" w:rsidP="00C14695">
      <w:r>
        <w:tab/>
      </w:r>
      <w:r w:rsidR="00D32AB4">
        <w:t>None of these issues required a trial.  AMPAS</w:t>
      </w:r>
      <w:r w:rsidR="00B05F7B">
        <w:t>’s</w:t>
      </w:r>
      <w:r w:rsidR="00D32AB4">
        <w:t xml:space="preserve"> Horn declared that Ward is an AMPAS member since 1974</w:t>
      </w:r>
      <w:r w:rsidR="00B05F7B">
        <w:t>, which</w:t>
      </w:r>
      <w:r w:rsidR="00D32AB4">
        <w:t xml:space="preserve"> Juarez does not dispute.  </w:t>
      </w:r>
      <w:r w:rsidR="00B05F7B">
        <w:t xml:space="preserve">Nor does </w:t>
      </w:r>
      <w:r w:rsidR="00CC4EA7">
        <w:t>Juarez</w:t>
      </w:r>
      <w:r w:rsidR="00B05F7B">
        <w:t xml:space="preserve"> dispute that </w:t>
      </w:r>
      <w:r w:rsidR="00DB0714">
        <w:t>AMPAS offer</w:t>
      </w:r>
      <w:r w:rsidR="00005AD1">
        <w:t>ed</w:t>
      </w:r>
      <w:r w:rsidR="00DB0714">
        <w:t xml:space="preserve"> to purchase </w:t>
      </w:r>
      <w:r w:rsidR="00CC4EA7">
        <w:t xml:space="preserve">the Oscar </w:t>
      </w:r>
      <w:r w:rsidR="00DB0714">
        <w:t xml:space="preserve">under the Agreement.  </w:t>
      </w:r>
      <w:r w:rsidR="00D32AB4">
        <w:t xml:space="preserve">The </w:t>
      </w:r>
      <w:r w:rsidR="00B05F7B">
        <w:t xml:space="preserve">legal </w:t>
      </w:r>
      <w:r w:rsidR="00D32AB4">
        <w:t>issue of whether AMPAS</w:t>
      </w:r>
      <w:r w:rsidR="00C658EB">
        <w:t>’s</w:t>
      </w:r>
      <w:r w:rsidR="00D32AB4">
        <w:t xml:space="preserve"> bylaws apply to a creditor’s claim does not require a trial.</w:t>
      </w:r>
    </w:p>
    <w:p w14:paraId="4703D97A" w14:textId="186FADF3" w:rsidR="00786291" w:rsidRDefault="00983204" w:rsidP="00C14695">
      <w:r>
        <w:lastRenderedPageBreak/>
        <w:tab/>
      </w:r>
      <w:r w:rsidR="00DB0714">
        <w:t xml:space="preserve">Later, Juarez argued that a trial was needed to determine if the Agreement and </w:t>
      </w:r>
      <w:r w:rsidR="00DB0714" w:rsidRPr="007E0C3F">
        <w:t>AMPAS</w:t>
      </w:r>
      <w:r w:rsidR="00DB0714">
        <w:t>’</w:t>
      </w:r>
      <w:r w:rsidR="00DB0714" w:rsidRPr="007E0C3F">
        <w:t>s</w:t>
      </w:r>
      <w:r w:rsidR="00DB0714">
        <w:t xml:space="preserve"> right of first refusal is a “reasonable” restraint on alienation.  </w:t>
      </w:r>
      <w:r w:rsidR="007E0C3F">
        <w:t>The court found the restraint reasonable when it wrote that AMPAS “acquired the Oscar based upon a valid contractual transaction” and if Juarez were to acquire it, she “would be unable to sell it, either herself or through a third party</w:t>
      </w:r>
      <w:r w:rsidR="00FE02AA">
        <w:t>,</w:t>
      </w:r>
      <w:r w:rsidR="00B1084F">
        <w:t xml:space="preserve"> because of the existence of the equitable servitude on it</w:t>
      </w:r>
      <w:r w:rsidR="007E0C3F">
        <w:t>.”</w:t>
      </w:r>
      <w:r w:rsidR="004A301B">
        <w:t xml:space="preserve"> </w:t>
      </w:r>
      <w:r w:rsidR="000B1141">
        <w:t xml:space="preserve"> Whether an equitable servitude </w:t>
      </w:r>
      <w:r w:rsidR="00AB4CC6">
        <w:t xml:space="preserve">may </w:t>
      </w:r>
      <w:r w:rsidR="00B700ED">
        <w:t>exist</w:t>
      </w:r>
      <w:r w:rsidR="000B1141">
        <w:t xml:space="preserve"> in </w:t>
      </w:r>
      <w:r w:rsidR="00AB4CC6">
        <w:t>personal property</w:t>
      </w:r>
      <w:r w:rsidR="000B1141">
        <w:t xml:space="preserve"> is a legal question that we discuss below.</w:t>
      </w:r>
    </w:p>
    <w:p w14:paraId="79BAF821" w14:textId="77777777" w:rsidR="00786291" w:rsidRPr="00580978" w:rsidRDefault="00580978" w:rsidP="00983204">
      <w:pPr>
        <w:keepNext/>
        <w:numPr>
          <w:ilvl w:val="0"/>
          <w:numId w:val="1"/>
        </w:numPr>
        <w:rPr>
          <w:b/>
          <w:bCs/>
        </w:rPr>
      </w:pPr>
      <w:r>
        <w:rPr>
          <w:b/>
          <w:bCs/>
        </w:rPr>
        <w:t xml:space="preserve"> Equitable Servitude</w:t>
      </w:r>
      <w:r w:rsidR="00034D9E">
        <w:rPr>
          <w:b/>
          <w:bCs/>
        </w:rPr>
        <w:t>s</w:t>
      </w:r>
      <w:r>
        <w:rPr>
          <w:b/>
          <w:bCs/>
        </w:rPr>
        <w:t xml:space="preserve"> in Chattels</w:t>
      </w:r>
    </w:p>
    <w:p w14:paraId="14CE0FE3" w14:textId="7FD90331" w:rsidR="00580978" w:rsidRPr="00B947A1" w:rsidRDefault="00983204" w:rsidP="00C14695">
      <w:r>
        <w:tab/>
      </w:r>
      <w:r w:rsidR="00580978">
        <w:t>In the trial court, Juarez</w:t>
      </w:r>
      <w:r w:rsidR="008E6E64" w:rsidRPr="008E6E64">
        <w:t xml:space="preserve"> </w:t>
      </w:r>
      <w:r w:rsidR="008E6E64">
        <w:t>initially</w:t>
      </w:r>
      <w:r w:rsidR="00580978">
        <w:t xml:space="preserve"> wrote that AMPAS’s bylaw “appear</w:t>
      </w:r>
      <w:r w:rsidR="00D70DDB">
        <w:t>s</w:t>
      </w:r>
      <w:r w:rsidR="00580978">
        <w:t xml:space="preserve"> to create a so-called ‘equitable servitude’ in personal property against an Oscar that was at any time awarded to an existing member that currently subscribes to the bylaws.”  She argued that the bylaw unreasonabl</w:t>
      </w:r>
      <w:r w:rsidR="00A605DD">
        <w:t>y</w:t>
      </w:r>
      <w:r w:rsidR="00580978">
        <w:t xml:space="preserve"> destroy</w:t>
      </w:r>
      <w:r w:rsidR="00A605DD">
        <w:t>s</w:t>
      </w:r>
      <w:r w:rsidR="00580978">
        <w:t xml:space="preserve"> or impair</w:t>
      </w:r>
      <w:r w:rsidR="00A605DD">
        <w:t>s</w:t>
      </w:r>
      <w:r w:rsidR="00580978">
        <w:t xml:space="preserve"> an existing substantive right; it </w:t>
      </w:r>
      <w:r w:rsidR="00D70DDB">
        <w:t>i</w:t>
      </w:r>
      <w:r w:rsidR="00580978">
        <w:t xml:space="preserve">s premature to enforce </w:t>
      </w:r>
      <w:r w:rsidR="00D70DDB">
        <w:t>an</w:t>
      </w:r>
      <w:r w:rsidR="00580978">
        <w:t xml:space="preserve"> equitable servitude before AMPAS extend</w:t>
      </w:r>
      <w:r w:rsidR="00D70DDB">
        <w:t>s</w:t>
      </w:r>
      <w:r w:rsidR="00580978">
        <w:t xml:space="preserve"> an offer to purchase </w:t>
      </w:r>
      <w:r w:rsidR="00D70DDB">
        <w:t>the Oscar</w:t>
      </w:r>
      <w:r w:rsidR="00580978">
        <w:t xml:space="preserve">; and the bylaw is an </w:t>
      </w:r>
      <w:r w:rsidR="00580978">
        <w:lastRenderedPageBreak/>
        <w:t xml:space="preserve">unreasonable restraint on alienation.  </w:t>
      </w:r>
      <w:r w:rsidR="00EB3F3B">
        <w:t>L</w:t>
      </w:r>
      <w:r w:rsidR="00196F09">
        <w:t>ater, Juarez argued that AMPAS’s contractual right of first refusal does not eliminate her lien</w:t>
      </w:r>
      <w:r w:rsidR="00EB3F3B">
        <w:t xml:space="preserve"> under the EJL; no equitable servitude was established; the restriction on sale is unreasonable; and AMPAS</w:t>
      </w:r>
      <w:r w:rsidR="00D70DDB">
        <w:t>’s</w:t>
      </w:r>
      <w:r w:rsidR="00EB3F3B">
        <w:t xml:space="preserve"> </w:t>
      </w:r>
      <w:r w:rsidR="00CB4D71">
        <w:t>payment of only $10</w:t>
      </w:r>
      <w:r w:rsidR="001B7F79">
        <w:t xml:space="preserve"> f</w:t>
      </w:r>
      <w:r w:rsidR="00CB4D71">
        <w:t>or</w:t>
      </w:r>
      <w:r w:rsidR="00EB3F3B">
        <w:t xml:space="preserve"> the Oscar </w:t>
      </w:r>
      <w:r w:rsidR="00D70DDB">
        <w:t>i</w:t>
      </w:r>
      <w:r w:rsidR="00EB3F3B">
        <w:t xml:space="preserve">s a </w:t>
      </w:r>
      <w:r w:rsidR="001B7F79">
        <w:t>voidable</w:t>
      </w:r>
      <w:r w:rsidR="00EB3F3B">
        <w:t xml:space="preserve"> transfer from an insolvent debtor</w:t>
      </w:r>
      <w:r w:rsidR="00196F09">
        <w:t>.</w:t>
      </w:r>
      <w:r w:rsidR="00EB3F3B">
        <w:t xml:space="preserve"> </w:t>
      </w:r>
      <w:r w:rsidR="007F6EA5">
        <w:t xml:space="preserve"> Yet she a</w:t>
      </w:r>
      <w:r w:rsidR="00015DCC">
        <w:t>gre</w:t>
      </w:r>
      <w:r w:rsidR="007F6EA5">
        <w:t>ed that AMPAS “should be able to keep its statuette.”</w:t>
      </w:r>
    </w:p>
    <w:p w14:paraId="404441B8" w14:textId="77777777" w:rsidR="002900F4" w:rsidRPr="002900F4" w:rsidRDefault="002900F4" w:rsidP="00A73F68">
      <w:pPr>
        <w:keepNext/>
        <w:numPr>
          <w:ilvl w:val="0"/>
          <w:numId w:val="3"/>
        </w:numPr>
        <w:rPr>
          <w:i/>
          <w:iCs/>
        </w:rPr>
      </w:pPr>
      <w:r>
        <w:rPr>
          <w:i/>
          <w:iCs/>
        </w:rPr>
        <w:t xml:space="preserve"> Equitable Servitudes</w:t>
      </w:r>
    </w:p>
    <w:p w14:paraId="159A09E9" w14:textId="2DDCEE5B" w:rsidR="002900F4" w:rsidRPr="002900F4" w:rsidRDefault="00A73F68" w:rsidP="002937AA">
      <w:r>
        <w:tab/>
      </w:r>
      <w:r w:rsidR="002900F4">
        <w:t>The doctrine of equitable servitudes</w:t>
      </w:r>
      <w:r w:rsidR="00B245E1">
        <w:t xml:space="preserve"> </w:t>
      </w:r>
      <w:r w:rsidR="00DB0714">
        <w:t xml:space="preserve">applies in </w:t>
      </w:r>
      <w:r w:rsidR="002900F4">
        <w:t>California</w:t>
      </w:r>
      <w:r w:rsidR="00B245E1">
        <w:t>, which has “accumulated its own body of rules</w:t>
      </w:r>
      <w:r w:rsidR="002900F4">
        <w:t>.</w:t>
      </w:r>
      <w:r w:rsidR="00B245E1">
        <w:t>”</w:t>
      </w:r>
      <w:r w:rsidR="002900F4">
        <w:t xml:space="preserve">  (</w:t>
      </w:r>
      <w:r w:rsidR="002900F4">
        <w:rPr>
          <w:i/>
          <w:iCs/>
        </w:rPr>
        <w:t xml:space="preserve">Citizens for Covenant Compliance v. Anderson </w:t>
      </w:r>
      <w:r w:rsidR="002900F4">
        <w:t xml:space="preserve">(1995) 12 Cal.4th 345, 353.)  </w:t>
      </w:r>
      <w:r w:rsidR="002937AA" w:rsidRPr="002937AA">
        <w:t>The doctrine makes enforceable</w:t>
      </w:r>
      <w:r w:rsidR="00DB0714">
        <w:t>, in</w:t>
      </w:r>
      <w:r w:rsidR="002937AA" w:rsidRPr="002937AA">
        <w:t xml:space="preserve"> equity</w:t>
      </w:r>
      <w:r w:rsidR="00DB0714">
        <w:t>,</w:t>
      </w:r>
      <w:r w:rsidR="002937AA" w:rsidRPr="002937AA">
        <w:t xml:space="preserve"> a covenant </w:t>
      </w:r>
      <w:r w:rsidR="007355F6">
        <w:t>relating to</w:t>
      </w:r>
      <w:r w:rsidR="002937AA" w:rsidRPr="002937AA">
        <w:t xml:space="preserve"> property that might be otherwise unenforceable.</w:t>
      </w:r>
      <w:r w:rsidR="007355F6">
        <w:t xml:space="preserve">  </w:t>
      </w:r>
      <w:r w:rsidR="002937AA" w:rsidRPr="002937AA">
        <w:t>(</w:t>
      </w:r>
      <w:r w:rsidR="002937AA" w:rsidRPr="002937AA">
        <w:rPr>
          <w:i/>
          <w:iCs/>
        </w:rPr>
        <w:t>Marra v. Aetna Construction Co.</w:t>
      </w:r>
      <w:r w:rsidR="007355F6">
        <w:t xml:space="preserve"> </w:t>
      </w:r>
      <w:r w:rsidR="002937AA" w:rsidRPr="002937AA">
        <w:t>(1940) 15 Cal.2d 375, 378–379</w:t>
      </w:r>
      <w:r w:rsidR="007355F6">
        <w:t xml:space="preserve">; </w:t>
      </w:r>
      <w:r w:rsidR="002937AA" w:rsidRPr="007355F6">
        <w:rPr>
          <w:i/>
          <w:iCs/>
        </w:rPr>
        <w:t>Southern California School of Theology v. Claremont Graduate University</w:t>
      </w:r>
      <w:r w:rsidR="002937AA" w:rsidRPr="002937AA">
        <w:t xml:space="preserve"> </w:t>
      </w:r>
      <w:r w:rsidR="007355F6">
        <w:t xml:space="preserve">(2021) </w:t>
      </w:r>
      <w:r w:rsidR="002937AA" w:rsidRPr="002937AA">
        <w:t>60 Cal.App.5th 1, 8</w:t>
      </w:r>
      <w:r w:rsidR="007355F6">
        <w:t>.)</w:t>
      </w:r>
    </w:p>
    <w:p w14:paraId="517AEFDB" w14:textId="77777777" w:rsidR="00580978" w:rsidRPr="008E6E64" w:rsidRDefault="002900F4" w:rsidP="00002D04">
      <w:pPr>
        <w:keepNext/>
        <w:ind w:left="720"/>
        <w:rPr>
          <w:i/>
          <w:iCs/>
        </w:rPr>
      </w:pPr>
      <w:r>
        <w:rPr>
          <w:i/>
          <w:iCs/>
        </w:rPr>
        <w:lastRenderedPageBreak/>
        <w:t>b.</w:t>
      </w:r>
      <w:r w:rsidR="008E6E64">
        <w:rPr>
          <w:i/>
          <w:iCs/>
        </w:rPr>
        <w:t xml:space="preserve">  The </w:t>
      </w:r>
      <w:r w:rsidR="008E6E64" w:rsidRPr="00B947A1">
        <w:t>Nadell</w:t>
      </w:r>
      <w:r w:rsidR="008E6E64">
        <w:rPr>
          <w:i/>
          <w:iCs/>
        </w:rPr>
        <w:t xml:space="preserve"> Case</w:t>
      </w:r>
    </w:p>
    <w:p w14:paraId="745097F2" w14:textId="0FB0DF6B" w:rsidR="00580978" w:rsidRPr="00657EED" w:rsidRDefault="00A73F68" w:rsidP="00C14695">
      <w:r>
        <w:tab/>
      </w:r>
      <w:r w:rsidR="00DB0714">
        <w:t xml:space="preserve">Most cases applying the doctrine of equitable servitudes involve real property.  </w:t>
      </w:r>
      <w:r w:rsidR="00657EED">
        <w:t xml:space="preserve">One California case, </w:t>
      </w:r>
      <w:r w:rsidR="00657EED">
        <w:rPr>
          <w:i/>
          <w:iCs/>
        </w:rPr>
        <w:t xml:space="preserve">Nadell &amp; Co. v. Grasso </w:t>
      </w:r>
      <w:r w:rsidR="00657EED">
        <w:t>(1959) 175 Cal.App.2d 420 (</w:t>
      </w:r>
      <w:r w:rsidR="00657EED">
        <w:rPr>
          <w:i/>
          <w:iCs/>
        </w:rPr>
        <w:t>Nadell</w:t>
      </w:r>
      <w:r w:rsidR="00657EED">
        <w:t>), holds that</w:t>
      </w:r>
      <w:r w:rsidR="005E07B8">
        <w:t xml:space="preserve"> </w:t>
      </w:r>
      <w:r w:rsidR="00657EED">
        <w:t>equitable servitude</w:t>
      </w:r>
      <w:r w:rsidR="00DB0714">
        <w:t>s</w:t>
      </w:r>
      <w:r w:rsidR="00657EED">
        <w:t xml:space="preserve"> may be created in personal property.</w:t>
      </w:r>
      <w:r w:rsidR="000626A0" w:rsidRPr="00A73F68">
        <w:rPr>
          <w:rStyle w:val="FootnoteReference"/>
          <w:b/>
          <w:position w:val="6"/>
          <w:sz w:val="20"/>
          <w:vertAlign w:val="baseline"/>
        </w:rPr>
        <w:footnoteReference w:id="4"/>
      </w:r>
      <w:r w:rsidR="00657EED">
        <w:t xml:space="preserve"> </w:t>
      </w:r>
      <w:r w:rsidR="00AE2EB4">
        <w:t xml:space="preserve"> </w:t>
      </w:r>
      <w:r w:rsidR="00C83EAC">
        <w:t>A</w:t>
      </w:r>
      <w:r w:rsidR="00F6234B">
        <w:t xml:space="preserve"> servitude </w:t>
      </w:r>
      <w:r w:rsidR="00E61C6C">
        <w:t>may be</w:t>
      </w:r>
      <w:r w:rsidR="00657EED">
        <w:t xml:space="preserve"> enforce</w:t>
      </w:r>
      <w:r w:rsidR="00AE2EB4">
        <w:t>d</w:t>
      </w:r>
      <w:r w:rsidR="00657EED">
        <w:t xml:space="preserve"> if </w:t>
      </w:r>
      <w:r w:rsidR="000626A0">
        <w:t xml:space="preserve">personal </w:t>
      </w:r>
      <w:r w:rsidR="001251FE">
        <w:t>property</w:t>
      </w:r>
      <w:r w:rsidR="000626A0">
        <w:t xml:space="preserve"> is </w:t>
      </w:r>
      <w:r w:rsidR="00657EED">
        <w:t xml:space="preserve">subject to </w:t>
      </w:r>
      <w:r w:rsidR="00042EA6">
        <w:t xml:space="preserve">a </w:t>
      </w:r>
      <w:r w:rsidR="00AE2EB4">
        <w:t xml:space="preserve">written agreement imposing a </w:t>
      </w:r>
      <w:r w:rsidR="001251FE">
        <w:t xml:space="preserve">reasonable </w:t>
      </w:r>
      <w:r w:rsidR="00657EED">
        <w:t>restriction</w:t>
      </w:r>
      <w:r w:rsidR="004C53C2">
        <w:t>,</w:t>
      </w:r>
      <w:r w:rsidR="00657EED">
        <w:t xml:space="preserve"> and a </w:t>
      </w:r>
      <w:r w:rsidR="00C83EAC">
        <w:t>later</w:t>
      </w:r>
      <w:r w:rsidR="00657EED">
        <w:t xml:space="preserve"> owner has notice of the restriction.  (</w:t>
      </w:r>
      <w:r w:rsidR="00657EED">
        <w:rPr>
          <w:i/>
          <w:iCs/>
        </w:rPr>
        <w:t>Id</w:t>
      </w:r>
      <w:r w:rsidR="00657EED">
        <w:t>. at p</w:t>
      </w:r>
      <w:r w:rsidR="00042EA6">
        <w:t>p</w:t>
      </w:r>
      <w:r w:rsidR="00657EED">
        <w:t xml:space="preserve">. </w:t>
      </w:r>
      <w:r w:rsidR="00042EA6">
        <w:t>428</w:t>
      </w:r>
      <w:r>
        <w:t>–</w:t>
      </w:r>
      <w:r w:rsidR="00042EA6">
        <w:t>431.)</w:t>
      </w:r>
    </w:p>
    <w:p w14:paraId="52E214A0" w14:textId="1B7E1FA9" w:rsidR="00DD7698" w:rsidRDefault="00A73F68" w:rsidP="00DD7698">
      <w:r>
        <w:tab/>
      </w:r>
      <w:r w:rsidR="00DD7698" w:rsidRPr="00DD7698">
        <w:t>In</w:t>
      </w:r>
      <w:r w:rsidR="00DD7698">
        <w:t xml:space="preserve"> </w:t>
      </w:r>
      <w:r w:rsidR="00DD7698" w:rsidRPr="00DD7698">
        <w:rPr>
          <w:i/>
          <w:iCs/>
        </w:rPr>
        <w:t>Nadell</w:t>
      </w:r>
      <w:r w:rsidR="00DD7698" w:rsidRPr="00DD7698">
        <w:t xml:space="preserve">, the plaintiff contracted to purchase </w:t>
      </w:r>
      <w:r w:rsidR="00DD7698">
        <w:t>damaged</w:t>
      </w:r>
      <w:r w:rsidR="00DD7698" w:rsidRPr="00DD7698">
        <w:t xml:space="preserve"> </w:t>
      </w:r>
      <w:r w:rsidR="00DD7698">
        <w:t>containers</w:t>
      </w:r>
      <w:r w:rsidR="00DD7698" w:rsidRPr="00DD7698">
        <w:t xml:space="preserve"> of Kraft fruit salad</w:t>
      </w:r>
      <w:r w:rsidR="00DD7698">
        <w:t>;</w:t>
      </w:r>
      <w:r w:rsidR="00DD7698" w:rsidRPr="00DD7698">
        <w:t xml:space="preserve"> as a condition of the sale, the plaintiff agreed to repackage the fruit salad before </w:t>
      </w:r>
      <w:r w:rsidR="00DD7698" w:rsidRPr="00DD7698">
        <w:lastRenderedPageBreak/>
        <w:t>selling it to consumers.</w:t>
      </w:r>
      <w:r w:rsidR="00DD7698">
        <w:t xml:space="preserve">  T</w:t>
      </w:r>
      <w:r w:rsidR="00DD7698" w:rsidRPr="00DD7698">
        <w:t>he defendant, a subsequent purchaser, refused to abide by the condition</w:t>
      </w:r>
      <w:r w:rsidR="00DD7698">
        <w:t xml:space="preserve">, </w:t>
      </w:r>
      <w:r w:rsidR="00DD7698" w:rsidRPr="00DD7698">
        <w:t>result</w:t>
      </w:r>
      <w:r w:rsidR="00124184">
        <w:t>ing</w:t>
      </w:r>
      <w:r w:rsidR="00DD7698" w:rsidRPr="00DD7698">
        <w:t xml:space="preserve"> in the retail sale of physically damaged products bearing the Kraft name. </w:t>
      </w:r>
      <w:r w:rsidR="00DD7698">
        <w:t xml:space="preserve"> </w:t>
      </w:r>
      <w:r w:rsidR="00042EA6">
        <w:t>(</w:t>
      </w:r>
      <w:r w:rsidR="00042EA6" w:rsidRPr="00DD7698">
        <w:rPr>
          <w:i/>
          <w:iCs/>
        </w:rPr>
        <w:t>Nadell</w:t>
      </w:r>
      <w:r w:rsidR="00042EA6" w:rsidRPr="00DD7698">
        <w:t xml:space="preserve">, </w:t>
      </w:r>
      <w:r w:rsidR="00042EA6">
        <w:rPr>
          <w:i/>
          <w:iCs/>
        </w:rPr>
        <w:t xml:space="preserve">supra, </w:t>
      </w:r>
      <w:r w:rsidR="00042EA6" w:rsidRPr="00DD7698">
        <w:t xml:space="preserve">175 Cal.App.2d at </w:t>
      </w:r>
      <w:r w:rsidR="00042EA6">
        <w:t xml:space="preserve">pp. </w:t>
      </w:r>
      <w:r w:rsidR="00042EA6" w:rsidRPr="00DD7698">
        <w:t>423</w:t>
      </w:r>
      <w:r>
        <w:t>–</w:t>
      </w:r>
      <w:r w:rsidR="00042EA6">
        <w:t>424</w:t>
      </w:r>
      <w:r w:rsidR="00042EA6" w:rsidRPr="00DD7698">
        <w:t>.</w:t>
      </w:r>
      <w:r w:rsidR="00042EA6">
        <w:t>)</w:t>
      </w:r>
      <w:r w:rsidR="00DD7698">
        <w:t xml:space="preserve">  </w:t>
      </w:r>
      <w:r w:rsidR="00124184">
        <w:t xml:space="preserve">The </w:t>
      </w:r>
      <w:r w:rsidR="00A915E4">
        <w:t xml:space="preserve">court enforced the restriction against the </w:t>
      </w:r>
      <w:r w:rsidR="00124184">
        <w:t>defendant</w:t>
      </w:r>
      <w:r w:rsidR="00A915E4">
        <w:t>, whose</w:t>
      </w:r>
      <w:r w:rsidR="00124184">
        <w:t xml:space="preserve"> lack of privity with the parties who agree</w:t>
      </w:r>
      <w:r w:rsidR="00042EA6">
        <w:t>d</w:t>
      </w:r>
      <w:r w:rsidR="00124184">
        <w:t xml:space="preserve"> to restrict sale did not </w:t>
      </w:r>
      <w:r w:rsidR="00042EA6">
        <w:t>make</w:t>
      </w:r>
      <w:r w:rsidR="00124184">
        <w:t xml:space="preserve"> the restriction unenforceable.  Instead, an equitable servitude was sustained on a theory that a producer of goods has a proprietary interest in the goodwill of </w:t>
      </w:r>
      <w:r w:rsidR="00122170">
        <w:t>it</w:t>
      </w:r>
      <w:r w:rsidR="00124184">
        <w:t>s business.  (</w:t>
      </w:r>
      <w:r w:rsidR="00124184">
        <w:rPr>
          <w:i/>
          <w:iCs/>
        </w:rPr>
        <w:t>Id.</w:t>
      </w:r>
      <w:r w:rsidR="00124184">
        <w:t xml:space="preserve"> at p. 431.)</w:t>
      </w:r>
    </w:p>
    <w:p w14:paraId="463E25C0" w14:textId="2849F594" w:rsidR="006209C4" w:rsidRPr="006209C4" w:rsidRDefault="00A73F68" w:rsidP="00DD7698">
      <w:r>
        <w:rPr>
          <w:i/>
          <w:iCs/>
        </w:rPr>
        <w:tab/>
      </w:r>
      <w:r w:rsidR="006209C4">
        <w:rPr>
          <w:i/>
          <w:iCs/>
        </w:rPr>
        <w:t xml:space="preserve">Nadell </w:t>
      </w:r>
      <w:r w:rsidR="006209C4">
        <w:t>cites as precedent California Supreme Court cases underscoring business interest</w:t>
      </w:r>
      <w:r w:rsidR="00E12C36">
        <w:t>s</w:t>
      </w:r>
      <w:r w:rsidR="006209C4">
        <w:t xml:space="preserve"> in protecting public goodwill in </w:t>
      </w:r>
      <w:r w:rsidR="00F060B7">
        <w:t>a</w:t>
      </w:r>
      <w:r w:rsidR="006209C4">
        <w:t xml:space="preserve"> product.  (</w:t>
      </w:r>
      <w:r w:rsidR="006209C4">
        <w:rPr>
          <w:i/>
          <w:iCs/>
        </w:rPr>
        <w:t xml:space="preserve">Nadell, supra, </w:t>
      </w:r>
      <w:r w:rsidR="006209C4">
        <w:t>175 Cal.App.2d at pp. 427</w:t>
      </w:r>
      <w:r>
        <w:t>–</w:t>
      </w:r>
      <w:r w:rsidR="006209C4">
        <w:t>428.)  The opinion cites cases from other jurisdictions that “</w:t>
      </w:r>
      <w:r>
        <w:t> </w:t>
      </w:r>
      <w:r w:rsidR="00E12C36">
        <w:t>‘</w:t>
      </w:r>
      <w:r w:rsidR="006209C4">
        <w:t>enforced rights resembling an equitable servitude binding on a third party who has acquired personal property from one who is under a contract to use it for a particular purpose or in a particular way.’</w:t>
      </w:r>
      <w:r>
        <w:t> </w:t>
      </w:r>
      <w:r w:rsidR="006209C4">
        <w:t>”  (</w:t>
      </w:r>
      <w:r w:rsidR="006209C4">
        <w:rPr>
          <w:i/>
          <w:iCs/>
        </w:rPr>
        <w:t>Id.</w:t>
      </w:r>
      <w:r w:rsidR="006209C4">
        <w:t xml:space="preserve"> at p. 428.)</w:t>
      </w:r>
    </w:p>
    <w:p w14:paraId="593B189B" w14:textId="5A03C913" w:rsidR="003F467F" w:rsidRDefault="00A73F68" w:rsidP="00DD7698">
      <w:r>
        <w:lastRenderedPageBreak/>
        <w:tab/>
      </w:r>
      <w:r w:rsidR="00C83EAC">
        <w:t>T</w:t>
      </w:r>
      <w:r w:rsidR="00047225">
        <w:t xml:space="preserve">he goal </w:t>
      </w:r>
      <w:r w:rsidR="000644A4">
        <w:t>in</w:t>
      </w:r>
      <w:r w:rsidR="00DD7698">
        <w:t xml:space="preserve"> </w:t>
      </w:r>
      <w:r w:rsidR="00DD7698" w:rsidRPr="00DD7698">
        <w:rPr>
          <w:i/>
          <w:iCs/>
        </w:rPr>
        <w:t>Nadel</w:t>
      </w:r>
      <w:r w:rsidR="00DD7698">
        <w:rPr>
          <w:i/>
          <w:iCs/>
        </w:rPr>
        <w:t>l</w:t>
      </w:r>
      <w:r w:rsidR="00E1119F">
        <w:t xml:space="preserve"> </w:t>
      </w:r>
      <w:r w:rsidR="00047225">
        <w:t>was to</w:t>
      </w:r>
      <w:r w:rsidR="00F660E1">
        <w:t xml:space="preserve"> enforce </w:t>
      </w:r>
      <w:r w:rsidR="00E1119F">
        <w:t xml:space="preserve">a </w:t>
      </w:r>
      <w:r w:rsidR="00122170">
        <w:t>restriction</w:t>
      </w:r>
      <w:r w:rsidR="00E1119F">
        <w:t xml:space="preserve"> on sale to ensure the prestige and good name of the original producer of </w:t>
      </w:r>
      <w:r w:rsidR="006A3909">
        <w:t>property</w:t>
      </w:r>
      <w:r w:rsidR="00E1119F">
        <w:t>.</w:t>
      </w:r>
      <w:r w:rsidR="00DD7698">
        <w:t xml:space="preserve"> </w:t>
      </w:r>
      <w:r w:rsidR="00047225">
        <w:t xml:space="preserve"> The goodwill of a business “is property” (Bus. &amp; Prof. Code, § 14102)</w:t>
      </w:r>
      <w:r w:rsidR="00070FFB">
        <w:t xml:space="preserve"> and “is not limited to the field of manufacturing.”  (</w:t>
      </w:r>
      <w:r w:rsidR="00070FFB">
        <w:rPr>
          <w:i/>
          <w:iCs/>
        </w:rPr>
        <w:t xml:space="preserve">Nadell, supra, </w:t>
      </w:r>
      <w:r w:rsidR="00070FFB">
        <w:t>175 Cal.App.2d at p. 431.)</w:t>
      </w:r>
      <w:r w:rsidR="00E61C6C">
        <w:t xml:space="preserve">  </w:t>
      </w:r>
      <w:r w:rsidR="006A3909">
        <w:t>“[I]t is sound public policy to protect” the interests of a manufacturer, producer</w:t>
      </w:r>
      <w:r>
        <w:t>,</w:t>
      </w:r>
      <w:r w:rsidR="006A3909">
        <w:t xml:space="preserve"> or distributor of a trademarked article “in the goodwill towards his product which he has created .</w:t>
      </w:r>
      <w:r>
        <w:t> </w:t>
      </w:r>
      <w:r w:rsidR="006A3909">
        <w:t>.</w:t>
      </w:r>
      <w:r>
        <w:t> </w:t>
      </w:r>
      <w:r w:rsidR="006A3909">
        <w:t>. against destruction by others who have no interest in it except to use it in a misleading way.”  (</w:t>
      </w:r>
      <w:r w:rsidR="006A3909">
        <w:rPr>
          <w:i/>
          <w:iCs/>
        </w:rPr>
        <w:t xml:space="preserve">Max Factor &amp; Co. v. Kunsman </w:t>
      </w:r>
      <w:r w:rsidR="006A3909">
        <w:t>(1936) 5 Cal.2d 446, 455.)</w:t>
      </w:r>
    </w:p>
    <w:p w14:paraId="4B2BD4B0" w14:textId="37D6CCE9" w:rsidR="002D496A" w:rsidRPr="0075648E" w:rsidRDefault="002D7D0F" w:rsidP="00DD7698">
      <w:r>
        <w:tab/>
      </w:r>
      <w:r w:rsidR="00181A27">
        <w:t xml:space="preserve">Juarez argues that </w:t>
      </w:r>
      <w:r w:rsidR="00181A27">
        <w:rPr>
          <w:i/>
          <w:iCs/>
        </w:rPr>
        <w:t>Nadell</w:t>
      </w:r>
      <w:r w:rsidR="00181A27">
        <w:t xml:space="preserve"> </w:t>
      </w:r>
      <w:r w:rsidR="00AF7994">
        <w:t>i</w:t>
      </w:r>
      <w:r w:rsidR="00181A27">
        <w:t>s wrongly decided</w:t>
      </w:r>
      <w:r w:rsidR="00D06105">
        <w:t>—</w:t>
      </w:r>
      <w:r w:rsidR="00042AD2">
        <w:t>that</w:t>
      </w:r>
      <w:r w:rsidR="00181A27">
        <w:t xml:space="preserve"> only real property can be subject to an equitable servitude.  She </w:t>
      </w:r>
      <w:r w:rsidR="003D176E">
        <w:t>reli</w:t>
      </w:r>
      <w:r w:rsidR="00181A27">
        <w:t xml:space="preserve">es </w:t>
      </w:r>
      <w:r>
        <w:t xml:space="preserve">on </w:t>
      </w:r>
      <w:r w:rsidR="00181A27">
        <w:t xml:space="preserve">Civil Code section 702:  “The names and classification of interests in real property have only such application to interests in personal property as is in this division of the code expressly provided.”  </w:t>
      </w:r>
      <w:r w:rsidR="00AF556D">
        <w:t>E</w:t>
      </w:r>
      <w:r w:rsidR="00181A27">
        <w:t xml:space="preserve">quitable servitudes—as the name suggests—are </w:t>
      </w:r>
      <w:r w:rsidR="004E517A">
        <w:t>impos</w:t>
      </w:r>
      <w:r w:rsidR="00181A27">
        <w:t xml:space="preserve">ed by courts acting in equity.  The doctrine </w:t>
      </w:r>
      <w:r w:rsidR="00DD40B1">
        <w:t xml:space="preserve">does not </w:t>
      </w:r>
      <w:r w:rsidR="00181A27">
        <w:t xml:space="preserve">arise from </w:t>
      </w:r>
      <w:r w:rsidR="002116CF">
        <w:t>statute</w:t>
      </w:r>
      <w:r w:rsidR="002D496A">
        <w:t>.</w:t>
      </w:r>
      <w:r w:rsidR="0075648E">
        <w:t xml:space="preserve">  (See </w:t>
      </w:r>
      <w:r w:rsidR="0075648E">
        <w:rPr>
          <w:i/>
          <w:iCs/>
        </w:rPr>
        <w:t>Nadell, su</w:t>
      </w:r>
      <w:r w:rsidR="0075648E">
        <w:rPr>
          <w:i/>
          <w:iCs/>
        </w:rPr>
        <w:lastRenderedPageBreak/>
        <w:t xml:space="preserve">pra, </w:t>
      </w:r>
      <w:r w:rsidR="0075648E">
        <w:t>175 Cal.App.2d at p. 426 [rejecting a claim “that respondent failed to exhaust his legal remedies before recourse to equity”].)</w:t>
      </w:r>
      <w:r w:rsidR="00042AD2">
        <w:t xml:space="preserve">  Civil Code section 702 does not bar AMPAS from asserting an equitable servitude.</w:t>
      </w:r>
    </w:p>
    <w:p w14:paraId="6B8B50BB" w14:textId="467FE474" w:rsidR="00E61C6C" w:rsidRPr="00E61C6C" w:rsidRDefault="002D7D0F" w:rsidP="002D7D0F">
      <w:pPr>
        <w:keepNext/>
        <w:rPr>
          <w:i/>
          <w:iCs/>
        </w:rPr>
      </w:pPr>
      <w:r>
        <w:rPr>
          <w:i/>
          <w:iCs/>
        </w:rPr>
        <w:tab/>
      </w:r>
      <w:r w:rsidR="002900F4">
        <w:rPr>
          <w:i/>
          <w:iCs/>
        </w:rPr>
        <w:t>c</w:t>
      </w:r>
      <w:r w:rsidR="00E61C6C">
        <w:rPr>
          <w:i/>
          <w:iCs/>
        </w:rPr>
        <w:t xml:space="preserve">.  Application of </w:t>
      </w:r>
      <w:r w:rsidR="00E61C6C" w:rsidRPr="002D7D0F">
        <w:t>Nadell</w:t>
      </w:r>
      <w:r w:rsidR="00E61C6C">
        <w:rPr>
          <w:i/>
          <w:iCs/>
        </w:rPr>
        <w:t xml:space="preserve"> to Ward’s Oscar</w:t>
      </w:r>
    </w:p>
    <w:p w14:paraId="5AA50C3E" w14:textId="301511FF" w:rsidR="00E61C6C" w:rsidRDefault="002D7D0F" w:rsidP="00DD7698">
      <w:r>
        <w:tab/>
      </w:r>
      <w:r w:rsidR="009E6911">
        <w:t>I</w:t>
      </w:r>
      <w:r w:rsidR="00E61C6C">
        <w:t xml:space="preserve">n consideration of receiving the Oscar, </w:t>
      </w:r>
      <w:r w:rsidR="00417A2B">
        <w:t>Ward signed the Agreement</w:t>
      </w:r>
      <w:r w:rsidR="009E6911">
        <w:t xml:space="preserve"> promis</w:t>
      </w:r>
      <w:r w:rsidR="00417A2B">
        <w:t>ing</w:t>
      </w:r>
      <w:r w:rsidR="009E6911">
        <w:t xml:space="preserve"> </w:t>
      </w:r>
      <w:r w:rsidR="00E61C6C">
        <w:t xml:space="preserve">to </w:t>
      </w:r>
      <w:r w:rsidR="00A915E4">
        <w:t>offer</w:t>
      </w:r>
      <w:r w:rsidR="00E61C6C">
        <w:t xml:space="preserve"> it to AMPAS before selling or otherwise disposing of it</w:t>
      </w:r>
      <w:r w:rsidR="009E6911">
        <w:t xml:space="preserve">.  </w:t>
      </w:r>
      <w:r w:rsidR="00A915E4">
        <w:t>A</w:t>
      </w:r>
      <w:r w:rsidR="009E6911">
        <w:t>s a member of AMPAS</w:t>
      </w:r>
      <w:r w:rsidR="00A915E4">
        <w:t>,</w:t>
      </w:r>
      <w:r w:rsidR="009E6911">
        <w:t xml:space="preserve"> </w:t>
      </w:r>
      <w:r w:rsidR="00A915E4">
        <w:t>Ward</w:t>
      </w:r>
      <w:r w:rsidR="009E6911">
        <w:t xml:space="preserve"> is bound by its bylaws, which oblige him to </w:t>
      </w:r>
      <w:r w:rsidR="00A915E4">
        <w:t>offer</w:t>
      </w:r>
      <w:r w:rsidR="009E6911">
        <w:t xml:space="preserve"> the Oscar to AMPAS.  AMPAS has a right of first refusal to reclaim an Oscar before it can be transferred.  </w:t>
      </w:r>
      <w:r w:rsidR="00EC202E">
        <w:t xml:space="preserve">If </w:t>
      </w:r>
      <w:r w:rsidR="00954701">
        <w:t>AMPAS decline</w:t>
      </w:r>
      <w:r w:rsidR="00EC202E">
        <w:t>d</w:t>
      </w:r>
      <w:r w:rsidR="00954701">
        <w:t xml:space="preserve"> to exercise its right</w:t>
      </w:r>
      <w:r w:rsidR="00C83EAC">
        <w:t>s</w:t>
      </w:r>
      <w:r w:rsidR="00954701">
        <w:t xml:space="preserve">, </w:t>
      </w:r>
      <w:r w:rsidR="00C83EAC">
        <w:t>an Oscar</w:t>
      </w:r>
      <w:r w:rsidR="00954701">
        <w:t xml:space="preserve"> could be sold.  </w:t>
      </w:r>
      <w:r w:rsidR="009E6911">
        <w:t xml:space="preserve">Juarez </w:t>
      </w:r>
      <w:r w:rsidR="00A915E4">
        <w:t>ha</w:t>
      </w:r>
      <w:r w:rsidR="009E6911">
        <w:t>d notice of AMPAS’s right of first refusal, and intent to exercise that right, before she could take possession of the Oscar.</w:t>
      </w:r>
      <w:r w:rsidR="00840685">
        <w:t xml:space="preserve">  </w:t>
      </w:r>
      <w:r w:rsidR="00840685">
        <w:rPr>
          <w:i/>
          <w:iCs/>
        </w:rPr>
        <w:t>Nadell</w:t>
      </w:r>
      <w:r w:rsidR="00840685">
        <w:t xml:space="preserve"> does not require notice to the general public, only to the party who comes into possession of property subject to </w:t>
      </w:r>
      <w:r w:rsidR="003A1629">
        <w:t xml:space="preserve">a </w:t>
      </w:r>
      <w:r w:rsidR="00840685">
        <w:t>constraint.</w:t>
      </w:r>
    </w:p>
    <w:p w14:paraId="08D39F89" w14:textId="7B2F2F4D" w:rsidR="00AD6127" w:rsidRPr="002D7D0F" w:rsidRDefault="002D7D0F" w:rsidP="00AD6127">
      <w:r>
        <w:tab/>
      </w:r>
      <w:r w:rsidR="00AD6127">
        <w:t>Juarez contends that AMPAS’s right of first refusal is a presumptively void restraint on alienation, and that AM</w:t>
      </w:r>
      <w:r w:rsidR="00AD6127">
        <w:lastRenderedPageBreak/>
        <w:t>PAS did not show that the restraint is reasonable.  In her view, the reasonableness issue presented a question of fact that could not be resolved summarily.  Juarez acknowledges that AMPAS’s Horn declared that the restraint on Oscar</w:t>
      </w:r>
      <w:r w:rsidR="00E26847">
        <w:t xml:space="preserve"> sales</w:t>
      </w:r>
      <w:r w:rsidR="00AD6127">
        <w:t xml:space="preserve"> benefits it and its members</w:t>
      </w:r>
      <w:r w:rsidR="007C5106">
        <w:t>; however</w:t>
      </w:r>
      <w:r w:rsidR="00AD6127">
        <w:t xml:space="preserve">, he did not account for its effect on creditors and AMPAS failed to adequately answer </w:t>
      </w:r>
      <w:r w:rsidR="00E26847">
        <w:t xml:space="preserve">discovery </w:t>
      </w:r>
      <w:r w:rsidR="00AD6127">
        <w:t>questions.</w:t>
      </w:r>
      <w:r w:rsidR="00AD6127" w:rsidRPr="002D7D0F">
        <w:rPr>
          <w:rStyle w:val="FootnoteReference"/>
          <w:b/>
          <w:position w:val="6"/>
          <w:sz w:val="20"/>
          <w:vertAlign w:val="baseline"/>
        </w:rPr>
        <w:footnoteReference w:id="5"/>
      </w:r>
    </w:p>
    <w:p w14:paraId="399C0BA8" w14:textId="015A7261" w:rsidR="00AF7994" w:rsidRPr="008D4696" w:rsidRDefault="002D7D0F" w:rsidP="00AF7994">
      <w:r>
        <w:tab/>
      </w:r>
      <w:r w:rsidR="00954701">
        <w:t xml:space="preserve">The goal identified in </w:t>
      </w:r>
      <w:r w:rsidR="00954701">
        <w:rPr>
          <w:i/>
          <w:iCs/>
        </w:rPr>
        <w:t>Nadell</w:t>
      </w:r>
      <w:r w:rsidR="00954701">
        <w:t xml:space="preserve"> for enforcing a </w:t>
      </w:r>
      <w:r w:rsidR="007D6C31">
        <w:t xml:space="preserve">reasonable </w:t>
      </w:r>
      <w:r w:rsidR="00954701">
        <w:t xml:space="preserve">restriction on </w:t>
      </w:r>
      <w:r w:rsidR="007D6C31">
        <w:t>alienation</w:t>
      </w:r>
      <w:r w:rsidR="00C83EAC">
        <w:t xml:space="preserve">, </w:t>
      </w:r>
      <w:r w:rsidR="00954701">
        <w:t>in an unusual case</w:t>
      </w:r>
      <w:r w:rsidR="00C83EAC">
        <w:t xml:space="preserve">, </w:t>
      </w:r>
      <w:r w:rsidR="00954701">
        <w:t xml:space="preserve">exists here.  </w:t>
      </w:r>
      <w:r w:rsidR="00AF7994">
        <w:t>“</w:t>
      </w:r>
      <w:r w:rsidR="00FC0ECD">
        <w:t> ‘</w:t>
      </w:r>
      <w:r w:rsidR="00AF7994">
        <w:t xml:space="preserve">[A] court </w:t>
      </w:r>
      <w:r w:rsidR="00FC0ECD">
        <w:t>of</w:t>
      </w:r>
      <w:r w:rsidR="00AF7994">
        <w:t xml:space="preserve"> equity will enforce a restrictive covenant, if it is reasonable and made within proper limitations.</w:t>
      </w:r>
      <w:r w:rsidR="00FC0ECD">
        <w:t>’ </w:t>
      </w:r>
      <w:r w:rsidR="00AF7994">
        <w:t>”  (</w:t>
      </w:r>
      <w:r w:rsidR="00AF7994">
        <w:rPr>
          <w:i/>
          <w:iCs/>
        </w:rPr>
        <w:t xml:space="preserve">Nadell, supra, </w:t>
      </w:r>
      <w:r w:rsidR="00AF7994">
        <w:t xml:space="preserve">175 Cal.App.2d at p. 429.)  “Reasonableness is determined by comparing the justification for a particular restraint on alienation with the quantum of restraint </w:t>
      </w:r>
      <w:r w:rsidR="00AF7994">
        <w:lastRenderedPageBreak/>
        <w:t>actually imposed by it.”  (</w:t>
      </w:r>
      <w:r w:rsidR="00AF7994">
        <w:rPr>
          <w:i/>
          <w:iCs/>
        </w:rPr>
        <w:t xml:space="preserve">Kendall v. Ernest Pestana, Inc. </w:t>
      </w:r>
      <w:r w:rsidR="00AF7994">
        <w:t>(1985) 40 Cal.3d 488, 498.)</w:t>
      </w:r>
    </w:p>
    <w:p w14:paraId="32781169" w14:textId="35136649" w:rsidR="00DD7698" w:rsidRPr="00D35A68" w:rsidRDefault="002D7D0F" w:rsidP="00DD7698">
      <w:r>
        <w:tab/>
      </w:r>
      <w:r w:rsidR="00D35A68">
        <w:t xml:space="preserve">Substantial evidence supports the trial court’s conclusion that the restraint is reasonable.  </w:t>
      </w:r>
      <w:r w:rsidR="00E61C6C">
        <w:t>AMPAS’s Horn declared that AMPAS “has spent millions of dollars to promote the ‘Oscar’</w:t>
      </w:r>
      <w:r>
        <w:t> </w:t>
      </w:r>
      <w:r w:rsidR="00E61C6C">
        <w:t xml:space="preserve">” so that “[t]he prestige associated with receiving an ‘Oscar’ is unparalleled by any other award of its kind.” </w:t>
      </w:r>
      <w:r w:rsidR="009E6911">
        <w:t xml:space="preserve"> </w:t>
      </w:r>
      <w:r w:rsidR="00954701">
        <w:t>Each statuette is “one of a kind</w:t>
      </w:r>
      <w:r w:rsidR="003A1629">
        <w:t>,</w:t>
      </w:r>
      <w:r w:rsidR="00954701">
        <w:t>”</w:t>
      </w:r>
      <w:r w:rsidR="00861722">
        <w:t xml:space="preserve"> not </w:t>
      </w:r>
      <w:r w:rsidR="007D6C31">
        <w:t>available</w:t>
      </w:r>
      <w:r w:rsidR="00861722">
        <w:t xml:space="preserve"> to the public </w:t>
      </w:r>
      <w:r w:rsidR="003A1629">
        <w:t>n</w:t>
      </w:r>
      <w:r w:rsidR="007D6C31">
        <w:t>or</w:t>
      </w:r>
      <w:r w:rsidR="009E6911">
        <w:t xml:space="preserve"> intended “to be treated as an article of trade</w:t>
      </w:r>
      <w:r w:rsidR="00861722">
        <w:t>.</w:t>
      </w:r>
      <w:r w:rsidR="009E6911">
        <w:t>”</w:t>
      </w:r>
      <w:r w:rsidR="00954701">
        <w:t xml:space="preserve"> </w:t>
      </w:r>
      <w:r w:rsidR="009E6911">
        <w:t xml:space="preserve"> </w:t>
      </w:r>
      <w:r w:rsidR="00954701">
        <w:t xml:space="preserve">If Juarez </w:t>
      </w:r>
      <w:r w:rsidR="00D35A68">
        <w:t>places</w:t>
      </w:r>
      <w:r w:rsidR="00954701">
        <w:t xml:space="preserve"> Ward’s Oscar on sale, AMPAS and its members will be irreparably harmed by the diminution in value of all Oscars, the Academy Award ceremony, “and the prestige of the Oscar in general.” </w:t>
      </w:r>
      <w:r w:rsidR="00D35A68">
        <w:t xml:space="preserve"> Juarez did not refute this</w:t>
      </w:r>
      <w:r w:rsidR="003A1629">
        <w:t xml:space="preserve"> by presenting a contrary expert opinion</w:t>
      </w:r>
      <w:r w:rsidR="00D35A68">
        <w:t>.</w:t>
      </w:r>
    </w:p>
    <w:p w14:paraId="4340B9C4" w14:textId="6E543B01" w:rsidR="003F467F" w:rsidRDefault="002D7D0F" w:rsidP="003F467F">
      <w:r>
        <w:tab/>
      </w:r>
      <w:r w:rsidR="00C83EAC">
        <w:t>An</w:t>
      </w:r>
      <w:r w:rsidR="003F467F">
        <w:t xml:space="preserve"> Oscar is </w:t>
      </w:r>
      <w:r w:rsidR="00C83EAC">
        <w:t>conferred on</w:t>
      </w:r>
      <w:r w:rsidR="003F467F">
        <w:t xml:space="preserve"> </w:t>
      </w:r>
      <w:r w:rsidR="0027692E">
        <w:t>those</w:t>
      </w:r>
      <w:r w:rsidR="003F467F">
        <w:t xml:space="preserve"> </w:t>
      </w:r>
      <w:r w:rsidR="003F467F" w:rsidRPr="0027692E">
        <w:t>who earn it</w:t>
      </w:r>
      <w:r w:rsidR="003F467F">
        <w:t xml:space="preserve"> by dint of artistic talent that is rewarded by acclamation </w:t>
      </w:r>
      <w:r w:rsidR="0027692E">
        <w:t xml:space="preserve">of </w:t>
      </w:r>
      <w:r w:rsidR="003F467F">
        <w:t>peers in the film industry.  An Oscar t</w:t>
      </w:r>
      <w:r w:rsidR="0076009A">
        <w:t>hat is</w:t>
      </w:r>
      <w:r w:rsidR="003F467F">
        <w:t xml:space="preserve"> sold by a creditor, who </w:t>
      </w:r>
      <w:r w:rsidR="001251FE">
        <w:t>did not earn the</w:t>
      </w:r>
      <w:r w:rsidR="003F467F">
        <w:t xml:space="preserve"> award, diminishes the honor of the </w:t>
      </w:r>
      <w:r w:rsidR="003F467F">
        <w:lastRenderedPageBreak/>
        <w:t>achievement</w:t>
      </w:r>
      <w:r w:rsidR="0076009A">
        <w:t xml:space="preserve"> and the value of AMPAS’s </w:t>
      </w:r>
      <w:r w:rsidR="0027692E">
        <w:t>copyright</w:t>
      </w:r>
      <w:r w:rsidR="0076009A">
        <w:t>ed statuette</w:t>
      </w:r>
      <w:r w:rsidR="003F467F">
        <w:t>.</w:t>
      </w:r>
    </w:p>
    <w:p w14:paraId="25237F21" w14:textId="0C464D6B" w:rsidR="00FC28C1" w:rsidRPr="00FC28C1" w:rsidRDefault="00FF2C42" w:rsidP="00FF2C42">
      <w:pPr>
        <w:keepNext/>
        <w:rPr>
          <w:i/>
          <w:iCs/>
        </w:rPr>
      </w:pPr>
      <w:r>
        <w:rPr>
          <w:i/>
          <w:iCs/>
        </w:rPr>
        <w:tab/>
      </w:r>
      <w:r w:rsidR="00FC28C1">
        <w:rPr>
          <w:i/>
          <w:iCs/>
        </w:rPr>
        <w:t>d.  Merger Doctrine</w:t>
      </w:r>
    </w:p>
    <w:p w14:paraId="5DD0D02E" w14:textId="385EED2F" w:rsidR="003F467F" w:rsidRPr="003E2636" w:rsidRDefault="00FF2C42" w:rsidP="003F467F">
      <w:r>
        <w:tab/>
      </w:r>
      <w:r w:rsidR="00840685">
        <w:t>Juarez contends that</w:t>
      </w:r>
      <w:r w:rsidR="00C63508" w:rsidRPr="00C63508">
        <w:t xml:space="preserve"> </w:t>
      </w:r>
      <w:r w:rsidR="00C63508">
        <w:t>the merger</w:t>
      </w:r>
      <w:r w:rsidR="00840685">
        <w:t xml:space="preserve"> </w:t>
      </w:r>
      <w:r w:rsidR="003E2636">
        <w:t xml:space="preserve">doctrine </w:t>
      </w:r>
      <w:r w:rsidR="00840685">
        <w:t xml:space="preserve">extinguishes any equitable servitude.  </w:t>
      </w:r>
      <w:r w:rsidR="00C63508">
        <w:t>She</w:t>
      </w:r>
      <w:r w:rsidR="00840685">
        <w:t xml:space="preserve"> cites Civil Code sections 805 and 811, which </w:t>
      </w:r>
      <w:r w:rsidR="00C63508">
        <w:t xml:space="preserve">are </w:t>
      </w:r>
      <w:r w:rsidR="00A47D56">
        <w:t xml:space="preserve">in </w:t>
      </w:r>
      <w:r w:rsidR="003406F0">
        <w:t>d</w:t>
      </w:r>
      <w:r w:rsidR="00A108C7">
        <w:t xml:space="preserve">ivision </w:t>
      </w:r>
      <w:r w:rsidR="003406F0">
        <w:t>2</w:t>
      </w:r>
      <w:r w:rsidR="00A108C7">
        <w:t>,</w:t>
      </w:r>
      <w:r w:rsidR="00A47D56">
        <w:t xml:space="preserve"> </w:t>
      </w:r>
      <w:r w:rsidR="003406F0">
        <w:t>p</w:t>
      </w:r>
      <w:r w:rsidR="00A47D56">
        <w:t xml:space="preserve">art </w:t>
      </w:r>
      <w:r w:rsidR="003406F0">
        <w:t>2</w:t>
      </w:r>
      <w:r w:rsidR="00A47D56">
        <w:t xml:space="preserve"> relating to “</w:t>
      </w:r>
      <w:r w:rsidR="003406F0">
        <w:t>R</w:t>
      </w:r>
      <w:r w:rsidR="00A47D56">
        <w:t xml:space="preserve">eal or </w:t>
      </w:r>
      <w:r w:rsidR="003406F0">
        <w:t>I</w:t>
      </w:r>
      <w:r w:rsidR="00A47D56">
        <w:t xml:space="preserve">mmovable </w:t>
      </w:r>
      <w:r w:rsidR="003406F0">
        <w:t>P</w:t>
      </w:r>
      <w:r w:rsidR="00A47D56">
        <w:t>roperty.”  (Civ. Code, § 755 et seq.)</w:t>
      </w:r>
      <w:r w:rsidR="00555AF2" w:rsidRPr="00FF2C42">
        <w:rPr>
          <w:rStyle w:val="FootnoteReference"/>
          <w:b/>
          <w:position w:val="6"/>
          <w:sz w:val="20"/>
          <w:vertAlign w:val="baseline"/>
        </w:rPr>
        <w:footnoteReference w:id="6"/>
      </w:r>
      <w:r w:rsidR="00555AF2">
        <w:t xml:space="preserve">  The statutes do not apply to personal property.  Even if they did apply, </w:t>
      </w:r>
      <w:r w:rsidR="003E2636">
        <w:t>the doctrine of merger mean</w:t>
      </w:r>
      <w:r w:rsidR="007C5106">
        <w:t>s</w:t>
      </w:r>
      <w:r w:rsidR="003E2636">
        <w:t xml:space="preserve"> that </w:t>
      </w:r>
      <w:r w:rsidR="006E3B1B">
        <w:t>the</w:t>
      </w:r>
      <w:r w:rsidR="003E2636">
        <w:t xml:space="preserve"> servitude was extinguished when </w:t>
      </w:r>
      <w:r w:rsidR="006E3B1B">
        <w:t>AMPAS</w:t>
      </w:r>
      <w:r w:rsidR="003E2636">
        <w:t xml:space="preserve"> paid $10 and retook the Oscar.  (See, e.g., </w:t>
      </w:r>
      <w:r w:rsidR="003E2636">
        <w:rPr>
          <w:i/>
          <w:iCs/>
        </w:rPr>
        <w:t xml:space="preserve">Rosebrook v. Utz </w:t>
      </w:r>
      <w:r w:rsidR="003E2636">
        <w:t>(1941) 45 Cal.App.2d 726</w:t>
      </w:r>
      <w:r w:rsidR="007C5106">
        <w:t>, 728</w:t>
      </w:r>
      <w:r w:rsidR="008372B8">
        <w:t>–</w:t>
      </w:r>
      <w:r w:rsidR="007C5106">
        <w:lastRenderedPageBreak/>
        <w:t>729</w:t>
      </w:r>
      <w:r w:rsidR="003E2636">
        <w:t xml:space="preserve"> [grantee’s easement over a parcel was extinguished when the grantee became owner of the parcel].)</w:t>
      </w:r>
      <w:r w:rsidR="00973D2C">
        <w:t xml:space="preserve">  Once AMPAS became the owner of the Oscar, Ward had no further interest in it; it cannot be seized, although the $10 Ward received for it can be.</w:t>
      </w:r>
    </w:p>
    <w:p w14:paraId="2ECF6195" w14:textId="4AE548A9" w:rsidR="00861722" w:rsidRDefault="00861722" w:rsidP="008372B8">
      <w:pPr>
        <w:keepNext/>
        <w:numPr>
          <w:ilvl w:val="0"/>
          <w:numId w:val="1"/>
        </w:numPr>
        <w:rPr>
          <w:b/>
          <w:bCs/>
        </w:rPr>
      </w:pPr>
      <w:r>
        <w:rPr>
          <w:b/>
          <w:bCs/>
        </w:rPr>
        <w:t xml:space="preserve"> Juarez Cannot Have Greater Rights </w:t>
      </w:r>
      <w:r w:rsidR="0021097D">
        <w:rPr>
          <w:b/>
          <w:bCs/>
        </w:rPr>
        <w:t>t</w:t>
      </w:r>
      <w:r>
        <w:rPr>
          <w:b/>
          <w:bCs/>
        </w:rPr>
        <w:t>han Ward</w:t>
      </w:r>
    </w:p>
    <w:p w14:paraId="64DF680B" w14:textId="2341CF19" w:rsidR="007A512C" w:rsidRDefault="008372B8" w:rsidP="00004356">
      <w:r>
        <w:tab/>
      </w:r>
      <w:r w:rsidR="00622DE9">
        <w:t xml:space="preserve">Juarez agrees that AMPAS has a right of first refusal </w:t>
      </w:r>
      <w:r w:rsidR="003A341D">
        <w:t xml:space="preserve">but asserts </w:t>
      </w:r>
      <w:r w:rsidR="00622DE9">
        <w:t xml:space="preserve">that </w:t>
      </w:r>
      <w:r w:rsidR="003A341D">
        <w:t xml:space="preserve">it </w:t>
      </w:r>
      <w:r w:rsidR="00622DE9">
        <w:t>c</w:t>
      </w:r>
      <w:r w:rsidR="003A341D">
        <w:t>an</w:t>
      </w:r>
      <w:r w:rsidR="00622DE9">
        <w:t xml:space="preserve"> be enforced </w:t>
      </w:r>
      <w:r w:rsidR="003A341D">
        <w:t xml:space="preserve">only </w:t>
      </w:r>
      <w:r w:rsidR="00622DE9">
        <w:t xml:space="preserve">against Ward, not </w:t>
      </w:r>
      <w:r w:rsidR="003A341D">
        <w:t>against her</w:t>
      </w:r>
      <w:r w:rsidR="00622DE9">
        <w:t xml:space="preserve">. </w:t>
      </w:r>
      <w:r w:rsidR="007A512C">
        <w:t xml:space="preserve"> </w:t>
      </w:r>
      <w:r w:rsidR="0054379F">
        <w:t>She</w:t>
      </w:r>
      <w:r w:rsidR="00664F98">
        <w:t xml:space="preserve"> does not dispute that Ward signed the Agreement</w:t>
      </w:r>
      <w:r w:rsidR="00080170">
        <w:t>,</w:t>
      </w:r>
      <w:r w:rsidR="00664F98">
        <w:t xml:space="preserve"> is </w:t>
      </w:r>
      <w:r w:rsidR="00FF1148">
        <w:t>bound by</w:t>
      </w:r>
      <w:r w:rsidR="0054379F">
        <w:t xml:space="preserve"> AMPAS</w:t>
      </w:r>
      <w:r w:rsidR="00C658EB">
        <w:t>’s</w:t>
      </w:r>
      <w:r w:rsidR="0054379F">
        <w:t xml:space="preserve"> </w:t>
      </w:r>
      <w:r w:rsidR="00FF1148">
        <w:t>bylaws</w:t>
      </w:r>
      <w:r w:rsidR="00664F98">
        <w:t xml:space="preserve">, or that </w:t>
      </w:r>
      <w:r w:rsidR="0054379F">
        <w:t>he is subject to</w:t>
      </w:r>
      <w:r w:rsidR="00080170">
        <w:t xml:space="preserve"> </w:t>
      </w:r>
      <w:r w:rsidR="00664F98">
        <w:t>AMPAS</w:t>
      </w:r>
      <w:r w:rsidR="0054379F">
        <w:t>’s</w:t>
      </w:r>
      <w:r w:rsidR="00080170">
        <w:t xml:space="preserve"> right of first refusal</w:t>
      </w:r>
      <w:r w:rsidR="00664F98">
        <w:t xml:space="preserve">. </w:t>
      </w:r>
      <w:r w:rsidR="00E41E05">
        <w:t xml:space="preserve"> </w:t>
      </w:r>
      <w:r w:rsidR="0054379F">
        <w:t>In effect, she argues that her rights are greater than Ward’s rights.</w:t>
      </w:r>
    </w:p>
    <w:p w14:paraId="69A762CF" w14:textId="0C260D82" w:rsidR="00023301" w:rsidRPr="00C14695" w:rsidRDefault="00002D04" w:rsidP="00023301">
      <w:r>
        <w:tab/>
      </w:r>
      <w:r w:rsidR="00861722">
        <w:t>A judgment creditor</w:t>
      </w:r>
      <w:r w:rsidR="00040B40">
        <w:t>’s</w:t>
      </w:r>
      <w:r w:rsidR="00040B40" w:rsidRPr="00040B40">
        <w:t xml:space="preserve"> </w:t>
      </w:r>
      <w:r w:rsidR="00040B40" w:rsidRPr="004A3ED2">
        <w:t>interest is derivative of the judgment debtor</w:t>
      </w:r>
      <w:r w:rsidR="00040B40">
        <w:t>’</w:t>
      </w:r>
      <w:r w:rsidR="00040B40" w:rsidRPr="004A3ED2">
        <w:t>s</w:t>
      </w:r>
      <w:r w:rsidR="00040B40">
        <w:t xml:space="preserve"> interest:  The creditor</w:t>
      </w:r>
      <w:r w:rsidR="00861722">
        <w:t xml:space="preserve"> acquires only the interest </w:t>
      </w:r>
      <w:r w:rsidR="00040B40">
        <w:t>a</w:t>
      </w:r>
      <w:r w:rsidR="00861722">
        <w:t xml:space="preserve"> judgment debtor has in </w:t>
      </w:r>
      <w:r w:rsidR="009445F5">
        <w:t xml:space="preserve">personal </w:t>
      </w:r>
      <w:r w:rsidR="00861722">
        <w:t>property</w:t>
      </w:r>
      <w:r w:rsidR="009445F5">
        <w:t xml:space="preserve"> at the time of the levy</w:t>
      </w:r>
      <w:r w:rsidR="00861722">
        <w:t xml:space="preserve">.  </w:t>
      </w:r>
      <w:r w:rsidR="00004356">
        <w:t>(</w:t>
      </w:r>
      <w:r w:rsidR="00291018">
        <w:rPr>
          <w:i/>
          <w:iCs/>
        </w:rPr>
        <w:t>City of Torrance v. Castner</w:t>
      </w:r>
      <w:r w:rsidR="00004356">
        <w:t xml:space="preserve"> </w:t>
      </w:r>
      <w:r w:rsidR="004A3ED2" w:rsidRPr="004A3ED2">
        <w:t>(19</w:t>
      </w:r>
      <w:r w:rsidR="00291018">
        <w:t>75</w:t>
      </w:r>
      <w:r w:rsidR="004A3ED2" w:rsidRPr="004A3ED2">
        <w:t xml:space="preserve">) </w:t>
      </w:r>
      <w:r w:rsidR="00291018">
        <w:t>46</w:t>
      </w:r>
      <w:r w:rsidR="004A3ED2" w:rsidRPr="004A3ED2">
        <w:t xml:space="preserve"> Cal.App.</w:t>
      </w:r>
      <w:r w:rsidR="00291018">
        <w:t>3</w:t>
      </w:r>
      <w:r w:rsidR="004A3ED2" w:rsidRPr="004A3ED2">
        <w:t>d 7</w:t>
      </w:r>
      <w:r w:rsidR="00291018">
        <w:t>6, 80</w:t>
      </w:r>
      <w:r w:rsidR="004A3ED2" w:rsidRPr="004A3ED2">
        <w:t>.)</w:t>
      </w:r>
      <w:r w:rsidR="0056281B">
        <w:t xml:space="preserve">  “The lien attaches to the real and not the apparent interest</w:t>
      </w:r>
      <w:r w:rsidR="00DC7D7F">
        <w:t xml:space="preserve"> of the debtor.”  (</w:t>
      </w:r>
      <w:r w:rsidR="00DC7D7F" w:rsidRPr="00DC7D7F">
        <w:rPr>
          <w:i/>
          <w:iCs/>
        </w:rPr>
        <w:t xml:space="preserve">Henry v. General </w:t>
      </w:r>
      <w:r w:rsidR="00DC7D7F" w:rsidRPr="00DC7D7F">
        <w:rPr>
          <w:i/>
          <w:iCs/>
        </w:rPr>
        <w:lastRenderedPageBreak/>
        <w:t>Forming, Ltd.</w:t>
      </w:r>
      <w:r w:rsidR="00DC7D7F">
        <w:t xml:space="preserve"> (1948) 33 Cal.2d 223, 225–226.)</w:t>
      </w:r>
      <w:r w:rsidR="00153F02">
        <w:t xml:space="preserve">  </w:t>
      </w:r>
      <w:r w:rsidR="00023301">
        <w:t>Because a</w:t>
      </w:r>
      <w:r w:rsidR="00023301" w:rsidRPr="00C14695">
        <w:t xml:space="preserve"> judgment is a lien only on the interest of the judgment debtor</w:t>
      </w:r>
      <w:r w:rsidR="00023301">
        <w:t>,</w:t>
      </w:r>
      <w:r w:rsidR="00023301" w:rsidRPr="00C14695">
        <w:t xml:space="preserve"> </w:t>
      </w:r>
      <w:r w:rsidR="00023301">
        <w:t>l</w:t>
      </w:r>
      <w:r w:rsidR="00023301" w:rsidRPr="00C14695">
        <w:t xml:space="preserve">atent equities against the debtor may be asserted against his judgment creditor, who </w:t>
      </w:r>
      <w:r w:rsidR="00195C80">
        <w:t>“is subject to all prior interests in the property, whether known or unknown, recorded or unrecorded</w:t>
      </w:r>
      <w:r w:rsidR="00023301" w:rsidRPr="00C14695">
        <w:t>.</w:t>
      </w:r>
      <w:r w:rsidR="00195C80">
        <w:t>”</w:t>
      </w:r>
      <w:r w:rsidR="00023301" w:rsidRPr="00C14695">
        <w:t xml:space="preserve"> </w:t>
      </w:r>
      <w:r w:rsidR="00023301">
        <w:t xml:space="preserve"> </w:t>
      </w:r>
      <w:r w:rsidR="00023301" w:rsidRPr="00C14695">
        <w:t>(</w:t>
      </w:r>
      <w:r w:rsidR="00195C80">
        <w:rPr>
          <w:i/>
          <w:iCs/>
        </w:rPr>
        <w:t xml:space="preserve">In re Mellor </w:t>
      </w:r>
      <w:r w:rsidR="00195C80">
        <w:t xml:space="preserve">(9th Cir. 1984) 734 F.2d 1396, 1401, fn. 4; </w:t>
      </w:r>
      <w:r w:rsidR="00023301" w:rsidRPr="004F7CDC">
        <w:rPr>
          <w:i/>
          <w:iCs/>
        </w:rPr>
        <w:t>McGee v. Allen</w:t>
      </w:r>
      <w:r w:rsidR="00023301" w:rsidRPr="00C14695">
        <w:t xml:space="preserve"> </w:t>
      </w:r>
      <w:r w:rsidR="00023301">
        <w:t xml:space="preserve">(1936) </w:t>
      </w:r>
      <w:r w:rsidR="00023301" w:rsidRPr="00C14695">
        <w:t>7 Cal.2d 468, 473.)</w:t>
      </w:r>
    </w:p>
    <w:p w14:paraId="55867FDB" w14:textId="50B98CC8" w:rsidR="00016497" w:rsidRPr="00016497" w:rsidRDefault="00002D04" w:rsidP="00004356">
      <w:r>
        <w:tab/>
      </w:r>
      <w:r w:rsidR="00967E06">
        <w:t xml:space="preserve">These legal principles thwart </w:t>
      </w:r>
      <w:r w:rsidR="008B27EF">
        <w:t xml:space="preserve">Juarez’s claim to the Oscar.  She is Ward’s </w:t>
      </w:r>
      <w:r w:rsidR="00FA3B8A">
        <w:t xml:space="preserve">creditor, not his </w:t>
      </w:r>
      <w:r w:rsidR="008B27EF">
        <w:t>legatee or heir</w:t>
      </w:r>
      <w:r w:rsidR="00FA3B8A">
        <w:t>, and</w:t>
      </w:r>
      <w:r w:rsidR="008B27EF">
        <w:t xml:space="preserve"> she plans to dispose of the Oscar by operation of law, at a public sale.  </w:t>
      </w:r>
      <w:r w:rsidR="00FA3B8A">
        <w:t>But</w:t>
      </w:r>
      <w:r w:rsidR="008B27EF">
        <w:t xml:space="preserve"> Ward is not allowed to dispose of the Oscar without first offering it to AMPAS</w:t>
      </w:r>
      <w:r w:rsidR="00FA3B8A">
        <w:t>, a restriction</w:t>
      </w:r>
      <w:r w:rsidR="008B27EF">
        <w:t xml:space="preserve"> </w:t>
      </w:r>
      <w:r w:rsidR="00FA3B8A">
        <w:t>h</w:t>
      </w:r>
      <w:r w:rsidR="00C148C4">
        <w:t>e agreed to</w:t>
      </w:r>
      <w:r w:rsidR="00FA3B8A">
        <w:t xml:space="preserve"> </w:t>
      </w:r>
      <w:r w:rsidR="00C148C4">
        <w:t xml:space="preserve">as consideration for receiving the award.  </w:t>
      </w:r>
      <w:r w:rsidR="00016497">
        <w:t xml:space="preserve">Moreover, bylaws </w:t>
      </w:r>
      <w:r w:rsidR="004B4368">
        <w:t xml:space="preserve">of voluntary associations </w:t>
      </w:r>
      <w:r w:rsidR="00016497">
        <w:t>are binding contracts.  (</w:t>
      </w:r>
      <w:r w:rsidR="00016497">
        <w:rPr>
          <w:i/>
          <w:iCs/>
        </w:rPr>
        <w:t xml:space="preserve">Berke v. Tri Realtors </w:t>
      </w:r>
      <w:r w:rsidR="00016497">
        <w:t>(1989) 208 Cal.App.3d 463, 469.)</w:t>
      </w:r>
      <w:r w:rsidR="004B4368" w:rsidRPr="004B4368">
        <w:t xml:space="preserve"> </w:t>
      </w:r>
      <w:r w:rsidR="004B4368">
        <w:t xml:space="preserve"> As an AMPAS member, Ward is bound by its bylaw restricting the sale of Oscars.</w:t>
      </w:r>
    </w:p>
    <w:p w14:paraId="23E3DA8A" w14:textId="556C8480" w:rsidR="008B27EF" w:rsidRPr="00002D04" w:rsidRDefault="00002D04" w:rsidP="00004356">
      <w:r>
        <w:lastRenderedPageBreak/>
        <w:tab/>
      </w:r>
      <w:r w:rsidR="008B27EF">
        <w:t>As Ward’s creditor, Juarez is subject to the same restriction</w:t>
      </w:r>
      <w:r w:rsidR="004B4368">
        <w:t xml:space="preserve"> imposed by the Agreement and bylaws</w:t>
      </w:r>
      <w:r w:rsidR="008B27EF">
        <w:t>.</w:t>
      </w:r>
      <w:r w:rsidR="005A6394">
        <w:t xml:space="preserve">  </w:t>
      </w:r>
      <w:r w:rsidR="009445F5">
        <w:t>Juarez</w:t>
      </w:r>
      <w:r w:rsidR="009445F5" w:rsidRPr="004A3ED2">
        <w:t xml:space="preserve"> </w:t>
      </w:r>
      <w:r w:rsidR="009445F5">
        <w:t>had</w:t>
      </w:r>
      <w:r w:rsidR="009445F5" w:rsidRPr="004A3ED2">
        <w:t xml:space="preserve"> no greater rights than </w:t>
      </w:r>
      <w:r w:rsidR="009445F5">
        <w:t>Ward</w:t>
      </w:r>
      <w:r w:rsidR="009445F5" w:rsidRPr="004A3ED2">
        <w:t>.</w:t>
      </w:r>
      <w:r w:rsidR="009445F5">
        <w:t xml:space="preserve">  </w:t>
      </w:r>
      <w:r w:rsidR="005A6394">
        <w:t>She admitted as much when she told the trial court that AMPAS “should be able to keep its statuette.”</w:t>
      </w:r>
      <w:r w:rsidR="004B4368">
        <w:t xml:space="preserve">  </w:t>
      </w:r>
      <w:r w:rsidR="005165F1">
        <w:t>Juarez writes</w:t>
      </w:r>
      <w:r w:rsidR="00FA3B8A">
        <w:t xml:space="preserve"> that</w:t>
      </w:r>
      <w:r w:rsidR="005165F1">
        <w:t xml:space="preserve"> the Agreement is “a personal, contractual obligation between Mr. Ward and the Academy.”</w:t>
      </w:r>
      <w:r w:rsidR="006E2E8F">
        <w:t xml:space="preserve"> </w:t>
      </w:r>
      <w:r w:rsidR="005165F1">
        <w:t xml:space="preserve"> </w:t>
      </w:r>
      <w:r w:rsidR="00153F02">
        <w:t xml:space="preserve">It is unclear how Juarez has standing to assert that the Agreement is </w:t>
      </w:r>
      <w:r w:rsidR="00B542EC">
        <w:t>“repugnant to the interest created [and] void” (Civ. Code, § 711)</w:t>
      </w:r>
      <w:r w:rsidR="00153F02">
        <w:t xml:space="preserve">, when the person who signed it </w:t>
      </w:r>
      <w:r w:rsidR="005701B5">
        <w:t>willingly</w:t>
      </w:r>
      <w:r w:rsidR="00153F02">
        <w:t xml:space="preserve"> complied with its terms.</w:t>
      </w:r>
    </w:p>
    <w:p w14:paraId="77439BC6" w14:textId="7E39770C" w:rsidR="00495392" w:rsidRPr="00F62523" w:rsidRDefault="00002D04" w:rsidP="00495392">
      <w:r>
        <w:tab/>
      </w:r>
      <w:r w:rsidR="00141524">
        <w:t xml:space="preserve">Even if Juarez </w:t>
      </w:r>
      <w:r w:rsidR="00A76FB1">
        <w:t>could</w:t>
      </w:r>
      <w:r w:rsidR="00141524">
        <w:t xml:space="preserve"> force delivery of the Oscar, she </w:t>
      </w:r>
      <w:r w:rsidR="00F62523">
        <w:t xml:space="preserve">and any subsequent purchaser </w:t>
      </w:r>
      <w:r w:rsidR="00141524">
        <w:t xml:space="preserve">would be subject to AMPAS’s right of first refusal. </w:t>
      </w:r>
      <w:r w:rsidR="00495392">
        <w:t xml:space="preserve"> </w:t>
      </w:r>
      <w:r w:rsidR="00495392" w:rsidRPr="009E5EEB">
        <w:t xml:space="preserve">The holder of </w:t>
      </w:r>
      <w:r w:rsidR="00141524">
        <w:t xml:space="preserve">a </w:t>
      </w:r>
      <w:r w:rsidR="00495392" w:rsidRPr="00141524">
        <w:t>right</w:t>
      </w:r>
      <w:r w:rsidR="00141524">
        <w:t xml:space="preserve"> of first refusal</w:t>
      </w:r>
      <w:r w:rsidR="00495392" w:rsidRPr="009E5EEB">
        <w:t xml:space="preserve"> has the preference to purchase </w:t>
      </w:r>
      <w:r w:rsidR="00495392" w:rsidRPr="00141524">
        <w:t>property</w:t>
      </w:r>
      <w:r w:rsidR="00141524">
        <w:t xml:space="preserve"> </w:t>
      </w:r>
      <w:r w:rsidR="00F91F4A">
        <w:t>that</w:t>
      </w:r>
      <w:r w:rsidR="00141524">
        <w:t xml:space="preserve"> “</w:t>
      </w:r>
      <w:r>
        <w:t> </w:t>
      </w:r>
      <w:r w:rsidR="00141524">
        <w:t>‘</w:t>
      </w:r>
      <w:r w:rsidR="00495392" w:rsidRPr="009E5EEB">
        <w:t>is enforceable against third persons entering into a contract to buy the</w:t>
      </w:r>
      <w:r w:rsidR="00141524">
        <w:t xml:space="preserve"> property </w:t>
      </w:r>
      <w:r w:rsidR="00495392" w:rsidRPr="009E5EEB">
        <w:t>with notice of the holder</w:t>
      </w:r>
      <w:r w:rsidR="00141524">
        <w:t>’</w:t>
      </w:r>
      <w:r w:rsidR="00495392" w:rsidRPr="009E5EEB">
        <w:t>s</w:t>
      </w:r>
      <w:r w:rsidR="00141524">
        <w:t xml:space="preserve"> </w:t>
      </w:r>
      <w:r w:rsidR="00495392" w:rsidRPr="00141524">
        <w:t>right</w:t>
      </w:r>
      <w:r w:rsidR="00495392" w:rsidRPr="009E5EEB">
        <w:t>.’</w:t>
      </w:r>
      <w:r>
        <w:t> </w:t>
      </w:r>
      <w:r w:rsidR="00495392" w:rsidRPr="009E5EEB">
        <w:t>”</w:t>
      </w:r>
      <w:r>
        <w:t xml:space="preserve"> </w:t>
      </w:r>
      <w:r w:rsidR="00495392" w:rsidRPr="009E5EEB">
        <w:t xml:space="preserve"> (</w:t>
      </w:r>
      <w:r w:rsidR="00495392" w:rsidRPr="009E5EEB">
        <w:rPr>
          <w:i/>
          <w:iCs/>
        </w:rPr>
        <w:t>Hartzheim v. Valley Land &amp; Cattle Co.</w:t>
      </w:r>
      <w:r w:rsidR="00F91F4A">
        <w:t xml:space="preserve"> </w:t>
      </w:r>
      <w:r w:rsidR="00495392" w:rsidRPr="009E5EEB">
        <w:t>(2007) 153 Cal.App.4th 383, 389.)</w:t>
      </w:r>
      <w:r w:rsidR="00F62523">
        <w:t xml:space="preserve">  As </w:t>
      </w:r>
      <w:r w:rsidR="00F91F4A">
        <w:t xml:space="preserve">previously </w:t>
      </w:r>
      <w:r w:rsidR="00F62523">
        <w:t xml:space="preserve">discussed, </w:t>
      </w:r>
      <w:r w:rsidR="006C7314">
        <w:t>AMPAS’s right to re</w:t>
      </w:r>
      <w:r w:rsidR="006C7314">
        <w:lastRenderedPageBreak/>
        <w:t xml:space="preserve">claim </w:t>
      </w:r>
      <w:r w:rsidR="00F62523">
        <w:t xml:space="preserve">the </w:t>
      </w:r>
      <w:r w:rsidR="006C7314">
        <w:t>Oscar</w:t>
      </w:r>
      <w:r w:rsidR="00F62523">
        <w:t xml:space="preserve"> is reasonable to preserve </w:t>
      </w:r>
      <w:r w:rsidR="006C7314">
        <w:t>it</w:t>
      </w:r>
      <w:r w:rsidR="00F62523">
        <w:t xml:space="preserve">s significant investment in the goodwill of its </w:t>
      </w:r>
      <w:r w:rsidR="003A1629">
        <w:t>busines</w:t>
      </w:r>
      <w:r w:rsidR="00F62523">
        <w:t>s</w:t>
      </w:r>
      <w:r w:rsidR="00A76FB1">
        <w:t>.</w:t>
      </w:r>
    </w:p>
    <w:p w14:paraId="77BBEB3E" w14:textId="77777777" w:rsidR="00495392" w:rsidRPr="006C7314" w:rsidRDefault="006C7314" w:rsidP="009F2EC1">
      <w:pPr>
        <w:keepNext/>
        <w:keepLines/>
        <w:jc w:val="center"/>
        <w:rPr>
          <w:b/>
          <w:bCs/>
        </w:rPr>
      </w:pPr>
      <w:r>
        <w:rPr>
          <w:b/>
          <w:bCs/>
        </w:rPr>
        <w:lastRenderedPageBreak/>
        <w:t>DISPOSITION</w:t>
      </w:r>
    </w:p>
    <w:p w14:paraId="7F3CB483" w14:textId="4247014F" w:rsidR="006C7314" w:rsidRDefault="009F2EC1" w:rsidP="009F2EC1">
      <w:pPr>
        <w:keepNext/>
        <w:keepLines/>
      </w:pPr>
      <w:r>
        <w:tab/>
      </w:r>
      <w:r w:rsidR="006C7314">
        <w:t>The order is affirmed.</w:t>
      </w:r>
      <w:r>
        <w:t xml:space="preserve">  </w:t>
      </w:r>
      <w:r w:rsidR="00CC3C4B">
        <w:t>The parties shall bear their own costs on appeal.</w:t>
      </w:r>
    </w:p>
    <w:p w14:paraId="50EBA515" w14:textId="0A498348" w:rsidR="009F2EC1" w:rsidRDefault="009F2EC1" w:rsidP="009F2EC1">
      <w:pPr>
        <w:keepNext/>
        <w:keepLines/>
      </w:pPr>
      <w:r>
        <w:tab/>
        <w:t>CERTIFIED FOR PUBLICATION.</w:t>
      </w:r>
    </w:p>
    <w:p w14:paraId="413E263E" w14:textId="084DDE23" w:rsidR="009F2EC1" w:rsidRDefault="009F2EC1" w:rsidP="009F2EC1">
      <w:pPr>
        <w:keepNext/>
        <w:keepLines/>
      </w:pPr>
    </w:p>
    <w:p w14:paraId="2E4F8E60" w14:textId="3D15D26A" w:rsidR="009F2EC1" w:rsidRDefault="009F2EC1" w:rsidP="009F2EC1">
      <w:pPr>
        <w:keepNext/>
        <w:keepLines/>
      </w:pPr>
    </w:p>
    <w:p w14:paraId="093608AC" w14:textId="78F771FE" w:rsidR="009F2EC1" w:rsidRDefault="009F2EC1" w:rsidP="009F2EC1">
      <w:pPr>
        <w:keepNext/>
        <w:keepLines/>
      </w:pPr>
    </w:p>
    <w:p w14:paraId="47DD105D" w14:textId="769333B0" w:rsidR="009F2EC1" w:rsidRDefault="009F2EC1" w:rsidP="009F2EC1">
      <w:pPr>
        <w:keepNext/>
        <w:keepLines/>
      </w:pPr>
      <w:r>
        <w:tab/>
      </w:r>
      <w:r>
        <w:tab/>
      </w:r>
      <w:r>
        <w:tab/>
      </w:r>
      <w:r>
        <w:tab/>
      </w:r>
      <w:r>
        <w:tab/>
      </w:r>
      <w:r>
        <w:tab/>
        <w:t>LUI, P. J.</w:t>
      </w:r>
    </w:p>
    <w:p w14:paraId="7F1760CB" w14:textId="36061A84" w:rsidR="009F2EC1" w:rsidRDefault="009F2EC1" w:rsidP="009F2EC1">
      <w:pPr>
        <w:keepNext/>
        <w:keepLines/>
      </w:pPr>
      <w:r>
        <w:t>We concur:</w:t>
      </w:r>
    </w:p>
    <w:p w14:paraId="2333FA9E" w14:textId="1C224FE0" w:rsidR="009F2EC1" w:rsidRDefault="009F2EC1" w:rsidP="009F2EC1">
      <w:pPr>
        <w:keepNext/>
        <w:keepLines/>
      </w:pPr>
    </w:p>
    <w:p w14:paraId="6B5EFAFF" w14:textId="35CFF270" w:rsidR="009F2EC1" w:rsidRDefault="009F2EC1" w:rsidP="009F2EC1">
      <w:pPr>
        <w:keepNext/>
        <w:keepLines/>
      </w:pPr>
    </w:p>
    <w:p w14:paraId="05947873" w14:textId="2BDD8B60" w:rsidR="009F2EC1" w:rsidRDefault="009F2EC1" w:rsidP="009F2EC1">
      <w:pPr>
        <w:keepNext/>
        <w:keepLines/>
      </w:pPr>
    </w:p>
    <w:p w14:paraId="6D38B32B" w14:textId="5DDDB913" w:rsidR="009F2EC1" w:rsidRDefault="009F2EC1" w:rsidP="009F2EC1">
      <w:pPr>
        <w:keepNext/>
        <w:keepLines/>
      </w:pPr>
      <w:r>
        <w:tab/>
        <w:t>ASHMANN-GERST, J.</w:t>
      </w:r>
    </w:p>
    <w:p w14:paraId="5F6FE5AF" w14:textId="62CB4C6E" w:rsidR="009F2EC1" w:rsidRDefault="009F2EC1" w:rsidP="009F2EC1">
      <w:pPr>
        <w:keepNext/>
        <w:keepLines/>
      </w:pPr>
    </w:p>
    <w:p w14:paraId="2C3FFA58" w14:textId="2D73C867" w:rsidR="009F2EC1" w:rsidRDefault="009F2EC1" w:rsidP="009F2EC1">
      <w:pPr>
        <w:keepNext/>
        <w:keepLines/>
      </w:pPr>
    </w:p>
    <w:p w14:paraId="4DDBE75E" w14:textId="0847D3B9" w:rsidR="009F2EC1" w:rsidRDefault="009F2EC1" w:rsidP="009F2EC1">
      <w:pPr>
        <w:keepNext/>
        <w:keepLines/>
      </w:pPr>
    </w:p>
    <w:p w14:paraId="46921A20" w14:textId="0AC9676B" w:rsidR="009F2EC1" w:rsidRDefault="009F2EC1" w:rsidP="009F2EC1">
      <w:pPr>
        <w:keepNext/>
        <w:keepLines/>
      </w:pPr>
      <w:r>
        <w:tab/>
        <w:t>HOFFSTADT, J.</w:t>
      </w:r>
    </w:p>
    <w:p w14:paraId="17023BCE" w14:textId="04B3364A" w:rsidR="009F2EC1" w:rsidRDefault="009F2EC1" w:rsidP="005F1B51"/>
    <w:p w14:paraId="6816957D" w14:textId="77777777" w:rsidR="005F1B51" w:rsidRDefault="005F1B51" w:rsidP="005F1B51"/>
    <w:sectPr w:rsidR="005F1B51" w:rsidSect="005F1B51">
      <w:footerReference w:type="even" r:id="rId8"/>
      <w:footerReference w:type="default" r:id="rId9"/>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8784D" w14:textId="77777777" w:rsidR="007D71C6" w:rsidRDefault="007D71C6" w:rsidP="003D457B">
      <w:pPr>
        <w:spacing w:line="240" w:lineRule="auto"/>
      </w:pPr>
      <w:r>
        <w:separator/>
      </w:r>
    </w:p>
  </w:endnote>
  <w:endnote w:type="continuationSeparator" w:id="0">
    <w:p w14:paraId="2596C7A7" w14:textId="77777777" w:rsidR="007D71C6" w:rsidRDefault="007D71C6" w:rsidP="003D45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4A76" w14:textId="77777777" w:rsidR="005F1B51" w:rsidRDefault="005F1B51" w:rsidP="008C1E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F94C33" w14:textId="77777777" w:rsidR="005F1B51" w:rsidRDefault="005F1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7299" w14:textId="0E99507F" w:rsidR="005F1B51" w:rsidRDefault="005F1B51" w:rsidP="008C1E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113BAD" w14:textId="73427DCF" w:rsidR="001820BA" w:rsidRDefault="001820BA">
    <w:pPr>
      <w:pStyle w:val="Footer"/>
      <w:jc w:val="center"/>
    </w:pPr>
  </w:p>
  <w:p w14:paraId="272B3949" w14:textId="77777777" w:rsidR="001820BA" w:rsidRDefault="00182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603B1" w14:textId="01320CE8" w:rsidR="007D71C6" w:rsidRPr="009F2EC1" w:rsidRDefault="007D71C6" w:rsidP="009F2EC1">
      <w:pPr>
        <w:pStyle w:val="Footer"/>
        <w:pBdr>
          <w:top w:val="single" w:sz="4" w:space="1" w:color="auto"/>
        </w:pBdr>
        <w:spacing w:before="240" w:after="100" w:line="20" w:lineRule="exact"/>
      </w:pPr>
    </w:p>
  </w:footnote>
  <w:footnote w:type="continuationSeparator" w:id="0">
    <w:p w14:paraId="1C7A4332" w14:textId="77777777" w:rsidR="007D71C6" w:rsidRDefault="007D71C6" w:rsidP="003D457B">
      <w:pPr>
        <w:spacing w:line="240" w:lineRule="auto"/>
      </w:pPr>
      <w:r>
        <w:continuationSeparator/>
      </w:r>
    </w:p>
  </w:footnote>
  <w:footnote w:id="1">
    <w:p w14:paraId="7A55D1C4" w14:textId="3563570A" w:rsidR="00303E32" w:rsidRPr="00131C24" w:rsidRDefault="00303E32" w:rsidP="009F2EC1">
      <w:pPr>
        <w:pStyle w:val="FootnoteText"/>
        <w:spacing w:after="120" w:line="240" w:lineRule="auto"/>
        <w:ind w:firstLine="720"/>
        <w:rPr>
          <w:sz w:val="26"/>
          <w:szCs w:val="26"/>
        </w:rPr>
      </w:pPr>
      <w:r w:rsidRPr="009F2EC1">
        <w:rPr>
          <w:rStyle w:val="FootnoteReference"/>
          <w:b/>
          <w:position w:val="6"/>
          <w:szCs w:val="26"/>
          <w:vertAlign w:val="baseline"/>
        </w:rPr>
        <w:footnoteRef/>
      </w:r>
      <w:r w:rsidRPr="00131C24">
        <w:rPr>
          <w:sz w:val="26"/>
          <w:szCs w:val="26"/>
        </w:rPr>
        <w:t xml:space="preserve"> </w:t>
      </w:r>
      <w:r w:rsidR="00186B8B">
        <w:rPr>
          <w:sz w:val="26"/>
          <w:szCs w:val="26"/>
        </w:rPr>
        <w:t>Undesignated</w:t>
      </w:r>
      <w:r>
        <w:rPr>
          <w:sz w:val="26"/>
          <w:szCs w:val="26"/>
        </w:rPr>
        <w:t xml:space="preserve"> statutory references in this opinion are to the Code of Civil Procedure.</w:t>
      </w:r>
    </w:p>
  </w:footnote>
  <w:footnote w:id="2">
    <w:p w14:paraId="495D5519" w14:textId="0B6B7991" w:rsidR="00786291" w:rsidRPr="00B4695A" w:rsidRDefault="00786291" w:rsidP="00E4435A">
      <w:pPr>
        <w:pStyle w:val="FootnoteText"/>
        <w:spacing w:after="120"/>
        <w:ind w:firstLine="720"/>
        <w:rPr>
          <w:sz w:val="26"/>
          <w:szCs w:val="26"/>
        </w:rPr>
      </w:pPr>
      <w:r w:rsidRPr="00E4435A">
        <w:rPr>
          <w:rStyle w:val="FootnoteReference"/>
          <w:b/>
          <w:position w:val="6"/>
          <w:szCs w:val="26"/>
          <w:vertAlign w:val="baseline"/>
        </w:rPr>
        <w:footnoteRef/>
      </w:r>
      <w:r w:rsidRPr="00B4695A">
        <w:rPr>
          <w:sz w:val="26"/>
          <w:szCs w:val="26"/>
        </w:rPr>
        <w:t xml:space="preserve"> </w:t>
      </w:r>
      <w:r>
        <w:rPr>
          <w:sz w:val="26"/>
          <w:szCs w:val="26"/>
        </w:rPr>
        <w:t xml:space="preserve">Ward </w:t>
      </w:r>
      <w:r w:rsidR="000362AB">
        <w:rPr>
          <w:sz w:val="26"/>
          <w:szCs w:val="26"/>
        </w:rPr>
        <w:t>did</w:t>
      </w:r>
      <w:r>
        <w:rPr>
          <w:sz w:val="26"/>
          <w:szCs w:val="26"/>
        </w:rPr>
        <w:t xml:space="preserve"> not file a </w:t>
      </w:r>
      <w:r w:rsidR="00DB4780">
        <w:rPr>
          <w:sz w:val="26"/>
          <w:szCs w:val="26"/>
        </w:rPr>
        <w:t xml:space="preserve">responsive </w:t>
      </w:r>
      <w:r>
        <w:rPr>
          <w:sz w:val="26"/>
          <w:szCs w:val="26"/>
        </w:rPr>
        <w:t>brief in this appeal.</w:t>
      </w:r>
    </w:p>
  </w:footnote>
  <w:footnote w:id="3">
    <w:p w14:paraId="1C967487" w14:textId="39C05786" w:rsidR="00417393" w:rsidRPr="00AB40A7" w:rsidRDefault="00417393" w:rsidP="00E4435A">
      <w:pPr>
        <w:pStyle w:val="FootnoteText"/>
        <w:spacing w:after="120" w:line="240" w:lineRule="auto"/>
        <w:ind w:firstLine="720"/>
        <w:rPr>
          <w:sz w:val="26"/>
          <w:szCs w:val="26"/>
        </w:rPr>
      </w:pPr>
      <w:r w:rsidRPr="00E4435A">
        <w:rPr>
          <w:rStyle w:val="FootnoteReference"/>
          <w:b/>
          <w:position w:val="6"/>
          <w:szCs w:val="26"/>
          <w:vertAlign w:val="baseline"/>
        </w:rPr>
        <w:footnoteRef/>
      </w:r>
      <w:r w:rsidRPr="00417393">
        <w:rPr>
          <w:sz w:val="26"/>
          <w:szCs w:val="26"/>
        </w:rPr>
        <w:t xml:space="preserve"> </w:t>
      </w:r>
      <w:r>
        <w:rPr>
          <w:sz w:val="26"/>
          <w:szCs w:val="26"/>
        </w:rPr>
        <w:t xml:space="preserve">Juarez believes the </w:t>
      </w:r>
      <w:r w:rsidR="00AB40A7">
        <w:rPr>
          <w:sz w:val="26"/>
          <w:szCs w:val="26"/>
        </w:rPr>
        <w:t xml:space="preserve">trial </w:t>
      </w:r>
      <w:r>
        <w:rPr>
          <w:sz w:val="26"/>
          <w:szCs w:val="26"/>
        </w:rPr>
        <w:t xml:space="preserve">court could not apply section 708.190 because AMPAS did not cite </w:t>
      </w:r>
      <w:r w:rsidR="00DE4923">
        <w:rPr>
          <w:sz w:val="26"/>
          <w:szCs w:val="26"/>
        </w:rPr>
        <w:t>i</w:t>
      </w:r>
      <w:r>
        <w:rPr>
          <w:sz w:val="26"/>
          <w:szCs w:val="26"/>
        </w:rPr>
        <w:t xml:space="preserve">t in its request to intervene.  </w:t>
      </w:r>
      <w:r w:rsidR="0007079F">
        <w:rPr>
          <w:sz w:val="26"/>
          <w:szCs w:val="26"/>
        </w:rPr>
        <w:t xml:space="preserve">That is not the rule. </w:t>
      </w:r>
      <w:r w:rsidR="00AB40A7">
        <w:rPr>
          <w:sz w:val="26"/>
          <w:szCs w:val="26"/>
        </w:rPr>
        <w:t xml:space="preserve"> “</w:t>
      </w:r>
      <w:r w:rsidR="00C637CD">
        <w:rPr>
          <w:sz w:val="26"/>
          <w:szCs w:val="26"/>
        </w:rPr>
        <w:t> </w:t>
      </w:r>
      <w:r w:rsidR="00AB40A7">
        <w:rPr>
          <w:sz w:val="26"/>
          <w:szCs w:val="26"/>
        </w:rPr>
        <w:t>‘The general rule is</w:t>
      </w:r>
      <w:r>
        <w:rPr>
          <w:sz w:val="26"/>
          <w:szCs w:val="26"/>
        </w:rPr>
        <w:t xml:space="preserve"> that </w:t>
      </w:r>
      <w:r w:rsidR="00AB40A7">
        <w:rPr>
          <w:sz w:val="26"/>
          <w:szCs w:val="26"/>
        </w:rPr>
        <w:t>a trial</w:t>
      </w:r>
      <w:r>
        <w:rPr>
          <w:sz w:val="26"/>
          <w:szCs w:val="26"/>
        </w:rPr>
        <w:t xml:space="preserve"> court </w:t>
      </w:r>
      <w:r w:rsidR="00AB40A7">
        <w:rPr>
          <w:sz w:val="26"/>
          <w:szCs w:val="26"/>
        </w:rPr>
        <w:t>is presumed to have been</w:t>
      </w:r>
      <w:r>
        <w:rPr>
          <w:sz w:val="26"/>
          <w:szCs w:val="26"/>
        </w:rPr>
        <w:t xml:space="preserve"> aware of </w:t>
      </w:r>
      <w:r w:rsidR="00AB40A7">
        <w:rPr>
          <w:sz w:val="26"/>
          <w:szCs w:val="26"/>
        </w:rPr>
        <w:t>and followed the applicable law.’</w:t>
      </w:r>
      <w:r w:rsidR="00C637CD">
        <w:rPr>
          <w:sz w:val="26"/>
          <w:szCs w:val="26"/>
        </w:rPr>
        <w:t> </w:t>
      </w:r>
      <w:r w:rsidR="00AB40A7">
        <w:rPr>
          <w:sz w:val="26"/>
          <w:szCs w:val="26"/>
        </w:rPr>
        <w:t xml:space="preserve">” </w:t>
      </w:r>
      <w:r w:rsidR="00DE4923">
        <w:rPr>
          <w:sz w:val="26"/>
          <w:szCs w:val="26"/>
        </w:rPr>
        <w:t xml:space="preserve"> </w:t>
      </w:r>
      <w:r w:rsidR="00AB40A7">
        <w:rPr>
          <w:sz w:val="26"/>
          <w:szCs w:val="26"/>
        </w:rPr>
        <w:t>(</w:t>
      </w:r>
      <w:r w:rsidR="00AB40A7">
        <w:rPr>
          <w:i/>
          <w:iCs/>
          <w:sz w:val="26"/>
          <w:szCs w:val="26"/>
        </w:rPr>
        <w:t xml:space="preserve">People v. Shiga </w:t>
      </w:r>
      <w:r w:rsidR="00AB40A7">
        <w:rPr>
          <w:sz w:val="26"/>
          <w:szCs w:val="26"/>
        </w:rPr>
        <w:t>(2016) 6 Cal.App.5th 22, 40.)</w:t>
      </w:r>
    </w:p>
  </w:footnote>
  <w:footnote w:id="4">
    <w:p w14:paraId="53012DB8" w14:textId="20597B1C" w:rsidR="000626A0" w:rsidRPr="000626A0" w:rsidRDefault="000626A0" w:rsidP="00A73F68">
      <w:pPr>
        <w:pStyle w:val="FootnoteText"/>
        <w:spacing w:after="120" w:line="240" w:lineRule="auto"/>
        <w:ind w:firstLine="720"/>
        <w:rPr>
          <w:sz w:val="26"/>
          <w:szCs w:val="26"/>
        </w:rPr>
      </w:pPr>
      <w:r w:rsidRPr="00A73F68">
        <w:rPr>
          <w:rStyle w:val="FootnoteReference"/>
          <w:b/>
          <w:position w:val="6"/>
          <w:szCs w:val="26"/>
          <w:vertAlign w:val="baseline"/>
        </w:rPr>
        <w:footnoteRef/>
      </w:r>
      <w:r w:rsidRPr="000626A0">
        <w:rPr>
          <w:sz w:val="26"/>
          <w:szCs w:val="26"/>
        </w:rPr>
        <w:t xml:space="preserve"> </w:t>
      </w:r>
      <w:r>
        <w:rPr>
          <w:sz w:val="26"/>
          <w:szCs w:val="26"/>
        </w:rPr>
        <w:t xml:space="preserve">Property is either </w:t>
      </w:r>
      <w:r w:rsidR="00A108C7">
        <w:rPr>
          <w:sz w:val="26"/>
          <w:szCs w:val="26"/>
        </w:rPr>
        <w:t>“</w:t>
      </w:r>
      <w:r w:rsidR="002057D8">
        <w:rPr>
          <w:sz w:val="26"/>
          <w:szCs w:val="26"/>
        </w:rPr>
        <w:t>[</w:t>
      </w:r>
      <w:r>
        <w:rPr>
          <w:sz w:val="26"/>
          <w:szCs w:val="26"/>
        </w:rPr>
        <w:t>r</w:t>
      </w:r>
      <w:r w:rsidR="002057D8">
        <w:rPr>
          <w:sz w:val="26"/>
          <w:szCs w:val="26"/>
        </w:rPr>
        <w:t>]</w:t>
      </w:r>
      <w:r>
        <w:rPr>
          <w:sz w:val="26"/>
          <w:szCs w:val="26"/>
        </w:rPr>
        <w:t>eal or immovable,</w:t>
      </w:r>
      <w:r w:rsidR="00A108C7">
        <w:rPr>
          <w:sz w:val="26"/>
          <w:szCs w:val="26"/>
        </w:rPr>
        <w:t>”</w:t>
      </w:r>
      <w:r>
        <w:rPr>
          <w:sz w:val="26"/>
          <w:szCs w:val="26"/>
        </w:rPr>
        <w:t xml:space="preserve"> or </w:t>
      </w:r>
      <w:r w:rsidR="00A108C7">
        <w:rPr>
          <w:sz w:val="26"/>
          <w:szCs w:val="26"/>
        </w:rPr>
        <w:t>“</w:t>
      </w:r>
      <w:r w:rsidR="002057D8">
        <w:rPr>
          <w:sz w:val="26"/>
          <w:szCs w:val="26"/>
        </w:rPr>
        <w:t>[</w:t>
      </w:r>
      <w:r>
        <w:rPr>
          <w:sz w:val="26"/>
          <w:szCs w:val="26"/>
        </w:rPr>
        <w:t>p</w:t>
      </w:r>
      <w:r w:rsidR="002057D8">
        <w:rPr>
          <w:sz w:val="26"/>
          <w:szCs w:val="26"/>
        </w:rPr>
        <w:t>]</w:t>
      </w:r>
      <w:r>
        <w:rPr>
          <w:sz w:val="26"/>
          <w:szCs w:val="26"/>
        </w:rPr>
        <w:t>ersonal or movable.</w:t>
      </w:r>
      <w:r w:rsidR="00A108C7">
        <w:rPr>
          <w:sz w:val="26"/>
          <w:szCs w:val="26"/>
        </w:rPr>
        <w:t>”</w:t>
      </w:r>
      <w:r>
        <w:rPr>
          <w:sz w:val="26"/>
          <w:szCs w:val="26"/>
        </w:rPr>
        <w:t xml:space="preserve">  (Civ. Code, </w:t>
      </w:r>
      <w:r w:rsidRPr="000626A0">
        <w:rPr>
          <w:sz w:val="26"/>
          <w:szCs w:val="26"/>
        </w:rPr>
        <w:t xml:space="preserve">§ </w:t>
      </w:r>
      <w:r>
        <w:rPr>
          <w:sz w:val="26"/>
          <w:szCs w:val="26"/>
        </w:rPr>
        <w:t>657.)  “Every kind of property that is not real is personal.”  (Civ. Code</w:t>
      </w:r>
      <w:r>
        <w:rPr>
          <w:i/>
          <w:iCs/>
          <w:sz w:val="26"/>
          <w:szCs w:val="26"/>
        </w:rPr>
        <w:t xml:space="preserve">, </w:t>
      </w:r>
      <w:r w:rsidRPr="000626A0">
        <w:rPr>
          <w:sz w:val="26"/>
          <w:szCs w:val="26"/>
        </w:rPr>
        <w:t xml:space="preserve">§ </w:t>
      </w:r>
      <w:r>
        <w:rPr>
          <w:sz w:val="26"/>
          <w:szCs w:val="26"/>
        </w:rPr>
        <w:t>663.)  Personal property includes “</w:t>
      </w:r>
      <w:r w:rsidR="002057D8">
        <w:rPr>
          <w:sz w:val="26"/>
          <w:szCs w:val="26"/>
        </w:rPr>
        <w:t xml:space="preserve">money, </w:t>
      </w:r>
      <w:r>
        <w:rPr>
          <w:sz w:val="26"/>
          <w:szCs w:val="26"/>
        </w:rPr>
        <w:t xml:space="preserve">goods, chattels, things in action, and evidences of debt.”  (Civ. Code, </w:t>
      </w:r>
      <w:r w:rsidRPr="000626A0">
        <w:rPr>
          <w:sz w:val="26"/>
          <w:szCs w:val="26"/>
        </w:rPr>
        <w:t xml:space="preserve">§ </w:t>
      </w:r>
      <w:r>
        <w:rPr>
          <w:sz w:val="26"/>
          <w:szCs w:val="26"/>
        </w:rPr>
        <w:t>14, subd. (b)(3).)</w:t>
      </w:r>
    </w:p>
  </w:footnote>
  <w:footnote w:id="5">
    <w:p w14:paraId="6F43BB0A" w14:textId="0C65AF90" w:rsidR="00AD6127" w:rsidRPr="007B2B26" w:rsidRDefault="00AD6127" w:rsidP="00FF2C42">
      <w:pPr>
        <w:pStyle w:val="FootnoteText"/>
        <w:spacing w:after="120" w:line="240" w:lineRule="auto"/>
        <w:ind w:firstLine="720"/>
        <w:rPr>
          <w:sz w:val="26"/>
          <w:szCs w:val="26"/>
        </w:rPr>
      </w:pPr>
      <w:r w:rsidRPr="00FF2C42">
        <w:rPr>
          <w:rStyle w:val="FootnoteReference"/>
          <w:b/>
          <w:position w:val="6"/>
          <w:szCs w:val="26"/>
          <w:vertAlign w:val="baseline"/>
        </w:rPr>
        <w:footnoteRef/>
      </w:r>
      <w:r w:rsidRPr="007B2B26">
        <w:rPr>
          <w:sz w:val="26"/>
          <w:szCs w:val="26"/>
        </w:rPr>
        <w:t xml:space="preserve"> </w:t>
      </w:r>
      <w:r>
        <w:rPr>
          <w:sz w:val="26"/>
          <w:szCs w:val="26"/>
        </w:rPr>
        <w:t>Juarez did not ask to meet and confer about the responses</w:t>
      </w:r>
      <w:r w:rsidR="007C5106">
        <w:rPr>
          <w:sz w:val="26"/>
          <w:szCs w:val="26"/>
        </w:rPr>
        <w:t xml:space="preserve"> </w:t>
      </w:r>
      <w:r>
        <w:rPr>
          <w:sz w:val="26"/>
          <w:szCs w:val="26"/>
        </w:rPr>
        <w:t>or try to compel further discovery, forfeiting her claim of inadequate discovery.</w:t>
      </w:r>
    </w:p>
  </w:footnote>
  <w:footnote w:id="6">
    <w:p w14:paraId="146B6E9D" w14:textId="38ED0DFA" w:rsidR="00555AF2" w:rsidRPr="00555AF2" w:rsidRDefault="00555AF2" w:rsidP="008372B8">
      <w:pPr>
        <w:pStyle w:val="FootnoteText"/>
        <w:spacing w:after="120" w:line="240" w:lineRule="auto"/>
        <w:ind w:firstLine="720"/>
        <w:rPr>
          <w:sz w:val="26"/>
          <w:szCs w:val="26"/>
        </w:rPr>
      </w:pPr>
      <w:r w:rsidRPr="008372B8">
        <w:rPr>
          <w:rStyle w:val="FootnoteReference"/>
          <w:b/>
          <w:position w:val="6"/>
          <w:szCs w:val="26"/>
          <w:vertAlign w:val="baseline"/>
        </w:rPr>
        <w:footnoteRef/>
      </w:r>
      <w:r w:rsidRPr="00555AF2">
        <w:rPr>
          <w:sz w:val="26"/>
          <w:szCs w:val="26"/>
        </w:rPr>
        <w:t xml:space="preserve"> </w:t>
      </w:r>
      <w:r>
        <w:rPr>
          <w:sz w:val="26"/>
          <w:szCs w:val="26"/>
        </w:rPr>
        <w:t>Civil Code section 805 reads, “A servitude thereon cannot be held by the owner of the servient tenement.”</w:t>
      </w:r>
      <w:r w:rsidR="00FC28C1">
        <w:rPr>
          <w:sz w:val="26"/>
          <w:szCs w:val="26"/>
        </w:rPr>
        <w:t xml:space="preserve">  A servitude is extinguished when the right to the servitude and the right to the servient tenement merge in the same person; the servient tenement is destroyed; acts incompatible with the servitude; or disuse of the servitude.  (Civ. Code, </w:t>
      </w:r>
      <w:r w:rsidR="00FC28C1" w:rsidRPr="00FC28C1">
        <w:rPr>
          <w:sz w:val="26"/>
          <w:szCs w:val="26"/>
        </w:rPr>
        <w:t xml:space="preserve">§ </w:t>
      </w:r>
      <w:r w:rsidR="00FC28C1">
        <w:rPr>
          <w:sz w:val="26"/>
          <w:szCs w:val="26"/>
        </w:rPr>
        <w:t>811.)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02"/>
    <w:multiLevelType w:val="hybridMultilevel"/>
    <w:tmpl w:val="DD2EEC96"/>
    <w:lvl w:ilvl="0" w:tplc="6E3A0A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E32CB9"/>
    <w:multiLevelType w:val="hybridMultilevel"/>
    <w:tmpl w:val="226C12F0"/>
    <w:lvl w:ilvl="0" w:tplc="C756CE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1F747C"/>
    <w:multiLevelType w:val="hybridMultilevel"/>
    <w:tmpl w:val="423A1922"/>
    <w:lvl w:ilvl="0" w:tplc="014AB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3602561">
    <w:abstractNumId w:val="2"/>
  </w:num>
  <w:num w:numId="2" w16cid:durableId="758601932">
    <w:abstractNumId w:val="0"/>
  </w:num>
  <w:num w:numId="3" w16cid:durableId="1145005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oNotTrackMove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6EAB"/>
    <w:rsid w:val="00002B19"/>
    <w:rsid w:val="00002D04"/>
    <w:rsid w:val="00004356"/>
    <w:rsid w:val="00005AD1"/>
    <w:rsid w:val="00015DCC"/>
    <w:rsid w:val="00016497"/>
    <w:rsid w:val="000175F6"/>
    <w:rsid w:val="00023301"/>
    <w:rsid w:val="00025664"/>
    <w:rsid w:val="00032B6A"/>
    <w:rsid w:val="00034D9E"/>
    <w:rsid w:val="000362AB"/>
    <w:rsid w:val="00040B40"/>
    <w:rsid w:val="000419C2"/>
    <w:rsid w:val="00042383"/>
    <w:rsid w:val="00042AD2"/>
    <w:rsid w:val="00042EA6"/>
    <w:rsid w:val="00047042"/>
    <w:rsid w:val="00047225"/>
    <w:rsid w:val="00047A33"/>
    <w:rsid w:val="000626A0"/>
    <w:rsid w:val="000644A4"/>
    <w:rsid w:val="00070424"/>
    <w:rsid w:val="0007079F"/>
    <w:rsid w:val="00070FFB"/>
    <w:rsid w:val="000717B8"/>
    <w:rsid w:val="0007739C"/>
    <w:rsid w:val="00080170"/>
    <w:rsid w:val="00082836"/>
    <w:rsid w:val="00086D9D"/>
    <w:rsid w:val="000974E3"/>
    <w:rsid w:val="000A0966"/>
    <w:rsid w:val="000A742B"/>
    <w:rsid w:val="000B1141"/>
    <w:rsid w:val="000B21B7"/>
    <w:rsid w:val="000C086F"/>
    <w:rsid w:val="000E2A73"/>
    <w:rsid w:val="000E5C23"/>
    <w:rsid w:val="000F45B3"/>
    <w:rsid w:val="00110D2D"/>
    <w:rsid w:val="00122170"/>
    <w:rsid w:val="00124184"/>
    <w:rsid w:val="001251FE"/>
    <w:rsid w:val="00130B5B"/>
    <w:rsid w:val="00131C24"/>
    <w:rsid w:val="00141524"/>
    <w:rsid w:val="0015245E"/>
    <w:rsid w:val="00152F09"/>
    <w:rsid w:val="00153F02"/>
    <w:rsid w:val="001644DB"/>
    <w:rsid w:val="0016544D"/>
    <w:rsid w:val="00170B07"/>
    <w:rsid w:val="0017115F"/>
    <w:rsid w:val="00171C4B"/>
    <w:rsid w:val="00175F06"/>
    <w:rsid w:val="00181A27"/>
    <w:rsid w:val="001820BA"/>
    <w:rsid w:val="00186B8B"/>
    <w:rsid w:val="00195C80"/>
    <w:rsid w:val="00196F09"/>
    <w:rsid w:val="001977A8"/>
    <w:rsid w:val="001A4908"/>
    <w:rsid w:val="001A6BFC"/>
    <w:rsid w:val="001B4C30"/>
    <w:rsid w:val="001B7F79"/>
    <w:rsid w:val="001D29CE"/>
    <w:rsid w:val="001D4E59"/>
    <w:rsid w:val="001D7AA5"/>
    <w:rsid w:val="001E5972"/>
    <w:rsid w:val="001E7C89"/>
    <w:rsid w:val="001E7F19"/>
    <w:rsid w:val="00200373"/>
    <w:rsid w:val="00200A02"/>
    <w:rsid w:val="0020195E"/>
    <w:rsid w:val="002057D8"/>
    <w:rsid w:val="0021097D"/>
    <w:rsid w:val="002116CF"/>
    <w:rsid w:val="00220B30"/>
    <w:rsid w:val="00224DE3"/>
    <w:rsid w:val="002271B7"/>
    <w:rsid w:val="00240621"/>
    <w:rsid w:val="00246934"/>
    <w:rsid w:val="00253C6D"/>
    <w:rsid w:val="002545C3"/>
    <w:rsid w:val="00271179"/>
    <w:rsid w:val="00273D48"/>
    <w:rsid w:val="0027692E"/>
    <w:rsid w:val="00287ACE"/>
    <w:rsid w:val="002900F4"/>
    <w:rsid w:val="00291018"/>
    <w:rsid w:val="00292197"/>
    <w:rsid w:val="0029264D"/>
    <w:rsid w:val="0029271B"/>
    <w:rsid w:val="002937AA"/>
    <w:rsid w:val="00293E38"/>
    <w:rsid w:val="00295B5D"/>
    <w:rsid w:val="002A41EC"/>
    <w:rsid w:val="002A4EBA"/>
    <w:rsid w:val="002B0F97"/>
    <w:rsid w:val="002B1171"/>
    <w:rsid w:val="002B1FDB"/>
    <w:rsid w:val="002B53CB"/>
    <w:rsid w:val="002C2AB9"/>
    <w:rsid w:val="002C3D0D"/>
    <w:rsid w:val="002D0B60"/>
    <w:rsid w:val="002D2A64"/>
    <w:rsid w:val="002D496A"/>
    <w:rsid w:val="002D6186"/>
    <w:rsid w:val="002D7D0F"/>
    <w:rsid w:val="002E510B"/>
    <w:rsid w:val="002E5EA5"/>
    <w:rsid w:val="002E735D"/>
    <w:rsid w:val="002F7B1D"/>
    <w:rsid w:val="00303E32"/>
    <w:rsid w:val="003114D4"/>
    <w:rsid w:val="003152A0"/>
    <w:rsid w:val="003406F0"/>
    <w:rsid w:val="003411DC"/>
    <w:rsid w:val="00363F6B"/>
    <w:rsid w:val="0037736C"/>
    <w:rsid w:val="00381D45"/>
    <w:rsid w:val="00391511"/>
    <w:rsid w:val="003A1629"/>
    <w:rsid w:val="003A341D"/>
    <w:rsid w:val="003A4BAE"/>
    <w:rsid w:val="003B5F57"/>
    <w:rsid w:val="003D176E"/>
    <w:rsid w:val="003D457B"/>
    <w:rsid w:val="003D7CF8"/>
    <w:rsid w:val="003E10C1"/>
    <w:rsid w:val="003E2636"/>
    <w:rsid w:val="003E2EE9"/>
    <w:rsid w:val="003E3101"/>
    <w:rsid w:val="003E6ACA"/>
    <w:rsid w:val="003F08F7"/>
    <w:rsid w:val="003F467F"/>
    <w:rsid w:val="00402E04"/>
    <w:rsid w:val="00403800"/>
    <w:rsid w:val="00404436"/>
    <w:rsid w:val="00417393"/>
    <w:rsid w:val="00417A2B"/>
    <w:rsid w:val="0042605F"/>
    <w:rsid w:val="0042695B"/>
    <w:rsid w:val="00435535"/>
    <w:rsid w:val="004360C5"/>
    <w:rsid w:val="00444CBF"/>
    <w:rsid w:val="004517DC"/>
    <w:rsid w:val="00451D00"/>
    <w:rsid w:val="00460AB3"/>
    <w:rsid w:val="00473CE5"/>
    <w:rsid w:val="00473D9F"/>
    <w:rsid w:val="00475A36"/>
    <w:rsid w:val="00475C67"/>
    <w:rsid w:val="00481935"/>
    <w:rsid w:val="00486E45"/>
    <w:rsid w:val="004917E4"/>
    <w:rsid w:val="00494F10"/>
    <w:rsid w:val="00495392"/>
    <w:rsid w:val="004A0EFE"/>
    <w:rsid w:val="004A2842"/>
    <w:rsid w:val="004A301B"/>
    <w:rsid w:val="004A3ED2"/>
    <w:rsid w:val="004B4368"/>
    <w:rsid w:val="004B7A3B"/>
    <w:rsid w:val="004B7D79"/>
    <w:rsid w:val="004C53C2"/>
    <w:rsid w:val="004D1E55"/>
    <w:rsid w:val="004D3255"/>
    <w:rsid w:val="004D6501"/>
    <w:rsid w:val="004E517A"/>
    <w:rsid w:val="004F24ED"/>
    <w:rsid w:val="004F2CB1"/>
    <w:rsid w:val="004F73FD"/>
    <w:rsid w:val="004F7CDC"/>
    <w:rsid w:val="005131C4"/>
    <w:rsid w:val="005165F1"/>
    <w:rsid w:val="00523319"/>
    <w:rsid w:val="0054379F"/>
    <w:rsid w:val="00543A71"/>
    <w:rsid w:val="00553F41"/>
    <w:rsid w:val="00555AF2"/>
    <w:rsid w:val="0056281B"/>
    <w:rsid w:val="005701B5"/>
    <w:rsid w:val="00580978"/>
    <w:rsid w:val="005A492C"/>
    <w:rsid w:val="005A5417"/>
    <w:rsid w:val="005A5F9A"/>
    <w:rsid w:val="005A6394"/>
    <w:rsid w:val="005B09CC"/>
    <w:rsid w:val="005B499B"/>
    <w:rsid w:val="005B4D30"/>
    <w:rsid w:val="005E07B8"/>
    <w:rsid w:val="005E2740"/>
    <w:rsid w:val="005F1B51"/>
    <w:rsid w:val="00602F1A"/>
    <w:rsid w:val="006209C4"/>
    <w:rsid w:val="00622DE9"/>
    <w:rsid w:val="00656EAB"/>
    <w:rsid w:val="00657EED"/>
    <w:rsid w:val="00661C5F"/>
    <w:rsid w:val="006634A2"/>
    <w:rsid w:val="00664F98"/>
    <w:rsid w:val="00676FC1"/>
    <w:rsid w:val="006805F4"/>
    <w:rsid w:val="006815C2"/>
    <w:rsid w:val="006A2B97"/>
    <w:rsid w:val="006A3909"/>
    <w:rsid w:val="006A4A6E"/>
    <w:rsid w:val="006B4026"/>
    <w:rsid w:val="006B47D2"/>
    <w:rsid w:val="006B79B3"/>
    <w:rsid w:val="006C07F4"/>
    <w:rsid w:val="006C7314"/>
    <w:rsid w:val="006D7106"/>
    <w:rsid w:val="006E2E8F"/>
    <w:rsid w:val="006E3B1B"/>
    <w:rsid w:val="006E3C6E"/>
    <w:rsid w:val="006E4D50"/>
    <w:rsid w:val="006F2871"/>
    <w:rsid w:val="00702389"/>
    <w:rsid w:val="007053C7"/>
    <w:rsid w:val="007061D9"/>
    <w:rsid w:val="00723D39"/>
    <w:rsid w:val="00730361"/>
    <w:rsid w:val="00733684"/>
    <w:rsid w:val="007355F6"/>
    <w:rsid w:val="007400E1"/>
    <w:rsid w:val="0075648E"/>
    <w:rsid w:val="0076009A"/>
    <w:rsid w:val="00766265"/>
    <w:rsid w:val="007666D9"/>
    <w:rsid w:val="00766E68"/>
    <w:rsid w:val="0077602C"/>
    <w:rsid w:val="007774AE"/>
    <w:rsid w:val="00780434"/>
    <w:rsid w:val="00783D7F"/>
    <w:rsid w:val="00786291"/>
    <w:rsid w:val="00787974"/>
    <w:rsid w:val="00790251"/>
    <w:rsid w:val="00796018"/>
    <w:rsid w:val="007A512C"/>
    <w:rsid w:val="007A53DC"/>
    <w:rsid w:val="007B2B26"/>
    <w:rsid w:val="007B2B91"/>
    <w:rsid w:val="007B7335"/>
    <w:rsid w:val="007C5106"/>
    <w:rsid w:val="007D6C31"/>
    <w:rsid w:val="007D70C0"/>
    <w:rsid w:val="007D71C6"/>
    <w:rsid w:val="007E0C3F"/>
    <w:rsid w:val="007E79E3"/>
    <w:rsid w:val="007F6EA5"/>
    <w:rsid w:val="008176E3"/>
    <w:rsid w:val="00824817"/>
    <w:rsid w:val="00831CC7"/>
    <w:rsid w:val="0083515D"/>
    <w:rsid w:val="008360D9"/>
    <w:rsid w:val="008372B8"/>
    <w:rsid w:val="00840685"/>
    <w:rsid w:val="00842F69"/>
    <w:rsid w:val="00846C5E"/>
    <w:rsid w:val="00847931"/>
    <w:rsid w:val="008551F9"/>
    <w:rsid w:val="00857D31"/>
    <w:rsid w:val="00861722"/>
    <w:rsid w:val="00865B45"/>
    <w:rsid w:val="00865B68"/>
    <w:rsid w:val="008829E6"/>
    <w:rsid w:val="00887F1D"/>
    <w:rsid w:val="008A1659"/>
    <w:rsid w:val="008A33A0"/>
    <w:rsid w:val="008B27EF"/>
    <w:rsid w:val="008B5D6E"/>
    <w:rsid w:val="008D0C51"/>
    <w:rsid w:val="008D4696"/>
    <w:rsid w:val="008E6E64"/>
    <w:rsid w:val="008F3CFA"/>
    <w:rsid w:val="00910113"/>
    <w:rsid w:val="009224A1"/>
    <w:rsid w:val="0094300B"/>
    <w:rsid w:val="009445F5"/>
    <w:rsid w:val="00950B9D"/>
    <w:rsid w:val="0095137C"/>
    <w:rsid w:val="009517F3"/>
    <w:rsid w:val="00953917"/>
    <w:rsid w:val="00954701"/>
    <w:rsid w:val="009609AA"/>
    <w:rsid w:val="00967E06"/>
    <w:rsid w:val="00973D2C"/>
    <w:rsid w:val="00983204"/>
    <w:rsid w:val="0099206D"/>
    <w:rsid w:val="00992185"/>
    <w:rsid w:val="009C0AB9"/>
    <w:rsid w:val="009C4FD9"/>
    <w:rsid w:val="009C70B1"/>
    <w:rsid w:val="009C70D3"/>
    <w:rsid w:val="009E16AF"/>
    <w:rsid w:val="009E2BDE"/>
    <w:rsid w:val="009E5688"/>
    <w:rsid w:val="009E5EEB"/>
    <w:rsid w:val="009E6911"/>
    <w:rsid w:val="009F019D"/>
    <w:rsid w:val="009F24E8"/>
    <w:rsid w:val="009F2EC1"/>
    <w:rsid w:val="009F51AA"/>
    <w:rsid w:val="00A02142"/>
    <w:rsid w:val="00A108C7"/>
    <w:rsid w:val="00A170B2"/>
    <w:rsid w:val="00A33852"/>
    <w:rsid w:val="00A35239"/>
    <w:rsid w:val="00A37BCD"/>
    <w:rsid w:val="00A47D56"/>
    <w:rsid w:val="00A605DD"/>
    <w:rsid w:val="00A623FC"/>
    <w:rsid w:val="00A71C6D"/>
    <w:rsid w:val="00A73F68"/>
    <w:rsid w:val="00A76FB1"/>
    <w:rsid w:val="00A85BC8"/>
    <w:rsid w:val="00A867F3"/>
    <w:rsid w:val="00A915E4"/>
    <w:rsid w:val="00A920C4"/>
    <w:rsid w:val="00A92E83"/>
    <w:rsid w:val="00A954F0"/>
    <w:rsid w:val="00AA476A"/>
    <w:rsid w:val="00AB0649"/>
    <w:rsid w:val="00AB40A7"/>
    <w:rsid w:val="00AB4CC6"/>
    <w:rsid w:val="00AC0939"/>
    <w:rsid w:val="00AC1C48"/>
    <w:rsid w:val="00AC2164"/>
    <w:rsid w:val="00AC61F1"/>
    <w:rsid w:val="00AD6127"/>
    <w:rsid w:val="00AE2EB4"/>
    <w:rsid w:val="00AE599F"/>
    <w:rsid w:val="00AF556D"/>
    <w:rsid w:val="00AF762A"/>
    <w:rsid w:val="00AF7994"/>
    <w:rsid w:val="00B05F7B"/>
    <w:rsid w:val="00B1084F"/>
    <w:rsid w:val="00B139EF"/>
    <w:rsid w:val="00B24272"/>
    <w:rsid w:val="00B245E1"/>
    <w:rsid w:val="00B26BB4"/>
    <w:rsid w:val="00B4047D"/>
    <w:rsid w:val="00B4695A"/>
    <w:rsid w:val="00B542EC"/>
    <w:rsid w:val="00B64129"/>
    <w:rsid w:val="00B700ED"/>
    <w:rsid w:val="00B77036"/>
    <w:rsid w:val="00B927B5"/>
    <w:rsid w:val="00B947A1"/>
    <w:rsid w:val="00B959C9"/>
    <w:rsid w:val="00BA13F7"/>
    <w:rsid w:val="00BA4274"/>
    <w:rsid w:val="00BA6192"/>
    <w:rsid w:val="00BB052E"/>
    <w:rsid w:val="00BB216A"/>
    <w:rsid w:val="00BC61C6"/>
    <w:rsid w:val="00BC6DEC"/>
    <w:rsid w:val="00BD3CFD"/>
    <w:rsid w:val="00BE3EA6"/>
    <w:rsid w:val="00BE4BE2"/>
    <w:rsid w:val="00C001FA"/>
    <w:rsid w:val="00C06598"/>
    <w:rsid w:val="00C14695"/>
    <w:rsid w:val="00C148C4"/>
    <w:rsid w:val="00C26B14"/>
    <w:rsid w:val="00C33CE8"/>
    <w:rsid w:val="00C34F8C"/>
    <w:rsid w:val="00C408CF"/>
    <w:rsid w:val="00C471C5"/>
    <w:rsid w:val="00C472DF"/>
    <w:rsid w:val="00C63508"/>
    <w:rsid w:val="00C637CD"/>
    <w:rsid w:val="00C658EB"/>
    <w:rsid w:val="00C720BF"/>
    <w:rsid w:val="00C83EAC"/>
    <w:rsid w:val="00C8671F"/>
    <w:rsid w:val="00CB2302"/>
    <w:rsid w:val="00CB4D71"/>
    <w:rsid w:val="00CC304E"/>
    <w:rsid w:val="00CC3C4B"/>
    <w:rsid w:val="00CC4EA7"/>
    <w:rsid w:val="00CD4336"/>
    <w:rsid w:val="00CF0BFA"/>
    <w:rsid w:val="00CF2523"/>
    <w:rsid w:val="00D06105"/>
    <w:rsid w:val="00D068D4"/>
    <w:rsid w:val="00D124DE"/>
    <w:rsid w:val="00D14EB4"/>
    <w:rsid w:val="00D32AB4"/>
    <w:rsid w:val="00D35A68"/>
    <w:rsid w:val="00D37DB4"/>
    <w:rsid w:val="00D4550B"/>
    <w:rsid w:val="00D63642"/>
    <w:rsid w:val="00D66398"/>
    <w:rsid w:val="00D67B96"/>
    <w:rsid w:val="00D70DDB"/>
    <w:rsid w:val="00D76B6E"/>
    <w:rsid w:val="00D85403"/>
    <w:rsid w:val="00D94554"/>
    <w:rsid w:val="00DA12BE"/>
    <w:rsid w:val="00DA4A45"/>
    <w:rsid w:val="00DB0714"/>
    <w:rsid w:val="00DB4780"/>
    <w:rsid w:val="00DB6188"/>
    <w:rsid w:val="00DC7D7F"/>
    <w:rsid w:val="00DD40B1"/>
    <w:rsid w:val="00DD7698"/>
    <w:rsid w:val="00DE1396"/>
    <w:rsid w:val="00DE4923"/>
    <w:rsid w:val="00DF0480"/>
    <w:rsid w:val="00DF20D4"/>
    <w:rsid w:val="00E00D66"/>
    <w:rsid w:val="00E00DE8"/>
    <w:rsid w:val="00E01215"/>
    <w:rsid w:val="00E06BB2"/>
    <w:rsid w:val="00E1119F"/>
    <w:rsid w:val="00E12C36"/>
    <w:rsid w:val="00E16054"/>
    <w:rsid w:val="00E26847"/>
    <w:rsid w:val="00E26E64"/>
    <w:rsid w:val="00E32356"/>
    <w:rsid w:val="00E3501B"/>
    <w:rsid w:val="00E41E05"/>
    <w:rsid w:val="00E4435A"/>
    <w:rsid w:val="00E52BA9"/>
    <w:rsid w:val="00E53FA3"/>
    <w:rsid w:val="00E55F2A"/>
    <w:rsid w:val="00E61C6C"/>
    <w:rsid w:val="00E763D1"/>
    <w:rsid w:val="00E87AB0"/>
    <w:rsid w:val="00E9044D"/>
    <w:rsid w:val="00EA38D2"/>
    <w:rsid w:val="00EA7679"/>
    <w:rsid w:val="00EB36B0"/>
    <w:rsid w:val="00EB3F3B"/>
    <w:rsid w:val="00EB58AB"/>
    <w:rsid w:val="00EC202E"/>
    <w:rsid w:val="00EC5864"/>
    <w:rsid w:val="00ED62D0"/>
    <w:rsid w:val="00EE03F8"/>
    <w:rsid w:val="00EE4B0A"/>
    <w:rsid w:val="00EE5AD2"/>
    <w:rsid w:val="00EE66E1"/>
    <w:rsid w:val="00EF26D1"/>
    <w:rsid w:val="00F0473A"/>
    <w:rsid w:val="00F060B7"/>
    <w:rsid w:val="00F15E9A"/>
    <w:rsid w:val="00F33466"/>
    <w:rsid w:val="00F6234B"/>
    <w:rsid w:val="00F62523"/>
    <w:rsid w:val="00F64FC0"/>
    <w:rsid w:val="00F660E1"/>
    <w:rsid w:val="00F7724D"/>
    <w:rsid w:val="00F77C7F"/>
    <w:rsid w:val="00F83B8E"/>
    <w:rsid w:val="00F84484"/>
    <w:rsid w:val="00F87559"/>
    <w:rsid w:val="00F90645"/>
    <w:rsid w:val="00F91F4A"/>
    <w:rsid w:val="00FA1FC0"/>
    <w:rsid w:val="00FA3107"/>
    <w:rsid w:val="00FA3B8A"/>
    <w:rsid w:val="00FB56D9"/>
    <w:rsid w:val="00FC0ECD"/>
    <w:rsid w:val="00FC28C1"/>
    <w:rsid w:val="00FD2D13"/>
    <w:rsid w:val="00FE02AA"/>
    <w:rsid w:val="00FF1148"/>
    <w:rsid w:val="00FF2C42"/>
    <w:rsid w:val="00FF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A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B8E"/>
    <w:pPr>
      <w:spacing w:line="288" w:lineRule="auto"/>
    </w:pPr>
    <w:rPr>
      <w:rFonts w:ascii="Century Schoolbook" w:hAnsi="Century Schoolbook"/>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D457B"/>
    <w:rPr>
      <w:sz w:val="20"/>
      <w:szCs w:val="20"/>
    </w:rPr>
  </w:style>
  <w:style w:type="character" w:customStyle="1" w:styleId="FootnoteTextChar">
    <w:name w:val="Footnote Text Char"/>
    <w:link w:val="FootnoteText"/>
    <w:uiPriority w:val="99"/>
    <w:semiHidden/>
    <w:rsid w:val="003D457B"/>
    <w:rPr>
      <w:rFonts w:ascii="Century Schoolbook" w:hAnsi="Century Schoolbook"/>
    </w:rPr>
  </w:style>
  <w:style w:type="character" w:styleId="FootnoteReference">
    <w:name w:val="footnote reference"/>
    <w:uiPriority w:val="99"/>
    <w:semiHidden/>
    <w:unhideWhenUsed/>
    <w:rsid w:val="003D457B"/>
    <w:rPr>
      <w:vertAlign w:val="superscript"/>
    </w:rPr>
  </w:style>
  <w:style w:type="paragraph" w:styleId="Header">
    <w:name w:val="header"/>
    <w:basedOn w:val="Normal"/>
    <w:link w:val="HeaderChar"/>
    <w:uiPriority w:val="99"/>
    <w:unhideWhenUsed/>
    <w:rsid w:val="001820BA"/>
    <w:pPr>
      <w:tabs>
        <w:tab w:val="center" w:pos="4680"/>
        <w:tab w:val="right" w:pos="9360"/>
      </w:tabs>
    </w:pPr>
  </w:style>
  <w:style w:type="character" w:customStyle="1" w:styleId="HeaderChar">
    <w:name w:val="Header Char"/>
    <w:link w:val="Header"/>
    <w:uiPriority w:val="99"/>
    <w:rsid w:val="001820BA"/>
    <w:rPr>
      <w:rFonts w:ascii="Century Schoolbook" w:hAnsi="Century Schoolbook"/>
      <w:sz w:val="26"/>
      <w:szCs w:val="22"/>
    </w:rPr>
  </w:style>
  <w:style w:type="paragraph" w:styleId="Footer">
    <w:name w:val="footer"/>
    <w:basedOn w:val="Normal"/>
    <w:link w:val="FooterChar"/>
    <w:uiPriority w:val="99"/>
    <w:unhideWhenUsed/>
    <w:rsid w:val="001820BA"/>
    <w:pPr>
      <w:tabs>
        <w:tab w:val="center" w:pos="4680"/>
        <w:tab w:val="right" w:pos="9360"/>
      </w:tabs>
    </w:pPr>
  </w:style>
  <w:style w:type="character" w:customStyle="1" w:styleId="FooterChar">
    <w:name w:val="Footer Char"/>
    <w:link w:val="Footer"/>
    <w:uiPriority w:val="99"/>
    <w:rsid w:val="001820BA"/>
    <w:rPr>
      <w:rFonts w:ascii="Century Schoolbook" w:hAnsi="Century Schoolbook"/>
      <w:sz w:val="26"/>
      <w:szCs w:val="22"/>
    </w:rPr>
  </w:style>
  <w:style w:type="character" w:styleId="CommentReference">
    <w:name w:val="annotation reference"/>
    <w:uiPriority w:val="99"/>
    <w:semiHidden/>
    <w:unhideWhenUsed/>
    <w:rsid w:val="00B4695A"/>
    <w:rPr>
      <w:sz w:val="16"/>
      <w:szCs w:val="16"/>
    </w:rPr>
  </w:style>
  <w:style w:type="paragraph" w:styleId="CommentText">
    <w:name w:val="annotation text"/>
    <w:basedOn w:val="Normal"/>
    <w:link w:val="CommentTextChar"/>
    <w:uiPriority w:val="99"/>
    <w:semiHidden/>
    <w:unhideWhenUsed/>
    <w:rsid w:val="00B4695A"/>
    <w:rPr>
      <w:sz w:val="20"/>
      <w:szCs w:val="20"/>
    </w:rPr>
  </w:style>
  <w:style w:type="character" w:customStyle="1" w:styleId="CommentTextChar">
    <w:name w:val="Comment Text Char"/>
    <w:link w:val="CommentText"/>
    <w:uiPriority w:val="99"/>
    <w:semiHidden/>
    <w:rsid w:val="00B4695A"/>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B4695A"/>
    <w:rPr>
      <w:b/>
      <w:bCs/>
    </w:rPr>
  </w:style>
  <w:style w:type="character" w:customStyle="1" w:styleId="CommentSubjectChar">
    <w:name w:val="Comment Subject Char"/>
    <w:link w:val="CommentSubject"/>
    <w:uiPriority w:val="99"/>
    <w:semiHidden/>
    <w:rsid w:val="00B4695A"/>
    <w:rPr>
      <w:rFonts w:ascii="Century Schoolbook" w:hAnsi="Century Schoolbook"/>
      <w:b/>
      <w:bCs/>
    </w:rPr>
  </w:style>
  <w:style w:type="paragraph" w:styleId="NormalWeb">
    <w:name w:val="Normal (Web)"/>
    <w:basedOn w:val="Normal"/>
    <w:uiPriority w:val="99"/>
    <w:semiHidden/>
    <w:unhideWhenUsed/>
    <w:rsid w:val="002937AA"/>
    <w:rPr>
      <w:rFonts w:ascii="Times New Roman" w:hAnsi="Times New Roman"/>
      <w:sz w:val="24"/>
      <w:szCs w:val="24"/>
    </w:rPr>
  </w:style>
  <w:style w:type="character" w:styleId="PageNumber">
    <w:name w:val="page number"/>
    <w:basedOn w:val="DefaultParagraphFont"/>
    <w:uiPriority w:val="99"/>
    <w:semiHidden/>
    <w:unhideWhenUsed/>
    <w:rsid w:val="005F1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162497">
      <w:bodyDiv w:val="1"/>
      <w:marLeft w:val="0"/>
      <w:marRight w:val="0"/>
      <w:marTop w:val="0"/>
      <w:marBottom w:val="0"/>
      <w:divBdr>
        <w:top w:val="none" w:sz="0" w:space="0" w:color="auto"/>
        <w:left w:val="none" w:sz="0" w:space="0" w:color="auto"/>
        <w:bottom w:val="none" w:sz="0" w:space="0" w:color="auto"/>
        <w:right w:val="none" w:sz="0" w:space="0" w:color="auto"/>
      </w:divBdr>
    </w:div>
    <w:div w:id="488205743">
      <w:bodyDiv w:val="1"/>
      <w:marLeft w:val="0"/>
      <w:marRight w:val="0"/>
      <w:marTop w:val="0"/>
      <w:marBottom w:val="0"/>
      <w:divBdr>
        <w:top w:val="none" w:sz="0" w:space="0" w:color="auto"/>
        <w:left w:val="none" w:sz="0" w:space="0" w:color="auto"/>
        <w:bottom w:val="none" w:sz="0" w:space="0" w:color="auto"/>
        <w:right w:val="none" w:sz="0" w:space="0" w:color="auto"/>
      </w:divBdr>
    </w:div>
    <w:div w:id="565651324">
      <w:bodyDiv w:val="1"/>
      <w:marLeft w:val="0"/>
      <w:marRight w:val="0"/>
      <w:marTop w:val="0"/>
      <w:marBottom w:val="0"/>
      <w:divBdr>
        <w:top w:val="none" w:sz="0" w:space="0" w:color="auto"/>
        <w:left w:val="none" w:sz="0" w:space="0" w:color="auto"/>
        <w:bottom w:val="none" w:sz="0" w:space="0" w:color="auto"/>
        <w:right w:val="none" w:sz="0" w:space="0" w:color="auto"/>
      </w:divBdr>
    </w:div>
    <w:div w:id="568081825">
      <w:bodyDiv w:val="1"/>
      <w:marLeft w:val="0"/>
      <w:marRight w:val="0"/>
      <w:marTop w:val="0"/>
      <w:marBottom w:val="0"/>
      <w:divBdr>
        <w:top w:val="none" w:sz="0" w:space="0" w:color="auto"/>
        <w:left w:val="none" w:sz="0" w:space="0" w:color="auto"/>
        <w:bottom w:val="none" w:sz="0" w:space="0" w:color="auto"/>
        <w:right w:val="none" w:sz="0" w:space="0" w:color="auto"/>
      </w:divBdr>
    </w:div>
    <w:div w:id="791942750">
      <w:bodyDiv w:val="1"/>
      <w:marLeft w:val="0"/>
      <w:marRight w:val="0"/>
      <w:marTop w:val="0"/>
      <w:marBottom w:val="0"/>
      <w:divBdr>
        <w:top w:val="none" w:sz="0" w:space="0" w:color="auto"/>
        <w:left w:val="none" w:sz="0" w:space="0" w:color="auto"/>
        <w:bottom w:val="none" w:sz="0" w:space="0" w:color="auto"/>
        <w:right w:val="none" w:sz="0" w:space="0" w:color="auto"/>
      </w:divBdr>
    </w:div>
    <w:div w:id="875196411">
      <w:bodyDiv w:val="1"/>
      <w:marLeft w:val="0"/>
      <w:marRight w:val="0"/>
      <w:marTop w:val="0"/>
      <w:marBottom w:val="0"/>
      <w:divBdr>
        <w:top w:val="none" w:sz="0" w:space="0" w:color="auto"/>
        <w:left w:val="none" w:sz="0" w:space="0" w:color="auto"/>
        <w:bottom w:val="none" w:sz="0" w:space="0" w:color="auto"/>
        <w:right w:val="none" w:sz="0" w:space="0" w:color="auto"/>
      </w:divBdr>
    </w:div>
    <w:div w:id="960837882">
      <w:bodyDiv w:val="1"/>
      <w:marLeft w:val="0"/>
      <w:marRight w:val="0"/>
      <w:marTop w:val="0"/>
      <w:marBottom w:val="0"/>
      <w:divBdr>
        <w:top w:val="none" w:sz="0" w:space="0" w:color="auto"/>
        <w:left w:val="none" w:sz="0" w:space="0" w:color="auto"/>
        <w:bottom w:val="none" w:sz="0" w:space="0" w:color="auto"/>
        <w:right w:val="none" w:sz="0" w:space="0" w:color="auto"/>
      </w:divBdr>
    </w:div>
    <w:div w:id="1008867423">
      <w:bodyDiv w:val="1"/>
      <w:marLeft w:val="0"/>
      <w:marRight w:val="0"/>
      <w:marTop w:val="0"/>
      <w:marBottom w:val="0"/>
      <w:divBdr>
        <w:top w:val="none" w:sz="0" w:space="0" w:color="auto"/>
        <w:left w:val="none" w:sz="0" w:space="0" w:color="auto"/>
        <w:bottom w:val="none" w:sz="0" w:space="0" w:color="auto"/>
        <w:right w:val="none" w:sz="0" w:space="0" w:color="auto"/>
      </w:divBdr>
    </w:div>
    <w:div w:id="1155142212">
      <w:bodyDiv w:val="1"/>
      <w:marLeft w:val="0"/>
      <w:marRight w:val="0"/>
      <w:marTop w:val="0"/>
      <w:marBottom w:val="0"/>
      <w:divBdr>
        <w:top w:val="none" w:sz="0" w:space="0" w:color="auto"/>
        <w:left w:val="none" w:sz="0" w:space="0" w:color="auto"/>
        <w:bottom w:val="none" w:sz="0" w:space="0" w:color="auto"/>
        <w:right w:val="none" w:sz="0" w:space="0" w:color="auto"/>
      </w:divBdr>
    </w:div>
    <w:div w:id="1188181196">
      <w:bodyDiv w:val="1"/>
      <w:marLeft w:val="0"/>
      <w:marRight w:val="0"/>
      <w:marTop w:val="0"/>
      <w:marBottom w:val="0"/>
      <w:divBdr>
        <w:top w:val="none" w:sz="0" w:space="0" w:color="auto"/>
        <w:left w:val="none" w:sz="0" w:space="0" w:color="auto"/>
        <w:bottom w:val="none" w:sz="0" w:space="0" w:color="auto"/>
        <w:right w:val="none" w:sz="0" w:space="0" w:color="auto"/>
      </w:divBdr>
    </w:div>
    <w:div w:id="1266227821">
      <w:bodyDiv w:val="1"/>
      <w:marLeft w:val="0"/>
      <w:marRight w:val="0"/>
      <w:marTop w:val="0"/>
      <w:marBottom w:val="0"/>
      <w:divBdr>
        <w:top w:val="none" w:sz="0" w:space="0" w:color="auto"/>
        <w:left w:val="none" w:sz="0" w:space="0" w:color="auto"/>
        <w:bottom w:val="none" w:sz="0" w:space="0" w:color="auto"/>
        <w:right w:val="none" w:sz="0" w:space="0" w:color="auto"/>
      </w:divBdr>
    </w:div>
    <w:div w:id="1356033206">
      <w:bodyDiv w:val="1"/>
      <w:marLeft w:val="0"/>
      <w:marRight w:val="0"/>
      <w:marTop w:val="0"/>
      <w:marBottom w:val="0"/>
      <w:divBdr>
        <w:top w:val="none" w:sz="0" w:space="0" w:color="auto"/>
        <w:left w:val="none" w:sz="0" w:space="0" w:color="auto"/>
        <w:bottom w:val="none" w:sz="0" w:space="0" w:color="auto"/>
        <w:right w:val="none" w:sz="0" w:space="0" w:color="auto"/>
      </w:divBdr>
    </w:div>
    <w:div w:id="1448348620">
      <w:bodyDiv w:val="1"/>
      <w:marLeft w:val="0"/>
      <w:marRight w:val="0"/>
      <w:marTop w:val="0"/>
      <w:marBottom w:val="0"/>
      <w:divBdr>
        <w:top w:val="none" w:sz="0" w:space="0" w:color="auto"/>
        <w:left w:val="none" w:sz="0" w:space="0" w:color="auto"/>
        <w:bottom w:val="none" w:sz="0" w:space="0" w:color="auto"/>
        <w:right w:val="none" w:sz="0" w:space="0" w:color="auto"/>
      </w:divBdr>
    </w:div>
    <w:div w:id="1485393622">
      <w:bodyDiv w:val="1"/>
      <w:marLeft w:val="0"/>
      <w:marRight w:val="0"/>
      <w:marTop w:val="0"/>
      <w:marBottom w:val="0"/>
      <w:divBdr>
        <w:top w:val="none" w:sz="0" w:space="0" w:color="auto"/>
        <w:left w:val="none" w:sz="0" w:space="0" w:color="auto"/>
        <w:bottom w:val="none" w:sz="0" w:space="0" w:color="auto"/>
        <w:right w:val="none" w:sz="0" w:space="0" w:color="auto"/>
      </w:divBdr>
    </w:div>
    <w:div w:id="1563247061">
      <w:bodyDiv w:val="1"/>
      <w:marLeft w:val="0"/>
      <w:marRight w:val="0"/>
      <w:marTop w:val="0"/>
      <w:marBottom w:val="0"/>
      <w:divBdr>
        <w:top w:val="none" w:sz="0" w:space="0" w:color="auto"/>
        <w:left w:val="none" w:sz="0" w:space="0" w:color="auto"/>
        <w:bottom w:val="none" w:sz="0" w:space="0" w:color="auto"/>
        <w:right w:val="none" w:sz="0" w:space="0" w:color="auto"/>
      </w:divBdr>
    </w:div>
    <w:div w:id="207318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02716-A925-4105-9371-1F3E6A0DD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3748</Words>
  <Characters>18650</Characters>
  <Application>Microsoft Office Word</Application>
  <DocSecurity>0</DocSecurity>
  <Lines>424</Lines>
  <Paragraphs>77</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22550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2023-02-24T20:16:00Z</cp:lastPrinted>
  <dcterms:created xsi:type="dcterms:W3CDTF">2023-02-24T20:49:00Z</dcterms:created>
  <dcterms:modified xsi:type="dcterms:W3CDTF">2023-02-24T20:49:00Z</dcterms:modified>
  <cp:category/>
</cp:coreProperties>
</file>