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62C0" w14:textId="77777777" w:rsidR="005B60A1" w:rsidRPr="00B33B00" w:rsidRDefault="00C25CF2" w:rsidP="001D6ABD">
      <w:pPr>
        <w:spacing w:line="240" w:lineRule="auto"/>
        <w:ind w:firstLine="0"/>
        <w:rPr>
          <w:rFonts w:ascii="Times New Roman" w:hAnsi="Times New Roman"/>
          <w:bCs/>
          <w:sz w:val="20"/>
          <w:szCs w:val="20"/>
        </w:rPr>
      </w:pPr>
      <w:bookmarkStart w:id="0" w:name="_Hlk28933685"/>
      <w:bookmarkStart w:id="1" w:name="_Hlk486835812"/>
      <w:r>
        <w:rPr>
          <w:rFonts w:ascii="Times New Roman" w:hAnsi="Times New Roman"/>
          <w:bCs/>
          <w:sz w:val="20"/>
          <w:szCs w:val="20"/>
        </w:rPr>
        <w:t>Filed 10/26/22</w:t>
      </w:r>
    </w:p>
    <w:p w14:paraId="2B4421EA" w14:textId="77777777" w:rsidR="00B12290" w:rsidRPr="00373C11" w:rsidRDefault="00C25CF2" w:rsidP="001D6ABD">
      <w:pPr>
        <w:spacing w:line="240" w:lineRule="auto"/>
        <w:ind w:firstLine="0"/>
        <w:jc w:val="center"/>
        <w:rPr>
          <w:b/>
        </w:rPr>
      </w:pPr>
      <w:r w:rsidRPr="00373C11">
        <w:rPr>
          <w:b/>
        </w:rPr>
        <w:t>CERTIFIED FOR PUBLICATION</w:t>
      </w:r>
    </w:p>
    <w:p w14:paraId="6FD5D064" w14:textId="77777777" w:rsidR="00B12290" w:rsidRPr="00373C11" w:rsidRDefault="00C25CF2" w:rsidP="001D6ABD">
      <w:pPr>
        <w:spacing w:line="240" w:lineRule="auto"/>
        <w:ind w:firstLine="0"/>
        <w:jc w:val="center"/>
        <w:rPr>
          <w:b/>
        </w:rPr>
      </w:pPr>
    </w:p>
    <w:p w14:paraId="78A889FB" w14:textId="77777777" w:rsidR="00B12290" w:rsidRPr="00373C11" w:rsidRDefault="00C25CF2" w:rsidP="001D6ABD">
      <w:pPr>
        <w:spacing w:line="240" w:lineRule="auto"/>
        <w:ind w:firstLine="0"/>
        <w:jc w:val="center"/>
        <w:rPr>
          <w:b/>
        </w:rPr>
      </w:pPr>
    </w:p>
    <w:p w14:paraId="74C2538C" w14:textId="77777777" w:rsidR="00B12290" w:rsidRPr="00373C11" w:rsidRDefault="00C25CF2" w:rsidP="001D6ABD">
      <w:pPr>
        <w:spacing w:line="240" w:lineRule="auto"/>
        <w:ind w:firstLine="0"/>
        <w:jc w:val="center"/>
        <w:rPr>
          <w:b/>
        </w:rPr>
      </w:pPr>
    </w:p>
    <w:p w14:paraId="5E0C1B51" w14:textId="77777777" w:rsidR="00B12290" w:rsidRPr="00373C11" w:rsidRDefault="00C25CF2" w:rsidP="001D6ABD">
      <w:pPr>
        <w:spacing w:line="240" w:lineRule="auto"/>
        <w:ind w:firstLine="0"/>
        <w:jc w:val="center"/>
        <w:rPr>
          <w:b/>
        </w:rPr>
      </w:pPr>
    </w:p>
    <w:p w14:paraId="1180DD34" w14:textId="77777777" w:rsidR="00B12290" w:rsidRPr="00373C11" w:rsidRDefault="00C25CF2" w:rsidP="001D6ABD">
      <w:pPr>
        <w:spacing w:line="240" w:lineRule="auto"/>
        <w:ind w:firstLine="0"/>
        <w:jc w:val="center"/>
        <w:rPr>
          <w:b/>
        </w:rPr>
      </w:pPr>
    </w:p>
    <w:p w14:paraId="17B2C126" w14:textId="77777777" w:rsidR="00B12290" w:rsidRPr="00373C11" w:rsidRDefault="00C25CF2" w:rsidP="0009728A">
      <w:pPr>
        <w:spacing w:line="240" w:lineRule="auto"/>
        <w:ind w:firstLine="0"/>
        <w:jc w:val="center"/>
      </w:pPr>
      <w:r w:rsidRPr="00373C11">
        <w:t>IN THE COURT OF APPEAL OF THE STATE OF CALIFORNIA</w:t>
      </w:r>
    </w:p>
    <w:p w14:paraId="3FA89D8E" w14:textId="77777777" w:rsidR="00B12290" w:rsidRPr="00373C11" w:rsidRDefault="00C25CF2" w:rsidP="0009728A">
      <w:pPr>
        <w:spacing w:line="240" w:lineRule="auto"/>
        <w:ind w:firstLine="0"/>
        <w:jc w:val="center"/>
      </w:pPr>
    </w:p>
    <w:p w14:paraId="42B126C1" w14:textId="77777777" w:rsidR="00B12290" w:rsidRPr="00373C11" w:rsidRDefault="00C25CF2" w:rsidP="0009728A">
      <w:pPr>
        <w:spacing w:line="240" w:lineRule="auto"/>
        <w:ind w:firstLine="0"/>
        <w:jc w:val="center"/>
      </w:pPr>
      <w:r w:rsidRPr="00373C11">
        <w:t>SECOND APPELLATE DISTRICT</w:t>
      </w:r>
    </w:p>
    <w:p w14:paraId="21288F9C" w14:textId="77777777" w:rsidR="00B12290" w:rsidRPr="00373C11" w:rsidRDefault="00C25CF2" w:rsidP="0009728A">
      <w:pPr>
        <w:spacing w:line="240" w:lineRule="auto"/>
        <w:ind w:firstLine="0"/>
        <w:jc w:val="center"/>
      </w:pPr>
    </w:p>
    <w:p w14:paraId="2C1A10D1" w14:textId="77777777" w:rsidR="00B12290" w:rsidRPr="00373C11" w:rsidRDefault="00C25CF2" w:rsidP="0009728A">
      <w:pPr>
        <w:spacing w:line="240" w:lineRule="auto"/>
        <w:ind w:firstLine="0"/>
        <w:jc w:val="center"/>
      </w:pPr>
      <w:r w:rsidRPr="00373C11">
        <w:t>DIVISION FOUR</w:t>
      </w:r>
    </w:p>
    <w:p w14:paraId="7F03DDCA" w14:textId="77777777" w:rsidR="006C2BE3" w:rsidRPr="00373C11" w:rsidRDefault="00C25CF2" w:rsidP="001D6ABD">
      <w:pPr>
        <w:spacing w:line="240" w:lineRule="auto"/>
        <w:ind w:firstLine="0"/>
        <w:jc w:val="center"/>
        <w:rPr>
          <w:rFonts w:eastAsia="Times New Roman"/>
          <w:lang w:bidi="ar-SA"/>
        </w:rPr>
      </w:pPr>
    </w:p>
    <w:p w14:paraId="5260939B" w14:textId="77777777" w:rsidR="006C2BE3" w:rsidRPr="00373C11" w:rsidRDefault="00C25CF2" w:rsidP="001D6ABD">
      <w:pPr>
        <w:spacing w:line="240" w:lineRule="auto"/>
        <w:ind w:firstLine="0"/>
        <w:jc w:val="center"/>
        <w:rPr>
          <w:rFonts w:eastAsia="Times New Roman"/>
          <w:lang w:bidi="ar-SA"/>
        </w:rPr>
      </w:pPr>
    </w:p>
    <w:tbl>
      <w:tblPr>
        <w:tblW w:w="8136" w:type="dxa"/>
        <w:tblLayout w:type="fixed"/>
        <w:tblCellMar>
          <w:left w:w="10" w:type="dxa"/>
          <w:right w:w="10" w:type="dxa"/>
        </w:tblCellMar>
        <w:tblLook w:val="0000" w:firstRow="0" w:lastRow="0" w:firstColumn="0" w:lastColumn="0" w:noHBand="0" w:noVBand="0"/>
      </w:tblPr>
      <w:tblGrid>
        <w:gridCol w:w="4770"/>
        <w:gridCol w:w="3366"/>
      </w:tblGrid>
      <w:tr w:rsidR="001D083A" w14:paraId="7BD74279" w14:textId="77777777" w:rsidTr="000D5A5B">
        <w:tc>
          <w:tcPr>
            <w:tcW w:w="4770" w:type="dxa"/>
            <w:tcBorders>
              <w:bottom w:val="single" w:sz="4" w:space="0" w:color="000000"/>
              <w:right w:val="single" w:sz="4" w:space="0" w:color="000000"/>
            </w:tcBorders>
            <w:shd w:val="clear" w:color="auto" w:fill="auto"/>
            <w:tcMar>
              <w:top w:w="0" w:type="dxa"/>
              <w:left w:w="108" w:type="dxa"/>
              <w:bottom w:w="0" w:type="dxa"/>
              <w:right w:w="108" w:type="dxa"/>
            </w:tcMar>
          </w:tcPr>
          <w:p w14:paraId="5E0B79A6"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 xml:space="preserve">COUNCIL FOR EDUCATION AND RESEARCH ON TOXICS,  </w:t>
            </w:r>
          </w:p>
          <w:p w14:paraId="7946B50F" w14:textId="77777777" w:rsidR="006C2BE3" w:rsidRPr="00373C11" w:rsidRDefault="00C25CF2" w:rsidP="001D6ABD">
            <w:pPr>
              <w:suppressAutoHyphens/>
              <w:autoSpaceDN w:val="0"/>
              <w:spacing w:line="240" w:lineRule="auto"/>
              <w:ind w:firstLine="0"/>
              <w:textAlignment w:val="baseline"/>
              <w:rPr>
                <w:lang w:bidi="ar-SA"/>
              </w:rPr>
            </w:pPr>
          </w:p>
          <w:p w14:paraId="289D05E6"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ab/>
              <w:t>Plaintiff and Appellant,</w:t>
            </w:r>
          </w:p>
          <w:p w14:paraId="2AF80F5D" w14:textId="77777777" w:rsidR="006C2BE3" w:rsidRPr="00373C11" w:rsidRDefault="00C25CF2" w:rsidP="001D6ABD">
            <w:pPr>
              <w:suppressAutoHyphens/>
              <w:autoSpaceDN w:val="0"/>
              <w:spacing w:line="240" w:lineRule="auto"/>
              <w:ind w:firstLine="0"/>
              <w:textAlignment w:val="baseline"/>
              <w:rPr>
                <w:lang w:bidi="ar-SA"/>
              </w:rPr>
            </w:pPr>
          </w:p>
          <w:p w14:paraId="09722F37"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ab/>
              <w:t>v.</w:t>
            </w:r>
          </w:p>
          <w:p w14:paraId="7C8A0EF1" w14:textId="77777777" w:rsidR="006C2BE3" w:rsidRPr="00373C11" w:rsidRDefault="00C25CF2" w:rsidP="001D6ABD">
            <w:pPr>
              <w:suppressAutoHyphens/>
              <w:autoSpaceDN w:val="0"/>
              <w:spacing w:line="240" w:lineRule="auto"/>
              <w:ind w:firstLine="0"/>
              <w:textAlignment w:val="baseline"/>
              <w:rPr>
                <w:lang w:bidi="ar-SA"/>
              </w:rPr>
            </w:pPr>
          </w:p>
          <w:p w14:paraId="576C3C12"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 xml:space="preserve">STARBUCKS CORPORATION et al., </w:t>
            </w:r>
          </w:p>
          <w:p w14:paraId="6E495694" w14:textId="77777777" w:rsidR="006C2BE3" w:rsidRPr="00373C11" w:rsidRDefault="00C25CF2" w:rsidP="001D6ABD">
            <w:pPr>
              <w:suppressAutoHyphens/>
              <w:autoSpaceDN w:val="0"/>
              <w:spacing w:line="240" w:lineRule="auto"/>
              <w:ind w:firstLine="0"/>
              <w:textAlignment w:val="baseline"/>
              <w:rPr>
                <w:lang w:bidi="ar-SA"/>
              </w:rPr>
            </w:pPr>
          </w:p>
          <w:p w14:paraId="0E8B5604"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ab/>
              <w:t>Defendants and</w:t>
            </w:r>
            <w:r w:rsidRPr="00373C11">
              <w:rPr>
                <w:lang w:bidi="ar-SA"/>
              </w:rPr>
              <w:t xml:space="preserve"> </w:t>
            </w:r>
            <w:r w:rsidRPr="00373C11">
              <w:rPr>
                <w:lang w:bidi="ar-SA"/>
              </w:rPr>
              <w:t>Respondents.</w:t>
            </w:r>
          </w:p>
          <w:p w14:paraId="126FA0D0"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 xml:space="preserve"> </w:t>
            </w:r>
          </w:p>
        </w:tc>
        <w:tc>
          <w:tcPr>
            <w:tcW w:w="3366" w:type="dxa"/>
            <w:tcBorders>
              <w:left w:val="single" w:sz="4" w:space="0" w:color="000000"/>
            </w:tcBorders>
            <w:shd w:val="clear" w:color="auto" w:fill="auto"/>
            <w:tcMar>
              <w:top w:w="0" w:type="dxa"/>
              <w:left w:w="108" w:type="dxa"/>
              <w:bottom w:w="0" w:type="dxa"/>
              <w:right w:w="108" w:type="dxa"/>
            </w:tcMar>
          </w:tcPr>
          <w:p w14:paraId="5F78F85E"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 xml:space="preserve">      B309227/B310481</w:t>
            </w:r>
          </w:p>
          <w:p w14:paraId="3EDD1FD1" w14:textId="77777777" w:rsidR="006C2BE3" w:rsidRPr="00373C11" w:rsidRDefault="00C25CF2" w:rsidP="001D6ABD">
            <w:pPr>
              <w:suppressAutoHyphens/>
              <w:autoSpaceDN w:val="0"/>
              <w:spacing w:line="240" w:lineRule="auto"/>
              <w:ind w:firstLine="0"/>
              <w:textAlignment w:val="baseline"/>
              <w:rPr>
                <w:lang w:bidi="ar-SA"/>
              </w:rPr>
            </w:pPr>
          </w:p>
          <w:p w14:paraId="441A5D75"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 xml:space="preserve">      (Los Angeles County</w:t>
            </w:r>
          </w:p>
          <w:p w14:paraId="428024C0"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 xml:space="preserve">      Super. Ct. No. </w:t>
            </w:r>
          </w:p>
          <w:p w14:paraId="490EAC05"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 xml:space="preserve">       BC435759)</w:t>
            </w:r>
          </w:p>
          <w:p w14:paraId="52EA2697" w14:textId="77777777" w:rsidR="006C2BE3" w:rsidRPr="00373C11" w:rsidRDefault="00C25CF2" w:rsidP="001D6ABD">
            <w:pPr>
              <w:suppressAutoHyphens/>
              <w:autoSpaceDN w:val="0"/>
              <w:spacing w:line="240" w:lineRule="auto"/>
              <w:ind w:firstLine="0"/>
              <w:textAlignment w:val="baseline"/>
              <w:rPr>
                <w:lang w:bidi="ar-SA"/>
              </w:rPr>
            </w:pPr>
            <w:r w:rsidRPr="00373C11">
              <w:rPr>
                <w:lang w:bidi="ar-SA"/>
              </w:rPr>
              <w:t xml:space="preserve">       </w:t>
            </w:r>
          </w:p>
        </w:tc>
      </w:tr>
      <w:bookmarkEnd w:id="0"/>
    </w:tbl>
    <w:p w14:paraId="0C1E1113" w14:textId="77777777" w:rsidR="006C2BE3" w:rsidRPr="00373C11" w:rsidRDefault="00C25CF2" w:rsidP="00E81151">
      <w:pPr>
        <w:spacing w:line="288" w:lineRule="auto"/>
        <w:ind w:firstLine="0"/>
        <w:rPr>
          <w:rFonts w:eastAsia="Times New Roman"/>
          <w:lang w:bidi="ar-SA"/>
        </w:rPr>
      </w:pPr>
    </w:p>
    <w:p w14:paraId="7881B5C7" w14:textId="77777777" w:rsidR="006C2BE3" w:rsidRPr="00373C11" w:rsidRDefault="00C25CF2" w:rsidP="00E81151">
      <w:pPr>
        <w:spacing w:line="288" w:lineRule="auto"/>
        <w:ind w:firstLine="0"/>
        <w:rPr>
          <w:rFonts w:eastAsia="Times New Roman"/>
          <w:lang w:bidi="ar-SA"/>
        </w:rPr>
      </w:pPr>
      <w:r w:rsidRPr="00373C11">
        <w:rPr>
          <w:rFonts w:eastAsia="Times New Roman"/>
          <w:lang w:bidi="ar-SA"/>
        </w:rPr>
        <w:tab/>
        <w:t>APPEAL</w:t>
      </w:r>
      <w:r w:rsidRPr="00373C11">
        <w:rPr>
          <w:rFonts w:eastAsia="Times New Roman"/>
          <w:lang w:bidi="ar-SA"/>
        </w:rPr>
        <w:t>S</w:t>
      </w:r>
      <w:r w:rsidRPr="00373C11">
        <w:rPr>
          <w:rFonts w:eastAsia="Times New Roman"/>
          <w:lang w:bidi="ar-SA"/>
        </w:rPr>
        <w:t xml:space="preserve"> from a</w:t>
      </w:r>
      <w:r w:rsidRPr="00373C11">
        <w:rPr>
          <w:rFonts w:eastAsia="Times New Roman"/>
          <w:lang w:bidi="ar-SA"/>
        </w:rPr>
        <w:t xml:space="preserve"> judgment and </w:t>
      </w:r>
      <w:r w:rsidRPr="00373C11">
        <w:rPr>
          <w:rFonts w:eastAsia="Times New Roman"/>
          <w:lang w:bidi="ar-SA"/>
        </w:rPr>
        <w:t>order</w:t>
      </w:r>
      <w:r w:rsidRPr="00373C11">
        <w:rPr>
          <w:rFonts w:eastAsia="Times New Roman"/>
          <w:lang w:bidi="ar-SA"/>
        </w:rPr>
        <w:t>s</w:t>
      </w:r>
      <w:r w:rsidRPr="00373C11">
        <w:rPr>
          <w:rFonts w:eastAsia="Times New Roman"/>
          <w:lang w:bidi="ar-SA"/>
        </w:rPr>
        <w:t xml:space="preserve"> of the Superior Court of Los Angeles County, Elihu M. Berle, Judge.  </w:t>
      </w:r>
      <w:r w:rsidRPr="00373C11">
        <w:rPr>
          <w:rFonts w:eastAsia="Times New Roman"/>
          <w:lang w:bidi="ar-SA"/>
        </w:rPr>
        <w:t>Affirmed in part and reversed in part.</w:t>
      </w:r>
    </w:p>
    <w:p w14:paraId="2327961F" w14:textId="77777777" w:rsidR="006C2BE3" w:rsidRPr="00373C11" w:rsidRDefault="00C25CF2" w:rsidP="00E81151">
      <w:pPr>
        <w:spacing w:line="288" w:lineRule="auto"/>
        <w:ind w:firstLine="0"/>
        <w:rPr>
          <w:rFonts w:eastAsia="Times New Roman"/>
          <w:lang w:bidi="ar-SA"/>
        </w:rPr>
      </w:pPr>
      <w:r w:rsidRPr="00373C11">
        <w:rPr>
          <w:rFonts w:eastAsia="Times New Roman"/>
          <w:lang w:bidi="ar-SA"/>
        </w:rPr>
        <w:lastRenderedPageBreak/>
        <w:tab/>
      </w:r>
      <w:bookmarkEnd w:id="1"/>
      <w:r w:rsidRPr="00373C11">
        <w:rPr>
          <w:rFonts w:eastAsia="Times New Roman"/>
          <w:lang w:bidi="ar-SA"/>
        </w:rPr>
        <w:t xml:space="preserve">Metzger Law Group, Raphael Metzger and Scott P. Brust for Plaintiff and Appellant </w:t>
      </w:r>
      <w:r w:rsidRPr="00373C11">
        <w:rPr>
          <w:lang w:bidi="ar-SA"/>
        </w:rPr>
        <w:t xml:space="preserve">Council </w:t>
      </w:r>
      <w:r w:rsidRPr="00373C11">
        <w:rPr>
          <w:lang w:bidi="ar-SA"/>
        </w:rPr>
        <w:t>f</w:t>
      </w:r>
      <w:r w:rsidRPr="00373C11">
        <w:rPr>
          <w:lang w:bidi="ar-SA"/>
        </w:rPr>
        <w:t xml:space="preserve">or Education and Research </w:t>
      </w:r>
      <w:r w:rsidRPr="00373C11">
        <w:rPr>
          <w:lang w:bidi="ar-SA"/>
        </w:rPr>
        <w:t xml:space="preserve">on </w:t>
      </w:r>
      <w:r w:rsidRPr="00373C11">
        <w:rPr>
          <w:lang w:bidi="ar-SA"/>
        </w:rPr>
        <w:t>Toxics.</w:t>
      </w:r>
    </w:p>
    <w:p w14:paraId="40B6DC6F" w14:textId="77777777" w:rsidR="006C2BE3" w:rsidRPr="00373C11" w:rsidRDefault="00C25CF2" w:rsidP="00E81151">
      <w:pPr>
        <w:spacing w:line="288" w:lineRule="auto"/>
        <w:ind w:firstLine="0"/>
        <w:rPr>
          <w:rFonts w:eastAsia="Times New Roman"/>
          <w:lang w:bidi="ar-SA"/>
        </w:rPr>
      </w:pPr>
      <w:r w:rsidRPr="00373C11">
        <w:rPr>
          <w:rFonts w:eastAsia="Times New Roman"/>
          <w:lang w:bidi="ar-SA"/>
        </w:rPr>
        <w:tab/>
        <w:t>Gibson, Dunn &amp; Crutcher, Daniel M. Kolkey, Theodore J. Boutrous, Jr., Patrick W. Dennis, Perlette M. Jura, Blaine H. Evanson an</w:t>
      </w:r>
      <w:r w:rsidRPr="00373C11">
        <w:rPr>
          <w:rFonts w:eastAsia="Times New Roman"/>
          <w:lang w:bidi="ar-SA"/>
        </w:rPr>
        <w:t xml:space="preserve">d Alexander P. Swanson; Morrison &amp; Foerster and James Schurz for Defendants and Respondents </w:t>
      </w:r>
      <w:r w:rsidRPr="00373C11">
        <w:rPr>
          <w:rFonts w:eastAsia="Times New Roman"/>
          <w:lang w:bidi="ar-SA"/>
        </w:rPr>
        <w:t>Apffels Coffee, Inc.; Quarter G, Inc.; Brad Barry Company, Ltd.; Caffe Calabria; Caffe Ibis, Inc.; Caribou Coffee Company, Inc.; Cascade Coffee, Inc.; Central Coast</w:t>
      </w:r>
      <w:r w:rsidRPr="00373C11">
        <w:rPr>
          <w:rFonts w:eastAsia="Times New Roman"/>
          <w:lang w:bidi="ar-SA"/>
        </w:rPr>
        <w:t xml:space="preserve"> Coffee Roasting Co., Inc.; The Coca Cola Company; Coffee Bean International, Inc.; Coffee Roasters of Arizona, Inc.; Community Coffee Company, Inc.; Copper Moon Coffee, LLC; Dona Mireya, Inc.; Eight O’Clock Coffee Company; Equator Coffee &amp; Teas; F. Gavina</w:t>
      </w:r>
      <w:r w:rsidRPr="00373C11">
        <w:rPr>
          <w:rFonts w:eastAsia="Times New Roman"/>
          <w:lang w:bidi="ar-SA"/>
        </w:rPr>
        <w:t xml:space="preserve"> &amp; Sons, Inc.; Falcon Trading Company, Inc.; Godiva Chocolatier, Inc.; Gold Medal Products Co.; Illy Caffe North America, Inc.; Intelligentsia Coffee &amp; Tea, Inc.; International Coffee &amp; Tea, LLC; James C. Cannell Coffees, Inc.; JBR, Inc.; The J.M. Smucker </w:t>
      </w:r>
      <w:r w:rsidRPr="00373C11">
        <w:rPr>
          <w:rFonts w:eastAsia="Times New Roman"/>
          <w:lang w:bidi="ar-SA"/>
        </w:rPr>
        <w:t>Company; Kauai Coffee Company LLC; Keurig Dr Pepper; The Kraft Heinz Company; Lavazza Premium Coffees Corp.; Massimo Zanetti Beverage USA, Inc.; Mayorga Coffee, LLC; Melitta U.S.A., Inc.; Montana Coffee Traders, Inc.; Mother Parkers Tea &amp; Coffee, Inc.; Nap</w:t>
      </w:r>
      <w:r w:rsidRPr="00373C11">
        <w:rPr>
          <w:rFonts w:eastAsia="Times New Roman"/>
          <w:lang w:bidi="ar-SA"/>
        </w:rPr>
        <w:t>a Valley Coffee Roasting Company, LLC; Nestle USA, Inc.; New England Partnership, Inc.; Paradise Beverages, Inc.; Peerless Coffee Co., Inc.; Peet’s Operating Company, Inc.; Quartermaine Coffee Roasters; Regal Commodities; Rowland Coffee Roasters, Inc.; S &amp;</w:t>
      </w:r>
      <w:r w:rsidRPr="00373C11">
        <w:rPr>
          <w:rFonts w:eastAsia="Times New Roman"/>
          <w:lang w:bidi="ar-SA"/>
        </w:rPr>
        <w:t xml:space="preserve"> D Coffee, </w:t>
      </w:r>
      <w:r w:rsidRPr="00373C11">
        <w:rPr>
          <w:rFonts w:eastAsia="Times New Roman"/>
          <w:lang w:bidi="ar-SA"/>
        </w:rPr>
        <w:lastRenderedPageBreak/>
        <w:t>Inc.; Sara Lee Corporation; Smucker Foodservice, Inc.; Southern Wine and Spirits of America, Inc.; Starbucks Corporation; Starbucks Holding Company; Steep &amp; Brew, Inc.; Verve Pacific Avenue Café, LLC; Victor Allen’s Coffee, LLC; Vilore Foods Com</w:t>
      </w:r>
      <w:r w:rsidRPr="00373C11">
        <w:rPr>
          <w:rFonts w:eastAsia="Times New Roman"/>
          <w:lang w:bidi="ar-SA"/>
        </w:rPr>
        <w:t xml:space="preserve">pany, Inc.; </w:t>
      </w:r>
      <w:r w:rsidRPr="00373C11">
        <w:rPr>
          <w:rFonts w:eastAsia="Times New Roman"/>
          <w:lang w:bidi="ar-SA"/>
        </w:rPr>
        <w:t xml:space="preserve">and </w:t>
      </w:r>
      <w:r w:rsidRPr="00373C11">
        <w:rPr>
          <w:rFonts w:eastAsia="Times New Roman"/>
          <w:lang w:bidi="ar-SA"/>
        </w:rPr>
        <w:t>Zavida Coffee Company, Inc.</w:t>
      </w:r>
    </w:p>
    <w:p w14:paraId="42335881" w14:textId="77777777" w:rsidR="006C2BE3" w:rsidRPr="00373C11" w:rsidRDefault="00C25CF2" w:rsidP="00E81151">
      <w:pPr>
        <w:spacing w:line="288" w:lineRule="auto"/>
        <w:ind w:firstLine="0"/>
        <w:rPr>
          <w:rFonts w:eastAsia="Times New Roman"/>
          <w:lang w:bidi="ar-SA"/>
        </w:rPr>
      </w:pPr>
      <w:r w:rsidRPr="00373C11">
        <w:rPr>
          <w:rFonts w:eastAsia="Times New Roman"/>
          <w:lang w:bidi="ar-SA"/>
        </w:rPr>
        <w:tab/>
        <w:t>Varner &amp; Brandt, Richard D. Marca</w:t>
      </w:r>
      <w:r w:rsidRPr="00373C11">
        <w:rPr>
          <w:rFonts w:eastAsia="Times New Roman"/>
          <w:lang w:bidi="ar-SA"/>
        </w:rPr>
        <w:t>,</w:t>
      </w:r>
      <w:r w:rsidRPr="00373C11">
        <w:rPr>
          <w:rFonts w:eastAsia="Times New Roman"/>
          <w:lang w:bidi="ar-SA"/>
        </w:rPr>
        <w:t xml:space="preserve"> and Angelica Acosta Samaniego for Defendant and Respondent Stater Bros Markets.</w:t>
      </w:r>
    </w:p>
    <w:p w14:paraId="46D71FF5" w14:textId="77777777" w:rsidR="006C2BE3" w:rsidRPr="00373C11" w:rsidRDefault="00C25CF2" w:rsidP="00E81151">
      <w:pPr>
        <w:spacing w:line="288" w:lineRule="auto"/>
        <w:rPr>
          <w:rFonts w:eastAsia="Times New Roman"/>
          <w:lang w:bidi="ar-SA"/>
        </w:rPr>
      </w:pPr>
      <w:r w:rsidRPr="00373C11">
        <w:rPr>
          <w:rFonts w:eastAsia="Times New Roman"/>
          <w:lang w:bidi="ar-SA"/>
        </w:rPr>
        <w:t>O’Melveny &amp; Myers, Dawn Sestito, Adam Levine</w:t>
      </w:r>
      <w:r w:rsidRPr="00373C11">
        <w:rPr>
          <w:rFonts w:eastAsia="Times New Roman"/>
          <w:lang w:bidi="ar-SA"/>
        </w:rPr>
        <w:t>,</w:t>
      </w:r>
      <w:r w:rsidRPr="00373C11">
        <w:rPr>
          <w:rFonts w:eastAsia="Times New Roman"/>
          <w:lang w:bidi="ar-SA"/>
        </w:rPr>
        <w:t xml:space="preserve"> and Kate Ikehara for Defendants and Respondents Trader Joe’s Company and Mountanos Brothers Coffee Company.</w:t>
      </w:r>
    </w:p>
    <w:p w14:paraId="45F1E4B4" w14:textId="77777777" w:rsidR="006C2BE3" w:rsidRPr="00373C11" w:rsidRDefault="00C25CF2" w:rsidP="00E81151">
      <w:pPr>
        <w:spacing w:line="288" w:lineRule="auto"/>
        <w:rPr>
          <w:rFonts w:eastAsia="Times New Roman"/>
          <w:lang w:bidi="ar-SA"/>
        </w:rPr>
      </w:pPr>
      <w:r w:rsidRPr="00373C11">
        <w:rPr>
          <w:rFonts w:eastAsia="Times New Roman"/>
          <w:lang w:bidi="ar-SA"/>
        </w:rPr>
        <w:t xml:space="preserve">Blaxter Blackman </w:t>
      </w:r>
      <w:r w:rsidRPr="00373C11">
        <w:rPr>
          <w:rFonts w:eastAsia="Times New Roman"/>
          <w:lang w:bidi="ar-SA"/>
        </w:rPr>
        <w:t xml:space="preserve">and </w:t>
      </w:r>
      <w:r w:rsidRPr="00373C11">
        <w:rPr>
          <w:rFonts w:eastAsia="Times New Roman"/>
          <w:lang w:bidi="ar-SA"/>
        </w:rPr>
        <w:t xml:space="preserve">J.T. Wells Blaxter for Defendants and Respondents Whole Foods Market California, Inc.; Allegro Coffee Company. </w:t>
      </w:r>
    </w:p>
    <w:p w14:paraId="6BDF9A0A" w14:textId="77777777" w:rsidR="006C2BE3" w:rsidRPr="00373C11" w:rsidRDefault="00C25CF2" w:rsidP="00E81151">
      <w:pPr>
        <w:spacing w:line="288" w:lineRule="auto"/>
        <w:rPr>
          <w:rFonts w:eastAsia="Times New Roman"/>
          <w:lang w:bidi="ar-SA"/>
        </w:rPr>
      </w:pPr>
      <w:r w:rsidRPr="00373C11">
        <w:rPr>
          <w:rFonts w:eastAsia="Times New Roman"/>
          <w:lang w:bidi="ar-SA"/>
        </w:rPr>
        <w:t>Bryan Cave Lei</w:t>
      </w:r>
      <w:r w:rsidRPr="00373C11">
        <w:rPr>
          <w:rFonts w:eastAsia="Times New Roman"/>
          <w:lang w:bidi="ar-SA"/>
        </w:rPr>
        <w:t>ghton Paisner</w:t>
      </w:r>
      <w:r w:rsidRPr="00373C11">
        <w:rPr>
          <w:rFonts w:eastAsia="Times New Roman"/>
          <w:lang w:bidi="ar-SA"/>
        </w:rPr>
        <w:t xml:space="preserve"> and</w:t>
      </w:r>
      <w:r w:rsidRPr="00373C11">
        <w:rPr>
          <w:rFonts w:eastAsia="Times New Roman"/>
          <w:lang w:bidi="ar-SA"/>
        </w:rPr>
        <w:t xml:space="preserve"> Megan Irwin for Defendant and Respondent Kerry Inc.</w:t>
      </w:r>
    </w:p>
    <w:p w14:paraId="7C256ADD" w14:textId="77777777" w:rsidR="006C2BE3" w:rsidRPr="00373C11" w:rsidRDefault="00C25CF2" w:rsidP="00E81151">
      <w:pPr>
        <w:spacing w:line="288" w:lineRule="auto"/>
        <w:rPr>
          <w:rFonts w:eastAsia="Times New Roman"/>
          <w:lang w:bidi="ar-SA"/>
        </w:rPr>
      </w:pPr>
      <w:r w:rsidRPr="00373C11">
        <w:rPr>
          <w:rFonts w:eastAsia="Times New Roman"/>
          <w:lang w:bidi="ar-SA"/>
        </w:rPr>
        <w:t>Aronowitz Skidmore Lyon, Lawrence E. Skidmore Kathleen C. Lyon,</w:t>
      </w:r>
      <w:r w:rsidRPr="00373C11">
        <w:rPr>
          <w:rFonts w:eastAsia="Times New Roman"/>
          <w:lang w:bidi="ar-SA"/>
        </w:rPr>
        <w:t xml:space="preserve"> and</w:t>
      </w:r>
      <w:r w:rsidRPr="00373C11">
        <w:rPr>
          <w:rFonts w:eastAsia="Times New Roman"/>
          <w:lang w:bidi="ar-SA"/>
        </w:rPr>
        <w:t xml:space="preserve"> Erin J. Tognetti for Defendant and Respondent L. Paul Phillips.</w:t>
      </w:r>
    </w:p>
    <w:p w14:paraId="42819C97" w14:textId="77777777" w:rsidR="006C2BE3" w:rsidRPr="00373C11" w:rsidRDefault="00C25CF2" w:rsidP="00E81151">
      <w:pPr>
        <w:spacing w:line="288" w:lineRule="auto"/>
        <w:rPr>
          <w:rFonts w:eastAsia="Times New Roman"/>
          <w:lang w:bidi="ar-SA"/>
        </w:rPr>
      </w:pPr>
      <w:r w:rsidRPr="00373C11">
        <w:rPr>
          <w:rFonts w:eastAsia="Times New Roman"/>
          <w:lang w:bidi="ar-SA"/>
        </w:rPr>
        <w:t>Arnold &amp; Porter Kaye Scholer, Trenton H. Norris and Br</w:t>
      </w:r>
      <w:r w:rsidRPr="00373C11">
        <w:rPr>
          <w:rFonts w:eastAsia="Times New Roman"/>
          <w:lang w:bidi="ar-SA"/>
        </w:rPr>
        <w:t>ian K. Condon for Defendant and Respondent Dunkin’ Brands, Inc.</w:t>
      </w:r>
    </w:p>
    <w:p w14:paraId="016133E3" w14:textId="77777777" w:rsidR="006C2BE3" w:rsidRPr="00373C11" w:rsidRDefault="00C25CF2" w:rsidP="00E81151">
      <w:pPr>
        <w:spacing w:line="288" w:lineRule="auto"/>
        <w:rPr>
          <w:rFonts w:eastAsia="Times New Roman"/>
          <w:lang w:bidi="ar-SA"/>
        </w:rPr>
      </w:pPr>
      <w:r w:rsidRPr="00373C11">
        <w:rPr>
          <w:rFonts w:eastAsia="Times New Roman"/>
          <w:lang w:bidi="ar-SA"/>
        </w:rPr>
        <w:t>Rogers Joseph O’</w:t>
      </w:r>
      <w:r w:rsidRPr="00373C11">
        <w:rPr>
          <w:rFonts w:eastAsia="Times New Roman"/>
          <w:lang w:bidi="ar-SA"/>
        </w:rPr>
        <w:t>D</w:t>
      </w:r>
      <w:r w:rsidRPr="00373C11">
        <w:rPr>
          <w:rFonts w:eastAsia="Times New Roman"/>
          <w:lang w:bidi="ar-SA"/>
        </w:rPr>
        <w:t>onnell, Renee D. Wasserman</w:t>
      </w:r>
      <w:r w:rsidRPr="00373C11">
        <w:rPr>
          <w:rFonts w:eastAsia="Times New Roman"/>
          <w:lang w:bidi="ar-SA"/>
        </w:rPr>
        <w:t>,</w:t>
      </w:r>
      <w:r w:rsidRPr="00373C11">
        <w:rPr>
          <w:rFonts w:eastAsia="Times New Roman"/>
          <w:lang w:bidi="ar-SA"/>
        </w:rPr>
        <w:t xml:space="preserve"> </w:t>
      </w:r>
      <w:r w:rsidRPr="00373C11">
        <w:rPr>
          <w:rFonts w:eastAsia="Times New Roman"/>
          <w:lang w:bidi="ar-SA"/>
        </w:rPr>
        <w:t xml:space="preserve">and </w:t>
      </w:r>
      <w:r w:rsidRPr="00373C11">
        <w:rPr>
          <w:rFonts w:eastAsia="Times New Roman"/>
          <w:lang w:bidi="ar-SA"/>
        </w:rPr>
        <w:t xml:space="preserve">Alecia Cotton for Defendants and Respondents Costco Wholesale Corporation and Bristol Farms </w:t>
      </w:r>
    </w:p>
    <w:p w14:paraId="09103594" w14:textId="77777777" w:rsidR="006C2BE3" w:rsidRPr="00373C11" w:rsidRDefault="00C25CF2" w:rsidP="00E81151">
      <w:pPr>
        <w:spacing w:line="288" w:lineRule="auto"/>
        <w:rPr>
          <w:rFonts w:eastAsia="Times New Roman"/>
          <w:lang w:bidi="ar-SA"/>
        </w:rPr>
      </w:pPr>
      <w:r w:rsidRPr="00373C11">
        <w:rPr>
          <w:rFonts w:eastAsia="Times New Roman"/>
          <w:lang w:bidi="ar-SA"/>
        </w:rPr>
        <w:lastRenderedPageBreak/>
        <w:t>Nixon Peabody, Gregory P. O’Hara and Lauren M. Mic</w:t>
      </w:r>
      <w:r w:rsidRPr="00373C11">
        <w:rPr>
          <w:rFonts w:eastAsia="Times New Roman"/>
          <w:lang w:bidi="ar-SA"/>
        </w:rPr>
        <w:t>hals for Defendants and Respondents Ralphs Grocery Company and The Kroger Co.</w:t>
      </w:r>
    </w:p>
    <w:p w14:paraId="4DE42564" w14:textId="77777777" w:rsidR="006C2BE3" w:rsidRPr="00373C11" w:rsidRDefault="00C25CF2" w:rsidP="00E81151">
      <w:pPr>
        <w:spacing w:line="288" w:lineRule="auto"/>
        <w:rPr>
          <w:rFonts w:eastAsia="Times New Roman"/>
          <w:lang w:bidi="ar-SA"/>
        </w:rPr>
      </w:pPr>
      <w:r w:rsidRPr="00373C11">
        <w:rPr>
          <w:rFonts w:eastAsia="Times New Roman"/>
          <w:lang w:bidi="ar-SA"/>
        </w:rPr>
        <w:t>Norton, Rose Fulbright U</w:t>
      </w:r>
      <w:r w:rsidRPr="00373C11">
        <w:rPr>
          <w:rFonts w:eastAsia="Times New Roman"/>
          <w:lang w:bidi="ar-SA"/>
        </w:rPr>
        <w:t>S</w:t>
      </w:r>
      <w:r w:rsidRPr="00373C11">
        <w:rPr>
          <w:rFonts w:eastAsia="Times New Roman"/>
          <w:lang w:bidi="ar-SA"/>
        </w:rPr>
        <w:t xml:space="preserve">, Jeffrey B. Margulies, </w:t>
      </w:r>
      <w:r w:rsidRPr="00373C11">
        <w:rPr>
          <w:rFonts w:eastAsia="Times New Roman"/>
          <w:lang w:bidi="ar-SA"/>
        </w:rPr>
        <w:t xml:space="preserve">and </w:t>
      </w:r>
      <w:r w:rsidRPr="00373C11">
        <w:rPr>
          <w:rFonts w:eastAsia="Times New Roman"/>
          <w:lang w:bidi="ar-SA"/>
        </w:rPr>
        <w:t>Lauren Shoor for Defendants and Respondents Target Corporation; Safeway Inc.; Albertsons LLC; Sprouts Farmers Markets LLC; Re</w:t>
      </w:r>
      <w:r w:rsidRPr="00373C11">
        <w:rPr>
          <w:rFonts w:eastAsia="Times New Roman"/>
          <w:lang w:bidi="ar-SA"/>
        </w:rPr>
        <w:t xml:space="preserve">ily Foods Company; H.N. Fernandez, Inc. </w:t>
      </w:r>
    </w:p>
    <w:p w14:paraId="447B3C44" w14:textId="77777777" w:rsidR="006C2BE3" w:rsidRPr="00373C11" w:rsidRDefault="00C25CF2" w:rsidP="00E81151">
      <w:pPr>
        <w:spacing w:line="288" w:lineRule="auto"/>
        <w:rPr>
          <w:rFonts w:eastAsia="Times New Roman"/>
          <w:lang w:bidi="ar-SA"/>
        </w:rPr>
      </w:pPr>
      <w:r w:rsidRPr="00373C11">
        <w:rPr>
          <w:rFonts w:eastAsia="Times New Roman"/>
          <w:lang w:bidi="ar-SA"/>
        </w:rPr>
        <w:t>Pillsbury Winthrop Shaw Pittman, Thomas L. Van Wyngarden</w:t>
      </w:r>
      <w:r w:rsidRPr="00373C11">
        <w:rPr>
          <w:rFonts w:eastAsia="Times New Roman"/>
          <w:lang w:bidi="ar-SA"/>
        </w:rPr>
        <w:t>,</w:t>
      </w:r>
      <w:r w:rsidRPr="00373C11">
        <w:rPr>
          <w:rFonts w:eastAsia="Times New Roman"/>
          <w:lang w:bidi="ar-SA"/>
        </w:rPr>
        <w:t xml:space="preserve"> and Stephanie Angkadjaja for Defendants and Respondents Wal-Mart Stores, Inc. and Sam’s West, Inc.</w:t>
      </w:r>
    </w:p>
    <w:p w14:paraId="46C3D113" w14:textId="77777777" w:rsidR="0022766A" w:rsidRPr="00373C11" w:rsidRDefault="00C25CF2" w:rsidP="00E81151">
      <w:pPr>
        <w:spacing w:line="288" w:lineRule="auto"/>
        <w:rPr>
          <w:rFonts w:eastAsia="Times New Roman"/>
          <w:lang w:bidi="ar-SA"/>
        </w:rPr>
      </w:pPr>
      <w:r w:rsidRPr="00373C11">
        <w:rPr>
          <w:rFonts w:eastAsia="Times New Roman"/>
          <w:lang w:bidi="ar-SA"/>
        </w:rPr>
        <w:t>Rob Bonta, Attorney General, Edward H. Ochoa, Senior Assis</w:t>
      </w:r>
      <w:r w:rsidRPr="00373C11">
        <w:rPr>
          <w:rFonts w:eastAsia="Times New Roman"/>
          <w:lang w:bidi="ar-SA"/>
        </w:rPr>
        <w:t xml:space="preserve">tant Attorney General, </w:t>
      </w:r>
      <w:r w:rsidRPr="00373C11">
        <w:rPr>
          <w:rFonts w:eastAsia="Times New Roman"/>
          <w:lang w:bidi="ar-SA"/>
        </w:rPr>
        <w:t xml:space="preserve">and </w:t>
      </w:r>
      <w:r w:rsidRPr="00373C11">
        <w:rPr>
          <w:rFonts w:eastAsia="Times New Roman"/>
          <w:lang w:bidi="ar-SA"/>
        </w:rPr>
        <w:t>Laura J. Zuckerman and Tatiana K. Gaur, Deputy Attorneys General, for California Office of Environmental Health Hazard Assessment as Amicus Curiae</w:t>
      </w:r>
      <w:r w:rsidRPr="00373C11">
        <w:rPr>
          <w:lang w:bidi="ar-SA"/>
        </w:rPr>
        <w:t>.</w:t>
      </w:r>
    </w:p>
    <w:p w14:paraId="61388D9B" w14:textId="77777777" w:rsidR="006C2BE3" w:rsidRPr="00373C11" w:rsidRDefault="00C25CF2" w:rsidP="00E81151">
      <w:pPr>
        <w:spacing w:line="288" w:lineRule="auto"/>
        <w:ind w:firstLine="0"/>
        <w:rPr>
          <w:b/>
        </w:rPr>
      </w:pPr>
    </w:p>
    <w:p w14:paraId="519D6CFE" w14:textId="77777777" w:rsidR="0072472E" w:rsidRPr="00373C11" w:rsidRDefault="00C25CF2" w:rsidP="00E81151">
      <w:pPr>
        <w:spacing w:line="288" w:lineRule="auto"/>
        <w:ind w:firstLine="0"/>
        <w:rPr>
          <w:b/>
        </w:rPr>
      </w:pPr>
      <w:r w:rsidRPr="00373C11">
        <w:rPr>
          <w:b/>
        </w:rPr>
        <w:tab/>
      </w:r>
      <w:r w:rsidRPr="00373C11">
        <w:rPr>
          <w:b/>
        </w:rPr>
        <w:tab/>
      </w:r>
      <w:r w:rsidRPr="00373C11">
        <w:rPr>
          <w:b/>
        </w:rPr>
        <w:t>_____________________________________________</w:t>
      </w:r>
    </w:p>
    <w:p w14:paraId="1F6B2584" w14:textId="77777777" w:rsidR="0072472E" w:rsidRPr="00373C11" w:rsidRDefault="00C25CF2" w:rsidP="00E81151">
      <w:pPr>
        <w:spacing w:line="288" w:lineRule="auto"/>
        <w:ind w:firstLine="0"/>
        <w:rPr>
          <w:b/>
        </w:rPr>
      </w:pPr>
    </w:p>
    <w:p w14:paraId="6C8AF93D" w14:textId="77777777" w:rsidR="0044672D" w:rsidRPr="00373C11" w:rsidRDefault="00C25CF2" w:rsidP="00E81151">
      <w:pPr>
        <w:keepNext/>
        <w:spacing w:after="120" w:line="288" w:lineRule="auto"/>
        <w:ind w:firstLine="0"/>
        <w:jc w:val="center"/>
        <w:outlineLvl w:val="0"/>
        <w:rPr>
          <w:b/>
        </w:rPr>
      </w:pPr>
      <w:r w:rsidRPr="00373C11">
        <w:rPr>
          <w:b/>
        </w:rPr>
        <w:t>INTRODUCTION</w:t>
      </w:r>
    </w:p>
    <w:p w14:paraId="2A889385" w14:textId="77777777" w:rsidR="005E2BB8" w:rsidRPr="00373C11" w:rsidRDefault="00C25CF2" w:rsidP="00E81151">
      <w:pPr>
        <w:spacing w:line="288" w:lineRule="auto"/>
      </w:pPr>
      <w:r w:rsidRPr="00373C11">
        <w:t>The Council for Education and Research on Toxics</w:t>
      </w:r>
      <w:r w:rsidRPr="00373C11">
        <w:t xml:space="preserve"> (CERT)</w:t>
      </w:r>
      <w:r w:rsidRPr="00373C11">
        <w:t xml:space="preserve"> brought these actions under </w:t>
      </w:r>
      <w:r w:rsidRPr="00373C11">
        <w:t>Proposition</w:t>
      </w:r>
      <w:r w:rsidRPr="00373C11">
        <w:t xml:space="preserve"> 65</w:t>
      </w:r>
      <w:r>
        <w:rPr>
          <w:rStyle w:val="FootnoteReference"/>
        </w:rPr>
        <w:footnoteReference w:id="2"/>
      </w:r>
      <w:r w:rsidRPr="00373C11">
        <w:t xml:space="preserve"> </w:t>
      </w:r>
      <w:r w:rsidRPr="00373C11">
        <w:t>(</w:t>
      </w:r>
      <w:r w:rsidRPr="00373C11">
        <w:t>Prop. 65</w:t>
      </w:r>
      <w:r w:rsidRPr="00373C11">
        <w:t xml:space="preserve">) </w:t>
      </w:r>
      <w:r w:rsidRPr="00373C11">
        <w:t>against respondents, dozens of companies that roast, distribute, or sell coffee.</w:t>
      </w:r>
      <w:r>
        <w:rPr>
          <w:rStyle w:val="FootnoteReference"/>
        </w:rPr>
        <w:footnoteReference w:id="3"/>
      </w:r>
      <w:r w:rsidRPr="00373C11">
        <w:t xml:space="preserve">  </w:t>
      </w:r>
      <w:r w:rsidRPr="00373C11">
        <w:t>CERT</w:t>
      </w:r>
      <w:r w:rsidRPr="00373C11">
        <w:t xml:space="preserve"> claimed that respondents </w:t>
      </w:r>
      <w:r w:rsidRPr="00373C11">
        <w:lastRenderedPageBreak/>
        <w:t xml:space="preserve">had </w:t>
      </w:r>
      <w:r w:rsidRPr="00373C11">
        <w:t xml:space="preserve">failed to provide required </w:t>
      </w:r>
      <w:r w:rsidRPr="00373C11">
        <w:t xml:space="preserve">Prop. 65 </w:t>
      </w:r>
      <w:r w:rsidRPr="00373C11">
        <w:t xml:space="preserve">warnings </w:t>
      </w:r>
      <w:r w:rsidRPr="00373C11">
        <w:t>for</w:t>
      </w:r>
      <w:r w:rsidRPr="00373C11">
        <w:t xml:space="preserve"> their </w:t>
      </w:r>
      <w:r w:rsidRPr="00373C11">
        <w:t xml:space="preserve">coffee </w:t>
      </w:r>
      <w:r w:rsidRPr="00373C11">
        <w:t xml:space="preserve">products based on the presence of acrylamide, which is included in the Prop. 65 list of </w:t>
      </w:r>
      <w:r w:rsidRPr="00373C11">
        <w:t xml:space="preserve">known </w:t>
      </w:r>
      <w:r w:rsidRPr="00373C11">
        <w:t xml:space="preserve">carcinogens and is naturally produced </w:t>
      </w:r>
      <w:r w:rsidRPr="00373C11">
        <w:t>in coffee as a result of the</w:t>
      </w:r>
      <w:r w:rsidRPr="00373C11">
        <w:t xml:space="preserve"> </w:t>
      </w:r>
      <w:r w:rsidRPr="00373C11">
        <w:t xml:space="preserve">roasting and brewing </w:t>
      </w:r>
      <w:r w:rsidRPr="00373C11">
        <w:t>processes</w:t>
      </w:r>
      <w:r w:rsidRPr="00373C11">
        <w:t>.</w:t>
      </w:r>
    </w:p>
    <w:p w14:paraId="5490209E" w14:textId="77777777" w:rsidR="00FC262B" w:rsidRPr="00373C11" w:rsidRDefault="00C25CF2" w:rsidP="00E81151">
      <w:pPr>
        <w:spacing w:line="288" w:lineRule="auto"/>
      </w:pPr>
      <w:r w:rsidRPr="00373C11">
        <w:t>While the litigation was pending, the Office of Environmental Health Hazard Assessment (the Agency), charged with implementing Prop. 65, adopted a new regulation providing that “</w:t>
      </w:r>
      <w:r w:rsidRPr="00373C11">
        <w:t>[e]xposures to chemicals in coffee, listed on</w:t>
      </w:r>
      <w:r w:rsidRPr="00373C11">
        <w:t xml:space="preserve"> or before March 15, 2019 as known to the state to cause cancer, that are created by and inherent in the processes of roasting coffee beans or brewing coffee do not pose a significant risk of cancer</w:t>
      </w:r>
      <w:r w:rsidRPr="00373C11">
        <w:t>.</w:t>
      </w:r>
      <w:r w:rsidRPr="00373C11">
        <w:t>”</w:t>
      </w:r>
      <w:r w:rsidRPr="00373C11">
        <w:t xml:space="preserve"> </w:t>
      </w:r>
      <w:r w:rsidRPr="00373C11">
        <w:t xml:space="preserve"> </w:t>
      </w:r>
      <w:r w:rsidRPr="00373C11">
        <w:t>(</w:t>
      </w:r>
      <w:bookmarkStart w:id="3" w:name="dabmci_6f0b611c18d24f33bfd6e10bb5f2b327"/>
      <w:r w:rsidRPr="00373C11">
        <w:t>Cal. Code Regs., tit. 27, § 25704</w:t>
      </w:r>
      <w:bookmarkEnd w:id="3"/>
      <w:r w:rsidRPr="00373C11">
        <w:t xml:space="preserve">; the Coffee </w:t>
      </w:r>
      <w:r w:rsidRPr="00373C11">
        <w:t>Regulation</w:t>
      </w:r>
      <w:r w:rsidRPr="00373C11">
        <w:t>.</w:t>
      </w:r>
      <w:r w:rsidRPr="00373C11">
        <w:t>)</w:t>
      </w:r>
      <w:r w:rsidRPr="00373C11">
        <w:t xml:space="preserve"> </w:t>
      </w:r>
      <w:r w:rsidRPr="00373C11">
        <w:t xml:space="preserve"> </w:t>
      </w:r>
      <w:r w:rsidRPr="00373C11">
        <w:t>This regulation meant</w:t>
      </w:r>
      <w:r w:rsidRPr="00373C11">
        <w:t xml:space="preserve"> that coffee generally did not require Prop. 65 warnings. </w:t>
      </w:r>
      <w:r w:rsidRPr="00373C11">
        <w:t xml:space="preserve"> </w:t>
      </w:r>
      <w:r w:rsidRPr="00373C11">
        <w:t xml:space="preserve">Respondents then moved </w:t>
      </w:r>
      <w:r w:rsidRPr="00373C11">
        <w:t xml:space="preserve">for </w:t>
      </w:r>
      <w:r w:rsidRPr="00373C11">
        <w:t xml:space="preserve">summary </w:t>
      </w:r>
      <w:r w:rsidRPr="00373C11">
        <w:t>judgment</w:t>
      </w:r>
      <w:r w:rsidRPr="00373C11">
        <w:t xml:space="preserve">, asserting the Coffee Regulation as a defense, while CERT moved for summary adjudication, </w:t>
      </w:r>
      <w:r w:rsidRPr="00373C11">
        <w:t xml:space="preserve">challenging </w:t>
      </w:r>
      <w:r w:rsidRPr="00373C11">
        <w:t>the regulation’s</w:t>
      </w:r>
      <w:r w:rsidRPr="00373C11">
        <w:t xml:space="preserve"> validity on various grounds. </w:t>
      </w:r>
      <w:r w:rsidRPr="00373C11">
        <w:t xml:space="preserve"> In opposing </w:t>
      </w:r>
      <w:r w:rsidRPr="00373C11">
        <w:t xml:space="preserve">summary judgment, </w:t>
      </w:r>
      <w:r w:rsidRPr="00373C11">
        <w:t xml:space="preserve">CERT also contended that </w:t>
      </w:r>
      <w:r w:rsidRPr="00373C11">
        <w:t>regardless of the</w:t>
      </w:r>
      <w:r w:rsidRPr="00373C11">
        <w:t xml:space="preserve"> regulation</w:t>
      </w:r>
      <w:r w:rsidRPr="00373C11">
        <w:t>,</w:t>
      </w:r>
      <w:r w:rsidRPr="00373C11">
        <w:t xml:space="preserve"> triable issues </w:t>
      </w:r>
      <w:r w:rsidRPr="00373C11">
        <w:t>remain</w:t>
      </w:r>
      <w:r w:rsidRPr="00373C11">
        <w:t>ed</w:t>
      </w:r>
      <w:r w:rsidRPr="00373C11">
        <w:t xml:space="preserve"> regarding the presence of acrylamide resulting from </w:t>
      </w:r>
      <w:r w:rsidRPr="00373C11">
        <w:t xml:space="preserve">additives </w:t>
      </w:r>
      <w:r w:rsidRPr="00373C11">
        <w:t>(</w:t>
      </w:r>
      <w:r w:rsidRPr="00373C11">
        <w:rPr>
          <w:lang w:val="en"/>
        </w:rPr>
        <w:t xml:space="preserve">plant roots, nuts, and seeds) </w:t>
      </w:r>
      <w:r w:rsidRPr="00373C11">
        <w:t xml:space="preserve">in </w:t>
      </w:r>
      <w:r w:rsidRPr="00373C11">
        <w:t xml:space="preserve">some </w:t>
      </w:r>
      <w:r w:rsidRPr="00373C11">
        <w:t>coffee</w:t>
      </w:r>
      <w:r w:rsidRPr="00373C11">
        <w:t xml:space="preserve"> products</w:t>
      </w:r>
      <w:r w:rsidRPr="00373C11">
        <w:t>, which the regulation</w:t>
      </w:r>
      <w:r w:rsidRPr="00373C11">
        <w:t xml:space="preserve"> did not address</w:t>
      </w:r>
      <w:r w:rsidRPr="00373C11">
        <w:t>.</w:t>
      </w:r>
      <w:r w:rsidRPr="00373C11">
        <w:t xml:space="preserve"> </w:t>
      </w:r>
      <w:r w:rsidRPr="00373C11">
        <w:t xml:space="preserve"> </w:t>
      </w:r>
      <w:r w:rsidRPr="00373C11">
        <w:t xml:space="preserve">It requested a continuance to conduct discovery regarding </w:t>
      </w:r>
      <w:r w:rsidRPr="00373C11">
        <w:lastRenderedPageBreak/>
        <w:t xml:space="preserve">additives in respondents’ products. </w:t>
      </w:r>
      <w:r w:rsidRPr="00373C11">
        <w:t xml:space="preserve"> </w:t>
      </w:r>
      <w:r w:rsidRPr="00373C11">
        <w:t xml:space="preserve">The trial court denied </w:t>
      </w:r>
      <w:r w:rsidRPr="00373C11">
        <w:t>CERT</w:t>
      </w:r>
      <w:r w:rsidRPr="00373C11">
        <w:t xml:space="preserve">’s motions and granted summary judgment for respondents, concluding that the </w:t>
      </w:r>
      <w:r w:rsidRPr="00373C11">
        <w:t>Coffee R</w:t>
      </w:r>
      <w:r w:rsidRPr="00373C11">
        <w:t>egulation was valid</w:t>
      </w:r>
      <w:r w:rsidRPr="00373C11">
        <w:t xml:space="preserve"> and dispositive of CERT’s actions</w:t>
      </w:r>
      <w:r w:rsidRPr="00373C11">
        <w:t xml:space="preserve">, and that </w:t>
      </w:r>
      <w:r w:rsidRPr="00373C11">
        <w:t>claims regarding additives were outside the scope of the actions</w:t>
      </w:r>
      <w:r w:rsidRPr="00373C11">
        <w:t>.</w:t>
      </w:r>
    </w:p>
    <w:p w14:paraId="38403C4B" w14:textId="77777777" w:rsidR="005E2BB8" w:rsidRPr="00373C11" w:rsidRDefault="00C25CF2" w:rsidP="00E81151">
      <w:pPr>
        <w:spacing w:line="288" w:lineRule="auto"/>
      </w:pPr>
      <w:r w:rsidRPr="00373C11">
        <w:t xml:space="preserve">After </w:t>
      </w:r>
      <w:r w:rsidRPr="00373C11">
        <w:t xml:space="preserve">the court entered judgment </w:t>
      </w:r>
      <w:r w:rsidRPr="00373C11">
        <w:t xml:space="preserve">for respondents, CERT moved </w:t>
      </w:r>
      <w:r w:rsidRPr="00373C11">
        <w:t>to recover attorney fees from some of the respondents, on the bas</w:t>
      </w:r>
      <w:r w:rsidRPr="00373C11">
        <w:t xml:space="preserve">is that its litigation efforts catalyzed those respondents to </w:t>
      </w:r>
      <w:r w:rsidRPr="00373C11">
        <w:t xml:space="preserve">post Prop. 65 warnings voluntarily during the pendency of its actions.  The trial court denied </w:t>
      </w:r>
      <w:r w:rsidRPr="00373C11">
        <w:t>CERT’s motion, concluding it was ineligible for fees because it had lost its case on the merits and</w:t>
      </w:r>
      <w:r w:rsidRPr="00373C11">
        <w:t xml:space="preserve"> conferred no significant benefit on the public. </w:t>
      </w:r>
    </w:p>
    <w:p w14:paraId="1355DC7F" w14:textId="77777777" w:rsidR="00755473" w:rsidRPr="00373C11" w:rsidRDefault="00C25CF2" w:rsidP="00E81151">
      <w:pPr>
        <w:spacing w:line="288" w:lineRule="auto"/>
      </w:pPr>
      <w:r w:rsidRPr="00373C11">
        <w:t xml:space="preserve">As relevant here, </w:t>
      </w:r>
      <w:r w:rsidRPr="00373C11">
        <w:t>a few</w:t>
      </w:r>
      <w:r w:rsidRPr="00373C11">
        <w:t xml:space="preserve"> </w:t>
      </w:r>
      <w:r w:rsidRPr="00373C11">
        <w:t>of the r</w:t>
      </w:r>
      <w:r w:rsidRPr="00373C11">
        <w:t>espondent</w:t>
      </w:r>
      <w:r w:rsidRPr="00373C11">
        <w:t>s (</w:t>
      </w:r>
      <w:r w:rsidRPr="00373C11">
        <w:t>Starbucks</w:t>
      </w:r>
      <w:r w:rsidRPr="00373C11">
        <w:t xml:space="preserve"> </w:t>
      </w:r>
      <w:r w:rsidRPr="00373C11">
        <w:t>Corporation,</w:t>
      </w:r>
      <w:r w:rsidRPr="00373C11">
        <w:t xml:space="preserve"> S</w:t>
      </w:r>
      <w:r w:rsidRPr="00373C11">
        <w:t>tarbucks</w:t>
      </w:r>
      <w:r w:rsidRPr="00373C11">
        <w:t xml:space="preserve"> </w:t>
      </w:r>
      <w:r w:rsidRPr="00373C11">
        <w:t xml:space="preserve">Holding </w:t>
      </w:r>
      <w:r w:rsidRPr="00373C11">
        <w:t>C</w:t>
      </w:r>
      <w:r w:rsidRPr="00373C11">
        <w:t xml:space="preserve">ompany, </w:t>
      </w:r>
      <w:r w:rsidRPr="00373C11">
        <w:t>S</w:t>
      </w:r>
      <w:r w:rsidRPr="00373C11">
        <w:t>eattle</w:t>
      </w:r>
      <w:r w:rsidRPr="00373C11">
        <w:t xml:space="preserve"> </w:t>
      </w:r>
      <w:r w:rsidRPr="00373C11">
        <w:t xml:space="preserve">Coffee </w:t>
      </w:r>
      <w:r w:rsidRPr="00373C11">
        <w:t>C</w:t>
      </w:r>
      <w:r w:rsidRPr="00373C11">
        <w:t>ompany</w:t>
      </w:r>
      <w:r w:rsidRPr="00373C11">
        <w:t>, Pe</w:t>
      </w:r>
      <w:r w:rsidRPr="00373C11">
        <w:t>e</w:t>
      </w:r>
      <w:r w:rsidRPr="00373C11">
        <w:t xml:space="preserve">t’s </w:t>
      </w:r>
      <w:r w:rsidRPr="00373C11">
        <w:t>Operating Company, and Dunkin’ Brands, Inc.</w:t>
      </w:r>
      <w:r w:rsidRPr="00373C11">
        <w:t>; the Section 998 respondents</w:t>
      </w:r>
      <w:r w:rsidRPr="00373C11">
        <w:t>)</w:t>
      </w:r>
      <w:r w:rsidRPr="00373C11">
        <w:t xml:space="preserve"> </w:t>
      </w:r>
      <w:r w:rsidRPr="00373C11">
        <w:t xml:space="preserve">sought </w:t>
      </w:r>
      <w:r w:rsidRPr="00373C11">
        <w:t xml:space="preserve">an award of costs under </w:t>
      </w:r>
      <w:r w:rsidRPr="00373C11">
        <w:t xml:space="preserve">Code of Civil Procedure </w:t>
      </w:r>
      <w:r w:rsidRPr="00373C11">
        <w:t>section 998</w:t>
      </w:r>
      <w:r w:rsidRPr="00373C11">
        <w:t xml:space="preserve"> (</w:t>
      </w:r>
      <w:r w:rsidRPr="00373C11">
        <w:t>s</w:t>
      </w:r>
      <w:r w:rsidRPr="00373C11">
        <w:t>ection 998)</w:t>
      </w:r>
      <w:r w:rsidRPr="00373C11">
        <w:t xml:space="preserve">, based on compromise offers </w:t>
      </w:r>
      <w:r w:rsidRPr="00373C11">
        <w:t xml:space="preserve">CERT had rejected during the litigation.  </w:t>
      </w:r>
      <w:r w:rsidRPr="00373C11">
        <w:t>CERT</w:t>
      </w:r>
      <w:r w:rsidRPr="00373C11">
        <w:t xml:space="preserve"> </w:t>
      </w:r>
      <w:r w:rsidRPr="00373C11">
        <w:t>moved to</w:t>
      </w:r>
      <w:r w:rsidRPr="00373C11">
        <w:t xml:space="preserve"> </w:t>
      </w:r>
      <w:r w:rsidRPr="00373C11">
        <w:t>tax</w:t>
      </w:r>
      <w:r w:rsidRPr="00373C11">
        <w:t xml:space="preserve"> costs, contending</w:t>
      </w:r>
      <w:r w:rsidRPr="00373C11">
        <w:t>, inter alia,</w:t>
      </w:r>
      <w:r w:rsidRPr="00373C11">
        <w:t xml:space="preserve"> </w:t>
      </w:r>
      <w:r w:rsidRPr="00373C11">
        <w:t xml:space="preserve">that </w:t>
      </w:r>
      <w:r w:rsidRPr="00373C11">
        <w:t>the</w:t>
      </w:r>
      <w:r w:rsidRPr="00373C11">
        <w:t xml:space="preserve"> offer</w:t>
      </w:r>
      <w:r w:rsidRPr="00373C11">
        <w:t xml:space="preserve">s were invalid because </w:t>
      </w:r>
      <w:r w:rsidRPr="00373C11">
        <w:t xml:space="preserve">they were </w:t>
      </w:r>
      <w:r w:rsidRPr="00373C11">
        <w:t>conditioned on court approval (as required by Prop. 65)</w:t>
      </w:r>
      <w:r w:rsidRPr="00373C11">
        <w:t>,</w:t>
      </w:r>
      <w:r w:rsidRPr="00373C11">
        <w:t xml:space="preserve"> and because the releases they included were overbroad. </w:t>
      </w:r>
      <w:r w:rsidRPr="00373C11">
        <w:t xml:space="preserve"> The trial court denied the motion to tax costs and awarded the relevant respondents almost $700,000 in post-offer costs.</w:t>
      </w:r>
    </w:p>
    <w:p w14:paraId="5FF8A00B" w14:textId="77777777" w:rsidR="00D4766A" w:rsidRPr="00373C11" w:rsidRDefault="00C25CF2" w:rsidP="00E81151">
      <w:pPr>
        <w:spacing w:line="288" w:lineRule="auto"/>
        <w:rPr>
          <w:lang w:val="en"/>
        </w:rPr>
      </w:pPr>
      <w:r w:rsidRPr="00373C11">
        <w:t xml:space="preserve">In these consolidated </w:t>
      </w:r>
      <w:r w:rsidRPr="00373C11">
        <w:t xml:space="preserve">appeals, CERT challenges the trial court’s grant of summary judgment for respondents, its denial of its motion for fees, and its </w:t>
      </w:r>
      <w:r w:rsidRPr="00373C11">
        <w:t xml:space="preserve">award of </w:t>
      </w:r>
      <w:r w:rsidRPr="00373C11">
        <w:t>s</w:t>
      </w:r>
      <w:r w:rsidRPr="00373C11">
        <w:t xml:space="preserve">ection 998 </w:t>
      </w:r>
      <w:r w:rsidRPr="00373C11">
        <w:lastRenderedPageBreak/>
        <w:t>costs</w:t>
      </w:r>
      <w:r w:rsidRPr="00373C11">
        <w:t xml:space="preserve">.  </w:t>
      </w:r>
      <w:r w:rsidRPr="00373C11">
        <w:t xml:space="preserve">As to summary judgment, </w:t>
      </w:r>
      <w:r w:rsidRPr="00373C11">
        <w:rPr>
          <w:lang w:val="en"/>
        </w:rPr>
        <w:t xml:space="preserve">CERT contends the Coffee Regulation was </w:t>
      </w:r>
      <w:r w:rsidRPr="00373C11">
        <w:rPr>
          <w:lang w:val="en"/>
        </w:rPr>
        <w:t>arbitrary and capricious</w:t>
      </w:r>
      <w:r w:rsidRPr="00373C11">
        <w:rPr>
          <w:lang w:val="en"/>
        </w:rPr>
        <w:t xml:space="preserve"> because: </w:t>
      </w:r>
      <w:r w:rsidRPr="00373C11">
        <w:rPr>
          <w:lang w:val="en"/>
        </w:rPr>
        <w:t xml:space="preserve">(1) the Agency failed to explain its departure from a prior position expressed in a 2005 report; (2) the Agency’s </w:t>
      </w:r>
      <w:r w:rsidRPr="00373C11">
        <w:rPr>
          <w:lang w:val="en"/>
        </w:rPr>
        <w:t>F</w:t>
      </w:r>
      <w:r w:rsidRPr="00373C11">
        <w:rPr>
          <w:lang w:val="en"/>
        </w:rPr>
        <w:t xml:space="preserve">inal </w:t>
      </w:r>
      <w:r w:rsidRPr="00373C11">
        <w:rPr>
          <w:lang w:val="en"/>
        </w:rPr>
        <w:t>S</w:t>
      </w:r>
      <w:r w:rsidRPr="00373C11">
        <w:rPr>
          <w:lang w:val="en"/>
        </w:rPr>
        <w:t xml:space="preserve">tatement of </w:t>
      </w:r>
      <w:r w:rsidRPr="00373C11">
        <w:rPr>
          <w:lang w:val="en"/>
        </w:rPr>
        <w:t>R</w:t>
      </w:r>
      <w:r w:rsidRPr="00373C11">
        <w:rPr>
          <w:lang w:val="en"/>
        </w:rPr>
        <w:t>easons</w:t>
      </w:r>
      <w:r w:rsidRPr="00373C11">
        <w:rPr>
          <w:lang w:val="en"/>
        </w:rPr>
        <w:t xml:space="preserve"> </w:t>
      </w:r>
      <w:r w:rsidRPr="00373C11">
        <w:rPr>
          <w:lang w:val="en"/>
        </w:rPr>
        <w:t xml:space="preserve">in support of the regulation </w:t>
      </w:r>
      <w:r w:rsidRPr="00373C11">
        <w:rPr>
          <w:lang w:val="en"/>
        </w:rPr>
        <w:t xml:space="preserve">failed to address CERT’s objection </w:t>
      </w:r>
      <w:r w:rsidRPr="00373C11">
        <w:rPr>
          <w:lang w:val="en"/>
        </w:rPr>
        <w:t>relating to</w:t>
      </w:r>
      <w:r w:rsidRPr="00373C11">
        <w:rPr>
          <w:lang w:val="en"/>
        </w:rPr>
        <w:t xml:space="preserve"> the claimed departure; (3) the regulation is underinclusive and thus is not supported by its rationale; and (4) the regulation is scientifically unsupported.</w:t>
      </w:r>
      <w:r>
        <w:rPr>
          <w:rStyle w:val="FootnoteReference"/>
        </w:rPr>
        <w:footnoteReference w:id="4"/>
      </w:r>
      <w:r w:rsidRPr="00373C11">
        <w:rPr>
          <w:lang w:val="en"/>
        </w:rPr>
        <w:t xml:space="preserve">  </w:t>
      </w:r>
      <w:r w:rsidRPr="00373C11">
        <w:rPr>
          <w:lang w:val="en"/>
        </w:rPr>
        <w:t>CERT</w:t>
      </w:r>
      <w:r w:rsidRPr="00373C11">
        <w:rPr>
          <w:lang w:val="en"/>
        </w:rPr>
        <w:t xml:space="preserve"> also contends </w:t>
      </w:r>
      <w:r w:rsidRPr="00373C11">
        <w:rPr>
          <w:lang w:val="en"/>
        </w:rPr>
        <w:t xml:space="preserve">that </w:t>
      </w:r>
      <w:r w:rsidRPr="00373C11">
        <w:rPr>
          <w:lang w:val="en"/>
        </w:rPr>
        <w:t xml:space="preserve">triable issues remained as to acrylamide from </w:t>
      </w:r>
      <w:r w:rsidRPr="00373C11">
        <w:rPr>
          <w:lang w:val="en"/>
        </w:rPr>
        <w:t xml:space="preserve">coffee </w:t>
      </w:r>
      <w:r w:rsidRPr="00373C11">
        <w:rPr>
          <w:lang w:val="en"/>
        </w:rPr>
        <w:t>additives</w:t>
      </w:r>
      <w:r w:rsidRPr="00373C11">
        <w:rPr>
          <w:lang w:val="en"/>
        </w:rPr>
        <w:t>,</w:t>
      </w:r>
      <w:r w:rsidRPr="00373C11">
        <w:rPr>
          <w:lang w:val="en"/>
        </w:rPr>
        <w:t xml:space="preserve"> </w:t>
      </w:r>
      <w:r w:rsidRPr="00373C11">
        <w:rPr>
          <w:lang w:val="en"/>
        </w:rPr>
        <w:t>and th</w:t>
      </w:r>
      <w:r w:rsidRPr="00373C11">
        <w:rPr>
          <w:lang w:val="en"/>
        </w:rPr>
        <w:t xml:space="preserve">at the trial court should have granted a continuance for additional discovery on </w:t>
      </w:r>
      <w:r w:rsidRPr="00373C11">
        <w:rPr>
          <w:lang w:val="en"/>
        </w:rPr>
        <w:t>these issues</w:t>
      </w:r>
      <w:r w:rsidRPr="00373C11">
        <w:rPr>
          <w:lang w:val="en"/>
        </w:rPr>
        <w:t xml:space="preserve">.  As discussed below, we conclude the regulation was validly adopted, </w:t>
      </w:r>
      <w:r w:rsidRPr="00373C11">
        <w:rPr>
          <w:lang w:val="en"/>
        </w:rPr>
        <w:t xml:space="preserve">and that claims regarding coffee additives are beyond the scope of CERT’s actions.  </w:t>
      </w:r>
      <w:r w:rsidRPr="00373C11">
        <w:rPr>
          <w:lang w:val="en"/>
        </w:rPr>
        <w:t xml:space="preserve">Summary </w:t>
      </w:r>
      <w:r w:rsidRPr="00373C11">
        <w:rPr>
          <w:lang w:val="en"/>
        </w:rPr>
        <w:t>judgment was therefore appropriate.</w:t>
      </w:r>
    </w:p>
    <w:p w14:paraId="6020B0C4" w14:textId="77777777" w:rsidR="000B737F" w:rsidRPr="00373C11" w:rsidRDefault="00C25CF2" w:rsidP="00E81151">
      <w:pPr>
        <w:spacing w:line="288" w:lineRule="auto"/>
      </w:pPr>
      <w:r w:rsidRPr="00373C11">
        <w:rPr>
          <w:lang w:val="en"/>
        </w:rPr>
        <w:t xml:space="preserve">Challenging the denial of attorney fees, CERT reiterates its position that </w:t>
      </w:r>
      <w:r w:rsidRPr="00373C11">
        <w:rPr>
          <w:lang w:val="en"/>
        </w:rPr>
        <w:t xml:space="preserve">it </w:t>
      </w:r>
      <w:r w:rsidRPr="00373C11">
        <w:rPr>
          <w:lang w:val="en"/>
        </w:rPr>
        <w:t xml:space="preserve">was entitled to fees </w:t>
      </w:r>
      <w:r w:rsidRPr="00373C11">
        <w:rPr>
          <w:lang w:val="en"/>
        </w:rPr>
        <w:t>based on the voluntary warnings provided by the relevant respondents</w:t>
      </w:r>
      <w:r w:rsidRPr="00373C11">
        <w:rPr>
          <w:lang w:val="en"/>
        </w:rPr>
        <w:t xml:space="preserve">.  We agree with the trial court that </w:t>
      </w:r>
      <w:r w:rsidRPr="00373C11">
        <w:rPr>
          <w:lang w:val="en"/>
        </w:rPr>
        <w:t xml:space="preserve">in light of </w:t>
      </w:r>
      <w:r w:rsidRPr="00373C11">
        <w:rPr>
          <w:lang w:val="en"/>
        </w:rPr>
        <w:t>the</w:t>
      </w:r>
      <w:r w:rsidRPr="00373C11">
        <w:rPr>
          <w:lang w:val="en"/>
        </w:rPr>
        <w:t xml:space="preserve"> Coffee Regulation, these temporary warnings proved unnecessary </w:t>
      </w:r>
      <w:r w:rsidRPr="00373C11">
        <w:rPr>
          <w:lang w:val="en"/>
        </w:rPr>
        <w:t xml:space="preserve">and therefore conferred no significant benefit on the public, rendering CERT ineligible for fees.  </w:t>
      </w:r>
    </w:p>
    <w:p w14:paraId="612A492F" w14:textId="77777777" w:rsidR="002E1D7D" w:rsidRPr="00373C11" w:rsidRDefault="00C25CF2" w:rsidP="00E81151">
      <w:pPr>
        <w:spacing w:line="288" w:lineRule="auto"/>
      </w:pPr>
      <w:r w:rsidRPr="00373C11">
        <w:t xml:space="preserve">Finally, </w:t>
      </w:r>
      <w:r w:rsidRPr="00373C11">
        <w:t xml:space="preserve">as to the </w:t>
      </w:r>
      <w:r w:rsidRPr="00373C11">
        <w:t>award</w:t>
      </w:r>
      <w:r w:rsidRPr="00373C11">
        <w:t xml:space="preserve"> </w:t>
      </w:r>
      <w:r w:rsidRPr="00373C11">
        <w:t xml:space="preserve">of </w:t>
      </w:r>
      <w:r w:rsidRPr="00373C11">
        <w:t>costs</w:t>
      </w:r>
      <w:r w:rsidRPr="00373C11">
        <w:t xml:space="preserve"> to the </w:t>
      </w:r>
      <w:r w:rsidRPr="00373C11">
        <w:t>s</w:t>
      </w:r>
      <w:r w:rsidRPr="00373C11">
        <w:t>ection 998 respondents</w:t>
      </w:r>
      <w:r w:rsidRPr="00373C11">
        <w:t xml:space="preserve">, CERT contends </w:t>
      </w:r>
      <w:r w:rsidRPr="00373C11">
        <w:t>their compromise offers were invalid because</w:t>
      </w:r>
      <w:r w:rsidRPr="00373C11">
        <w:t>: (1)</w:t>
      </w:r>
      <w:r w:rsidRPr="00373C11">
        <w:t xml:space="preserve"> settlement offers in Prop. 65 cases can </w:t>
      </w:r>
      <w:r w:rsidRPr="00373C11">
        <w:lastRenderedPageBreak/>
        <w:t xml:space="preserve">never be valid under </w:t>
      </w:r>
      <w:r w:rsidRPr="00373C11">
        <w:t>s</w:t>
      </w:r>
      <w:r w:rsidRPr="00373C11">
        <w:t xml:space="preserve">ection 998, as they require court approval; and (2) </w:t>
      </w:r>
      <w:r w:rsidRPr="00373C11">
        <w:t xml:space="preserve">the relevant respondents’ offers </w:t>
      </w:r>
      <w:r w:rsidRPr="00373C11">
        <w:t>included overly broad releases</w:t>
      </w:r>
      <w:r w:rsidRPr="00373C11">
        <w:t xml:space="preserve">. </w:t>
      </w:r>
      <w:r w:rsidRPr="00373C11">
        <w:t xml:space="preserve"> We agree t</w:t>
      </w:r>
      <w:r w:rsidRPr="00373C11">
        <w:t xml:space="preserve">hat </w:t>
      </w:r>
      <w:r w:rsidRPr="00373C11">
        <w:t xml:space="preserve">the </w:t>
      </w:r>
      <w:r w:rsidRPr="00373C11">
        <w:t xml:space="preserve">releases in the </w:t>
      </w:r>
      <w:r w:rsidRPr="00373C11">
        <w:t>s</w:t>
      </w:r>
      <w:r w:rsidRPr="00373C11">
        <w:t xml:space="preserve">ection 998 </w:t>
      </w:r>
      <w:r w:rsidRPr="00373C11">
        <w:t xml:space="preserve">offers </w:t>
      </w:r>
      <w:r w:rsidRPr="00373C11">
        <w:t xml:space="preserve">were overbroad and thus rendered the offers invalid.  Accordingly, we reverse the trial court’s denial of CERT’s motion to tax costs. </w:t>
      </w:r>
    </w:p>
    <w:p w14:paraId="2E468530" w14:textId="77777777" w:rsidR="00252427" w:rsidRPr="00373C11" w:rsidRDefault="00C25CF2" w:rsidP="00E81151">
      <w:pPr>
        <w:spacing w:line="288" w:lineRule="auto"/>
        <w:ind w:firstLine="0"/>
      </w:pPr>
    </w:p>
    <w:p w14:paraId="6270589A" w14:textId="77777777" w:rsidR="0044672D" w:rsidRPr="00373C11" w:rsidRDefault="00C25CF2" w:rsidP="00E81151">
      <w:pPr>
        <w:keepNext/>
        <w:spacing w:line="288" w:lineRule="auto"/>
        <w:ind w:firstLine="0"/>
        <w:jc w:val="center"/>
        <w:outlineLvl w:val="0"/>
        <w:rPr>
          <w:b/>
        </w:rPr>
      </w:pPr>
      <w:r w:rsidRPr="00373C11">
        <w:rPr>
          <w:b/>
        </w:rPr>
        <w:t>BACKGROUND</w:t>
      </w:r>
      <w:r>
        <w:rPr>
          <w:rStyle w:val="FootnoteReference"/>
          <w:b/>
        </w:rPr>
        <w:footnoteReference w:id="5"/>
      </w:r>
    </w:p>
    <w:p w14:paraId="0B0407CE" w14:textId="77777777" w:rsidR="005475B9" w:rsidRPr="00373C11" w:rsidRDefault="00C25CF2" w:rsidP="00E81151">
      <w:pPr>
        <w:keepNext/>
        <w:numPr>
          <w:ilvl w:val="0"/>
          <w:numId w:val="1"/>
        </w:numPr>
        <w:tabs>
          <w:tab w:val="left" w:pos="1080"/>
        </w:tabs>
        <w:spacing w:after="120" w:line="288" w:lineRule="auto"/>
        <w:ind w:firstLine="0"/>
        <w:outlineLvl w:val="1"/>
        <w:rPr>
          <w:bCs/>
          <w:i/>
          <w:iCs/>
        </w:rPr>
      </w:pPr>
      <w:r w:rsidRPr="00373C11">
        <w:rPr>
          <w:bCs/>
          <w:i/>
          <w:iCs/>
        </w:rPr>
        <w:t>CERT’s Pre-Suit Notices</w:t>
      </w:r>
      <w:r w:rsidRPr="00373C11">
        <w:rPr>
          <w:bCs/>
          <w:i/>
          <w:iCs/>
        </w:rPr>
        <w:t xml:space="preserve"> and Actions</w:t>
      </w:r>
    </w:p>
    <w:p w14:paraId="34AC26FA" w14:textId="77777777" w:rsidR="002A3242" w:rsidRPr="00373C11" w:rsidRDefault="00C25CF2" w:rsidP="00E81151">
      <w:pPr>
        <w:spacing w:line="288" w:lineRule="auto"/>
        <w:rPr>
          <w:lang w:val="en"/>
        </w:rPr>
      </w:pPr>
      <w:r w:rsidRPr="00373C11">
        <w:rPr>
          <w:lang w:val="en"/>
        </w:rPr>
        <w:t xml:space="preserve">In 2010, CERT sent </w:t>
      </w:r>
      <w:r w:rsidRPr="00373C11">
        <w:rPr>
          <w:lang w:val="en"/>
        </w:rPr>
        <w:t xml:space="preserve">two sets of </w:t>
      </w:r>
      <w:r w:rsidRPr="00373C11">
        <w:rPr>
          <w:lang w:val="en"/>
        </w:rPr>
        <w:t>notices of violations under Prop</w:t>
      </w:r>
      <w:r w:rsidRPr="00373C11">
        <w:rPr>
          <w:lang w:val="en"/>
        </w:rPr>
        <w:t>.</w:t>
      </w:r>
      <w:r w:rsidRPr="00373C11">
        <w:rPr>
          <w:lang w:val="en"/>
        </w:rPr>
        <w:t xml:space="preserve"> 65 to numerous companies that roast</w:t>
      </w:r>
      <w:r w:rsidRPr="00373C11">
        <w:rPr>
          <w:lang w:val="en"/>
        </w:rPr>
        <w:t>ed</w:t>
      </w:r>
      <w:r w:rsidRPr="00373C11">
        <w:rPr>
          <w:lang w:val="en"/>
        </w:rPr>
        <w:t>, distribute</w:t>
      </w:r>
      <w:r w:rsidRPr="00373C11">
        <w:rPr>
          <w:lang w:val="en"/>
        </w:rPr>
        <w:t>d</w:t>
      </w:r>
      <w:r w:rsidRPr="00373C11">
        <w:rPr>
          <w:lang w:val="en"/>
        </w:rPr>
        <w:t xml:space="preserve">, or </w:t>
      </w:r>
      <w:r w:rsidRPr="00373C11">
        <w:rPr>
          <w:lang w:val="en"/>
        </w:rPr>
        <w:t>sold</w:t>
      </w:r>
      <w:r w:rsidRPr="00373C11">
        <w:rPr>
          <w:lang w:val="en"/>
        </w:rPr>
        <w:t xml:space="preserve"> coffee in California</w:t>
      </w:r>
      <w:r w:rsidRPr="00373C11">
        <w:rPr>
          <w:lang w:val="en"/>
        </w:rPr>
        <w:t>.</w:t>
      </w:r>
      <w:r>
        <w:rPr>
          <w:rStyle w:val="FootnoteReference"/>
          <w:lang w:val="en"/>
        </w:rPr>
        <w:footnoteReference w:id="6"/>
      </w:r>
      <w:r w:rsidRPr="00373C11">
        <w:rPr>
          <w:lang w:val="en"/>
        </w:rPr>
        <w:t xml:space="preserve"> </w:t>
      </w:r>
      <w:r w:rsidRPr="00373C11">
        <w:rPr>
          <w:lang w:val="en"/>
        </w:rPr>
        <w:t xml:space="preserve"> </w:t>
      </w:r>
      <w:r w:rsidRPr="00373C11">
        <w:rPr>
          <w:lang w:val="en"/>
        </w:rPr>
        <w:t xml:space="preserve">CERT’s notices alleged that </w:t>
      </w:r>
      <w:r w:rsidRPr="00373C11">
        <w:rPr>
          <w:lang w:val="en"/>
        </w:rPr>
        <w:t xml:space="preserve">the companies </w:t>
      </w:r>
      <w:r w:rsidRPr="00373C11">
        <w:rPr>
          <w:lang w:val="en"/>
        </w:rPr>
        <w:t xml:space="preserve">had failed to warn that </w:t>
      </w:r>
      <w:r w:rsidRPr="00373C11">
        <w:rPr>
          <w:lang w:val="en"/>
        </w:rPr>
        <w:t>their</w:t>
      </w:r>
      <w:r w:rsidRPr="00373C11">
        <w:rPr>
          <w:lang w:val="en"/>
        </w:rPr>
        <w:t xml:space="preserve"> coffee products exposed Californians to high levels of acrylamide</w:t>
      </w:r>
      <w:r w:rsidRPr="00373C11">
        <w:rPr>
          <w:lang w:val="en"/>
        </w:rPr>
        <w:t>,</w:t>
      </w:r>
      <w:r w:rsidRPr="00373C11">
        <w:rPr>
          <w:lang w:val="en"/>
        </w:rPr>
        <w:t xml:space="preserve"> </w:t>
      </w:r>
      <w:r w:rsidRPr="00373C11">
        <w:rPr>
          <w:lang w:val="en"/>
        </w:rPr>
        <w:t xml:space="preserve">a chemical </w:t>
      </w:r>
      <w:r w:rsidRPr="00373C11">
        <w:rPr>
          <w:lang w:val="en"/>
        </w:rPr>
        <w:t xml:space="preserve">included in </w:t>
      </w:r>
      <w:r w:rsidRPr="00373C11">
        <w:rPr>
          <w:lang w:val="en"/>
        </w:rPr>
        <w:t>Prop. 65’s list of known carcinogens</w:t>
      </w:r>
      <w:r w:rsidRPr="00373C11">
        <w:rPr>
          <w:lang w:val="en"/>
        </w:rPr>
        <w:t>.</w:t>
      </w:r>
      <w:r w:rsidRPr="00373C11">
        <w:rPr>
          <w:lang w:val="en"/>
        </w:rPr>
        <w:t xml:space="preserve">  (</w:t>
      </w:r>
      <w:r w:rsidRPr="00373C11">
        <w:rPr>
          <w:lang w:val="en"/>
        </w:rPr>
        <w:t xml:space="preserve">Office of Environmental Health Hazard Assessment, </w:t>
      </w:r>
      <w:r w:rsidRPr="00373C11">
        <w:rPr>
          <w:lang w:val="en"/>
        </w:rPr>
        <w:t>The Proposition 65 List</w:t>
      </w:r>
      <w:r w:rsidRPr="00373C11">
        <w:rPr>
          <w:lang w:val="en"/>
        </w:rPr>
        <w:t>,</w:t>
      </w:r>
      <w:r w:rsidRPr="00373C11">
        <w:rPr>
          <w:lang w:val="en"/>
        </w:rPr>
        <w:t xml:space="preserve"> at</w:t>
      </w:r>
      <w:r w:rsidRPr="00373C11">
        <w:rPr>
          <w:lang w:val="en"/>
        </w:rPr>
        <w:t xml:space="preserve"> </w:t>
      </w:r>
      <w:r w:rsidRPr="00373C11">
        <w:rPr>
          <w:lang w:val="en"/>
        </w:rPr>
        <w:t>&lt;</w:t>
      </w:r>
      <w:r w:rsidRPr="00373C11">
        <w:rPr>
          <w:lang w:val="en"/>
        </w:rPr>
        <w:t>https://oehha.ca.gov/proposition-65/propositio</w:t>
      </w:r>
      <w:r w:rsidRPr="00373C11">
        <w:rPr>
          <w:lang w:val="en"/>
        </w:rPr>
        <w:t>n-65-list</w:t>
      </w:r>
      <w:r w:rsidRPr="00373C11">
        <w:rPr>
          <w:lang w:val="en"/>
        </w:rPr>
        <w:t>&gt;</w:t>
      </w:r>
      <w:r w:rsidRPr="00373C11">
        <w:rPr>
          <w:lang w:val="en"/>
        </w:rPr>
        <w:t xml:space="preserve"> [</w:t>
      </w:r>
      <w:r w:rsidRPr="00373C11">
        <w:rPr>
          <w:lang w:val="en"/>
        </w:rPr>
        <w:t xml:space="preserve">as </w:t>
      </w:r>
      <w:r w:rsidRPr="00373C11">
        <w:rPr>
          <w:lang w:val="en"/>
        </w:rPr>
        <w:lastRenderedPageBreak/>
        <w:t xml:space="preserve">of </w:t>
      </w:r>
      <w:r w:rsidRPr="00373C11">
        <w:rPr>
          <w:lang w:val="en"/>
        </w:rPr>
        <w:t>Oct</w:t>
      </w:r>
      <w:r w:rsidRPr="00373C11">
        <w:rPr>
          <w:lang w:val="en"/>
        </w:rPr>
        <w:t xml:space="preserve">. </w:t>
      </w:r>
      <w:r w:rsidRPr="00373C11">
        <w:rPr>
          <w:lang w:val="en"/>
        </w:rPr>
        <w:t>24</w:t>
      </w:r>
      <w:r w:rsidRPr="00373C11">
        <w:rPr>
          <w:lang w:val="en"/>
        </w:rPr>
        <w:t>, 2022].)</w:t>
      </w:r>
      <w:r w:rsidRPr="00373C11">
        <w:rPr>
          <w:lang w:val="en"/>
        </w:rPr>
        <w:t xml:space="preserve">  </w:t>
      </w:r>
      <w:r w:rsidRPr="00373C11">
        <w:rPr>
          <w:lang w:val="en"/>
        </w:rPr>
        <w:t xml:space="preserve">One </w:t>
      </w:r>
      <w:r w:rsidRPr="00373C11">
        <w:rPr>
          <w:lang w:val="en"/>
        </w:rPr>
        <w:t xml:space="preserve">set </w:t>
      </w:r>
      <w:r w:rsidRPr="00373C11">
        <w:rPr>
          <w:lang w:val="en"/>
        </w:rPr>
        <w:t xml:space="preserve">of </w:t>
      </w:r>
      <w:r w:rsidRPr="00373C11">
        <w:rPr>
          <w:lang w:val="en"/>
        </w:rPr>
        <w:t>notice</w:t>
      </w:r>
      <w:r w:rsidRPr="00373C11">
        <w:rPr>
          <w:lang w:val="en"/>
        </w:rPr>
        <w:t xml:space="preserve">s </w:t>
      </w:r>
      <w:r w:rsidRPr="00373C11">
        <w:rPr>
          <w:lang w:val="en"/>
        </w:rPr>
        <w:t>alleged</w:t>
      </w:r>
      <w:r w:rsidRPr="00373C11">
        <w:rPr>
          <w:lang w:val="en"/>
        </w:rPr>
        <w:t xml:space="preserve"> that “</w:t>
      </w:r>
      <w:r w:rsidRPr="00373C11">
        <w:rPr>
          <w:lang w:val="en"/>
        </w:rPr>
        <w:t xml:space="preserve">[e]xposures to acrylamide unavoidably occurred via ingestion whenever a consumer purchased and thereafter consumed the coffee produced, distributed, and/or sold by the above named entities.”  The other </w:t>
      </w:r>
      <w:r w:rsidRPr="00373C11">
        <w:rPr>
          <w:lang w:val="en"/>
        </w:rPr>
        <w:t>set</w:t>
      </w:r>
      <w:r w:rsidRPr="00373C11">
        <w:rPr>
          <w:lang w:val="en"/>
        </w:rPr>
        <w:t xml:space="preserve">, </w:t>
      </w:r>
      <w:r w:rsidRPr="00373C11">
        <w:rPr>
          <w:lang w:val="en"/>
        </w:rPr>
        <w:t xml:space="preserve">targeting </w:t>
      </w:r>
      <w:r w:rsidRPr="00373C11">
        <w:rPr>
          <w:lang w:val="en"/>
        </w:rPr>
        <w:t xml:space="preserve">the </w:t>
      </w:r>
      <w:r w:rsidRPr="00373C11">
        <w:rPr>
          <w:lang w:val="en"/>
        </w:rPr>
        <w:t>relevant</w:t>
      </w:r>
      <w:r w:rsidRPr="00373C11">
        <w:rPr>
          <w:lang w:val="en"/>
        </w:rPr>
        <w:t xml:space="preserve"> companies’ “ready-to-drink</w:t>
      </w:r>
      <w:r w:rsidRPr="00373C11">
        <w:rPr>
          <w:lang w:val="en"/>
        </w:rPr>
        <w:t xml:space="preserve"> coffee</w:t>
      </w:r>
      <w:r w:rsidRPr="00373C11">
        <w:rPr>
          <w:lang w:val="en"/>
        </w:rPr>
        <w:t>,</w:t>
      </w:r>
      <w:r w:rsidRPr="00373C11">
        <w:rPr>
          <w:lang w:val="en"/>
        </w:rPr>
        <w:t xml:space="preserve">” </w:t>
      </w:r>
      <w:r w:rsidRPr="00373C11">
        <w:rPr>
          <w:lang w:val="en"/>
        </w:rPr>
        <w:t xml:space="preserve">similarly </w:t>
      </w:r>
      <w:r w:rsidRPr="00373C11">
        <w:rPr>
          <w:lang w:val="en"/>
        </w:rPr>
        <w:t xml:space="preserve">alleged that </w:t>
      </w:r>
      <w:r w:rsidRPr="00373C11">
        <w:rPr>
          <w:lang w:val="en"/>
        </w:rPr>
        <w:t>“[e]</w:t>
      </w:r>
      <w:r w:rsidRPr="00373C11">
        <w:rPr>
          <w:lang w:val="en"/>
        </w:rPr>
        <w:t xml:space="preserve">xposures to acrylamide unavoidably occurred via ingestion whenever a consumer purchased and thereafter consumed the </w:t>
      </w:r>
      <w:r w:rsidRPr="00373C11">
        <w:rPr>
          <w:lang w:val="en"/>
        </w:rPr>
        <w:t xml:space="preserve">above </w:t>
      </w:r>
      <w:r w:rsidRPr="00373C11">
        <w:rPr>
          <w:lang w:val="en"/>
        </w:rPr>
        <w:t>named entities’</w:t>
      </w:r>
      <w:r w:rsidRPr="00373C11">
        <w:rPr>
          <w:lang w:val="en"/>
        </w:rPr>
        <w:t xml:space="preserve"> </w:t>
      </w:r>
      <w:r w:rsidRPr="00373C11">
        <w:rPr>
          <w:lang w:val="en"/>
        </w:rPr>
        <w:t>ready-to-drink</w:t>
      </w:r>
      <w:r w:rsidRPr="00373C11">
        <w:rPr>
          <w:lang w:val="en"/>
        </w:rPr>
        <w:t xml:space="preserve"> coffee.</w:t>
      </w:r>
      <w:r w:rsidRPr="00373C11">
        <w:rPr>
          <w:lang w:val="en"/>
        </w:rPr>
        <w:t xml:space="preserve">” </w:t>
      </w:r>
      <w:r w:rsidRPr="00373C11">
        <w:rPr>
          <w:lang w:val="en"/>
        </w:rPr>
        <w:t xml:space="preserve"> </w:t>
      </w:r>
    </w:p>
    <w:p w14:paraId="4B60270D" w14:textId="77777777" w:rsidR="0086706A" w:rsidRPr="00373C11" w:rsidRDefault="00C25CF2" w:rsidP="00E81151">
      <w:pPr>
        <w:spacing w:line="288" w:lineRule="auto"/>
        <w:rPr>
          <w:lang w:val="en"/>
        </w:rPr>
      </w:pPr>
      <w:r w:rsidRPr="00373C11">
        <w:rPr>
          <w:lang w:val="en"/>
        </w:rPr>
        <w:t xml:space="preserve">CERT subsequently filed two actions </w:t>
      </w:r>
      <w:r w:rsidRPr="00373C11">
        <w:rPr>
          <w:lang w:val="en"/>
        </w:rPr>
        <w:t xml:space="preserve">under Prop. 65 </w:t>
      </w:r>
      <w:r w:rsidRPr="00373C11">
        <w:rPr>
          <w:lang w:val="en"/>
        </w:rPr>
        <w:t>agai</w:t>
      </w:r>
      <w:r w:rsidRPr="00373C11">
        <w:rPr>
          <w:lang w:val="en"/>
        </w:rPr>
        <w:t>nst</w:t>
      </w:r>
      <w:r w:rsidRPr="00373C11">
        <w:rPr>
          <w:lang w:val="en"/>
        </w:rPr>
        <w:t xml:space="preserve"> </w:t>
      </w:r>
      <w:r w:rsidRPr="00373C11">
        <w:rPr>
          <w:lang w:val="en"/>
        </w:rPr>
        <w:t>the previously</w:t>
      </w:r>
      <w:r w:rsidRPr="00373C11">
        <w:rPr>
          <w:lang w:val="en"/>
        </w:rPr>
        <w:t xml:space="preserve"> noticed </w:t>
      </w:r>
      <w:r w:rsidRPr="00373C11">
        <w:rPr>
          <w:lang w:val="en"/>
        </w:rPr>
        <w:t xml:space="preserve">companies, </w:t>
      </w:r>
      <w:r w:rsidRPr="00373C11">
        <w:rPr>
          <w:lang w:val="en"/>
        </w:rPr>
        <w:t xml:space="preserve">repeating the </w:t>
      </w:r>
      <w:r w:rsidRPr="00373C11">
        <w:rPr>
          <w:lang w:val="en"/>
        </w:rPr>
        <w:t xml:space="preserve">essential </w:t>
      </w:r>
      <w:r w:rsidRPr="00373C11">
        <w:rPr>
          <w:lang w:val="en"/>
        </w:rPr>
        <w:t>allegations in its pre-suit notices</w:t>
      </w:r>
      <w:r w:rsidRPr="00373C11">
        <w:rPr>
          <w:lang w:val="en"/>
        </w:rPr>
        <w:t xml:space="preserve">.  </w:t>
      </w:r>
      <w:r w:rsidRPr="00373C11">
        <w:rPr>
          <w:lang w:val="en"/>
        </w:rPr>
        <w:t xml:space="preserve">The </w:t>
      </w:r>
      <w:r w:rsidRPr="00373C11">
        <w:rPr>
          <w:lang w:val="en"/>
        </w:rPr>
        <w:t>actions were consolidated, and the matter proceeded t</w:t>
      </w:r>
      <w:r w:rsidRPr="00373C11">
        <w:rPr>
          <w:lang w:val="en"/>
        </w:rPr>
        <w:t>hrough various phases</w:t>
      </w:r>
      <w:r w:rsidRPr="00373C11">
        <w:rPr>
          <w:lang w:val="en"/>
        </w:rPr>
        <w:t xml:space="preserve"> </w:t>
      </w:r>
      <w:r w:rsidRPr="00373C11">
        <w:rPr>
          <w:lang w:val="en"/>
        </w:rPr>
        <w:t xml:space="preserve">of </w:t>
      </w:r>
      <w:r w:rsidRPr="00373C11">
        <w:rPr>
          <w:lang w:val="en"/>
        </w:rPr>
        <w:t>a bifurcated trial</w:t>
      </w:r>
      <w:r w:rsidRPr="00373C11">
        <w:rPr>
          <w:lang w:val="en"/>
        </w:rPr>
        <w:t>.</w:t>
      </w:r>
      <w:r w:rsidRPr="00373C11">
        <w:rPr>
          <w:lang w:val="en"/>
        </w:rPr>
        <w:t xml:space="preserve"> </w:t>
      </w:r>
    </w:p>
    <w:p w14:paraId="42C6FC95" w14:textId="77777777" w:rsidR="0086706A" w:rsidRPr="00373C11" w:rsidRDefault="00C25CF2" w:rsidP="00E81151">
      <w:pPr>
        <w:spacing w:line="288" w:lineRule="auto"/>
        <w:rPr>
          <w:lang w:val="en"/>
        </w:rPr>
      </w:pPr>
    </w:p>
    <w:p w14:paraId="66D4B851" w14:textId="77777777" w:rsidR="0084364F" w:rsidRPr="00373C11" w:rsidRDefault="00C25CF2" w:rsidP="00E81151">
      <w:pPr>
        <w:keepNext/>
        <w:numPr>
          <w:ilvl w:val="0"/>
          <w:numId w:val="1"/>
        </w:numPr>
        <w:tabs>
          <w:tab w:val="left" w:pos="1080"/>
        </w:tabs>
        <w:spacing w:after="120" w:line="288" w:lineRule="auto"/>
        <w:ind w:firstLine="0"/>
        <w:outlineLvl w:val="1"/>
        <w:rPr>
          <w:bCs/>
          <w:i/>
          <w:iCs/>
        </w:rPr>
      </w:pPr>
      <w:r w:rsidRPr="00373C11">
        <w:rPr>
          <w:bCs/>
          <w:i/>
          <w:iCs/>
        </w:rPr>
        <w:t>Trial Phases 1 and 2</w:t>
      </w:r>
    </w:p>
    <w:p w14:paraId="09AFF39D" w14:textId="77777777" w:rsidR="00897538" w:rsidRPr="00373C11" w:rsidRDefault="00C25CF2" w:rsidP="00E81151">
      <w:pPr>
        <w:spacing w:line="288" w:lineRule="auto"/>
      </w:pPr>
      <w:r w:rsidRPr="00373C11">
        <w:t>A</w:t>
      </w:r>
      <w:r w:rsidRPr="00373C11">
        <w:t xml:space="preserve">t </w:t>
      </w:r>
      <w:r w:rsidRPr="00373C11">
        <w:t xml:space="preserve">phases 1 and 2 of the </w:t>
      </w:r>
      <w:r w:rsidRPr="00373C11">
        <w:t>trial, the court rejected multiple</w:t>
      </w:r>
      <w:r w:rsidRPr="00373C11">
        <w:t xml:space="preserve"> affirmative defenses</w:t>
      </w:r>
      <w:r w:rsidRPr="00373C11">
        <w:t xml:space="preserve"> asserted by </w:t>
      </w:r>
      <w:r w:rsidRPr="00373C11">
        <w:t>respondents</w:t>
      </w:r>
      <w:r w:rsidRPr="00373C11">
        <w:t xml:space="preserve">. </w:t>
      </w:r>
      <w:r w:rsidRPr="00373C11">
        <w:t xml:space="preserve"> </w:t>
      </w:r>
      <w:r w:rsidRPr="00373C11">
        <w:t>T</w:t>
      </w:r>
      <w:r w:rsidRPr="00373C11">
        <w:t xml:space="preserve">he court </w:t>
      </w:r>
      <w:r w:rsidRPr="00373C11">
        <w:t xml:space="preserve">also </w:t>
      </w:r>
      <w:r w:rsidRPr="00373C11">
        <w:t xml:space="preserve">granted CERT’s motion for summary adjudication, </w:t>
      </w:r>
      <w:r w:rsidRPr="00373C11">
        <w:t>conclud</w:t>
      </w:r>
      <w:r w:rsidRPr="00373C11">
        <w:t>ing</w:t>
      </w:r>
      <w:r w:rsidRPr="00373C11">
        <w:t xml:space="preserve"> </w:t>
      </w:r>
      <w:r w:rsidRPr="00373C11">
        <w:t>it had</w:t>
      </w:r>
      <w:r w:rsidRPr="00373C11">
        <w:t xml:space="preserve"> established </w:t>
      </w:r>
      <w:r w:rsidRPr="00373C11">
        <w:t>its</w:t>
      </w:r>
      <w:r w:rsidRPr="00373C11">
        <w:t xml:space="preserve"> prima facie case against </w:t>
      </w:r>
      <w:r w:rsidRPr="00373C11">
        <w:t xml:space="preserve">most of the </w:t>
      </w:r>
      <w:r w:rsidRPr="00373C11">
        <w:t>respondents</w:t>
      </w:r>
      <w:r w:rsidRPr="00373C11">
        <w:t xml:space="preserve">, </w:t>
      </w:r>
      <w:r w:rsidRPr="00373C11">
        <w:t xml:space="preserve">who had stipulated to </w:t>
      </w:r>
      <w:r w:rsidRPr="00373C11">
        <w:t xml:space="preserve">facts that supported CERT’s prima facie case. </w:t>
      </w:r>
      <w:r w:rsidRPr="00373C11">
        <w:t xml:space="preserve"> </w:t>
      </w:r>
      <w:r w:rsidRPr="00373C11">
        <w:t xml:space="preserve">The matter was </w:t>
      </w:r>
      <w:r w:rsidRPr="00373C11">
        <w:t>scheduled</w:t>
      </w:r>
      <w:r w:rsidRPr="00373C11">
        <w:t xml:space="preserve"> to proceed to a remedies phase</w:t>
      </w:r>
      <w:r w:rsidRPr="00373C11">
        <w:t xml:space="preserve"> in October 2018</w:t>
      </w:r>
      <w:r w:rsidRPr="00373C11">
        <w:t>.</w:t>
      </w:r>
      <w:r w:rsidRPr="00373C11">
        <w:t xml:space="preserve"> </w:t>
      </w:r>
      <w:r w:rsidRPr="00373C11">
        <w:t xml:space="preserve"> </w:t>
      </w:r>
    </w:p>
    <w:p w14:paraId="3E218F00" w14:textId="77777777" w:rsidR="00492F38" w:rsidRPr="00373C11" w:rsidRDefault="00C25CF2" w:rsidP="00E81151">
      <w:pPr>
        <w:spacing w:line="288" w:lineRule="auto"/>
        <w:rPr>
          <w:lang w:val="en"/>
        </w:rPr>
      </w:pPr>
    </w:p>
    <w:p w14:paraId="2877B8FC" w14:textId="77777777" w:rsidR="003057D0" w:rsidRPr="00373C11" w:rsidRDefault="00C25CF2" w:rsidP="00E81151">
      <w:pPr>
        <w:keepNext/>
        <w:numPr>
          <w:ilvl w:val="0"/>
          <w:numId w:val="1"/>
        </w:numPr>
        <w:tabs>
          <w:tab w:val="left" w:pos="1080"/>
        </w:tabs>
        <w:spacing w:after="120" w:line="288" w:lineRule="auto"/>
        <w:ind w:firstLine="0"/>
        <w:outlineLvl w:val="1"/>
        <w:rPr>
          <w:bCs/>
          <w:i/>
          <w:iCs/>
        </w:rPr>
      </w:pPr>
      <w:r w:rsidRPr="00373C11">
        <w:rPr>
          <w:bCs/>
          <w:i/>
          <w:iCs/>
        </w:rPr>
        <w:t>The I</w:t>
      </w:r>
      <w:r w:rsidRPr="00373C11">
        <w:rPr>
          <w:bCs/>
          <w:i/>
          <w:iCs/>
        </w:rPr>
        <w:t xml:space="preserve">nternational </w:t>
      </w:r>
      <w:r w:rsidRPr="00373C11">
        <w:rPr>
          <w:bCs/>
          <w:i/>
          <w:iCs/>
        </w:rPr>
        <w:t>A</w:t>
      </w:r>
      <w:r w:rsidRPr="00373C11">
        <w:rPr>
          <w:bCs/>
          <w:i/>
          <w:iCs/>
        </w:rPr>
        <w:t xml:space="preserve">gency for </w:t>
      </w:r>
      <w:r w:rsidRPr="00373C11">
        <w:rPr>
          <w:bCs/>
          <w:i/>
          <w:iCs/>
        </w:rPr>
        <w:t>R</w:t>
      </w:r>
      <w:r w:rsidRPr="00373C11">
        <w:rPr>
          <w:bCs/>
          <w:i/>
          <w:iCs/>
        </w:rPr>
        <w:t xml:space="preserve">esearch on </w:t>
      </w:r>
      <w:r w:rsidRPr="00373C11">
        <w:rPr>
          <w:bCs/>
          <w:i/>
          <w:iCs/>
        </w:rPr>
        <w:t>C</w:t>
      </w:r>
      <w:r w:rsidRPr="00373C11">
        <w:rPr>
          <w:bCs/>
          <w:i/>
          <w:iCs/>
        </w:rPr>
        <w:t>ancer</w:t>
      </w:r>
      <w:r w:rsidRPr="00373C11">
        <w:rPr>
          <w:bCs/>
          <w:i/>
          <w:iCs/>
        </w:rPr>
        <w:t xml:space="preserve"> Monograph</w:t>
      </w:r>
    </w:p>
    <w:p w14:paraId="1400680D" w14:textId="77777777" w:rsidR="00F3596D" w:rsidRPr="00373C11" w:rsidRDefault="00C25CF2" w:rsidP="00E81151">
      <w:pPr>
        <w:spacing w:line="288" w:lineRule="auto"/>
        <w:rPr>
          <w:lang w:val="en"/>
        </w:rPr>
      </w:pPr>
      <w:r w:rsidRPr="00373C11">
        <w:rPr>
          <w:lang w:val="en"/>
        </w:rPr>
        <w:t xml:space="preserve">On June 13, 2018, </w:t>
      </w:r>
      <w:r w:rsidRPr="00373C11">
        <w:rPr>
          <w:lang w:val="en"/>
        </w:rPr>
        <w:t xml:space="preserve">the </w:t>
      </w:r>
      <w:r w:rsidRPr="00373C11">
        <w:rPr>
          <w:lang w:val="en"/>
        </w:rPr>
        <w:t>International Agency for Resear</w:t>
      </w:r>
      <w:r w:rsidRPr="00373C11">
        <w:rPr>
          <w:lang w:val="en"/>
        </w:rPr>
        <w:t>ch on Cancer (</w:t>
      </w:r>
      <w:r w:rsidRPr="00373C11">
        <w:rPr>
          <w:lang w:val="en"/>
        </w:rPr>
        <w:t>IARC</w:t>
      </w:r>
      <w:r w:rsidRPr="00373C11">
        <w:rPr>
          <w:lang w:val="en"/>
        </w:rPr>
        <w:t>)</w:t>
      </w:r>
      <w:r w:rsidRPr="00373C11">
        <w:rPr>
          <w:lang w:val="en"/>
        </w:rPr>
        <w:t xml:space="preserve"> </w:t>
      </w:r>
      <w:r w:rsidRPr="00373C11">
        <w:rPr>
          <w:lang w:val="en"/>
        </w:rPr>
        <w:t>-</w:t>
      </w:r>
      <w:r w:rsidRPr="00373C11">
        <w:rPr>
          <w:lang w:val="en"/>
        </w:rPr>
        <w:t>-</w:t>
      </w:r>
      <w:r w:rsidRPr="00373C11">
        <w:rPr>
          <w:lang w:val="en"/>
        </w:rPr>
        <w:t xml:space="preserve"> </w:t>
      </w:r>
      <w:r w:rsidRPr="00373C11">
        <w:rPr>
          <w:lang w:val="en"/>
        </w:rPr>
        <w:t xml:space="preserve">an authoritative body for </w:t>
      </w:r>
      <w:r w:rsidRPr="00373C11">
        <w:rPr>
          <w:lang w:val="en"/>
        </w:rPr>
        <w:t xml:space="preserve">the </w:t>
      </w:r>
      <w:r w:rsidRPr="00373C11">
        <w:rPr>
          <w:lang w:val="en"/>
        </w:rPr>
        <w:lastRenderedPageBreak/>
        <w:t xml:space="preserve">identification of chemicals causing cancer </w:t>
      </w:r>
      <w:r w:rsidRPr="00373C11">
        <w:rPr>
          <w:lang w:val="en"/>
        </w:rPr>
        <w:t>under Prop. 65 (</w:t>
      </w:r>
      <w:bookmarkStart w:id="7" w:name="dabmci_3ed6dd078d4544dea77fde7f901ac777"/>
      <w:r w:rsidRPr="00373C11">
        <w:rPr>
          <w:lang w:val="en"/>
        </w:rPr>
        <w:t>Cal. Code Regs., tit. 27, § 25306, subd. (m)(1)</w:t>
      </w:r>
      <w:bookmarkEnd w:id="7"/>
      <w:r w:rsidRPr="00373C11">
        <w:rPr>
          <w:lang w:val="en"/>
        </w:rPr>
        <w:t xml:space="preserve">) -- </w:t>
      </w:r>
      <w:r w:rsidRPr="00373C11">
        <w:rPr>
          <w:lang w:val="en"/>
        </w:rPr>
        <w:t xml:space="preserve">released </w:t>
      </w:r>
      <w:r w:rsidRPr="00373C11">
        <w:rPr>
          <w:lang w:val="en"/>
        </w:rPr>
        <w:t>a</w:t>
      </w:r>
      <w:r w:rsidRPr="00373C11">
        <w:rPr>
          <w:lang w:val="en"/>
        </w:rPr>
        <w:t xml:space="preserve"> 501-page </w:t>
      </w:r>
      <w:r w:rsidRPr="00373C11">
        <w:rPr>
          <w:lang w:val="en"/>
        </w:rPr>
        <w:t>m</w:t>
      </w:r>
      <w:r w:rsidRPr="00373C11">
        <w:rPr>
          <w:lang w:val="en"/>
        </w:rPr>
        <w:t>onograph on the cancer risks of coffee consumption</w:t>
      </w:r>
      <w:r w:rsidRPr="00373C11">
        <w:rPr>
          <w:lang w:val="en"/>
        </w:rPr>
        <w:t xml:space="preserve"> (the Monograph)</w:t>
      </w:r>
      <w:r w:rsidRPr="00373C11">
        <w:rPr>
          <w:lang w:val="en"/>
        </w:rPr>
        <w:t xml:space="preserve">. </w:t>
      </w:r>
      <w:r w:rsidRPr="00373C11">
        <w:rPr>
          <w:lang w:val="en"/>
        </w:rPr>
        <w:t xml:space="preserve"> </w:t>
      </w:r>
      <w:r w:rsidRPr="00373C11">
        <w:rPr>
          <w:lang w:val="en"/>
        </w:rPr>
        <w:t xml:space="preserve">Based on “more than 1000 observational and experimental studies,” </w:t>
      </w:r>
      <w:r w:rsidRPr="00373C11">
        <w:rPr>
          <w:lang w:val="en"/>
        </w:rPr>
        <w:t xml:space="preserve">the Monograph </w:t>
      </w:r>
      <w:r w:rsidRPr="00373C11">
        <w:rPr>
          <w:lang w:val="en"/>
        </w:rPr>
        <w:t>found</w:t>
      </w:r>
      <w:r w:rsidRPr="00373C11">
        <w:rPr>
          <w:lang w:val="en"/>
        </w:rPr>
        <w:t xml:space="preserve"> there </w:t>
      </w:r>
      <w:r w:rsidRPr="00373C11">
        <w:rPr>
          <w:lang w:val="en"/>
        </w:rPr>
        <w:t>wa</w:t>
      </w:r>
      <w:r w:rsidRPr="00373C11">
        <w:rPr>
          <w:lang w:val="en"/>
        </w:rPr>
        <w:t xml:space="preserve">s </w:t>
      </w:r>
      <w:r w:rsidRPr="00373C11">
        <w:rPr>
          <w:lang w:val="en"/>
        </w:rPr>
        <w:t>“</w:t>
      </w:r>
      <w:r w:rsidRPr="00373C11">
        <w:rPr>
          <w:i/>
          <w:iCs/>
          <w:lang w:val="en"/>
        </w:rPr>
        <w:t>inadequate evidence</w:t>
      </w:r>
      <w:r w:rsidRPr="00373C11">
        <w:rPr>
          <w:lang w:val="en"/>
        </w:rPr>
        <w:t xml:space="preserve"> in humans and experimental animals for the carcinogenicity of coffee drinking.”</w:t>
      </w:r>
      <w:r>
        <w:rPr>
          <w:rStyle w:val="FootnoteReference"/>
          <w:lang w:val="en"/>
        </w:rPr>
        <w:footnoteReference w:id="7"/>
      </w:r>
      <w:r w:rsidRPr="00373C11">
        <w:rPr>
          <w:lang w:val="en"/>
        </w:rPr>
        <w:t xml:space="preserve"> </w:t>
      </w:r>
      <w:r w:rsidRPr="00373C11">
        <w:rPr>
          <w:lang w:val="en"/>
        </w:rPr>
        <w:t xml:space="preserve"> </w:t>
      </w:r>
      <w:r w:rsidRPr="00373C11">
        <w:rPr>
          <w:lang w:val="en"/>
        </w:rPr>
        <w:t xml:space="preserve">The document acknowledged </w:t>
      </w:r>
      <w:r w:rsidRPr="00373C11">
        <w:rPr>
          <w:lang w:val="en"/>
        </w:rPr>
        <w:t>that a work</w:t>
      </w:r>
      <w:r w:rsidRPr="00373C11">
        <w:rPr>
          <w:lang w:val="en"/>
        </w:rPr>
        <w:t>ing group in 1991 had found that coffee cause</w:t>
      </w:r>
      <w:r w:rsidRPr="00373C11">
        <w:rPr>
          <w:lang w:val="en"/>
        </w:rPr>
        <w:t>d</w:t>
      </w:r>
      <w:r w:rsidRPr="00373C11">
        <w:rPr>
          <w:lang w:val="en"/>
        </w:rPr>
        <w:t xml:space="preserve"> cancer of the urinary bladder, </w:t>
      </w:r>
      <w:r w:rsidRPr="00373C11">
        <w:rPr>
          <w:lang w:val="en"/>
        </w:rPr>
        <w:t>but</w:t>
      </w:r>
      <w:r w:rsidRPr="00373C11">
        <w:rPr>
          <w:lang w:val="en"/>
        </w:rPr>
        <w:t xml:space="preserve"> explained that the new </w:t>
      </w:r>
      <w:r w:rsidRPr="00373C11">
        <w:rPr>
          <w:lang w:val="en"/>
        </w:rPr>
        <w:t>w</w:t>
      </w:r>
      <w:r w:rsidRPr="00373C11">
        <w:rPr>
          <w:lang w:val="en"/>
        </w:rPr>
        <w:t xml:space="preserve">orking </w:t>
      </w:r>
      <w:r w:rsidRPr="00373C11">
        <w:rPr>
          <w:lang w:val="en"/>
        </w:rPr>
        <w:t>g</w:t>
      </w:r>
      <w:r w:rsidRPr="00373C11">
        <w:rPr>
          <w:lang w:val="en"/>
        </w:rPr>
        <w:t xml:space="preserve">roup </w:t>
      </w:r>
      <w:r w:rsidRPr="00373C11">
        <w:rPr>
          <w:lang w:val="en"/>
        </w:rPr>
        <w:t>focused on</w:t>
      </w:r>
      <w:r w:rsidRPr="00373C11">
        <w:rPr>
          <w:lang w:val="en"/>
        </w:rPr>
        <w:t xml:space="preserve"> </w:t>
      </w:r>
      <w:r w:rsidRPr="00373C11">
        <w:rPr>
          <w:lang w:val="en"/>
        </w:rPr>
        <w:t>higher-quality epidemiological studies, which show</w:t>
      </w:r>
      <w:r w:rsidRPr="00373C11">
        <w:rPr>
          <w:lang w:val="en"/>
        </w:rPr>
        <w:t>ed no</w:t>
      </w:r>
      <w:r w:rsidRPr="00373C11">
        <w:rPr>
          <w:lang w:val="en"/>
        </w:rPr>
        <w:t xml:space="preserve"> consistent association, and </w:t>
      </w:r>
      <w:r w:rsidRPr="00373C11">
        <w:rPr>
          <w:lang w:val="en"/>
        </w:rPr>
        <w:t>s</w:t>
      </w:r>
      <w:r w:rsidRPr="00373C11">
        <w:rPr>
          <w:lang w:val="en"/>
        </w:rPr>
        <w:t xml:space="preserve">uggested </w:t>
      </w:r>
      <w:r w:rsidRPr="00373C11">
        <w:rPr>
          <w:lang w:val="en"/>
        </w:rPr>
        <w:t xml:space="preserve">that the prior association observed in some studies was </w:t>
      </w:r>
      <w:r w:rsidRPr="00373C11">
        <w:rPr>
          <w:lang w:val="en"/>
        </w:rPr>
        <w:t>“</w:t>
      </w:r>
      <w:r w:rsidRPr="00373C11">
        <w:rPr>
          <w:lang w:val="en"/>
        </w:rPr>
        <w:t>probably due to inadequate control for the confounding effects of tobacco smoking</w:t>
      </w:r>
      <w:r w:rsidRPr="00373C11">
        <w:rPr>
          <w:lang w:val="en"/>
        </w:rPr>
        <w:t>.</w:t>
      </w:r>
      <w:r w:rsidRPr="00373C11">
        <w:rPr>
          <w:lang w:val="en"/>
        </w:rPr>
        <w:t xml:space="preserve">” </w:t>
      </w:r>
      <w:r w:rsidRPr="00373C11">
        <w:rPr>
          <w:lang w:val="en"/>
        </w:rPr>
        <w:t xml:space="preserve"> </w:t>
      </w:r>
    </w:p>
    <w:p w14:paraId="6EA47FA7" w14:textId="77777777" w:rsidR="008C250A" w:rsidRPr="00373C11" w:rsidRDefault="00C25CF2" w:rsidP="00E81151">
      <w:pPr>
        <w:spacing w:line="288" w:lineRule="auto"/>
        <w:rPr>
          <w:lang w:val="en"/>
        </w:rPr>
      </w:pPr>
      <w:r w:rsidRPr="00373C11">
        <w:rPr>
          <w:lang w:val="en"/>
        </w:rPr>
        <w:t xml:space="preserve">The Monograph </w:t>
      </w:r>
      <w:r w:rsidRPr="00373C11">
        <w:rPr>
          <w:lang w:val="en"/>
        </w:rPr>
        <w:t>continued</w:t>
      </w:r>
      <w:r w:rsidRPr="00373C11">
        <w:rPr>
          <w:lang w:val="en"/>
        </w:rPr>
        <w:t>: “In considering the data now available for more than 20 other cancer sites in humans, th</w:t>
      </w:r>
      <w:r w:rsidRPr="00373C11">
        <w:rPr>
          <w:lang w:val="en"/>
        </w:rPr>
        <w:t xml:space="preserve">e Working Group found </w:t>
      </w:r>
      <w:r w:rsidRPr="00373C11">
        <w:rPr>
          <w:i/>
          <w:iCs/>
          <w:lang w:val="en"/>
        </w:rPr>
        <w:t>evidence suggesting lack of carcinogenicity</w:t>
      </w:r>
      <w:r w:rsidRPr="00373C11">
        <w:rPr>
          <w:lang w:val="en"/>
        </w:rPr>
        <w:t xml:space="preserve"> for cancers of the female breast, uterine endometrium, prostate, pancreas, and liver, and </w:t>
      </w:r>
      <w:r w:rsidRPr="00373C11">
        <w:rPr>
          <w:i/>
          <w:iCs/>
          <w:lang w:val="en"/>
        </w:rPr>
        <w:t>inadequate evidence</w:t>
      </w:r>
      <w:r w:rsidRPr="00373C11">
        <w:rPr>
          <w:lang w:val="en"/>
        </w:rPr>
        <w:t xml:space="preserve"> in humans for cancers at all other sites. </w:t>
      </w:r>
      <w:r w:rsidRPr="00373C11">
        <w:rPr>
          <w:lang w:val="en"/>
        </w:rPr>
        <w:t xml:space="preserve"> </w:t>
      </w:r>
      <w:r w:rsidRPr="00373C11">
        <w:rPr>
          <w:lang w:val="en"/>
        </w:rPr>
        <w:t>The Working Group’s review of other r</w:t>
      </w:r>
      <w:r w:rsidRPr="00373C11">
        <w:rPr>
          <w:lang w:val="en"/>
        </w:rPr>
        <w:t xml:space="preserve">elevant data found </w:t>
      </w:r>
      <w:r w:rsidRPr="00373C11">
        <w:rPr>
          <w:i/>
          <w:iCs/>
          <w:lang w:val="en"/>
        </w:rPr>
        <w:t xml:space="preserve">strong </w:t>
      </w:r>
      <w:r w:rsidRPr="00373C11">
        <w:rPr>
          <w:i/>
          <w:iCs/>
          <w:lang w:val="en"/>
        </w:rPr>
        <w:lastRenderedPageBreak/>
        <w:t>evidence</w:t>
      </w:r>
      <w:r w:rsidRPr="00373C11">
        <w:rPr>
          <w:lang w:val="en"/>
        </w:rPr>
        <w:t xml:space="preserve"> in humans that coffee has antioxidant effects.</w:t>
      </w:r>
      <w:r w:rsidRPr="00373C11">
        <w:rPr>
          <w:lang w:val="en"/>
        </w:rPr>
        <w:t xml:space="preserve"> </w:t>
      </w:r>
      <w:r w:rsidRPr="00373C11">
        <w:rPr>
          <w:lang w:val="en"/>
        </w:rPr>
        <w:t xml:space="preserve"> </w:t>
      </w:r>
      <w:r w:rsidRPr="00373C11">
        <w:rPr>
          <w:lang w:val="en"/>
        </w:rPr>
        <w:t xml:space="preserve">As a result of this re-evaluation, the Working Group concluded that drinking coffee is </w:t>
      </w:r>
      <w:r w:rsidRPr="00373C11">
        <w:rPr>
          <w:i/>
          <w:iCs/>
          <w:lang w:val="en"/>
        </w:rPr>
        <w:t xml:space="preserve">not classifiable as to its carcinogenicity to humans </w:t>
      </w:r>
      <w:r w:rsidRPr="00373C11">
        <w:rPr>
          <w:lang w:val="en"/>
        </w:rPr>
        <w:t>. . . </w:t>
      </w:r>
      <w:r w:rsidRPr="00373C11">
        <w:rPr>
          <w:lang w:val="en"/>
        </w:rPr>
        <w:t>.</w:t>
      </w:r>
      <w:r w:rsidRPr="00373C11">
        <w:rPr>
          <w:lang w:val="en"/>
        </w:rPr>
        <w:t xml:space="preserve">” </w:t>
      </w:r>
      <w:r w:rsidRPr="00373C11">
        <w:rPr>
          <w:lang w:val="en"/>
        </w:rPr>
        <w:t xml:space="preserve"> </w:t>
      </w:r>
      <w:r w:rsidRPr="00373C11">
        <w:rPr>
          <w:lang w:val="en"/>
        </w:rPr>
        <w:t>The document a</w:t>
      </w:r>
      <w:r w:rsidRPr="00373C11">
        <w:rPr>
          <w:lang w:val="en"/>
        </w:rPr>
        <w:t>dditional</w:t>
      </w:r>
      <w:r w:rsidRPr="00373C11">
        <w:rPr>
          <w:lang w:val="en"/>
        </w:rPr>
        <w:t>ly</w:t>
      </w:r>
      <w:r w:rsidRPr="00373C11">
        <w:rPr>
          <w:lang w:val="en"/>
        </w:rPr>
        <w:t xml:space="preserve"> noted</w:t>
      </w:r>
      <w:r w:rsidRPr="00373C11">
        <w:rPr>
          <w:lang w:val="en"/>
        </w:rPr>
        <w:t xml:space="preserve"> </w:t>
      </w:r>
      <w:r w:rsidRPr="00373C11">
        <w:rPr>
          <w:lang w:val="en"/>
        </w:rPr>
        <w:t>that</w:t>
      </w:r>
      <w:r w:rsidRPr="00373C11">
        <w:rPr>
          <w:lang w:val="en"/>
        </w:rPr>
        <w:t xml:space="preserve"> </w:t>
      </w:r>
      <w:r w:rsidRPr="00373C11">
        <w:rPr>
          <w:lang w:val="en"/>
        </w:rPr>
        <w:t>“[i]nverse associations with drinking coffee have been observed with cancers of the liver and uterine endometrium</w:t>
      </w:r>
      <w:r w:rsidRPr="00373C11">
        <w:rPr>
          <w:lang w:val="en"/>
        </w:rPr>
        <w:t>,</w:t>
      </w:r>
      <w:r w:rsidRPr="00373C11">
        <w:rPr>
          <w:lang w:val="en"/>
        </w:rPr>
        <w:t xml:space="preserve">” </w:t>
      </w:r>
      <w:r w:rsidRPr="00373C11">
        <w:rPr>
          <w:lang w:val="en"/>
        </w:rPr>
        <w:t xml:space="preserve">suggesting that </w:t>
      </w:r>
      <w:r w:rsidRPr="00373C11">
        <w:rPr>
          <w:lang w:val="en"/>
        </w:rPr>
        <w:t>coffee reduce</w:t>
      </w:r>
      <w:r w:rsidRPr="00373C11">
        <w:rPr>
          <w:lang w:val="en"/>
        </w:rPr>
        <w:t>d</w:t>
      </w:r>
      <w:r w:rsidRPr="00373C11">
        <w:rPr>
          <w:lang w:val="en"/>
        </w:rPr>
        <w:t xml:space="preserve"> </w:t>
      </w:r>
      <w:r w:rsidRPr="00373C11">
        <w:rPr>
          <w:lang w:val="en"/>
        </w:rPr>
        <w:t>the</w:t>
      </w:r>
      <w:r w:rsidRPr="00373C11">
        <w:rPr>
          <w:lang w:val="en"/>
        </w:rPr>
        <w:t xml:space="preserve"> risks</w:t>
      </w:r>
      <w:r w:rsidRPr="00373C11">
        <w:rPr>
          <w:lang w:val="en"/>
        </w:rPr>
        <w:t xml:space="preserve"> of </w:t>
      </w:r>
      <w:r w:rsidRPr="00373C11">
        <w:rPr>
          <w:lang w:val="en"/>
        </w:rPr>
        <w:t xml:space="preserve">those </w:t>
      </w:r>
      <w:r w:rsidRPr="00373C11">
        <w:rPr>
          <w:lang w:val="en"/>
        </w:rPr>
        <w:t>cancer</w:t>
      </w:r>
      <w:r w:rsidRPr="00373C11">
        <w:rPr>
          <w:lang w:val="en"/>
        </w:rPr>
        <w:t>s</w:t>
      </w:r>
      <w:r w:rsidRPr="00373C11">
        <w:rPr>
          <w:lang w:val="en"/>
        </w:rPr>
        <w:t xml:space="preserve">. </w:t>
      </w:r>
      <w:r w:rsidRPr="00373C11">
        <w:rPr>
          <w:lang w:val="en"/>
        </w:rPr>
        <w:t xml:space="preserve"> </w:t>
      </w:r>
    </w:p>
    <w:p w14:paraId="37C22E11" w14:textId="77777777" w:rsidR="009B6411" w:rsidRPr="00373C11" w:rsidRDefault="00C25CF2" w:rsidP="00E81151">
      <w:pPr>
        <w:spacing w:line="288" w:lineRule="auto"/>
        <w:rPr>
          <w:lang w:val="en"/>
        </w:rPr>
      </w:pPr>
    </w:p>
    <w:p w14:paraId="2F6E1A84" w14:textId="77777777" w:rsidR="00527C78" w:rsidRPr="00373C11" w:rsidRDefault="00C25CF2" w:rsidP="00E81151">
      <w:pPr>
        <w:keepNext/>
        <w:numPr>
          <w:ilvl w:val="0"/>
          <w:numId w:val="1"/>
        </w:numPr>
        <w:tabs>
          <w:tab w:val="left" w:pos="1080"/>
        </w:tabs>
        <w:spacing w:after="120" w:line="288" w:lineRule="auto"/>
        <w:ind w:firstLine="0"/>
        <w:outlineLvl w:val="1"/>
        <w:rPr>
          <w:i/>
          <w:iCs/>
          <w:lang w:val="en"/>
        </w:rPr>
      </w:pPr>
      <w:r w:rsidRPr="00373C11">
        <w:rPr>
          <w:i/>
          <w:iCs/>
          <w:lang w:val="en"/>
        </w:rPr>
        <w:t xml:space="preserve">Adoption </w:t>
      </w:r>
      <w:r w:rsidRPr="00373C11">
        <w:rPr>
          <w:i/>
          <w:iCs/>
          <w:lang w:val="en"/>
        </w:rPr>
        <w:t>o</w:t>
      </w:r>
      <w:r w:rsidRPr="00373C11">
        <w:rPr>
          <w:i/>
          <w:iCs/>
          <w:lang w:val="en"/>
        </w:rPr>
        <w:t xml:space="preserve">f </w:t>
      </w:r>
      <w:r w:rsidRPr="00373C11">
        <w:rPr>
          <w:i/>
          <w:iCs/>
          <w:lang w:val="en"/>
        </w:rPr>
        <w:t>t</w:t>
      </w:r>
      <w:r w:rsidRPr="00373C11">
        <w:rPr>
          <w:i/>
          <w:iCs/>
          <w:lang w:val="en"/>
        </w:rPr>
        <w:t>he Coffee Regulation</w:t>
      </w:r>
    </w:p>
    <w:p w14:paraId="2DFC19B7" w14:textId="77777777" w:rsidR="00F95E1F" w:rsidRPr="00373C11" w:rsidRDefault="00C25CF2" w:rsidP="00E81151">
      <w:pPr>
        <w:keepNext/>
        <w:numPr>
          <w:ilvl w:val="1"/>
          <w:numId w:val="1"/>
        </w:numPr>
        <w:tabs>
          <w:tab w:val="left" w:pos="1080"/>
        </w:tabs>
        <w:spacing w:after="120" w:line="288" w:lineRule="auto"/>
        <w:outlineLvl w:val="2"/>
        <w:rPr>
          <w:i/>
          <w:iCs/>
          <w:lang w:val="en"/>
        </w:rPr>
      </w:pPr>
      <w:r w:rsidRPr="00373C11">
        <w:rPr>
          <w:lang w:val="en"/>
        </w:rPr>
        <w:t>Proposed Regulation</w:t>
      </w:r>
      <w:r w:rsidRPr="00373C11">
        <w:rPr>
          <w:lang w:val="en"/>
        </w:rPr>
        <w:t xml:space="preserve"> and</w:t>
      </w:r>
      <w:r w:rsidRPr="00373C11">
        <w:rPr>
          <w:lang w:val="en"/>
        </w:rPr>
        <w:t xml:space="preserve"> Initial Statement of Reasons</w:t>
      </w:r>
    </w:p>
    <w:p w14:paraId="3B733A34" w14:textId="77777777" w:rsidR="001E4A90" w:rsidRPr="00373C11" w:rsidRDefault="00C25CF2" w:rsidP="00E81151">
      <w:pPr>
        <w:spacing w:line="288" w:lineRule="auto"/>
        <w:rPr>
          <w:lang w:val="en"/>
        </w:rPr>
      </w:pPr>
      <w:r w:rsidRPr="00373C11">
        <w:rPr>
          <w:lang w:val="en"/>
        </w:rPr>
        <w:t xml:space="preserve">On June 15, 2018, </w:t>
      </w:r>
      <w:r w:rsidRPr="00373C11">
        <w:rPr>
          <w:lang w:val="en"/>
        </w:rPr>
        <w:t xml:space="preserve">shortly after the IARC </w:t>
      </w:r>
      <w:r w:rsidRPr="00373C11">
        <w:rPr>
          <w:lang w:val="en"/>
        </w:rPr>
        <w:t>released</w:t>
      </w:r>
      <w:r w:rsidRPr="00373C11">
        <w:rPr>
          <w:lang w:val="en"/>
        </w:rPr>
        <w:t xml:space="preserve"> </w:t>
      </w:r>
      <w:r w:rsidRPr="00373C11">
        <w:rPr>
          <w:lang w:val="en"/>
        </w:rPr>
        <w:t xml:space="preserve">its Monograph, </w:t>
      </w:r>
      <w:r w:rsidRPr="00373C11">
        <w:rPr>
          <w:lang w:val="en"/>
        </w:rPr>
        <w:t>the Agency</w:t>
      </w:r>
      <w:r w:rsidRPr="00373C11">
        <w:rPr>
          <w:lang w:val="en"/>
        </w:rPr>
        <w:t xml:space="preserve"> published a notice of its intent to adopt a new regulation, </w:t>
      </w:r>
      <w:r w:rsidRPr="00373C11">
        <w:rPr>
          <w:lang w:val="en"/>
        </w:rPr>
        <w:t xml:space="preserve">to </w:t>
      </w:r>
      <w:r w:rsidRPr="00373C11">
        <w:rPr>
          <w:lang w:val="en"/>
        </w:rPr>
        <w:t>provid</w:t>
      </w:r>
      <w:r w:rsidRPr="00373C11">
        <w:rPr>
          <w:lang w:val="en"/>
        </w:rPr>
        <w:t>e</w:t>
      </w:r>
      <w:r w:rsidRPr="00373C11">
        <w:rPr>
          <w:lang w:val="en"/>
        </w:rPr>
        <w:t xml:space="preserve"> that “[e]xposures to listed chemicals in coffee created by and inherent in the </w:t>
      </w:r>
      <w:r w:rsidRPr="00373C11">
        <w:rPr>
          <w:lang w:val="en"/>
        </w:rPr>
        <w:t>processes of roasting coffee beans or brewing coffee do not pose a significant risk of cancer.”</w:t>
      </w:r>
      <w:r>
        <w:rPr>
          <w:rStyle w:val="FootnoteReference"/>
          <w:lang w:val="en"/>
        </w:rPr>
        <w:footnoteReference w:id="8"/>
      </w:r>
      <w:r w:rsidRPr="00373C11">
        <w:rPr>
          <w:lang w:val="en"/>
        </w:rPr>
        <w:t xml:space="preserve"> </w:t>
      </w:r>
      <w:r w:rsidRPr="00373C11">
        <w:rPr>
          <w:lang w:val="en"/>
        </w:rPr>
        <w:t xml:space="preserve"> </w:t>
      </w:r>
      <w:r w:rsidRPr="00373C11">
        <w:rPr>
          <w:lang w:val="en"/>
        </w:rPr>
        <w:t>(U</w:t>
      </w:r>
      <w:r w:rsidRPr="00373C11">
        <w:rPr>
          <w:lang w:val="en"/>
        </w:rPr>
        <w:t>nderlin</w:t>
      </w:r>
      <w:r w:rsidRPr="00373C11">
        <w:rPr>
          <w:lang w:val="en"/>
        </w:rPr>
        <w:t>ing</w:t>
      </w:r>
      <w:r w:rsidRPr="00373C11">
        <w:rPr>
          <w:lang w:val="en"/>
        </w:rPr>
        <w:t xml:space="preserve"> omitted.)  </w:t>
      </w:r>
      <w:r w:rsidRPr="00373C11">
        <w:rPr>
          <w:lang w:val="en"/>
        </w:rPr>
        <w:t xml:space="preserve">That same month, the Agency issued </w:t>
      </w:r>
      <w:r w:rsidRPr="00373C11">
        <w:rPr>
          <w:lang w:val="en"/>
        </w:rPr>
        <w:t xml:space="preserve">an </w:t>
      </w:r>
      <w:r w:rsidRPr="00373C11">
        <w:rPr>
          <w:lang w:val="en"/>
        </w:rPr>
        <w:t xml:space="preserve">Initial Statement of Reasons (ISR) in support of </w:t>
      </w:r>
      <w:r w:rsidRPr="00373C11">
        <w:rPr>
          <w:lang w:val="en"/>
        </w:rPr>
        <w:t>the</w:t>
      </w:r>
      <w:r w:rsidRPr="00373C11">
        <w:rPr>
          <w:lang w:val="en"/>
        </w:rPr>
        <w:t xml:space="preserve"> proposed regulation</w:t>
      </w:r>
      <w:r w:rsidRPr="00373C11">
        <w:rPr>
          <w:lang w:val="en"/>
        </w:rPr>
        <w:t xml:space="preserve">, and </w:t>
      </w:r>
      <w:r w:rsidRPr="00373C11">
        <w:rPr>
          <w:lang w:val="en"/>
        </w:rPr>
        <w:t>stated</w:t>
      </w:r>
      <w:r w:rsidRPr="00373C11">
        <w:rPr>
          <w:lang w:val="en"/>
        </w:rPr>
        <w:t xml:space="preserve"> that </w:t>
      </w:r>
      <w:r w:rsidRPr="00373C11">
        <w:rPr>
          <w:lang w:val="en"/>
        </w:rPr>
        <w:t xml:space="preserve">if it adopted the regulation, no cancer warnings would be required for </w:t>
      </w:r>
      <w:r w:rsidRPr="00373C11">
        <w:rPr>
          <w:lang w:val="en"/>
        </w:rPr>
        <w:t xml:space="preserve">exposure to </w:t>
      </w:r>
      <w:r w:rsidRPr="00373C11">
        <w:rPr>
          <w:lang w:val="en"/>
        </w:rPr>
        <w:t xml:space="preserve">the relevant chemicals in coffee. </w:t>
      </w:r>
      <w:r w:rsidRPr="00373C11">
        <w:rPr>
          <w:lang w:val="en"/>
        </w:rPr>
        <w:t xml:space="preserve"> </w:t>
      </w:r>
    </w:p>
    <w:p w14:paraId="4E8CA39F" w14:textId="77777777" w:rsidR="006B6148" w:rsidRPr="00373C11" w:rsidRDefault="00C25CF2" w:rsidP="00E81151">
      <w:pPr>
        <w:spacing w:line="288" w:lineRule="auto"/>
        <w:rPr>
          <w:bCs/>
        </w:rPr>
      </w:pPr>
      <w:r w:rsidRPr="00373C11">
        <w:rPr>
          <w:lang w:val="en"/>
        </w:rPr>
        <w:lastRenderedPageBreak/>
        <w:t xml:space="preserve">In the ISR, the Agency </w:t>
      </w:r>
      <w:r w:rsidRPr="00373C11">
        <w:rPr>
          <w:lang w:val="en"/>
        </w:rPr>
        <w:t xml:space="preserve">noted, </w:t>
      </w:r>
      <w:r w:rsidRPr="00373C11">
        <w:rPr>
          <w:lang w:val="en"/>
        </w:rPr>
        <w:t>“C</w:t>
      </w:r>
      <w:r w:rsidRPr="00373C11">
        <w:rPr>
          <w:lang w:val="en"/>
        </w:rPr>
        <w:t xml:space="preserve">offee </w:t>
      </w:r>
      <w:r w:rsidRPr="00373C11">
        <w:rPr>
          <w:lang w:val="en"/>
        </w:rPr>
        <w:t>is</w:t>
      </w:r>
      <w:r w:rsidRPr="00373C11">
        <w:rPr>
          <w:lang w:val="en"/>
        </w:rPr>
        <w:t xml:space="preserve"> </w:t>
      </w:r>
      <w:r w:rsidRPr="00373C11">
        <w:rPr>
          <w:lang w:val="en"/>
        </w:rPr>
        <w:t xml:space="preserve">. . . </w:t>
      </w:r>
      <w:r w:rsidRPr="00373C11">
        <w:rPr>
          <w:lang w:val="en"/>
        </w:rPr>
        <w:t>unusual because it has been the subject of very high scientific interest for many years -- IARC reviewed more than 1000 observational and experimental studies investigating the potential carcinogenicity of coffee in humans and animals</w:t>
      </w:r>
      <w:r w:rsidRPr="00373C11">
        <w:rPr>
          <w:lang w:val="en"/>
        </w:rPr>
        <w:t>.”  It explain</w:t>
      </w:r>
      <w:r w:rsidRPr="00373C11">
        <w:rPr>
          <w:lang w:val="en"/>
        </w:rPr>
        <w:t>ed</w:t>
      </w:r>
      <w:r w:rsidRPr="00373C11">
        <w:rPr>
          <w:lang w:val="en"/>
        </w:rPr>
        <w:t xml:space="preserve">, </w:t>
      </w:r>
      <w:r w:rsidRPr="00373C11">
        <w:rPr>
          <w:lang w:val="en"/>
        </w:rPr>
        <w:t>“Cof</w:t>
      </w:r>
      <w:r w:rsidRPr="00373C11">
        <w:rPr>
          <w:lang w:val="en"/>
        </w:rPr>
        <w:t>fee is unique in that it shows reductions in certain human cancers, has not been shown to increase any cancers, and is particularly rich in cancer chemopreventive compounds.</w:t>
      </w:r>
      <w:r w:rsidRPr="00373C11">
        <w:rPr>
          <w:lang w:val="en"/>
        </w:rPr>
        <w:t xml:space="preserve">”  </w:t>
      </w:r>
      <w:r w:rsidRPr="00373C11">
        <w:rPr>
          <w:lang w:val="en"/>
        </w:rPr>
        <w:t>T</w:t>
      </w:r>
      <w:r w:rsidRPr="00373C11">
        <w:rPr>
          <w:bCs/>
        </w:rPr>
        <w:t xml:space="preserve">he </w:t>
      </w:r>
      <w:r w:rsidRPr="00373C11">
        <w:rPr>
          <w:bCs/>
        </w:rPr>
        <w:t>ISR</w:t>
      </w:r>
      <w:r w:rsidRPr="00373C11">
        <w:rPr>
          <w:bCs/>
        </w:rPr>
        <w:t xml:space="preserve"> listed </w:t>
      </w:r>
      <w:r w:rsidRPr="00373C11">
        <w:rPr>
          <w:bCs/>
        </w:rPr>
        <w:t xml:space="preserve">antioxidants, </w:t>
      </w:r>
      <w:r w:rsidRPr="00373C11">
        <w:rPr>
          <w:bCs/>
        </w:rPr>
        <w:t>anti-inflammatory chemicals</w:t>
      </w:r>
      <w:r w:rsidRPr="00373C11">
        <w:rPr>
          <w:bCs/>
        </w:rPr>
        <w:t>,</w:t>
      </w:r>
      <w:r w:rsidRPr="00373C11">
        <w:rPr>
          <w:bCs/>
        </w:rPr>
        <w:t xml:space="preserve"> </w:t>
      </w:r>
      <w:r w:rsidRPr="00373C11">
        <w:rPr>
          <w:bCs/>
        </w:rPr>
        <w:t xml:space="preserve">and </w:t>
      </w:r>
      <w:r w:rsidRPr="00373C11">
        <w:rPr>
          <w:bCs/>
        </w:rPr>
        <w:t xml:space="preserve">soluble and </w:t>
      </w:r>
      <w:r w:rsidRPr="00373C11">
        <w:rPr>
          <w:bCs/>
        </w:rPr>
        <w:t>insoluble fiber as “constituents that exhibit cancer chemopreventive properties</w:t>
      </w:r>
      <w:r w:rsidRPr="00373C11">
        <w:rPr>
          <w:bCs/>
        </w:rPr>
        <w:t>,</w:t>
      </w:r>
      <w:r w:rsidRPr="00373C11">
        <w:rPr>
          <w:bCs/>
        </w:rPr>
        <w:t>”</w:t>
      </w:r>
      <w:r w:rsidRPr="00373C11">
        <w:rPr>
          <w:bCs/>
        </w:rPr>
        <w:t xml:space="preserve"> and cited numerous articles</w:t>
      </w:r>
      <w:r w:rsidRPr="00373C11">
        <w:rPr>
          <w:bCs/>
        </w:rPr>
        <w:t xml:space="preserve"> </w:t>
      </w:r>
      <w:r w:rsidRPr="00373C11">
        <w:rPr>
          <w:bCs/>
        </w:rPr>
        <w:t xml:space="preserve">published in scientific journals to support its position </w:t>
      </w:r>
      <w:r w:rsidRPr="00373C11">
        <w:rPr>
          <w:bCs/>
        </w:rPr>
        <w:t xml:space="preserve">regarding </w:t>
      </w:r>
      <w:r w:rsidRPr="00373C11">
        <w:rPr>
          <w:bCs/>
        </w:rPr>
        <w:t xml:space="preserve">these categories of coffee constituents. </w:t>
      </w:r>
    </w:p>
    <w:p w14:paraId="046DF696" w14:textId="77777777" w:rsidR="008F6238" w:rsidRPr="00373C11" w:rsidRDefault="00C25CF2" w:rsidP="00E81151">
      <w:pPr>
        <w:spacing w:line="288" w:lineRule="auto"/>
        <w:rPr>
          <w:lang w:val="en"/>
        </w:rPr>
      </w:pPr>
    </w:p>
    <w:p w14:paraId="09999A95" w14:textId="77777777" w:rsidR="008F6238" w:rsidRPr="00373C11" w:rsidRDefault="00C25CF2" w:rsidP="00E81151">
      <w:pPr>
        <w:keepNext/>
        <w:numPr>
          <w:ilvl w:val="1"/>
          <w:numId w:val="1"/>
        </w:numPr>
        <w:tabs>
          <w:tab w:val="left" w:pos="1080"/>
        </w:tabs>
        <w:spacing w:after="120" w:line="288" w:lineRule="auto"/>
        <w:outlineLvl w:val="2"/>
        <w:rPr>
          <w:i/>
          <w:iCs/>
          <w:lang w:val="en"/>
        </w:rPr>
      </w:pPr>
      <w:r w:rsidRPr="00373C11">
        <w:rPr>
          <w:lang w:val="en"/>
        </w:rPr>
        <w:t>Public Comments</w:t>
      </w:r>
      <w:r w:rsidRPr="00373C11">
        <w:rPr>
          <w:lang w:val="en"/>
        </w:rPr>
        <w:t xml:space="preserve"> and the 2005 Report</w:t>
      </w:r>
    </w:p>
    <w:p w14:paraId="64CC018C" w14:textId="77777777" w:rsidR="00912134" w:rsidRPr="00373C11" w:rsidRDefault="00C25CF2" w:rsidP="00E81151">
      <w:pPr>
        <w:pStyle w:val="ListParagraph"/>
        <w:autoSpaceDE w:val="0"/>
        <w:autoSpaceDN w:val="0"/>
        <w:adjustRightInd w:val="0"/>
        <w:spacing w:line="288" w:lineRule="auto"/>
        <w:ind w:left="0"/>
        <w:rPr>
          <w:lang w:val="en"/>
        </w:rPr>
      </w:pPr>
      <w:r w:rsidRPr="00373C11">
        <w:rPr>
          <w:lang w:val="en"/>
        </w:rPr>
        <w:t>During the public comment period, t</w:t>
      </w:r>
      <w:r w:rsidRPr="00373C11">
        <w:rPr>
          <w:lang w:val="en"/>
        </w:rPr>
        <w:t>he Agency</w:t>
      </w:r>
      <w:r w:rsidRPr="00373C11">
        <w:rPr>
          <w:lang w:val="en"/>
        </w:rPr>
        <w:t xml:space="preserve"> received </w:t>
      </w:r>
      <w:r w:rsidRPr="00373C11">
        <w:rPr>
          <w:lang w:val="en"/>
        </w:rPr>
        <w:t>numerous</w:t>
      </w:r>
      <w:r w:rsidRPr="00373C11">
        <w:rPr>
          <w:lang w:val="en"/>
        </w:rPr>
        <w:t xml:space="preserve"> submissions </w:t>
      </w:r>
      <w:r w:rsidRPr="00373C11">
        <w:rPr>
          <w:lang w:val="en"/>
        </w:rPr>
        <w:t>and held a public hearing, at which it received oral comments</w:t>
      </w:r>
      <w:r w:rsidRPr="00373C11">
        <w:rPr>
          <w:lang w:val="en"/>
        </w:rPr>
        <w:t xml:space="preserve">. </w:t>
      </w:r>
      <w:r w:rsidRPr="00373C11">
        <w:rPr>
          <w:lang w:val="en"/>
        </w:rPr>
        <w:t xml:space="preserve"> </w:t>
      </w:r>
      <w:r w:rsidRPr="00373C11">
        <w:rPr>
          <w:bCs/>
        </w:rPr>
        <w:t>Some commentors contended that the Agency should assess the cancer risk from acrylamide in coffee in isolation, witho</w:t>
      </w:r>
      <w:r w:rsidRPr="00373C11">
        <w:rPr>
          <w:bCs/>
        </w:rPr>
        <w:t xml:space="preserve">ut consideration of coffee as a mixture. </w:t>
      </w:r>
      <w:r w:rsidRPr="00373C11">
        <w:rPr>
          <w:bCs/>
        </w:rPr>
        <w:t xml:space="preserve"> CERT </w:t>
      </w:r>
      <w:r w:rsidRPr="00373C11">
        <w:rPr>
          <w:lang w:val="en"/>
        </w:rPr>
        <w:t>objected</w:t>
      </w:r>
      <w:r w:rsidRPr="00373C11">
        <w:rPr>
          <w:lang w:val="en"/>
        </w:rPr>
        <w:t>, inter alia,</w:t>
      </w:r>
      <w:r w:rsidRPr="00373C11">
        <w:rPr>
          <w:lang w:val="en"/>
        </w:rPr>
        <w:t xml:space="preserve"> that the Agency had failed to consider and address its own </w:t>
      </w:r>
      <w:r w:rsidRPr="00373C11">
        <w:rPr>
          <w:lang w:val="en"/>
        </w:rPr>
        <w:t xml:space="preserve">2005 </w:t>
      </w:r>
      <w:r w:rsidRPr="00373C11">
        <w:rPr>
          <w:lang w:val="en"/>
        </w:rPr>
        <w:t>report regarding acrylamide intake in various foods and beverages</w:t>
      </w:r>
      <w:r w:rsidRPr="00373C11">
        <w:rPr>
          <w:lang w:val="en"/>
        </w:rPr>
        <w:t xml:space="preserve">. </w:t>
      </w:r>
    </w:p>
    <w:p w14:paraId="01643347" w14:textId="77777777" w:rsidR="0033281F" w:rsidRPr="00373C11" w:rsidRDefault="00C25CF2" w:rsidP="00E81151">
      <w:pPr>
        <w:pStyle w:val="ListParagraph"/>
        <w:autoSpaceDE w:val="0"/>
        <w:autoSpaceDN w:val="0"/>
        <w:adjustRightInd w:val="0"/>
        <w:spacing w:line="288" w:lineRule="auto"/>
        <w:ind w:left="0"/>
      </w:pPr>
      <w:r w:rsidRPr="00373C11">
        <w:rPr>
          <w:lang w:val="en"/>
        </w:rPr>
        <w:t xml:space="preserve">The 2005 report was prepared in support of a proposed regulation that was subsequently withdrawn. </w:t>
      </w:r>
      <w:r w:rsidRPr="00373C11">
        <w:rPr>
          <w:lang w:val="en"/>
        </w:rPr>
        <w:t xml:space="preserve"> </w:t>
      </w:r>
      <w:r w:rsidRPr="00373C11">
        <w:rPr>
          <w:lang w:val="en"/>
        </w:rPr>
        <w:t xml:space="preserve">According to the report, its </w:t>
      </w:r>
      <w:r w:rsidRPr="00373C11">
        <w:t>purpose was to “assist the public and the regulated community in estimating average daily intake of acrylamide from specific foo</w:t>
      </w:r>
      <w:r w:rsidRPr="00373C11">
        <w:t xml:space="preserve">ds, and to inform the </w:t>
      </w:r>
      <w:r w:rsidRPr="00373C11">
        <w:lastRenderedPageBreak/>
        <w:t xml:space="preserve">development and content of regulations proposed by OEHHA . . . .”  Based on various data, the report estimated coffee drinkers’ daily intake of acrylamide from coffee, and concluded that coffee was a substantial source of exposure to </w:t>
      </w:r>
      <w:r w:rsidRPr="00373C11">
        <w:t xml:space="preserve">acrylamide, and that drinkers likely exceeded the </w:t>
      </w:r>
      <w:r w:rsidRPr="00373C11">
        <w:t xml:space="preserve">previously set </w:t>
      </w:r>
      <w:r w:rsidRPr="00373C11">
        <w:t xml:space="preserve">“No Significant Risk Level” (NSRL) for acrylamide.  </w:t>
      </w:r>
      <w:r w:rsidRPr="00373C11">
        <w:t>The NSRL represents a safe harbor that protects businesses from liability relating to exposure to a listed chemical under Prop. 65.  If the</w:t>
      </w:r>
      <w:r w:rsidRPr="00373C11">
        <w:t xml:space="preserve"> level of exposure from a product is below the NSRL, the safe harbor is triggered, and no warning is required.  (</w:t>
      </w:r>
      <w:bookmarkStart w:id="8" w:name="dabmci_b74f253302bd44c2a9e8833a8ca03e60"/>
      <w:r w:rsidRPr="00373C11">
        <w:t>Cal. Code Regs., tit. 27, § 25705</w:t>
      </w:r>
      <w:bookmarkEnd w:id="8"/>
      <w:r w:rsidRPr="00373C11">
        <w:t xml:space="preserve">.)  </w:t>
      </w:r>
    </w:p>
    <w:p w14:paraId="7C0FCEFB" w14:textId="77777777" w:rsidR="00896AFD" w:rsidRPr="00373C11" w:rsidRDefault="00C25CF2" w:rsidP="00E81151">
      <w:pPr>
        <w:pStyle w:val="ListParagraph"/>
        <w:autoSpaceDE w:val="0"/>
        <w:autoSpaceDN w:val="0"/>
        <w:adjustRightInd w:val="0"/>
        <w:spacing w:line="288" w:lineRule="auto"/>
        <w:ind w:left="0"/>
      </w:pPr>
    </w:p>
    <w:p w14:paraId="05846920" w14:textId="77777777" w:rsidR="001445D6" w:rsidRPr="00373C11" w:rsidRDefault="00C25CF2" w:rsidP="00E81151">
      <w:pPr>
        <w:keepNext/>
        <w:numPr>
          <w:ilvl w:val="1"/>
          <w:numId w:val="1"/>
        </w:numPr>
        <w:tabs>
          <w:tab w:val="left" w:pos="1080"/>
        </w:tabs>
        <w:spacing w:after="120" w:line="288" w:lineRule="auto"/>
        <w:outlineLvl w:val="2"/>
        <w:rPr>
          <w:i/>
          <w:iCs/>
          <w:lang w:val="en"/>
        </w:rPr>
      </w:pPr>
      <w:r w:rsidRPr="00373C11">
        <w:rPr>
          <w:lang w:val="en"/>
        </w:rPr>
        <w:t>The Agency’s Modification of the Proposed Regulation</w:t>
      </w:r>
    </w:p>
    <w:p w14:paraId="43C1ABE5" w14:textId="77777777" w:rsidR="001A29C0" w:rsidRPr="00373C11" w:rsidRDefault="00C25CF2" w:rsidP="00E81151">
      <w:pPr>
        <w:spacing w:line="288" w:lineRule="auto"/>
        <w:rPr>
          <w:lang w:val="en"/>
        </w:rPr>
      </w:pPr>
      <w:r w:rsidRPr="00373C11">
        <w:rPr>
          <w:lang w:val="en"/>
        </w:rPr>
        <w:t xml:space="preserve">On March 15, 2019, </w:t>
      </w:r>
      <w:r w:rsidRPr="00373C11">
        <w:rPr>
          <w:lang w:val="en"/>
        </w:rPr>
        <w:t>the Agency</w:t>
      </w:r>
      <w:r w:rsidRPr="00373C11">
        <w:rPr>
          <w:lang w:val="en"/>
        </w:rPr>
        <w:t xml:space="preserve"> announced it was modi</w:t>
      </w:r>
      <w:r w:rsidRPr="00373C11">
        <w:rPr>
          <w:lang w:val="en"/>
        </w:rPr>
        <w:t xml:space="preserve">fying its proposed regulation to limit the exempted exposures to chemicals </w:t>
      </w:r>
      <w:r w:rsidRPr="00373C11">
        <w:rPr>
          <w:lang w:val="en"/>
        </w:rPr>
        <w:t>listed as of that date</w:t>
      </w:r>
      <w:r w:rsidRPr="00373C11">
        <w:rPr>
          <w:lang w:val="en"/>
        </w:rPr>
        <w:t xml:space="preserve">. </w:t>
      </w:r>
      <w:r w:rsidRPr="00373C11">
        <w:rPr>
          <w:lang w:val="en"/>
        </w:rPr>
        <w:t xml:space="preserve"> The modified proposed regulation therefore provided: “</w:t>
      </w:r>
      <w:r w:rsidRPr="00373C11">
        <w:rPr>
          <w:lang w:val="en"/>
        </w:rPr>
        <w:t>Exposures to chemicals in coffee, listed on or before March 15, 2019 as known</w:t>
      </w:r>
      <w:r w:rsidRPr="00373C11">
        <w:rPr>
          <w:lang w:val="en"/>
        </w:rPr>
        <w:t xml:space="preserve"> </w:t>
      </w:r>
      <w:r w:rsidRPr="00373C11">
        <w:rPr>
          <w:lang w:val="en"/>
        </w:rPr>
        <w:t>to the state to cause ca</w:t>
      </w:r>
      <w:r w:rsidRPr="00373C11">
        <w:rPr>
          <w:lang w:val="en"/>
        </w:rPr>
        <w:t>ncer, that are created by and inherent in the processes of</w:t>
      </w:r>
      <w:r w:rsidRPr="00373C11">
        <w:rPr>
          <w:lang w:val="en"/>
        </w:rPr>
        <w:t xml:space="preserve"> </w:t>
      </w:r>
      <w:r w:rsidRPr="00373C11">
        <w:rPr>
          <w:lang w:val="en"/>
        </w:rPr>
        <w:t>roasting coffee beans or brewing coffee do not pose a significant risk of cancer.</w:t>
      </w:r>
      <w:r w:rsidRPr="00373C11">
        <w:rPr>
          <w:lang w:val="en"/>
        </w:rPr>
        <w:t xml:space="preserve">” </w:t>
      </w:r>
    </w:p>
    <w:p w14:paraId="77EC3DAA" w14:textId="77777777" w:rsidR="001A29C0" w:rsidRPr="00373C11" w:rsidRDefault="00C25CF2" w:rsidP="00E81151">
      <w:pPr>
        <w:spacing w:line="288" w:lineRule="auto"/>
        <w:ind w:left="720" w:firstLine="0"/>
        <w:rPr>
          <w:lang w:val="en"/>
        </w:rPr>
      </w:pPr>
    </w:p>
    <w:p w14:paraId="3D069BEB" w14:textId="77777777" w:rsidR="00627B03" w:rsidRPr="00373C11" w:rsidRDefault="00C25CF2" w:rsidP="00E81151">
      <w:pPr>
        <w:keepNext/>
        <w:numPr>
          <w:ilvl w:val="1"/>
          <w:numId w:val="1"/>
        </w:numPr>
        <w:tabs>
          <w:tab w:val="left" w:pos="1080"/>
        </w:tabs>
        <w:spacing w:after="120" w:line="288" w:lineRule="auto"/>
        <w:outlineLvl w:val="2"/>
        <w:rPr>
          <w:i/>
          <w:iCs/>
          <w:lang w:val="en"/>
        </w:rPr>
      </w:pPr>
      <w:r w:rsidRPr="00373C11">
        <w:rPr>
          <w:lang w:val="en"/>
        </w:rPr>
        <w:t xml:space="preserve">The Agency’s </w:t>
      </w:r>
      <w:r w:rsidRPr="00373C11">
        <w:rPr>
          <w:lang w:val="en"/>
        </w:rPr>
        <w:t>Final Statement of Reasons</w:t>
      </w:r>
      <w:r w:rsidRPr="00373C11">
        <w:rPr>
          <w:lang w:val="en"/>
        </w:rPr>
        <w:t xml:space="preserve"> and Adoption of the Regulation</w:t>
      </w:r>
    </w:p>
    <w:p w14:paraId="41985545" w14:textId="77777777" w:rsidR="00DC2F15" w:rsidRPr="00373C11" w:rsidRDefault="00C25CF2" w:rsidP="00E81151">
      <w:pPr>
        <w:spacing w:line="288" w:lineRule="auto"/>
        <w:rPr>
          <w:lang w:val="en"/>
        </w:rPr>
      </w:pPr>
      <w:r w:rsidRPr="00373C11">
        <w:rPr>
          <w:lang w:val="en"/>
        </w:rPr>
        <w:t xml:space="preserve">Following the comment period, </w:t>
      </w:r>
      <w:r w:rsidRPr="00373C11">
        <w:rPr>
          <w:lang w:val="en"/>
        </w:rPr>
        <w:t>the Agency</w:t>
      </w:r>
      <w:r w:rsidRPr="00373C11">
        <w:rPr>
          <w:lang w:val="en"/>
        </w:rPr>
        <w:t xml:space="preserve"> </w:t>
      </w:r>
      <w:r w:rsidRPr="00373C11">
        <w:rPr>
          <w:lang w:val="en"/>
        </w:rPr>
        <w:t xml:space="preserve">issued </w:t>
      </w:r>
      <w:r w:rsidRPr="00373C11">
        <w:rPr>
          <w:lang w:val="en"/>
        </w:rPr>
        <w:t>a</w:t>
      </w:r>
      <w:r w:rsidRPr="00373C11">
        <w:rPr>
          <w:lang w:val="en"/>
        </w:rPr>
        <w:t xml:space="preserve"> </w:t>
      </w:r>
      <w:r w:rsidRPr="00373C11">
        <w:rPr>
          <w:lang w:val="en"/>
        </w:rPr>
        <w:t>lengthy</w:t>
      </w:r>
      <w:r w:rsidRPr="00373C11">
        <w:rPr>
          <w:lang w:val="en"/>
        </w:rPr>
        <w:t xml:space="preserve"> </w:t>
      </w:r>
      <w:r w:rsidRPr="00373C11">
        <w:rPr>
          <w:lang w:val="en"/>
        </w:rPr>
        <w:t>Final Statement of Reasons (FSR)</w:t>
      </w:r>
      <w:r w:rsidRPr="00373C11">
        <w:rPr>
          <w:lang w:val="en"/>
        </w:rPr>
        <w:t>, which responde</w:t>
      </w:r>
      <w:r w:rsidRPr="00373C11">
        <w:rPr>
          <w:lang w:val="en"/>
        </w:rPr>
        <w:t>d</w:t>
      </w:r>
      <w:r w:rsidRPr="00373C11">
        <w:rPr>
          <w:lang w:val="en"/>
        </w:rPr>
        <w:t xml:space="preserve"> to public comments and concluded that the available </w:t>
      </w:r>
      <w:r w:rsidRPr="00373C11">
        <w:rPr>
          <w:lang w:val="en"/>
        </w:rPr>
        <w:lastRenderedPageBreak/>
        <w:t>scientific information supported</w:t>
      </w:r>
      <w:r w:rsidRPr="00373C11">
        <w:rPr>
          <w:lang w:val="en"/>
        </w:rPr>
        <w:t xml:space="preserve"> </w:t>
      </w:r>
      <w:r w:rsidRPr="00373C11">
        <w:rPr>
          <w:lang w:val="en"/>
        </w:rPr>
        <w:t xml:space="preserve">the regulation. </w:t>
      </w:r>
      <w:r w:rsidRPr="00373C11">
        <w:rPr>
          <w:lang w:val="en"/>
        </w:rPr>
        <w:t xml:space="preserve"> </w:t>
      </w:r>
      <w:r w:rsidRPr="00373C11">
        <w:rPr>
          <w:lang w:val="en"/>
        </w:rPr>
        <w:t xml:space="preserve">The Agency explained that because extensive research suggested that coffee, as a </w:t>
      </w:r>
      <w:r w:rsidRPr="00373C11">
        <w:rPr>
          <w:lang w:val="en"/>
        </w:rPr>
        <w:t>mixture, posed no significant risk of cancer, the individual</w:t>
      </w:r>
      <w:r w:rsidRPr="00373C11">
        <w:rPr>
          <w:lang w:val="en"/>
        </w:rPr>
        <w:t>ly</w:t>
      </w:r>
      <w:r w:rsidRPr="00373C11">
        <w:rPr>
          <w:lang w:val="en"/>
        </w:rPr>
        <w:t xml:space="preserve"> listed chemicals formed through the roasting and brewing process also posed no significant risk of cancer when combined and consumed in the mixture. </w:t>
      </w:r>
      <w:r w:rsidRPr="00373C11">
        <w:rPr>
          <w:lang w:val="en"/>
        </w:rPr>
        <w:t xml:space="preserve"> </w:t>
      </w:r>
      <w:r w:rsidRPr="00373C11">
        <w:rPr>
          <w:lang w:val="en"/>
        </w:rPr>
        <w:t>The FSR listed “[the Agency]’s</w:t>
      </w:r>
      <w:r w:rsidRPr="00373C11">
        <w:rPr>
          <w:lang w:val="en"/>
        </w:rPr>
        <w:t xml:space="preserve"> key overall</w:t>
      </w:r>
      <w:r w:rsidRPr="00373C11">
        <w:rPr>
          <w:lang w:val="en"/>
        </w:rPr>
        <w:t xml:space="preserve"> </w:t>
      </w:r>
      <w:r w:rsidRPr="00373C11">
        <w:rPr>
          <w:lang w:val="en"/>
        </w:rPr>
        <w:t>considerations in adopting this regulation</w:t>
      </w:r>
      <w:r w:rsidRPr="00373C11">
        <w:rPr>
          <w:lang w:val="en"/>
        </w:rPr>
        <w:t>”</w:t>
      </w:r>
      <w:r w:rsidRPr="00373C11">
        <w:rPr>
          <w:lang w:val="en"/>
        </w:rPr>
        <w:t>:</w:t>
      </w:r>
      <w:r w:rsidRPr="00373C11">
        <w:rPr>
          <w:lang w:val="en"/>
        </w:rPr>
        <w:t xml:space="preserve"> </w:t>
      </w:r>
    </w:p>
    <w:p w14:paraId="0C0C1C2D" w14:textId="77777777" w:rsidR="00672B82" w:rsidRPr="00373C11" w:rsidRDefault="00C25CF2" w:rsidP="00E81151">
      <w:pPr>
        <w:spacing w:line="288" w:lineRule="auto"/>
        <w:rPr>
          <w:lang w:val="en"/>
        </w:rPr>
      </w:pPr>
    </w:p>
    <w:p w14:paraId="47A1913C" w14:textId="77777777" w:rsidR="00DC2F15" w:rsidRPr="00373C11" w:rsidRDefault="00C25CF2" w:rsidP="00E808B2">
      <w:pPr>
        <w:spacing w:after="280" w:line="240" w:lineRule="auto"/>
        <w:ind w:left="720" w:right="720" w:firstLine="0"/>
        <w:rPr>
          <w:lang w:val="en"/>
        </w:rPr>
      </w:pPr>
      <w:r w:rsidRPr="00373C11">
        <w:rPr>
          <w:lang w:val="en"/>
        </w:rPr>
        <w:t>“</w:t>
      </w:r>
      <w:r w:rsidRPr="00373C11">
        <w:rPr>
          <w:lang w:val="en"/>
        </w:rPr>
        <w:t>‘</w:t>
      </w:r>
      <w:r w:rsidRPr="00373C11">
        <w:rPr>
          <w:lang w:val="en"/>
        </w:rPr>
        <w:t>[1] T</w:t>
      </w:r>
      <w:r w:rsidRPr="00373C11">
        <w:rPr>
          <w:lang w:val="en"/>
        </w:rPr>
        <w:t>here is inadequate evidence for the carcinogenicity of drinking coffee, based on</w:t>
      </w:r>
      <w:r w:rsidRPr="00373C11">
        <w:rPr>
          <w:lang w:val="en"/>
        </w:rPr>
        <w:t xml:space="preserve"> </w:t>
      </w:r>
      <w:r w:rsidRPr="00373C11">
        <w:rPr>
          <w:lang w:val="en"/>
        </w:rPr>
        <w:t>a very large number of human studies</w:t>
      </w:r>
      <w:r w:rsidRPr="00373C11">
        <w:rPr>
          <w:lang w:val="en"/>
        </w:rPr>
        <w:t>.</w:t>
      </w:r>
      <w:r w:rsidRPr="00373C11">
        <w:rPr>
          <w:lang w:val="en"/>
        </w:rPr>
        <w:t xml:space="preserve"> </w:t>
      </w:r>
      <w:r w:rsidRPr="00373C11">
        <w:rPr>
          <w:lang w:val="en"/>
        </w:rPr>
        <w:t xml:space="preserve"> </w:t>
      </w:r>
    </w:p>
    <w:p w14:paraId="1C4D8F0E" w14:textId="77777777" w:rsidR="00E02CB2" w:rsidRPr="00373C11" w:rsidRDefault="00C25CF2" w:rsidP="00E808B2">
      <w:pPr>
        <w:spacing w:after="280" w:line="240" w:lineRule="auto"/>
        <w:ind w:left="720" w:right="720" w:firstLine="0"/>
        <w:rPr>
          <w:lang w:val="en"/>
        </w:rPr>
      </w:pPr>
      <w:r w:rsidRPr="00373C11">
        <w:rPr>
          <w:lang w:val="en"/>
        </w:rPr>
        <w:t>“</w:t>
      </w:r>
      <w:r w:rsidRPr="00373C11">
        <w:rPr>
          <w:lang w:val="en"/>
        </w:rPr>
        <w:t>‘</w:t>
      </w:r>
      <w:r w:rsidRPr="00373C11">
        <w:rPr>
          <w:lang w:val="en"/>
        </w:rPr>
        <w:t xml:space="preserve">[2] </w:t>
      </w:r>
      <w:r w:rsidRPr="00373C11">
        <w:rPr>
          <w:lang w:val="en"/>
        </w:rPr>
        <w:t>There are inverse associations</w:t>
      </w:r>
      <w:r w:rsidRPr="00373C11">
        <w:rPr>
          <w:rFonts w:ascii="Times New Roman" w:hAnsi="Times New Roman"/>
          <w:lang w:val="en"/>
        </w:rPr>
        <w:t>––</w:t>
      </w:r>
      <w:r w:rsidRPr="00373C11">
        <w:rPr>
          <w:lang w:val="en"/>
        </w:rPr>
        <w:t xml:space="preserve">decreasing risk with increasing </w:t>
      </w:r>
      <w:r w:rsidRPr="00373C11">
        <w:rPr>
          <w:lang w:val="en"/>
        </w:rPr>
        <w:t>coffee</w:t>
      </w:r>
      <w:r w:rsidRPr="00373C11">
        <w:rPr>
          <w:lang w:val="en"/>
        </w:rPr>
        <w:t xml:space="preserve"> </w:t>
      </w:r>
      <w:r w:rsidRPr="00373C11">
        <w:rPr>
          <w:lang w:val="en"/>
        </w:rPr>
        <w:t>consumption - for human cancers of the liver and uterine endometrium.</w:t>
      </w:r>
    </w:p>
    <w:p w14:paraId="6675C0E9" w14:textId="77777777" w:rsidR="00E02CB2" w:rsidRPr="00373C11" w:rsidRDefault="00C25CF2" w:rsidP="00E808B2">
      <w:pPr>
        <w:spacing w:after="280" w:line="240" w:lineRule="auto"/>
        <w:ind w:left="720" w:right="720" w:firstLine="0"/>
        <w:rPr>
          <w:lang w:val="en"/>
        </w:rPr>
      </w:pPr>
      <w:r w:rsidRPr="00373C11">
        <w:rPr>
          <w:lang w:val="en"/>
        </w:rPr>
        <w:t>“</w:t>
      </w:r>
      <w:r w:rsidRPr="00373C11">
        <w:rPr>
          <w:lang w:val="en"/>
        </w:rPr>
        <w:t>‘</w:t>
      </w:r>
      <w:r w:rsidRPr="00373C11">
        <w:rPr>
          <w:lang w:val="en"/>
        </w:rPr>
        <w:t>[3] There is inadequate evidence of increased carcinogenicity in animals administered coffee in controlled experiments.</w:t>
      </w:r>
    </w:p>
    <w:p w14:paraId="4E7686A8" w14:textId="77777777" w:rsidR="00E02CB2" w:rsidRPr="00373C11" w:rsidRDefault="00C25CF2" w:rsidP="00E808B2">
      <w:pPr>
        <w:spacing w:after="280" w:line="240" w:lineRule="auto"/>
        <w:ind w:left="720" w:right="720" w:firstLine="0"/>
        <w:rPr>
          <w:lang w:val="en"/>
        </w:rPr>
      </w:pPr>
      <w:r w:rsidRPr="00373C11">
        <w:rPr>
          <w:lang w:val="en"/>
        </w:rPr>
        <w:t>“</w:t>
      </w:r>
      <w:r w:rsidRPr="00373C11">
        <w:rPr>
          <w:lang w:val="en"/>
        </w:rPr>
        <w:t>‘</w:t>
      </w:r>
      <w:r w:rsidRPr="00373C11">
        <w:rPr>
          <w:lang w:val="en"/>
        </w:rPr>
        <w:t>[4] There are inverse associations in a number of anima</w:t>
      </w:r>
      <w:r w:rsidRPr="00373C11">
        <w:rPr>
          <w:lang w:val="en"/>
        </w:rPr>
        <w:t>l experiments and the</w:t>
      </w:r>
      <w:r w:rsidRPr="00373C11">
        <w:rPr>
          <w:lang w:val="en"/>
        </w:rPr>
        <w:t xml:space="preserve"> </w:t>
      </w:r>
      <w:r w:rsidRPr="00373C11">
        <w:rPr>
          <w:lang w:val="en"/>
        </w:rPr>
        <w:t>overall evidence from animal studies is that of reduced incidence or reduced</w:t>
      </w:r>
      <w:r w:rsidRPr="00373C11">
        <w:rPr>
          <w:lang w:val="en"/>
        </w:rPr>
        <w:t xml:space="preserve"> </w:t>
      </w:r>
      <w:r w:rsidRPr="00373C11">
        <w:rPr>
          <w:lang w:val="en"/>
        </w:rPr>
        <w:t>multiplicity of cancers with coffee intake.</w:t>
      </w:r>
    </w:p>
    <w:p w14:paraId="3418B6F8" w14:textId="77777777" w:rsidR="001C7356" w:rsidRPr="00373C11" w:rsidRDefault="00C25CF2" w:rsidP="00E808B2">
      <w:pPr>
        <w:spacing w:after="280" w:line="240" w:lineRule="auto"/>
        <w:ind w:left="720" w:right="720" w:firstLine="0"/>
        <w:rPr>
          <w:lang w:val="en"/>
        </w:rPr>
      </w:pPr>
      <w:r w:rsidRPr="00373C11">
        <w:rPr>
          <w:lang w:val="en"/>
        </w:rPr>
        <w:t>“</w:t>
      </w:r>
      <w:r w:rsidRPr="00373C11">
        <w:rPr>
          <w:lang w:val="en"/>
        </w:rPr>
        <w:t>‘</w:t>
      </w:r>
      <w:r w:rsidRPr="00373C11">
        <w:rPr>
          <w:lang w:val="en"/>
        </w:rPr>
        <w:t xml:space="preserve">[5] </w:t>
      </w:r>
      <w:r w:rsidRPr="00373C11">
        <w:rPr>
          <w:lang w:val="en"/>
        </w:rPr>
        <w:t>There is a rich mix of cancer-preventative agents in brewed coffee.</w:t>
      </w:r>
      <w:r w:rsidRPr="00373C11">
        <w:rPr>
          <w:lang w:val="en"/>
        </w:rPr>
        <w:t>’</w:t>
      </w:r>
      <w:r w:rsidRPr="00373C11">
        <w:rPr>
          <w:lang w:val="en"/>
        </w:rPr>
        <w:t xml:space="preserve">”  </w:t>
      </w:r>
    </w:p>
    <w:p w14:paraId="33301D10" w14:textId="77777777" w:rsidR="00E02CB2" w:rsidRPr="00373C11" w:rsidRDefault="00C25CF2" w:rsidP="00E81151">
      <w:pPr>
        <w:spacing w:after="280" w:line="288" w:lineRule="auto"/>
        <w:ind w:right="720" w:firstLine="0"/>
        <w:rPr>
          <w:lang w:val="en"/>
        </w:rPr>
      </w:pPr>
      <w:r w:rsidRPr="00373C11">
        <w:rPr>
          <w:lang w:val="en"/>
        </w:rPr>
        <w:t>(Fns. omitted.)</w:t>
      </w:r>
    </w:p>
    <w:p w14:paraId="57D7C7E7" w14:textId="77777777" w:rsidR="001C7356" w:rsidRPr="00373C11" w:rsidRDefault="00C25CF2" w:rsidP="00E81151">
      <w:pPr>
        <w:spacing w:line="288" w:lineRule="auto"/>
        <w:rPr>
          <w:lang w:val="en"/>
        </w:rPr>
      </w:pPr>
      <w:r w:rsidRPr="00373C11">
        <w:rPr>
          <w:lang w:val="en"/>
        </w:rPr>
        <w:lastRenderedPageBreak/>
        <w:t xml:space="preserve">Relying in part </w:t>
      </w:r>
      <w:r w:rsidRPr="00373C11">
        <w:rPr>
          <w:lang w:val="en"/>
        </w:rPr>
        <w:t xml:space="preserve">on the IARC Monograph, the FSR </w:t>
      </w:r>
      <w:r w:rsidRPr="00373C11">
        <w:rPr>
          <w:lang w:val="en"/>
        </w:rPr>
        <w:t xml:space="preserve">repeatedly noted the IARC’s conclusion that coffee </w:t>
      </w:r>
      <w:r w:rsidRPr="00373C11">
        <w:rPr>
          <w:bCs/>
        </w:rPr>
        <w:t xml:space="preserve">was “‘not classifiable as to its carcinogenicity to humans.’” </w:t>
      </w:r>
      <w:r w:rsidRPr="00373C11">
        <w:t xml:space="preserve"> </w:t>
      </w:r>
      <w:r w:rsidRPr="00373C11">
        <w:t>While</w:t>
      </w:r>
      <w:r w:rsidRPr="00373C11">
        <w:rPr>
          <w:lang w:val="en"/>
        </w:rPr>
        <w:t xml:space="preserve"> t</w:t>
      </w:r>
      <w:r w:rsidRPr="00373C11">
        <w:rPr>
          <w:lang w:val="en"/>
        </w:rPr>
        <w:t>he IARC</w:t>
      </w:r>
      <w:r w:rsidRPr="00373C11">
        <w:rPr>
          <w:lang w:val="en"/>
        </w:rPr>
        <w:t xml:space="preserve"> Monograph featured prominently in the FSR, </w:t>
      </w:r>
      <w:r w:rsidRPr="00373C11">
        <w:t>t</w:t>
      </w:r>
      <w:r w:rsidRPr="00373C11">
        <w:rPr>
          <w:lang w:val="en"/>
        </w:rPr>
        <w:t xml:space="preserve">he Agency </w:t>
      </w:r>
      <w:r w:rsidRPr="00373C11">
        <w:rPr>
          <w:lang w:val="en"/>
        </w:rPr>
        <w:t xml:space="preserve">did not merely </w:t>
      </w:r>
      <w:r w:rsidRPr="00373C11">
        <w:rPr>
          <w:lang w:val="en"/>
        </w:rPr>
        <w:t xml:space="preserve">adopt its conclusions, and </w:t>
      </w:r>
      <w:r w:rsidRPr="00373C11">
        <w:rPr>
          <w:lang w:val="en"/>
        </w:rPr>
        <w:t>explained</w:t>
      </w:r>
      <w:r w:rsidRPr="00373C11">
        <w:rPr>
          <w:lang w:val="en"/>
        </w:rPr>
        <w:t xml:space="preserve"> </w:t>
      </w:r>
      <w:r w:rsidRPr="00373C11">
        <w:rPr>
          <w:lang w:val="en"/>
        </w:rPr>
        <w:t xml:space="preserve">that </w:t>
      </w:r>
      <w:r w:rsidRPr="00373C11">
        <w:t>the Agency’s</w:t>
      </w:r>
      <w:r w:rsidRPr="00373C11">
        <w:rPr>
          <w:i/>
          <w:iCs/>
        </w:rPr>
        <w:t xml:space="preserve"> </w:t>
      </w:r>
      <w:r w:rsidRPr="00373C11">
        <w:rPr>
          <w:bCs/>
        </w:rPr>
        <w:t xml:space="preserve">determination regarding the risk of </w:t>
      </w:r>
      <w:r w:rsidRPr="00373C11">
        <w:rPr>
          <w:bCs/>
        </w:rPr>
        <w:t>cancer from coffee</w:t>
      </w:r>
      <w:r w:rsidRPr="00373C11">
        <w:rPr>
          <w:bCs/>
        </w:rPr>
        <w:t xml:space="preserve"> was</w:t>
      </w:r>
      <w:r w:rsidRPr="00373C11">
        <w:rPr>
          <w:bCs/>
        </w:rPr>
        <w:t xml:space="preserve"> “strongly supported by the extensive research evaluated and summarized by IARC and by [the Agency]’s evaluation of the IARC Monograph and stud</w:t>
      </w:r>
      <w:r w:rsidRPr="00373C11">
        <w:rPr>
          <w:bCs/>
        </w:rPr>
        <w:t>ies published subsequent to the IARC review</w:t>
      </w:r>
      <w:r w:rsidRPr="00373C11">
        <w:rPr>
          <w:bCs/>
        </w:rPr>
        <w:t xml:space="preserve"> </w:t>
      </w:r>
      <w:r w:rsidRPr="00373C11">
        <w:rPr>
          <w:bCs/>
        </w:rPr>
        <w:t>.</w:t>
      </w:r>
      <w:r w:rsidRPr="00373C11">
        <w:rPr>
          <w:bCs/>
        </w:rPr>
        <w:t xml:space="preserve"> . . .</w:t>
      </w:r>
      <w:r w:rsidRPr="00373C11">
        <w:rPr>
          <w:bCs/>
        </w:rPr>
        <w:t xml:space="preserve">” </w:t>
      </w:r>
      <w:r w:rsidRPr="00373C11">
        <w:rPr>
          <w:bCs/>
        </w:rPr>
        <w:t xml:space="preserve"> </w:t>
      </w:r>
    </w:p>
    <w:p w14:paraId="0C1CC1A3" w14:textId="77777777" w:rsidR="00627B03" w:rsidRPr="00373C11" w:rsidRDefault="00C25CF2" w:rsidP="00E81151">
      <w:pPr>
        <w:spacing w:line="288" w:lineRule="auto"/>
        <w:rPr>
          <w:lang w:val="en"/>
        </w:rPr>
      </w:pPr>
      <w:r w:rsidRPr="00373C11">
        <w:rPr>
          <w:bCs/>
        </w:rPr>
        <w:t xml:space="preserve">In its FSR, the </w:t>
      </w:r>
      <w:r w:rsidRPr="00373C11">
        <w:rPr>
          <w:bCs/>
        </w:rPr>
        <w:t>Agency</w:t>
      </w:r>
      <w:r w:rsidRPr="00373C11">
        <w:rPr>
          <w:bCs/>
        </w:rPr>
        <w:t xml:space="preserve"> </w:t>
      </w:r>
      <w:r w:rsidRPr="00373C11">
        <w:rPr>
          <w:bCs/>
        </w:rPr>
        <w:t>did not expressly address CERT’s objection that it had failed to consider the 2005 report</w:t>
      </w:r>
      <w:r w:rsidRPr="00373C11">
        <w:rPr>
          <w:bCs/>
        </w:rPr>
        <w:t xml:space="preserve"> and it</w:t>
      </w:r>
      <w:r w:rsidRPr="00373C11">
        <w:rPr>
          <w:bCs/>
        </w:rPr>
        <w:t xml:space="preserve">s conclusion that coffee drinkers exceeded </w:t>
      </w:r>
      <w:r w:rsidRPr="00373C11">
        <w:rPr>
          <w:bCs/>
        </w:rPr>
        <w:t xml:space="preserve">the </w:t>
      </w:r>
      <w:r w:rsidRPr="00373C11">
        <w:rPr>
          <w:bCs/>
        </w:rPr>
        <w:t>NSRL for acrylamide</w:t>
      </w:r>
      <w:r w:rsidRPr="00373C11">
        <w:rPr>
          <w:bCs/>
        </w:rPr>
        <w:t xml:space="preserve">.  </w:t>
      </w:r>
      <w:r w:rsidRPr="00373C11">
        <w:rPr>
          <w:bCs/>
        </w:rPr>
        <w:t>However, in a</w:t>
      </w:r>
      <w:r w:rsidRPr="00373C11">
        <w:rPr>
          <w:bCs/>
        </w:rPr>
        <w:t>ddressing the comment</w:t>
      </w:r>
      <w:r w:rsidRPr="00373C11">
        <w:rPr>
          <w:bCs/>
        </w:rPr>
        <w:t>s</w:t>
      </w:r>
      <w:r w:rsidRPr="00373C11">
        <w:rPr>
          <w:bCs/>
        </w:rPr>
        <w:t xml:space="preserve"> </w:t>
      </w:r>
      <w:r w:rsidRPr="00373C11">
        <w:rPr>
          <w:bCs/>
        </w:rPr>
        <w:t xml:space="preserve">urging the Agency </w:t>
      </w:r>
      <w:r w:rsidRPr="00373C11">
        <w:rPr>
          <w:bCs/>
        </w:rPr>
        <w:t xml:space="preserve">to </w:t>
      </w:r>
      <w:r w:rsidRPr="00373C11">
        <w:rPr>
          <w:bCs/>
        </w:rPr>
        <w:t>examine</w:t>
      </w:r>
      <w:r w:rsidRPr="00373C11">
        <w:rPr>
          <w:bCs/>
        </w:rPr>
        <w:t xml:space="preserve"> the risk from acrylamide </w:t>
      </w:r>
      <w:r w:rsidRPr="00373C11">
        <w:rPr>
          <w:bCs/>
        </w:rPr>
        <w:t>in coffee in isolation, i</w:t>
      </w:r>
      <w:r w:rsidRPr="00373C11">
        <w:rPr>
          <w:bCs/>
        </w:rPr>
        <w:t xml:space="preserve">t explained that given the large volume of research </w:t>
      </w:r>
      <w:r w:rsidRPr="00373C11">
        <w:rPr>
          <w:bCs/>
        </w:rPr>
        <w:t>regarding</w:t>
      </w:r>
      <w:r w:rsidRPr="00373C11">
        <w:rPr>
          <w:bCs/>
        </w:rPr>
        <w:t xml:space="preserve"> the cancer risk from coffee as a mixture, it was appropriate to assess the evidence relating to the mixture as a whole, and </w:t>
      </w:r>
      <w:r w:rsidRPr="00373C11">
        <w:rPr>
          <w:bCs/>
        </w:rPr>
        <w:t>explained</w:t>
      </w:r>
      <w:r w:rsidRPr="00373C11">
        <w:rPr>
          <w:bCs/>
        </w:rPr>
        <w:t xml:space="preserve"> that “reliance on a single carcinogenic constituent to infer significant risk can result in a substantial mischaracteriza</w:t>
      </w:r>
      <w:r w:rsidRPr="00373C11">
        <w:rPr>
          <w:bCs/>
        </w:rPr>
        <w:t xml:space="preserve">tion of the risk profile.” </w:t>
      </w:r>
      <w:r w:rsidRPr="00373C11">
        <w:rPr>
          <w:bCs/>
        </w:rPr>
        <w:t xml:space="preserve"> </w:t>
      </w:r>
      <w:r w:rsidRPr="00373C11">
        <w:rPr>
          <w:lang w:val="en"/>
        </w:rPr>
        <w:t xml:space="preserve">In </w:t>
      </w:r>
      <w:r w:rsidRPr="00373C11">
        <w:rPr>
          <w:lang w:val="en"/>
        </w:rPr>
        <w:t xml:space="preserve">June 2019, the Office of Administrative Law approved the </w:t>
      </w:r>
      <w:r w:rsidRPr="00373C11">
        <w:rPr>
          <w:lang w:val="en"/>
        </w:rPr>
        <w:t xml:space="preserve">Coffee </w:t>
      </w:r>
      <w:r w:rsidRPr="00373C11">
        <w:rPr>
          <w:lang w:val="en"/>
        </w:rPr>
        <w:t xml:space="preserve">Regulation </w:t>
      </w:r>
      <w:r w:rsidRPr="00373C11">
        <w:rPr>
          <w:lang w:val="en"/>
        </w:rPr>
        <w:t>(</w:t>
      </w:r>
      <w:r w:rsidRPr="00373C11">
        <w:rPr>
          <w:lang w:val="en"/>
        </w:rPr>
        <w:t>as</w:t>
      </w:r>
      <w:r w:rsidRPr="00373C11">
        <w:rPr>
          <w:lang w:val="en"/>
        </w:rPr>
        <w:t xml:space="preserve"> </w:t>
      </w:r>
      <w:r w:rsidRPr="00373C11">
        <w:rPr>
          <w:lang w:val="en"/>
        </w:rPr>
        <w:t xml:space="preserve">modified in March 2019). </w:t>
      </w:r>
      <w:r w:rsidRPr="00373C11">
        <w:rPr>
          <w:lang w:val="en"/>
        </w:rPr>
        <w:t xml:space="preserve"> </w:t>
      </w:r>
    </w:p>
    <w:p w14:paraId="463D4017" w14:textId="77777777" w:rsidR="0066565F" w:rsidRPr="00373C11" w:rsidRDefault="00C25CF2" w:rsidP="00E81151">
      <w:pPr>
        <w:spacing w:line="288" w:lineRule="auto"/>
        <w:rPr>
          <w:lang w:val="en"/>
        </w:rPr>
      </w:pPr>
    </w:p>
    <w:p w14:paraId="36D07CD6" w14:textId="77777777" w:rsidR="00607B43" w:rsidRPr="00373C11" w:rsidRDefault="00C25CF2" w:rsidP="00E81151">
      <w:pPr>
        <w:keepNext/>
        <w:numPr>
          <w:ilvl w:val="0"/>
          <w:numId w:val="1"/>
        </w:numPr>
        <w:tabs>
          <w:tab w:val="left" w:pos="1080"/>
        </w:tabs>
        <w:spacing w:after="120" w:line="288" w:lineRule="auto"/>
        <w:ind w:firstLine="0"/>
        <w:outlineLvl w:val="1"/>
        <w:rPr>
          <w:lang w:val="en"/>
        </w:rPr>
      </w:pPr>
      <w:r w:rsidRPr="00373C11">
        <w:rPr>
          <w:bCs/>
          <w:i/>
          <w:iCs/>
        </w:rPr>
        <w:lastRenderedPageBreak/>
        <w:t>Respondents</w:t>
      </w:r>
      <w:r w:rsidRPr="00373C11">
        <w:rPr>
          <w:bCs/>
          <w:i/>
          <w:iCs/>
        </w:rPr>
        <w:t>’</w:t>
      </w:r>
      <w:r w:rsidRPr="00373C11">
        <w:rPr>
          <w:i/>
          <w:iCs/>
          <w:lang w:val="en"/>
        </w:rPr>
        <w:t xml:space="preserve"> </w:t>
      </w:r>
      <w:r w:rsidRPr="00373C11">
        <w:rPr>
          <w:i/>
          <w:iCs/>
          <w:lang w:val="en"/>
        </w:rPr>
        <w:t>Assertion</w:t>
      </w:r>
      <w:r w:rsidRPr="00373C11">
        <w:rPr>
          <w:i/>
          <w:iCs/>
          <w:lang w:val="en"/>
        </w:rPr>
        <w:t xml:space="preserve"> </w:t>
      </w:r>
      <w:r w:rsidRPr="00373C11">
        <w:rPr>
          <w:i/>
          <w:iCs/>
          <w:lang w:val="en"/>
        </w:rPr>
        <w:t>of</w:t>
      </w:r>
      <w:r w:rsidRPr="00373C11">
        <w:rPr>
          <w:i/>
          <w:iCs/>
          <w:lang w:val="en"/>
        </w:rPr>
        <w:t xml:space="preserve"> </w:t>
      </w:r>
      <w:r w:rsidRPr="00373C11">
        <w:rPr>
          <w:i/>
          <w:iCs/>
          <w:lang w:val="en"/>
        </w:rPr>
        <w:t>t</w:t>
      </w:r>
      <w:r w:rsidRPr="00373C11">
        <w:rPr>
          <w:i/>
          <w:iCs/>
          <w:lang w:val="en"/>
        </w:rPr>
        <w:t xml:space="preserve">he Regulation </w:t>
      </w:r>
      <w:r w:rsidRPr="00373C11">
        <w:rPr>
          <w:i/>
          <w:iCs/>
          <w:lang w:val="en"/>
        </w:rPr>
        <w:t>as a Defense</w:t>
      </w:r>
      <w:r w:rsidRPr="00373C11">
        <w:rPr>
          <w:i/>
          <w:iCs/>
          <w:lang w:val="en"/>
        </w:rPr>
        <w:t>,</w:t>
      </w:r>
      <w:r w:rsidRPr="00373C11">
        <w:rPr>
          <w:i/>
          <w:iCs/>
          <w:lang w:val="en"/>
        </w:rPr>
        <w:t xml:space="preserve"> </w:t>
      </w:r>
      <w:r w:rsidRPr="00373C11">
        <w:rPr>
          <w:i/>
          <w:iCs/>
          <w:lang w:val="en"/>
        </w:rPr>
        <w:t xml:space="preserve">and the Motions for Summary Adjudication and Summary Judgment </w:t>
      </w:r>
    </w:p>
    <w:p w14:paraId="7751E658" w14:textId="77777777" w:rsidR="001424BC" w:rsidRPr="00373C11" w:rsidRDefault="00C25CF2" w:rsidP="00E81151">
      <w:pPr>
        <w:spacing w:line="288" w:lineRule="auto"/>
        <w:rPr>
          <w:lang w:val="en"/>
        </w:rPr>
      </w:pPr>
      <w:r w:rsidRPr="00373C11">
        <w:rPr>
          <w:lang w:val="en"/>
        </w:rPr>
        <w:t xml:space="preserve">Following </w:t>
      </w:r>
      <w:r w:rsidRPr="00373C11">
        <w:rPr>
          <w:lang w:val="en"/>
        </w:rPr>
        <w:t>the Agency’s</w:t>
      </w:r>
      <w:r w:rsidRPr="00373C11">
        <w:rPr>
          <w:lang w:val="en"/>
        </w:rPr>
        <w:t xml:space="preserve"> adoption of the Coffee Regulation, </w:t>
      </w:r>
      <w:r w:rsidRPr="00373C11">
        <w:rPr>
          <w:lang w:val="en"/>
        </w:rPr>
        <w:t>respondents</w:t>
      </w:r>
      <w:r w:rsidRPr="00373C11">
        <w:rPr>
          <w:lang w:val="en"/>
        </w:rPr>
        <w:t xml:space="preserve"> moved to amend their answers to add the </w:t>
      </w:r>
      <w:r w:rsidRPr="00373C11">
        <w:rPr>
          <w:lang w:val="en"/>
        </w:rPr>
        <w:t>r</w:t>
      </w:r>
      <w:r w:rsidRPr="00373C11">
        <w:rPr>
          <w:lang w:val="en"/>
        </w:rPr>
        <w:t>egulation as an affirmative defense</w:t>
      </w:r>
      <w:r w:rsidRPr="00373C11">
        <w:rPr>
          <w:lang w:val="en"/>
        </w:rPr>
        <w:t xml:space="preserve">, and the trial court granted them leave to do </w:t>
      </w:r>
      <w:r w:rsidRPr="00373C11">
        <w:rPr>
          <w:lang w:val="en"/>
        </w:rPr>
        <w:t>so.</w:t>
      </w:r>
      <w:r w:rsidRPr="00373C11">
        <w:rPr>
          <w:lang w:val="en"/>
        </w:rPr>
        <w:t xml:space="preserve">  </w:t>
      </w:r>
      <w:r w:rsidRPr="00373C11">
        <w:rPr>
          <w:lang w:val="en"/>
        </w:rPr>
        <w:t xml:space="preserve">CERT then </w:t>
      </w:r>
      <w:r w:rsidRPr="00373C11">
        <w:rPr>
          <w:lang w:val="en"/>
        </w:rPr>
        <w:t xml:space="preserve">filed </w:t>
      </w:r>
      <w:r w:rsidRPr="00373C11">
        <w:rPr>
          <w:lang w:val="en"/>
        </w:rPr>
        <w:t>several</w:t>
      </w:r>
      <w:r w:rsidRPr="00373C11">
        <w:rPr>
          <w:lang w:val="en"/>
        </w:rPr>
        <w:t xml:space="preserve"> motions for summary adjudication, attacking the </w:t>
      </w:r>
      <w:r w:rsidRPr="00373C11">
        <w:rPr>
          <w:lang w:val="en"/>
        </w:rPr>
        <w:t xml:space="preserve">validity of the </w:t>
      </w:r>
      <w:r w:rsidRPr="00373C11">
        <w:rPr>
          <w:lang w:val="en"/>
        </w:rPr>
        <w:t xml:space="preserve">Coffee Regulation on </w:t>
      </w:r>
      <w:r w:rsidRPr="00373C11">
        <w:rPr>
          <w:lang w:val="en"/>
        </w:rPr>
        <w:t xml:space="preserve">various </w:t>
      </w:r>
      <w:r w:rsidRPr="00373C11">
        <w:rPr>
          <w:lang w:val="en"/>
        </w:rPr>
        <w:t>grounds</w:t>
      </w:r>
      <w:r w:rsidRPr="00373C11">
        <w:rPr>
          <w:lang w:val="en"/>
        </w:rPr>
        <w:t>.</w:t>
      </w:r>
      <w:r w:rsidRPr="00373C11">
        <w:rPr>
          <w:lang w:val="en"/>
        </w:rPr>
        <w:t xml:space="preserve">  In turn, </w:t>
      </w:r>
      <w:r w:rsidRPr="00373C11">
        <w:rPr>
          <w:lang w:val="en"/>
        </w:rPr>
        <w:t>respondents</w:t>
      </w:r>
      <w:r w:rsidRPr="00373C11">
        <w:rPr>
          <w:lang w:val="en"/>
        </w:rPr>
        <w:t xml:space="preserve"> </w:t>
      </w:r>
      <w:r w:rsidRPr="00373C11">
        <w:rPr>
          <w:lang w:val="en"/>
        </w:rPr>
        <w:t xml:space="preserve">moved for </w:t>
      </w:r>
      <w:r w:rsidRPr="00373C11">
        <w:rPr>
          <w:lang w:val="en"/>
        </w:rPr>
        <w:t xml:space="preserve">summary judgment based on the </w:t>
      </w:r>
      <w:r w:rsidRPr="00373C11">
        <w:rPr>
          <w:lang w:val="en"/>
        </w:rPr>
        <w:t>r</w:t>
      </w:r>
      <w:r w:rsidRPr="00373C11">
        <w:rPr>
          <w:lang w:val="en"/>
        </w:rPr>
        <w:t>egulation.</w:t>
      </w:r>
      <w:r>
        <w:rPr>
          <w:rStyle w:val="FootnoteReference"/>
          <w:lang w:val="en"/>
        </w:rPr>
        <w:footnoteReference w:id="9"/>
      </w:r>
      <w:r w:rsidRPr="00373C11">
        <w:rPr>
          <w:lang w:val="en"/>
        </w:rPr>
        <w:t xml:space="preserve"> </w:t>
      </w:r>
    </w:p>
    <w:p w14:paraId="1BFEBE8C" w14:textId="77777777" w:rsidR="00FC46ED" w:rsidRPr="00373C11" w:rsidRDefault="00C25CF2" w:rsidP="00E81151">
      <w:pPr>
        <w:spacing w:line="288" w:lineRule="auto"/>
      </w:pPr>
      <w:r w:rsidRPr="00373C11">
        <w:rPr>
          <w:lang w:val="en"/>
        </w:rPr>
        <w:t>Following</w:t>
      </w:r>
      <w:r w:rsidRPr="00373C11">
        <w:rPr>
          <w:lang w:val="en"/>
        </w:rPr>
        <w:t xml:space="preserve"> hearings, the </w:t>
      </w:r>
      <w:r w:rsidRPr="00373C11">
        <w:rPr>
          <w:lang w:val="en"/>
        </w:rPr>
        <w:t>trial</w:t>
      </w:r>
      <w:r w:rsidRPr="00373C11">
        <w:rPr>
          <w:lang w:val="en"/>
        </w:rPr>
        <w:t xml:space="preserve"> court</w:t>
      </w:r>
      <w:r w:rsidRPr="00373C11">
        <w:rPr>
          <w:lang w:val="en"/>
        </w:rPr>
        <w:t xml:space="preserve"> </w:t>
      </w:r>
      <w:r w:rsidRPr="00373C11">
        <w:rPr>
          <w:lang w:val="en"/>
        </w:rPr>
        <w:t>denied CERT’</w:t>
      </w:r>
      <w:r w:rsidRPr="00373C11">
        <w:rPr>
          <w:lang w:val="en"/>
        </w:rPr>
        <w:t>s motions for summary adjudication</w:t>
      </w:r>
      <w:r w:rsidRPr="00373C11">
        <w:rPr>
          <w:lang w:val="en"/>
        </w:rPr>
        <w:t xml:space="preserve"> and</w:t>
      </w:r>
      <w:r w:rsidRPr="00373C11">
        <w:rPr>
          <w:lang w:val="en"/>
        </w:rPr>
        <w:t xml:space="preserve"> granted </w:t>
      </w:r>
      <w:r w:rsidRPr="00373C11">
        <w:rPr>
          <w:lang w:val="en"/>
        </w:rPr>
        <w:t>respondents’</w:t>
      </w:r>
      <w:r w:rsidRPr="00373C11">
        <w:rPr>
          <w:lang w:val="en"/>
        </w:rPr>
        <w:t xml:space="preserve"> motion for summary judgment</w:t>
      </w:r>
      <w:r w:rsidRPr="00373C11">
        <w:rPr>
          <w:lang w:val="en"/>
        </w:rPr>
        <w:t xml:space="preserve">, rejecting CERT’s challenges to the Coffee Regulation’s validity. </w:t>
      </w:r>
      <w:r w:rsidRPr="00373C11">
        <w:rPr>
          <w:lang w:val="en"/>
        </w:rPr>
        <w:t xml:space="preserve"> Addressing CERT’s </w:t>
      </w:r>
      <w:r w:rsidRPr="00373C11">
        <w:rPr>
          <w:lang w:val="en"/>
        </w:rPr>
        <w:t>contention</w:t>
      </w:r>
      <w:r w:rsidRPr="00373C11">
        <w:rPr>
          <w:lang w:val="en"/>
        </w:rPr>
        <w:t xml:space="preserve"> that </w:t>
      </w:r>
      <w:r w:rsidRPr="00373C11">
        <w:rPr>
          <w:lang w:val="en"/>
        </w:rPr>
        <w:t>issues remained</w:t>
      </w:r>
      <w:r w:rsidRPr="00373C11">
        <w:rPr>
          <w:lang w:val="en"/>
        </w:rPr>
        <w:t xml:space="preserve"> regarding </w:t>
      </w:r>
      <w:r w:rsidRPr="00373C11">
        <w:rPr>
          <w:lang w:val="en"/>
        </w:rPr>
        <w:t xml:space="preserve">acrylamide </w:t>
      </w:r>
      <w:r w:rsidRPr="00373C11">
        <w:rPr>
          <w:lang w:val="en"/>
        </w:rPr>
        <w:t xml:space="preserve">resulting from </w:t>
      </w:r>
      <w:r w:rsidRPr="00373C11">
        <w:rPr>
          <w:lang w:val="en"/>
        </w:rPr>
        <w:t>additives</w:t>
      </w:r>
      <w:r w:rsidRPr="00373C11">
        <w:rPr>
          <w:lang w:val="en"/>
        </w:rPr>
        <w:t xml:space="preserve"> in </w:t>
      </w:r>
      <w:r w:rsidRPr="00373C11">
        <w:rPr>
          <w:lang w:val="en"/>
        </w:rPr>
        <w:t xml:space="preserve">some of </w:t>
      </w:r>
      <w:r w:rsidRPr="00373C11">
        <w:rPr>
          <w:lang w:val="en"/>
        </w:rPr>
        <w:t>respondents’ coffee</w:t>
      </w:r>
      <w:r w:rsidRPr="00373C11">
        <w:rPr>
          <w:lang w:val="en"/>
        </w:rPr>
        <w:t xml:space="preserve"> products</w:t>
      </w:r>
      <w:r w:rsidRPr="00373C11">
        <w:rPr>
          <w:lang w:val="en"/>
        </w:rPr>
        <w:t xml:space="preserve">, the </w:t>
      </w:r>
      <w:r w:rsidRPr="00373C11">
        <w:rPr>
          <w:lang w:val="en"/>
        </w:rPr>
        <w:t>c</w:t>
      </w:r>
      <w:r w:rsidRPr="00373C11">
        <w:rPr>
          <w:lang w:val="en"/>
        </w:rPr>
        <w:t xml:space="preserve">ourt </w:t>
      </w:r>
      <w:r w:rsidRPr="00373C11">
        <w:rPr>
          <w:lang w:val="en"/>
        </w:rPr>
        <w:t>concluded such claims were</w:t>
      </w:r>
      <w:r w:rsidRPr="00373C11">
        <w:rPr>
          <w:lang w:val="en"/>
        </w:rPr>
        <w:t xml:space="preserve"> </w:t>
      </w:r>
      <w:r w:rsidRPr="00373C11">
        <w:rPr>
          <w:lang w:val="en"/>
        </w:rPr>
        <w:t>outside the scope of CERT’s actions</w:t>
      </w:r>
      <w:r w:rsidRPr="00373C11">
        <w:rPr>
          <w:lang w:val="en"/>
        </w:rPr>
        <w:t>,</w:t>
      </w:r>
      <w:r w:rsidRPr="00373C11">
        <w:rPr>
          <w:lang w:val="en"/>
        </w:rPr>
        <w:t xml:space="preserve"> based</w:t>
      </w:r>
      <w:r w:rsidRPr="00373C11">
        <w:rPr>
          <w:lang w:val="en"/>
        </w:rPr>
        <w:t>, inter alia,</w:t>
      </w:r>
      <w:r w:rsidRPr="00373C11">
        <w:rPr>
          <w:lang w:val="en"/>
        </w:rPr>
        <w:t xml:space="preserve"> on the allegations in its pre-suit notices and complaints. </w:t>
      </w:r>
      <w:r w:rsidRPr="00373C11">
        <w:rPr>
          <w:lang w:val="en"/>
        </w:rPr>
        <w:t xml:space="preserve"> </w:t>
      </w:r>
    </w:p>
    <w:p w14:paraId="16E0CF03" w14:textId="77777777" w:rsidR="00B45E91" w:rsidRPr="00373C11" w:rsidRDefault="00C25CF2" w:rsidP="00E81151">
      <w:pPr>
        <w:keepNext/>
        <w:numPr>
          <w:ilvl w:val="0"/>
          <w:numId w:val="1"/>
        </w:numPr>
        <w:tabs>
          <w:tab w:val="left" w:pos="1080"/>
        </w:tabs>
        <w:spacing w:after="120" w:line="288" w:lineRule="auto"/>
        <w:ind w:firstLine="0"/>
        <w:outlineLvl w:val="1"/>
        <w:rPr>
          <w:bCs/>
          <w:i/>
          <w:iCs/>
        </w:rPr>
      </w:pPr>
      <w:r w:rsidRPr="00373C11">
        <w:rPr>
          <w:bCs/>
          <w:i/>
          <w:iCs/>
        </w:rPr>
        <w:lastRenderedPageBreak/>
        <w:t>CERT’s Motion for Attorney Fees</w:t>
      </w:r>
    </w:p>
    <w:p w14:paraId="49726AE0" w14:textId="77777777" w:rsidR="009752C4" w:rsidRPr="00373C11" w:rsidRDefault="00C25CF2" w:rsidP="00E81151">
      <w:pPr>
        <w:spacing w:line="288" w:lineRule="auto"/>
      </w:pPr>
      <w:r w:rsidRPr="00373C11">
        <w:t xml:space="preserve">After the entry of </w:t>
      </w:r>
      <w:r w:rsidRPr="00373C11">
        <w:t xml:space="preserve">judgment, </w:t>
      </w:r>
      <w:r w:rsidRPr="00373C11">
        <w:t xml:space="preserve">CERT moved </w:t>
      </w:r>
      <w:r w:rsidRPr="00373C11">
        <w:t xml:space="preserve">to recover </w:t>
      </w:r>
      <w:r w:rsidRPr="00373C11">
        <w:t xml:space="preserve">attorney fees </w:t>
      </w:r>
      <w:r w:rsidRPr="00373C11">
        <w:t xml:space="preserve">from 18 of the respondents </w:t>
      </w:r>
      <w:r w:rsidRPr="00373C11">
        <w:t>under Code of Civil Procedure section 1021.5</w:t>
      </w:r>
      <w:r w:rsidRPr="00373C11">
        <w:t xml:space="preserve">. </w:t>
      </w:r>
      <w:r w:rsidRPr="00373C11">
        <w:t xml:space="preserve"> </w:t>
      </w:r>
      <w:r w:rsidRPr="00373C11">
        <w:t xml:space="preserve">Acknowledging </w:t>
      </w:r>
      <w:r w:rsidRPr="00373C11">
        <w:t>it had lost</w:t>
      </w:r>
      <w:r w:rsidRPr="00373C11">
        <w:t xml:space="preserve"> </w:t>
      </w:r>
      <w:r w:rsidRPr="00373C11">
        <w:t xml:space="preserve">its case </w:t>
      </w:r>
      <w:r w:rsidRPr="00373C11">
        <w:t xml:space="preserve">on the merits </w:t>
      </w:r>
      <w:r w:rsidRPr="00373C11">
        <w:t xml:space="preserve">in the </w:t>
      </w:r>
      <w:r w:rsidRPr="00373C11">
        <w:t xml:space="preserve">trial court, CERT claimed it was nevertheless a successful party </w:t>
      </w:r>
      <w:r w:rsidRPr="00373C11">
        <w:t>entitled to fees under the “</w:t>
      </w:r>
      <w:r w:rsidRPr="00373C11">
        <w:t>‘</w:t>
      </w:r>
      <w:r w:rsidRPr="00373C11">
        <w:t>catalyst theory,</w:t>
      </w:r>
      <w:r w:rsidRPr="00373C11">
        <w:t>’</w:t>
      </w:r>
      <w:r w:rsidRPr="00373C11">
        <w:t xml:space="preserve">” </w:t>
      </w:r>
      <w:r w:rsidRPr="00373C11">
        <w:t>asserting that its litigation efforts had caused the relevant respondent</w:t>
      </w:r>
      <w:r w:rsidRPr="00373C11">
        <w:t>s</w:t>
      </w:r>
      <w:r w:rsidRPr="00373C11">
        <w:t xml:space="preserve"> to provide Prop. 65 warning</w:t>
      </w:r>
      <w:r w:rsidRPr="00373C11">
        <w:t>s</w:t>
      </w:r>
      <w:r w:rsidRPr="00373C11">
        <w:t xml:space="preserve"> voluntarily during the litigation</w:t>
      </w:r>
      <w:r w:rsidRPr="00373C11">
        <w:t xml:space="preserve"> period.</w:t>
      </w:r>
      <w:r>
        <w:rPr>
          <w:rStyle w:val="FootnoteReference"/>
        </w:rPr>
        <w:footnoteReference w:id="10"/>
      </w:r>
      <w:r w:rsidRPr="00373C11">
        <w:t xml:space="preserve"> </w:t>
      </w:r>
    </w:p>
    <w:p w14:paraId="457AE379" w14:textId="77777777" w:rsidR="00487566" w:rsidRPr="00373C11" w:rsidRDefault="00C25CF2" w:rsidP="00E81151">
      <w:pPr>
        <w:spacing w:line="288" w:lineRule="auto"/>
      </w:pPr>
      <w:r w:rsidRPr="00373C11">
        <w:t xml:space="preserve">The trial court </w:t>
      </w:r>
      <w:r w:rsidRPr="00373C11">
        <w:t xml:space="preserve">denied CERT’s motion, concluding it was not </w:t>
      </w:r>
      <w:r w:rsidRPr="00373C11">
        <w:t xml:space="preserve">a successful party </w:t>
      </w:r>
      <w:r w:rsidRPr="00373C11">
        <w:t xml:space="preserve">eligible for fees even under the catalyst theory, </w:t>
      </w:r>
      <w:r w:rsidRPr="00373C11">
        <w:t xml:space="preserve">as </w:t>
      </w:r>
      <w:r w:rsidRPr="00373C11">
        <w:t xml:space="preserve">it had lost its case on the merits. </w:t>
      </w:r>
      <w:r w:rsidRPr="00373C11">
        <w:t xml:space="preserve"> </w:t>
      </w:r>
      <w:r w:rsidRPr="00373C11">
        <w:t>T</w:t>
      </w:r>
      <w:r w:rsidRPr="00373C11">
        <w:t xml:space="preserve">he court </w:t>
      </w:r>
      <w:r w:rsidRPr="00373C11">
        <w:t xml:space="preserve">determined, </w:t>
      </w:r>
      <w:r w:rsidRPr="00373C11">
        <w:t>alternatively,</w:t>
      </w:r>
      <w:r w:rsidRPr="00373C11">
        <w:t xml:space="preserve"> </w:t>
      </w:r>
      <w:r w:rsidRPr="00373C11">
        <w:t xml:space="preserve">that </w:t>
      </w:r>
      <w:r w:rsidRPr="00373C11">
        <w:t>CERT was not eligible for fees because it had not conferred a significant benefit on the public, as any w</w:t>
      </w:r>
      <w:r w:rsidRPr="00373C11">
        <w:t xml:space="preserve">arnings given during the pendency of its actions “were ultimately proven unnecessary for public health” under the Coffee Regulation. </w:t>
      </w:r>
    </w:p>
    <w:p w14:paraId="16757978" w14:textId="77777777" w:rsidR="001D366E" w:rsidRPr="00373C11" w:rsidRDefault="00C25CF2" w:rsidP="00E81151">
      <w:pPr>
        <w:spacing w:line="288" w:lineRule="auto"/>
      </w:pPr>
    </w:p>
    <w:p w14:paraId="33C1A246" w14:textId="77777777" w:rsidR="00040A2C" w:rsidRPr="00373C11" w:rsidRDefault="00C25CF2" w:rsidP="00E81151">
      <w:pPr>
        <w:keepNext/>
        <w:numPr>
          <w:ilvl w:val="0"/>
          <w:numId w:val="1"/>
        </w:numPr>
        <w:tabs>
          <w:tab w:val="left" w:pos="1080"/>
        </w:tabs>
        <w:spacing w:after="120" w:line="288" w:lineRule="auto"/>
        <w:ind w:firstLine="0"/>
        <w:outlineLvl w:val="1"/>
        <w:rPr>
          <w:bCs/>
          <w:i/>
          <w:iCs/>
        </w:rPr>
      </w:pPr>
      <w:r w:rsidRPr="00373C11">
        <w:rPr>
          <w:bCs/>
          <w:i/>
          <w:iCs/>
        </w:rPr>
        <w:t>The Award</w:t>
      </w:r>
      <w:r w:rsidRPr="00373C11">
        <w:rPr>
          <w:bCs/>
          <w:i/>
          <w:iCs/>
        </w:rPr>
        <w:t xml:space="preserve"> </w:t>
      </w:r>
      <w:r w:rsidRPr="00373C11">
        <w:rPr>
          <w:bCs/>
          <w:i/>
          <w:iCs/>
        </w:rPr>
        <w:t xml:space="preserve">of </w:t>
      </w:r>
      <w:r w:rsidRPr="00373C11">
        <w:rPr>
          <w:bCs/>
          <w:i/>
          <w:iCs/>
        </w:rPr>
        <w:t>Costs under Section 998</w:t>
      </w:r>
    </w:p>
    <w:p w14:paraId="267B1B51" w14:textId="77777777" w:rsidR="00B617C7" w:rsidRPr="00373C11" w:rsidRDefault="00C25CF2" w:rsidP="00E81151">
      <w:pPr>
        <w:spacing w:line="288" w:lineRule="auto"/>
      </w:pPr>
      <w:r w:rsidRPr="00373C11">
        <w:t xml:space="preserve">As discussed </w:t>
      </w:r>
      <w:r w:rsidRPr="00373C11">
        <w:t>more fully below, d</w:t>
      </w:r>
      <w:r w:rsidRPr="00373C11">
        <w:t xml:space="preserve">uring the litigation, </w:t>
      </w:r>
      <w:r w:rsidRPr="00373C11">
        <w:t xml:space="preserve">the </w:t>
      </w:r>
      <w:r w:rsidRPr="00373C11">
        <w:t>s</w:t>
      </w:r>
      <w:r w:rsidRPr="00373C11">
        <w:t xml:space="preserve">ection 998 </w:t>
      </w:r>
      <w:r w:rsidRPr="00373C11">
        <w:t>respondents served</w:t>
      </w:r>
      <w:r w:rsidRPr="00373C11">
        <w:t xml:space="preserve"> </w:t>
      </w:r>
      <w:r w:rsidRPr="00373C11">
        <w:t>statutory</w:t>
      </w:r>
      <w:r w:rsidRPr="00373C11">
        <w:t xml:space="preserve"> </w:t>
      </w:r>
      <w:r w:rsidRPr="00373C11">
        <w:t xml:space="preserve">offers of </w:t>
      </w:r>
      <w:r w:rsidRPr="00373C11">
        <w:t xml:space="preserve">compromise </w:t>
      </w:r>
      <w:r w:rsidRPr="00373C11">
        <w:t>on CERT</w:t>
      </w:r>
      <w:r w:rsidRPr="00373C11">
        <w:t>, which rejected the offers.</w:t>
      </w:r>
      <w:r w:rsidRPr="00373C11">
        <w:t xml:space="preserve">  </w:t>
      </w:r>
      <w:r w:rsidRPr="00373C11">
        <w:t xml:space="preserve">After entry </w:t>
      </w:r>
      <w:r w:rsidRPr="00373C11">
        <w:lastRenderedPageBreak/>
        <w:t>of judgment, these respondents filed memoranda of costs seeking to recover</w:t>
      </w:r>
      <w:r w:rsidRPr="00373C11">
        <w:t xml:space="preserve"> </w:t>
      </w:r>
      <w:r w:rsidRPr="00373C11">
        <w:t xml:space="preserve">their </w:t>
      </w:r>
      <w:r w:rsidRPr="00373C11">
        <w:t xml:space="preserve">post-offer </w:t>
      </w:r>
      <w:r w:rsidRPr="00373C11">
        <w:t>costs</w:t>
      </w:r>
      <w:r w:rsidRPr="00373C11">
        <w:t xml:space="preserve">. </w:t>
      </w:r>
      <w:r w:rsidRPr="00373C11">
        <w:t xml:space="preserve"> </w:t>
      </w:r>
      <w:r w:rsidRPr="00373C11">
        <w:t xml:space="preserve">CERT </w:t>
      </w:r>
      <w:r w:rsidRPr="00373C11">
        <w:t xml:space="preserve">moved to tax costs, challenging the validity </w:t>
      </w:r>
      <w:r w:rsidRPr="00373C11">
        <w:t xml:space="preserve">of the </w:t>
      </w:r>
      <w:r w:rsidRPr="00373C11">
        <w:t>s</w:t>
      </w:r>
      <w:r w:rsidRPr="00373C11">
        <w:t xml:space="preserve">ection 998 offers, but the </w:t>
      </w:r>
      <w:r w:rsidRPr="00373C11">
        <w:t xml:space="preserve">trial court denied </w:t>
      </w:r>
      <w:r w:rsidRPr="00373C11">
        <w:t>its motion</w:t>
      </w:r>
      <w:r w:rsidRPr="00373C11">
        <w:t xml:space="preserve"> and awarded the requested costs</w:t>
      </w:r>
      <w:r w:rsidRPr="00373C11">
        <w:t xml:space="preserve">. </w:t>
      </w:r>
      <w:r w:rsidRPr="00373C11">
        <w:t xml:space="preserve"> This appeal followed. </w:t>
      </w:r>
    </w:p>
    <w:p w14:paraId="5BD3BBA1" w14:textId="77777777" w:rsidR="008E3897" w:rsidRPr="00373C11" w:rsidRDefault="00C25CF2" w:rsidP="00E81151">
      <w:pPr>
        <w:spacing w:line="288" w:lineRule="auto"/>
        <w:rPr>
          <w:bCs/>
        </w:rPr>
      </w:pPr>
    </w:p>
    <w:p w14:paraId="64D1FB15" w14:textId="77777777" w:rsidR="0044672D" w:rsidRPr="00373C11" w:rsidRDefault="00C25CF2" w:rsidP="00E81151">
      <w:pPr>
        <w:keepNext/>
        <w:spacing w:after="120" w:line="288" w:lineRule="auto"/>
        <w:ind w:firstLine="0"/>
        <w:jc w:val="center"/>
        <w:outlineLvl w:val="0"/>
        <w:rPr>
          <w:b/>
        </w:rPr>
      </w:pPr>
      <w:r w:rsidRPr="00373C11">
        <w:rPr>
          <w:b/>
        </w:rPr>
        <w:t>DISCUSSION</w:t>
      </w:r>
    </w:p>
    <w:p w14:paraId="669A4E89" w14:textId="77777777" w:rsidR="0078147D" w:rsidRPr="00373C11" w:rsidRDefault="00C25CF2" w:rsidP="00E81151">
      <w:pPr>
        <w:spacing w:line="288" w:lineRule="auto"/>
        <w:rPr>
          <w:bCs/>
        </w:rPr>
      </w:pPr>
      <w:r w:rsidRPr="00373C11">
        <w:rPr>
          <w:bCs/>
        </w:rPr>
        <w:t>CERT</w:t>
      </w:r>
      <w:r w:rsidRPr="00373C11">
        <w:rPr>
          <w:bCs/>
        </w:rPr>
        <w:t xml:space="preserve"> challenges </w:t>
      </w:r>
      <w:r w:rsidRPr="00373C11">
        <w:rPr>
          <w:bCs/>
        </w:rPr>
        <w:t>the trial court’s grant of summary judgment</w:t>
      </w:r>
      <w:r w:rsidRPr="00373C11">
        <w:rPr>
          <w:bCs/>
        </w:rPr>
        <w:t>, its denial of attorney fees</w:t>
      </w:r>
      <w:r w:rsidRPr="00373C11">
        <w:rPr>
          <w:bCs/>
        </w:rPr>
        <w:t xml:space="preserve"> to CERT</w:t>
      </w:r>
      <w:r w:rsidRPr="00373C11">
        <w:rPr>
          <w:bCs/>
        </w:rPr>
        <w:t xml:space="preserve">, </w:t>
      </w:r>
      <w:r w:rsidRPr="00373C11">
        <w:rPr>
          <w:bCs/>
        </w:rPr>
        <w:t xml:space="preserve">and its award of costs </w:t>
      </w:r>
      <w:r w:rsidRPr="00373C11">
        <w:rPr>
          <w:bCs/>
        </w:rPr>
        <w:t xml:space="preserve">to the </w:t>
      </w:r>
      <w:r w:rsidRPr="00373C11">
        <w:rPr>
          <w:bCs/>
        </w:rPr>
        <w:t>s</w:t>
      </w:r>
      <w:r w:rsidRPr="00373C11">
        <w:rPr>
          <w:bCs/>
        </w:rPr>
        <w:t>ection 998</w:t>
      </w:r>
      <w:r w:rsidRPr="00373C11">
        <w:rPr>
          <w:bCs/>
        </w:rPr>
        <w:t xml:space="preserve"> respondents.</w:t>
      </w:r>
      <w:r w:rsidRPr="00373C11">
        <w:rPr>
          <w:bCs/>
        </w:rPr>
        <w:t xml:space="preserve">  </w:t>
      </w:r>
      <w:r w:rsidRPr="00373C11">
        <w:t xml:space="preserve">We </w:t>
      </w:r>
      <w:r w:rsidRPr="00373C11">
        <w:t xml:space="preserve">conclude the trial court properly granted summary judgment </w:t>
      </w:r>
      <w:r w:rsidRPr="00373C11">
        <w:t xml:space="preserve">and </w:t>
      </w:r>
      <w:r w:rsidRPr="00373C11">
        <w:t xml:space="preserve">properly </w:t>
      </w:r>
      <w:r w:rsidRPr="00373C11">
        <w:t xml:space="preserve">denied CERT’s motion for fees. </w:t>
      </w:r>
      <w:r w:rsidRPr="00373C11">
        <w:t xml:space="preserve"> </w:t>
      </w:r>
      <w:r w:rsidRPr="00373C11">
        <w:t xml:space="preserve">However, </w:t>
      </w:r>
      <w:r w:rsidRPr="00373C11">
        <w:t xml:space="preserve">we agree with CERT that </w:t>
      </w:r>
      <w:r w:rsidRPr="00373C11">
        <w:t xml:space="preserve">the </w:t>
      </w:r>
      <w:r w:rsidRPr="00373C11">
        <w:t xml:space="preserve">court erred in </w:t>
      </w:r>
      <w:r w:rsidRPr="00373C11">
        <w:t>award</w:t>
      </w:r>
      <w:r w:rsidRPr="00373C11">
        <w:t>ing</w:t>
      </w:r>
      <w:r w:rsidRPr="00373C11">
        <w:t xml:space="preserve"> </w:t>
      </w:r>
      <w:r w:rsidRPr="00373C11">
        <w:t xml:space="preserve">the relevant respondents </w:t>
      </w:r>
      <w:r w:rsidRPr="00373C11">
        <w:t>costs u</w:t>
      </w:r>
      <w:r w:rsidRPr="00373C11">
        <w:t xml:space="preserve">nder </w:t>
      </w:r>
      <w:r w:rsidRPr="00373C11">
        <w:t>s</w:t>
      </w:r>
      <w:r w:rsidRPr="00373C11">
        <w:t>ection 998</w:t>
      </w:r>
      <w:r w:rsidRPr="00373C11">
        <w:rPr>
          <w:bCs/>
        </w:rPr>
        <w:t xml:space="preserve">. </w:t>
      </w:r>
    </w:p>
    <w:p w14:paraId="48C3CBEA" w14:textId="77777777" w:rsidR="0078147D" w:rsidRPr="00373C11" w:rsidRDefault="00C25CF2" w:rsidP="00E81151">
      <w:pPr>
        <w:spacing w:line="288" w:lineRule="auto"/>
        <w:ind w:firstLine="0"/>
      </w:pPr>
    </w:p>
    <w:p w14:paraId="1A72AA4D" w14:textId="77777777" w:rsidR="00086F16" w:rsidRPr="00373C11" w:rsidRDefault="00C25CF2" w:rsidP="00E81151">
      <w:pPr>
        <w:keepNext/>
        <w:numPr>
          <w:ilvl w:val="0"/>
          <w:numId w:val="2"/>
        </w:numPr>
        <w:tabs>
          <w:tab w:val="left" w:pos="1080"/>
        </w:tabs>
        <w:spacing w:after="120" w:line="288" w:lineRule="auto"/>
        <w:ind w:firstLine="0"/>
        <w:outlineLvl w:val="1"/>
        <w:rPr>
          <w:bCs/>
          <w:i/>
          <w:iCs/>
        </w:rPr>
      </w:pPr>
      <w:r w:rsidRPr="00373C11">
        <w:rPr>
          <w:bCs/>
          <w:i/>
          <w:iCs/>
        </w:rPr>
        <w:t>Summary Judgment</w:t>
      </w:r>
    </w:p>
    <w:p w14:paraId="3BFBFABA" w14:textId="77777777" w:rsidR="00A81B03" w:rsidRPr="00373C11" w:rsidRDefault="00C25CF2" w:rsidP="00E81151">
      <w:pPr>
        <w:pStyle w:val="ListParagraph"/>
        <w:autoSpaceDE w:val="0"/>
        <w:autoSpaceDN w:val="0"/>
        <w:adjustRightInd w:val="0"/>
        <w:spacing w:line="288" w:lineRule="auto"/>
        <w:ind w:left="0"/>
        <w:rPr>
          <w:lang w:val="en"/>
        </w:rPr>
      </w:pPr>
      <w:r w:rsidRPr="00373C11">
        <w:rPr>
          <w:lang w:val="en"/>
        </w:rPr>
        <w:t>CERT claims the trial court erred in granting summary judgment for respondents</w:t>
      </w:r>
      <w:r w:rsidRPr="00373C11">
        <w:rPr>
          <w:lang w:val="en"/>
        </w:rPr>
        <w:t xml:space="preserve"> and denying its</w:t>
      </w:r>
      <w:r w:rsidRPr="00373C11">
        <w:rPr>
          <w:lang w:val="en"/>
        </w:rPr>
        <w:t xml:space="preserve"> </w:t>
      </w:r>
      <w:r w:rsidRPr="00373C11">
        <w:rPr>
          <w:lang w:val="en"/>
        </w:rPr>
        <w:t xml:space="preserve">motions for summary adjudication, </w:t>
      </w:r>
      <w:r w:rsidRPr="00373C11">
        <w:rPr>
          <w:lang w:val="en"/>
        </w:rPr>
        <w:t xml:space="preserve">because (1) the Coffee Regulation, on which the court’s order rested, was invalid, and (2) even assuming the regulation was valid, triable issues remained </w:t>
      </w:r>
      <w:r w:rsidRPr="00373C11">
        <w:rPr>
          <w:lang w:val="en"/>
        </w:rPr>
        <w:t>regarding</w:t>
      </w:r>
      <w:r w:rsidRPr="00373C11">
        <w:rPr>
          <w:lang w:val="en"/>
        </w:rPr>
        <w:t xml:space="preserve"> </w:t>
      </w:r>
      <w:r w:rsidRPr="00373C11">
        <w:rPr>
          <w:lang w:val="en"/>
        </w:rPr>
        <w:t>acr</w:t>
      </w:r>
      <w:r w:rsidRPr="00373C11">
        <w:rPr>
          <w:lang w:val="en"/>
        </w:rPr>
        <w:t xml:space="preserve">ylamide from </w:t>
      </w:r>
      <w:r w:rsidRPr="00373C11">
        <w:rPr>
          <w:lang w:val="en"/>
        </w:rPr>
        <w:t>coffee</w:t>
      </w:r>
      <w:r w:rsidRPr="00373C11">
        <w:rPr>
          <w:lang w:val="en"/>
        </w:rPr>
        <w:t xml:space="preserve"> additives</w:t>
      </w:r>
      <w:r w:rsidRPr="00373C11">
        <w:rPr>
          <w:lang w:val="en"/>
        </w:rPr>
        <w:t xml:space="preserve">. </w:t>
      </w:r>
      <w:r w:rsidRPr="00373C11">
        <w:rPr>
          <w:lang w:val="en"/>
        </w:rPr>
        <w:t xml:space="preserve"> </w:t>
      </w:r>
      <w:r w:rsidRPr="00373C11">
        <w:rPr>
          <w:lang w:val="en"/>
        </w:rPr>
        <w:t>As discussed below, we find neither contention persuasiv</w:t>
      </w:r>
      <w:r w:rsidRPr="00373C11">
        <w:rPr>
          <w:lang w:val="en"/>
        </w:rPr>
        <w:t xml:space="preserve">e. </w:t>
      </w:r>
    </w:p>
    <w:p w14:paraId="4CCE9899" w14:textId="77777777" w:rsidR="003A7FB1" w:rsidRPr="00373C11" w:rsidRDefault="00C25CF2" w:rsidP="00E81151">
      <w:pPr>
        <w:pStyle w:val="ListParagraph"/>
        <w:autoSpaceDE w:val="0"/>
        <w:autoSpaceDN w:val="0"/>
        <w:adjustRightInd w:val="0"/>
        <w:spacing w:line="288" w:lineRule="auto"/>
        <w:ind w:left="0"/>
        <w:rPr>
          <w:lang w:val="en"/>
        </w:rPr>
      </w:pPr>
    </w:p>
    <w:p w14:paraId="2CC0F60E" w14:textId="77777777" w:rsidR="00E478F1" w:rsidRPr="00373C11" w:rsidRDefault="00C25CF2" w:rsidP="00E81151">
      <w:pPr>
        <w:keepNext/>
        <w:numPr>
          <w:ilvl w:val="1"/>
          <w:numId w:val="3"/>
        </w:numPr>
        <w:tabs>
          <w:tab w:val="left" w:pos="1080"/>
        </w:tabs>
        <w:spacing w:after="120" w:line="288" w:lineRule="auto"/>
        <w:outlineLvl w:val="2"/>
        <w:rPr>
          <w:bCs/>
        </w:rPr>
      </w:pPr>
      <w:r w:rsidRPr="00373C11">
        <w:rPr>
          <w:bCs/>
        </w:rPr>
        <w:lastRenderedPageBreak/>
        <w:t>Standards of Review</w:t>
      </w:r>
    </w:p>
    <w:p w14:paraId="01AC5413" w14:textId="77777777" w:rsidR="00F1128E" w:rsidRPr="00373C11" w:rsidRDefault="00C25CF2" w:rsidP="00E81151">
      <w:pPr>
        <w:keepNext/>
        <w:numPr>
          <w:ilvl w:val="2"/>
          <w:numId w:val="3"/>
        </w:numPr>
        <w:tabs>
          <w:tab w:val="left" w:pos="1080"/>
          <w:tab w:val="left" w:pos="2340"/>
        </w:tabs>
        <w:spacing w:after="120" w:line="288" w:lineRule="auto"/>
        <w:ind w:left="2174" w:hanging="187"/>
        <w:outlineLvl w:val="3"/>
        <w:rPr>
          <w:bCs/>
        </w:rPr>
      </w:pPr>
      <w:r w:rsidRPr="00373C11">
        <w:rPr>
          <w:bCs/>
        </w:rPr>
        <w:t>Summary Judgment</w:t>
      </w:r>
    </w:p>
    <w:p w14:paraId="4B222056" w14:textId="77777777" w:rsidR="00D209F1" w:rsidRPr="00373C11" w:rsidRDefault="00C25CF2" w:rsidP="00E81151">
      <w:pPr>
        <w:pStyle w:val="ListParagraph"/>
        <w:autoSpaceDE w:val="0"/>
        <w:autoSpaceDN w:val="0"/>
        <w:adjustRightInd w:val="0"/>
        <w:spacing w:line="288" w:lineRule="auto"/>
        <w:ind w:left="0"/>
      </w:pPr>
      <w:r w:rsidRPr="00373C11">
        <w:t xml:space="preserve">We review the trial court’s rulings on </w:t>
      </w:r>
      <w:r w:rsidRPr="00373C11">
        <w:t xml:space="preserve">CERT’s motions for summary adjudication and respondents’ motion for summary judgment de novo.  </w:t>
      </w:r>
      <w:r w:rsidRPr="00373C11">
        <w:t>(</w:t>
      </w:r>
      <w:bookmarkStart w:id="10" w:name="dabmci_87451b8df7424590a11a92e5d7478e6c"/>
      <w:r w:rsidRPr="00373C11">
        <w:rPr>
          <w:i/>
          <w:iCs/>
        </w:rPr>
        <w:t>Gresher v. Anderson</w:t>
      </w:r>
      <w:r w:rsidRPr="00373C11">
        <w:t xml:space="preserve"> (2005) 127 Cal.App.4th 88, 96</w:t>
      </w:r>
      <w:bookmarkEnd w:id="10"/>
      <w:r w:rsidRPr="00373C11">
        <w:t xml:space="preserve">.)  </w:t>
      </w:r>
      <w:r w:rsidRPr="00373C11">
        <w:t>A motion for summary judgm</w:t>
      </w:r>
      <w:r w:rsidRPr="00373C11">
        <w:t xml:space="preserve">ent or summary adjudication is properly granted if the moving papers establish </w:t>
      </w:r>
      <w:r w:rsidRPr="00373C11">
        <w:t xml:space="preserve">that </w:t>
      </w:r>
      <w:r w:rsidRPr="00373C11">
        <w:t>there is no triable issue of material fact</w:t>
      </w:r>
      <w:r w:rsidRPr="00373C11">
        <w:t>,</w:t>
      </w:r>
      <w:r w:rsidRPr="00373C11">
        <w:t xml:space="preserve"> and the moving party is entitled to judgment as a matter of law.  (Code Civ. Proc., § 437c, subd. (c); </w:t>
      </w:r>
      <w:bookmarkStart w:id="11" w:name="dabmci_a9baee4eddd844caa43e0a7e30455b74"/>
      <w:r w:rsidRPr="00373C11">
        <w:rPr>
          <w:i/>
          <w:iCs/>
        </w:rPr>
        <w:t>Aguilar v. Atlantic Richf</w:t>
      </w:r>
      <w:r w:rsidRPr="00373C11">
        <w:rPr>
          <w:i/>
          <w:iCs/>
        </w:rPr>
        <w:t>ield Co.</w:t>
      </w:r>
      <w:r w:rsidRPr="00373C11">
        <w:t xml:space="preserve"> (2001) 25 Cal.4th 826, 843</w:t>
      </w:r>
      <w:bookmarkEnd w:id="11"/>
      <w:r w:rsidRPr="00373C11">
        <w:t>.)</w:t>
      </w:r>
    </w:p>
    <w:p w14:paraId="773F6F5D" w14:textId="77777777" w:rsidR="00D209F1" w:rsidRPr="00373C11" w:rsidRDefault="00C25CF2" w:rsidP="00E81151">
      <w:pPr>
        <w:autoSpaceDE w:val="0"/>
        <w:autoSpaceDN w:val="0"/>
        <w:adjustRightInd w:val="0"/>
        <w:spacing w:line="288" w:lineRule="auto"/>
        <w:ind w:firstLine="0"/>
      </w:pPr>
    </w:p>
    <w:p w14:paraId="57A037BF" w14:textId="77777777" w:rsidR="00C9154F" w:rsidRPr="00373C11" w:rsidRDefault="00C25CF2" w:rsidP="00E81151">
      <w:pPr>
        <w:keepNext/>
        <w:numPr>
          <w:ilvl w:val="2"/>
          <w:numId w:val="3"/>
        </w:numPr>
        <w:tabs>
          <w:tab w:val="left" w:pos="1080"/>
          <w:tab w:val="left" w:pos="2340"/>
        </w:tabs>
        <w:spacing w:after="120" w:line="288" w:lineRule="auto"/>
        <w:ind w:left="2174" w:hanging="187"/>
        <w:outlineLvl w:val="3"/>
        <w:rPr>
          <w:bCs/>
        </w:rPr>
      </w:pPr>
      <w:r w:rsidRPr="00373C11">
        <w:rPr>
          <w:bCs/>
        </w:rPr>
        <w:t>Administrative Regulations</w:t>
      </w:r>
    </w:p>
    <w:p w14:paraId="3887890E" w14:textId="77777777" w:rsidR="00921CAE" w:rsidRPr="00373C11" w:rsidRDefault="00C25CF2" w:rsidP="00E81151">
      <w:pPr>
        <w:autoSpaceDE w:val="0"/>
        <w:autoSpaceDN w:val="0"/>
        <w:adjustRightInd w:val="0"/>
        <w:spacing w:line="288" w:lineRule="auto"/>
        <w:rPr>
          <w:lang w:val="en"/>
        </w:rPr>
      </w:pPr>
      <w:r w:rsidRPr="00373C11">
        <w:rPr>
          <w:lang w:val="en"/>
        </w:rPr>
        <w:t>The Agency</w:t>
      </w:r>
      <w:r w:rsidRPr="00373C11">
        <w:rPr>
          <w:lang w:val="en"/>
        </w:rPr>
        <w:t xml:space="preserve"> adopted the </w:t>
      </w:r>
      <w:r w:rsidRPr="00373C11">
        <w:rPr>
          <w:lang w:val="en"/>
        </w:rPr>
        <w:t>c</w:t>
      </w:r>
      <w:r w:rsidRPr="00373C11">
        <w:rPr>
          <w:lang w:val="en"/>
        </w:rPr>
        <w:t xml:space="preserve">offee </w:t>
      </w:r>
      <w:r w:rsidRPr="00373C11">
        <w:rPr>
          <w:lang w:val="en"/>
        </w:rPr>
        <w:t>r</w:t>
      </w:r>
      <w:r w:rsidRPr="00373C11">
        <w:rPr>
          <w:lang w:val="en"/>
        </w:rPr>
        <w:t xml:space="preserve">egulation </w:t>
      </w:r>
      <w:r w:rsidRPr="00373C11">
        <w:rPr>
          <w:lang w:val="en"/>
        </w:rPr>
        <w:t>under</w:t>
      </w:r>
      <w:r w:rsidRPr="00373C11">
        <w:rPr>
          <w:lang w:val="en"/>
        </w:rPr>
        <w:t xml:space="preserve"> its authority to “adopt and modify regulations </w:t>
      </w:r>
      <w:r w:rsidRPr="00373C11">
        <w:rPr>
          <w:lang w:val="en"/>
        </w:rPr>
        <w:t>. . .</w:t>
      </w:r>
      <w:r w:rsidRPr="00373C11">
        <w:rPr>
          <w:lang w:val="en"/>
        </w:rPr>
        <w:t xml:space="preserve"> as necessary to conform with and implement [Prop</w:t>
      </w:r>
      <w:r w:rsidRPr="00373C11">
        <w:rPr>
          <w:lang w:val="en"/>
        </w:rPr>
        <w:t>.</w:t>
      </w:r>
      <w:r w:rsidRPr="00373C11">
        <w:rPr>
          <w:lang w:val="en"/>
        </w:rPr>
        <w:t xml:space="preserve"> 65].” </w:t>
      </w:r>
      <w:r w:rsidRPr="00373C11">
        <w:rPr>
          <w:lang w:val="en"/>
        </w:rPr>
        <w:t xml:space="preserve"> </w:t>
      </w:r>
      <w:r w:rsidRPr="00373C11">
        <w:rPr>
          <w:lang w:val="en"/>
        </w:rPr>
        <w:t>(</w:t>
      </w:r>
      <w:r w:rsidRPr="00373C11">
        <w:rPr>
          <w:lang w:val="en"/>
        </w:rPr>
        <w:t>Health &amp; Saf.</w:t>
      </w:r>
      <w:r w:rsidRPr="00373C11">
        <w:rPr>
          <w:lang w:val="en"/>
        </w:rPr>
        <w:t xml:space="preserve"> Code,</w:t>
      </w:r>
      <w:r w:rsidRPr="00373C11">
        <w:rPr>
          <w:lang w:val="en"/>
        </w:rPr>
        <w:t xml:space="preserve"> </w:t>
      </w:r>
      <w:r w:rsidRPr="00373C11">
        <w:rPr>
          <w:lang w:val="en"/>
        </w:rPr>
        <w:t>§</w:t>
      </w:r>
      <w:r w:rsidRPr="00373C11">
        <w:rPr>
          <w:lang w:val="en"/>
        </w:rPr>
        <w:t> </w:t>
      </w:r>
      <w:r w:rsidRPr="00373C11">
        <w:rPr>
          <w:lang w:val="en"/>
        </w:rPr>
        <w:t>25249.12, subd. (a).)</w:t>
      </w:r>
      <w:r w:rsidRPr="00373C11">
        <w:rPr>
          <w:lang w:val="en"/>
        </w:rPr>
        <w:t xml:space="preserve">  </w:t>
      </w:r>
      <w:r w:rsidRPr="00373C11">
        <w:rPr>
          <w:lang w:val="en"/>
        </w:rPr>
        <w:t>A regulation ado</w:t>
      </w:r>
      <w:r w:rsidRPr="00373C11">
        <w:rPr>
          <w:lang w:val="en"/>
        </w:rPr>
        <w:t xml:space="preserve">pted pursuant to a delegation of </w:t>
      </w:r>
      <w:r w:rsidRPr="00373C11">
        <w:rPr>
          <w:lang w:val="en"/>
        </w:rPr>
        <w:t xml:space="preserve">lawmaking power </w:t>
      </w:r>
      <w:r w:rsidRPr="00373C11">
        <w:t>has</w:t>
      </w:r>
      <w:r w:rsidRPr="00373C11">
        <w:t xml:space="preserve"> </w:t>
      </w:r>
      <w:r w:rsidRPr="00373C11">
        <w:t>“</w:t>
      </w:r>
      <w:r w:rsidRPr="00373C11">
        <w:t>the dignity of statutes.</w:t>
      </w:r>
      <w:r w:rsidRPr="00373C11">
        <w:t>”</w:t>
      </w:r>
      <w:r w:rsidRPr="00373C11">
        <w:t xml:space="preserve"> </w:t>
      </w:r>
      <w:r w:rsidRPr="00373C11">
        <w:t xml:space="preserve"> </w:t>
      </w:r>
      <w:r w:rsidRPr="00373C11">
        <w:t>(</w:t>
      </w:r>
      <w:bookmarkStart w:id="12" w:name="dabmci_60b01c3d3a5e4372bd0a2a510e91d3ae"/>
      <w:r w:rsidRPr="00373C11">
        <w:rPr>
          <w:i/>
          <w:iCs/>
        </w:rPr>
        <w:t>Yamaha Corp. of America v. State Bd. of Equalization</w:t>
      </w:r>
      <w:r w:rsidRPr="00373C11">
        <w:t xml:space="preserve"> (</w:t>
      </w:r>
      <w:r w:rsidRPr="00373C11">
        <w:t>1998) 19 Cal.4th 1, 10</w:t>
      </w:r>
      <w:bookmarkEnd w:id="12"/>
      <w:r w:rsidRPr="00373C11">
        <w:t xml:space="preserve">.) </w:t>
      </w:r>
      <w:r w:rsidRPr="00373C11">
        <w:t xml:space="preserve"> “</w:t>
      </w:r>
      <w:r w:rsidRPr="00373C11">
        <w:t xml:space="preserve">When a court assesses the validity of such rules, the scope of its review is narrow. </w:t>
      </w:r>
      <w:r w:rsidRPr="00373C11">
        <w:t xml:space="preserve"> </w:t>
      </w:r>
      <w:r w:rsidRPr="00373C11">
        <w:t xml:space="preserve">If satisfied that the rule in question lay within the lawmaking authority delegated by the Legislature, and that </w:t>
      </w:r>
      <w:r w:rsidRPr="00373C11">
        <w:lastRenderedPageBreak/>
        <w:t xml:space="preserve">it is reasonably necessary to </w:t>
      </w:r>
      <w:r w:rsidRPr="00373C11">
        <w:t>implement the purpose of the statute, judicial review is at an end.</w:t>
      </w:r>
      <w:r w:rsidRPr="00373C11">
        <w:t>”</w:t>
      </w:r>
      <w:r>
        <w:rPr>
          <w:rStyle w:val="FootnoteReference"/>
        </w:rPr>
        <w:footnoteReference w:id="11"/>
      </w:r>
      <w:r w:rsidRPr="00373C11">
        <w:t xml:space="preserve">  (</w:t>
      </w:r>
      <w:bookmarkStart w:id="13" w:name="dabmci_b606d5c94fbb420187c0632f0823d86b"/>
      <w:r w:rsidRPr="00373C11">
        <w:rPr>
          <w:i/>
          <w:iCs/>
        </w:rPr>
        <w:t>Id.</w:t>
      </w:r>
      <w:r w:rsidRPr="00373C11">
        <w:t xml:space="preserve"> at 10-11</w:t>
      </w:r>
      <w:bookmarkEnd w:id="13"/>
      <w:r w:rsidRPr="00373C11">
        <w:t xml:space="preserve">.)  </w:t>
      </w:r>
    </w:p>
    <w:p w14:paraId="42A1C2CA" w14:textId="77777777" w:rsidR="00B06D3D" w:rsidRPr="00373C11" w:rsidRDefault="00C25CF2" w:rsidP="00E81151">
      <w:pPr>
        <w:autoSpaceDE w:val="0"/>
        <w:autoSpaceDN w:val="0"/>
        <w:adjustRightInd w:val="0"/>
        <w:spacing w:line="288" w:lineRule="auto"/>
        <w:rPr>
          <w:lang w:val="en"/>
        </w:rPr>
      </w:pPr>
      <w:r w:rsidRPr="00373C11">
        <w:rPr>
          <w:lang w:val="en"/>
        </w:rPr>
        <w:t>Our</w:t>
      </w:r>
      <w:r w:rsidRPr="00373C11">
        <w:rPr>
          <w:lang w:val="en"/>
        </w:rPr>
        <w:t xml:space="preserve"> review of whether a regulation is reasonably necessary is limited to “whether the rule is arbitrary, capricious, or without rational basis [citation] and whether substantial evidence supports the agency’s determination that the rule is reasonably necessar</w:t>
      </w:r>
      <w:r w:rsidRPr="00373C11">
        <w:rPr>
          <w:lang w:val="en"/>
        </w:rPr>
        <w:t xml:space="preserve">y.” </w:t>
      </w:r>
      <w:r w:rsidRPr="00373C11">
        <w:rPr>
          <w:lang w:val="en"/>
        </w:rPr>
        <w:t xml:space="preserve"> </w:t>
      </w:r>
      <w:r w:rsidRPr="00373C11">
        <w:rPr>
          <w:lang w:val="en"/>
        </w:rPr>
        <w:t>(</w:t>
      </w:r>
      <w:bookmarkStart w:id="14" w:name="dabmci_1b5aba9e5ba941299dd534ada3590960"/>
      <w:r w:rsidRPr="00373C11">
        <w:rPr>
          <w:i/>
          <w:iCs/>
        </w:rPr>
        <w:t>Western States Petroleum Assn. v. Board of Equalization</w:t>
      </w:r>
      <w:r w:rsidRPr="00373C11">
        <w:t xml:space="preserve"> (2013) 57 Cal.4th 401, 415</w:t>
      </w:r>
      <w:bookmarkEnd w:id="14"/>
      <w:r w:rsidRPr="00373C11">
        <w:t xml:space="preserve">.)  </w:t>
      </w:r>
      <w:r w:rsidRPr="00373C11">
        <w:rPr>
          <w:lang w:val="en"/>
        </w:rPr>
        <w:t xml:space="preserve">Under this standard, the </w:t>
      </w:r>
      <w:r w:rsidRPr="00373C11">
        <w:rPr>
          <w:lang w:val="en"/>
        </w:rPr>
        <w:t>challenged r</w:t>
      </w:r>
      <w:r w:rsidRPr="00373C11">
        <w:rPr>
          <w:lang w:val="en"/>
        </w:rPr>
        <w:t>egulation is presumptively valid</w:t>
      </w:r>
      <w:r w:rsidRPr="00373C11">
        <w:rPr>
          <w:lang w:val="en"/>
        </w:rPr>
        <w:t xml:space="preserve">, and the burden is on the party challenging it to </w:t>
      </w:r>
      <w:r w:rsidRPr="00373C11">
        <w:rPr>
          <w:lang w:val="en"/>
        </w:rPr>
        <w:t>show that it is infirm.</w:t>
      </w:r>
      <w:r w:rsidRPr="00373C11">
        <w:rPr>
          <w:lang w:val="en"/>
        </w:rPr>
        <w:t xml:space="preserve"> </w:t>
      </w:r>
      <w:r w:rsidRPr="00373C11">
        <w:rPr>
          <w:lang w:val="en"/>
        </w:rPr>
        <w:t xml:space="preserve"> </w:t>
      </w:r>
      <w:r w:rsidRPr="00373C11">
        <w:rPr>
          <w:lang w:val="en"/>
        </w:rPr>
        <w:t>(</w:t>
      </w:r>
      <w:bookmarkStart w:id="15" w:name="dabmci_fe0ad3e950a3448d8e82c64c65355509"/>
      <w:r w:rsidRPr="00373C11">
        <w:rPr>
          <w:i/>
          <w:iCs/>
          <w:lang w:val="en"/>
        </w:rPr>
        <w:t>Tomlinson v. Qualc</w:t>
      </w:r>
      <w:r w:rsidRPr="00373C11">
        <w:rPr>
          <w:i/>
          <w:iCs/>
          <w:lang w:val="en"/>
        </w:rPr>
        <w:t>omm</w:t>
      </w:r>
      <w:r w:rsidRPr="00373C11">
        <w:rPr>
          <w:lang w:val="en"/>
        </w:rPr>
        <w:t xml:space="preserve"> </w:t>
      </w:r>
      <w:r w:rsidRPr="00373C11">
        <w:rPr>
          <w:lang w:val="en"/>
        </w:rPr>
        <w:t>(2002) 97 Cal.App.4th 934, 940</w:t>
      </w:r>
      <w:r w:rsidRPr="00373C11">
        <w:rPr>
          <w:lang w:val="en"/>
        </w:rPr>
        <w:t>-941</w:t>
      </w:r>
      <w:bookmarkEnd w:id="15"/>
      <w:r w:rsidRPr="00373C11">
        <w:rPr>
          <w:lang w:val="en"/>
        </w:rPr>
        <w:t>.)</w:t>
      </w:r>
      <w:r w:rsidRPr="00373C11">
        <w:rPr>
          <w:lang w:val="en"/>
        </w:rPr>
        <w:t xml:space="preserve">  </w:t>
      </w:r>
      <w:r w:rsidRPr="00373C11">
        <w:rPr>
          <w:lang w:val="en"/>
        </w:rPr>
        <w:t>In the absence of an arbitrary and capricious decision, we will defer to the agency’s expertise (</w:t>
      </w:r>
      <w:bookmarkStart w:id="16" w:name="dabmci_a35b6ba9c43e4d03a9b257afdf6331f3"/>
      <w:r w:rsidRPr="00373C11">
        <w:rPr>
          <w:i/>
          <w:iCs/>
          <w:lang w:val="en"/>
        </w:rPr>
        <w:t>Ford Dealers Assn. v. Dep</w:t>
      </w:r>
      <w:r w:rsidRPr="00373C11">
        <w:rPr>
          <w:i/>
          <w:iCs/>
          <w:lang w:val="en"/>
        </w:rPr>
        <w:t>artmen</w:t>
      </w:r>
      <w:r w:rsidRPr="00373C11">
        <w:rPr>
          <w:i/>
          <w:iCs/>
          <w:lang w:val="en"/>
        </w:rPr>
        <w:t>t of Motor Vehicles</w:t>
      </w:r>
      <w:r w:rsidRPr="00373C11">
        <w:rPr>
          <w:lang w:val="en"/>
        </w:rPr>
        <w:t xml:space="preserve"> (1982) 32 Cal.3d 347, 355</w:t>
      </w:r>
      <w:bookmarkEnd w:id="16"/>
      <w:r w:rsidRPr="00373C11">
        <w:rPr>
          <w:lang w:val="en"/>
        </w:rPr>
        <w:t>)</w:t>
      </w:r>
      <w:r w:rsidRPr="00373C11">
        <w:rPr>
          <w:lang w:val="en"/>
        </w:rPr>
        <w:t>, and “</w:t>
      </w:r>
      <w:r w:rsidRPr="00373C11">
        <w:rPr>
          <w:lang w:val="en"/>
        </w:rPr>
        <w:t xml:space="preserve">will not </w:t>
      </w:r>
      <w:r w:rsidRPr="00373C11">
        <w:rPr>
          <w:lang w:val="en"/>
        </w:rPr>
        <w:t xml:space="preserve">. . . </w:t>
      </w:r>
      <w:r w:rsidRPr="00373C11">
        <w:rPr>
          <w:lang w:val="en"/>
        </w:rPr>
        <w:t>venture into an in</w:t>
      </w:r>
      <w:r w:rsidRPr="00373C11">
        <w:rPr>
          <w:lang w:val="en"/>
        </w:rPr>
        <w:t>dependent determination of the wisdom</w:t>
      </w:r>
      <w:r w:rsidRPr="00373C11">
        <w:rPr>
          <w:lang w:val="en"/>
        </w:rPr>
        <w:t xml:space="preserve"> </w:t>
      </w:r>
      <w:r w:rsidRPr="00373C11">
        <w:rPr>
          <w:lang w:val="en"/>
        </w:rPr>
        <w:t xml:space="preserve">of the challenged regulation” or “substitute </w:t>
      </w:r>
      <w:r w:rsidRPr="00373C11">
        <w:rPr>
          <w:lang w:val="en"/>
        </w:rPr>
        <w:t>our</w:t>
      </w:r>
      <w:r w:rsidRPr="00373C11">
        <w:rPr>
          <w:lang w:val="en"/>
        </w:rPr>
        <w:t xml:space="preserve"> judgment for that of the agency with respect to such things as the existence and weight to be accorded the facts and policy considerations</w:t>
      </w:r>
      <w:r w:rsidRPr="00373C11">
        <w:rPr>
          <w:lang w:val="en"/>
        </w:rPr>
        <w:t xml:space="preserve"> . . . </w:t>
      </w:r>
      <w:r w:rsidRPr="00373C11">
        <w:rPr>
          <w:lang w:val="en"/>
        </w:rPr>
        <w:t xml:space="preserve">.” </w:t>
      </w:r>
      <w:r w:rsidRPr="00373C11">
        <w:rPr>
          <w:lang w:val="en"/>
        </w:rPr>
        <w:t xml:space="preserve"> </w:t>
      </w:r>
      <w:r w:rsidRPr="00373C11">
        <w:rPr>
          <w:lang w:val="en"/>
        </w:rPr>
        <w:t>(</w:t>
      </w:r>
      <w:bookmarkStart w:id="17" w:name="dabmci_7864ad43ca2e45dcadd3b52389c23b42"/>
      <w:r w:rsidRPr="00373C11">
        <w:rPr>
          <w:i/>
          <w:iCs/>
          <w:lang w:val="en"/>
        </w:rPr>
        <w:t>Western States Petr</w:t>
      </w:r>
      <w:r w:rsidRPr="00373C11">
        <w:rPr>
          <w:i/>
          <w:iCs/>
          <w:lang w:val="en"/>
        </w:rPr>
        <w:t xml:space="preserve">oleum Assn. v. </w:t>
      </w:r>
      <w:r w:rsidRPr="00373C11">
        <w:rPr>
          <w:i/>
          <w:iCs/>
          <w:lang w:val="en"/>
        </w:rPr>
        <w:t xml:space="preserve">State </w:t>
      </w:r>
      <w:r w:rsidRPr="00373C11">
        <w:rPr>
          <w:i/>
          <w:iCs/>
          <w:lang w:val="en"/>
        </w:rPr>
        <w:t>Dept. of Health Services</w:t>
      </w:r>
      <w:r w:rsidRPr="00373C11">
        <w:rPr>
          <w:lang w:val="en"/>
        </w:rPr>
        <w:t xml:space="preserve"> (2002) 99 Cal.App.4th 999, 1007</w:t>
      </w:r>
      <w:bookmarkEnd w:id="17"/>
      <w:r w:rsidRPr="00373C11">
        <w:rPr>
          <w:lang w:val="en"/>
        </w:rPr>
        <w:t xml:space="preserve">.) </w:t>
      </w:r>
    </w:p>
    <w:p w14:paraId="52BA9E04" w14:textId="77777777" w:rsidR="00893A3E" w:rsidRPr="00373C11" w:rsidRDefault="00C25CF2" w:rsidP="00E81151">
      <w:pPr>
        <w:autoSpaceDE w:val="0"/>
        <w:autoSpaceDN w:val="0"/>
        <w:adjustRightInd w:val="0"/>
        <w:spacing w:line="288" w:lineRule="auto"/>
        <w:ind w:firstLine="0"/>
        <w:rPr>
          <w:lang w:val="en"/>
        </w:rPr>
      </w:pPr>
    </w:p>
    <w:p w14:paraId="5C4CE91A" w14:textId="77777777" w:rsidR="006F75D4" w:rsidRPr="00373C11" w:rsidRDefault="00C25CF2" w:rsidP="00E81151">
      <w:pPr>
        <w:pStyle w:val="ListParagraph"/>
        <w:keepNext/>
        <w:numPr>
          <w:ilvl w:val="1"/>
          <w:numId w:val="3"/>
        </w:numPr>
        <w:tabs>
          <w:tab w:val="left" w:pos="1080"/>
        </w:tabs>
        <w:spacing w:after="120" w:line="288" w:lineRule="auto"/>
        <w:outlineLvl w:val="2"/>
        <w:rPr>
          <w:bCs/>
          <w:i/>
          <w:iCs/>
        </w:rPr>
      </w:pPr>
      <w:r w:rsidRPr="00373C11">
        <w:rPr>
          <w:bCs/>
          <w:i/>
          <w:iCs/>
        </w:rPr>
        <w:lastRenderedPageBreak/>
        <w:t>Analysis</w:t>
      </w:r>
    </w:p>
    <w:p w14:paraId="0D9768A2" w14:textId="77777777" w:rsidR="003E2868" w:rsidRPr="00373C11" w:rsidRDefault="00C25CF2" w:rsidP="00E81151">
      <w:pPr>
        <w:pStyle w:val="ListParagraph"/>
        <w:autoSpaceDE w:val="0"/>
        <w:autoSpaceDN w:val="0"/>
        <w:adjustRightInd w:val="0"/>
        <w:spacing w:line="288" w:lineRule="auto"/>
        <w:ind w:left="0"/>
        <w:rPr>
          <w:lang w:val="en"/>
        </w:rPr>
      </w:pPr>
      <w:r w:rsidRPr="00373C11">
        <w:rPr>
          <w:lang w:val="en"/>
        </w:rPr>
        <w:t xml:space="preserve">CERT challenges the </w:t>
      </w:r>
      <w:r w:rsidRPr="00373C11">
        <w:rPr>
          <w:lang w:val="en"/>
        </w:rPr>
        <w:t>r</w:t>
      </w:r>
      <w:r w:rsidRPr="00373C11">
        <w:rPr>
          <w:lang w:val="en"/>
        </w:rPr>
        <w:t>egulation on multiple grounds</w:t>
      </w:r>
      <w:r w:rsidRPr="00373C11">
        <w:rPr>
          <w:lang w:val="en"/>
        </w:rPr>
        <w:t xml:space="preserve">, asserting: (1) the Agency failed to </w:t>
      </w:r>
      <w:r w:rsidRPr="00373C11">
        <w:rPr>
          <w:lang w:val="en"/>
        </w:rPr>
        <w:t xml:space="preserve">explain its departure from the prior position it expressed in the 2005 </w:t>
      </w:r>
      <w:r w:rsidRPr="00373C11">
        <w:rPr>
          <w:lang w:val="en"/>
        </w:rPr>
        <w:t>report</w:t>
      </w:r>
      <w:r w:rsidRPr="00373C11">
        <w:rPr>
          <w:lang w:val="en"/>
        </w:rPr>
        <w:t>;</w:t>
      </w:r>
      <w:r w:rsidRPr="00373C11">
        <w:rPr>
          <w:lang w:val="en"/>
        </w:rPr>
        <w:t xml:space="preserve"> (2) the Agency</w:t>
      </w:r>
      <w:r w:rsidRPr="00373C11">
        <w:rPr>
          <w:lang w:val="en"/>
        </w:rPr>
        <w:t xml:space="preserve">’s </w:t>
      </w:r>
      <w:r w:rsidRPr="00373C11">
        <w:rPr>
          <w:lang w:val="en"/>
        </w:rPr>
        <w:t>FSR</w:t>
      </w:r>
      <w:r w:rsidRPr="00373C11">
        <w:rPr>
          <w:lang w:val="en"/>
        </w:rPr>
        <w:t xml:space="preserve"> </w:t>
      </w:r>
      <w:r w:rsidRPr="00373C11">
        <w:rPr>
          <w:lang w:val="en"/>
        </w:rPr>
        <w:t xml:space="preserve">failed to address CERT’s </w:t>
      </w:r>
      <w:r w:rsidRPr="00373C11">
        <w:rPr>
          <w:lang w:val="en"/>
        </w:rPr>
        <w:t xml:space="preserve">objection </w:t>
      </w:r>
      <w:r w:rsidRPr="00373C11">
        <w:rPr>
          <w:lang w:val="en"/>
        </w:rPr>
        <w:t>based on the claimed departure</w:t>
      </w:r>
      <w:r w:rsidRPr="00373C11">
        <w:rPr>
          <w:lang w:val="en"/>
        </w:rPr>
        <w:t>; (3)</w:t>
      </w:r>
      <w:r w:rsidRPr="00373C11">
        <w:rPr>
          <w:lang w:val="en"/>
        </w:rPr>
        <w:t> </w:t>
      </w:r>
      <w:r w:rsidRPr="00373C11">
        <w:rPr>
          <w:lang w:val="en"/>
        </w:rPr>
        <w:t xml:space="preserve">the </w:t>
      </w:r>
      <w:r w:rsidRPr="00373C11">
        <w:rPr>
          <w:lang w:val="en"/>
        </w:rPr>
        <w:t xml:space="preserve">regulation is underinclusive and thus is not supported by its </w:t>
      </w:r>
      <w:r w:rsidRPr="00373C11">
        <w:rPr>
          <w:lang w:val="en"/>
        </w:rPr>
        <w:t xml:space="preserve">rationale; </w:t>
      </w:r>
      <w:r w:rsidRPr="00373C11">
        <w:rPr>
          <w:lang w:val="en"/>
        </w:rPr>
        <w:t xml:space="preserve">and </w:t>
      </w:r>
      <w:r w:rsidRPr="00373C11">
        <w:rPr>
          <w:lang w:val="en"/>
        </w:rPr>
        <w:t>(4)</w:t>
      </w:r>
      <w:r w:rsidRPr="00373C11">
        <w:rPr>
          <w:lang w:val="en"/>
        </w:rPr>
        <w:t> the regulation is scientifically unsupported</w:t>
      </w:r>
      <w:r w:rsidRPr="00373C11">
        <w:rPr>
          <w:lang w:val="en"/>
        </w:rPr>
        <w:t xml:space="preserve">.  </w:t>
      </w:r>
      <w:r w:rsidRPr="00373C11">
        <w:rPr>
          <w:lang w:val="en"/>
        </w:rPr>
        <w:t>We address these content</w:t>
      </w:r>
      <w:r w:rsidRPr="00373C11">
        <w:rPr>
          <w:lang w:val="en"/>
        </w:rPr>
        <w:t>ions in turn.</w:t>
      </w:r>
    </w:p>
    <w:p w14:paraId="0495CEB2" w14:textId="77777777" w:rsidR="00086F16" w:rsidRPr="00373C11" w:rsidRDefault="00C25CF2" w:rsidP="00E81151">
      <w:pPr>
        <w:pStyle w:val="ListParagraph"/>
        <w:autoSpaceDE w:val="0"/>
        <w:autoSpaceDN w:val="0"/>
        <w:adjustRightInd w:val="0"/>
        <w:spacing w:line="288" w:lineRule="auto"/>
        <w:ind w:left="0"/>
        <w:rPr>
          <w:lang w:val="en"/>
        </w:rPr>
      </w:pPr>
      <w:r w:rsidRPr="00373C11">
        <w:rPr>
          <w:lang w:val="en"/>
        </w:rPr>
        <w:t xml:space="preserve"> </w:t>
      </w:r>
    </w:p>
    <w:p w14:paraId="02272CDA" w14:textId="77777777" w:rsidR="00C361F6" w:rsidRPr="00373C11" w:rsidRDefault="00C25CF2" w:rsidP="00E81151">
      <w:pPr>
        <w:keepNext/>
        <w:numPr>
          <w:ilvl w:val="2"/>
          <w:numId w:val="3"/>
        </w:numPr>
        <w:tabs>
          <w:tab w:val="left" w:pos="1080"/>
          <w:tab w:val="left" w:pos="2340"/>
        </w:tabs>
        <w:spacing w:after="120" w:line="288" w:lineRule="auto"/>
        <w:ind w:left="2174" w:hanging="187"/>
        <w:outlineLvl w:val="3"/>
        <w:rPr>
          <w:bCs/>
        </w:rPr>
      </w:pPr>
      <w:r w:rsidRPr="00373C11">
        <w:rPr>
          <w:bCs/>
        </w:rPr>
        <w:t>The</w:t>
      </w:r>
      <w:r w:rsidRPr="00373C11">
        <w:rPr>
          <w:bCs/>
        </w:rPr>
        <w:t xml:space="preserve">re </w:t>
      </w:r>
      <w:r w:rsidRPr="00373C11">
        <w:rPr>
          <w:bCs/>
        </w:rPr>
        <w:t>Was No</w:t>
      </w:r>
      <w:r w:rsidRPr="00373C11">
        <w:rPr>
          <w:bCs/>
        </w:rPr>
        <w:t xml:space="preserve"> Conflict Between the</w:t>
      </w:r>
      <w:r w:rsidRPr="00373C11">
        <w:rPr>
          <w:bCs/>
        </w:rPr>
        <w:t xml:space="preserve"> </w:t>
      </w:r>
      <w:r w:rsidRPr="00373C11">
        <w:rPr>
          <w:bCs/>
        </w:rPr>
        <w:t xml:space="preserve">Regulation and the </w:t>
      </w:r>
      <w:r w:rsidRPr="00373C11">
        <w:rPr>
          <w:bCs/>
        </w:rPr>
        <w:t>2005 Re</w:t>
      </w:r>
      <w:r w:rsidRPr="00373C11">
        <w:rPr>
          <w:bCs/>
        </w:rPr>
        <w:t>port</w:t>
      </w:r>
    </w:p>
    <w:p w14:paraId="33F064CA" w14:textId="77777777" w:rsidR="0004543C" w:rsidRPr="00373C11" w:rsidRDefault="00C25CF2" w:rsidP="00E81151">
      <w:pPr>
        <w:pStyle w:val="ListParagraph"/>
        <w:autoSpaceDE w:val="0"/>
        <w:autoSpaceDN w:val="0"/>
        <w:adjustRightInd w:val="0"/>
        <w:spacing w:line="288" w:lineRule="auto"/>
        <w:ind w:left="0"/>
      </w:pPr>
      <w:r w:rsidRPr="00373C11">
        <w:t xml:space="preserve">Citing federal caselaw applying the federal Administrative Procedures Act, </w:t>
      </w:r>
      <w:r w:rsidRPr="00373C11">
        <w:t>CER</w:t>
      </w:r>
      <w:r w:rsidRPr="00373C11">
        <w:t xml:space="preserve">T </w:t>
      </w:r>
      <w:r w:rsidRPr="00373C11">
        <w:t xml:space="preserve">contends that an agency </w:t>
      </w:r>
      <w:r w:rsidRPr="00373C11">
        <w:t xml:space="preserve">adopting </w:t>
      </w:r>
      <w:r w:rsidRPr="00373C11">
        <w:t xml:space="preserve">a regulation </w:t>
      </w:r>
      <w:r w:rsidRPr="00373C11">
        <w:t xml:space="preserve">contrary to its prior conclusions must </w:t>
      </w:r>
      <w:r w:rsidRPr="00373C11">
        <w:t xml:space="preserve">acknowledge and explain the departure. </w:t>
      </w:r>
      <w:r w:rsidRPr="00373C11">
        <w:t xml:space="preserve"> Assuming</w:t>
      </w:r>
      <w:r w:rsidRPr="00373C11">
        <w:t xml:space="preserve">, without deciding, that </w:t>
      </w:r>
      <w:r w:rsidRPr="00373C11">
        <w:t xml:space="preserve">such a requirement exists under California law, </w:t>
      </w:r>
      <w:r w:rsidRPr="00373C11">
        <w:t>we conclude it would have no application here</w:t>
      </w:r>
      <w:r w:rsidRPr="00373C11">
        <w:t>, because t</w:t>
      </w:r>
      <w:r w:rsidRPr="00373C11">
        <w:t xml:space="preserve">he </w:t>
      </w:r>
      <w:r w:rsidRPr="00373C11">
        <w:t>C</w:t>
      </w:r>
      <w:r w:rsidRPr="00373C11">
        <w:t xml:space="preserve">offee </w:t>
      </w:r>
      <w:r w:rsidRPr="00373C11">
        <w:t>R</w:t>
      </w:r>
      <w:r w:rsidRPr="00373C11">
        <w:t xml:space="preserve">egulation </w:t>
      </w:r>
      <w:r w:rsidRPr="00373C11">
        <w:t>wa</w:t>
      </w:r>
      <w:r w:rsidRPr="00373C11">
        <w:t>s not contrary to</w:t>
      </w:r>
      <w:r w:rsidRPr="00373C11">
        <w:t xml:space="preserve"> the Agency’s 2005 report. </w:t>
      </w:r>
      <w:r w:rsidRPr="00373C11">
        <w:t xml:space="preserve"> </w:t>
      </w:r>
    </w:p>
    <w:p w14:paraId="285758B4" w14:textId="77777777" w:rsidR="00220644" w:rsidRPr="00373C11" w:rsidRDefault="00C25CF2" w:rsidP="00E81151">
      <w:pPr>
        <w:pStyle w:val="ListParagraph"/>
        <w:autoSpaceDE w:val="0"/>
        <w:autoSpaceDN w:val="0"/>
        <w:adjustRightInd w:val="0"/>
        <w:spacing w:line="288" w:lineRule="auto"/>
        <w:ind w:left="0"/>
      </w:pPr>
      <w:r w:rsidRPr="00373C11">
        <w:t xml:space="preserve">As </w:t>
      </w:r>
      <w:r w:rsidRPr="00373C11">
        <w:t>n</w:t>
      </w:r>
      <w:r w:rsidRPr="00373C11">
        <w:t xml:space="preserve">oted, </w:t>
      </w:r>
      <w:r w:rsidRPr="00373C11">
        <w:t>the 2005 report was a technical document</w:t>
      </w:r>
      <w:r w:rsidRPr="00373C11">
        <w:t xml:space="preserve"> dealing with</w:t>
      </w:r>
      <w:r w:rsidRPr="00373C11">
        <w:t xml:space="preserve"> </w:t>
      </w:r>
      <w:r w:rsidRPr="00373C11">
        <w:t xml:space="preserve">the </w:t>
      </w:r>
      <w:r w:rsidRPr="00373C11">
        <w:t xml:space="preserve">intake levels of acrylamide in </w:t>
      </w:r>
      <w:r w:rsidRPr="00373C11">
        <w:t>different</w:t>
      </w:r>
      <w:r w:rsidRPr="00373C11">
        <w:t xml:space="preserve"> foods</w:t>
      </w:r>
      <w:r w:rsidRPr="00373C11">
        <w:t xml:space="preserve"> and beverages</w:t>
      </w:r>
      <w:r w:rsidRPr="00373C11">
        <w:t>.</w:t>
      </w:r>
      <w:r w:rsidRPr="00373C11">
        <w:t xml:space="preserve"> </w:t>
      </w:r>
      <w:r w:rsidRPr="00373C11">
        <w:t xml:space="preserve"> </w:t>
      </w:r>
      <w:r w:rsidRPr="00373C11">
        <w:t xml:space="preserve">Its </w:t>
      </w:r>
      <w:r w:rsidRPr="00373C11">
        <w:t xml:space="preserve">purpose was to “assist the public and the regulated community in estimating average </w:t>
      </w:r>
      <w:r w:rsidRPr="00373C11">
        <w:t>daily intake of acrylamide from specific foods, and to inform the development and content of regulations proposed by OEHHA</w:t>
      </w:r>
      <w:r w:rsidRPr="00373C11">
        <w:t xml:space="preserve"> . . . .” </w:t>
      </w:r>
      <w:r w:rsidRPr="00373C11">
        <w:t xml:space="preserve"> </w:t>
      </w:r>
      <w:r w:rsidRPr="00373C11">
        <w:t>T</w:t>
      </w:r>
      <w:r w:rsidRPr="00373C11">
        <w:t xml:space="preserve">he report concluded that </w:t>
      </w:r>
      <w:r w:rsidRPr="00373C11">
        <w:t xml:space="preserve">coffee drinkers </w:t>
      </w:r>
      <w:r w:rsidRPr="00373C11">
        <w:t xml:space="preserve">likely </w:t>
      </w:r>
      <w:r w:rsidRPr="00373C11">
        <w:lastRenderedPageBreak/>
        <w:t xml:space="preserve">exceeded </w:t>
      </w:r>
      <w:r w:rsidRPr="00373C11">
        <w:t xml:space="preserve">both </w:t>
      </w:r>
      <w:r w:rsidRPr="00373C11">
        <w:t xml:space="preserve">the </w:t>
      </w:r>
      <w:r w:rsidRPr="00373C11">
        <w:t>NSRL for acrylamide</w:t>
      </w:r>
      <w:r w:rsidRPr="00373C11">
        <w:t>,</w:t>
      </w:r>
      <w:r w:rsidRPr="00373C11">
        <w:t xml:space="preserve"> </w:t>
      </w:r>
      <w:r w:rsidRPr="00373C11">
        <w:t xml:space="preserve">and that coffee was a </w:t>
      </w:r>
      <w:r w:rsidRPr="00373C11">
        <w:t>substantial s</w:t>
      </w:r>
      <w:r w:rsidRPr="00373C11">
        <w:t>ource</w:t>
      </w:r>
      <w:r w:rsidRPr="00373C11">
        <w:t xml:space="preserve"> </w:t>
      </w:r>
      <w:r w:rsidRPr="00373C11">
        <w:t>of exposure to acrylamide</w:t>
      </w:r>
      <w:r w:rsidRPr="00373C11">
        <w:t>.</w:t>
      </w:r>
      <w:r w:rsidRPr="00373C11">
        <w:t xml:space="preserve"> </w:t>
      </w:r>
      <w:r w:rsidRPr="00373C11">
        <w:t xml:space="preserve"> </w:t>
      </w:r>
    </w:p>
    <w:p w14:paraId="39F2A82A" w14:textId="77777777" w:rsidR="00D8717D" w:rsidRPr="00373C11" w:rsidRDefault="00C25CF2" w:rsidP="00E81151">
      <w:pPr>
        <w:pStyle w:val="ListParagraph"/>
        <w:autoSpaceDE w:val="0"/>
        <w:autoSpaceDN w:val="0"/>
        <w:adjustRightInd w:val="0"/>
        <w:spacing w:line="288" w:lineRule="auto"/>
        <w:ind w:left="0"/>
      </w:pPr>
      <w:r w:rsidRPr="00373C11">
        <w:t xml:space="preserve">Contrary to CERT’s suggestion, the </w:t>
      </w:r>
      <w:r w:rsidRPr="00373C11">
        <w:t>conclusion</w:t>
      </w:r>
      <w:r w:rsidRPr="00373C11">
        <w:t xml:space="preserve"> that coffee drinkers exceeded </w:t>
      </w:r>
      <w:r w:rsidRPr="00373C11">
        <w:t xml:space="preserve">the </w:t>
      </w:r>
      <w:r w:rsidRPr="00373C11">
        <w:t>NSRL for acrylamide</w:t>
      </w:r>
      <w:r w:rsidRPr="00373C11">
        <w:t xml:space="preserve"> </w:t>
      </w:r>
      <w:r w:rsidRPr="00373C11">
        <w:t xml:space="preserve">did not encompass </w:t>
      </w:r>
      <w:r w:rsidRPr="00373C11">
        <w:t xml:space="preserve">a determination that coffee drinking caused cancer. </w:t>
      </w:r>
      <w:r w:rsidRPr="00373C11">
        <w:t xml:space="preserve"> </w:t>
      </w:r>
      <w:r w:rsidRPr="00373C11">
        <w:t xml:space="preserve">As explained above, </w:t>
      </w:r>
      <w:r w:rsidRPr="00373C11">
        <w:t xml:space="preserve">the </w:t>
      </w:r>
      <w:r w:rsidRPr="00373C11">
        <w:t xml:space="preserve">NSRL </w:t>
      </w:r>
      <w:r w:rsidRPr="00373C11">
        <w:t>provides</w:t>
      </w:r>
      <w:r w:rsidRPr="00373C11">
        <w:t xml:space="preserve"> </w:t>
      </w:r>
      <w:r w:rsidRPr="00373C11">
        <w:t>a safe harbor</w:t>
      </w:r>
      <w:r w:rsidRPr="00373C11">
        <w:t xml:space="preserve">.  That an exposure level exceeds </w:t>
      </w:r>
      <w:r w:rsidRPr="00373C11">
        <w:t xml:space="preserve">the </w:t>
      </w:r>
      <w:r w:rsidRPr="00373C11">
        <w:t xml:space="preserve">NSRL does not </w:t>
      </w:r>
      <w:r w:rsidRPr="00373C11">
        <w:t>imply</w:t>
      </w:r>
      <w:r w:rsidRPr="00373C11">
        <w:t xml:space="preserve"> </w:t>
      </w:r>
      <w:r w:rsidRPr="00373C11">
        <w:t>it presents a significant risk of cancer.  “In [the Agency]’s words, its establishment of a[n]</w:t>
      </w:r>
      <w:r w:rsidRPr="00373C11">
        <w:t xml:space="preserve"> NSRL ‘expressly is not a determination that any level above the NSRL poses a significant risk.’”  (</w:t>
      </w:r>
      <w:bookmarkStart w:id="18" w:name="dabmci_c71d56b427b24b31ace9a50ebb877540"/>
      <w:r w:rsidRPr="00373C11">
        <w:rPr>
          <w:i/>
          <w:iCs/>
        </w:rPr>
        <w:t>Baxter Healthcare Corp. v. Denton</w:t>
      </w:r>
      <w:r w:rsidRPr="00373C11">
        <w:t xml:space="preserve"> (2004) 120 Cal.App.4th 333, 358</w:t>
      </w:r>
      <w:bookmarkEnd w:id="18"/>
      <w:r w:rsidRPr="00373C11">
        <w:t xml:space="preserve">.)  </w:t>
      </w:r>
      <w:r w:rsidRPr="00373C11">
        <w:t>T</w:t>
      </w:r>
      <w:r w:rsidRPr="00373C11">
        <w:t>hese safe harbor levels do not preclude the use of alternative levels that can be demo</w:t>
      </w:r>
      <w:r w:rsidRPr="00373C11">
        <w:t xml:space="preserve">nstrated </w:t>
      </w:r>
      <w:r w:rsidRPr="00373C11">
        <w:t>to be safe</w:t>
      </w:r>
      <w:r w:rsidRPr="00373C11">
        <w:t xml:space="preserve">.  (See </w:t>
      </w:r>
      <w:bookmarkStart w:id="19" w:name="dabmci_910b4bd7a8624f1c9e46ed40ac1ed8e0"/>
      <w:r w:rsidRPr="00373C11">
        <w:t>Cal. Code Regs.</w:t>
      </w:r>
      <w:r w:rsidRPr="00373C11">
        <w:t>,</w:t>
      </w:r>
      <w:r w:rsidRPr="00373C11">
        <w:t xml:space="preserve"> </w:t>
      </w:r>
      <w:r w:rsidRPr="00373C11">
        <w:t>t</w:t>
      </w:r>
      <w:r w:rsidRPr="00373C11">
        <w:t>it. 27, § 25701, subd. (a)</w:t>
      </w:r>
      <w:bookmarkEnd w:id="19"/>
      <w:r w:rsidRPr="00373C11">
        <w:t xml:space="preserve"> [“Nothing in this article shall preclude a person from using evidence, standards, risk assessment methodologies, principles, assumptions or levels not described in this article to esta</w:t>
      </w:r>
      <w:r w:rsidRPr="00373C11">
        <w:t>blish that a level of exposure to a listed chemical poses no significant risk”].)</w:t>
      </w:r>
    </w:p>
    <w:p w14:paraId="2D2A24A2" w14:textId="77777777" w:rsidR="00A86FD6" w:rsidRPr="00373C11" w:rsidRDefault="00C25CF2" w:rsidP="00E81151">
      <w:pPr>
        <w:pStyle w:val="ListParagraph"/>
        <w:autoSpaceDE w:val="0"/>
        <w:autoSpaceDN w:val="0"/>
        <w:adjustRightInd w:val="0"/>
        <w:spacing w:line="288" w:lineRule="auto"/>
        <w:ind w:left="0"/>
      </w:pPr>
      <w:r w:rsidRPr="00373C11">
        <w:t>T</w:t>
      </w:r>
      <w:r w:rsidRPr="00373C11">
        <w:t xml:space="preserve">he </w:t>
      </w:r>
      <w:r w:rsidRPr="00373C11">
        <w:t xml:space="preserve">2005 </w:t>
      </w:r>
      <w:r w:rsidRPr="00373C11">
        <w:t xml:space="preserve">report included no independent risk assessment and </w:t>
      </w:r>
      <w:r w:rsidRPr="00373C11">
        <w:t xml:space="preserve">did not </w:t>
      </w:r>
      <w:r w:rsidRPr="00373C11">
        <w:t xml:space="preserve">address whether </w:t>
      </w:r>
      <w:r w:rsidRPr="00373C11">
        <w:t xml:space="preserve">coffee </w:t>
      </w:r>
      <w:r w:rsidRPr="00373C11">
        <w:t>caused cancer</w:t>
      </w:r>
      <w:r w:rsidRPr="00373C11">
        <w:t xml:space="preserve"> </w:t>
      </w:r>
      <w:r w:rsidRPr="00373C11">
        <w:t xml:space="preserve">or </w:t>
      </w:r>
      <w:r w:rsidRPr="00373C11">
        <w:t xml:space="preserve">whether </w:t>
      </w:r>
      <w:r w:rsidRPr="00373C11">
        <w:t>any</w:t>
      </w:r>
      <w:r w:rsidRPr="00373C11">
        <w:t xml:space="preserve"> cancer risk </w:t>
      </w:r>
      <w:r w:rsidRPr="00373C11">
        <w:t xml:space="preserve">inherent in coffee drinking should be </w:t>
      </w:r>
      <w:r w:rsidRPr="00373C11">
        <w:t>assessed b</w:t>
      </w:r>
      <w:r w:rsidRPr="00373C11">
        <w:t>ased</w:t>
      </w:r>
      <w:r w:rsidRPr="00373C11">
        <w:t xml:space="preserve"> on the mixture or its constituent</w:t>
      </w:r>
      <w:r w:rsidRPr="00373C11">
        <w:t>s</w:t>
      </w:r>
      <w:r w:rsidRPr="00373C11">
        <w:t xml:space="preserve">. </w:t>
      </w:r>
      <w:r w:rsidRPr="00373C11">
        <w:t xml:space="preserve"> </w:t>
      </w:r>
      <w:r w:rsidRPr="00373C11">
        <w:t>Thus, t</w:t>
      </w:r>
      <w:r w:rsidRPr="00373C11">
        <w:t xml:space="preserve">he </w:t>
      </w:r>
      <w:r w:rsidRPr="00373C11">
        <w:t>C</w:t>
      </w:r>
      <w:r w:rsidRPr="00373C11">
        <w:t xml:space="preserve">offee </w:t>
      </w:r>
      <w:r w:rsidRPr="00373C11">
        <w:t>R</w:t>
      </w:r>
      <w:r w:rsidRPr="00373C11">
        <w:t xml:space="preserve">egulation’s </w:t>
      </w:r>
      <w:r w:rsidRPr="00373C11">
        <w:t>determination</w:t>
      </w:r>
      <w:r w:rsidRPr="00373C11">
        <w:t xml:space="preserve"> that </w:t>
      </w:r>
      <w:r w:rsidRPr="00373C11">
        <w:t>exposure to</w:t>
      </w:r>
      <w:r w:rsidRPr="00373C11">
        <w:t xml:space="preserve"> </w:t>
      </w:r>
      <w:r w:rsidRPr="00373C11">
        <w:t>acrylamide</w:t>
      </w:r>
      <w:r w:rsidRPr="00373C11">
        <w:t xml:space="preserve"> inherent in coffee </w:t>
      </w:r>
      <w:r w:rsidRPr="00373C11">
        <w:t xml:space="preserve">did not </w:t>
      </w:r>
      <w:r w:rsidRPr="00373C11">
        <w:t xml:space="preserve">pose a significant risk of cancer contradicted nothing in the 2005 </w:t>
      </w:r>
      <w:r w:rsidRPr="00373C11">
        <w:lastRenderedPageBreak/>
        <w:t>report</w:t>
      </w:r>
      <w:r w:rsidRPr="00373C11">
        <w:t>, and there was therefore no cha</w:t>
      </w:r>
      <w:r w:rsidRPr="00373C11">
        <w:t xml:space="preserve">nge of position </w:t>
      </w:r>
      <w:r w:rsidRPr="00373C11">
        <w:t xml:space="preserve">calling for any </w:t>
      </w:r>
      <w:r w:rsidRPr="00373C11">
        <w:t>explanation.</w:t>
      </w:r>
      <w:r>
        <w:rPr>
          <w:rStyle w:val="FootnoteReference"/>
        </w:rPr>
        <w:footnoteReference w:id="12"/>
      </w:r>
      <w:r w:rsidRPr="00373C11">
        <w:t xml:space="preserve">  </w:t>
      </w:r>
    </w:p>
    <w:p w14:paraId="44CC185E" w14:textId="77777777" w:rsidR="00086F16" w:rsidRPr="00373C11" w:rsidRDefault="00C25CF2" w:rsidP="00E81151">
      <w:pPr>
        <w:autoSpaceDE w:val="0"/>
        <w:autoSpaceDN w:val="0"/>
        <w:adjustRightInd w:val="0"/>
        <w:spacing w:line="288" w:lineRule="auto"/>
        <w:ind w:firstLine="0"/>
      </w:pPr>
    </w:p>
    <w:p w14:paraId="64CFACDB" w14:textId="77777777" w:rsidR="00A770C4" w:rsidRPr="00373C11" w:rsidRDefault="00C25CF2" w:rsidP="00E81151">
      <w:pPr>
        <w:keepNext/>
        <w:numPr>
          <w:ilvl w:val="2"/>
          <w:numId w:val="3"/>
        </w:numPr>
        <w:tabs>
          <w:tab w:val="left" w:pos="1080"/>
          <w:tab w:val="left" w:pos="2340"/>
        </w:tabs>
        <w:spacing w:after="120" w:line="288" w:lineRule="auto"/>
        <w:ind w:left="2174" w:hanging="187"/>
        <w:outlineLvl w:val="3"/>
        <w:rPr>
          <w:bCs/>
        </w:rPr>
      </w:pPr>
      <w:r w:rsidRPr="00373C11">
        <w:rPr>
          <w:bCs/>
        </w:rPr>
        <w:t xml:space="preserve">The Agency </w:t>
      </w:r>
      <w:r w:rsidRPr="00373C11">
        <w:rPr>
          <w:bCs/>
        </w:rPr>
        <w:t xml:space="preserve">Substantially Complied with Its Duty to Address </w:t>
      </w:r>
      <w:r w:rsidRPr="00373C11">
        <w:rPr>
          <w:bCs/>
        </w:rPr>
        <w:t>CERT’s Objection</w:t>
      </w:r>
      <w:r w:rsidRPr="00373C11">
        <w:rPr>
          <w:bCs/>
        </w:rPr>
        <w:t>s</w:t>
      </w:r>
    </w:p>
    <w:p w14:paraId="0E273E2E" w14:textId="77777777" w:rsidR="001F7E4F" w:rsidRPr="00373C11" w:rsidRDefault="00C25CF2" w:rsidP="00E81151">
      <w:pPr>
        <w:keepNext/>
        <w:numPr>
          <w:ilvl w:val="3"/>
          <w:numId w:val="3"/>
        </w:numPr>
        <w:tabs>
          <w:tab w:val="left" w:pos="1080"/>
          <w:tab w:val="left" w:pos="2340"/>
          <w:tab w:val="left" w:pos="2700"/>
        </w:tabs>
        <w:spacing w:after="120" w:line="288" w:lineRule="auto"/>
        <w:outlineLvl w:val="4"/>
        <w:rPr>
          <w:bCs/>
        </w:rPr>
      </w:pPr>
      <w:r w:rsidRPr="00373C11">
        <w:rPr>
          <w:bCs/>
        </w:rPr>
        <w:t>Governing Principles</w:t>
      </w:r>
    </w:p>
    <w:p w14:paraId="12891E6A" w14:textId="77777777" w:rsidR="00F11561" w:rsidRPr="00373C11" w:rsidRDefault="00C25CF2" w:rsidP="00E81151">
      <w:pPr>
        <w:autoSpaceDE w:val="0"/>
        <w:autoSpaceDN w:val="0"/>
        <w:adjustRightInd w:val="0"/>
        <w:spacing w:line="288" w:lineRule="auto"/>
        <w:rPr>
          <w:bCs/>
        </w:rPr>
      </w:pPr>
      <w:r w:rsidRPr="00373C11">
        <w:t>Under the</w:t>
      </w:r>
      <w:r w:rsidRPr="00373C11">
        <w:t xml:space="preserve"> </w:t>
      </w:r>
      <w:r w:rsidRPr="00373C11">
        <w:t xml:space="preserve">California </w:t>
      </w:r>
      <w:r w:rsidRPr="00373C11">
        <w:t>A</w:t>
      </w:r>
      <w:r w:rsidRPr="00373C11">
        <w:t xml:space="preserve">dministrative </w:t>
      </w:r>
      <w:r w:rsidRPr="00373C11">
        <w:t>P</w:t>
      </w:r>
      <w:r w:rsidRPr="00373C11">
        <w:t xml:space="preserve">rocedures </w:t>
      </w:r>
      <w:r w:rsidRPr="00373C11">
        <w:t>A</w:t>
      </w:r>
      <w:r w:rsidRPr="00373C11">
        <w:t>ct (APA)</w:t>
      </w:r>
      <w:r w:rsidRPr="00373C11">
        <w:t xml:space="preserve">, before adopting a proposed regulation, an </w:t>
      </w:r>
      <w:r w:rsidRPr="00373C11">
        <w:t>agency must provide an FSR that includes, among other things, a summary of “each objection or recommendation made regarding the [proposed regulatory action], together with an explanation of how the proposed action has been changed to accommodate each objec</w:t>
      </w:r>
      <w:r w:rsidRPr="00373C11">
        <w:t>tion or recommendation, or the reasons for making no change.”  (Gov. Code, § 11346.9, subd. (a)(3).)  An agency’s “substantial failure” to comply with the APA’s requirements may result in the regulation</w:t>
      </w:r>
      <w:r w:rsidRPr="00373C11">
        <w:t>’s</w:t>
      </w:r>
      <w:r w:rsidRPr="00373C11">
        <w:t xml:space="preserve"> invalidation.  (</w:t>
      </w:r>
      <w:r w:rsidRPr="00373C11">
        <w:rPr>
          <w:bCs/>
        </w:rPr>
        <w:t xml:space="preserve">Gov. Code, § 11350, subd. (a).)  </w:t>
      </w:r>
    </w:p>
    <w:p w14:paraId="316088B9" w14:textId="77777777" w:rsidR="001F7E4F" w:rsidRPr="00373C11" w:rsidRDefault="00C25CF2" w:rsidP="00E81151">
      <w:pPr>
        <w:autoSpaceDE w:val="0"/>
        <w:autoSpaceDN w:val="0"/>
        <w:adjustRightInd w:val="0"/>
        <w:spacing w:line="288" w:lineRule="auto"/>
        <w:rPr>
          <w:bCs/>
        </w:rPr>
      </w:pPr>
      <w:r w:rsidRPr="00373C11">
        <w:rPr>
          <w:bCs/>
        </w:rPr>
        <w:t>C</w:t>
      </w:r>
      <w:r w:rsidRPr="00373C11">
        <w:rPr>
          <w:bCs/>
        </w:rPr>
        <w:t xml:space="preserve">onstruing the phrase “substantial failure” in the APA, the court in </w:t>
      </w:r>
      <w:bookmarkStart w:id="20" w:name="dabmci_267baf5379d14f7a827b706f4ace2c8f"/>
      <w:r w:rsidRPr="00373C11">
        <w:rPr>
          <w:bCs/>
          <w:i/>
          <w:iCs/>
        </w:rPr>
        <w:t>Sims v. Department of Corrections &amp; Rehabilitation</w:t>
      </w:r>
      <w:r w:rsidRPr="00373C11">
        <w:rPr>
          <w:bCs/>
        </w:rPr>
        <w:t xml:space="preserve"> (2013) 216 Cal.App.4th 1059</w:t>
      </w:r>
      <w:r w:rsidRPr="00373C11">
        <w:rPr>
          <w:bCs/>
        </w:rPr>
        <w:t xml:space="preserve"> (</w:t>
      </w:r>
      <w:r w:rsidRPr="00373C11">
        <w:rPr>
          <w:bCs/>
          <w:i/>
          <w:iCs/>
        </w:rPr>
        <w:t>Sims</w:t>
      </w:r>
      <w:r w:rsidRPr="00373C11">
        <w:rPr>
          <w:bCs/>
        </w:rPr>
        <w:t>)</w:t>
      </w:r>
      <w:bookmarkEnd w:id="20"/>
      <w:r w:rsidRPr="00373C11">
        <w:rPr>
          <w:bCs/>
        </w:rPr>
        <w:t xml:space="preserve"> relied on the concept of “[s]ubstantial compliance,” which it described as “the counterpart, or obvers</w:t>
      </w:r>
      <w:r w:rsidRPr="00373C11">
        <w:rPr>
          <w:bCs/>
        </w:rPr>
        <w:t>e, of the substantial failure to comply, which negatively expresses the same idea.”  (</w:t>
      </w:r>
      <w:bookmarkStart w:id="21" w:name="dabmci_a45733ece49e45da98ef8628dce6c95c"/>
      <w:r w:rsidRPr="00373C11">
        <w:rPr>
          <w:bCs/>
          <w:i/>
          <w:iCs/>
        </w:rPr>
        <w:t>Id.</w:t>
      </w:r>
      <w:r w:rsidRPr="00373C11">
        <w:rPr>
          <w:bCs/>
        </w:rPr>
        <w:t xml:space="preserve"> at </w:t>
      </w:r>
      <w:r w:rsidRPr="00373C11">
        <w:rPr>
          <w:bCs/>
        </w:rPr>
        <w:lastRenderedPageBreak/>
        <w:t>1073</w:t>
      </w:r>
      <w:bookmarkEnd w:id="21"/>
      <w:r w:rsidRPr="00373C11">
        <w:rPr>
          <w:bCs/>
        </w:rPr>
        <w:t>.)  “‘[S]ubstantial compliance . . . means actual compliance in respect to the substance essential to every reasonable objective of the statute.  But when ther</w:t>
      </w:r>
      <w:r w:rsidRPr="00373C11">
        <w:rPr>
          <w:bCs/>
        </w:rPr>
        <w:t>e is such actual compliance as to all matters of substance[,] then mere technical imperfections of form . . . should not be given the stature of noncompliance . . . .’”  (</w:t>
      </w:r>
      <w:bookmarkStart w:id="22" w:name="dabmci_fb1f6384f99b462bad798df11c88a240"/>
      <w:r w:rsidRPr="00373C11">
        <w:rPr>
          <w:bCs/>
          <w:i/>
          <w:iCs/>
        </w:rPr>
        <w:t>Id.</w:t>
      </w:r>
      <w:r w:rsidRPr="00373C11">
        <w:rPr>
          <w:bCs/>
        </w:rPr>
        <w:t xml:space="preserve"> at 1073</w:t>
      </w:r>
      <w:bookmarkEnd w:id="22"/>
      <w:r w:rsidRPr="00373C11">
        <w:rPr>
          <w:bCs/>
        </w:rPr>
        <w:t xml:space="preserve">, quoting </w:t>
      </w:r>
      <w:bookmarkStart w:id="23" w:name="dabmci_33fbd45b01be472a9b66c8f28cf1c5f9"/>
      <w:r w:rsidRPr="00373C11">
        <w:rPr>
          <w:bCs/>
          <w:i/>
          <w:iCs/>
        </w:rPr>
        <w:t>Stasher v. Harger-Haldeman</w:t>
      </w:r>
      <w:r w:rsidRPr="00373C11">
        <w:rPr>
          <w:bCs/>
        </w:rPr>
        <w:t xml:space="preserve"> (1962) 58 Cal.2d 23, 29</w:t>
      </w:r>
      <w:bookmarkEnd w:id="23"/>
      <w:r w:rsidRPr="00373C11">
        <w:rPr>
          <w:bCs/>
        </w:rPr>
        <w:t>.)</w:t>
      </w:r>
    </w:p>
    <w:p w14:paraId="5F69EE3B" w14:textId="77777777" w:rsidR="001F7E4F" w:rsidRPr="00373C11" w:rsidRDefault="00C25CF2" w:rsidP="00E81151">
      <w:pPr>
        <w:tabs>
          <w:tab w:val="left" w:pos="1080"/>
          <w:tab w:val="left" w:pos="2340"/>
        </w:tabs>
        <w:spacing w:line="288" w:lineRule="auto"/>
        <w:rPr>
          <w:bCs/>
        </w:rPr>
      </w:pPr>
    </w:p>
    <w:p w14:paraId="7DE54324" w14:textId="77777777" w:rsidR="001F7E4F" w:rsidRPr="00373C11" w:rsidRDefault="00C25CF2" w:rsidP="00E81151">
      <w:pPr>
        <w:keepNext/>
        <w:numPr>
          <w:ilvl w:val="3"/>
          <w:numId w:val="3"/>
        </w:numPr>
        <w:tabs>
          <w:tab w:val="left" w:pos="1080"/>
          <w:tab w:val="left" w:pos="2340"/>
          <w:tab w:val="left" w:pos="2700"/>
        </w:tabs>
        <w:spacing w:after="120" w:line="288" w:lineRule="auto"/>
        <w:outlineLvl w:val="4"/>
        <w:rPr>
          <w:bCs/>
        </w:rPr>
      </w:pPr>
      <w:r w:rsidRPr="00373C11">
        <w:rPr>
          <w:bCs/>
        </w:rPr>
        <w:t>A</w:t>
      </w:r>
      <w:r w:rsidRPr="00373C11">
        <w:rPr>
          <w:bCs/>
        </w:rPr>
        <w:t>pplicatio</w:t>
      </w:r>
      <w:r w:rsidRPr="00373C11">
        <w:rPr>
          <w:bCs/>
        </w:rPr>
        <w:t>n</w:t>
      </w:r>
    </w:p>
    <w:p w14:paraId="5F4DC9FE" w14:textId="77777777" w:rsidR="00072E01" w:rsidRPr="00373C11" w:rsidRDefault="00C25CF2" w:rsidP="00E81151">
      <w:pPr>
        <w:tabs>
          <w:tab w:val="left" w:pos="1080"/>
          <w:tab w:val="left" w:pos="2340"/>
        </w:tabs>
        <w:spacing w:line="288" w:lineRule="auto"/>
        <w:rPr>
          <w:bCs/>
        </w:rPr>
      </w:pPr>
      <w:r w:rsidRPr="00373C11">
        <w:rPr>
          <w:bCs/>
        </w:rPr>
        <w:t xml:space="preserve">Although the Agency did not expressly address </w:t>
      </w:r>
      <w:r w:rsidRPr="00373C11">
        <w:rPr>
          <w:bCs/>
        </w:rPr>
        <w:t xml:space="preserve">CERT’s </w:t>
      </w:r>
      <w:r w:rsidRPr="00373C11">
        <w:rPr>
          <w:bCs/>
        </w:rPr>
        <w:t>objection</w:t>
      </w:r>
      <w:r w:rsidRPr="00373C11">
        <w:rPr>
          <w:bCs/>
        </w:rPr>
        <w:t xml:space="preserve"> </w:t>
      </w:r>
      <w:r w:rsidRPr="00373C11">
        <w:rPr>
          <w:bCs/>
        </w:rPr>
        <w:t>that it</w:t>
      </w:r>
      <w:r w:rsidRPr="00373C11">
        <w:rPr>
          <w:bCs/>
        </w:rPr>
        <w:t xml:space="preserve"> </w:t>
      </w:r>
      <w:r w:rsidRPr="00373C11">
        <w:rPr>
          <w:bCs/>
        </w:rPr>
        <w:t>had failed to consider</w:t>
      </w:r>
      <w:r w:rsidRPr="00373C11">
        <w:rPr>
          <w:bCs/>
        </w:rPr>
        <w:t xml:space="preserve"> </w:t>
      </w:r>
      <w:r w:rsidRPr="00373C11">
        <w:rPr>
          <w:bCs/>
        </w:rPr>
        <w:t xml:space="preserve">the </w:t>
      </w:r>
      <w:r w:rsidRPr="00373C11">
        <w:rPr>
          <w:bCs/>
        </w:rPr>
        <w:t>2005 report</w:t>
      </w:r>
      <w:r w:rsidRPr="00373C11">
        <w:rPr>
          <w:bCs/>
        </w:rPr>
        <w:t>’s conclusion</w:t>
      </w:r>
      <w:r w:rsidRPr="00373C11">
        <w:rPr>
          <w:bCs/>
        </w:rPr>
        <w:t xml:space="preserve"> that coffee drinkers exceeded </w:t>
      </w:r>
      <w:r w:rsidRPr="00373C11">
        <w:rPr>
          <w:bCs/>
        </w:rPr>
        <w:t xml:space="preserve">the </w:t>
      </w:r>
      <w:r w:rsidRPr="00373C11">
        <w:rPr>
          <w:bCs/>
        </w:rPr>
        <w:t>NSRL for acrylamide</w:t>
      </w:r>
      <w:r w:rsidRPr="00373C11">
        <w:rPr>
          <w:bCs/>
        </w:rPr>
        <w:t xml:space="preserve">, </w:t>
      </w:r>
      <w:r w:rsidRPr="00373C11">
        <w:rPr>
          <w:bCs/>
        </w:rPr>
        <w:t xml:space="preserve">it sufficiently addressed </w:t>
      </w:r>
      <w:r w:rsidRPr="00373C11">
        <w:rPr>
          <w:bCs/>
        </w:rPr>
        <w:t xml:space="preserve">the </w:t>
      </w:r>
      <w:r w:rsidRPr="00373C11">
        <w:rPr>
          <w:bCs/>
        </w:rPr>
        <w:t xml:space="preserve">substance of the </w:t>
      </w:r>
      <w:r w:rsidRPr="00373C11">
        <w:rPr>
          <w:bCs/>
        </w:rPr>
        <w:t>objection</w:t>
      </w:r>
      <w:r w:rsidRPr="00373C11">
        <w:rPr>
          <w:bCs/>
        </w:rPr>
        <w:t xml:space="preserve"> </w:t>
      </w:r>
      <w:r w:rsidRPr="00373C11">
        <w:rPr>
          <w:bCs/>
        </w:rPr>
        <w:t xml:space="preserve">by explaining its rejection of </w:t>
      </w:r>
      <w:r w:rsidRPr="00373C11">
        <w:rPr>
          <w:bCs/>
        </w:rPr>
        <w:t xml:space="preserve">a quantitative NSRL like the one employed </w:t>
      </w:r>
      <w:r w:rsidRPr="00373C11">
        <w:rPr>
          <w:bCs/>
        </w:rPr>
        <w:t>in the report.</w:t>
      </w:r>
      <w:r w:rsidRPr="00373C11">
        <w:rPr>
          <w:bCs/>
        </w:rPr>
        <w:t xml:space="preserve">  </w:t>
      </w:r>
      <w:r w:rsidRPr="00373C11">
        <w:rPr>
          <w:bCs/>
        </w:rPr>
        <w:t>The Agency thus did not substantially fail to comply with the APA’s requirements.</w:t>
      </w:r>
    </w:p>
    <w:p w14:paraId="464AF050" w14:textId="77777777" w:rsidR="003A7FB1" w:rsidRPr="00373C11" w:rsidRDefault="00C25CF2" w:rsidP="00E81151">
      <w:pPr>
        <w:tabs>
          <w:tab w:val="left" w:pos="1080"/>
          <w:tab w:val="left" w:pos="2340"/>
        </w:tabs>
        <w:spacing w:line="288" w:lineRule="auto"/>
        <w:rPr>
          <w:bCs/>
        </w:rPr>
      </w:pPr>
      <w:r w:rsidRPr="00373C11">
        <w:rPr>
          <w:bCs/>
        </w:rPr>
        <w:t xml:space="preserve">As noted, </w:t>
      </w:r>
      <w:r w:rsidRPr="00373C11">
        <w:rPr>
          <w:bCs/>
        </w:rPr>
        <w:t xml:space="preserve">the </w:t>
      </w:r>
      <w:r w:rsidRPr="00373C11">
        <w:rPr>
          <w:bCs/>
        </w:rPr>
        <w:t>Agency</w:t>
      </w:r>
      <w:r w:rsidRPr="00373C11">
        <w:rPr>
          <w:bCs/>
        </w:rPr>
        <w:t xml:space="preserve"> addressed </w:t>
      </w:r>
      <w:r w:rsidRPr="00373C11">
        <w:rPr>
          <w:bCs/>
        </w:rPr>
        <w:t>comment</w:t>
      </w:r>
      <w:r w:rsidRPr="00373C11">
        <w:rPr>
          <w:bCs/>
        </w:rPr>
        <w:t xml:space="preserve">s </w:t>
      </w:r>
      <w:r w:rsidRPr="00373C11">
        <w:rPr>
          <w:bCs/>
        </w:rPr>
        <w:t>claiming</w:t>
      </w:r>
      <w:r w:rsidRPr="00373C11">
        <w:rPr>
          <w:bCs/>
        </w:rPr>
        <w:t xml:space="preserve"> that cancer risk from acrylamide in coffee should be assessed in isolation, without consideration of coffee as a mixture.  It explained that given the large volume of research concerning the cancer risk from coffee as a mixture, it was appropriate to asse</w:t>
      </w:r>
      <w:r w:rsidRPr="00373C11">
        <w:rPr>
          <w:bCs/>
        </w:rPr>
        <w:t xml:space="preserve">ss the evidence relating to the mixture as a whole, and stated that “reliance on a single carcinogenic constituent to infer significant risk can result in a substantial mischaracterization of the risk profile.”  </w:t>
      </w:r>
      <w:r w:rsidRPr="00373C11">
        <w:rPr>
          <w:bCs/>
        </w:rPr>
        <w:t xml:space="preserve">That </w:t>
      </w:r>
      <w:r w:rsidRPr="00373C11">
        <w:rPr>
          <w:bCs/>
        </w:rPr>
        <w:t xml:space="preserve">the Agency </w:t>
      </w:r>
      <w:r w:rsidRPr="00373C11">
        <w:rPr>
          <w:bCs/>
        </w:rPr>
        <w:t>addressed the substance of C</w:t>
      </w:r>
      <w:r w:rsidRPr="00373C11">
        <w:rPr>
          <w:bCs/>
        </w:rPr>
        <w:t xml:space="preserve">ERT’s concern </w:t>
      </w:r>
      <w:r w:rsidRPr="00373C11">
        <w:rPr>
          <w:bCs/>
        </w:rPr>
        <w:t xml:space="preserve">without </w:t>
      </w:r>
      <w:r w:rsidRPr="00373C11">
        <w:rPr>
          <w:bCs/>
        </w:rPr>
        <w:t>expressly referenc</w:t>
      </w:r>
      <w:r w:rsidRPr="00373C11">
        <w:rPr>
          <w:bCs/>
        </w:rPr>
        <w:t>ing</w:t>
      </w:r>
      <w:r w:rsidRPr="00373C11">
        <w:rPr>
          <w:bCs/>
        </w:rPr>
        <w:t xml:space="preserve"> the </w:t>
      </w:r>
      <w:r w:rsidRPr="00373C11">
        <w:rPr>
          <w:bCs/>
        </w:rPr>
        <w:t>2005 report constituted</w:t>
      </w:r>
      <w:r w:rsidRPr="00373C11">
        <w:rPr>
          <w:bCs/>
        </w:rPr>
        <w:t>, at most,</w:t>
      </w:r>
      <w:r w:rsidRPr="00373C11">
        <w:rPr>
          <w:bCs/>
        </w:rPr>
        <w:t xml:space="preserve"> a </w:t>
      </w:r>
      <w:r w:rsidRPr="00373C11">
        <w:rPr>
          <w:bCs/>
        </w:rPr>
        <w:t>“</w:t>
      </w:r>
      <w:r w:rsidRPr="00373C11">
        <w:rPr>
          <w:bCs/>
        </w:rPr>
        <w:t>‘</w:t>
      </w:r>
      <w:r w:rsidRPr="00373C11">
        <w:rPr>
          <w:bCs/>
        </w:rPr>
        <w:t xml:space="preserve">mere </w:t>
      </w:r>
      <w:r w:rsidRPr="00373C11">
        <w:rPr>
          <w:bCs/>
        </w:rPr>
        <w:t xml:space="preserve">technical </w:t>
      </w:r>
      <w:r w:rsidRPr="00373C11">
        <w:rPr>
          <w:bCs/>
        </w:rPr>
        <w:t>imperfection[] of form</w:t>
      </w:r>
      <w:r w:rsidRPr="00373C11">
        <w:rPr>
          <w:bCs/>
        </w:rPr>
        <w:t>,</w:t>
      </w:r>
      <w:r w:rsidRPr="00373C11">
        <w:rPr>
          <w:bCs/>
        </w:rPr>
        <w:t>’</w:t>
      </w:r>
      <w:r w:rsidRPr="00373C11">
        <w:rPr>
          <w:bCs/>
        </w:rPr>
        <w:t xml:space="preserve">” </w:t>
      </w:r>
      <w:r w:rsidRPr="00373C11">
        <w:rPr>
          <w:bCs/>
        </w:rPr>
        <w:t xml:space="preserve">which </w:t>
      </w:r>
      <w:r w:rsidRPr="00373C11">
        <w:rPr>
          <w:bCs/>
        </w:rPr>
        <w:t xml:space="preserve">will not </w:t>
      </w:r>
      <w:r w:rsidRPr="00373C11">
        <w:rPr>
          <w:bCs/>
        </w:rPr>
        <w:lastRenderedPageBreak/>
        <w:t>invalidate a regulation</w:t>
      </w:r>
      <w:r w:rsidRPr="00373C11">
        <w:rPr>
          <w:bCs/>
        </w:rPr>
        <w:t>.</w:t>
      </w:r>
      <w:r>
        <w:rPr>
          <w:rStyle w:val="FootnoteReference"/>
          <w:bCs/>
        </w:rPr>
        <w:footnoteReference w:id="13"/>
      </w:r>
      <w:r w:rsidRPr="00373C11">
        <w:rPr>
          <w:bCs/>
        </w:rPr>
        <w:t xml:space="preserve">  (</w:t>
      </w:r>
      <w:bookmarkStart w:id="26" w:name="dabmci_d7ec412d92d04abb8533acfe526af113"/>
      <w:r w:rsidRPr="00373C11">
        <w:rPr>
          <w:bCs/>
          <w:i/>
          <w:iCs/>
        </w:rPr>
        <w:t>Sims</w:t>
      </w:r>
      <w:r w:rsidRPr="00373C11">
        <w:rPr>
          <w:bCs/>
        </w:rPr>
        <w:t xml:space="preserve">, </w:t>
      </w:r>
      <w:r w:rsidRPr="00373C11">
        <w:rPr>
          <w:bCs/>
          <w:i/>
          <w:iCs/>
        </w:rPr>
        <w:t>supra</w:t>
      </w:r>
      <w:r w:rsidRPr="00373C11">
        <w:rPr>
          <w:bCs/>
        </w:rPr>
        <w:t>, 216 Cal.App.4th at 1073</w:t>
      </w:r>
      <w:bookmarkEnd w:id="26"/>
      <w:r w:rsidRPr="00373C11">
        <w:rPr>
          <w:bCs/>
        </w:rPr>
        <w:t xml:space="preserve">.) </w:t>
      </w:r>
    </w:p>
    <w:p w14:paraId="43F1FB23" w14:textId="77777777" w:rsidR="001F6458" w:rsidRPr="00373C11" w:rsidRDefault="00C25CF2" w:rsidP="00E81151">
      <w:pPr>
        <w:tabs>
          <w:tab w:val="left" w:pos="1080"/>
          <w:tab w:val="left" w:pos="2340"/>
        </w:tabs>
        <w:spacing w:line="288" w:lineRule="auto"/>
        <w:rPr>
          <w:bCs/>
        </w:rPr>
      </w:pPr>
      <w:r w:rsidRPr="00373C11">
        <w:rPr>
          <w:bCs/>
        </w:rPr>
        <w:t xml:space="preserve"> </w:t>
      </w:r>
    </w:p>
    <w:p w14:paraId="353C51E5" w14:textId="77777777" w:rsidR="00A770C4" w:rsidRPr="00373C11" w:rsidRDefault="00C25CF2" w:rsidP="00E81151">
      <w:pPr>
        <w:keepNext/>
        <w:numPr>
          <w:ilvl w:val="2"/>
          <w:numId w:val="3"/>
        </w:numPr>
        <w:tabs>
          <w:tab w:val="left" w:pos="1080"/>
          <w:tab w:val="left" w:pos="2340"/>
        </w:tabs>
        <w:spacing w:after="120" w:line="288" w:lineRule="auto"/>
        <w:ind w:left="2174" w:hanging="187"/>
        <w:outlineLvl w:val="3"/>
        <w:rPr>
          <w:bCs/>
        </w:rPr>
      </w:pPr>
      <w:r w:rsidRPr="00373C11">
        <w:rPr>
          <w:bCs/>
        </w:rPr>
        <w:t xml:space="preserve">The </w:t>
      </w:r>
      <w:r w:rsidRPr="00373C11">
        <w:rPr>
          <w:bCs/>
        </w:rPr>
        <w:t xml:space="preserve">Coffee </w:t>
      </w:r>
      <w:r w:rsidRPr="00373C11">
        <w:rPr>
          <w:bCs/>
        </w:rPr>
        <w:t xml:space="preserve">Regulation is Consistent with the </w:t>
      </w:r>
      <w:r w:rsidRPr="00373C11">
        <w:rPr>
          <w:bCs/>
        </w:rPr>
        <w:t xml:space="preserve">Agency’s Rationale </w:t>
      </w:r>
    </w:p>
    <w:p w14:paraId="661E9269" w14:textId="77777777" w:rsidR="001341EF" w:rsidRPr="00373C11" w:rsidRDefault="00C25CF2" w:rsidP="00E81151">
      <w:pPr>
        <w:autoSpaceDE w:val="0"/>
        <w:autoSpaceDN w:val="0"/>
        <w:adjustRightInd w:val="0"/>
        <w:spacing w:line="288" w:lineRule="auto"/>
        <w:rPr>
          <w:lang w:val="en"/>
        </w:rPr>
      </w:pPr>
      <w:r w:rsidRPr="00373C11">
        <w:rPr>
          <w:lang w:val="en"/>
        </w:rPr>
        <w:t>Contrary to CERT’s contention, t</w:t>
      </w:r>
      <w:r w:rsidRPr="00373C11">
        <w:rPr>
          <w:lang w:val="en"/>
        </w:rPr>
        <w:t xml:space="preserve">he </w:t>
      </w:r>
      <w:r w:rsidRPr="00373C11">
        <w:rPr>
          <w:lang w:val="en"/>
        </w:rPr>
        <w:t>C</w:t>
      </w:r>
      <w:r w:rsidRPr="00373C11">
        <w:rPr>
          <w:lang w:val="en"/>
        </w:rPr>
        <w:t xml:space="preserve">offee </w:t>
      </w:r>
      <w:r w:rsidRPr="00373C11">
        <w:rPr>
          <w:lang w:val="en"/>
        </w:rPr>
        <w:t>R</w:t>
      </w:r>
      <w:r w:rsidRPr="00373C11">
        <w:rPr>
          <w:lang w:val="en"/>
        </w:rPr>
        <w:t>egulation is consistent with the rationale offered by the Agency.</w:t>
      </w:r>
      <w:r w:rsidRPr="00373C11">
        <w:rPr>
          <w:lang w:val="en"/>
        </w:rPr>
        <w:t xml:space="preserve">  </w:t>
      </w:r>
      <w:r w:rsidRPr="00373C11">
        <w:rPr>
          <w:lang w:val="en"/>
        </w:rPr>
        <w:t xml:space="preserve">In adopting the regulation, the Agency explained that </w:t>
      </w:r>
      <w:r w:rsidRPr="00373C11">
        <w:rPr>
          <w:lang w:val="en"/>
        </w:rPr>
        <w:t xml:space="preserve">because </w:t>
      </w:r>
      <w:r w:rsidRPr="00373C11">
        <w:rPr>
          <w:lang w:val="en"/>
        </w:rPr>
        <w:t>extensive</w:t>
      </w:r>
      <w:r w:rsidRPr="00373C11">
        <w:rPr>
          <w:lang w:val="en"/>
        </w:rPr>
        <w:t xml:space="preserve"> </w:t>
      </w:r>
      <w:r w:rsidRPr="00373C11">
        <w:rPr>
          <w:lang w:val="en"/>
        </w:rPr>
        <w:t xml:space="preserve">research </w:t>
      </w:r>
      <w:r w:rsidRPr="00373C11">
        <w:rPr>
          <w:lang w:val="en"/>
        </w:rPr>
        <w:t>suggest</w:t>
      </w:r>
      <w:r w:rsidRPr="00373C11">
        <w:rPr>
          <w:lang w:val="en"/>
        </w:rPr>
        <w:t>ed</w:t>
      </w:r>
      <w:r w:rsidRPr="00373C11">
        <w:rPr>
          <w:lang w:val="en"/>
        </w:rPr>
        <w:t xml:space="preserve"> that coffee</w:t>
      </w:r>
      <w:r w:rsidRPr="00373C11">
        <w:rPr>
          <w:lang w:val="en"/>
        </w:rPr>
        <w:t>, as a mixture,</w:t>
      </w:r>
      <w:r w:rsidRPr="00373C11">
        <w:rPr>
          <w:lang w:val="en"/>
        </w:rPr>
        <w:t xml:space="preserve"> pose</w:t>
      </w:r>
      <w:r w:rsidRPr="00373C11">
        <w:rPr>
          <w:lang w:val="en"/>
        </w:rPr>
        <w:t>d</w:t>
      </w:r>
      <w:r w:rsidRPr="00373C11">
        <w:rPr>
          <w:lang w:val="en"/>
        </w:rPr>
        <w:t xml:space="preserve"> </w:t>
      </w:r>
      <w:r w:rsidRPr="00373C11">
        <w:rPr>
          <w:lang w:val="en"/>
        </w:rPr>
        <w:t>no</w:t>
      </w:r>
      <w:r w:rsidRPr="00373C11">
        <w:rPr>
          <w:lang w:val="en"/>
        </w:rPr>
        <w:t xml:space="preserve"> significant risk of cancer, the </w:t>
      </w:r>
      <w:r w:rsidRPr="00373C11">
        <w:rPr>
          <w:lang w:val="en"/>
        </w:rPr>
        <w:t xml:space="preserve">individual listed chemicals </w:t>
      </w:r>
      <w:r w:rsidRPr="00373C11">
        <w:rPr>
          <w:lang w:val="en"/>
        </w:rPr>
        <w:t>formed through the roasting and brewing process</w:t>
      </w:r>
      <w:r w:rsidRPr="00373C11">
        <w:rPr>
          <w:lang w:val="en"/>
        </w:rPr>
        <w:t xml:space="preserve"> </w:t>
      </w:r>
      <w:r w:rsidRPr="00373C11">
        <w:rPr>
          <w:lang w:val="en"/>
        </w:rPr>
        <w:t xml:space="preserve">also </w:t>
      </w:r>
      <w:r w:rsidRPr="00373C11">
        <w:rPr>
          <w:lang w:val="en"/>
        </w:rPr>
        <w:t>pose</w:t>
      </w:r>
      <w:r w:rsidRPr="00373C11">
        <w:rPr>
          <w:lang w:val="en"/>
        </w:rPr>
        <w:t>d</w:t>
      </w:r>
      <w:r w:rsidRPr="00373C11">
        <w:rPr>
          <w:lang w:val="en"/>
        </w:rPr>
        <w:t xml:space="preserve"> </w:t>
      </w:r>
      <w:r w:rsidRPr="00373C11">
        <w:rPr>
          <w:lang w:val="en"/>
        </w:rPr>
        <w:t xml:space="preserve">no </w:t>
      </w:r>
      <w:r w:rsidRPr="00373C11">
        <w:rPr>
          <w:lang w:val="en"/>
        </w:rPr>
        <w:t>significant risk of cancer</w:t>
      </w:r>
      <w:r w:rsidRPr="00373C11">
        <w:rPr>
          <w:lang w:val="en"/>
        </w:rPr>
        <w:t xml:space="preserve"> when</w:t>
      </w:r>
      <w:r w:rsidRPr="00373C11">
        <w:rPr>
          <w:lang w:val="en"/>
        </w:rPr>
        <w:t xml:space="preserve"> combined and consumed in the mixture</w:t>
      </w:r>
      <w:r w:rsidRPr="00373C11">
        <w:rPr>
          <w:lang w:val="en"/>
        </w:rPr>
        <w:t>.</w:t>
      </w:r>
      <w:r w:rsidRPr="00373C11">
        <w:rPr>
          <w:lang w:val="en"/>
        </w:rPr>
        <w:t xml:space="preserve"> </w:t>
      </w:r>
      <w:r w:rsidRPr="00373C11">
        <w:rPr>
          <w:lang w:val="en"/>
        </w:rPr>
        <w:t xml:space="preserve"> </w:t>
      </w:r>
      <w:r w:rsidRPr="00373C11">
        <w:rPr>
          <w:lang w:val="en"/>
        </w:rPr>
        <w:t xml:space="preserve">We see nothing </w:t>
      </w:r>
      <w:r w:rsidRPr="00373C11">
        <w:rPr>
          <w:lang w:val="en"/>
        </w:rPr>
        <w:t>in</w:t>
      </w:r>
      <w:r w:rsidRPr="00373C11">
        <w:rPr>
          <w:lang w:val="en"/>
        </w:rPr>
        <w:t xml:space="preserve">consistent or illogical in this rationale.  </w:t>
      </w:r>
    </w:p>
    <w:p w14:paraId="3DE3A647" w14:textId="77777777" w:rsidR="008D50B5" w:rsidRPr="00373C11" w:rsidRDefault="00C25CF2" w:rsidP="00E81151">
      <w:pPr>
        <w:autoSpaceDE w:val="0"/>
        <w:autoSpaceDN w:val="0"/>
        <w:adjustRightInd w:val="0"/>
        <w:spacing w:line="288" w:lineRule="auto"/>
      </w:pPr>
      <w:r w:rsidRPr="00373C11">
        <w:rPr>
          <w:lang w:val="en"/>
        </w:rPr>
        <w:t xml:space="preserve">CERT </w:t>
      </w:r>
      <w:r w:rsidRPr="00373C11">
        <w:rPr>
          <w:lang w:val="en"/>
        </w:rPr>
        <w:t xml:space="preserve">notes that the regulation applies only to </w:t>
      </w:r>
      <w:r w:rsidRPr="00373C11">
        <w:rPr>
          <w:lang w:val="en"/>
        </w:rPr>
        <w:t xml:space="preserve">chemicals listed </w:t>
      </w:r>
      <w:r w:rsidRPr="00373C11">
        <w:rPr>
          <w:lang w:val="en"/>
        </w:rPr>
        <w:t>on or before March 15, 2019,</w:t>
      </w:r>
      <w:r w:rsidRPr="00373C11">
        <w:rPr>
          <w:lang w:val="en"/>
        </w:rPr>
        <w:t xml:space="preserve"> and argues it</w:t>
      </w:r>
      <w:r w:rsidRPr="00373C11">
        <w:rPr>
          <w:lang w:val="en"/>
        </w:rPr>
        <w:t xml:space="preserve"> is </w:t>
      </w:r>
      <w:r w:rsidRPr="00373C11">
        <w:rPr>
          <w:lang w:val="en"/>
        </w:rPr>
        <w:lastRenderedPageBreak/>
        <w:t xml:space="preserve">arbitrary and capricious because “[i]f </w:t>
      </w:r>
      <w:r w:rsidRPr="00373C11">
        <w:rPr>
          <w:lang w:val="en"/>
        </w:rPr>
        <w:t>[the Agency’s]</w:t>
      </w:r>
      <w:r w:rsidRPr="00373C11">
        <w:rPr>
          <w:lang w:val="en"/>
        </w:rPr>
        <w:t xml:space="preserve"> rationale for the regulation were true and vali</w:t>
      </w:r>
      <w:r w:rsidRPr="00373C11">
        <w:rPr>
          <w:lang w:val="en"/>
        </w:rPr>
        <w:t xml:space="preserve">d, there would be no basis for excluding unlisted carcinogens from the scope of the regulation” </w:t>
      </w:r>
      <w:r w:rsidRPr="00373C11">
        <w:rPr>
          <w:lang w:val="en"/>
        </w:rPr>
        <w:t>because</w:t>
      </w:r>
      <w:r w:rsidRPr="00373C11">
        <w:rPr>
          <w:lang w:val="en"/>
        </w:rPr>
        <w:t xml:space="preserve"> “unlisted carcinogens in coffee could no more present a significant risk of cancer </w:t>
      </w:r>
      <w:r w:rsidRPr="00373C11">
        <w:rPr>
          <w:lang w:val="en"/>
        </w:rPr>
        <w:t>. . .</w:t>
      </w:r>
      <w:r w:rsidRPr="00373C11">
        <w:rPr>
          <w:lang w:val="en"/>
        </w:rPr>
        <w:t xml:space="preserve"> than could listed carcinogens.” </w:t>
      </w:r>
      <w:r w:rsidRPr="00373C11">
        <w:rPr>
          <w:lang w:val="en"/>
        </w:rPr>
        <w:t xml:space="preserve"> But “</w:t>
      </w:r>
      <w:r w:rsidRPr="00373C11">
        <w:t xml:space="preserve">regulations are ‘not </w:t>
      </w:r>
      <w:r w:rsidRPr="00373C11">
        <w:t>invalid merely because they are to some extent underinclusive or overinclusive</w:t>
      </w:r>
      <w:r w:rsidRPr="00373C11">
        <w:t xml:space="preserve"> </w:t>
      </w:r>
      <w:r w:rsidRPr="00373C11">
        <w:t>.</w:t>
      </w:r>
      <w:r w:rsidRPr="00373C11">
        <w:t> . . .</w:t>
      </w:r>
      <w:r w:rsidRPr="00373C11">
        <w:t>’”</w:t>
      </w:r>
      <w:r w:rsidRPr="00373C11">
        <w:t xml:space="preserve">  (</w:t>
      </w:r>
      <w:bookmarkStart w:id="27" w:name="dabmci_d56cd035cdc74aaf81e3b4f64ed10370"/>
      <w:r w:rsidRPr="00373C11">
        <w:rPr>
          <w:i/>
          <w:iCs/>
        </w:rPr>
        <w:t>State Farm General Insurance Company v. Lara</w:t>
      </w:r>
      <w:r w:rsidRPr="00373C11">
        <w:t xml:space="preserve"> (2021) 71 Cal.App.5th 148, 183</w:t>
      </w:r>
      <w:bookmarkEnd w:id="27"/>
      <w:r w:rsidRPr="00373C11">
        <w:t xml:space="preserve">.)  </w:t>
      </w:r>
      <w:r w:rsidRPr="00373C11">
        <w:t xml:space="preserve">The Agency was entitled to address </w:t>
      </w:r>
      <w:r w:rsidRPr="00373C11">
        <w:t xml:space="preserve">currently listed chemicals first, </w:t>
      </w:r>
      <w:r w:rsidRPr="00373C11">
        <w:t>saving</w:t>
      </w:r>
      <w:r w:rsidRPr="00373C11">
        <w:t xml:space="preserve"> </w:t>
      </w:r>
      <w:r w:rsidRPr="00373C11">
        <w:t>for anothe</w:t>
      </w:r>
      <w:r w:rsidRPr="00373C11">
        <w:t xml:space="preserve">r day </w:t>
      </w:r>
      <w:r w:rsidRPr="00373C11">
        <w:t xml:space="preserve">any chemicals inherent in the </w:t>
      </w:r>
      <w:r w:rsidRPr="00373C11">
        <w:t xml:space="preserve">roasting and brewing of coffee that might be listed in the future.  </w:t>
      </w:r>
      <w:r w:rsidRPr="00373C11">
        <w:rPr>
          <w:lang w:val="en"/>
        </w:rPr>
        <w:t xml:space="preserve">(See </w:t>
      </w:r>
      <w:bookmarkStart w:id="28" w:name="dabmci_6a66716fce9347adab834eade2fe04ca"/>
      <w:r w:rsidRPr="00373C11">
        <w:rPr>
          <w:i/>
          <w:iCs/>
          <w:lang w:val="en"/>
        </w:rPr>
        <w:t>ibid.</w:t>
      </w:r>
      <w:bookmarkEnd w:id="28"/>
      <w:r w:rsidRPr="00373C11">
        <w:rPr>
          <w:lang w:val="en"/>
        </w:rPr>
        <w:t xml:space="preserve">; </w:t>
      </w:r>
      <w:bookmarkStart w:id="29" w:name="dabmci_cbbbd695a9ab4ae8b0c6fb100c8d6006"/>
      <w:r w:rsidRPr="00373C11">
        <w:rPr>
          <w:i/>
          <w:iCs/>
        </w:rPr>
        <w:t>Western States Petroleum Assn. v. Board of Equalization</w:t>
      </w:r>
      <w:r w:rsidRPr="00373C11">
        <w:t xml:space="preserve">, </w:t>
      </w:r>
      <w:r w:rsidRPr="00373C11">
        <w:rPr>
          <w:i/>
          <w:iCs/>
        </w:rPr>
        <w:t>supra</w:t>
      </w:r>
      <w:r w:rsidRPr="00373C11">
        <w:t>,</w:t>
      </w:r>
      <w:r w:rsidRPr="00373C11">
        <w:t xml:space="preserve"> 57 Cal.4th </w:t>
      </w:r>
      <w:r w:rsidRPr="00373C11">
        <w:t>at</w:t>
      </w:r>
      <w:r w:rsidRPr="00373C11">
        <w:t xml:space="preserve"> 421</w:t>
      </w:r>
      <w:bookmarkEnd w:id="29"/>
      <w:r w:rsidRPr="00373C11">
        <w:rPr>
          <w:lang w:val="en"/>
        </w:rPr>
        <w:t xml:space="preserve"> [regulation </w:t>
      </w:r>
      <w:r w:rsidRPr="00373C11">
        <w:rPr>
          <w:lang w:val="en"/>
        </w:rPr>
        <w:t>that singled out petroleum refineries, even th</w:t>
      </w:r>
      <w:r w:rsidRPr="00373C11">
        <w:rPr>
          <w:lang w:val="en"/>
        </w:rPr>
        <w:t xml:space="preserve">ough its rationale applied to other types of industrial facilities as well, </w:t>
      </w:r>
      <w:r w:rsidRPr="00373C11">
        <w:rPr>
          <w:lang w:val="en"/>
        </w:rPr>
        <w:t>was not arbitrary and capricious</w:t>
      </w:r>
      <w:r w:rsidRPr="00373C11">
        <w:rPr>
          <w:lang w:val="en"/>
        </w:rPr>
        <w:t>];</w:t>
      </w:r>
      <w:r w:rsidRPr="00373C11">
        <w:rPr>
          <w:lang w:val="en"/>
        </w:rPr>
        <w:t xml:space="preserve"> </w:t>
      </w:r>
      <w:r w:rsidRPr="00373C11">
        <w:rPr>
          <w:lang w:val="en"/>
        </w:rPr>
        <w:t>cf.</w:t>
      </w:r>
      <w:r w:rsidRPr="00373C11">
        <w:rPr>
          <w:lang w:val="en"/>
        </w:rPr>
        <w:t xml:space="preserve"> </w:t>
      </w:r>
      <w:bookmarkStart w:id="30" w:name="dabmci_44ec44d5282f44f4a87ec406e48e14d8"/>
      <w:r w:rsidRPr="00373C11">
        <w:rPr>
          <w:i/>
          <w:iCs/>
        </w:rPr>
        <w:t>U.S. Cellular Corp. v. F.C.C.</w:t>
      </w:r>
      <w:r w:rsidRPr="00373C11">
        <w:t xml:space="preserve"> (D.C.</w:t>
      </w:r>
      <w:r w:rsidRPr="00373C11">
        <w:t xml:space="preserve"> </w:t>
      </w:r>
      <w:r w:rsidRPr="00373C11">
        <w:t>Cir.</w:t>
      </w:r>
      <w:r w:rsidRPr="00373C11">
        <w:t xml:space="preserve"> </w:t>
      </w:r>
      <w:r w:rsidRPr="00373C11">
        <w:t>2001) 254 F.3d 78, 86</w:t>
      </w:r>
      <w:bookmarkEnd w:id="30"/>
      <w:r w:rsidRPr="00373C11">
        <w:t xml:space="preserve"> </w:t>
      </w:r>
      <w:r w:rsidRPr="00373C11">
        <w:t>[</w:t>
      </w:r>
      <w:r w:rsidRPr="00373C11">
        <w:t>“</w:t>
      </w:r>
      <w:r w:rsidRPr="00373C11">
        <w:t xml:space="preserve">agencies need not address all problems </w:t>
      </w:r>
      <w:r w:rsidRPr="00373C11">
        <w:t>‘</w:t>
      </w:r>
      <w:r w:rsidRPr="00373C11">
        <w:t>in one fell swoop,</w:t>
      </w:r>
      <w:r w:rsidRPr="00373C11">
        <w:t>’” and “</w:t>
      </w:r>
      <w:r w:rsidRPr="00373C11">
        <w:t>‘[r]</w:t>
      </w:r>
      <w:r w:rsidRPr="00373C11">
        <w:t>eform may take place one step at a time, addressing itself to the phase of the problem which seems most acute to the [regulatory] mind</w:t>
      </w:r>
      <w:r w:rsidRPr="00373C11">
        <w:t>’”].)</w:t>
      </w:r>
      <w:r w:rsidRPr="00373C11">
        <w:t xml:space="preserve">  The regulation is therefore </w:t>
      </w:r>
      <w:r w:rsidRPr="00373C11">
        <w:t xml:space="preserve">consistent with </w:t>
      </w:r>
      <w:r w:rsidRPr="00373C11">
        <w:t>i</w:t>
      </w:r>
      <w:r w:rsidRPr="00373C11">
        <w:t xml:space="preserve">ts rationale. </w:t>
      </w:r>
    </w:p>
    <w:p w14:paraId="616ECD5B" w14:textId="77777777" w:rsidR="00A770C4" w:rsidRPr="00373C11" w:rsidRDefault="00C25CF2" w:rsidP="00E81151">
      <w:pPr>
        <w:pStyle w:val="ListParagraph"/>
        <w:autoSpaceDE w:val="0"/>
        <w:autoSpaceDN w:val="0"/>
        <w:adjustRightInd w:val="0"/>
        <w:spacing w:line="288" w:lineRule="auto"/>
        <w:ind w:left="0"/>
        <w:rPr>
          <w:lang w:val="en"/>
        </w:rPr>
      </w:pPr>
    </w:p>
    <w:p w14:paraId="72C8F48C" w14:textId="77777777" w:rsidR="00A770C4" w:rsidRPr="00373C11" w:rsidRDefault="00C25CF2" w:rsidP="00E81151">
      <w:pPr>
        <w:keepNext/>
        <w:numPr>
          <w:ilvl w:val="2"/>
          <w:numId w:val="3"/>
        </w:numPr>
        <w:tabs>
          <w:tab w:val="left" w:pos="1080"/>
          <w:tab w:val="left" w:pos="2340"/>
        </w:tabs>
        <w:spacing w:after="120" w:line="288" w:lineRule="auto"/>
        <w:ind w:left="2174" w:hanging="187"/>
        <w:outlineLvl w:val="3"/>
        <w:rPr>
          <w:bCs/>
        </w:rPr>
      </w:pPr>
      <w:r w:rsidRPr="00373C11">
        <w:rPr>
          <w:bCs/>
        </w:rPr>
        <w:t xml:space="preserve">CERT Has Not Shown </w:t>
      </w:r>
      <w:r w:rsidRPr="00373C11">
        <w:rPr>
          <w:bCs/>
        </w:rPr>
        <w:t>T</w:t>
      </w:r>
      <w:r w:rsidRPr="00373C11">
        <w:rPr>
          <w:bCs/>
        </w:rPr>
        <w:t>hat t</w:t>
      </w:r>
      <w:r w:rsidRPr="00373C11">
        <w:rPr>
          <w:bCs/>
        </w:rPr>
        <w:t xml:space="preserve">he </w:t>
      </w:r>
      <w:r w:rsidRPr="00373C11">
        <w:rPr>
          <w:bCs/>
        </w:rPr>
        <w:t xml:space="preserve">Coffee </w:t>
      </w:r>
      <w:r w:rsidRPr="00373C11">
        <w:rPr>
          <w:bCs/>
        </w:rPr>
        <w:t xml:space="preserve">Regulation </w:t>
      </w:r>
      <w:r w:rsidRPr="00373C11">
        <w:rPr>
          <w:bCs/>
        </w:rPr>
        <w:t>Lack</w:t>
      </w:r>
      <w:r w:rsidRPr="00373C11">
        <w:rPr>
          <w:bCs/>
        </w:rPr>
        <w:t>s</w:t>
      </w:r>
      <w:r w:rsidRPr="00373C11">
        <w:rPr>
          <w:bCs/>
        </w:rPr>
        <w:t xml:space="preserve"> Scientific Foundation</w:t>
      </w:r>
    </w:p>
    <w:p w14:paraId="225A8C8E" w14:textId="77777777" w:rsidR="00D404C6" w:rsidRPr="00373C11" w:rsidRDefault="00C25CF2" w:rsidP="00E81151">
      <w:pPr>
        <w:pStyle w:val="ListParagraph"/>
        <w:autoSpaceDE w:val="0"/>
        <w:autoSpaceDN w:val="0"/>
        <w:adjustRightInd w:val="0"/>
        <w:spacing w:line="288" w:lineRule="auto"/>
        <w:ind w:left="0"/>
        <w:rPr>
          <w:bCs/>
        </w:rPr>
      </w:pPr>
      <w:r w:rsidRPr="00373C11">
        <w:t xml:space="preserve">CERT </w:t>
      </w:r>
      <w:r w:rsidRPr="00373C11">
        <w:t>claims</w:t>
      </w:r>
      <w:r w:rsidRPr="00373C11">
        <w:t xml:space="preserve"> </w:t>
      </w:r>
      <w:r w:rsidRPr="00373C11">
        <w:t xml:space="preserve">the regulation </w:t>
      </w:r>
      <w:r w:rsidRPr="00373C11">
        <w:t>lacks scientific foundation for several reasons</w:t>
      </w:r>
      <w:r w:rsidRPr="00373C11">
        <w:t xml:space="preserve">.  It contends: </w:t>
      </w:r>
      <w:r w:rsidRPr="00373C11">
        <w:t xml:space="preserve">(1) </w:t>
      </w:r>
      <w:bookmarkStart w:id="31" w:name="dabmci_b6b3838eaf7f4ea7a704c9fcaf0d2800"/>
      <w:r w:rsidRPr="00373C11">
        <w:rPr>
          <w:bCs/>
          <w:i/>
          <w:iCs/>
        </w:rPr>
        <w:t>Lockheed Litigation Cases</w:t>
      </w:r>
      <w:r w:rsidRPr="00373C11">
        <w:rPr>
          <w:bCs/>
        </w:rPr>
        <w:t xml:space="preserve"> (2004) 115 Cal.App.4th 558 </w:t>
      </w:r>
      <w:r w:rsidRPr="00373C11">
        <w:rPr>
          <w:bCs/>
        </w:rPr>
        <w:t>(</w:t>
      </w:r>
      <w:r w:rsidRPr="00373C11">
        <w:rPr>
          <w:bCs/>
          <w:i/>
          <w:iCs/>
        </w:rPr>
        <w:t>Lockheed</w:t>
      </w:r>
      <w:r w:rsidRPr="00373C11">
        <w:rPr>
          <w:bCs/>
        </w:rPr>
        <w:t>)</w:t>
      </w:r>
      <w:bookmarkEnd w:id="31"/>
      <w:r w:rsidRPr="00373C11">
        <w:rPr>
          <w:bCs/>
        </w:rPr>
        <w:t xml:space="preserve"> </w:t>
      </w:r>
      <w:r w:rsidRPr="00373C11">
        <w:rPr>
          <w:bCs/>
        </w:rPr>
        <w:t xml:space="preserve">held </w:t>
      </w:r>
      <w:r w:rsidRPr="00373C11">
        <w:rPr>
          <w:bCs/>
        </w:rPr>
        <w:t xml:space="preserve">that </w:t>
      </w:r>
      <w:r w:rsidRPr="00373C11">
        <w:rPr>
          <w:bCs/>
        </w:rPr>
        <w:t xml:space="preserve">IARC </w:t>
      </w:r>
      <w:r w:rsidRPr="00373C11">
        <w:rPr>
          <w:bCs/>
        </w:rPr>
        <w:lastRenderedPageBreak/>
        <w:t xml:space="preserve">monographs </w:t>
      </w:r>
      <w:r w:rsidRPr="00373C11">
        <w:rPr>
          <w:bCs/>
        </w:rPr>
        <w:t xml:space="preserve">are </w:t>
      </w:r>
      <w:r w:rsidRPr="00373C11">
        <w:rPr>
          <w:bCs/>
        </w:rPr>
        <w:t>insufficiently reliable</w:t>
      </w:r>
      <w:r w:rsidRPr="00373C11">
        <w:rPr>
          <w:bCs/>
        </w:rPr>
        <w:t>; (</w:t>
      </w:r>
      <w:r w:rsidRPr="00373C11">
        <w:rPr>
          <w:bCs/>
        </w:rPr>
        <w:t>2</w:t>
      </w:r>
      <w:r w:rsidRPr="00373C11">
        <w:rPr>
          <w:bCs/>
        </w:rPr>
        <w:t xml:space="preserve">) </w:t>
      </w:r>
      <w:r w:rsidRPr="00373C11">
        <w:rPr>
          <w:bCs/>
        </w:rPr>
        <w:t xml:space="preserve">the </w:t>
      </w:r>
      <w:r w:rsidRPr="00373C11">
        <w:rPr>
          <w:bCs/>
        </w:rPr>
        <w:t xml:space="preserve">IARC is not an authoritative body for cancer risk assessment; </w:t>
      </w:r>
      <w:r w:rsidRPr="00373C11">
        <w:rPr>
          <w:bCs/>
        </w:rPr>
        <w:t>(</w:t>
      </w:r>
      <w:r w:rsidRPr="00373C11">
        <w:rPr>
          <w:bCs/>
        </w:rPr>
        <w:t>3</w:t>
      </w:r>
      <w:r w:rsidRPr="00373C11">
        <w:rPr>
          <w:bCs/>
        </w:rPr>
        <w:t xml:space="preserve">) </w:t>
      </w:r>
      <w:r w:rsidRPr="00373C11">
        <w:rPr>
          <w:bCs/>
        </w:rPr>
        <w:t xml:space="preserve">the </w:t>
      </w:r>
      <w:r w:rsidRPr="00373C11">
        <w:rPr>
          <w:bCs/>
        </w:rPr>
        <w:t xml:space="preserve">Agency </w:t>
      </w:r>
      <w:r w:rsidRPr="00373C11">
        <w:rPr>
          <w:bCs/>
        </w:rPr>
        <w:t>misrepresented</w:t>
      </w:r>
      <w:r w:rsidRPr="00373C11">
        <w:rPr>
          <w:bCs/>
        </w:rPr>
        <w:t xml:space="preserve"> </w:t>
      </w:r>
      <w:r w:rsidRPr="00373C11">
        <w:rPr>
          <w:bCs/>
        </w:rPr>
        <w:t>the</w:t>
      </w:r>
      <w:r w:rsidRPr="00373C11">
        <w:rPr>
          <w:bCs/>
        </w:rPr>
        <w:t xml:space="preserve"> IARC</w:t>
      </w:r>
      <w:r w:rsidRPr="00373C11">
        <w:rPr>
          <w:bCs/>
        </w:rPr>
        <w:t>’s</w:t>
      </w:r>
      <w:r w:rsidRPr="00373C11">
        <w:rPr>
          <w:bCs/>
        </w:rPr>
        <w:t xml:space="preserve"> </w:t>
      </w:r>
      <w:r w:rsidRPr="00373C11">
        <w:rPr>
          <w:bCs/>
        </w:rPr>
        <w:t xml:space="preserve">conclusions in various ways; </w:t>
      </w:r>
      <w:r w:rsidRPr="00373C11">
        <w:rPr>
          <w:bCs/>
        </w:rPr>
        <w:t xml:space="preserve">and </w:t>
      </w:r>
      <w:r w:rsidRPr="00373C11">
        <w:rPr>
          <w:bCs/>
        </w:rPr>
        <w:t>(</w:t>
      </w:r>
      <w:r w:rsidRPr="00373C11">
        <w:rPr>
          <w:bCs/>
        </w:rPr>
        <w:t>4</w:t>
      </w:r>
      <w:r w:rsidRPr="00373C11">
        <w:rPr>
          <w:bCs/>
        </w:rPr>
        <w:t>)</w:t>
      </w:r>
      <w:r w:rsidRPr="00373C11">
        <w:rPr>
          <w:bCs/>
        </w:rPr>
        <w:t xml:space="preserve"> the Agency </w:t>
      </w:r>
      <w:r w:rsidRPr="00373C11">
        <w:rPr>
          <w:bCs/>
        </w:rPr>
        <w:t>rel</w:t>
      </w:r>
      <w:r w:rsidRPr="00373C11">
        <w:rPr>
          <w:bCs/>
        </w:rPr>
        <w:t xml:space="preserve">ied </w:t>
      </w:r>
      <w:r w:rsidRPr="00373C11">
        <w:rPr>
          <w:bCs/>
        </w:rPr>
        <w:t xml:space="preserve">in part </w:t>
      </w:r>
      <w:r w:rsidRPr="00373C11">
        <w:rPr>
          <w:bCs/>
        </w:rPr>
        <w:t xml:space="preserve">on </w:t>
      </w:r>
      <w:r w:rsidRPr="00373C11">
        <w:rPr>
          <w:bCs/>
        </w:rPr>
        <w:t xml:space="preserve">an unsupported finding that </w:t>
      </w:r>
      <w:r w:rsidRPr="00373C11">
        <w:rPr>
          <w:bCs/>
        </w:rPr>
        <w:t xml:space="preserve">antioxidants in coffee had </w:t>
      </w:r>
      <w:r w:rsidRPr="00373C11">
        <w:rPr>
          <w:bCs/>
        </w:rPr>
        <w:t xml:space="preserve">an </w:t>
      </w:r>
      <w:r w:rsidRPr="00373C11">
        <w:rPr>
          <w:bCs/>
        </w:rPr>
        <w:t>anti-carcinogenic effect</w:t>
      </w:r>
      <w:r w:rsidRPr="00373C11">
        <w:rPr>
          <w:bCs/>
        </w:rPr>
        <w:t>.</w:t>
      </w:r>
      <w:r w:rsidRPr="00373C11">
        <w:rPr>
          <w:bCs/>
        </w:rPr>
        <w:t xml:space="preserve"> </w:t>
      </w:r>
      <w:r w:rsidRPr="00373C11">
        <w:rPr>
          <w:bCs/>
        </w:rPr>
        <w:t xml:space="preserve"> We find none of these contentions convincing.  </w:t>
      </w:r>
    </w:p>
    <w:p w14:paraId="06CEFA6F" w14:textId="77777777" w:rsidR="00A61DBD" w:rsidRPr="00373C11" w:rsidRDefault="00C25CF2" w:rsidP="00A61DBD">
      <w:pPr>
        <w:pStyle w:val="ListParagraph"/>
        <w:autoSpaceDE w:val="0"/>
        <w:autoSpaceDN w:val="0"/>
        <w:adjustRightInd w:val="0"/>
        <w:spacing w:line="288" w:lineRule="auto"/>
        <w:ind w:left="0"/>
        <w:rPr>
          <w:bCs/>
        </w:rPr>
      </w:pPr>
      <w:r w:rsidRPr="00373C11">
        <w:rPr>
          <w:bCs/>
        </w:rPr>
        <w:t xml:space="preserve">First, CERT </w:t>
      </w:r>
      <w:r w:rsidRPr="00373C11">
        <w:rPr>
          <w:bCs/>
        </w:rPr>
        <w:t>cites</w:t>
      </w:r>
      <w:r w:rsidRPr="00373C11">
        <w:rPr>
          <w:bCs/>
        </w:rPr>
        <w:t xml:space="preserve"> </w:t>
      </w:r>
      <w:r w:rsidRPr="00373C11">
        <w:rPr>
          <w:bCs/>
          <w:i/>
          <w:iCs/>
        </w:rPr>
        <w:t>Lockheed</w:t>
      </w:r>
      <w:r w:rsidRPr="00373C11">
        <w:rPr>
          <w:bCs/>
        </w:rPr>
        <w:t xml:space="preserve"> </w:t>
      </w:r>
      <w:r w:rsidRPr="00373C11">
        <w:rPr>
          <w:bCs/>
        </w:rPr>
        <w:t xml:space="preserve">for the proposition that </w:t>
      </w:r>
      <w:r w:rsidRPr="00373C11">
        <w:rPr>
          <w:bCs/>
        </w:rPr>
        <w:t>an IARC monograph regarding a chemical mixture is scient</w:t>
      </w:r>
      <w:r w:rsidRPr="00373C11">
        <w:rPr>
          <w:bCs/>
        </w:rPr>
        <w:t xml:space="preserve">ifically </w:t>
      </w:r>
      <w:r w:rsidRPr="00373C11">
        <w:rPr>
          <w:bCs/>
        </w:rPr>
        <w:t>un</w:t>
      </w:r>
      <w:r w:rsidRPr="00373C11">
        <w:rPr>
          <w:bCs/>
        </w:rPr>
        <w:t xml:space="preserve">reliable for </w:t>
      </w:r>
      <w:r w:rsidRPr="00373C11">
        <w:rPr>
          <w:bCs/>
        </w:rPr>
        <w:t xml:space="preserve">purposes of </w:t>
      </w:r>
      <w:r w:rsidRPr="00373C11">
        <w:rPr>
          <w:bCs/>
        </w:rPr>
        <w:t xml:space="preserve">determining human cancer risk from a chemical within the mixture. </w:t>
      </w:r>
      <w:r w:rsidRPr="00373C11">
        <w:rPr>
          <w:bCs/>
        </w:rPr>
        <w:t xml:space="preserve"> </w:t>
      </w:r>
      <w:r w:rsidRPr="00373C11">
        <w:rPr>
          <w:bCs/>
          <w:i/>
          <w:iCs/>
        </w:rPr>
        <w:t>Lockheed</w:t>
      </w:r>
      <w:r w:rsidRPr="00373C11">
        <w:rPr>
          <w:bCs/>
        </w:rPr>
        <w:t xml:space="preserve"> is inapposite</w:t>
      </w:r>
      <w:r w:rsidRPr="00373C11">
        <w:rPr>
          <w:bCs/>
        </w:rPr>
        <w:t xml:space="preserve">.  </w:t>
      </w:r>
      <w:r w:rsidRPr="00373C11">
        <w:rPr>
          <w:bCs/>
        </w:rPr>
        <w:t>There</w:t>
      </w:r>
      <w:r w:rsidRPr="00373C11">
        <w:rPr>
          <w:bCs/>
        </w:rPr>
        <w:t xml:space="preserve">, the court held that an expert could not reasonably opine that exposure to five </w:t>
      </w:r>
      <w:r w:rsidRPr="00373C11">
        <w:rPr>
          <w:bCs/>
        </w:rPr>
        <w:t xml:space="preserve">particular </w:t>
      </w:r>
      <w:r w:rsidRPr="00373C11">
        <w:rPr>
          <w:bCs/>
        </w:rPr>
        <w:t xml:space="preserve">chemicals caused cancer based on an IARC </w:t>
      </w:r>
      <w:r w:rsidRPr="00373C11">
        <w:rPr>
          <w:bCs/>
        </w:rPr>
        <w:t>study</w:t>
      </w:r>
      <w:r w:rsidRPr="00373C11">
        <w:rPr>
          <w:bCs/>
        </w:rPr>
        <w:t xml:space="preserve"> that found that “painters who potentially were exposed to a long list of more than 130 substances and thousands of ch</w:t>
      </w:r>
      <w:r w:rsidRPr="00373C11">
        <w:rPr>
          <w:bCs/>
        </w:rPr>
        <w:t>emical compounds contracted cancer” at a higher rate.  (</w:t>
      </w:r>
      <w:bookmarkStart w:id="32" w:name="dabmci_d325378c48944997b1548048f132d3d4"/>
      <w:r w:rsidRPr="00373C11">
        <w:rPr>
          <w:bCs/>
          <w:i/>
          <w:iCs/>
        </w:rPr>
        <w:t>Lockheed</w:t>
      </w:r>
      <w:r w:rsidRPr="00373C11">
        <w:rPr>
          <w:bCs/>
        </w:rPr>
        <w:t xml:space="preserve">, </w:t>
      </w:r>
      <w:r w:rsidRPr="00373C11">
        <w:rPr>
          <w:bCs/>
          <w:i/>
          <w:iCs/>
        </w:rPr>
        <w:t>supra</w:t>
      </w:r>
      <w:r w:rsidRPr="00373C11">
        <w:rPr>
          <w:bCs/>
        </w:rPr>
        <w:t>, 115 Cal.App.4th 558, 564-565</w:t>
      </w:r>
      <w:bookmarkEnd w:id="32"/>
      <w:r w:rsidRPr="00373C11">
        <w:rPr>
          <w:bCs/>
        </w:rPr>
        <w:t xml:space="preserve">.)  The court </w:t>
      </w:r>
      <w:r w:rsidRPr="00373C11">
        <w:rPr>
          <w:bCs/>
        </w:rPr>
        <w:t xml:space="preserve">explained that the expert’s opinion was </w:t>
      </w:r>
      <w:r w:rsidRPr="00373C11">
        <w:rPr>
          <w:bCs/>
        </w:rPr>
        <w:t>“based on conjecture and speculation</w:t>
      </w:r>
      <w:r w:rsidRPr="00373C11">
        <w:rPr>
          <w:bCs/>
        </w:rPr>
        <w:t xml:space="preserve"> as to which of the many substances to which the study subjects w</w:t>
      </w:r>
      <w:r w:rsidRPr="00373C11">
        <w:rPr>
          <w:bCs/>
        </w:rPr>
        <w:t xml:space="preserve">ere exposed contributed to the greater incidence of cancer.” </w:t>
      </w:r>
      <w:r w:rsidRPr="00373C11">
        <w:rPr>
          <w:bCs/>
        </w:rPr>
        <w:t xml:space="preserve"> </w:t>
      </w:r>
      <w:r w:rsidRPr="00373C11">
        <w:rPr>
          <w:bCs/>
        </w:rPr>
        <w:t>(</w:t>
      </w:r>
      <w:bookmarkStart w:id="33" w:name="dabmci_0b72ced926c240348ea3a1a96440c33d"/>
      <w:r w:rsidRPr="00373C11">
        <w:rPr>
          <w:bCs/>
          <w:i/>
          <w:iCs/>
        </w:rPr>
        <w:t>Id.</w:t>
      </w:r>
      <w:r w:rsidRPr="00373C11">
        <w:rPr>
          <w:bCs/>
        </w:rPr>
        <w:t xml:space="preserve"> at 565</w:t>
      </w:r>
      <w:bookmarkEnd w:id="33"/>
      <w:r w:rsidRPr="00373C11">
        <w:rPr>
          <w:bCs/>
        </w:rPr>
        <w:t>.)</w:t>
      </w:r>
      <w:r w:rsidRPr="00373C11">
        <w:rPr>
          <w:bCs/>
        </w:rPr>
        <w:t xml:space="preserve">  </w:t>
      </w:r>
      <w:r w:rsidRPr="00373C11">
        <w:rPr>
          <w:bCs/>
        </w:rPr>
        <w:t xml:space="preserve">This analysis has no application here, where the IARC </w:t>
      </w:r>
      <w:r w:rsidRPr="00373C11">
        <w:rPr>
          <w:bCs/>
        </w:rPr>
        <w:t>M</w:t>
      </w:r>
      <w:r w:rsidRPr="00373C11">
        <w:rPr>
          <w:bCs/>
        </w:rPr>
        <w:t xml:space="preserve">onograph </w:t>
      </w:r>
      <w:r w:rsidRPr="00373C11">
        <w:rPr>
          <w:bCs/>
        </w:rPr>
        <w:t xml:space="preserve">evaluated </w:t>
      </w:r>
      <w:r w:rsidRPr="00373C11">
        <w:rPr>
          <w:bCs/>
        </w:rPr>
        <w:t>the very mixture addressed</w:t>
      </w:r>
      <w:r w:rsidRPr="00373C11">
        <w:rPr>
          <w:bCs/>
        </w:rPr>
        <w:t xml:space="preserve"> </w:t>
      </w:r>
      <w:r w:rsidRPr="00373C11">
        <w:rPr>
          <w:bCs/>
        </w:rPr>
        <w:t xml:space="preserve">by the Coffee Regulation, and </w:t>
      </w:r>
      <w:r w:rsidRPr="00373C11">
        <w:rPr>
          <w:bCs/>
        </w:rPr>
        <w:t xml:space="preserve">tended to </w:t>
      </w:r>
      <w:r w:rsidRPr="00373C11">
        <w:t>negate</w:t>
      </w:r>
      <w:r w:rsidRPr="00373C11">
        <w:rPr>
          <w:bCs/>
        </w:rPr>
        <w:t xml:space="preserve"> a substantial risk of cancer fr</w:t>
      </w:r>
      <w:r w:rsidRPr="00373C11">
        <w:rPr>
          <w:bCs/>
        </w:rPr>
        <w:t xml:space="preserve">om </w:t>
      </w:r>
      <w:r w:rsidRPr="00373C11">
        <w:rPr>
          <w:bCs/>
        </w:rPr>
        <w:t>it</w:t>
      </w:r>
      <w:r w:rsidRPr="00373C11">
        <w:rPr>
          <w:bCs/>
        </w:rPr>
        <w:t xml:space="preserve">. </w:t>
      </w:r>
      <w:r w:rsidRPr="00373C11">
        <w:rPr>
          <w:bCs/>
        </w:rPr>
        <w:t xml:space="preserve"> </w:t>
      </w:r>
      <w:r w:rsidRPr="00373C11">
        <w:rPr>
          <w:bCs/>
        </w:rPr>
        <w:t xml:space="preserve">While </w:t>
      </w:r>
      <w:r w:rsidRPr="00373C11">
        <w:rPr>
          <w:bCs/>
        </w:rPr>
        <w:t>the IARC Monograph provides no basis for determining the cancer risk from an individual constituent of coffee, like acrylamide, in isolation</w:t>
      </w:r>
      <w:r w:rsidRPr="00373C11">
        <w:rPr>
          <w:bCs/>
        </w:rPr>
        <w:t>,</w:t>
      </w:r>
      <w:r w:rsidRPr="00373C11">
        <w:rPr>
          <w:bCs/>
        </w:rPr>
        <w:t xml:space="preserve"> </w:t>
      </w:r>
      <w:r w:rsidRPr="00373C11">
        <w:rPr>
          <w:bCs/>
        </w:rPr>
        <w:t xml:space="preserve">the </w:t>
      </w:r>
      <w:r w:rsidRPr="00373C11">
        <w:rPr>
          <w:bCs/>
        </w:rPr>
        <w:t>Coffee</w:t>
      </w:r>
      <w:r w:rsidRPr="00373C11">
        <w:rPr>
          <w:bCs/>
        </w:rPr>
        <w:t xml:space="preserve"> </w:t>
      </w:r>
      <w:r w:rsidRPr="00373C11">
        <w:rPr>
          <w:bCs/>
        </w:rPr>
        <w:t>R</w:t>
      </w:r>
      <w:r w:rsidRPr="00373C11">
        <w:rPr>
          <w:bCs/>
        </w:rPr>
        <w:t xml:space="preserve">egulation </w:t>
      </w:r>
      <w:r w:rsidRPr="00373C11">
        <w:rPr>
          <w:bCs/>
        </w:rPr>
        <w:t xml:space="preserve">rests on the Agency’s conclusions regarding the </w:t>
      </w:r>
      <w:r w:rsidRPr="00373C11">
        <w:rPr>
          <w:bCs/>
        </w:rPr>
        <w:lastRenderedPageBreak/>
        <w:t xml:space="preserve">risk of cancer from coffee as a mixture -- a conclusion the Monograph tends to support. </w:t>
      </w:r>
    </w:p>
    <w:p w14:paraId="4D6A1571" w14:textId="77777777" w:rsidR="00205D7E" w:rsidRPr="00373C11" w:rsidRDefault="00C25CF2" w:rsidP="00E81151">
      <w:pPr>
        <w:pStyle w:val="ListParagraph"/>
        <w:autoSpaceDE w:val="0"/>
        <w:autoSpaceDN w:val="0"/>
        <w:adjustRightInd w:val="0"/>
        <w:spacing w:line="288" w:lineRule="auto"/>
        <w:ind w:left="0"/>
        <w:rPr>
          <w:bCs/>
        </w:rPr>
      </w:pPr>
      <w:r w:rsidRPr="00373C11">
        <w:rPr>
          <w:bCs/>
        </w:rPr>
        <w:t xml:space="preserve">Second, </w:t>
      </w:r>
      <w:r w:rsidRPr="00373C11">
        <w:rPr>
          <w:bCs/>
        </w:rPr>
        <w:t>CERT complains</w:t>
      </w:r>
      <w:r w:rsidRPr="00373C11">
        <w:rPr>
          <w:bCs/>
        </w:rPr>
        <w:t xml:space="preserve"> that </w:t>
      </w:r>
      <w:r w:rsidRPr="00373C11">
        <w:rPr>
          <w:bCs/>
        </w:rPr>
        <w:t>“while IARC is an authoritative body for the identification of chemicals as to their carcin</w:t>
      </w:r>
      <w:r w:rsidRPr="00373C11">
        <w:rPr>
          <w:bCs/>
        </w:rPr>
        <w:t>ogenicity to humans (i.e., cancer hazard</w:t>
      </w:r>
      <w:r w:rsidRPr="00373C11">
        <w:rPr>
          <w:bCs/>
        </w:rPr>
        <w:t xml:space="preserve"> </w:t>
      </w:r>
      <w:r w:rsidRPr="00373C11">
        <w:rPr>
          <w:bCs/>
        </w:rPr>
        <w:t>assessment), it is not recognized as an authoritative body for quantifying risks</w:t>
      </w:r>
      <w:r w:rsidRPr="00373C11">
        <w:rPr>
          <w:bCs/>
        </w:rPr>
        <w:t xml:space="preserve"> </w:t>
      </w:r>
      <w:r w:rsidRPr="00373C11">
        <w:rPr>
          <w:bCs/>
        </w:rPr>
        <w:t>of cancer from carcinogens (i.e., cancer risk assessment).</w:t>
      </w:r>
      <w:r w:rsidRPr="00373C11">
        <w:rPr>
          <w:bCs/>
        </w:rPr>
        <w:t xml:space="preserve">”  </w:t>
      </w:r>
      <w:r w:rsidRPr="00373C11">
        <w:rPr>
          <w:bCs/>
        </w:rPr>
        <w:t>CERT fails to explain the signi</w:t>
      </w:r>
      <w:r w:rsidRPr="00373C11">
        <w:rPr>
          <w:bCs/>
        </w:rPr>
        <w:t>ficance of this distinction</w:t>
      </w:r>
      <w:r w:rsidRPr="00373C11">
        <w:rPr>
          <w:bCs/>
        </w:rPr>
        <w:t xml:space="preserve"> for purposes o</w:t>
      </w:r>
      <w:r w:rsidRPr="00373C11">
        <w:rPr>
          <w:bCs/>
        </w:rPr>
        <w:t xml:space="preserve">f the Agency’s reliance on the IARC </w:t>
      </w:r>
      <w:r w:rsidRPr="00373C11">
        <w:rPr>
          <w:bCs/>
        </w:rPr>
        <w:t>M</w:t>
      </w:r>
      <w:r w:rsidRPr="00373C11">
        <w:rPr>
          <w:bCs/>
        </w:rPr>
        <w:t>onograph</w:t>
      </w:r>
      <w:r w:rsidRPr="00373C11">
        <w:rPr>
          <w:bCs/>
        </w:rPr>
        <w:t>.</w:t>
      </w:r>
      <w:r w:rsidRPr="00373C11">
        <w:rPr>
          <w:bCs/>
        </w:rPr>
        <w:t xml:space="preserve">  </w:t>
      </w:r>
      <w:r w:rsidRPr="00373C11">
        <w:rPr>
          <w:bCs/>
        </w:rPr>
        <w:t xml:space="preserve">As the Monograph </w:t>
      </w:r>
      <w:r w:rsidRPr="00373C11">
        <w:rPr>
          <w:bCs/>
        </w:rPr>
        <w:t xml:space="preserve">itself </w:t>
      </w:r>
      <w:r w:rsidRPr="00373C11">
        <w:rPr>
          <w:bCs/>
        </w:rPr>
        <w:t>explains, “</w:t>
      </w:r>
      <w:r w:rsidRPr="00373C11">
        <w:rPr>
          <w:bCs/>
        </w:rPr>
        <w:t>[m]</w:t>
      </w:r>
      <w:r w:rsidRPr="00373C11">
        <w:rPr>
          <w:bCs/>
        </w:rPr>
        <w:t>onographs represent the first step in carcinogenic risk assessment,</w:t>
      </w:r>
      <w:r w:rsidRPr="00373C11">
        <w:rPr>
          <w:bCs/>
        </w:rPr>
        <w:t>” and they “</w:t>
      </w:r>
      <w:r w:rsidRPr="00373C11">
        <w:rPr>
          <w:bCs/>
        </w:rPr>
        <w:t xml:space="preserve">identify cancer hazards even when risks are very low at current exposure levels.” </w:t>
      </w:r>
      <w:r w:rsidRPr="00373C11">
        <w:rPr>
          <w:bCs/>
        </w:rPr>
        <w:t xml:space="preserve"> The </w:t>
      </w:r>
      <w:r w:rsidRPr="00373C11">
        <w:rPr>
          <w:bCs/>
        </w:rPr>
        <w:t>Agen</w:t>
      </w:r>
      <w:r w:rsidRPr="00373C11">
        <w:rPr>
          <w:bCs/>
        </w:rPr>
        <w:t xml:space="preserve">cy therefore reasonably relied on the </w:t>
      </w:r>
      <w:r w:rsidRPr="00373C11">
        <w:rPr>
          <w:bCs/>
        </w:rPr>
        <w:t>IARC</w:t>
      </w:r>
      <w:r w:rsidRPr="00373C11">
        <w:rPr>
          <w:bCs/>
        </w:rPr>
        <w:t xml:space="preserve">’s findings regarding </w:t>
      </w:r>
      <w:r w:rsidRPr="00373C11">
        <w:rPr>
          <w:bCs/>
        </w:rPr>
        <w:t>coffee’s carcinogenicity</w:t>
      </w:r>
      <w:r w:rsidRPr="00373C11">
        <w:rPr>
          <w:bCs/>
        </w:rPr>
        <w:t xml:space="preserve"> </w:t>
      </w:r>
      <w:r w:rsidRPr="00373C11">
        <w:rPr>
          <w:bCs/>
        </w:rPr>
        <w:t xml:space="preserve">and its </w:t>
      </w:r>
      <w:r w:rsidRPr="00373C11">
        <w:rPr>
          <w:bCs/>
        </w:rPr>
        <w:t>M</w:t>
      </w:r>
      <w:r w:rsidRPr="00373C11">
        <w:rPr>
          <w:bCs/>
        </w:rPr>
        <w:t xml:space="preserve">onograph’s </w:t>
      </w:r>
      <w:r w:rsidRPr="00373C11">
        <w:rPr>
          <w:bCs/>
        </w:rPr>
        <w:t xml:space="preserve">conclusion that </w:t>
      </w:r>
      <w:r w:rsidRPr="00373C11">
        <w:rPr>
          <w:bCs/>
        </w:rPr>
        <w:t xml:space="preserve">coffee was “not classifiable as to its carcinogenicity.” </w:t>
      </w:r>
      <w:r w:rsidRPr="00373C11">
        <w:rPr>
          <w:bCs/>
        </w:rPr>
        <w:t xml:space="preserve"> (Italics omitted.)</w:t>
      </w:r>
    </w:p>
    <w:p w14:paraId="79C574D3" w14:textId="77777777" w:rsidR="009C4C2E" w:rsidRPr="00373C11" w:rsidRDefault="00C25CF2" w:rsidP="00E81151">
      <w:pPr>
        <w:pStyle w:val="ListParagraph"/>
        <w:autoSpaceDE w:val="0"/>
        <w:autoSpaceDN w:val="0"/>
        <w:adjustRightInd w:val="0"/>
        <w:spacing w:line="288" w:lineRule="auto"/>
        <w:ind w:left="0"/>
        <w:rPr>
          <w:bCs/>
        </w:rPr>
      </w:pPr>
      <w:r w:rsidRPr="00373C11">
        <w:rPr>
          <w:bCs/>
        </w:rPr>
        <w:t xml:space="preserve">Third, </w:t>
      </w:r>
      <w:r w:rsidRPr="00373C11">
        <w:rPr>
          <w:bCs/>
        </w:rPr>
        <w:t xml:space="preserve">CERT </w:t>
      </w:r>
      <w:r w:rsidRPr="00373C11">
        <w:rPr>
          <w:bCs/>
        </w:rPr>
        <w:t xml:space="preserve">claims that in various ways, </w:t>
      </w:r>
      <w:r w:rsidRPr="00373C11">
        <w:rPr>
          <w:bCs/>
        </w:rPr>
        <w:t>the Agency</w:t>
      </w:r>
      <w:r w:rsidRPr="00373C11">
        <w:rPr>
          <w:bCs/>
        </w:rPr>
        <w:t xml:space="preserve">’s </w:t>
      </w:r>
      <w:r w:rsidRPr="00373C11">
        <w:rPr>
          <w:bCs/>
        </w:rPr>
        <w:t>FSR</w:t>
      </w:r>
      <w:r w:rsidRPr="00373C11">
        <w:rPr>
          <w:bCs/>
        </w:rPr>
        <w:t xml:space="preserve"> gave a “false impression” </w:t>
      </w:r>
      <w:r w:rsidRPr="00373C11">
        <w:rPr>
          <w:bCs/>
        </w:rPr>
        <w:t>that the IARC had concluded coffee does not cause cancer</w:t>
      </w:r>
      <w:r w:rsidRPr="00373C11">
        <w:rPr>
          <w:bCs/>
        </w:rPr>
        <w:t>, when in fact the Monograph concluded</w:t>
      </w:r>
      <w:r w:rsidRPr="00373C11">
        <w:rPr>
          <w:bCs/>
        </w:rPr>
        <w:t xml:space="preserve"> </w:t>
      </w:r>
      <w:r w:rsidRPr="00373C11">
        <w:rPr>
          <w:bCs/>
        </w:rPr>
        <w:t xml:space="preserve">only that there was inadequate evidence for coffee’s carcinogenicity. </w:t>
      </w:r>
      <w:r w:rsidRPr="00373C11">
        <w:rPr>
          <w:bCs/>
        </w:rPr>
        <w:t xml:space="preserve"> </w:t>
      </w:r>
      <w:r w:rsidRPr="00373C11">
        <w:rPr>
          <w:bCs/>
        </w:rPr>
        <w:t xml:space="preserve">We disagree.  The </w:t>
      </w:r>
      <w:r w:rsidRPr="00373C11">
        <w:rPr>
          <w:bCs/>
        </w:rPr>
        <w:t>Agency</w:t>
      </w:r>
      <w:r w:rsidRPr="00373C11">
        <w:rPr>
          <w:bCs/>
        </w:rPr>
        <w:t xml:space="preserve">’s </w:t>
      </w:r>
      <w:r w:rsidRPr="00373C11">
        <w:rPr>
          <w:bCs/>
        </w:rPr>
        <w:t>FSR</w:t>
      </w:r>
      <w:r w:rsidRPr="00373C11">
        <w:rPr>
          <w:bCs/>
        </w:rPr>
        <w:t xml:space="preserve"> </w:t>
      </w:r>
      <w:r w:rsidRPr="00373C11">
        <w:rPr>
          <w:bCs/>
        </w:rPr>
        <w:t xml:space="preserve">quoted </w:t>
      </w:r>
      <w:r w:rsidRPr="00373C11">
        <w:rPr>
          <w:bCs/>
        </w:rPr>
        <w:t xml:space="preserve">multiple times </w:t>
      </w:r>
      <w:r w:rsidRPr="00373C11">
        <w:rPr>
          <w:bCs/>
        </w:rPr>
        <w:t>the IARC’s overall conclusion that coffee was “</w:t>
      </w:r>
      <w:r w:rsidRPr="00373C11">
        <w:rPr>
          <w:bCs/>
        </w:rPr>
        <w:t>‘</w:t>
      </w:r>
      <w:r w:rsidRPr="00373C11">
        <w:rPr>
          <w:bCs/>
        </w:rPr>
        <w:t>not classifiable as to its carcinogenicity to humans</w:t>
      </w:r>
      <w:r w:rsidRPr="00373C11">
        <w:rPr>
          <w:bCs/>
        </w:rPr>
        <w:t>.</w:t>
      </w:r>
      <w:r w:rsidRPr="00373C11">
        <w:rPr>
          <w:bCs/>
        </w:rPr>
        <w:t>’</w:t>
      </w:r>
      <w:r w:rsidRPr="00373C11">
        <w:rPr>
          <w:bCs/>
        </w:rPr>
        <w:t>”</w:t>
      </w:r>
      <w:r w:rsidRPr="00373C11">
        <w:rPr>
          <w:bCs/>
        </w:rPr>
        <w:t xml:space="preserve"> </w:t>
      </w:r>
      <w:r w:rsidRPr="00373C11">
        <w:t xml:space="preserve"> </w:t>
      </w:r>
      <w:r w:rsidRPr="00373C11">
        <w:t xml:space="preserve">CERT </w:t>
      </w:r>
      <w:r w:rsidRPr="00373C11">
        <w:t>points to</w:t>
      </w:r>
      <w:r w:rsidRPr="00373C11">
        <w:t xml:space="preserve"> </w:t>
      </w:r>
      <w:r w:rsidRPr="00373C11">
        <w:t xml:space="preserve">the </w:t>
      </w:r>
      <w:r w:rsidRPr="00373C11">
        <w:t>FSR</w:t>
      </w:r>
      <w:r w:rsidRPr="00373C11">
        <w:t>’s</w:t>
      </w:r>
      <w:r w:rsidRPr="00373C11">
        <w:t xml:space="preserve"> </w:t>
      </w:r>
      <w:r w:rsidRPr="00373C11">
        <w:t xml:space="preserve">statement </w:t>
      </w:r>
      <w:r w:rsidRPr="00373C11">
        <w:t xml:space="preserve">of the Agency’s key considerations in adopting the regulation, </w:t>
      </w:r>
      <w:r w:rsidRPr="00373C11">
        <w:t xml:space="preserve">and complains that </w:t>
      </w:r>
      <w:r w:rsidRPr="00373C11">
        <w:t>it</w:t>
      </w:r>
      <w:r w:rsidRPr="00373C11">
        <w:t xml:space="preserve"> </w:t>
      </w:r>
      <w:r w:rsidRPr="00373C11">
        <w:t xml:space="preserve">presents </w:t>
      </w:r>
      <w:r w:rsidRPr="00373C11">
        <w:t xml:space="preserve">the IARC’s conclusions in a misleading manner because of its </w:t>
      </w:r>
      <w:r w:rsidRPr="00373C11">
        <w:t>wording</w:t>
      </w:r>
      <w:r w:rsidRPr="00373C11">
        <w:t xml:space="preserve">, its </w:t>
      </w:r>
      <w:r w:rsidRPr="00373C11">
        <w:t xml:space="preserve">use of the </w:t>
      </w:r>
      <w:r w:rsidRPr="00373C11">
        <w:lastRenderedPageBreak/>
        <w:t>phrase “</w:t>
      </w:r>
      <w:r w:rsidRPr="00373C11">
        <w:t>‘</w:t>
      </w:r>
      <w:r w:rsidRPr="00373C11">
        <w:t>inadequate evidence</w:t>
      </w:r>
      <w:r w:rsidRPr="00373C11">
        <w:t>’</w:t>
      </w:r>
      <w:r w:rsidRPr="00373C11">
        <w:t xml:space="preserve">” without </w:t>
      </w:r>
      <w:r w:rsidRPr="00373C11">
        <w:t>provid</w:t>
      </w:r>
      <w:r w:rsidRPr="00373C11">
        <w:t>ing</w:t>
      </w:r>
      <w:r w:rsidRPr="00373C11">
        <w:t xml:space="preserve"> the IARC’s definition for </w:t>
      </w:r>
      <w:r w:rsidRPr="00373C11">
        <w:t>the phrase</w:t>
      </w:r>
      <w:r w:rsidRPr="00373C11">
        <w:t xml:space="preserve">, </w:t>
      </w:r>
      <w:r w:rsidRPr="00373C11">
        <w:t xml:space="preserve">and </w:t>
      </w:r>
      <w:r w:rsidRPr="00373C11">
        <w:t xml:space="preserve">its </w:t>
      </w:r>
      <w:r w:rsidRPr="00373C11">
        <w:t>omission</w:t>
      </w:r>
      <w:r w:rsidRPr="00373C11">
        <w:t xml:space="preserve"> </w:t>
      </w:r>
      <w:r w:rsidRPr="00373C11">
        <w:t xml:space="preserve">of </w:t>
      </w:r>
      <w:r w:rsidRPr="00373C11">
        <w:t xml:space="preserve">relevant context from the IARC </w:t>
      </w:r>
      <w:r w:rsidRPr="00373C11">
        <w:t>M</w:t>
      </w:r>
      <w:r w:rsidRPr="00373C11">
        <w:t>o</w:t>
      </w:r>
      <w:r w:rsidRPr="00373C11">
        <w:t>nograph.  However, the FSR’s statement of key considerations represent</w:t>
      </w:r>
      <w:r w:rsidRPr="00373C11">
        <w:t>ed</w:t>
      </w:r>
      <w:r w:rsidRPr="00373C11">
        <w:t xml:space="preserve"> the Agency’s conclusions, rather than those of the IARC.  </w:t>
      </w:r>
      <w:r w:rsidRPr="00373C11">
        <w:t xml:space="preserve">Indeed, the Agency explained that </w:t>
      </w:r>
      <w:r w:rsidRPr="00373C11">
        <w:t>its</w:t>
      </w:r>
      <w:r w:rsidRPr="00373C11">
        <w:rPr>
          <w:i/>
          <w:iCs/>
        </w:rPr>
        <w:t xml:space="preserve"> </w:t>
      </w:r>
      <w:r w:rsidRPr="00373C11">
        <w:rPr>
          <w:bCs/>
        </w:rPr>
        <w:t>determination regarding the risk of cancer from coffee</w:t>
      </w:r>
      <w:r w:rsidRPr="00373C11">
        <w:rPr>
          <w:bCs/>
        </w:rPr>
        <w:t xml:space="preserve"> </w:t>
      </w:r>
      <w:r w:rsidRPr="00373C11">
        <w:rPr>
          <w:bCs/>
        </w:rPr>
        <w:t xml:space="preserve">relied on </w:t>
      </w:r>
      <w:r w:rsidRPr="00373C11">
        <w:rPr>
          <w:bCs/>
        </w:rPr>
        <w:t xml:space="preserve">its own evaluation of </w:t>
      </w:r>
      <w:r w:rsidRPr="00373C11">
        <w:rPr>
          <w:bCs/>
        </w:rPr>
        <w:t xml:space="preserve">the Monograph, </w:t>
      </w:r>
      <w:r w:rsidRPr="00373C11">
        <w:rPr>
          <w:bCs/>
        </w:rPr>
        <w:t xml:space="preserve">the underlying research summarized by the Monograph, </w:t>
      </w:r>
      <w:r w:rsidRPr="00373C11">
        <w:rPr>
          <w:bCs/>
        </w:rPr>
        <w:t xml:space="preserve">and </w:t>
      </w:r>
      <w:r w:rsidRPr="00373C11">
        <w:rPr>
          <w:bCs/>
        </w:rPr>
        <w:t>“</w:t>
      </w:r>
      <w:r w:rsidRPr="00373C11">
        <w:rPr>
          <w:bCs/>
        </w:rPr>
        <w:t>studies published subsequent to</w:t>
      </w:r>
      <w:r w:rsidRPr="00373C11">
        <w:rPr>
          <w:bCs/>
        </w:rPr>
        <w:t xml:space="preserve"> </w:t>
      </w:r>
      <w:r w:rsidRPr="00373C11">
        <w:rPr>
          <w:bCs/>
        </w:rPr>
        <w:t>the IARC review</w:t>
      </w:r>
      <w:r w:rsidRPr="00373C11">
        <w:rPr>
          <w:bCs/>
        </w:rPr>
        <w:t xml:space="preserve"> </w:t>
      </w:r>
      <w:r w:rsidRPr="00373C11">
        <w:rPr>
          <w:bCs/>
        </w:rPr>
        <w:t xml:space="preserve">. . . </w:t>
      </w:r>
      <w:r w:rsidRPr="00373C11">
        <w:rPr>
          <w:bCs/>
        </w:rPr>
        <w:t xml:space="preserve">.”  </w:t>
      </w:r>
    </w:p>
    <w:p w14:paraId="271FCE9F" w14:textId="77777777" w:rsidR="007C2E66" w:rsidRPr="00373C11" w:rsidRDefault="00C25CF2" w:rsidP="00E81151">
      <w:pPr>
        <w:pStyle w:val="ListParagraph"/>
        <w:autoSpaceDE w:val="0"/>
        <w:autoSpaceDN w:val="0"/>
        <w:adjustRightInd w:val="0"/>
        <w:spacing w:line="288" w:lineRule="auto"/>
        <w:ind w:left="0"/>
        <w:rPr>
          <w:bCs/>
        </w:rPr>
      </w:pPr>
      <w:r w:rsidRPr="00373C11">
        <w:rPr>
          <w:bCs/>
        </w:rPr>
        <w:t>Finally,</w:t>
      </w:r>
      <w:r w:rsidRPr="00373C11">
        <w:rPr>
          <w:bCs/>
        </w:rPr>
        <w:t xml:space="preserve"> </w:t>
      </w:r>
      <w:r w:rsidRPr="00373C11">
        <w:rPr>
          <w:bCs/>
        </w:rPr>
        <w:t xml:space="preserve">CERT </w:t>
      </w:r>
      <w:r w:rsidRPr="00373C11">
        <w:rPr>
          <w:bCs/>
        </w:rPr>
        <w:t>challenges</w:t>
      </w:r>
      <w:r w:rsidRPr="00373C11">
        <w:rPr>
          <w:bCs/>
        </w:rPr>
        <w:t xml:space="preserve"> </w:t>
      </w:r>
      <w:r w:rsidRPr="00373C11">
        <w:rPr>
          <w:bCs/>
        </w:rPr>
        <w:t xml:space="preserve">the </w:t>
      </w:r>
      <w:r w:rsidRPr="00373C11">
        <w:rPr>
          <w:bCs/>
        </w:rPr>
        <w:t>FSR’s</w:t>
      </w:r>
      <w:r w:rsidRPr="00373C11">
        <w:rPr>
          <w:bCs/>
        </w:rPr>
        <w:t xml:space="preserve"> </w:t>
      </w:r>
      <w:r w:rsidRPr="00373C11">
        <w:rPr>
          <w:bCs/>
        </w:rPr>
        <w:t xml:space="preserve">assertion </w:t>
      </w:r>
      <w:r w:rsidRPr="00373C11">
        <w:rPr>
          <w:bCs/>
        </w:rPr>
        <w:t xml:space="preserve">that “[t]here is a rich mix of cancer-preventative agents in brewed coffee.”  CERT speculates that this statement </w:t>
      </w:r>
      <w:r w:rsidRPr="00373C11">
        <w:rPr>
          <w:bCs/>
        </w:rPr>
        <w:t>“</w:t>
      </w:r>
      <w:r w:rsidRPr="00373C11">
        <w:rPr>
          <w:bCs/>
        </w:rPr>
        <w:t xml:space="preserve">apparently refers to antioxidants in coffee” and </w:t>
      </w:r>
      <w:r w:rsidRPr="00373C11">
        <w:rPr>
          <w:bCs/>
        </w:rPr>
        <w:t xml:space="preserve">proceeds to contest the </w:t>
      </w:r>
      <w:r w:rsidRPr="00373C11">
        <w:rPr>
          <w:bCs/>
        </w:rPr>
        <w:t xml:space="preserve">notion that antioxidants in coffee prevent cancer. </w:t>
      </w:r>
      <w:r w:rsidRPr="00373C11">
        <w:rPr>
          <w:bCs/>
        </w:rPr>
        <w:t xml:space="preserve"> </w:t>
      </w:r>
      <w:r w:rsidRPr="00373C11">
        <w:rPr>
          <w:bCs/>
        </w:rPr>
        <w:t xml:space="preserve">Initially, </w:t>
      </w:r>
      <w:r w:rsidRPr="00373C11">
        <w:rPr>
          <w:bCs/>
        </w:rPr>
        <w:t>there</w:t>
      </w:r>
      <w:r w:rsidRPr="00373C11">
        <w:rPr>
          <w:bCs/>
        </w:rPr>
        <w:t xml:space="preserve"> is no reason </w:t>
      </w:r>
      <w:r w:rsidRPr="00373C11">
        <w:rPr>
          <w:bCs/>
        </w:rPr>
        <w:t xml:space="preserve">to </w:t>
      </w:r>
      <w:r w:rsidRPr="00373C11">
        <w:rPr>
          <w:bCs/>
        </w:rPr>
        <w:t xml:space="preserve">think that the </w:t>
      </w:r>
      <w:r w:rsidRPr="00373C11">
        <w:rPr>
          <w:bCs/>
        </w:rPr>
        <w:t xml:space="preserve">FSR’s reference to </w:t>
      </w:r>
      <w:r w:rsidRPr="00373C11">
        <w:rPr>
          <w:bCs/>
        </w:rPr>
        <w:t xml:space="preserve">cancer-preventative agents was limited to antioxidants.  In its ISR, the Agency </w:t>
      </w:r>
      <w:r w:rsidRPr="00373C11">
        <w:rPr>
          <w:bCs/>
        </w:rPr>
        <w:t>listed anti-inflammatory chemicals</w:t>
      </w:r>
      <w:r w:rsidRPr="00373C11">
        <w:rPr>
          <w:bCs/>
        </w:rPr>
        <w:t xml:space="preserve"> </w:t>
      </w:r>
      <w:r w:rsidRPr="00373C11">
        <w:rPr>
          <w:bCs/>
        </w:rPr>
        <w:t>as well as</w:t>
      </w:r>
      <w:r w:rsidRPr="00373C11">
        <w:rPr>
          <w:bCs/>
        </w:rPr>
        <w:t xml:space="preserve"> soluble and insoluble fiber, alongside antioxidants, as </w:t>
      </w:r>
      <w:r w:rsidRPr="00373C11">
        <w:rPr>
          <w:bCs/>
        </w:rPr>
        <w:t>“</w:t>
      </w:r>
      <w:r w:rsidRPr="00373C11">
        <w:rPr>
          <w:bCs/>
        </w:rPr>
        <w:t>constituents that exhi</w:t>
      </w:r>
      <w:r w:rsidRPr="00373C11">
        <w:rPr>
          <w:bCs/>
        </w:rPr>
        <w:t>bit cancer chemopreventive properties</w:t>
      </w:r>
      <w:r w:rsidRPr="00373C11">
        <w:rPr>
          <w:bCs/>
        </w:rPr>
        <w:t xml:space="preserve"> . . . .” </w:t>
      </w:r>
      <w:r w:rsidRPr="00373C11">
        <w:rPr>
          <w:bCs/>
        </w:rPr>
        <w:t xml:space="preserve"> </w:t>
      </w:r>
      <w:r w:rsidRPr="00373C11">
        <w:rPr>
          <w:bCs/>
        </w:rPr>
        <w:t xml:space="preserve">The </w:t>
      </w:r>
      <w:r w:rsidRPr="00373C11">
        <w:rPr>
          <w:bCs/>
        </w:rPr>
        <w:t>ISR cite</w:t>
      </w:r>
      <w:r w:rsidRPr="00373C11">
        <w:rPr>
          <w:bCs/>
        </w:rPr>
        <w:t>d</w:t>
      </w:r>
      <w:r w:rsidRPr="00373C11">
        <w:rPr>
          <w:bCs/>
        </w:rPr>
        <w:t xml:space="preserve"> </w:t>
      </w:r>
      <w:r w:rsidRPr="00373C11">
        <w:rPr>
          <w:bCs/>
        </w:rPr>
        <w:t xml:space="preserve">numerous </w:t>
      </w:r>
      <w:r w:rsidRPr="00373C11">
        <w:rPr>
          <w:bCs/>
        </w:rPr>
        <w:t xml:space="preserve">articles published in scientific journals </w:t>
      </w:r>
      <w:r w:rsidRPr="00373C11">
        <w:rPr>
          <w:bCs/>
        </w:rPr>
        <w:t xml:space="preserve">to support </w:t>
      </w:r>
      <w:r w:rsidRPr="00373C11">
        <w:rPr>
          <w:bCs/>
        </w:rPr>
        <w:t xml:space="preserve">its position that </w:t>
      </w:r>
      <w:r w:rsidRPr="00373C11">
        <w:rPr>
          <w:bCs/>
        </w:rPr>
        <w:t>the</w:t>
      </w:r>
      <w:r w:rsidRPr="00373C11">
        <w:rPr>
          <w:bCs/>
        </w:rPr>
        <w:t>se</w:t>
      </w:r>
      <w:r w:rsidRPr="00373C11">
        <w:rPr>
          <w:bCs/>
        </w:rPr>
        <w:t xml:space="preserve"> categories of </w:t>
      </w:r>
      <w:r w:rsidRPr="00373C11">
        <w:rPr>
          <w:bCs/>
        </w:rPr>
        <w:t>coffee constituents possessed</w:t>
      </w:r>
      <w:r w:rsidRPr="00373C11">
        <w:rPr>
          <w:bCs/>
        </w:rPr>
        <w:t xml:space="preserve"> anticarcinogenic properties. </w:t>
      </w:r>
      <w:r w:rsidRPr="00373C11">
        <w:rPr>
          <w:bCs/>
        </w:rPr>
        <w:t xml:space="preserve"> The Agency’s FSR referenced the IS</w:t>
      </w:r>
      <w:r w:rsidRPr="00373C11">
        <w:rPr>
          <w:bCs/>
        </w:rPr>
        <w:t xml:space="preserve">R’s discussion of cancer-preventative agents and noted </w:t>
      </w:r>
      <w:r w:rsidRPr="00373C11">
        <w:rPr>
          <w:bCs/>
        </w:rPr>
        <w:t xml:space="preserve">its citation to </w:t>
      </w:r>
      <w:r w:rsidRPr="00373C11">
        <w:rPr>
          <w:bCs/>
        </w:rPr>
        <w:t>multiple scientific authorities in support of its conclusions.</w:t>
      </w:r>
      <w:r>
        <w:rPr>
          <w:rStyle w:val="FootnoteReference"/>
          <w:bCs/>
        </w:rPr>
        <w:footnoteReference w:id="14"/>
      </w:r>
      <w:r w:rsidRPr="00373C11">
        <w:rPr>
          <w:bCs/>
        </w:rPr>
        <w:t xml:space="preserve">  </w:t>
      </w:r>
    </w:p>
    <w:p w14:paraId="0A4668EE" w14:textId="77777777" w:rsidR="00221C3E" w:rsidRPr="00373C11" w:rsidRDefault="00C25CF2" w:rsidP="00E81151">
      <w:pPr>
        <w:pStyle w:val="ListParagraph"/>
        <w:autoSpaceDE w:val="0"/>
        <w:autoSpaceDN w:val="0"/>
        <w:adjustRightInd w:val="0"/>
        <w:spacing w:line="288" w:lineRule="auto"/>
        <w:ind w:left="0"/>
        <w:rPr>
          <w:bCs/>
        </w:rPr>
      </w:pPr>
      <w:r w:rsidRPr="00373C11">
        <w:rPr>
          <w:bCs/>
        </w:rPr>
        <w:lastRenderedPageBreak/>
        <w:t xml:space="preserve">Moreover, we decline CERT’s invitation to wade into </w:t>
      </w:r>
      <w:r w:rsidRPr="00373C11">
        <w:rPr>
          <w:bCs/>
        </w:rPr>
        <w:t>a</w:t>
      </w:r>
      <w:r w:rsidRPr="00373C11">
        <w:rPr>
          <w:bCs/>
        </w:rPr>
        <w:t xml:space="preserve"> </w:t>
      </w:r>
      <w:r w:rsidRPr="00373C11">
        <w:rPr>
          <w:bCs/>
        </w:rPr>
        <w:t>scientific debate about the e</w:t>
      </w:r>
      <w:r w:rsidRPr="00373C11">
        <w:rPr>
          <w:bCs/>
        </w:rPr>
        <w:t>ffects of antioxidants in coffee</w:t>
      </w:r>
      <w:r w:rsidRPr="00373C11">
        <w:rPr>
          <w:bCs/>
        </w:rPr>
        <w:t xml:space="preserve"> or the quality of the studies </w:t>
      </w:r>
      <w:r w:rsidRPr="00373C11">
        <w:rPr>
          <w:bCs/>
        </w:rPr>
        <w:t xml:space="preserve">on which the Agency relied in adopting the </w:t>
      </w:r>
      <w:r w:rsidRPr="00373C11">
        <w:rPr>
          <w:bCs/>
        </w:rPr>
        <w:t>C</w:t>
      </w:r>
      <w:r w:rsidRPr="00373C11">
        <w:rPr>
          <w:bCs/>
        </w:rPr>
        <w:t xml:space="preserve">offee </w:t>
      </w:r>
      <w:r w:rsidRPr="00373C11">
        <w:rPr>
          <w:bCs/>
        </w:rPr>
        <w:t>R</w:t>
      </w:r>
      <w:r w:rsidRPr="00373C11">
        <w:rPr>
          <w:bCs/>
        </w:rPr>
        <w:t>egulation.  O</w:t>
      </w:r>
      <w:r w:rsidRPr="00373C11">
        <w:rPr>
          <w:bCs/>
        </w:rPr>
        <w:t>ur task is to assess only whether the</w:t>
      </w:r>
      <w:r w:rsidRPr="00373C11">
        <w:rPr>
          <w:bCs/>
        </w:rPr>
        <w:t xml:space="preserve"> </w:t>
      </w:r>
      <w:r w:rsidRPr="00373C11">
        <w:rPr>
          <w:bCs/>
        </w:rPr>
        <w:t>Agency’s</w:t>
      </w:r>
      <w:r w:rsidRPr="00373C11">
        <w:rPr>
          <w:bCs/>
        </w:rPr>
        <w:t xml:space="preserve"> adoption of the </w:t>
      </w:r>
      <w:r w:rsidRPr="00373C11">
        <w:rPr>
          <w:bCs/>
        </w:rPr>
        <w:t>r</w:t>
      </w:r>
      <w:r w:rsidRPr="00373C11">
        <w:rPr>
          <w:bCs/>
        </w:rPr>
        <w:t xml:space="preserve">egulation was arbitrary </w:t>
      </w:r>
      <w:r w:rsidRPr="00373C11">
        <w:rPr>
          <w:bCs/>
        </w:rPr>
        <w:t>or</w:t>
      </w:r>
      <w:r w:rsidRPr="00373C11">
        <w:rPr>
          <w:bCs/>
        </w:rPr>
        <w:t xml:space="preserve"> capricious. </w:t>
      </w:r>
      <w:r w:rsidRPr="00373C11">
        <w:rPr>
          <w:bCs/>
        </w:rPr>
        <w:t xml:space="preserve"> We may not </w:t>
      </w:r>
      <w:r w:rsidRPr="00373C11">
        <w:rPr>
          <w:bCs/>
        </w:rPr>
        <w:t xml:space="preserve">“substitute </w:t>
      </w:r>
      <w:r w:rsidRPr="00373C11">
        <w:rPr>
          <w:bCs/>
        </w:rPr>
        <w:t>ou</w:t>
      </w:r>
      <w:r w:rsidRPr="00373C11">
        <w:rPr>
          <w:bCs/>
        </w:rPr>
        <w:t>r</w:t>
      </w:r>
      <w:r w:rsidRPr="00373C11">
        <w:rPr>
          <w:bCs/>
        </w:rPr>
        <w:t xml:space="preserve"> judgment for that of the agency” regarding “the existence and weight to be accorded the facts and policy considerations </w:t>
      </w:r>
      <w:r w:rsidRPr="00373C11">
        <w:rPr>
          <w:bCs/>
        </w:rPr>
        <w:t>that support the regulation.</w:t>
      </w:r>
      <w:r w:rsidRPr="00373C11">
        <w:rPr>
          <w:bCs/>
        </w:rPr>
        <w:t xml:space="preserve">” </w:t>
      </w:r>
      <w:r w:rsidRPr="00373C11">
        <w:rPr>
          <w:bCs/>
        </w:rPr>
        <w:t xml:space="preserve"> </w:t>
      </w:r>
      <w:r w:rsidRPr="00373C11">
        <w:rPr>
          <w:bCs/>
        </w:rPr>
        <w:t>(</w:t>
      </w:r>
      <w:bookmarkStart w:id="34" w:name="dabmci_24c0459751764313bb21fc44e2d0490d"/>
      <w:r w:rsidRPr="00373C11">
        <w:rPr>
          <w:bCs/>
          <w:i/>
          <w:iCs/>
        </w:rPr>
        <w:t>Western States Petroleum</w:t>
      </w:r>
      <w:r w:rsidRPr="00373C11">
        <w:rPr>
          <w:bCs/>
          <w:i/>
          <w:iCs/>
        </w:rPr>
        <w:t xml:space="preserve"> </w:t>
      </w:r>
      <w:r w:rsidRPr="00373C11">
        <w:rPr>
          <w:i/>
          <w:iCs/>
          <w:lang w:val="en"/>
        </w:rPr>
        <w:t xml:space="preserve">v. </w:t>
      </w:r>
      <w:r w:rsidRPr="00373C11">
        <w:rPr>
          <w:i/>
          <w:iCs/>
          <w:lang w:val="en"/>
        </w:rPr>
        <w:t xml:space="preserve">State </w:t>
      </w:r>
      <w:r w:rsidRPr="00373C11">
        <w:rPr>
          <w:i/>
          <w:iCs/>
          <w:lang w:val="en"/>
        </w:rPr>
        <w:t>Dept. of Health Services</w:t>
      </w:r>
      <w:r w:rsidRPr="00373C11">
        <w:rPr>
          <w:bCs/>
        </w:rPr>
        <w:t xml:space="preserve">, </w:t>
      </w:r>
      <w:r w:rsidRPr="00373C11">
        <w:rPr>
          <w:bCs/>
          <w:i/>
          <w:iCs/>
        </w:rPr>
        <w:t>supra</w:t>
      </w:r>
      <w:r w:rsidRPr="00373C11">
        <w:rPr>
          <w:bCs/>
        </w:rPr>
        <w:t xml:space="preserve">, 99 Cal.App.4th </w:t>
      </w:r>
      <w:r w:rsidRPr="00373C11">
        <w:rPr>
          <w:bCs/>
        </w:rPr>
        <w:t>at</w:t>
      </w:r>
      <w:r w:rsidRPr="00373C11">
        <w:rPr>
          <w:bCs/>
        </w:rPr>
        <w:t xml:space="preserve"> 1007</w:t>
      </w:r>
      <w:bookmarkEnd w:id="34"/>
      <w:r w:rsidRPr="00373C11">
        <w:rPr>
          <w:bCs/>
        </w:rPr>
        <w:t xml:space="preserve">.)  </w:t>
      </w:r>
      <w:r w:rsidRPr="00373C11">
        <w:rPr>
          <w:bCs/>
        </w:rPr>
        <w:t xml:space="preserve">In short, the regulation does not lack scientific foundation. </w:t>
      </w:r>
    </w:p>
    <w:p w14:paraId="4A342AA8" w14:textId="77777777" w:rsidR="00A10C8E" w:rsidRPr="00373C11" w:rsidRDefault="00C25CF2" w:rsidP="00E81151">
      <w:pPr>
        <w:autoSpaceDE w:val="0"/>
        <w:autoSpaceDN w:val="0"/>
        <w:adjustRightInd w:val="0"/>
        <w:spacing w:line="288" w:lineRule="auto"/>
        <w:ind w:firstLine="0"/>
        <w:rPr>
          <w:bCs/>
        </w:rPr>
      </w:pPr>
    </w:p>
    <w:p w14:paraId="4E5551B6" w14:textId="77777777" w:rsidR="00A959DC" w:rsidRPr="00373C11" w:rsidRDefault="00C25CF2" w:rsidP="00E81151">
      <w:pPr>
        <w:keepNext/>
        <w:numPr>
          <w:ilvl w:val="2"/>
          <w:numId w:val="3"/>
        </w:numPr>
        <w:tabs>
          <w:tab w:val="left" w:pos="1080"/>
          <w:tab w:val="left" w:pos="2340"/>
        </w:tabs>
        <w:spacing w:after="120" w:line="288" w:lineRule="auto"/>
        <w:outlineLvl w:val="3"/>
        <w:rPr>
          <w:bCs/>
        </w:rPr>
      </w:pPr>
      <w:r w:rsidRPr="00373C11">
        <w:rPr>
          <w:bCs/>
        </w:rPr>
        <w:t>Claims Regarding</w:t>
      </w:r>
      <w:r w:rsidRPr="00373C11">
        <w:rPr>
          <w:bCs/>
        </w:rPr>
        <w:t xml:space="preserve"> </w:t>
      </w:r>
      <w:r w:rsidRPr="00373C11">
        <w:rPr>
          <w:bCs/>
        </w:rPr>
        <w:t>Acrylamide from Additives A</w:t>
      </w:r>
      <w:r w:rsidRPr="00373C11">
        <w:rPr>
          <w:bCs/>
        </w:rPr>
        <w:t>re Beyond the Scope of CERT’s Action</w:t>
      </w:r>
      <w:r w:rsidRPr="00373C11">
        <w:rPr>
          <w:bCs/>
        </w:rPr>
        <w:t>s</w:t>
      </w:r>
    </w:p>
    <w:p w14:paraId="3A2C956C" w14:textId="77777777" w:rsidR="00664C46" w:rsidRPr="00373C11" w:rsidRDefault="00C25CF2" w:rsidP="00E81151">
      <w:pPr>
        <w:pStyle w:val="ListParagraph"/>
        <w:autoSpaceDE w:val="0"/>
        <w:autoSpaceDN w:val="0"/>
        <w:adjustRightInd w:val="0"/>
        <w:spacing w:line="288" w:lineRule="auto"/>
        <w:ind w:left="90"/>
        <w:rPr>
          <w:lang w:val="en"/>
        </w:rPr>
      </w:pPr>
      <w:r w:rsidRPr="00373C11">
        <w:rPr>
          <w:lang w:val="en"/>
        </w:rPr>
        <w:t>CERT</w:t>
      </w:r>
      <w:r w:rsidRPr="00373C11">
        <w:rPr>
          <w:lang w:val="en"/>
        </w:rPr>
        <w:t>’s</w:t>
      </w:r>
      <w:r w:rsidRPr="00373C11">
        <w:rPr>
          <w:lang w:val="en"/>
        </w:rPr>
        <w:t xml:space="preserve"> </w:t>
      </w:r>
      <w:r w:rsidRPr="00373C11">
        <w:rPr>
          <w:lang w:val="en"/>
        </w:rPr>
        <w:t xml:space="preserve">claims regarding acrylamide formed by </w:t>
      </w:r>
      <w:r w:rsidRPr="00373C11">
        <w:rPr>
          <w:lang w:val="en"/>
        </w:rPr>
        <w:t>the</w:t>
      </w:r>
      <w:r w:rsidRPr="00373C11">
        <w:rPr>
          <w:lang w:val="en"/>
        </w:rPr>
        <w:t xml:space="preserve"> roasting </w:t>
      </w:r>
      <w:r w:rsidRPr="00373C11">
        <w:rPr>
          <w:lang w:val="en"/>
        </w:rPr>
        <w:t xml:space="preserve">of </w:t>
      </w:r>
      <w:r w:rsidRPr="00373C11">
        <w:rPr>
          <w:lang w:val="en"/>
        </w:rPr>
        <w:t>plant roots, nuts, and seeds</w:t>
      </w:r>
      <w:r w:rsidRPr="00373C11">
        <w:rPr>
          <w:lang w:val="en"/>
        </w:rPr>
        <w:t xml:space="preserve"> added to coffee </w:t>
      </w:r>
      <w:r w:rsidRPr="00373C11">
        <w:rPr>
          <w:lang w:val="en"/>
        </w:rPr>
        <w:t xml:space="preserve">-- which are not addressed by the </w:t>
      </w:r>
      <w:r w:rsidRPr="00373C11">
        <w:rPr>
          <w:lang w:val="en"/>
        </w:rPr>
        <w:t>C</w:t>
      </w:r>
      <w:r w:rsidRPr="00373C11">
        <w:rPr>
          <w:lang w:val="en"/>
        </w:rPr>
        <w:t xml:space="preserve">offee </w:t>
      </w:r>
      <w:r w:rsidRPr="00373C11">
        <w:rPr>
          <w:lang w:val="en"/>
        </w:rPr>
        <w:t>R</w:t>
      </w:r>
      <w:r w:rsidRPr="00373C11">
        <w:rPr>
          <w:lang w:val="en"/>
        </w:rPr>
        <w:t xml:space="preserve">egulation -- </w:t>
      </w:r>
      <w:r w:rsidRPr="00373C11">
        <w:rPr>
          <w:lang w:val="en"/>
        </w:rPr>
        <w:t>exceed</w:t>
      </w:r>
      <w:r w:rsidRPr="00373C11">
        <w:rPr>
          <w:lang w:val="en"/>
        </w:rPr>
        <w:t>ed</w:t>
      </w:r>
      <w:r w:rsidRPr="00373C11">
        <w:rPr>
          <w:lang w:val="en"/>
        </w:rPr>
        <w:t xml:space="preserve"> the scope of </w:t>
      </w:r>
      <w:r w:rsidRPr="00373C11">
        <w:rPr>
          <w:lang w:val="en"/>
        </w:rPr>
        <w:t>CERT’s</w:t>
      </w:r>
      <w:r w:rsidRPr="00373C11">
        <w:rPr>
          <w:lang w:val="en"/>
        </w:rPr>
        <w:t xml:space="preserve"> action</w:t>
      </w:r>
      <w:r w:rsidRPr="00373C11">
        <w:rPr>
          <w:lang w:val="en"/>
        </w:rPr>
        <w:t>s</w:t>
      </w:r>
      <w:r w:rsidRPr="00373C11">
        <w:rPr>
          <w:lang w:val="en"/>
        </w:rPr>
        <w:t xml:space="preserve">, </w:t>
      </w:r>
      <w:r w:rsidRPr="00373C11">
        <w:rPr>
          <w:lang w:val="en"/>
        </w:rPr>
        <w:t xml:space="preserve">as </w:t>
      </w:r>
      <w:r w:rsidRPr="00373C11">
        <w:rPr>
          <w:lang w:val="en"/>
        </w:rPr>
        <w:t>delineated</w:t>
      </w:r>
      <w:r w:rsidRPr="00373C11">
        <w:rPr>
          <w:lang w:val="en"/>
        </w:rPr>
        <w:t xml:space="preserve"> </w:t>
      </w:r>
      <w:r w:rsidRPr="00373C11">
        <w:rPr>
          <w:lang w:val="en"/>
        </w:rPr>
        <w:t xml:space="preserve">by its pre-suit notices.  These claims </w:t>
      </w:r>
      <w:r w:rsidRPr="00373C11">
        <w:rPr>
          <w:lang w:val="en"/>
        </w:rPr>
        <w:t xml:space="preserve">therefore did not preclude summary judgment. </w:t>
      </w:r>
      <w:r w:rsidRPr="00373C11">
        <w:rPr>
          <w:lang w:val="en"/>
        </w:rPr>
        <w:t xml:space="preserve"> </w:t>
      </w:r>
    </w:p>
    <w:p w14:paraId="5B6D3610" w14:textId="77777777" w:rsidR="00C629CC" w:rsidRPr="00373C11" w:rsidRDefault="00C25CF2" w:rsidP="00E81151">
      <w:pPr>
        <w:pStyle w:val="ListParagraph"/>
        <w:autoSpaceDE w:val="0"/>
        <w:autoSpaceDN w:val="0"/>
        <w:adjustRightInd w:val="0"/>
        <w:spacing w:line="288" w:lineRule="auto"/>
        <w:ind w:left="90"/>
      </w:pPr>
      <w:r w:rsidRPr="00373C11">
        <w:rPr>
          <w:lang w:val="en"/>
        </w:rPr>
        <w:t xml:space="preserve">Before bringing a Prop. 65 action </w:t>
      </w:r>
      <w:r w:rsidRPr="00373C11">
        <w:rPr>
          <w:lang w:val="en"/>
        </w:rPr>
        <w:t>in</w:t>
      </w:r>
      <w:r w:rsidRPr="00373C11">
        <w:rPr>
          <w:lang w:val="en"/>
        </w:rPr>
        <w:t xml:space="preserve"> the public interest, a private plaintiff must provide a pre-suit notice contain</w:t>
      </w:r>
      <w:r w:rsidRPr="00373C11">
        <w:rPr>
          <w:lang w:val="en"/>
        </w:rPr>
        <w:t>ing</w:t>
      </w:r>
      <w:r w:rsidRPr="00373C11">
        <w:rPr>
          <w:lang w:val="en"/>
        </w:rPr>
        <w:t xml:space="preserve"> sufficient information </w:t>
      </w:r>
      <w:r w:rsidRPr="00373C11">
        <w:rPr>
          <w:lang w:val="en"/>
        </w:rPr>
        <w:t>about</w:t>
      </w:r>
      <w:r w:rsidRPr="00373C11">
        <w:rPr>
          <w:lang w:val="en"/>
        </w:rPr>
        <w:t xml:space="preserve"> the claim to (1) the Attorney General and other public prosecutors, to allow them to adequately investigate</w:t>
      </w:r>
      <w:r w:rsidRPr="00373C11">
        <w:rPr>
          <w:lang w:val="en"/>
        </w:rPr>
        <w:t xml:space="preserve"> the claim’s basis, and (2) the alleged violator, to allow it an opportunity to cure the </w:t>
      </w:r>
      <w:r w:rsidRPr="00373C11">
        <w:rPr>
          <w:lang w:val="en"/>
        </w:rPr>
        <w:lastRenderedPageBreak/>
        <w:t>violation.  (</w:t>
      </w:r>
      <w:r w:rsidRPr="00373C11">
        <w:rPr>
          <w:lang w:val="en"/>
        </w:rPr>
        <w:t xml:space="preserve">See </w:t>
      </w:r>
      <w:r w:rsidRPr="00373C11">
        <w:rPr>
          <w:lang w:val="en"/>
        </w:rPr>
        <w:t xml:space="preserve">Health &amp; Saf. Code, </w:t>
      </w:r>
      <w:r w:rsidRPr="00373C11">
        <w:rPr>
          <w:lang w:val="en"/>
        </w:rPr>
        <w:t xml:space="preserve">§ 25249.7, subd. (d); </w:t>
      </w:r>
      <w:bookmarkStart w:id="35" w:name="dabmci_3f38c89be4b2485c9b91f64e0f95e6f5"/>
      <w:r w:rsidRPr="00373C11">
        <w:rPr>
          <w:i/>
          <w:iCs/>
          <w:lang w:val="en"/>
        </w:rPr>
        <w:t>Consumer Advocacy Group, Inc. v. Kintetsu Enterprises of America</w:t>
      </w:r>
      <w:r w:rsidRPr="00373C11">
        <w:rPr>
          <w:lang w:val="en"/>
        </w:rPr>
        <w:t xml:space="preserve"> (2007) 150 Cal.App.4th 953, 960-961</w:t>
      </w:r>
      <w:r w:rsidRPr="00373C11">
        <w:rPr>
          <w:lang w:val="en"/>
        </w:rPr>
        <w:t xml:space="preserve"> (</w:t>
      </w:r>
      <w:r w:rsidRPr="00373C11">
        <w:rPr>
          <w:i/>
          <w:iCs/>
          <w:lang w:val="en"/>
        </w:rPr>
        <w:t>Consum</w:t>
      </w:r>
      <w:r w:rsidRPr="00373C11">
        <w:rPr>
          <w:i/>
          <w:iCs/>
          <w:lang w:val="en"/>
        </w:rPr>
        <w:t>er Advocacy Group</w:t>
      </w:r>
      <w:r w:rsidRPr="00373C11">
        <w:rPr>
          <w:lang w:val="en"/>
        </w:rPr>
        <w:t>)</w:t>
      </w:r>
      <w:bookmarkEnd w:id="35"/>
      <w:r w:rsidRPr="00373C11">
        <w:rPr>
          <w:lang w:val="en"/>
        </w:rPr>
        <w:t xml:space="preserve">.)  This pre-suit notice must </w:t>
      </w:r>
      <w:r w:rsidRPr="00373C11">
        <w:rPr>
          <w:lang w:val="en"/>
        </w:rPr>
        <w:t>describe, among other things,</w:t>
      </w:r>
      <w:r w:rsidRPr="00373C11">
        <w:rPr>
          <w:lang w:val="en"/>
        </w:rPr>
        <w:t xml:space="preserve"> “the specific type of consumer product . . . with sufficient specificity to inform the recipients of the nature of the items allegedly sold in violation of the law and to disting</w:t>
      </w:r>
      <w:r w:rsidRPr="00373C11">
        <w:rPr>
          <w:lang w:val="en"/>
        </w:rPr>
        <w:t>uish those products . . . from others sold . . . .”  (</w:t>
      </w:r>
      <w:bookmarkStart w:id="36" w:name="dabmci_c2c8d5107c2b4cae9f8038a1867d56be"/>
      <w:r w:rsidRPr="00373C11">
        <w:rPr>
          <w:lang w:val="en"/>
        </w:rPr>
        <w:t>Cal. Code Regs., tit. 27, § 25903, subd. (b)(2)(D)</w:t>
      </w:r>
      <w:bookmarkEnd w:id="36"/>
      <w:r w:rsidRPr="00373C11">
        <w:rPr>
          <w:lang w:val="en"/>
        </w:rPr>
        <w:t xml:space="preserve">.)  </w:t>
      </w:r>
      <w:r w:rsidRPr="00373C11">
        <w:t>Failure to compl</w:t>
      </w:r>
      <w:r w:rsidRPr="00373C11">
        <w:t>y</w:t>
      </w:r>
      <w:r w:rsidRPr="00373C11">
        <w:t xml:space="preserve"> with </w:t>
      </w:r>
      <w:r w:rsidRPr="00373C11">
        <w:t>pre-suit notice</w:t>
      </w:r>
      <w:r w:rsidRPr="00373C11">
        <w:t xml:space="preserve"> requirements </w:t>
      </w:r>
      <w:r w:rsidRPr="00373C11">
        <w:t>is</w:t>
      </w:r>
      <w:r w:rsidRPr="00373C11">
        <w:t xml:space="preserve"> ground</w:t>
      </w:r>
      <w:r w:rsidRPr="00373C11">
        <w:t>s</w:t>
      </w:r>
      <w:r w:rsidRPr="00373C11">
        <w:t xml:space="preserve"> for dismissal, and deficiencies cannot be cured after the complaint is filed. </w:t>
      </w:r>
      <w:r w:rsidRPr="00373C11">
        <w:t xml:space="preserve"> </w:t>
      </w:r>
      <w:r w:rsidRPr="00373C11">
        <w:t>(</w:t>
      </w:r>
      <w:r w:rsidRPr="00373C11">
        <w:t xml:space="preserve">See </w:t>
      </w:r>
      <w:bookmarkStart w:id="37" w:name="dabmci_eefc163bd22a43209ec37982d21fd257"/>
      <w:r w:rsidRPr="00373C11">
        <w:rPr>
          <w:i/>
          <w:iCs/>
        </w:rPr>
        <w:t>Physicians Com</w:t>
      </w:r>
      <w:r w:rsidRPr="00373C11">
        <w:rPr>
          <w:i/>
          <w:iCs/>
        </w:rPr>
        <w:t>mittee</w:t>
      </w:r>
      <w:r w:rsidRPr="00373C11">
        <w:rPr>
          <w:i/>
          <w:iCs/>
        </w:rPr>
        <w:t xml:space="preserve"> for Responsible Medicine v. </w:t>
      </w:r>
      <w:r w:rsidRPr="00373C11">
        <w:rPr>
          <w:i/>
          <w:iCs/>
        </w:rPr>
        <w:t xml:space="preserve">KFC </w:t>
      </w:r>
      <w:r w:rsidRPr="00373C11">
        <w:rPr>
          <w:i/>
          <w:iCs/>
        </w:rPr>
        <w:t>Corp.</w:t>
      </w:r>
      <w:r w:rsidRPr="00373C11">
        <w:t xml:space="preserve"> (2014) 224 Cal.App.4th 166, 18</w:t>
      </w:r>
      <w:r w:rsidRPr="00373C11">
        <w:t>1</w:t>
      </w:r>
      <w:r w:rsidRPr="00373C11">
        <w:t xml:space="preserve"> (</w:t>
      </w:r>
      <w:r w:rsidRPr="00373C11">
        <w:rPr>
          <w:i/>
          <w:iCs/>
        </w:rPr>
        <w:t>Physicians Com.</w:t>
      </w:r>
      <w:r w:rsidRPr="00373C11">
        <w:t>)</w:t>
      </w:r>
      <w:bookmarkEnd w:id="37"/>
      <w:r w:rsidRPr="00373C11">
        <w:t>.)</w:t>
      </w:r>
      <w:r w:rsidRPr="00373C11">
        <w:t xml:space="preserve">  </w:t>
      </w:r>
    </w:p>
    <w:p w14:paraId="07BFD7E3" w14:textId="77777777" w:rsidR="00027980" w:rsidRPr="00373C11" w:rsidRDefault="00C25CF2" w:rsidP="00E81151">
      <w:pPr>
        <w:pStyle w:val="ListParagraph"/>
        <w:autoSpaceDE w:val="0"/>
        <w:autoSpaceDN w:val="0"/>
        <w:adjustRightInd w:val="0"/>
        <w:spacing w:line="288" w:lineRule="auto"/>
        <w:ind w:left="90"/>
        <w:rPr>
          <w:lang w:val="en"/>
        </w:rPr>
      </w:pPr>
      <w:r w:rsidRPr="00373C11">
        <w:rPr>
          <w:lang w:val="en"/>
        </w:rPr>
        <w:t>It is undisputed that CERT’s pre-suit notices</w:t>
      </w:r>
      <w:r w:rsidRPr="00373C11">
        <w:rPr>
          <w:lang w:val="en"/>
        </w:rPr>
        <w:t xml:space="preserve"> failed to distinguish </w:t>
      </w:r>
      <w:r w:rsidRPr="00373C11">
        <w:rPr>
          <w:lang w:val="en"/>
        </w:rPr>
        <w:t xml:space="preserve">regular </w:t>
      </w:r>
      <w:r w:rsidRPr="00373C11">
        <w:rPr>
          <w:lang w:val="en"/>
        </w:rPr>
        <w:t xml:space="preserve">coffee </w:t>
      </w:r>
      <w:r w:rsidRPr="00373C11">
        <w:rPr>
          <w:lang w:val="en"/>
        </w:rPr>
        <w:t xml:space="preserve">from </w:t>
      </w:r>
      <w:r w:rsidRPr="00373C11">
        <w:rPr>
          <w:lang w:val="en"/>
        </w:rPr>
        <w:t xml:space="preserve">a subset of </w:t>
      </w:r>
      <w:r w:rsidRPr="00373C11">
        <w:rPr>
          <w:lang w:val="en"/>
        </w:rPr>
        <w:t xml:space="preserve">coffee with additives from </w:t>
      </w:r>
      <w:r w:rsidRPr="00373C11">
        <w:rPr>
          <w:lang w:val="en"/>
        </w:rPr>
        <w:t>plant roots, nut</w:t>
      </w:r>
      <w:r w:rsidRPr="00373C11">
        <w:rPr>
          <w:lang w:val="en"/>
        </w:rPr>
        <w:t>s, or seeds</w:t>
      </w:r>
      <w:r w:rsidRPr="00373C11">
        <w:rPr>
          <w:lang w:val="en"/>
        </w:rPr>
        <w:t>, and made no mention of acrylamide from such additives</w:t>
      </w:r>
      <w:r w:rsidRPr="00373C11">
        <w:rPr>
          <w:lang w:val="en"/>
        </w:rPr>
        <w:t xml:space="preserve"> as the basis of a</w:t>
      </w:r>
      <w:r w:rsidRPr="00373C11">
        <w:rPr>
          <w:lang w:val="en"/>
        </w:rPr>
        <w:t>ny</w:t>
      </w:r>
      <w:r w:rsidRPr="00373C11">
        <w:rPr>
          <w:lang w:val="en"/>
        </w:rPr>
        <w:t xml:space="preserve"> violation.</w:t>
      </w:r>
      <w:r w:rsidRPr="00373C11">
        <w:rPr>
          <w:lang w:val="en"/>
        </w:rPr>
        <w:t xml:space="preserve"> </w:t>
      </w:r>
      <w:r w:rsidRPr="00373C11">
        <w:rPr>
          <w:lang w:val="en"/>
        </w:rPr>
        <w:t xml:space="preserve"> </w:t>
      </w:r>
      <w:r w:rsidRPr="00373C11">
        <w:rPr>
          <w:lang w:val="en"/>
        </w:rPr>
        <w:t xml:space="preserve">Indeed, </w:t>
      </w:r>
      <w:r w:rsidRPr="00373C11">
        <w:rPr>
          <w:lang w:val="en"/>
        </w:rPr>
        <w:t>CERT</w:t>
      </w:r>
      <w:r w:rsidRPr="00373C11">
        <w:rPr>
          <w:lang w:val="en"/>
        </w:rPr>
        <w:t xml:space="preserve"> alleged that “[e]xposures to acrylamide unavoidably occurred via ingestion </w:t>
      </w:r>
      <w:r w:rsidRPr="00373C11">
        <w:rPr>
          <w:i/>
          <w:iCs/>
          <w:lang w:val="en"/>
        </w:rPr>
        <w:t>whenever</w:t>
      </w:r>
      <w:r w:rsidRPr="00373C11">
        <w:rPr>
          <w:lang w:val="en"/>
        </w:rPr>
        <w:t xml:space="preserve"> a consumer purchased and thereafter consumed</w:t>
      </w:r>
      <w:r w:rsidRPr="00373C11">
        <w:rPr>
          <w:lang w:val="en"/>
        </w:rPr>
        <w:t>” the alleged vi</w:t>
      </w:r>
      <w:r w:rsidRPr="00373C11">
        <w:rPr>
          <w:lang w:val="en"/>
        </w:rPr>
        <w:t>olators’ “coffee” or</w:t>
      </w:r>
      <w:r w:rsidRPr="00373C11">
        <w:rPr>
          <w:lang w:val="en"/>
        </w:rPr>
        <w:t xml:space="preserve"> </w:t>
      </w:r>
      <w:r w:rsidRPr="00373C11">
        <w:rPr>
          <w:lang w:val="en"/>
        </w:rPr>
        <w:t>“</w:t>
      </w:r>
      <w:r w:rsidRPr="00373C11">
        <w:rPr>
          <w:lang w:val="en"/>
        </w:rPr>
        <w:t>ready</w:t>
      </w:r>
      <w:r w:rsidRPr="00373C11">
        <w:rPr>
          <w:lang w:val="en"/>
        </w:rPr>
        <w:t>-to-drink coffee</w:t>
      </w:r>
      <w:r w:rsidRPr="00373C11">
        <w:rPr>
          <w:lang w:val="en"/>
        </w:rPr>
        <w:t>.</w:t>
      </w:r>
      <w:r w:rsidRPr="00373C11">
        <w:rPr>
          <w:lang w:val="en"/>
        </w:rPr>
        <w:t>”</w:t>
      </w:r>
      <w:r w:rsidRPr="00373C11">
        <w:rPr>
          <w:lang w:val="en"/>
        </w:rPr>
        <w:t xml:space="preserve">  </w:t>
      </w:r>
      <w:r w:rsidRPr="00373C11">
        <w:rPr>
          <w:lang w:val="en"/>
        </w:rPr>
        <w:t>(</w:t>
      </w:r>
      <w:r w:rsidRPr="00373C11">
        <w:rPr>
          <w:lang w:val="en"/>
        </w:rPr>
        <w:t>Italics</w:t>
      </w:r>
      <w:r w:rsidRPr="00373C11">
        <w:rPr>
          <w:lang w:val="en"/>
        </w:rPr>
        <w:t xml:space="preserve"> added.)  </w:t>
      </w:r>
      <w:r w:rsidRPr="00373C11">
        <w:rPr>
          <w:lang w:val="en"/>
        </w:rPr>
        <w:t>This</w:t>
      </w:r>
      <w:r w:rsidRPr="00373C11">
        <w:rPr>
          <w:lang w:val="en"/>
        </w:rPr>
        <w:t xml:space="preserve"> description </w:t>
      </w:r>
      <w:r w:rsidRPr="00373C11">
        <w:rPr>
          <w:lang w:val="en"/>
        </w:rPr>
        <w:t>provided</w:t>
      </w:r>
      <w:r w:rsidRPr="00373C11">
        <w:rPr>
          <w:lang w:val="en"/>
        </w:rPr>
        <w:t xml:space="preserve"> no notice to </w:t>
      </w:r>
      <w:r w:rsidRPr="00373C11">
        <w:rPr>
          <w:lang w:val="en"/>
        </w:rPr>
        <w:t>respondents</w:t>
      </w:r>
      <w:r w:rsidRPr="00373C11">
        <w:rPr>
          <w:lang w:val="en"/>
        </w:rPr>
        <w:t xml:space="preserve"> or public prosecutors that CERT</w:t>
      </w:r>
      <w:r w:rsidRPr="00373C11">
        <w:rPr>
          <w:lang w:val="en"/>
        </w:rPr>
        <w:t>’s claim</w:t>
      </w:r>
      <w:r w:rsidRPr="00373C11">
        <w:rPr>
          <w:lang w:val="en"/>
        </w:rPr>
        <w:t xml:space="preserve"> </w:t>
      </w:r>
      <w:r w:rsidRPr="00373C11">
        <w:rPr>
          <w:lang w:val="en"/>
        </w:rPr>
        <w:t>targeted</w:t>
      </w:r>
      <w:r w:rsidRPr="00373C11">
        <w:rPr>
          <w:lang w:val="en"/>
        </w:rPr>
        <w:t xml:space="preserve"> </w:t>
      </w:r>
      <w:r w:rsidRPr="00373C11">
        <w:rPr>
          <w:lang w:val="en"/>
        </w:rPr>
        <w:t xml:space="preserve">a subset of products containing </w:t>
      </w:r>
      <w:r w:rsidRPr="00373C11">
        <w:rPr>
          <w:lang w:val="en"/>
        </w:rPr>
        <w:t>coffee additives</w:t>
      </w:r>
      <w:r w:rsidRPr="00373C11">
        <w:rPr>
          <w:lang w:val="en"/>
        </w:rPr>
        <w:t xml:space="preserve"> </w:t>
      </w:r>
      <w:r w:rsidRPr="00373C11">
        <w:rPr>
          <w:lang w:val="en"/>
        </w:rPr>
        <w:t>--</w:t>
      </w:r>
      <w:r w:rsidRPr="00373C11">
        <w:rPr>
          <w:lang w:val="en"/>
        </w:rPr>
        <w:t xml:space="preserve"> </w:t>
      </w:r>
      <w:r w:rsidRPr="00373C11">
        <w:rPr>
          <w:lang w:val="en"/>
        </w:rPr>
        <w:t xml:space="preserve">to which consumers were not </w:t>
      </w:r>
      <w:r w:rsidRPr="00373C11">
        <w:rPr>
          <w:lang w:val="en"/>
        </w:rPr>
        <w:t>exposed “whenever” they purchased respondents</w:t>
      </w:r>
      <w:r w:rsidRPr="00373C11">
        <w:rPr>
          <w:lang w:val="en"/>
        </w:rPr>
        <w:t>’</w:t>
      </w:r>
      <w:r w:rsidRPr="00373C11">
        <w:rPr>
          <w:lang w:val="en"/>
        </w:rPr>
        <w:t xml:space="preserve"> coffee </w:t>
      </w:r>
      <w:r w:rsidRPr="00373C11">
        <w:rPr>
          <w:lang w:val="en"/>
        </w:rPr>
        <w:t>--</w:t>
      </w:r>
      <w:r w:rsidRPr="00373C11">
        <w:rPr>
          <w:lang w:val="en"/>
        </w:rPr>
        <w:t xml:space="preserve"> </w:t>
      </w:r>
      <w:r w:rsidRPr="00373C11">
        <w:rPr>
          <w:lang w:val="en"/>
        </w:rPr>
        <w:t xml:space="preserve">and thus </w:t>
      </w:r>
      <w:r w:rsidRPr="00373C11">
        <w:rPr>
          <w:lang w:val="en"/>
        </w:rPr>
        <w:t xml:space="preserve">that they should investigate the existence </w:t>
      </w:r>
      <w:r w:rsidRPr="00373C11">
        <w:rPr>
          <w:lang w:val="en"/>
        </w:rPr>
        <w:t xml:space="preserve">and </w:t>
      </w:r>
      <w:r w:rsidRPr="00373C11">
        <w:rPr>
          <w:lang w:val="en"/>
        </w:rPr>
        <w:lastRenderedPageBreak/>
        <w:t>carcinogenicity</w:t>
      </w:r>
      <w:r w:rsidRPr="00373C11">
        <w:rPr>
          <w:lang w:val="en"/>
        </w:rPr>
        <w:t xml:space="preserve"> </w:t>
      </w:r>
      <w:r w:rsidRPr="00373C11">
        <w:rPr>
          <w:lang w:val="en"/>
        </w:rPr>
        <w:t xml:space="preserve">of acrylamide </w:t>
      </w:r>
      <w:r w:rsidRPr="00373C11">
        <w:rPr>
          <w:lang w:val="en"/>
        </w:rPr>
        <w:t>produced</w:t>
      </w:r>
      <w:r w:rsidRPr="00373C11">
        <w:rPr>
          <w:lang w:val="en"/>
        </w:rPr>
        <w:t xml:space="preserve"> from the </w:t>
      </w:r>
      <w:r w:rsidRPr="00373C11">
        <w:rPr>
          <w:lang w:val="en"/>
        </w:rPr>
        <w:t>roasting</w:t>
      </w:r>
      <w:r w:rsidRPr="00373C11">
        <w:rPr>
          <w:lang w:val="en"/>
        </w:rPr>
        <w:t xml:space="preserve"> </w:t>
      </w:r>
      <w:r w:rsidRPr="00373C11">
        <w:rPr>
          <w:lang w:val="en"/>
        </w:rPr>
        <w:t xml:space="preserve">of </w:t>
      </w:r>
      <w:r w:rsidRPr="00373C11">
        <w:rPr>
          <w:lang w:val="en"/>
        </w:rPr>
        <w:t xml:space="preserve">such </w:t>
      </w:r>
      <w:r w:rsidRPr="00373C11">
        <w:rPr>
          <w:lang w:val="en"/>
        </w:rPr>
        <w:t>additives.</w:t>
      </w:r>
    </w:p>
    <w:p w14:paraId="65C9CB4C" w14:textId="77777777" w:rsidR="00BF0607" w:rsidRPr="00373C11" w:rsidRDefault="00C25CF2" w:rsidP="00E81151">
      <w:pPr>
        <w:pStyle w:val="ListParagraph"/>
        <w:autoSpaceDE w:val="0"/>
        <w:autoSpaceDN w:val="0"/>
        <w:adjustRightInd w:val="0"/>
        <w:spacing w:line="288" w:lineRule="auto"/>
        <w:ind w:left="0"/>
        <w:rPr>
          <w:lang w:val="en"/>
        </w:rPr>
      </w:pPr>
      <w:r w:rsidRPr="00373C11">
        <w:rPr>
          <w:lang w:val="en"/>
        </w:rPr>
        <w:t>CERT argues: “</w:t>
      </w:r>
      <w:r w:rsidRPr="00373C11">
        <w:rPr>
          <w:lang w:val="en"/>
        </w:rPr>
        <w:t xml:space="preserve">whether or not acrylamide-containing additives were mentioned in CERT’s pre-suit notices of violations, </w:t>
      </w:r>
      <w:r w:rsidRPr="00373C11">
        <w:rPr>
          <w:lang w:val="en"/>
        </w:rPr>
        <w:t>. . .</w:t>
      </w:r>
      <w:r w:rsidRPr="00373C11">
        <w:rPr>
          <w:lang w:val="en"/>
        </w:rPr>
        <w:t xml:space="preserve"> acrylamide-containing additives became relevant to this case when </w:t>
      </w:r>
      <w:r w:rsidRPr="00373C11">
        <w:rPr>
          <w:lang w:val="en"/>
        </w:rPr>
        <w:t>[respondents]</w:t>
      </w:r>
      <w:r w:rsidRPr="00373C11">
        <w:rPr>
          <w:lang w:val="en"/>
        </w:rPr>
        <w:t xml:space="preserve"> were granted leave to amend their answers to assert the Coffee Reg</w:t>
      </w:r>
      <w:r w:rsidRPr="00373C11">
        <w:rPr>
          <w:lang w:val="en"/>
        </w:rPr>
        <w:t>ulation, because that regulation does not exempt from liability companies that expose Californians to acrylamide-containing additives.</w:t>
      </w:r>
      <w:r w:rsidRPr="00373C11">
        <w:rPr>
          <w:lang w:val="en"/>
        </w:rPr>
        <w:t xml:space="preserve">” </w:t>
      </w:r>
      <w:r w:rsidRPr="00373C11">
        <w:rPr>
          <w:lang w:val="en"/>
        </w:rPr>
        <w:t xml:space="preserve"> According to CERT, </w:t>
      </w:r>
      <w:r w:rsidRPr="00373C11">
        <w:rPr>
          <w:lang w:val="en"/>
        </w:rPr>
        <w:t xml:space="preserve">“to obtain summary judgment on their new defense, [respondents] were obliged to prove that defense </w:t>
      </w:r>
      <w:r w:rsidRPr="00373C11">
        <w:rPr>
          <w:i/>
          <w:iCs/>
          <w:lang w:val="en"/>
        </w:rPr>
        <w:t>a</w:t>
      </w:r>
      <w:r w:rsidRPr="00373C11">
        <w:rPr>
          <w:i/>
          <w:iCs/>
          <w:lang w:val="en"/>
        </w:rPr>
        <w:t>pplied</w:t>
      </w:r>
      <w:r w:rsidRPr="00373C11">
        <w:rPr>
          <w:lang w:val="en"/>
        </w:rPr>
        <w:t xml:space="preserve"> to their products</w:t>
      </w:r>
      <w:r w:rsidRPr="00373C11">
        <w:rPr>
          <w:lang w:val="en"/>
        </w:rPr>
        <w:t>,” and thus, respondents</w:t>
      </w:r>
      <w:r w:rsidRPr="00373C11">
        <w:rPr>
          <w:lang w:val="en"/>
        </w:rPr>
        <w:t xml:space="preserve"> </w:t>
      </w:r>
      <w:r w:rsidRPr="00373C11">
        <w:rPr>
          <w:lang w:val="en"/>
        </w:rPr>
        <w:t>“</w:t>
      </w:r>
      <w:r w:rsidRPr="00373C11">
        <w:rPr>
          <w:lang w:val="en"/>
        </w:rPr>
        <w:t>had to offer evidence that their coffee products did not contain any acrylamide-containing flavorings or other additives.</w:t>
      </w:r>
      <w:r w:rsidRPr="00373C11">
        <w:rPr>
          <w:lang w:val="en"/>
        </w:rPr>
        <w:t xml:space="preserve">” </w:t>
      </w:r>
      <w:r w:rsidRPr="00373C11">
        <w:rPr>
          <w:lang w:val="en"/>
        </w:rPr>
        <w:t xml:space="preserve"> </w:t>
      </w:r>
    </w:p>
    <w:p w14:paraId="0989066B" w14:textId="77777777" w:rsidR="00313BD8" w:rsidRPr="00373C11" w:rsidRDefault="00C25CF2" w:rsidP="00E81151">
      <w:pPr>
        <w:pStyle w:val="ListParagraph"/>
        <w:autoSpaceDE w:val="0"/>
        <w:autoSpaceDN w:val="0"/>
        <w:adjustRightInd w:val="0"/>
        <w:spacing w:line="288" w:lineRule="auto"/>
        <w:ind w:left="0"/>
      </w:pPr>
      <w:r w:rsidRPr="00373C11">
        <w:rPr>
          <w:lang w:val="en"/>
        </w:rPr>
        <w:t xml:space="preserve">CERT’s argument </w:t>
      </w:r>
      <w:r w:rsidRPr="00373C11">
        <w:rPr>
          <w:lang w:val="en"/>
        </w:rPr>
        <w:t>ignores</w:t>
      </w:r>
      <w:r w:rsidRPr="00373C11">
        <w:rPr>
          <w:lang w:val="en"/>
        </w:rPr>
        <w:t xml:space="preserve"> </w:t>
      </w:r>
      <w:r w:rsidRPr="00373C11">
        <w:rPr>
          <w:lang w:val="en"/>
        </w:rPr>
        <w:t xml:space="preserve">its pre-suit </w:t>
      </w:r>
      <w:r w:rsidRPr="00373C11">
        <w:rPr>
          <w:lang w:val="en"/>
        </w:rPr>
        <w:t xml:space="preserve">notice </w:t>
      </w:r>
      <w:r w:rsidRPr="00373C11">
        <w:rPr>
          <w:lang w:val="en"/>
        </w:rPr>
        <w:t>obligations</w:t>
      </w:r>
      <w:r w:rsidRPr="00373C11">
        <w:rPr>
          <w:lang w:val="en"/>
        </w:rPr>
        <w:t xml:space="preserve">.  </w:t>
      </w:r>
      <w:r w:rsidRPr="00373C11">
        <w:rPr>
          <w:lang w:val="en"/>
        </w:rPr>
        <w:t xml:space="preserve">As noted, </w:t>
      </w:r>
      <w:r w:rsidRPr="00373C11">
        <w:rPr>
          <w:lang w:val="en"/>
        </w:rPr>
        <w:t xml:space="preserve">to </w:t>
      </w:r>
      <w:r w:rsidRPr="00373C11">
        <w:rPr>
          <w:lang w:val="en"/>
        </w:rPr>
        <w:t xml:space="preserve">allow alleged violators and public prosecutors </w:t>
      </w:r>
      <w:r w:rsidRPr="00373C11">
        <w:rPr>
          <w:lang w:val="en"/>
        </w:rPr>
        <w:t>to investigate claims</w:t>
      </w:r>
      <w:r w:rsidRPr="00373C11">
        <w:rPr>
          <w:lang w:val="en"/>
        </w:rPr>
        <w:t>, pre-suit n</w:t>
      </w:r>
      <w:r w:rsidRPr="00373C11">
        <w:rPr>
          <w:lang w:val="en"/>
        </w:rPr>
        <w:t xml:space="preserve">otices must </w:t>
      </w:r>
      <w:r w:rsidRPr="00373C11">
        <w:rPr>
          <w:lang w:val="en"/>
        </w:rPr>
        <w:t>identify</w:t>
      </w:r>
      <w:r w:rsidRPr="00373C11">
        <w:rPr>
          <w:lang w:val="en"/>
        </w:rPr>
        <w:t xml:space="preserve"> </w:t>
      </w:r>
      <w:r w:rsidRPr="00373C11">
        <w:rPr>
          <w:lang w:val="en"/>
        </w:rPr>
        <w:t>the specific type of consumer product</w:t>
      </w:r>
      <w:r w:rsidRPr="00373C11">
        <w:rPr>
          <w:lang w:val="en"/>
        </w:rPr>
        <w:t>,</w:t>
      </w:r>
      <w:r w:rsidRPr="00373C11">
        <w:rPr>
          <w:lang w:val="en"/>
        </w:rPr>
        <w:t xml:space="preserve"> with sufficient specificity to</w:t>
      </w:r>
      <w:r w:rsidRPr="00373C11">
        <w:rPr>
          <w:lang w:val="en"/>
        </w:rPr>
        <w:t xml:space="preserve"> </w:t>
      </w:r>
      <w:r w:rsidRPr="00373C11">
        <w:rPr>
          <w:lang w:val="en"/>
        </w:rPr>
        <w:t xml:space="preserve">distinguish </w:t>
      </w:r>
      <w:r w:rsidRPr="00373C11">
        <w:rPr>
          <w:lang w:val="en"/>
        </w:rPr>
        <w:t>it</w:t>
      </w:r>
      <w:r w:rsidRPr="00373C11">
        <w:rPr>
          <w:lang w:val="en"/>
        </w:rPr>
        <w:t xml:space="preserve"> from others</w:t>
      </w:r>
      <w:r w:rsidRPr="00373C11">
        <w:rPr>
          <w:lang w:val="en"/>
        </w:rPr>
        <w:t>.  (</w:t>
      </w:r>
      <w:r w:rsidRPr="00373C11">
        <w:rPr>
          <w:lang w:val="en"/>
        </w:rPr>
        <w:t xml:space="preserve">See </w:t>
      </w:r>
      <w:bookmarkStart w:id="38" w:name="dabmci_2b0dd5a01b7b44e6bd8b51282101f152"/>
      <w:r w:rsidRPr="00373C11">
        <w:rPr>
          <w:lang w:val="en"/>
        </w:rPr>
        <w:t>Cal. Code Regs., tit. 27, § 25903, subd. (b)(2)(D)</w:t>
      </w:r>
      <w:bookmarkEnd w:id="38"/>
      <w:r w:rsidRPr="00373C11">
        <w:rPr>
          <w:lang w:val="en"/>
        </w:rPr>
        <w:t>;</w:t>
      </w:r>
      <w:r w:rsidRPr="00373C11">
        <w:rPr>
          <w:lang w:val="en"/>
        </w:rPr>
        <w:t xml:space="preserve"> </w:t>
      </w:r>
      <w:bookmarkStart w:id="39" w:name="dabmci_c53fb4e6868a4426809dfc5661d33ab1"/>
      <w:r w:rsidRPr="00373C11">
        <w:rPr>
          <w:i/>
          <w:iCs/>
          <w:lang w:val="en"/>
        </w:rPr>
        <w:t>Consumer Advocacy Group</w:t>
      </w:r>
      <w:r w:rsidRPr="00373C11">
        <w:rPr>
          <w:lang w:val="en"/>
        </w:rPr>
        <w:t>,</w:t>
      </w:r>
      <w:r w:rsidRPr="00373C11">
        <w:rPr>
          <w:i/>
          <w:iCs/>
          <w:lang w:val="en"/>
        </w:rPr>
        <w:t xml:space="preserve"> supra</w:t>
      </w:r>
      <w:r w:rsidRPr="00373C11">
        <w:rPr>
          <w:lang w:val="en"/>
        </w:rPr>
        <w:t>, 150 Cal.App.4th at 960-961</w:t>
      </w:r>
      <w:bookmarkEnd w:id="39"/>
      <w:r w:rsidRPr="00373C11">
        <w:rPr>
          <w:lang w:val="en"/>
        </w:rPr>
        <w:t xml:space="preserve">.)  </w:t>
      </w:r>
      <w:r w:rsidRPr="00373C11">
        <w:rPr>
          <w:lang w:val="en"/>
        </w:rPr>
        <w:t>That respondents’ defense preclude</w:t>
      </w:r>
      <w:r w:rsidRPr="00373C11">
        <w:rPr>
          <w:lang w:val="en"/>
        </w:rPr>
        <w:t>d</w:t>
      </w:r>
      <w:r w:rsidRPr="00373C11">
        <w:rPr>
          <w:lang w:val="en"/>
        </w:rPr>
        <w:t xml:space="preserve"> liability </w:t>
      </w:r>
      <w:r w:rsidRPr="00373C11">
        <w:rPr>
          <w:lang w:val="en"/>
        </w:rPr>
        <w:t>based on the broad</w:t>
      </w:r>
      <w:r w:rsidRPr="00373C11">
        <w:rPr>
          <w:lang w:val="en"/>
        </w:rPr>
        <w:t xml:space="preserve"> </w:t>
      </w:r>
      <w:r w:rsidRPr="00373C11">
        <w:rPr>
          <w:lang w:val="en"/>
        </w:rPr>
        <w:t xml:space="preserve">category CERT identified </w:t>
      </w:r>
      <w:r w:rsidRPr="00373C11">
        <w:rPr>
          <w:lang w:val="en"/>
        </w:rPr>
        <w:t xml:space="preserve">in its notices </w:t>
      </w:r>
      <w:r w:rsidRPr="00373C11">
        <w:rPr>
          <w:lang w:val="en"/>
        </w:rPr>
        <w:t xml:space="preserve">does not excuse </w:t>
      </w:r>
      <w:r w:rsidRPr="00373C11">
        <w:rPr>
          <w:lang w:val="en"/>
        </w:rPr>
        <w:t xml:space="preserve">CERT from complying with </w:t>
      </w:r>
      <w:r w:rsidRPr="00373C11">
        <w:rPr>
          <w:lang w:val="en"/>
        </w:rPr>
        <w:t>this requirement</w:t>
      </w:r>
      <w:r w:rsidRPr="00373C11">
        <w:rPr>
          <w:lang w:val="en"/>
        </w:rPr>
        <w:t>.  U</w:t>
      </w:r>
      <w:r w:rsidRPr="00373C11">
        <w:rPr>
          <w:lang w:val="en"/>
        </w:rPr>
        <w:t>nder CERT’s approach, priva</w:t>
      </w:r>
      <w:r w:rsidRPr="00373C11">
        <w:rPr>
          <w:lang w:val="en"/>
        </w:rPr>
        <w:t>te plaintiffs would be able to cast a wide net</w:t>
      </w:r>
      <w:r w:rsidRPr="00373C11">
        <w:rPr>
          <w:lang w:val="en"/>
        </w:rPr>
        <w:t>,</w:t>
      </w:r>
      <w:r w:rsidRPr="00373C11">
        <w:rPr>
          <w:lang w:val="en"/>
        </w:rPr>
        <w:t xml:space="preserve"> identify</w:t>
      </w:r>
      <w:r w:rsidRPr="00373C11">
        <w:rPr>
          <w:lang w:val="en"/>
        </w:rPr>
        <w:t>ing</w:t>
      </w:r>
      <w:r w:rsidRPr="00373C11">
        <w:rPr>
          <w:lang w:val="en"/>
        </w:rPr>
        <w:t xml:space="preserve"> vast categor</w:t>
      </w:r>
      <w:r w:rsidRPr="00373C11">
        <w:rPr>
          <w:lang w:val="en"/>
        </w:rPr>
        <w:t>ies</w:t>
      </w:r>
      <w:r w:rsidRPr="00373C11">
        <w:rPr>
          <w:lang w:val="en"/>
        </w:rPr>
        <w:t xml:space="preserve"> of products </w:t>
      </w:r>
      <w:r w:rsidRPr="00373C11">
        <w:rPr>
          <w:lang w:val="en"/>
        </w:rPr>
        <w:t xml:space="preserve">in hopes of catching </w:t>
      </w:r>
      <w:r w:rsidRPr="00373C11">
        <w:rPr>
          <w:i/>
          <w:iCs/>
          <w:lang w:val="en"/>
        </w:rPr>
        <w:t>something</w:t>
      </w:r>
      <w:r w:rsidRPr="00373C11">
        <w:rPr>
          <w:lang w:val="en"/>
        </w:rPr>
        <w:t xml:space="preserve"> that would support a violation, </w:t>
      </w:r>
      <w:r w:rsidRPr="00373C11">
        <w:rPr>
          <w:lang w:val="en"/>
        </w:rPr>
        <w:t xml:space="preserve">and </w:t>
      </w:r>
      <w:r w:rsidRPr="00373C11">
        <w:rPr>
          <w:lang w:val="en"/>
        </w:rPr>
        <w:lastRenderedPageBreak/>
        <w:t xml:space="preserve">adjusting their claims according </w:t>
      </w:r>
      <w:r w:rsidRPr="00373C11">
        <w:rPr>
          <w:lang w:val="en"/>
        </w:rPr>
        <w:t>to</w:t>
      </w:r>
      <w:r w:rsidRPr="00373C11">
        <w:rPr>
          <w:lang w:val="en"/>
        </w:rPr>
        <w:t xml:space="preserve"> developments in the litigation.  </w:t>
      </w:r>
      <w:r w:rsidRPr="00373C11">
        <w:rPr>
          <w:lang w:val="en"/>
        </w:rPr>
        <w:t xml:space="preserve">This approach is contrary to </w:t>
      </w:r>
      <w:r w:rsidRPr="00373C11">
        <w:rPr>
          <w:lang w:val="en"/>
        </w:rPr>
        <w:t xml:space="preserve">Prop. 65’s intent to allow pre-suit investigation of alleged violations. </w:t>
      </w:r>
      <w:r w:rsidRPr="00373C11">
        <w:rPr>
          <w:lang w:val="en"/>
        </w:rPr>
        <w:t xml:space="preserve"> Accordingly, </w:t>
      </w:r>
      <w:r w:rsidRPr="00373C11">
        <w:rPr>
          <w:lang w:val="en"/>
        </w:rPr>
        <w:t xml:space="preserve">we conclude that CERT’s broad </w:t>
      </w:r>
      <w:r w:rsidRPr="00373C11">
        <w:rPr>
          <w:lang w:val="en"/>
        </w:rPr>
        <w:t xml:space="preserve">and undifferentiated </w:t>
      </w:r>
      <w:r w:rsidRPr="00373C11">
        <w:rPr>
          <w:lang w:val="en"/>
        </w:rPr>
        <w:t xml:space="preserve">identification of </w:t>
      </w:r>
      <w:r w:rsidRPr="00373C11">
        <w:rPr>
          <w:lang w:val="en"/>
        </w:rPr>
        <w:t xml:space="preserve">“coffee” in its pre-suit </w:t>
      </w:r>
      <w:r w:rsidRPr="00373C11">
        <w:rPr>
          <w:lang w:val="en"/>
        </w:rPr>
        <w:t>notices</w:t>
      </w:r>
      <w:r w:rsidRPr="00373C11">
        <w:rPr>
          <w:lang w:val="en"/>
        </w:rPr>
        <w:t xml:space="preserve"> prev</w:t>
      </w:r>
      <w:r w:rsidRPr="00373C11">
        <w:rPr>
          <w:lang w:val="en"/>
        </w:rPr>
        <w:t xml:space="preserve">ents it from now pointing to </w:t>
      </w:r>
      <w:r w:rsidRPr="00373C11">
        <w:rPr>
          <w:lang w:val="en"/>
        </w:rPr>
        <w:t xml:space="preserve">a subset of </w:t>
      </w:r>
      <w:r w:rsidRPr="00373C11">
        <w:rPr>
          <w:lang w:val="en"/>
        </w:rPr>
        <w:t>coffee with additives from plant roots, nuts, and seeds as the basis for respondents’ liability.</w:t>
      </w:r>
      <w:r>
        <w:rPr>
          <w:rStyle w:val="FootnoteReference"/>
          <w:lang w:val="en"/>
        </w:rPr>
        <w:footnoteReference w:id="15"/>
      </w:r>
      <w:r w:rsidRPr="00373C11">
        <w:rPr>
          <w:lang w:val="en"/>
        </w:rPr>
        <w:t xml:space="preserve"> </w:t>
      </w:r>
      <w:r w:rsidRPr="00373C11">
        <w:rPr>
          <w:lang w:val="en"/>
        </w:rPr>
        <w:t xml:space="preserve"> </w:t>
      </w:r>
      <w:r w:rsidRPr="00373C11">
        <w:rPr>
          <w:lang w:val="en"/>
        </w:rPr>
        <w:t>(</w:t>
      </w:r>
      <w:r w:rsidRPr="00373C11">
        <w:rPr>
          <w:lang w:val="en"/>
        </w:rPr>
        <w:t xml:space="preserve">See </w:t>
      </w:r>
      <w:bookmarkStart w:id="41" w:name="dabmci_394a91686bd24ebbb611fd9311da7160"/>
      <w:r w:rsidRPr="00373C11">
        <w:rPr>
          <w:i/>
          <w:iCs/>
          <w:lang w:val="en"/>
        </w:rPr>
        <w:t>Consumer Advocacy Group</w:t>
      </w:r>
      <w:r w:rsidRPr="00373C11">
        <w:rPr>
          <w:lang w:val="en"/>
        </w:rPr>
        <w:t xml:space="preserve">, </w:t>
      </w:r>
      <w:r w:rsidRPr="00373C11">
        <w:rPr>
          <w:i/>
          <w:iCs/>
          <w:lang w:val="en"/>
        </w:rPr>
        <w:lastRenderedPageBreak/>
        <w:t>supra</w:t>
      </w:r>
      <w:r w:rsidRPr="00373C11">
        <w:rPr>
          <w:lang w:val="en"/>
        </w:rPr>
        <w:t>, at 960-961</w:t>
      </w:r>
      <w:bookmarkEnd w:id="41"/>
      <w:r w:rsidRPr="00373C11">
        <w:rPr>
          <w:lang w:val="en"/>
        </w:rPr>
        <w:t xml:space="preserve">; </w:t>
      </w:r>
      <w:bookmarkStart w:id="42" w:name="dabmci_190e0e09163b419db08429af18cdb581"/>
      <w:r w:rsidRPr="00373C11">
        <w:rPr>
          <w:i/>
          <w:iCs/>
        </w:rPr>
        <w:t>Physicians Com.</w:t>
      </w:r>
      <w:r w:rsidRPr="00373C11">
        <w:t xml:space="preserve">, </w:t>
      </w:r>
      <w:r w:rsidRPr="00373C11">
        <w:rPr>
          <w:i/>
          <w:iCs/>
        </w:rPr>
        <w:t>supra</w:t>
      </w:r>
      <w:r w:rsidRPr="00373C11">
        <w:t>,</w:t>
      </w:r>
      <w:r w:rsidRPr="00373C11">
        <w:rPr>
          <w:i/>
          <w:iCs/>
        </w:rPr>
        <w:t xml:space="preserve"> </w:t>
      </w:r>
      <w:r w:rsidRPr="00373C11">
        <w:t xml:space="preserve">224 Cal.App.4th </w:t>
      </w:r>
      <w:r w:rsidRPr="00373C11">
        <w:t>at</w:t>
      </w:r>
      <w:r w:rsidRPr="00373C11">
        <w:t xml:space="preserve"> 181</w:t>
      </w:r>
      <w:bookmarkEnd w:id="42"/>
      <w:r w:rsidRPr="00373C11">
        <w:t>.)</w:t>
      </w:r>
    </w:p>
    <w:p w14:paraId="68C7E83F" w14:textId="77777777" w:rsidR="00311DE4" w:rsidRPr="00373C11" w:rsidRDefault="00C25CF2" w:rsidP="00E81151">
      <w:pPr>
        <w:pStyle w:val="ListParagraph"/>
        <w:autoSpaceDE w:val="0"/>
        <w:autoSpaceDN w:val="0"/>
        <w:adjustRightInd w:val="0"/>
        <w:spacing w:line="288" w:lineRule="auto"/>
        <w:ind w:left="0"/>
        <w:rPr>
          <w:lang w:val="en"/>
        </w:rPr>
      </w:pPr>
    </w:p>
    <w:p w14:paraId="5825ADA0" w14:textId="77777777" w:rsidR="00086F16" w:rsidRPr="00373C11" w:rsidRDefault="00C25CF2" w:rsidP="00E81151">
      <w:pPr>
        <w:keepNext/>
        <w:numPr>
          <w:ilvl w:val="0"/>
          <w:numId w:val="2"/>
        </w:numPr>
        <w:tabs>
          <w:tab w:val="left" w:pos="1080"/>
        </w:tabs>
        <w:spacing w:after="120" w:line="288" w:lineRule="auto"/>
        <w:ind w:firstLine="0"/>
        <w:outlineLvl w:val="1"/>
        <w:rPr>
          <w:bCs/>
          <w:i/>
          <w:iCs/>
        </w:rPr>
      </w:pPr>
      <w:r w:rsidRPr="00373C11">
        <w:rPr>
          <w:bCs/>
          <w:i/>
          <w:iCs/>
        </w:rPr>
        <w:t xml:space="preserve">Attorney </w:t>
      </w:r>
      <w:r w:rsidRPr="00373C11">
        <w:rPr>
          <w:bCs/>
          <w:i/>
          <w:iCs/>
        </w:rPr>
        <w:t>Fees</w:t>
      </w:r>
    </w:p>
    <w:p w14:paraId="3882ACD1" w14:textId="77777777" w:rsidR="00714B08" w:rsidRPr="00373C11" w:rsidRDefault="00C25CF2" w:rsidP="00E81151">
      <w:pPr>
        <w:tabs>
          <w:tab w:val="left" w:pos="1080"/>
        </w:tabs>
        <w:spacing w:line="288" w:lineRule="auto"/>
        <w:rPr>
          <w:bCs/>
        </w:rPr>
      </w:pPr>
      <w:r w:rsidRPr="00373C11">
        <w:rPr>
          <w:bCs/>
        </w:rPr>
        <w:t xml:space="preserve">CERT contends the trial court abused its discretion in </w:t>
      </w:r>
      <w:r w:rsidRPr="00373C11">
        <w:rPr>
          <w:bCs/>
        </w:rPr>
        <w:t xml:space="preserve">denying </w:t>
      </w:r>
      <w:r w:rsidRPr="00373C11">
        <w:rPr>
          <w:bCs/>
        </w:rPr>
        <w:t>its motion for attorney fees</w:t>
      </w:r>
      <w:r w:rsidRPr="00373C11">
        <w:rPr>
          <w:bCs/>
        </w:rPr>
        <w:t>.</w:t>
      </w:r>
      <w:r w:rsidRPr="00373C11">
        <w:rPr>
          <w:bCs/>
        </w:rPr>
        <w:t xml:space="preserve"> </w:t>
      </w:r>
      <w:r w:rsidRPr="00373C11">
        <w:rPr>
          <w:bCs/>
        </w:rPr>
        <w:t xml:space="preserve"> It </w:t>
      </w:r>
      <w:r w:rsidRPr="00373C11">
        <w:rPr>
          <w:bCs/>
        </w:rPr>
        <w:t>argu</w:t>
      </w:r>
      <w:r w:rsidRPr="00373C11">
        <w:rPr>
          <w:bCs/>
        </w:rPr>
        <w:t>e</w:t>
      </w:r>
      <w:r w:rsidRPr="00373C11">
        <w:rPr>
          <w:bCs/>
        </w:rPr>
        <w:t>s</w:t>
      </w:r>
      <w:r w:rsidRPr="00373C11">
        <w:rPr>
          <w:bCs/>
        </w:rPr>
        <w:t xml:space="preserve">, </w:t>
      </w:r>
      <w:r w:rsidRPr="00373C11">
        <w:rPr>
          <w:bCs/>
        </w:rPr>
        <w:t>among other things</w:t>
      </w:r>
      <w:r w:rsidRPr="00373C11">
        <w:rPr>
          <w:bCs/>
        </w:rPr>
        <w:t>,</w:t>
      </w:r>
      <w:r w:rsidRPr="00373C11">
        <w:rPr>
          <w:bCs/>
        </w:rPr>
        <w:t xml:space="preserve"> that </w:t>
      </w:r>
      <w:r w:rsidRPr="00373C11">
        <w:rPr>
          <w:bCs/>
        </w:rPr>
        <w:t xml:space="preserve">it </w:t>
      </w:r>
      <w:r w:rsidRPr="00373C11">
        <w:rPr>
          <w:bCs/>
        </w:rPr>
        <w:t>conferred</w:t>
      </w:r>
      <w:r w:rsidRPr="00373C11">
        <w:rPr>
          <w:bCs/>
        </w:rPr>
        <w:t xml:space="preserve"> a significant benefit </w:t>
      </w:r>
      <w:r w:rsidRPr="00373C11">
        <w:rPr>
          <w:bCs/>
        </w:rPr>
        <w:t>on</w:t>
      </w:r>
      <w:r w:rsidRPr="00373C11">
        <w:rPr>
          <w:bCs/>
        </w:rPr>
        <w:t xml:space="preserve"> </w:t>
      </w:r>
      <w:r w:rsidRPr="00373C11">
        <w:rPr>
          <w:bCs/>
        </w:rPr>
        <w:t>the public</w:t>
      </w:r>
      <w:r w:rsidRPr="00373C11">
        <w:rPr>
          <w:bCs/>
        </w:rPr>
        <w:t>, contrary to the trial court’s determination</w:t>
      </w:r>
      <w:r w:rsidRPr="00373C11">
        <w:rPr>
          <w:bCs/>
        </w:rPr>
        <w:t xml:space="preserve">, because the </w:t>
      </w:r>
      <w:r w:rsidRPr="00373C11">
        <w:rPr>
          <w:bCs/>
        </w:rPr>
        <w:t>voluntary, tem</w:t>
      </w:r>
      <w:r w:rsidRPr="00373C11">
        <w:rPr>
          <w:bCs/>
        </w:rPr>
        <w:t>porary Prop. 65 warnings</w:t>
      </w:r>
      <w:r w:rsidRPr="00373C11">
        <w:rPr>
          <w:bCs/>
        </w:rPr>
        <w:t xml:space="preserve"> </w:t>
      </w:r>
      <w:r w:rsidRPr="00373C11">
        <w:rPr>
          <w:bCs/>
        </w:rPr>
        <w:t xml:space="preserve">posted by some </w:t>
      </w:r>
      <w:r w:rsidRPr="00373C11">
        <w:rPr>
          <w:bCs/>
        </w:rPr>
        <w:t xml:space="preserve">respondents </w:t>
      </w:r>
      <w:r w:rsidRPr="00373C11">
        <w:rPr>
          <w:bCs/>
        </w:rPr>
        <w:t xml:space="preserve">provided </w:t>
      </w:r>
      <w:r w:rsidRPr="00373C11">
        <w:rPr>
          <w:bCs/>
        </w:rPr>
        <w:t>an “</w:t>
      </w:r>
      <w:r w:rsidRPr="00373C11">
        <w:rPr>
          <w:bCs/>
        </w:rPr>
        <w:t>informational benefit</w:t>
      </w:r>
      <w:r w:rsidRPr="00373C11">
        <w:rPr>
          <w:bCs/>
        </w:rPr>
        <w:t>.</w:t>
      </w:r>
      <w:r w:rsidRPr="00373C11">
        <w:rPr>
          <w:bCs/>
        </w:rPr>
        <w:t>”</w:t>
      </w:r>
      <w:r w:rsidRPr="00373C11">
        <w:rPr>
          <w:bCs/>
        </w:rPr>
        <w:t xml:space="preserve"> </w:t>
      </w:r>
      <w:r w:rsidRPr="00373C11">
        <w:rPr>
          <w:bCs/>
        </w:rPr>
        <w:t xml:space="preserve"> </w:t>
      </w:r>
      <w:r w:rsidRPr="00373C11">
        <w:rPr>
          <w:bCs/>
        </w:rPr>
        <w:t>As explained below</w:t>
      </w:r>
      <w:r w:rsidRPr="00373C11">
        <w:rPr>
          <w:bCs/>
        </w:rPr>
        <w:t>,</w:t>
      </w:r>
      <w:r w:rsidRPr="00373C11">
        <w:rPr>
          <w:bCs/>
        </w:rPr>
        <w:t xml:space="preserve"> in light of the Agency’s determination that </w:t>
      </w:r>
      <w:r w:rsidRPr="00373C11">
        <w:rPr>
          <w:bCs/>
        </w:rPr>
        <w:t>coffee poses no significant risk of cancer,</w:t>
      </w:r>
      <w:r w:rsidRPr="00373C11">
        <w:rPr>
          <w:bCs/>
        </w:rPr>
        <w:t xml:space="preserve"> we </w:t>
      </w:r>
      <w:r w:rsidRPr="00373C11">
        <w:rPr>
          <w:bCs/>
        </w:rPr>
        <w:t xml:space="preserve">conclude CERT </w:t>
      </w:r>
      <w:r w:rsidRPr="00373C11">
        <w:rPr>
          <w:bCs/>
        </w:rPr>
        <w:t>has shown no benefit from the</w:t>
      </w:r>
      <w:r w:rsidRPr="00373C11">
        <w:rPr>
          <w:bCs/>
        </w:rPr>
        <w:t>se</w:t>
      </w:r>
      <w:r w:rsidRPr="00373C11">
        <w:rPr>
          <w:bCs/>
        </w:rPr>
        <w:t xml:space="preserve"> </w:t>
      </w:r>
      <w:r w:rsidRPr="00373C11">
        <w:rPr>
          <w:bCs/>
        </w:rPr>
        <w:t>temporary warnings</w:t>
      </w:r>
      <w:r w:rsidRPr="00373C11">
        <w:rPr>
          <w:bCs/>
        </w:rPr>
        <w:t>.</w:t>
      </w:r>
      <w:r>
        <w:rPr>
          <w:rStyle w:val="FootnoteReference"/>
          <w:bCs/>
        </w:rPr>
        <w:footnoteReference w:id="16"/>
      </w:r>
      <w:r w:rsidRPr="00373C11">
        <w:rPr>
          <w:bCs/>
        </w:rPr>
        <w:t xml:space="preserve"> </w:t>
      </w:r>
    </w:p>
    <w:p w14:paraId="082C91AA" w14:textId="77777777" w:rsidR="00E54AB7" w:rsidRPr="00373C11" w:rsidRDefault="00C25CF2" w:rsidP="00E81151">
      <w:pPr>
        <w:tabs>
          <w:tab w:val="left" w:pos="1080"/>
        </w:tabs>
        <w:spacing w:line="288" w:lineRule="auto"/>
        <w:rPr>
          <w:bCs/>
        </w:rPr>
      </w:pPr>
    </w:p>
    <w:p w14:paraId="30DCE207" w14:textId="77777777" w:rsidR="00D14E69" w:rsidRPr="00373C11" w:rsidRDefault="00C25CF2" w:rsidP="00E81151">
      <w:pPr>
        <w:keepNext/>
        <w:numPr>
          <w:ilvl w:val="1"/>
          <w:numId w:val="2"/>
        </w:numPr>
        <w:tabs>
          <w:tab w:val="left" w:pos="1080"/>
        </w:tabs>
        <w:spacing w:after="120" w:line="288" w:lineRule="auto"/>
        <w:outlineLvl w:val="2"/>
        <w:rPr>
          <w:bCs/>
          <w:i/>
          <w:iCs/>
        </w:rPr>
      </w:pPr>
      <w:r w:rsidRPr="00373C11">
        <w:rPr>
          <w:bCs/>
        </w:rPr>
        <w:t>Applicable Law</w:t>
      </w:r>
    </w:p>
    <w:p w14:paraId="24D7F405" w14:textId="77777777" w:rsidR="00BE0CA8" w:rsidRPr="00373C11" w:rsidRDefault="00C25CF2" w:rsidP="00E81151">
      <w:pPr>
        <w:keepNext/>
        <w:numPr>
          <w:ilvl w:val="2"/>
          <w:numId w:val="2"/>
        </w:numPr>
        <w:tabs>
          <w:tab w:val="left" w:pos="1080"/>
          <w:tab w:val="left" w:pos="2340"/>
        </w:tabs>
        <w:spacing w:after="120" w:line="288" w:lineRule="auto"/>
        <w:outlineLvl w:val="3"/>
        <w:rPr>
          <w:bCs/>
        </w:rPr>
      </w:pPr>
      <w:r w:rsidRPr="00373C11">
        <w:rPr>
          <w:bCs/>
        </w:rPr>
        <w:t xml:space="preserve">Eligibility for Fees under Code of Civil Procedure </w:t>
      </w:r>
      <w:r w:rsidRPr="00373C11">
        <w:rPr>
          <w:bCs/>
        </w:rPr>
        <w:t>S</w:t>
      </w:r>
      <w:r w:rsidRPr="00373C11">
        <w:rPr>
          <w:bCs/>
        </w:rPr>
        <w:t>ection 1021.5</w:t>
      </w:r>
    </w:p>
    <w:p w14:paraId="0BB9369E" w14:textId="77777777" w:rsidR="00D14E69" w:rsidRPr="00373C11" w:rsidRDefault="00C25CF2" w:rsidP="00E81151">
      <w:pPr>
        <w:pStyle w:val="ListParagraph"/>
        <w:autoSpaceDE w:val="0"/>
        <w:autoSpaceDN w:val="0"/>
        <w:adjustRightInd w:val="0"/>
        <w:spacing w:line="288" w:lineRule="auto"/>
        <w:ind w:left="0"/>
        <w:rPr>
          <w:bCs/>
        </w:rPr>
      </w:pPr>
      <w:r w:rsidRPr="00373C11">
        <w:rPr>
          <w:bCs/>
        </w:rPr>
        <w:t xml:space="preserve">“[Code of Civil Procedure] </w:t>
      </w:r>
      <w:r w:rsidRPr="00373C11">
        <w:rPr>
          <w:bCs/>
        </w:rPr>
        <w:t>[s]</w:t>
      </w:r>
      <w:r w:rsidRPr="00373C11">
        <w:rPr>
          <w:bCs/>
        </w:rPr>
        <w:t xml:space="preserve">ection 1021.5 codifies the ‘private attorney general’ doctrine of attorneys fees </w:t>
      </w:r>
      <w:r w:rsidRPr="00373C11">
        <w:rPr>
          <w:bCs/>
        </w:rPr>
        <w:lastRenderedPageBreak/>
        <w:t xml:space="preserve">articulated in </w:t>
      </w:r>
      <w:bookmarkStart w:id="44" w:name="dabmci_35a2a69215a34e048bf557111dd6af9a"/>
      <w:r w:rsidRPr="00373C11">
        <w:rPr>
          <w:bCs/>
          <w:i/>
          <w:iCs/>
        </w:rPr>
        <w:t>Serrano v. Priest</w:t>
      </w:r>
      <w:r w:rsidRPr="00373C11">
        <w:rPr>
          <w:bCs/>
        </w:rPr>
        <w:t xml:space="preserve"> (1977) 20 Cal.3d 25</w:t>
      </w:r>
      <w:bookmarkEnd w:id="44"/>
      <w:r w:rsidRPr="00373C11">
        <w:rPr>
          <w:bCs/>
        </w:rPr>
        <w:t xml:space="preserve"> . . . and other judicial decisions.”  (</w:t>
      </w:r>
      <w:bookmarkStart w:id="45" w:name="dabmci_f3df1cc3f59948d985f00bc7cc78f45b"/>
      <w:r w:rsidRPr="00373C11">
        <w:rPr>
          <w:bCs/>
          <w:i/>
          <w:iCs/>
        </w:rPr>
        <w:t>Flannery v. California Highway Patrol</w:t>
      </w:r>
      <w:r w:rsidRPr="00373C11">
        <w:rPr>
          <w:bCs/>
        </w:rPr>
        <w:t xml:space="preserve"> (1998) 61 Cal.App.4th 629, 634</w:t>
      </w:r>
      <w:bookmarkEnd w:id="45"/>
      <w:r w:rsidRPr="00373C11">
        <w:rPr>
          <w:bCs/>
        </w:rPr>
        <w:t>.)  “The statute gives the trial court discretion to award fees to a successful party if (1) its action has resulted in the enforcement of an important public right, (2) the general public or a large class of persons has rece</w:t>
      </w:r>
      <w:r w:rsidRPr="00373C11">
        <w:rPr>
          <w:bCs/>
        </w:rPr>
        <w:t>ived a significant benefit, (3) the burden of private enforcement is disproportionate to the litigant’s personal interest, and (4) it is unfair to make a successful plaintiff pay the fees out of any recovery.”  (</w:t>
      </w:r>
      <w:bookmarkStart w:id="46" w:name="dabmci_981e748596c74b8bb851d157e69670c7"/>
      <w:r w:rsidRPr="00373C11">
        <w:rPr>
          <w:bCs/>
          <w:i/>
          <w:iCs/>
        </w:rPr>
        <w:t>Concerned Citizens of La Habra v. City of La</w:t>
      </w:r>
      <w:r w:rsidRPr="00373C11">
        <w:rPr>
          <w:bCs/>
          <w:i/>
          <w:iCs/>
        </w:rPr>
        <w:t xml:space="preserve"> Habra</w:t>
      </w:r>
      <w:r w:rsidRPr="00373C11">
        <w:rPr>
          <w:bCs/>
        </w:rPr>
        <w:t xml:space="preserve"> (2005) 131 Cal.App.4th 329, 334 (</w:t>
      </w:r>
      <w:r w:rsidRPr="00373C11">
        <w:rPr>
          <w:bCs/>
          <w:i/>
          <w:iCs/>
        </w:rPr>
        <w:t>Concerned Citizens</w:t>
      </w:r>
      <w:r w:rsidRPr="00373C11">
        <w:rPr>
          <w:bCs/>
        </w:rPr>
        <w:t>)</w:t>
      </w:r>
      <w:bookmarkEnd w:id="46"/>
      <w:r w:rsidRPr="00373C11">
        <w:rPr>
          <w:bCs/>
        </w:rPr>
        <w:t xml:space="preserve">.)  </w:t>
      </w:r>
    </w:p>
    <w:p w14:paraId="5B70F3DC" w14:textId="77777777" w:rsidR="00D14E69" w:rsidRPr="00373C11" w:rsidRDefault="00C25CF2" w:rsidP="00E81151">
      <w:pPr>
        <w:pStyle w:val="ListParagraph"/>
        <w:autoSpaceDE w:val="0"/>
        <w:autoSpaceDN w:val="0"/>
        <w:adjustRightInd w:val="0"/>
        <w:spacing w:line="288" w:lineRule="auto"/>
        <w:ind w:left="0"/>
        <w:rPr>
          <w:bCs/>
        </w:rPr>
      </w:pPr>
      <w:r w:rsidRPr="00373C11">
        <w:rPr>
          <w:bCs/>
        </w:rPr>
        <w:t>“The award of fees under section 1021.5 is an equitable function, and the trial court must realistically and pragmatically evaluate the impact of the litigation to determine if the statutory r</w:t>
      </w:r>
      <w:r w:rsidRPr="00373C11">
        <w:rPr>
          <w:bCs/>
        </w:rPr>
        <w:t xml:space="preserve">equirements have been met.  [Citation.]  This determination is ‘best decided by the trial court, and the trial court’s judgment on this issue must not be disturbed on appeal “unless the appellate court is convinced that it is clearly wrong and constitutes </w:t>
      </w:r>
      <w:r w:rsidRPr="00373C11">
        <w:rPr>
          <w:bCs/>
        </w:rPr>
        <w:t>an abuse of discretion.”  [Citations.]’”  (</w:t>
      </w:r>
      <w:bookmarkStart w:id="47" w:name="dabmci_58fe892425314dcb90b034c432355b8a"/>
      <w:r w:rsidRPr="00373C11">
        <w:rPr>
          <w:bCs/>
          <w:i/>
          <w:iCs/>
        </w:rPr>
        <w:t>Concerned Citizens</w:t>
      </w:r>
      <w:r w:rsidRPr="00373C11">
        <w:rPr>
          <w:bCs/>
        </w:rPr>
        <w:t xml:space="preserve">, </w:t>
      </w:r>
      <w:r w:rsidRPr="00373C11">
        <w:rPr>
          <w:bCs/>
          <w:i/>
          <w:iCs/>
        </w:rPr>
        <w:t>supra</w:t>
      </w:r>
      <w:r w:rsidRPr="00373C11">
        <w:rPr>
          <w:bCs/>
        </w:rPr>
        <w:t>, 131 Cal.App.4th at 334</w:t>
      </w:r>
      <w:bookmarkEnd w:id="47"/>
      <w:r w:rsidRPr="00373C11">
        <w:rPr>
          <w:bCs/>
        </w:rPr>
        <w:t xml:space="preserve">.)  </w:t>
      </w:r>
    </w:p>
    <w:p w14:paraId="17481C10" w14:textId="77777777" w:rsidR="00262A54" w:rsidRPr="00373C11" w:rsidRDefault="00C25CF2" w:rsidP="00E81151">
      <w:pPr>
        <w:pStyle w:val="ListParagraph"/>
        <w:autoSpaceDE w:val="0"/>
        <w:autoSpaceDN w:val="0"/>
        <w:adjustRightInd w:val="0"/>
        <w:spacing w:line="288" w:lineRule="auto"/>
        <w:ind w:left="0"/>
      </w:pPr>
    </w:p>
    <w:p w14:paraId="44693CD2" w14:textId="77777777" w:rsidR="00C03CEB" w:rsidRPr="00373C11" w:rsidRDefault="00C25CF2" w:rsidP="00E81151">
      <w:pPr>
        <w:keepNext/>
        <w:numPr>
          <w:ilvl w:val="1"/>
          <w:numId w:val="2"/>
        </w:numPr>
        <w:tabs>
          <w:tab w:val="left" w:pos="1080"/>
        </w:tabs>
        <w:spacing w:after="120" w:line="288" w:lineRule="auto"/>
        <w:outlineLvl w:val="2"/>
        <w:rPr>
          <w:bCs/>
          <w:i/>
          <w:iCs/>
        </w:rPr>
      </w:pPr>
      <w:r w:rsidRPr="00373C11">
        <w:rPr>
          <w:bCs/>
        </w:rPr>
        <w:t>Analysis</w:t>
      </w:r>
    </w:p>
    <w:p w14:paraId="144F282C" w14:textId="77777777" w:rsidR="00310523" w:rsidRPr="00373C11" w:rsidRDefault="00C25CF2" w:rsidP="00E81151">
      <w:pPr>
        <w:pStyle w:val="ListParagraph"/>
        <w:autoSpaceDE w:val="0"/>
        <w:autoSpaceDN w:val="0"/>
        <w:adjustRightInd w:val="0"/>
        <w:spacing w:line="288" w:lineRule="auto"/>
        <w:ind w:left="0"/>
      </w:pPr>
      <w:r w:rsidRPr="00373C11">
        <w:t xml:space="preserve">CERT has shown </w:t>
      </w:r>
      <w:r w:rsidRPr="00373C11">
        <w:t>no</w:t>
      </w:r>
      <w:r w:rsidRPr="00373C11">
        <w:t xml:space="preserve"> benefit to the public from the temporary warnings provided, let alone an abuse of discretion </w:t>
      </w:r>
      <w:r w:rsidRPr="00373C11">
        <w:t>in the trial court’s conclusion that n</w:t>
      </w:r>
      <w:r w:rsidRPr="00373C11">
        <w:t xml:space="preserve">o benefit had been conferred.  </w:t>
      </w:r>
      <w:r w:rsidRPr="00373C11">
        <w:t xml:space="preserve">CERT contends it conferred an </w:t>
      </w:r>
      <w:r w:rsidRPr="00373C11">
        <w:lastRenderedPageBreak/>
        <w:t>informational benefit in accord with Prop. 65’s purposes by advising consumers that the coffee contain</w:t>
      </w:r>
      <w:r w:rsidRPr="00373C11">
        <w:t>ed</w:t>
      </w:r>
      <w:r w:rsidRPr="00373C11">
        <w:t xml:space="preserve"> a</w:t>
      </w:r>
      <w:r w:rsidRPr="00373C11">
        <w:t xml:space="preserve"> </w:t>
      </w:r>
      <w:r w:rsidRPr="00373C11">
        <w:t xml:space="preserve">carcinogen and </w:t>
      </w:r>
      <w:r w:rsidRPr="00373C11">
        <w:t xml:space="preserve">allowing </w:t>
      </w:r>
      <w:r w:rsidRPr="00373C11">
        <w:t xml:space="preserve">them </w:t>
      </w:r>
      <w:r w:rsidRPr="00373C11">
        <w:t>to make</w:t>
      </w:r>
      <w:r w:rsidRPr="00373C11">
        <w:t xml:space="preserve"> </w:t>
      </w:r>
      <w:r w:rsidRPr="00373C11">
        <w:t xml:space="preserve">informed decisions </w:t>
      </w:r>
      <w:r w:rsidRPr="00373C11">
        <w:t xml:space="preserve">regarding their </w:t>
      </w:r>
      <w:r w:rsidRPr="00373C11">
        <w:t>coffee</w:t>
      </w:r>
      <w:r w:rsidRPr="00373C11">
        <w:t xml:space="preserve"> consumpti</w:t>
      </w:r>
      <w:r w:rsidRPr="00373C11">
        <w:t xml:space="preserve">on.  </w:t>
      </w:r>
      <w:r w:rsidRPr="00373C11">
        <w:t>However,</w:t>
      </w:r>
      <w:r w:rsidRPr="00373C11">
        <w:t xml:space="preserve"> </w:t>
      </w:r>
      <w:r w:rsidRPr="00373C11">
        <w:t xml:space="preserve">the </w:t>
      </w:r>
      <w:r w:rsidRPr="00373C11">
        <w:t>C</w:t>
      </w:r>
      <w:r w:rsidRPr="00373C11">
        <w:t xml:space="preserve">offee </w:t>
      </w:r>
      <w:r w:rsidRPr="00373C11">
        <w:t>R</w:t>
      </w:r>
      <w:r w:rsidRPr="00373C11">
        <w:t xml:space="preserve">egulation, promulgated by the agency responsible </w:t>
      </w:r>
      <w:r w:rsidRPr="00373C11">
        <w:t xml:space="preserve">for implementing Prop. 65, </w:t>
      </w:r>
      <w:r w:rsidRPr="00373C11">
        <w:t xml:space="preserve">establishes that </w:t>
      </w:r>
      <w:r w:rsidRPr="00373C11">
        <w:t xml:space="preserve">those warnings </w:t>
      </w:r>
      <w:r w:rsidRPr="00373C11">
        <w:t>were unnecessary and misleading</w:t>
      </w:r>
      <w:r w:rsidRPr="00373C11">
        <w:t xml:space="preserve"> regarding the risk of cancer</w:t>
      </w:r>
      <w:r w:rsidRPr="00373C11">
        <w:t xml:space="preserve"> from coffee</w:t>
      </w:r>
      <w:r w:rsidRPr="00373C11">
        <w:t xml:space="preserve">.  </w:t>
      </w:r>
      <w:r w:rsidRPr="00373C11">
        <w:t>The</w:t>
      </w:r>
      <w:r w:rsidRPr="00373C11">
        <w:t xml:space="preserve"> warnings</w:t>
      </w:r>
      <w:r w:rsidRPr="00373C11">
        <w:t xml:space="preserve"> therefore provided no informational benefit to consumers.  (</w:t>
      </w:r>
      <w:r w:rsidRPr="00373C11">
        <w:t xml:space="preserve">Cf. </w:t>
      </w:r>
      <w:bookmarkStart w:id="48" w:name="dabmci_a4b00b3ccfe9415198988dcc478a58f5"/>
      <w:r w:rsidRPr="00373C11">
        <w:rPr>
          <w:i/>
          <w:iCs/>
        </w:rPr>
        <w:t xml:space="preserve">Dowhal v. SmithKline Beecham Consumer Healthcare </w:t>
      </w:r>
      <w:r w:rsidRPr="00373C11">
        <w:t xml:space="preserve">(2004) 32 Cal.4th 910, 934 </w:t>
      </w:r>
      <w:r w:rsidRPr="00373C11">
        <w:t>(</w:t>
      </w:r>
      <w:r w:rsidRPr="00373C11">
        <w:rPr>
          <w:i/>
          <w:iCs/>
        </w:rPr>
        <w:t>Dowhal</w:t>
      </w:r>
      <w:r w:rsidRPr="00373C11">
        <w:t>)</w:t>
      </w:r>
      <w:bookmarkEnd w:id="48"/>
      <w:r w:rsidRPr="00373C11">
        <w:t xml:space="preserve"> </w:t>
      </w:r>
      <w:r w:rsidRPr="00373C11">
        <w:t>[</w:t>
      </w:r>
      <w:r w:rsidRPr="00373C11">
        <w:t>“a truthful warning of an uncertain or remote danger may mislead the consumer into misjudging the dangers</w:t>
      </w:r>
      <w:r w:rsidRPr="00373C11">
        <w:t xml:space="preserve"> stemming from use of the product, and consequently making a medically unwise decision”</w:t>
      </w:r>
      <w:r w:rsidRPr="00373C11">
        <w:t>];</w:t>
      </w:r>
      <w:r w:rsidRPr="00373C11">
        <w:t xml:space="preserve"> </w:t>
      </w:r>
      <w:bookmarkStart w:id="49" w:name="dabmci_4dbe4eb082f24961a9a499bd22dbab1c"/>
      <w:r w:rsidRPr="00373C11">
        <w:rPr>
          <w:i/>
          <w:iCs/>
        </w:rPr>
        <w:t xml:space="preserve">Nicolle-Wagner v. Deukmejian </w:t>
      </w:r>
      <w:r w:rsidRPr="00373C11">
        <w:t xml:space="preserve">(1991) 230 Cal.App.3d 652, 661 </w:t>
      </w:r>
      <w:r w:rsidRPr="00373C11">
        <w:t>(</w:t>
      </w:r>
      <w:r w:rsidRPr="00373C11">
        <w:rPr>
          <w:i/>
          <w:iCs/>
        </w:rPr>
        <w:t>Nicolle-Wagner</w:t>
      </w:r>
      <w:r w:rsidRPr="00373C11">
        <w:t>)</w:t>
      </w:r>
      <w:bookmarkEnd w:id="49"/>
      <w:r w:rsidRPr="00373C11">
        <w:t xml:space="preserve"> </w:t>
      </w:r>
      <w:r w:rsidRPr="00373C11">
        <w:t>[avoiding warnings</w:t>
      </w:r>
      <w:r w:rsidRPr="00373C11">
        <w:rPr>
          <w:i/>
          <w:iCs/>
        </w:rPr>
        <w:t xml:space="preserve"> </w:t>
      </w:r>
      <w:r w:rsidRPr="00373C11">
        <w:t>regarding substances that pose insignificant risk of cancer “will furt</w:t>
      </w:r>
      <w:r w:rsidRPr="00373C11">
        <w:t>her the statutory purpose [of Prop</w:t>
      </w:r>
      <w:r w:rsidRPr="00373C11">
        <w:t>.</w:t>
      </w:r>
      <w:r w:rsidRPr="00373C11">
        <w:t xml:space="preserve"> 65] in safeguarding the effectiveness of warnings which are given”].)</w:t>
      </w:r>
      <w:r w:rsidRPr="00373C11">
        <w:t xml:space="preserve">  </w:t>
      </w:r>
    </w:p>
    <w:p w14:paraId="3BC4D855" w14:textId="77777777" w:rsidR="00CB2D47" w:rsidRPr="00373C11" w:rsidRDefault="00C25CF2" w:rsidP="00E81151">
      <w:pPr>
        <w:pStyle w:val="ListParagraph"/>
        <w:autoSpaceDE w:val="0"/>
        <w:autoSpaceDN w:val="0"/>
        <w:adjustRightInd w:val="0"/>
        <w:spacing w:line="288" w:lineRule="auto"/>
        <w:ind w:left="0"/>
      </w:pPr>
      <w:r w:rsidRPr="00373C11">
        <w:t>CERT argues that the warnings were required at the time they were posted, before the Coffee Regulation was issued, and suggests that its suit confer</w:t>
      </w:r>
      <w:r w:rsidRPr="00373C11">
        <w:t xml:space="preserve">red a benefit by enforcing the law at the time.  But </w:t>
      </w:r>
      <w:r w:rsidRPr="00373C11">
        <w:t>even assuming that Prop. 65 warnings for coffee were required before the Agency adopted the Coffee Regulation -- a matter we do not decide -- enforcement of the law does not necessarily confer a signific</w:t>
      </w:r>
      <w:r w:rsidRPr="00373C11">
        <w:t>ant benefit on the public.  “</w:t>
      </w:r>
      <w:r w:rsidRPr="00373C11">
        <w:t xml:space="preserve">Of course, the public always has a significant interest in seeing that legal </w:t>
      </w:r>
      <w:r w:rsidRPr="00373C11">
        <w:lastRenderedPageBreak/>
        <w:t xml:space="preserve">strictures are properly enforced and thus, in a real sense, the public always derives a </w:t>
      </w:r>
      <w:r w:rsidRPr="00373C11">
        <w:t>‘</w:t>
      </w:r>
      <w:r w:rsidRPr="00373C11">
        <w:t>benefit</w:t>
      </w:r>
      <w:r w:rsidRPr="00373C11">
        <w:t>’</w:t>
      </w:r>
      <w:r w:rsidRPr="00373C11">
        <w:t xml:space="preserve"> when illegal private or public conduct is rectified.</w:t>
      </w:r>
      <w:r w:rsidRPr="00373C11">
        <w:t xml:space="preserve"> </w:t>
      </w:r>
      <w:r w:rsidRPr="00373C11">
        <w:t xml:space="preserve"> </w:t>
      </w:r>
      <w:r w:rsidRPr="00373C11">
        <w:t>Both the statutory language (</w:t>
      </w:r>
      <w:r w:rsidRPr="00373C11">
        <w:t>‘</w:t>
      </w:r>
      <w:r w:rsidRPr="00373C11">
        <w:t>s</w:t>
      </w:r>
      <w:r w:rsidRPr="00373C11">
        <w:t>ignificant benefit</w:t>
      </w:r>
      <w:r w:rsidRPr="00373C11">
        <w:t>’</w:t>
      </w:r>
      <w:r w:rsidRPr="00373C11">
        <w:t xml:space="preserve">) and prior case law, however, indicate that the Legislature did not intend to authorize an award of attorney fees in every case involving a statutory violation. </w:t>
      </w:r>
      <w:r w:rsidRPr="00373C11">
        <w:t xml:space="preserve"> [</w:t>
      </w:r>
      <w:r w:rsidRPr="00373C11">
        <w:t>Rather</w:t>
      </w:r>
      <w:r w:rsidRPr="00373C11">
        <w:t>,]</w:t>
      </w:r>
      <w:r w:rsidRPr="00373C11">
        <w:t xml:space="preserve"> the Legislature contemplated th</w:t>
      </w:r>
      <w:r w:rsidRPr="00373C11">
        <w:t>at in adjudicating a motion for attorney fees under section 1021.5, a trial court would determine the significance of the benefit, as well as the size of the class receiving benefit, from a realistic assessment, in light of all the pertinent circumstances,</w:t>
      </w:r>
      <w:r w:rsidRPr="00373C11">
        <w:t xml:space="preserve"> of the gains which have resulted in a particular case.</w:t>
      </w:r>
      <w:r w:rsidRPr="00373C11">
        <w:t>”  (</w:t>
      </w:r>
      <w:bookmarkStart w:id="50" w:name="dabmci_f98df40c23ad4993b59eb9b4124a6d82"/>
      <w:r w:rsidRPr="00373C11">
        <w:rPr>
          <w:i/>
          <w:iCs/>
        </w:rPr>
        <w:t>Woodland Hills Residents Assn., Inc. v. City Council</w:t>
      </w:r>
      <w:r w:rsidRPr="00373C11">
        <w:t xml:space="preserve"> (1979) 23 Cal.3d 917, 939-940</w:t>
      </w:r>
      <w:bookmarkEnd w:id="50"/>
      <w:r w:rsidRPr="00373C11">
        <w:t xml:space="preserve">; accord, </w:t>
      </w:r>
      <w:bookmarkStart w:id="51" w:name="dabmci_ad671a40562b4b53a2404768dddfbf97"/>
      <w:r w:rsidRPr="00373C11">
        <w:rPr>
          <w:i/>
          <w:iCs/>
        </w:rPr>
        <w:t>Villarreal v. Gordon</w:t>
      </w:r>
      <w:r w:rsidRPr="00373C11">
        <w:t xml:space="preserve"> (2019) 44 Cal.App.5th 233, 240</w:t>
      </w:r>
      <w:bookmarkEnd w:id="51"/>
      <w:r w:rsidRPr="00373C11">
        <w:t xml:space="preserve">.)  Given that the warnings in this case </w:t>
      </w:r>
      <w:r w:rsidRPr="00373C11">
        <w:rPr>
          <w:i/>
          <w:iCs/>
        </w:rPr>
        <w:t>disserved</w:t>
      </w:r>
      <w:r w:rsidRPr="00373C11">
        <w:t xml:space="preserve"> Prop. 65’s purpose to inform the public of significant cancer risks (see </w:t>
      </w:r>
      <w:bookmarkStart w:id="52" w:name="dabmci_09fe357fb5fe474a91dc04954f531136"/>
      <w:r w:rsidRPr="00373C11">
        <w:rPr>
          <w:i/>
          <w:iCs/>
        </w:rPr>
        <w:t>Dowhal</w:t>
      </w:r>
      <w:r w:rsidRPr="00373C11">
        <w:t xml:space="preserve">, </w:t>
      </w:r>
      <w:r w:rsidRPr="00373C11">
        <w:rPr>
          <w:i/>
          <w:iCs/>
        </w:rPr>
        <w:t>supra</w:t>
      </w:r>
      <w:r w:rsidRPr="00373C11">
        <w:t>,</w:t>
      </w:r>
      <w:r w:rsidRPr="00373C11">
        <w:rPr>
          <w:i/>
          <w:iCs/>
        </w:rPr>
        <w:t xml:space="preserve"> </w:t>
      </w:r>
      <w:r w:rsidRPr="00373C11">
        <w:t>32 Cal.4th at 934</w:t>
      </w:r>
      <w:bookmarkEnd w:id="52"/>
      <w:r w:rsidRPr="00373C11">
        <w:t xml:space="preserve">; </w:t>
      </w:r>
      <w:bookmarkStart w:id="53" w:name="dabmci_d08e9693db304e8a8097c20b018a8098"/>
      <w:r w:rsidRPr="00373C11">
        <w:rPr>
          <w:i/>
          <w:iCs/>
        </w:rPr>
        <w:t>Nicolle-Wagner</w:t>
      </w:r>
      <w:r w:rsidRPr="00373C11">
        <w:t xml:space="preserve">, </w:t>
      </w:r>
      <w:r w:rsidRPr="00373C11">
        <w:rPr>
          <w:i/>
          <w:iCs/>
        </w:rPr>
        <w:t>supra</w:t>
      </w:r>
      <w:r w:rsidRPr="00373C11">
        <w:t>,</w:t>
      </w:r>
      <w:r w:rsidRPr="00373C11">
        <w:rPr>
          <w:i/>
          <w:iCs/>
        </w:rPr>
        <w:t xml:space="preserve"> </w:t>
      </w:r>
      <w:r w:rsidRPr="00373C11">
        <w:t>230 Cal.App.3d at 661</w:t>
      </w:r>
      <w:bookmarkEnd w:id="53"/>
      <w:r w:rsidRPr="00373C11">
        <w:t>), they provided no significant benefit for purposes o</w:t>
      </w:r>
      <w:r w:rsidRPr="00373C11">
        <w:t xml:space="preserve">f the attorney fees statute.  Accordingly, </w:t>
      </w:r>
      <w:r w:rsidRPr="00373C11">
        <w:t xml:space="preserve">the trial court properly denied </w:t>
      </w:r>
      <w:r w:rsidRPr="00373C11">
        <w:t>CERT’s</w:t>
      </w:r>
      <w:r w:rsidRPr="00373C11">
        <w:t xml:space="preserve"> motion for attorney fees.</w:t>
      </w:r>
    </w:p>
    <w:p w14:paraId="09ABFF23" w14:textId="77777777" w:rsidR="00A20F1C" w:rsidRPr="00373C11" w:rsidRDefault="00C25CF2" w:rsidP="00E81151">
      <w:pPr>
        <w:pStyle w:val="ListParagraph"/>
        <w:autoSpaceDE w:val="0"/>
        <w:autoSpaceDN w:val="0"/>
        <w:adjustRightInd w:val="0"/>
        <w:spacing w:line="288" w:lineRule="auto"/>
        <w:ind w:left="0"/>
      </w:pPr>
    </w:p>
    <w:p w14:paraId="2667956B" w14:textId="77777777" w:rsidR="00E72C23" w:rsidRPr="00373C11" w:rsidRDefault="00C25CF2" w:rsidP="00E81151">
      <w:pPr>
        <w:keepNext/>
        <w:numPr>
          <w:ilvl w:val="0"/>
          <w:numId w:val="2"/>
        </w:numPr>
        <w:tabs>
          <w:tab w:val="left" w:pos="1080"/>
        </w:tabs>
        <w:spacing w:after="120" w:line="288" w:lineRule="auto"/>
        <w:ind w:firstLine="0"/>
        <w:outlineLvl w:val="1"/>
        <w:rPr>
          <w:bCs/>
          <w:i/>
          <w:iCs/>
        </w:rPr>
      </w:pPr>
      <w:r w:rsidRPr="00373C11">
        <w:rPr>
          <w:bCs/>
          <w:i/>
          <w:iCs/>
        </w:rPr>
        <w:t>Section 998 Costs</w:t>
      </w:r>
    </w:p>
    <w:p w14:paraId="6EDBEA15" w14:textId="77777777" w:rsidR="00ED6B76" w:rsidRPr="00373C11" w:rsidRDefault="00C25CF2" w:rsidP="00E81151">
      <w:pPr>
        <w:spacing w:line="288" w:lineRule="auto"/>
      </w:pPr>
      <w:r w:rsidRPr="00373C11">
        <w:t xml:space="preserve">CERT contends </w:t>
      </w:r>
      <w:r w:rsidRPr="00373C11">
        <w:t xml:space="preserve">the </w:t>
      </w:r>
      <w:r w:rsidRPr="00373C11">
        <w:t>s</w:t>
      </w:r>
      <w:r w:rsidRPr="00373C11">
        <w:t>ection 998 respondents’</w:t>
      </w:r>
      <w:r w:rsidRPr="00373C11">
        <w:t xml:space="preserve"> compromise offers were invalid because: (1) settlement offers in Prop. 65 cases can ne</w:t>
      </w:r>
      <w:r w:rsidRPr="00373C11">
        <w:t xml:space="preserve">ver be valid under </w:t>
      </w:r>
      <w:r w:rsidRPr="00373C11">
        <w:t>s</w:t>
      </w:r>
      <w:r w:rsidRPr="00373C11">
        <w:t xml:space="preserve">ection 998, as they require court approval; and (2) the relevant respondents’ offers included overly broad releases.  </w:t>
      </w:r>
      <w:r w:rsidRPr="00373C11">
        <w:lastRenderedPageBreak/>
        <w:t xml:space="preserve">Assuming, without deciding, that </w:t>
      </w:r>
      <w:r w:rsidRPr="00373C11">
        <w:t>s</w:t>
      </w:r>
      <w:r w:rsidRPr="00373C11">
        <w:t>ection 998 applies to Prop. 65 claims, w</w:t>
      </w:r>
      <w:r w:rsidRPr="00373C11">
        <w:t xml:space="preserve">e agree that </w:t>
      </w:r>
      <w:r w:rsidRPr="00373C11">
        <w:t>the offers here were invalid be</w:t>
      </w:r>
      <w:r w:rsidRPr="00373C11">
        <w:t xml:space="preserve">cause they included overly broad </w:t>
      </w:r>
      <w:r w:rsidRPr="00373C11">
        <w:t xml:space="preserve">releases.  Accordingly, we reverse the trial court’s denial of CERT’s motion to tax costs. </w:t>
      </w:r>
    </w:p>
    <w:p w14:paraId="05B01B06" w14:textId="77777777" w:rsidR="00ED6B76" w:rsidRPr="00373C11" w:rsidRDefault="00C25CF2" w:rsidP="00E81151">
      <w:pPr>
        <w:spacing w:line="288" w:lineRule="auto"/>
        <w:rPr>
          <w:bCs/>
        </w:rPr>
      </w:pPr>
    </w:p>
    <w:p w14:paraId="50095E2A" w14:textId="77777777" w:rsidR="006D7332" w:rsidRPr="00373C11" w:rsidRDefault="00C25CF2" w:rsidP="00E81151">
      <w:pPr>
        <w:keepNext/>
        <w:numPr>
          <w:ilvl w:val="1"/>
          <w:numId w:val="2"/>
        </w:numPr>
        <w:tabs>
          <w:tab w:val="left" w:pos="1080"/>
        </w:tabs>
        <w:spacing w:after="120" w:line="288" w:lineRule="auto"/>
        <w:outlineLvl w:val="2"/>
        <w:rPr>
          <w:bCs/>
          <w:i/>
          <w:iCs/>
        </w:rPr>
      </w:pPr>
      <w:r w:rsidRPr="00373C11">
        <w:rPr>
          <w:bCs/>
        </w:rPr>
        <w:t>Background</w:t>
      </w:r>
    </w:p>
    <w:p w14:paraId="126E58D0" w14:textId="77777777" w:rsidR="00F85075" w:rsidRPr="00373C11" w:rsidRDefault="00C25CF2" w:rsidP="00E81151">
      <w:pPr>
        <w:pStyle w:val="ListParagraph"/>
        <w:autoSpaceDE w:val="0"/>
        <w:autoSpaceDN w:val="0"/>
        <w:adjustRightInd w:val="0"/>
        <w:spacing w:line="288" w:lineRule="auto"/>
        <w:ind w:left="0"/>
      </w:pPr>
      <w:r w:rsidRPr="00373C11">
        <w:t>D</w:t>
      </w:r>
      <w:r w:rsidRPr="00373C11">
        <w:t xml:space="preserve">uring the litigation, </w:t>
      </w:r>
      <w:r w:rsidRPr="00373C11">
        <w:t xml:space="preserve">the </w:t>
      </w:r>
      <w:r w:rsidRPr="00373C11">
        <w:t>s</w:t>
      </w:r>
      <w:r w:rsidRPr="00373C11">
        <w:t>ection 998 respondents</w:t>
      </w:r>
      <w:r w:rsidRPr="00373C11">
        <w:t xml:space="preserve"> served CERT with </w:t>
      </w:r>
      <w:r w:rsidRPr="00373C11">
        <w:t xml:space="preserve">statutory offers to </w:t>
      </w:r>
      <w:r w:rsidRPr="00373C11">
        <w:t xml:space="preserve">compromise.  Under the </w:t>
      </w:r>
      <w:r w:rsidRPr="00373C11">
        <w:t>terms of the offers, these respondents were to pay CERT substantial amounts and post Prop. 65 warnings, with certain conditions.  In return, CERT was to</w:t>
      </w:r>
      <w:r w:rsidRPr="00373C11">
        <w:t xml:space="preserve"> provide two kinds</w:t>
      </w:r>
      <w:r w:rsidRPr="00373C11">
        <w:t xml:space="preserve"> </w:t>
      </w:r>
      <w:r w:rsidRPr="00373C11">
        <w:t>of releases</w:t>
      </w:r>
      <w:r w:rsidRPr="00373C11">
        <w:t>.  The first was a public</w:t>
      </w:r>
      <w:r w:rsidRPr="00373C11">
        <w:t xml:space="preserve"> </w:t>
      </w:r>
      <w:r w:rsidRPr="00373C11">
        <w:t>release</w:t>
      </w:r>
      <w:r w:rsidRPr="00373C11">
        <w:t xml:space="preserve">, </w:t>
      </w:r>
      <w:r w:rsidRPr="00373C11">
        <w:t>requiring CERT</w:t>
      </w:r>
      <w:r w:rsidRPr="00373C11">
        <w:t>, as a plaintiff suing “i</w:t>
      </w:r>
      <w:r w:rsidRPr="00373C11">
        <w:t>n the public interest,”</w:t>
      </w:r>
      <w:r w:rsidRPr="00373C11">
        <w:t xml:space="preserve"> </w:t>
      </w:r>
      <w:r w:rsidRPr="00373C11">
        <w:t>to release</w:t>
      </w:r>
      <w:r w:rsidRPr="00373C11">
        <w:t xml:space="preserve"> the offerors</w:t>
      </w:r>
      <w:r w:rsidRPr="00373C11">
        <w:t xml:space="preserve"> </w:t>
      </w:r>
      <w:r w:rsidRPr="00373C11">
        <w:t>from “all claims</w:t>
      </w:r>
      <w:r w:rsidRPr="00373C11">
        <w:t xml:space="preserve"> </w:t>
      </w:r>
      <w:r w:rsidRPr="00373C11">
        <w:t xml:space="preserve">. . . </w:t>
      </w:r>
      <w:r w:rsidRPr="00373C11">
        <w:t>as to any alleged violation of Proposition 65 that is</w:t>
      </w:r>
      <w:r w:rsidRPr="00373C11">
        <w:t xml:space="preserve"> </w:t>
      </w:r>
      <w:r w:rsidRPr="00373C11">
        <w:t xml:space="preserve">or that could have been asserted in the </w:t>
      </w:r>
      <w:r w:rsidRPr="00373C11">
        <w:t xml:space="preserve">[pre-suit] </w:t>
      </w:r>
      <w:r w:rsidRPr="00373C11">
        <w:t xml:space="preserve">Notice or </w:t>
      </w:r>
      <w:r w:rsidRPr="00373C11">
        <w:t>[complaint]</w:t>
      </w:r>
      <w:r w:rsidRPr="00373C11">
        <w:t xml:space="preserve"> based on the facts alleged therein</w:t>
      </w:r>
      <w:r w:rsidRPr="00373C11">
        <w:t xml:space="preserve">.” </w:t>
      </w:r>
      <w:r w:rsidRPr="00373C11">
        <w:t xml:space="preserve"> The second release a</w:t>
      </w:r>
      <w:r w:rsidRPr="00373C11">
        <w:t xml:space="preserve">pplied to CERT </w:t>
      </w:r>
      <w:r w:rsidRPr="00373C11">
        <w:t xml:space="preserve">in </w:t>
      </w:r>
      <w:r w:rsidRPr="00373C11">
        <w:t>“</w:t>
      </w:r>
      <w:r w:rsidRPr="00373C11">
        <w:t>its individual capacity</w:t>
      </w:r>
      <w:r w:rsidRPr="00373C11">
        <w:t xml:space="preserve">,” and required it to </w:t>
      </w:r>
      <w:r w:rsidRPr="00373C11">
        <w:t>provide “a general release</w:t>
      </w:r>
      <w:r w:rsidRPr="00373C11">
        <w:t>”</w:t>
      </w:r>
      <w:r w:rsidRPr="00373C11">
        <w:t xml:space="preserve"> </w:t>
      </w:r>
      <w:r w:rsidRPr="00373C11">
        <w:t>of “</w:t>
      </w:r>
      <w:r w:rsidRPr="00373C11">
        <w:t xml:space="preserve">all </w:t>
      </w:r>
      <w:r w:rsidRPr="00373C11">
        <w:t>[c]</w:t>
      </w:r>
      <w:r w:rsidRPr="00373C11">
        <w:t xml:space="preserve">laims of CERT </w:t>
      </w:r>
      <w:r w:rsidRPr="00373C11">
        <w:t>. . .</w:t>
      </w:r>
      <w:r w:rsidRPr="00373C11">
        <w:t xml:space="preserve"> of any nature, character or kind, known or unknown,</w:t>
      </w:r>
      <w:r w:rsidRPr="00373C11">
        <w:t xml:space="preserve"> </w:t>
      </w:r>
      <w:r w:rsidRPr="00373C11">
        <w:t xml:space="preserve">suspected or unsuspected, arising under Proposition 65 or for an alleged </w:t>
      </w:r>
      <w:r w:rsidRPr="00373C11">
        <w:t>failure to provide</w:t>
      </w:r>
      <w:r w:rsidRPr="00373C11">
        <w:t xml:space="preserve"> </w:t>
      </w:r>
      <w:r w:rsidRPr="00373C11">
        <w:t>warnings for exposures to acrylamide.</w:t>
      </w:r>
      <w:r w:rsidRPr="00373C11">
        <w:t xml:space="preserve">” </w:t>
      </w:r>
      <w:r w:rsidRPr="00373C11">
        <w:t xml:space="preserve"> </w:t>
      </w:r>
      <w:r w:rsidRPr="00373C11">
        <w:t xml:space="preserve">CERT rejected these compromise offers. </w:t>
      </w:r>
    </w:p>
    <w:p w14:paraId="2E51D817" w14:textId="77777777" w:rsidR="003D75C0" w:rsidRPr="00373C11" w:rsidRDefault="00C25CF2" w:rsidP="00E81151">
      <w:pPr>
        <w:pStyle w:val="ListParagraph"/>
        <w:autoSpaceDE w:val="0"/>
        <w:autoSpaceDN w:val="0"/>
        <w:adjustRightInd w:val="0"/>
        <w:spacing w:line="288" w:lineRule="auto"/>
        <w:ind w:left="0"/>
      </w:pPr>
      <w:r w:rsidRPr="00373C11">
        <w:t xml:space="preserve">After entry of judgment, </w:t>
      </w:r>
      <w:r w:rsidRPr="00373C11">
        <w:t xml:space="preserve">the </w:t>
      </w:r>
      <w:r w:rsidRPr="00373C11">
        <w:t>s</w:t>
      </w:r>
      <w:r w:rsidRPr="00373C11">
        <w:t>ection 998</w:t>
      </w:r>
      <w:r w:rsidRPr="00373C11">
        <w:t xml:space="preserve"> respondents filed memoranda of costs seeking to recover </w:t>
      </w:r>
      <w:r w:rsidRPr="00373C11">
        <w:t xml:space="preserve">almost $700,000 in </w:t>
      </w:r>
      <w:r w:rsidRPr="00373C11">
        <w:t>post-offer costs.  CERT moved to tax cost</w:t>
      </w:r>
      <w:r w:rsidRPr="00373C11">
        <w:t xml:space="preserve">s, challenging the validity of the </w:t>
      </w:r>
      <w:r w:rsidRPr="00373C11">
        <w:t>statutory compromise</w:t>
      </w:r>
      <w:r w:rsidRPr="00373C11">
        <w:t xml:space="preserve"> offers </w:t>
      </w:r>
      <w:r w:rsidRPr="00373C11">
        <w:t>and arguing</w:t>
      </w:r>
      <w:r w:rsidRPr="00373C11">
        <w:t xml:space="preserve">, </w:t>
      </w:r>
      <w:r w:rsidRPr="00373C11">
        <w:lastRenderedPageBreak/>
        <w:t xml:space="preserve">inter alia, </w:t>
      </w:r>
      <w:r w:rsidRPr="00373C11">
        <w:t>that</w:t>
      </w:r>
      <w:r w:rsidRPr="00373C11">
        <w:t xml:space="preserve"> the </w:t>
      </w:r>
      <w:r w:rsidRPr="00373C11">
        <w:t xml:space="preserve">releases included </w:t>
      </w:r>
      <w:r w:rsidRPr="00373C11">
        <w:t>in the offers were overly broad because they applied to claims outside the scope of the litigation</w:t>
      </w:r>
      <w:r w:rsidRPr="00373C11">
        <w:t xml:space="preserve"> “such that there would be no way to determ</w:t>
      </w:r>
      <w:r w:rsidRPr="00373C11">
        <w:t>ine whether a judgment in the pending action is ‘more favorable’ than the value of those claims</w:t>
      </w:r>
      <w:r w:rsidRPr="00373C11">
        <w:t xml:space="preserve">.” </w:t>
      </w:r>
      <w:r w:rsidRPr="00373C11">
        <w:t xml:space="preserve"> T</w:t>
      </w:r>
      <w:r w:rsidRPr="00373C11">
        <w:t xml:space="preserve">he trial court denied </w:t>
      </w:r>
      <w:r w:rsidRPr="00373C11">
        <w:t>CERT’s</w:t>
      </w:r>
      <w:r w:rsidRPr="00373C11">
        <w:t xml:space="preserve"> motion and awarded the requested </w:t>
      </w:r>
      <w:r w:rsidRPr="00373C11">
        <w:t xml:space="preserve">post-offer </w:t>
      </w:r>
      <w:r w:rsidRPr="00373C11">
        <w:t>costs.</w:t>
      </w:r>
      <w:r>
        <w:rPr>
          <w:rStyle w:val="FootnoteReference"/>
        </w:rPr>
        <w:footnoteReference w:id="17"/>
      </w:r>
      <w:r w:rsidRPr="00373C11">
        <w:t xml:space="preserve"> </w:t>
      </w:r>
    </w:p>
    <w:p w14:paraId="14DBAA7F" w14:textId="77777777" w:rsidR="0090639E" w:rsidRPr="00373C11" w:rsidRDefault="00C25CF2" w:rsidP="00E81151">
      <w:pPr>
        <w:spacing w:line="288" w:lineRule="auto"/>
      </w:pPr>
    </w:p>
    <w:p w14:paraId="4A289032" w14:textId="77777777" w:rsidR="00D8041F" w:rsidRPr="00373C11" w:rsidRDefault="00C25CF2" w:rsidP="00E81151">
      <w:pPr>
        <w:keepNext/>
        <w:numPr>
          <w:ilvl w:val="1"/>
          <w:numId w:val="2"/>
        </w:numPr>
        <w:tabs>
          <w:tab w:val="left" w:pos="1080"/>
        </w:tabs>
        <w:spacing w:after="120" w:line="288" w:lineRule="auto"/>
        <w:outlineLvl w:val="2"/>
      </w:pPr>
      <w:r w:rsidRPr="00373C11">
        <w:rPr>
          <w:bCs/>
        </w:rPr>
        <w:t>Applicable Law</w:t>
      </w:r>
    </w:p>
    <w:p w14:paraId="1130A1A3" w14:textId="77777777" w:rsidR="0090639E" w:rsidRPr="00373C11" w:rsidRDefault="00C25CF2" w:rsidP="00E81151">
      <w:pPr>
        <w:spacing w:line="288" w:lineRule="auto"/>
      </w:pPr>
      <w:r w:rsidRPr="00373C11">
        <w:t xml:space="preserve">“On a motion to strike or tax costs, ‘[t]he burden is on </w:t>
      </w:r>
      <w:r w:rsidRPr="00373C11">
        <w:t>the offering party to demonstrate that the offer is valid under section 998.’  [Citations.]  ‘The offer must be strictly construed in favor of the party sought to be bound by it.’  [Citations.]  ‘“We independently review whether a section 998 settlement of</w:t>
      </w:r>
      <w:r w:rsidRPr="00373C11">
        <w:t>fer was valid.  In our review, we interpret any ambiguity in the offer against its proponent.”’”  (</w:t>
      </w:r>
      <w:bookmarkStart w:id="54" w:name="dabmci_bb8e91a6febe429db3ef9bc40392db80"/>
      <w:r w:rsidRPr="00373C11">
        <w:rPr>
          <w:i/>
          <w:iCs/>
        </w:rPr>
        <w:t>Khosravan v. Chevron Corp.</w:t>
      </w:r>
      <w:r w:rsidRPr="00373C11">
        <w:t xml:space="preserve"> (2021) 66 Cal.App.5th 288, 294</w:t>
      </w:r>
      <w:r w:rsidRPr="00373C11">
        <w:noBreakHyphen/>
      </w:r>
      <w:r w:rsidRPr="00373C11">
        <w:t>295</w:t>
      </w:r>
      <w:bookmarkEnd w:id="54"/>
      <w:r w:rsidRPr="00373C11">
        <w:t>.)</w:t>
      </w:r>
    </w:p>
    <w:p w14:paraId="11B5AB08" w14:textId="77777777" w:rsidR="00770661" w:rsidRPr="00373C11" w:rsidRDefault="00C25CF2" w:rsidP="006C1A9A">
      <w:pPr>
        <w:spacing w:line="288" w:lineRule="auto"/>
      </w:pPr>
      <w:r w:rsidRPr="00373C11">
        <w:t>Under section 998, “any party may serve an offer in</w:t>
      </w:r>
      <w:r w:rsidRPr="00373C11">
        <w:t xml:space="preserve"> </w:t>
      </w:r>
      <w:r w:rsidRPr="00373C11">
        <w:t xml:space="preserve">writing upon any other party to the action to allow judgment to be taken or an award to be entered in accordance with the terms and conditions stated at that time.”  (§ 998, subd. (b).)  </w:t>
      </w:r>
      <w:r w:rsidRPr="00373C11">
        <w:t>“I</w:t>
      </w:r>
      <w:r w:rsidRPr="00373C11">
        <w:t>f an offer made by a defendant is not accepted and the plaintiff fa</w:t>
      </w:r>
      <w:r w:rsidRPr="00373C11">
        <w:t xml:space="preserve">ils to obtain a more favorable judgment,” the plaintiff must “pay the defendant’s costs from the time of the offer,” and the court has discretion to “require the plaintiff to </w:t>
      </w:r>
      <w:r w:rsidRPr="00373C11">
        <w:lastRenderedPageBreak/>
        <w:t>pay a reasonable sum to cover postoffer costs of the services of expert witnesses</w:t>
      </w:r>
      <w:r w:rsidRPr="00373C11">
        <w:t xml:space="preserve"> . . . .”  </w:t>
      </w:r>
      <w:r w:rsidRPr="00373C11">
        <w:t>(§ 998, subd. (</w:t>
      </w:r>
      <w:r w:rsidRPr="00373C11">
        <w:t>c</w:t>
      </w:r>
      <w:r w:rsidRPr="00373C11">
        <w:t>)</w:t>
      </w:r>
      <w:r w:rsidRPr="00373C11">
        <w:t>(1)</w:t>
      </w:r>
      <w:r w:rsidRPr="00373C11">
        <w:t>.)</w:t>
      </w:r>
    </w:p>
    <w:p w14:paraId="016F09F5" w14:textId="77777777" w:rsidR="00B36B88" w:rsidRPr="00373C11" w:rsidRDefault="00C25CF2" w:rsidP="00E81151">
      <w:pPr>
        <w:spacing w:line="288" w:lineRule="auto"/>
      </w:pPr>
      <w:r w:rsidRPr="00373C11">
        <w:t xml:space="preserve">Because </w:t>
      </w:r>
      <w:r w:rsidRPr="00373C11">
        <w:t>s</w:t>
      </w:r>
      <w:r w:rsidRPr="00373C11">
        <w:t xml:space="preserve">ection 998 requires a </w:t>
      </w:r>
      <w:r w:rsidRPr="00373C11">
        <w:t xml:space="preserve">determination </w:t>
      </w:r>
      <w:r w:rsidRPr="00373C11">
        <w:t xml:space="preserve">whether </w:t>
      </w:r>
      <w:r w:rsidRPr="00373C11">
        <w:t xml:space="preserve">the </w:t>
      </w:r>
      <w:r w:rsidRPr="00373C11">
        <w:t>offer’s terms were</w:t>
      </w:r>
      <w:r w:rsidRPr="00373C11">
        <w:t xml:space="preserve"> more favorable than</w:t>
      </w:r>
      <w:r w:rsidRPr="00373C11">
        <w:t xml:space="preserve"> </w:t>
      </w:r>
      <w:r w:rsidRPr="00373C11">
        <w:t xml:space="preserve">the </w:t>
      </w:r>
      <w:r w:rsidRPr="00373C11">
        <w:t xml:space="preserve">judgment, </w:t>
      </w:r>
      <w:r w:rsidRPr="00373C11">
        <w:t xml:space="preserve">the offer must </w:t>
      </w:r>
      <w:r w:rsidRPr="00373C11">
        <w:t xml:space="preserve">not include a release of claims </w:t>
      </w:r>
      <w:r w:rsidRPr="00373C11">
        <w:t>beyond those involved in the litigation.  (</w:t>
      </w:r>
      <w:bookmarkStart w:id="55" w:name="dabmci_54a93cfbb6e54495afc9cbf93755e30d"/>
      <w:r w:rsidRPr="00373C11">
        <w:rPr>
          <w:i/>
          <w:iCs/>
        </w:rPr>
        <w:t>Ignacio v. Caracciolo</w:t>
      </w:r>
      <w:r w:rsidRPr="00373C11">
        <w:t xml:space="preserve"> </w:t>
      </w:r>
      <w:r w:rsidRPr="00373C11">
        <w:t>(2016) 2 Cal.App.5th 81, 86-87</w:t>
      </w:r>
      <w:r w:rsidRPr="00373C11">
        <w:t xml:space="preserve"> (</w:t>
      </w:r>
      <w:r w:rsidRPr="00373C11">
        <w:rPr>
          <w:i/>
          <w:iCs/>
        </w:rPr>
        <w:t>Ignacio</w:t>
      </w:r>
      <w:r w:rsidRPr="00373C11">
        <w:t>)</w:t>
      </w:r>
      <w:bookmarkEnd w:id="55"/>
      <w:r w:rsidRPr="00373C11">
        <w:t xml:space="preserve">; see </w:t>
      </w:r>
      <w:bookmarkStart w:id="56" w:name="dabmci_74527b79e3b442b6b88414c8b552fa6e"/>
      <w:r w:rsidRPr="00373C11">
        <w:rPr>
          <w:i/>
          <w:iCs/>
        </w:rPr>
        <w:t>id.</w:t>
      </w:r>
      <w:r w:rsidRPr="00373C11">
        <w:t xml:space="preserve"> at 87</w:t>
      </w:r>
      <w:bookmarkEnd w:id="56"/>
      <w:r w:rsidRPr="00373C11">
        <w:t xml:space="preserve"> [“</w:t>
      </w:r>
      <w:r w:rsidRPr="00373C11">
        <w:t>Requiring resolution of potential unfiled claims not encompassed by the pending action renders the offer incapable of valuation</w:t>
      </w:r>
      <w:r w:rsidRPr="00373C11">
        <w:t xml:space="preserve">”].)  </w:t>
      </w:r>
      <w:r w:rsidRPr="00373C11">
        <w:t>Thus</w:t>
      </w:r>
      <w:r w:rsidRPr="00373C11">
        <w:t xml:space="preserve">, in </w:t>
      </w:r>
      <w:bookmarkStart w:id="57" w:name="dabmci_bc0c5d22807f44e29991b00374781ecd"/>
      <w:r w:rsidRPr="00373C11">
        <w:rPr>
          <w:i/>
          <w:iCs/>
        </w:rPr>
        <w:t>Ignacio</w:t>
      </w:r>
      <w:bookmarkEnd w:id="57"/>
      <w:r w:rsidRPr="00373C11">
        <w:t xml:space="preserve">, </w:t>
      </w:r>
      <w:r w:rsidRPr="00373C11">
        <w:t xml:space="preserve">the court held </w:t>
      </w:r>
      <w:r w:rsidRPr="00373C11">
        <w:t xml:space="preserve">a </w:t>
      </w:r>
      <w:r w:rsidRPr="00373C11">
        <w:t>s</w:t>
      </w:r>
      <w:r w:rsidRPr="00373C11">
        <w:t xml:space="preserve">ection 998 offer </w:t>
      </w:r>
      <w:r w:rsidRPr="00373C11">
        <w:t xml:space="preserve">invalid because it </w:t>
      </w:r>
      <w:r w:rsidRPr="00373C11">
        <w:t xml:space="preserve">went “well beyond the scope of the litigation,” </w:t>
      </w:r>
      <w:r w:rsidRPr="00373C11">
        <w:t>requir</w:t>
      </w:r>
      <w:r w:rsidRPr="00373C11">
        <w:t>ing</w:t>
      </w:r>
      <w:r w:rsidRPr="00373C11">
        <w:t xml:space="preserve"> </w:t>
      </w:r>
      <w:r w:rsidRPr="00373C11">
        <w:t xml:space="preserve">the release of </w:t>
      </w:r>
      <w:r w:rsidRPr="00373C11">
        <w:t>“</w:t>
      </w:r>
      <w:r w:rsidRPr="00373C11">
        <w:t>‘</w:t>
      </w:r>
      <w:r w:rsidRPr="00373C11">
        <w:t>any and all claims</w:t>
      </w:r>
      <w:r w:rsidRPr="00373C11">
        <w:t>’</w:t>
      </w:r>
      <w:r w:rsidRPr="00373C11">
        <w:t xml:space="preserve"> the releasees may have against the releasors </w:t>
      </w:r>
      <w:r w:rsidRPr="00373C11">
        <w:t>‘</w:t>
      </w:r>
      <w:r w:rsidRPr="00373C11">
        <w:t>whether now known or unknown, suspected or unsuspected, that have existed or ma</w:t>
      </w:r>
      <w:r w:rsidRPr="00373C11">
        <w:t>y have existed or which do exist, or which hereinafter can, shall or may exist</w:t>
      </w:r>
      <w:r w:rsidRPr="00373C11">
        <w:t xml:space="preserve"> . . . .’</w:t>
      </w:r>
      <w:r w:rsidRPr="00373C11">
        <w:t>”</w:t>
      </w:r>
      <w:r w:rsidRPr="00373C11">
        <w:t xml:space="preserve">  (</w:t>
      </w:r>
      <w:bookmarkStart w:id="58" w:name="dabmci_2dbee7b4992b4f57851812c1d379673e"/>
      <w:r w:rsidRPr="00373C11">
        <w:rPr>
          <w:i/>
          <w:iCs/>
        </w:rPr>
        <w:t>I</w:t>
      </w:r>
      <w:bookmarkEnd w:id="58"/>
      <w:r w:rsidRPr="00373C11">
        <w:rPr>
          <w:i/>
          <w:iCs/>
        </w:rPr>
        <w:t xml:space="preserve">gnacio, </w:t>
      </w:r>
      <w:bookmarkStart w:id="59" w:name="dabmci_f3c1aada29f4416cafb2b9d992add5ba"/>
      <w:r w:rsidRPr="00373C11">
        <w:rPr>
          <w:i/>
          <w:iCs/>
        </w:rPr>
        <w:t>sup</w:t>
      </w:r>
      <w:r w:rsidRPr="00373C11">
        <w:rPr>
          <w:i/>
          <w:iCs/>
        </w:rPr>
        <w:t>ra,</w:t>
      </w:r>
      <w:r w:rsidRPr="00373C11">
        <w:t xml:space="preserve"> at </w:t>
      </w:r>
      <w:r w:rsidRPr="00373C11">
        <w:t>89</w:t>
      </w:r>
      <w:bookmarkEnd w:id="59"/>
      <w:r w:rsidRPr="00373C11">
        <w:t xml:space="preserve">.)  </w:t>
      </w:r>
      <w:r w:rsidRPr="00373C11">
        <w:t xml:space="preserve">The </w:t>
      </w:r>
      <w:r w:rsidRPr="00373C11">
        <w:rPr>
          <w:i/>
          <w:iCs/>
        </w:rPr>
        <w:t>Ignacio</w:t>
      </w:r>
      <w:r w:rsidRPr="00373C11">
        <w:t xml:space="preserve"> court noted that the </w:t>
      </w:r>
      <w:r w:rsidRPr="00373C11">
        <w:t>plaintiff-offeree</w:t>
      </w:r>
      <w:r w:rsidRPr="00373C11">
        <w:t xml:space="preserve"> had identified before the trial court a claim </w:t>
      </w:r>
      <w:r w:rsidRPr="00373C11">
        <w:t xml:space="preserve">that was </w:t>
      </w:r>
      <w:r w:rsidRPr="00373C11">
        <w:t xml:space="preserve">not involved </w:t>
      </w:r>
      <w:r w:rsidRPr="00373C11">
        <w:t xml:space="preserve">in the pending </w:t>
      </w:r>
      <w:r w:rsidRPr="00373C11">
        <w:t>litigation but would have been encompassed by the release.  (</w:t>
      </w:r>
      <w:bookmarkStart w:id="60" w:name="dabmci_a95fd841389d49d8a6ba44e9389ec275"/>
      <w:r w:rsidRPr="00373C11">
        <w:rPr>
          <w:i/>
          <w:iCs/>
        </w:rPr>
        <w:t>Id.</w:t>
      </w:r>
      <w:r w:rsidRPr="00373C11">
        <w:t xml:space="preserve"> at 90</w:t>
      </w:r>
      <w:bookmarkEnd w:id="60"/>
      <w:r w:rsidRPr="00373C11">
        <w:t xml:space="preserve">.)  </w:t>
      </w:r>
      <w:r w:rsidRPr="00373C11">
        <w:t xml:space="preserve">Because the proposed release of extraneous claims </w:t>
      </w:r>
      <w:r w:rsidRPr="00373C11">
        <w:t>made</w:t>
      </w:r>
      <w:r w:rsidRPr="00373C11">
        <w:t xml:space="preserve"> the offer incapable of valuation, </w:t>
      </w:r>
      <w:r w:rsidRPr="00373C11">
        <w:t xml:space="preserve">the court concluded the offer was invalid for purposes of </w:t>
      </w:r>
      <w:r w:rsidRPr="00373C11">
        <w:t>s</w:t>
      </w:r>
      <w:r w:rsidRPr="00373C11">
        <w:t>ection 998.  (</w:t>
      </w:r>
      <w:bookmarkStart w:id="61" w:name="dabmci_0da4c3a37eff4b0ca627dda4ab1e5774"/>
      <w:r w:rsidRPr="00373C11">
        <w:rPr>
          <w:i/>
          <w:iCs/>
        </w:rPr>
        <w:t>I</w:t>
      </w:r>
      <w:bookmarkEnd w:id="61"/>
      <w:r w:rsidRPr="00373C11">
        <w:rPr>
          <w:i/>
          <w:iCs/>
        </w:rPr>
        <w:t xml:space="preserve">gnacio, </w:t>
      </w:r>
      <w:bookmarkStart w:id="62" w:name="dabmci_42a4c439ead84021be48d341214dd90e"/>
      <w:r w:rsidRPr="00373C11">
        <w:rPr>
          <w:i/>
          <w:iCs/>
        </w:rPr>
        <w:t>supra,</w:t>
      </w:r>
      <w:r w:rsidRPr="00373C11">
        <w:t xml:space="preserve"> at 8</w:t>
      </w:r>
      <w:r w:rsidRPr="00373C11">
        <w:t>7, 89-90</w:t>
      </w:r>
      <w:bookmarkEnd w:id="62"/>
      <w:r w:rsidRPr="00373C11">
        <w:t>.)</w:t>
      </w:r>
    </w:p>
    <w:p w14:paraId="1BDDAA63" w14:textId="77777777" w:rsidR="0083506C" w:rsidRPr="00373C11" w:rsidRDefault="00C25CF2" w:rsidP="00E81151">
      <w:pPr>
        <w:spacing w:line="288" w:lineRule="auto"/>
      </w:pPr>
      <w:r w:rsidRPr="00373C11">
        <w:t xml:space="preserve">Similarly, in </w:t>
      </w:r>
      <w:bookmarkStart w:id="63" w:name="dabmci_e3bcaa4d06644549a026e7c245abe0e2"/>
      <w:r w:rsidRPr="00373C11">
        <w:rPr>
          <w:i/>
          <w:iCs/>
        </w:rPr>
        <w:t>Chen v. Interinsurance Exchange of the Automobile Club</w:t>
      </w:r>
      <w:r w:rsidRPr="00373C11">
        <w:t xml:space="preserve"> (2008) 164 Cal.App.4th 117</w:t>
      </w:r>
      <w:r w:rsidRPr="00373C11">
        <w:t xml:space="preserve"> (</w:t>
      </w:r>
      <w:r w:rsidRPr="00373C11">
        <w:rPr>
          <w:i/>
          <w:iCs/>
        </w:rPr>
        <w:t>Chen</w:t>
      </w:r>
      <w:r w:rsidRPr="00373C11">
        <w:t>)</w:t>
      </w:r>
      <w:bookmarkEnd w:id="63"/>
      <w:r w:rsidRPr="00373C11">
        <w:t xml:space="preserve">, </w:t>
      </w:r>
      <w:r w:rsidRPr="00373C11">
        <w:t>the court deemed an offer invalid because it required a “</w:t>
      </w:r>
      <w:r w:rsidRPr="00373C11">
        <w:t>‘</w:t>
      </w:r>
      <w:r w:rsidRPr="00373C11">
        <w:t>general release of all claims</w:t>
      </w:r>
      <w:r w:rsidRPr="00373C11">
        <w:t>.</w:t>
      </w:r>
      <w:r w:rsidRPr="00373C11">
        <w:t>’</w:t>
      </w:r>
      <w:r w:rsidRPr="00373C11">
        <w:t>”</w:t>
      </w:r>
      <w:r w:rsidRPr="00373C11">
        <w:t xml:space="preserve">  (</w:t>
      </w:r>
      <w:bookmarkStart w:id="64" w:name="dabmci_4535b850cc0e448a94adbf7a56967c63"/>
      <w:r w:rsidRPr="00373C11">
        <w:rPr>
          <w:i/>
          <w:iCs/>
        </w:rPr>
        <w:t>Id.</w:t>
      </w:r>
      <w:r w:rsidRPr="00373C11">
        <w:t xml:space="preserve"> at 122</w:t>
      </w:r>
      <w:bookmarkEnd w:id="64"/>
      <w:r w:rsidRPr="00373C11">
        <w:t xml:space="preserve">.)  </w:t>
      </w:r>
      <w:r w:rsidRPr="00373C11">
        <w:t xml:space="preserve">The court reasoned that the </w:t>
      </w:r>
      <w:r w:rsidRPr="00373C11">
        <w:t>requir</w:t>
      </w:r>
      <w:r w:rsidRPr="00373C11">
        <w:t xml:space="preserve">ed release was at least ambiguous as to whether it </w:t>
      </w:r>
      <w:r w:rsidRPr="00373C11">
        <w:lastRenderedPageBreak/>
        <w:t xml:space="preserve">applied to a pending </w:t>
      </w:r>
      <w:r w:rsidRPr="00373C11">
        <w:t xml:space="preserve">insurance </w:t>
      </w:r>
      <w:r w:rsidRPr="00373C11">
        <w:t xml:space="preserve">claim outside </w:t>
      </w:r>
      <w:r w:rsidRPr="00373C11">
        <w:t xml:space="preserve">the scope of the litigation, </w:t>
      </w:r>
      <w:r w:rsidRPr="00373C11">
        <w:t>rendering the offer incapable of valuation.  (</w:t>
      </w:r>
      <w:bookmarkStart w:id="65" w:name="dabmci_28b33dc8b6964332abe0397e55f38e47"/>
      <w:r w:rsidRPr="00373C11">
        <w:rPr>
          <w:i/>
          <w:iCs/>
        </w:rPr>
        <w:t>Id.</w:t>
      </w:r>
      <w:r w:rsidRPr="00373C11">
        <w:t xml:space="preserve"> at 122-123</w:t>
      </w:r>
      <w:bookmarkEnd w:id="65"/>
      <w:r w:rsidRPr="00373C11">
        <w:t xml:space="preserve">.) </w:t>
      </w:r>
      <w:r w:rsidRPr="00373C11">
        <w:t xml:space="preserve"> </w:t>
      </w:r>
    </w:p>
    <w:p w14:paraId="21DE5C27" w14:textId="77777777" w:rsidR="00DC7369" w:rsidRPr="00373C11" w:rsidRDefault="00C25CF2" w:rsidP="00E81151">
      <w:pPr>
        <w:spacing w:line="288" w:lineRule="auto"/>
      </w:pPr>
    </w:p>
    <w:p w14:paraId="6A820E62" w14:textId="77777777" w:rsidR="00D8041F" w:rsidRPr="00373C11" w:rsidRDefault="00C25CF2" w:rsidP="00E81151">
      <w:pPr>
        <w:keepNext/>
        <w:numPr>
          <w:ilvl w:val="1"/>
          <w:numId w:val="2"/>
        </w:numPr>
        <w:tabs>
          <w:tab w:val="left" w:pos="1080"/>
        </w:tabs>
        <w:spacing w:after="120" w:line="288" w:lineRule="auto"/>
        <w:outlineLvl w:val="2"/>
        <w:rPr>
          <w:bCs/>
          <w:i/>
          <w:iCs/>
        </w:rPr>
      </w:pPr>
      <w:r w:rsidRPr="00373C11">
        <w:rPr>
          <w:bCs/>
        </w:rPr>
        <w:t>Analysis</w:t>
      </w:r>
    </w:p>
    <w:p w14:paraId="1A6EAF5E" w14:textId="77777777" w:rsidR="0013035B" w:rsidRPr="00373C11" w:rsidRDefault="00C25CF2" w:rsidP="00E81151">
      <w:pPr>
        <w:spacing w:line="288" w:lineRule="auto"/>
      </w:pPr>
      <w:r w:rsidRPr="00373C11">
        <w:t xml:space="preserve">The </w:t>
      </w:r>
      <w:r w:rsidRPr="00373C11">
        <w:t>individual</w:t>
      </w:r>
      <w:r w:rsidRPr="00373C11">
        <w:t>-capacity</w:t>
      </w:r>
      <w:r w:rsidRPr="00373C11">
        <w:t xml:space="preserve"> </w:t>
      </w:r>
      <w:r w:rsidRPr="00373C11">
        <w:t xml:space="preserve">general releases included </w:t>
      </w:r>
      <w:r w:rsidRPr="00373C11">
        <w:t xml:space="preserve">in the </w:t>
      </w:r>
      <w:r w:rsidRPr="00373C11">
        <w:t>s</w:t>
      </w:r>
      <w:r w:rsidRPr="00373C11">
        <w:t>ection 998 respondents’ compromise offers were overly broad, as they encompassed claims beyond the scope of this litigation.</w:t>
      </w:r>
      <w:r w:rsidRPr="00373C11">
        <w:t xml:space="preserve">  </w:t>
      </w:r>
      <w:r w:rsidRPr="00373C11">
        <w:t>As noted, t</w:t>
      </w:r>
      <w:r w:rsidRPr="00373C11">
        <w:t xml:space="preserve">hose releases </w:t>
      </w:r>
      <w:r w:rsidRPr="00373C11">
        <w:t>would have applied to “</w:t>
      </w:r>
      <w:r w:rsidRPr="00373C11">
        <w:t>all Claims</w:t>
      </w:r>
      <w:r w:rsidRPr="00373C11">
        <w:t xml:space="preserve"> </w:t>
      </w:r>
      <w:r w:rsidRPr="00373C11">
        <w:t>. . . known or unknown</w:t>
      </w:r>
      <w:r w:rsidRPr="00373C11">
        <w:t xml:space="preserve"> . . .</w:t>
      </w:r>
      <w:r w:rsidRPr="00373C11">
        <w:t xml:space="preserve"> arising </w:t>
      </w:r>
      <w:r w:rsidRPr="00373C11">
        <w:t xml:space="preserve">under Proposition 65 or for an alleged failure to provide warnings for exposures to acrylamide.” </w:t>
      </w:r>
      <w:r w:rsidRPr="00373C11">
        <w:t xml:space="preserve"> </w:t>
      </w:r>
      <w:r w:rsidRPr="00373C11">
        <w:t xml:space="preserve">While the </w:t>
      </w:r>
      <w:r w:rsidRPr="00373C11">
        <w:t xml:space="preserve">release would have applied only to Prop. 65 claims, </w:t>
      </w:r>
      <w:r w:rsidRPr="00373C11">
        <w:t xml:space="preserve">the </w:t>
      </w:r>
      <w:r w:rsidRPr="00373C11">
        <w:t>s</w:t>
      </w:r>
      <w:r w:rsidRPr="00373C11">
        <w:t xml:space="preserve">ection 998 </w:t>
      </w:r>
      <w:r w:rsidRPr="00373C11">
        <w:t>respondent</w:t>
      </w:r>
      <w:r w:rsidRPr="00373C11">
        <w:t>s</w:t>
      </w:r>
      <w:r w:rsidRPr="00373C11">
        <w:t xml:space="preserve"> point to nothing in their language that would have limited them to </w:t>
      </w:r>
      <w:r w:rsidRPr="00373C11">
        <w:t>t</w:t>
      </w:r>
      <w:r w:rsidRPr="00373C11">
        <w:t xml:space="preserve">he claims involved in CERT’s actions, and we </w:t>
      </w:r>
      <w:r w:rsidRPr="00373C11">
        <w:t xml:space="preserve">see </w:t>
      </w:r>
      <w:r w:rsidRPr="00373C11">
        <w:t xml:space="preserve">no such </w:t>
      </w:r>
      <w:r w:rsidRPr="00373C11">
        <w:t>limitation</w:t>
      </w:r>
      <w:r w:rsidRPr="00373C11">
        <w:t xml:space="preserve">. </w:t>
      </w:r>
      <w:r w:rsidRPr="00373C11">
        <w:t xml:space="preserve"> Because the releases</w:t>
      </w:r>
      <w:r w:rsidRPr="00373C11">
        <w:t xml:space="preserve"> extended beyond the scope of the litigation, they </w:t>
      </w:r>
      <w:r w:rsidRPr="00373C11">
        <w:t xml:space="preserve">invalidated </w:t>
      </w:r>
      <w:r w:rsidRPr="00373C11">
        <w:t xml:space="preserve">the compromise offers.  (See </w:t>
      </w:r>
      <w:bookmarkStart w:id="66" w:name="dabmci_dd51155f809745d3a55a37b71909d06a"/>
      <w:r w:rsidRPr="00373C11">
        <w:rPr>
          <w:i/>
          <w:iCs/>
        </w:rPr>
        <w:t>Ignacio</w:t>
      </w:r>
      <w:r w:rsidRPr="00373C11">
        <w:t xml:space="preserve">, </w:t>
      </w:r>
      <w:r w:rsidRPr="00373C11">
        <w:rPr>
          <w:i/>
          <w:iCs/>
        </w:rPr>
        <w:t>supra</w:t>
      </w:r>
      <w:r w:rsidRPr="00373C11">
        <w:t>,</w:t>
      </w:r>
      <w:r w:rsidRPr="00373C11">
        <w:rPr>
          <w:i/>
          <w:iCs/>
        </w:rPr>
        <w:t xml:space="preserve"> </w:t>
      </w:r>
      <w:r w:rsidRPr="00373C11">
        <w:t xml:space="preserve">2 Cal.App.5th </w:t>
      </w:r>
      <w:r w:rsidRPr="00373C11">
        <w:t>at</w:t>
      </w:r>
      <w:r w:rsidRPr="00373C11">
        <w:t xml:space="preserve"> 86-87</w:t>
      </w:r>
      <w:bookmarkEnd w:id="66"/>
      <w:r w:rsidRPr="00373C11">
        <w:t xml:space="preserve">; </w:t>
      </w:r>
      <w:bookmarkStart w:id="67" w:name="dabmci_efbb37d369264186a96070b88046ef71"/>
      <w:r w:rsidRPr="00373C11">
        <w:rPr>
          <w:i/>
          <w:iCs/>
        </w:rPr>
        <w:t>Chen</w:t>
      </w:r>
      <w:r w:rsidRPr="00373C11">
        <w:t xml:space="preserve">, </w:t>
      </w:r>
      <w:r w:rsidRPr="00373C11">
        <w:rPr>
          <w:i/>
          <w:iCs/>
        </w:rPr>
        <w:t>supra</w:t>
      </w:r>
      <w:r w:rsidRPr="00373C11">
        <w:t>,</w:t>
      </w:r>
      <w:r w:rsidRPr="00373C11">
        <w:rPr>
          <w:i/>
          <w:iCs/>
        </w:rPr>
        <w:t xml:space="preserve"> </w:t>
      </w:r>
      <w:r w:rsidRPr="00373C11">
        <w:t xml:space="preserve">164 Cal.App.4th </w:t>
      </w:r>
      <w:r w:rsidRPr="00373C11">
        <w:t xml:space="preserve">at </w:t>
      </w:r>
      <w:r w:rsidRPr="00373C11">
        <w:t>122</w:t>
      </w:r>
      <w:bookmarkEnd w:id="67"/>
      <w:r w:rsidRPr="00373C11">
        <w:t xml:space="preserve">.)  </w:t>
      </w:r>
    </w:p>
    <w:p w14:paraId="234A5835" w14:textId="77777777" w:rsidR="00FD577A" w:rsidRPr="00373C11" w:rsidRDefault="00C25CF2" w:rsidP="00E81151">
      <w:pPr>
        <w:spacing w:line="288" w:lineRule="auto"/>
      </w:pPr>
      <w:r w:rsidRPr="00373C11">
        <w:t xml:space="preserve">The </w:t>
      </w:r>
      <w:r w:rsidRPr="00373C11">
        <w:t>s</w:t>
      </w:r>
      <w:r w:rsidRPr="00373C11">
        <w:t xml:space="preserve">ection 998 respondents argue the general releases </w:t>
      </w:r>
      <w:r w:rsidRPr="00373C11">
        <w:t xml:space="preserve">did not invalidate their statutory compromise offers for four reasons.  First, </w:t>
      </w:r>
      <w:r w:rsidRPr="00373C11">
        <w:t>they</w:t>
      </w:r>
      <w:r w:rsidRPr="00373C11">
        <w:t xml:space="preserve"> note that during the litigation, CERT approved </w:t>
      </w:r>
      <w:r w:rsidRPr="00373C11">
        <w:t xml:space="preserve">other defendants’ </w:t>
      </w:r>
      <w:r w:rsidRPr="00373C11">
        <w:t>s</w:t>
      </w:r>
      <w:r w:rsidRPr="00373C11">
        <w:t xml:space="preserve">ection 998 offers </w:t>
      </w:r>
      <w:r w:rsidRPr="00373C11">
        <w:t>contai</w:t>
      </w:r>
      <w:r w:rsidRPr="00373C11">
        <w:t>ning the same releases</w:t>
      </w:r>
      <w:r w:rsidRPr="00373C11">
        <w:t xml:space="preserve">.  </w:t>
      </w:r>
      <w:r w:rsidRPr="00373C11">
        <w:t xml:space="preserve">Citing no authority, </w:t>
      </w:r>
      <w:r w:rsidRPr="00373C11">
        <w:t xml:space="preserve">the </w:t>
      </w:r>
      <w:r w:rsidRPr="00373C11">
        <w:t>s</w:t>
      </w:r>
      <w:r w:rsidRPr="00373C11">
        <w:t>ection 998 respondents</w:t>
      </w:r>
      <w:r w:rsidRPr="00373C11">
        <w:t xml:space="preserve"> </w:t>
      </w:r>
      <w:r w:rsidRPr="00373C11">
        <w:t xml:space="preserve">argue, “The fact that such releases were standard for CERT . . . supports the conclusion that CERT was not prejudiced by such provisions, and that they were an appropriate part of a </w:t>
      </w:r>
      <w:r w:rsidRPr="00373C11">
        <w:t xml:space="preserve">proposed consent judgment under </w:t>
      </w:r>
      <w:r w:rsidRPr="00373C11">
        <w:lastRenderedPageBreak/>
        <w:t xml:space="preserve">Proposition 65.” </w:t>
      </w:r>
      <w:r w:rsidRPr="00373C11">
        <w:t xml:space="preserve"> </w:t>
      </w:r>
      <w:r w:rsidRPr="00373C11">
        <w:t xml:space="preserve">However, </w:t>
      </w:r>
      <w:r w:rsidRPr="00373C11">
        <w:t xml:space="preserve">the relevant question </w:t>
      </w:r>
      <w:r w:rsidRPr="00373C11">
        <w:t xml:space="preserve">under </w:t>
      </w:r>
      <w:r w:rsidRPr="00373C11">
        <w:t>s</w:t>
      </w:r>
      <w:r w:rsidRPr="00373C11">
        <w:t>ection 998</w:t>
      </w:r>
      <w:r w:rsidRPr="00373C11">
        <w:t xml:space="preserve"> is whether the offers allowed for a determination that the judgment was more favorable</w:t>
      </w:r>
      <w:r w:rsidRPr="00373C11">
        <w:t xml:space="preserve">, </w:t>
      </w:r>
      <w:r w:rsidRPr="00373C11">
        <w:t>not</w:t>
      </w:r>
      <w:r w:rsidRPr="00373C11">
        <w:t xml:space="preserve"> </w:t>
      </w:r>
      <w:r w:rsidRPr="00373C11">
        <w:t xml:space="preserve">whether the offers “prejudiced” </w:t>
      </w:r>
      <w:r w:rsidRPr="00373C11">
        <w:t xml:space="preserve">the offeree. </w:t>
      </w:r>
      <w:r w:rsidRPr="00373C11">
        <w:t xml:space="preserve"> </w:t>
      </w:r>
      <w:r w:rsidRPr="00373C11">
        <w:t>R</w:t>
      </w:r>
      <w:r w:rsidRPr="00373C11">
        <w:t xml:space="preserve">egardless of whether </w:t>
      </w:r>
      <w:r w:rsidRPr="00373C11">
        <w:t xml:space="preserve">CERT accepted other flawed </w:t>
      </w:r>
      <w:r w:rsidRPr="00373C11">
        <w:t>s</w:t>
      </w:r>
      <w:r w:rsidRPr="00373C11">
        <w:t>ection 998 offers</w:t>
      </w:r>
      <w:r w:rsidRPr="00373C11">
        <w:t xml:space="preserve">, </w:t>
      </w:r>
      <w:r w:rsidRPr="00373C11">
        <w:t xml:space="preserve">these respondents’ offers </w:t>
      </w:r>
      <w:r w:rsidRPr="00373C11">
        <w:t xml:space="preserve">required </w:t>
      </w:r>
      <w:r w:rsidRPr="00373C11">
        <w:rPr>
          <w:i/>
          <w:iCs/>
        </w:rPr>
        <w:t>the court</w:t>
      </w:r>
      <w:r w:rsidRPr="00373C11">
        <w:t xml:space="preserve"> </w:t>
      </w:r>
      <w:r w:rsidRPr="00373C11">
        <w:t xml:space="preserve">to </w:t>
      </w:r>
      <w:r w:rsidRPr="00373C11">
        <w:t xml:space="preserve">engage in </w:t>
      </w:r>
      <w:r w:rsidRPr="00373C11">
        <w:t xml:space="preserve">an impracticable </w:t>
      </w:r>
      <w:r w:rsidRPr="00373C11">
        <w:t>valu</w:t>
      </w:r>
      <w:r w:rsidRPr="00373C11">
        <w:t>ation</w:t>
      </w:r>
      <w:r w:rsidRPr="00373C11">
        <w:t xml:space="preserve"> </w:t>
      </w:r>
      <w:r w:rsidRPr="00373C11">
        <w:t xml:space="preserve">of </w:t>
      </w:r>
      <w:r w:rsidRPr="00373C11">
        <w:t>potential claims outside the scope of the litigation</w:t>
      </w:r>
      <w:r w:rsidRPr="00373C11">
        <w:t xml:space="preserve">, and were therefore invalid.  (See </w:t>
      </w:r>
      <w:bookmarkStart w:id="68" w:name="dabmci_aa89ac465efe45d48003beaf916eaba7"/>
      <w:r w:rsidRPr="00373C11">
        <w:rPr>
          <w:i/>
          <w:iCs/>
        </w:rPr>
        <w:t>Ignacio</w:t>
      </w:r>
      <w:r w:rsidRPr="00373C11">
        <w:t xml:space="preserve">, </w:t>
      </w:r>
      <w:r w:rsidRPr="00373C11">
        <w:rPr>
          <w:i/>
          <w:iCs/>
        </w:rPr>
        <w:t>sup</w:t>
      </w:r>
      <w:r w:rsidRPr="00373C11">
        <w:rPr>
          <w:i/>
          <w:iCs/>
        </w:rPr>
        <w:t>ra</w:t>
      </w:r>
      <w:r w:rsidRPr="00373C11">
        <w:t>,</w:t>
      </w:r>
      <w:r w:rsidRPr="00373C11">
        <w:rPr>
          <w:i/>
          <w:iCs/>
        </w:rPr>
        <w:t xml:space="preserve"> </w:t>
      </w:r>
      <w:r w:rsidRPr="00373C11">
        <w:t>2 Cal.App.5th at 87</w:t>
      </w:r>
      <w:bookmarkEnd w:id="68"/>
      <w:r w:rsidRPr="00373C11">
        <w:t xml:space="preserve">; </w:t>
      </w:r>
      <w:bookmarkStart w:id="69" w:name="dabmci_5796e0879f894bfc86579df9da5a5360"/>
      <w:r w:rsidRPr="00373C11">
        <w:rPr>
          <w:i/>
          <w:iCs/>
        </w:rPr>
        <w:t>Chen</w:t>
      </w:r>
      <w:r w:rsidRPr="00373C11">
        <w:t xml:space="preserve">, </w:t>
      </w:r>
      <w:r w:rsidRPr="00373C11">
        <w:rPr>
          <w:i/>
          <w:iCs/>
        </w:rPr>
        <w:t>supra</w:t>
      </w:r>
      <w:r w:rsidRPr="00373C11">
        <w:t>,</w:t>
      </w:r>
      <w:r w:rsidRPr="00373C11">
        <w:rPr>
          <w:i/>
          <w:iCs/>
        </w:rPr>
        <w:t xml:space="preserve"> </w:t>
      </w:r>
      <w:r w:rsidRPr="00373C11">
        <w:t>164 Cal.App.4th at 122-123</w:t>
      </w:r>
      <w:bookmarkEnd w:id="69"/>
      <w:r w:rsidRPr="00373C11">
        <w:t>)</w:t>
      </w:r>
    </w:p>
    <w:p w14:paraId="76269F6D" w14:textId="77777777" w:rsidR="00E70C36" w:rsidRPr="00373C11" w:rsidRDefault="00C25CF2" w:rsidP="00E81151">
      <w:pPr>
        <w:spacing w:line="288" w:lineRule="auto"/>
      </w:pPr>
      <w:r w:rsidRPr="00373C11">
        <w:t>Second, t</w:t>
      </w:r>
      <w:r w:rsidRPr="00373C11">
        <w:t xml:space="preserve">he </w:t>
      </w:r>
      <w:r w:rsidRPr="00373C11">
        <w:t>s</w:t>
      </w:r>
      <w:r w:rsidRPr="00373C11">
        <w:t xml:space="preserve">ection 998 respondents </w:t>
      </w:r>
      <w:r w:rsidRPr="00373C11">
        <w:t>state</w:t>
      </w:r>
      <w:r w:rsidRPr="00373C11">
        <w:t xml:space="preserve"> that </w:t>
      </w:r>
      <w:r w:rsidRPr="00373C11">
        <w:t xml:space="preserve">under </w:t>
      </w:r>
      <w:bookmarkStart w:id="70" w:name="dabmci_b2a4a5fac59246bf95ce119e21632dbb"/>
      <w:r w:rsidRPr="00373C11">
        <w:rPr>
          <w:i/>
          <w:iCs/>
        </w:rPr>
        <w:t>Goodstein v. Bank of San Pedro</w:t>
      </w:r>
      <w:r w:rsidRPr="00373C11">
        <w:t xml:space="preserve"> (1994) 27 Cal.App.4th 899</w:t>
      </w:r>
      <w:r w:rsidRPr="00373C11">
        <w:t xml:space="preserve"> (</w:t>
      </w:r>
      <w:r w:rsidRPr="00373C11">
        <w:rPr>
          <w:i/>
          <w:iCs/>
        </w:rPr>
        <w:t>Goodstein</w:t>
      </w:r>
      <w:r w:rsidRPr="00373C11">
        <w:t>)</w:t>
      </w:r>
      <w:bookmarkEnd w:id="70"/>
      <w:r w:rsidRPr="00373C11">
        <w:t xml:space="preserve">, </w:t>
      </w:r>
      <w:r w:rsidRPr="00373C11">
        <w:t xml:space="preserve">a valid statutory compromise offer may include a general release. </w:t>
      </w:r>
      <w:r w:rsidRPr="00373C11">
        <w:t xml:space="preserve"> </w:t>
      </w:r>
      <w:r w:rsidRPr="00373C11">
        <w:t xml:space="preserve">In </w:t>
      </w:r>
      <w:bookmarkStart w:id="71" w:name="dabmci_fbdc41b38e3a4176ae492f714cae58cd"/>
      <w:r w:rsidRPr="00373C11">
        <w:rPr>
          <w:i/>
          <w:iCs/>
        </w:rPr>
        <w:t>Goodstein</w:t>
      </w:r>
      <w:bookmarkEnd w:id="71"/>
      <w:r w:rsidRPr="00373C11">
        <w:t xml:space="preserve">, however, </w:t>
      </w:r>
      <w:r w:rsidRPr="00373C11">
        <w:t xml:space="preserve">the court concluded that a </w:t>
      </w:r>
      <w:r w:rsidRPr="00373C11">
        <w:t>“</w:t>
      </w:r>
      <w:r w:rsidRPr="00373C11">
        <w:t>general release</w:t>
      </w:r>
      <w:r w:rsidRPr="00373C11">
        <w:t>”</w:t>
      </w:r>
      <w:r w:rsidRPr="00373C11">
        <w:t xml:space="preserve"> </w:t>
      </w:r>
      <w:r w:rsidRPr="00373C11">
        <w:t>did not invalidate</w:t>
      </w:r>
      <w:r w:rsidRPr="00373C11">
        <w:t xml:space="preserve"> a statutory compromise offer after construing it to apply only to the litigation before it</w:t>
      </w:r>
      <w:r w:rsidRPr="00373C11">
        <w:t>.  (</w:t>
      </w:r>
      <w:bookmarkStart w:id="72" w:name="dabmci_649929a44bba4aa6885b5bb5f4ca1dea"/>
      <w:r w:rsidRPr="00373C11">
        <w:rPr>
          <w:i/>
          <w:iCs/>
        </w:rPr>
        <w:t>Goodstei</w:t>
      </w:r>
      <w:r w:rsidRPr="00373C11">
        <w:rPr>
          <w:i/>
          <w:iCs/>
        </w:rPr>
        <w:t>n</w:t>
      </w:r>
      <w:r w:rsidRPr="00373C11">
        <w:t xml:space="preserve"> </w:t>
      </w:r>
      <w:r w:rsidRPr="00373C11">
        <w:t>at</w:t>
      </w:r>
      <w:r w:rsidRPr="00373C11">
        <w:t xml:space="preserve"> 907</w:t>
      </w:r>
      <w:bookmarkEnd w:id="72"/>
      <w:r w:rsidRPr="00373C11">
        <w:t xml:space="preserve">; accord, </w:t>
      </w:r>
      <w:bookmarkStart w:id="73" w:name="dabmci_92a7c4c14279418a8cf8f1cedc3c99e4"/>
      <w:r w:rsidRPr="00373C11">
        <w:rPr>
          <w:i/>
          <w:iCs/>
        </w:rPr>
        <w:t>Ignacio</w:t>
      </w:r>
      <w:r w:rsidRPr="00373C11">
        <w:t xml:space="preserve">, </w:t>
      </w:r>
      <w:r w:rsidRPr="00373C11">
        <w:rPr>
          <w:i/>
          <w:iCs/>
        </w:rPr>
        <w:t>supra</w:t>
      </w:r>
      <w:r w:rsidRPr="00373C11">
        <w:t>, 2 Cal.App.5th at 89</w:t>
      </w:r>
      <w:bookmarkEnd w:id="73"/>
      <w:r w:rsidRPr="00373C11">
        <w:t xml:space="preserve"> [</w:t>
      </w:r>
      <w:r w:rsidRPr="00373C11">
        <w:t xml:space="preserve">“The rule to be taken from </w:t>
      </w:r>
      <w:r w:rsidRPr="00373C11">
        <w:rPr>
          <w:i/>
          <w:iCs/>
        </w:rPr>
        <w:t>Goodstein</w:t>
      </w:r>
      <w:r w:rsidRPr="00373C11">
        <w:t xml:space="preserve"> is not that a </w:t>
      </w:r>
      <w:r w:rsidRPr="00373C11">
        <w:t>‘</w:t>
      </w:r>
      <w:r w:rsidRPr="00373C11">
        <w:t>general release</w:t>
      </w:r>
      <w:r w:rsidRPr="00373C11">
        <w:t>’</w:t>
      </w:r>
      <w:r w:rsidRPr="00373C11">
        <w:t xml:space="preserve"> does not invalidate a section 998 offer; the rule is that a release of unknown claims arising only from the claim underlying the lit</w:t>
      </w:r>
      <w:r w:rsidRPr="00373C11">
        <w:t>igation itself does not invalidate the offer</w:t>
      </w:r>
      <w:r w:rsidRPr="00373C11">
        <w:t>”].</w:t>
      </w:r>
      <w:r w:rsidRPr="00373C11">
        <w:t xml:space="preserve">)  </w:t>
      </w:r>
      <w:r w:rsidRPr="00373C11">
        <w:t>We cannot similarly construe the release</w:t>
      </w:r>
      <w:r w:rsidRPr="00373C11">
        <w:t xml:space="preserve">s here, which </w:t>
      </w:r>
      <w:r w:rsidRPr="00373C11">
        <w:t xml:space="preserve">applied to </w:t>
      </w:r>
      <w:r w:rsidRPr="00373C11">
        <w:t>“</w:t>
      </w:r>
      <w:r w:rsidRPr="00373C11">
        <w:t>all</w:t>
      </w:r>
      <w:r w:rsidRPr="00373C11">
        <w:t xml:space="preserve"> </w:t>
      </w:r>
      <w:r w:rsidRPr="00373C11">
        <w:t>[</w:t>
      </w:r>
      <w:r w:rsidRPr="00373C11">
        <w:t>c</w:t>
      </w:r>
      <w:r w:rsidRPr="00373C11">
        <w:t>]</w:t>
      </w:r>
      <w:r w:rsidRPr="00373C11">
        <w:t>laim</w:t>
      </w:r>
      <w:r w:rsidRPr="00373C11">
        <w:t>s</w:t>
      </w:r>
      <w:r w:rsidRPr="00373C11">
        <w:t xml:space="preserve"> </w:t>
      </w:r>
      <w:r w:rsidRPr="00373C11">
        <w:t xml:space="preserve">. . . </w:t>
      </w:r>
      <w:r w:rsidRPr="00373C11">
        <w:t>under Prop. 65</w:t>
      </w:r>
      <w:r w:rsidRPr="00373C11">
        <w:t>.</w:t>
      </w:r>
      <w:r w:rsidRPr="00373C11">
        <w:t xml:space="preserve">” </w:t>
      </w:r>
      <w:r w:rsidRPr="00373C11">
        <w:t xml:space="preserve"> </w:t>
      </w:r>
    </w:p>
    <w:p w14:paraId="42BEFEF3" w14:textId="77777777" w:rsidR="00385EB9" w:rsidRPr="00373C11" w:rsidRDefault="00C25CF2" w:rsidP="00E81151">
      <w:pPr>
        <w:spacing w:line="288" w:lineRule="auto"/>
      </w:pPr>
      <w:r w:rsidRPr="00373C11">
        <w:t xml:space="preserve">Third, </w:t>
      </w:r>
      <w:r w:rsidRPr="00373C11">
        <w:t xml:space="preserve">the </w:t>
      </w:r>
      <w:r w:rsidRPr="00373C11">
        <w:t>s</w:t>
      </w:r>
      <w:r w:rsidRPr="00373C11">
        <w:t xml:space="preserve">ection 998 respondents </w:t>
      </w:r>
      <w:r w:rsidRPr="00373C11">
        <w:t>contend</w:t>
      </w:r>
      <w:r w:rsidRPr="00373C11">
        <w:t xml:space="preserve"> </w:t>
      </w:r>
      <w:r w:rsidRPr="00373C11">
        <w:t xml:space="preserve">that </w:t>
      </w:r>
      <w:r w:rsidRPr="00373C11">
        <w:t xml:space="preserve">to establish </w:t>
      </w:r>
      <w:r w:rsidRPr="00373C11">
        <w:t xml:space="preserve">that a release </w:t>
      </w:r>
      <w:r w:rsidRPr="00373C11">
        <w:t>was</w:t>
      </w:r>
      <w:r w:rsidRPr="00373C11">
        <w:t xml:space="preserve"> overbroad, the </w:t>
      </w:r>
      <w:r w:rsidRPr="00373C11">
        <w:t>offeree</w:t>
      </w:r>
      <w:r w:rsidRPr="00373C11">
        <w:t xml:space="preserve"> must identify a potential claim that would have been encompassed by the release but is beyond the scope of </w:t>
      </w:r>
      <w:r w:rsidRPr="00373C11">
        <w:t>the</w:t>
      </w:r>
      <w:r w:rsidRPr="00373C11">
        <w:t xml:space="preserve"> litigation</w:t>
      </w:r>
      <w:r w:rsidRPr="00373C11">
        <w:t xml:space="preserve">.  They contend CERT failed to do so, </w:t>
      </w:r>
      <w:r w:rsidRPr="00373C11">
        <w:t>both</w:t>
      </w:r>
      <w:r w:rsidRPr="00373C11">
        <w:t xml:space="preserve"> in the trial court </w:t>
      </w:r>
      <w:r w:rsidRPr="00373C11">
        <w:t>and</w:t>
      </w:r>
      <w:r w:rsidRPr="00373C11">
        <w:t xml:space="preserve"> on </w:t>
      </w:r>
      <w:r w:rsidRPr="00373C11">
        <w:lastRenderedPageBreak/>
        <w:t xml:space="preserve">appeal. </w:t>
      </w:r>
      <w:r w:rsidRPr="00373C11">
        <w:t xml:space="preserve"> </w:t>
      </w:r>
      <w:r w:rsidRPr="00373C11">
        <w:t xml:space="preserve">Assuming arguendo that </w:t>
      </w:r>
      <w:r w:rsidRPr="00373C11">
        <w:t>such a req</w:t>
      </w:r>
      <w:r w:rsidRPr="00373C11">
        <w:t xml:space="preserve">uirement exists, </w:t>
      </w:r>
      <w:r w:rsidRPr="00373C11">
        <w:t xml:space="preserve">no special effort is needed to identify </w:t>
      </w:r>
      <w:r w:rsidRPr="00373C11">
        <w:t xml:space="preserve">a qualifying potential claim </w:t>
      </w:r>
      <w:r w:rsidRPr="00373C11">
        <w:t>in</w:t>
      </w:r>
      <w:r w:rsidRPr="00373C11">
        <w:t xml:space="preserve"> th</w:t>
      </w:r>
      <w:r w:rsidRPr="00373C11">
        <w:t>is</w:t>
      </w:r>
      <w:r w:rsidRPr="00373C11">
        <w:t xml:space="preserve"> </w:t>
      </w:r>
      <w:r w:rsidRPr="00373C11">
        <w:t>case</w:t>
      </w:r>
      <w:r w:rsidRPr="00373C11">
        <w:t xml:space="preserve">.  </w:t>
      </w:r>
      <w:r w:rsidRPr="00373C11">
        <w:t xml:space="preserve">As discussed above, </w:t>
      </w:r>
      <w:r w:rsidRPr="00373C11">
        <w:t xml:space="preserve">and as </w:t>
      </w:r>
      <w:r w:rsidRPr="00373C11">
        <w:t xml:space="preserve">these </w:t>
      </w:r>
      <w:r w:rsidRPr="00373C11">
        <w:t xml:space="preserve">respondents themselves </w:t>
      </w:r>
      <w:r w:rsidRPr="00373C11">
        <w:t>argue</w:t>
      </w:r>
      <w:r w:rsidRPr="00373C11">
        <w:t xml:space="preserve"> in the context of summary judgment</w:t>
      </w:r>
      <w:r w:rsidRPr="00373C11">
        <w:t xml:space="preserve">, </w:t>
      </w:r>
      <w:r w:rsidRPr="00373C11">
        <w:t xml:space="preserve">CERT’s asserted claim </w:t>
      </w:r>
      <w:r w:rsidRPr="00373C11">
        <w:t xml:space="preserve">involving exposure to </w:t>
      </w:r>
      <w:r w:rsidRPr="00373C11">
        <w:rPr>
          <w:lang w:val="en"/>
        </w:rPr>
        <w:t xml:space="preserve">acrylamide formed by </w:t>
      </w:r>
      <w:r w:rsidRPr="00373C11">
        <w:rPr>
          <w:lang w:val="en"/>
        </w:rPr>
        <w:t xml:space="preserve">additives </w:t>
      </w:r>
      <w:r w:rsidRPr="00373C11">
        <w:rPr>
          <w:lang w:val="en"/>
        </w:rPr>
        <w:t>in</w:t>
      </w:r>
      <w:r w:rsidRPr="00373C11">
        <w:rPr>
          <w:lang w:val="en"/>
        </w:rPr>
        <w:t xml:space="preserve"> coffee was beyond the scope of its actions</w:t>
      </w:r>
      <w:r w:rsidRPr="00373C11">
        <w:rPr>
          <w:lang w:val="en"/>
        </w:rPr>
        <w:t xml:space="preserve">.  </w:t>
      </w:r>
      <w:r w:rsidRPr="00373C11">
        <w:rPr>
          <w:lang w:val="en"/>
        </w:rPr>
        <w:t xml:space="preserve">Yet under the terms of the </w:t>
      </w:r>
      <w:r w:rsidRPr="00373C11">
        <w:rPr>
          <w:lang w:val="en"/>
        </w:rPr>
        <w:t xml:space="preserve">proposed general releases, this claim -- undoubtedly a claim under Prop. 65 -- </w:t>
      </w:r>
      <w:r w:rsidRPr="00373C11">
        <w:rPr>
          <w:lang w:val="en"/>
        </w:rPr>
        <w:t>would have been relinquished.</w:t>
      </w:r>
      <w:r>
        <w:rPr>
          <w:rStyle w:val="FootnoteReference"/>
          <w:lang w:val="en"/>
        </w:rPr>
        <w:footnoteReference w:id="18"/>
      </w:r>
      <w:r w:rsidRPr="00373C11">
        <w:rPr>
          <w:lang w:val="en"/>
        </w:rPr>
        <w:t xml:space="preserve"> </w:t>
      </w:r>
      <w:r w:rsidRPr="00373C11">
        <w:rPr>
          <w:lang w:val="en"/>
        </w:rPr>
        <w:t xml:space="preserve"> </w:t>
      </w:r>
    </w:p>
    <w:p w14:paraId="34478EEA" w14:textId="77777777" w:rsidR="005B2083" w:rsidRPr="00373C11" w:rsidRDefault="00C25CF2" w:rsidP="00E81151">
      <w:pPr>
        <w:spacing w:line="288" w:lineRule="auto"/>
      </w:pPr>
      <w:r w:rsidRPr="00373C11">
        <w:t xml:space="preserve">Finally, </w:t>
      </w:r>
      <w:r w:rsidRPr="00373C11">
        <w:t xml:space="preserve">the </w:t>
      </w:r>
      <w:r w:rsidRPr="00373C11">
        <w:t>s</w:t>
      </w:r>
      <w:r w:rsidRPr="00373C11">
        <w:t>e</w:t>
      </w:r>
      <w:r w:rsidRPr="00373C11">
        <w:t xml:space="preserve">ction 998 respondents claim </w:t>
      </w:r>
      <w:r w:rsidRPr="00373C11">
        <w:t xml:space="preserve">their offers, which included Prop. 65 warnings and </w:t>
      </w:r>
      <w:r w:rsidRPr="00373C11">
        <w:t>substantial payments to CERT, “</w:t>
      </w:r>
      <w:r w:rsidRPr="00373C11">
        <w:t>were clearly more favorable than the judgment of dismissal that CERT achieved.</w:t>
      </w:r>
      <w:r w:rsidRPr="00373C11">
        <w:t xml:space="preserve">” </w:t>
      </w:r>
      <w:r w:rsidRPr="00373C11">
        <w:t xml:space="preserve"> But </w:t>
      </w:r>
      <w:r w:rsidRPr="00373C11">
        <w:t xml:space="preserve">this assertion ignores </w:t>
      </w:r>
      <w:r w:rsidRPr="00373C11">
        <w:t xml:space="preserve">claims beyond the scope of </w:t>
      </w:r>
      <w:r w:rsidRPr="00373C11">
        <w:t>CERT’s actions</w:t>
      </w:r>
      <w:r w:rsidRPr="00373C11">
        <w:t xml:space="preserve"> that were to be released under the offers</w:t>
      </w:r>
      <w:r w:rsidRPr="00373C11">
        <w:t xml:space="preserve">.  </w:t>
      </w:r>
      <w:r w:rsidRPr="00373C11">
        <w:t xml:space="preserve">The </w:t>
      </w:r>
      <w:r w:rsidRPr="00373C11">
        <w:t xml:space="preserve">asserted </w:t>
      </w:r>
      <w:r w:rsidRPr="00373C11">
        <w:t xml:space="preserve">claim involving </w:t>
      </w:r>
      <w:r w:rsidRPr="00373C11">
        <w:lastRenderedPageBreak/>
        <w:t>coffee additives</w:t>
      </w:r>
      <w:r w:rsidRPr="00373C11">
        <w:t xml:space="preserve"> was unaffected by the </w:t>
      </w:r>
      <w:r w:rsidRPr="00373C11">
        <w:t>Coffee</w:t>
      </w:r>
      <w:r w:rsidRPr="00373C11">
        <w:t xml:space="preserve"> </w:t>
      </w:r>
      <w:r w:rsidRPr="00373C11">
        <w:t>R</w:t>
      </w:r>
      <w:r w:rsidRPr="00373C11">
        <w:t xml:space="preserve">egulation, </w:t>
      </w:r>
      <w:r w:rsidRPr="00373C11">
        <w:t xml:space="preserve">and if found meritorious, could have yielded </w:t>
      </w:r>
      <w:r w:rsidRPr="00373C11">
        <w:t xml:space="preserve">a </w:t>
      </w:r>
      <w:r w:rsidRPr="00373C11">
        <w:t>significant</w:t>
      </w:r>
      <w:r w:rsidRPr="00373C11">
        <w:t xml:space="preserve"> </w:t>
      </w:r>
      <w:r w:rsidRPr="00373C11">
        <w:t>reward for CERT</w:t>
      </w:r>
      <w:r w:rsidRPr="00373C11">
        <w:t>,</w:t>
      </w:r>
      <w:r w:rsidRPr="00373C11">
        <w:t xml:space="preserve"> </w:t>
      </w:r>
      <w:r w:rsidRPr="00373C11">
        <w:t>wh</w:t>
      </w:r>
      <w:r w:rsidRPr="00373C11">
        <w:t>ich</w:t>
      </w:r>
      <w:r w:rsidRPr="00373C11">
        <w:t xml:space="preserve"> would have been entitled to </w:t>
      </w:r>
      <w:r w:rsidRPr="00373C11">
        <w:t>25 percent of all penalties collected</w:t>
      </w:r>
      <w:r w:rsidRPr="00373C11">
        <w:t>.</w:t>
      </w:r>
      <w:r>
        <w:rPr>
          <w:rStyle w:val="FootnoteReference"/>
        </w:rPr>
        <w:footnoteReference w:id="19"/>
      </w:r>
      <w:r w:rsidRPr="00373C11">
        <w:t xml:space="preserve"> </w:t>
      </w:r>
      <w:r w:rsidRPr="00373C11">
        <w:t xml:space="preserve"> Given </w:t>
      </w:r>
      <w:r w:rsidRPr="00373C11">
        <w:t xml:space="preserve">that </w:t>
      </w:r>
      <w:r w:rsidRPr="00373C11">
        <w:t xml:space="preserve">the proposed releases in the </w:t>
      </w:r>
      <w:r w:rsidRPr="00373C11">
        <w:t>s</w:t>
      </w:r>
      <w:r w:rsidRPr="00373C11">
        <w:t>ection 998 offers</w:t>
      </w:r>
      <w:r w:rsidRPr="00373C11">
        <w:t xml:space="preserve"> covered this and other potential claims</w:t>
      </w:r>
      <w:r w:rsidRPr="00373C11">
        <w:t xml:space="preserve">, the trial court could not have determined that the offers were more </w:t>
      </w:r>
      <w:r w:rsidRPr="00373C11">
        <w:t xml:space="preserve">favorable than the </w:t>
      </w:r>
      <w:r w:rsidRPr="00373C11">
        <w:t>judgment</w:t>
      </w:r>
      <w:r w:rsidRPr="00373C11">
        <w:t xml:space="preserve">.  </w:t>
      </w:r>
      <w:r w:rsidRPr="00373C11">
        <w:t>Thus</w:t>
      </w:r>
      <w:r w:rsidRPr="00373C11">
        <w:t xml:space="preserve">, the </w:t>
      </w:r>
      <w:r w:rsidRPr="00373C11">
        <w:t>offers</w:t>
      </w:r>
      <w:r w:rsidRPr="00373C11">
        <w:t xml:space="preserve"> were invalid for purposes of </w:t>
      </w:r>
      <w:r w:rsidRPr="00373C11">
        <w:t>s</w:t>
      </w:r>
      <w:r w:rsidRPr="00373C11">
        <w:t xml:space="preserve">ection 998, and the trial court erred in denying CERT’s motion to tax costs. </w:t>
      </w:r>
    </w:p>
    <w:p w14:paraId="38426A4B" w14:textId="77777777" w:rsidR="00B13729" w:rsidRPr="00373C11" w:rsidRDefault="00C25CF2" w:rsidP="00E81151">
      <w:pPr>
        <w:spacing w:line="288" w:lineRule="auto"/>
        <w:ind w:firstLine="0"/>
      </w:pPr>
      <w:r w:rsidRPr="00373C11">
        <w:br w:type="page"/>
      </w:r>
    </w:p>
    <w:p w14:paraId="66F49D6E" w14:textId="77777777" w:rsidR="000B65CA" w:rsidRPr="00373C11" w:rsidRDefault="00C25CF2" w:rsidP="00E81151">
      <w:pPr>
        <w:keepNext/>
        <w:spacing w:line="288" w:lineRule="auto"/>
        <w:ind w:firstLine="0"/>
        <w:jc w:val="center"/>
        <w:outlineLvl w:val="0"/>
        <w:rPr>
          <w:b/>
          <w:bCs/>
        </w:rPr>
      </w:pPr>
      <w:r w:rsidRPr="00373C11">
        <w:rPr>
          <w:b/>
          <w:bCs/>
        </w:rPr>
        <w:lastRenderedPageBreak/>
        <w:t>DISPOSITION</w:t>
      </w:r>
    </w:p>
    <w:p w14:paraId="51486B2A" w14:textId="77777777" w:rsidR="00A24D22" w:rsidRPr="00373C11" w:rsidRDefault="00C25CF2" w:rsidP="00E81151">
      <w:pPr>
        <w:spacing w:line="288" w:lineRule="auto"/>
      </w:pPr>
      <w:r w:rsidRPr="00373C11">
        <w:t xml:space="preserve">The </w:t>
      </w:r>
      <w:r w:rsidRPr="00373C11">
        <w:t xml:space="preserve">trial court’s </w:t>
      </w:r>
      <w:r w:rsidRPr="00373C11">
        <w:t xml:space="preserve">orders granting </w:t>
      </w:r>
      <w:r w:rsidRPr="00373C11">
        <w:t xml:space="preserve">summary </w:t>
      </w:r>
      <w:r w:rsidRPr="00373C11">
        <w:t xml:space="preserve">judgment </w:t>
      </w:r>
      <w:r w:rsidRPr="00373C11">
        <w:t xml:space="preserve">and denying </w:t>
      </w:r>
      <w:r w:rsidRPr="00373C11">
        <w:t>attorney fees are</w:t>
      </w:r>
      <w:r w:rsidRPr="00373C11">
        <w:t xml:space="preserve"> </w:t>
      </w:r>
      <w:r w:rsidRPr="00373C11">
        <w:t>affirmed.</w:t>
      </w:r>
      <w:r w:rsidRPr="00373C11">
        <w:t xml:space="preserve">  </w:t>
      </w:r>
      <w:r w:rsidRPr="00373C11">
        <w:t xml:space="preserve">The </w:t>
      </w:r>
      <w:r w:rsidRPr="00373C11">
        <w:t xml:space="preserve">order denying CERT’s motion to tax costs </w:t>
      </w:r>
      <w:r w:rsidRPr="00373C11">
        <w:t>is reversed</w:t>
      </w:r>
      <w:r w:rsidRPr="00373C11">
        <w:t xml:space="preserve">.  </w:t>
      </w:r>
      <w:r w:rsidRPr="00373C11">
        <w:t>The parties shall bear their own costs on appeal.</w:t>
      </w:r>
    </w:p>
    <w:p w14:paraId="6243FACE" w14:textId="77777777" w:rsidR="00A24D22" w:rsidRPr="00373C11" w:rsidRDefault="00C25CF2" w:rsidP="00E81151">
      <w:pPr>
        <w:spacing w:line="288" w:lineRule="auto"/>
        <w:rPr>
          <w:b/>
          <w:bCs/>
        </w:rPr>
      </w:pPr>
      <w:r w:rsidRPr="00373C11">
        <w:rPr>
          <w:b/>
          <w:bCs/>
        </w:rPr>
        <w:t>CERTIFIED FOR PUBLICATION</w:t>
      </w:r>
    </w:p>
    <w:p w14:paraId="64F994CA" w14:textId="77777777" w:rsidR="00A24D22" w:rsidRPr="00373C11" w:rsidRDefault="00C25CF2" w:rsidP="00E81151">
      <w:pPr>
        <w:spacing w:line="288" w:lineRule="auto"/>
      </w:pPr>
    </w:p>
    <w:p w14:paraId="55CDEF0F" w14:textId="77777777" w:rsidR="006D177E" w:rsidRPr="00373C11" w:rsidRDefault="00C25CF2" w:rsidP="00E81151">
      <w:pPr>
        <w:spacing w:line="288" w:lineRule="auto"/>
      </w:pPr>
    </w:p>
    <w:p w14:paraId="5858FEF2" w14:textId="77777777" w:rsidR="006D177E" w:rsidRPr="00373C11" w:rsidRDefault="00C25CF2" w:rsidP="00E81151">
      <w:pPr>
        <w:spacing w:line="288" w:lineRule="auto"/>
      </w:pPr>
    </w:p>
    <w:p w14:paraId="6939645A" w14:textId="77777777" w:rsidR="00A24D22" w:rsidRPr="00373C11" w:rsidRDefault="00C25CF2" w:rsidP="00E81151">
      <w:pPr>
        <w:spacing w:line="288" w:lineRule="auto"/>
      </w:pPr>
      <w:r w:rsidRPr="00373C11">
        <w:tab/>
      </w:r>
      <w:r w:rsidRPr="00373C11">
        <w:tab/>
      </w:r>
      <w:r w:rsidRPr="00373C11">
        <w:tab/>
      </w:r>
      <w:r w:rsidRPr="00373C11">
        <w:tab/>
      </w:r>
      <w:r w:rsidRPr="00373C11">
        <w:tab/>
        <w:t xml:space="preserve">              MANELLA, P. J.</w:t>
      </w:r>
    </w:p>
    <w:p w14:paraId="59CBB3C0" w14:textId="77777777" w:rsidR="00A24D22" w:rsidRPr="00373C11" w:rsidRDefault="00C25CF2" w:rsidP="00E81151">
      <w:pPr>
        <w:spacing w:line="288" w:lineRule="auto"/>
      </w:pPr>
    </w:p>
    <w:p w14:paraId="76BBAB88" w14:textId="77777777" w:rsidR="00A24D22" w:rsidRPr="00373C11" w:rsidRDefault="00C25CF2" w:rsidP="00E81151">
      <w:pPr>
        <w:spacing w:line="288" w:lineRule="auto"/>
      </w:pPr>
    </w:p>
    <w:p w14:paraId="18B077FF" w14:textId="77777777" w:rsidR="00A24D22" w:rsidRPr="00373C11" w:rsidRDefault="00C25CF2" w:rsidP="00E81151">
      <w:pPr>
        <w:spacing w:line="288" w:lineRule="auto"/>
      </w:pPr>
    </w:p>
    <w:p w14:paraId="44F82137" w14:textId="77777777" w:rsidR="00A24D22" w:rsidRPr="00373C11" w:rsidRDefault="00C25CF2" w:rsidP="00E81151">
      <w:pPr>
        <w:spacing w:line="288" w:lineRule="auto"/>
      </w:pPr>
      <w:r w:rsidRPr="00373C11">
        <w:t>We concur:</w:t>
      </w:r>
    </w:p>
    <w:p w14:paraId="7E1F21EE" w14:textId="77777777" w:rsidR="00A24D22" w:rsidRPr="00373C11" w:rsidRDefault="00C25CF2" w:rsidP="00E81151">
      <w:pPr>
        <w:spacing w:line="288" w:lineRule="auto"/>
      </w:pPr>
    </w:p>
    <w:p w14:paraId="0B659755" w14:textId="77777777" w:rsidR="00A24D22" w:rsidRPr="00373C11" w:rsidRDefault="00C25CF2" w:rsidP="00E81151">
      <w:pPr>
        <w:spacing w:line="288" w:lineRule="auto"/>
      </w:pPr>
    </w:p>
    <w:p w14:paraId="536B52B2" w14:textId="77777777" w:rsidR="00A24D22" w:rsidRPr="00373C11" w:rsidRDefault="00C25CF2" w:rsidP="00E81151">
      <w:pPr>
        <w:spacing w:line="288" w:lineRule="auto"/>
      </w:pPr>
    </w:p>
    <w:p w14:paraId="5750670E" w14:textId="77777777" w:rsidR="00A24D22" w:rsidRPr="00373C11" w:rsidRDefault="00C25CF2" w:rsidP="00E81151">
      <w:pPr>
        <w:spacing w:line="288" w:lineRule="auto"/>
      </w:pPr>
      <w:r w:rsidRPr="00373C11">
        <w:t>WILLHITE, J.</w:t>
      </w:r>
    </w:p>
    <w:p w14:paraId="428E6F9C" w14:textId="77777777" w:rsidR="00A24D22" w:rsidRPr="00373C11" w:rsidRDefault="00C25CF2" w:rsidP="00E81151">
      <w:pPr>
        <w:spacing w:line="288" w:lineRule="auto"/>
      </w:pPr>
    </w:p>
    <w:p w14:paraId="6D5C803F" w14:textId="77777777" w:rsidR="00A24D22" w:rsidRPr="00373C11" w:rsidRDefault="00C25CF2" w:rsidP="00E81151">
      <w:pPr>
        <w:spacing w:line="288" w:lineRule="auto"/>
      </w:pPr>
    </w:p>
    <w:p w14:paraId="10B0E328" w14:textId="77777777" w:rsidR="00A24D22" w:rsidRPr="00373C11" w:rsidRDefault="00C25CF2" w:rsidP="00E81151">
      <w:pPr>
        <w:spacing w:line="288" w:lineRule="auto"/>
      </w:pPr>
    </w:p>
    <w:p w14:paraId="6D072928" w14:textId="77777777" w:rsidR="00A24D22" w:rsidRPr="00E81151" w:rsidRDefault="00C25CF2" w:rsidP="00E81151">
      <w:pPr>
        <w:spacing w:line="288" w:lineRule="auto"/>
      </w:pPr>
      <w:r w:rsidRPr="00373C11">
        <w:t>COLLINS, J.</w:t>
      </w:r>
    </w:p>
    <w:p w14:paraId="46C2C324" w14:textId="77777777" w:rsidR="00465703" w:rsidRPr="00E81151" w:rsidRDefault="00C25CF2" w:rsidP="00E81151">
      <w:pPr>
        <w:spacing w:line="288" w:lineRule="auto"/>
      </w:pPr>
      <w:r w:rsidRPr="00E81151">
        <w:t xml:space="preserve"> </w:t>
      </w:r>
    </w:p>
    <w:sectPr w:rsidR="00465703" w:rsidRPr="00E81151" w:rsidSect="007E1E42">
      <w:headerReference w:type="even" r:id="rId7"/>
      <w:headerReference w:type="default" r:id="rId8"/>
      <w:footerReference w:type="even" r:id="rId9"/>
      <w:footerReference w:type="default" r:id="rId10"/>
      <w:headerReference w:type="first" r:id="rId11"/>
      <w:footerReference w:type="first" r:id="rId12"/>
      <w:pgSz w:w="12240" w:h="15840"/>
      <w:pgMar w:top="2160" w:right="2160" w:bottom="2160" w:left="21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6618" w14:textId="77777777" w:rsidR="00000000" w:rsidRDefault="00C25CF2">
      <w:pPr>
        <w:spacing w:line="240" w:lineRule="auto"/>
      </w:pPr>
      <w:r>
        <w:separator/>
      </w:r>
    </w:p>
  </w:endnote>
  <w:endnote w:type="continuationSeparator" w:id="0">
    <w:p w14:paraId="031F14A2" w14:textId="77777777" w:rsidR="00000000" w:rsidRDefault="00C25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B5C2" w14:textId="77777777" w:rsidR="00116324" w:rsidRDefault="00C25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D01C" w14:textId="77777777" w:rsidR="000375E1" w:rsidRDefault="00C25CF2" w:rsidP="002760DC">
    <w:pPr>
      <w:pStyle w:val="Footer"/>
      <w:ind w:firstLine="0"/>
      <w:jc w:val="center"/>
    </w:pPr>
    <w:r>
      <w:fldChar w:fldCharType="begin"/>
    </w:r>
    <w:r>
      <w:instrText xml:space="preserve"> PAGE   \* MERGEFORMAT </w:instrText>
    </w:r>
    <w:r>
      <w:fldChar w:fldCharType="separate"/>
    </w:r>
    <w:r>
      <w:rPr>
        <w:noProof/>
      </w:rPr>
      <w:t>45</w:t>
    </w:r>
    <w:r>
      <w:fldChar w:fldCharType="end"/>
    </w:r>
  </w:p>
  <w:p w14:paraId="7C85A539" w14:textId="77777777" w:rsidR="000375E1" w:rsidRDefault="00C25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66D4" w14:textId="77777777" w:rsidR="00116324" w:rsidRDefault="00C2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0D3A" w14:textId="77777777" w:rsidR="00DD7B23" w:rsidRDefault="00C25CF2" w:rsidP="0057387A">
      <w:pPr>
        <w:spacing w:line="240" w:lineRule="auto"/>
        <w:ind w:firstLine="0"/>
      </w:pPr>
      <w:r>
        <w:separator/>
      </w:r>
      <w:r>
        <w:separator/>
      </w:r>
    </w:p>
  </w:footnote>
  <w:footnote w:type="continuationSeparator" w:id="0">
    <w:p w14:paraId="632E4611" w14:textId="77777777" w:rsidR="00DD7B23" w:rsidRDefault="00C25CF2" w:rsidP="00D74545">
      <w:pPr>
        <w:spacing w:line="240" w:lineRule="auto"/>
      </w:pPr>
      <w:r>
        <w:continuationSeparator/>
      </w:r>
    </w:p>
  </w:footnote>
  <w:footnote w:type="continuationNotice" w:id="1">
    <w:p w14:paraId="7F0E099E" w14:textId="77777777" w:rsidR="00DD7B23" w:rsidRPr="007A7E6A" w:rsidRDefault="00C25CF2" w:rsidP="007A7E6A">
      <w:pPr>
        <w:spacing w:line="240" w:lineRule="auto"/>
        <w:ind w:firstLine="0"/>
        <w:rPr>
          <w:rFonts w:ascii="Times New Roman" w:hAnsi="Times New Roman"/>
          <w:sz w:val="20"/>
          <w:szCs w:val="20"/>
        </w:rPr>
      </w:pPr>
      <w:r>
        <w:rPr>
          <w:rFonts w:ascii="Times New Roman" w:hAnsi="Times New Roman"/>
          <w:sz w:val="20"/>
          <w:szCs w:val="20"/>
        </w:rPr>
        <w:t>(</w:t>
      </w:r>
      <w:r w:rsidRPr="007A7E6A">
        <w:rPr>
          <w:rFonts w:ascii="Times New Roman" w:hAnsi="Times New Roman"/>
          <w:i/>
          <w:iCs/>
          <w:sz w:val="20"/>
          <w:szCs w:val="20"/>
        </w:rPr>
        <w:t>Fn. is continued on the next page</w:t>
      </w:r>
      <w:r>
        <w:rPr>
          <w:rFonts w:ascii="Times New Roman" w:hAnsi="Times New Roman"/>
          <w:sz w:val="20"/>
          <w:szCs w:val="20"/>
        </w:rPr>
        <w:t>.)</w:t>
      </w:r>
    </w:p>
  </w:footnote>
  <w:footnote w:id="2">
    <w:p w14:paraId="17A2BF69" w14:textId="77777777" w:rsidR="00BC4BF0" w:rsidRPr="00096168" w:rsidRDefault="00C25CF2" w:rsidP="001374C9">
      <w:pPr>
        <w:pStyle w:val="ListParagraph"/>
        <w:autoSpaceDE w:val="0"/>
        <w:autoSpaceDN w:val="0"/>
        <w:adjustRightInd w:val="0"/>
        <w:spacing w:after="120" w:line="240" w:lineRule="auto"/>
        <w:ind w:left="86" w:firstLine="0"/>
        <w:rPr>
          <w:sz w:val="26"/>
          <w:szCs w:val="26"/>
        </w:rPr>
      </w:pPr>
      <w:r w:rsidRPr="00096168">
        <w:rPr>
          <w:rStyle w:val="FootnoteReference"/>
          <w:sz w:val="26"/>
          <w:szCs w:val="26"/>
        </w:rPr>
        <w:footnoteRef/>
      </w:r>
      <w:r w:rsidRPr="00096168">
        <w:rPr>
          <w:sz w:val="26"/>
          <w:szCs w:val="26"/>
        </w:rPr>
        <w:t xml:space="preserve"> </w:t>
      </w:r>
      <w:r w:rsidRPr="00096168">
        <w:rPr>
          <w:sz w:val="26"/>
          <w:szCs w:val="26"/>
        </w:rPr>
        <w:tab/>
        <w:t xml:space="preserve">The Safe Drinking Water and Toxic Enforcement Act of 1986.  (Health &amp; Saf. Code, </w:t>
      </w:r>
      <w:r w:rsidRPr="00096168">
        <w:rPr>
          <w:sz w:val="26"/>
          <w:szCs w:val="26"/>
        </w:rPr>
        <w:t>§ </w:t>
      </w:r>
      <w:r w:rsidRPr="00096168">
        <w:rPr>
          <w:sz w:val="26"/>
          <w:szCs w:val="26"/>
        </w:rPr>
        <w:t>25249.5 et seq.)</w:t>
      </w:r>
      <w:r w:rsidRPr="00096168">
        <w:rPr>
          <w:sz w:val="26"/>
          <w:szCs w:val="26"/>
        </w:rPr>
        <w:t xml:space="preserve">  </w:t>
      </w:r>
    </w:p>
  </w:footnote>
  <w:footnote w:id="3">
    <w:p w14:paraId="5995ED72" w14:textId="77777777" w:rsidR="001374C9" w:rsidRPr="00096168" w:rsidRDefault="00C25CF2" w:rsidP="001374C9">
      <w:pPr>
        <w:pStyle w:val="ListParagraph"/>
        <w:autoSpaceDE w:val="0"/>
        <w:autoSpaceDN w:val="0"/>
        <w:adjustRightInd w:val="0"/>
        <w:spacing w:after="120" w:line="240" w:lineRule="auto"/>
        <w:ind w:left="86" w:firstLine="0"/>
        <w:rPr>
          <w:sz w:val="26"/>
          <w:szCs w:val="26"/>
        </w:rPr>
      </w:pPr>
      <w:r w:rsidRPr="00096168">
        <w:rPr>
          <w:rStyle w:val="FootnoteReference"/>
          <w:sz w:val="26"/>
          <w:szCs w:val="26"/>
        </w:rPr>
        <w:footnoteRef/>
      </w:r>
      <w:r w:rsidRPr="00096168">
        <w:rPr>
          <w:sz w:val="26"/>
          <w:szCs w:val="26"/>
        </w:rPr>
        <w:t xml:space="preserve"> </w:t>
      </w:r>
      <w:r w:rsidRPr="00096168">
        <w:rPr>
          <w:sz w:val="26"/>
          <w:szCs w:val="26"/>
        </w:rPr>
        <w:tab/>
        <w:t>“Proposition 65 prohibits any person, in the course of doing business,</w:t>
      </w:r>
      <w:r w:rsidRPr="00096168">
        <w:rPr>
          <w:sz w:val="26"/>
          <w:szCs w:val="26"/>
        </w:rPr>
        <w:t xml:space="preserve"> from knowingly and intentionally exposing any individual to a chemical known to the state to cause cancer or reproductive toxicity without giving a specified warning, . . . except as specified.</w:t>
      </w:r>
      <w:r>
        <w:rPr>
          <w:sz w:val="26"/>
          <w:szCs w:val="26"/>
        </w:rPr>
        <w:t xml:space="preserve"> </w:t>
      </w:r>
      <w:r w:rsidRPr="00096168">
        <w:rPr>
          <w:sz w:val="26"/>
          <w:szCs w:val="26"/>
        </w:rPr>
        <w:t xml:space="preserve"> (§ 25249.5 et seq.)”  (</w:t>
      </w:r>
      <w:bookmarkStart w:id="2" w:name="dabmci_a684948ceb2945e3a7acab5bc71278e0"/>
      <w:r w:rsidRPr="00096168">
        <w:rPr>
          <w:i/>
          <w:iCs/>
          <w:sz w:val="26"/>
          <w:szCs w:val="26"/>
        </w:rPr>
        <w:t>DiPirro v. American Isuzu Motors, Inc</w:t>
      </w:r>
      <w:r w:rsidRPr="00096168">
        <w:rPr>
          <w:i/>
          <w:iCs/>
          <w:sz w:val="26"/>
          <w:szCs w:val="26"/>
        </w:rPr>
        <w:t>.</w:t>
      </w:r>
      <w:r w:rsidRPr="00096168">
        <w:rPr>
          <w:sz w:val="26"/>
          <w:szCs w:val="26"/>
        </w:rPr>
        <w:t xml:space="preserve"> (2004) 119 Cal.App.4th 966, 969-970</w:t>
      </w:r>
      <w:bookmarkEnd w:id="2"/>
      <w:r w:rsidRPr="00096168">
        <w:rPr>
          <w:sz w:val="26"/>
          <w:szCs w:val="26"/>
        </w:rPr>
        <w:t>.)</w:t>
      </w:r>
    </w:p>
  </w:footnote>
  <w:footnote w:id="4">
    <w:p w14:paraId="67C30122" w14:textId="77777777" w:rsidR="004727C1" w:rsidRPr="00096168" w:rsidRDefault="00C25CF2" w:rsidP="00221F24">
      <w:pPr>
        <w:pStyle w:val="FootnoteText"/>
      </w:pPr>
      <w:r w:rsidRPr="00096168">
        <w:rPr>
          <w:rStyle w:val="FootnoteReference"/>
          <w:szCs w:val="26"/>
        </w:rPr>
        <w:footnoteRef/>
      </w:r>
      <w:r w:rsidRPr="00096168">
        <w:t xml:space="preserve"> </w:t>
      </w:r>
      <w:r w:rsidRPr="00096168">
        <w:tab/>
        <w:t>With our permission, the Agency filed an amicus brief in support of affirmance.</w:t>
      </w:r>
    </w:p>
  </w:footnote>
  <w:footnote w:id="5">
    <w:p w14:paraId="3F0F6392" w14:textId="77777777" w:rsidR="0022429F" w:rsidRPr="00096168" w:rsidRDefault="00C25CF2" w:rsidP="00221F24">
      <w:pPr>
        <w:pStyle w:val="FootnoteText"/>
      </w:pPr>
      <w:r w:rsidRPr="00096168">
        <w:rPr>
          <w:rStyle w:val="FootnoteReference"/>
          <w:szCs w:val="26"/>
        </w:rPr>
        <w:footnoteRef/>
      </w:r>
      <w:r w:rsidRPr="00096168">
        <w:t xml:space="preserve"> </w:t>
      </w:r>
      <w:r w:rsidRPr="00096168">
        <w:tab/>
        <w:t xml:space="preserve">We deny CERT’s </w:t>
      </w:r>
      <w:r w:rsidRPr="00096168">
        <w:t xml:space="preserve">motions </w:t>
      </w:r>
      <w:r w:rsidRPr="00096168">
        <w:t xml:space="preserve">for judicial notice </w:t>
      </w:r>
      <w:r w:rsidRPr="00096168">
        <w:t xml:space="preserve">and augmentation </w:t>
      </w:r>
      <w:r w:rsidRPr="00096168">
        <w:t xml:space="preserve">of the record </w:t>
      </w:r>
      <w:r w:rsidRPr="00096168">
        <w:t>as either irrelevant or unnecessary</w:t>
      </w:r>
      <w:r w:rsidRPr="00096168">
        <w:t>.</w:t>
      </w:r>
      <w:r w:rsidRPr="00096168">
        <w:t xml:space="preserve"> </w:t>
      </w:r>
    </w:p>
  </w:footnote>
  <w:footnote w:id="6">
    <w:p w14:paraId="4C6BB94C" w14:textId="77777777" w:rsidR="00617320" w:rsidRPr="00096168" w:rsidRDefault="00C25CF2" w:rsidP="00221F24">
      <w:pPr>
        <w:pStyle w:val="FootnoteText"/>
      </w:pPr>
      <w:r w:rsidRPr="00096168">
        <w:rPr>
          <w:rStyle w:val="FootnoteReference"/>
          <w:szCs w:val="26"/>
        </w:rPr>
        <w:footnoteRef/>
      </w:r>
      <w:r w:rsidRPr="00096168">
        <w:t xml:space="preserve"> </w:t>
      </w:r>
      <w:r w:rsidRPr="00096168">
        <w:tab/>
      </w:r>
      <w:r w:rsidRPr="00096168">
        <w:t xml:space="preserve">As discussed below, </w:t>
      </w:r>
      <w:r w:rsidRPr="00096168">
        <w:t>a</w:t>
      </w:r>
      <w:r w:rsidRPr="00096168">
        <w:t>ny</w:t>
      </w:r>
      <w:r w:rsidRPr="00096168">
        <w:t xml:space="preserve"> person </w:t>
      </w:r>
      <w:r w:rsidRPr="00096168">
        <w:t xml:space="preserve">may bring an action under Prop. 65 </w:t>
      </w:r>
      <w:r w:rsidRPr="00096168">
        <w:t>“in the public interest”</w:t>
      </w:r>
      <w:r w:rsidRPr="00096168">
        <w:t xml:space="preserve"> </w:t>
      </w:r>
      <w:r w:rsidRPr="00096168">
        <w:t>(Health &amp; Saf. Code, § 25249.7, subd. (d))</w:t>
      </w:r>
      <w:r w:rsidRPr="00096168">
        <w:t xml:space="preserve">, </w:t>
      </w:r>
      <w:r w:rsidRPr="00096168">
        <w:t xml:space="preserve">provided they </w:t>
      </w:r>
      <w:r w:rsidRPr="00096168">
        <w:t>f</w:t>
      </w:r>
      <w:r w:rsidRPr="00096168">
        <w:t xml:space="preserve">irst </w:t>
      </w:r>
      <w:r w:rsidRPr="00096168">
        <w:t xml:space="preserve">give notice </w:t>
      </w:r>
      <w:r w:rsidRPr="00096168">
        <w:t xml:space="preserve">of the claimed violations </w:t>
      </w:r>
      <w:r w:rsidRPr="00096168">
        <w:t xml:space="preserve">to the </w:t>
      </w:r>
      <w:r w:rsidRPr="00096168">
        <w:t xml:space="preserve">alleged violator, the </w:t>
      </w:r>
      <w:r w:rsidRPr="00096168">
        <w:t>Attorney General</w:t>
      </w:r>
      <w:r w:rsidRPr="00096168">
        <w:t>,</w:t>
      </w:r>
      <w:r w:rsidRPr="00096168">
        <w:t xml:space="preserve"> and others</w:t>
      </w:r>
      <w:r w:rsidRPr="00096168">
        <w:t xml:space="preserve"> </w:t>
      </w:r>
      <w:r w:rsidRPr="00096168">
        <w:t>(</w:t>
      </w:r>
      <w:bookmarkStart w:id="4" w:name="dabmci_19a30bcf656b4d56a46c16198b35e941"/>
      <w:r w:rsidRPr="00096168">
        <w:rPr>
          <w:i/>
          <w:iCs/>
        </w:rPr>
        <w:t>id.</w:t>
      </w:r>
      <w:r w:rsidRPr="00096168">
        <w:t>,</w:t>
      </w:r>
      <w:r w:rsidRPr="00096168">
        <w:t xml:space="preserve"> §</w:t>
      </w:r>
      <w:r w:rsidRPr="00096168">
        <w:t> </w:t>
      </w:r>
      <w:r w:rsidRPr="00096168">
        <w:t>25249.7, subd. (d)</w:t>
      </w:r>
      <w:r w:rsidRPr="00096168">
        <w:t>(1)</w:t>
      </w:r>
      <w:bookmarkEnd w:id="4"/>
      <w:r w:rsidRPr="00096168">
        <w:t>)</w:t>
      </w:r>
      <w:r w:rsidRPr="00096168">
        <w:t>.</w:t>
      </w:r>
      <w:r w:rsidRPr="00096168">
        <w:t xml:space="preserve">  </w:t>
      </w:r>
      <w:r w:rsidRPr="00096168">
        <w:t xml:space="preserve">A </w:t>
      </w:r>
      <w:r w:rsidRPr="00096168">
        <w:t xml:space="preserve">person who violates </w:t>
      </w:r>
      <w:r w:rsidRPr="00096168">
        <w:t>Prop.</w:t>
      </w:r>
      <w:r w:rsidRPr="00096168">
        <w:t> </w:t>
      </w:r>
      <w:r w:rsidRPr="00096168">
        <w:t xml:space="preserve">65 </w:t>
      </w:r>
      <w:r w:rsidRPr="00096168">
        <w:t>is subject</w:t>
      </w:r>
      <w:r w:rsidRPr="00096168">
        <w:t xml:space="preserve"> to civil penalties of up to </w:t>
      </w:r>
      <w:r w:rsidRPr="00096168">
        <w:t xml:space="preserve">$2,500 </w:t>
      </w:r>
      <w:r w:rsidRPr="00096168">
        <w:t xml:space="preserve">per day </w:t>
      </w:r>
      <w:r w:rsidRPr="00096168">
        <w:t>for each</w:t>
      </w:r>
      <w:r w:rsidRPr="00096168">
        <w:t xml:space="preserve"> violation</w:t>
      </w:r>
      <w:r w:rsidRPr="00096168">
        <w:t xml:space="preserve"> </w:t>
      </w:r>
      <w:r w:rsidRPr="00096168">
        <w:t>(</w:t>
      </w:r>
      <w:bookmarkStart w:id="5" w:name="dabmci_6117302e711e499da06146bb5302d9d4"/>
      <w:r w:rsidRPr="00096168">
        <w:rPr>
          <w:i/>
          <w:iCs/>
        </w:rPr>
        <w:t>id.</w:t>
      </w:r>
      <w:r w:rsidRPr="00096168">
        <w:t>,</w:t>
      </w:r>
      <w:r w:rsidRPr="00096168">
        <w:t xml:space="preserve"> § 25249.7, subd. </w:t>
      </w:r>
      <w:r w:rsidRPr="00096168">
        <w:t>(b)(1)</w:t>
      </w:r>
      <w:bookmarkEnd w:id="5"/>
      <w:r w:rsidRPr="00096168">
        <w:t>)</w:t>
      </w:r>
      <w:r w:rsidRPr="00096168">
        <w:t xml:space="preserve">, and </w:t>
      </w:r>
      <w:r w:rsidRPr="00096168">
        <w:t xml:space="preserve">a person who </w:t>
      </w:r>
      <w:r w:rsidRPr="00096168">
        <w:t>is</w:t>
      </w:r>
      <w:r w:rsidRPr="00096168">
        <w:t xml:space="preserve"> </w:t>
      </w:r>
      <w:r w:rsidRPr="00096168">
        <w:t xml:space="preserve">suing under Prop. 65 </w:t>
      </w:r>
      <w:r w:rsidRPr="00096168">
        <w:t>in the public interest is entitled to 25</w:t>
      </w:r>
      <w:r w:rsidRPr="00096168">
        <w:t xml:space="preserve"> percent of </w:t>
      </w:r>
      <w:r w:rsidRPr="00096168">
        <w:t>the penalties collected (</w:t>
      </w:r>
      <w:bookmarkStart w:id="6" w:name="dabmci_ff34ba2e04434db4956ec449266fa47d"/>
      <w:r w:rsidRPr="00096168">
        <w:rPr>
          <w:i/>
          <w:iCs/>
        </w:rPr>
        <w:t>id.</w:t>
      </w:r>
      <w:r w:rsidRPr="00096168">
        <w:t>, § 25249.12, subd. (d)</w:t>
      </w:r>
      <w:bookmarkEnd w:id="6"/>
      <w:r w:rsidRPr="00096168">
        <w:t>)</w:t>
      </w:r>
      <w:r w:rsidRPr="00096168">
        <w:t xml:space="preserve">. </w:t>
      </w:r>
    </w:p>
  </w:footnote>
  <w:footnote w:id="7">
    <w:p w14:paraId="5BB0699B" w14:textId="77777777" w:rsidR="00303CE9" w:rsidRPr="00096168" w:rsidRDefault="00C25CF2" w:rsidP="00221F24">
      <w:pPr>
        <w:pStyle w:val="FootnoteText"/>
      </w:pPr>
      <w:r w:rsidRPr="00096168">
        <w:rPr>
          <w:rStyle w:val="FootnoteReference"/>
          <w:szCs w:val="26"/>
        </w:rPr>
        <w:footnoteRef/>
      </w:r>
      <w:r w:rsidRPr="00096168">
        <w:t xml:space="preserve"> </w:t>
      </w:r>
      <w:r w:rsidRPr="00096168">
        <w:tab/>
        <w:t>The Monograph elsewhere defined the phrase “</w:t>
      </w:r>
      <w:r w:rsidRPr="00096168">
        <w:rPr>
          <w:i/>
          <w:iCs/>
        </w:rPr>
        <w:t>I</w:t>
      </w:r>
      <w:r w:rsidRPr="00096168">
        <w:rPr>
          <w:i/>
          <w:iCs/>
        </w:rPr>
        <w:t>nadequate evidence of carcinogenicity</w:t>
      </w:r>
      <w:r w:rsidRPr="00096168">
        <w:t>” as denoting that “[t]he available studies are of insufficient quality, consistency or statistical powe</w:t>
      </w:r>
      <w:r w:rsidRPr="00096168">
        <w:t xml:space="preserve">r to permit a conclusion regarding the presence or absence of a causal association between exposure and cancer, or no data on cancer in humans are available.” </w:t>
      </w:r>
    </w:p>
  </w:footnote>
  <w:footnote w:id="8">
    <w:p w14:paraId="19D046B6" w14:textId="77777777" w:rsidR="00166790" w:rsidRPr="00096168" w:rsidRDefault="00C25CF2" w:rsidP="00221F24">
      <w:pPr>
        <w:pStyle w:val="FootnoteText"/>
      </w:pPr>
      <w:r w:rsidRPr="00096168">
        <w:rPr>
          <w:rStyle w:val="FootnoteReference"/>
          <w:szCs w:val="26"/>
        </w:rPr>
        <w:footnoteRef/>
      </w:r>
      <w:r w:rsidRPr="00096168">
        <w:t xml:space="preserve"> </w:t>
      </w:r>
      <w:r w:rsidRPr="00096168">
        <w:tab/>
      </w:r>
      <w:r w:rsidRPr="00096168">
        <w:t>In the trial court, r</w:t>
      </w:r>
      <w:r w:rsidRPr="00096168">
        <w:t>espondents</w:t>
      </w:r>
      <w:r w:rsidRPr="00096168">
        <w:t xml:space="preserve"> unsuccessfully sought a stay of the </w:t>
      </w:r>
      <w:r w:rsidRPr="00096168">
        <w:t xml:space="preserve">remedies phase of trial pending the Agency’s adoption of the proposed regulation. </w:t>
      </w:r>
      <w:r w:rsidRPr="00096168">
        <w:t xml:space="preserve"> </w:t>
      </w:r>
      <w:r w:rsidRPr="00096168">
        <w:t>Respondents</w:t>
      </w:r>
      <w:r w:rsidRPr="00096168">
        <w:t xml:space="preserve"> then sought and obtained a stay from this court. </w:t>
      </w:r>
    </w:p>
  </w:footnote>
  <w:footnote w:id="9">
    <w:p w14:paraId="66358111" w14:textId="77777777" w:rsidR="00FF3D74" w:rsidRPr="00096168" w:rsidRDefault="00C25CF2" w:rsidP="00221F24">
      <w:pPr>
        <w:pStyle w:val="FootnoteText"/>
      </w:pPr>
      <w:r w:rsidRPr="00096168">
        <w:rPr>
          <w:rStyle w:val="FootnoteReference"/>
          <w:szCs w:val="26"/>
        </w:rPr>
        <w:footnoteRef/>
      </w:r>
      <w:r w:rsidRPr="00096168">
        <w:t xml:space="preserve"> </w:t>
      </w:r>
      <w:r w:rsidRPr="00096168">
        <w:tab/>
        <w:t>While these motions were pending, CERT served respondents with document</w:t>
      </w:r>
      <w:r w:rsidRPr="00096168">
        <w:t xml:space="preserve"> requests, seeking information relating to additives included in some coffee products.  It then moved for a continuance to conduct additional discovery regarding this issue.  The trial court did not expressly address </w:t>
      </w:r>
      <w:r w:rsidRPr="00096168">
        <w:t xml:space="preserve">CERT’s motion, but as discussed below, </w:t>
      </w:r>
      <w:r w:rsidRPr="00096168">
        <w:t xml:space="preserve">in granting summary judgment for respondents, </w:t>
      </w:r>
      <w:r w:rsidRPr="00096168">
        <w:t xml:space="preserve">it ruled that claims </w:t>
      </w:r>
      <w:r w:rsidRPr="00096168">
        <w:t>relating to coffee additives were outside the scope of CERT’s actions</w:t>
      </w:r>
      <w:r w:rsidRPr="00096168">
        <w:t>.</w:t>
      </w:r>
    </w:p>
  </w:footnote>
  <w:footnote w:id="10">
    <w:p w14:paraId="2DA557EC" w14:textId="77777777" w:rsidR="00687772" w:rsidRPr="00096168" w:rsidRDefault="00C25CF2" w:rsidP="00221F24">
      <w:pPr>
        <w:pStyle w:val="FootnoteText"/>
      </w:pPr>
      <w:r w:rsidRPr="00096168">
        <w:rPr>
          <w:rStyle w:val="FootnoteReference"/>
          <w:szCs w:val="26"/>
        </w:rPr>
        <w:footnoteRef/>
      </w:r>
      <w:r w:rsidRPr="00096168">
        <w:t xml:space="preserve"> </w:t>
      </w:r>
      <w:r w:rsidRPr="00096168">
        <w:tab/>
        <w:t>“Under the catalyst theory, attorney fees may be awarded even when litigation does not result in a judicial resolut</w:t>
      </w:r>
      <w:r w:rsidRPr="00096168">
        <w:t>ion if the defendant changes its behavior substantially because of, and in the manner sought by, the litigation.”  (</w:t>
      </w:r>
      <w:bookmarkStart w:id="9" w:name="dabmci_6366e19ec5a4404bb0b956cf4c522398"/>
      <w:r w:rsidRPr="00096168">
        <w:rPr>
          <w:i/>
          <w:iCs/>
        </w:rPr>
        <w:t>Graham v. DaimlerChrysler Corp.</w:t>
      </w:r>
      <w:r w:rsidRPr="00096168">
        <w:t xml:space="preserve"> (2004) 34 Cal.4th 553, 5</w:t>
      </w:r>
      <w:r w:rsidRPr="00096168">
        <w:t>60</w:t>
      </w:r>
      <w:bookmarkEnd w:id="9"/>
      <w:r w:rsidRPr="00096168">
        <w:t xml:space="preserve">.) </w:t>
      </w:r>
    </w:p>
  </w:footnote>
  <w:footnote w:id="11">
    <w:p w14:paraId="3B2ABE0B" w14:textId="77777777" w:rsidR="00F03F73" w:rsidRPr="00096168" w:rsidRDefault="00C25CF2" w:rsidP="00221F24">
      <w:pPr>
        <w:pStyle w:val="FootnoteText"/>
      </w:pPr>
      <w:r w:rsidRPr="00096168">
        <w:rPr>
          <w:rStyle w:val="FootnoteReference"/>
          <w:szCs w:val="26"/>
        </w:rPr>
        <w:footnoteRef/>
      </w:r>
      <w:r w:rsidRPr="00096168">
        <w:t xml:space="preserve"> </w:t>
      </w:r>
      <w:r w:rsidRPr="00096168">
        <w:tab/>
      </w:r>
      <w:r w:rsidRPr="00096168">
        <w:t xml:space="preserve">While CERT suggests these principles are inapplicable </w:t>
      </w:r>
      <w:r w:rsidRPr="00096168">
        <w:t xml:space="preserve">to an indirect challenge </w:t>
      </w:r>
      <w:r w:rsidRPr="00096168">
        <w:t xml:space="preserve">to the validity of a regulation </w:t>
      </w:r>
      <w:r w:rsidRPr="00096168">
        <w:t>in the context of summary judgment</w:t>
      </w:r>
      <w:r w:rsidRPr="00096168">
        <w:t xml:space="preserve">, it cites no relevant authority for this proposition, and we are aware of none. </w:t>
      </w:r>
    </w:p>
  </w:footnote>
  <w:footnote w:id="12">
    <w:p w14:paraId="71C98682" w14:textId="77777777" w:rsidR="00467CEA" w:rsidRPr="00096168" w:rsidRDefault="00C25CF2" w:rsidP="00221F24">
      <w:pPr>
        <w:pStyle w:val="FootnoteText"/>
      </w:pPr>
      <w:r w:rsidRPr="00096168">
        <w:rPr>
          <w:rStyle w:val="FootnoteReference"/>
          <w:szCs w:val="26"/>
        </w:rPr>
        <w:footnoteRef/>
      </w:r>
      <w:r w:rsidRPr="00096168">
        <w:t xml:space="preserve"> </w:t>
      </w:r>
      <w:r w:rsidRPr="00096168">
        <w:tab/>
        <w:t>As discussed below, the Ag</w:t>
      </w:r>
      <w:r w:rsidRPr="00096168">
        <w:t xml:space="preserve">ency sufficiently explained its </w:t>
      </w:r>
      <w:r w:rsidRPr="00096168">
        <w:t xml:space="preserve">decision to forgo a quantitative assessment of coffee’s </w:t>
      </w:r>
      <w:r w:rsidRPr="00096168">
        <w:t xml:space="preserve">constituents </w:t>
      </w:r>
      <w:r w:rsidRPr="00096168">
        <w:t xml:space="preserve">in favor of a qualitative assessment of the mixture as a whole. </w:t>
      </w:r>
    </w:p>
  </w:footnote>
  <w:footnote w:id="13">
    <w:p w14:paraId="5B3A1340" w14:textId="77777777" w:rsidR="00FF7279" w:rsidRPr="00096168" w:rsidRDefault="00C25CF2" w:rsidP="00221F24">
      <w:pPr>
        <w:pStyle w:val="FootnoteText"/>
      </w:pPr>
      <w:r w:rsidRPr="00096168">
        <w:rPr>
          <w:rStyle w:val="FootnoteReference"/>
          <w:szCs w:val="26"/>
        </w:rPr>
        <w:footnoteRef/>
      </w:r>
      <w:r w:rsidRPr="00096168">
        <w:t xml:space="preserve"> </w:t>
      </w:r>
      <w:r w:rsidRPr="00096168">
        <w:tab/>
      </w:r>
      <w:r w:rsidRPr="00096168">
        <w:t xml:space="preserve">Any technical noncompliance by the Agency in failing to expressly reference the 2005 report is a far cry from the substantial failures in the cases CERT cites in support of its position.  (See </w:t>
      </w:r>
      <w:bookmarkStart w:id="24" w:name="dabmci_29af64bcb71b4ebda7cff9de3332580d"/>
      <w:r w:rsidRPr="00096168">
        <w:rPr>
          <w:i/>
          <w:iCs/>
        </w:rPr>
        <w:t>Sims</w:t>
      </w:r>
      <w:r w:rsidRPr="00096168">
        <w:t xml:space="preserve">, </w:t>
      </w:r>
      <w:r w:rsidRPr="00096168">
        <w:rPr>
          <w:i/>
          <w:iCs/>
        </w:rPr>
        <w:t>supra</w:t>
      </w:r>
      <w:r w:rsidRPr="00096168">
        <w:t>, 216 Cal.App.4th at 1074</w:t>
      </w:r>
      <w:bookmarkEnd w:id="24"/>
      <w:r w:rsidRPr="00096168">
        <w:t xml:space="preserve"> [California Department of </w:t>
      </w:r>
      <w:r w:rsidRPr="00096168">
        <w:t>Corrections and Rehabilitation violated APA by: failing to set forth alternatives to its proposed lethal injection protocol, failing to explain rejection of various alternatives, falsely representing how it selected proposed method, failing to include requ</w:t>
      </w:r>
      <w:r w:rsidRPr="00096168">
        <w:t xml:space="preserve">ired documents in rulemaking file, and failing to make file publicly available in timely manner]; </w:t>
      </w:r>
      <w:bookmarkStart w:id="25" w:name="dabmci_db94432ab73b4d70b35c9f653a8ca68a"/>
      <w:r w:rsidRPr="00096168">
        <w:rPr>
          <w:i/>
          <w:iCs/>
        </w:rPr>
        <w:t>Mountain Lion Foundation v. Fish &amp; Game Com</w:t>
      </w:r>
      <w:r>
        <w:rPr>
          <w:i/>
          <w:iCs/>
        </w:rPr>
        <w:t>.</w:t>
      </w:r>
      <w:r w:rsidRPr="00096168">
        <w:t xml:space="preserve"> (1997) 16 Cal.4th 105, 133</w:t>
      </w:r>
      <w:bookmarkEnd w:id="25"/>
      <w:r w:rsidRPr="00096168">
        <w:t xml:space="preserve"> [</w:t>
      </w:r>
      <w:r w:rsidRPr="00096168">
        <w:t xml:space="preserve">noting </w:t>
      </w:r>
      <w:r w:rsidRPr="00096168">
        <w:t>O</w:t>
      </w:r>
      <w:r w:rsidRPr="00096168">
        <w:t xml:space="preserve">ffice of Administrative </w:t>
      </w:r>
      <w:r w:rsidRPr="00096168">
        <w:t>L</w:t>
      </w:r>
      <w:r w:rsidRPr="00096168">
        <w:t>aw</w:t>
      </w:r>
      <w:r w:rsidRPr="00096168">
        <w:t>’s</w:t>
      </w:r>
      <w:r w:rsidRPr="00096168">
        <w:t xml:space="preserve"> disapprov</w:t>
      </w:r>
      <w:r w:rsidRPr="00096168">
        <w:t>al</w:t>
      </w:r>
      <w:r w:rsidRPr="00096168">
        <w:t xml:space="preserve"> of regulatory action where agency’s</w:t>
      </w:r>
      <w:r w:rsidRPr="00096168">
        <w:t xml:space="preserve"> final statement of reasons failed to include </w:t>
      </w:r>
      <w:r w:rsidRPr="00096168">
        <w:rPr>
          <w:i/>
          <w:iCs/>
        </w:rPr>
        <w:t>a</w:t>
      </w:r>
      <w:r w:rsidRPr="00096168">
        <w:rPr>
          <w:i/>
          <w:iCs/>
        </w:rPr>
        <w:t>ny</w:t>
      </w:r>
      <w:r w:rsidRPr="00096168">
        <w:t xml:space="preserve"> summary and response to public comments</w:t>
      </w:r>
      <w:r w:rsidRPr="00096168">
        <w:t xml:space="preserve">].)  </w:t>
      </w:r>
    </w:p>
  </w:footnote>
  <w:footnote w:id="14">
    <w:p w14:paraId="5E0158FD" w14:textId="77777777" w:rsidR="002F7CF2" w:rsidRPr="00096168" w:rsidRDefault="00C25CF2" w:rsidP="00221F24">
      <w:pPr>
        <w:pStyle w:val="FootnoteText"/>
      </w:pPr>
      <w:r w:rsidRPr="00096168">
        <w:rPr>
          <w:rStyle w:val="FootnoteReference"/>
          <w:szCs w:val="26"/>
        </w:rPr>
        <w:footnoteRef/>
      </w:r>
      <w:r w:rsidRPr="00096168">
        <w:t xml:space="preserve"> </w:t>
      </w:r>
      <w:r w:rsidRPr="00096168">
        <w:tab/>
        <w:t xml:space="preserve">CERT’s contention that </w:t>
      </w:r>
      <w:r w:rsidRPr="00096168">
        <w:t>the Agency relied on a single article</w:t>
      </w:r>
      <w:r w:rsidRPr="00096168">
        <w:t xml:space="preserve"> is therefore incorrect.  </w:t>
      </w:r>
    </w:p>
  </w:footnote>
  <w:footnote w:id="15">
    <w:p w14:paraId="74BFBA79" w14:textId="77777777" w:rsidR="001E157C" w:rsidRPr="00096168" w:rsidRDefault="00C25CF2" w:rsidP="00221F24">
      <w:pPr>
        <w:pStyle w:val="FootnoteText"/>
      </w:pPr>
      <w:r w:rsidRPr="00096168">
        <w:rPr>
          <w:rStyle w:val="FootnoteReference"/>
          <w:szCs w:val="26"/>
        </w:rPr>
        <w:footnoteRef/>
      </w:r>
      <w:r w:rsidRPr="00096168">
        <w:t xml:space="preserve"> </w:t>
      </w:r>
      <w:r w:rsidRPr="00096168">
        <w:tab/>
        <w:t>Given our conclusion, we need not address CERT’s additional contenti</w:t>
      </w:r>
      <w:r w:rsidRPr="00096168">
        <w:t xml:space="preserve">on that </w:t>
      </w:r>
      <w:r w:rsidRPr="00096168">
        <w:t xml:space="preserve">the trial court </w:t>
      </w:r>
      <w:r w:rsidRPr="00096168">
        <w:t xml:space="preserve">erred by failing to grant it a continuance to conduct additional discovery regarding </w:t>
      </w:r>
      <w:r w:rsidRPr="00096168">
        <w:t xml:space="preserve">coffee </w:t>
      </w:r>
      <w:r w:rsidRPr="00096168">
        <w:t>additives</w:t>
      </w:r>
      <w:r w:rsidRPr="00096168">
        <w:t xml:space="preserve">. </w:t>
      </w:r>
      <w:r w:rsidRPr="00096168">
        <w:t xml:space="preserve"> </w:t>
      </w:r>
      <w:r w:rsidRPr="00096168">
        <w:t>I</w:t>
      </w:r>
      <w:r w:rsidRPr="00096168">
        <w:t xml:space="preserve">n its reply brief, CERT argues </w:t>
      </w:r>
      <w:r w:rsidRPr="00096168">
        <w:t xml:space="preserve">for the first time </w:t>
      </w:r>
      <w:r w:rsidRPr="00096168">
        <w:t xml:space="preserve">that </w:t>
      </w:r>
      <w:r w:rsidRPr="00096168">
        <w:t xml:space="preserve">epidemiological studies of acrylamide in food are </w:t>
      </w:r>
      <w:r w:rsidRPr="00096168">
        <w:t>scientifically unreliable</w:t>
      </w:r>
      <w:r w:rsidRPr="00096168">
        <w:t>, citing a</w:t>
      </w:r>
      <w:r w:rsidRPr="00096168">
        <w:t>n expert</w:t>
      </w:r>
      <w:r w:rsidRPr="00096168">
        <w:t xml:space="preserve"> declaration </w:t>
      </w:r>
      <w:r w:rsidRPr="00096168">
        <w:t xml:space="preserve">filed </w:t>
      </w:r>
      <w:r w:rsidRPr="00096168">
        <w:t xml:space="preserve">by </w:t>
      </w:r>
      <w:r w:rsidRPr="00096168">
        <w:t>the Attorney General in a different case in January 2020</w:t>
      </w:r>
      <w:r w:rsidRPr="00096168">
        <w:t xml:space="preserve"> (after the Agency issued the </w:t>
      </w:r>
      <w:r w:rsidRPr="00096168">
        <w:t>C</w:t>
      </w:r>
      <w:r w:rsidRPr="00096168">
        <w:t xml:space="preserve">offee </w:t>
      </w:r>
      <w:r w:rsidRPr="00096168">
        <w:t>R</w:t>
      </w:r>
      <w:r w:rsidRPr="00096168">
        <w:t xml:space="preserve">egulation but before </w:t>
      </w:r>
      <w:r w:rsidRPr="00096168">
        <w:t xml:space="preserve">the filing of CERT’s opening brief). </w:t>
      </w:r>
      <w:r w:rsidRPr="00096168">
        <w:t xml:space="preserve"> </w:t>
      </w:r>
      <w:r w:rsidRPr="00096168">
        <w:t>Similarly, f</w:t>
      </w:r>
      <w:r w:rsidRPr="00096168">
        <w:t>or the first time i</w:t>
      </w:r>
      <w:r w:rsidRPr="00096168">
        <w:t>n its a</w:t>
      </w:r>
      <w:r w:rsidRPr="00096168">
        <w:t xml:space="preserve">nswer to the Agency’s amicus brief, </w:t>
      </w:r>
      <w:r w:rsidRPr="00096168">
        <w:t xml:space="preserve">CERT </w:t>
      </w:r>
      <w:r w:rsidRPr="00096168">
        <w:t>contends</w:t>
      </w:r>
      <w:r w:rsidRPr="00096168">
        <w:t xml:space="preserve"> that </w:t>
      </w:r>
      <w:r w:rsidRPr="00096168">
        <w:t xml:space="preserve">the Agency adopted the </w:t>
      </w:r>
      <w:r w:rsidRPr="00096168">
        <w:t>C</w:t>
      </w:r>
      <w:r w:rsidRPr="00096168">
        <w:t xml:space="preserve">offee </w:t>
      </w:r>
      <w:r w:rsidRPr="00096168">
        <w:t>R</w:t>
      </w:r>
      <w:r w:rsidRPr="00096168">
        <w:t>egulation due to political pressure</w:t>
      </w:r>
      <w:r w:rsidRPr="00096168">
        <w:t>,</w:t>
      </w:r>
      <w:r w:rsidRPr="00096168">
        <w:t xml:space="preserve"> and that its rationale was simply a post hoc rationalization that cannot support the regulation. </w:t>
      </w:r>
      <w:r w:rsidRPr="00096168">
        <w:t xml:space="preserve"> </w:t>
      </w:r>
      <w:r w:rsidRPr="00096168">
        <w:t xml:space="preserve">CERT has forfeited </w:t>
      </w:r>
      <w:r w:rsidRPr="00096168">
        <w:t>these</w:t>
      </w:r>
      <w:r w:rsidRPr="00096168">
        <w:t xml:space="preserve"> contention</w:t>
      </w:r>
      <w:r w:rsidRPr="00096168">
        <w:t>s</w:t>
      </w:r>
      <w:r w:rsidRPr="00096168">
        <w:t xml:space="preserve"> by failing to raise </w:t>
      </w:r>
      <w:r w:rsidRPr="00096168">
        <w:t>them</w:t>
      </w:r>
      <w:r w:rsidRPr="00096168">
        <w:t xml:space="preserve"> in its opening brief.  (</w:t>
      </w:r>
      <w:r w:rsidRPr="00096168">
        <w:t xml:space="preserve">See </w:t>
      </w:r>
      <w:bookmarkStart w:id="40" w:name="dabmci_430dc9e24b7b46b2876efa4fad7de6f7"/>
      <w:r w:rsidRPr="00096168">
        <w:rPr>
          <w:i/>
          <w:iCs/>
        </w:rPr>
        <w:t>Tukes v. Richard</w:t>
      </w:r>
      <w:r w:rsidRPr="00096168">
        <w:t xml:space="preserve"> (2022) 81 Cal.App.5th 1, fn. 5</w:t>
      </w:r>
      <w:bookmarkEnd w:id="40"/>
      <w:r>
        <w:t xml:space="preserve"> </w:t>
      </w:r>
      <w:r w:rsidRPr="00096168">
        <w:t>[“A contention not appropriately raised in the opening brief under a separate argument heading may be deemed forfeited.”</w:t>
      </w:r>
      <w:r w:rsidRPr="00096168">
        <w:t xml:space="preserve">) </w:t>
      </w:r>
      <w:r w:rsidRPr="00096168">
        <w:t xml:space="preserve"> </w:t>
      </w:r>
    </w:p>
    <w:p w14:paraId="7A61A89E" w14:textId="77777777" w:rsidR="00A26B9D" w:rsidRPr="00096168" w:rsidRDefault="00C25CF2" w:rsidP="00221F24">
      <w:pPr>
        <w:pStyle w:val="FootnoteText"/>
      </w:pPr>
      <w:r>
        <w:tab/>
      </w:r>
      <w:r w:rsidRPr="00096168">
        <w:t xml:space="preserve">Because we affirm the grant </w:t>
      </w:r>
      <w:r w:rsidRPr="00096168">
        <w:t>of summary judgment based on the Agency’s regulation and the conclusion that claims involving additives were outside the scope of CERT’s actions, we need not address respondents</w:t>
      </w:r>
      <w:r w:rsidRPr="00096168">
        <w:t>’</w:t>
      </w:r>
      <w:r w:rsidRPr="00096168">
        <w:t xml:space="preserve"> alternative argument </w:t>
      </w:r>
      <w:r w:rsidRPr="00096168">
        <w:t xml:space="preserve">that compelling them to provide Prop. 65 warnings would have violated the First Amendment. </w:t>
      </w:r>
    </w:p>
  </w:footnote>
  <w:footnote w:id="16">
    <w:p w14:paraId="0F8EAE90" w14:textId="77777777" w:rsidR="00A82089" w:rsidRPr="00096168" w:rsidRDefault="00C25CF2" w:rsidP="00221F24">
      <w:pPr>
        <w:pStyle w:val="FootnoteText"/>
      </w:pPr>
      <w:r w:rsidRPr="00096168">
        <w:rPr>
          <w:rStyle w:val="FootnoteReference"/>
          <w:szCs w:val="26"/>
        </w:rPr>
        <w:footnoteRef/>
      </w:r>
      <w:r w:rsidRPr="00096168">
        <w:t xml:space="preserve"> </w:t>
      </w:r>
      <w:r w:rsidRPr="00096168">
        <w:tab/>
        <w:t xml:space="preserve">We also question whether </w:t>
      </w:r>
      <w:r w:rsidRPr="00096168">
        <w:t>CERT could be deemed a successful party under the catalyst theory</w:t>
      </w:r>
      <w:r w:rsidRPr="00096168">
        <w:t xml:space="preserve"> </w:t>
      </w:r>
      <w:r w:rsidRPr="00096168">
        <w:t xml:space="preserve">after litigating and losing </w:t>
      </w:r>
      <w:r w:rsidRPr="00096168">
        <w:t>its case on the merits.  (</w:t>
      </w:r>
      <w:r w:rsidRPr="00096168">
        <w:t xml:space="preserve">See </w:t>
      </w:r>
      <w:bookmarkStart w:id="43" w:name="dabmci_a44a049fca38400b9f5f4eab8baa2969"/>
      <w:r w:rsidRPr="00096168">
        <w:rPr>
          <w:i/>
          <w:iCs/>
        </w:rPr>
        <w:t>Skaff v. Rio</w:t>
      </w:r>
      <w:r w:rsidRPr="00096168">
        <w:rPr>
          <w:i/>
          <w:iCs/>
        </w:rPr>
        <w:t xml:space="preserve"> Nido Roadhouse</w:t>
      </w:r>
      <w:r w:rsidRPr="00096168">
        <w:t xml:space="preserve"> (2020) 55 Cal.App.5th 522, 540</w:t>
      </w:r>
      <w:bookmarkEnd w:id="43"/>
      <w:r w:rsidRPr="00096168">
        <w:t xml:space="preserve"> [</w:t>
      </w:r>
      <w:r w:rsidRPr="00096168">
        <w:t>“</w:t>
      </w:r>
      <w:r w:rsidRPr="00096168">
        <w:t>we are not convinced that the catalyst theory should even apply here</w:t>
      </w:r>
      <w:r w:rsidRPr="00096168">
        <w:t xml:space="preserve">,” as </w:t>
      </w:r>
      <w:r w:rsidRPr="00096168">
        <w:t>“[t]</w:t>
      </w:r>
      <w:r w:rsidRPr="00096168">
        <w:t>he catalyst theory is generally not invoked in cases where the merits have been fully litigated to a final judgment</w:t>
      </w:r>
      <w:r w:rsidRPr="00096168">
        <w:t>”</w:t>
      </w:r>
      <w:r w:rsidRPr="00096168">
        <w:t xml:space="preserve">].) </w:t>
      </w:r>
      <w:r w:rsidRPr="00096168">
        <w:t xml:space="preserve"> </w:t>
      </w:r>
      <w:r w:rsidRPr="00096168">
        <w:t>However,</w:t>
      </w:r>
      <w:r w:rsidRPr="00096168">
        <w:t xml:space="preserve"> b</w:t>
      </w:r>
      <w:r w:rsidRPr="00096168">
        <w:t>ecause we conclude that CERT</w:t>
      </w:r>
      <w:r w:rsidRPr="00096168">
        <w:t xml:space="preserve"> </w:t>
      </w:r>
      <w:r w:rsidRPr="00096168">
        <w:t>conferred</w:t>
      </w:r>
      <w:r w:rsidRPr="00096168">
        <w:t xml:space="preserve"> no significant benefit </w:t>
      </w:r>
      <w:r w:rsidRPr="00096168">
        <w:t>on</w:t>
      </w:r>
      <w:r w:rsidRPr="00096168">
        <w:t xml:space="preserve"> the public, we need not decide the issue. </w:t>
      </w:r>
    </w:p>
  </w:footnote>
  <w:footnote w:id="17">
    <w:p w14:paraId="6FCB72D9" w14:textId="77777777" w:rsidR="00B12953" w:rsidRPr="00096168" w:rsidRDefault="00C25CF2" w:rsidP="00221F24">
      <w:pPr>
        <w:pStyle w:val="FootnoteText"/>
      </w:pPr>
      <w:r w:rsidRPr="00096168">
        <w:rPr>
          <w:rStyle w:val="FootnoteReference"/>
        </w:rPr>
        <w:footnoteRef/>
      </w:r>
      <w:r w:rsidRPr="00096168">
        <w:t xml:space="preserve"> </w:t>
      </w:r>
      <w:r w:rsidRPr="00096168">
        <w:tab/>
      </w:r>
      <w:r w:rsidRPr="00096168">
        <w:t xml:space="preserve">On appeal, </w:t>
      </w:r>
      <w:r w:rsidRPr="00096168">
        <w:t xml:space="preserve">CERT has not provided a reporter’s transcript of the hearing </w:t>
      </w:r>
      <w:r w:rsidRPr="00096168">
        <w:t>on its motion to tax.</w:t>
      </w:r>
    </w:p>
  </w:footnote>
  <w:footnote w:id="18">
    <w:p w14:paraId="6B01D2EF" w14:textId="77777777" w:rsidR="00E87137" w:rsidRPr="00096168" w:rsidRDefault="00C25CF2" w:rsidP="00221F24">
      <w:pPr>
        <w:pStyle w:val="FootnoteText"/>
      </w:pPr>
      <w:r w:rsidRPr="00096168">
        <w:rPr>
          <w:rStyle w:val="FootnoteReference"/>
        </w:rPr>
        <w:footnoteRef/>
      </w:r>
      <w:r w:rsidRPr="00096168">
        <w:t xml:space="preserve"> </w:t>
      </w:r>
      <w:r w:rsidRPr="00096168">
        <w:tab/>
      </w:r>
      <w:r w:rsidRPr="00096168">
        <w:t>T</w:t>
      </w:r>
      <w:r w:rsidRPr="00096168">
        <w:t>he</w:t>
      </w:r>
      <w:r w:rsidRPr="00096168">
        <w:t xml:space="preserve"> </w:t>
      </w:r>
      <w:r w:rsidRPr="00096168">
        <w:t>s</w:t>
      </w:r>
      <w:r w:rsidRPr="00096168">
        <w:t xml:space="preserve">ection 998 respondents </w:t>
      </w:r>
      <w:r w:rsidRPr="00096168">
        <w:t xml:space="preserve">suggest that CERT forfeited its arguments by failing to expressly identify </w:t>
      </w:r>
      <w:r w:rsidRPr="00096168">
        <w:t xml:space="preserve">a released claim beyond the scope of the litigation.  To the extent </w:t>
      </w:r>
      <w:r w:rsidRPr="00096168">
        <w:t xml:space="preserve">this asserted failure triggers the </w:t>
      </w:r>
      <w:r w:rsidRPr="00096168">
        <w:t xml:space="preserve">forfeiture </w:t>
      </w:r>
      <w:r w:rsidRPr="00096168">
        <w:t>rule, we exercise our discretion to consider</w:t>
      </w:r>
      <w:r w:rsidRPr="00096168">
        <w:t xml:space="preserve"> </w:t>
      </w:r>
      <w:r w:rsidRPr="00096168">
        <w:t>CERT’s contentions and the claim we have identified</w:t>
      </w:r>
      <w:r w:rsidRPr="00096168">
        <w:t xml:space="preserve"> because</w:t>
      </w:r>
      <w:r w:rsidRPr="00096168">
        <w:t xml:space="preserve"> this matter is subject to de novo review</w:t>
      </w:r>
      <w:r w:rsidRPr="00096168">
        <w:t xml:space="preserve"> and</w:t>
      </w:r>
      <w:r w:rsidRPr="00096168">
        <w:t xml:space="preserve"> </w:t>
      </w:r>
      <w:r w:rsidRPr="00096168">
        <w:t xml:space="preserve">the </w:t>
      </w:r>
      <w:r w:rsidRPr="00096168">
        <w:t xml:space="preserve">relevant claim </w:t>
      </w:r>
      <w:r w:rsidRPr="00096168">
        <w:t xml:space="preserve">was extensively </w:t>
      </w:r>
      <w:r w:rsidRPr="00096168">
        <w:t>discussed both below and on appeal in the context of summary judgment</w:t>
      </w:r>
      <w:r w:rsidRPr="00096168">
        <w:t xml:space="preserve">, </w:t>
      </w:r>
      <w:r w:rsidRPr="00096168">
        <w:t xml:space="preserve">providing </w:t>
      </w:r>
      <w:r w:rsidRPr="00096168">
        <w:t xml:space="preserve">the </w:t>
      </w:r>
      <w:r w:rsidRPr="00096168">
        <w:t>s</w:t>
      </w:r>
      <w:r w:rsidRPr="00096168">
        <w:t xml:space="preserve">ection 998 respondents </w:t>
      </w:r>
      <w:r w:rsidRPr="00096168">
        <w:t xml:space="preserve">ample </w:t>
      </w:r>
      <w:r w:rsidRPr="00096168">
        <w:t>opportunity to address it</w:t>
      </w:r>
      <w:r w:rsidRPr="00096168">
        <w:t xml:space="preserve">.  </w:t>
      </w:r>
      <w:r w:rsidRPr="00096168">
        <w:t xml:space="preserve">(See </w:t>
      </w:r>
      <w:bookmarkStart w:id="74" w:name="dabmci_67f222c6948c403ca066eb6da15137be"/>
      <w:r w:rsidRPr="00096168">
        <w:rPr>
          <w:i/>
          <w:iCs/>
        </w:rPr>
        <w:t>Husman v. Toyota Motor Credit Corp.</w:t>
      </w:r>
      <w:r w:rsidRPr="00096168">
        <w:t xml:space="preserve"> (2017) 12 Cal.App.5th 1168, 1187</w:t>
      </w:r>
      <w:bookmarkEnd w:id="74"/>
      <w:r w:rsidRPr="00096168">
        <w:t xml:space="preserve"> </w:t>
      </w:r>
      <w:r w:rsidRPr="00096168">
        <w:t>[</w:t>
      </w:r>
      <w:r w:rsidRPr="00096168">
        <w:t xml:space="preserve">noting appellate courts’ discretion </w:t>
      </w:r>
      <w:r w:rsidRPr="00096168">
        <w:t xml:space="preserve">to </w:t>
      </w:r>
      <w:r w:rsidRPr="00096168">
        <w:t xml:space="preserve">consider </w:t>
      </w:r>
      <w:r w:rsidRPr="00096168">
        <w:t xml:space="preserve">matter </w:t>
      </w:r>
      <w:r w:rsidRPr="00096168">
        <w:t xml:space="preserve">that was not argued below but </w:t>
      </w:r>
      <w:r w:rsidRPr="00096168">
        <w:t xml:space="preserve">involves </w:t>
      </w:r>
      <w:r w:rsidRPr="00096168">
        <w:t xml:space="preserve">only legal question </w:t>
      </w:r>
      <w:r w:rsidRPr="00096168">
        <w:t xml:space="preserve">based on undisputed </w:t>
      </w:r>
      <w:r w:rsidRPr="00096168">
        <w:t>facts</w:t>
      </w:r>
      <w:r w:rsidRPr="00096168">
        <w:t>]</w:t>
      </w:r>
      <w:r w:rsidRPr="00096168">
        <w:t xml:space="preserve">; </w:t>
      </w:r>
      <w:bookmarkStart w:id="75" w:name="dabmci_427ae8d6696549639006daadc2b9074c"/>
      <w:r w:rsidRPr="00096168">
        <w:rPr>
          <w:i/>
          <w:iCs/>
        </w:rPr>
        <w:t>Jameson v. Desta</w:t>
      </w:r>
      <w:r w:rsidRPr="00096168">
        <w:t xml:space="preserve"> (2009) 179 Cal.App.4th 672, 674</w:t>
      </w:r>
      <w:r w:rsidRPr="00096168">
        <w:t>, fn. 1</w:t>
      </w:r>
      <w:bookmarkEnd w:id="75"/>
      <w:r w:rsidRPr="00096168">
        <w:t xml:space="preserve"> [exercising discretion to consider </w:t>
      </w:r>
      <w:r w:rsidRPr="00096168">
        <w:t>claim</w:t>
      </w:r>
      <w:r w:rsidRPr="00096168">
        <w:t xml:space="preserve"> not raised in opening brief </w:t>
      </w:r>
      <w:r w:rsidRPr="00096168">
        <w:t xml:space="preserve">because </w:t>
      </w:r>
      <w:r w:rsidRPr="00096168">
        <w:t>respondent had</w:t>
      </w:r>
      <w:r w:rsidRPr="00096168">
        <w:t xml:space="preserve"> not been deprived </w:t>
      </w:r>
      <w:r w:rsidRPr="00096168">
        <w:t xml:space="preserve">of </w:t>
      </w:r>
      <w:r w:rsidRPr="00096168">
        <w:t>opportunity to address issue</w:t>
      </w:r>
      <w:r w:rsidRPr="00096168">
        <w:t xml:space="preserve">].) </w:t>
      </w:r>
    </w:p>
  </w:footnote>
  <w:footnote w:id="19">
    <w:p w14:paraId="40060E70" w14:textId="77777777" w:rsidR="00411C56" w:rsidRDefault="00C25CF2" w:rsidP="00221F24">
      <w:pPr>
        <w:pStyle w:val="FootnoteText"/>
      </w:pPr>
      <w:r w:rsidRPr="00096168">
        <w:rPr>
          <w:rStyle w:val="FootnoteReference"/>
        </w:rPr>
        <w:footnoteRef/>
      </w:r>
      <w:r w:rsidRPr="00096168">
        <w:t xml:space="preserve"> </w:t>
      </w:r>
      <w:r w:rsidRPr="00096168">
        <w:tab/>
        <w:t xml:space="preserve">As noted, </w:t>
      </w:r>
      <w:r w:rsidRPr="00096168">
        <w:t>a person who violates Prop. 65 is subject</w:t>
      </w:r>
      <w:r w:rsidRPr="00096168">
        <w:t xml:space="preserve"> to civil penalties of up to $2,500 per day for each violation.  (Health &amp; Saf. Code, § 25249.7, subd. (b)(1).)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F780" w14:textId="77777777" w:rsidR="00116324" w:rsidRDefault="00C25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FCF1" w14:textId="77777777" w:rsidR="00116324" w:rsidRDefault="00C25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299" w14:textId="77777777" w:rsidR="00116324" w:rsidRDefault="00C25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BFA"/>
    <w:multiLevelType w:val="hybridMultilevel"/>
    <w:tmpl w:val="C052ACDE"/>
    <w:lvl w:ilvl="0" w:tplc="75E4198A">
      <w:start w:val="1"/>
      <w:numFmt w:val="upperLetter"/>
      <w:lvlText w:val="%1."/>
      <w:lvlJc w:val="left"/>
      <w:pPr>
        <w:ind w:left="720" w:hanging="360"/>
      </w:pPr>
      <w:rPr>
        <w:rFonts w:hint="default"/>
        <w:i/>
        <w:iCs w:val="0"/>
      </w:rPr>
    </w:lvl>
    <w:lvl w:ilvl="1" w:tplc="47BA0426">
      <w:start w:val="1"/>
      <w:numFmt w:val="decimal"/>
      <w:lvlText w:val="%2."/>
      <w:lvlJc w:val="left"/>
      <w:pPr>
        <w:ind w:left="1440" w:hanging="360"/>
      </w:pPr>
      <w:rPr>
        <w:rFonts w:hint="default"/>
        <w:i w:val="0"/>
        <w:iCs w:val="0"/>
      </w:rPr>
    </w:lvl>
    <w:lvl w:ilvl="2" w:tplc="8B12A58E">
      <w:start w:val="1"/>
      <w:numFmt w:val="lowerLetter"/>
      <w:lvlText w:val="%3."/>
      <w:lvlJc w:val="left"/>
      <w:pPr>
        <w:ind w:left="2160" w:hanging="180"/>
      </w:pPr>
    </w:lvl>
    <w:lvl w:ilvl="3" w:tplc="BC440E74">
      <w:start w:val="1"/>
      <w:numFmt w:val="decimal"/>
      <w:lvlText w:val="%4."/>
      <w:lvlJc w:val="left"/>
      <w:pPr>
        <w:ind w:left="2880" w:hanging="360"/>
      </w:pPr>
    </w:lvl>
    <w:lvl w:ilvl="4" w:tplc="CE4818B2" w:tentative="1">
      <w:start w:val="1"/>
      <w:numFmt w:val="lowerLetter"/>
      <w:lvlText w:val="%5."/>
      <w:lvlJc w:val="left"/>
      <w:pPr>
        <w:ind w:left="3600" w:hanging="360"/>
      </w:pPr>
    </w:lvl>
    <w:lvl w:ilvl="5" w:tplc="C5D6316E" w:tentative="1">
      <w:start w:val="1"/>
      <w:numFmt w:val="lowerRoman"/>
      <w:lvlText w:val="%6."/>
      <w:lvlJc w:val="right"/>
      <w:pPr>
        <w:ind w:left="4320" w:hanging="180"/>
      </w:pPr>
    </w:lvl>
    <w:lvl w:ilvl="6" w:tplc="B55C302E" w:tentative="1">
      <w:start w:val="1"/>
      <w:numFmt w:val="decimal"/>
      <w:lvlText w:val="%7."/>
      <w:lvlJc w:val="left"/>
      <w:pPr>
        <w:ind w:left="5040" w:hanging="360"/>
      </w:pPr>
    </w:lvl>
    <w:lvl w:ilvl="7" w:tplc="BF409A74" w:tentative="1">
      <w:start w:val="1"/>
      <w:numFmt w:val="lowerLetter"/>
      <w:lvlText w:val="%8."/>
      <w:lvlJc w:val="left"/>
      <w:pPr>
        <w:ind w:left="5760" w:hanging="360"/>
      </w:pPr>
    </w:lvl>
    <w:lvl w:ilvl="8" w:tplc="F1747F46" w:tentative="1">
      <w:start w:val="1"/>
      <w:numFmt w:val="lowerRoman"/>
      <w:lvlText w:val="%9."/>
      <w:lvlJc w:val="right"/>
      <w:pPr>
        <w:ind w:left="6480" w:hanging="180"/>
      </w:pPr>
    </w:lvl>
  </w:abstractNum>
  <w:abstractNum w:abstractNumId="1" w15:restartNumberingAfterBreak="0">
    <w:nsid w:val="4FBA5C56"/>
    <w:multiLevelType w:val="hybridMultilevel"/>
    <w:tmpl w:val="05D62604"/>
    <w:lvl w:ilvl="0" w:tplc="E3C474D2">
      <w:start w:val="1"/>
      <w:numFmt w:val="upperLetter"/>
      <w:lvlText w:val="%1."/>
      <w:lvlJc w:val="left"/>
      <w:pPr>
        <w:ind w:left="720" w:hanging="360"/>
      </w:pPr>
      <w:rPr>
        <w:rFonts w:hint="default"/>
        <w:i/>
        <w:iCs w:val="0"/>
      </w:rPr>
    </w:lvl>
    <w:lvl w:ilvl="1" w:tplc="27DCA1EE">
      <w:start w:val="1"/>
      <w:numFmt w:val="decimal"/>
      <w:lvlText w:val="%2."/>
      <w:lvlJc w:val="left"/>
      <w:pPr>
        <w:ind w:left="1440" w:hanging="360"/>
      </w:pPr>
      <w:rPr>
        <w:rFonts w:hint="default"/>
        <w:i w:val="0"/>
        <w:iCs w:val="0"/>
      </w:rPr>
    </w:lvl>
    <w:lvl w:ilvl="2" w:tplc="B0B8FC5C">
      <w:start w:val="1"/>
      <w:numFmt w:val="lowerLetter"/>
      <w:lvlText w:val="%3."/>
      <w:lvlJc w:val="left"/>
      <w:pPr>
        <w:ind w:left="2160" w:hanging="180"/>
      </w:pPr>
    </w:lvl>
    <w:lvl w:ilvl="3" w:tplc="199CDFC6">
      <w:start w:val="1"/>
      <w:numFmt w:val="lowerRoman"/>
      <w:lvlText w:val="%4."/>
      <w:lvlJc w:val="right"/>
      <w:pPr>
        <w:ind w:left="2880" w:hanging="360"/>
      </w:pPr>
    </w:lvl>
    <w:lvl w:ilvl="4" w:tplc="6C8CAD5C" w:tentative="1">
      <w:start w:val="1"/>
      <w:numFmt w:val="lowerLetter"/>
      <w:lvlText w:val="%5."/>
      <w:lvlJc w:val="left"/>
      <w:pPr>
        <w:ind w:left="3600" w:hanging="360"/>
      </w:pPr>
    </w:lvl>
    <w:lvl w:ilvl="5" w:tplc="32AAE9A2" w:tentative="1">
      <w:start w:val="1"/>
      <w:numFmt w:val="lowerRoman"/>
      <w:lvlText w:val="%6."/>
      <w:lvlJc w:val="right"/>
      <w:pPr>
        <w:ind w:left="4320" w:hanging="180"/>
      </w:pPr>
    </w:lvl>
    <w:lvl w:ilvl="6" w:tplc="897023B6">
      <w:start w:val="1"/>
      <w:numFmt w:val="decimal"/>
      <w:lvlText w:val="%7."/>
      <w:lvlJc w:val="left"/>
      <w:pPr>
        <w:ind w:left="5040" w:hanging="360"/>
      </w:pPr>
    </w:lvl>
    <w:lvl w:ilvl="7" w:tplc="49EEA558" w:tentative="1">
      <w:start w:val="1"/>
      <w:numFmt w:val="lowerLetter"/>
      <w:lvlText w:val="%8."/>
      <w:lvlJc w:val="left"/>
      <w:pPr>
        <w:ind w:left="5760" w:hanging="360"/>
      </w:pPr>
    </w:lvl>
    <w:lvl w:ilvl="8" w:tplc="971814FA" w:tentative="1">
      <w:start w:val="1"/>
      <w:numFmt w:val="lowerRoman"/>
      <w:lvlText w:val="%9."/>
      <w:lvlJc w:val="right"/>
      <w:pPr>
        <w:ind w:left="6480" w:hanging="180"/>
      </w:pPr>
    </w:lvl>
  </w:abstractNum>
  <w:abstractNum w:abstractNumId="2" w15:restartNumberingAfterBreak="0">
    <w:nsid w:val="75A03F5B"/>
    <w:multiLevelType w:val="hybridMultilevel"/>
    <w:tmpl w:val="40044AE6"/>
    <w:lvl w:ilvl="0" w:tplc="68BC7E62">
      <w:start w:val="1"/>
      <w:numFmt w:val="upperLetter"/>
      <w:lvlText w:val="%1."/>
      <w:lvlJc w:val="left"/>
      <w:pPr>
        <w:ind w:left="720" w:hanging="360"/>
      </w:pPr>
      <w:rPr>
        <w:rFonts w:hint="default"/>
        <w:i/>
        <w:iCs w:val="0"/>
      </w:rPr>
    </w:lvl>
    <w:lvl w:ilvl="1" w:tplc="D7C66A1A">
      <w:start w:val="1"/>
      <w:numFmt w:val="decimal"/>
      <w:lvlText w:val="%2."/>
      <w:lvlJc w:val="left"/>
      <w:pPr>
        <w:ind w:left="1440" w:hanging="360"/>
      </w:pPr>
      <w:rPr>
        <w:rFonts w:hint="default"/>
        <w:i w:val="0"/>
        <w:iCs w:val="0"/>
      </w:rPr>
    </w:lvl>
    <w:lvl w:ilvl="2" w:tplc="D2D4CEBA">
      <w:start w:val="1"/>
      <w:numFmt w:val="lowerLetter"/>
      <w:lvlText w:val="%3."/>
      <w:lvlJc w:val="left"/>
      <w:pPr>
        <w:ind w:left="2160" w:hanging="180"/>
      </w:pPr>
      <w:rPr>
        <w:i w:val="0"/>
        <w:iCs w:val="0"/>
      </w:rPr>
    </w:lvl>
    <w:lvl w:ilvl="3" w:tplc="70528226">
      <w:start w:val="1"/>
      <w:numFmt w:val="lowerRoman"/>
      <w:lvlText w:val="%4."/>
      <w:lvlJc w:val="right"/>
      <w:pPr>
        <w:ind w:left="1440" w:hanging="360"/>
      </w:pPr>
    </w:lvl>
    <w:lvl w:ilvl="4" w:tplc="888AA652" w:tentative="1">
      <w:start w:val="1"/>
      <w:numFmt w:val="lowerLetter"/>
      <w:lvlText w:val="%5."/>
      <w:lvlJc w:val="left"/>
      <w:pPr>
        <w:ind w:left="3600" w:hanging="360"/>
      </w:pPr>
    </w:lvl>
    <w:lvl w:ilvl="5" w:tplc="28DCEEBE" w:tentative="1">
      <w:start w:val="1"/>
      <w:numFmt w:val="lowerRoman"/>
      <w:lvlText w:val="%6."/>
      <w:lvlJc w:val="right"/>
      <w:pPr>
        <w:ind w:left="4320" w:hanging="180"/>
      </w:pPr>
    </w:lvl>
    <w:lvl w:ilvl="6" w:tplc="9FAAE654" w:tentative="1">
      <w:start w:val="1"/>
      <w:numFmt w:val="decimal"/>
      <w:lvlText w:val="%7."/>
      <w:lvlJc w:val="left"/>
      <w:pPr>
        <w:ind w:left="5040" w:hanging="360"/>
      </w:pPr>
    </w:lvl>
    <w:lvl w:ilvl="7" w:tplc="BCBC0A10" w:tentative="1">
      <w:start w:val="1"/>
      <w:numFmt w:val="lowerLetter"/>
      <w:lvlText w:val="%8."/>
      <w:lvlJc w:val="left"/>
      <w:pPr>
        <w:ind w:left="5760" w:hanging="360"/>
      </w:pPr>
    </w:lvl>
    <w:lvl w:ilvl="8" w:tplc="5CB0671C" w:tentative="1">
      <w:start w:val="1"/>
      <w:numFmt w:val="lowerRoman"/>
      <w:lvlText w:val="%9."/>
      <w:lvlJc w:val="right"/>
      <w:pPr>
        <w:ind w:left="6480" w:hanging="180"/>
      </w:pPr>
    </w:lvl>
  </w:abstractNum>
  <w:num w:numId="1" w16cid:durableId="1001154901">
    <w:abstractNumId w:val="0"/>
  </w:num>
  <w:num w:numId="2" w16cid:durableId="1258175134">
    <w:abstractNumId w:val="2"/>
  </w:num>
  <w:num w:numId="3" w16cid:durableId="53315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3A"/>
    <w:rsid w:val="001D083A"/>
    <w:rsid w:val="00B41AB5"/>
    <w:rsid w:val="00C25CF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alibri" w:hAnsi="Century Schoolbook"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41F"/>
    <w:pPr>
      <w:spacing w:line="360" w:lineRule="auto"/>
      <w:ind w:firstLine="720"/>
    </w:pPr>
    <w:rPr>
      <w:sz w:val="28"/>
      <w:szCs w:val="28"/>
    </w:rPr>
  </w:style>
  <w:style w:type="paragraph" w:styleId="Heading1">
    <w:name w:val="heading 1"/>
    <w:basedOn w:val="Normal"/>
    <w:next w:val="Normal"/>
    <w:link w:val="Heading1Char"/>
    <w:qFormat/>
    <w:rsid w:val="00C97B76"/>
    <w:pPr>
      <w:keepNext/>
      <w:spacing w:line="240" w:lineRule="auto"/>
      <w:ind w:firstLine="0"/>
      <w:jc w:val="center"/>
      <w:outlineLvl w:val="0"/>
    </w:pPr>
    <w:rPr>
      <w:rFonts w:ascii="Times New Roman" w:eastAsia="Times New Roman" w:hAnsi="Times New Roman"/>
      <w:b/>
      <w:bCs/>
      <w:sz w:val="26"/>
      <w:szCs w:val="24"/>
      <w:u w:val="single"/>
    </w:rPr>
  </w:style>
  <w:style w:type="paragraph" w:styleId="Heading2">
    <w:name w:val="heading 2"/>
    <w:basedOn w:val="Normal"/>
    <w:next w:val="Normal"/>
    <w:link w:val="Heading2Char"/>
    <w:uiPriority w:val="9"/>
    <w:semiHidden/>
    <w:unhideWhenUsed/>
    <w:qFormat/>
    <w:rsid w:val="00A3183D"/>
    <w:pPr>
      <w:keepNext/>
      <w:keepLines/>
      <w:spacing w:before="40"/>
      <w:outlineLvl w:val="1"/>
    </w:pPr>
    <w:rPr>
      <w:rFonts w:ascii="Calibri Light" w:eastAsia="Yu Gothic Light" w:hAnsi="Calibri Light"/>
      <w:color w:val="2F5496"/>
      <w:sz w:val="26"/>
      <w:szCs w:val="26"/>
    </w:rPr>
  </w:style>
  <w:style w:type="paragraph" w:styleId="Heading3">
    <w:name w:val="heading 3"/>
    <w:basedOn w:val="Normal"/>
    <w:next w:val="Normal"/>
    <w:link w:val="Heading3Char"/>
    <w:uiPriority w:val="9"/>
    <w:semiHidden/>
    <w:unhideWhenUsed/>
    <w:qFormat/>
    <w:rsid w:val="00A3183D"/>
    <w:pPr>
      <w:keepNext/>
      <w:keepLines/>
      <w:spacing w:before="40"/>
      <w:outlineLvl w:val="2"/>
    </w:pPr>
    <w:rPr>
      <w:rFonts w:ascii="Calibri Light" w:eastAsia="Yu Gothic Light" w:hAnsi="Calibri Light"/>
      <w:color w:val="1F3763"/>
      <w:sz w:val="24"/>
      <w:szCs w:val="24"/>
    </w:rPr>
  </w:style>
  <w:style w:type="paragraph" w:styleId="Heading6">
    <w:name w:val="heading 6"/>
    <w:basedOn w:val="Normal"/>
    <w:next w:val="Normal"/>
    <w:link w:val="Heading6Char"/>
    <w:uiPriority w:val="9"/>
    <w:semiHidden/>
    <w:unhideWhenUsed/>
    <w:qFormat/>
    <w:rsid w:val="00CB276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221F24"/>
    <w:pPr>
      <w:spacing w:after="120" w:line="240" w:lineRule="auto"/>
      <w:ind w:firstLine="0"/>
    </w:pPr>
    <w:rPr>
      <w:sz w:val="26"/>
    </w:rPr>
  </w:style>
  <w:style w:type="character" w:customStyle="1" w:styleId="FootnoteTextChar">
    <w:name w:val="Footnote Text Char"/>
    <w:link w:val="FootnoteText"/>
    <w:uiPriority w:val="99"/>
    <w:rsid w:val="00221F24"/>
    <w:rPr>
      <w:sz w:val="26"/>
      <w:szCs w:val="28"/>
    </w:rPr>
  </w:style>
  <w:style w:type="character" w:styleId="FootnoteReference">
    <w:name w:val="footnote reference"/>
    <w:uiPriority w:val="99"/>
    <w:semiHidden/>
    <w:unhideWhenUsed/>
    <w:rsid w:val="00D74545"/>
    <w:rPr>
      <w:vertAlign w:val="superscript"/>
    </w:rPr>
  </w:style>
  <w:style w:type="character" w:styleId="CommentReference">
    <w:name w:val="annotation reference"/>
    <w:uiPriority w:val="99"/>
    <w:semiHidden/>
    <w:unhideWhenUsed/>
    <w:rsid w:val="00037A97"/>
    <w:rPr>
      <w:sz w:val="16"/>
      <w:szCs w:val="16"/>
    </w:rPr>
  </w:style>
  <w:style w:type="paragraph" w:styleId="CommentText">
    <w:name w:val="annotation text"/>
    <w:basedOn w:val="Normal"/>
    <w:link w:val="CommentTextChar"/>
    <w:uiPriority w:val="99"/>
    <w:unhideWhenUsed/>
    <w:rsid w:val="00037A97"/>
    <w:rPr>
      <w:sz w:val="20"/>
    </w:rPr>
  </w:style>
  <w:style w:type="character" w:customStyle="1" w:styleId="CommentTextChar">
    <w:name w:val="Comment Text Char"/>
    <w:link w:val="CommentText"/>
    <w:uiPriority w:val="99"/>
    <w:rsid w:val="00037A97"/>
    <w:rPr>
      <w:sz w:val="20"/>
    </w:rPr>
  </w:style>
  <w:style w:type="paragraph" w:styleId="CommentSubject">
    <w:name w:val="annotation subject"/>
    <w:basedOn w:val="CommentText"/>
    <w:next w:val="CommentText"/>
    <w:link w:val="CommentSubjectChar"/>
    <w:uiPriority w:val="99"/>
    <w:semiHidden/>
    <w:unhideWhenUsed/>
    <w:rsid w:val="00037A97"/>
    <w:rPr>
      <w:b/>
      <w:bCs/>
    </w:rPr>
  </w:style>
  <w:style w:type="character" w:customStyle="1" w:styleId="CommentSubjectChar">
    <w:name w:val="Comment Subject Char"/>
    <w:link w:val="CommentSubject"/>
    <w:uiPriority w:val="99"/>
    <w:semiHidden/>
    <w:rsid w:val="00037A97"/>
    <w:rPr>
      <w:b/>
      <w:bCs/>
      <w:sz w:val="20"/>
    </w:rPr>
  </w:style>
  <w:style w:type="paragraph" w:styleId="BalloonText">
    <w:name w:val="Balloon Text"/>
    <w:basedOn w:val="Normal"/>
    <w:link w:val="BalloonTextChar"/>
    <w:uiPriority w:val="99"/>
    <w:semiHidden/>
    <w:unhideWhenUsed/>
    <w:rsid w:val="00037A97"/>
    <w:pPr>
      <w:spacing w:line="240" w:lineRule="auto"/>
    </w:pPr>
    <w:rPr>
      <w:rFonts w:ascii="Segoe UI" w:hAnsi="Segoe UI"/>
      <w:sz w:val="18"/>
      <w:szCs w:val="18"/>
    </w:rPr>
  </w:style>
  <w:style w:type="character" w:customStyle="1" w:styleId="BalloonTextChar">
    <w:name w:val="Balloon Text Char"/>
    <w:link w:val="BalloonText"/>
    <w:uiPriority w:val="99"/>
    <w:semiHidden/>
    <w:rsid w:val="00037A97"/>
    <w:rPr>
      <w:rFonts w:ascii="Segoe UI" w:hAnsi="Segoe UI" w:cs="Segoe UI"/>
      <w:sz w:val="18"/>
      <w:szCs w:val="18"/>
    </w:rPr>
  </w:style>
  <w:style w:type="paragraph" w:styleId="ListParagraph">
    <w:name w:val="List Paragraph"/>
    <w:basedOn w:val="Normal"/>
    <w:uiPriority w:val="34"/>
    <w:qFormat/>
    <w:rsid w:val="00D63DB4"/>
    <w:pPr>
      <w:ind w:left="720"/>
    </w:pPr>
  </w:style>
  <w:style w:type="paragraph" w:customStyle="1" w:styleId="Default">
    <w:name w:val="Default"/>
    <w:rsid w:val="00867EA8"/>
    <w:pPr>
      <w:autoSpaceDE w:val="0"/>
      <w:autoSpaceDN w:val="0"/>
      <w:adjustRightInd w:val="0"/>
    </w:pPr>
    <w:rPr>
      <w:rFonts w:ascii="Times New Roman" w:hAnsi="Times New Roman"/>
      <w:color w:val="000000"/>
      <w:sz w:val="24"/>
      <w:szCs w:val="24"/>
      <w:lang w:bidi="ar-SA"/>
    </w:rPr>
  </w:style>
  <w:style w:type="paragraph" w:styleId="Header">
    <w:name w:val="header"/>
    <w:basedOn w:val="Normal"/>
    <w:link w:val="HeaderChar"/>
    <w:uiPriority w:val="99"/>
    <w:unhideWhenUsed/>
    <w:rsid w:val="00EF1267"/>
    <w:pPr>
      <w:tabs>
        <w:tab w:val="center" w:pos="4680"/>
        <w:tab w:val="right" w:pos="9360"/>
      </w:tabs>
    </w:pPr>
  </w:style>
  <w:style w:type="character" w:customStyle="1" w:styleId="HeaderChar">
    <w:name w:val="Header Char"/>
    <w:link w:val="Header"/>
    <w:uiPriority w:val="99"/>
    <w:rsid w:val="00EF1267"/>
    <w:rPr>
      <w:sz w:val="28"/>
      <w:lang w:bidi="ar-SA"/>
    </w:rPr>
  </w:style>
  <w:style w:type="paragraph" w:styleId="Footer">
    <w:name w:val="footer"/>
    <w:basedOn w:val="Normal"/>
    <w:link w:val="FooterChar"/>
    <w:uiPriority w:val="99"/>
    <w:unhideWhenUsed/>
    <w:rsid w:val="00EF1267"/>
    <w:pPr>
      <w:tabs>
        <w:tab w:val="center" w:pos="4680"/>
        <w:tab w:val="right" w:pos="9360"/>
      </w:tabs>
    </w:pPr>
  </w:style>
  <w:style w:type="character" w:customStyle="1" w:styleId="FooterChar">
    <w:name w:val="Footer Char"/>
    <w:link w:val="Footer"/>
    <w:uiPriority w:val="99"/>
    <w:rsid w:val="00EF1267"/>
    <w:rPr>
      <w:sz w:val="28"/>
      <w:lang w:bidi="ar-SA"/>
    </w:rPr>
  </w:style>
  <w:style w:type="character" w:customStyle="1" w:styleId="Heading1Char">
    <w:name w:val="Heading 1 Char"/>
    <w:link w:val="Heading1"/>
    <w:rsid w:val="00C97B76"/>
    <w:rPr>
      <w:rFonts w:ascii="Times New Roman" w:eastAsia="Times New Roman" w:hAnsi="Times New Roman"/>
      <w:b/>
      <w:bCs/>
      <w:sz w:val="26"/>
      <w:szCs w:val="24"/>
      <w:u w:val="single"/>
    </w:rPr>
  </w:style>
  <w:style w:type="paragraph" w:customStyle="1" w:styleId="Footnote">
    <w:name w:val="Footnote"/>
    <w:basedOn w:val="Normal"/>
    <w:link w:val="FootnoteChar"/>
    <w:qFormat/>
    <w:rsid w:val="00E56AE0"/>
    <w:pPr>
      <w:spacing w:after="60" w:line="240" w:lineRule="auto"/>
    </w:pPr>
    <w:rPr>
      <w:sz w:val="26"/>
    </w:rPr>
  </w:style>
  <w:style w:type="character" w:customStyle="1" w:styleId="FootnoteChar">
    <w:name w:val="Footnote Char"/>
    <w:link w:val="Footnote"/>
    <w:rsid w:val="00E56AE0"/>
    <w:rPr>
      <w:sz w:val="26"/>
    </w:rPr>
  </w:style>
  <w:style w:type="character" w:customStyle="1" w:styleId="Heading2Char">
    <w:name w:val="Heading 2 Char"/>
    <w:link w:val="Heading2"/>
    <w:uiPriority w:val="9"/>
    <w:semiHidden/>
    <w:rsid w:val="00A3183D"/>
    <w:rPr>
      <w:rFonts w:ascii="Calibri Light" w:eastAsia="Yu Gothic Light" w:hAnsi="Calibri Light" w:cs="Times New Roman"/>
      <w:color w:val="2F5496"/>
      <w:sz w:val="26"/>
      <w:szCs w:val="26"/>
      <w:lang w:eastAsia="en-US" w:bidi="he-IL"/>
    </w:rPr>
  </w:style>
  <w:style w:type="character" w:customStyle="1" w:styleId="Heading3Char">
    <w:name w:val="Heading 3 Char"/>
    <w:link w:val="Heading3"/>
    <w:uiPriority w:val="9"/>
    <w:semiHidden/>
    <w:rsid w:val="00A3183D"/>
    <w:rPr>
      <w:rFonts w:ascii="Calibri Light" w:eastAsia="Yu Gothic Light" w:hAnsi="Calibri Light" w:cs="Times New Roman"/>
      <w:color w:val="1F3763"/>
      <w:sz w:val="24"/>
      <w:szCs w:val="24"/>
      <w:lang w:eastAsia="en-US" w:bidi="he-IL"/>
    </w:rPr>
  </w:style>
  <w:style w:type="paragraph" w:styleId="NormalWeb">
    <w:name w:val="Normal (Web)"/>
    <w:basedOn w:val="Normal"/>
    <w:uiPriority w:val="99"/>
    <w:unhideWhenUsed/>
    <w:rsid w:val="00317F05"/>
    <w:pPr>
      <w:spacing w:before="100" w:beforeAutospacing="1" w:after="100" w:afterAutospacing="1" w:line="240" w:lineRule="auto"/>
      <w:ind w:firstLine="0"/>
    </w:pPr>
    <w:rPr>
      <w:rFonts w:ascii="Times New Roman" w:eastAsia="Times New Roman" w:hAnsi="Times New Roman"/>
      <w:sz w:val="24"/>
      <w:szCs w:val="24"/>
    </w:rPr>
  </w:style>
  <w:style w:type="character" w:styleId="Hyperlink">
    <w:name w:val="Hyperlink"/>
    <w:uiPriority w:val="99"/>
    <w:unhideWhenUsed/>
    <w:rsid w:val="00F1484E"/>
    <w:rPr>
      <w:color w:val="0000FF"/>
      <w:u w:val="single"/>
    </w:rPr>
  </w:style>
  <w:style w:type="character" w:customStyle="1" w:styleId="cosearchterm">
    <w:name w:val="co_searchterm"/>
    <w:basedOn w:val="DefaultParagraphFont"/>
    <w:rsid w:val="00F1484E"/>
  </w:style>
  <w:style w:type="paragraph" w:styleId="BodyText">
    <w:name w:val="Body Text"/>
    <w:basedOn w:val="Normal"/>
    <w:link w:val="BodyTextChar"/>
    <w:rsid w:val="006D7E0B"/>
    <w:pPr>
      <w:spacing w:line="240" w:lineRule="auto"/>
      <w:ind w:firstLine="0"/>
    </w:pPr>
    <w:rPr>
      <w:rFonts w:ascii="Times New Roman" w:eastAsia="Times New Roman" w:hAnsi="Times New Roman"/>
      <w:szCs w:val="24"/>
      <w:lang w:bidi="ar-SA"/>
    </w:rPr>
  </w:style>
  <w:style w:type="character" w:customStyle="1" w:styleId="BodyTextChar">
    <w:name w:val="Body Text Char"/>
    <w:link w:val="BodyText"/>
    <w:rsid w:val="006D7E0B"/>
    <w:rPr>
      <w:rFonts w:ascii="Times New Roman" w:eastAsia="Times New Roman" w:hAnsi="Times New Roman"/>
      <w:sz w:val="28"/>
      <w:szCs w:val="24"/>
      <w:lang w:eastAsia="en-US"/>
    </w:rPr>
  </w:style>
  <w:style w:type="character" w:customStyle="1" w:styleId="costarpage">
    <w:name w:val="co_starpage"/>
    <w:basedOn w:val="DefaultParagraphFont"/>
    <w:rsid w:val="00C57F40"/>
  </w:style>
  <w:style w:type="character" w:styleId="Emphasis">
    <w:name w:val="Emphasis"/>
    <w:uiPriority w:val="20"/>
    <w:qFormat/>
    <w:rsid w:val="00C57F40"/>
    <w:rPr>
      <w:i/>
      <w:iCs/>
    </w:rPr>
  </w:style>
  <w:style w:type="character" w:customStyle="1" w:styleId="cohl">
    <w:name w:val="co_hl"/>
    <w:rsid w:val="007757FF"/>
  </w:style>
  <w:style w:type="character" w:customStyle="1" w:styleId="coconcept4853">
    <w:name w:val="co_concept_48_53"/>
    <w:rsid w:val="009731AC"/>
  </w:style>
  <w:style w:type="character" w:customStyle="1" w:styleId="copinpointicon">
    <w:name w:val="co_pinpointicon"/>
    <w:rsid w:val="009731AC"/>
  </w:style>
  <w:style w:type="character" w:customStyle="1" w:styleId="coconcept5868">
    <w:name w:val="co_concept_58_68"/>
    <w:rsid w:val="009731AC"/>
  </w:style>
  <w:style w:type="character" w:customStyle="1" w:styleId="UnresolvedMention1">
    <w:name w:val="Unresolved Mention1"/>
    <w:uiPriority w:val="99"/>
    <w:semiHidden/>
    <w:unhideWhenUsed/>
    <w:rsid w:val="00693000"/>
    <w:rPr>
      <w:color w:val="605E5C"/>
      <w:shd w:val="clear" w:color="auto" w:fill="E1DFDD"/>
    </w:rPr>
  </w:style>
  <w:style w:type="character" w:styleId="FollowedHyperlink">
    <w:name w:val="FollowedHyperlink"/>
    <w:uiPriority w:val="99"/>
    <w:semiHidden/>
    <w:unhideWhenUsed/>
    <w:rsid w:val="00A0370E"/>
    <w:rPr>
      <w:color w:val="954F72"/>
      <w:u w:val="single"/>
    </w:rPr>
  </w:style>
  <w:style w:type="paragraph" w:styleId="BodyTextIndent">
    <w:name w:val="Body Text Indent"/>
    <w:basedOn w:val="Normal"/>
    <w:link w:val="BodyTextIndentChar"/>
    <w:uiPriority w:val="99"/>
    <w:semiHidden/>
    <w:unhideWhenUsed/>
    <w:rsid w:val="001A4348"/>
    <w:pPr>
      <w:spacing w:after="120"/>
      <w:ind w:left="360"/>
    </w:pPr>
  </w:style>
  <w:style w:type="character" w:customStyle="1" w:styleId="BodyTextIndentChar">
    <w:name w:val="Body Text Indent Char"/>
    <w:link w:val="BodyTextIndent"/>
    <w:uiPriority w:val="99"/>
    <w:semiHidden/>
    <w:rsid w:val="001A4348"/>
    <w:rPr>
      <w:sz w:val="28"/>
      <w:szCs w:val="28"/>
    </w:rPr>
  </w:style>
  <w:style w:type="character" w:customStyle="1" w:styleId="cohighlightpoints">
    <w:name w:val="co_highlightpoints"/>
    <w:basedOn w:val="DefaultParagraphFont"/>
    <w:rsid w:val="005C7479"/>
  </w:style>
  <w:style w:type="character" w:customStyle="1" w:styleId="ssleftalign">
    <w:name w:val="ss_leftalign"/>
    <w:basedOn w:val="DefaultParagraphFont"/>
    <w:rsid w:val="00067629"/>
  </w:style>
  <w:style w:type="character" w:customStyle="1" w:styleId="ssrfcsection">
    <w:name w:val="ss_rfcsection"/>
    <w:basedOn w:val="DefaultParagraphFont"/>
    <w:rsid w:val="00B41010"/>
  </w:style>
  <w:style w:type="character" w:customStyle="1" w:styleId="ssparacontent">
    <w:name w:val="ss_paracontent"/>
    <w:basedOn w:val="DefaultParagraphFont"/>
    <w:rsid w:val="001721A3"/>
  </w:style>
  <w:style w:type="character" w:customStyle="1" w:styleId="Heading6Char">
    <w:name w:val="Heading 6 Char"/>
    <w:basedOn w:val="DefaultParagraphFont"/>
    <w:link w:val="Heading6"/>
    <w:uiPriority w:val="9"/>
    <w:semiHidden/>
    <w:rsid w:val="00CB2762"/>
    <w:rPr>
      <w:rFonts w:asciiTheme="majorHAnsi" w:eastAsiaTheme="majorEastAsia" w:hAnsiTheme="majorHAnsi" w:cstheme="majorBidi"/>
      <w:color w:val="1F3763" w:themeColor="accent1" w:themeShade="7F"/>
      <w:sz w:val="28"/>
      <w:szCs w:val="28"/>
    </w:rPr>
  </w:style>
  <w:style w:type="character" w:customStyle="1" w:styleId="ssit">
    <w:name w:val="ss_it"/>
    <w:basedOn w:val="DefaultParagraphFont"/>
    <w:rsid w:val="007A56D6"/>
  </w:style>
  <w:style w:type="character" w:customStyle="1" w:styleId="ssprior">
    <w:name w:val="ss_prior"/>
    <w:basedOn w:val="DefaultParagraphFont"/>
    <w:rsid w:val="00180EF3"/>
  </w:style>
  <w:style w:type="character" w:customStyle="1" w:styleId="ssrfcpassagedeactivated">
    <w:name w:val="ss_rfcpassage_deactivated"/>
    <w:basedOn w:val="DefaultParagraphFont"/>
    <w:rsid w:val="00180EF3"/>
  </w:style>
  <w:style w:type="character" w:customStyle="1" w:styleId="ssun">
    <w:name w:val="ss_un"/>
    <w:basedOn w:val="DefaultParagraphFont"/>
    <w:rsid w:val="000B5E7B"/>
  </w:style>
  <w:style w:type="character" w:customStyle="1" w:styleId="sh702263044">
    <w:name w:val="sh_702263044"/>
    <w:basedOn w:val="DefaultParagraphFont"/>
    <w:rsid w:val="00B83A41"/>
  </w:style>
  <w:style w:type="character" w:customStyle="1" w:styleId="ssparalabel">
    <w:name w:val="ss_paralabel"/>
    <w:basedOn w:val="DefaultParagraphFont"/>
    <w:rsid w:val="00556A0C"/>
  </w:style>
  <w:style w:type="character" w:customStyle="1" w:styleId="ssbf">
    <w:name w:val="ss_bf"/>
    <w:basedOn w:val="DefaultParagraphFont"/>
    <w:rsid w:val="00556A0C"/>
  </w:style>
  <w:style w:type="character" w:customStyle="1" w:styleId="UnresolvedMention2">
    <w:name w:val="Unresolved Mention2"/>
    <w:basedOn w:val="DefaultParagraphFont"/>
    <w:uiPriority w:val="99"/>
    <w:semiHidden/>
    <w:unhideWhenUsed/>
    <w:rsid w:val="00DA423A"/>
    <w:rPr>
      <w:color w:val="605E5C"/>
      <w:shd w:val="clear" w:color="auto" w:fill="E1DFDD"/>
    </w:rPr>
  </w:style>
  <w:style w:type="character" w:customStyle="1" w:styleId="sssh">
    <w:name w:val="ss_sh"/>
    <w:basedOn w:val="DefaultParagraphFont"/>
    <w:rsid w:val="00EF0EEE"/>
  </w:style>
  <w:style w:type="paragraph" w:styleId="EndnoteText">
    <w:name w:val="endnote text"/>
    <w:basedOn w:val="Normal"/>
    <w:link w:val="EndnoteTextChar"/>
    <w:uiPriority w:val="99"/>
    <w:semiHidden/>
    <w:unhideWhenUsed/>
    <w:rsid w:val="00DE5000"/>
    <w:pPr>
      <w:spacing w:line="240" w:lineRule="auto"/>
    </w:pPr>
    <w:rPr>
      <w:sz w:val="20"/>
      <w:szCs w:val="20"/>
    </w:rPr>
  </w:style>
  <w:style w:type="character" w:customStyle="1" w:styleId="EndnoteTextChar">
    <w:name w:val="Endnote Text Char"/>
    <w:basedOn w:val="DefaultParagraphFont"/>
    <w:link w:val="EndnoteText"/>
    <w:uiPriority w:val="99"/>
    <w:semiHidden/>
    <w:rsid w:val="00DE5000"/>
  </w:style>
  <w:style w:type="character" w:styleId="EndnoteReference">
    <w:name w:val="endnote reference"/>
    <w:basedOn w:val="DefaultParagraphFont"/>
    <w:uiPriority w:val="99"/>
    <w:semiHidden/>
    <w:unhideWhenUsed/>
    <w:rsid w:val="00DE5000"/>
    <w:rPr>
      <w:vertAlign w:val="superscript"/>
    </w:rPr>
  </w:style>
  <w:style w:type="character" w:customStyle="1" w:styleId="UnresolvedMention3">
    <w:name w:val="Unresolved Mention3"/>
    <w:basedOn w:val="DefaultParagraphFont"/>
    <w:uiPriority w:val="99"/>
    <w:semiHidden/>
    <w:unhideWhenUsed/>
    <w:rsid w:val="003C5316"/>
    <w:rPr>
      <w:color w:val="605E5C"/>
      <w:shd w:val="clear" w:color="auto" w:fill="E1DFDD"/>
    </w:rPr>
  </w:style>
  <w:style w:type="paragraph" w:styleId="Revision">
    <w:name w:val="Revision"/>
    <w:hidden/>
    <w:uiPriority w:val="99"/>
    <w:semiHidden/>
    <w:rsid w:val="00AC7F1C"/>
    <w:rPr>
      <w:sz w:val="28"/>
      <w:szCs w:val="28"/>
    </w:rPr>
  </w:style>
  <w:style w:type="character" w:customStyle="1" w:styleId="normaltextrun">
    <w:name w:val="normaltextrun"/>
    <w:basedOn w:val="DefaultParagraphFont"/>
    <w:rsid w:val="0006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8571</Words>
  <Characters>46971</Characters>
  <Application>Microsoft Office Word</Application>
  <DocSecurity>0</DocSecurity>
  <Lines>1109</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2022-10-27T16:32:00Z</dcterms:created>
  <dcterms:modified xsi:type="dcterms:W3CDTF">2022-10-27T16:32:00Z</dcterms:modified>
  <cp:category/>
</cp:coreProperties>
</file>