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1C95" w14:textId="36AF47A2" w:rsidR="00126F70" w:rsidRPr="00126F70" w:rsidRDefault="00F72DAF" w:rsidP="00126F70">
      <w:pPr>
        <w:spacing w:after="0"/>
        <w:rPr>
          <w:rFonts w:ascii="Century Schoolbook" w:hAnsi="Century Schoolbook"/>
          <w:bCs/>
          <w:sz w:val="20"/>
          <w:szCs w:val="20"/>
        </w:rPr>
      </w:pPr>
      <w:r w:rsidRPr="00126F70">
        <w:rPr>
          <w:rFonts w:ascii="Century Schoolbook" w:hAnsi="Century Schoolbook"/>
          <w:bCs/>
          <w:sz w:val="20"/>
          <w:szCs w:val="20"/>
        </w:rPr>
        <w:t>Filed 3/30/23</w:t>
      </w:r>
    </w:p>
    <w:p w14:paraId="78628247" w14:textId="77777777" w:rsidR="0012647F" w:rsidRDefault="00F72DAF" w:rsidP="001D6AFA">
      <w:pPr>
        <w:spacing w:after="0"/>
        <w:jc w:val="center"/>
        <w:rPr>
          <w:rFonts w:ascii="Century Schoolbook" w:hAnsi="Century Schoolbook"/>
          <w:b/>
          <w:sz w:val="26"/>
          <w:szCs w:val="26"/>
        </w:rPr>
      </w:pPr>
    </w:p>
    <w:p w14:paraId="762CCB43" w14:textId="77777777" w:rsidR="001D6AFA" w:rsidRPr="00D56DFA" w:rsidRDefault="00F72DAF" w:rsidP="001D6AFA">
      <w:pPr>
        <w:spacing w:after="0"/>
        <w:jc w:val="center"/>
        <w:rPr>
          <w:rFonts w:ascii="Century Schoolbook" w:hAnsi="Century Schoolbook"/>
          <w:b/>
          <w:sz w:val="26"/>
          <w:szCs w:val="26"/>
        </w:rPr>
      </w:pPr>
      <w:r w:rsidRPr="00D56DFA">
        <w:rPr>
          <w:rFonts w:ascii="Century Schoolbook" w:hAnsi="Century Schoolbook"/>
          <w:b/>
          <w:sz w:val="26"/>
          <w:szCs w:val="26"/>
        </w:rPr>
        <w:t>CERTIFIED FOR PUBLICATION</w:t>
      </w:r>
    </w:p>
    <w:p w14:paraId="2F7EB1B7" w14:textId="77777777" w:rsidR="001D6AFA" w:rsidRPr="00D56DFA" w:rsidRDefault="00F72DAF" w:rsidP="001D6AFA">
      <w:pPr>
        <w:spacing w:after="0" w:line="288" w:lineRule="auto"/>
        <w:rPr>
          <w:rFonts w:ascii="Century Schoolbook" w:hAnsi="Century Schoolbook"/>
          <w:sz w:val="26"/>
          <w:szCs w:val="26"/>
        </w:rPr>
      </w:pPr>
    </w:p>
    <w:p w14:paraId="2A74945F" w14:textId="77777777" w:rsidR="001D6AFA" w:rsidRPr="00D56DFA" w:rsidRDefault="00F72DAF" w:rsidP="001D6AFA">
      <w:pPr>
        <w:spacing w:line="240" w:lineRule="auto"/>
        <w:jc w:val="center"/>
        <w:rPr>
          <w:rFonts w:ascii="Century Schoolbook" w:hAnsi="Century Schoolbook"/>
          <w:sz w:val="26"/>
          <w:szCs w:val="26"/>
        </w:rPr>
      </w:pPr>
      <w:r w:rsidRPr="00D56DFA">
        <w:rPr>
          <w:rFonts w:ascii="Century Schoolbook" w:hAnsi="Century Schoolbook"/>
          <w:sz w:val="26"/>
          <w:szCs w:val="26"/>
        </w:rPr>
        <w:t>IN THE COURT OF APPEAL OF THE STATE OF CALIFORNIA</w:t>
      </w:r>
    </w:p>
    <w:p w14:paraId="556CC0A6" w14:textId="77777777" w:rsidR="001D6AFA" w:rsidRPr="00D56DFA" w:rsidRDefault="00F72DAF" w:rsidP="001D6AFA">
      <w:pPr>
        <w:spacing w:line="240" w:lineRule="auto"/>
        <w:jc w:val="center"/>
        <w:rPr>
          <w:rFonts w:ascii="Century Schoolbook" w:hAnsi="Century Schoolbook"/>
          <w:sz w:val="26"/>
          <w:szCs w:val="26"/>
        </w:rPr>
      </w:pPr>
      <w:r w:rsidRPr="00D56DFA">
        <w:rPr>
          <w:rFonts w:ascii="Century Schoolbook" w:hAnsi="Century Schoolbook"/>
          <w:sz w:val="26"/>
          <w:szCs w:val="26"/>
        </w:rPr>
        <w:t>SECOND APPELLATE DISTRICT</w:t>
      </w:r>
    </w:p>
    <w:p w14:paraId="48278CBA" w14:textId="77777777" w:rsidR="001D6AFA" w:rsidRPr="00D56DFA" w:rsidRDefault="00F72DAF" w:rsidP="001D6AFA">
      <w:pPr>
        <w:spacing w:line="240" w:lineRule="auto"/>
        <w:jc w:val="center"/>
        <w:rPr>
          <w:rFonts w:ascii="Century Schoolbook" w:hAnsi="Century Schoolbook"/>
          <w:sz w:val="26"/>
          <w:szCs w:val="26"/>
        </w:rPr>
      </w:pPr>
      <w:r w:rsidRPr="00D56DFA">
        <w:rPr>
          <w:rFonts w:ascii="Century Schoolbook" w:hAnsi="Century Schoolbook"/>
          <w:sz w:val="26"/>
          <w:szCs w:val="26"/>
        </w:rPr>
        <w:t>DIVISION FOUR</w:t>
      </w:r>
    </w:p>
    <w:p w14:paraId="304E8F0B" w14:textId="77777777" w:rsidR="00385C4A" w:rsidRPr="004D5EF0" w:rsidRDefault="00F72DAF" w:rsidP="004D5EF0">
      <w:pPr>
        <w:spacing w:line="288" w:lineRule="auto"/>
        <w:jc w:val="center"/>
        <w:rPr>
          <w:rFonts w:ascii="Century Schoolbook" w:hAnsi="Century Schoolbook"/>
          <w:sz w:val="26"/>
          <w:szCs w:val="26"/>
        </w:rPr>
      </w:pPr>
    </w:p>
    <w:p w14:paraId="50D259CF" w14:textId="77777777" w:rsidR="004D5EF0" w:rsidRPr="004D5EF0" w:rsidRDefault="00F72DAF" w:rsidP="004D5EF0">
      <w:pPr>
        <w:spacing w:line="288" w:lineRule="auto"/>
        <w:jc w:val="center"/>
        <w:rPr>
          <w:rFonts w:ascii="Century Schoolbook" w:hAnsi="Century Schoolbook"/>
          <w:sz w:val="26"/>
          <w:szCs w:val="26"/>
        </w:rPr>
      </w:pPr>
    </w:p>
    <w:tbl>
      <w:tblPr>
        <w:tblW w:w="0" w:type="auto"/>
        <w:tblLayout w:type="fixed"/>
        <w:tblLook w:val="0000" w:firstRow="0" w:lastRow="0" w:firstColumn="0" w:lastColumn="0" w:noHBand="0" w:noVBand="0"/>
      </w:tblPr>
      <w:tblGrid>
        <w:gridCol w:w="5040"/>
        <w:gridCol w:w="5040"/>
      </w:tblGrid>
      <w:tr w:rsidR="000A5130" w14:paraId="0A96E9F8" w14:textId="77777777" w:rsidTr="00482166">
        <w:tc>
          <w:tcPr>
            <w:tcW w:w="5040" w:type="dxa"/>
            <w:tcBorders>
              <w:bottom w:val="single" w:sz="6" w:space="0" w:color="auto"/>
              <w:right w:val="single" w:sz="6" w:space="0" w:color="auto"/>
            </w:tcBorders>
          </w:tcPr>
          <w:p w14:paraId="30CC389C" w14:textId="77777777" w:rsidR="004D5EF0" w:rsidRPr="00306699" w:rsidRDefault="00F72DAF" w:rsidP="00482166">
            <w:pPr>
              <w:spacing w:line="288" w:lineRule="auto"/>
              <w:rPr>
                <w:rFonts w:ascii="Century Schoolbook" w:hAnsi="Century Schoolbook"/>
                <w:sz w:val="26"/>
                <w:szCs w:val="26"/>
              </w:rPr>
            </w:pPr>
            <w:r w:rsidRPr="00306699">
              <w:rPr>
                <w:rFonts w:ascii="Century Schoolbook" w:hAnsi="Century Schoolbook"/>
                <w:sz w:val="26"/>
                <w:szCs w:val="26"/>
              </w:rPr>
              <w:t>MIL</w:t>
            </w:r>
            <w:r w:rsidRPr="00306699">
              <w:rPr>
                <w:rFonts w:ascii="Century Schoolbook" w:hAnsi="Century Schoolbook"/>
                <w:sz w:val="26"/>
                <w:szCs w:val="26"/>
              </w:rPr>
              <w:t>LI</w:t>
            </w:r>
            <w:r w:rsidRPr="00306699">
              <w:rPr>
                <w:rFonts w:ascii="Century Schoolbook" w:hAnsi="Century Schoolbook"/>
                <w:sz w:val="26"/>
                <w:szCs w:val="26"/>
              </w:rPr>
              <w:t>ON SEIFU et al.,</w:t>
            </w:r>
          </w:p>
          <w:p w14:paraId="25A48D6B" w14:textId="77777777" w:rsidR="004D5EF0" w:rsidRPr="00306699" w:rsidRDefault="00F72DAF" w:rsidP="00482166">
            <w:pPr>
              <w:spacing w:line="288" w:lineRule="auto"/>
              <w:rPr>
                <w:rFonts w:ascii="Century Schoolbook" w:hAnsi="Century Schoolbook"/>
                <w:sz w:val="26"/>
                <w:szCs w:val="26"/>
              </w:rPr>
            </w:pPr>
          </w:p>
          <w:p w14:paraId="34D2060F" w14:textId="77777777" w:rsidR="004D5EF0" w:rsidRPr="00306699" w:rsidRDefault="00F72DAF" w:rsidP="00482166">
            <w:pPr>
              <w:spacing w:line="288" w:lineRule="auto"/>
              <w:rPr>
                <w:rFonts w:ascii="Century Schoolbook" w:hAnsi="Century Schoolbook"/>
                <w:sz w:val="26"/>
                <w:szCs w:val="26"/>
              </w:rPr>
            </w:pPr>
            <w:r w:rsidRPr="00306699">
              <w:rPr>
                <w:rFonts w:ascii="Century Schoolbook" w:hAnsi="Century Schoolbook"/>
                <w:sz w:val="26"/>
                <w:szCs w:val="26"/>
              </w:rPr>
              <w:tab/>
              <w:t>Plaintiff</w:t>
            </w:r>
            <w:r w:rsidRPr="00306699">
              <w:rPr>
                <w:rFonts w:ascii="Century Schoolbook" w:hAnsi="Century Schoolbook"/>
                <w:sz w:val="26"/>
                <w:szCs w:val="26"/>
              </w:rPr>
              <w:t>s</w:t>
            </w:r>
            <w:r w:rsidRPr="00306699">
              <w:rPr>
                <w:rFonts w:ascii="Century Schoolbook" w:hAnsi="Century Schoolbook"/>
                <w:sz w:val="26"/>
                <w:szCs w:val="26"/>
              </w:rPr>
              <w:t xml:space="preserve"> and </w:t>
            </w:r>
            <w:r w:rsidRPr="00306699">
              <w:rPr>
                <w:rFonts w:ascii="Century Schoolbook" w:hAnsi="Century Schoolbook"/>
                <w:sz w:val="26"/>
                <w:szCs w:val="26"/>
              </w:rPr>
              <w:t>Re</w:t>
            </w:r>
            <w:r w:rsidRPr="00306699">
              <w:rPr>
                <w:rFonts w:ascii="Century Schoolbook" w:hAnsi="Century Schoolbook"/>
                <w:sz w:val="26"/>
                <w:szCs w:val="26"/>
              </w:rPr>
              <w:t>s</w:t>
            </w:r>
            <w:r w:rsidRPr="00306699">
              <w:rPr>
                <w:rFonts w:ascii="Century Schoolbook" w:hAnsi="Century Schoolbook"/>
                <w:sz w:val="26"/>
                <w:szCs w:val="26"/>
              </w:rPr>
              <w:t>pondents</w:t>
            </w:r>
            <w:r w:rsidRPr="00306699">
              <w:rPr>
                <w:rFonts w:ascii="Century Schoolbook" w:hAnsi="Century Schoolbook"/>
                <w:sz w:val="26"/>
                <w:szCs w:val="26"/>
              </w:rPr>
              <w:t>,</w:t>
            </w:r>
          </w:p>
          <w:p w14:paraId="783F2C29" w14:textId="77777777" w:rsidR="004D5EF0" w:rsidRPr="00306699" w:rsidRDefault="00F72DAF" w:rsidP="00482166">
            <w:pPr>
              <w:spacing w:line="288" w:lineRule="auto"/>
              <w:rPr>
                <w:rFonts w:ascii="Century Schoolbook" w:hAnsi="Century Schoolbook"/>
                <w:sz w:val="26"/>
                <w:szCs w:val="26"/>
              </w:rPr>
            </w:pPr>
            <w:r w:rsidRPr="00306699">
              <w:rPr>
                <w:rFonts w:ascii="Century Schoolbook" w:hAnsi="Century Schoolbook"/>
                <w:sz w:val="26"/>
                <w:szCs w:val="26"/>
              </w:rPr>
              <w:tab/>
              <w:t>v.</w:t>
            </w:r>
          </w:p>
          <w:p w14:paraId="2A8E225F" w14:textId="77777777" w:rsidR="004D5EF0" w:rsidRPr="00306699" w:rsidRDefault="00F72DAF" w:rsidP="00482166">
            <w:pPr>
              <w:spacing w:line="288" w:lineRule="auto"/>
              <w:rPr>
                <w:rFonts w:ascii="Century Schoolbook" w:hAnsi="Century Schoolbook"/>
                <w:sz w:val="26"/>
                <w:szCs w:val="26"/>
              </w:rPr>
            </w:pPr>
          </w:p>
          <w:p w14:paraId="29C96B8F" w14:textId="77777777" w:rsidR="004D5EF0" w:rsidRPr="00306699" w:rsidRDefault="00F72DAF" w:rsidP="00482166">
            <w:pPr>
              <w:spacing w:line="288" w:lineRule="auto"/>
              <w:rPr>
                <w:rFonts w:ascii="Century Schoolbook" w:hAnsi="Century Schoolbook"/>
                <w:sz w:val="26"/>
                <w:szCs w:val="26"/>
              </w:rPr>
            </w:pPr>
            <w:r w:rsidRPr="00306699">
              <w:rPr>
                <w:rFonts w:ascii="Century Schoolbook" w:hAnsi="Century Schoolbook"/>
                <w:sz w:val="26"/>
                <w:szCs w:val="26"/>
              </w:rPr>
              <w:t>LYFT, INC.,</w:t>
            </w:r>
          </w:p>
          <w:p w14:paraId="2F3006A5" w14:textId="77777777" w:rsidR="004D5EF0" w:rsidRPr="00306699" w:rsidRDefault="00F72DAF" w:rsidP="00482166">
            <w:pPr>
              <w:spacing w:line="288" w:lineRule="auto"/>
              <w:rPr>
                <w:rFonts w:ascii="Century Schoolbook" w:hAnsi="Century Schoolbook"/>
                <w:sz w:val="26"/>
                <w:szCs w:val="26"/>
              </w:rPr>
            </w:pPr>
          </w:p>
          <w:p w14:paraId="607BBC89" w14:textId="77777777" w:rsidR="004D5EF0" w:rsidRPr="00306699" w:rsidRDefault="00F72DAF" w:rsidP="00482166">
            <w:pPr>
              <w:spacing w:line="288" w:lineRule="auto"/>
              <w:rPr>
                <w:rFonts w:ascii="Century Schoolbook" w:hAnsi="Century Schoolbook"/>
                <w:sz w:val="26"/>
                <w:szCs w:val="26"/>
              </w:rPr>
            </w:pPr>
            <w:r w:rsidRPr="00306699">
              <w:rPr>
                <w:rFonts w:ascii="Century Schoolbook" w:hAnsi="Century Schoolbook"/>
                <w:sz w:val="26"/>
                <w:szCs w:val="26"/>
              </w:rPr>
              <w:tab/>
            </w:r>
            <w:r w:rsidRPr="00306699">
              <w:rPr>
                <w:rFonts w:ascii="Century Schoolbook" w:hAnsi="Century Schoolbook"/>
                <w:sz w:val="26"/>
                <w:szCs w:val="26"/>
              </w:rPr>
              <w:t xml:space="preserve">Defendant and </w:t>
            </w:r>
            <w:r w:rsidRPr="00306699">
              <w:rPr>
                <w:rFonts w:ascii="Century Schoolbook" w:hAnsi="Century Schoolbook"/>
                <w:sz w:val="26"/>
                <w:szCs w:val="26"/>
              </w:rPr>
              <w:t>Appellant</w:t>
            </w:r>
            <w:r w:rsidRPr="00306699">
              <w:rPr>
                <w:rFonts w:ascii="Century Schoolbook" w:hAnsi="Century Schoolbook"/>
                <w:sz w:val="26"/>
                <w:szCs w:val="26"/>
              </w:rPr>
              <w:t>.</w:t>
            </w:r>
          </w:p>
          <w:p w14:paraId="05FCB063" w14:textId="77777777" w:rsidR="004D5EF0" w:rsidRPr="00306699" w:rsidRDefault="00F72DAF" w:rsidP="00482166">
            <w:pPr>
              <w:spacing w:line="288" w:lineRule="auto"/>
              <w:rPr>
                <w:rFonts w:ascii="Century Schoolbook" w:hAnsi="Century Schoolbook"/>
                <w:sz w:val="26"/>
                <w:szCs w:val="26"/>
              </w:rPr>
            </w:pPr>
          </w:p>
        </w:tc>
        <w:tc>
          <w:tcPr>
            <w:tcW w:w="5040" w:type="dxa"/>
            <w:tcBorders>
              <w:left w:val="nil"/>
            </w:tcBorders>
          </w:tcPr>
          <w:p w14:paraId="4A07668F" w14:textId="77777777" w:rsidR="004D5EF0" w:rsidRPr="00306699" w:rsidRDefault="00F72DAF" w:rsidP="00482166">
            <w:pPr>
              <w:spacing w:line="288" w:lineRule="auto"/>
              <w:rPr>
                <w:rFonts w:ascii="Century Schoolbook" w:hAnsi="Century Schoolbook"/>
                <w:sz w:val="26"/>
                <w:szCs w:val="26"/>
              </w:rPr>
            </w:pPr>
            <w:r w:rsidRPr="00306699">
              <w:rPr>
                <w:rFonts w:ascii="Century Schoolbook" w:hAnsi="Century Schoolbook"/>
                <w:sz w:val="26"/>
                <w:szCs w:val="26"/>
              </w:rPr>
              <w:t xml:space="preserve">      B</w:t>
            </w:r>
            <w:r w:rsidRPr="00306699">
              <w:rPr>
                <w:rFonts w:ascii="Century Schoolbook" w:hAnsi="Century Schoolbook"/>
                <w:sz w:val="26"/>
                <w:szCs w:val="26"/>
              </w:rPr>
              <w:t>301774</w:t>
            </w:r>
          </w:p>
          <w:p w14:paraId="18F65651" w14:textId="77777777" w:rsidR="004D5EF0" w:rsidRPr="00306699" w:rsidRDefault="00F72DAF" w:rsidP="00482166">
            <w:pPr>
              <w:spacing w:line="288" w:lineRule="auto"/>
              <w:rPr>
                <w:rFonts w:ascii="Century Schoolbook" w:hAnsi="Century Schoolbook"/>
                <w:sz w:val="26"/>
                <w:szCs w:val="26"/>
              </w:rPr>
            </w:pPr>
          </w:p>
          <w:p w14:paraId="3D5A1726" w14:textId="77777777" w:rsidR="004D5EF0" w:rsidRPr="00306699" w:rsidRDefault="00F72DAF" w:rsidP="00117344">
            <w:pPr>
              <w:spacing w:after="0" w:line="240" w:lineRule="auto"/>
              <w:rPr>
                <w:rFonts w:ascii="Century Schoolbook" w:hAnsi="Century Schoolbook"/>
                <w:sz w:val="26"/>
                <w:szCs w:val="26"/>
              </w:rPr>
            </w:pPr>
            <w:r w:rsidRPr="00306699">
              <w:rPr>
                <w:rFonts w:ascii="Century Schoolbook" w:hAnsi="Century Schoolbook"/>
                <w:sz w:val="26"/>
                <w:szCs w:val="26"/>
              </w:rPr>
              <w:t xml:space="preserve">      (Los Angeles County</w:t>
            </w:r>
            <w:r w:rsidRPr="00306699">
              <w:rPr>
                <w:rFonts w:ascii="Century Schoolbook" w:hAnsi="Century Schoolbook"/>
                <w:sz w:val="26"/>
                <w:szCs w:val="26"/>
              </w:rPr>
              <w:br/>
              <w:t xml:space="preserve">      Super. Ct. No. </w:t>
            </w:r>
            <w:r w:rsidRPr="00306699">
              <w:rPr>
                <w:rFonts w:ascii="Century Schoolbook" w:hAnsi="Century Schoolbook"/>
                <w:sz w:val="26"/>
                <w:szCs w:val="26"/>
              </w:rPr>
              <w:t>BC712959</w:t>
            </w:r>
            <w:r w:rsidRPr="00306699">
              <w:rPr>
                <w:rFonts w:ascii="Century Schoolbook" w:hAnsi="Century Schoolbook"/>
                <w:sz w:val="26"/>
                <w:szCs w:val="26"/>
              </w:rPr>
              <w:t>)</w:t>
            </w:r>
          </w:p>
          <w:p w14:paraId="4436EFB6" w14:textId="77777777" w:rsidR="004D5EF0" w:rsidRPr="004D5EF0" w:rsidRDefault="00F72DAF" w:rsidP="00482166">
            <w:pPr>
              <w:pStyle w:val="Header"/>
              <w:spacing w:line="288" w:lineRule="auto"/>
              <w:rPr>
                <w:rFonts w:ascii="Century Schoolbook" w:hAnsi="Century Schoolbook"/>
                <w:sz w:val="26"/>
                <w:szCs w:val="26"/>
              </w:rPr>
            </w:pPr>
          </w:p>
        </w:tc>
      </w:tr>
    </w:tbl>
    <w:p w14:paraId="5A9A8232" w14:textId="77777777" w:rsidR="004D5EF0" w:rsidRPr="004D5EF0" w:rsidRDefault="00F72DAF" w:rsidP="004D5EF0">
      <w:pPr>
        <w:spacing w:line="288" w:lineRule="auto"/>
        <w:rPr>
          <w:rFonts w:ascii="Century Schoolbook" w:hAnsi="Century Schoolbook"/>
          <w:sz w:val="26"/>
          <w:szCs w:val="26"/>
        </w:rPr>
      </w:pPr>
    </w:p>
    <w:p w14:paraId="74818D5B" w14:textId="77777777" w:rsidR="004D5EF0" w:rsidRPr="004D5EF0" w:rsidRDefault="00F72DAF" w:rsidP="00D03253">
      <w:pPr>
        <w:spacing w:after="0" w:line="288" w:lineRule="auto"/>
        <w:rPr>
          <w:rFonts w:ascii="Century Schoolbook" w:hAnsi="Century Schoolbook"/>
          <w:sz w:val="26"/>
          <w:szCs w:val="26"/>
        </w:rPr>
      </w:pPr>
      <w:r w:rsidRPr="004D5EF0">
        <w:rPr>
          <w:rFonts w:ascii="Century Schoolbook" w:hAnsi="Century Schoolbook"/>
          <w:sz w:val="26"/>
          <w:szCs w:val="26"/>
        </w:rPr>
        <w:tab/>
        <w:t xml:space="preserve">APPEAL from an order of the Superior Court of Los Angeles County, </w:t>
      </w:r>
      <w:r>
        <w:rPr>
          <w:rFonts w:ascii="Century Schoolbook" w:hAnsi="Century Schoolbook"/>
          <w:sz w:val="26"/>
          <w:szCs w:val="26"/>
        </w:rPr>
        <w:t>Susan Bryant</w:t>
      </w:r>
      <w:r>
        <w:rPr>
          <w:rFonts w:ascii="Century Schoolbook" w:hAnsi="Century Schoolbook"/>
          <w:sz w:val="26"/>
          <w:szCs w:val="26"/>
        </w:rPr>
        <w:t>-</w:t>
      </w:r>
      <w:r>
        <w:rPr>
          <w:rFonts w:ascii="Century Schoolbook" w:hAnsi="Century Schoolbook"/>
          <w:sz w:val="26"/>
          <w:szCs w:val="26"/>
        </w:rPr>
        <w:t>Deason</w:t>
      </w:r>
      <w:r w:rsidRPr="004D5EF0">
        <w:rPr>
          <w:rFonts w:ascii="Century Schoolbook" w:hAnsi="Century Schoolbook"/>
          <w:sz w:val="26"/>
          <w:szCs w:val="26"/>
        </w:rPr>
        <w:t>, Judge.  Affirmed</w:t>
      </w:r>
      <w:r>
        <w:rPr>
          <w:rFonts w:ascii="Century Schoolbook" w:hAnsi="Century Schoolbook"/>
          <w:sz w:val="26"/>
          <w:szCs w:val="26"/>
        </w:rPr>
        <w:t xml:space="preserve"> in part, reversed in part with directions</w:t>
      </w:r>
      <w:r w:rsidRPr="004D5EF0">
        <w:rPr>
          <w:rFonts w:ascii="Century Schoolbook" w:hAnsi="Century Schoolbook"/>
          <w:sz w:val="26"/>
          <w:szCs w:val="26"/>
        </w:rPr>
        <w:t>.</w:t>
      </w:r>
    </w:p>
    <w:p w14:paraId="2918CA0E" w14:textId="77777777" w:rsidR="004D5EF0" w:rsidRPr="004D5EF0" w:rsidRDefault="00F72DAF" w:rsidP="00D03253">
      <w:pPr>
        <w:spacing w:after="0" w:line="288" w:lineRule="auto"/>
        <w:rPr>
          <w:rFonts w:ascii="Century Schoolbook" w:hAnsi="Century Schoolbook"/>
          <w:sz w:val="26"/>
          <w:szCs w:val="26"/>
        </w:rPr>
      </w:pPr>
      <w:r w:rsidRPr="004D5EF0">
        <w:rPr>
          <w:rFonts w:ascii="Century Schoolbook" w:hAnsi="Century Schoolbook"/>
          <w:sz w:val="26"/>
          <w:szCs w:val="26"/>
        </w:rPr>
        <w:tab/>
      </w:r>
      <w:r>
        <w:rPr>
          <w:rFonts w:ascii="Century Schoolbook" w:hAnsi="Century Schoolbook"/>
          <w:sz w:val="26"/>
          <w:szCs w:val="26"/>
        </w:rPr>
        <w:t xml:space="preserve">Horvitz &amp; Levy, Andrea </w:t>
      </w:r>
      <w:r>
        <w:rPr>
          <w:rFonts w:ascii="Century Schoolbook" w:hAnsi="Century Schoolbook"/>
          <w:sz w:val="26"/>
          <w:szCs w:val="26"/>
        </w:rPr>
        <w:t>L</w:t>
      </w:r>
      <w:r>
        <w:rPr>
          <w:rFonts w:ascii="Century Schoolbook" w:hAnsi="Century Schoolbook"/>
          <w:sz w:val="26"/>
          <w:szCs w:val="26"/>
        </w:rPr>
        <w:t>. Russi, Peder Batalden</w:t>
      </w:r>
      <w:r>
        <w:rPr>
          <w:rFonts w:ascii="Century Schoolbook" w:hAnsi="Century Schoolbook"/>
          <w:sz w:val="26"/>
          <w:szCs w:val="26"/>
        </w:rPr>
        <w:t xml:space="preserve">, </w:t>
      </w:r>
      <w:r>
        <w:rPr>
          <w:rFonts w:ascii="Century Schoolbook" w:hAnsi="Century Schoolbook"/>
          <w:sz w:val="26"/>
          <w:szCs w:val="26"/>
        </w:rPr>
        <w:t>Felix Sha</w:t>
      </w:r>
      <w:r>
        <w:rPr>
          <w:rFonts w:ascii="Century Schoolbook" w:hAnsi="Century Schoolbook"/>
          <w:sz w:val="26"/>
          <w:szCs w:val="26"/>
        </w:rPr>
        <w:t xml:space="preserve">fir; Keker, Van Nest </w:t>
      </w:r>
      <w:r>
        <w:rPr>
          <w:rFonts w:ascii="Century Schoolbook" w:hAnsi="Century Schoolbook"/>
          <w:sz w:val="26"/>
          <w:szCs w:val="26"/>
        </w:rPr>
        <w:t xml:space="preserve">&amp; </w:t>
      </w:r>
      <w:r>
        <w:rPr>
          <w:rFonts w:ascii="Century Schoolbook" w:hAnsi="Century Schoolbook"/>
          <w:sz w:val="26"/>
          <w:szCs w:val="26"/>
        </w:rPr>
        <w:t>Peters, R. James Slaughter</w:t>
      </w:r>
      <w:r>
        <w:rPr>
          <w:rFonts w:ascii="Century Schoolbook" w:hAnsi="Century Schoolbook"/>
          <w:sz w:val="26"/>
          <w:szCs w:val="26"/>
        </w:rPr>
        <w:t>, Jo W. Golub, Erin E. Meyer and Morgan E. Sharma</w:t>
      </w:r>
      <w:r>
        <w:rPr>
          <w:rFonts w:ascii="Century Schoolbook" w:hAnsi="Century Schoolbook"/>
          <w:sz w:val="26"/>
          <w:szCs w:val="26"/>
        </w:rPr>
        <w:t xml:space="preserve"> </w:t>
      </w:r>
      <w:r w:rsidRPr="004D5EF0">
        <w:rPr>
          <w:rFonts w:ascii="Century Schoolbook" w:hAnsi="Century Schoolbook"/>
          <w:sz w:val="26"/>
          <w:szCs w:val="26"/>
        </w:rPr>
        <w:t xml:space="preserve">for </w:t>
      </w:r>
      <w:r>
        <w:rPr>
          <w:rFonts w:ascii="Century Schoolbook" w:hAnsi="Century Schoolbook"/>
          <w:sz w:val="26"/>
          <w:szCs w:val="26"/>
        </w:rPr>
        <w:t>Defendant</w:t>
      </w:r>
      <w:r w:rsidRPr="004D5EF0">
        <w:rPr>
          <w:rFonts w:ascii="Century Schoolbook" w:hAnsi="Century Schoolbook"/>
          <w:sz w:val="26"/>
          <w:szCs w:val="26"/>
        </w:rPr>
        <w:t xml:space="preserve"> and Appellant.</w:t>
      </w:r>
    </w:p>
    <w:p w14:paraId="370C4770" w14:textId="77777777" w:rsidR="004D5EF0" w:rsidRPr="004D5EF0" w:rsidRDefault="00F72DAF" w:rsidP="00D03253">
      <w:pPr>
        <w:spacing w:after="0" w:line="288" w:lineRule="auto"/>
        <w:rPr>
          <w:rFonts w:ascii="Century Schoolbook" w:hAnsi="Century Schoolbook"/>
          <w:sz w:val="26"/>
          <w:szCs w:val="26"/>
        </w:rPr>
      </w:pPr>
      <w:r w:rsidRPr="004D5EF0">
        <w:rPr>
          <w:rFonts w:ascii="Century Schoolbook" w:hAnsi="Century Schoolbook"/>
          <w:sz w:val="26"/>
          <w:szCs w:val="26"/>
        </w:rPr>
        <w:tab/>
      </w:r>
      <w:r>
        <w:rPr>
          <w:rFonts w:ascii="Century Schoolbook" w:hAnsi="Century Schoolbook"/>
          <w:sz w:val="26"/>
          <w:szCs w:val="26"/>
        </w:rPr>
        <w:t xml:space="preserve">Lichten &amp; Liss-Riordan, </w:t>
      </w:r>
      <w:r>
        <w:rPr>
          <w:rFonts w:ascii="Century Schoolbook" w:hAnsi="Century Schoolbook"/>
          <w:sz w:val="26"/>
          <w:szCs w:val="26"/>
        </w:rPr>
        <w:t>Shannon Liss-Riordan</w:t>
      </w:r>
      <w:r w:rsidRPr="004D5EF0">
        <w:rPr>
          <w:rFonts w:ascii="Century Schoolbook" w:hAnsi="Century Schoolbook"/>
          <w:sz w:val="26"/>
          <w:szCs w:val="26"/>
        </w:rPr>
        <w:t xml:space="preserve"> for </w:t>
      </w:r>
      <w:r>
        <w:rPr>
          <w:rFonts w:ascii="Century Schoolbook" w:hAnsi="Century Schoolbook"/>
          <w:sz w:val="26"/>
          <w:szCs w:val="26"/>
        </w:rPr>
        <w:t xml:space="preserve">Plaintiff </w:t>
      </w:r>
      <w:r w:rsidRPr="004D5EF0">
        <w:rPr>
          <w:rFonts w:ascii="Century Schoolbook" w:hAnsi="Century Schoolbook"/>
          <w:sz w:val="26"/>
          <w:szCs w:val="26"/>
        </w:rPr>
        <w:t>and Respondent</w:t>
      </w:r>
      <w:r w:rsidRPr="00AD0265">
        <w:rPr>
          <w:rFonts w:ascii="Century Schoolbook" w:hAnsi="Century Schoolbook"/>
          <w:sz w:val="26"/>
          <w:szCs w:val="26"/>
        </w:rPr>
        <w:t xml:space="preserve"> </w:t>
      </w:r>
      <w:r>
        <w:rPr>
          <w:rFonts w:ascii="Century Schoolbook" w:hAnsi="Century Schoolbook"/>
          <w:sz w:val="26"/>
          <w:szCs w:val="26"/>
        </w:rPr>
        <w:t>Million Seifu</w:t>
      </w:r>
      <w:r w:rsidRPr="004D5EF0">
        <w:rPr>
          <w:rFonts w:ascii="Century Schoolbook" w:hAnsi="Century Schoolbook"/>
          <w:sz w:val="26"/>
          <w:szCs w:val="26"/>
        </w:rPr>
        <w:t>.</w:t>
      </w:r>
    </w:p>
    <w:p w14:paraId="6D1D710C" w14:textId="77777777" w:rsidR="00D56DFA" w:rsidRDefault="00F72DAF">
      <w:pPr>
        <w:rPr>
          <w:rFonts w:ascii="Century Schoolbook" w:eastAsia="Century Schoolbook" w:hAnsi="Century Schoolbook" w:cs="Century Schoolbook"/>
          <w:sz w:val="26"/>
          <w:szCs w:val="26"/>
        </w:rPr>
      </w:pPr>
    </w:p>
    <w:p w14:paraId="1D86BFA4" w14:textId="77777777" w:rsidR="43C65E78" w:rsidRDefault="00F72DAF" w:rsidP="00D03253">
      <w:pPr>
        <w:spacing w:after="0" w:line="288" w:lineRule="auto"/>
        <w:ind w:firstLine="720"/>
        <w:rPr>
          <w:rFonts w:ascii="Century Schoolbook" w:eastAsia="Century Schoolbook" w:hAnsi="Century Schoolbook" w:cs="Century Schoolbook"/>
          <w:sz w:val="26"/>
          <w:szCs w:val="26"/>
        </w:rPr>
      </w:pPr>
      <w:r w:rsidRPr="1D770636">
        <w:rPr>
          <w:rFonts w:ascii="Century Schoolbook" w:eastAsia="Century Schoolbook" w:hAnsi="Century Schoolbook" w:cs="Century Schoolbook"/>
          <w:sz w:val="26"/>
          <w:szCs w:val="26"/>
        </w:rPr>
        <w:lastRenderedPageBreak/>
        <w:t xml:space="preserve">Respondent </w:t>
      </w:r>
      <w:r w:rsidRPr="00306699">
        <w:rPr>
          <w:rFonts w:ascii="Century Schoolbook" w:eastAsia="Century Schoolbook" w:hAnsi="Century Schoolbook" w:cs="Century Schoolbook"/>
          <w:color w:val="000000"/>
          <w:sz w:val="26"/>
          <w:szCs w:val="26"/>
        </w:rPr>
        <w:t xml:space="preserve">Million Seifu is a former driver for appellant Lyft, Inc.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In 2018, he filed suit against Lyft under the Private Attorneys General Act of 2004 (PAGA) </w:t>
      </w:r>
      <w:r w:rsidRPr="00306699">
        <w:rPr>
          <w:rFonts w:ascii="Century Schoolbook" w:eastAsia="Century Schoolbook" w:hAnsi="Century Schoolbook" w:cs="Century Schoolbook"/>
          <w:color w:val="000000"/>
          <w:sz w:val="26"/>
          <w:szCs w:val="26"/>
        </w:rPr>
        <w:t>(Lab. Code, § 2698 et seq.).</w:t>
      </w:r>
      <w:r>
        <w:rPr>
          <w:rStyle w:val="FootnoteReference"/>
          <w:rFonts w:ascii="Century Schoolbook" w:eastAsia="Century Schoolbook" w:hAnsi="Century Schoolbook" w:cs="Century Schoolbook"/>
          <w:color w:val="000000"/>
          <w:sz w:val="26"/>
          <w:szCs w:val="26"/>
        </w:rPr>
        <w:footnoteReference w:id="2"/>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He alleged that Lyft misclassified him and other drivers as independent contractors rather than employees, thereby violating multiple provisions of the Labor Code.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Lyft moved to compel arbitration based on the arbitration p</w:t>
      </w:r>
      <w:r w:rsidRPr="00306699">
        <w:rPr>
          <w:rFonts w:ascii="Century Schoolbook" w:eastAsia="Century Schoolbook" w:hAnsi="Century Schoolbook" w:cs="Century Schoolbook"/>
          <w:color w:val="000000"/>
          <w:sz w:val="26"/>
          <w:szCs w:val="26"/>
        </w:rPr>
        <w:t>rovision in the “Terms of Service” (TOS) that it required its drivers to accept in order to offer rides through Lyft’s smartphone application.</w:t>
      </w:r>
    </w:p>
    <w:p w14:paraId="5572A7CE" w14:textId="77777777" w:rsidR="602D812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The trial court denied the motion, finding the PAGA waiver in the arbitration provision unenforceable under then-</w:t>
      </w:r>
      <w:r w:rsidRPr="00306699">
        <w:rPr>
          <w:rFonts w:ascii="Century Schoolbook" w:eastAsia="Century Schoolbook" w:hAnsi="Century Schoolbook" w:cs="Century Schoolbook"/>
          <w:color w:val="000000"/>
          <w:sz w:val="26"/>
          <w:szCs w:val="26"/>
        </w:rPr>
        <w:t>controlling California law. Lyft appealed, and in June 2021 we affirmed the denial of Lyft’s motion to compel arbitration.</w:t>
      </w:r>
    </w:p>
    <w:p w14:paraId="2A9C70A4" w14:textId="77777777" w:rsidR="602D812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 xml:space="preserve">Lyft petitioned the United States Supreme Court for a writ of certiorari.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In June 2022, the Court granted Lyft’s petition, vacated t</w:t>
      </w:r>
      <w:r w:rsidRPr="00306699">
        <w:rPr>
          <w:rFonts w:ascii="Century Schoolbook" w:eastAsia="Century Schoolbook" w:hAnsi="Century Schoolbook" w:cs="Century Schoolbook"/>
          <w:color w:val="000000"/>
          <w:sz w:val="26"/>
          <w:szCs w:val="26"/>
        </w:rPr>
        <w:t xml:space="preserve">he judgment, and remanded the case for further consideration in light of </w:t>
      </w:r>
      <w:r w:rsidRPr="00306699">
        <w:rPr>
          <w:rFonts w:ascii="Century Schoolbook" w:eastAsia="Century Schoolbook" w:hAnsi="Century Schoolbook" w:cs="Century Schoolbook"/>
          <w:i/>
          <w:iCs/>
          <w:color w:val="000000"/>
          <w:sz w:val="26"/>
          <w:szCs w:val="26"/>
        </w:rPr>
        <w:t>Viking River Cruises, Inc. v. Moriana</w:t>
      </w:r>
      <w:r w:rsidRPr="00306699">
        <w:rPr>
          <w:rFonts w:ascii="Century Schoolbook" w:eastAsia="Century Schoolbook" w:hAnsi="Century Schoolbook" w:cs="Century Schoolbook"/>
          <w:color w:val="000000"/>
          <w:sz w:val="26"/>
          <w:szCs w:val="26"/>
        </w:rPr>
        <w:t xml:space="preserve"> (2022) 596 U.S. ___ [142 S.Ct. 1906, 213 L.Ed.2d 179]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We recalled the remittitur, vacated our prior decision, and requested supplemental briefing from the parties on the application of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to this case.</w:t>
      </w:r>
    </w:p>
    <w:p w14:paraId="4E99FF25" w14:textId="77777777" w:rsidR="602D812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 xml:space="preserve">Seifu concedes that </w:t>
      </w:r>
      <w:r w:rsidRPr="00306699">
        <w:rPr>
          <w:rFonts w:ascii="Century Schoolbook" w:eastAsia="Century Schoolbook" w:hAnsi="Century Schoolbook" w:cs="Century Schoolbook"/>
          <w:color w:val="000000"/>
          <w:sz w:val="26"/>
          <w:szCs w:val="26"/>
        </w:rPr>
        <w:t>under</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his claim for civil penalties based on alleged Labor Code v</w:t>
      </w:r>
      <w:r w:rsidRPr="00306699">
        <w:rPr>
          <w:rFonts w:ascii="Century Schoolbook" w:eastAsia="Century Schoolbook" w:hAnsi="Century Schoolbook" w:cs="Century Schoolbook"/>
          <w:color w:val="000000"/>
          <w:sz w:val="26"/>
          <w:szCs w:val="26"/>
        </w:rPr>
        <w:t xml:space="preserve">iolations he </w:t>
      </w:r>
      <w:r w:rsidRPr="00306699">
        <w:rPr>
          <w:rFonts w:ascii="Century Schoolbook" w:eastAsia="Century Schoolbook" w:hAnsi="Century Schoolbook" w:cs="Century Schoolbook"/>
          <w:i/>
          <w:iCs/>
          <w:color w:val="000000"/>
          <w:sz w:val="26"/>
          <w:szCs w:val="26"/>
        </w:rPr>
        <w:t>personally</w:t>
      </w:r>
      <w:r w:rsidRPr="00306699">
        <w:rPr>
          <w:rFonts w:ascii="Century Schoolbook" w:eastAsia="Century Schoolbook" w:hAnsi="Century Schoolbook" w:cs="Century Schoolbook"/>
          <w:color w:val="000000"/>
          <w:sz w:val="26"/>
          <w:szCs w:val="26"/>
        </w:rPr>
        <w:t xml:space="preserve"> suffered (his individual PAGA claim) is subject to arbitration.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We agree, and therefore reverse the denial of that portion of Lyft’s motion to compel arbitration. </w:t>
      </w:r>
    </w:p>
    <w:p w14:paraId="04DE17CB" w14:textId="77777777" w:rsidR="602D812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The crux of the parties’ dispute here is the fate of Seifu’s remain</w:t>
      </w:r>
      <w:r w:rsidRPr="00306699">
        <w:rPr>
          <w:rFonts w:ascii="Century Schoolbook" w:eastAsia="Century Schoolbook" w:hAnsi="Century Schoolbook" w:cs="Century Schoolbook"/>
          <w:color w:val="000000"/>
          <w:sz w:val="26"/>
          <w:szCs w:val="26"/>
        </w:rPr>
        <w:t xml:space="preserve">ing claims for civil penalties based on alleged Labor Code violations suffered by </w:t>
      </w:r>
      <w:r w:rsidRPr="00306699">
        <w:rPr>
          <w:rFonts w:ascii="Century Schoolbook" w:eastAsia="Century Schoolbook" w:hAnsi="Century Schoolbook" w:cs="Century Schoolbook"/>
          <w:i/>
          <w:iCs/>
          <w:color w:val="000000"/>
          <w:sz w:val="26"/>
          <w:szCs w:val="26"/>
        </w:rPr>
        <w:t>other employees</w:t>
      </w:r>
      <w:r w:rsidRPr="00306699">
        <w:rPr>
          <w:rFonts w:ascii="Century Schoolbook" w:eastAsia="Century Schoolbook" w:hAnsi="Century Schoolbook" w:cs="Century Schoolbook"/>
          <w:color w:val="000000"/>
          <w:sz w:val="26"/>
          <w:szCs w:val="26"/>
        </w:rPr>
        <w:t xml:space="preserve"> (his non-individual PAGA claims).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Lyft argues that Seifu lacks standing to </w:t>
      </w:r>
      <w:r w:rsidRPr="00306699">
        <w:rPr>
          <w:rFonts w:ascii="Century Schoolbook" w:eastAsia="Century Schoolbook" w:hAnsi="Century Schoolbook" w:cs="Century Schoolbook"/>
          <w:color w:val="000000"/>
          <w:sz w:val="26"/>
          <w:szCs w:val="26"/>
        </w:rPr>
        <w:t xml:space="preserve">litigate </w:t>
      </w:r>
      <w:r w:rsidRPr="00306699">
        <w:rPr>
          <w:rFonts w:ascii="Century Schoolbook" w:eastAsia="Century Schoolbook" w:hAnsi="Century Schoolbook" w:cs="Century Schoolbook"/>
          <w:color w:val="000000"/>
          <w:sz w:val="26"/>
          <w:szCs w:val="26"/>
        </w:rPr>
        <w:t>the non-individual claims once his individual claims are sent to arbitrat</w:t>
      </w:r>
      <w:r w:rsidRPr="00306699">
        <w:rPr>
          <w:rFonts w:ascii="Century Schoolbook" w:eastAsia="Century Schoolbook" w:hAnsi="Century Schoolbook" w:cs="Century Schoolbook"/>
          <w:color w:val="000000"/>
          <w:sz w:val="26"/>
          <w:szCs w:val="26"/>
        </w:rPr>
        <w:t xml:space="preserve">ion, and the former claims therefore must be dismissed.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Seifu counters that, as a matter of state law, he retains standing to pursue </w:t>
      </w:r>
      <w:r w:rsidRPr="00306699">
        <w:rPr>
          <w:rFonts w:ascii="Century Schoolbook" w:eastAsia="Century Schoolbook" w:hAnsi="Century Schoolbook" w:cs="Century Schoolbook"/>
          <w:color w:val="000000"/>
          <w:sz w:val="26"/>
          <w:szCs w:val="26"/>
        </w:rPr>
        <w:t xml:space="preserve">the </w:t>
      </w:r>
      <w:r w:rsidRPr="00306699">
        <w:rPr>
          <w:rFonts w:ascii="Century Schoolbook" w:eastAsia="Century Schoolbook" w:hAnsi="Century Schoolbook" w:cs="Century Schoolbook"/>
          <w:color w:val="000000"/>
          <w:sz w:val="26"/>
          <w:szCs w:val="26"/>
        </w:rPr>
        <w:t>non-individual PAGA claims in court.</w:t>
      </w:r>
    </w:p>
    <w:p w14:paraId="5743890E" w14:textId="77777777" w:rsidR="602D812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lastRenderedPageBreak/>
        <w:t xml:space="preserve">We </w:t>
      </w:r>
      <w:r w:rsidRPr="00306699">
        <w:rPr>
          <w:rFonts w:ascii="Century Schoolbook" w:eastAsia="Century Schoolbook" w:hAnsi="Century Schoolbook" w:cs="Century Schoolbook"/>
          <w:color w:val="000000"/>
          <w:sz w:val="26"/>
          <w:szCs w:val="26"/>
        </w:rPr>
        <w:t xml:space="preserve">conclude that we are not bound by the analysis of PAGA standing set forth in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As Justice Sotomayor recognized in her concurring opinion, PAGA standing is a matter of state law that must be decided by California courts.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Until we have </w:t>
      </w:r>
      <w:r w:rsidRPr="00306699">
        <w:rPr>
          <w:rFonts w:ascii="Century Schoolbook" w:eastAsia="Century Schoolbook" w:hAnsi="Century Schoolbook" w:cs="Century Schoolbook"/>
          <w:color w:val="000000"/>
          <w:sz w:val="26"/>
          <w:szCs w:val="26"/>
        </w:rPr>
        <w:t>guidance</w:t>
      </w:r>
      <w:r w:rsidRPr="00306699">
        <w:rPr>
          <w:rFonts w:ascii="Century Schoolbook" w:eastAsia="Century Schoolbook" w:hAnsi="Century Schoolbook" w:cs="Century Schoolbook"/>
          <w:color w:val="000000"/>
          <w:sz w:val="26"/>
          <w:szCs w:val="26"/>
        </w:rPr>
        <w:t xml:space="preserve"> from the California Supreme Court, our review of PAGA and relevant </w:t>
      </w:r>
      <w:r w:rsidRPr="00306699">
        <w:rPr>
          <w:rFonts w:ascii="Century Schoolbook" w:eastAsia="Century Schoolbook" w:hAnsi="Century Schoolbook" w:cs="Century Schoolbook"/>
          <w:color w:val="000000"/>
          <w:sz w:val="26"/>
          <w:szCs w:val="26"/>
        </w:rPr>
        <w:t xml:space="preserve">state </w:t>
      </w:r>
      <w:r w:rsidRPr="00306699">
        <w:rPr>
          <w:rFonts w:ascii="Century Schoolbook" w:eastAsia="Century Schoolbook" w:hAnsi="Century Schoolbook" w:cs="Century Schoolbook"/>
          <w:color w:val="000000"/>
          <w:sz w:val="26"/>
          <w:szCs w:val="26"/>
        </w:rPr>
        <w:t xml:space="preserve">decisional authority leads us to conclude that a plaintiff is not stripped of standing to pursue non-individual </w:t>
      </w:r>
      <w:r w:rsidRPr="00306699">
        <w:rPr>
          <w:rFonts w:ascii="Century Schoolbook" w:eastAsia="Century Schoolbook" w:hAnsi="Century Schoolbook" w:cs="Century Schoolbook"/>
          <w:color w:val="000000"/>
          <w:sz w:val="26"/>
          <w:szCs w:val="26"/>
        </w:rPr>
        <w:t xml:space="preserve">PAGA </w:t>
      </w:r>
      <w:r w:rsidRPr="00306699">
        <w:rPr>
          <w:rFonts w:ascii="Century Schoolbook" w:eastAsia="Century Schoolbook" w:hAnsi="Century Schoolbook" w:cs="Century Schoolbook"/>
          <w:color w:val="000000"/>
          <w:sz w:val="26"/>
          <w:szCs w:val="26"/>
        </w:rPr>
        <w:t>claims simply because his or her individual</w:t>
      </w:r>
      <w:r w:rsidRPr="00306699">
        <w:rPr>
          <w:rFonts w:ascii="Century Schoolbook" w:eastAsia="Century Schoolbook" w:hAnsi="Century Schoolbook" w:cs="Century Schoolbook"/>
          <w:color w:val="000000"/>
          <w:sz w:val="26"/>
          <w:szCs w:val="26"/>
        </w:rPr>
        <w:t xml:space="preserve"> PAGA</w:t>
      </w:r>
      <w:r w:rsidRPr="00306699">
        <w:rPr>
          <w:rFonts w:ascii="Century Schoolbook" w:eastAsia="Century Schoolbook" w:hAnsi="Century Schoolbook" w:cs="Century Schoolbook"/>
          <w:color w:val="000000"/>
          <w:sz w:val="26"/>
          <w:szCs w:val="26"/>
        </w:rPr>
        <w:t xml:space="preserve"> claim is compelled to arbitration. </w:t>
      </w:r>
    </w:p>
    <w:p w14:paraId="54EDD4C5" w14:textId="77777777" w:rsidR="602D812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 xml:space="preserve">We therefore reverse in part and affirm in part the trial court’s order denying Lyft’s motion to compel arbitration.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We remand the matter to the trial court with directions to: (1) enter an order compelling Seifu to arbitrate his individual PAGA claim; an</w:t>
      </w:r>
      <w:r w:rsidRPr="00306699">
        <w:rPr>
          <w:rFonts w:ascii="Century Schoolbook" w:eastAsia="Century Schoolbook" w:hAnsi="Century Schoolbook" w:cs="Century Schoolbook"/>
          <w:color w:val="000000"/>
          <w:sz w:val="26"/>
          <w:szCs w:val="26"/>
        </w:rPr>
        <w:t>d (2) conduct further proceedings regarding Seifu’s non-individual claims consistent with this opinion.</w:t>
      </w:r>
    </w:p>
    <w:p w14:paraId="43087EFB" w14:textId="77777777" w:rsidR="602D8126" w:rsidRDefault="00F72DAF" w:rsidP="00D03253">
      <w:pPr>
        <w:spacing w:after="0" w:line="288" w:lineRule="auto"/>
        <w:jc w:val="center"/>
      </w:pPr>
      <w:r w:rsidRPr="00306699">
        <w:rPr>
          <w:rFonts w:ascii="Century Schoolbook" w:eastAsia="Century Schoolbook" w:hAnsi="Century Schoolbook" w:cs="Century Schoolbook"/>
          <w:b/>
          <w:bCs/>
          <w:color w:val="000000"/>
          <w:sz w:val="26"/>
          <w:szCs w:val="26"/>
        </w:rPr>
        <w:t>FACTUAL AND PROCEDURAL HISTORY</w:t>
      </w:r>
    </w:p>
    <w:p w14:paraId="37FC2EDD" w14:textId="77777777" w:rsidR="602D8126"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Lyft utilizes a smartphone application (app) that connects drivers with riders seeking transportation services.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In order</w:t>
      </w:r>
      <w:r w:rsidRPr="00306699">
        <w:rPr>
          <w:rFonts w:ascii="Century Schoolbook" w:eastAsia="Century Schoolbook" w:hAnsi="Century Schoolbook" w:cs="Century Schoolbook"/>
          <w:color w:val="000000"/>
          <w:sz w:val="26"/>
          <w:szCs w:val="26"/>
        </w:rPr>
        <w:t xml:space="preserve"> to use the Lyft technology platform and offer rides through the app, drivers must agree to the TOS, which states that it “contains provisions that govern how claims you and Lyft have against each other can be brought</w:t>
      </w:r>
      <w:r w:rsidRPr="00306699">
        <w:rPr>
          <w:rFonts w:ascii="Century Schoolbook" w:eastAsia="Century Schoolbook" w:hAnsi="Century Schoolbook" w:cs="Century Schoolbook"/>
          <w:color w:val="000000"/>
          <w:sz w:val="26"/>
          <w:szCs w:val="26"/>
        </w:rPr>
        <w:t xml:space="preserve">. . . . </w:t>
      </w:r>
      <w:r w:rsidRPr="00306699">
        <w:rPr>
          <w:rFonts w:ascii="Century Schoolbook" w:eastAsia="Century Schoolbook" w:hAnsi="Century Schoolbook" w:cs="Century Schoolbook"/>
          <w:color w:val="000000"/>
          <w:sz w:val="26"/>
          <w:szCs w:val="26"/>
        </w:rPr>
        <w:t xml:space="preserve"> These provisions will, with li</w:t>
      </w:r>
      <w:r w:rsidRPr="00306699">
        <w:rPr>
          <w:rFonts w:ascii="Century Schoolbook" w:eastAsia="Century Schoolbook" w:hAnsi="Century Schoolbook" w:cs="Century Schoolbook"/>
          <w:color w:val="000000"/>
          <w:sz w:val="26"/>
          <w:szCs w:val="26"/>
        </w:rPr>
        <w:t xml:space="preserve">mited exception, require you to submit claims you have against Lyft to binding and final arbitration on an individual basis, not as a plaintiff or class member in any class, group, representative action, or proceeding.”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(Capitalization omitted.) </w:t>
      </w:r>
    </w:p>
    <w:p w14:paraId="609E994B" w14:textId="77777777" w:rsidR="602D8126" w:rsidRDefault="00F72DAF" w:rsidP="00D03253">
      <w:pPr>
        <w:spacing w:after="0" w:line="288" w:lineRule="auto"/>
        <w:ind w:firstLine="720"/>
      </w:pPr>
      <w:r w:rsidRPr="00306699">
        <w:rPr>
          <w:rFonts w:ascii="Century Schoolbook" w:eastAsia="Century Schoolbook" w:hAnsi="Century Schoolbook" w:cs="Century Schoolbook"/>
          <w:color w:val="000000"/>
          <w:sz w:val="26"/>
          <w:szCs w:val="26"/>
        </w:rPr>
        <w:t>The arbi</w:t>
      </w:r>
      <w:r w:rsidRPr="00306699">
        <w:rPr>
          <w:rFonts w:ascii="Century Schoolbook" w:eastAsia="Century Schoolbook" w:hAnsi="Century Schoolbook" w:cs="Century Schoolbook"/>
          <w:color w:val="000000"/>
          <w:sz w:val="26"/>
          <w:szCs w:val="26"/>
        </w:rPr>
        <w:t>tration provision in the TOS provided, “You and Lyft mutually agree to waive our respective rights to resolution of disputes in a court of law by a judge or jury and agree to resolve any dispute by arbitration</w:t>
      </w:r>
      <w:r w:rsidRPr="00306699">
        <w:rPr>
          <w:rFonts w:ascii="Century Schoolbook" w:eastAsia="Century Schoolbook" w:hAnsi="Century Schoolbook" w:cs="Century Schoolbook"/>
          <w:color w:val="000000"/>
          <w:sz w:val="26"/>
          <w:szCs w:val="26"/>
        </w:rPr>
        <w:t xml:space="preserve">. . . . </w:t>
      </w:r>
      <w:r w:rsidRPr="00306699">
        <w:rPr>
          <w:rFonts w:ascii="Century Schoolbook" w:eastAsia="Century Schoolbook" w:hAnsi="Century Schoolbook" w:cs="Century Schoolbook"/>
          <w:color w:val="000000"/>
          <w:sz w:val="26"/>
          <w:szCs w:val="26"/>
        </w:rPr>
        <w:t xml:space="preserve"> This agreement to arbitrate (‘Arbitrat</w:t>
      </w:r>
      <w:r w:rsidRPr="00306699">
        <w:rPr>
          <w:rFonts w:ascii="Century Schoolbook" w:eastAsia="Century Schoolbook" w:hAnsi="Century Schoolbook" w:cs="Century Schoolbook"/>
          <w:color w:val="000000"/>
          <w:sz w:val="26"/>
          <w:szCs w:val="26"/>
        </w:rPr>
        <w:t>ion Agreement’) is governed by the Federal Arbitration Act and survives after the Agreement terminates or your relationship with Lyft ends</w:t>
      </w:r>
      <w:r w:rsidRPr="00306699">
        <w:rPr>
          <w:rFonts w:ascii="Century Schoolbook" w:eastAsia="Century Schoolbook" w:hAnsi="Century Schoolbook" w:cs="Century Schoolbook"/>
          <w:color w:val="000000"/>
          <w:sz w:val="26"/>
          <w:szCs w:val="26"/>
        </w:rPr>
        <w:t xml:space="preserve">. . . .  </w:t>
      </w:r>
      <w:r w:rsidRPr="00306699">
        <w:rPr>
          <w:rFonts w:ascii="Century Schoolbook" w:eastAsia="Century Schoolbook" w:hAnsi="Century Schoolbook" w:cs="Century Schoolbook"/>
          <w:color w:val="000000"/>
          <w:sz w:val="26"/>
          <w:szCs w:val="26"/>
        </w:rPr>
        <w:t xml:space="preserve">Except as expressly provided </w:t>
      </w:r>
      <w:r w:rsidRPr="00306699">
        <w:rPr>
          <w:rFonts w:ascii="Century Schoolbook" w:eastAsia="Century Schoolbook" w:hAnsi="Century Schoolbook" w:cs="Century Schoolbook"/>
          <w:color w:val="000000"/>
          <w:sz w:val="26"/>
          <w:szCs w:val="26"/>
        </w:rPr>
        <w:t>. . .</w:t>
      </w:r>
      <w:r w:rsidRPr="00306699">
        <w:rPr>
          <w:rFonts w:ascii="Century Schoolbook" w:eastAsia="Century Schoolbook" w:hAnsi="Century Schoolbook" w:cs="Century Schoolbook"/>
          <w:color w:val="000000"/>
          <w:sz w:val="26"/>
          <w:szCs w:val="26"/>
        </w:rPr>
        <w:t xml:space="preserve"> [¶] </w:t>
      </w:r>
      <w:r w:rsidRPr="00306699">
        <w:rPr>
          <w:rFonts w:ascii="Century Schoolbook" w:eastAsia="Century Schoolbook" w:hAnsi="Century Schoolbook" w:cs="Century Schoolbook"/>
          <w:color w:val="000000"/>
          <w:sz w:val="26"/>
          <w:szCs w:val="26"/>
        </w:rPr>
        <w:t>. . .</w:t>
      </w:r>
      <w:r w:rsidRPr="00306699">
        <w:rPr>
          <w:rFonts w:ascii="Century Schoolbook" w:eastAsia="Century Schoolbook" w:hAnsi="Century Schoolbook" w:cs="Century Schoolbook"/>
          <w:color w:val="000000"/>
          <w:sz w:val="26"/>
          <w:szCs w:val="26"/>
        </w:rPr>
        <w:t xml:space="preserve"> all disputes and claims between us</w:t>
      </w:r>
      <w:r w:rsidRPr="00306699">
        <w:rPr>
          <w:rFonts w:ascii="Century Schoolbook" w:eastAsia="Century Schoolbook" w:hAnsi="Century Schoolbook" w:cs="Century Schoolbook"/>
          <w:color w:val="000000"/>
          <w:sz w:val="26"/>
          <w:szCs w:val="26"/>
        </w:rPr>
        <w:t xml:space="preserve"> . . .</w:t>
      </w:r>
      <w:r w:rsidRPr="00306699">
        <w:rPr>
          <w:rFonts w:ascii="Century Schoolbook" w:eastAsia="Century Schoolbook" w:hAnsi="Century Schoolbook" w:cs="Century Schoolbook"/>
          <w:color w:val="000000"/>
          <w:sz w:val="26"/>
          <w:szCs w:val="26"/>
        </w:rPr>
        <w:t xml:space="preserve"> shall be exclusively re</w:t>
      </w:r>
      <w:r w:rsidRPr="00306699">
        <w:rPr>
          <w:rFonts w:ascii="Century Schoolbook" w:eastAsia="Century Schoolbook" w:hAnsi="Century Schoolbook" w:cs="Century Schoolbook"/>
          <w:color w:val="000000"/>
          <w:sz w:val="26"/>
          <w:szCs w:val="26"/>
        </w:rPr>
        <w:t xml:space="preserve">solved by binding arbitration solely between you and Lyft.”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(Capitalization omitted.)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agreement further stated, “This Arbitration Agreement is intended to require arbitration of every claim or dispute that can lawfully be arbitrated, except </w:t>
      </w:r>
      <w:r w:rsidRPr="00306699">
        <w:rPr>
          <w:rFonts w:ascii="Century Schoolbook" w:eastAsia="Century Schoolbook" w:hAnsi="Century Schoolbook" w:cs="Century Schoolbook"/>
          <w:color w:val="000000"/>
          <w:sz w:val="26"/>
          <w:szCs w:val="26"/>
        </w:rPr>
        <w:lastRenderedPageBreak/>
        <w:t>for those</w:t>
      </w:r>
      <w:r w:rsidRPr="00306699">
        <w:rPr>
          <w:rFonts w:ascii="Century Schoolbook" w:eastAsia="Century Schoolbook" w:hAnsi="Century Schoolbook" w:cs="Century Schoolbook"/>
          <w:color w:val="000000"/>
          <w:sz w:val="26"/>
          <w:szCs w:val="26"/>
        </w:rPr>
        <w:t xml:space="preserve"> claims and disputes which by the terms of this Arbitration Agreement are expressly excluded from the requirement to arbitrate.” </w:t>
      </w:r>
      <w:r w:rsidRPr="00306699">
        <w:rPr>
          <w:rFonts w:ascii="Century Schoolbook" w:eastAsia="Century Schoolbook" w:hAnsi="Century Schoolbook" w:cs="Century Schoolbook"/>
          <w:color w:val="000000"/>
          <w:sz w:val="26"/>
          <w:szCs w:val="26"/>
        </w:rPr>
        <w:t xml:space="preserve"> </w:t>
      </w:r>
    </w:p>
    <w:p w14:paraId="3F6BB740" w14:textId="77777777" w:rsidR="00762FEB"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The arbitration provision also included a “Representative PAGA Waiver” stating, “Notwithstanding any other provision of </w:t>
      </w:r>
      <w:r w:rsidRPr="00306699">
        <w:rPr>
          <w:rFonts w:ascii="Century Schoolbook" w:eastAsia="Century Schoolbook" w:hAnsi="Century Schoolbook" w:cs="Century Schoolbook"/>
          <w:color w:val="000000"/>
          <w:sz w:val="26"/>
          <w:szCs w:val="26"/>
        </w:rPr>
        <w:t>this Agreement or the Arbitration Agreement, to the fullest extent permitted by law:</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(1) you and Lyft agree not to bring a representative action on behalf of others under the Private Attorneys General Act of 2004 (PAGA), California Labor Code </w:t>
      </w:r>
    </w:p>
    <w:p w14:paraId="2261E666" w14:textId="77777777" w:rsidR="602D8126" w:rsidRPr="00306699" w:rsidRDefault="00F72DAF" w:rsidP="00762FEB">
      <w:pPr>
        <w:spacing w:after="0" w:line="288" w:lineRule="auto"/>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2698 et s</w:t>
      </w:r>
      <w:r w:rsidRPr="00306699">
        <w:rPr>
          <w:rFonts w:ascii="Century Schoolbook" w:eastAsia="Century Schoolbook" w:hAnsi="Century Schoolbook" w:cs="Century Schoolbook"/>
          <w:color w:val="000000"/>
          <w:sz w:val="26"/>
          <w:szCs w:val="26"/>
        </w:rPr>
        <w:t>eq., in any court or in arbitration, and (2) for any claim brought on a private attorney general basis, including under the California PAGA, both you and Lyft agree that any such dispute shall be resolved in arbitration on an individual basis only (i.e., t</w:t>
      </w:r>
      <w:r w:rsidRPr="00306699">
        <w:rPr>
          <w:rFonts w:ascii="Century Schoolbook" w:eastAsia="Century Schoolbook" w:hAnsi="Century Schoolbook" w:cs="Century Schoolbook"/>
          <w:color w:val="000000"/>
          <w:sz w:val="26"/>
          <w:szCs w:val="26"/>
        </w:rPr>
        <w:t>o resolve whether you have personally been aggrieved or subject to any violations of law), and that such an action may not be used to resolve the claims or rights of other individuals in a single or collective proceeding (i.e., to resolve whether other ind</w:t>
      </w:r>
      <w:r w:rsidRPr="00306699">
        <w:rPr>
          <w:rFonts w:ascii="Century Schoolbook" w:eastAsia="Century Schoolbook" w:hAnsi="Century Schoolbook" w:cs="Century Schoolbook"/>
          <w:color w:val="000000"/>
          <w:sz w:val="26"/>
          <w:szCs w:val="26"/>
        </w:rPr>
        <w:t xml:space="preserve">ividuals have been aggrieved or subject to any violations of law).” </w:t>
      </w:r>
    </w:p>
    <w:p w14:paraId="20D089DC" w14:textId="77777777" w:rsidR="602D8126"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Drivers who did not wish to be bound by the arbitration provision could opt out in the 30-day period following their acceptance of the TOS.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Those who did not exercise this option </w:t>
      </w:r>
      <w:r w:rsidRPr="00306699">
        <w:rPr>
          <w:rFonts w:ascii="Century Schoolbook" w:eastAsia="Century Schoolbook" w:hAnsi="Century Schoolbook" w:cs="Century Schoolbook"/>
          <w:color w:val="000000"/>
          <w:sz w:val="26"/>
          <w:szCs w:val="26"/>
        </w:rPr>
        <w:t>du</w:t>
      </w:r>
      <w:r w:rsidRPr="00306699">
        <w:rPr>
          <w:rFonts w:ascii="Century Schoolbook" w:eastAsia="Century Schoolbook" w:hAnsi="Century Schoolbook" w:cs="Century Schoolbook"/>
          <w:color w:val="000000"/>
          <w:sz w:val="26"/>
          <w:szCs w:val="26"/>
        </w:rPr>
        <w:t>ri</w:t>
      </w:r>
      <w:r w:rsidRPr="00306699">
        <w:rPr>
          <w:rFonts w:ascii="Century Schoolbook" w:eastAsia="Century Schoolbook" w:hAnsi="Century Schoolbook" w:cs="Century Schoolbook"/>
          <w:color w:val="000000"/>
          <w:sz w:val="26"/>
          <w:szCs w:val="26"/>
        </w:rPr>
        <w:t>ng</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that </w:t>
      </w:r>
      <w:r w:rsidRPr="00306699">
        <w:rPr>
          <w:rFonts w:ascii="Century Schoolbook" w:eastAsia="Century Schoolbook" w:hAnsi="Century Schoolbook" w:cs="Century Schoolbook"/>
          <w:color w:val="000000"/>
          <w:sz w:val="26"/>
          <w:szCs w:val="26"/>
        </w:rPr>
        <w:t>period</w:t>
      </w:r>
      <w:r w:rsidRPr="00306699">
        <w:rPr>
          <w:rFonts w:ascii="Century Schoolbook" w:eastAsia="Century Schoolbook" w:hAnsi="Century Schoolbook" w:cs="Century Schoolbook"/>
          <w:color w:val="000000"/>
          <w:sz w:val="26"/>
          <w:szCs w:val="26"/>
        </w:rPr>
        <w:t xml:space="preserve"> were bound by the arbitration provision. </w:t>
      </w:r>
    </w:p>
    <w:p w14:paraId="7B45763D" w14:textId="77777777" w:rsidR="602D8126"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Lyft updated the TOS periodically and required drivers to agree to the updated terms in order to continue offering rides through the Lyft platform. Seifu agreed to the updated TOS in July 2017 and April</w:t>
      </w:r>
      <w:r w:rsidRPr="00306699">
        <w:rPr>
          <w:rFonts w:ascii="Century Schoolbook" w:eastAsia="Century Schoolbook" w:hAnsi="Century Schoolbook" w:cs="Century Schoolbook"/>
          <w:color w:val="000000"/>
          <w:sz w:val="26"/>
          <w:szCs w:val="26"/>
        </w:rPr>
        <w:t xml:space="preserve"> 2018; he did not opt out of the arbitration provision. </w:t>
      </w:r>
    </w:p>
    <w:p w14:paraId="32D600A4" w14:textId="77777777" w:rsidR="602D8126"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Seifu filed a complaint against Lyft in July 2018, alleging a single PAGA claim on behalf of the state of California and other similarly situated individuals who worked as drivers for Lyft in Califor</w:t>
      </w:r>
      <w:r w:rsidRPr="00306699">
        <w:rPr>
          <w:rFonts w:ascii="Century Schoolbook" w:eastAsia="Century Schoolbook" w:hAnsi="Century Schoolbook" w:cs="Century Schoolbook"/>
          <w:color w:val="000000"/>
          <w:sz w:val="26"/>
          <w:szCs w:val="26"/>
        </w:rPr>
        <w:t>nia</w:t>
      </w:r>
      <w:r w:rsidRPr="00306699">
        <w:rPr>
          <w:rFonts w:ascii="Century Schoolbook" w:eastAsia="Century Schoolbook" w:hAnsi="Century Schoolbook" w:cs="Century Schoolbook"/>
          <w:color w:val="000000"/>
          <w:sz w:val="26"/>
          <w:szCs w:val="26"/>
        </w:rPr>
        <w:t>.</w:t>
      </w:r>
      <w:r>
        <w:rPr>
          <w:rStyle w:val="FootnoteReference"/>
          <w:rFonts w:ascii="Century Schoolbook" w:eastAsia="Century Schoolbook" w:hAnsi="Century Schoolbook" w:cs="Century Schoolbook"/>
          <w:color w:val="000000"/>
          <w:sz w:val="26"/>
          <w:szCs w:val="26"/>
        </w:rPr>
        <w:footnoteReference w:id="3"/>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He alleged that Lyft willfully misclassified its drivers as independent contractors, resulting in numerous Labor Code violations.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Seifu</w:t>
      </w:r>
      <w:r w:rsidRPr="00306699">
        <w:rPr>
          <w:rFonts w:ascii="Century Schoolbook" w:eastAsia="Century Schoolbook" w:hAnsi="Century Schoolbook" w:cs="Century Schoolbook"/>
          <w:color w:val="000000"/>
          <w:sz w:val="26"/>
          <w:szCs w:val="26"/>
        </w:rPr>
        <w:t xml:space="preserve"> sought civil penalties under PAGA. </w:t>
      </w:r>
    </w:p>
    <w:p w14:paraId="56E35E6E" w14:textId="77777777" w:rsidR="602D8126" w:rsidRDefault="00F72DAF" w:rsidP="00D03253">
      <w:pPr>
        <w:spacing w:after="0" w:line="288" w:lineRule="auto"/>
        <w:ind w:firstLine="720"/>
      </w:pPr>
      <w:r w:rsidRPr="00306699">
        <w:rPr>
          <w:rFonts w:ascii="Century Schoolbook" w:eastAsia="Century Schoolbook" w:hAnsi="Century Schoolbook" w:cs="Century Schoolbook"/>
          <w:color w:val="000000"/>
          <w:sz w:val="26"/>
          <w:szCs w:val="26"/>
        </w:rPr>
        <w:lastRenderedPageBreak/>
        <w:t>Lyft petitioned to compel arbitration of Seifu’s PAGA claim and stay proceedings in</w:t>
      </w:r>
      <w:r w:rsidRPr="00306699">
        <w:rPr>
          <w:rFonts w:ascii="Century Schoolbook" w:eastAsia="Century Schoolbook" w:hAnsi="Century Schoolbook" w:cs="Century Schoolbook"/>
          <w:color w:val="000000"/>
          <w:sz w:val="26"/>
          <w:szCs w:val="26"/>
        </w:rPr>
        <w:t xml:space="preserve"> the trial court pending arbitration</w:t>
      </w:r>
      <w:r w:rsidRPr="00306699">
        <w:rPr>
          <w:rFonts w:ascii="Century Schoolbook" w:eastAsia="Century Schoolbook" w:hAnsi="Century Schoolbook" w:cs="Century Schoolbook"/>
          <w:color w:val="000000"/>
          <w:sz w:val="26"/>
          <w:szCs w:val="26"/>
        </w:rPr>
        <w:t>, arguing that the PAGA waiver in the TOS was enforceable</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Seifu opposed the petition to compel arbitration.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He</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argued that </w:t>
      </w:r>
      <w:r w:rsidRPr="00306699">
        <w:rPr>
          <w:rFonts w:ascii="Century Schoolbook" w:eastAsia="Century Schoolbook" w:hAnsi="Century Schoolbook" w:cs="Century Schoolbook"/>
          <w:color w:val="000000"/>
          <w:sz w:val="26"/>
          <w:szCs w:val="26"/>
        </w:rPr>
        <w:t xml:space="preserve">the </w:t>
      </w:r>
      <w:r w:rsidRPr="00306699">
        <w:rPr>
          <w:rFonts w:ascii="Century Schoolbook" w:eastAsia="Century Schoolbook" w:hAnsi="Century Schoolbook" w:cs="Century Schoolbook"/>
          <w:color w:val="000000"/>
          <w:sz w:val="26"/>
          <w:szCs w:val="26"/>
        </w:rPr>
        <w:t xml:space="preserve">PAGA </w:t>
      </w:r>
      <w:r w:rsidRPr="00306699">
        <w:rPr>
          <w:rFonts w:ascii="Century Schoolbook" w:eastAsia="Century Schoolbook" w:hAnsi="Century Schoolbook" w:cs="Century Schoolbook"/>
          <w:color w:val="000000"/>
          <w:sz w:val="26"/>
          <w:szCs w:val="26"/>
        </w:rPr>
        <w:t>w</w:t>
      </w:r>
      <w:r w:rsidRPr="00306699">
        <w:rPr>
          <w:rFonts w:ascii="Century Schoolbook" w:eastAsia="Century Schoolbook" w:hAnsi="Century Schoolbook" w:cs="Century Schoolbook"/>
          <w:color w:val="000000"/>
          <w:sz w:val="26"/>
          <w:szCs w:val="26"/>
        </w:rPr>
        <w:t xml:space="preserve">aiver </w:t>
      </w:r>
      <w:r w:rsidRPr="00306699">
        <w:rPr>
          <w:rFonts w:ascii="Century Schoolbook" w:eastAsia="Century Schoolbook" w:hAnsi="Century Schoolbook" w:cs="Century Schoolbook"/>
          <w:color w:val="000000"/>
          <w:sz w:val="26"/>
          <w:szCs w:val="26"/>
        </w:rPr>
        <w:t>was</w:t>
      </w:r>
      <w:r w:rsidRPr="00306699">
        <w:rPr>
          <w:rFonts w:ascii="Century Schoolbook" w:eastAsia="Century Schoolbook" w:hAnsi="Century Schoolbook" w:cs="Century Schoolbook"/>
          <w:color w:val="000000"/>
          <w:sz w:val="26"/>
          <w:szCs w:val="26"/>
        </w:rPr>
        <w:t xml:space="preserve"> unenforceable under California law, relying on </w:t>
      </w:r>
      <w:r w:rsidRPr="00306699">
        <w:rPr>
          <w:rFonts w:ascii="Century Schoolbook" w:eastAsia="Century Schoolbook" w:hAnsi="Century Schoolbook" w:cs="Century Schoolbook"/>
          <w:i/>
          <w:iCs/>
          <w:color w:val="000000"/>
          <w:sz w:val="26"/>
          <w:szCs w:val="26"/>
        </w:rPr>
        <w:t>Iskanian v. CLS Transportation Los Angeles, LLC</w:t>
      </w:r>
      <w:r w:rsidRPr="00306699">
        <w:rPr>
          <w:rFonts w:ascii="Century Schoolbook" w:eastAsia="Century Schoolbook" w:hAnsi="Century Schoolbook" w:cs="Century Schoolbook"/>
          <w:color w:val="000000"/>
          <w:sz w:val="26"/>
          <w:szCs w:val="26"/>
        </w:rPr>
        <w:t xml:space="preserve"> (2014) 59 Cal.4th 348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xml:space="preserve">). </w:t>
      </w:r>
    </w:p>
    <w:p w14:paraId="6BAA8D68" w14:textId="77777777" w:rsidR="602D8126" w:rsidRDefault="00F72DAF" w:rsidP="00D03253">
      <w:pPr>
        <w:spacing w:after="0" w:line="288" w:lineRule="auto"/>
        <w:ind w:firstLine="720"/>
      </w:pPr>
      <w:r w:rsidRPr="00306699">
        <w:rPr>
          <w:rFonts w:ascii="Century Schoolbook" w:eastAsia="Century Schoolbook" w:hAnsi="Century Schoolbook" w:cs="Century Schoolbook"/>
          <w:color w:val="000000"/>
          <w:sz w:val="26"/>
          <w:szCs w:val="26"/>
        </w:rPr>
        <w:t xml:space="preserve">Applying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the trial court found that the PAGA waiver was unenforceable and therefore denied Lyft’s petition to compe</w:t>
      </w:r>
      <w:r w:rsidRPr="00306699">
        <w:rPr>
          <w:rFonts w:ascii="Century Schoolbook" w:eastAsia="Century Schoolbook" w:hAnsi="Century Schoolbook" w:cs="Century Schoolbook"/>
          <w:color w:val="000000"/>
          <w:sz w:val="26"/>
          <w:szCs w:val="26"/>
        </w:rPr>
        <w:t xml:space="preserve">l arbitration.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Lyft appealed. </w:t>
      </w:r>
    </w:p>
    <w:p w14:paraId="08FFBAC2" w14:textId="77777777" w:rsidR="602D8126" w:rsidRDefault="00F72DAF" w:rsidP="00D03253">
      <w:pPr>
        <w:spacing w:after="0" w:line="288" w:lineRule="auto"/>
        <w:ind w:firstLine="720"/>
      </w:pPr>
      <w:r w:rsidRPr="00306699">
        <w:rPr>
          <w:rFonts w:ascii="Century Schoolbook" w:eastAsia="Century Schoolbook" w:hAnsi="Century Schoolbook" w:cs="Century Schoolbook"/>
          <w:color w:val="000000"/>
          <w:sz w:val="26"/>
          <w:szCs w:val="26"/>
        </w:rPr>
        <w:t>In our prior opinion, a different panel of this court affirmed the trial court’s decision.</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Seifu v. Lyft, Inc</w:t>
      </w:r>
      <w:r w:rsidRPr="00306699">
        <w:rPr>
          <w:rFonts w:ascii="Century Schoolbook" w:eastAsia="Century Schoolbook" w:hAnsi="Century Schoolbook" w:cs="Century Schoolbook"/>
          <w:color w:val="000000"/>
          <w:sz w:val="26"/>
          <w:szCs w:val="26"/>
        </w:rPr>
        <w:t>. (June 1, 2021), B301774 [nonpub. opn.]</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We concluded that pursuant to </w:t>
      </w:r>
      <w:r w:rsidRPr="00306699">
        <w:rPr>
          <w:rFonts w:ascii="Century Schoolbook" w:eastAsia="Century Schoolbook" w:hAnsi="Century Schoolbook" w:cs="Century Schoolbook"/>
          <w:i/>
          <w:iCs/>
          <w:color w:val="000000"/>
          <w:sz w:val="26"/>
          <w:szCs w:val="26"/>
        </w:rPr>
        <w:t>Iskanian, supra</w:t>
      </w:r>
      <w:r w:rsidRPr="00306699">
        <w:rPr>
          <w:rFonts w:ascii="Century Schoolbook" w:eastAsia="Century Schoolbook" w:hAnsi="Century Schoolbook" w:cs="Century Schoolbook"/>
          <w:color w:val="000000"/>
          <w:sz w:val="26"/>
          <w:szCs w:val="26"/>
        </w:rPr>
        <w:t>, 59 Cal.4</w:t>
      </w:r>
      <w:r w:rsidRPr="00306699">
        <w:rPr>
          <w:rFonts w:ascii="Century Schoolbook" w:eastAsia="Century Schoolbook" w:hAnsi="Century Schoolbook" w:cs="Century Schoolbook"/>
          <w:color w:val="000000"/>
          <w:sz w:val="26"/>
          <w:szCs w:val="26"/>
        </w:rPr>
        <w:t>th</w:t>
      </w:r>
      <w:r w:rsidRPr="00306699">
        <w:rPr>
          <w:rFonts w:ascii="Century Schoolbook" w:eastAsia="Century Schoolbook" w:hAnsi="Century Schoolbook" w:cs="Century Schoolbook"/>
          <w:color w:val="000000"/>
          <w:sz w:val="26"/>
          <w:szCs w:val="26"/>
        </w:rPr>
        <w:t xml:space="preserve"> at</w:t>
      </w:r>
      <w:r w:rsidRPr="00306699">
        <w:rPr>
          <w:rFonts w:ascii="Century Schoolbook" w:eastAsia="Century Schoolbook" w:hAnsi="Century Schoolbook" w:cs="Century Schoolbook"/>
          <w:color w:val="000000"/>
          <w:sz w:val="26"/>
          <w:szCs w:val="26"/>
        </w:rPr>
        <w:t xml:space="preserve"> pp. 383-384, “an employee’s right to bring a PAGA action is unwaivable,”</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and thus “where </w:t>
      </w:r>
      <w:r w:rsidRPr="00306699">
        <w:rPr>
          <w:rFonts w:ascii="Century Schoolbook" w:eastAsia="Century Schoolbook" w:hAnsi="Century Schoolbook" w:cs="Century Schoolbook"/>
          <w:color w:val="000000"/>
          <w:sz w:val="26"/>
          <w:szCs w:val="26"/>
        </w:rPr>
        <w:t>. . .</w:t>
      </w:r>
      <w:r w:rsidRPr="00306699">
        <w:rPr>
          <w:rFonts w:ascii="Century Schoolbook" w:eastAsia="Century Schoolbook" w:hAnsi="Century Schoolbook" w:cs="Century Schoolbook"/>
          <w:color w:val="000000"/>
          <w:sz w:val="26"/>
          <w:szCs w:val="26"/>
        </w:rPr>
        <w:t xml:space="preserve"> an employment agreement compels the waiver of representative claims under the PAGA, it is contrary to public policy and unenforceable as a matter of state law.”</w:t>
      </w:r>
    </w:p>
    <w:p w14:paraId="55AC4E36" w14:textId="77777777" w:rsidR="602D8126" w:rsidRPr="00306699" w:rsidRDefault="00F72DAF" w:rsidP="75848BA8">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In June 2022, the United States Supreme Court </w:t>
      </w:r>
      <w:r w:rsidRPr="00306699">
        <w:rPr>
          <w:rFonts w:ascii="Century Schoolbook" w:eastAsia="Century Schoolbook" w:hAnsi="Century Schoolbook" w:cs="Century Schoolbook"/>
          <w:color w:val="000000"/>
          <w:sz w:val="26"/>
          <w:szCs w:val="26"/>
        </w:rPr>
        <w:t xml:space="preserve">decided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i/>
          <w:iCs/>
          <w:color w:val="000000"/>
          <w:sz w:val="26"/>
          <w:szCs w:val="26"/>
        </w:rPr>
        <w:t xml:space="preserve">, </w:t>
      </w:r>
      <w:r w:rsidRPr="00306699">
        <w:rPr>
          <w:rFonts w:ascii="Century Schoolbook" w:eastAsia="Century Schoolbook" w:hAnsi="Century Schoolbook" w:cs="Century Schoolbook"/>
          <w:color w:val="000000"/>
          <w:sz w:val="26"/>
          <w:szCs w:val="26"/>
        </w:rPr>
        <w:t xml:space="preserve">abrogating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xml:space="preserve"> in part and holding that </w:t>
      </w:r>
      <w:r w:rsidRPr="00306699">
        <w:rPr>
          <w:rFonts w:ascii="Century Schoolbook" w:eastAsia="Century Schoolbook" w:hAnsi="Century Schoolbook" w:cs="Century Schoolbook"/>
          <w:color w:val="000000"/>
          <w:sz w:val="26"/>
          <w:szCs w:val="26"/>
        </w:rPr>
        <w:t>an employer could enforce an agreement calling for arbitration of individual PAGA claims</w:t>
      </w:r>
      <w:r w:rsidRPr="00306699">
        <w:rPr>
          <w:rFonts w:ascii="Century Schoolbook" w:eastAsia="Century Schoolbook" w:hAnsi="Century Schoolbook" w:cs="Century Schoolbook"/>
          <w:i/>
          <w:iCs/>
          <w:color w:val="000000"/>
          <w:sz w:val="26"/>
          <w:szCs w:val="26"/>
        </w:rPr>
        <w:t xml:space="preserve">.  </w:t>
      </w:r>
      <w:r w:rsidRPr="00306699">
        <w:rPr>
          <w:rFonts w:ascii="Century Schoolbook" w:eastAsia="Century Schoolbook" w:hAnsi="Century Schoolbook" w:cs="Century Schoolbook"/>
          <w:color w:val="000000"/>
          <w:sz w:val="26"/>
          <w:szCs w:val="26"/>
        </w:rPr>
        <w:t xml:space="preserve">That same month, the United States Supreme </w:t>
      </w:r>
      <w:r w:rsidRPr="00306699">
        <w:rPr>
          <w:rFonts w:ascii="Century Schoolbook" w:eastAsia="Century Schoolbook" w:hAnsi="Century Schoolbook" w:cs="Century Schoolbook"/>
          <w:color w:val="000000"/>
          <w:sz w:val="26"/>
          <w:szCs w:val="26"/>
        </w:rPr>
        <w:t>Court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granted Lyft’s petition for writ of certiorari, vacated this court’s judgment, and remanded the case for further consideration in light of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We recalled the remittitur issued September 13, 2021, vacated our prior opinion, and directed th</w:t>
      </w:r>
      <w:r w:rsidRPr="00306699">
        <w:rPr>
          <w:rFonts w:ascii="Century Schoolbook" w:eastAsia="Century Schoolbook" w:hAnsi="Century Schoolbook" w:cs="Century Schoolbook"/>
          <w:color w:val="000000"/>
          <w:sz w:val="26"/>
          <w:szCs w:val="26"/>
        </w:rPr>
        <w:t xml:space="preserve">e parties to file supplemental briefs addressing the effect of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on the issues presented in this appeal.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Both parties timely filed supplemental briefs. </w:t>
      </w:r>
    </w:p>
    <w:p w14:paraId="4E414E20" w14:textId="77777777" w:rsidR="602D8126" w:rsidRDefault="00F72DAF" w:rsidP="00D03253">
      <w:pPr>
        <w:spacing w:after="0" w:line="288" w:lineRule="auto"/>
        <w:jc w:val="center"/>
      </w:pPr>
      <w:r w:rsidRPr="00306699">
        <w:rPr>
          <w:rFonts w:ascii="Century Schoolbook" w:eastAsia="Century Schoolbook" w:hAnsi="Century Schoolbook" w:cs="Century Schoolbook"/>
          <w:b/>
          <w:bCs/>
          <w:color w:val="000000"/>
          <w:sz w:val="26"/>
          <w:szCs w:val="26"/>
        </w:rPr>
        <w:t>DISCUSSION</w:t>
      </w:r>
    </w:p>
    <w:p w14:paraId="3A5EF9AB" w14:textId="77777777" w:rsidR="602D8126" w:rsidRDefault="00F72DAF" w:rsidP="00D03253">
      <w:pPr>
        <w:spacing w:after="0" w:line="288" w:lineRule="auto"/>
      </w:pPr>
      <w:r w:rsidRPr="00306699">
        <w:rPr>
          <w:rFonts w:ascii="Century Schoolbook" w:eastAsia="Century Schoolbook" w:hAnsi="Century Schoolbook" w:cs="Century Schoolbook"/>
          <w:b/>
          <w:bCs/>
          <w:color w:val="000000"/>
          <w:sz w:val="26"/>
          <w:szCs w:val="26"/>
        </w:rPr>
        <w:t>I.</w:t>
      </w:r>
      <w:r w:rsidRPr="00306699">
        <w:rPr>
          <w:rFonts w:ascii="Century Schoolbook" w:eastAsia="Century Schoolbook" w:hAnsi="Century Schoolbook" w:cs="Century Schoolbook"/>
          <w:b/>
          <w:bCs/>
          <w:i/>
          <w:iCs/>
          <w:color w:val="000000"/>
          <w:sz w:val="26"/>
          <w:szCs w:val="26"/>
        </w:rPr>
        <w:tab/>
      </w:r>
      <w:r w:rsidRPr="00306699">
        <w:rPr>
          <w:rFonts w:ascii="Century Schoolbook" w:eastAsia="Century Schoolbook" w:hAnsi="Century Schoolbook" w:cs="Century Schoolbook"/>
          <w:b/>
          <w:bCs/>
          <w:i/>
          <w:iCs/>
          <w:color w:val="000000"/>
          <w:sz w:val="26"/>
          <w:szCs w:val="26"/>
        </w:rPr>
        <w:t xml:space="preserve"> Governing Law</w:t>
      </w:r>
    </w:p>
    <w:p w14:paraId="689CD901" w14:textId="77777777" w:rsidR="602D8126" w:rsidRDefault="00F72DAF" w:rsidP="00D03253">
      <w:pPr>
        <w:spacing w:after="0" w:line="288" w:lineRule="auto"/>
        <w:ind w:firstLine="720"/>
      </w:pPr>
      <w:r w:rsidRPr="00306699">
        <w:rPr>
          <w:rFonts w:ascii="Century Schoolbook" w:eastAsia="Century Schoolbook" w:hAnsi="Century Schoolbook" w:cs="Century Schoolbook"/>
          <w:b/>
          <w:bCs/>
          <w:color w:val="000000"/>
          <w:sz w:val="26"/>
          <w:szCs w:val="26"/>
        </w:rPr>
        <w:t xml:space="preserve">A. </w:t>
      </w:r>
      <w:r w:rsidRPr="00306699">
        <w:rPr>
          <w:rFonts w:ascii="Century Schoolbook" w:eastAsia="Century Schoolbook" w:hAnsi="Century Schoolbook" w:cs="Century Schoolbook"/>
          <w:b/>
          <w:bCs/>
          <w:color w:val="000000"/>
          <w:sz w:val="26"/>
          <w:szCs w:val="26"/>
        </w:rPr>
        <w:tab/>
      </w:r>
      <w:r w:rsidRPr="00306699">
        <w:rPr>
          <w:rFonts w:ascii="Century Schoolbook" w:eastAsia="Century Schoolbook" w:hAnsi="Century Schoolbook" w:cs="Century Schoolbook"/>
          <w:b/>
          <w:bCs/>
          <w:color w:val="000000"/>
          <w:sz w:val="26"/>
          <w:szCs w:val="26"/>
        </w:rPr>
        <w:t>Standard of Review</w:t>
      </w:r>
    </w:p>
    <w:p w14:paraId="643DEAEE" w14:textId="77777777" w:rsidR="602D8126" w:rsidRDefault="00F72DAF" w:rsidP="00D03253">
      <w:pPr>
        <w:spacing w:after="0" w:line="288" w:lineRule="auto"/>
        <w:ind w:firstLine="720"/>
      </w:pPr>
      <w:r w:rsidRPr="00306699">
        <w:rPr>
          <w:rFonts w:ascii="Century Schoolbook" w:eastAsia="Century Schoolbook" w:hAnsi="Century Schoolbook" w:cs="Century Schoolbook"/>
          <w:color w:val="000000"/>
          <w:sz w:val="26"/>
          <w:szCs w:val="26"/>
        </w:rPr>
        <w:t xml:space="preserve">Where, as here, the trial court’s order denying a motion to compel arbitration “rests solely on a decision of law,” we review that decision de novo.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Robertson v. Health Net of California, Inc</w:t>
      </w:r>
      <w:r w:rsidRPr="00306699">
        <w:rPr>
          <w:rFonts w:ascii="Century Schoolbook" w:eastAsia="Century Schoolbook" w:hAnsi="Century Schoolbook" w:cs="Century Schoolbook"/>
          <w:color w:val="000000"/>
          <w:sz w:val="26"/>
          <w:szCs w:val="26"/>
        </w:rPr>
        <w:t>. (2005) 132 Cal.App.4th 1419, 1425.)</w:t>
      </w:r>
    </w:p>
    <w:p w14:paraId="366A980F" w14:textId="77777777" w:rsidR="602D8126" w:rsidRDefault="00F72DAF" w:rsidP="00D03253">
      <w:pPr>
        <w:spacing w:after="0" w:line="288" w:lineRule="auto"/>
        <w:ind w:firstLine="720"/>
      </w:pPr>
      <w:r w:rsidRPr="00306699">
        <w:rPr>
          <w:rFonts w:ascii="Century Schoolbook" w:eastAsia="Century Schoolbook" w:hAnsi="Century Schoolbook" w:cs="Century Schoolbook"/>
          <w:b/>
          <w:bCs/>
          <w:color w:val="000000"/>
          <w:sz w:val="26"/>
          <w:szCs w:val="26"/>
        </w:rPr>
        <w:t xml:space="preserve">B. </w:t>
      </w:r>
      <w:r w:rsidRPr="00306699">
        <w:rPr>
          <w:rFonts w:ascii="Century Schoolbook" w:eastAsia="Century Schoolbook" w:hAnsi="Century Schoolbook" w:cs="Century Schoolbook"/>
          <w:b/>
          <w:bCs/>
          <w:color w:val="000000"/>
          <w:sz w:val="26"/>
          <w:szCs w:val="26"/>
        </w:rPr>
        <w:tab/>
      </w:r>
      <w:r w:rsidRPr="00306699">
        <w:rPr>
          <w:rFonts w:ascii="Century Schoolbook" w:eastAsia="Century Schoolbook" w:hAnsi="Century Schoolbook" w:cs="Century Schoolbook"/>
          <w:b/>
          <w:bCs/>
          <w:color w:val="000000"/>
          <w:sz w:val="26"/>
          <w:szCs w:val="26"/>
        </w:rPr>
        <w:t xml:space="preserve">PAGA and </w:t>
      </w:r>
      <w:r w:rsidRPr="00306699">
        <w:rPr>
          <w:rFonts w:ascii="Century Schoolbook" w:eastAsia="Century Schoolbook" w:hAnsi="Century Schoolbook" w:cs="Century Schoolbook"/>
          <w:b/>
          <w:bCs/>
          <w:i/>
          <w:iCs/>
          <w:color w:val="000000"/>
          <w:sz w:val="26"/>
          <w:szCs w:val="26"/>
        </w:rPr>
        <w:t>Viking River</w:t>
      </w:r>
    </w:p>
    <w:p w14:paraId="32584AFF" w14:textId="77777777" w:rsidR="6D09D6D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lastRenderedPageBreak/>
        <w:t xml:space="preserve">“California’s Labor Code contains a number of provisions designed to protect the health, safety, and compensation of workers.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Employers who violate these statutes may be sued by employees for damages or </w:t>
      </w:r>
      <w:r w:rsidRPr="00306699">
        <w:rPr>
          <w:rFonts w:ascii="Century Schoolbook" w:eastAsia="Century Schoolbook" w:hAnsi="Century Schoolbook" w:cs="Century Schoolbook"/>
          <w:i/>
          <w:iCs/>
          <w:color w:val="000000"/>
          <w:sz w:val="26"/>
          <w:szCs w:val="26"/>
        </w:rPr>
        <w:t>statutory</w:t>
      </w:r>
      <w:r w:rsidRPr="00306699">
        <w:rPr>
          <w:rFonts w:ascii="Century Schoolbook" w:eastAsia="Century Schoolbook" w:hAnsi="Century Schoolbook" w:cs="Century Schoolbook"/>
          <w:color w:val="000000"/>
          <w:sz w:val="26"/>
          <w:szCs w:val="26"/>
        </w:rPr>
        <w:t xml:space="preserve"> penalties.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[Citations.] </w:t>
      </w:r>
      <w:r w:rsidRPr="00306699">
        <w:rPr>
          <w:rFonts w:ascii="Century Schoolbook" w:eastAsia="Century Schoolbook" w:hAnsi="Century Schoolbook" w:cs="Century Schoolbook"/>
          <w:color w:val="000000"/>
          <w:sz w:val="26"/>
          <w:szCs w:val="26"/>
        </w:rPr>
        <w:t xml:space="preserve">. . . .  </w:t>
      </w:r>
      <w:r w:rsidRPr="00306699">
        <w:rPr>
          <w:rFonts w:ascii="Century Schoolbook" w:eastAsia="Century Schoolbook" w:hAnsi="Century Schoolbook" w:cs="Century Schoolbook"/>
          <w:color w:val="000000"/>
          <w:sz w:val="26"/>
          <w:szCs w:val="26"/>
        </w:rPr>
        <w:t xml:space="preserve">Several Labor Code statutes provide for additional </w:t>
      </w:r>
      <w:r w:rsidRPr="00306699">
        <w:rPr>
          <w:rFonts w:ascii="Century Schoolbook" w:eastAsia="Century Schoolbook" w:hAnsi="Century Schoolbook" w:cs="Century Schoolbook"/>
          <w:i/>
          <w:iCs/>
          <w:color w:val="000000"/>
          <w:sz w:val="26"/>
          <w:szCs w:val="26"/>
        </w:rPr>
        <w:t>civil</w:t>
      </w:r>
      <w:r w:rsidRPr="00306699">
        <w:rPr>
          <w:rFonts w:ascii="Century Schoolbook" w:eastAsia="Century Schoolbook" w:hAnsi="Century Schoolbook" w:cs="Century Schoolbook"/>
          <w:color w:val="000000"/>
          <w:sz w:val="26"/>
          <w:szCs w:val="26"/>
        </w:rPr>
        <w:t xml:space="preserve"> penalties, generally paid to the state unless otherwise provided. [Citation.] Before PAGA’s enactment, only the state could sue for civil penalties.”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Kim v. Reins International California,</w:t>
      </w:r>
      <w:r w:rsidRPr="00306699">
        <w:rPr>
          <w:rFonts w:ascii="Century Schoolbook" w:eastAsia="Century Schoolbook" w:hAnsi="Century Schoolbook" w:cs="Century Schoolbook"/>
          <w:i/>
          <w:iCs/>
          <w:color w:val="000000"/>
          <w:sz w:val="26"/>
          <w:szCs w:val="26"/>
        </w:rPr>
        <w:t xml:space="preserve"> Inc.</w:t>
      </w:r>
      <w:r w:rsidRPr="00306699">
        <w:rPr>
          <w:rFonts w:ascii="Century Schoolbook" w:eastAsia="Century Schoolbook" w:hAnsi="Century Schoolbook" w:cs="Century Schoolbook"/>
          <w:i/>
          <w:iCs/>
          <w:color w:val="000000"/>
          <w:sz w:val="26"/>
          <w:szCs w:val="26"/>
        </w:rPr>
        <w:t xml:space="preserve"> </w:t>
      </w:r>
      <w:r w:rsidRPr="00306699">
        <w:rPr>
          <w:rFonts w:ascii="Century Schoolbook" w:eastAsia="Century Schoolbook" w:hAnsi="Century Schoolbook" w:cs="Century Schoolbook"/>
          <w:color w:val="000000"/>
          <w:sz w:val="26"/>
          <w:szCs w:val="26"/>
        </w:rPr>
        <w:t>(2020) 9 Cal.5th 73, 80 (</w:t>
      </w:r>
      <w:r w:rsidRPr="00306699">
        <w:rPr>
          <w:rFonts w:ascii="Century Schoolbook" w:eastAsia="Century Schoolbook" w:hAnsi="Century Schoolbook" w:cs="Century Schoolbook"/>
          <w:i/>
          <w:iCs/>
          <w:color w:val="000000"/>
          <w:sz w:val="26"/>
          <w:szCs w:val="26"/>
        </w:rPr>
        <w:t>Kim</w:t>
      </w:r>
      <w:r w:rsidRPr="00306699">
        <w:rPr>
          <w:rFonts w:ascii="Century Schoolbook" w:eastAsia="Century Schoolbook" w:hAnsi="Century Schoolbook" w:cs="Century Schoolbook"/>
          <w:color w:val="000000"/>
          <w:sz w:val="26"/>
          <w:szCs w:val="26"/>
        </w:rPr>
        <w:t xml:space="preserve">), citing </w:t>
      </w:r>
      <w:r w:rsidRPr="00306699">
        <w:rPr>
          <w:rFonts w:ascii="Century Schoolbook" w:eastAsia="Century Schoolbook" w:hAnsi="Century Schoolbook" w:cs="Century Schoolbook"/>
          <w:i/>
          <w:iCs/>
          <w:color w:val="000000"/>
          <w:sz w:val="26"/>
          <w:szCs w:val="26"/>
        </w:rPr>
        <w:t xml:space="preserve">Iskanian, supra, </w:t>
      </w:r>
      <w:r w:rsidRPr="00306699">
        <w:rPr>
          <w:rFonts w:ascii="Century Schoolbook" w:eastAsia="Century Schoolbook" w:hAnsi="Century Schoolbook" w:cs="Century Schoolbook"/>
          <w:color w:val="000000"/>
          <w:sz w:val="26"/>
          <w:szCs w:val="26"/>
        </w:rPr>
        <w:t xml:space="preserve">59 Cal.4th at p. 378.)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The Legislature enacted PAGA to allow aggrieved employees to act as private attorneys general and recover civil penalties for Labor Code violations. (</w:t>
      </w:r>
      <w:r w:rsidRPr="00306699">
        <w:rPr>
          <w:rFonts w:ascii="Century Schoolbook" w:eastAsia="Century Schoolbook" w:hAnsi="Century Schoolbook" w:cs="Century Schoolbook"/>
          <w:i/>
          <w:iCs/>
          <w:color w:val="000000"/>
          <w:sz w:val="26"/>
          <w:szCs w:val="26"/>
        </w:rPr>
        <w:t>Arias v. Superior Cou</w:t>
      </w:r>
      <w:r w:rsidRPr="00306699">
        <w:rPr>
          <w:rFonts w:ascii="Century Schoolbook" w:eastAsia="Century Schoolbook" w:hAnsi="Century Schoolbook" w:cs="Century Schoolbook"/>
          <w:i/>
          <w:iCs/>
          <w:color w:val="000000"/>
          <w:sz w:val="26"/>
          <w:szCs w:val="26"/>
        </w:rPr>
        <w:t>rt</w:t>
      </w:r>
      <w:r w:rsidRPr="00306699">
        <w:rPr>
          <w:rFonts w:ascii="Century Schoolbook" w:eastAsia="Century Schoolbook" w:hAnsi="Century Schoolbook" w:cs="Century Schoolbook"/>
          <w:color w:val="000000"/>
          <w:sz w:val="26"/>
          <w:szCs w:val="26"/>
        </w:rPr>
        <w:t xml:space="preserve"> (2009) 46 Cal.4th 969, 980-981 (</w:t>
      </w:r>
      <w:r w:rsidRPr="00306699">
        <w:rPr>
          <w:rFonts w:ascii="Century Schoolbook" w:eastAsia="Century Schoolbook" w:hAnsi="Century Schoolbook" w:cs="Century Schoolbook"/>
          <w:i/>
          <w:iCs/>
          <w:color w:val="000000"/>
          <w:sz w:val="26"/>
          <w:szCs w:val="26"/>
        </w:rPr>
        <w:t>Arias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Villacres v. ABM Industries Inc</w:t>
      </w:r>
      <w:r w:rsidRPr="00306699">
        <w:rPr>
          <w:rFonts w:ascii="Century Schoolbook" w:eastAsia="Century Schoolbook" w:hAnsi="Century Schoolbook" w:cs="Century Schoolbook"/>
          <w:color w:val="000000"/>
          <w:sz w:val="26"/>
          <w:szCs w:val="26"/>
        </w:rPr>
        <w:t>. (2010) 189 Cal.App.4th 562, 578 (</w:t>
      </w:r>
      <w:r w:rsidRPr="00306699">
        <w:rPr>
          <w:rFonts w:ascii="Century Schoolbook" w:eastAsia="Century Schoolbook" w:hAnsi="Century Schoolbook" w:cs="Century Schoolbook"/>
          <w:i/>
          <w:iCs/>
          <w:color w:val="000000"/>
          <w:sz w:val="26"/>
          <w:szCs w:val="26"/>
        </w:rPr>
        <w:t>Villacres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The Legislature’s declared purpose in enacting PAGA was “to supplement enforcement actions by public agencies, which lack adequate re</w:t>
      </w:r>
      <w:r w:rsidRPr="00306699">
        <w:rPr>
          <w:rFonts w:ascii="Century Schoolbook" w:eastAsia="Century Schoolbook" w:hAnsi="Century Schoolbook" w:cs="Century Schoolbook"/>
          <w:color w:val="000000"/>
          <w:sz w:val="26"/>
          <w:szCs w:val="26"/>
        </w:rPr>
        <w:t xml:space="preserve">sources to bring all such actions themselves.”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Arias, supra</w:t>
      </w:r>
      <w:r w:rsidRPr="00306699">
        <w:rPr>
          <w:rFonts w:ascii="Century Schoolbook" w:eastAsia="Century Schoolbook" w:hAnsi="Century Schoolbook" w:cs="Century Schoolbook"/>
          <w:color w:val="000000"/>
          <w:sz w:val="26"/>
          <w:szCs w:val="26"/>
        </w:rPr>
        <w:t xml:space="preserve">, 46 Cal.4th at p. 986.) </w:t>
      </w:r>
    </w:p>
    <w:p w14:paraId="0041E06C" w14:textId="77777777" w:rsidR="6D09D6D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PAGA deputizes an “aggrieved” employee to bring a lawsuit “on behalf of himself or herself and other current or former employees” to recover civil penalties for Labor Co</w:t>
      </w:r>
      <w:r w:rsidRPr="00306699">
        <w:rPr>
          <w:rFonts w:ascii="Century Schoolbook" w:eastAsia="Century Schoolbook" w:hAnsi="Century Schoolbook" w:cs="Century Schoolbook"/>
          <w:color w:val="000000"/>
          <w:sz w:val="26"/>
          <w:szCs w:val="26"/>
        </w:rPr>
        <w:t xml:space="preserve">de violations that would otherwise be assessed and collected by the state. (§ 2699, subd. (a);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xml:space="preserve">, 9 Cal.5th at p. 81.)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An “aggrieved employee” for purposes of bringing a PAGA claim is defined under the statute as “any person who was employed by t</w:t>
      </w:r>
      <w:r w:rsidRPr="00306699">
        <w:rPr>
          <w:rFonts w:ascii="Century Schoolbook" w:eastAsia="Century Schoolbook" w:hAnsi="Century Schoolbook" w:cs="Century Schoolbook"/>
          <w:color w:val="000000"/>
          <w:sz w:val="26"/>
          <w:szCs w:val="26"/>
        </w:rPr>
        <w:t xml:space="preserve">he alleged violator and against whom one or more of the alleged violations was committed.” (§ 2699, subd. (c); see also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xml:space="preserve">, 9 Cal.5th at p. 82.)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Although an aggrieved employee is the named plaintiff in a PAGA action, an employee suing under PAGA “</w:t>
      </w:r>
      <w:r w:rsidRPr="00306699">
        <w:rPr>
          <w:rFonts w:ascii="Century Schoolbook" w:eastAsia="Century Schoolbook" w:hAnsi="Century Schoolbook" w:cs="Century Schoolbook"/>
          <w:color w:val="000000"/>
          <w:sz w:val="26"/>
          <w:szCs w:val="26"/>
        </w:rPr>
        <w:t xml:space="preserve">‘does so as the proxy or agent of the state’s labor law enforcement agencies.’”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xml:space="preserve">, 9 Cal.5th at p. 81, quoting </w:t>
      </w:r>
      <w:r w:rsidRPr="00306699">
        <w:rPr>
          <w:rFonts w:ascii="Century Schoolbook" w:eastAsia="Century Schoolbook" w:hAnsi="Century Schoolbook" w:cs="Century Schoolbook"/>
          <w:i/>
          <w:iCs/>
          <w:color w:val="000000"/>
          <w:sz w:val="26"/>
          <w:szCs w:val="26"/>
        </w:rPr>
        <w:t>Arias, supra</w:t>
      </w:r>
      <w:r w:rsidRPr="00306699">
        <w:rPr>
          <w:rFonts w:ascii="Century Schoolbook" w:eastAsia="Century Schoolbook" w:hAnsi="Century Schoolbook" w:cs="Century Schoolbook"/>
          <w:color w:val="000000"/>
          <w:sz w:val="26"/>
          <w:szCs w:val="26"/>
        </w:rPr>
        <w:t>, 46 Cal.4th at p. 986.)</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Thus, “[e]very PAGA claim is ‘a dispute between an employer and the </w:t>
      </w:r>
      <w:r w:rsidRPr="00306699">
        <w:rPr>
          <w:rFonts w:ascii="Century Schoolbook" w:eastAsia="Century Schoolbook" w:hAnsi="Century Schoolbook" w:cs="Century Schoolbook"/>
          <w:i/>
          <w:iCs/>
          <w:color w:val="000000"/>
          <w:sz w:val="26"/>
          <w:szCs w:val="26"/>
        </w:rPr>
        <w:t>state</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[citations]”</w:t>
      </w:r>
      <w:r w:rsidRPr="00306699">
        <w:rPr>
          <w:rFonts w:ascii="Century Schoolbook" w:eastAsia="Century Schoolbook" w:hAnsi="Century Schoolbook" w:cs="Century Schoolbook"/>
          <w:color w:val="000000"/>
          <w:sz w:val="26"/>
          <w:szCs w:val="26"/>
        </w:rPr>
        <w:t xml:space="preserve"> and “[r]elief under PAGA is designed primarily to benefit the general public, not the party bringing the action.</w:t>
      </w:r>
      <w:r w:rsidRPr="00306699">
        <w:rPr>
          <w:rFonts w:ascii="Century Schoolbook" w:eastAsia="Century Schoolbook" w:hAnsi="Century Schoolbook" w:cs="Century Schoolbook"/>
          <w:color w:val="000000"/>
          <w:sz w:val="26"/>
          <w:szCs w:val="26"/>
        </w:rPr>
        <w:t xml:space="preserve"> [Citations.]</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9 Cal.5th at p. 81.)</w:t>
      </w:r>
    </w:p>
    <w:p w14:paraId="7A4B4328" w14:textId="77777777" w:rsidR="55DF9AE3" w:rsidRPr="00306699" w:rsidRDefault="00F72DAF" w:rsidP="75848BA8">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In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xml:space="preserve">, the California Supreme Court held </w:t>
      </w:r>
      <w:r w:rsidRPr="00306699">
        <w:rPr>
          <w:rFonts w:ascii="Century Schoolbook" w:eastAsia="Century Schoolbook" w:hAnsi="Century Schoolbook" w:cs="Century Schoolbook"/>
          <w:color w:val="000000"/>
          <w:sz w:val="26"/>
          <w:szCs w:val="26"/>
        </w:rPr>
        <w:t>that “an employee's right to bring a PAGA acti</w:t>
      </w:r>
      <w:r w:rsidRPr="00306699">
        <w:rPr>
          <w:rFonts w:ascii="Century Schoolbook" w:eastAsia="Century Schoolbook" w:hAnsi="Century Schoolbook" w:cs="Century Schoolbook"/>
          <w:color w:val="000000"/>
          <w:sz w:val="26"/>
          <w:szCs w:val="26"/>
        </w:rPr>
        <w:t xml:space="preserve">on is unwaivable.”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Iskanian, supra</w:t>
      </w:r>
      <w:r w:rsidRPr="00306699">
        <w:rPr>
          <w:rFonts w:ascii="Century Schoolbook" w:eastAsia="Century Schoolbook" w:hAnsi="Century Schoolbook" w:cs="Century Schoolbook"/>
          <w:color w:val="000000"/>
          <w:sz w:val="26"/>
          <w:szCs w:val="26"/>
        </w:rPr>
        <w:t>, 59 Cal.4th at p. 3</w:t>
      </w:r>
      <w:r w:rsidRPr="00306699">
        <w:rPr>
          <w:rFonts w:ascii="Century Schoolbook" w:eastAsia="Century Schoolbook" w:hAnsi="Century Schoolbook" w:cs="Century Schoolbook"/>
          <w:color w:val="000000"/>
          <w:sz w:val="26"/>
          <w:szCs w:val="26"/>
        </w:rPr>
        <w:t>83</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The court rejected the employer’s argument that the </w:t>
      </w:r>
      <w:r w:rsidRPr="00306699">
        <w:rPr>
          <w:rFonts w:ascii="Century Schoolbook" w:eastAsia="Century Schoolbook" w:hAnsi="Century Schoolbook" w:cs="Century Schoolbook"/>
          <w:color w:val="000000"/>
          <w:sz w:val="26"/>
          <w:szCs w:val="26"/>
        </w:rPr>
        <w:t xml:space="preserve">arbitration </w:t>
      </w:r>
      <w:r w:rsidRPr="00306699">
        <w:rPr>
          <w:rFonts w:ascii="Century Schoolbook" w:eastAsia="Century Schoolbook" w:hAnsi="Century Schoolbook" w:cs="Century Schoolbook"/>
          <w:color w:val="000000"/>
          <w:sz w:val="26"/>
          <w:szCs w:val="26"/>
        </w:rPr>
        <w:t>agreement was enforceable because it allowed an individual PAGA claim</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lastRenderedPageBreak/>
        <w:t xml:space="preserve">barring only “representative” (i.e., non-individual) PAGA claims, concluding that </w:t>
      </w:r>
      <w:r w:rsidRPr="00306699">
        <w:rPr>
          <w:rFonts w:ascii="Century Schoolbook" w:eastAsia="Century Schoolbook" w:hAnsi="Century Schoolbook" w:cs="Century Schoolbook"/>
          <w:color w:val="000000"/>
          <w:sz w:val="26"/>
          <w:szCs w:val="26"/>
        </w:rPr>
        <w:t>an agreement waiving an employee’s right to bring representative PAGA claims was “</w:t>
      </w:r>
      <w:r w:rsidRPr="00306699">
        <w:rPr>
          <w:rFonts w:ascii="Century Schoolbook" w:eastAsia="Century Schoolbook" w:hAnsi="Century Schoolbook" w:cs="Century Schoolbook"/>
          <w:color w:val="000000"/>
          <w:sz w:val="26"/>
          <w:szCs w:val="26"/>
        </w:rPr>
        <w:t>contrary to public policy and unenforceable as a matter of state law</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at p. 384.)</w:t>
      </w:r>
    </w:p>
    <w:p w14:paraId="345C5104" w14:textId="77777777" w:rsidR="6D09D6D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 xml:space="preserve">In June 2022, the Supreme Court </w:t>
      </w:r>
      <w:r w:rsidRPr="00306699">
        <w:rPr>
          <w:rFonts w:ascii="Century Schoolbook" w:eastAsia="Century Schoolbook" w:hAnsi="Century Schoolbook" w:cs="Century Schoolbook"/>
          <w:color w:val="000000"/>
          <w:sz w:val="26"/>
          <w:szCs w:val="26"/>
        </w:rPr>
        <w:t xml:space="preserve">decided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addressing </w:t>
      </w:r>
      <w:r w:rsidRPr="00306699">
        <w:rPr>
          <w:rFonts w:ascii="Century Schoolbook" w:eastAsia="Century Schoolbook" w:hAnsi="Century Schoolbook" w:cs="Century Schoolbook"/>
          <w:color w:val="000000"/>
          <w:sz w:val="26"/>
          <w:szCs w:val="26"/>
        </w:rPr>
        <w:t>the extent to which the F</w:t>
      </w:r>
      <w:r w:rsidRPr="00306699">
        <w:rPr>
          <w:rFonts w:ascii="Century Schoolbook" w:eastAsia="Century Schoolbook" w:hAnsi="Century Schoolbook" w:cs="Century Schoolbook"/>
          <w:color w:val="000000"/>
          <w:sz w:val="26"/>
          <w:szCs w:val="26"/>
        </w:rPr>
        <w:t>ederal Arbitration Act (</w:t>
      </w:r>
      <w:r w:rsidRPr="00306699">
        <w:rPr>
          <w:rFonts w:ascii="Century Schoolbook" w:eastAsia="Century Schoolbook" w:hAnsi="Century Schoolbook" w:cs="Century Schoolbook"/>
          <w:color w:val="000000"/>
          <w:sz w:val="26"/>
          <w:szCs w:val="26"/>
        </w:rPr>
        <w:t>FAA</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preempts the</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xml:space="preserve"> rule </w:t>
      </w:r>
      <w:r w:rsidRPr="00306699">
        <w:rPr>
          <w:rFonts w:ascii="Century Schoolbook" w:eastAsia="Century Schoolbook" w:hAnsi="Century Schoolbook" w:cs="Century Schoolbook"/>
          <w:color w:val="000000"/>
          <w:sz w:val="26"/>
          <w:szCs w:val="26"/>
        </w:rPr>
        <w:t>barring PAGA waivers.</w:t>
      </w:r>
      <w:r w:rsidRPr="00306699">
        <w:rPr>
          <w:rFonts w:ascii="Century Schoolbook" w:eastAsia="Century Schoolbook" w:hAnsi="Century Schoolbook" w:cs="Century Schoolbook"/>
          <w:color w:val="000000"/>
          <w:sz w:val="26"/>
          <w:szCs w:val="26"/>
        </w:rPr>
        <w:t xml:space="preserve">  The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court explained that PAGA claims are “representative” in two ways: first, all PAGA claims are “representative” because a plaintiff brings a PAGA claim as an agent or proxy for the state.</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Viking River, supra</w:t>
      </w:r>
      <w:r w:rsidRPr="00306699">
        <w:rPr>
          <w:rFonts w:ascii="Century Schoolbook" w:eastAsia="Century Schoolbook" w:hAnsi="Century Schoolbook" w:cs="Century Schoolbook"/>
          <w:color w:val="000000"/>
          <w:sz w:val="26"/>
          <w:szCs w:val="26"/>
        </w:rPr>
        <w:t xml:space="preserve">, 142 S.Ct. at p. 1916.)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Second, some PAGA cla</w:t>
      </w:r>
      <w:r w:rsidRPr="00306699">
        <w:rPr>
          <w:rFonts w:ascii="Century Schoolbook" w:eastAsia="Century Schoolbook" w:hAnsi="Century Schoolbook" w:cs="Century Schoolbook"/>
          <w:color w:val="000000"/>
          <w:sz w:val="26"/>
          <w:szCs w:val="26"/>
        </w:rPr>
        <w:t xml:space="preserve">ims are “representative” because they are brought by employees to address violations suffered by other employees, as well as themselves.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Ibid</w:t>
      </w:r>
      <w:r w:rsidRPr="00306699">
        <w:rPr>
          <w:rFonts w:ascii="Century Schoolbook" w:eastAsia="Century Schoolbook" w:hAnsi="Century Schoolbook" w:cs="Century Schoolbook"/>
          <w:color w:val="000000"/>
          <w:sz w:val="26"/>
          <w:szCs w:val="26"/>
        </w:rPr>
        <w:t xml:space="preserve">.) In light of this distinction, the Supreme Court held that </w:t>
      </w:r>
      <w:r w:rsidRPr="00306699">
        <w:rPr>
          <w:rFonts w:ascii="Century Schoolbook" w:eastAsia="Century Schoolbook" w:hAnsi="Century Schoolbook" w:cs="Century Schoolbook"/>
          <w:i/>
          <w:iCs/>
          <w:color w:val="000000"/>
          <w:sz w:val="26"/>
          <w:szCs w:val="26"/>
        </w:rPr>
        <w:t>Iskanian’s</w:t>
      </w:r>
      <w:r w:rsidRPr="00306699">
        <w:rPr>
          <w:rFonts w:ascii="Century Schoolbook" w:eastAsia="Century Schoolbook" w:hAnsi="Century Schoolbook" w:cs="Century Schoolbook"/>
          <w:color w:val="000000"/>
          <w:sz w:val="26"/>
          <w:szCs w:val="26"/>
        </w:rPr>
        <w:t xml:space="preserve"> “principal rule” prohibiting “wholesale” </w:t>
      </w:r>
      <w:r w:rsidRPr="00306699">
        <w:rPr>
          <w:rFonts w:ascii="Century Schoolbook" w:eastAsia="Century Schoolbook" w:hAnsi="Century Schoolbook" w:cs="Century Schoolbook"/>
          <w:color w:val="000000"/>
          <w:sz w:val="26"/>
          <w:szCs w:val="26"/>
        </w:rPr>
        <w:t xml:space="preserve">waivers of all PAGA claims was not preempted by the FAA.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xml:space="preserve">. at pp. 1925-1926.) </w:t>
      </w:r>
    </w:p>
    <w:p w14:paraId="549CD580" w14:textId="77777777" w:rsidR="6D09D6D6" w:rsidRDefault="00F72DAF" w:rsidP="00D03253">
      <w:pPr>
        <w:spacing w:after="0" w:line="288" w:lineRule="auto"/>
        <w:ind w:firstLine="720"/>
        <w:rPr>
          <w:rFonts w:ascii="Century Schoolbook" w:eastAsia="Century Schoolbook" w:hAnsi="Century Schoolbook" w:cs="Century Schoolbook"/>
          <w:sz w:val="26"/>
          <w:szCs w:val="26"/>
        </w:rPr>
      </w:pPr>
      <w:r w:rsidRPr="00306699">
        <w:rPr>
          <w:rFonts w:ascii="Century Schoolbook" w:eastAsia="Century Schoolbook" w:hAnsi="Century Schoolbook" w:cs="Century Schoolbook"/>
          <w:color w:val="000000"/>
          <w:sz w:val="26"/>
          <w:szCs w:val="26"/>
        </w:rPr>
        <w:t xml:space="preserve">However, the “secondary rule” of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prohibiting the separation of individual and non-individual PAGA claims, was preempted by the FAA. (</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at p. 1925.)  As the Court</w:t>
      </w:r>
      <w:r w:rsidRPr="00306699">
        <w:rPr>
          <w:rFonts w:ascii="Century Schoolbook" w:eastAsia="Century Schoolbook" w:hAnsi="Century Schoolbook" w:cs="Century Schoolbook"/>
          <w:color w:val="000000"/>
          <w:sz w:val="26"/>
          <w:szCs w:val="26"/>
        </w:rPr>
        <w:t xml:space="preserve"> explained,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’s “prohibition on contractual division of PAGA actions into constituent claims unduly circumscribes the freedom of parties to determine ‘the issues subject to arbitration’ and ‘the rules by which they will arbitrate,’ [citation], and d</w:t>
      </w:r>
      <w:r w:rsidRPr="00306699">
        <w:rPr>
          <w:rFonts w:ascii="Century Schoolbook" w:eastAsia="Century Schoolbook" w:hAnsi="Century Schoolbook" w:cs="Century Schoolbook"/>
          <w:color w:val="000000"/>
          <w:sz w:val="26"/>
          <w:szCs w:val="26"/>
        </w:rPr>
        <w:t xml:space="preserve">oes so in a way that violates the fundamental principle that ‘arbitration is a matter of consent,’ [citation].”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xml:space="preserve"> at p. 1923.)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Accordingly, an arbitration agreement compelling individual claims to arbitration was enforceable as to the individual porti</w:t>
      </w:r>
      <w:r w:rsidRPr="00306699">
        <w:rPr>
          <w:rFonts w:ascii="Century Schoolbook" w:eastAsia="Century Schoolbook" w:hAnsi="Century Schoolbook" w:cs="Century Schoolbook"/>
          <w:color w:val="000000"/>
          <w:sz w:val="26"/>
          <w:szCs w:val="26"/>
        </w:rPr>
        <w:t xml:space="preserve">on of a PAGA claim.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at pp. 1924–1925 [“Viking was entitled to enforce the agreement insofar as it mandated arbitration of Moriana’s individual PAGA claim.”].)</w:t>
      </w:r>
    </w:p>
    <w:p w14:paraId="1FB7818B" w14:textId="77777777" w:rsidR="143A25A3" w:rsidRDefault="00F72DAF" w:rsidP="00D03253">
      <w:pPr>
        <w:spacing w:after="0" w:line="288" w:lineRule="auto"/>
        <w:ind w:firstLine="720"/>
      </w:pPr>
      <w:r w:rsidRPr="00306699">
        <w:rPr>
          <w:rFonts w:ascii="Century Schoolbook" w:eastAsia="Century Schoolbook" w:hAnsi="Century Schoolbook" w:cs="Century Schoolbook"/>
          <w:color w:val="000000"/>
          <w:sz w:val="26"/>
          <w:szCs w:val="26"/>
        </w:rPr>
        <w:t xml:space="preserve">The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court then dismissed the </w:t>
      </w:r>
      <w:r w:rsidRPr="00306699">
        <w:rPr>
          <w:rFonts w:ascii="Century Schoolbook" w:eastAsia="Century Schoolbook" w:hAnsi="Century Schoolbook" w:cs="Century Schoolbook"/>
          <w:color w:val="000000"/>
          <w:sz w:val="26"/>
          <w:szCs w:val="26"/>
        </w:rPr>
        <w:t xml:space="preserve">plaintiff’s </w:t>
      </w:r>
      <w:r w:rsidRPr="00306699">
        <w:rPr>
          <w:rFonts w:ascii="Century Schoolbook" w:eastAsia="Century Schoolbook" w:hAnsi="Century Schoolbook" w:cs="Century Schoolbook"/>
          <w:color w:val="000000"/>
          <w:sz w:val="26"/>
          <w:szCs w:val="26"/>
        </w:rPr>
        <w:t>non-individual PAGA claims, reasoning</w:t>
      </w:r>
      <w:r w:rsidRPr="00306699">
        <w:rPr>
          <w:rFonts w:ascii="Century Schoolbook" w:eastAsia="Century Schoolbook" w:hAnsi="Century Schoolbook" w:cs="Century Schoolbook"/>
          <w:color w:val="000000"/>
          <w:sz w:val="26"/>
          <w:szCs w:val="26"/>
        </w:rPr>
        <w:t xml:space="preserve"> that “PAGA provides no mechanism to enable a court to adjudicate non-individual PAGA claims once an individual claim has been committed to a separate proceeding.”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i/>
          <w:iCs/>
          <w:color w:val="000000"/>
          <w:sz w:val="26"/>
          <w:szCs w:val="26"/>
        </w:rPr>
        <w:t xml:space="preserve">, supra, </w:t>
      </w:r>
      <w:r w:rsidRPr="00306699">
        <w:rPr>
          <w:rFonts w:ascii="Century Schoolbook" w:eastAsia="Century Schoolbook" w:hAnsi="Century Schoolbook" w:cs="Century Schoolbook"/>
          <w:color w:val="000000"/>
          <w:sz w:val="26"/>
          <w:szCs w:val="26"/>
        </w:rPr>
        <w:t>at p. 1925.)</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The Court continued, “When an employee’s own dispute is pared away from a PAGA action, the employee is no different from a member of the general public, and PAGA does not allow such persons to maintain suit.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See </w:t>
      </w:r>
      <w:r w:rsidRPr="00306699">
        <w:rPr>
          <w:rFonts w:ascii="Century Schoolbook" w:eastAsia="Century Schoolbook" w:hAnsi="Century Schoolbook" w:cs="Century Schoolbook"/>
          <w:i/>
          <w:iCs/>
          <w:color w:val="000000"/>
          <w:sz w:val="26"/>
          <w:szCs w:val="26"/>
        </w:rPr>
        <w:t>Kim</w:t>
      </w:r>
      <w:r w:rsidRPr="00306699">
        <w:rPr>
          <w:rFonts w:ascii="Century Schoolbook" w:eastAsia="Century Schoolbook" w:hAnsi="Century Schoolbook" w:cs="Century Schoolbook"/>
          <w:color w:val="000000"/>
          <w:sz w:val="26"/>
          <w:szCs w:val="26"/>
        </w:rPr>
        <w:t xml:space="preserve">, 9 </w:t>
      </w:r>
      <w:r w:rsidRPr="00306699">
        <w:rPr>
          <w:rFonts w:ascii="Century Schoolbook" w:eastAsia="Century Schoolbook" w:hAnsi="Century Schoolbook" w:cs="Century Schoolbook"/>
          <w:color w:val="000000"/>
          <w:sz w:val="26"/>
          <w:szCs w:val="26"/>
        </w:rPr>
        <w:lastRenderedPageBreak/>
        <w:t>Cal.5th at 90 (‘PAGA’s standing req</w:t>
      </w:r>
      <w:r w:rsidRPr="00306699">
        <w:rPr>
          <w:rFonts w:ascii="Century Schoolbook" w:eastAsia="Century Schoolbook" w:hAnsi="Century Schoolbook" w:cs="Century Schoolbook"/>
          <w:color w:val="000000"/>
          <w:sz w:val="26"/>
          <w:szCs w:val="26"/>
        </w:rPr>
        <w:t xml:space="preserve">uirement was meant to be a departure from the “general public” </w:t>
      </w:r>
      <w:r w:rsidRPr="00306699">
        <w:rPr>
          <w:rFonts w:ascii="Century Schoolbook" w:eastAsia="Century Schoolbook" w:hAnsi="Century Schoolbook" w:cs="Century Schoolbook"/>
          <w:color w:val="000000"/>
          <w:sz w:val="26"/>
          <w:szCs w:val="26"/>
        </w:rPr>
        <w:t xml:space="preserve">. . . </w:t>
      </w:r>
      <w:r w:rsidRPr="00306699">
        <w:rPr>
          <w:rFonts w:ascii="Century Schoolbook" w:eastAsia="Century Schoolbook" w:hAnsi="Century Schoolbook" w:cs="Century Schoolbook"/>
          <w:color w:val="000000"/>
          <w:sz w:val="26"/>
          <w:szCs w:val="26"/>
        </w:rPr>
        <w:t>standing originally allowed’ under other California statutes).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As a result, </w:t>
      </w:r>
      <w:r w:rsidRPr="00306699">
        <w:rPr>
          <w:rFonts w:ascii="Century Schoolbook" w:eastAsia="Century Schoolbook" w:hAnsi="Century Schoolbook" w:cs="Century Schoolbook"/>
          <w:color w:val="000000"/>
          <w:sz w:val="26"/>
          <w:szCs w:val="26"/>
        </w:rPr>
        <w:t xml:space="preserve">[the plaintiff] </w:t>
      </w:r>
      <w:r w:rsidRPr="00306699">
        <w:rPr>
          <w:rFonts w:ascii="Century Schoolbook" w:eastAsia="Century Schoolbook" w:hAnsi="Century Schoolbook" w:cs="Century Schoolbook"/>
          <w:color w:val="000000"/>
          <w:sz w:val="26"/>
          <w:szCs w:val="26"/>
        </w:rPr>
        <w:t>lacks statutory standing to continue to maintain her non-individual claims in court, and the c</w:t>
      </w:r>
      <w:r w:rsidRPr="00306699">
        <w:rPr>
          <w:rFonts w:ascii="Century Schoolbook" w:eastAsia="Century Schoolbook" w:hAnsi="Century Schoolbook" w:cs="Century Schoolbook"/>
          <w:color w:val="000000"/>
          <w:sz w:val="26"/>
          <w:szCs w:val="26"/>
        </w:rPr>
        <w:t xml:space="preserve">orrect course is to dismiss her remaining claims.”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Ibid</w:t>
      </w:r>
      <w:r w:rsidRPr="00306699">
        <w:rPr>
          <w:rFonts w:ascii="Century Schoolbook" w:eastAsia="Century Schoolbook" w:hAnsi="Century Schoolbook" w:cs="Century Schoolbook"/>
          <w:color w:val="000000"/>
          <w:sz w:val="26"/>
          <w:szCs w:val="26"/>
        </w:rPr>
        <w:t>.)</w:t>
      </w:r>
    </w:p>
    <w:p w14:paraId="5DF17681" w14:textId="77777777" w:rsidR="6D09D6D6" w:rsidRDefault="00F72DAF" w:rsidP="00D03253">
      <w:pPr>
        <w:spacing w:after="0" w:line="288" w:lineRule="auto"/>
      </w:pPr>
      <w:r w:rsidRPr="00306699">
        <w:rPr>
          <w:rFonts w:ascii="Century Schoolbook" w:eastAsia="Century Schoolbook" w:hAnsi="Century Schoolbook" w:cs="Century Schoolbook"/>
          <w:b/>
          <w:bCs/>
          <w:color w:val="000000"/>
          <w:sz w:val="26"/>
          <w:szCs w:val="26"/>
        </w:rPr>
        <w:t>II</w:t>
      </w:r>
      <w:r w:rsidRPr="00306699">
        <w:rPr>
          <w:rFonts w:ascii="Century Schoolbook" w:eastAsia="Century Schoolbook" w:hAnsi="Century Schoolbook" w:cs="Century Schoolbook"/>
          <w:b/>
          <w:bCs/>
          <w:i/>
          <w:iCs/>
          <w:color w:val="000000"/>
          <w:sz w:val="26"/>
          <w:szCs w:val="26"/>
        </w:rPr>
        <w:t xml:space="preserve">. </w:t>
      </w:r>
      <w:r w:rsidRPr="00306699">
        <w:rPr>
          <w:rFonts w:ascii="Century Schoolbook" w:eastAsia="Century Schoolbook" w:hAnsi="Century Schoolbook" w:cs="Century Schoolbook"/>
          <w:b/>
          <w:bCs/>
          <w:i/>
          <w:iCs/>
          <w:color w:val="000000"/>
          <w:sz w:val="26"/>
          <w:szCs w:val="26"/>
        </w:rPr>
        <w:tab/>
      </w:r>
      <w:r w:rsidRPr="00306699">
        <w:rPr>
          <w:rFonts w:ascii="Century Schoolbook" w:eastAsia="Century Schoolbook" w:hAnsi="Century Schoolbook" w:cs="Century Schoolbook"/>
          <w:b/>
          <w:bCs/>
          <w:i/>
          <w:iCs/>
          <w:color w:val="000000"/>
          <w:sz w:val="26"/>
          <w:szCs w:val="26"/>
        </w:rPr>
        <w:t>Analysis</w:t>
      </w:r>
    </w:p>
    <w:p w14:paraId="135C17DF" w14:textId="77777777" w:rsidR="7DDE01F0" w:rsidRDefault="00F72DAF" w:rsidP="00D03253">
      <w:pPr>
        <w:spacing w:after="0" w:line="288" w:lineRule="auto"/>
        <w:ind w:firstLine="720"/>
      </w:pPr>
      <w:r w:rsidRPr="00306699">
        <w:rPr>
          <w:rFonts w:ascii="Century Schoolbook" w:eastAsia="Century Schoolbook" w:hAnsi="Century Schoolbook" w:cs="Century Schoolbook"/>
          <w:b/>
          <w:bCs/>
          <w:color w:val="000000"/>
          <w:sz w:val="26"/>
          <w:szCs w:val="26"/>
        </w:rPr>
        <w:t xml:space="preserve">A. </w:t>
      </w:r>
      <w:r w:rsidRPr="00306699">
        <w:rPr>
          <w:rFonts w:ascii="Century Schoolbook" w:eastAsia="Century Schoolbook" w:hAnsi="Century Schoolbook" w:cs="Century Schoolbook"/>
          <w:b/>
          <w:bCs/>
          <w:color w:val="000000"/>
          <w:sz w:val="26"/>
          <w:szCs w:val="26"/>
        </w:rPr>
        <w:tab/>
      </w:r>
      <w:r w:rsidRPr="00306699">
        <w:rPr>
          <w:rFonts w:ascii="Century Schoolbook" w:eastAsia="Century Schoolbook" w:hAnsi="Century Schoolbook" w:cs="Century Schoolbook"/>
          <w:b/>
          <w:bCs/>
          <w:color w:val="000000"/>
          <w:sz w:val="26"/>
          <w:szCs w:val="26"/>
        </w:rPr>
        <w:t>Individual PAGA claim</w:t>
      </w:r>
    </w:p>
    <w:p w14:paraId="4F0C73CB" w14:textId="77777777" w:rsidR="4F766BA7"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In light of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we first assess the portion of Lyft’s motion to compel arbitration of Seifu’s individual PAGA claim.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PAGA waiver in the TOS contained two parts.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First, the agreement waived the parties’ right to bring PAGA claims “on behalf of others” in “any court</w:t>
      </w:r>
      <w:r w:rsidRPr="00306699">
        <w:rPr>
          <w:rFonts w:ascii="Century Schoolbook" w:eastAsia="Century Schoolbook" w:hAnsi="Century Schoolbook" w:cs="Century Schoolbook"/>
          <w:color w:val="000000"/>
          <w:sz w:val="26"/>
          <w:szCs w:val="26"/>
        </w:rPr>
        <w:t xml:space="preserve"> or in arbitration.”  Second, the agreement required any individual PAGA claims to be resolved in arbitration.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For the purposes of the current appeal, t</w:t>
      </w:r>
      <w:r w:rsidRPr="00306699">
        <w:rPr>
          <w:rFonts w:ascii="Century Schoolbook" w:eastAsia="Century Schoolbook" w:hAnsi="Century Schoolbook" w:cs="Century Schoolbook"/>
          <w:color w:val="000000"/>
          <w:sz w:val="26"/>
          <w:szCs w:val="26"/>
        </w:rPr>
        <w:t xml:space="preserve">he parties do not dispute that the first clause, constituting a wholesale waiver of Seifu’s right to bring non-individual PAGA claims in any forum, was unenforceable under </w:t>
      </w:r>
      <w:r w:rsidRPr="00306699">
        <w:rPr>
          <w:rFonts w:ascii="Century Schoolbook" w:eastAsia="Century Schoolbook" w:hAnsi="Century Schoolbook" w:cs="Century Schoolbook"/>
          <w:i/>
          <w:iCs/>
          <w:color w:val="000000"/>
          <w:sz w:val="26"/>
          <w:szCs w:val="26"/>
        </w:rPr>
        <w:t xml:space="preserve">Iskanian. </w:t>
      </w:r>
      <w:r w:rsidRPr="00306699">
        <w:rPr>
          <w:rFonts w:ascii="Century Schoolbook" w:eastAsia="Century Schoolbook" w:hAnsi="Century Schoolbook" w:cs="Century Schoolbook"/>
          <w:i/>
          <w:iCs/>
          <w:color w:val="000000"/>
          <w:sz w:val="26"/>
          <w:szCs w:val="26"/>
        </w:rPr>
        <w:t xml:space="preserve"> </w:t>
      </w:r>
      <w:r w:rsidRPr="00306699">
        <w:rPr>
          <w:rFonts w:ascii="Century Schoolbook" w:eastAsia="Century Schoolbook" w:hAnsi="Century Schoolbook" w:cs="Century Schoolbook"/>
          <w:i/>
          <w:iCs/>
          <w:color w:val="000000"/>
          <w:sz w:val="26"/>
          <w:szCs w:val="26"/>
        </w:rPr>
        <w:t>(Iskanian, supra</w:t>
      </w:r>
      <w:r w:rsidRPr="00306699">
        <w:rPr>
          <w:rFonts w:ascii="Century Schoolbook" w:eastAsia="Century Schoolbook" w:hAnsi="Century Schoolbook" w:cs="Century Schoolbook"/>
          <w:color w:val="000000"/>
          <w:sz w:val="26"/>
          <w:szCs w:val="26"/>
        </w:rPr>
        <w:t>, 59 Cal.4th at p. 360 [“an arbitration agreement requiri</w:t>
      </w:r>
      <w:r w:rsidRPr="00306699">
        <w:rPr>
          <w:rFonts w:ascii="Century Schoolbook" w:eastAsia="Century Schoolbook" w:hAnsi="Century Schoolbook" w:cs="Century Schoolbook"/>
          <w:color w:val="000000"/>
          <w:sz w:val="26"/>
          <w:szCs w:val="26"/>
        </w:rPr>
        <w:t xml:space="preserve">ng an employee as a condition of employment to give up the right to bring representative PAGA actions in any forum is contrary to public policy”].)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Nor do they dispute that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left intact the portion of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’s rule “prevent[ing] parties from</w:t>
      </w:r>
      <w:r w:rsidRPr="00306699">
        <w:rPr>
          <w:rFonts w:ascii="Century Schoolbook" w:eastAsia="Century Schoolbook" w:hAnsi="Century Schoolbook" w:cs="Century Schoolbook"/>
          <w:color w:val="000000"/>
          <w:sz w:val="26"/>
          <w:szCs w:val="26"/>
        </w:rPr>
        <w:t xml:space="preserve"> waiving representative standing</w:t>
      </w:r>
      <w:r w:rsidRPr="00306699">
        <w:rPr>
          <w:rFonts w:ascii="Century Schoolbook" w:eastAsia="Century Schoolbook" w:hAnsi="Century Schoolbook" w:cs="Century Schoolbook"/>
          <w:i/>
          <w:iCs/>
          <w:color w:val="000000"/>
          <w:sz w:val="26"/>
          <w:szCs w:val="26"/>
        </w:rPr>
        <w:t xml:space="preserve"> </w:t>
      </w:r>
      <w:r w:rsidRPr="00306699">
        <w:rPr>
          <w:rFonts w:ascii="Century Schoolbook" w:eastAsia="Century Schoolbook" w:hAnsi="Century Schoolbook" w:cs="Century Schoolbook"/>
          <w:color w:val="000000"/>
          <w:sz w:val="26"/>
          <w:szCs w:val="26"/>
        </w:rPr>
        <w:t>to bring PAGA claims in a judicial or arbitral forum.”</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Viking River, supra</w:t>
      </w:r>
      <w:r w:rsidRPr="00306699">
        <w:rPr>
          <w:rFonts w:ascii="Century Schoolbook" w:eastAsia="Century Schoolbook" w:hAnsi="Century Schoolbook" w:cs="Century Schoolbook"/>
          <w:color w:val="000000"/>
          <w:sz w:val="26"/>
          <w:szCs w:val="26"/>
        </w:rPr>
        <w:t xml:space="preserve">, 142 S.Ct. at pp. 1916, 1924-1925, italics omitted.)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As such, the first part of the PAGA waiver here is unenforceable under </w:t>
      </w:r>
      <w:r w:rsidRPr="00306699">
        <w:rPr>
          <w:rFonts w:ascii="Century Schoolbook" w:eastAsia="Century Schoolbook" w:hAnsi="Century Schoolbook" w:cs="Century Schoolbook"/>
          <w:i/>
          <w:iCs/>
          <w:color w:val="000000"/>
          <w:sz w:val="26"/>
          <w:szCs w:val="26"/>
        </w:rPr>
        <w:t>Iskanian</w:t>
      </w:r>
      <w:r w:rsidRPr="00306699">
        <w:rPr>
          <w:rFonts w:ascii="Century Schoolbook" w:eastAsia="Century Schoolbook" w:hAnsi="Century Schoolbook" w:cs="Century Schoolbook"/>
          <w:color w:val="000000"/>
          <w:sz w:val="26"/>
          <w:szCs w:val="26"/>
        </w:rPr>
        <w:t xml:space="preserve"> and cannot b</w:t>
      </w:r>
      <w:r w:rsidRPr="00306699">
        <w:rPr>
          <w:rFonts w:ascii="Century Schoolbook" w:eastAsia="Century Schoolbook" w:hAnsi="Century Schoolbook" w:cs="Century Schoolbook"/>
          <w:color w:val="000000"/>
          <w:sz w:val="26"/>
          <w:szCs w:val="26"/>
        </w:rPr>
        <w:t>ar Seifu from bringing non-individual PAGA claims.</w:t>
      </w:r>
    </w:p>
    <w:p w14:paraId="2BC30BEA" w14:textId="77777777" w:rsidR="7DDE01F0"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In addition, Seifu does not dispute that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allows division of his PAGA claim into individual and non-individual claims.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Under the second clause in the PAGA waiver, Seifu concedes that he must s</w:t>
      </w:r>
      <w:r w:rsidRPr="00306699">
        <w:rPr>
          <w:rFonts w:ascii="Century Schoolbook" w:eastAsia="Century Schoolbook" w:hAnsi="Century Schoolbook" w:cs="Century Schoolbook"/>
          <w:color w:val="000000"/>
          <w:sz w:val="26"/>
          <w:szCs w:val="26"/>
        </w:rPr>
        <w:t xml:space="preserve">ubmit his individual PAGA claim to arbitration. </w:t>
      </w:r>
    </w:p>
    <w:p w14:paraId="74ACC953"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b/>
          <w:bCs/>
          <w:color w:val="000000"/>
          <w:sz w:val="26"/>
          <w:szCs w:val="26"/>
        </w:rPr>
        <w:t xml:space="preserve">B. </w:t>
      </w:r>
      <w:r>
        <w:tab/>
      </w:r>
      <w:r w:rsidRPr="00306699">
        <w:rPr>
          <w:rFonts w:ascii="Century Schoolbook" w:eastAsia="Century Schoolbook" w:hAnsi="Century Schoolbook" w:cs="Century Schoolbook"/>
          <w:b/>
          <w:bCs/>
          <w:color w:val="000000"/>
          <w:sz w:val="26"/>
          <w:szCs w:val="26"/>
        </w:rPr>
        <w:t>Non-individual PAGA claims</w:t>
      </w:r>
    </w:p>
    <w:p w14:paraId="23B473A2"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We now turn to the question of what becomes of Seifu’s non-individual </w:t>
      </w:r>
      <w:r w:rsidRPr="00306699">
        <w:rPr>
          <w:rFonts w:ascii="Century Schoolbook" w:eastAsia="Century Schoolbook" w:hAnsi="Century Schoolbook" w:cs="Century Schoolbook"/>
          <w:color w:val="000000"/>
          <w:sz w:val="26"/>
          <w:szCs w:val="26"/>
        </w:rPr>
        <w:t xml:space="preserve">PAGA </w:t>
      </w:r>
      <w:r w:rsidRPr="00306699">
        <w:rPr>
          <w:rFonts w:ascii="Century Schoolbook" w:eastAsia="Century Schoolbook" w:hAnsi="Century Schoolbook" w:cs="Century Schoolbook"/>
          <w:color w:val="000000"/>
          <w:sz w:val="26"/>
          <w:szCs w:val="26"/>
        </w:rPr>
        <w:t xml:space="preserve">claims, as they are not subject to arbitration.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Seifu contends that he maintains standing to pursue those claims in court.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Lyft asserts that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compels the dismissal of the non-individual claims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As we explain, we agree with Seifu.</w:t>
      </w:r>
    </w:p>
    <w:p w14:paraId="5CC4D8B4"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lastRenderedPageBreak/>
        <w:t>As an initial matter, we note that we are not bound by the U</w:t>
      </w:r>
      <w:r w:rsidRPr="00306699">
        <w:rPr>
          <w:rFonts w:ascii="Century Schoolbook" w:eastAsia="Century Schoolbook" w:hAnsi="Century Schoolbook" w:cs="Century Schoolbook"/>
          <w:color w:val="000000"/>
          <w:sz w:val="26"/>
          <w:szCs w:val="26"/>
        </w:rPr>
        <w:t xml:space="preserve">nited States Supreme Court’s interpretation of California law.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(See </w:t>
      </w:r>
      <w:r w:rsidRPr="00306699">
        <w:rPr>
          <w:rFonts w:ascii="Century Schoolbook" w:eastAsia="Century Schoolbook" w:hAnsi="Century Schoolbook" w:cs="Century Schoolbook"/>
          <w:i/>
          <w:iCs/>
          <w:color w:val="000000"/>
          <w:sz w:val="26"/>
          <w:szCs w:val="26"/>
        </w:rPr>
        <w:t>Nunez v. Nevell Group, Inc</w:t>
      </w:r>
      <w:r w:rsidRPr="00306699">
        <w:rPr>
          <w:rFonts w:ascii="Century Schoolbook" w:eastAsia="Century Schoolbook" w:hAnsi="Century Schoolbook" w:cs="Century Schoolbook"/>
          <w:color w:val="000000"/>
          <w:sz w:val="26"/>
          <w:szCs w:val="26"/>
        </w:rPr>
        <w:t xml:space="preserve">. (2019) 35 Cal.App.5th 838, 847–848 [“Federal decisional authority does not bind the California Courts of Appeal on matters of state law.”]; </w:t>
      </w:r>
      <w:r w:rsidRPr="00306699">
        <w:rPr>
          <w:rFonts w:ascii="Century Schoolbook" w:eastAsia="Century Schoolbook" w:hAnsi="Century Schoolbook" w:cs="Century Schoolbook"/>
          <w:i/>
          <w:iCs/>
          <w:color w:val="000000"/>
          <w:sz w:val="26"/>
          <w:szCs w:val="26"/>
        </w:rPr>
        <w:t>Haynes v. EMC Mortg</w:t>
      </w:r>
      <w:r w:rsidRPr="00306699">
        <w:rPr>
          <w:rFonts w:ascii="Century Schoolbook" w:eastAsia="Century Schoolbook" w:hAnsi="Century Schoolbook" w:cs="Century Schoolbook"/>
          <w:i/>
          <w:iCs/>
          <w:color w:val="000000"/>
          <w:sz w:val="26"/>
          <w:szCs w:val="26"/>
        </w:rPr>
        <w:t>. Corp</w:t>
      </w:r>
      <w:r w:rsidRPr="00306699">
        <w:rPr>
          <w:rFonts w:ascii="Century Schoolbook" w:eastAsia="Century Schoolbook" w:hAnsi="Century Schoolbook" w:cs="Century Schoolbook"/>
          <w:color w:val="000000"/>
          <w:sz w:val="26"/>
          <w:szCs w:val="26"/>
        </w:rPr>
        <w:t xml:space="preserve">. (2012) 205 Cal.App.4th 329, 335 [same]; </w:t>
      </w:r>
      <w:r w:rsidRPr="00306699">
        <w:rPr>
          <w:rFonts w:ascii="Century Schoolbook" w:eastAsia="Century Schoolbook" w:hAnsi="Century Schoolbook" w:cs="Century Schoolbook"/>
          <w:i/>
          <w:iCs/>
          <w:color w:val="000000"/>
          <w:sz w:val="26"/>
          <w:szCs w:val="26"/>
        </w:rPr>
        <w:t>Howard Contracting, Inc. v. G.A. MacDonald Construction Co</w:t>
      </w:r>
      <w:r w:rsidRPr="00306699">
        <w:rPr>
          <w:rFonts w:ascii="Century Schoolbook" w:eastAsia="Century Schoolbook" w:hAnsi="Century Schoolbook" w:cs="Century Schoolbook"/>
          <w:color w:val="000000"/>
          <w:sz w:val="26"/>
          <w:szCs w:val="26"/>
        </w:rPr>
        <w:t xml:space="preserve">. (1998) 71 Cal.App.4th 38, 52 [“[F]ederal decisional authority is neither binding nor controlling in matters involving state law”].)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Indeed, in her concurrence in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Justice Sotomayor noted that she was joining in the Court’s opinion with the understanding that “if this Court</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s understanding of state law is wrong, California courts . . . will have the last word” regarding a p</w:t>
      </w:r>
      <w:r w:rsidRPr="00306699">
        <w:rPr>
          <w:rFonts w:ascii="Century Schoolbook" w:eastAsia="Century Schoolbook" w:hAnsi="Century Schoolbook" w:cs="Century Schoolbook"/>
          <w:color w:val="000000"/>
          <w:sz w:val="26"/>
          <w:szCs w:val="26"/>
        </w:rPr>
        <w:t xml:space="preserve">laintiff’s standing under PAGA.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Viking River, supra</w:t>
      </w:r>
      <w:r w:rsidRPr="00306699">
        <w:rPr>
          <w:rFonts w:ascii="Century Schoolbook" w:eastAsia="Century Schoolbook" w:hAnsi="Century Schoolbook" w:cs="Century Schoolbook"/>
          <w:color w:val="000000"/>
          <w:sz w:val="26"/>
          <w:szCs w:val="26"/>
        </w:rPr>
        <w:t xml:space="preserve">, 142 S.Ct. at p. 1925 [Sotomayor, J., concurring].)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As such, we are not required to follow the Court’s interpretation of PAGA and its standing requirements in </w:t>
      </w:r>
      <w:r w:rsidRPr="00306699">
        <w:rPr>
          <w:rFonts w:ascii="Century Schoolbook" w:eastAsia="Century Schoolbook" w:hAnsi="Century Schoolbook" w:cs="Century Schoolbook"/>
          <w:i/>
          <w:iCs/>
          <w:color w:val="000000"/>
          <w:sz w:val="26"/>
          <w:szCs w:val="26"/>
        </w:rPr>
        <w:t>Viking River.</w:t>
      </w:r>
      <w:r>
        <w:rPr>
          <w:rStyle w:val="FootnoteReference"/>
          <w:rFonts w:ascii="Century Schoolbook" w:eastAsia="Century Schoolbook" w:hAnsi="Century Schoolbook" w:cs="Century Schoolbook"/>
          <w:color w:val="000000"/>
          <w:sz w:val="26"/>
          <w:szCs w:val="26"/>
        </w:rPr>
        <w:footnoteReference w:id="4"/>
      </w:r>
      <w:r w:rsidRPr="00306699">
        <w:rPr>
          <w:rFonts w:ascii="Century Schoolbook" w:eastAsia="Century Schoolbook" w:hAnsi="Century Schoolbook" w:cs="Century Schoolbook"/>
          <w:color w:val="000000"/>
          <w:sz w:val="26"/>
          <w:szCs w:val="26"/>
        </w:rPr>
        <w:t xml:space="preserve"> </w:t>
      </w:r>
    </w:p>
    <w:p w14:paraId="06BA5CD7"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We are not persuaded othe</w:t>
      </w:r>
      <w:r w:rsidRPr="00306699">
        <w:rPr>
          <w:rFonts w:ascii="Century Schoolbook" w:eastAsia="Century Schoolbook" w:hAnsi="Century Schoolbook" w:cs="Century Schoolbook"/>
          <w:color w:val="000000"/>
          <w:sz w:val="26"/>
          <w:szCs w:val="26"/>
        </w:rPr>
        <w:t xml:space="preserve">rwise by Lyft’s contention that the </w:t>
      </w:r>
      <w:r w:rsidRPr="00306699">
        <w:rPr>
          <w:rFonts w:ascii="Century Schoolbook" w:eastAsia="Century Schoolbook" w:hAnsi="Century Schoolbook" w:cs="Century Schoolbook"/>
          <w:i/>
          <w:iCs/>
          <w:color w:val="000000"/>
          <w:sz w:val="26"/>
          <w:szCs w:val="26"/>
        </w:rPr>
        <w:t>Viking</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River</w:t>
      </w:r>
      <w:r w:rsidRPr="00306699">
        <w:rPr>
          <w:rFonts w:ascii="Century Schoolbook" w:eastAsia="Century Schoolbook" w:hAnsi="Century Schoolbook" w:cs="Century Schoolbook"/>
          <w:color w:val="000000"/>
          <w:sz w:val="26"/>
          <w:szCs w:val="26"/>
        </w:rPr>
        <w:t xml:space="preserve"> court’s dismissal of the plaintiff’s non-individual PAGA claims </w:t>
      </w:r>
      <w:r w:rsidRPr="00306699">
        <w:rPr>
          <w:rFonts w:ascii="Century Schoolbook" w:eastAsia="Century Schoolbook" w:hAnsi="Century Schoolbook" w:cs="Century Schoolbook"/>
          <w:color w:val="000000"/>
          <w:sz w:val="26"/>
          <w:szCs w:val="26"/>
        </w:rPr>
        <w:t xml:space="preserve">for </w:t>
      </w:r>
      <w:r w:rsidRPr="00306699">
        <w:rPr>
          <w:rFonts w:ascii="Century Schoolbook" w:eastAsia="Century Schoolbook" w:hAnsi="Century Schoolbook" w:cs="Century Schoolbook"/>
          <w:color w:val="000000"/>
          <w:sz w:val="26"/>
          <w:szCs w:val="26"/>
        </w:rPr>
        <w:t>lack of standing was part of a “federal rule of decision to implement its mandate that the FAA applies to PAGA claims when a valid arbitrat</w:t>
      </w:r>
      <w:r w:rsidRPr="00306699">
        <w:rPr>
          <w:rFonts w:ascii="Century Schoolbook" w:eastAsia="Century Schoolbook" w:hAnsi="Century Schoolbook" w:cs="Century Schoolbook"/>
          <w:color w:val="000000"/>
          <w:sz w:val="26"/>
          <w:szCs w:val="26"/>
        </w:rPr>
        <w:t xml:space="preserve">ion agreement exists.”  Lyft’s attempt to fold the </w:t>
      </w:r>
      <w:r w:rsidRPr="00306699">
        <w:rPr>
          <w:rFonts w:ascii="Century Schoolbook" w:eastAsia="Century Schoolbook" w:hAnsi="Century Schoolbook" w:cs="Century Schoolbook"/>
          <w:color w:val="000000"/>
          <w:sz w:val="26"/>
          <w:szCs w:val="26"/>
        </w:rPr>
        <w:t>Supreme C</w:t>
      </w:r>
      <w:r w:rsidRPr="00306699">
        <w:rPr>
          <w:rFonts w:ascii="Century Schoolbook" w:eastAsia="Century Schoolbook" w:hAnsi="Century Schoolbook" w:cs="Century Schoolbook"/>
          <w:color w:val="000000"/>
          <w:sz w:val="26"/>
          <w:szCs w:val="26"/>
        </w:rPr>
        <w:t xml:space="preserve">ourt’s interpretation of standing requirements under PAGA, a state statute, into its federal preemption analysis is unavailing, particularly where the Court interpreted </w:t>
      </w:r>
      <w:r w:rsidRPr="00306699">
        <w:rPr>
          <w:rFonts w:ascii="Century Schoolbook" w:eastAsia="Century Schoolbook" w:hAnsi="Century Schoolbook" w:cs="Century Schoolbook"/>
          <w:i/>
          <w:iCs/>
          <w:color w:val="000000"/>
          <w:sz w:val="26"/>
          <w:szCs w:val="26"/>
        </w:rPr>
        <w:t>Kim</w:t>
      </w:r>
      <w:r w:rsidRPr="00306699">
        <w:rPr>
          <w:rFonts w:ascii="Century Schoolbook" w:eastAsia="Century Schoolbook" w:hAnsi="Century Schoolbook" w:cs="Century Schoolbook"/>
          <w:color w:val="000000"/>
          <w:sz w:val="26"/>
          <w:szCs w:val="26"/>
        </w:rPr>
        <w:t xml:space="preserve"> and other California au</w:t>
      </w:r>
      <w:r w:rsidRPr="00306699">
        <w:rPr>
          <w:rFonts w:ascii="Century Schoolbook" w:eastAsia="Century Schoolbook" w:hAnsi="Century Schoolbook" w:cs="Century Schoolbook"/>
          <w:color w:val="000000"/>
          <w:sz w:val="26"/>
          <w:szCs w:val="26"/>
        </w:rPr>
        <w:t xml:space="preserve">thority to reach its conclusion as to standing.  By contrast, in </w:t>
      </w:r>
      <w:r w:rsidRPr="00306699">
        <w:rPr>
          <w:rFonts w:ascii="Century Schoolbook" w:eastAsia="Century Schoolbook" w:hAnsi="Century Schoolbook" w:cs="Century Schoolbook"/>
          <w:i/>
          <w:iCs/>
          <w:color w:val="000000"/>
          <w:sz w:val="26"/>
          <w:szCs w:val="26"/>
        </w:rPr>
        <w:t>New York Times Co. v. Sullivan</w:t>
      </w:r>
      <w:r w:rsidRPr="00306699">
        <w:rPr>
          <w:rFonts w:ascii="Century Schoolbook" w:eastAsia="Century Schoolbook" w:hAnsi="Century Schoolbook" w:cs="Century Schoolbook"/>
          <w:color w:val="000000"/>
          <w:sz w:val="26"/>
          <w:szCs w:val="26"/>
        </w:rPr>
        <w:t xml:space="preserve"> (1964) 376 U.S. 254, the case relied upon by Lyft, the Court expressly announced a “federal rule” after finding that the standard of proof for libel under the relevant state law was constitutionally </w:t>
      </w:r>
      <w:r w:rsidRPr="00306699">
        <w:rPr>
          <w:rFonts w:ascii="Century Schoolbook" w:eastAsia="Century Schoolbook" w:hAnsi="Century Schoolbook" w:cs="Century Schoolbook"/>
          <w:color w:val="000000"/>
          <w:sz w:val="26"/>
          <w:szCs w:val="26"/>
        </w:rPr>
        <w:lastRenderedPageBreak/>
        <w:t xml:space="preserve">deficient.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xml:space="preserve">. at pp. 279, 283.)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Lyft has identified </w:t>
      </w:r>
      <w:r w:rsidRPr="00306699">
        <w:rPr>
          <w:rFonts w:ascii="Century Schoolbook" w:eastAsia="Century Schoolbook" w:hAnsi="Century Schoolbook" w:cs="Century Schoolbook"/>
          <w:color w:val="000000"/>
          <w:sz w:val="26"/>
          <w:szCs w:val="26"/>
        </w:rPr>
        <w:t>no such constitutional concerns here.</w:t>
      </w:r>
    </w:p>
    <w:p w14:paraId="368869B7"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We therefore independently assess the standing requirements for Seifu to continue to pursue his non-individual PAGA claim in court.  As discussed above, PAGA provides that civil penalties recoverable by the state for L</w:t>
      </w:r>
      <w:r w:rsidRPr="00306699">
        <w:rPr>
          <w:rFonts w:ascii="Century Schoolbook" w:eastAsia="Century Schoolbook" w:hAnsi="Century Schoolbook" w:cs="Century Schoolbook"/>
          <w:color w:val="000000"/>
          <w:sz w:val="26"/>
          <w:szCs w:val="26"/>
        </w:rPr>
        <w:t xml:space="preserve">abor Code violations “may, as an alternative, be recovered through a civil action brought by an aggrieved employee on behalf of himself or herself and other current or former employees.”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2699, subd. (a).)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Our Supreme Court interpreted the plain langua</w:t>
      </w:r>
      <w:r w:rsidRPr="00306699">
        <w:rPr>
          <w:rFonts w:ascii="Century Schoolbook" w:eastAsia="Century Schoolbook" w:hAnsi="Century Schoolbook" w:cs="Century Schoolbook"/>
          <w:color w:val="000000"/>
          <w:sz w:val="26"/>
          <w:szCs w:val="26"/>
        </w:rPr>
        <w:t xml:space="preserve">ge of PAGA to include “only two requirements for PAGA standing.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plaintiff must be an aggrieved employee, that is, someone ‘who was employed by the alleged violator’ and ‘against whom one or more of the alleged violations was committed.’”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9 Cal.5th at pp. 83-84.)  “Considering the remedial nature of legislation meant to protect employees, we construe PAGA’s provisions broadly, in favor of this protection.”</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at p. 83, citations omitted.)</w:t>
      </w:r>
    </w:p>
    <w:p w14:paraId="2A4C6181"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In </w:t>
      </w:r>
      <w:r w:rsidRPr="00306699">
        <w:rPr>
          <w:rFonts w:ascii="Century Schoolbook" w:eastAsia="Century Schoolbook" w:hAnsi="Century Schoolbook" w:cs="Century Schoolbook"/>
          <w:i/>
          <w:iCs/>
          <w:color w:val="000000"/>
          <w:sz w:val="26"/>
          <w:szCs w:val="26"/>
        </w:rPr>
        <w:t>Kim</w:t>
      </w:r>
      <w:r w:rsidRPr="00306699">
        <w:rPr>
          <w:rFonts w:ascii="Century Schoolbook" w:eastAsia="Century Schoolbook" w:hAnsi="Century Schoolbook" w:cs="Century Schoolbook"/>
          <w:color w:val="000000"/>
          <w:sz w:val="26"/>
          <w:szCs w:val="26"/>
        </w:rPr>
        <w:t>, the plaintiff alleged claims for damages</w:t>
      </w:r>
      <w:r w:rsidRPr="00306699">
        <w:rPr>
          <w:rFonts w:ascii="Century Schoolbook" w:eastAsia="Century Schoolbook" w:hAnsi="Century Schoolbook" w:cs="Century Schoolbook"/>
          <w:color w:val="000000"/>
          <w:sz w:val="26"/>
          <w:szCs w:val="26"/>
        </w:rPr>
        <w:t xml:space="preserve"> based on his employer’s Labor Code violations, as well as </w:t>
      </w:r>
      <w:r w:rsidRPr="00306699">
        <w:rPr>
          <w:rFonts w:ascii="Century Schoolbook" w:eastAsia="Century Schoolbook" w:hAnsi="Century Schoolbook" w:cs="Century Schoolbook"/>
          <w:color w:val="000000"/>
          <w:sz w:val="26"/>
          <w:szCs w:val="26"/>
        </w:rPr>
        <w:t xml:space="preserve">a </w:t>
      </w:r>
      <w:r w:rsidRPr="00306699">
        <w:rPr>
          <w:rFonts w:ascii="Century Schoolbook" w:eastAsia="Century Schoolbook" w:hAnsi="Century Schoolbook" w:cs="Century Schoolbook"/>
          <w:color w:val="000000"/>
          <w:sz w:val="26"/>
          <w:szCs w:val="26"/>
        </w:rPr>
        <w:t xml:space="preserve">claim for civil penalties under PAGA.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9 Cal.5th at p. 82.)</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After the plaintiff settled his non-PAGA claims for individual relief, the defendant argued that the plaintiff lost standing to pursue the remaining PAGA claim because he had received redress for his own injuries and was therefore no longer “aggrieved” wi</w:t>
      </w:r>
      <w:r w:rsidRPr="00306699">
        <w:rPr>
          <w:rFonts w:ascii="Century Schoolbook" w:eastAsia="Century Schoolbook" w:hAnsi="Century Schoolbook" w:cs="Century Schoolbook"/>
          <w:color w:val="000000"/>
          <w:sz w:val="26"/>
          <w:szCs w:val="26"/>
        </w:rPr>
        <w:t>thin the meaning of the statute.</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Id</w:t>
      </w:r>
      <w:r w:rsidRPr="00306699">
        <w:rPr>
          <w:rFonts w:ascii="Century Schoolbook" w:eastAsia="Century Schoolbook" w:hAnsi="Century Schoolbook" w:cs="Century Schoolbook"/>
          <w:color w:val="000000"/>
          <w:sz w:val="26"/>
          <w:szCs w:val="26"/>
        </w:rPr>
        <w:t xml:space="preserve">. at p. 84.)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The California Supreme Court rejected this argument, finding that “Kim became an aggrieved employee, and had PAGA standing, when one or more Labor Code violations were committed against him.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(See § 2699(</w:t>
      </w:r>
      <w:r w:rsidRPr="00306699">
        <w:rPr>
          <w:rFonts w:ascii="Century Schoolbook" w:eastAsia="Century Schoolbook" w:hAnsi="Century Schoolbook" w:cs="Century Schoolbook"/>
          <w:color w:val="000000"/>
          <w:sz w:val="26"/>
          <w:szCs w:val="26"/>
        </w:rPr>
        <w:t>c).)</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Settlement did not nullify these violations.”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Ibid</w:t>
      </w:r>
      <w:r w:rsidRPr="00306699">
        <w:rPr>
          <w:rFonts w:ascii="Century Schoolbook" w:eastAsia="Century Schoolbook" w:hAnsi="Century Schoolbook" w:cs="Century Schoolbook"/>
          <w:color w:val="000000"/>
          <w:sz w:val="26"/>
          <w:szCs w:val="26"/>
        </w:rPr>
        <w:t>.)</w:t>
      </w:r>
    </w:p>
    <w:p w14:paraId="4F456B67"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The court continued, “An employee has PAGA standing if ‘one or more of the alleged violations was committed’ against him. (§ 2699(c).)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This language indicates that PAGA standing is not inextrica</w:t>
      </w:r>
      <w:r w:rsidRPr="00306699">
        <w:rPr>
          <w:rFonts w:ascii="Century Schoolbook" w:eastAsia="Century Schoolbook" w:hAnsi="Century Schoolbook" w:cs="Century Schoolbook"/>
          <w:color w:val="000000"/>
          <w:sz w:val="26"/>
          <w:szCs w:val="26"/>
        </w:rPr>
        <w:t xml:space="preserve">bly linked to the plaintiff’s own injury.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Employees who were subjected to at least one unlawful practice have standing to serve as PAGA representatives even if they did not personally experience each and every alleged violation.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2699(c).)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This </w:t>
      </w:r>
      <w:r w:rsidRPr="00306699">
        <w:rPr>
          <w:rFonts w:ascii="Century Schoolbook" w:eastAsia="Century Schoolbook" w:hAnsi="Century Schoolbook" w:cs="Century Schoolbook"/>
          <w:color w:val="000000"/>
          <w:sz w:val="26"/>
          <w:szCs w:val="26"/>
        </w:rPr>
        <w:t xml:space="preserve">expansive approach to standing serves the state’s interest in vigorous </w:t>
      </w:r>
      <w:r w:rsidRPr="00306699">
        <w:rPr>
          <w:rFonts w:ascii="Century Schoolbook" w:eastAsia="Century Schoolbook" w:hAnsi="Century Schoolbook" w:cs="Century Schoolbook"/>
          <w:color w:val="000000"/>
          <w:sz w:val="26"/>
          <w:szCs w:val="26"/>
        </w:rPr>
        <w:lastRenderedPageBreak/>
        <w:t>enforcement.”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xml:space="preserve">, 9 Cal.5th at p. 85, citing </w:t>
      </w:r>
      <w:r w:rsidRPr="00306699">
        <w:rPr>
          <w:rFonts w:ascii="Century Schoolbook" w:eastAsia="Century Schoolbook" w:hAnsi="Century Schoolbook" w:cs="Century Schoolbook"/>
          <w:i/>
          <w:iCs/>
          <w:color w:val="000000"/>
          <w:sz w:val="26"/>
          <w:szCs w:val="26"/>
        </w:rPr>
        <w:t>Arias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supra</w:t>
      </w:r>
      <w:r w:rsidRPr="00306699">
        <w:rPr>
          <w:rFonts w:ascii="Century Schoolbook" w:eastAsia="Century Schoolbook" w:hAnsi="Century Schoolbook" w:cs="Century Schoolbook"/>
          <w:color w:val="000000"/>
          <w:sz w:val="26"/>
          <w:szCs w:val="26"/>
        </w:rPr>
        <w:t>, 46 Cal.4th at pp. 980-981.)</w:t>
      </w:r>
    </w:p>
    <w:p w14:paraId="35362A95"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We conclude that Seifu has satisfied the standing requirements under </w:t>
      </w:r>
      <w:r w:rsidRPr="00306699">
        <w:rPr>
          <w:rFonts w:ascii="Century Schoolbook" w:eastAsia="Century Schoolbook" w:hAnsi="Century Schoolbook" w:cs="Century Schoolbook"/>
          <w:i/>
          <w:iCs/>
          <w:color w:val="000000"/>
          <w:sz w:val="26"/>
          <w:szCs w:val="26"/>
        </w:rPr>
        <w:t>Kim</w:t>
      </w:r>
      <w:r w:rsidRPr="00306699">
        <w:rPr>
          <w:rFonts w:ascii="Century Schoolbook" w:eastAsia="Century Schoolbook" w:hAnsi="Century Schoolbook" w:cs="Century Schoolbook"/>
          <w:color w:val="000000"/>
          <w:sz w:val="26"/>
          <w:szCs w:val="26"/>
        </w:rPr>
        <w:t xml:space="preserve"> to maintain his</w:t>
      </w:r>
      <w:r w:rsidRPr="00306699">
        <w:rPr>
          <w:rFonts w:ascii="Century Schoolbook" w:eastAsia="Century Schoolbook" w:hAnsi="Century Schoolbook" w:cs="Century Schoolbook"/>
          <w:color w:val="000000"/>
          <w:sz w:val="26"/>
          <w:szCs w:val="26"/>
        </w:rPr>
        <w:t xml:space="preserve"> non-individual PAGA claims at this stage of the proceedings.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Seifu’s operative complaint alleged that he was employed by Lyft and that one or more of Lyft’s alleged Labor Code violations was committed against him.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He is therefore an “aggrieved” employee</w:t>
      </w:r>
      <w:r w:rsidRPr="00306699">
        <w:rPr>
          <w:rFonts w:ascii="Century Schoolbook" w:eastAsia="Century Schoolbook" w:hAnsi="Century Schoolbook" w:cs="Century Schoolbook"/>
          <w:color w:val="000000"/>
          <w:sz w:val="26"/>
          <w:szCs w:val="26"/>
        </w:rPr>
        <w:t xml:space="preserve"> within the meaning of PAGA with standing to assert PAGA claims on behalf of himself and other employees.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(See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xml:space="preserve">, 9 Cal.5th at pp. 84-85.) </w:t>
      </w:r>
    </w:p>
    <w:p w14:paraId="7A0C59A3" w14:textId="77777777" w:rsidR="13555146" w:rsidRPr="00306699" w:rsidRDefault="00F72DAF" w:rsidP="29EF99B1">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Further, the requirement that Seifu resolve his individual PAGA claim in a different forum—arbitration—doe</w:t>
      </w:r>
      <w:r w:rsidRPr="00306699">
        <w:rPr>
          <w:rFonts w:ascii="Century Schoolbook" w:eastAsia="Century Schoolbook" w:hAnsi="Century Schoolbook" w:cs="Century Schoolbook"/>
          <w:color w:val="000000"/>
          <w:sz w:val="26"/>
          <w:szCs w:val="26"/>
        </w:rPr>
        <w:t xml:space="preserve">s not strip him of this standing.  (See </w:t>
      </w:r>
      <w:r w:rsidRPr="00306699">
        <w:rPr>
          <w:rFonts w:ascii="Century Schoolbook" w:eastAsia="Century Schoolbook" w:hAnsi="Century Schoolbook" w:cs="Century Schoolbook"/>
          <w:i/>
          <w:iCs/>
          <w:color w:val="000000"/>
          <w:sz w:val="26"/>
          <w:szCs w:val="26"/>
        </w:rPr>
        <w:t>Kim</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supra</w:t>
      </w:r>
      <w:r w:rsidRPr="00306699">
        <w:rPr>
          <w:rFonts w:ascii="Century Schoolbook" w:eastAsia="Century Schoolbook" w:hAnsi="Century Schoolbook" w:cs="Century Schoolbook"/>
          <w:color w:val="000000"/>
          <w:sz w:val="26"/>
          <w:szCs w:val="26"/>
        </w:rPr>
        <w:t xml:space="preserve">, 9 Cal.5th at p. 84; see also </w:t>
      </w:r>
      <w:r w:rsidRPr="00306699">
        <w:rPr>
          <w:rFonts w:ascii="Century Schoolbook" w:eastAsia="Century Schoolbook" w:hAnsi="Century Schoolbook" w:cs="Century Schoolbook"/>
          <w:i/>
          <w:iCs/>
          <w:color w:val="000000"/>
          <w:sz w:val="26"/>
          <w:szCs w:val="26"/>
        </w:rPr>
        <w:t>Johnson</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v. Maxim Healthcare Services, Inc.</w:t>
      </w:r>
      <w:r w:rsidRPr="00306699">
        <w:rPr>
          <w:rFonts w:ascii="Century Schoolbook" w:eastAsia="Century Schoolbook" w:hAnsi="Century Schoolbook" w:cs="Century Schoolbook"/>
          <w:color w:val="000000"/>
          <w:sz w:val="26"/>
          <w:szCs w:val="26"/>
        </w:rPr>
        <w:t xml:space="preserve"> (2021) </w:t>
      </w:r>
      <w:r w:rsidRPr="00306699">
        <w:rPr>
          <w:rFonts w:ascii="Century Schoolbook" w:eastAsia="Century Schoolbook" w:hAnsi="Century Schoolbook" w:cs="Century Schoolbook"/>
          <w:color w:val="000000"/>
          <w:sz w:val="26"/>
          <w:szCs w:val="26"/>
        </w:rPr>
        <w:t xml:space="preserve">66 Cal.App.5th </w:t>
      </w:r>
      <w:r w:rsidRPr="00306699">
        <w:rPr>
          <w:rFonts w:ascii="Century Schoolbook" w:eastAsia="Century Schoolbook" w:hAnsi="Century Schoolbook" w:cs="Century Schoolbook"/>
          <w:color w:val="000000"/>
          <w:sz w:val="26"/>
          <w:szCs w:val="26"/>
        </w:rPr>
        <w:t xml:space="preserve">924, </w:t>
      </w:r>
      <w:r w:rsidRPr="00306699">
        <w:rPr>
          <w:rFonts w:ascii="Century Schoolbook" w:eastAsia="Century Schoolbook" w:hAnsi="Century Schoolbook" w:cs="Century Schoolbook"/>
          <w:color w:val="000000"/>
          <w:sz w:val="26"/>
          <w:szCs w:val="26"/>
        </w:rPr>
        <w:t xml:space="preserve">930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Johnson</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fact that the plaintiff’s individual claim was time-barred did not “strip [the </w:t>
      </w:r>
      <w:r w:rsidRPr="00306699">
        <w:rPr>
          <w:rFonts w:ascii="Century Schoolbook" w:eastAsia="Century Schoolbook" w:hAnsi="Century Schoolbook" w:cs="Century Schoolbook"/>
          <w:color w:val="000000"/>
          <w:sz w:val="26"/>
          <w:szCs w:val="26"/>
        </w:rPr>
        <w:t>plaintiff] of her standing to pursue PAGA remedies”].)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This interpretation is consistent with PAGA’s remedial purpose, </w:t>
      </w:r>
      <w:r w:rsidRPr="00306699">
        <w:rPr>
          <w:rFonts w:ascii="Century Schoolbook" w:eastAsia="Century Schoolbook" w:hAnsi="Century Schoolbook" w:cs="Century Schoolbook"/>
          <w:color w:val="000000"/>
          <w:sz w:val="26"/>
          <w:szCs w:val="26"/>
        </w:rPr>
        <w:t>because</w:t>
      </w:r>
      <w:r w:rsidRPr="00306699">
        <w:rPr>
          <w:rFonts w:ascii="Century Schoolbook" w:eastAsia="Century Schoolbook" w:hAnsi="Century Schoolbook" w:cs="Century Schoolbook"/>
          <w:color w:val="000000"/>
          <w:sz w:val="26"/>
          <w:szCs w:val="26"/>
        </w:rPr>
        <w:t xml:space="preserve"> revoking an employee’s standing to pursue non-individual claims would “‘severely curtail[ ] PAGA’s availability to police Labor </w:t>
      </w:r>
      <w:r w:rsidRPr="00306699">
        <w:rPr>
          <w:rFonts w:ascii="Century Schoolbook" w:eastAsia="Century Schoolbook" w:hAnsi="Century Schoolbook" w:cs="Century Schoolbook"/>
          <w:color w:val="000000"/>
          <w:sz w:val="26"/>
          <w:szCs w:val="26"/>
        </w:rPr>
        <w:t xml:space="preserve">Code violations.’”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 xml:space="preserve">Johnson, supra, </w:t>
      </w:r>
      <w:r w:rsidRPr="00306699">
        <w:rPr>
          <w:rFonts w:ascii="Century Schoolbook" w:eastAsia="Century Schoolbook" w:hAnsi="Century Schoolbook" w:cs="Century Schoolbook"/>
          <w:color w:val="000000"/>
          <w:sz w:val="26"/>
          <w:szCs w:val="26"/>
        </w:rPr>
        <w:t>66 Cal.App.5th at p. 930</w:t>
      </w:r>
      <w:r w:rsidRPr="00306699">
        <w:rPr>
          <w:rFonts w:ascii="Century Schoolbook" w:eastAsia="Century Schoolbook" w:hAnsi="Century Schoolbook" w:cs="Century Schoolbook"/>
          <w:color w:val="000000"/>
          <w:sz w:val="26"/>
          <w:szCs w:val="26"/>
        </w:rPr>
        <w:t xml:space="preserve">, quoting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9 Cal.5th at pp. 86–87</w:t>
      </w:r>
      <w:r w:rsidRPr="00306699">
        <w:rPr>
          <w:rFonts w:ascii="Century Schoolbook" w:eastAsia="Century Schoolbook" w:hAnsi="Century Schoolbook" w:cs="Century Schoolbook"/>
          <w:color w:val="000000"/>
          <w:sz w:val="26"/>
          <w:szCs w:val="26"/>
        </w:rPr>
        <w:t xml:space="preserve">; see also </w:t>
      </w:r>
      <w:r w:rsidRPr="00306699">
        <w:rPr>
          <w:rFonts w:ascii="Century Schoolbook" w:eastAsia="Century Schoolbook" w:hAnsi="Century Schoolbook" w:cs="Century Schoolbook"/>
          <w:i/>
          <w:iCs/>
          <w:color w:val="000000"/>
          <w:sz w:val="26"/>
          <w:szCs w:val="26"/>
        </w:rPr>
        <w:t>Viking River</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supra</w:t>
      </w:r>
      <w:r w:rsidRPr="00306699">
        <w:rPr>
          <w:rFonts w:ascii="Century Schoolbook" w:eastAsia="Century Schoolbook" w:hAnsi="Century Schoolbook" w:cs="Century Schoolbook"/>
          <w:color w:val="000000"/>
          <w:sz w:val="26"/>
          <w:szCs w:val="26"/>
        </w:rPr>
        <w:t>, 142 S.Ct. at p. 1919, fn</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o</w:t>
      </w:r>
      <w:r w:rsidRPr="00306699">
        <w:rPr>
          <w:rFonts w:ascii="Century Schoolbook" w:eastAsia="Century Schoolbook" w:hAnsi="Century Schoolbook" w:cs="Century Schoolbook"/>
          <w:color w:val="000000"/>
          <w:sz w:val="26"/>
          <w:szCs w:val="26"/>
        </w:rPr>
        <w:t>mitted [</w:t>
      </w:r>
      <w:r w:rsidRPr="00306699">
        <w:rPr>
          <w:rFonts w:ascii="Century Schoolbook" w:eastAsia="Century Schoolbook" w:hAnsi="Century Schoolbook" w:cs="Century Schoolbook"/>
          <w:color w:val="000000"/>
          <w:sz w:val="26"/>
          <w:szCs w:val="26"/>
        </w:rPr>
        <w:t xml:space="preserve">“An arbitration agreement thus does not alter or abridge substantive rights; it </w:t>
      </w:r>
      <w:r w:rsidRPr="00306699">
        <w:rPr>
          <w:rFonts w:ascii="Century Schoolbook" w:eastAsia="Century Schoolbook" w:hAnsi="Century Schoolbook" w:cs="Century Schoolbook"/>
          <w:color w:val="000000"/>
          <w:sz w:val="26"/>
          <w:szCs w:val="26"/>
        </w:rPr>
        <w:t>merely changes how those rights will be processed. And so we have said that ‘“[b]y agreeing to arbitrate a statutory claim, a party does not forego the substantive rights afforded by the statute; it only submits to their resolution in an arbitral . . . for</w:t>
      </w:r>
      <w:r w:rsidRPr="00306699">
        <w:rPr>
          <w:rFonts w:ascii="Century Schoolbook" w:eastAsia="Century Schoolbook" w:hAnsi="Century Schoolbook" w:cs="Century Schoolbook"/>
          <w:color w:val="000000"/>
          <w:sz w:val="26"/>
          <w:szCs w:val="26"/>
        </w:rPr>
        <w:t>um.”’”</w:t>
      </w:r>
      <w:r w:rsidRPr="00306699">
        <w:rPr>
          <w:rFonts w:ascii="Century Schoolbook" w:eastAsia="Century Schoolbook" w:hAnsi="Century Schoolbook" w:cs="Century Schoolbook"/>
          <w:color w:val="000000"/>
          <w:sz w:val="26"/>
          <w:szCs w:val="26"/>
        </w:rPr>
        <w:t>].)</w:t>
      </w:r>
    </w:p>
    <w:p w14:paraId="46D7B54E" w14:textId="77777777" w:rsidR="13555146" w:rsidRPr="00306699" w:rsidRDefault="00F72DAF" w:rsidP="75848BA8">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We reject Lyft’s contention that, even apart from statutory standing, PAGA requires that “the non-individual PAGA claims must be adjudicated together with individual PAGA claims, or not at all.”  The language of the statute contains no such requi</w:t>
      </w:r>
      <w:r w:rsidRPr="00306699">
        <w:rPr>
          <w:rFonts w:ascii="Century Schoolbook" w:eastAsia="Century Schoolbook" w:hAnsi="Century Schoolbook" w:cs="Century Schoolbook"/>
          <w:color w:val="000000"/>
          <w:sz w:val="26"/>
          <w:szCs w:val="26"/>
        </w:rPr>
        <w:t xml:space="preserve">rement.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“‘“Where the words of the statute are clear, we may not add to or alter them to accomplish a purpose that does not appear on the face of the statute or from its legislative history.”’”</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Kim, supra</w:t>
      </w:r>
      <w:r w:rsidRPr="00306699">
        <w:rPr>
          <w:rFonts w:ascii="Century Schoolbook" w:eastAsia="Century Schoolbook" w:hAnsi="Century Schoolbook" w:cs="Century Schoolbook"/>
          <w:color w:val="000000"/>
          <w:sz w:val="26"/>
          <w:szCs w:val="26"/>
        </w:rPr>
        <w:t xml:space="preserve">, 9 Cal.5th at p. 85, quoting </w:t>
      </w:r>
      <w:r w:rsidRPr="00306699">
        <w:rPr>
          <w:rFonts w:ascii="Century Schoolbook" w:eastAsia="Century Schoolbook" w:hAnsi="Century Schoolbook" w:cs="Century Schoolbook"/>
          <w:i/>
          <w:iCs/>
          <w:color w:val="000000"/>
          <w:sz w:val="26"/>
          <w:szCs w:val="26"/>
        </w:rPr>
        <w:t>Ennabe v. Manosa</w:t>
      </w:r>
      <w:r w:rsidRPr="00306699">
        <w:rPr>
          <w:rFonts w:ascii="Century Schoolbook" w:eastAsia="Century Schoolbook" w:hAnsi="Century Schoolbook" w:cs="Century Schoolbook"/>
          <w:color w:val="000000"/>
          <w:sz w:val="26"/>
          <w:szCs w:val="26"/>
        </w:rPr>
        <w:t xml:space="preserve"> (20</w:t>
      </w:r>
      <w:r w:rsidRPr="00306699">
        <w:rPr>
          <w:rFonts w:ascii="Century Schoolbook" w:eastAsia="Century Schoolbook" w:hAnsi="Century Schoolbook" w:cs="Century Schoolbook"/>
          <w:color w:val="000000"/>
          <w:sz w:val="26"/>
          <w:szCs w:val="26"/>
        </w:rPr>
        <w:t xml:space="preserve">14) 58 Cal.4th 697, 719.)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Similarly, the cases Lyft cites simply reiterate the principle that a “plaintiff asserting a PAGA claim may not bring the claim simply on his or her own behalf but must bring it as a representative action and include ‘other </w:t>
      </w:r>
      <w:r w:rsidRPr="00306699">
        <w:rPr>
          <w:rFonts w:ascii="Century Schoolbook" w:eastAsia="Century Schoolbook" w:hAnsi="Century Schoolbook" w:cs="Century Schoolbook"/>
          <w:color w:val="000000"/>
          <w:sz w:val="26"/>
          <w:szCs w:val="26"/>
        </w:rPr>
        <w:lastRenderedPageBreak/>
        <w:t>current or former employees.</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Reyes v. Macy's, Inc</w:t>
      </w:r>
      <w:r w:rsidRPr="00306699">
        <w:rPr>
          <w:rFonts w:ascii="Century Schoolbook" w:eastAsia="Century Schoolbook" w:hAnsi="Century Schoolbook" w:cs="Century Schoolbook"/>
          <w:color w:val="000000"/>
          <w:sz w:val="26"/>
          <w:szCs w:val="26"/>
        </w:rPr>
        <w:t>. (2011) 202 Cal.App.4th 1119, 1123</w:t>
      </w:r>
      <w:r w:rsidRPr="00306699">
        <w:rPr>
          <w:rFonts w:ascii="Century Schoolbook" w:eastAsia="Century Schoolbook" w:hAnsi="Century Schoolbook" w:cs="Century Schoolbook"/>
          <w:color w:val="000000"/>
          <w:sz w:val="26"/>
          <w:szCs w:val="26"/>
        </w:rPr>
        <w:t xml:space="preserve">; see also </w:t>
      </w:r>
      <w:r w:rsidRPr="00306699">
        <w:rPr>
          <w:rFonts w:ascii="Century Schoolbook" w:eastAsia="Century Schoolbook" w:hAnsi="Century Schoolbook" w:cs="Century Schoolbook"/>
          <w:i/>
          <w:iCs/>
          <w:color w:val="000000"/>
          <w:sz w:val="26"/>
          <w:szCs w:val="26"/>
        </w:rPr>
        <w:t>Huff v. Securitas Security Services USA, Inc</w:t>
      </w:r>
      <w:r w:rsidRPr="00306699">
        <w:rPr>
          <w:rFonts w:ascii="Century Schoolbook" w:eastAsia="Century Schoolbook" w:hAnsi="Century Schoolbook" w:cs="Century Schoolbook"/>
          <w:color w:val="000000"/>
          <w:sz w:val="26"/>
          <w:szCs w:val="26"/>
        </w:rPr>
        <w:t xml:space="preserve">. (2018) 23 Cal.App.5th 745, 756 [“an employee seeking to recover Labor Code penalties [under PAGA] cannot do so </w:t>
      </w:r>
      <w:r w:rsidRPr="00306699">
        <w:rPr>
          <w:rFonts w:ascii="Century Schoolbook" w:eastAsia="Century Schoolbook" w:hAnsi="Century Schoolbook" w:cs="Century Schoolbook"/>
          <w:color w:val="000000"/>
          <w:sz w:val="26"/>
          <w:szCs w:val="26"/>
        </w:rPr>
        <w:t>in a purely individual capacity; the employee must bring the action on behalf of himself or herself and others”]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Seifu satisfied this requirement when he alleged his PAGA claim on behalf of himself and other employees. </w:t>
      </w:r>
    </w:p>
    <w:p w14:paraId="5C534B2C"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Lyft’s reliance on </w:t>
      </w:r>
      <w:r w:rsidRPr="00306699">
        <w:rPr>
          <w:rFonts w:ascii="Century Schoolbook" w:eastAsia="Century Schoolbook" w:hAnsi="Century Schoolbook" w:cs="Century Schoolbook"/>
          <w:i/>
          <w:iCs/>
          <w:color w:val="000000"/>
          <w:sz w:val="26"/>
          <w:szCs w:val="26"/>
        </w:rPr>
        <w:t>Morehart v. Co</w:t>
      </w:r>
      <w:r w:rsidRPr="00306699">
        <w:rPr>
          <w:rFonts w:ascii="Century Schoolbook" w:eastAsia="Century Schoolbook" w:hAnsi="Century Schoolbook" w:cs="Century Schoolbook"/>
          <w:i/>
          <w:iCs/>
          <w:color w:val="000000"/>
          <w:sz w:val="26"/>
          <w:szCs w:val="26"/>
        </w:rPr>
        <w:t xml:space="preserve">unty of Santa Barbara </w:t>
      </w:r>
      <w:r w:rsidRPr="00306699">
        <w:rPr>
          <w:rFonts w:ascii="Century Schoolbook" w:eastAsia="Century Schoolbook" w:hAnsi="Century Schoolbook" w:cs="Century Schoolbook"/>
          <w:color w:val="000000"/>
          <w:sz w:val="26"/>
          <w:szCs w:val="26"/>
        </w:rPr>
        <w:t>(1994) 7 Cal.4th 725 (</w:t>
      </w:r>
      <w:r w:rsidRPr="00306699">
        <w:rPr>
          <w:rFonts w:ascii="Century Schoolbook" w:eastAsia="Century Schoolbook" w:hAnsi="Century Schoolbook" w:cs="Century Schoolbook"/>
          <w:i/>
          <w:iCs/>
          <w:color w:val="000000"/>
          <w:sz w:val="26"/>
          <w:szCs w:val="26"/>
        </w:rPr>
        <w:t>Morehart</w:t>
      </w:r>
      <w:r w:rsidRPr="00306699">
        <w:rPr>
          <w:rFonts w:ascii="Century Schoolbook" w:eastAsia="Century Schoolbook" w:hAnsi="Century Schoolbook" w:cs="Century Schoolbook"/>
          <w:color w:val="000000"/>
          <w:sz w:val="26"/>
          <w:szCs w:val="26"/>
        </w:rPr>
        <w:t xml:space="preserve">) is similarly unavailing.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Lyft contends that sending the individual PAGA claim to arbitration “amounts to a form of severance that yields two distinct actions in two distinct fora,” thereby </w:t>
      </w:r>
      <w:r w:rsidRPr="00306699">
        <w:rPr>
          <w:rFonts w:ascii="Century Schoolbook" w:eastAsia="Century Schoolbook" w:hAnsi="Century Schoolbook" w:cs="Century Schoolbook"/>
          <w:color w:val="000000"/>
          <w:sz w:val="26"/>
          <w:szCs w:val="26"/>
        </w:rPr>
        <w:t xml:space="preserve">ending </w:t>
      </w:r>
      <w:r w:rsidRPr="00306699">
        <w:rPr>
          <w:rFonts w:ascii="Century Schoolbook" w:eastAsia="Century Schoolbook" w:hAnsi="Century Schoolbook" w:cs="Century Schoolbook"/>
          <w:color w:val="000000"/>
          <w:sz w:val="26"/>
          <w:szCs w:val="26"/>
        </w:rPr>
        <w:t xml:space="preserve">Seifu’s standing </w:t>
      </w:r>
      <w:r w:rsidRPr="00306699">
        <w:rPr>
          <w:rFonts w:ascii="Century Schoolbook" w:eastAsia="Century Schoolbook" w:hAnsi="Century Schoolbook" w:cs="Century Schoolbook"/>
          <w:color w:val="000000"/>
          <w:sz w:val="26"/>
          <w:szCs w:val="26"/>
        </w:rPr>
        <w:t xml:space="preserve">to represent non-individual PAGA claims </w:t>
      </w:r>
      <w:r w:rsidRPr="00306699">
        <w:rPr>
          <w:rFonts w:ascii="Century Schoolbook" w:eastAsia="Century Schoolbook" w:hAnsi="Century Schoolbook" w:cs="Century Schoolbook"/>
          <w:color w:val="000000"/>
          <w:sz w:val="26"/>
          <w:szCs w:val="26"/>
        </w:rPr>
        <w:t xml:space="preserve">in court.  </w:t>
      </w:r>
      <w:r w:rsidRPr="00306699">
        <w:rPr>
          <w:rFonts w:ascii="Century Schoolbook" w:eastAsia="Century Schoolbook" w:hAnsi="Century Schoolbook" w:cs="Century Schoolbook"/>
          <w:i/>
          <w:iCs/>
          <w:color w:val="000000"/>
          <w:sz w:val="26"/>
          <w:szCs w:val="26"/>
        </w:rPr>
        <w:t xml:space="preserve">Morehart </w:t>
      </w:r>
      <w:r w:rsidRPr="00306699">
        <w:rPr>
          <w:rFonts w:ascii="Century Schoolbook" w:eastAsia="Century Schoolbook" w:hAnsi="Century Schoolbook" w:cs="Century Schoolbook"/>
          <w:color w:val="000000"/>
          <w:sz w:val="26"/>
          <w:szCs w:val="26"/>
        </w:rPr>
        <w:t xml:space="preserve">involved an analysis of whether a judgment was appealable when it did not resolve all of the plaintiff’s causes of action, but the appellant </w:t>
      </w:r>
      <w:r w:rsidRPr="00306699">
        <w:rPr>
          <w:rFonts w:ascii="Century Schoolbook" w:eastAsia="Century Schoolbook" w:hAnsi="Century Schoolbook" w:cs="Century Schoolbook"/>
          <w:color w:val="000000"/>
          <w:sz w:val="26"/>
          <w:szCs w:val="26"/>
        </w:rPr>
        <w:t xml:space="preserve">nevertheless </w:t>
      </w:r>
      <w:r w:rsidRPr="00306699">
        <w:rPr>
          <w:rFonts w:ascii="Century Schoolbook" w:eastAsia="Century Schoolbook" w:hAnsi="Century Schoolbook" w:cs="Century Schoolbook"/>
          <w:color w:val="000000"/>
          <w:sz w:val="26"/>
          <w:szCs w:val="26"/>
        </w:rPr>
        <w:t>contended that the</w:t>
      </w:r>
      <w:r w:rsidRPr="00306699">
        <w:rPr>
          <w:rFonts w:ascii="Century Schoolbook" w:eastAsia="Century Schoolbook" w:hAnsi="Century Schoolbook" w:cs="Century Schoolbook"/>
          <w:color w:val="000000"/>
          <w:sz w:val="26"/>
          <w:szCs w:val="26"/>
        </w:rPr>
        <w:t xml:space="preserve"> appealable claims had been severed from those still pending.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t>
      </w:r>
      <w:r w:rsidRPr="00306699">
        <w:rPr>
          <w:rFonts w:ascii="Century Schoolbook" w:eastAsia="Century Schoolbook" w:hAnsi="Century Schoolbook" w:cs="Century Schoolbook"/>
          <w:i/>
          <w:iCs/>
          <w:color w:val="000000"/>
          <w:sz w:val="26"/>
          <w:szCs w:val="26"/>
        </w:rPr>
        <w:t>Morehart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supra</w:t>
      </w:r>
      <w:r w:rsidRPr="00306699">
        <w:rPr>
          <w:rFonts w:ascii="Century Schoolbook" w:eastAsia="Century Schoolbook" w:hAnsi="Century Schoolbook" w:cs="Century Schoolbook"/>
          <w:color w:val="000000"/>
          <w:sz w:val="26"/>
          <w:szCs w:val="26"/>
        </w:rPr>
        <w:t xml:space="preserve">, 7 Cal.4th at pp. 731-732.)  </w:t>
      </w:r>
      <w:r w:rsidRPr="00306699">
        <w:rPr>
          <w:rFonts w:ascii="Century Schoolbook" w:eastAsia="Century Schoolbook" w:hAnsi="Century Schoolbook" w:cs="Century Schoolbook"/>
          <w:i/>
          <w:iCs/>
          <w:color w:val="000000"/>
          <w:sz w:val="26"/>
          <w:szCs w:val="26"/>
        </w:rPr>
        <w:t>Morehart</w:t>
      </w:r>
      <w:r w:rsidRPr="00306699">
        <w:rPr>
          <w:rFonts w:ascii="Century Schoolbook" w:eastAsia="Century Schoolbook" w:hAnsi="Century Schoolbook" w:cs="Century Schoolbook"/>
          <w:i/>
          <w:iCs/>
          <w:color w:val="000000"/>
          <w:sz w:val="26"/>
          <w:szCs w:val="26"/>
        </w:rPr>
        <w:t xml:space="preserve"> </w:t>
      </w:r>
      <w:r w:rsidRPr="00306699">
        <w:rPr>
          <w:rFonts w:ascii="Century Schoolbook" w:eastAsia="Century Schoolbook" w:hAnsi="Century Schoolbook" w:cs="Century Schoolbook"/>
          <w:color w:val="000000"/>
          <w:sz w:val="26"/>
          <w:szCs w:val="26"/>
        </w:rPr>
        <w:t>did not assess or apply severance principles to issues of standing or arbitration of PAGA claims.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i/>
          <w:iCs/>
          <w:color w:val="000000"/>
          <w:sz w:val="26"/>
          <w:szCs w:val="26"/>
        </w:rPr>
        <w:t>Ibid</w:t>
      </w:r>
      <w:r w:rsidRPr="00306699">
        <w:rPr>
          <w:rFonts w:ascii="Century Schoolbook" w:eastAsia="Century Schoolbook" w:hAnsi="Century Schoolbook" w:cs="Century Schoolbook"/>
          <w:color w:val="000000"/>
          <w:sz w:val="26"/>
          <w:szCs w:val="26"/>
        </w:rPr>
        <w:t>.)</w:t>
      </w:r>
    </w:p>
    <w:p w14:paraId="0277CF06" w14:textId="77777777" w:rsidR="13555146" w:rsidRPr="00306699" w:rsidRDefault="00F72DAF" w:rsidP="00C48EA0">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Finally, </w:t>
      </w:r>
      <w:r w:rsidRPr="00306699">
        <w:rPr>
          <w:rFonts w:ascii="Century Schoolbook" w:eastAsia="Century Schoolbook" w:hAnsi="Century Schoolbook" w:cs="Century Schoolbook"/>
          <w:color w:val="000000"/>
          <w:sz w:val="26"/>
          <w:szCs w:val="26"/>
        </w:rPr>
        <w:t xml:space="preserve">Lyft contends that if Seifu’s non-individual PAGA claims are not dismissed, they should be stayed pending the arbitration of the individual PAGA claims.  Lyft urges us to direct </w:t>
      </w:r>
      <w:r w:rsidRPr="00306699">
        <w:rPr>
          <w:rFonts w:ascii="Century Schoolbook" w:eastAsia="Century Schoolbook" w:hAnsi="Century Schoolbook" w:cs="Century Schoolbook"/>
          <w:color w:val="000000"/>
          <w:sz w:val="26"/>
          <w:szCs w:val="26"/>
        </w:rPr>
        <w:t xml:space="preserve">the </w:t>
      </w:r>
      <w:r w:rsidRPr="00306699">
        <w:rPr>
          <w:rFonts w:ascii="Century Schoolbook" w:eastAsia="Century Schoolbook" w:hAnsi="Century Schoolbook" w:cs="Century Schoolbook"/>
          <w:color w:val="000000"/>
          <w:sz w:val="26"/>
          <w:szCs w:val="26"/>
        </w:rPr>
        <w:t>trial court to impose a stay pursuant to Code of Civil Procedure section 1</w:t>
      </w:r>
      <w:r w:rsidRPr="00306699">
        <w:rPr>
          <w:rFonts w:ascii="Century Schoolbook" w:eastAsia="Century Schoolbook" w:hAnsi="Century Schoolbook" w:cs="Century Schoolbook"/>
          <w:color w:val="000000"/>
          <w:sz w:val="26"/>
          <w:szCs w:val="26"/>
        </w:rPr>
        <w:t>281.4, which provides that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where the court orders arbitration “of a controversy which is an issue involved in an action or proceeding pending before a court of this State,” the court in which the action or proceeding is pending “shall, upon motion of a par</w:t>
      </w:r>
      <w:r w:rsidRPr="00306699">
        <w:rPr>
          <w:rFonts w:ascii="Century Schoolbook" w:eastAsia="Century Schoolbook" w:hAnsi="Century Schoolbook" w:cs="Century Schoolbook"/>
          <w:color w:val="000000"/>
          <w:sz w:val="26"/>
          <w:szCs w:val="26"/>
        </w:rPr>
        <w:t>ty</w:t>
      </w:r>
      <w:r w:rsidRPr="00306699">
        <w:rPr>
          <w:rFonts w:ascii="Century Schoolbook" w:eastAsia="Century Schoolbook" w:hAnsi="Century Schoolbook" w:cs="Century Schoolbook"/>
          <w:color w:val="000000"/>
          <w:sz w:val="26"/>
          <w:szCs w:val="26"/>
        </w:rPr>
        <w:t xml:space="preserve"> . . .,</w:t>
      </w:r>
      <w:r w:rsidRPr="00306699">
        <w:rPr>
          <w:rFonts w:ascii="Century Schoolbook" w:eastAsia="Century Schoolbook" w:hAnsi="Century Schoolbook" w:cs="Century Schoolbook"/>
          <w:color w:val="000000"/>
          <w:sz w:val="26"/>
          <w:szCs w:val="26"/>
        </w:rPr>
        <w:t xml:space="preserve"> stay the action or proceeding until an arbitration is had in accordance with the order to arbitrate or until such earlier time as the court specifies.”</w:t>
      </w:r>
    </w:p>
    <w:p w14:paraId="494DCC35" w14:textId="77777777" w:rsidR="00892BCA"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t xml:space="preserve">Here, the trial court has not had the opportunity to rule on Lyft’s stay request, </w:t>
      </w:r>
      <w:r w:rsidRPr="00306699">
        <w:rPr>
          <w:rFonts w:ascii="Century Schoolbook" w:eastAsia="Century Schoolbook" w:hAnsi="Century Schoolbook" w:cs="Century Schoolbook"/>
          <w:color w:val="000000"/>
          <w:sz w:val="26"/>
          <w:szCs w:val="26"/>
        </w:rPr>
        <w:t>because</w:t>
      </w:r>
      <w:r w:rsidRPr="00306699">
        <w:rPr>
          <w:rFonts w:ascii="Century Schoolbook" w:eastAsia="Century Schoolbook" w:hAnsi="Century Schoolbook" w:cs="Century Schoolbook"/>
          <w:color w:val="000000"/>
          <w:sz w:val="26"/>
          <w:szCs w:val="26"/>
        </w:rPr>
        <w:t xml:space="preserve"> it d</w:t>
      </w:r>
      <w:r w:rsidRPr="00306699">
        <w:rPr>
          <w:rFonts w:ascii="Century Schoolbook" w:eastAsia="Century Schoolbook" w:hAnsi="Century Schoolbook" w:cs="Century Schoolbook"/>
          <w:color w:val="000000"/>
          <w:sz w:val="26"/>
          <w:szCs w:val="26"/>
        </w:rPr>
        <w:t xml:space="preserve">enied Lyft’s motion to compel arbitration outright.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We therefore remand the matter for the trial court to determine in the first instance whether </w:t>
      </w:r>
      <w:r w:rsidRPr="00306699">
        <w:rPr>
          <w:rFonts w:ascii="Century Schoolbook" w:eastAsia="Century Schoolbook" w:hAnsi="Century Schoolbook" w:cs="Century Schoolbook"/>
          <w:color w:val="000000"/>
          <w:sz w:val="26"/>
          <w:szCs w:val="26"/>
        </w:rPr>
        <w:t>a</w:t>
      </w:r>
      <w:r w:rsidRPr="00306699">
        <w:rPr>
          <w:rFonts w:ascii="Century Schoolbook" w:eastAsia="Century Schoolbook" w:hAnsi="Century Schoolbook" w:cs="Century Schoolbook"/>
          <w:color w:val="000000"/>
          <w:sz w:val="26"/>
          <w:szCs w:val="26"/>
        </w:rPr>
        <w:t xml:space="preserve"> stay </w:t>
      </w:r>
      <w:r w:rsidRPr="00306699">
        <w:rPr>
          <w:rFonts w:ascii="Century Schoolbook" w:eastAsia="Century Schoolbook" w:hAnsi="Century Schoolbook" w:cs="Century Schoolbook"/>
          <w:color w:val="000000"/>
          <w:sz w:val="26"/>
          <w:szCs w:val="26"/>
        </w:rPr>
        <w:t xml:space="preserve">of </w:t>
      </w:r>
      <w:r w:rsidRPr="00306699">
        <w:rPr>
          <w:rFonts w:ascii="Century Schoolbook" w:eastAsia="Century Schoolbook" w:hAnsi="Century Schoolbook" w:cs="Century Schoolbook"/>
          <w:color w:val="000000"/>
          <w:sz w:val="26"/>
          <w:szCs w:val="26"/>
        </w:rPr>
        <w:t xml:space="preserve">Seifu’s non-individual PAGA claims </w:t>
      </w:r>
      <w:r w:rsidRPr="00306699">
        <w:rPr>
          <w:rFonts w:ascii="Century Schoolbook" w:eastAsia="Century Schoolbook" w:hAnsi="Century Schoolbook" w:cs="Century Schoolbook"/>
          <w:color w:val="000000"/>
          <w:sz w:val="26"/>
          <w:szCs w:val="26"/>
        </w:rPr>
        <w:t>would be appropriate under the circumstances</w:t>
      </w:r>
      <w:r w:rsidRPr="00306699">
        <w:rPr>
          <w:rFonts w:ascii="Century Schoolbook" w:eastAsia="Century Schoolbook" w:hAnsi="Century Schoolbook" w:cs="Century Schoolbook"/>
          <w:color w:val="000000"/>
          <w:sz w:val="26"/>
          <w:szCs w:val="26"/>
        </w:rPr>
        <w:t>.</w:t>
      </w:r>
    </w:p>
    <w:p w14:paraId="489FDB7B" w14:textId="77777777" w:rsidR="13555146" w:rsidRDefault="00F72DAF" w:rsidP="00D03253">
      <w:pPr>
        <w:spacing w:after="0" w:line="288" w:lineRule="auto"/>
        <w:jc w:val="center"/>
      </w:pPr>
      <w:r w:rsidRPr="00306699">
        <w:rPr>
          <w:rFonts w:ascii="Century Schoolbook" w:eastAsia="Century Schoolbook" w:hAnsi="Century Schoolbook" w:cs="Century Schoolbook"/>
          <w:b/>
          <w:bCs/>
          <w:color w:val="000000"/>
          <w:sz w:val="26"/>
          <w:szCs w:val="26"/>
        </w:rPr>
        <w:t>DISPOSITION</w:t>
      </w:r>
    </w:p>
    <w:p w14:paraId="37B3E071" w14:textId="77777777" w:rsidR="13555146" w:rsidRPr="00306699" w:rsidRDefault="00F72DAF" w:rsidP="00D03253">
      <w:pPr>
        <w:spacing w:after="0" w:line="288" w:lineRule="auto"/>
        <w:ind w:firstLine="720"/>
        <w:rPr>
          <w:rFonts w:ascii="Century Schoolbook" w:eastAsia="Century Schoolbook" w:hAnsi="Century Schoolbook" w:cs="Century Schoolbook"/>
          <w:color w:val="000000"/>
          <w:sz w:val="26"/>
          <w:szCs w:val="26"/>
        </w:rPr>
      </w:pPr>
      <w:r w:rsidRPr="00306699">
        <w:rPr>
          <w:rFonts w:ascii="Century Schoolbook" w:eastAsia="Century Schoolbook" w:hAnsi="Century Schoolbook" w:cs="Century Schoolbook"/>
          <w:color w:val="000000"/>
          <w:sz w:val="26"/>
          <w:szCs w:val="26"/>
        </w:rPr>
        <w:lastRenderedPageBreak/>
        <w:t>The order denying Lyft’s motion to compel arbitration is reversed in part and affirmed in part.</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The order is reversed as to Seifu’s individual PAGA claim.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order is affirmed as to Seifu’s non-individual PAGA claims.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The matter is remanded</w:t>
      </w:r>
      <w:r w:rsidRPr="00306699">
        <w:rPr>
          <w:rFonts w:ascii="Century Schoolbook" w:eastAsia="Century Schoolbook" w:hAnsi="Century Schoolbook" w:cs="Century Schoolbook"/>
          <w:color w:val="000000"/>
          <w:sz w:val="26"/>
          <w:szCs w:val="26"/>
        </w:rPr>
        <w:t xml:space="preserve"> with directions to the trial court to enter a new order requiring Seifu to arbitrate his individual PAGA claim and for further proceedings</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regarding Seifu’s non-individual PAGA claims </w:t>
      </w:r>
      <w:r w:rsidRPr="00306699">
        <w:rPr>
          <w:rFonts w:ascii="Century Schoolbook" w:eastAsia="Century Schoolbook" w:hAnsi="Century Schoolbook" w:cs="Century Schoolbook"/>
          <w:color w:val="000000"/>
          <w:sz w:val="26"/>
          <w:szCs w:val="26"/>
        </w:rPr>
        <w:t>consistent with this opinion.</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parties are to bear their own </w:t>
      </w:r>
      <w:r w:rsidRPr="00306699">
        <w:rPr>
          <w:rFonts w:ascii="Century Schoolbook" w:eastAsia="Century Schoolbook" w:hAnsi="Century Schoolbook" w:cs="Century Schoolbook"/>
          <w:color w:val="000000"/>
          <w:sz w:val="26"/>
          <w:szCs w:val="26"/>
        </w:rPr>
        <w:t>costs on appeal.</w:t>
      </w:r>
    </w:p>
    <w:p w14:paraId="0AB611F7" w14:textId="77777777" w:rsidR="423F9780" w:rsidRPr="00823E13" w:rsidRDefault="00F72DAF" w:rsidP="003E0DCC">
      <w:pPr>
        <w:spacing w:after="0" w:line="288" w:lineRule="auto"/>
        <w:jc w:val="center"/>
        <w:rPr>
          <w:rFonts w:ascii="Century Schoolbook" w:hAnsi="Century Schoolbook"/>
          <w:b/>
          <w:sz w:val="26"/>
          <w:szCs w:val="26"/>
        </w:rPr>
      </w:pPr>
      <w:r w:rsidRPr="00823E13">
        <w:rPr>
          <w:rFonts w:ascii="Century Schoolbook" w:hAnsi="Century Schoolbook"/>
          <w:b/>
          <w:sz w:val="26"/>
          <w:szCs w:val="26"/>
        </w:rPr>
        <w:t>CERTIFIED FOR PUBLICATION</w:t>
      </w:r>
    </w:p>
    <w:p w14:paraId="05DBEC14" w14:textId="77777777" w:rsidR="00823E13" w:rsidRPr="00823E13" w:rsidRDefault="00F72DAF" w:rsidP="003E0DCC">
      <w:pPr>
        <w:spacing w:after="0" w:line="288" w:lineRule="auto"/>
        <w:jc w:val="center"/>
        <w:rPr>
          <w:rFonts w:ascii="Century Schoolbook" w:hAnsi="Century Schoolbook"/>
          <w:b/>
          <w:sz w:val="26"/>
          <w:szCs w:val="26"/>
        </w:rPr>
      </w:pPr>
    </w:p>
    <w:p w14:paraId="60FC6958" w14:textId="77777777" w:rsidR="00823E13" w:rsidRPr="00823E13" w:rsidRDefault="00F72DAF" w:rsidP="003E0DCC">
      <w:pPr>
        <w:spacing w:after="0" w:line="288" w:lineRule="auto"/>
        <w:jc w:val="center"/>
        <w:rPr>
          <w:rFonts w:ascii="Century Schoolbook" w:hAnsi="Century Schoolbook"/>
          <w:b/>
          <w:sz w:val="26"/>
          <w:szCs w:val="26"/>
        </w:rPr>
      </w:pPr>
    </w:p>
    <w:p w14:paraId="4E624A02" w14:textId="77777777" w:rsidR="00823E13" w:rsidRPr="00823E13" w:rsidRDefault="00F72DAF" w:rsidP="00823E13">
      <w:pPr>
        <w:tabs>
          <w:tab w:val="left" w:pos="720"/>
          <w:tab w:val="left" w:pos="1440"/>
          <w:tab w:val="left" w:pos="2160"/>
          <w:tab w:val="left" w:pos="2880"/>
          <w:tab w:val="left" w:pos="3600"/>
          <w:tab w:val="left" w:pos="4320"/>
          <w:tab w:val="left" w:pos="5040"/>
          <w:tab w:val="left" w:pos="5760"/>
          <w:tab w:val="left" w:pos="6480"/>
          <w:tab w:val="left" w:pos="6900"/>
        </w:tabs>
        <w:jc w:val="center"/>
        <w:rPr>
          <w:rFonts w:ascii="Century Schoolbook" w:hAnsi="Century Schoolbook"/>
          <w:sz w:val="26"/>
          <w:szCs w:val="26"/>
        </w:rPr>
      </w:pPr>
      <w:bookmarkStart w:id="0" w:name="_Hlk130819197"/>
      <w:bookmarkStart w:id="1" w:name="_Hlk128579383"/>
      <w:r w:rsidRPr="00823E13">
        <w:rPr>
          <w:rFonts w:ascii="Century Schoolbook" w:hAnsi="Century Schoolbook"/>
          <w:sz w:val="26"/>
          <w:szCs w:val="26"/>
        </w:rPr>
        <w:t>COLLINS, J.</w:t>
      </w:r>
    </w:p>
    <w:bookmarkEnd w:id="0"/>
    <w:p w14:paraId="2BBDFDED" w14:textId="77777777" w:rsidR="00823E13" w:rsidRPr="00823E13" w:rsidRDefault="00F72DAF" w:rsidP="00823E13">
      <w:pPr>
        <w:tabs>
          <w:tab w:val="left" w:pos="6900"/>
        </w:tabs>
        <w:rPr>
          <w:rFonts w:ascii="Century Schoolbook" w:hAnsi="Century Schoolbook"/>
          <w:sz w:val="26"/>
          <w:szCs w:val="26"/>
        </w:rPr>
      </w:pPr>
      <w:r w:rsidRPr="00823E13">
        <w:rPr>
          <w:rFonts w:ascii="Century Schoolbook" w:hAnsi="Century Schoolbook"/>
          <w:sz w:val="26"/>
          <w:szCs w:val="26"/>
        </w:rPr>
        <w:tab/>
      </w:r>
    </w:p>
    <w:p w14:paraId="32C346B7" w14:textId="77777777" w:rsidR="00823E13" w:rsidRPr="00823E13" w:rsidRDefault="00F72DAF" w:rsidP="00823E13">
      <w:pPr>
        <w:rPr>
          <w:rFonts w:ascii="Century Schoolbook" w:hAnsi="Century Schoolbook"/>
          <w:sz w:val="26"/>
          <w:szCs w:val="26"/>
        </w:rPr>
      </w:pPr>
      <w:bookmarkStart w:id="2" w:name="_Hlk130819238"/>
      <w:r w:rsidRPr="00823E13">
        <w:rPr>
          <w:rFonts w:ascii="Century Schoolbook" w:hAnsi="Century Schoolbook"/>
          <w:sz w:val="26"/>
          <w:szCs w:val="26"/>
        </w:rPr>
        <w:t>We concur:</w:t>
      </w:r>
    </w:p>
    <w:p w14:paraId="087C9740" w14:textId="77777777" w:rsidR="00823E13" w:rsidRPr="00823E13" w:rsidRDefault="00F72DAF" w:rsidP="00823E13">
      <w:pPr>
        <w:rPr>
          <w:rFonts w:ascii="Century Schoolbook" w:hAnsi="Century Schoolbook"/>
          <w:sz w:val="26"/>
          <w:szCs w:val="26"/>
        </w:rPr>
      </w:pPr>
    </w:p>
    <w:p w14:paraId="2EC331A4" w14:textId="77777777" w:rsidR="00823E13" w:rsidRPr="00823E13" w:rsidRDefault="00F72DAF" w:rsidP="00823E13">
      <w:pPr>
        <w:rPr>
          <w:rFonts w:ascii="Century Schoolbook" w:hAnsi="Century Schoolbook"/>
          <w:sz w:val="26"/>
          <w:szCs w:val="26"/>
        </w:rPr>
      </w:pPr>
    </w:p>
    <w:bookmarkEnd w:id="1"/>
    <w:p w14:paraId="11542DAF" w14:textId="77777777" w:rsidR="00823E13" w:rsidRPr="00823E13" w:rsidRDefault="00F72DAF" w:rsidP="00823E13">
      <w:pPr>
        <w:rPr>
          <w:rFonts w:ascii="Century Schoolbook" w:hAnsi="Century Schoolbook"/>
          <w:sz w:val="26"/>
          <w:szCs w:val="26"/>
        </w:rPr>
      </w:pPr>
      <w:r w:rsidRPr="00823E13">
        <w:rPr>
          <w:rFonts w:ascii="Century Schoolbook" w:hAnsi="Century Schoolbook"/>
          <w:sz w:val="26"/>
          <w:szCs w:val="26"/>
        </w:rPr>
        <w:t>CURREY, ACTING, P.J.</w:t>
      </w:r>
    </w:p>
    <w:p w14:paraId="65694287" w14:textId="77777777" w:rsidR="00823E13" w:rsidRDefault="00F72DAF" w:rsidP="00823E13">
      <w:pPr>
        <w:rPr>
          <w:rFonts w:ascii="Century Schoolbook" w:hAnsi="Century Schoolbook"/>
          <w:sz w:val="26"/>
          <w:szCs w:val="26"/>
        </w:rPr>
      </w:pPr>
    </w:p>
    <w:p w14:paraId="122A187A" w14:textId="77777777" w:rsidR="00DB5A0E" w:rsidRPr="00823E13" w:rsidRDefault="00F72DAF" w:rsidP="00823E13">
      <w:pPr>
        <w:rPr>
          <w:rFonts w:ascii="Century Schoolbook" w:hAnsi="Century Schoolbook"/>
          <w:sz w:val="26"/>
          <w:szCs w:val="26"/>
        </w:rPr>
      </w:pPr>
    </w:p>
    <w:p w14:paraId="73F9B538" w14:textId="77777777" w:rsidR="00823E13" w:rsidRPr="00823E13" w:rsidRDefault="00F72DAF" w:rsidP="00823E13">
      <w:pPr>
        <w:rPr>
          <w:rFonts w:ascii="Century Schoolbook" w:hAnsi="Century Schoolbook"/>
          <w:sz w:val="26"/>
          <w:szCs w:val="26"/>
        </w:rPr>
      </w:pPr>
      <w:bookmarkStart w:id="3" w:name="_Hlk127434112"/>
      <w:r w:rsidRPr="00823E13">
        <w:rPr>
          <w:rFonts w:ascii="Century Schoolbook" w:hAnsi="Century Schoolbook"/>
          <w:sz w:val="26"/>
          <w:szCs w:val="26"/>
        </w:rPr>
        <w:t>STONE, J.</w:t>
      </w:r>
      <w:r w:rsidRPr="00823E13">
        <w:rPr>
          <w:rStyle w:val="FootnoteReference"/>
          <w:rFonts w:ascii="Century Schoolbook" w:hAnsi="Century Schoolbook"/>
          <w:sz w:val="26"/>
          <w:szCs w:val="26"/>
        </w:rPr>
        <w:t xml:space="preserve"> </w:t>
      </w:r>
      <w:r>
        <w:rPr>
          <w:rStyle w:val="FootnoteReference"/>
          <w:rFonts w:ascii="Century Schoolbook" w:hAnsi="Century Schoolbook"/>
          <w:sz w:val="26"/>
          <w:szCs w:val="26"/>
        </w:rPr>
        <w:footnoteReference w:customMarkFollows="1" w:id="5"/>
        <w:t>*</w:t>
      </w:r>
    </w:p>
    <w:bookmarkEnd w:id="2"/>
    <w:bookmarkEnd w:id="3"/>
    <w:p w14:paraId="4DAA0853" w14:textId="77777777" w:rsidR="00823E13" w:rsidRDefault="00F72DAF" w:rsidP="003E0DCC">
      <w:pPr>
        <w:spacing w:after="0" w:line="288" w:lineRule="auto"/>
        <w:jc w:val="center"/>
        <w:rPr>
          <w:rFonts w:ascii="Century Schoolbook" w:eastAsia="Century Schoolbook" w:hAnsi="Century Schoolbook" w:cs="Century Schoolbook"/>
          <w:sz w:val="26"/>
          <w:szCs w:val="26"/>
        </w:rPr>
      </w:pPr>
    </w:p>
    <w:p w14:paraId="0F0E300C" w14:textId="77777777" w:rsidR="1D770636" w:rsidRDefault="00F72DAF" w:rsidP="00D03253">
      <w:pPr>
        <w:spacing w:after="0" w:line="288" w:lineRule="auto"/>
        <w:rPr>
          <w:rFonts w:ascii="Century Schoolbook" w:eastAsia="Century Schoolbook" w:hAnsi="Century Schoolbook" w:cs="Century Schoolbook"/>
          <w:sz w:val="26"/>
          <w:szCs w:val="26"/>
        </w:rPr>
      </w:pPr>
    </w:p>
    <w:sectPr w:rsidR="1D770636" w:rsidSect="00E96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321" w14:textId="77777777" w:rsidR="00000000" w:rsidRDefault="00F72DAF">
      <w:pPr>
        <w:spacing w:after="0" w:line="240" w:lineRule="auto"/>
      </w:pPr>
      <w:r>
        <w:separator/>
      </w:r>
    </w:p>
  </w:endnote>
  <w:endnote w:type="continuationSeparator" w:id="0">
    <w:p w14:paraId="0A73A0DC" w14:textId="77777777" w:rsidR="00000000" w:rsidRDefault="00F7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CFBA" w14:textId="77777777" w:rsidR="008B43B1" w:rsidRDefault="00F72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69F3" w14:textId="77777777" w:rsidR="00E96D8E" w:rsidRDefault="00F72DAF">
    <w:pPr>
      <w:pStyle w:val="Footer"/>
      <w:jc w:val="center"/>
    </w:pPr>
    <w:r>
      <w:fldChar w:fldCharType="begin"/>
    </w:r>
    <w:r>
      <w:instrText xml:space="preserve"> PAGE   \* MERGEFORMAT </w:instrText>
    </w:r>
    <w:r>
      <w:fldChar w:fldCharType="separate"/>
    </w:r>
    <w:r>
      <w:rPr>
        <w:noProof/>
      </w:rPr>
      <w:t>2</w:t>
    </w:r>
    <w:r>
      <w:rPr>
        <w:noProof/>
      </w:rPr>
      <w:fldChar w:fldCharType="end"/>
    </w:r>
  </w:p>
  <w:p w14:paraId="6B6E466C" w14:textId="77777777" w:rsidR="00DB7C53" w:rsidRDefault="00F7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23B3" w14:textId="77777777" w:rsidR="008B43B1" w:rsidRDefault="00F7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F24F" w14:textId="77777777" w:rsidR="00306699" w:rsidRDefault="00F72DAF">
      <w:pPr>
        <w:spacing w:after="0" w:line="240" w:lineRule="auto"/>
      </w:pPr>
      <w:r>
        <w:separator/>
      </w:r>
    </w:p>
  </w:footnote>
  <w:footnote w:type="continuationSeparator" w:id="0">
    <w:p w14:paraId="7F1C8049" w14:textId="77777777" w:rsidR="00306699" w:rsidRDefault="00F72DAF">
      <w:pPr>
        <w:spacing w:after="0" w:line="240" w:lineRule="auto"/>
      </w:pPr>
      <w:r>
        <w:continuationSeparator/>
      </w:r>
    </w:p>
  </w:footnote>
  <w:footnote w:type="continuationNotice" w:id="1">
    <w:p w14:paraId="5877F9A9" w14:textId="77777777" w:rsidR="00306699" w:rsidRDefault="00F72DAF">
      <w:pPr>
        <w:spacing w:after="0" w:line="240" w:lineRule="auto"/>
      </w:pPr>
    </w:p>
  </w:footnote>
  <w:footnote w:id="2">
    <w:p w14:paraId="19178167" w14:textId="77777777" w:rsidR="1D770636" w:rsidRDefault="00F72DAF" w:rsidP="1D770636">
      <w:pPr>
        <w:pStyle w:val="FootnoteText"/>
      </w:pPr>
      <w:r w:rsidRPr="00FA2D10">
        <w:rPr>
          <w:rStyle w:val="FootnoteReference"/>
          <w:rFonts w:ascii="Century Schoolbook" w:hAnsi="Century Schoolbook"/>
          <w:sz w:val="26"/>
          <w:szCs w:val="26"/>
        </w:rPr>
        <w:footnoteRef/>
      </w:r>
      <w:r w:rsidRPr="00FA2D10">
        <w:rPr>
          <w:rFonts w:ascii="Century Schoolbook" w:hAnsi="Century Schoolbook"/>
          <w:sz w:val="26"/>
          <w:szCs w:val="26"/>
        </w:rPr>
        <w:t xml:space="preserve"> </w:t>
      </w:r>
      <w:r>
        <w:tab/>
      </w:r>
      <w:r w:rsidRPr="1D770636">
        <w:rPr>
          <w:rFonts w:ascii="Century Schoolbook" w:eastAsia="Century Schoolbook" w:hAnsi="Century Schoolbook" w:cs="Century Schoolbook"/>
          <w:sz w:val="26"/>
          <w:szCs w:val="26"/>
        </w:rPr>
        <w:t xml:space="preserve">All further statutory references are to the Labor Code unless otherwise </w:t>
      </w:r>
      <w:r w:rsidRPr="1D770636">
        <w:rPr>
          <w:rFonts w:ascii="Century Schoolbook" w:eastAsia="Century Schoolbook" w:hAnsi="Century Schoolbook" w:cs="Century Schoolbook"/>
          <w:sz w:val="26"/>
          <w:szCs w:val="26"/>
        </w:rPr>
        <w:t>indicated.</w:t>
      </w:r>
    </w:p>
  </w:footnote>
  <w:footnote w:id="3">
    <w:p w14:paraId="35CC0B82" w14:textId="77777777" w:rsidR="1D770636" w:rsidRDefault="00F72DAF" w:rsidP="1D770636">
      <w:pPr>
        <w:pStyle w:val="FootnoteText"/>
      </w:pPr>
      <w:r w:rsidRPr="00FA2D10">
        <w:rPr>
          <w:rStyle w:val="FootnoteReference"/>
          <w:rFonts w:ascii="Century Schoolbook" w:hAnsi="Century Schoolbook"/>
          <w:sz w:val="26"/>
          <w:szCs w:val="26"/>
        </w:rPr>
        <w:footnoteRef/>
      </w:r>
      <w:r w:rsidRPr="00FA2D10">
        <w:rPr>
          <w:rFonts w:ascii="Century Schoolbook" w:hAnsi="Century Schoolbook"/>
          <w:sz w:val="26"/>
          <w:szCs w:val="26"/>
        </w:rPr>
        <w:t xml:space="preserve"> </w:t>
      </w:r>
      <w:r>
        <w:tab/>
      </w:r>
      <w:r w:rsidRPr="00306699">
        <w:rPr>
          <w:rFonts w:ascii="Century Schoolbook" w:eastAsia="Century Schoolbook" w:hAnsi="Century Schoolbook" w:cs="Century Schoolbook"/>
          <w:color w:val="000000"/>
          <w:sz w:val="26"/>
          <w:szCs w:val="26"/>
        </w:rPr>
        <w:t xml:space="preserve">Seifu later amended his complaint to add three other drivers as named plaintiffs, as well as additional claims.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This appeal concerns only Seifu’s PAGA claim, the thirteenth cause of action in the operative Third Amended Complaint. </w:t>
      </w:r>
    </w:p>
  </w:footnote>
  <w:footnote w:id="4">
    <w:p w14:paraId="6FE251D1" w14:textId="77777777" w:rsidR="00C48EA0" w:rsidRPr="008057E7" w:rsidRDefault="00F72DAF" w:rsidP="00C48EA0">
      <w:pPr>
        <w:pStyle w:val="FootnoteText"/>
        <w:rPr>
          <w:sz w:val="26"/>
          <w:szCs w:val="26"/>
        </w:rPr>
      </w:pPr>
      <w:r w:rsidRPr="008057E7">
        <w:rPr>
          <w:rStyle w:val="FootnoteReference"/>
          <w:sz w:val="26"/>
          <w:szCs w:val="26"/>
        </w:rPr>
        <w:footnoteRef/>
      </w:r>
      <w:r w:rsidRPr="008057E7">
        <w:rPr>
          <w:sz w:val="26"/>
          <w:szCs w:val="26"/>
        </w:rPr>
        <w:t xml:space="preserve"> </w:t>
      </w:r>
      <w:r w:rsidRPr="008057E7">
        <w:rPr>
          <w:sz w:val="26"/>
          <w:szCs w:val="26"/>
        </w:rPr>
        <w:tab/>
      </w:r>
      <w:r w:rsidRPr="00306699">
        <w:rPr>
          <w:rFonts w:ascii="Century Schoolbook" w:eastAsia="Century Schoolbook" w:hAnsi="Century Schoolbook" w:cs="Century Schoolbook"/>
          <w:color w:val="000000"/>
          <w:sz w:val="26"/>
          <w:szCs w:val="26"/>
        </w:rPr>
        <w:t xml:space="preserve">The California Supreme Court has yet to decide the issue. </w:t>
      </w:r>
      <w:r w:rsidRPr="00306699">
        <w:rPr>
          <w:rFonts w:ascii="Century Schoolbook" w:eastAsia="Century Schoolbook" w:hAnsi="Century Schoolbook" w:cs="Century Schoolbook"/>
          <w:color w:val="000000"/>
          <w:sz w:val="26"/>
          <w:szCs w:val="26"/>
        </w:rPr>
        <w:t xml:space="preserve"> </w:t>
      </w:r>
      <w:r w:rsidRPr="00306699">
        <w:rPr>
          <w:rFonts w:ascii="Century Schoolbook" w:eastAsia="Century Schoolbook" w:hAnsi="Century Schoolbook" w:cs="Century Schoolbook"/>
          <w:color w:val="000000"/>
          <w:sz w:val="26"/>
          <w:szCs w:val="26"/>
        </w:rPr>
        <w:t xml:space="preserve">The court recently granted review in </w:t>
      </w:r>
      <w:r w:rsidRPr="00306699">
        <w:rPr>
          <w:rFonts w:ascii="Century Schoolbook" w:eastAsia="Century Schoolbook" w:hAnsi="Century Schoolbook" w:cs="Century Schoolbook"/>
          <w:i/>
          <w:iCs/>
          <w:color w:val="000000"/>
          <w:sz w:val="26"/>
          <w:szCs w:val="26"/>
        </w:rPr>
        <w:t>Adolph v. Uber Technologies, Inc</w:t>
      </w:r>
      <w:r w:rsidRPr="00306699">
        <w:rPr>
          <w:rFonts w:ascii="Century Schoolbook" w:eastAsia="Century Schoolbook" w:hAnsi="Century Schoolbook" w:cs="Century Schoolbook"/>
          <w:color w:val="000000"/>
          <w:sz w:val="26"/>
          <w:szCs w:val="26"/>
        </w:rPr>
        <w:t>., re</w:t>
      </w:r>
      <w:r w:rsidRPr="00306699">
        <w:rPr>
          <w:rFonts w:ascii="Century Schoolbook" w:eastAsia="Century Schoolbook" w:hAnsi="Century Schoolbook" w:cs="Century Schoolbook"/>
          <w:color w:val="000000"/>
          <w:sz w:val="26"/>
          <w:szCs w:val="26"/>
        </w:rPr>
        <w:t>view granted July 20, 2022, S274671, to consider “[w]hether an aggrieved employee who has been compelled to arbitrate claims under [PAGA] that are ‘premised on Labor Code violations actually sustained by’ the aggrieved employee [citations] maintains statut</w:t>
      </w:r>
      <w:r w:rsidRPr="00306699">
        <w:rPr>
          <w:rFonts w:ascii="Century Schoolbook" w:eastAsia="Century Schoolbook" w:hAnsi="Century Schoolbook" w:cs="Century Schoolbook"/>
          <w:color w:val="000000"/>
          <w:sz w:val="26"/>
          <w:szCs w:val="26"/>
        </w:rPr>
        <w:t>ory standing to pursue ‘PAGA claims arising out of events involving other employees’ [citation] in court or in any other forum the parties agree is suitable.”</w:t>
      </w:r>
    </w:p>
  </w:footnote>
  <w:footnote w:id="5">
    <w:p w14:paraId="5869A5BA" w14:textId="77777777" w:rsidR="005E5F63" w:rsidRPr="005E5F63" w:rsidRDefault="00F72DAF" w:rsidP="005E5F63">
      <w:pPr>
        <w:pStyle w:val="FootnoteText"/>
        <w:rPr>
          <w:rFonts w:ascii="Century Schoolbook" w:hAnsi="Century Schoolbook"/>
          <w:sz w:val="26"/>
          <w:szCs w:val="26"/>
        </w:rPr>
      </w:pPr>
      <w:r w:rsidRPr="005E5F63">
        <w:rPr>
          <w:rStyle w:val="FootnoteReference"/>
          <w:rFonts w:ascii="Symbol" w:eastAsia="Symbol" w:hAnsi="Symbol" w:cs="Symbol"/>
          <w:sz w:val="26"/>
          <w:szCs w:val="26"/>
        </w:rPr>
        <w:t>*</w:t>
      </w:r>
      <w:bookmarkStart w:id="4" w:name="_Hlk127434188"/>
      <w:r w:rsidRPr="005E5F63">
        <w:rPr>
          <w:rFonts w:ascii="Century Schoolbook" w:hAnsi="Century Schoolbook"/>
          <w:sz w:val="26"/>
          <w:szCs w:val="26"/>
        </w:rPr>
        <w:tab/>
        <w:t>Judge of the Los Angeles County Superior Court, assigned by the Chief Justice pursuant to artic</w:t>
      </w:r>
      <w:r w:rsidRPr="005E5F63">
        <w:rPr>
          <w:rFonts w:ascii="Century Schoolbook" w:hAnsi="Century Schoolbook"/>
          <w:sz w:val="26"/>
          <w:szCs w:val="26"/>
        </w:rPr>
        <w:t xml:space="preserve">le VI, section 6 of the California Constitution. </w:t>
      </w:r>
      <w:bookmarkEnd w:id="4"/>
    </w:p>
    <w:p w14:paraId="6807B280" w14:textId="77777777" w:rsidR="00220EA4" w:rsidRDefault="00F72D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D8C0" w14:textId="77777777" w:rsidR="008B43B1" w:rsidRDefault="00F72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84C" w14:textId="77777777" w:rsidR="008B43B1" w:rsidRDefault="00F72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B820" w14:textId="77777777" w:rsidR="008B43B1" w:rsidRDefault="00F7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20"/>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5130"/>
    <w:rsid w:val="000A5130"/>
    <w:rsid w:val="003B3FEB"/>
    <w:rsid w:val="005A528F"/>
    <w:rsid w:val="00F7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character" w:customStyle="1" w:styleId="FootnoteTextChar">
    <w:name w:val="Footnote Text Char"/>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4D5EF0"/>
    <w:pPr>
      <w:tabs>
        <w:tab w:val="center" w:pos="4680"/>
        <w:tab w:val="right" w:pos="9360"/>
      </w:tabs>
      <w:spacing w:after="0" w:line="240" w:lineRule="auto"/>
    </w:pPr>
  </w:style>
  <w:style w:type="character" w:customStyle="1" w:styleId="HeaderChar">
    <w:name w:val="Header Char"/>
    <w:link w:val="Header"/>
    <w:uiPriority w:val="99"/>
    <w:rsid w:val="004D5EF0"/>
    <w:rPr>
      <w:rFonts w:ascii="Calibri" w:eastAsia="Calibri" w:hAnsi="Calibri" w:cs="Times New Roman"/>
    </w:rPr>
  </w:style>
  <w:style w:type="paragraph" w:styleId="BodyText">
    <w:name w:val="Body Text"/>
    <w:basedOn w:val="Normal"/>
    <w:link w:val="BodyTextChar"/>
    <w:rsid w:val="004D5EF0"/>
    <w:pPr>
      <w:spacing w:after="0" w:line="240" w:lineRule="auto"/>
    </w:pPr>
    <w:rPr>
      <w:rFonts w:ascii="Times New Roman" w:eastAsia="Times New Roman" w:hAnsi="Times New Roman"/>
      <w:sz w:val="28"/>
      <w:szCs w:val="24"/>
    </w:rPr>
  </w:style>
  <w:style w:type="character" w:customStyle="1" w:styleId="BodyTextChar">
    <w:name w:val="Body Text Char"/>
    <w:link w:val="BodyText"/>
    <w:rsid w:val="004D5EF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4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21464</Characters>
  <Application>Microsoft Office Word</Application>
  <DocSecurity>0</DocSecurity>
  <Lines>406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2023-03-30T19:25:00Z</dcterms:created>
  <dcterms:modified xsi:type="dcterms:W3CDTF">2023-03-30T19:25:00Z</dcterms:modified>
  <cp:category/>
</cp:coreProperties>
</file>