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4E4E92" w:rsidRPr="004E4E92" w:rsidP="004E4E92" w14:paraId="6B47816B" w14:textId="7F011625">
      <w:pPr>
        <w:spacing w:line="240" w:lineRule="auto"/>
        <w:rPr>
          <w:sz w:val="20"/>
          <w:szCs w:val="16"/>
        </w:rPr>
      </w:pPr>
      <w:r>
        <w:rPr>
          <w:sz w:val="20"/>
          <w:szCs w:val="16"/>
        </w:rPr>
        <w:t>F</w:t>
      </w:r>
      <w:r w:rsidR="00A03D3D">
        <w:rPr>
          <w:sz w:val="20"/>
          <w:szCs w:val="16"/>
        </w:rPr>
        <w:t>iled</w:t>
      </w:r>
      <w:r>
        <w:rPr>
          <w:sz w:val="20"/>
          <w:szCs w:val="16"/>
        </w:rPr>
        <w:t xml:space="preserve"> 2/27/23</w:t>
      </w:r>
      <w:r w:rsidR="00CC61B6">
        <w:rPr>
          <w:sz w:val="20"/>
          <w:szCs w:val="16"/>
        </w:rPr>
        <w:t xml:space="preserve"> (opinion on remand from Supreme Court)</w:t>
      </w:r>
    </w:p>
    <w:p w:rsidR="00891555" w:rsidP="00891555" w14:paraId="65F0F0AD" w14:textId="5DB45C58">
      <w:pPr>
        <w:spacing w:line="240" w:lineRule="auto"/>
        <w:jc w:val="center"/>
        <w:rPr>
          <w:b/>
          <w:bCs/>
        </w:rPr>
      </w:pPr>
      <w:r>
        <w:rPr>
          <w:b/>
          <w:bCs/>
        </w:rPr>
        <w:t>CERTIFIED FOR PUBLICATION</w:t>
      </w:r>
    </w:p>
    <w:p w:rsidR="00CF6348" w:rsidP="00891555" w14:paraId="2CC8A513" w14:textId="77777777">
      <w:pPr>
        <w:spacing w:line="240" w:lineRule="auto"/>
        <w:jc w:val="center"/>
        <w:rPr>
          <w:b/>
          <w:bCs/>
        </w:rPr>
      </w:pPr>
    </w:p>
    <w:p w:rsidR="006F6B0B" w:rsidP="006F6B0B" w14:paraId="09086442" w14:textId="2871A791">
      <w:pPr>
        <w:spacing w:line="240" w:lineRule="auto"/>
        <w:jc w:val="center"/>
      </w:pPr>
      <w:r w:rsidRPr="004F080B">
        <w:t>IN THE COURT OF APPEAL OF THE STATE OF CALIFORNIA</w:t>
      </w:r>
    </w:p>
    <w:p w:rsidR="00CF6348" w:rsidRPr="004F080B" w:rsidP="006F6B0B" w14:paraId="2B361B1A" w14:textId="77777777">
      <w:pPr>
        <w:spacing w:line="240" w:lineRule="auto"/>
        <w:jc w:val="center"/>
      </w:pPr>
    </w:p>
    <w:p w:rsidR="006F6B0B" w:rsidP="006F6B0B" w14:paraId="21FAF246" w14:textId="55BA7B7A">
      <w:pPr>
        <w:spacing w:line="240" w:lineRule="auto"/>
        <w:jc w:val="center"/>
      </w:pPr>
      <w:r w:rsidRPr="004F080B">
        <w:t>SECOND APPELLATE DISTRICT</w:t>
      </w:r>
    </w:p>
    <w:p w:rsidR="00CF6348" w:rsidRPr="004F080B" w:rsidP="006F6B0B" w14:paraId="6E1FD8A6" w14:textId="77777777">
      <w:pPr>
        <w:spacing w:line="240" w:lineRule="auto"/>
        <w:jc w:val="center"/>
      </w:pPr>
    </w:p>
    <w:p w:rsidR="006F6B0B" w:rsidP="006F6B0B" w14:paraId="332D270B" w14:textId="77777777">
      <w:pPr>
        <w:spacing w:line="240" w:lineRule="auto"/>
        <w:jc w:val="center"/>
      </w:pPr>
      <w:r w:rsidRPr="004F080B">
        <w:t>DIVISION FOUR</w:t>
      </w:r>
    </w:p>
    <w:p w:rsidR="009530E4" w:rsidRPr="00295B9F" w:rsidP="009530E4" w14:paraId="21E35085" w14:textId="77777777">
      <w:pPr>
        <w:spacing w:after="360" w:line="280" w:lineRule="exact"/>
        <w:jc w:val="center"/>
        <w:rPr>
          <w:rFonts w:eastAsia="Times New Roman"/>
          <w:caps/>
          <w:kern w:val="24"/>
        </w:rPr>
      </w:pPr>
    </w:p>
    <w:tbl>
      <w:tblPr>
        <w:tblW w:w="53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36"/>
        <w:gridCol w:w="3883"/>
      </w:tblGrid>
      <w:tr w14:paraId="427E9CAA" w14:textId="77777777" w:rsidTr="00E7187C">
        <w:tblPrEx>
          <w:tblW w:w="53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375"/>
        </w:trPr>
        <w:tc>
          <w:tcPr>
            <w:tcW w:w="2721" w:type="pct"/>
            <w:tcBorders>
              <w:top w:val="nil"/>
              <w:left w:val="nil"/>
            </w:tcBorders>
          </w:tcPr>
          <w:p w:rsidR="00212D43" w:rsidRPr="00295B9F" w:rsidP="009530E4" w14:paraId="2894D323" w14:textId="56C756A2">
            <w:pPr>
              <w:tabs>
                <w:tab w:val="left" w:pos="547"/>
              </w:tabs>
              <w:spacing w:after="240" w:line="320" w:lineRule="exact"/>
              <w:rPr>
                <w:rFonts w:eastAsia="Times New Roman"/>
                <w:kern w:val="2"/>
                <w:szCs w:val="26"/>
              </w:rPr>
            </w:pPr>
            <w:r w:rsidRPr="00295B9F">
              <w:rPr>
                <w:rFonts w:eastAsia="Times New Roman"/>
                <w:kern w:val="2"/>
                <w:szCs w:val="26"/>
              </w:rPr>
              <w:t>GUSTAVO NARANJO et al.,</w:t>
            </w:r>
          </w:p>
          <w:p w:rsidR="00212D43" w:rsidRPr="00295B9F" w:rsidP="009530E4" w14:paraId="7074B0DE" w14:textId="18FBC23E">
            <w:pPr>
              <w:tabs>
                <w:tab w:val="left" w:pos="547"/>
              </w:tabs>
              <w:spacing w:after="240" w:line="320" w:lineRule="exact"/>
              <w:rPr>
                <w:rFonts w:eastAsia="Times New Roman"/>
                <w:kern w:val="2"/>
                <w:szCs w:val="26"/>
              </w:rPr>
            </w:pPr>
            <w:r w:rsidRPr="00295B9F">
              <w:rPr>
                <w:rFonts w:eastAsia="Times New Roman"/>
                <w:kern w:val="2"/>
                <w:szCs w:val="26"/>
              </w:rPr>
              <w:t xml:space="preserve">      </w:t>
            </w:r>
            <w:r w:rsidRPr="00295B9F" w:rsidR="00E7187C">
              <w:rPr>
                <w:rFonts w:eastAsia="Times New Roman"/>
                <w:kern w:val="2"/>
                <w:szCs w:val="26"/>
              </w:rPr>
              <w:t>Plaintiff</w:t>
            </w:r>
            <w:r w:rsidRPr="00295B9F" w:rsidR="00F1004B">
              <w:rPr>
                <w:rFonts w:eastAsia="Times New Roman"/>
                <w:kern w:val="2"/>
                <w:szCs w:val="26"/>
              </w:rPr>
              <w:t>s</w:t>
            </w:r>
            <w:r w:rsidRPr="00295B9F" w:rsidR="00E7187C">
              <w:rPr>
                <w:rFonts w:eastAsia="Times New Roman"/>
                <w:kern w:val="2"/>
                <w:szCs w:val="26"/>
              </w:rPr>
              <w:t xml:space="preserve"> and </w:t>
            </w:r>
            <w:r w:rsidRPr="00295B9F" w:rsidR="00F1004B">
              <w:rPr>
                <w:rFonts w:eastAsia="Times New Roman"/>
                <w:kern w:val="2"/>
                <w:szCs w:val="26"/>
              </w:rPr>
              <w:t>Appellants</w:t>
            </w:r>
            <w:r w:rsidRPr="00295B9F" w:rsidR="00BE658C">
              <w:rPr>
                <w:rFonts w:eastAsia="Times New Roman"/>
                <w:kern w:val="2"/>
                <w:szCs w:val="26"/>
              </w:rPr>
              <w:t>,</w:t>
            </w:r>
          </w:p>
          <w:p w:rsidR="009530E4" w:rsidRPr="00295B9F" w:rsidP="009530E4" w14:paraId="47B2159B" w14:textId="77777777">
            <w:pPr>
              <w:tabs>
                <w:tab w:val="left" w:pos="547"/>
              </w:tabs>
              <w:spacing w:after="240" w:line="320" w:lineRule="exact"/>
              <w:rPr>
                <w:rFonts w:eastAsia="Times New Roman"/>
                <w:kern w:val="2"/>
                <w:szCs w:val="26"/>
              </w:rPr>
            </w:pPr>
            <w:r w:rsidRPr="00295B9F">
              <w:rPr>
                <w:rFonts w:eastAsia="Times New Roman"/>
                <w:kern w:val="2"/>
                <w:szCs w:val="26"/>
              </w:rPr>
              <w:tab/>
              <w:t>v.</w:t>
            </w:r>
          </w:p>
          <w:p w:rsidR="004D4B8B" w:rsidRPr="00295B9F" w:rsidP="004D4B8B" w14:paraId="581F385A" w14:textId="1B3585A2">
            <w:pPr>
              <w:tabs>
                <w:tab w:val="left" w:pos="547"/>
              </w:tabs>
              <w:spacing w:after="240" w:line="320" w:lineRule="exact"/>
              <w:rPr>
                <w:rFonts w:eastAsia="Times New Roman"/>
                <w:kern w:val="2"/>
                <w:szCs w:val="26"/>
              </w:rPr>
            </w:pPr>
            <w:r w:rsidRPr="00295B9F">
              <w:rPr>
                <w:rFonts w:eastAsia="Times New Roman"/>
                <w:kern w:val="2"/>
                <w:szCs w:val="26"/>
              </w:rPr>
              <w:t>SPECTRUM SECURITY SERVICES, INC.,</w:t>
            </w:r>
          </w:p>
          <w:p w:rsidR="009530E4" w:rsidRPr="00295B9F" w:rsidP="009530E4" w14:paraId="41BE415F" w14:textId="72A00745">
            <w:pPr>
              <w:tabs>
                <w:tab w:val="left" w:pos="547"/>
              </w:tabs>
              <w:spacing w:after="240" w:line="320" w:lineRule="exact"/>
              <w:rPr>
                <w:rFonts w:eastAsia="Times New Roman"/>
                <w:kern w:val="2"/>
                <w:szCs w:val="26"/>
              </w:rPr>
            </w:pPr>
            <w:r w:rsidRPr="00295B9F">
              <w:rPr>
                <w:rFonts w:eastAsia="Times New Roman"/>
                <w:kern w:val="2"/>
                <w:szCs w:val="26"/>
              </w:rPr>
              <w:tab/>
            </w:r>
            <w:r w:rsidRPr="00295B9F" w:rsidR="00E7187C">
              <w:rPr>
                <w:rFonts w:eastAsia="Times New Roman"/>
                <w:kern w:val="2"/>
                <w:szCs w:val="26"/>
              </w:rPr>
              <w:t xml:space="preserve">Defendant and </w:t>
            </w:r>
            <w:r w:rsidRPr="00295B9F" w:rsidR="00BE658C">
              <w:rPr>
                <w:rFonts w:eastAsia="Times New Roman"/>
                <w:kern w:val="2"/>
                <w:szCs w:val="26"/>
              </w:rPr>
              <w:t>Appellant</w:t>
            </w:r>
            <w:r w:rsidRPr="00295B9F">
              <w:rPr>
                <w:rFonts w:eastAsia="Times New Roman"/>
                <w:kern w:val="2"/>
                <w:szCs w:val="26"/>
              </w:rPr>
              <w:t>.</w:t>
            </w:r>
          </w:p>
        </w:tc>
        <w:tc>
          <w:tcPr>
            <w:tcW w:w="2279" w:type="pct"/>
            <w:tcBorders>
              <w:top w:val="nil"/>
              <w:bottom w:val="nil"/>
              <w:right w:val="nil"/>
            </w:tcBorders>
          </w:tcPr>
          <w:p w:rsidR="009530E4" w:rsidRPr="00295B9F" w:rsidP="009530E4" w14:paraId="3ADEC316" w14:textId="7AD933E0">
            <w:pPr>
              <w:tabs>
                <w:tab w:val="left" w:pos="1962"/>
              </w:tabs>
              <w:spacing w:before="120" w:after="240" w:line="320" w:lineRule="exact"/>
              <w:ind w:left="346"/>
              <w:rPr>
                <w:rFonts w:eastAsia="Times New Roman"/>
                <w:kern w:val="2"/>
                <w:szCs w:val="26"/>
              </w:rPr>
            </w:pPr>
            <w:r w:rsidRPr="00295B9F">
              <w:rPr>
                <w:rFonts w:eastAsia="Times New Roman"/>
                <w:kern w:val="2"/>
                <w:szCs w:val="26"/>
              </w:rPr>
              <w:t>B</w:t>
            </w:r>
            <w:r w:rsidRPr="00295B9F" w:rsidR="007F4645">
              <w:rPr>
                <w:rFonts w:eastAsia="Times New Roman"/>
                <w:kern w:val="2"/>
                <w:szCs w:val="26"/>
              </w:rPr>
              <w:t>256232</w:t>
            </w:r>
          </w:p>
          <w:p w:rsidR="009530E4" w:rsidRPr="00295B9F" w:rsidP="009530E4" w14:paraId="0EEEFA36" w14:textId="77777777">
            <w:pPr>
              <w:tabs>
                <w:tab w:val="left" w:pos="1962"/>
              </w:tabs>
              <w:spacing w:line="320" w:lineRule="exact"/>
              <w:ind w:left="342"/>
              <w:rPr>
                <w:rFonts w:eastAsia="Times New Roman"/>
                <w:kern w:val="2"/>
                <w:szCs w:val="26"/>
              </w:rPr>
            </w:pPr>
            <w:r w:rsidRPr="00295B9F">
              <w:rPr>
                <w:rFonts w:eastAsia="Times New Roman"/>
                <w:kern w:val="2"/>
                <w:szCs w:val="26"/>
              </w:rPr>
              <w:t>(Los Angeles County</w:t>
            </w:r>
          </w:p>
          <w:p w:rsidR="009530E4" w:rsidRPr="00295B9F" w:rsidP="009530E4" w14:paraId="0101AD95" w14:textId="02ADF77C">
            <w:pPr>
              <w:tabs>
                <w:tab w:val="left" w:pos="1962"/>
              </w:tabs>
              <w:spacing w:after="240" w:line="320" w:lineRule="exact"/>
              <w:ind w:left="346"/>
              <w:rPr>
                <w:rFonts w:eastAsia="Times New Roman"/>
                <w:kern w:val="2"/>
                <w:szCs w:val="26"/>
              </w:rPr>
            </w:pPr>
            <w:r w:rsidRPr="00295B9F">
              <w:rPr>
                <w:rFonts w:eastAsia="Times New Roman"/>
                <w:kern w:val="2"/>
                <w:szCs w:val="26"/>
              </w:rPr>
              <w:t>Super. Ct. No.</w:t>
            </w:r>
            <w:r w:rsidRPr="00295B9F" w:rsidR="00E623C2">
              <w:rPr>
                <w:rFonts w:eastAsia="Times New Roman"/>
                <w:kern w:val="2"/>
                <w:szCs w:val="26"/>
              </w:rPr>
              <w:t xml:space="preserve"> </w:t>
            </w:r>
            <w:r w:rsidRPr="00295B9F" w:rsidR="007F4645">
              <w:rPr>
                <w:rFonts w:eastAsia="Times New Roman"/>
                <w:kern w:val="2"/>
                <w:szCs w:val="26"/>
              </w:rPr>
              <w:t>BC372146</w:t>
            </w:r>
            <w:r w:rsidRPr="00295B9F" w:rsidR="00487ACD">
              <w:rPr>
                <w:rFonts w:eastAsia="Times New Roman"/>
                <w:kern w:val="2"/>
                <w:szCs w:val="26"/>
              </w:rPr>
              <w:t>)</w:t>
            </w:r>
          </w:p>
          <w:p w:rsidR="009530E4" w:rsidRPr="00295B9F" w:rsidP="009530E4" w14:paraId="386CD6F1" w14:textId="77777777">
            <w:pPr>
              <w:tabs>
                <w:tab w:val="left" w:pos="1962"/>
              </w:tabs>
              <w:spacing w:before="360" w:after="240" w:line="320" w:lineRule="exact"/>
              <w:ind w:left="346"/>
              <w:rPr>
                <w:rFonts w:eastAsia="Times New Roman"/>
                <w:b/>
                <w:kern w:val="2"/>
                <w:szCs w:val="26"/>
              </w:rPr>
            </w:pPr>
          </w:p>
        </w:tc>
      </w:tr>
    </w:tbl>
    <w:p w:rsidR="00F8606C" w:rsidRPr="00295B9F" w:rsidP="00F8606C" w14:paraId="0E4D0525" w14:textId="6910EEF7">
      <w:pPr>
        <w:spacing w:before="480"/>
        <w:ind w:firstLine="720"/>
        <w:rPr>
          <w:rFonts w:eastAsia="Times New Roman"/>
          <w:kern w:val="2"/>
          <w:szCs w:val="26"/>
        </w:rPr>
      </w:pPr>
      <w:r w:rsidRPr="00295B9F">
        <w:rPr>
          <w:rFonts w:eastAsia="Times New Roman"/>
          <w:kern w:val="2"/>
          <w:szCs w:val="26"/>
        </w:rPr>
        <w:t>APPEAL</w:t>
      </w:r>
      <w:r w:rsidRPr="00295B9F" w:rsidR="009074D1">
        <w:rPr>
          <w:rFonts w:eastAsia="Times New Roman"/>
          <w:kern w:val="2"/>
          <w:szCs w:val="26"/>
        </w:rPr>
        <w:t xml:space="preserve"> and cross-appeal</w:t>
      </w:r>
      <w:r w:rsidRPr="00295B9F">
        <w:rPr>
          <w:rFonts w:eastAsia="Times New Roman"/>
          <w:kern w:val="2"/>
          <w:szCs w:val="26"/>
        </w:rPr>
        <w:t xml:space="preserve"> from</w:t>
      </w:r>
      <w:r w:rsidRPr="00295B9F" w:rsidR="001D762A">
        <w:rPr>
          <w:rFonts w:eastAsia="Times New Roman"/>
          <w:kern w:val="2"/>
          <w:szCs w:val="26"/>
        </w:rPr>
        <w:t xml:space="preserve"> a</w:t>
      </w:r>
      <w:r w:rsidRPr="00295B9F" w:rsidR="00575960">
        <w:rPr>
          <w:rFonts w:eastAsia="Times New Roman"/>
          <w:kern w:val="2"/>
          <w:szCs w:val="26"/>
        </w:rPr>
        <w:t xml:space="preserve"> </w:t>
      </w:r>
      <w:r w:rsidRPr="00295B9F" w:rsidR="009074D1">
        <w:rPr>
          <w:rFonts w:eastAsia="Times New Roman"/>
          <w:kern w:val="2"/>
          <w:szCs w:val="26"/>
        </w:rPr>
        <w:t>judgment</w:t>
      </w:r>
      <w:r w:rsidRPr="00295B9F" w:rsidR="00CD35D2">
        <w:rPr>
          <w:rFonts w:eastAsia="Times New Roman"/>
          <w:kern w:val="2"/>
          <w:szCs w:val="26"/>
        </w:rPr>
        <w:t xml:space="preserve"> </w:t>
      </w:r>
      <w:r w:rsidRPr="00295B9F">
        <w:rPr>
          <w:rFonts w:eastAsia="Times New Roman"/>
          <w:kern w:val="2"/>
          <w:szCs w:val="26"/>
        </w:rPr>
        <w:t xml:space="preserve">of the Superior Court of Los Angeles County, </w:t>
      </w:r>
      <w:r w:rsidRPr="00295B9F" w:rsidR="00025687">
        <w:rPr>
          <w:rFonts w:eastAsia="Times New Roman"/>
          <w:kern w:val="2"/>
          <w:szCs w:val="26"/>
        </w:rPr>
        <w:t>Barbara M</w:t>
      </w:r>
      <w:r w:rsidRPr="00295B9F" w:rsidR="009F6BA9">
        <w:rPr>
          <w:rFonts w:eastAsia="Times New Roman"/>
          <w:kern w:val="2"/>
          <w:szCs w:val="26"/>
        </w:rPr>
        <w:t>arie</w:t>
      </w:r>
      <w:r w:rsidRPr="00295B9F" w:rsidR="00025687">
        <w:rPr>
          <w:rFonts w:eastAsia="Times New Roman"/>
          <w:kern w:val="2"/>
          <w:szCs w:val="26"/>
        </w:rPr>
        <w:t xml:space="preserve"> S</w:t>
      </w:r>
      <w:r w:rsidRPr="00295B9F" w:rsidR="006F2B4A">
        <w:rPr>
          <w:rFonts w:eastAsia="Times New Roman"/>
          <w:kern w:val="2"/>
          <w:szCs w:val="26"/>
        </w:rPr>
        <w:t>c</w:t>
      </w:r>
      <w:r w:rsidRPr="00295B9F" w:rsidR="00025687">
        <w:rPr>
          <w:rFonts w:eastAsia="Times New Roman"/>
          <w:kern w:val="2"/>
          <w:szCs w:val="26"/>
        </w:rPr>
        <w:t>heper</w:t>
      </w:r>
      <w:r w:rsidRPr="00295B9F">
        <w:rPr>
          <w:rFonts w:eastAsia="Times New Roman"/>
          <w:kern w:val="2"/>
          <w:szCs w:val="26"/>
        </w:rPr>
        <w:t>, Judge.</w:t>
      </w:r>
      <w:r w:rsidRPr="00295B9F" w:rsidR="00122C5C">
        <w:rPr>
          <w:rFonts w:eastAsia="Times New Roman"/>
          <w:kern w:val="2"/>
          <w:szCs w:val="26"/>
        </w:rPr>
        <w:t xml:space="preserve"> </w:t>
      </w:r>
      <w:r w:rsidRPr="00295B9F" w:rsidR="007F6D15">
        <w:rPr>
          <w:rFonts w:eastAsia="Times New Roman"/>
          <w:kern w:val="2"/>
          <w:szCs w:val="26"/>
        </w:rPr>
        <w:t>Affirmed in part and reversed in part</w:t>
      </w:r>
      <w:r w:rsidRPr="00295B9F" w:rsidR="007C122A">
        <w:rPr>
          <w:rFonts w:eastAsia="Times New Roman"/>
          <w:kern w:val="2"/>
          <w:szCs w:val="26"/>
        </w:rPr>
        <w:t xml:space="preserve"> with directions</w:t>
      </w:r>
      <w:r w:rsidRPr="00295B9F" w:rsidR="007F6D15">
        <w:rPr>
          <w:rFonts w:eastAsia="Times New Roman"/>
          <w:kern w:val="2"/>
          <w:szCs w:val="26"/>
        </w:rPr>
        <w:t>.</w:t>
      </w:r>
    </w:p>
    <w:p w:rsidR="003649D8" w:rsidRPr="00295B9F" w:rsidP="003649D8" w14:paraId="797ECCE9" w14:textId="38536848">
      <w:pPr>
        <w:ind w:firstLine="720"/>
        <w:rPr>
          <w:rFonts w:eastAsia="Times New Roman"/>
          <w:kern w:val="2"/>
          <w:szCs w:val="26"/>
        </w:rPr>
      </w:pPr>
      <w:r w:rsidRPr="00295B9F">
        <w:rPr>
          <w:rFonts w:eastAsia="Times New Roman"/>
          <w:kern w:val="2"/>
          <w:szCs w:val="26"/>
        </w:rPr>
        <w:t xml:space="preserve">Rosen Marsili Rapp, Howard Z. Rosen, Jason C. Marsili and </w:t>
      </w:r>
      <w:r w:rsidRPr="00295B9F" w:rsidR="00B56E4D">
        <w:rPr>
          <w:rFonts w:eastAsia="Times New Roman"/>
          <w:kern w:val="2"/>
          <w:szCs w:val="26"/>
        </w:rPr>
        <w:t>Brianna Primozic Rapp</w:t>
      </w:r>
      <w:r w:rsidRPr="00295B9F" w:rsidR="00BA2872">
        <w:rPr>
          <w:rFonts w:eastAsia="Times New Roman"/>
          <w:kern w:val="2"/>
          <w:szCs w:val="26"/>
        </w:rPr>
        <w:t xml:space="preserve"> </w:t>
      </w:r>
      <w:r w:rsidRPr="00295B9F" w:rsidR="006F3C99">
        <w:rPr>
          <w:rFonts w:eastAsia="Times New Roman"/>
          <w:kern w:val="2"/>
          <w:szCs w:val="26"/>
        </w:rPr>
        <w:t xml:space="preserve">for </w:t>
      </w:r>
      <w:r w:rsidRPr="00295B9F" w:rsidR="00040457">
        <w:rPr>
          <w:rFonts w:eastAsia="Times New Roman"/>
          <w:kern w:val="2"/>
          <w:szCs w:val="26"/>
        </w:rPr>
        <w:t>Plaintiffs</w:t>
      </w:r>
      <w:r w:rsidRPr="00295B9F" w:rsidR="00623BE2">
        <w:rPr>
          <w:rFonts w:eastAsia="Times New Roman"/>
          <w:kern w:val="2"/>
          <w:szCs w:val="26"/>
        </w:rPr>
        <w:t xml:space="preserve"> and </w:t>
      </w:r>
      <w:r w:rsidRPr="00295B9F" w:rsidR="00BE658C">
        <w:rPr>
          <w:rFonts w:eastAsia="Times New Roman"/>
          <w:kern w:val="2"/>
          <w:szCs w:val="26"/>
        </w:rPr>
        <w:t>Appellant</w:t>
      </w:r>
      <w:r w:rsidRPr="00295B9F" w:rsidR="00C12092">
        <w:rPr>
          <w:rFonts w:eastAsia="Times New Roman"/>
          <w:kern w:val="2"/>
          <w:szCs w:val="26"/>
        </w:rPr>
        <w:t>s</w:t>
      </w:r>
      <w:r w:rsidRPr="00295B9F" w:rsidR="005D6955">
        <w:rPr>
          <w:rFonts w:eastAsia="Times New Roman"/>
          <w:kern w:val="2"/>
          <w:szCs w:val="26"/>
        </w:rPr>
        <w:t>.</w:t>
      </w:r>
      <w:r w:rsidRPr="00295B9F">
        <w:rPr>
          <w:rFonts w:eastAsia="Times New Roman"/>
          <w:kern w:val="2"/>
          <w:szCs w:val="26"/>
        </w:rPr>
        <w:t xml:space="preserve"> </w:t>
      </w:r>
    </w:p>
    <w:p w:rsidR="003649D8" w:rsidRPr="00295B9F" w:rsidP="003649D8" w14:paraId="1087F099" w14:textId="7AEDEED5">
      <w:pPr>
        <w:ind w:firstLine="720"/>
        <w:rPr>
          <w:rFonts w:eastAsia="Times New Roman"/>
          <w:kern w:val="2"/>
          <w:szCs w:val="26"/>
        </w:rPr>
      </w:pPr>
      <w:r w:rsidRPr="00295B9F">
        <w:rPr>
          <w:rFonts w:eastAsia="Times New Roman"/>
          <w:kern w:val="2"/>
          <w:szCs w:val="26"/>
        </w:rPr>
        <w:t xml:space="preserve">Duane Morris, Robert D. Eassa, Paul J. Killion, Sarah </w:t>
      </w:r>
      <w:r w:rsidRPr="00295B9F" w:rsidR="003F5042">
        <w:rPr>
          <w:rFonts w:eastAsia="Times New Roman"/>
          <w:kern w:val="2"/>
          <w:szCs w:val="26"/>
        </w:rPr>
        <w:t xml:space="preserve">A. </w:t>
      </w:r>
      <w:r w:rsidRPr="00295B9F">
        <w:rPr>
          <w:rFonts w:eastAsia="Times New Roman"/>
          <w:kern w:val="2"/>
          <w:szCs w:val="26"/>
        </w:rPr>
        <w:t>Gilbert; Tremblay Beck Law</w:t>
      </w:r>
      <w:r w:rsidRPr="00295B9F" w:rsidR="009F6BA9">
        <w:rPr>
          <w:rFonts w:eastAsia="Times New Roman"/>
          <w:kern w:val="2"/>
          <w:szCs w:val="26"/>
        </w:rPr>
        <w:t xml:space="preserve"> and</w:t>
      </w:r>
      <w:r w:rsidRPr="00295B9F">
        <w:rPr>
          <w:rFonts w:eastAsia="Times New Roman"/>
          <w:kern w:val="2"/>
          <w:szCs w:val="26"/>
        </w:rPr>
        <w:t xml:space="preserve"> David Carot</w:t>
      </w:r>
      <w:r w:rsidRPr="00295B9F" w:rsidR="00364E3E">
        <w:rPr>
          <w:rFonts w:eastAsia="Times New Roman"/>
          <w:kern w:val="2"/>
          <w:szCs w:val="26"/>
        </w:rPr>
        <w:t>hers</w:t>
      </w:r>
      <w:r w:rsidRPr="00295B9F" w:rsidR="008E17F9">
        <w:rPr>
          <w:rFonts w:eastAsia="Times New Roman"/>
          <w:kern w:val="2"/>
          <w:szCs w:val="26"/>
        </w:rPr>
        <w:t xml:space="preserve"> </w:t>
      </w:r>
      <w:r w:rsidRPr="00295B9F">
        <w:rPr>
          <w:rFonts w:eastAsia="Times New Roman"/>
          <w:kern w:val="2"/>
          <w:szCs w:val="26"/>
        </w:rPr>
        <w:t xml:space="preserve">for </w:t>
      </w:r>
      <w:r w:rsidRPr="00295B9F" w:rsidR="00B56E4D">
        <w:rPr>
          <w:rFonts w:eastAsia="Times New Roman"/>
          <w:kern w:val="2"/>
          <w:szCs w:val="26"/>
        </w:rPr>
        <w:t>Defendant</w:t>
      </w:r>
      <w:r w:rsidRPr="00295B9F">
        <w:rPr>
          <w:rFonts w:eastAsia="Times New Roman"/>
          <w:kern w:val="2"/>
          <w:szCs w:val="26"/>
        </w:rPr>
        <w:t xml:space="preserve"> and </w:t>
      </w:r>
      <w:r w:rsidRPr="00295B9F" w:rsidR="00B56E4D">
        <w:rPr>
          <w:rFonts w:eastAsia="Times New Roman"/>
          <w:kern w:val="2"/>
          <w:szCs w:val="26"/>
        </w:rPr>
        <w:t>Appellant</w:t>
      </w:r>
      <w:r w:rsidRPr="00295B9F">
        <w:rPr>
          <w:rFonts w:eastAsia="Times New Roman"/>
          <w:kern w:val="2"/>
          <w:szCs w:val="26"/>
        </w:rPr>
        <w:t>.</w:t>
      </w:r>
    </w:p>
    <w:p w:rsidR="00EA1EC5" w:rsidRPr="00295B9F" w14:paraId="72D1BDA0" w14:textId="77777777">
      <w:pPr>
        <w:spacing w:line="240" w:lineRule="auto"/>
        <w:rPr>
          <w:b/>
          <w:bCs/>
        </w:rPr>
      </w:pPr>
      <w:r w:rsidRPr="00295B9F">
        <w:rPr>
          <w:b/>
          <w:bCs/>
        </w:rPr>
        <w:br w:type="page"/>
      </w:r>
    </w:p>
    <w:p w:rsidR="00DA2DBD" w:rsidRPr="00295B9F" w:rsidP="00EA1EC5" w14:paraId="7565BF70" w14:textId="1F394326">
      <w:pPr>
        <w:spacing w:after="160"/>
        <w:jc w:val="center"/>
        <w:rPr>
          <w:b/>
          <w:bCs/>
        </w:rPr>
      </w:pPr>
      <w:r w:rsidRPr="00295B9F">
        <w:rPr>
          <w:b/>
          <w:bCs/>
        </w:rPr>
        <w:t>INTRODUCTION</w:t>
      </w:r>
    </w:p>
    <w:p w:rsidR="00174F39" w:rsidRPr="00295B9F" w:rsidP="0097676E" w14:paraId="4001F6EE" w14:textId="1C3FBC5D">
      <w:pPr>
        <w:ind w:firstLine="720"/>
      </w:pPr>
      <w:r w:rsidRPr="00295B9F">
        <w:t>In California, if an employer unlawfully makes an employee work during all or part of a meal o</w:t>
      </w:r>
      <w:r w:rsidRPr="00295B9F" w:rsidR="00A269A0">
        <w:t>r</w:t>
      </w:r>
      <w:r w:rsidRPr="00295B9F">
        <w:t xml:space="preserve"> rest period, the employer must pay the employee an additional hour of pay. </w:t>
      </w:r>
      <w:r w:rsidRPr="00295B9F" w:rsidR="00777FD4">
        <w:t>(Lab. Code</w:t>
      </w:r>
      <w:r>
        <w:rPr>
          <w:rStyle w:val="FootnoteReference"/>
          <w:b w:val="0"/>
          <w:bCs/>
        </w:rPr>
        <w:footnoteReference w:id="3"/>
      </w:r>
      <w:r w:rsidRPr="00295B9F" w:rsidR="00777FD4">
        <w:t>, § 226.7, subd. (c).)</w:t>
      </w:r>
      <w:r w:rsidRPr="00295B9F" w:rsidR="00150AB4">
        <w:rPr>
          <w:rFonts w:ascii="Lato" w:hAnsi="Lato" w:eastAsiaTheme="minorHAnsi" w:cstheme="minorBidi"/>
          <w:sz w:val="27"/>
          <w:szCs w:val="27"/>
          <w:shd w:val="clear" w:color="auto" w:fill="FFFFFF"/>
        </w:rPr>
        <w:t xml:space="preserve"> </w:t>
      </w:r>
      <w:r w:rsidRPr="00295B9F" w:rsidR="00150AB4">
        <w:t xml:space="preserve">In </w:t>
      </w:r>
      <w:r w:rsidRPr="00295B9F" w:rsidR="00150AB4">
        <w:rPr>
          <w:i/>
          <w:iCs/>
        </w:rPr>
        <w:t>Naranjo v. Spectrum Security Services, Inc.</w:t>
      </w:r>
      <w:r w:rsidRPr="00295B9F" w:rsidR="00150AB4">
        <w:t xml:space="preserve"> (2019) 40 Cal.App.5th 444 (</w:t>
      </w:r>
      <w:r w:rsidRPr="00295B9F" w:rsidR="00150AB4">
        <w:rPr>
          <w:i/>
          <w:iCs/>
        </w:rPr>
        <w:t>Naranjo II</w:t>
      </w:r>
      <w:r w:rsidRPr="00295B9F" w:rsidR="00150AB4">
        <w:t>), we held, as relevant here, that this extra pay for missed breaks</w:t>
      </w:r>
      <w:r w:rsidRPr="00295B9F" w:rsidR="00F85107">
        <w:t xml:space="preserve"> (commonly referred to as “premium pay”)</w:t>
      </w:r>
      <w:r w:rsidRPr="00295B9F" w:rsidR="00150AB4">
        <w:t xml:space="preserve"> does not constitute “wages” that must be reported on statutorily required wage statements during employment (</w:t>
      </w:r>
      <w:bookmarkStart w:id="0" w:name="_Hlk118891578"/>
      <w:r w:rsidRPr="00295B9F" w:rsidR="00150AB4">
        <w:t>§</w:t>
      </w:r>
      <w:bookmarkEnd w:id="0"/>
      <w:r w:rsidRPr="00295B9F" w:rsidR="00150AB4">
        <w:t xml:space="preserve"> 226) and paid within statutory deadlines when an employee leaves the job (§ 203).</w:t>
      </w:r>
      <w:r w:rsidRPr="00295B9F">
        <w:t xml:space="preserve"> </w:t>
      </w:r>
      <w:r w:rsidRPr="00295B9F" w:rsidR="00317ED1">
        <w:t>The</w:t>
      </w:r>
      <w:r w:rsidRPr="00295B9F">
        <w:t xml:space="preserve"> Supreme Court reversed this portion of our </w:t>
      </w:r>
      <w:r w:rsidRPr="00295B9F" w:rsidR="00FE7CB5">
        <w:t>holding</w:t>
      </w:r>
      <w:r w:rsidRPr="00295B9F">
        <w:t xml:space="preserve">, </w:t>
      </w:r>
      <w:r w:rsidRPr="00295B9F" w:rsidR="00FE7CB5">
        <w:t>concluding</w:t>
      </w:r>
      <w:r w:rsidRPr="00295B9F">
        <w:t>: “Although the extra pay is designed to compensate for the unlawful deprivation of a guaranteed break, it also compensates for the work the employee performed during the break period. [Cit</w:t>
      </w:r>
      <w:r w:rsidRPr="00295B9F" w:rsidR="003109CB">
        <w:t>ation</w:t>
      </w:r>
      <w:r w:rsidRPr="00295B9F">
        <w:t>.] The extra pay thus constitutes wages subject to the same timing and reporting rules as other forms of compensation for work.” (</w:t>
      </w:r>
      <w:r w:rsidRPr="00295B9F">
        <w:rPr>
          <w:i/>
          <w:iCs/>
        </w:rPr>
        <w:t>Naranjo v. Spectrum Security Services, Inc.</w:t>
      </w:r>
      <w:r w:rsidRPr="00295B9F">
        <w:t xml:space="preserve"> (2022) 13 Cal.5th 93, </w:t>
      </w:r>
      <w:r w:rsidRPr="00295B9F" w:rsidR="00EB1CAC">
        <w:t>102</w:t>
      </w:r>
      <w:r w:rsidRPr="00295B9F">
        <w:t>.)</w:t>
      </w:r>
    </w:p>
    <w:p w:rsidR="001772BC" w:rsidRPr="00295B9F" w:rsidP="00A17613" w14:paraId="6F563323" w14:textId="5A7684DA">
      <w:pPr>
        <w:ind w:firstLine="720"/>
      </w:pPr>
      <w:r w:rsidRPr="00295B9F">
        <w:t>The</w:t>
      </w:r>
      <w:r w:rsidRPr="00295B9F" w:rsidR="0051617F">
        <w:t xml:space="preserve"> Supreme</w:t>
      </w:r>
      <w:r w:rsidRPr="00295B9F" w:rsidR="000060B7">
        <w:t xml:space="preserve"> </w:t>
      </w:r>
      <w:r w:rsidRPr="00295B9F">
        <w:t>Court</w:t>
      </w:r>
      <w:r w:rsidRPr="00295B9F" w:rsidR="000060B7">
        <w:t xml:space="preserve"> </w:t>
      </w:r>
      <w:r w:rsidRPr="00295B9F">
        <w:t>then remanded the matter to this</w:t>
      </w:r>
      <w:r w:rsidRPr="00295B9F" w:rsidR="00D80C4B">
        <w:t xml:space="preserve"> </w:t>
      </w:r>
      <w:r w:rsidRPr="00295B9F">
        <w:t xml:space="preserve">court to </w:t>
      </w:r>
      <w:r w:rsidRPr="00295B9F" w:rsidR="00B26B6B">
        <w:t>resolve</w:t>
      </w:r>
      <w:r w:rsidRPr="00295B9F">
        <w:t xml:space="preserve"> two issues the parties addressed in their respective appeals, but that we did not reach </w:t>
      </w:r>
      <w:r w:rsidRPr="00295B9F" w:rsidR="00E55F58">
        <w:t>based on</w:t>
      </w:r>
      <w:r w:rsidRPr="00295B9F">
        <w:t xml:space="preserve"> our conclusion about the nature of missed-break premium pay: (1) whether the trial court erred in finding Spectrum</w:t>
      </w:r>
      <w:r w:rsidRPr="00295B9F" w:rsidR="008205CD">
        <w:t xml:space="preserve"> Securit</w:t>
      </w:r>
      <w:r w:rsidRPr="00295B9F" w:rsidR="00875BEC">
        <w:t>y Services, Inc. (Spectrum)</w:t>
      </w:r>
      <w:r w:rsidRPr="00295B9F">
        <w:t xml:space="preserve"> had not acted “willfully”</w:t>
      </w:r>
      <w:r w:rsidRPr="00295B9F" w:rsidR="00C855D5">
        <w:t xml:space="preserve"> in failing to timely pay </w:t>
      </w:r>
      <w:r w:rsidRPr="00295B9F" w:rsidR="00C70203">
        <w:t xml:space="preserve">employees </w:t>
      </w:r>
      <w:r w:rsidRPr="00295B9F" w:rsidR="00DC27B0">
        <w:t>premium pay</w:t>
      </w:r>
      <w:r w:rsidRPr="00295B9F" w:rsidR="00C70203">
        <w:t xml:space="preserve"> </w:t>
      </w:r>
      <w:r w:rsidRPr="00295B9F">
        <w:t xml:space="preserve">(which barred recovery under § 203); and (2) whether Spectrum’s failure to report missed-break premium pay on wage statements was “knowing and intentional,” </w:t>
      </w:r>
      <w:r w:rsidRPr="00295B9F">
        <w:t>as is necessary for recovery under section 226.</w:t>
      </w:r>
      <w:r w:rsidRPr="00295B9F" w:rsidR="00A17613">
        <w:t xml:space="preserve"> (</w:t>
      </w:r>
      <w:r w:rsidRPr="00295B9F" w:rsidR="00A17613">
        <w:rPr>
          <w:i/>
          <w:iCs/>
        </w:rPr>
        <w:t>Naranjo v. Spectrum Security Services, Inc.</w:t>
      </w:r>
      <w:r w:rsidR="00377910">
        <w:t xml:space="preserve">, </w:t>
      </w:r>
      <w:r w:rsidR="00377910">
        <w:rPr>
          <w:i/>
        </w:rPr>
        <w:t>supra</w:t>
      </w:r>
      <w:r w:rsidR="00377910">
        <w:t>,</w:t>
      </w:r>
      <w:r w:rsidRPr="00295B9F" w:rsidR="00A17613">
        <w:t xml:space="preserve"> 13 Cal.5th </w:t>
      </w:r>
      <w:r w:rsidR="00377910">
        <w:t>at p.</w:t>
      </w:r>
      <w:r w:rsidRPr="00295B9F" w:rsidR="00A17613">
        <w:t xml:space="preserve"> 126.)</w:t>
      </w:r>
    </w:p>
    <w:p w:rsidR="00EA1EC5" w:rsidRPr="00295B9F" w:rsidP="00EA1EC5" w14:paraId="720FFF33" w14:textId="77777777">
      <w:pPr>
        <w:ind w:firstLine="720"/>
      </w:pPr>
      <w:r w:rsidRPr="00295B9F">
        <w:t>After</w:t>
      </w:r>
      <w:r w:rsidRPr="00295B9F" w:rsidR="001772BC">
        <w:t xml:space="preserve"> receiv</w:t>
      </w:r>
      <w:r w:rsidRPr="00295B9F">
        <w:t>ing</w:t>
      </w:r>
      <w:r w:rsidRPr="00295B9F" w:rsidR="001772BC">
        <w:t xml:space="preserve"> supplemental briefing </w:t>
      </w:r>
      <w:r w:rsidRPr="00295B9F">
        <w:t>following</w:t>
      </w:r>
      <w:r w:rsidRPr="00295B9F" w:rsidR="001772BC">
        <w:t xml:space="preserve"> remand, we conclude</w:t>
      </w:r>
      <w:r w:rsidRPr="00295B9F" w:rsidR="009D70B7">
        <w:t xml:space="preserve"> as follows: (1)</w:t>
      </w:r>
      <w:r w:rsidRPr="00295B9F" w:rsidR="001772BC">
        <w:t xml:space="preserve"> </w:t>
      </w:r>
      <w:r w:rsidRPr="00295B9F" w:rsidR="00352079">
        <w:t>s</w:t>
      </w:r>
      <w:r w:rsidRPr="00295B9F" w:rsidR="0099314D">
        <w:t>ubstantial evidence supports the trial court’s finding that Spectrum</w:t>
      </w:r>
      <w:r w:rsidRPr="00295B9F" w:rsidR="00761740">
        <w:t xml:space="preserve"> </w:t>
      </w:r>
      <w:r w:rsidRPr="00295B9F" w:rsidR="00FC063E">
        <w:t>presented</w:t>
      </w:r>
      <w:r w:rsidRPr="00295B9F" w:rsidR="00761740">
        <w:t xml:space="preserve"> </w:t>
      </w:r>
      <w:r w:rsidRPr="00295B9F" w:rsidR="00FC063E">
        <w:t>defenses at trial—in good faith—for</w:t>
      </w:r>
      <w:r w:rsidRPr="00295B9F" w:rsidR="00B47646">
        <w:t xml:space="preserve"> its</w:t>
      </w:r>
      <w:r w:rsidRPr="00295B9F" w:rsidR="00CE467D">
        <w:t xml:space="preserve"> failure to </w:t>
      </w:r>
      <w:r w:rsidRPr="00295B9F" w:rsidR="006E19D4">
        <w:t xml:space="preserve">pay meal premiums to </w:t>
      </w:r>
      <w:r w:rsidRPr="00295B9F" w:rsidR="008A56BD">
        <w:t>departing employees</w:t>
      </w:r>
      <w:r w:rsidRPr="00295B9F" w:rsidR="00F92BE9">
        <w:t xml:space="preserve"> and </w:t>
      </w:r>
      <w:r w:rsidRPr="00295B9F" w:rsidR="00FC063E">
        <w:t xml:space="preserve">therefore, </w:t>
      </w:r>
      <w:r w:rsidRPr="00295B9F" w:rsidR="009E7D28">
        <w:t>Spectrum’s failure to pay meal premiums</w:t>
      </w:r>
      <w:r w:rsidRPr="00295B9F" w:rsidR="00B47646">
        <w:t xml:space="preserve"> </w:t>
      </w:r>
      <w:r w:rsidRPr="00295B9F" w:rsidR="008A56BD">
        <w:t>was not “willful” under section 203</w:t>
      </w:r>
      <w:r w:rsidRPr="00295B9F" w:rsidR="00874392">
        <w:t xml:space="preserve">; and (2) </w:t>
      </w:r>
      <w:r w:rsidRPr="00295B9F" w:rsidR="00352079">
        <w:t>b</w:t>
      </w:r>
      <w:r w:rsidRPr="00295B9F" w:rsidR="00874392">
        <w:t>ecause an</w:t>
      </w:r>
      <w:r w:rsidRPr="00295B9F" w:rsidR="008437F0">
        <w:t xml:space="preserve"> employer’s good faith belief that it is in compliance with section 226 precludes </w:t>
      </w:r>
      <w:r w:rsidRPr="00295B9F" w:rsidR="003F0850">
        <w:t xml:space="preserve">a finding of a knowing and intentional violation of </w:t>
      </w:r>
      <w:r w:rsidRPr="00295B9F" w:rsidR="00E2167B">
        <w:t>that statute</w:t>
      </w:r>
      <w:r w:rsidRPr="00295B9F" w:rsidR="00874392">
        <w:t xml:space="preserve">, the trial court erred </w:t>
      </w:r>
      <w:r w:rsidRPr="00295B9F" w:rsidR="003B1A19">
        <w:t>by awarding penalties</w:t>
      </w:r>
      <w:r w:rsidRPr="00295B9F" w:rsidR="00CC73C2">
        <w:t>, and the associated attorneys’ fees,</w:t>
      </w:r>
      <w:r w:rsidRPr="00295B9F" w:rsidR="003B1A19">
        <w:t xml:space="preserve"> under </w:t>
      </w:r>
      <w:r w:rsidRPr="00295B9F" w:rsidR="00E2167B">
        <w:t>section 226</w:t>
      </w:r>
      <w:r w:rsidRPr="00295B9F" w:rsidR="00BD50D5">
        <w:t>.</w:t>
      </w:r>
      <w:r w:rsidRPr="00295B9F" w:rsidR="003478CE">
        <w:t xml:space="preserve"> </w:t>
      </w:r>
    </w:p>
    <w:p w:rsidR="001B6466" w:rsidRPr="00295B9F" w:rsidP="00EA1EC5" w14:paraId="1427EACB" w14:textId="31DFCEDF">
      <w:pPr>
        <w:spacing w:before="160" w:after="160"/>
        <w:jc w:val="center"/>
        <w:rPr>
          <w:rFonts w:eastAsia="Times New Roman"/>
          <w:b/>
          <w:bCs/>
          <w:kern w:val="2"/>
          <w:szCs w:val="26"/>
        </w:rPr>
      </w:pPr>
      <w:r w:rsidRPr="00295B9F">
        <w:rPr>
          <w:rFonts w:eastAsia="Times New Roman"/>
          <w:b/>
          <w:bCs/>
          <w:kern w:val="2"/>
          <w:szCs w:val="26"/>
        </w:rPr>
        <w:t xml:space="preserve">FACTUAL </w:t>
      </w:r>
      <w:r w:rsidRPr="00295B9F" w:rsidR="0007676F">
        <w:rPr>
          <w:rFonts w:eastAsia="Times New Roman"/>
          <w:b/>
          <w:bCs/>
          <w:kern w:val="2"/>
          <w:szCs w:val="26"/>
        </w:rPr>
        <w:t xml:space="preserve">AND PROCEDURAL </w:t>
      </w:r>
      <w:r w:rsidRPr="00295B9F">
        <w:rPr>
          <w:rFonts w:eastAsia="Times New Roman"/>
          <w:b/>
          <w:bCs/>
          <w:kern w:val="2"/>
          <w:szCs w:val="26"/>
        </w:rPr>
        <w:t>BACKGROUND</w:t>
      </w:r>
    </w:p>
    <w:p w:rsidR="001D44DE" w:rsidRPr="00295B9F" w:rsidP="001D44DE" w14:paraId="2004326F" w14:textId="458F8F53">
      <w:pPr>
        <w:ind w:firstLine="720"/>
        <w:rPr>
          <w:rFonts w:eastAsia="Times New Roman"/>
          <w:kern w:val="2"/>
          <w:szCs w:val="26"/>
        </w:rPr>
      </w:pPr>
      <w:bookmarkStart w:id="1" w:name="_Hlk79153748"/>
      <w:r w:rsidRPr="00295B9F">
        <w:rPr>
          <w:rFonts w:eastAsia="Times New Roman"/>
          <w:kern w:val="2"/>
          <w:szCs w:val="26"/>
        </w:rPr>
        <w:t xml:space="preserve">We set forth the factual and procedural background as outlined by the Supreme Court and </w:t>
      </w:r>
      <w:r w:rsidRPr="00295B9F">
        <w:rPr>
          <w:rFonts w:eastAsia="Times New Roman"/>
          <w:i/>
          <w:iCs/>
          <w:kern w:val="2"/>
          <w:szCs w:val="26"/>
        </w:rPr>
        <w:t>Naranjo II</w:t>
      </w:r>
      <w:r w:rsidRPr="00295B9F">
        <w:rPr>
          <w:rFonts w:eastAsia="Times New Roman"/>
          <w:kern w:val="2"/>
          <w:szCs w:val="26"/>
        </w:rPr>
        <w:t xml:space="preserve">. We limit our recitation of the facts to those relevant </w:t>
      </w:r>
      <w:r w:rsidRPr="00295B9F" w:rsidR="006E3BAD">
        <w:rPr>
          <w:rFonts w:eastAsia="Times New Roman"/>
          <w:kern w:val="2"/>
          <w:szCs w:val="26"/>
        </w:rPr>
        <w:t>to the issues on remand.</w:t>
      </w:r>
    </w:p>
    <w:p w:rsidR="006E3BAD" w:rsidRPr="00295B9F" w:rsidP="001D44DE" w14:paraId="7F0153C3" w14:textId="2D5F3C5D">
      <w:pPr>
        <w:ind w:firstLine="720"/>
        <w:rPr>
          <w:rFonts w:eastAsia="Times New Roman"/>
          <w:kern w:val="2"/>
          <w:szCs w:val="26"/>
        </w:rPr>
      </w:pPr>
      <w:r w:rsidRPr="00295B9F">
        <w:rPr>
          <w:rFonts w:eastAsia="Times New Roman"/>
          <w:kern w:val="2"/>
          <w:szCs w:val="26"/>
        </w:rPr>
        <w:t>“[Spectrum], provides secure custodial services to federal agencies. The company transports and guards prisoners and detainees who require outside medical attention or have other appointments outside custodial facilities. [Cit</w:t>
      </w:r>
      <w:r w:rsidRPr="00295B9F" w:rsidR="008724CC">
        <w:rPr>
          <w:rFonts w:eastAsia="Times New Roman"/>
          <w:kern w:val="2"/>
          <w:szCs w:val="26"/>
        </w:rPr>
        <w:t>ation</w:t>
      </w:r>
      <w:r w:rsidRPr="00295B9F">
        <w:rPr>
          <w:rFonts w:eastAsia="Times New Roman"/>
          <w:kern w:val="2"/>
          <w:szCs w:val="26"/>
        </w:rPr>
        <w:t xml:space="preserve">.] Plaintiff Gustavo Naranjo was a guard for Spectrum. Naranjo was suspended and later fired after leaving his post to take a meal break, in violation of a Spectrum policy that required custodial employees to remain on duty during all meal breaks. </w:t>
      </w:r>
      <w:r w:rsidRPr="00295B9F" w:rsidR="001936CF">
        <w:rPr>
          <w:rFonts w:eastAsia="Times New Roman"/>
          <w:kern w:val="2"/>
          <w:szCs w:val="26"/>
        </w:rPr>
        <w:t>[Cit</w:t>
      </w:r>
      <w:r w:rsidRPr="00295B9F" w:rsidR="008724CC">
        <w:rPr>
          <w:rFonts w:eastAsia="Times New Roman"/>
          <w:kern w:val="2"/>
          <w:szCs w:val="26"/>
        </w:rPr>
        <w:t>ation</w:t>
      </w:r>
      <w:r w:rsidRPr="00295B9F" w:rsidR="001936CF">
        <w:rPr>
          <w:rFonts w:eastAsia="Times New Roman"/>
          <w:kern w:val="2"/>
          <w:szCs w:val="26"/>
        </w:rPr>
        <w:t>.]</w:t>
      </w:r>
    </w:p>
    <w:p w:rsidR="001936CF" w:rsidRPr="00295B9F" w:rsidP="001D44DE" w14:paraId="02267D22" w14:textId="5A985A37">
      <w:pPr>
        <w:ind w:firstLine="720"/>
        <w:rPr>
          <w:rFonts w:eastAsia="Times New Roman"/>
          <w:kern w:val="2"/>
          <w:szCs w:val="26"/>
        </w:rPr>
      </w:pPr>
      <w:r w:rsidRPr="00295B9F">
        <w:rPr>
          <w:rFonts w:eastAsia="Times New Roman"/>
          <w:kern w:val="2"/>
          <w:szCs w:val="26"/>
        </w:rPr>
        <w:t>“</w:t>
      </w:r>
      <w:r w:rsidRPr="00295B9F" w:rsidR="00A95DAB">
        <w:rPr>
          <w:rFonts w:eastAsia="Times New Roman"/>
          <w:kern w:val="2"/>
          <w:szCs w:val="26"/>
        </w:rPr>
        <w:t>Naranjo filed a putative class action on behalf of Spectrum employees, alleging that Spectrum had violated state meal break requirements under the Labor Code and the applicable Industrial Welfare Commission (IWC) wage order. (Lab. Code, § 226.7; IWC wage order No. 4-2001, § 11.) The complaint sought an additional hour of pay—commonly referred to as</w:t>
      </w:r>
      <w:r w:rsidRPr="00295B9F" w:rsidR="00C444A8">
        <w:rPr>
          <w:rFonts w:eastAsia="Times New Roman"/>
          <w:kern w:val="2"/>
          <w:szCs w:val="26"/>
        </w:rPr>
        <w:t xml:space="preserve"> </w:t>
      </w:r>
      <w:r w:rsidRPr="00295B9F" w:rsidR="00C21D34">
        <w:rPr>
          <w:rFonts w:eastAsia="Times New Roman"/>
          <w:kern w:val="2"/>
          <w:szCs w:val="26"/>
        </w:rPr>
        <w:t>‘</w:t>
      </w:r>
      <w:r w:rsidRPr="00295B9F" w:rsidR="00A95DAB">
        <w:rPr>
          <w:rFonts w:eastAsia="Times New Roman"/>
          <w:kern w:val="2"/>
          <w:szCs w:val="26"/>
        </w:rPr>
        <w:t>premium pay</w:t>
      </w:r>
      <w:r w:rsidRPr="00295B9F" w:rsidR="00C21D34">
        <w:rPr>
          <w:rFonts w:eastAsia="Times New Roman"/>
          <w:kern w:val="2"/>
          <w:szCs w:val="26"/>
        </w:rPr>
        <w:t>’</w:t>
      </w:r>
      <w:r w:rsidRPr="00295B9F" w:rsidR="00A95DAB">
        <w:rPr>
          <w:rFonts w:eastAsia="Times New Roman"/>
          <w:kern w:val="2"/>
          <w:szCs w:val="26"/>
        </w:rPr>
        <w:t>—for each day on which Spectrum failed to provide employees a legally compliant meal break. (See Lab. Code, §</w:t>
      </w:r>
      <w:r w:rsidRPr="00295B9F" w:rsidR="00C21D34">
        <w:rPr>
          <w:rFonts w:eastAsia="Times New Roman"/>
          <w:kern w:val="2"/>
          <w:szCs w:val="26"/>
        </w:rPr>
        <w:t> </w:t>
      </w:r>
      <w:r w:rsidRPr="00295B9F" w:rsidR="00A95DAB">
        <w:rPr>
          <w:rFonts w:eastAsia="Times New Roman"/>
          <w:kern w:val="2"/>
          <w:szCs w:val="26"/>
        </w:rPr>
        <w:t>226.7, subd. (c); IWC wage order No. 4-2001,</w:t>
      </w:r>
      <w:r w:rsidRPr="00295B9F" w:rsidR="00112594">
        <w:rPr>
          <w:rFonts w:eastAsia="Times New Roman"/>
          <w:kern w:val="2"/>
          <w:szCs w:val="26"/>
        </w:rPr>
        <w:t xml:space="preserve"> </w:t>
      </w:r>
      <w:r w:rsidRPr="00295B9F" w:rsidR="00A95DAB">
        <w:rPr>
          <w:rFonts w:eastAsia="Times New Roman"/>
          <w:kern w:val="2"/>
          <w:szCs w:val="26"/>
        </w:rPr>
        <w:t>§§ 11(B), 12(B).)</w:t>
      </w:r>
    </w:p>
    <w:p w:rsidR="00825F9D" w:rsidRPr="00295B9F" w:rsidP="00825F9D" w14:paraId="49EDCE76" w14:textId="24BDB77A">
      <w:pPr>
        <w:ind w:firstLine="720"/>
        <w:rPr>
          <w:rFonts w:eastAsia="Times New Roman"/>
          <w:kern w:val="2"/>
          <w:szCs w:val="26"/>
        </w:rPr>
      </w:pPr>
      <w:r w:rsidRPr="00295B9F">
        <w:rPr>
          <w:rFonts w:eastAsia="Times New Roman"/>
          <w:kern w:val="2"/>
          <w:szCs w:val="26"/>
        </w:rPr>
        <w:t>“Naranjo</w:t>
      </w:r>
      <w:r w:rsidRPr="00295B9F" w:rsidR="00FF6E33">
        <w:rPr>
          <w:rFonts w:eastAsia="Times New Roman"/>
          <w:kern w:val="2"/>
          <w:szCs w:val="26"/>
        </w:rPr>
        <w:t>’</w:t>
      </w:r>
      <w:r w:rsidRPr="00295B9F">
        <w:rPr>
          <w:rFonts w:eastAsia="Times New Roman"/>
          <w:kern w:val="2"/>
          <w:szCs w:val="26"/>
        </w:rPr>
        <w:t>s complaint also alleged two Labor Code violations related to Spectrum</w:t>
      </w:r>
      <w:r w:rsidRPr="00295B9F" w:rsidR="009D5984">
        <w:rPr>
          <w:rFonts w:eastAsia="Times New Roman"/>
          <w:kern w:val="2"/>
          <w:szCs w:val="26"/>
        </w:rPr>
        <w:t>’</w:t>
      </w:r>
      <w:r w:rsidRPr="00295B9F">
        <w:rPr>
          <w:rFonts w:eastAsia="Times New Roman"/>
          <w:kern w:val="2"/>
          <w:szCs w:val="26"/>
        </w:rPr>
        <w:t>s premium pay obligations. According to the complaint, Spectrum was required to report the premium pay on employees</w:t>
      </w:r>
      <w:r w:rsidRPr="00295B9F" w:rsidR="009D5984">
        <w:rPr>
          <w:rFonts w:eastAsia="Times New Roman"/>
          <w:kern w:val="2"/>
          <w:szCs w:val="26"/>
        </w:rPr>
        <w:t>’</w:t>
      </w:r>
      <w:r w:rsidRPr="00295B9F">
        <w:rPr>
          <w:rFonts w:eastAsia="Times New Roman"/>
          <w:kern w:val="2"/>
          <w:szCs w:val="26"/>
        </w:rPr>
        <w:t xml:space="preserve"> wage statements (Lab. Code, § 226) and timely provide the pay to employees upon their discharge or resignation (</w:t>
      </w:r>
      <w:r w:rsidRPr="00295B9F">
        <w:rPr>
          <w:rFonts w:eastAsia="Times New Roman"/>
          <w:i/>
          <w:iCs/>
          <w:kern w:val="2"/>
          <w:szCs w:val="26"/>
        </w:rPr>
        <w:t>id.</w:t>
      </w:r>
      <w:r w:rsidRPr="00295B9F">
        <w:rPr>
          <w:rFonts w:eastAsia="Times New Roman"/>
          <w:kern w:val="2"/>
          <w:szCs w:val="26"/>
        </w:rPr>
        <w:t>, §§ 201, 202, 203), but had done neither. The complaint sought the damages and penalties prescribed by those statutes (</w:t>
      </w:r>
      <w:r w:rsidRPr="00295B9F">
        <w:rPr>
          <w:rFonts w:eastAsia="Times New Roman"/>
          <w:i/>
          <w:iCs/>
          <w:kern w:val="2"/>
          <w:szCs w:val="26"/>
        </w:rPr>
        <w:t>id.</w:t>
      </w:r>
      <w:r w:rsidRPr="00295B9F">
        <w:rPr>
          <w:rFonts w:eastAsia="Times New Roman"/>
          <w:kern w:val="2"/>
          <w:szCs w:val="26"/>
        </w:rPr>
        <w:t>, §§ 203, subd. (a), 226, subd. (e)(1)) as well as prejudgment interest.</w:t>
      </w:r>
    </w:p>
    <w:p w:rsidR="00825F9D" w:rsidRPr="00295B9F" w:rsidP="00825F9D" w14:paraId="431666E0" w14:textId="0FD37717">
      <w:pPr>
        <w:ind w:firstLine="720"/>
        <w:rPr>
          <w:rFonts w:eastAsia="Times New Roman"/>
          <w:kern w:val="2"/>
          <w:szCs w:val="26"/>
        </w:rPr>
      </w:pPr>
      <w:r w:rsidRPr="00295B9F">
        <w:rPr>
          <w:rFonts w:eastAsia="Times New Roman"/>
          <w:kern w:val="2"/>
          <w:szCs w:val="26"/>
        </w:rPr>
        <w:t>“The trial court initially granted summary judgment in favor of Spectrum on federal law grounds not relevant here, but the Court of Appeal reversed. (</w:t>
      </w:r>
      <w:r w:rsidRPr="00295B9F" w:rsidR="00E51248">
        <w:rPr>
          <w:rFonts w:eastAsia="Times New Roman"/>
          <w:kern w:val="2"/>
          <w:szCs w:val="26"/>
        </w:rPr>
        <w:t>[</w:t>
      </w:r>
      <w:r w:rsidRPr="00295B9F">
        <w:rPr>
          <w:rFonts w:eastAsia="Times New Roman"/>
          <w:i/>
          <w:iCs/>
          <w:kern w:val="2"/>
          <w:szCs w:val="26"/>
        </w:rPr>
        <w:t xml:space="preserve">Naranjo </w:t>
      </w:r>
      <w:r w:rsidRPr="00295B9F" w:rsidR="0019240A">
        <w:rPr>
          <w:rFonts w:eastAsia="Times New Roman"/>
          <w:i/>
          <w:iCs/>
          <w:kern w:val="2"/>
          <w:szCs w:val="26"/>
        </w:rPr>
        <w:t>v. Spectrum Security Services, Inc.</w:t>
      </w:r>
      <w:r w:rsidRPr="00295B9F">
        <w:rPr>
          <w:rFonts w:eastAsia="Times New Roman"/>
          <w:i/>
          <w:iCs/>
          <w:kern w:val="2"/>
          <w:szCs w:val="26"/>
        </w:rPr>
        <w:t xml:space="preserve"> </w:t>
      </w:r>
      <w:r w:rsidRPr="00295B9F" w:rsidR="0019240A">
        <w:rPr>
          <w:rFonts w:eastAsia="Times New Roman"/>
          <w:kern w:val="2"/>
          <w:szCs w:val="26"/>
        </w:rPr>
        <w:t>(2009)</w:t>
      </w:r>
      <w:r w:rsidRPr="00295B9F">
        <w:rPr>
          <w:rFonts w:eastAsia="Times New Roman"/>
          <w:kern w:val="2"/>
          <w:szCs w:val="26"/>
        </w:rPr>
        <w:t xml:space="preserve"> 172 Cal.App.4th </w:t>
      </w:r>
      <w:r w:rsidRPr="00295B9F" w:rsidR="0019240A">
        <w:rPr>
          <w:rFonts w:eastAsia="Times New Roman"/>
          <w:kern w:val="2"/>
          <w:szCs w:val="26"/>
        </w:rPr>
        <w:t>654</w:t>
      </w:r>
      <w:r w:rsidRPr="00295B9F" w:rsidR="00E51248">
        <w:rPr>
          <w:rFonts w:eastAsia="Times New Roman"/>
          <w:kern w:val="2"/>
          <w:szCs w:val="26"/>
        </w:rPr>
        <w:t>,</w:t>
      </w:r>
      <w:r w:rsidRPr="00295B9F">
        <w:rPr>
          <w:rFonts w:eastAsia="Times New Roman"/>
          <w:kern w:val="2"/>
          <w:szCs w:val="26"/>
        </w:rPr>
        <w:t xml:space="preserve"> 663</w:t>
      </w:r>
      <w:r w:rsidR="00377910">
        <w:rPr>
          <w:rFonts w:eastAsia="Times New Roman"/>
          <w:kern w:val="2"/>
          <w:szCs w:val="26"/>
        </w:rPr>
        <w:t>-</w:t>
      </w:r>
      <w:r w:rsidRPr="00295B9F">
        <w:rPr>
          <w:rFonts w:eastAsia="Times New Roman"/>
          <w:kern w:val="2"/>
          <w:szCs w:val="26"/>
        </w:rPr>
        <w:t>669</w:t>
      </w:r>
      <w:r w:rsidRPr="00295B9F" w:rsidR="00E51248">
        <w:rPr>
          <w:rFonts w:eastAsia="Times New Roman"/>
          <w:kern w:val="2"/>
          <w:szCs w:val="26"/>
        </w:rPr>
        <w:t xml:space="preserve"> (</w:t>
      </w:r>
      <w:r w:rsidRPr="00295B9F" w:rsidR="00E51248">
        <w:rPr>
          <w:rFonts w:eastAsia="Times New Roman"/>
          <w:i/>
          <w:iCs/>
          <w:kern w:val="2"/>
          <w:szCs w:val="26"/>
        </w:rPr>
        <w:t>Naranjo I</w:t>
      </w:r>
      <w:r w:rsidRPr="00295B9F" w:rsidR="00E51248">
        <w:rPr>
          <w:rFonts w:eastAsia="Times New Roman"/>
          <w:kern w:val="2"/>
          <w:szCs w:val="26"/>
        </w:rPr>
        <w:t>)</w:t>
      </w:r>
      <w:r w:rsidRPr="00295B9F" w:rsidR="006D2583">
        <w:rPr>
          <w:rFonts w:eastAsia="Times New Roman"/>
          <w:kern w:val="2"/>
          <w:szCs w:val="26"/>
        </w:rPr>
        <w:t>.</w:t>
      </w:r>
      <w:r w:rsidRPr="00295B9F" w:rsidR="00E51248">
        <w:rPr>
          <w:rFonts w:eastAsia="Times New Roman"/>
          <w:kern w:val="2"/>
          <w:szCs w:val="26"/>
        </w:rPr>
        <w:t>]</w:t>
      </w:r>
      <w:r w:rsidRPr="00295B9F">
        <w:rPr>
          <w:rFonts w:eastAsia="Times New Roman"/>
          <w:kern w:val="2"/>
          <w:szCs w:val="26"/>
        </w:rPr>
        <w:t xml:space="preserve">) On remand, the trial court certified a class for the meal break and related timely payment and wage statement claims and then held a trial in </w:t>
      </w:r>
      <w:r w:rsidRPr="00295B9F" w:rsidR="00D1530B">
        <w:rPr>
          <w:rFonts w:eastAsia="Times New Roman"/>
          <w:kern w:val="2"/>
          <w:szCs w:val="26"/>
        </w:rPr>
        <w:t xml:space="preserve">[three] </w:t>
      </w:r>
      <w:r w:rsidRPr="00295B9F">
        <w:rPr>
          <w:rFonts w:eastAsia="Times New Roman"/>
          <w:kern w:val="2"/>
          <w:szCs w:val="26"/>
        </w:rPr>
        <w:t>stages.</w:t>
      </w:r>
      <w:r w:rsidRPr="00295B9F" w:rsidR="008C5FDF">
        <w:rPr>
          <w:rFonts w:eastAsia="Times New Roman"/>
          <w:kern w:val="2"/>
          <w:szCs w:val="26"/>
        </w:rPr>
        <w:t xml:space="preserve">” </w:t>
      </w:r>
      <w:r w:rsidRPr="00295B9F" w:rsidR="00C16A88">
        <w:rPr>
          <w:rFonts w:eastAsia="Times New Roman"/>
          <w:kern w:val="2"/>
          <w:szCs w:val="26"/>
        </w:rPr>
        <w:t>(</w:t>
      </w:r>
      <w:r w:rsidRPr="00295B9F" w:rsidR="00C16A88">
        <w:rPr>
          <w:rFonts w:eastAsia="Times New Roman"/>
          <w:i/>
          <w:iCs/>
          <w:kern w:val="2"/>
          <w:szCs w:val="26"/>
        </w:rPr>
        <w:t>Naranjo v. Spectrum Security Services, Inc</w:t>
      </w:r>
      <w:r w:rsidRPr="00295B9F" w:rsidR="00C16A88">
        <w:rPr>
          <w:rFonts w:eastAsia="Times New Roman"/>
          <w:kern w:val="2"/>
          <w:szCs w:val="26"/>
        </w:rPr>
        <w:t>.</w:t>
      </w:r>
      <w:r w:rsidRPr="00295B9F" w:rsidR="00DD49B5">
        <w:rPr>
          <w:rFonts w:eastAsia="Times New Roman"/>
          <w:kern w:val="2"/>
          <w:szCs w:val="26"/>
        </w:rPr>
        <w:t xml:space="preserve">, </w:t>
      </w:r>
      <w:r w:rsidRPr="00295B9F" w:rsidR="00DD49B5">
        <w:rPr>
          <w:rFonts w:eastAsia="Times New Roman"/>
          <w:i/>
          <w:iCs/>
          <w:kern w:val="2"/>
          <w:szCs w:val="26"/>
        </w:rPr>
        <w:t>supra,</w:t>
      </w:r>
      <w:r w:rsidRPr="00295B9F" w:rsidR="00C16A88">
        <w:rPr>
          <w:rFonts w:eastAsia="Times New Roman"/>
          <w:kern w:val="2"/>
          <w:szCs w:val="26"/>
        </w:rPr>
        <w:t xml:space="preserve"> 13 Cal.5th </w:t>
      </w:r>
      <w:r w:rsidRPr="00295B9F" w:rsidR="005D3BDD">
        <w:rPr>
          <w:rFonts w:eastAsia="Times New Roman"/>
          <w:kern w:val="2"/>
          <w:szCs w:val="26"/>
        </w:rPr>
        <w:t>at pp.</w:t>
      </w:r>
      <w:r w:rsidRPr="00295B9F" w:rsidR="00C16A88">
        <w:rPr>
          <w:rFonts w:eastAsia="Times New Roman"/>
          <w:kern w:val="2"/>
          <w:szCs w:val="26"/>
        </w:rPr>
        <w:t xml:space="preserve"> 102-103</w:t>
      </w:r>
      <w:r w:rsidRPr="00295B9F" w:rsidR="0076673D">
        <w:rPr>
          <w:rFonts w:eastAsia="Times New Roman"/>
          <w:kern w:val="2"/>
          <w:szCs w:val="26"/>
        </w:rPr>
        <w:t>,</w:t>
      </w:r>
      <w:r w:rsidRPr="00295B9F" w:rsidR="00FC0109">
        <w:rPr>
          <w:rFonts w:eastAsia="Times New Roman"/>
          <w:kern w:val="2"/>
          <w:szCs w:val="26"/>
        </w:rPr>
        <w:t xml:space="preserve"> fns</w:t>
      </w:r>
      <w:r w:rsidR="006265C3">
        <w:rPr>
          <w:rFonts w:eastAsia="Times New Roman"/>
          <w:kern w:val="2"/>
          <w:szCs w:val="26"/>
        </w:rPr>
        <w:t>.</w:t>
      </w:r>
      <w:r w:rsidRPr="00295B9F" w:rsidR="00FC0109">
        <w:rPr>
          <w:rFonts w:eastAsia="Times New Roman"/>
          <w:kern w:val="2"/>
          <w:szCs w:val="26"/>
        </w:rPr>
        <w:t xml:space="preserve"> omitted</w:t>
      </w:r>
      <w:r w:rsidRPr="00295B9F" w:rsidR="00C16A88">
        <w:rPr>
          <w:rFonts w:eastAsia="Times New Roman"/>
          <w:kern w:val="2"/>
          <w:szCs w:val="26"/>
        </w:rPr>
        <w:t>.)</w:t>
      </w:r>
    </w:p>
    <w:p w:rsidR="006F0FFC" w:rsidRPr="00295B9F" w:rsidP="00825F9D" w14:paraId="03EDD182" w14:textId="6A40598B">
      <w:pPr>
        <w:ind w:firstLine="720"/>
        <w:rPr>
          <w:rFonts w:eastAsia="Times New Roman"/>
          <w:kern w:val="2"/>
          <w:szCs w:val="26"/>
        </w:rPr>
      </w:pPr>
      <w:r w:rsidRPr="00295B9F">
        <w:rPr>
          <w:rFonts w:eastAsia="Times New Roman"/>
          <w:kern w:val="2"/>
          <w:szCs w:val="26"/>
        </w:rPr>
        <w:t>The first phase was a bench trial involving several of Spectrum</w:t>
      </w:r>
      <w:r w:rsidRPr="00295B9F" w:rsidR="002460CA">
        <w:rPr>
          <w:rFonts w:eastAsia="Times New Roman"/>
          <w:kern w:val="2"/>
          <w:szCs w:val="26"/>
        </w:rPr>
        <w:t xml:space="preserve">’s affirmative defenses. Specifically, </w:t>
      </w:r>
      <w:r w:rsidRPr="00295B9F" w:rsidR="0017109B">
        <w:rPr>
          <w:rFonts w:eastAsia="Times New Roman"/>
          <w:kern w:val="2"/>
          <w:szCs w:val="26"/>
        </w:rPr>
        <w:t>Spectrum argued state labor laws do not apply to the class members because they were working on federal enclaves and/or</w:t>
      </w:r>
      <w:r w:rsidRPr="00295B9F" w:rsidR="00EA1EC5">
        <w:rPr>
          <w:rFonts w:eastAsia="Times New Roman"/>
          <w:kern w:val="2"/>
          <w:szCs w:val="26"/>
        </w:rPr>
        <w:t> </w:t>
      </w:r>
      <w:r w:rsidRPr="00295B9F" w:rsidR="0017109B">
        <w:rPr>
          <w:rFonts w:eastAsia="Times New Roman"/>
          <w:kern w:val="2"/>
          <w:szCs w:val="26"/>
        </w:rPr>
        <w:t>performing federal functio</w:t>
      </w:r>
      <w:r w:rsidRPr="00295B9F" w:rsidR="006E6F1E">
        <w:rPr>
          <w:rFonts w:eastAsia="Times New Roman"/>
          <w:kern w:val="2"/>
          <w:szCs w:val="26"/>
        </w:rPr>
        <w:t xml:space="preserve">ns such that they should be treated as federal employees. </w:t>
      </w:r>
      <w:r w:rsidRPr="00295B9F" w:rsidR="00232BE3">
        <w:rPr>
          <w:rFonts w:eastAsia="Times New Roman"/>
          <w:kern w:val="2"/>
          <w:szCs w:val="26"/>
        </w:rPr>
        <w:t>After hearing</w:t>
      </w:r>
      <w:r w:rsidRPr="00295B9F" w:rsidR="00AE55E4">
        <w:rPr>
          <w:rFonts w:eastAsia="Times New Roman"/>
          <w:kern w:val="2"/>
          <w:szCs w:val="26"/>
        </w:rPr>
        <w:t xml:space="preserve"> </w:t>
      </w:r>
      <w:r w:rsidRPr="00295B9F" w:rsidR="00CF669D">
        <w:rPr>
          <w:rFonts w:eastAsia="Times New Roman"/>
          <w:kern w:val="2"/>
          <w:szCs w:val="26"/>
        </w:rPr>
        <w:t>witness testimony</w:t>
      </w:r>
      <w:r w:rsidRPr="00295B9F" w:rsidR="0061334A">
        <w:rPr>
          <w:rFonts w:eastAsia="Times New Roman"/>
          <w:kern w:val="2"/>
          <w:szCs w:val="26"/>
        </w:rPr>
        <w:t>,</w:t>
      </w:r>
      <w:r w:rsidRPr="00295B9F" w:rsidR="00CF669D">
        <w:rPr>
          <w:rFonts w:eastAsia="Times New Roman"/>
          <w:kern w:val="2"/>
          <w:szCs w:val="26"/>
        </w:rPr>
        <w:t xml:space="preserve"> including testimony from </w:t>
      </w:r>
      <w:r w:rsidRPr="00295B9F" w:rsidR="00AC4385">
        <w:rPr>
          <w:rFonts w:eastAsia="Times New Roman"/>
          <w:kern w:val="2"/>
          <w:szCs w:val="26"/>
        </w:rPr>
        <w:t>Spectrum’s vice-president</w:t>
      </w:r>
      <w:r w:rsidRPr="00295B9F" w:rsidR="008A4810">
        <w:rPr>
          <w:rFonts w:eastAsia="Times New Roman"/>
          <w:kern w:val="2"/>
          <w:szCs w:val="26"/>
        </w:rPr>
        <w:t xml:space="preserve"> and </w:t>
      </w:r>
      <w:r w:rsidRPr="00295B9F" w:rsidR="00A246B7">
        <w:rPr>
          <w:rFonts w:eastAsia="Times New Roman"/>
          <w:kern w:val="2"/>
          <w:szCs w:val="26"/>
        </w:rPr>
        <w:t>personnel manager</w:t>
      </w:r>
      <w:r w:rsidRPr="00295B9F" w:rsidR="00240330">
        <w:rPr>
          <w:rFonts w:eastAsia="Times New Roman"/>
          <w:kern w:val="2"/>
          <w:szCs w:val="26"/>
        </w:rPr>
        <w:t xml:space="preserve">, John Oden, </w:t>
      </w:r>
      <w:r w:rsidRPr="00295B9F" w:rsidR="008A4810">
        <w:rPr>
          <w:rFonts w:eastAsia="Times New Roman"/>
          <w:kern w:val="2"/>
          <w:szCs w:val="26"/>
        </w:rPr>
        <w:t xml:space="preserve">and </w:t>
      </w:r>
      <w:r w:rsidRPr="00295B9F" w:rsidR="009501C1">
        <w:rPr>
          <w:rFonts w:eastAsia="Times New Roman"/>
          <w:kern w:val="2"/>
          <w:szCs w:val="26"/>
        </w:rPr>
        <w:t>expert testimony regarding the federal enclave doctrine,</w:t>
      </w:r>
      <w:r w:rsidRPr="00295B9F" w:rsidR="008A4810">
        <w:rPr>
          <w:rFonts w:eastAsia="Times New Roman"/>
          <w:kern w:val="2"/>
          <w:szCs w:val="26"/>
        </w:rPr>
        <w:t xml:space="preserve"> </w:t>
      </w:r>
      <w:r w:rsidRPr="00295B9F" w:rsidR="0061334A">
        <w:rPr>
          <w:rFonts w:eastAsia="Times New Roman"/>
          <w:kern w:val="2"/>
          <w:szCs w:val="26"/>
        </w:rPr>
        <w:t>t</w:t>
      </w:r>
      <w:r w:rsidRPr="00295B9F" w:rsidR="006E6F1E">
        <w:rPr>
          <w:rFonts w:eastAsia="Times New Roman"/>
          <w:kern w:val="2"/>
          <w:szCs w:val="26"/>
        </w:rPr>
        <w:t xml:space="preserve">he trial court held “Spectrum </w:t>
      </w:r>
      <w:r w:rsidRPr="00295B9F" w:rsidR="00B723E9">
        <w:rPr>
          <w:rFonts w:eastAsia="Times New Roman"/>
          <w:kern w:val="2"/>
          <w:szCs w:val="26"/>
        </w:rPr>
        <w:t>. . .</w:t>
      </w:r>
      <w:r w:rsidRPr="00295B9F" w:rsidR="006E6F1E">
        <w:rPr>
          <w:rFonts w:eastAsia="Times New Roman"/>
          <w:kern w:val="2"/>
          <w:szCs w:val="26"/>
        </w:rPr>
        <w:t xml:space="preserve"> failed to carry its burden to establish any of these defenses.</w:t>
      </w:r>
      <w:r w:rsidRPr="00295B9F" w:rsidR="00AE55E4">
        <w:rPr>
          <w:rFonts w:eastAsia="Times New Roman"/>
          <w:kern w:val="2"/>
          <w:szCs w:val="26"/>
        </w:rPr>
        <w:t>”</w:t>
      </w:r>
      <w:r w:rsidRPr="00295B9F" w:rsidR="006E6F1E">
        <w:rPr>
          <w:rFonts w:eastAsia="Times New Roman"/>
          <w:kern w:val="2"/>
          <w:szCs w:val="26"/>
        </w:rPr>
        <w:t xml:space="preserve"> </w:t>
      </w:r>
    </w:p>
    <w:p w:rsidR="00825F9D" w:rsidRPr="00295B9F" w:rsidP="00825F9D" w14:paraId="4D756954" w14:textId="65EFD78E">
      <w:pPr>
        <w:ind w:firstLine="720"/>
        <w:rPr>
          <w:rFonts w:eastAsia="Times New Roman"/>
          <w:kern w:val="2"/>
          <w:szCs w:val="26"/>
        </w:rPr>
      </w:pPr>
      <w:r w:rsidRPr="00295B9F">
        <w:rPr>
          <w:rFonts w:eastAsia="Times New Roman"/>
          <w:kern w:val="2"/>
          <w:szCs w:val="26"/>
        </w:rPr>
        <w:t xml:space="preserve">In the second </w:t>
      </w:r>
      <w:r w:rsidRPr="00295B9F" w:rsidR="00B723E9">
        <w:rPr>
          <w:rFonts w:eastAsia="Times New Roman"/>
          <w:kern w:val="2"/>
          <w:szCs w:val="26"/>
        </w:rPr>
        <w:t>phase</w:t>
      </w:r>
      <w:r w:rsidRPr="00295B9F">
        <w:rPr>
          <w:rFonts w:eastAsia="Times New Roman"/>
          <w:kern w:val="2"/>
          <w:szCs w:val="26"/>
        </w:rPr>
        <w:t xml:space="preserve"> of trial</w:t>
      </w:r>
      <w:r w:rsidRPr="00295B9F" w:rsidR="00B42178">
        <w:rPr>
          <w:rFonts w:eastAsia="Times New Roman"/>
          <w:kern w:val="2"/>
          <w:szCs w:val="26"/>
        </w:rPr>
        <w:t>, “the m</w:t>
      </w:r>
      <w:r w:rsidRPr="00295B9F" w:rsidR="00792375">
        <w:rPr>
          <w:rFonts w:eastAsia="Times New Roman"/>
          <w:kern w:val="2"/>
          <w:szCs w:val="26"/>
        </w:rPr>
        <w:t>e</w:t>
      </w:r>
      <w:r w:rsidRPr="00295B9F" w:rsidR="00B42178">
        <w:rPr>
          <w:rFonts w:eastAsia="Times New Roman"/>
          <w:kern w:val="2"/>
          <w:szCs w:val="26"/>
        </w:rPr>
        <w:t xml:space="preserve">al break class cause of action was tried to a jury.” </w:t>
      </w:r>
      <w:r w:rsidRPr="00295B9F" w:rsidR="00593C0E">
        <w:rPr>
          <w:rFonts w:eastAsia="Times New Roman"/>
          <w:kern w:val="2"/>
          <w:szCs w:val="26"/>
        </w:rPr>
        <w:t>(</w:t>
      </w:r>
      <w:r w:rsidRPr="00295B9F" w:rsidR="00593C0E">
        <w:rPr>
          <w:rFonts w:eastAsia="Times New Roman"/>
          <w:i/>
          <w:iCs/>
          <w:kern w:val="2"/>
          <w:szCs w:val="26"/>
        </w:rPr>
        <w:t>Naranjo II, supra</w:t>
      </w:r>
      <w:r w:rsidRPr="00295B9F" w:rsidR="00593C0E">
        <w:rPr>
          <w:rFonts w:eastAsia="Times New Roman"/>
          <w:kern w:val="2"/>
          <w:szCs w:val="26"/>
        </w:rPr>
        <w:t xml:space="preserve">, 40 Cal.App.5th at p. 455.) </w:t>
      </w:r>
      <w:r w:rsidRPr="00295B9F">
        <w:rPr>
          <w:rFonts w:eastAsia="Times New Roman"/>
          <w:kern w:val="2"/>
          <w:szCs w:val="26"/>
        </w:rPr>
        <w:t>Under the governing IWC wage order, an employer ordinarily must provide covered employees an off-duty meal period on shifts lasting longer than five hours. (IWC wage order No. 4-2001, § 11(A); see </w:t>
      </w:r>
      <w:r w:rsidRPr="002B6AE5" w:rsidR="00D05040">
        <w:rPr>
          <w:i/>
          <w:iCs/>
        </w:rPr>
        <w:t>Brinker Restaurant Corp. v. Superior Court</w:t>
      </w:r>
      <w:r w:rsidRPr="00295B9F" w:rsidR="00D05040">
        <w:t> (2012) 53 Cal.4th 1004, 1034</w:t>
      </w:r>
      <w:r w:rsidR="009A5A1C">
        <w:t xml:space="preserve"> (</w:t>
      </w:r>
      <w:r w:rsidR="009A5A1C">
        <w:rPr>
          <w:i/>
        </w:rPr>
        <w:t>Brinker Restaurant Corp.</w:t>
      </w:r>
      <w:r w:rsidR="009A5A1C">
        <w:t>)</w:t>
      </w:r>
      <w:r w:rsidRPr="00295B9F">
        <w:rPr>
          <w:rFonts w:eastAsia="Times New Roman"/>
          <w:kern w:val="2"/>
          <w:szCs w:val="26"/>
        </w:rPr>
        <w:t>.) An exception to this requirement allows for “‘on duty’” meal periods if “the nature of the work prevents an employee from being relieved of all duty,” but only when “by written agreement</w:t>
      </w:r>
      <w:bookmarkStart w:id="2" w:name="PAGE_7050"/>
      <w:r w:rsidRPr="00295B9F" w:rsidR="00D83DC0">
        <w:rPr>
          <w:rFonts w:eastAsia="Times New Roman"/>
          <w:kern w:val="2"/>
          <w:szCs w:val="26"/>
        </w:rPr>
        <w:t xml:space="preserve"> </w:t>
      </w:r>
      <w:r w:rsidRPr="00295B9F">
        <w:rPr>
          <w:rFonts w:eastAsia="Times New Roman"/>
          <w:kern w:val="2"/>
          <w:szCs w:val="26"/>
        </w:rPr>
        <w:t>between the parties an on-the-job paid meal period is agreed to.” (IWC wage order No. 4-2001, § 11(A); see </w:t>
      </w:r>
      <w:r w:rsidRPr="002B6AE5" w:rsidR="00460331">
        <w:rPr>
          <w:i/>
          <w:iCs/>
        </w:rPr>
        <w:t>Brinker Restaurant Corp.</w:t>
      </w:r>
      <w:r w:rsidRPr="00295B9F" w:rsidR="00460331">
        <w:t xml:space="preserve">, </w:t>
      </w:r>
      <w:r w:rsidRPr="009A5A1C" w:rsidR="00460331">
        <w:t>at</w:t>
      </w:r>
      <w:r w:rsidRPr="00295B9F" w:rsidR="00460331">
        <w:t xml:space="preserve"> p. 1035</w:t>
      </w:r>
      <w:r w:rsidRPr="00295B9F">
        <w:rPr>
          <w:rFonts w:eastAsia="Times New Roman"/>
          <w:kern w:val="2"/>
          <w:szCs w:val="26"/>
        </w:rPr>
        <w:t>.) Naranjo did not dispute that Spectrum had always required on-duty meal periods as company policy because of the nature of its guards</w:t>
      </w:r>
      <w:r w:rsidRPr="00295B9F" w:rsidR="004954BC">
        <w:rPr>
          <w:rFonts w:eastAsia="Times New Roman"/>
          <w:kern w:val="2"/>
          <w:szCs w:val="26"/>
        </w:rPr>
        <w:t>’</w:t>
      </w:r>
      <w:r w:rsidRPr="00295B9F">
        <w:rPr>
          <w:rFonts w:eastAsia="Times New Roman"/>
          <w:kern w:val="2"/>
          <w:szCs w:val="26"/>
        </w:rPr>
        <w:t xml:space="preserve"> work but argued that Spectrum did not have a valid written on-duty meal break agreement with its employees. Agreeing with Naranjo that Spectrum had no valid agreement for part of the class period, the court directed a verdict for the plaintiff class on the meal break claim for the period from June 2004 to September 2007. A jury found Spectrum not liable for the period beginning on October 1, 2007, after Spectrum had circulated and obtained written consent to its on-duty meal break policy.</w:t>
      </w:r>
    </w:p>
    <w:p w:rsidR="00921D15" w:rsidRPr="00295B9F" w:rsidP="00825F9D" w14:paraId="7A89FDC5" w14:textId="0476BF6D">
      <w:pPr>
        <w:ind w:firstLine="720"/>
        <w:rPr>
          <w:rFonts w:eastAsia="Times New Roman"/>
          <w:kern w:val="2"/>
          <w:szCs w:val="26"/>
        </w:rPr>
      </w:pPr>
      <w:r w:rsidRPr="00295B9F">
        <w:rPr>
          <w:rFonts w:eastAsia="Times New Roman"/>
          <w:kern w:val="2"/>
          <w:szCs w:val="26"/>
        </w:rPr>
        <w:t>“</w:t>
      </w:r>
      <w:r w:rsidRPr="00295B9F" w:rsidR="00825F9D">
        <w:rPr>
          <w:rFonts w:eastAsia="Times New Roman"/>
          <w:kern w:val="2"/>
          <w:szCs w:val="26"/>
        </w:rPr>
        <w:t xml:space="preserve">The court then considered the related wage statement and timely payment claims. The court concluded that the obligation to supply meal break premium pay also carried with it reporting and timing obligations. Whether Spectrum was monetarily liable for failure to abide by those obligations depended on its state of mind: The wage statement statute authorizes damages and penalties only for </w:t>
      </w:r>
      <w:r w:rsidRPr="00295B9F" w:rsidR="002F15A4">
        <w:rPr>
          <w:rFonts w:eastAsia="Times New Roman"/>
          <w:kern w:val="2"/>
          <w:szCs w:val="26"/>
        </w:rPr>
        <w:t>‘</w:t>
      </w:r>
      <w:r w:rsidRPr="00295B9F" w:rsidR="00825F9D">
        <w:rPr>
          <w:rFonts w:eastAsia="Times New Roman"/>
          <w:kern w:val="2"/>
          <w:szCs w:val="26"/>
        </w:rPr>
        <w:t>knowing and intentional</w:t>
      </w:r>
      <w:r w:rsidRPr="00295B9F" w:rsidR="002F15A4">
        <w:rPr>
          <w:rFonts w:eastAsia="Times New Roman"/>
          <w:kern w:val="2"/>
          <w:szCs w:val="26"/>
        </w:rPr>
        <w:t>’</w:t>
      </w:r>
      <w:r w:rsidRPr="00295B9F" w:rsidR="00825F9D">
        <w:rPr>
          <w:rFonts w:eastAsia="Times New Roman"/>
          <w:kern w:val="2"/>
          <w:szCs w:val="26"/>
        </w:rPr>
        <w:t xml:space="preserve"> violations and excuses</w:t>
      </w:r>
      <w:r w:rsidRPr="00295B9F" w:rsidR="00D80130">
        <w:rPr>
          <w:rFonts w:eastAsia="Times New Roman"/>
          <w:kern w:val="2"/>
          <w:szCs w:val="26"/>
        </w:rPr>
        <w:t xml:space="preserve"> </w:t>
      </w:r>
      <w:r w:rsidRPr="00295B9F" w:rsidR="002F15A4">
        <w:rPr>
          <w:rFonts w:eastAsia="Times New Roman"/>
          <w:kern w:val="2"/>
          <w:szCs w:val="26"/>
        </w:rPr>
        <w:t>‘</w:t>
      </w:r>
      <w:r w:rsidRPr="00295B9F" w:rsidR="00825F9D">
        <w:rPr>
          <w:rFonts w:eastAsia="Times New Roman"/>
          <w:kern w:val="2"/>
          <w:szCs w:val="26"/>
        </w:rPr>
        <w:t>isolated and unintentional payroll</w:t>
      </w:r>
      <w:bookmarkEnd w:id="2"/>
      <w:r w:rsidRPr="00295B9F" w:rsidR="00825F9D">
        <w:rPr>
          <w:rFonts w:eastAsia="Times New Roman"/>
          <w:kern w:val="2"/>
          <w:szCs w:val="26"/>
        </w:rPr>
        <w:t> error due to a clerical or inadvertent mistake</w:t>
      </w:r>
      <w:r w:rsidRPr="00295B9F" w:rsidR="002F15A4">
        <w:rPr>
          <w:rFonts w:eastAsia="Times New Roman"/>
          <w:kern w:val="2"/>
          <w:szCs w:val="26"/>
        </w:rPr>
        <w:t>’</w:t>
      </w:r>
      <w:r w:rsidRPr="00295B9F" w:rsidR="00825F9D">
        <w:rPr>
          <w:rFonts w:eastAsia="Times New Roman"/>
          <w:kern w:val="2"/>
          <w:szCs w:val="26"/>
        </w:rPr>
        <w:t xml:space="preserve"> (Lab. Code, § 226, subd. (e)(1), (3)), while the timely payment statutes impose penalties only for </w:t>
      </w:r>
      <w:r w:rsidRPr="00295B9F" w:rsidR="002F15A4">
        <w:rPr>
          <w:rFonts w:eastAsia="Times New Roman"/>
          <w:kern w:val="2"/>
          <w:szCs w:val="26"/>
        </w:rPr>
        <w:t>‘</w:t>
      </w:r>
      <w:r w:rsidRPr="00295B9F" w:rsidR="00825F9D">
        <w:rPr>
          <w:rFonts w:eastAsia="Times New Roman"/>
          <w:kern w:val="2"/>
          <w:szCs w:val="26"/>
        </w:rPr>
        <w:t>willful[</w:t>
      </w:r>
      <w:r w:rsidR="009A5A1C">
        <w:rPr>
          <w:rFonts w:eastAsia="Times New Roman"/>
          <w:kern w:val="2"/>
          <w:szCs w:val="26"/>
        </w:rPr>
        <w:t xml:space="preserve"> </w:t>
      </w:r>
      <w:r w:rsidRPr="00295B9F" w:rsidR="00825F9D">
        <w:rPr>
          <w:rFonts w:eastAsia="Times New Roman"/>
          <w:kern w:val="2"/>
          <w:szCs w:val="26"/>
        </w:rPr>
        <w:t>]</w:t>
      </w:r>
      <w:r w:rsidRPr="00295B9F" w:rsidR="002F15A4">
        <w:rPr>
          <w:rFonts w:eastAsia="Times New Roman"/>
          <w:kern w:val="2"/>
          <w:szCs w:val="26"/>
        </w:rPr>
        <w:t>’</w:t>
      </w:r>
      <w:r w:rsidRPr="00295B9F" w:rsidR="00825F9D">
        <w:rPr>
          <w:rFonts w:eastAsia="Times New Roman"/>
          <w:kern w:val="2"/>
          <w:szCs w:val="26"/>
        </w:rPr>
        <w:t xml:space="preserve"> failures to make payment (</w:t>
      </w:r>
      <w:r w:rsidRPr="00295B9F" w:rsidR="00825F9D">
        <w:rPr>
          <w:rFonts w:eastAsia="Times New Roman"/>
          <w:i/>
          <w:iCs/>
          <w:kern w:val="2"/>
          <w:szCs w:val="26"/>
        </w:rPr>
        <w:t>id.</w:t>
      </w:r>
      <w:r w:rsidRPr="00295B9F" w:rsidR="00825F9D">
        <w:rPr>
          <w:rFonts w:eastAsia="Times New Roman"/>
          <w:kern w:val="2"/>
          <w:szCs w:val="26"/>
        </w:rPr>
        <w:t>, § 203, subd. (a)).</w:t>
      </w:r>
      <w:r w:rsidRPr="00295B9F">
        <w:rPr>
          <w:rFonts w:eastAsia="Times New Roman"/>
          <w:kern w:val="2"/>
          <w:szCs w:val="26"/>
        </w:rPr>
        <w:t xml:space="preserve">” </w:t>
      </w:r>
      <w:bookmarkStart w:id="3" w:name="_Hlk119320790"/>
      <w:r w:rsidRPr="00295B9F">
        <w:rPr>
          <w:rFonts w:eastAsia="Times New Roman"/>
          <w:kern w:val="2"/>
          <w:szCs w:val="26"/>
        </w:rPr>
        <w:t>(</w:t>
      </w:r>
      <w:r w:rsidRPr="00295B9F">
        <w:rPr>
          <w:rFonts w:eastAsia="Times New Roman"/>
          <w:i/>
          <w:iCs/>
          <w:kern w:val="2"/>
          <w:szCs w:val="26"/>
        </w:rPr>
        <w:t>Naranjo v. Spectrum Security Services, Inc</w:t>
      </w:r>
      <w:r w:rsidRPr="00295B9F">
        <w:rPr>
          <w:rFonts w:eastAsia="Times New Roman"/>
          <w:kern w:val="2"/>
          <w:szCs w:val="26"/>
        </w:rPr>
        <w:t>.</w:t>
      </w:r>
      <w:r w:rsidRPr="00295B9F" w:rsidR="00944155">
        <w:rPr>
          <w:rFonts w:eastAsia="Times New Roman"/>
          <w:kern w:val="2"/>
          <w:szCs w:val="26"/>
        </w:rPr>
        <w:t xml:space="preserve">, </w:t>
      </w:r>
      <w:r w:rsidRPr="00295B9F" w:rsidR="00944155">
        <w:rPr>
          <w:rFonts w:eastAsia="Times New Roman"/>
          <w:i/>
          <w:iCs/>
          <w:kern w:val="2"/>
          <w:szCs w:val="26"/>
        </w:rPr>
        <w:t>supra,</w:t>
      </w:r>
      <w:r w:rsidRPr="00295B9F" w:rsidR="00117B7B">
        <w:rPr>
          <w:rFonts w:eastAsia="Times New Roman"/>
          <w:kern w:val="2"/>
          <w:szCs w:val="26"/>
        </w:rPr>
        <w:t xml:space="preserve"> 13 Cal.</w:t>
      </w:r>
      <w:r w:rsidRPr="00295B9F" w:rsidR="005D5A96">
        <w:rPr>
          <w:rFonts w:eastAsia="Times New Roman"/>
          <w:kern w:val="2"/>
          <w:szCs w:val="26"/>
        </w:rPr>
        <w:t>5th</w:t>
      </w:r>
      <w:r w:rsidRPr="00295B9F" w:rsidR="00117B7B">
        <w:rPr>
          <w:rFonts w:eastAsia="Times New Roman"/>
          <w:kern w:val="2"/>
          <w:szCs w:val="26"/>
        </w:rPr>
        <w:t xml:space="preserve"> 93</w:t>
      </w:r>
      <w:r w:rsidRPr="00295B9F" w:rsidR="00944155">
        <w:rPr>
          <w:rFonts w:eastAsia="Times New Roman"/>
          <w:kern w:val="2"/>
          <w:szCs w:val="26"/>
        </w:rPr>
        <w:t xml:space="preserve"> at pp.</w:t>
      </w:r>
      <w:r w:rsidRPr="00295B9F" w:rsidR="00117B7B">
        <w:rPr>
          <w:rFonts w:eastAsia="Times New Roman"/>
          <w:kern w:val="2"/>
          <w:szCs w:val="26"/>
        </w:rPr>
        <w:t xml:space="preserve"> </w:t>
      </w:r>
      <w:r w:rsidRPr="00295B9F" w:rsidR="005D5A96">
        <w:rPr>
          <w:rFonts w:eastAsia="Times New Roman"/>
          <w:kern w:val="2"/>
          <w:szCs w:val="26"/>
        </w:rPr>
        <w:t>10</w:t>
      </w:r>
      <w:r w:rsidRPr="00295B9F" w:rsidR="009772DC">
        <w:rPr>
          <w:rFonts w:eastAsia="Times New Roman"/>
          <w:kern w:val="2"/>
          <w:szCs w:val="26"/>
        </w:rPr>
        <w:t>3</w:t>
      </w:r>
      <w:r w:rsidRPr="00295B9F" w:rsidR="005D5A96">
        <w:rPr>
          <w:rFonts w:eastAsia="Times New Roman"/>
          <w:kern w:val="2"/>
          <w:szCs w:val="26"/>
        </w:rPr>
        <w:t>-104.)</w:t>
      </w:r>
      <w:r w:rsidRPr="00295B9F" w:rsidR="00825F9D">
        <w:rPr>
          <w:rFonts w:eastAsia="Times New Roman"/>
          <w:kern w:val="2"/>
          <w:szCs w:val="26"/>
        </w:rPr>
        <w:t xml:space="preserve"> </w:t>
      </w:r>
      <w:bookmarkEnd w:id="3"/>
    </w:p>
    <w:p w:rsidR="00503265" w:rsidRPr="00295B9F" w:rsidP="00CB7FCC" w14:paraId="70CEA24F" w14:textId="0C39AC31">
      <w:pPr>
        <w:ind w:firstLine="720"/>
        <w:rPr>
          <w:rFonts w:eastAsia="Times New Roman"/>
          <w:kern w:val="2"/>
          <w:szCs w:val="26"/>
        </w:rPr>
      </w:pPr>
      <w:r w:rsidRPr="00295B9F">
        <w:rPr>
          <w:rFonts w:eastAsia="Times New Roman"/>
          <w:kern w:val="2"/>
          <w:szCs w:val="26"/>
        </w:rPr>
        <w:t>The trial court concluded Spectrum</w:t>
      </w:r>
      <w:r w:rsidRPr="00295B9F" w:rsidR="001B363F">
        <w:rPr>
          <w:rFonts w:eastAsia="Times New Roman"/>
          <w:kern w:val="2"/>
          <w:szCs w:val="26"/>
        </w:rPr>
        <w:t>’</w:t>
      </w:r>
      <w:r w:rsidRPr="00295B9F">
        <w:rPr>
          <w:rFonts w:eastAsia="Times New Roman"/>
          <w:kern w:val="2"/>
          <w:szCs w:val="26"/>
        </w:rPr>
        <w:t xml:space="preserve">s wage statement omissions were </w:t>
      </w:r>
      <w:r w:rsidRPr="00295B9F" w:rsidR="00143487">
        <w:rPr>
          <w:rFonts w:eastAsia="Times New Roman"/>
          <w:kern w:val="2"/>
          <w:szCs w:val="26"/>
        </w:rPr>
        <w:t xml:space="preserve">“knowing and intentional” </w:t>
      </w:r>
      <w:r w:rsidRPr="00295B9F">
        <w:rPr>
          <w:rFonts w:eastAsia="Times New Roman"/>
          <w:kern w:val="2"/>
          <w:szCs w:val="26"/>
        </w:rPr>
        <w:t>and awarded </w:t>
      </w:r>
      <w:r w:rsidRPr="00295B9F" w:rsidR="0080321A">
        <w:rPr>
          <w:rFonts w:eastAsia="Times New Roman"/>
          <w:kern w:val="2"/>
          <w:szCs w:val="26"/>
        </w:rPr>
        <w:t>penalties under</w:t>
      </w:r>
      <w:r w:rsidRPr="00295B9F">
        <w:rPr>
          <w:rFonts w:eastAsia="Times New Roman"/>
          <w:kern w:val="2"/>
          <w:szCs w:val="26"/>
        </w:rPr>
        <w:t xml:space="preserve"> section 226</w:t>
      </w:r>
      <w:r w:rsidRPr="00295B9F" w:rsidR="00143487">
        <w:rPr>
          <w:rFonts w:eastAsia="Times New Roman"/>
          <w:kern w:val="2"/>
          <w:szCs w:val="26"/>
        </w:rPr>
        <w:t xml:space="preserve">. </w:t>
      </w:r>
      <w:r w:rsidRPr="00295B9F" w:rsidR="00B37E49">
        <w:rPr>
          <w:rFonts w:eastAsia="Times New Roman"/>
          <w:kern w:val="2"/>
          <w:szCs w:val="26"/>
        </w:rPr>
        <w:t xml:space="preserve">The parties stipulated the section 226 penalty was </w:t>
      </w:r>
      <w:r w:rsidRPr="00295B9F" w:rsidR="00A7255E">
        <w:rPr>
          <w:rFonts w:eastAsia="Times New Roman"/>
          <w:kern w:val="2"/>
          <w:szCs w:val="26"/>
        </w:rPr>
        <w:t xml:space="preserve">$399,950. </w:t>
      </w:r>
      <w:r w:rsidRPr="00295B9F" w:rsidR="00B7514D">
        <w:rPr>
          <w:rFonts w:eastAsia="Times New Roman"/>
          <w:kern w:val="2"/>
          <w:szCs w:val="26"/>
        </w:rPr>
        <w:t>The trial court</w:t>
      </w:r>
      <w:r w:rsidRPr="00295B9F" w:rsidR="00C31411">
        <w:rPr>
          <w:rFonts w:eastAsia="Times New Roman"/>
          <w:kern w:val="2"/>
          <w:szCs w:val="26"/>
        </w:rPr>
        <w:t xml:space="preserve"> also awarded attorney</w:t>
      </w:r>
      <w:r w:rsidRPr="00295B9F" w:rsidR="00DF3EA7">
        <w:rPr>
          <w:rFonts w:eastAsia="Times New Roman"/>
          <w:kern w:val="2"/>
          <w:szCs w:val="26"/>
        </w:rPr>
        <w:t>s’</w:t>
      </w:r>
      <w:r w:rsidRPr="00295B9F" w:rsidR="00C31411">
        <w:rPr>
          <w:rFonts w:eastAsia="Times New Roman"/>
          <w:kern w:val="2"/>
          <w:szCs w:val="26"/>
        </w:rPr>
        <w:t xml:space="preserve"> fees</w:t>
      </w:r>
      <w:r w:rsidRPr="00295B9F" w:rsidR="00CD286E">
        <w:rPr>
          <w:rFonts w:eastAsia="Times New Roman"/>
          <w:kern w:val="2"/>
          <w:szCs w:val="26"/>
        </w:rPr>
        <w:t>, which are expressly authorized under section 226,</w:t>
      </w:r>
      <w:r w:rsidRPr="00295B9F" w:rsidR="00C31411">
        <w:rPr>
          <w:rFonts w:eastAsia="Times New Roman"/>
          <w:kern w:val="2"/>
          <w:szCs w:val="26"/>
        </w:rPr>
        <w:t xml:space="preserve"> to class counsel</w:t>
      </w:r>
      <w:r w:rsidRPr="00295B9F" w:rsidR="00CD286E">
        <w:rPr>
          <w:rFonts w:eastAsia="Times New Roman"/>
          <w:kern w:val="2"/>
          <w:szCs w:val="26"/>
        </w:rPr>
        <w:t>.</w:t>
      </w:r>
      <w:r w:rsidRPr="00295B9F" w:rsidR="00C31411">
        <w:rPr>
          <w:rFonts w:eastAsia="Times New Roman"/>
          <w:kern w:val="2"/>
          <w:szCs w:val="26"/>
        </w:rPr>
        <w:t xml:space="preserve"> </w:t>
      </w:r>
      <w:r w:rsidRPr="00295B9F" w:rsidR="00300397">
        <w:rPr>
          <w:rFonts w:eastAsia="Times New Roman"/>
          <w:kern w:val="2"/>
          <w:szCs w:val="26"/>
        </w:rPr>
        <w:t>The court</w:t>
      </w:r>
      <w:r w:rsidRPr="00295B9F" w:rsidR="00C8797C">
        <w:rPr>
          <w:rFonts w:eastAsia="Times New Roman"/>
          <w:kern w:val="2"/>
          <w:szCs w:val="26"/>
        </w:rPr>
        <w:t xml:space="preserve"> denied waiting time penalties under section 203, however, concluding</w:t>
      </w:r>
      <w:r w:rsidRPr="00295B9F" w:rsidR="00440C2E">
        <w:rPr>
          <w:rFonts w:eastAsia="Times New Roman"/>
          <w:kern w:val="2"/>
          <w:szCs w:val="26"/>
        </w:rPr>
        <w:t xml:space="preserve"> </w:t>
      </w:r>
      <w:r w:rsidRPr="00295B9F">
        <w:rPr>
          <w:rFonts w:eastAsia="Times New Roman"/>
          <w:kern w:val="2"/>
          <w:szCs w:val="26"/>
        </w:rPr>
        <w:t>the failure to make timely payment</w:t>
      </w:r>
      <w:r w:rsidRPr="00295B9F" w:rsidR="00B7514D">
        <w:rPr>
          <w:rFonts w:eastAsia="Times New Roman"/>
          <w:kern w:val="2"/>
          <w:szCs w:val="26"/>
        </w:rPr>
        <w:t xml:space="preserve"> </w:t>
      </w:r>
      <w:r w:rsidRPr="00295B9F">
        <w:rPr>
          <w:rFonts w:eastAsia="Times New Roman"/>
          <w:kern w:val="2"/>
          <w:szCs w:val="26"/>
        </w:rPr>
        <w:t>was not willful</w:t>
      </w:r>
      <w:r w:rsidRPr="00295B9F" w:rsidR="00AA3CCA">
        <w:rPr>
          <w:rFonts w:eastAsia="Times New Roman"/>
          <w:kern w:val="2"/>
          <w:szCs w:val="26"/>
        </w:rPr>
        <w:t>.</w:t>
      </w:r>
      <w:r w:rsidRPr="00295B9F" w:rsidR="007C0949">
        <w:rPr>
          <w:rFonts w:eastAsia="Times New Roman"/>
          <w:kern w:val="2"/>
          <w:szCs w:val="26"/>
        </w:rPr>
        <w:t xml:space="preserve"> </w:t>
      </w:r>
      <w:r w:rsidRPr="00295B9F" w:rsidR="004F45F3">
        <w:rPr>
          <w:rFonts w:eastAsia="Times New Roman"/>
          <w:kern w:val="2"/>
          <w:szCs w:val="26"/>
        </w:rPr>
        <w:t>The</w:t>
      </w:r>
      <w:r w:rsidRPr="00295B9F" w:rsidR="007C0949">
        <w:rPr>
          <w:rFonts w:eastAsia="Times New Roman"/>
          <w:kern w:val="2"/>
          <w:szCs w:val="26"/>
        </w:rPr>
        <w:t xml:space="preserve"> </w:t>
      </w:r>
      <w:r w:rsidRPr="00295B9F" w:rsidR="004F45F3">
        <w:rPr>
          <w:rFonts w:eastAsia="Times New Roman"/>
          <w:kern w:val="2"/>
          <w:szCs w:val="26"/>
        </w:rPr>
        <w:t>trial court found</w:t>
      </w:r>
      <w:r w:rsidRPr="00295B9F" w:rsidR="00AA3CCA">
        <w:rPr>
          <w:rFonts w:eastAsia="Times New Roman"/>
          <w:kern w:val="2"/>
          <w:szCs w:val="26"/>
        </w:rPr>
        <w:t xml:space="preserve"> a good faith dispute</w:t>
      </w:r>
      <w:r w:rsidRPr="00295B9F" w:rsidR="00DA3A17">
        <w:rPr>
          <w:rFonts w:eastAsia="Times New Roman"/>
          <w:kern w:val="2"/>
          <w:szCs w:val="26"/>
        </w:rPr>
        <w:t xml:space="preserve"> existed regarding whether meal premiums were due; thus, </w:t>
      </w:r>
      <w:r w:rsidRPr="00295B9F" w:rsidR="006A33A6">
        <w:rPr>
          <w:rFonts w:eastAsia="Times New Roman"/>
          <w:kern w:val="2"/>
          <w:szCs w:val="26"/>
        </w:rPr>
        <w:t xml:space="preserve">it held </w:t>
      </w:r>
      <w:r w:rsidRPr="00295B9F" w:rsidR="00DA3A17">
        <w:rPr>
          <w:rFonts w:eastAsia="Times New Roman"/>
          <w:kern w:val="2"/>
          <w:szCs w:val="26"/>
        </w:rPr>
        <w:t>the failure to pay was not willful</w:t>
      </w:r>
      <w:r w:rsidRPr="00295B9F" w:rsidR="004F45F3">
        <w:rPr>
          <w:rFonts w:eastAsia="Times New Roman"/>
          <w:kern w:val="2"/>
          <w:szCs w:val="26"/>
        </w:rPr>
        <w:t xml:space="preserve">: </w:t>
      </w:r>
      <w:r w:rsidRPr="00295B9F" w:rsidR="009C5109">
        <w:rPr>
          <w:rFonts w:eastAsia="Times New Roman"/>
          <w:kern w:val="2"/>
          <w:szCs w:val="26"/>
        </w:rPr>
        <w:t>“Spectrum’s defenses presented in the first phase of the trial . . . if successful, would have defeated plaintiffs’ claims in their entirety. Although the court ultimately ruled against Spectrum, . . . the defe</w:t>
      </w:r>
      <w:r w:rsidRPr="00295B9F" w:rsidR="00A47882">
        <w:rPr>
          <w:rFonts w:eastAsia="Times New Roman"/>
          <w:kern w:val="2"/>
          <w:szCs w:val="26"/>
        </w:rPr>
        <w:t>n</w:t>
      </w:r>
      <w:r w:rsidRPr="00295B9F" w:rsidR="009C5109">
        <w:rPr>
          <w:rFonts w:eastAsia="Times New Roman"/>
          <w:kern w:val="2"/>
          <w:szCs w:val="26"/>
        </w:rPr>
        <w:t xml:space="preserve">ses were presented in good faith and were not unreasonable or unsupported by the evidence.” </w:t>
      </w:r>
    </w:p>
    <w:p w:rsidR="00825F9D" w:rsidRPr="00295B9F" w:rsidP="00CB7FCC" w14:paraId="2C56A012" w14:textId="62F79F71">
      <w:pPr>
        <w:ind w:firstLine="720"/>
        <w:rPr>
          <w:rFonts w:eastAsia="Times New Roman"/>
          <w:kern w:val="2"/>
          <w:szCs w:val="26"/>
        </w:rPr>
      </w:pPr>
      <w:r w:rsidRPr="00295B9F">
        <w:rPr>
          <w:rFonts w:eastAsia="Times New Roman"/>
          <w:kern w:val="2"/>
          <w:szCs w:val="26"/>
        </w:rPr>
        <w:t xml:space="preserve">Based on these findings, </w:t>
      </w:r>
      <w:r w:rsidRPr="00295B9F" w:rsidR="005E715F">
        <w:rPr>
          <w:rFonts w:eastAsia="Times New Roman"/>
          <w:kern w:val="2"/>
          <w:szCs w:val="26"/>
        </w:rPr>
        <w:t xml:space="preserve">and the </w:t>
      </w:r>
      <w:r w:rsidRPr="00295B9F" w:rsidR="00F80088">
        <w:rPr>
          <w:rFonts w:eastAsia="Times New Roman"/>
          <w:kern w:val="2"/>
          <w:szCs w:val="26"/>
        </w:rPr>
        <w:t>jury’s findings in</w:t>
      </w:r>
      <w:r w:rsidRPr="00295B9F" w:rsidR="00E3569E">
        <w:rPr>
          <w:rFonts w:eastAsia="Times New Roman"/>
          <w:kern w:val="2"/>
          <w:szCs w:val="26"/>
        </w:rPr>
        <w:t xml:space="preserve"> the second</w:t>
      </w:r>
      <w:r w:rsidRPr="00295B9F" w:rsidR="00F80088">
        <w:rPr>
          <w:rFonts w:eastAsia="Times New Roman"/>
          <w:kern w:val="2"/>
          <w:szCs w:val="26"/>
        </w:rPr>
        <w:t xml:space="preserve"> phase of trial, </w:t>
      </w:r>
      <w:r w:rsidRPr="00295B9F">
        <w:rPr>
          <w:rFonts w:eastAsia="Times New Roman"/>
          <w:kern w:val="2"/>
          <w:szCs w:val="26"/>
        </w:rPr>
        <w:t xml:space="preserve">the trial court </w:t>
      </w:r>
      <w:r w:rsidRPr="00295B9F" w:rsidR="00F80088">
        <w:rPr>
          <w:rFonts w:eastAsia="Times New Roman"/>
          <w:kern w:val="2"/>
          <w:szCs w:val="26"/>
        </w:rPr>
        <w:t xml:space="preserve">entered judgment </w:t>
      </w:r>
      <w:r w:rsidRPr="00295B9F" w:rsidR="00520DB2">
        <w:rPr>
          <w:rFonts w:eastAsia="Times New Roman"/>
          <w:kern w:val="2"/>
          <w:szCs w:val="26"/>
        </w:rPr>
        <w:t>for the plaintiff class on the meal break and wage statement claims, and awarded attorneys’ fees under section 226 and prejudgment interest at a</w:t>
      </w:r>
      <w:r w:rsidRPr="00295B9F" w:rsidR="002011D9">
        <w:rPr>
          <w:rFonts w:eastAsia="Times New Roman"/>
          <w:kern w:val="2"/>
          <w:szCs w:val="26"/>
        </w:rPr>
        <w:t xml:space="preserve"> rate of </w:t>
      </w:r>
      <w:r w:rsidRPr="00295B9F" w:rsidR="00CB7FCC">
        <w:rPr>
          <w:rFonts w:eastAsia="Times New Roman"/>
          <w:kern w:val="2"/>
          <w:szCs w:val="26"/>
        </w:rPr>
        <w:t xml:space="preserve">10 percent. </w:t>
      </w:r>
      <w:r w:rsidRPr="00295B9F" w:rsidR="00FF59A9">
        <w:rPr>
          <w:rFonts w:eastAsia="Times New Roman"/>
          <w:kern w:val="2"/>
          <w:szCs w:val="26"/>
        </w:rPr>
        <w:t>(</w:t>
      </w:r>
      <w:r w:rsidRPr="00295B9F" w:rsidR="00FF59A9">
        <w:rPr>
          <w:rFonts w:eastAsia="Times New Roman"/>
          <w:i/>
          <w:iCs/>
          <w:kern w:val="2"/>
          <w:szCs w:val="26"/>
        </w:rPr>
        <w:t>Naranjo v. Spectrum Security Services Inc.</w:t>
      </w:r>
      <w:r w:rsidRPr="00295B9F" w:rsidR="00944155">
        <w:rPr>
          <w:rFonts w:eastAsia="Times New Roman"/>
          <w:kern w:val="2"/>
          <w:szCs w:val="26"/>
        </w:rPr>
        <w:t xml:space="preserve">, </w:t>
      </w:r>
      <w:r w:rsidRPr="00295B9F" w:rsidR="00944155">
        <w:rPr>
          <w:rFonts w:eastAsia="Times New Roman"/>
          <w:i/>
          <w:iCs/>
          <w:kern w:val="2"/>
          <w:szCs w:val="26"/>
        </w:rPr>
        <w:t>supra,</w:t>
      </w:r>
      <w:r w:rsidRPr="00295B9F" w:rsidR="00D317B3">
        <w:rPr>
          <w:rFonts w:eastAsia="Times New Roman"/>
          <w:kern w:val="2"/>
          <w:szCs w:val="26"/>
        </w:rPr>
        <w:t xml:space="preserve"> 13 Cal.</w:t>
      </w:r>
      <w:r w:rsidRPr="00295B9F" w:rsidR="00EE3A64">
        <w:rPr>
          <w:rFonts w:eastAsia="Times New Roman"/>
          <w:kern w:val="2"/>
          <w:szCs w:val="26"/>
        </w:rPr>
        <w:t>5th</w:t>
      </w:r>
      <w:r w:rsidRPr="00295B9F" w:rsidR="00D317B3">
        <w:rPr>
          <w:rFonts w:eastAsia="Times New Roman"/>
          <w:kern w:val="2"/>
          <w:szCs w:val="26"/>
        </w:rPr>
        <w:t xml:space="preserve"> </w:t>
      </w:r>
      <w:r w:rsidRPr="00295B9F" w:rsidR="00944155">
        <w:rPr>
          <w:rFonts w:eastAsia="Times New Roman"/>
          <w:kern w:val="2"/>
          <w:szCs w:val="26"/>
        </w:rPr>
        <w:t>at p.</w:t>
      </w:r>
      <w:r w:rsidRPr="00295B9F" w:rsidR="00D317B3">
        <w:rPr>
          <w:rFonts w:eastAsia="Times New Roman"/>
          <w:kern w:val="2"/>
          <w:szCs w:val="26"/>
        </w:rPr>
        <w:t xml:space="preserve"> </w:t>
      </w:r>
      <w:r w:rsidRPr="00295B9F" w:rsidR="00EE3A64">
        <w:rPr>
          <w:rFonts w:eastAsia="Times New Roman"/>
          <w:kern w:val="2"/>
          <w:szCs w:val="26"/>
        </w:rPr>
        <w:t>104.)</w:t>
      </w:r>
    </w:p>
    <w:p w:rsidR="00357A0F" w:rsidRPr="00295B9F" w:rsidP="00BC7F02" w14:paraId="77CCB6EA" w14:textId="3D2D53E1">
      <w:pPr>
        <w:ind w:firstLine="720"/>
        <w:rPr>
          <w:rFonts w:eastAsia="Times New Roman"/>
          <w:kern w:val="2"/>
          <w:szCs w:val="26"/>
        </w:rPr>
      </w:pPr>
      <w:r w:rsidRPr="00295B9F">
        <w:rPr>
          <w:rFonts w:eastAsia="Times New Roman"/>
          <w:kern w:val="2"/>
          <w:szCs w:val="26"/>
        </w:rPr>
        <w:t xml:space="preserve">Both sides appealed. As relevant here, in </w:t>
      </w:r>
      <w:r w:rsidRPr="00295B9F">
        <w:rPr>
          <w:rFonts w:eastAsia="Times New Roman"/>
          <w:i/>
          <w:iCs/>
          <w:kern w:val="2"/>
          <w:szCs w:val="26"/>
        </w:rPr>
        <w:t>Naranjo II</w:t>
      </w:r>
      <w:r w:rsidRPr="00295B9F">
        <w:rPr>
          <w:rFonts w:eastAsia="Times New Roman"/>
          <w:kern w:val="2"/>
          <w:szCs w:val="26"/>
        </w:rPr>
        <w:t>, we affirmed the trial court’s determination that Spectrum had violated the meal break laws during the period from June 2004 to September 2007 (</w:t>
      </w:r>
      <w:r w:rsidRPr="00295B9F" w:rsidR="002F5E14">
        <w:rPr>
          <w:rFonts w:eastAsia="Times New Roman"/>
          <w:i/>
          <w:iCs/>
          <w:kern w:val="2"/>
          <w:szCs w:val="26"/>
        </w:rPr>
        <w:t>Naranjo II, supra</w:t>
      </w:r>
      <w:r w:rsidRPr="00295B9F" w:rsidR="002F5E14">
        <w:rPr>
          <w:rFonts w:eastAsia="Times New Roman"/>
          <w:kern w:val="2"/>
          <w:szCs w:val="26"/>
        </w:rPr>
        <w:t>, 40 Cal.App.</w:t>
      </w:r>
      <w:r w:rsidRPr="00295B9F" w:rsidR="00C93E4F">
        <w:rPr>
          <w:rFonts w:eastAsia="Times New Roman"/>
          <w:kern w:val="2"/>
          <w:szCs w:val="26"/>
        </w:rPr>
        <w:t>5th</w:t>
      </w:r>
      <w:r w:rsidRPr="00295B9F" w:rsidR="002F5E14">
        <w:rPr>
          <w:rFonts w:eastAsia="Times New Roman"/>
          <w:kern w:val="2"/>
          <w:szCs w:val="26"/>
        </w:rPr>
        <w:t xml:space="preserve"> at pp.</w:t>
      </w:r>
      <w:r w:rsidRPr="00295B9F" w:rsidR="00EF59B1">
        <w:rPr>
          <w:rFonts w:eastAsia="Times New Roman"/>
          <w:kern w:val="2"/>
          <w:szCs w:val="26"/>
        </w:rPr>
        <w:t xml:space="preserve"> </w:t>
      </w:r>
      <w:r w:rsidRPr="00295B9F" w:rsidR="00F3521F">
        <w:rPr>
          <w:rFonts w:eastAsia="Times New Roman"/>
          <w:kern w:val="2"/>
          <w:szCs w:val="26"/>
        </w:rPr>
        <w:t xml:space="preserve">455, </w:t>
      </w:r>
      <w:r w:rsidRPr="00295B9F" w:rsidR="002F5E14">
        <w:rPr>
          <w:rFonts w:eastAsia="Times New Roman"/>
          <w:kern w:val="2"/>
          <w:szCs w:val="26"/>
        </w:rPr>
        <w:t xml:space="preserve">457-463) but reversed the court’s holding </w:t>
      </w:r>
      <w:r w:rsidRPr="00295B9F" w:rsidR="00C93E4F">
        <w:rPr>
          <w:rFonts w:eastAsia="Times New Roman"/>
          <w:kern w:val="2"/>
          <w:szCs w:val="26"/>
        </w:rPr>
        <w:t>that a failure to pay meal break premiums could support claims under the wage statement and timely payment statutes (</w:t>
      </w:r>
      <w:r w:rsidRPr="002B6AE5" w:rsidR="00FA3016">
        <w:rPr>
          <w:i/>
          <w:iCs/>
        </w:rPr>
        <w:t>id.</w:t>
      </w:r>
      <w:r w:rsidRPr="00295B9F" w:rsidR="00FA3016">
        <w:t> at pp. 463</w:t>
      </w:r>
      <w:r w:rsidR="009A5A1C">
        <w:t>-</w:t>
      </w:r>
      <w:r w:rsidRPr="00295B9F" w:rsidR="00FA3016">
        <w:t>47</w:t>
      </w:r>
      <w:r w:rsidRPr="00295B9F" w:rsidR="001022F7">
        <w:rPr>
          <w:rFonts w:eastAsia="Times New Roman"/>
          <w:kern w:val="2"/>
          <w:szCs w:val="26"/>
        </w:rPr>
        <w:t>6</w:t>
      </w:r>
      <w:r w:rsidRPr="00295B9F" w:rsidR="00C93E4F">
        <w:rPr>
          <w:rFonts w:eastAsia="Times New Roman"/>
          <w:kern w:val="2"/>
          <w:szCs w:val="26"/>
        </w:rPr>
        <w:t>).</w:t>
      </w:r>
    </w:p>
    <w:p w:rsidR="001E0F4C" w:rsidRPr="00295B9F" w:rsidP="00505D02" w14:paraId="07B68BA4" w14:textId="3F824289">
      <w:pPr>
        <w:ind w:firstLine="720"/>
        <w:rPr>
          <w:rFonts w:eastAsia="Times New Roman"/>
          <w:kern w:val="2"/>
          <w:szCs w:val="26"/>
        </w:rPr>
      </w:pPr>
      <w:r w:rsidRPr="00295B9F">
        <w:rPr>
          <w:rFonts w:eastAsia="Times New Roman"/>
          <w:kern w:val="2"/>
          <w:szCs w:val="26"/>
        </w:rPr>
        <w:t xml:space="preserve">Naranjo </w:t>
      </w:r>
      <w:r w:rsidRPr="00295B9F" w:rsidR="00114586">
        <w:rPr>
          <w:rFonts w:eastAsia="Times New Roman"/>
          <w:kern w:val="2"/>
          <w:szCs w:val="26"/>
        </w:rPr>
        <w:t xml:space="preserve">then </w:t>
      </w:r>
      <w:r w:rsidRPr="00295B9F">
        <w:rPr>
          <w:rFonts w:eastAsia="Times New Roman"/>
          <w:kern w:val="2"/>
          <w:szCs w:val="26"/>
        </w:rPr>
        <w:t xml:space="preserve">petitioned </w:t>
      </w:r>
      <w:r w:rsidRPr="00295B9F" w:rsidR="00E800C9">
        <w:rPr>
          <w:rFonts w:eastAsia="Times New Roman"/>
          <w:kern w:val="2"/>
          <w:szCs w:val="26"/>
        </w:rPr>
        <w:t>the</w:t>
      </w:r>
      <w:r w:rsidRPr="00295B9F">
        <w:rPr>
          <w:rFonts w:eastAsia="Times New Roman"/>
          <w:kern w:val="2"/>
          <w:szCs w:val="26"/>
        </w:rPr>
        <w:t xml:space="preserve"> California</w:t>
      </w:r>
      <w:r w:rsidRPr="00295B9F" w:rsidR="00E800C9">
        <w:rPr>
          <w:rFonts w:eastAsia="Times New Roman"/>
          <w:kern w:val="2"/>
          <w:szCs w:val="26"/>
        </w:rPr>
        <w:t xml:space="preserve"> Supreme Court</w:t>
      </w:r>
      <w:r w:rsidRPr="00295B9F" w:rsidR="00757877">
        <w:rPr>
          <w:rFonts w:eastAsia="Times New Roman"/>
          <w:kern w:val="2"/>
          <w:szCs w:val="26"/>
        </w:rPr>
        <w:t xml:space="preserve"> for </w:t>
      </w:r>
      <w:r w:rsidRPr="00295B9F" w:rsidR="00FB125C">
        <w:rPr>
          <w:rFonts w:eastAsia="Times New Roman"/>
          <w:kern w:val="2"/>
          <w:szCs w:val="26"/>
        </w:rPr>
        <w:t>review of the following issues:</w:t>
      </w:r>
      <w:r w:rsidRPr="00295B9F" w:rsidR="00D81F02">
        <w:rPr>
          <w:rFonts w:eastAsia="Times New Roman"/>
          <w:kern w:val="2"/>
          <w:szCs w:val="26"/>
        </w:rPr>
        <w:t xml:space="preserve"> (1)</w:t>
      </w:r>
      <w:r w:rsidRPr="00295B9F" w:rsidR="00E800C9">
        <w:rPr>
          <w:rFonts w:eastAsia="Times New Roman"/>
          <w:kern w:val="2"/>
          <w:szCs w:val="26"/>
        </w:rPr>
        <w:t xml:space="preserve"> </w:t>
      </w:r>
      <w:r w:rsidRPr="00295B9F" w:rsidR="00A751AF">
        <w:rPr>
          <w:rFonts w:eastAsia="Times New Roman"/>
          <w:kern w:val="2"/>
          <w:szCs w:val="26"/>
        </w:rPr>
        <w:t>w</w:t>
      </w:r>
      <w:r w:rsidRPr="00295B9F" w:rsidR="00854220">
        <w:rPr>
          <w:rFonts w:eastAsia="Times New Roman"/>
          <w:kern w:val="2"/>
          <w:szCs w:val="26"/>
        </w:rPr>
        <w:t>hether</w:t>
      </w:r>
      <w:r w:rsidRPr="00295B9F" w:rsidR="00D81F02">
        <w:rPr>
          <w:rFonts w:eastAsia="Times New Roman"/>
          <w:kern w:val="2"/>
          <w:szCs w:val="26"/>
        </w:rPr>
        <w:t xml:space="preserve"> a violation of section 226.7, which requires payment of premium wages for meal and rest period violations, give</w:t>
      </w:r>
      <w:r w:rsidRPr="00295B9F" w:rsidR="000B46D0">
        <w:rPr>
          <w:rFonts w:eastAsia="Times New Roman"/>
          <w:kern w:val="2"/>
          <w:szCs w:val="26"/>
        </w:rPr>
        <w:t>s</w:t>
      </w:r>
      <w:r w:rsidRPr="00295B9F" w:rsidR="00D81F02">
        <w:rPr>
          <w:rFonts w:eastAsia="Times New Roman"/>
          <w:kern w:val="2"/>
          <w:szCs w:val="26"/>
        </w:rPr>
        <w:t xml:space="preserve"> rise to claims under sections 203 and 226 when the employer does not include the premium wages in the employee’s wage statements</w:t>
      </w:r>
      <w:r w:rsidRPr="00295B9F" w:rsidR="000B46D0">
        <w:rPr>
          <w:rFonts w:eastAsia="Times New Roman"/>
          <w:kern w:val="2"/>
          <w:szCs w:val="26"/>
        </w:rPr>
        <w:t>; and (2)</w:t>
      </w:r>
      <w:r w:rsidRPr="00295B9F" w:rsidR="00854220">
        <w:rPr>
          <w:rFonts w:eastAsia="Times New Roman"/>
          <w:kern w:val="2"/>
          <w:szCs w:val="26"/>
        </w:rPr>
        <w:t xml:space="preserve"> </w:t>
      </w:r>
      <w:r w:rsidRPr="00295B9F" w:rsidR="00A751AF">
        <w:rPr>
          <w:rFonts w:eastAsia="Times New Roman"/>
          <w:kern w:val="2"/>
          <w:szCs w:val="26"/>
        </w:rPr>
        <w:t>the</w:t>
      </w:r>
      <w:r w:rsidRPr="00295B9F" w:rsidR="00D81F02">
        <w:rPr>
          <w:rFonts w:eastAsia="Times New Roman"/>
          <w:kern w:val="2"/>
          <w:szCs w:val="26"/>
        </w:rPr>
        <w:t xml:space="preserve"> applicable prejudgment interest rate for unpaid premium wages owed under section 226.7</w:t>
      </w:r>
      <w:r w:rsidRPr="00295B9F" w:rsidR="00A751AF">
        <w:rPr>
          <w:rFonts w:eastAsia="Times New Roman"/>
          <w:kern w:val="2"/>
          <w:szCs w:val="26"/>
        </w:rPr>
        <w:t>.</w:t>
      </w:r>
      <w:r w:rsidRPr="00295B9F" w:rsidR="00E800C9">
        <w:rPr>
          <w:rFonts w:eastAsia="Times New Roman"/>
          <w:kern w:val="2"/>
          <w:szCs w:val="26"/>
        </w:rPr>
        <w:t xml:space="preserve"> </w:t>
      </w:r>
      <w:r w:rsidRPr="00295B9F" w:rsidR="002E5912">
        <w:rPr>
          <w:rFonts w:eastAsia="Times New Roman"/>
          <w:kern w:val="2"/>
          <w:szCs w:val="26"/>
        </w:rPr>
        <w:t xml:space="preserve">The Supreme </w:t>
      </w:r>
      <w:r w:rsidRPr="00295B9F" w:rsidR="00EA4BEC">
        <w:rPr>
          <w:rFonts w:eastAsia="Times New Roman"/>
          <w:kern w:val="2"/>
          <w:szCs w:val="26"/>
        </w:rPr>
        <w:t>C</w:t>
      </w:r>
      <w:r w:rsidRPr="00295B9F" w:rsidR="002E5912">
        <w:rPr>
          <w:rFonts w:eastAsia="Times New Roman"/>
          <w:kern w:val="2"/>
          <w:szCs w:val="26"/>
        </w:rPr>
        <w:t>ourt granted review</w:t>
      </w:r>
      <w:r w:rsidRPr="00295B9F" w:rsidR="0083769B">
        <w:rPr>
          <w:rFonts w:eastAsia="Times New Roman"/>
          <w:kern w:val="2"/>
          <w:szCs w:val="26"/>
        </w:rPr>
        <w:t xml:space="preserve">. </w:t>
      </w:r>
      <w:r w:rsidRPr="00295B9F" w:rsidR="00742292">
        <w:rPr>
          <w:rFonts w:eastAsia="Times New Roman"/>
          <w:kern w:val="2"/>
          <w:szCs w:val="26"/>
        </w:rPr>
        <w:t xml:space="preserve">With respect to </w:t>
      </w:r>
      <w:r w:rsidRPr="00295B9F" w:rsidR="002D79B4">
        <w:rPr>
          <w:rFonts w:eastAsia="Times New Roman"/>
          <w:kern w:val="2"/>
          <w:szCs w:val="26"/>
        </w:rPr>
        <w:t xml:space="preserve">section 203 penalties, the Supreme Court held: “[M]issed-break premium pay constitutes wages for purposes of . . . section 203, and so waiting time penalties are available under that statute if the premium pay is not timely paid.” </w:t>
      </w:r>
      <w:bookmarkStart w:id="4" w:name="_Hlk120015045"/>
      <w:r w:rsidRPr="00295B9F" w:rsidR="002D79B4">
        <w:rPr>
          <w:rFonts w:eastAsia="Times New Roman"/>
          <w:kern w:val="2"/>
          <w:szCs w:val="26"/>
        </w:rPr>
        <w:t>(</w:t>
      </w:r>
      <w:r w:rsidRPr="00295B9F" w:rsidR="002D79B4">
        <w:rPr>
          <w:rFonts w:eastAsia="Times New Roman"/>
          <w:i/>
          <w:iCs/>
          <w:kern w:val="2"/>
          <w:szCs w:val="26"/>
        </w:rPr>
        <w:t>Naranjo v. Spectrum Security Services, Inc.</w:t>
      </w:r>
      <w:r w:rsidRPr="00295B9F" w:rsidR="002370BC">
        <w:rPr>
          <w:rFonts w:eastAsia="Times New Roman"/>
          <w:i/>
          <w:iCs/>
          <w:kern w:val="2"/>
          <w:szCs w:val="26"/>
        </w:rPr>
        <w:t>, supra,</w:t>
      </w:r>
      <w:r w:rsidRPr="00295B9F" w:rsidR="002D79B4">
        <w:rPr>
          <w:rFonts w:eastAsia="Times New Roman"/>
          <w:kern w:val="2"/>
          <w:szCs w:val="26"/>
        </w:rPr>
        <w:t xml:space="preserve"> 13 Cal.</w:t>
      </w:r>
      <w:r w:rsidRPr="00295B9F" w:rsidR="009B4230">
        <w:rPr>
          <w:rFonts w:eastAsia="Times New Roman"/>
          <w:kern w:val="2"/>
          <w:szCs w:val="26"/>
        </w:rPr>
        <w:t>5th</w:t>
      </w:r>
      <w:r w:rsidRPr="00295B9F" w:rsidR="002D79B4">
        <w:rPr>
          <w:rFonts w:eastAsia="Times New Roman"/>
          <w:kern w:val="2"/>
          <w:szCs w:val="26"/>
        </w:rPr>
        <w:t xml:space="preserve"> </w:t>
      </w:r>
      <w:r w:rsidRPr="00295B9F" w:rsidR="002370BC">
        <w:rPr>
          <w:rFonts w:eastAsia="Times New Roman"/>
          <w:kern w:val="2"/>
          <w:szCs w:val="26"/>
        </w:rPr>
        <w:t>at p.</w:t>
      </w:r>
      <w:r w:rsidRPr="00295B9F" w:rsidR="009B4230">
        <w:rPr>
          <w:rFonts w:eastAsia="Times New Roman"/>
          <w:kern w:val="2"/>
          <w:szCs w:val="26"/>
        </w:rPr>
        <w:t xml:space="preserve"> 117.)</w:t>
      </w:r>
      <w:r w:rsidRPr="00295B9F" w:rsidR="00043D6D">
        <w:rPr>
          <w:rFonts w:eastAsia="Times New Roman"/>
          <w:kern w:val="2"/>
          <w:szCs w:val="26"/>
        </w:rPr>
        <w:t xml:space="preserve"> </w:t>
      </w:r>
      <w:bookmarkEnd w:id="4"/>
      <w:r w:rsidRPr="00295B9F" w:rsidR="00742292">
        <w:rPr>
          <w:rFonts w:eastAsia="Times New Roman"/>
          <w:kern w:val="2"/>
          <w:szCs w:val="26"/>
        </w:rPr>
        <w:t>Similarly, with respect to section 226 penalties, the Supreme Court held “an employer’s obligation under . . . section 226 to report wages earned includes an obligation to report premium pay for missed</w:t>
      </w:r>
      <w:r w:rsidRPr="00295B9F" w:rsidR="00EA1EC5">
        <w:rPr>
          <w:rFonts w:eastAsia="Times New Roman"/>
          <w:kern w:val="2"/>
          <w:szCs w:val="26"/>
        </w:rPr>
        <w:t> </w:t>
      </w:r>
      <w:r w:rsidRPr="00295B9F" w:rsidR="00742292">
        <w:rPr>
          <w:rFonts w:eastAsia="Times New Roman"/>
          <w:kern w:val="2"/>
          <w:szCs w:val="26"/>
        </w:rPr>
        <w:t>breaks.</w:t>
      </w:r>
      <w:r w:rsidRPr="00295B9F" w:rsidR="00112F55">
        <w:rPr>
          <w:rFonts w:eastAsia="Times New Roman"/>
          <w:kern w:val="2"/>
          <w:szCs w:val="26"/>
        </w:rPr>
        <w:t xml:space="preserve"> This means that . . . failure to report premium pay for missed breaks can support </w:t>
      </w:r>
      <w:r w:rsidRPr="00295B9F" w:rsidR="00D6214D">
        <w:rPr>
          <w:rFonts w:eastAsia="Times New Roman"/>
          <w:kern w:val="2"/>
          <w:szCs w:val="26"/>
        </w:rPr>
        <w:t>monetary</w:t>
      </w:r>
      <w:r w:rsidRPr="00295B9F" w:rsidR="00112F55">
        <w:rPr>
          <w:rFonts w:eastAsia="Times New Roman"/>
          <w:kern w:val="2"/>
          <w:szCs w:val="26"/>
        </w:rPr>
        <w:t xml:space="preserve"> liability under section 226 . . . .” (</w:t>
      </w:r>
      <w:r w:rsidRPr="00295B9F" w:rsidR="00785B99">
        <w:rPr>
          <w:rFonts w:eastAsia="Times New Roman"/>
          <w:i/>
          <w:iCs/>
          <w:kern w:val="2"/>
          <w:szCs w:val="26"/>
        </w:rPr>
        <w:t>Naranjo v. Spectrum Security Services, Inc.</w:t>
      </w:r>
      <w:r w:rsidR="009A5A1C">
        <w:rPr>
          <w:rFonts w:eastAsia="Times New Roman"/>
          <w:iCs/>
          <w:kern w:val="2"/>
          <w:szCs w:val="26"/>
        </w:rPr>
        <w:t>,</w:t>
      </w:r>
      <w:r w:rsidRPr="00295B9F" w:rsidR="00112F55">
        <w:rPr>
          <w:rFonts w:eastAsia="Times New Roman"/>
          <w:kern w:val="2"/>
          <w:szCs w:val="26"/>
        </w:rPr>
        <w:t xml:space="preserve"> at p. </w:t>
      </w:r>
      <w:r w:rsidRPr="00295B9F" w:rsidR="00D6214D">
        <w:rPr>
          <w:rFonts w:eastAsia="Times New Roman"/>
          <w:kern w:val="2"/>
          <w:szCs w:val="26"/>
        </w:rPr>
        <w:t>121.)</w:t>
      </w:r>
      <w:r w:rsidRPr="00295B9F" w:rsidR="00A545E8">
        <w:rPr>
          <w:rFonts w:eastAsia="Times New Roman"/>
          <w:kern w:val="2"/>
          <w:szCs w:val="26"/>
        </w:rPr>
        <w:t xml:space="preserve"> </w:t>
      </w:r>
      <w:r w:rsidRPr="00295B9F" w:rsidR="00BC1EAE">
        <w:rPr>
          <w:rFonts w:eastAsia="Times New Roman"/>
          <w:kern w:val="2"/>
          <w:szCs w:val="26"/>
        </w:rPr>
        <w:t xml:space="preserve">Thus, the </w:t>
      </w:r>
      <w:r w:rsidRPr="00295B9F" w:rsidR="00EA4BEC">
        <w:rPr>
          <w:rFonts w:eastAsia="Times New Roman"/>
          <w:kern w:val="2"/>
          <w:szCs w:val="26"/>
        </w:rPr>
        <w:t xml:space="preserve">Supreme Court </w:t>
      </w:r>
      <w:r w:rsidRPr="00295B9F" w:rsidR="00D80717">
        <w:rPr>
          <w:rFonts w:eastAsia="Times New Roman"/>
          <w:kern w:val="2"/>
          <w:szCs w:val="26"/>
        </w:rPr>
        <w:t>concluded “[m]issed-break premium pay is indeed wages subject to the Labor Code</w:t>
      </w:r>
      <w:r w:rsidRPr="00295B9F" w:rsidR="00F63C8F">
        <w:rPr>
          <w:rFonts w:eastAsia="Times New Roman"/>
          <w:kern w:val="2"/>
          <w:szCs w:val="26"/>
        </w:rPr>
        <w:t>’</w:t>
      </w:r>
      <w:r w:rsidRPr="00295B9F" w:rsidR="00D80717">
        <w:rPr>
          <w:rFonts w:eastAsia="Times New Roman"/>
          <w:kern w:val="2"/>
          <w:szCs w:val="26"/>
        </w:rPr>
        <w:t>s timely payment and reporting requirements, and it can support section 203 waiting time penalties and section 226 wage statement penalties</w:t>
      </w:r>
      <w:r w:rsidRPr="00295B9F" w:rsidR="00212DD4">
        <w:rPr>
          <w:rFonts w:eastAsia="Times New Roman"/>
          <w:kern w:val="2"/>
          <w:szCs w:val="26"/>
        </w:rPr>
        <w:t xml:space="preserve"> where the relevant conditions for imposing penalties are met.” (</w:t>
      </w:r>
      <w:r w:rsidRPr="00295B9F" w:rsidR="00785B99">
        <w:rPr>
          <w:rFonts w:eastAsia="Times New Roman"/>
          <w:i/>
          <w:iCs/>
          <w:kern w:val="2"/>
          <w:szCs w:val="26"/>
        </w:rPr>
        <w:t>Naranjo v. Spectrum Security Services, Inc.</w:t>
      </w:r>
      <w:r w:rsidR="009A5A1C">
        <w:rPr>
          <w:rFonts w:eastAsia="Times New Roman"/>
          <w:iCs/>
          <w:kern w:val="2"/>
          <w:szCs w:val="26"/>
        </w:rPr>
        <w:t>,</w:t>
      </w:r>
      <w:r w:rsidRPr="00295B9F" w:rsidR="00212DD4">
        <w:rPr>
          <w:rFonts w:eastAsia="Times New Roman"/>
          <w:kern w:val="2"/>
          <w:szCs w:val="26"/>
        </w:rPr>
        <w:t xml:space="preserve"> at p. 125.) </w:t>
      </w:r>
      <w:r w:rsidRPr="00295B9F" w:rsidR="00F63C8F">
        <w:rPr>
          <w:rFonts w:eastAsia="Times New Roman"/>
          <w:kern w:val="2"/>
          <w:szCs w:val="26"/>
        </w:rPr>
        <w:t>Whether those condition</w:t>
      </w:r>
      <w:r w:rsidRPr="00295B9F" w:rsidR="00505D02">
        <w:rPr>
          <w:rFonts w:eastAsia="Times New Roman"/>
          <w:kern w:val="2"/>
          <w:szCs w:val="26"/>
        </w:rPr>
        <w:t>s</w:t>
      </w:r>
      <w:r w:rsidRPr="00295B9F" w:rsidR="00F63C8F">
        <w:rPr>
          <w:rFonts w:eastAsia="Times New Roman"/>
          <w:kern w:val="2"/>
          <w:szCs w:val="26"/>
        </w:rPr>
        <w:t xml:space="preserve"> had been met, however, had not been addressed in </w:t>
      </w:r>
      <w:r w:rsidRPr="00295B9F" w:rsidR="00F63C8F">
        <w:rPr>
          <w:rFonts w:eastAsia="Times New Roman"/>
          <w:i/>
          <w:iCs/>
          <w:kern w:val="2"/>
          <w:szCs w:val="26"/>
        </w:rPr>
        <w:t>Naranjo II</w:t>
      </w:r>
      <w:r w:rsidRPr="00295B9F" w:rsidR="00F63C8F">
        <w:rPr>
          <w:rFonts w:eastAsia="Times New Roman"/>
          <w:kern w:val="2"/>
          <w:szCs w:val="26"/>
        </w:rPr>
        <w:t xml:space="preserve">. </w:t>
      </w:r>
      <w:r w:rsidRPr="00295B9F">
        <w:rPr>
          <w:rFonts w:eastAsia="Times New Roman"/>
          <w:kern w:val="2"/>
          <w:szCs w:val="26"/>
        </w:rPr>
        <w:t>The Supreme Court</w:t>
      </w:r>
      <w:r w:rsidRPr="00295B9F" w:rsidR="00505D02">
        <w:rPr>
          <w:rFonts w:eastAsia="Times New Roman"/>
          <w:kern w:val="2"/>
          <w:szCs w:val="26"/>
        </w:rPr>
        <w:t>, therefore,</w:t>
      </w:r>
      <w:r w:rsidRPr="00295B9F">
        <w:rPr>
          <w:rFonts w:eastAsia="Times New Roman"/>
          <w:kern w:val="2"/>
          <w:szCs w:val="26"/>
        </w:rPr>
        <w:t xml:space="preserve"> remanded </w:t>
      </w:r>
      <w:r w:rsidRPr="00295B9F" w:rsidR="00CC2A5F">
        <w:rPr>
          <w:rFonts w:eastAsia="Times New Roman"/>
          <w:kern w:val="2"/>
          <w:szCs w:val="26"/>
        </w:rPr>
        <w:t xml:space="preserve">the </w:t>
      </w:r>
      <w:r w:rsidRPr="00295B9F" w:rsidR="00903D38">
        <w:rPr>
          <w:rFonts w:eastAsia="Times New Roman"/>
          <w:kern w:val="2"/>
          <w:szCs w:val="26"/>
        </w:rPr>
        <w:t>case to</w:t>
      </w:r>
      <w:r w:rsidRPr="00295B9F" w:rsidR="000549B7">
        <w:rPr>
          <w:rFonts w:eastAsia="Times New Roman"/>
          <w:kern w:val="2"/>
          <w:szCs w:val="26"/>
        </w:rPr>
        <w:t xml:space="preserve"> our court to</w:t>
      </w:r>
      <w:r w:rsidRPr="00295B9F" w:rsidR="00903D38">
        <w:rPr>
          <w:rFonts w:eastAsia="Times New Roman"/>
          <w:kern w:val="2"/>
          <w:szCs w:val="26"/>
        </w:rPr>
        <w:t xml:space="preserve"> </w:t>
      </w:r>
      <w:r w:rsidRPr="00295B9F" w:rsidR="0080716F">
        <w:rPr>
          <w:rFonts w:eastAsia="Times New Roman"/>
          <w:kern w:val="2"/>
          <w:szCs w:val="26"/>
        </w:rPr>
        <w:t>“address Naranjo’s argument that the trial court erred in</w:t>
      </w:r>
      <w:r w:rsidRPr="00295B9F" w:rsidR="00AD25C8">
        <w:rPr>
          <w:rFonts w:eastAsia="Times New Roman"/>
          <w:kern w:val="2"/>
          <w:szCs w:val="26"/>
        </w:rPr>
        <w:t xml:space="preserve"> </w:t>
      </w:r>
      <w:r w:rsidRPr="00295B9F" w:rsidR="005C2AF0">
        <w:rPr>
          <w:rFonts w:eastAsia="Times New Roman"/>
          <w:kern w:val="2"/>
          <w:szCs w:val="26"/>
        </w:rPr>
        <w:t>finding</w:t>
      </w:r>
      <w:r w:rsidRPr="00295B9F" w:rsidR="0080716F">
        <w:rPr>
          <w:rFonts w:eastAsia="Times New Roman"/>
          <w:kern w:val="2"/>
          <w:szCs w:val="26"/>
        </w:rPr>
        <w:t xml:space="preserve"> Spectrum had no</w:t>
      </w:r>
      <w:r w:rsidRPr="00295B9F" w:rsidR="000549B7">
        <w:rPr>
          <w:rFonts w:eastAsia="Times New Roman"/>
          <w:kern w:val="2"/>
          <w:szCs w:val="26"/>
        </w:rPr>
        <w:t>t</w:t>
      </w:r>
      <w:r w:rsidRPr="00295B9F" w:rsidR="0080716F">
        <w:rPr>
          <w:rFonts w:eastAsia="Times New Roman"/>
          <w:kern w:val="2"/>
          <w:szCs w:val="26"/>
        </w:rPr>
        <w:t xml:space="preserve"> acted willfully (which barred </w:t>
      </w:r>
      <w:r w:rsidRPr="00295B9F" w:rsidR="00AD25C8">
        <w:rPr>
          <w:rFonts w:eastAsia="Times New Roman"/>
          <w:kern w:val="2"/>
          <w:szCs w:val="26"/>
        </w:rPr>
        <w:t xml:space="preserve">recovery under . . . </w:t>
      </w:r>
      <w:r w:rsidRPr="00295B9F" w:rsidR="00903876">
        <w:rPr>
          <w:rFonts w:eastAsia="Times New Roman"/>
          <w:kern w:val="2"/>
          <w:szCs w:val="26"/>
        </w:rPr>
        <w:t>§ 203</w:t>
      </w:r>
      <w:r w:rsidRPr="00295B9F" w:rsidR="005C2AF0">
        <w:rPr>
          <w:rFonts w:eastAsia="Times New Roman"/>
          <w:kern w:val="2"/>
          <w:szCs w:val="26"/>
        </w:rPr>
        <w:t xml:space="preserve">)” and “Spectrum’s argument that its failure </w:t>
      </w:r>
      <w:r w:rsidRPr="00295B9F" w:rsidR="00C325B5">
        <w:rPr>
          <w:rFonts w:eastAsia="Times New Roman"/>
          <w:kern w:val="2"/>
          <w:szCs w:val="26"/>
        </w:rPr>
        <w:t>to report missed-</w:t>
      </w:r>
      <w:r w:rsidRPr="00295B9F" w:rsidR="00A3412D">
        <w:rPr>
          <w:rFonts w:eastAsia="Times New Roman"/>
          <w:kern w:val="2"/>
          <w:szCs w:val="26"/>
        </w:rPr>
        <w:t>break</w:t>
      </w:r>
      <w:r w:rsidRPr="00295B9F" w:rsidR="00C325B5">
        <w:rPr>
          <w:rFonts w:eastAsia="Times New Roman"/>
          <w:kern w:val="2"/>
          <w:szCs w:val="26"/>
        </w:rPr>
        <w:t xml:space="preserve"> premium pay on wage statements was not knowing and intentional</w:t>
      </w:r>
      <w:r w:rsidRPr="00295B9F" w:rsidR="00785B99">
        <w:rPr>
          <w:rFonts w:eastAsia="Times New Roman"/>
          <w:kern w:val="2"/>
          <w:szCs w:val="26"/>
        </w:rPr>
        <w:t>[</w:t>
      </w:r>
      <w:r w:rsidRPr="00295B9F" w:rsidR="00C325B5">
        <w:rPr>
          <w:rFonts w:eastAsia="Times New Roman"/>
          <w:kern w:val="2"/>
          <w:szCs w:val="26"/>
        </w:rPr>
        <w:t>.</w:t>
      </w:r>
      <w:r w:rsidRPr="00295B9F" w:rsidR="00785B99">
        <w:rPr>
          <w:rFonts w:eastAsia="Times New Roman"/>
          <w:kern w:val="2"/>
          <w:szCs w:val="26"/>
        </w:rPr>
        <w:t>]</w:t>
      </w:r>
      <w:r w:rsidRPr="00295B9F" w:rsidR="00C325B5">
        <w:rPr>
          <w:rFonts w:eastAsia="Times New Roman"/>
          <w:kern w:val="2"/>
          <w:szCs w:val="26"/>
        </w:rPr>
        <w:t>”</w:t>
      </w:r>
      <w:r w:rsidRPr="00295B9F" w:rsidR="00A3412D">
        <w:rPr>
          <w:rFonts w:eastAsia="Times New Roman"/>
          <w:kern w:val="2"/>
          <w:szCs w:val="26"/>
        </w:rPr>
        <w:t xml:space="preserve"> (</w:t>
      </w:r>
      <w:r w:rsidRPr="00295B9F" w:rsidR="00785B99">
        <w:rPr>
          <w:rFonts w:eastAsia="Times New Roman"/>
          <w:i/>
          <w:iCs/>
          <w:kern w:val="2"/>
          <w:szCs w:val="26"/>
        </w:rPr>
        <w:t>Naranjo v. Spectrum Security Services, Inc.</w:t>
      </w:r>
      <w:r w:rsidR="009A5A1C">
        <w:rPr>
          <w:rFonts w:eastAsia="Times New Roman"/>
          <w:iCs/>
          <w:kern w:val="2"/>
          <w:szCs w:val="26"/>
        </w:rPr>
        <w:t>,</w:t>
      </w:r>
      <w:r w:rsidRPr="00295B9F" w:rsidR="00505D02">
        <w:rPr>
          <w:rFonts w:eastAsia="Times New Roman"/>
          <w:kern w:val="2"/>
          <w:szCs w:val="26"/>
        </w:rPr>
        <w:t xml:space="preserve"> at p.</w:t>
      </w:r>
      <w:r w:rsidR="00A615A0">
        <w:rPr>
          <w:rFonts w:eastAsia="Times New Roman"/>
          <w:kern w:val="2"/>
          <w:szCs w:val="26"/>
        </w:rPr>
        <w:t> </w:t>
      </w:r>
      <w:r w:rsidRPr="00295B9F" w:rsidR="00A3412D">
        <w:rPr>
          <w:rFonts w:eastAsia="Times New Roman"/>
          <w:kern w:val="2"/>
          <w:szCs w:val="26"/>
        </w:rPr>
        <w:t>126.)</w:t>
      </w:r>
    </w:p>
    <w:p w:rsidR="001E0F4C" w:rsidRPr="00295B9F" w:rsidP="000105F9" w14:paraId="6F60A227" w14:textId="639268A9">
      <w:pPr>
        <w:ind w:firstLine="720"/>
        <w:rPr>
          <w:rFonts w:eastAsia="Times New Roman"/>
          <w:kern w:val="2"/>
          <w:szCs w:val="26"/>
        </w:rPr>
      </w:pPr>
      <w:r w:rsidRPr="00295B9F">
        <w:rPr>
          <w:rFonts w:eastAsia="Times New Roman"/>
          <w:kern w:val="2"/>
          <w:szCs w:val="26"/>
        </w:rPr>
        <w:t>Following</w:t>
      </w:r>
      <w:r w:rsidRPr="00295B9F" w:rsidR="00600671">
        <w:rPr>
          <w:rFonts w:eastAsia="Times New Roman"/>
          <w:kern w:val="2"/>
          <w:szCs w:val="26"/>
        </w:rPr>
        <w:t xml:space="preserve"> remand, the parties submitted supplemental briefing </w:t>
      </w:r>
      <w:r w:rsidRPr="00295B9F">
        <w:rPr>
          <w:rFonts w:eastAsia="Times New Roman"/>
          <w:kern w:val="2"/>
          <w:szCs w:val="26"/>
        </w:rPr>
        <w:t>to</w:t>
      </w:r>
      <w:r w:rsidRPr="00295B9F" w:rsidR="006D675E">
        <w:rPr>
          <w:rFonts w:eastAsia="Times New Roman"/>
          <w:kern w:val="2"/>
          <w:szCs w:val="26"/>
        </w:rPr>
        <w:t xml:space="preserve"> </w:t>
      </w:r>
      <w:r w:rsidRPr="00295B9F" w:rsidR="00A50B57">
        <w:rPr>
          <w:rFonts w:eastAsia="Times New Roman"/>
          <w:kern w:val="2"/>
          <w:szCs w:val="26"/>
        </w:rPr>
        <w:t>address relevant caselaw</w:t>
      </w:r>
      <w:r w:rsidRPr="00295B9F" w:rsidR="00283E5A">
        <w:rPr>
          <w:rFonts w:eastAsia="Times New Roman"/>
          <w:kern w:val="2"/>
          <w:szCs w:val="26"/>
        </w:rPr>
        <w:t xml:space="preserve"> since the close of </w:t>
      </w:r>
      <w:r w:rsidRPr="00295B9F" w:rsidR="00A50B57">
        <w:rPr>
          <w:rFonts w:eastAsia="Times New Roman"/>
          <w:kern w:val="2"/>
          <w:szCs w:val="26"/>
        </w:rPr>
        <w:t>the parties’ original briefing.</w:t>
      </w:r>
    </w:p>
    <w:bookmarkEnd w:id="1"/>
    <w:p w:rsidR="00D428E6" w:rsidRPr="00295B9F" w:rsidP="00EA1EC5" w14:paraId="62A60792" w14:textId="77777777">
      <w:pPr>
        <w:spacing w:before="160" w:after="160"/>
        <w:jc w:val="center"/>
        <w:rPr>
          <w:b/>
          <w:bCs/>
        </w:rPr>
      </w:pPr>
      <w:r w:rsidRPr="00295B9F">
        <w:rPr>
          <w:b/>
          <w:bCs/>
        </w:rPr>
        <w:t>DISCUSSION</w:t>
      </w:r>
    </w:p>
    <w:p w:rsidR="0023710E" w:rsidRPr="00295B9F" w:rsidP="00EA1EC5" w14:paraId="7F7A1887" w14:textId="3192B635">
      <w:pPr>
        <w:numPr>
          <w:ilvl w:val="0"/>
          <w:numId w:val="27"/>
        </w:numPr>
        <w:spacing w:after="160"/>
        <w:ind w:left="720" w:hanging="720"/>
        <w:rPr>
          <w:rFonts w:eastAsia="Times New Roman"/>
          <w:b/>
          <w:bCs/>
          <w:kern w:val="2"/>
          <w:szCs w:val="26"/>
        </w:rPr>
      </w:pPr>
      <w:r w:rsidRPr="00295B9F">
        <w:rPr>
          <w:rFonts w:eastAsia="Times New Roman"/>
          <w:b/>
          <w:bCs/>
          <w:kern w:val="2"/>
          <w:szCs w:val="26"/>
        </w:rPr>
        <w:t xml:space="preserve">Substantial Evidence Supports the Trial Court’s Finding </w:t>
      </w:r>
      <w:r w:rsidRPr="00295B9F" w:rsidR="00DD4C09">
        <w:rPr>
          <w:rFonts w:eastAsia="Times New Roman"/>
          <w:b/>
          <w:bCs/>
          <w:kern w:val="2"/>
          <w:szCs w:val="26"/>
        </w:rPr>
        <w:t>that Spectrum</w:t>
      </w:r>
      <w:r w:rsidRPr="00295B9F" w:rsidR="00762723">
        <w:rPr>
          <w:rFonts w:eastAsia="Times New Roman"/>
          <w:b/>
          <w:bCs/>
          <w:kern w:val="2"/>
          <w:szCs w:val="26"/>
        </w:rPr>
        <w:t>’s</w:t>
      </w:r>
      <w:r w:rsidRPr="00295B9F" w:rsidR="00DD4C09">
        <w:rPr>
          <w:rFonts w:eastAsia="Times New Roman"/>
          <w:b/>
          <w:bCs/>
          <w:kern w:val="2"/>
          <w:szCs w:val="26"/>
        </w:rPr>
        <w:t xml:space="preserve"> </w:t>
      </w:r>
      <w:r w:rsidRPr="00295B9F" w:rsidR="00A60B02">
        <w:rPr>
          <w:rFonts w:eastAsia="Times New Roman"/>
          <w:b/>
          <w:bCs/>
          <w:kern w:val="2"/>
          <w:szCs w:val="26"/>
        </w:rPr>
        <w:t>Failure to Pay Meal Period</w:t>
      </w:r>
      <w:r w:rsidRPr="00295B9F" w:rsidR="00323D47">
        <w:rPr>
          <w:rFonts w:eastAsia="Times New Roman"/>
          <w:b/>
          <w:bCs/>
          <w:kern w:val="2"/>
          <w:szCs w:val="26"/>
        </w:rPr>
        <w:t xml:space="preserve"> Premium </w:t>
      </w:r>
      <w:r w:rsidRPr="00295B9F" w:rsidR="00A963CC">
        <w:rPr>
          <w:rFonts w:eastAsia="Times New Roman"/>
          <w:b/>
          <w:bCs/>
          <w:kern w:val="2"/>
          <w:szCs w:val="26"/>
        </w:rPr>
        <w:t>Wages</w:t>
      </w:r>
      <w:r w:rsidRPr="00295B9F" w:rsidR="00323D47">
        <w:rPr>
          <w:rFonts w:eastAsia="Times New Roman"/>
          <w:b/>
          <w:bCs/>
          <w:kern w:val="2"/>
          <w:szCs w:val="26"/>
        </w:rPr>
        <w:t xml:space="preserve"> Was Not</w:t>
      </w:r>
      <w:r w:rsidRPr="00295B9F" w:rsidR="00DD4C09">
        <w:rPr>
          <w:rFonts w:eastAsia="Times New Roman"/>
          <w:b/>
          <w:bCs/>
          <w:kern w:val="2"/>
          <w:szCs w:val="26"/>
        </w:rPr>
        <w:t xml:space="preserve"> “Willful” </w:t>
      </w:r>
      <w:r w:rsidRPr="00295B9F" w:rsidR="008C776B">
        <w:rPr>
          <w:rFonts w:eastAsia="Times New Roman"/>
          <w:b/>
          <w:bCs/>
          <w:kern w:val="2"/>
          <w:szCs w:val="26"/>
        </w:rPr>
        <w:t>f</w:t>
      </w:r>
      <w:r w:rsidRPr="00295B9F" w:rsidR="00DD4C09">
        <w:rPr>
          <w:rFonts w:eastAsia="Times New Roman"/>
          <w:b/>
          <w:bCs/>
          <w:kern w:val="2"/>
          <w:szCs w:val="26"/>
        </w:rPr>
        <w:t>or Purposes of Section 203</w:t>
      </w:r>
    </w:p>
    <w:p w:rsidR="00B31383" w:rsidRPr="00295B9F" w:rsidP="00A86B5A" w14:paraId="6B5E5B79" w14:textId="795B2AB5">
      <w:pPr>
        <w:ind w:firstLine="720"/>
        <w:rPr>
          <w:rFonts w:eastAsia="Century Schoolbook" w:cs="Century Schoolbook"/>
          <w:szCs w:val="26"/>
        </w:rPr>
      </w:pPr>
      <w:r w:rsidRPr="00295B9F">
        <w:rPr>
          <w:rFonts w:eastAsia="Century Schoolbook" w:cs="Century Schoolbook"/>
          <w:szCs w:val="26"/>
        </w:rPr>
        <w:t>Section 203</w:t>
      </w:r>
      <w:r w:rsidRPr="00295B9F" w:rsidR="00680366">
        <w:rPr>
          <w:rFonts w:eastAsia="Century Schoolbook" w:cs="Century Schoolbook"/>
          <w:szCs w:val="26"/>
        </w:rPr>
        <w:t>, subdivision (a)</w:t>
      </w:r>
      <w:r w:rsidRPr="00295B9F">
        <w:rPr>
          <w:rFonts w:eastAsia="Century Schoolbook" w:cs="Century Schoolbook"/>
          <w:szCs w:val="26"/>
        </w:rPr>
        <w:t xml:space="preserve"> provides</w:t>
      </w:r>
      <w:r w:rsidRPr="00295B9F" w:rsidR="00A86B5A">
        <w:rPr>
          <w:rFonts w:eastAsia="Century Schoolbook" w:cs="Century Schoolbook"/>
          <w:szCs w:val="26"/>
        </w:rPr>
        <w:t>, in relevant part</w:t>
      </w:r>
      <w:r w:rsidRPr="00295B9F">
        <w:rPr>
          <w:rFonts w:eastAsia="Century Schoolbook" w:cs="Century Schoolbook"/>
          <w:szCs w:val="26"/>
        </w:rPr>
        <w:t xml:space="preserve">: </w:t>
      </w:r>
      <w:r w:rsidRPr="00295B9F" w:rsidR="00A86B5A">
        <w:rPr>
          <w:rFonts w:eastAsia="Century Schoolbook" w:cs="Century Schoolbook"/>
          <w:szCs w:val="26"/>
        </w:rPr>
        <w:t>“If</w:t>
      </w:r>
      <w:r w:rsidRPr="00295B9F" w:rsidR="00E43D8D">
        <w:rPr>
          <w:rFonts w:eastAsia="Century Schoolbook" w:cs="Century Schoolbook"/>
          <w:szCs w:val="26"/>
        </w:rPr>
        <w:t xml:space="preserve"> an employer willfully fails to pay, </w:t>
      </w:r>
      <w:r w:rsidRPr="00295B9F" w:rsidR="00D24C2B">
        <w:rPr>
          <w:rFonts w:eastAsia="Century Schoolbook" w:cs="Century Schoolbook"/>
          <w:szCs w:val="26"/>
        </w:rPr>
        <w:t xml:space="preserve">without abatement or reduction, in accordance with [statutory deadlines], any wages of an employee who is discharged or who quits, </w:t>
      </w:r>
      <w:r w:rsidRPr="00295B9F" w:rsidR="004F14B1">
        <w:rPr>
          <w:rFonts w:eastAsia="Century Schoolbook" w:cs="Century Schoolbook"/>
          <w:szCs w:val="26"/>
        </w:rPr>
        <w:t>the wages of the employee shall continue as a penalty from the due date thereof at the same rate until paid or until an action therefor is commenced; but the wages shall not continue for more than 30 days.”</w:t>
      </w:r>
      <w:r w:rsidRPr="00295B9F">
        <w:rPr>
          <w:rFonts w:eastAsia="Century Schoolbook" w:cs="Century Schoolbook"/>
          <w:szCs w:val="26"/>
        </w:rPr>
        <w:t xml:space="preserve"> </w:t>
      </w:r>
    </w:p>
    <w:p w:rsidR="00A86B5A" w:rsidRPr="00295B9F" w:rsidP="00A86B5A" w14:paraId="2D403355" w14:textId="10E216F5">
      <w:pPr>
        <w:ind w:firstLine="720"/>
        <w:rPr>
          <w:rFonts w:eastAsia="Century Schoolbook" w:cs="Century Schoolbook"/>
          <w:szCs w:val="26"/>
        </w:rPr>
      </w:pPr>
      <w:r w:rsidRPr="00295B9F">
        <w:rPr>
          <w:rFonts w:eastAsia="Century Schoolbook" w:cs="Century Schoolbook"/>
          <w:szCs w:val="26"/>
        </w:rPr>
        <w:t>“A willful failure to pay wages within the meaning of</w:t>
      </w:r>
      <w:r w:rsidRPr="00295B9F" w:rsidR="00E9190F">
        <w:rPr>
          <w:rFonts w:eastAsia="Century Schoolbook" w:cs="Century Schoolbook"/>
          <w:szCs w:val="26"/>
        </w:rPr>
        <w:t xml:space="preserve"> </w:t>
      </w:r>
      <w:r w:rsidRPr="00295B9F">
        <w:rPr>
          <w:rFonts w:eastAsia="Century Schoolbook" w:cs="Century Schoolbook"/>
          <w:szCs w:val="26"/>
        </w:rPr>
        <w:t>Labor</w:t>
      </w:r>
      <w:r w:rsidRPr="00295B9F" w:rsidR="00FD461B">
        <w:rPr>
          <w:rFonts w:eastAsia="Century Schoolbook" w:cs="Century Schoolbook"/>
          <w:szCs w:val="26"/>
        </w:rPr>
        <w:t> </w:t>
      </w:r>
      <w:r w:rsidRPr="00295B9F">
        <w:rPr>
          <w:rFonts w:eastAsia="Century Schoolbook" w:cs="Century Schoolbook"/>
          <w:szCs w:val="26"/>
        </w:rPr>
        <w:t xml:space="preserve">Code Section 203 occurs when an employer intentionally fails to pay wages to an employee when those wages are due. However, a </w:t>
      </w:r>
      <w:bookmarkStart w:id="5" w:name="_Hlk120621407"/>
      <w:r w:rsidRPr="00295B9F">
        <w:rPr>
          <w:rFonts w:eastAsia="Century Schoolbook" w:cs="Century Schoolbook"/>
          <w:szCs w:val="26"/>
        </w:rPr>
        <w:t>good faith dispute that any wages are due will preclude imposition of waiting time penalties under Section 203</w:t>
      </w:r>
      <w:bookmarkEnd w:id="5"/>
      <w:r w:rsidRPr="00295B9F">
        <w:rPr>
          <w:rFonts w:eastAsia="Century Schoolbook" w:cs="Century Schoolbook"/>
          <w:szCs w:val="26"/>
        </w:rPr>
        <w:t>. [¶] (a)</w:t>
      </w:r>
      <w:r w:rsidRPr="00295B9F" w:rsidR="00FC64E6">
        <w:rPr>
          <w:rFonts w:eastAsia="Century Schoolbook" w:cs="Century Schoolbook"/>
          <w:szCs w:val="26"/>
        </w:rPr>
        <w:t> </w:t>
      </w:r>
      <w:r w:rsidRPr="00295B9F" w:rsidR="00F4531A">
        <w:rPr>
          <w:rFonts w:eastAsia="Century Schoolbook" w:cs="Century Schoolbook"/>
          <w:szCs w:val="26"/>
        </w:rPr>
        <w:t xml:space="preserve">. . . </w:t>
      </w:r>
      <w:r w:rsidRPr="00295B9F">
        <w:rPr>
          <w:rFonts w:eastAsia="Century Schoolbook" w:cs="Century Schoolbook"/>
          <w:szCs w:val="26"/>
        </w:rPr>
        <w:t>. A ‘good faith dispute’ that any wages are due occurs when an employer presents a defense, based in law or fact which, if successful, would preclude any recover</w:t>
      </w:r>
      <w:r w:rsidRPr="00295B9F" w:rsidR="00620F2C">
        <w:rPr>
          <w:rFonts w:eastAsia="Century Schoolbook" w:cs="Century Schoolbook"/>
          <w:szCs w:val="26"/>
        </w:rPr>
        <w:t>y</w:t>
      </w:r>
      <w:r w:rsidRPr="00295B9F">
        <w:rPr>
          <w:rFonts w:eastAsia="Century Schoolbook" w:cs="Century Schoolbook"/>
          <w:szCs w:val="26"/>
        </w:rPr>
        <w:t xml:space="preserve"> on the part of the employee. The fact that a defense is ultimately unsuccessful will not preclude a finding that a good faith dispute did exist. Defenses presented which, under all the circumstances, are unsupported by any evidence, are unreasonable, or are presented in bad faith, will preclude a finding of a ‘good faith dispute.’” (</w:t>
      </w:r>
      <w:bookmarkStart w:id="6" w:name="_Hlk120695578"/>
      <w:r w:rsidRPr="00295B9F">
        <w:rPr>
          <w:rFonts w:eastAsia="Century Schoolbook" w:cs="Century Schoolbook"/>
          <w:szCs w:val="26"/>
        </w:rPr>
        <w:t>Cal. Code Regs., tit. 8, § 13520</w:t>
      </w:r>
      <w:bookmarkEnd w:id="6"/>
      <w:r w:rsidRPr="00295B9F" w:rsidR="00727CC8">
        <w:rPr>
          <w:rFonts w:eastAsia="Century Schoolbook" w:cs="Century Schoolbook"/>
          <w:szCs w:val="26"/>
        </w:rPr>
        <w:t xml:space="preserve"> (regulation 13520)</w:t>
      </w:r>
      <w:r w:rsidRPr="00295B9F">
        <w:rPr>
          <w:rFonts w:eastAsia="Century Schoolbook" w:cs="Century Schoolbook"/>
          <w:szCs w:val="26"/>
        </w:rPr>
        <w:t>.)</w:t>
      </w:r>
    </w:p>
    <w:p w:rsidR="00840561" w:rsidRPr="00295B9F" w:rsidP="00092B26" w14:paraId="10C5AC62" w14:textId="34FD510F">
      <w:pPr>
        <w:ind w:firstLine="720"/>
        <w:rPr>
          <w:rFonts w:eastAsia="Century Schoolbook" w:cs="Century Schoolbook"/>
          <w:szCs w:val="26"/>
        </w:rPr>
      </w:pPr>
      <w:r w:rsidRPr="00295B9F">
        <w:rPr>
          <w:rFonts w:eastAsia="Century Schoolbook" w:cs="Century Schoolbook"/>
          <w:szCs w:val="26"/>
        </w:rPr>
        <w:t xml:space="preserve">Naranjo </w:t>
      </w:r>
      <w:r w:rsidRPr="00295B9F" w:rsidR="005E2B87">
        <w:rPr>
          <w:rFonts w:eastAsia="Century Schoolbook" w:cs="Century Schoolbook"/>
          <w:szCs w:val="26"/>
        </w:rPr>
        <w:t xml:space="preserve">first </w:t>
      </w:r>
      <w:r w:rsidRPr="00295B9F">
        <w:rPr>
          <w:rFonts w:eastAsia="Century Schoolbook" w:cs="Century Schoolbook"/>
          <w:szCs w:val="26"/>
        </w:rPr>
        <w:t>contends</w:t>
      </w:r>
      <w:r w:rsidRPr="00295B9F" w:rsidR="00DC0BF2">
        <w:rPr>
          <w:rFonts w:eastAsia="Century Schoolbook" w:cs="Century Schoolbook"/>
          <w:szCs w:val="26"/>
        </w:rPr>
        <w:t xml:space="preserve"> </w:t>
      </w:r>
      <w:r w:rsidRPr="00295B9F" w:rsidR="00727CC8">
        <w:rPr>
          <w:rFonts w:eastAsia="Century Schoolbook" w:cs="Century Schoolbook"/>
          <w:szCs w:val="26"/>
        </w:rPr>
        <w:t xml:space="preserve">regulation 13520 </w:t>
      </w:r>
      <w:r w:rsidRPr="00295B9F" w:rsidR="00863E80">
        <w:rPr>
          <w:rFonts w:eastAsia="Century Schoolbook" w:cs="Century Schoolbook"/>
          <w:szCs w:val="26"/>
        </w:rPr>
        <w:t>applies</w:t>
      </w:r>
      <w:r w:rsidRPr="00295B9F" w:rsidR="00044333">
        <w:rPr>
          <w:rFonts w:eastAsia="Century Schoolbook" w:cs="Century Schoolbook"/>
          <w:szCs w:val="26"/>
        </w:rPr>
        <w:t xml:space="preserve"> only</w:t>
      </w:r>
      <w:r w:rsidRPr="00295B9F" w:rsidR="00863E80">
        <w:rPr>
          <w:rFonts w:eastAsia="Century Schoolbook" w:cs="Century Schoolbook"/>
          <w:szCs w:val="26"/>
        </w:rPr>
        <w:t xml:space="preserve"> to administrative hearings</w:t>
      </w:r>
      <w:r w:rsidRPr="00295B9F" w:rsidR="00165D1C">
        <w:rPr>
          <w:rFonts w:eastAsia="Century Schoolbook" w:cs="Century Schoolbook"/>
          <w:szCs w:val="26"/>
        </w:rPr>
        <w:t xml:space="preserve"> </w:t>
      </w:r>
      <w:r w:rsidRPr="00295B9F" w:rsidR="00922AF1">
        <w:rPr>
          <w:rFonts w:eastAsia="Century Schoolbook" w:cs="Century Schoolbook"/>
          <w:szCs w:val="26"/>
        </w:rPr>
        <w:t>before the Labor Commissioner</w:t>
      </w:r>
      <w:r w:rsidRPr="00295B9F" w:rsidR="00AA5760">
        <w:rPr>
          <w:rFonts w:eastAsia="Century Schoolbook" w:cs="Century Schoolbook"/>
          <w:szCs w:val="26"/>
        </w:rPr>
        <w:t>,</w:t>
      </w:r>
      <w:r w:rsidRPr="00295B9F" w:rsidR="00922AF1">
        <w:rPr>
          <w:rFonts w:eastAsia="Century Schoolbook" w:cs="Century Schoolbook"/>
          <w:szCs w:val="26"/>
        </w:rPr>
        <w:t xml:space="preserve"> and not to </w:t>
      </w:r>
      <w:r w:rsidRPr="00295B9F" w:rsidR="00402542">
        <w:rPr>
          <w:rFonts w:eastAsia="Century Schoolbook" w:cs="Century Schoolbook"/>
          <w:szCs w:val="26"/>
        </w:rPr>
        <w:t>civil lawsuits between private parties.</w:t>
      </w:r>
      <w:r w:rsidRPr="00295B9F" w:rsidR="00092B26">
        <w:rPr>
          <w:rFonts w:eastAsia="Century Schoolbook" w:cs="Century Schoolbook"/>
          <w:szCs w:val="26"/>
        </w:rPr>
        <w:t xml:space="preserve"> He </w:t>
      </w:r>
      <w:r w:rsidRPr="00295B9F" w:rsidR="00997565">
        <w:rPr>
          <w:rFonts w:eastAsia="Century Schoolbook" w:cs="Century Schoolbook"/>
          <w:szCs w:val="26"/>
        </w:rPr>
        <w:t>does not dispute</w:t>
      </w:r>
      <w:r w:rsidRPr="00295B9F" w:rsidR="00830D7E">
        <w:rPr>
          <w:rFonts w:eastAsia="Century Schoolbook" w:cs="Century Schoolbook"/>
          <w:szCs w:val="26"/>
        </w:rPr>
        <w:t xml:space="preserve"> </w:t>
      </w:r>
      <w:r w:rsidRPr="00295B9F" w:rsidR="000158A3">
        <w:rPr>
          <w:rFonts w:eastAsia="Century Schoolbook" w:cs="Century Schoolbook"/>
          <w:szCs w:val="26"/>
        </w:rPr>
        <w:t xml:space="preserve">the </w:t>
      </w:r>
      <w:r w:rsidRPr="00295B9F" w:rsidR="00D279F3">
        <w:rPr>
          <w:rFonts w:eastAsia="Century Schoolbook" w:cs="Century Schoolbook"/>
          <w:szCs w:val="26"/>
        </w:rPr>
        <w:t>Division of Labor Standards Enforcement (</w:t>
      </w:r>
      <w:r w:rsidRPr="00295B9F" w:rsidR="000158A3">
        <w:rPr>
          <w:rFonts w:eastAsia="Century Schoolbook" w:cs="Century Schoolbook"/>
          <w:szCs w:val="26"/>
        </w:rPr>
        <w:t>DLSE</w:t>
      </w:r>
      <w:r w:rsidRPr="00295B9F" w:rsidR="00D279F3">
        <w:rPr>
          <w:rFonts w:eastAsia="Century Schoolbook" w:cs="Century Schoolbook"/>
          <w:szCs w:val="26"/>
        </w:rPr>
        <w:t>)</w:t>
      </w:r>
      <w:r w:rsidRPr="00295B9F" w:rsidR="000158A3">
        <w:rPr>
          <w:rFonts w:eastAsia="Century Schoolbook" w:cs="Century Schoolbook"/>
          <w:szCs w:val="26"/>
        </w:rPr>
        <w:t xml:space="preserve"> had express legislative authority </w:t>
      </w:r>
      <w:r w:rsidRPr="00295B9F" w:rsidR="00A70DC9">
        <w:rPr>
          <w:rFonts w:eastAsia="Century Schoolbook" w:cs="Century Schoolbook"/>
          <w:szCs w:val="26"/>
        </w:rPr>
        <w:t xml:space="preserve">to promulgate regulation 13520 to interpret the meaning of </w:t>
      </w:r>
      <w:r w:rsidRPr="00295B9F" w:rsidR="00E5699E">
        <w:rPr>
          <w:rFonts w:eastAsia="Century Schoolbook" w:cs="Century Schoolbook"/>
          <w:szCs w:val="26"/>
        </w:rPr>
        <w:t>“</w:t>
      </w:r>
      <w:r w:rsidRPr="00295B9F" w:rsidR="00A70DC9">
        <w:rPr>
          <w:rFonts w:eastAsia="Century Schoolbook" w:cs="Century Schoolbook"/>
          <w:szCs w:val="26"/>
        </w:rPr>
        <w:t>willful</w:t>
      </w:r>
      <w:r w:rsidRPr="00295B9F" w:rsidR="00E5699E">
        <w:rPr>
          <w:rFonts w:eastAsia="Century Schoolbook" w:cs="Century Schoolbook"/>
          <w:szCs w:val="26"/>
        </w:rPr>
        <w:t>”</w:t>
      </w:r>
      <w:r w:rsidRPr="00295B9F" w:rsidR="00A70DC9">
        <w:rPr>
          <w:rFonts w:eastAsia="Century Schoolbook" w:cs="Century Schoolbook"/>
          <w:szCs w:val="26"/>
        </w:rPr>
        <w:t xml:space="preserve"> as used in section 203. (</w:t>
      </w:r>
      <w:r w:rsidRPr="00295B9F" w:rsidR="00764DA3">
        <w:rPr>
          <w:rFonts w:eastAsia="Century Schoolbook" w:cs="Century Schoolbook"/>
          <w:szCs w:val="26"/>
        </w:rPr>
        <w:t>See § 55 [</w:t>
      </w:r>
      <w:r w:rsidRPr="00295B9F" w:rsidR="0096099E">
        <w:rPr>
          <w:rFonts w:eastAsia="Century Schoolbook" w:cs="Century Schoolbook"/>
          <w:szCs w:val="26"/>
        </w:rPr>
        <w:t>the</w:t>
      </w:r>
      <w:r w:rsidRPr="00295B9F" w:rsidR="00231C92">
        <w:rPr>
          <w:rFonts w:eastAsia="Century Schoolbook" w:cs="Century Schoolbook"/>
          <w:szCs w:val="26"/>
        </w:rPr>
        <w:t xml:space="preserve"> Director of the Department of Industrial Relations may “make rules and regulations that are reasonably necessary to carry out the provisions of this chapter and to effectuate its purposes.”</w:t>
      </w:r>
      <w:r w:rsidRPr="00295B9F" w:rsidR="00A70DC9">
        <w:rPr>
          <w:rFonts w:eastAsia="Century Schoolbook" w:cs="Century Schoolbook"/>
          <w:szCs w:val="26"/>
        </w:rPr>
        <w:t>];</w:t>
      </w:r>
      <w:r w:rsidRPr="00295B9F" w:rsidR="00231C92">
        <w:rPr>
          <w:rFonts w:eastAsia="Century Schoolbook" w:cs="Century Schoolbook"/>
          <w:szCs w:val="26"/>
        </w:rPr>
        <w:t xml:space="preserve"> </w:t>
      </w:r>
      <w:r w:rsidRPr="00295B9F" w:rsidR="00764DA3">
        <w:rPr>
          <w:rFonts w:eastAsia="Century Schoolbook" w:cs="Century Schoolbook"/>
          <w:szCs w:val="26"/>
        </w:rPr>
        <w:t xml:space="preserve">see also </w:t>
      </w:r>
      <w:r w:rsidRPr="00295B9F" w:rsidR="0036617D">
        <w:rPr>
          <w:rFonts w:eastAsia="Century Schoolbook" w:cs="Century Schoolbook"/>
          <w:szCs w:val="26"/>
        </w:rPr>
        <w:t>§</w:t>
      </w:r>
      <w:r w:rsidRPr="00295B9F" w:rsidR="00231C92">
        <w:rPr>
          <w:rFonts w:eastAsia="Century Schoolbook" w:cs="Century Schoolbook"/>
          <w:szCs w:val="26"/>
        </w:rPr>
        <w:t xml:space="preserve"> 98.8 </w:t>
      </w:r>
      <w:r w:rsidRPr="00295B9F" w:rsidR="0036617D">
        <w:rPr>
          <w:rFonts w:eastAsia="Century Schoolbook" w:cs="Century Schoolbook"/>
          <w:szCs w:val="26"/>
        </w:rPr>
        <w:t>[</w:t>
      </w:r>
      <w:r w:rsidRPr="00295B9F" w:rsidR="00231C92">
        <w:rPr>
          <w:rFonts w:eastAsia="Century Schoolbook" w:cs="Century Schoolbook"/>
          <w:szCs w:val="26"/>
        </w:rPr>
        <w:t>“The Labor Commissioner shall promulgate all regulations and rules of practice and procedure necessary to carry out the provisions of this chapter.</w:t>
      </w:r>
      <w:r w:rsidRPr="00295B9F" w:rsidR="00FE20C0">
        <w:rPr>
          <w:rFonts w:eastAsia="Century Schoolbook" w:cs="Century Schoolbook"/>
          <w:szCs w:val="26"/>
        </w:rPr>
        <w:t>”</w:t>
      </w:r>
      <w:r w:rsidRPr="00295B9F" w:rsidR="0036617D">
        <w:rPr>
          <w:rFonts w:eastAsia="Century Schoolbook" w:cs="Century Schoolbook"/>
          <w:szCs w:val="26"/>
        </w:rPr>
        <w:t>].)</w:t>
      </w:r>
      <w:r w:rsidRPr="00295B9F" w:rsidR="00C01A16">
        <w:rPr>
          <w:rFonts w:eastAsia="Century Schoolbook" w:cs="Century Schoolbook"/>
          <w:szCs w:val="26"/>
        </w:rPr>
        <w:t xml:space="preserve"> </w:t>
      </w:r>
      <w:r w:rsidRPr="00295B9F" w:rsidR="004A08A4">
        <w:rPr>
          <w:rFonts w:eastAsia="Century Schoolbook" w:cs="Century Schoolbook"/>
          <w:szCs w:val="26"/>
        </w:rPr>
        <w:t>Nor does Naranjo dispute that</w:t>
      </w:r>
      <w:r w:rsidRPr="00295B9F" w:rsidR="00C01A16">
        <w:rPr>
          <w:rFonts w:eastAsia="Century Schoolbook" w:cs="Century Schoolbook"/>
          <w:szCs w:val="26"/>
        </w:rPr>
        <w:t xml:space="preserve"> properly adopted regulations </w:t>
      </w:r>
      <w:r w:rsidRPr="00295B9F" w:rsidR="001E1497">
        <w:rPr>
          <w:rFonts w:eastAsia="Century Schoolbook" w:cs="Century Schoolbook"/>
          <w:szCs w:val="26"/>
        </w:rPr>
        <w:t>“</w:t>
      </w:r>
      <w:r w:rsidRPr="00295B9F" w:rsidR="00C01A16">
        <w:rPr>
          <w:rFonts w:eastAsia="Century Schoolbook" w:cs="Century Schoolbook"/>
          <w:szCs w:val="26"/>
        </w:rPr>
        <w:t>have the force and effect of law.</w:t>
      </w:r>
      <w:r w:rsidRPr="00295B9F" w:rsidR="00B62C57">
        <w:rPr>
          <w:rFonts w:eastAsia="Century Schoolbook" w:cs="Century Schoolbook"/>
          <w:szCs w:val="26"/>
        </w:rPr>
        <w:t>”</w:t>
      </w:r>
      <w:r w:rsidRPr="00295B9F" w:rsidR="004A08A4">
        <w:rPr>
          <w:rFonts w:eastAsia="Century Schoolbook" w:cs="Century Schoolbook"/>
          <w:szCs w:val="26"/>
        </w:rPr>
        <w:t xml:space="preserve"> (</w:t>
      </w:r>
      <w:r w:rsidRPr="00295B9F" w:rsidR="004A08A4">
        <w:rPr>
          <w:rFonts w:eastAsia="Century Schoolbook" w:cs="Century Schoolbook"/>
          <w:i/>
          <w:iCs/>
          <w:szCs w:val="26"/>
        </w:rPr>
        <w:t>In re Lomax</w:t>
      </w:r>
      <w:r w:rsidRPr="00295B9F" w:rsidR="004A08A4">
        <w:rPr>
          <w:rFonts w:eastAsia="Century Schoolbook" w:cs="Century Schoolbook"/>
          <w:szCs w:val="26"/>
        </w:rPr>
        <w:t xml:space="preserve"> (1998)</w:t>
      </w:r>
      <w:r w:rsidRPr="00295B9F" w:rsidR="00B62C57">
        <w:rPr>
          <w:rFonts w:eastAsia="Century Schoolbook" w:cs="Century Schoolbook"/>
          <w:szCs w:val="26"/>
        </w:rPr>
        <w:t xml:space="preserve"> 66 Cal.App.4th 639, 643.)</w:t>
      </w:r>
      <w:r w:rsidRPr="00295B9F" w:rsidR="0036617D">
        <w:rPr>
          <w:rFonts w:eastAsia="Century Schoolbook" w:cs="Century Schoolbook"/>
          <w:szCs w:val="26"/>
        </w:rPr>
        <w:t xml:space="preserve"> He </w:t>
      </w:r>
      <w:r w:rsidRPr="00295B9F" w:rsidR="00B1738E">
        <w:rPr>
          <w:rFonts w:eastAsia="Century Schoolbook" w:cs="Century Schoolbook"/>
          <w:szCs w:val="26"/>
        </w:rPr>
        <w:t>nevertheless argues</w:t>
      </w:r>
      <w:r w:rsidRPr="00295B9F" w:rsidR="000971F2">
        <w:rPr>
          <w:rFonts w:eastAsia="Century Schoolbook" w:cs="Century Schoolbook"/>
          <w:szCs w:val="26"/>
        </w:rPr>
        <w:t xml:space="preserve"> that</w:t>
      </w:r>
      <w:r w:rsidRPr="00295B9F" w:rsidR="007F0422">
        <w:rPr>
          <w:rFonts w:eastAsia="Century Schoolbook" w:cs="Century Schoolbook"/>
          <w:szCs w:val="26"/>
        </w:rPr>
        <w:t xml:space="preserve"> the application of regulation 13520</w:t>
      </w:r>
      <w:r w:rsidRPr="00295B9F" w:rsidR="00E5699E">
        <w:rPr>
          <w:rFonts w:eastAsia="Century Schoolbook" w:cs="Century Schoolbook"/>
          <w:szCs w:val="26"/>
        </w:rPr>
        <w:t xml:space="preserve"> to civil litigation</w:t>
      </w:r>
      <w:r w:rsidRPr="00295B9F" w:rsidR="007F0422">
        <w:rPr>
          <w:rFonts w:eastAsia="Century Schoolbook" w:cs="Century Schoolbook"/>
          <w:szCs w:val="26"/>
        </w:rPr>
        <w:t xml:space="preserve"> constitutes an “invalid extension of regulatory authority.”</w:t>
      </w:r>
      <w:r w:rsidRPr="00295B9F" w:rsidR="00AA69E3">
        <w:rPr>
          <w:rFonts w:eastAsia="Century Schoolbook" w:cs="Century Schoolbook"/>
          <w:szCs w:val="26"/>
        </w:rPr>
        <w:t xml:space="preserve"> We disagree.</w:t>
      </w:r>
    </w:p>
    <w:p w:rsidR="00AA69E3" w:rsidRPr="00295B9F" w:rsidP="00092B26" w14:paraId="2DED3BA3" w14:textId="70CCD3E1">
      <w:pPr>
        <w:ind w:firstLine="720"/>
        <w:rPr>
          <w:rFonts w:eastAsia="Century Schoolbook" w:cs="Century Schoolbook"/>
          <w:szCs w:val="26"/>
        </w:rPr>
      </w:pPr>
      <w:r w:rsidRPr="00295B9F">
        <w:rPr>
          <w:rFonts w:eastAsia="Century Schoolbook" w:cs="Century Schoolbook"/>
          <w:szCs w:val="26"/>
        </w:rPr>
        <w:t>“Government Code section 11342.2 provides: ‘Whenever by the express or implied terms of any statute a state agency has authority to adopt regulations to implement, interpret, make specific or otherwise carry out the provisions of the statute, </w:t>
      </w:r>
      <w:r w:rsidRPr="00295B9F">
        <w:rPr>
          <w:rFonts w:eastAsia="Century Schoolbook" w:cs="Century Schoolbook"/>
          <w:i/>
          <w:iCs/>
          <w:szCs w:val="26"/>
        </w:rPr>
        <w:t>no regulation adopted is valid or effective unless consistent and not in conflict with the statute</w:t>
      </w:r>
      <w:r w:rsidRPr="00295B9F">
        <w:rPr>
          <w:rFonts w:eastAsia="Century Schoolbook" w:cs="Century Schoolbook"/>
          <w:szCs w:val="26"/>
        </w:rPr>
        <w:t> and reasonably necessary to effectuate the purpose of the statute.’ (Italics added.) ‘Administrative regulations that alter or amend the statute or enlarge or impair its scope are void and courts not only may, but it is their obligation to strike down such regulations.’” (</w:t>
      </w:r>
      <w:r w:rsidRPr="00295B9F">
        <w:rPr>
          <w:rFonts w:eastAsia="Century Schoolbook" w:cs="Century Schoolbook"/>
          <w:i/>
          <w:iCs/>
          <w:szCs w:val="26"/>
        </w:rPr>
        <w:t>Pulaski</w:t>
      </w:r>
      <w:r w:rsidRPr="00295B9F" w:rsidR="00787B42">
        <w:rPr>
          <w:rFonts w:eastAsia="Century Schoolbook" w:cs="Century Schoolbook"/>
          <w:i/>
          <w:iCs/>
          <w:szCs w:val="26"/>
        </w:rPr>
        <w:t xml:space="preserve"> v. Occupational Safety &amp; Health Stds. Bd. </w:t>
      </w:r>
      <w:r w:rsidRPr="00295B9F" w:rsidR="00787B42">
        <w:rPr>
          <w:rFonts w:eastAsia="Century Schoolbook" w:cs="Century Schoolbook"/>
          <w:szCs w:val="26"/>
        </w:rPr>
        <w:t xml:space="preserve">(1999) </w:t>
      </w:r>
      <w:r w:rsidRPr="00295B9F">
        <w:rPr>
          <w:rFonts w:eastAsia="Century Schoolbook" w:cs="Century Schoolbook"/>
          <w:szCs w:val="26"/>
        </w:rPr>
        <w:t xml:space="preserve">75 Cal.App.4th </w:t>
      </w:r>
      <w:r w:rsidRPr="00295B9F" w:rsidR="00B97775">
        <w:rPr>
          <w:rFonts w:eastAsia="Century Schoolbook" w:cs="Century Schoolbook"/>
          <w:szCs w:val="26"/>
        </w:rPr>
        <w:t>1315,</w:t>
      </w:r>
      <w:r w:rsidRPr="00295B9F">
        <w:rPr>
          <w:rFonts w:eastAsia="Century Schoolbook" w:cs="Century Schoolbook"/>
          <w:szCs w:val="26"/>
        </w:rPr>
        <w:t xml:space="preserve"> 1341.)</w:t>
      </w:r>
    </w:p>
    <w:p w:rsidR="00782A4D" w:rsidRPr="00295B9F" w:rsidP="00BF7A96" w14:paraId="5D1AFA12" w14:textId="2985F870">
      <w:pPr>
        <w:ind w:firstLine="720"/>
        <w:rPr>
          <w:rFonts w:eastAsia="Century Schoolbook" w:cs="Century Schoolbook"/>
          <w:szCs w:val="26"/>
        </w:rPr>
      </w:pPr>
      <w:r w:rsidRPr="00295B9F">
        <w:rPr>
          <w:rFonts w:eastAsia="Century Schoolbook" w:cs="Century Schoolbook"/>
          <w:szCs w:val="26"/>
        </w:rPr>
        <w:t xml:space="preserve">Naranjo </w:t>
      </w:r>
      <w:r w:rsidRPr="00295B9F" w:rsidR="007E2020">
        <w:rPr>
          <w:rFonts w:eastAsia="Century Schoolbook" w:cs="Century Schoolbook"/>
          <w:szCs w:val="26"/>
        </w:rPr>
        <w:t>fails to point to a</w:t>
      </w:r>
      <w:r w:rsidRPr="00295B9F" w:rsidR="0028199F">
        <w:rPr>
          <w:rFonts w:eastAsia="Century Schoolbook" w:cs="Century Schoolbook"/>
          <w:szCs w:val="26"/>
        </w:rPr>
        <w:t>ny</w:t>
      </w:r>
      <w:r w:rsidRPr="00295B9F" w:rsidR="007E2020">
        <w:rPr>
          <w:rFonts w:eastAsia="Century Schoolbook" w:cs="Century Schoolbook"/>
          <w:szCs w:val="26"/>
        </w:rPr>
        <w:t xml:space="preserve"> </w:t>
      </w:r>
      <w:r w:rsidRPr="00295B9F" w:rsidR="0054613B">
        <w:rPr>
          <w:rFonts w:eastAsia="Century Schoolbook" w:cs="Century Schoolbook"/>
          <w:szCs w:val="26"/>
        </w:rPr>
        <w:t xml:space="preserve">purported </w:t>
      </w:r>
      <w:r w:rsidRPr="00295B9F" w:rsidR="007E2020">
        <w:rPr>
          <w:rFonts w:eastAsia="Century Schoolbook" w:cs="Century Schoolbook"/>
          <w:szCs w:val="26"/>
        </w:rPr>
        <w:t xml:space="preserve">conflict between </w:t>
      </w:r>
      <w:r w:rsidRPr="00295B9F" w:rsidR="0028199F">
        <w:rPr>
          <w:rFonts w:eastAsia="Century Schoolbook" w:cs="Century Schoolbook"/>
          <w:szCs w:val="26"/>
        </w:rPr>
        <w:t>regulation 13520 and section 203. That is because there is no conflict; rather</w:t>
      </w:r>
      <w:r w:rsidRPr="00295B9F" w:rsidR="000D2C65">
        <w:rPr>
          <w:rFonts w:eastAsia="Century Schoolbook" w:cs="Century Schoolbook"/>
          <w:szCs w:val="26"/>
        </w:rPr>
        <w:t>, the regulation defines a term in a statute that is not defined in the statute itself.</w:t>
      </w:r>
      <w:r w:rsidRPr="00295B9F" w:rsidR="00495323">
        <w:rPr>
          <w:rFonts w:eastAsia="Century Schoolbook" w:cs="Century Schoolbook"/>
          <w:szCs w:val="26"/>
        </w:rPr>
        <w:t xml:space="preserve"> </w:t>
      </w:r>
      <w:r w:rsidRPr="00295B9F" w:rsidR="001D605A">
        <w:rPr>
          <w:rFonts w:eastAsia="Century Schoolbook" w:cs="Century Schoolbook"/>
          <w:szCs w:val="26"/>
        </w:rPr>
        <w:t xml:space="preserve">Indeed, before the </w:t>
      </w:r>
      <w:r w:rsidRPr="00295B9F" w:rsidR="00C97A58">
        <w:rPr>
          <w:rFonts w:eastAsia="Century Schoolbook" w:cs="Century Schoolbook"/>
          <w:szCs w:val="26"/>
        </w:rPr>
        <w:t>adoption</w:t>
      </w:r>
      <w:r w:rsidRPr="00295B9F" w:rsidR="001D605A">
        <w:rPr>
          <w:rFonts w:eastAsia="Century Schoolbook" w:cs="Century Schoolbook"/>
          <w:szCs w:val="26"/>
        </w:rPr>
        <w:t xml:space="preserve"> of regulation 135</w:t>
      </w:r>
      <w:r w:rsidRPr="00295B9F" w:rsidR="008916F5">
        <w:rPr>
          <w:rFonts w:eastAsia="Century Schoolbook" w:cs="Century Schoolbook"/>
          <w:szCs w:val="26"/>
        </w:rPr>
        <w:t xml:space="preserve">20, the Court of Appeal in </w:t>
      </w:r>
      <w:r w:rsidRPr="00295B9F" w:rsidR="008916F5">
        <w:rPr>
          <w:rFonts w:eastAsia="Century Schoolbook" w:cs="Century Schoolbook"/>
          <w:i/>
          <w:iCs/>
          <w:szCs w:val="26"/>
        </w:rPr>
        <w:t>Barnhill v. Robert Saunder &amp; Co.</w:t>
      </w:r>
      <w:r w:rsidRPr="00295B9F" w:rsidR="008916F5">
        <w:rPr>
          <w:rFonts w:eastAsia="Century Schoolbook" w:cs="Century Schoolbook"/>
          <w:szCs w:val="26"/>
        </w:rPr>
        <w:t xml:space="preserve"> (1981) 125 Cal.App.3d 1</w:t>
      </w:r>
      <w:r w:rsidRPr="00295B9F" w:rsidR="00F43A16">
        <w:rPr>
          <w:rFonts w:eastAsia="Century Schoolbook" w:cs="Century Schoolbook"/>
          <w:szCs w:val="26"/>
        </w:rPr>
        <w:t>, 8-9</w:t>
      </w:r>
      <w:r w:rsidRPr="00295B9F" w:rsidR="00E05ECF">
        <w:rPr>
          <w:rFonts w:eastAsia="Century Schoolbook" w:cs="Century Schoolbook"/>
          <w:szCs w:val="26"/>
        </w:rPr>
        <w:t xml:space="preserve"> (</w:t>
      </w:r>
      <w:r w:rsidRPr="00295B9F" w:rsidR="00E05ECF">
        <w:rPr>
          <w:rFonts w:eastAsia="Century Schoolbook" w:cs="Century Schoolbook"/>
          <w:i/>
          <w:iCs/>
          <w:szCs w:val="26"/>
        </w:rPr>
        <w:t>Barnhill</w:t>
      </w:r>
      <w:r w:rsidRPr="00295B9F" w:rsidR="00E05ECF">
        <w:rPr>
          <w:rFonts w:eastAsia="Century Schoolbook" w:cs="Century Schoolbook"/>
          <w:szCs w:val="26"/>
        </w:rPr>
        <w:t>)</w:t>
      </w:r>
      <w:r w:rsidRPr="00295B9F" w:rsidR="008916F5">
        <w:rPr>
          <w:rFonts w:eastAsia="Century Schoolbook" w:cs="Century Schoolbook"/>
          <w:szCs w:val="26"/>
        </w:rPr>
        <w:t xml:space="preserve"> </w:t>
      </w:r>
      <w:r w:rsidRPr="00295B9F" w:rsidR="00A7268D">
        <w:rPr>
          <w:rFonts w:eastAsia="Century Schoolbook" w:cs="Century Schoolbook"/>
          <w:szCs w:val="26"/>
        </w:rPr>
        <w:t xml:space="preserve">concluded the employer’s violation was not “willful” within the meaning of section 203 because the employer had a good faith belief it </w:t>
      </w:r>
      <w:r w:rsidRPr="00295B9F" w:rsidR="00DA0DDD">
        <w:rPr>
          <w:rFonts w:eastAsia="Century Schoolbook" w:cs="Century Schoolbook"/>
          <w:szCs w:val="26"/>
        </w:rPr>
        <w:t>complied</w:t>
      </w:r>
      <w:r w:rsidRPr="00295B9F" w:rsidR="00A7268D">
        <w:rPr>
          <w:rFonts w:eastAsia="Century Schoolbook" w:cs="Century Schoolbook"/>
          <w:szCs w:val="26"/>
        </w:rPr>
        <w:t xml:space="preserve"> with the law at the time final wages were due</w:t>
      </w:r>
      <w:r w:rsidRPr="00295B9F" w:rsidR="0090682C">
        <w:rPr>
          <w:rFonts w:eastAsia="Century Schoolbook" w:cs="Century Schoolbook"/>
          <w:szCs w:val="26"/>
        </w:rPr>
        <w:t xml:space="preserve"> given </w:t>
      </w:r>
      <w:r w:rsidRPr="00295B9F" w:rsidR="006A1C8F">
        <w:rPr>
          <w:rFonts w:eastAsia="Century Schoolbook" w:cs="Century Schoolbook"/>
          <w:szCs w:val="26"/>
        </w:rPr>
        <w:t xml:space="preserve">the state of the </w:t>
      </w:r>
      <w:r w:rsidRPr="00295B9F" w:rsidR="00DA0DDD">
        <w:rPr>
          <w:rFonts w:eastAsia="Century Schoolbook" w:cs="Century Schoolbook"/>
          <w:szCs w:val="26"/>
        </w:rPr>
        <w:t>law was not clear</w:t>
      </w:r>
      <w:r w:rsidRPr="00295B9F" w:rsidR="00A7268D">
        <w:rPr>
          <w:rFonts w:eastAsia="Century Schoolbook" w:cs="Century Schoolbook"/>
          <w:szCs w:val="26"/>
        </w:rPr>
        <w:t xml:space="preserve">. </w:t>
      </w:r>
      <w:r w:rsidRPr="00295B9F" w:rsidR="00F43A16">
        <w:rPr>
          <w:rFonts w:eastAsia="Century Schoolbook" w:cs="Century Schoolbook"/>
          <w:szCs w:val="26"/>
        </w:rPr>
        <w:t xml:space="preserve">Thus, </w:t>
      </w:r>
      <w:r w:rsidRPr="00295B9F" w:rsidR="004B5555">
        <w:rPr>
          <w:rFonts w:eastAsia="Century Schoolbook" w:cs="Century Schoolbook"/>
          <w:szCs w:val="26"/>
        </w:rPr>
        <w:t xml:space="preserve">regulation 13520 simply memorialized the holding in </w:t>
      </w:r>
      <w:r w:rsidRPr="00295B9F" w:rsidR="004B5555">
        <w:rPr>
          <w:rFonts w:eastAsia="Century Schoolbook" w:cs="Century Schoolbook"/>
          <w:i/>
          <w:iCs/>
          <w:szCs w:val="26"/>
        </w:rPr>
        <w:t xml:space="preserve">Barnhill </w:t>
      </w:r>
      <w:r w:rsidRPr="00295B9F" w:rsidR="0021664C">
        <w:rPr>
          <w:rFonts w:eastAsia="Century Schoolbook" w:cs="Century Schoolbook"/>
          <w:szCs w:val="26"/>
        </w:rPr>
        <w:t>by</w:t>
      </w:r>
      <w:r w:rsidRPr="00295B9F" w:rsidR="00013D74">
        <w:rPr>
          <w:rFonts w:eastAsia="Century Schoolbook" w:cs="Century Schoolbook"/>
          <w:szCs w:val="26"/>
        </w:rPr>
        <w:t xml:space="preserve"> </w:t>
      </w:r>
      <w:r w:rsidRPr="00295B9F" w:rsidR="003636C0">
        <w:rPr>
          <w:rFonts w:eastAsia="Century Schoolbook" w:cs="Century Schoolbook"/>
          <w:szCs w:val="26"/>
        </w:rPr>
        <w:t>clarifying that</w:t>
      </w:r>
      <w:r w:rsidRPr="00295B9F" w:rsidR="004B5555">
        <w:rPr>
          <w:rFonts w:eastAsia="Century Schoolbook" w:cs="Century Schoolbook"/>
          <w:szCs w:val="26"/>
        </w:rPr>
        <w:t xml:space="preserve"> a</w:t>
      </w:r>
      <w:r w:rsidRPr="00295B9F" w:rsidR="0021664C">
        <w:rPr>
          <w:rFonts w:eastAsia="Century Schoolbook" w:cs="Century Schoolbook"/>
          <w:szCs w:val="26"/>
        </w:rPr>
        <w:t xml:space="preserve"> good faith dispute any wages are due will preclude imposition of waiting time penalties under Section 203</w:t>
      </w:r>
      <w:r w:rsidRPr="00295B9F" w:rsidR="00E90488">
        <w:rPr>
          <w:rFonts w:eastAsia="Century Schoolbook" w:cs="Century Schoolbook"/>
          <w:szCs w:val="26"/>
        </w:rPr>
        <w:t>.</w:t>
      </w:r>
      <w:r w:rsidRPr="00295B9F" w:rsidR="0021664C">
        <w:rPr>
          <w:rFonts w:eastAsia="Century Schoolbook" w:cs="Century Schoolbook"/>
          <w:szCs w:val="26"/>
        </w:rPr>
        <w:t xml:space="preserve"> </w:t>
      </w:r>
      <w:r w:rsidRPr="00295B9F" w:rsidR="006C0204">
        <w:rPr>
          <w:rFonts w:eastAsia="Century Schoolbook" w:cs="Century Schoolbook"/>
          <w:szCs w:val="26"/>
        </w:rPr>
        <w:t>(See</w:t>
      </w:r>
      <w:r w:rsidRPr="00295B9F" w:rsidR="006C0204">
        <w:rPr>
          <w:rFonts w:eastAsia="Century Schoolbook" w:cs="Century Schoolbook"/>
          <w:i/>
          <w:iCs/>
          <w:szCs w:val="26"/>
        </w:rPr>
        <w:t xml:space="preserve"> Amaral v. Cintas Corp. </w:t>
      </w:r>
      <w:r w:rsidRPr="00295B9F" w:rsidR="008213B8">
        <w:rPr>
          <w:rFonts w:eastAsia="Century Schoolbook" w:cs="Century Schoolbook"/>
          <w:i/>
          <w:iCs/>
          <w:szCs w:val="26"/>
        </w:rPr>
        <w:t>No. 2</w:t>
      </w:r>
      <w:r w:rsidRPr="00295B9F" w:rsidR="008213B8">
        <w:rPr>
          <w:rFonts w:eastAsia="Century Schoolbook" w:cs="Century Schoolbook"/>
          <w:szCs w:val="26"/>
        </w:rPr>
        <w:t xml:space="preserve"> (2008) 163 Cal.App.</w:t>
      </w:r>
      <w:r w:rsidRPr="00295B9F" w:rsidR="00735EEB">
        <w:rPr>
          <w:rFonts w:eastAsia="Century Schoolbook" w:cs="Century Schoolbook"/>
          <w:szCs w:val="26"/>
        </w:rPr>
        <w:t>4th</w:t>
      </w:r>
      <w:r w:rsidRPr="00295B9F" w:rsidR="008213B8">
        <w:rPr>
          <w:rFonts w:eastAsia="Century Schoolbook" w:cs="Century Schoolbook"/>
          <w:szCs w:val="26"/>
        </w:rPr>
        <w:t xml:space="preserve"> 1157, 1201</w:t>
      </w:r>
      <w:r w:rsidRPr="00295B9F" w:rsidR="00A52831">
        <w:rPr>
          <w:rFonts w:eastAsia="Century Schoolbook" w:cs="Century Schoolbook"/>
          <w:szCs w:val="26"/>
        </w:rPr>
        <w:t xml:space="preserve"> (</w:t>
      </w:r>
      <w:r w:rsidRPr="00295B9F" w:rsidR="00A52831">
        <w:rPr>
          <w:rFonts w:eastAsia="Century Schoolbook" w:cs="Century Schoolbook"/>
          <w:i/>
          <w:iCs/>
          <w:szCs w:val="26"/>
        </w:rPr>
        <w:t>Amaral</w:t>
      </w:r>
      <w:r w:rsidRPr="00295B9F" w:rsidR="00A52831">
        <w:rPr>
          <w:rFonts w:eastAsia="Century Schoolbook" w:cs="Century Schoolbook"/>
          <w:szCs w:val="26"/>
        </w:rPr>
        <w:t>)</w:t>
      </w:r>
      <w:r w:rsidRPr="00295B9F" w:rsidR="008213B8">
        <w:rPr>
          <w:rFonts w:eastAsia="Century Schoolbook" w:cs="Century Schoolbook"/>
          <w:szCs w:val="26"/>
        </w:rPr>
        <w:t xml:space="preserve"> [</w:t>
      </w:r>
      <w:r w:rsidRPr="00295B9F" w:rsidR="00B13B01">
        <w:rPr>
          <w:rFonts w:eastAsia="Century Schoolbook" w:cs="Century Schoolbook"/>
          <w:szCs w:val="26"/>
        </w:rPr>
        <w:t>“</w:t>
      </w:r>
      <w:r w:rsidRPr="00295B9F" w:rsidR="008213B8">
        <w:rPr>
          <w:rFonts w:eastAsia="Century Schoolbook" w:cs="Century Schoolbook"/>
          <w:i/>
          <w:iCs/>
          <w:szCs w:val="26"/>
        </w:rPr>
        <w:t>Barnhill</w:t>
      </w:r>
      <w:r w:rsidRPr="00295B9F" w:rsidR="008213B8">
        <w:rPr>
          <w:rFonts w:eastAsia="Century Schoolbook" w:cs="Century Schoolbook"/>
          <w:szCs w:val="26"/>
        </w:rPr>
        <w:t xml:space="preserve">’s holding was memorialized in California </w:t>
      </w:r>
      <w:r w:rsidRPr="00295B9F" w:rsidR="00735EEB">
        <w:rPr>
          <w:rFonts w:eastAsia="Century Schoolbook" w:cs="Century Schoolbook"/>
          <w:szCs w:val="26"/>
        </w:rPr>
        <w:t>Code of Regulations, title 8, section 13520</w:t>
      </w:r>
      <w:r w:rsidRPr="00295B9F" w:rsidR="00D9508F">
        <w:rPr>
          <w:rFonts w:eastAsia="Century Schoolbook" w:cs="Century Schoolbook"/>
          <w:szCs w:val="26"/>
        </w:rPr>
        <w:t>.</w:t>
      </w:r>
      <w:r w:rsidRPr="00295B9F" w:rsidR="00735EEB">
        <w:rPr>
          <w:rFonts w:eastAsia="Century Schoolbook" w:cs="Century Schoolbook"/>
          <w:szCs w:val="26"/>
        </w:rPr>
        <w:t>”].)</w:t>
      </w:r>
      <w:r>
        <w:rPr>
          <w:rStyle w:val="FootnoteReference"/>
          <w:rFonts w:eastAsia="Century Schoolbook" w:cs="Century Schoolbook"/>
          <w:b w:val="0"/>
          <w:bCs/>
          <w:szCs w:val="26"/>
        </w:rPr>
        <w:footnoteReference w:id="4"/>
      </w:r>
      <w:r w:rsidRPr="00295B9F" w:rsidR="00431A5F">
        <w:rPr>
          <w:rFonts w:eastAsia="Century Schoolbook" w:cs="Century Schoolbook"/>
          <w:b/>
          <w:bCs/>
          <w:szCs w:val="26"/>
        </w:rPr>
        <w:t xml:space="preserve"> </w:t>
      </w:r>
    </w:p>
    <w:p w:rsidR="00245ACA" w:rsidRPr="00295B9F" w:rsidP="00394B47" w14:paraId="107D2B10" w14:textId="78BCC563">
      <w:pPr>
        <w:ind w:firstLine="720"/>
        <w:rPr>
          <w:rFonts w:eastAsia="Century Schoolbook" w:cs="Century Schoolbook"/>
          <w:szCs w:val="26"/>
        </w:rPr>
      </w:pPr>
      <w:r w:rsidRPr="00295B9F">
        <w:rPr>
          <w:rFonts w:eastAsia="Century Schoolbook" w:cs="Century Schoolbook"/>
          <w:szCs w:val="26"/>
        </w:rPr>
        <w:t>Moreover, s</w:t>
      </w:r>
      <w:r w:rsidRPr="00295B9F" w:rsidR="006C26DB">
        <w:rPr>
          <w:rFonts w:eastAsia="Century Schoolbook" w:cs="Century Schoolbook"/>
          <w:szCs w:val="26"/>
        </w:rPr>
        <w:t>ince</w:t>
      </w:r>
      <w:r w:rsidRPr="00295B9F" w:rsidR="00357836">
        <w:rPr>
          <w:rFonts w:eastAsia="Century Schoolbook" w:cs="Century Schoolbook"/>
          <w:szCs w:val="26"/>
        </w:rPr>
        <w:t xml:space="preserve"> its </w:t>
      </w:r>
      <w:r w:rsidRPr="00295B9F" w:rsidR="00FA6569">
        <w:rPr>
          <w:rFonts w:eastAsia="Century Schoolbook" w:cs="Century Schoolbook"/>
          <w:szCs w:val="26"/>
        </w:rPr>
        <w:t>adoption</w:t>
      </w:r>
      <w:r w:rsidRPr="00295B9F" w:rsidR="00357836">
        <w:rPr>
          <w:rFonts w:eastAsia="Century Schoolbook" w:cs="Century Schoolbook"/>
          <w:szCs w:val="26"/>
        </w:rPr>
        <w:t xml:space="preserve"> in 1988, </w:t>
      </w:r>
      <w:r w:rsidRPr="00295B9F" w:rsidR="00887EEE">
        <w:rPr>
          <w:rFonts w:eastAsia="Century Schoolbook" w:cs="Century Schoolbook"/>
          <w:szCs w:val="26"/>
        </w:rPr>
        <w:t>c</w:t>
      </w:r>
      <w:r w:rsidRPr="00295B9F" w:rsidR="006361C2">
        <w:rPr>
          <w:rFonts w:eastAsia="Century Schoolbook" w:cs="Century Schoolbook"/>
          <w:szCs w:val="26"/>
        </w:rPr>
        <w:t>ourts</w:t>
      </w:r>
      <w:r w:rsidRPr="00295B9F" w:rsidR="00146F59">
        <w:rPr>
          <w:rFonts w:eastAsia="Century Schoolbook" w:cs="Century Schoolbook"/>
          <w:szCs w:val="26"/>
        </w:rPr>
        <w:t xml:space="preserve"> have repeatedly relied on regulation 13</w:t>
      </w:r>
      <w:r w:rsidRPr="00295B9F" w:rsidR="008916F5">
        <w:rPr>
          <w:rFonts w:eastAsia="Century Schoolbook" w:cs="Century Schoolbook"/>
          <w:szCs w:val="26"/>
        </w:rPr>
        <w:t>52</w:t>
      </w:r>
      <w:r w:rsidRPr="00295B9F" w:rsidR="00146F59">
        <w:rPr>
          <w:rFonts w:eastAsia="Century Schoolbook" w:cs="Century Schoolbook"/>
          <w:szCs w:val="26"/>
        </w:rPr>
        <w:t>0</w:t>
      </w:r>
      <w:r w:rsidRPr="00295B9F" w:rsidR="00290E25">
        <w:rPr>
          <w:rFonts w:eastAsia="Century Schoolbook" w:cs="Century Schoolbook"/>
          <w:szCs w:val="26"/>
        </w:rPr>
        <w:t xml:space="preserve"> </w:t>
      </w:r>
      <w:r w:rsidRPr="00295B9F" w:rsidR="00142775">
        <w:rPr>
          <w:rFonts w:eastAsia="Century Schoolbook" w:cs="Century Schoolbook"/>
          <w:szCs w:val="26"/>
        </w:rPr>
        <w:t xml:space="preserve">to define </w:t>
      </w:r>
      <w:r w:rsidRPr="00295B9F" w:rsidR="006C26DB">
        <w:rPr>
          <w:rFonts w:eastAsia="Century Schoolbook" w:cs="Century Schoolbook"/>
          <w:szCs w:val="26"/>
        </w:rPr>
        <w:t>“willfully”</w:t>
      </w:r>
      <w:r w:rsidRPr="00295B9F" w:rsidR="00142775">
        <w:rPr>
          <w:rFonts w:eastAsia="Century Schoolbook" w:cs="Century Schoolbook"/>
          <w:szCs w:val="26"/>
        </w:rPr>
        <w:t xml:space="preserve"> in section 203. (See</w:t>
      </w:r>
      <w:r w:rsidR="002D5380">
        <w:rPr>
          <w:rFonts w:eastAsia="Century Schoolbook" w:cs="Century Schoolbook"/>
          <w:szCs w:val="26"/>
        </w:rPr>
        <w:t>,</w:t>
      </w:r>
      <w:r w:rsidRPr="00295B9F" w:rsidR="00142775">
        <w:rPr>
          <w:rFonts w:eastAsia="Century Schoolbook" w:cs="Century Schoolbook"/>
          <w:szCs w:val="26"/>
        </w:rPr>
        <w:t xml:space="preserve"> e.g.</w:t>
      </w:r>
      <w:r w:rsidR="002D5380">
        <w:rPr>
          <w:rFonts w:eastAsia="Century Schoolbook" w:cs="Century Schoolbook"/>
          <w:szCs w:val="26"/>
        </w:rPr>
        <w:t>,</w:t>
      </w:r>
      <w:r w:rsidRPr="00295B9F" w:rsidR="00142775">
        <w:rPr>
          <w:rFonts w:eastAsia="Century Schoolbook" w:cs="Century Schoolbook"/>
          <w:szCs w:val="26"/>
        </w:rPr>
        <w:t xml:space="preserve"> </w:t>
      </w:r>
      <w:r w:rsidRPr="00295B9F" w:rsidR="00E10666">
        <w:rPr>
          <w:rFonts w:eastAsia="Century Schoolbook" w:cs="Century Schoolbook"/>
          <w:i/>
          <w:iCs/>
          <w:szCs w:val="26"/>
        </w:rPr>
        <w:t>Diaz v. Grill Concepts Services, Inc</w:t>
      </w:r>
      <w:r w:rsidRPr="00295B9F" w:rsidR="00E10666">
        <w:rPr>
          <w:rFonts w:eastAsia="Century Schoolbook" w:cs="Century Schoolbook"/>
          <w:szCs w:val="26"/>
        </w:rPr>
        <w:t>.</w:t>
      </w:r>
      <w:r w:rsidRPr="00295B9F" w:rsidR="00CF3195">
        <w:rPr>
          <w:rFonts w:eastAsia="Century Schoolbook" w:cs="Century Schoolbook"/>
          <w:szCs w:val="26"/>
        </w:rPr>
        <w:t xml:space="preserve"> (2018)</w:t>
      </w:r>
      <w:r w:rsidRPr="00295B9F" w:rsidR="00BC012A">
        <w:rPr>
          <w:rFonts w:eastAsia="Century Schoolbook" w:cs="Century Schoolbook"/>
          <w:szCs w:val="26"/>
        </w:rPr>
        <w:t xml:space="preserve"> </w:t>
      </w:r>
      <w:r w:rsidRPr="00295B9F" w:rsidR="005C181A">
        <w:rPr>
          <w:rFonts w:eastAsia="Century Schoolbook" w:cs="Century Schoolbook"/>
          <w:szCs w:val="26"/>
        </w:rPr>
        <w:t>23 Cal.app.</w:t>
      </w:r>
      <w:r w:rsidRPr="00295B9F" w:rsidR="005C6CF1">
        <w:rPr>
          <w:rFonts w:eastAsia="Century Schoolbook" w:cs="Century Schoolbook"/>
          <w:szCs w:val="26"/>
        </w:rPr>
        <w:t>5th</w:t>
      </w:r>
      <w:r w:rsidRPr="00295B9F" w:rsidR="00BC55BD">
        <w:rPr>
          <w:rFonts w:eastAsia="Century Schoolbook" w:cs="Century Schoolbook"/>
          <w:szCs w:val="26"/>
        </w:rPr>
        <w:t xml:space="preserve"> 859</w:t>
      </w:r>
      <w:r w:rsidRPr="00295B9F" w:rsidR="00BC012A">
        <w:rPr>
          <w:rFonts w:eastAsia="Century Schoolbook" w:cs="Century Schoolbook"/>
          <w:szCs w:val="26"/>
        </w:rPr>
        <w:t xml:space="preserve">, </w:t>
      </w:r>
      <w:r w:rsidRPr="00295B9F" w:rsidR="005C181A">
        <w:rPr>
          <w:rFonts w:eastAsia="Century Schoolbook" w:cs="Century Schoolbook"/>
          <w:szCs w:val="26"/>
        </w:rPr>
        <w:t>869-870</w:t>
      </w:r>
      <w:r w:rsidRPr="00295B9F" w:rsidR="00BC012A">
        <w:rPr>
          <w:rFonts w:eastAsia="Century Schoolbook" w:cs="Century Schoolbook"/>
          <w:szCs w:val="26"/>
        </w:rPr>
        <w:t xml:space="preserve"> [applying</w:t>
      </w:r>
      <w:r w:rsidRPr="00295B9F" w:rsidR="00B54A26">
        <w:rPr>
          <w:rFonts w:eastAsia="Century Schoolbook" w:cs="Century Schoolbook"/>
          <w:szCs w:val="26"/>
        </w:rPr>
        <w:t xml:space="preserve"> </w:t>
      </w:r>
      <w:r w:rsidRPr="00295B9F" w:rsidR="00BC012A">
        <w:rPr>
          <w:rFonts w:eastAsia="Century Schoolbook" w:cs="Century Schoolbook"/>
          <w:szCs w:val="26"/>
        </w:rPr>
        <w:t>regulation</w:t>
      </w:r>
      <w:r w:rsidRPr="00295B9F" w:rsidR="00E10666">
        <w:rPr>
          <w:rFonts w:eastAsia="Century Schoolbook" w:cs="Century Schoolbook"/>
          <w:szCs w:val="26"/>
        </w:rPr>
        <w:t xml:space="preserve"> </w:t>
      </w:r>
      <w:r w:rsidRPr="00295B9F" w:rsidR="00BC012A">
        <w:rPr>
          <w:rFonts w:eastAsia="Century Schoolbook" w:cs="Century Schoolbook"/>
          <w:szCs w:val="26"/>
        </w:rPr>
        <w:t xml:space="preserve">13520 </w:t>
      </w:r>
      <w:r w:rsidRPr="00295B9F" w:rsidR="00BB2150">
        <w:rPr>
          <w:rFonts w:eastAsia="Century Schoolbook" w:cs="Century Schoolbook"/>
          <w:szCs w:val="26"/>
        </w:rPr>
        <w:t>to determine</w:t>
      </w:r>
      <w:r w:rsidRPr="00295B9F" w:rsidR="00B54A26">
        <w:rPr>
          <w:rFonts w:eastAsia="Century Schoolbook" w:cs="Century Schoolbook"/>
          <w:szCs w:val="26"/>
        </w:rPr>
        <w:t xml:space="preserve"> whether </w:t>
      </w:r>
      <w:r w:rsidRPr="00295B9F" w:rsidR="00455E9A">
        <w:rPr>
          <w:rFonts w:eastAsia="Century Schoolbook" w:cs="Century Schoolbook"/>
          <w:szCs w:val="26"/>
        </w:rPr>
        <w:t>the employer’s failure to pay timely wages was “willful” under section 203</w:t>
      </w:r>
      <w:r w:rsidRPr="00295B9F" w:rsidR="00A31E24">
        <w:rPr>
          <w:rFonts w:eastAsia="Century Schoolbook" w:cs="Century Schoolbook"/>
          <w:szCs w:val="26"/>
        </w:rPr>
        <w:t>]</w:t>
      </w:r>
      <w:r w:rsidRPr="00295B9F" w:rsidR="00BC55BD">
        <w:rPr>
          <w:rFonts w:eastAsia="Century Schoolbook" w:cs="Century Schoolbook"/>
          <w:szCs w:val="26"/>
        </w:rPr>
        <w:t xml:space="preserve">; </w:t>
      </w:r>
      <w:r w:rsidRPr="00295B9F" w:rsidR="007644A8">
        <w:rPr>
          <w:rFonts w:eastAsia="Century Schoolbook" w:cs="Century Schoolbook"/>
          <w:i/>
          <w:iCs/>
          <w:szCs w:val="26"/>
        </w:rPr>
        <w:t>Maldonado v. Epsilon Plastics, Inc</w:t>
      </w:r>
      <w:r w:rsidRPr="00295B9F" w:rsidR="007644A8">
        <w:rPr>
          <w:rFonts w:eastAsia="Century Schoolbook" w:cs="Century Schoolbook"/>
          <w:szCs w:val="26"/>
        </w:rPr>
        <w:t>. (2018) 22 Cal.App.5th 1308</w:t>
      </w:r>
      <w:r w:rsidRPr="00295B9F" w:rsidR="008C0C30">
        <w:rPr>
          <w:rFonts w:eastAsia="Century Schoolbook" w:cs="Century Schoolbook"/>
          <w:szCs w:val="26"/>
        </w:rPr>
        <w:t xml:space="preserve">, </w:t>
      </w:r>
      <w:r w:rsidRPr="00295B9F" w:rsidR="00704881">
        <w:rPr>
          <w:rFonts w:eastAsia="Century Schoolbook" w:cs="Century Schoolbook"/>
          <w:szCs w:val="26"/>
        </w:rPr>
        <w:t>1331-</w:t>
      </w:r>
      <w:r w:rsidRPr="00295B9F" w:rsidR="008C0C30">
        <w:rPr>
          <w:rFonts w:eastAsia="Century Schoolbook" w:cs="Century Schoolbook"/>
          <w:szCs w:val="26"/>
        </w:rPr>
        <w:t>1332</w:t>
      </w:r>
      <w:r w:rsidRPr="00295B9F" w:rsidR="007644A8">
        <w:rPr>
          <w:rFonts w:eastAsia="Century Schoolbook" w:cs="Century Schoolbook"/>
          <w:szCs w:val="26"/>
        </w:rPr>
        <w:t xml:space="preserve"> [same];</w:t>
      </w:r>
      <w:r w:rsidRPr="00295B9F" w:rsidR="00A52831">
        <w:rPr>
          <w:rFonts w:eastAsia="Century Schoolbook" w:cs="Century Schoolbook"/>
          <w:szCs w:val="26"/>
        </w:rPr>
        <w:t xml:space="preserve"> </w:t>
      </w:r>
      <w:r w:rsidRPr="00295B9F" w:rsidR="00A52831">
        <w:rPr>
          <w:rFonts w:eastAsia="Century Schoolbook" w:cs="Century Schoolbook"/>
          <w:i/>
          <w:iCs/>
          <w:szCs w:val="26"/>
        </w:rPr>
        <w:t>Amaral, supra</w:t>
      </w:r>
      <w:r w:rsidRPr="00295B9F" w:rsidR="00A52831">
        <w:rPr>
          <w:rFonts w:eastAsia="Century Schoolbook" w:cs="Century Schoolbook"/>
          <w:szCs w:val="26"/>
        </w:rPr>
        <w:t>, 163 Cal.App.</w:t>
      </w:r>
      <w:r w:rsidRPr="00295B9F" w:rsidR="009B1EC8">
        <w:rPr>
          <w:rFonts w:eastAsia="Century Schoolbook" w:cs="Century Schoolbook"/>
          <w:szCs w:val="26"/>
        </w:rPr>
        <w:t>4th</w:t>
      </w:r>
      <w:r w:rsidRPr="00295B9F" w:rsidR="00A52831">
        <w:rPr>
          <w:rFonts w:eastAsia="Century Schoolbook" w:cs="Century Schoolbook"/>
          <w:szCs w:val="26"/>
        </w:rPr>
        <w:t xml:space="preserve"> at p</w:t>
      </w:r>
      <w:r w:rsidR="002D5380">
        <w:rPr>
          <w:rFonts w:eastAsia="Century Schoolbook" w:cs="Century Schoolbook"/>
          <w:szCs w:val="26"/>
        </w:rPr>
        <w:t>p</w:t>
      </w:r>
      <w:r w:rsidRPr="00295B9F" w:rsidR="00A52831">
        <w:rPr>
          <w:rFonts w:eastAsia="Century Schoolbook" w:cs="Century Schoolbook"/>
          <w:szCs w:val="26"/>
        </w:rPr>
        <w:t xml:space="preserve">. </w:t>
      </w:r>
      <w:r w:rsidRPr="00295B9F" w:rsidR="00A50567">
        <w:rPr>
          <w:rFonts w:eastAsia="Century Schoolbook" w:cs="Century Schoolbook"/>
          <w:szCs w:val="26"/>
        </w:rPr>
        <w:t>1201</w:t>
      </w:r>
      <w:r w:rsidRPr="00295B9F" w:rsidR="009B1EC8">
        <w:rPr>
          <w:rFonts w:eastAsia="Century Schoolbook" w:cs="Century Schoolbook"/>
          <w:szCs w:val="26"/>
        </w:rPr>
        <w:t>-1204 [</w:t>
      </w:r>
      <w:r w:rsidRPr="00295B9F" w:rsidR="00A57D7F">
        <w:rPr>
          <w:rFonts w:eastAsia="Century Schoolbook" w:cs="Century Schoolbook"/>
          <w:szCs w:val="26"/>
        </w:rPr>
        <w:t>same</w:t>
      </w:r>
      <w:r w:rsidRPr="00295B9F" w:rsidR="009B1EC8">
        <w:rPr>
          <w:rFonts w:eastAsia="Century Schoolbook" w:cs="Century Schoolbook"/>
          <w:szCs w:val="26"/>
        </w:rPr>
        <w:t xml:space="preserve">]; </w:t>
      </w:r>
      <w:r w:rsidRPr="00295B9F" w:rsidR="00297B42">
        <w:rPr>
          <w:rFonts w:eastAsia="Century Schoolbook" w:cs="Century Schoolbook"/>
          <w:i/>
          <w:iCs/>
          <w:szCs w:val="26"/>
        </w:rPr>
        <w:t>Choate v. Celite Corp.</w:t>
      </w:r>
      <w:r w:rsidRPr="00295B9F" w:rsidR="00297B42">
        <w:rPr>
          <w:rFonts w:eastAsia="Century Schoolbook" w:cs="Century Schoolbook"/>
          <w:szCs w:val="26"/>
        </w:rPr>
        <w:t xml:space="preserve"> </w:t>
      </w:r>
      <w:r w:rsidRPr="00295B9F" w:rsidR="00FA3BFF">
        <w:rPr>
          <w:rFonts w:eastAsia="Century Schoolbook" w:cs="Century Schoolbook"/>
          <w:szCs w:val="26"/>
        </w:rPr>
        <w:t>(2013) 215 Cal.App.4th 1460, 1468 [same].)</w:t>
      </w:r>
      <w:r>
        <w:rPr>
          <w:rStyle w:val="FootnoteReference"/>
          <w:rFonts w:eastAsia="Century Schoolbook" w:cs="Century Schoolbook"/>
          <w:b w:val="0"/>
          <w:bCs/>
          <w:szCs w:val="26"/>
        </w:rPr>
        <w:footnoteReference w:id="5"/>
      </w:r>
      <w:r w:rsidRPr="00295B9F" w:rsidR="00FA3BFF">
        <w:rPr>
          <w:rFonts w:eastAsia="Century Schoolbook" w:cs="Century Schoolbook"/>
          <w:b/>
          <w:bCs/>
          <w:szCs w:val="26"/>
        </w:rPr>
        <w:t xml:space="preserve"> </w:t>
      </w:r>
      <w:r w:rsidRPr="00295B9F" w:rsidR="002940E2">
        <w:rPr>
          <w:rFonts w:eastAsia="Century Schoolbook" w:cs="Century Schoolbook"/>
          <w:szCs w:val="26"/>
        </w:rPr>
        <w:t xml:space="preserve">We </w:t>
      </w:r>
      <w:r w:rsidRPr="00295B9F" w:rsidR="00FA3BFF">
        <w:rPr>
          <w:rFonts w:eastAsia="Century Schoolbook" w:cs="Century Schoolbook"/>
          <w:szCs w:val="26"/>
        </w:rPr>
        <w:t>see</w:t>
      </w:r>
      <w:r w:rsidRPr="00295B9F" w:rsidR="002940E2">
        <w:rPr>
          <w:rFonts w:eastAsia="Century Schoolbook" w:cs="Century Schoolbook"/>
          <w:szCs w:val="26"/>
        </w:rPr>
        <w:t xml:space="preserve"> no reason</w:t>
      </w:r>
      <w:r w:rsidRPr="00295B9F" w:rsidR="00782A4D">
        <w:rPr>
          <w:rFonts w:eastAsia="Century Schoolbook" w:cs="Century Schoolbook"/>
          <w:szCs w:val="26"/>
        </w:rPr>
        <w:t xml:space="preserve"> </w:t>
      </w:r>
      <w:r w:rsidRPr="00295B9F" w:rsidR="00F57F4C">
        <w:rPr>
          <w:rFonts w:eastAsia="Century Schoolbook" w:cs="Century Schoolbook"/>
          <w:szCs w:val="26"/>
        </w:rPr>
        <w:t xml:space="preserve">to depart from these authorities. </w:t>
      </w:r>
      <w:r w:rsidRPr="00295B9F" w:rsidR="00070418">
        <w:rPr>
          <w:rFonts w:eastAsia="Century Schoolbook" w:cs="Century Schoolbook"/>
          <w:szCs w:val="26"/>
        </w:rPr>
        <w:t>We therefore turn to Naranjo’s alternative contention that the trial court’s finding of a good faith dispute is not supported by substantial evidence.</w:t>
      </w:r>
    </w:p>
    <w:p w:rsidR="00DD216F" w:rsidRPr="00295B9F" w:rsidP="00F1662C" w14:paraId="1BA1DA14" w14:textId="4E1DA647">
      <w:pPr>
        <w:ind w:firstLine="720"/>
        <w:rPr>
          <w:rFonts w:eastAsia="Century Schoolbook" w:cs="Century Schoolbook"/>
          <w:szCs w:val="26"/>
        </w:rPr>
      </w:pPr>
      <w:r w:rsidRPr="00295B9F">
        <w:rPr>
          <w:rFonts w:eastAsia="Century Schoolbook" w:cs="Century Schoolbook"/>
          <w:szCs w:val="26"/>
        </w:rPr>
        <w:t>When a party raises a substantial evidence challenge, a</w:t>
      </w:r>
      <w:r w:rsidRPr="00295B9F" w:rsidR="00B00108">
        <w:rPr>
          <w:rFonts w:eastAsia="Century Schoolbook" w:cs="Century Schoolbook"/>
          <w:szCs w:val="26"/>
        </w:rPr>
        <w:t xml:space="preserve"> reviewing court begins with the “‘presumption that the record contains evidence to sustain every finding of fact.’” (</w:t>
      </w:r>
      <w:r w:rsidRPr="00295B9F" w:rsidR="00B00108">
        <w:rPr>
          <w:rFonts w:eastAsia="Century Schoolbook" w:cs="Century Schoolbook"/>
          <w:i/>
          <w:iCs/>
          <w:szCs w:val="26"/>
        </w:rPr>
        <w:t>Foreman &amp; Clark Corp. v. Fallon</w:t>
      </w:r>
      <w:r w:rsidRPr="00295B9F" w:rsidR="00C32EB3">
        <w:rPr>
          <w:rFonts w:eastAsia="Century Schoolbook" w:cs="Century Schoolbook"/>
          <w:i/>
          <w:iCs/>
          <w:szCs w:val="26"/>
        </w:rPr>
        <w:t xml:space="preserve"> </w:t>
      </w:r>
      <w:r w:rsidRPr="00295B9F" w:rsidR="00C32EB3">
        <w:rPr>
          <w:rFonts w:eastAsia="Century Schoolbook" w:cs="Century Schoolbook"/>
          <w:szCs w:val="26"/>
        </w:rPr>
        <w:t>(1971)</w:t>
      </w:r>
      <w:r w:rsidRPr="00295B9F" w:rsidR="006D1B70">
        <w:rPr>
          <w:rFonts w:eastAsia="Century Schoolbook" w:cs="Century Schoolbook"/>
          <w:szCs w:val="26"/>
        </w:rPr>
        <w:t xml:space="preserve"> 3 Cal.3d 875,</w:t>
      </w:r>
      <w:r w:rsidRPr="00295B9F" w:rsidR="00B00108">
        <w:rPr>
          <w:rFonts w:eastAsia="Century Schoolbook" w:cs="Century Schoolbook"/>
          <w:szCs w:val="26"/>
        </w:rPr>
        <w:t xml:space="preserve"> 881.) To overcome the trial court</w:t>
      </w:r>
      <w:r w:rsidRPr="00295B9F" w:rsidR="00A157F6">
        <w:rPr>
          <w:rFonts w:eastAsia="Century Schoolbook" w:cs="Century Schoolbook"/>
          <w:szCs w:val="26"/>
        </w:rPr>
        <w:t>’</w:t>
      </w:r>
      <w:r w:rsidRPr="00295B9F" w:rsidR="00B00108">
        <w:rPr>
          <w:rFonts w:eastAsia="Century Schoolbook" w:cs="Century Schoolbook"/>
          <w:szCs w:val="26"/>
        </w:rPr>
        <w:t xml:space="preserve">s factual findings, </w:t>
      </w:r>
      <w:r w:rsidRPr="00295B9F" w:rsidR="00A157F6">
        <w:rPr>
          <w:rFonts w:eastAsia="Century Schoolbook" w:cs="Century Schoolbook"/>
          <w:szCs w:val="26"/>
        </w:rPr>
        <w:t>Naranjo</w:t>
      </w:r>
      <w:r w:rsidRPr="00295B9F" w:rsidR="00B00108">
        <w:rPr>
          <w:rFonts w:eastAsia="Century Schoolbook" w:cs="Century Schoolbook"/>
          <w:szCs w:val="26"/>
        </w:rPr>
        <w:t xml:space="preserve"> must </w:t>
      </w:r>
      <w:r w:rsidRPr="00295B9F" w:rsidR="00A157F6">
        <w:rPr>
          <w:rFonts w:eastAsia="Century Schoolbook" w:cs="Century Schoolbook"/>
          <w:szCs w:val="26"/>
        </w:rPr>
        <w:t>“‘</w:t>
      </w:r>
      <w:r w:rsidRPr="00295B9F" w:rsidR="00B00108">
        <w:rPr>
          <w:rFonts w:eastAsia="Century Schoolbook" w:cs="Century Schoolbook"/>
          <w:szCs w:val="26"/>
        </w:rPr>
        <w:t xml:space="preserve">demonstrate </w:t>
      </w:r>
      <w:bookmarkStart w:id="7" w:name="_Hlk120705142"/>
      <w:r w:rsidRPr="00295B9F" w:rsidR="00B00108">
        <w:rPr>
          <w:rFonts w:eastAsia="Century Schoolbook" w:cs="Century Schoolbook"/>
          <w:szCs w:val="26"/>
        </w:rPr>
        <w:t>that there is </w:t>
      </w:r>
      <w:r w:rsidRPr="00295B9F" w:rsidR="00B00108">
        <w:rPr>
          <w:rFonts w:eastAsia="Century Schoolbook" w:cs="Century Schoolbook"/>
          <w:i/>
          <w:iCs/>
          <w:szCs w:val="26"/>
        </w:rPr>
        <w:t>no</w:t>
      </w:r>
      <w:r w:rsidRPr="00295B9F" w:rsidR="00B00108">
        <w:rPr>
          <w:rFonts w:eastAsia="Century Schoolbook" w:cs="Century Schoolbook"/>
          <w:szCs w:val="26"/>
        </w:rPr>
        <w:t xml:space="preserve"> substantial evidence to support </w:t>
      </w:r>
      <w:bookmarkEnd w:id="7"/>
      <w:r w:rsidRPr="00295B9F" w:rsidR="00B00108">
        <w:rPr>
          <w:rFonts w:eastAsia="Century Schoolbook" w:cs="Century Schoolbook"/>
          <w:szCs w:val="26"/>
        </w:rPr>
        <w:t>the challenged findings.</w:t>
      </w:r>
      <w:r w:rsidRPr="00295B9F" w:rsidR="00A157F6">
        <w:rPr>
          <w:rFonts w:eastAsia="Century Schoolbook" w:cs="Century Schoolbook"/>
          <w:szCs w:val="26"/>
        </w:rPr>
        <w:t>’</w:t>
      </w:r>
      <w:r w:rsidRPr="00295B9F" w:rsidR="00B00108">
        <w:rPr>
          <w:rFonts w:eastAsia="Century Schoolbook" w:cs="Century Schoolbook"/>
          <w:szCs w:val="26"/>
        </w:rPr>
        <w:t xml:space="preserve"> . . . </w:t>
      </w:r>
      <w:r w:rsidRPr="00295B9F" w:rsidR="00A157F6">
        <w:rPr>
          <w:rFonts w:eastAsia="Century Schoolbook" w:cs="Century Schoolbook"/>
          <w:szCs w:val="26"/>
        </w:rPr>
        <w:t xml:space="preserve">. </w:t>
      </w:r>
      <w:r w:rsidRPr="00295B9F" w:rsidR="00B00108">
        <w:rPr>
          <w:rFonts w:eastAsia="Century Schoolbook" w:cs="Century Schoolbook"/>
          <w:szCs w:val="26"/>
        </w:rPr>
        <w:t xml:space="preserve">Accordingly, if . . . </w:t>
      </w:r>
      <w:r w:rsidRPr="00295B9F" w:rsidR="00ED6B84">
        <w:rPr>
          <w:rFonts w:eastAsia="Century Schoolbook" w:cs="Century Schoolbook"/>
          <w:szCs w:val="26"/>
        </w:rPr>
        <w:t>‘</w:t>
      </w:r>
      <w:r w:rsidRPr="00295B9F" w:rsidR="00B00108">
        <w:rPr>
          <w:rFonts w:eastAsia="Century Schoolbook" w:cs="Century Schoolbook"/>
          <w:szCs w:val="26"/>
        </w:rPr>
        <w:t xml:space="preserve">some particular issue of fact is not sustained, </w:t>
      </w:r>
      <w:r w:rsidRPr="00295B9F" w:rsidR="00ED6B84">
        <w:rPr>
          <w:rFonts w:eastAsia="Century Schoolbook" w:cs="Century Schoolbook"/>
          <w:szCs w:val="26"/>
        </w:rPr>
        <w:t>[Naranjo is</w:t>
      </w:r>
      <w:r w:rsidRPr="00295B9F" w:rsidR="00A06EFC">
        <w:rPr>
          <w:rFonts w:eastAsia="Century Schoolbook" w:cs="Century Schoolbook"/>
          <w:szCs w:val="26"/>
        </w:rPr>
        <w:t>]</w:t>
      </w:r>
      <w:r w:rsidRPr="00295B9F" w:rsidR="00B00108">
        <w:rPr>
          <w:rFonts w:eastAsia="Century Schoolbook" w:cs="Century Schoolbook"/>
          <w:szCs w:val="26"/>
        </w:rPr>
        <w:t xml:space="preserve"> required to set forth in </w:t>
      </w:r>
      <w:r w:rsidRPr="00295B9F" w:rsidR="00103839">
        <w:rPr>
          <w:rFonts w:eastAsia="Century Schoolbook" w:cs="Century Schoolbook"/>
          <w:szCs w:val="26"/>
        </w:rPr>
        <w:t>[</w:t>
      </w:r>
      <w:r w:rsidRPr="00295B9F" w:rsidR="00354CE2">
        <w:rPr>
          <w:rFonts w:eastAsia="Century Schoolbook" w:cs="Century Schoolbook"/>
          <w:szCs w:val="26"/>
        </w:rPr>
        <w:t>his</w:t>
      </w:r>
      <w:r w:rsidRPr="00295B9F" w:rsidR="00103839">
        <w:rPr>
          <w:rFonts w:eastAsia="Century Schoolbook" w:cs="Century Schoolbook"/>
          <w:szCs w:val="26"/>
        </w:rPr>
        <w:t>]</w:t>
      </w:r>
      <w:r w:rsidRPr="00295B9F" w:rsidR="00B00108">
        <w:rPr>
          <w:rFonts w:eastAsia="Century Schoolbook" w:cs="Century Schoolbook"/>
          <w:szCs w:val="26"/>
        </w:rPr>
        <w:t xml:space="preserve"> brief </w:t>
      </w:r>
      <w:r w:rsidRPr="00295B9F" w:rsidR="00B00108">
        <w:rPr>
          <w:rFonts w:eastAsia="Century Schoolbook" w:cs="Century Schoolbook"/>
          <w:i/>
          <w:iCs/>
          <w:szCs w:val="26"/>
        </w:rPr>
        <w:t>all</w:t>
      </w:r>
      <w:r w:rsidRPr="00295B9F" w:rsidR="00B00108">
        <w:rPr>
          <w:rFonts w:eastAsia="Century Schoolbook" w:cs="Century Schoolbook"/>
          <w:szCs w:val="26"/>
        </w:rPr>
        <w:t> the material evidence on the point and </w:t>
      </w:r>
      <w:r w:rsidRPr="00295B9F" w:rsidR="00B00108">
        <w:rPr>
          <w:rFonts w:eastAsia="Century Schoolbook" w:cs="Century Schoolbook"/>
          <w:i/>
          <w:iCs/>
          <w:szCs w:val="26"/>
        </w:rPr>
        <w:t xml:space="preserve">not merely </w:t>
      </w:r>
      <w:r w:rsidRPr="00295B9F" w:rsidR="00F1662C">
        <w:rPr>
          <w:rFonts w:eastAsia="Century Schoolbook" w:cs="Century Schoolbook"/>
          <w:i/>
          <w:iCs/>
          <w:szCs w:val="26"/>
        </w:rPr>
        <w:t xml:space="preserve">[his] </w:t>
      </w:r>
      <w:r w:rsidRPr="00295B9F" w:rsidR="00B00108">
        <w:rPr>
          <w:rFonts w:eastAsia="Century Schoolbook" w:cs="Century Schoolbook"/>
          <w:i/>
          <w:iCs/>
          <w:szCs w:val="26"/>
        </w:rPr>
        <w:t>own evidence</w:t>
      </w:r>
      <w:r w:rsidRPr="00295B9F" w:rsidR="00B00108">
        <w:rPr>
          <w:rFonts w:eastAsia="Century Schoolbook" w:cs="Century Schoolbook"/>
          <w:szCs w:val="26"/>
        </w:rPr>
        <w:t xml:space="preserve">. Unless this is done the error is deemed to be </w:t>
      </w:r>
      <w:r w:rsidRPr="00295B9F" w:rsidR="00F1662C">
        <w:rPr>
          <w:rFonts w:eastAsia="Century Schoolbook" w:cs="Century Schoolbook"/>
          <w:szCs w:val="26"/>
        </w:rPr>
        <w:t>[forfeited]</w:t>
      </w:r>
      <w:r w:rsidRPr="00295B9F" w:rsidR="00B00108">
        <w:rPr>
          <w:rFonts w:eastAsia="Century Schoolbook" w:cs="Century Schoolbook"/>
          <w:szCs w:val="26"/>
        </w:rPr>
        <w:t>.</w:t>
      </w:r>
      <w:r w:rsidRPr="00295B9F" w:rsidR="00F1662C">
        <w:rPr>
          <w:rFonts w:eastAsia="Century Schoolbook" w:cs="Century Schoolbook"/>
          <w:szCs w:val="26"/>
        </w:rPr>
        <w:t>’”</w:t>
      </w:r>
      <w:r w:rsidRPr="00295B9F" w:rsidR="00B00108">
        <w:rPr>
          <w:rFonts w:eastAsia="Century Schoolbook" w:cs="Century Schoolbook"/>
          <w:szCs w:val="26"/>
        </w:rPr>
        <w:t xml:space="preserve"> (</w:t>
      </w:r>
      <w:r w:rsidRPr="004005CF" w:rsidR="002D5380">
        <w:rPr>
          <w:i/>
        </w:rPr>
        <w:t>I</w:t>
      </w:r>
      <w:r w:rsidRPr="004005CF" w:rsidR="00B00108">
        <w:rPr>
          <w:rFonts w:eastAsia="Century Schoolbook" w:cs="Century Schoolbook"/>
          <w:i/>
          <w:szCs w:val="26"/>
        </w:rPr>
        <w:t>d</w:t>
      </w:r>
      <w:r w:rsidRPr="004005CF" w:rsidR="002D5380">
        <w:rPr>
          <w:rFonts w:eastAsia="Century Schoolbook" w:cs="Century Schoolbook"/>
          <w:i/>
          <w:szCs w:val="26"/>
        </w:rPr>
        <w:t>.</w:t>
      </w:r>
      <w:r w:rsidRPr="00295B9F" w:rsidR="00B00108">
        <w:rPr>
          <w:rFonts w:eastAsia="Century Schoolbook" w:cs="Century Schoolbook"/>
          <w:szCs w:val="26"/>
        </w:rPr>
        <w:t xml:space="preserve"> at p. 881, </w:t>
      </w:r>
      <w:r w:rsidRPr="00295B9F" w:rsidR="00FB0C8E">
        <w:rPr>
          <w:rFonts w:eastAsia="Century Schoolbook" w:cs="Century Schoolbook"/>
          <w:szCs w:val="26"/>
        </w:rPr>
        <w:t xml:space="preserve">original </w:t>
      </w:r>
      <w:r w:rsidRPr="00295B9F" w:rsidR="00B00108">
        <w:rPr>
          <w:rFonts w:eastAsia="Century Schoolbook" w:cs="Century Schoolbook"/>
          <w:szCs w:val="26"/>
        </w:rPr>
        <w:t>italics.)</w:t>
      </w:r>
    </w:p>
    <w:p w:rsidR="00742B8C" w:rsidRPr="00295B9F" w:rsidP="00CC7012" w14:paraId="303D4956" w14:textId="042A5F58">
      <w:pPr>
        <w:ind w:firstLine="720"/>
        <w:rPr>
          <w:rFonts w:eastAsia="Century Schoolbook" w:cs="Century Schoolbook"/>
          <w:szCs w:val="26"/>
        </w:rPr>
      </w:pPr>
      <w:r w:rsidRPr="00295B9F">
        <w:rPr>
          <w:rFonts w:eastAsia="Century Schoolbook" w:cs="Century Schoolbook"/>
          <w:szCs w:val="26"/>
        </w:rPr>
        <w:t xml:space="preserve">Applying these principles, we conclude </w:t>
      </w:r>
      <w:bookmarkStart w:id="8" w:name="_Hlk120696157"/>
      <w:r w:rsidRPr="00295B9F" w:rsidR="00F1662C">
        <w:rPr>
          <w:rFonts w:eastAsia="Century Schoolbook" w:cs="Century Schoolbook"/>
          <w:szCs w:val="26"/>
        </w:rPr>
        <w:t xml:space="preserve">Naranjo forfeited </w:t>
      </w:r>
      <w:r w:rsidRPr="00295B9F" w:rsidR="00D21689">
        <w:rPr>
          <w:rFonts w:eastAsia="Century Schoolbook" w:cs="Century Schoolbook"/>
          <w:szCs w:val="26"/>
        </w:rPr>
        <w:t>his substantial evidence claim.</w:t>
      </w:r>
      <w:r w:rsidRPr="00295B9F" w:rsidR="00364E41">
        <w:rPr>
          <w:rFonts w:eastAsia="Century Schoolbook" w:cs="Century Schoolbook"/>
          <w:szCs w:val="26"/>
        </w:rPr>
        <w:t xml:space="preserve"> </w:t>
      </w:r>
      <w:bookmarkEnd w:id="8"/>
      <w:r w:rsidRPr="00295B9F" w:rsidR="00C33A21">
        <w:rPr>
          <w:rFonts w:eastAsia="Century Schoolbook" w:cs="Century Schoolbook"/>
          <w:szCs w:val="26"/>
        </w:rPr>
        <w:t xml:space="preserve">Naranjo fails to point to </w:t>
      </w:r>
      <w:r w:rsidRPr="00295B9F" w:rsidR="00C33A21">
        <w:rPr>
          <w:rFonts w:eastAsia="Century Schoolbook" w:cs="Century Schoolbook"/>
          <w:i/>
          <w:iCs/>
          <w:szCs w:val="26"/>
        </w:rPr>
        <w:t>any</w:t>
      </w:r>
      <w:r w:rsidRPr="00295B9F" w:rsidR="00DD4A56">
        <w:rPr>
          <w:rFonts w:eastAsia="Century Schoolbook" w:cs="Century Schoolbook"/>
          <w:szCs w:val="26"/>
        </w:rPr>
        <w:t xml:space="preserve"> </w:t>
      </w:r>
      <w:r w:rsidRPr="00295B9F" w:rsidR="00C33A21">
        <w:rPr>
          <w:rFonts w:eastAsia="Century Schoolbook" w:cs="Century Schoolbook"/>
          <w:szCs w:val="26"/>
        </w:rPr>
        <w:t>evidence</w:t>
      </w:r>
      <w:r w:rsidRPr="00295B9F" w:rsidR="00B9357D">
        <w:rPr>
          <w:rFonts w:eastAsia="Century Schoolbook" w:cs="Century Schoolbook"/>
          <w:szCs w:val="26"/>
        </w:rPr>
        <w:t xml:space="preserve"> in the record</w:t>
      </w:r>
      <w:r w:rsidRPr="00295B9F" w:rsidR="00C33A21">
        <w:rPr>
          <w:rFonts w:eastAsia="Century Schoolbook" w:cs="Century Schoolbook"/>
          <w:szCs w:val="26"/>
        </w:rPr>
        <w:t xml:space="preserve"> that may have supported the trial court’s finding </w:t>
      </w:r>
      <w:r w:rsidRPr="00295B9F" w:rsidR="00907A00">
        <w:rPr>
          <w:rFonts w:eastAsia="Century Schoolbook" w:cs="Century Schoolbook"/>
          <w:szCs w:val="26"/>
        </w:rPr>
        <w:t xml:space="preserve">that Spectrum’s “defenses were presented in good faith and were not unreasonable or unsupported by the evidence.” Instead, Naranjo relies solely on </w:t>
      </w:r>
      <w:r w:rsidRPr="00295B9F" w:rsidR="00C9558E">
        <w:rPr>
          <w:rFonts w:eastAsia="Century Schoolbook" w:cs="Century Schoolbook"/>
          <w:szCs w:val="26"/>
        </w:rPr>
        <w:t xml:space="preserve">excerpts of the Statement of Decision which, Naranjo claims, are inconsistent with the trial’s court’s finding of a good faith dispute. Specifically, Naranjo argues </w:t>
      </w:r>
      <w:r w:rsidRPr="00295B9F">
        <w:rPr>
          <w:rFonts w:eastAsia="Century Schoolbook" w:cs="Century Schoolbook"/>
          <w:szCs w:val="26"/>
        </w:rPr>
        <w:t xml:space="preserve">the following statements in the Statement of Decision cannot </w:t>
      </w:r>
      <w:r w:rsidRPr="00295B9F" w:rsidR="00B51C6F">
        <w:rPr>
          <w:rFonts w:eastAsia="Century Schoolbook" w:cs="Century Schoolbook"/>
          <w:szCs w:val="26"/>
        </w:rPr>
        <w:t>be “reconciled</w:t>
      </w:r>
      <w:r w:rsidRPr="00295B9F">
        <w:rPr>
          <w:rFonts w:eastAsia="Century Schoolbook" w:cs="Century Schoolbook"/>
          <w:szCs w:val="26"/>
        </w:rPr>
        <w:t xml:space="preserve">” with a finding of good faith: (1) </w:t>
      </w:r>
      <w:r w:rsidRPr="00295B9F" w:rsidR="00A53E2A">
        <w:rPr>
          <w:rFonts w:eastAsia="Century Schoolbook" w:cs="Century Schoolbook"/>
          <w:szCs w:val="26"/>
        </w:rPr>
        <w:t>“</w:t>
      </w:r>
      <w:r w:rsidRPr="00295B9F" w:rsidR="00860D5A">
        <w:rPr>
          <w:rFonts w:eastAsia="Century Schoolbook" w:cs="Century Schoolbook"/>
          <w:szCs w:val="26"/>
        </w:rPr>
        <w:t xml:space="preserve">The court finds that </w:t>
      </w:r>
      <w:r w:rsidRPr="00295B9F" w:rsidR="003F016C">
        <w:rPr>
          <w:rFonts w:eastAsia="Century Schoolbook" w:cs="Century Schoolbook"/>
          <w:szCs w:val="26"/>
        </w:rPr>
        <w:t>Spectrum</w:t>
      </w:r>
      <w:r w:rsidRPr="00295B9F" w:rsidR="00860D5A">
        <w:rPr>
          <w:rFonts w:eastAsia="Century Schoolbook" w:cs="Century Schoolbook"/>
          <w:szCs w:val="26"/>
        </w:rPr>
        <w:t xml:space="preserve"> has</w:t>
      </w:r>
      <w:r w:rsidRPr="00295B9F" w:rsidR="003F016C">
        <w:rPr>
          <w:rFonts w:eastAsia="Century Schoolbook" w:cs="Century Schoolbook"/>
          <w:szCs w:val="26"/>
        </w:rPr>
        <w:t xml:space="preserve"> failed to </w:t>
      </w:r>
      <w:r w:rsidRPr="00295B9F" w:rsidR="00860D5A">
        <w:rPr>
          <w:rFonts w:eastAsia="Century Schoolbook" w:cs="Century Schoolbook"/>
          <w:szCs w:val="26"/>
        </w:rPr>
        <w:t>carry its burden to establish any of these [federal] defenses</w:t>
      </w:r>
      <w:r w:rsidRPr="00295B9F" w:rsidR="00A45B67">
        <w:rPr>
          <w:rFonts w:eastAsia="Century Schoolbook" w:cs="Century Schoolbook"/>
          <w:szCs w:val="26"/>
        </w:rPr>
        <w:t>”; (2)</w:t>
      </w:r>
      <w:r w:rsidRPr="00295B9F">
        <w:rPr>
          <w:rFonts w:eastAsia="Century Schoolbook" w:cs="Century Schoolbook"/>
          <w:szCs w:val="26"/>
        </w:rPr>
        <w:t xml:space="preserve"> </w:t>
      </w:r>
      <w:r w:rsidRPr="00295B9F" w:rsidR="00B51C6F">
        <w:rPr>
          <w:rFonts w:eastAsia="Century Schoolbook" w:cs="Century Schoolbook"/>
          <w:szCs w:val="26"/>
        </w:rPr>
        <w:t>“Spectrum failed to prove that any of its activities take place on federal enclaves and there was no evidence whatsoever suggesting direct regulation of the federal government or discrimination against the federal government by way of California labor laws</w:t>
      </w:r>
      <w:r w:rsidRPr="00295B9F" w:rsidR="00A53E2A">
        <w:rPr>
          <w:rFonts w:eastAsia="Century Schoolbook" w:cs="Century Schoolbook"/>
          <w:szCs w:val="26"/>
        </w:rPr>
        <w:t>”</w:t>
      </w:r>
      <w:r w:rsidRPr="00295B9F" w:rsidR="00B51C6F">
        <w:rPr>
          <w:rFonts w:eastAsia="Century Schoolbook" w:cs="Century Schoolbook"/>
          <w:szCs w:val="26"/>
        </w:rPr>
        <w:t xml:space="preserve">; </w:t>
      </w:r>
      <w:r w:rsidRPr="00295B9F" w:rsidR="00361B65">
        <w:rPr>
          <w:rFonts w:eastAsia="Century Schoolbook" w:cs="Century Schoolbook"/>
          <w:szCs w:val="26"/>
        </w:rPr>
        <w:t xml:space="preserve">and </w:t>
      </w:r>
      <w:r w:rsidRPr="00295B9F" w:rsidR="00B51C6F">
        <w:rPr>
          <w:rFonts w:eastAsia="Century Schoolbook" w:cs="Century Schoolbook"/>
          <w:szCs w:val="26"/>
        </w:rPr>
        <w:t>(3)</w:t>
      </w:r>
      <w:r w:rsidRPr="00295B9F" w:rsidR="005E071A">
        <w:rPr>
          <w:rFonts w:eastAsia="Century Schoolbook" w:cs="Century Schoolbook"/>
          <w:szCs w:val="26"/>
        </w:rPr>
        <w:t xml:space="preserve"> “But this position is not supported by the evidence admitted at trial.”</w:t>
      </w:r>
      <w:r w:rsidRPr="00295B9F" w:rsidR="00B51C6F">
        <w:rPr>
          <w:rFonts w:eastAsia="Century Schoolbook" w:cs="Century Schoolbook"/>
          <w:szCs w:val="26"/>
        </w:rPr>
        <w:t xml:space="preserve"> </w:t>
      </w:r>
      <w:r w:rsidRPr="00295B9F">
        <w:rPr>
          <w:rFonts w:eastAsia="Century Schoolbook" w:cs="Century Schoolbook"/>
          <w:szCs w:val="26"/>
        </w:rPr>
        <w:t>We are unpersuaded.</w:t>
      </w:r>
      <w:r w:rsidRPr="00295B9F" w:rsidR="00594766">
        <w:rPr>
          <w:rFonts w:eastAsia="Century Schoolbook" w:cs="Century Schoolbook"/>
          <w:szCs w:val="26"/>
        </w:rPr>
        <w:t xml:space="preserve"> </w:t>
      </w:r>
      <w:r w:rsidRPr="00295B9F" w:rsidR="00894690">
        <w:rPr>
          <w:rFonts w:eastAsia="Century Schoolbook" w:cs="Century Schoolbook"/>
          <w:szCs w:val="26"/>
        </w:rPr>
        <w:t xml:space="preserve">As noted above, only defenses which are “unsupported by </w:t>
      </w:r>
      <w:r w:rsidRPr="00295B9F" w:rsidR="00894690">
        <w:rPr>
          <w:rFonts w:eastAsia="Century Schoolbook" w:cs="Century Schoolbook"/>
          <w:i/>
          <w:iCs/>
          <w:szCs w:val="26"/>
        </w:rPr>
        <w:t>any</w:t>
      </w:r>
      <w:r w:rsidRPr="00295B9F" w:rsidR="00894690">
        <w:rPr>
          <w:rFonts w:eastAsia="Century Schoolbook" w:cs="Century Schoolbook"/>
          <w:szCs w:val="26"/>
        </w:rPr>
        <w:t xml:space="preserve"> evidence” preclude a finding of a good faith dispute. (</w:t>
      </w:r>
      <w:bookmarkStart w:id="9" w:name="_Hlk120696122"/>
      <w:r w:rsidRPr="00295B9F" w:rsidR="00894690">
        <w:rPr>
          <w:rFonts w:eastAsia="Century Schoolbook" w:cs="Century Schoolbook"/>
          <w:szCs w:val="26"/>
        </w:rPr>
        <w:t>Cal. Code Regs., tit. 8, § 13520</w:t>
      </w:r>
      <w:bookmarkEnd w:id="9"/>
      <w:r w:rsidR="00FF601D">
        <w:rPr>
          <w:rFonts w:eastAsia="Century Schoolbook" w:cs="Century Schoolbook"/>
          <w:szCs w:val="26"/>
        </w:rPr>
        <w:t xml:space="preserve">, </w:t>
      </w:r>
      <w:r w:rsidRPr="00295B9F" w:rsidR="00894690">
        <w:rPr>
          <w:rFonts w:eastAsia="Century Schoolbook" w:cs="Century Schoolbook"/>
          <w:szCs w:val="26"/>
        </w:rPr>
        <w:t xml:space="preserve">emphasis added.) </w:t>
      </w:r>
      <w:r w:rsidRPr="00295B9F" w:rsidR="00746E3B">
        <w:rPr>
          <w:rFonts w:eastAsia="Century Schoolbook" w:cs="Century Schoolbook"/>
          <w:szCs w:val="26"/>
        </w:rPr>
        <w:t>T</w:t>
      </w:r>
      <w:r w:rsidRPr="00295B9F" w:rsidR="00894690">
        <w:rPr>
          <w:rFonts w:eastAsia="Century Schoolbook" w:cs="Century Schoolbook"/>
          <w:szCs w:val="26"/>
        </w:rPr>
        <w:t>he trial court’s statement</w:t>
      </w:r>
      <w:r w:rsidRPr="00295B9F" w:rsidR="00C07B8B">
        <w:rPr>
          <w:rFonts w:eastAsia="Century Schoolbook" w:cs="Century Schoolbook"/>
          <w:szCs w:val="26"/>
        </w:rPr>
        <w:t>s</w:t>
      </w:r>
      <w:r w:rsidRPr="00295B9F" w:rsidR="00894690">
        <w:rPr>
          <w:rFonts w:eastAsia="Century Schoolbook" w:cs="Century Schoolbook"/>
          <w:szCs w:val="26"/>
        </w:rPr>
        <w:t xml:space="preserve"> in the Statement of Decision </w:t>
      </w:r>
      <w:r w:rsidRPr="00295B9F" w:rsidR="00C07B8B">
        <w:rPr>
          <w:rFonts w:eastAsia="Century Schoolbook" w:cs="Century Schoolbook"/>
          <w:szCs w:val="26"/>
        </w:rPr>
        <w:t>that Spectrum did not meet its burden</w:t>
      </w:r>
      <w:r w:rsidRPr="00295B9F" w:rsidR="00BA05ED">
        <w:rPr>
          <w:rFonts w:eastAsia="Century Schoolbook" w:cs="Century Schoolbook"/>
          <w:szCs w:val="26"/>
        </w:rPr>
        <w:t xml:space="preserve"> to prove its affirmative defense</w:t>
      </w:r>
      <w:r w:rsidRPr="00295B9F" w:rsidR="00C259A3">
        <w:rPr>
          <w:rFonts w:eastAsia="Century Schoolbook" w:cs="Century Schoolbook"/>
          <w:szCs w:val="26"/>
        </w:rPr>
        <w:t xml:space="preserve">, or </w:t>
      </w:r>
      <w:r w:rsidRPr="00295B9F" w:rsidR="00BA05ED">
        <w:rPr>
          <w:rFonts w:eastAsia="Century Schoolbook" w:cs="Century Schoolbook"/>
          <w:szCs w:val="26"/>
        </w:rPr>
        <w:t>that its</w:t>
      </w:r>
      <w:r w:rsidRPr="00295B9F" w:rsidR="00C259A3">
        <w:rPr>
          <w:rFonts w:eastAsia="Century Schoolbook" w:cs="Century Schoolbook"/>
          <w:szCs w:val="26"/>
        </w:rPr>
        <w:t xml:space="preserve"> position was not supported by evidence admitted at trial</w:t>
      </w:r>
      <w:r w:rsidRPr="00295B9F" w:rsidR="00B5552C">
        <w:rPr>
          <w:rFonts w:eastAsia="Century Schoolbook" w:cs="Century Schoolbook"/>
          <w:szCs w:val="26"/>
        </w:rPr>
        <w:t>,</w:t>
      </w:r>
      <w:r w:rsidRPr="00295B9F" w:rsidR="00C259A3">
        <w:rPr>
          <w:rFonts w:eastAsia="Century Schoolbook" w:cs="Century Schoolbook"/>
          <w:szCs w:val="26"/>
        </w:rPr>
        <w:t xml:space="preserve"> </w:t>
      </w:r>
      <w:r w:rsidRPr="00295B9F" w:rsidR="00BA05ED">
        <w:rPr>
          <w:rFonts w:eastAsia="Century Schoolbook" w:cs="Century Schoolbook"/>
          <w:szCs w:val="26"/>
        </w:rPr>
        <w:t xml:space="preserve">is not the same as </w:t>
      </w:r>
      <w:r w:rsidRPr="00295B9F" w:rsidR="00A83910">
        <w:rPr>
          <w:rFonts w:eastAsia="Century Schoolbook" w:cs="Century Schoolbook"/>
          <w:szCs w:val="26"/>
        </w:rPr>
        <w:t>a finding that a defense is “unsupported by any evidence”</w:t>
      </w:r>
      <w:r w:rsidRPr="00295B9F" w:rsidR="006F4330">
        <w:rPr>
          <w:rFonts w:eastAsia="Century Schoolbook" w:cs="Century Schoolbook"/>
          <w:szCs w:val="26"/>
        </w:rPr>
        <w:t xml:space="preserve"> or </w:t>
      </w:r>
      <w:r w:rsidRPr="00295B9F" w:rsidR="00A52BE9">
        <w:rPr>
          <w:rFonts w:eastAsia="Century Schoolbook" w:cs="Century Schoolbook"/>
          <w:szCs w:val="26"/>
        </w:rPr>
        <w:t>“unreasonable.”</w:t>
      </w:r>
      <w:r w:rsidRPr="00295B9F" w:rsidR="00A83910">
        <w:rPr>
          <w:rFonts w:eastAsia="Century Schoolbook" w:cs="Century Schoolbook"/>
          <w:szCs w:val="26"/>
        </w:rPr>
        <w:t xml:space="preserve"> </w:t>
      </w:r>
      <w:r w:rsidRPr="00295B9F" w:rsidR="00924465">
        <w:rPr>
          <w:rFonts w:eastAsia="Century Schoolbook" w:cs="Century Schoolbook"/>
          <w:szCs w:val="26"/>
        </w:rPr>
        <w:t xml:space="preserve">Rather, those statements support the trial court’s </w:t>
      </w:r>
      <w:r w:rsidRPr="00295B9F" w:rsidR="00C61893">
        <w:rPr>
          <w:rFonts w:eastAsia="Century Schoolbook" w:cs="Century Schoolbook"/>
          <w:szCs w:val="26"/>
        </w:rPr>
        <w:t xml:space="preserve">findings in favor of Naranjo on </w:t>
      </w:r>
      <w:r w:rsidRPr="00295B9F" w:rsidR="007A035F">
        <w:rPr>
          <w:rFonts w:eastAsia="Century Schoolbook" w:cs="Century Schoolbook"/>
          <w:szCs w:val="26"/>
        </w:rPr>
        <w:t>Spectrum’s affirmative defenses. “The fact that</w:t>
      </w:r>
      <w:r w:rsidRPr="00295B9F" w:rsidR="007E0E17">
        <w:rPr>
          <w:rFonts w:eastAsia="Century Schoolbook" w:cs="Century Schoolbook"/>
          <w:szCs w:val="26"/>
        </w:rPr>
        <w:t xml:space="preserve"> </w:t>
      </w:r>
      <w:r w:rsidRPr="00295B9F" w:rsidR="007A035F">
        <w:rPr>
          <w:color w:val="000000"/>
          <w:sz w:val="27"/>
          <w:szCs w:val="27"/>
          <w:shd w:val="clear" w:color="auto" w:fill="FFFFFF"/>
        </w:rPr>
        <w:t xml:space="preserve">a defense is ultimately unsuccessful[, however,] will </w:t>
      </w:r>
      <w:bookmarkStart w:id="10" w:name="_Hlk120701983"/>
      <w:r w:rsidRPr="00295B9F" w:rsidR="007A035F">
        <w:rPr>
          <w:color w:val="000000"/>
          <w:sz w:val="27"/>
          <w:szCs w:val="27"/>
          <w:shd w:val="clear" w:color="auto" w:fill="FFFFFF"/>
        </w:rPr>
        <w:t>not preclude a finding that a good faith dispute did exist.</w:t>
      </w:r>
      <w:r w:rsidRPr="00295B9F" w:rsidR="00140393">
        <w:rPr>
          <w:color w:val="000000"/>
          <w:sz w:val="27"/>
          <w:szCs w:val="27"/>
          <w:shd w:val="clear" w:color="auto" w:fill="FFFFFF"/>
        </w:rPr>
        <w:t>” (</w:t>
      </w:r>
      <w:r w:rsidRPr="00295B9F" w:rsidR="00140393">
        <w:rPr>
          <w:rFonts w:eastAsia="Century Schoolbook" w:cs="Century Schoolbook"/>
          <w:szCs w:val="26"/>
        </w:rPr>
        <w:t>Cal. Code Regs., tit. 8, §</w:t>
      </w:r>
      <w:r w:rsidR="00A615A0">
        <w:rPr>
          <w:rFonts w:eastAsia="Century Schoolbook" w:cs="Century Schoolbook"/>
          <w:szCs w:val="26"/>
        </w:rPr>
        <w:t> </w:t>
      </w:r>
      <w:r w:rsidRPr="00295B9F" w:rsidR="00140393">
        <w:rPr>
          <w:rFonts w:eastAsia="Century Schoolbook" w:cs="Century Schoolbook"/>
          <w:szCs w:val="26"/>
        </w:rPr>
        <w:t>13520.)</w:t>
      </w:r>
      <w:r w:rsidRPr="00295B9F" w:rsidR="007A035F">
        <w:rPr>
          <w:color w:val="000000"/>
          <w:sz w:val="27"/>
          <w:szCs w:val="27"/>
          <w:shd w:val="clear" w:color="auto" w:fill="FFFFFF"/>
        </w:rPr>
        <w:t> </w:t>
      </w:r>
    </w:p>
    <w:bookmarkEnd w:id="10"/>
    <w:p w:rsidR="002F68C1" w:rsidRPr="00295B9F" w:rsidP="002F68C1" w14:paraId="4DDE213A" w14:textId="16E81A9F">
      <w:pPr>
        <w:ind w:firstLine="720"/>
        <w:rPr>
          <w:rFonts w:eastAsia="Century Schoolbook" w:cs="Century Schoolbook"/>
          <w:szCs w:val="26"/>
        </w:rPr>
      </w:pPr>
      <w:r w:rsidRPr="00295B9F">
        <w:rPr>
          <w:rFonts w:eastAsia="Century Schoolbook" w:cs="Century Schoolbook"/>
          <w:szCs w:val="26"/>
        </w:rPr>
        <w:t>Moreover, even if Naranjo preserved his substantial evidence contention, the Statement of Decision and a review of the record demonstrate</w:t>
      </w:r>
      <w:r w:rsidRPr="00295B9F" w:rsidR="00C3765E">
        <w:rPr>
          <w:rFonts w:eastAsia="Century Schoolbook" w:cs="Century Schoolbook"/>
          <w:szCs w:val="26"/>
        </w:rPr>
        <w:t xml:space="preserve"> a reasonable trier of fact could conclude</w:t>
      </w:r>
      <w:r w:rsidRPr="00295B9F" w:rsidR="00E85AB0">
        <w:rPr>
          <w:rFonts w:eastAsia="Century Schoolbook" w:cs="Century Schoolbook"/>
          <w:szCs w:val="26"/>
        </w:rPr>
        <w:t xml:space="preserve"> Spectrum presented defenses in good faith. </w:t>
      </w:r>
      <w:r w:rsidRPr="00295B9F" w:rsidR="007345F5">
        <w:rPr>
          <w:rFonts w:eastAsia="Century Schoolbook" w:cs="Century Schoolbook"/>
          <w:szCs w:val="26"/>
        </w:rPr>
        <w:t>For example, Spectrum argued that because its officers perform much of their work at locations owned by the federal government, the federal enclave doctrine</w:t>
      </w:r>
      <w:r w:rsidRPr="00295B9F" w:rsidR="001A2D03">
        <w:rPr>
          <w:rFonts w:eastAsia="Century Schoolbook" w:cs="Century Schoolbook"/>
          <w:szCs w:val="26"/>
        </w:rPr>
        <w:t xml:space="preserve"> </w:t>
      </w:r>
      <w:r w:rsidRPr="00295B9F" w:rsidR="007345F5">
        <w:rPr>
          <w:rFonts w:eastAsia="Century Schoolbook" w:cs="Century Schoolbook"/>
          <w:szCs w:val="26"/>
        </w:rPr>
        <w:t>prohibits the application of state law, including labor laws, to employees working at such locations.</w:t>
      </w:r>
      <w:r>
        <w:rPr>
          <w:rStyle w:val="FootnoteReference"/>
          <w:rFonts w:eastAsia="Century Schoolbook" w:cs="Century Schoolbook"/>
          <w:b w:val="0"/>
          <w:bCs/>
          <w:szCs w:val="26"/>
        </w:rPr>
        <w:footnoteReference w:id="6"/>
      </w:r>
      <w:r w:rsidRPr="00295B9F" w:rsidR="001A2D03">
        <w:rPr>
          <w:rFonts w:eastAsia="Century Schoolbook" w:cs="Century Schoolbook"/>
          <w:b/>
          <w:bCs/>
          <w:szCs w:val="26"/>
        </w:rPr>
        <w:t xml:space="preserve"> </w:t>
      </w:r>
      <w:r w:rsidRPr="00295B9F" w:rsidR="0089489D">
        <w:rPr>
          <w:rFonts w:eastAsia="Century Schoolbook" w:cs="Century Schoolbook"/>
          <w:szCs w:val="26"/>
        </w:rPr>
        <w:t xml:space="preserve">In support of this defense, during phase one of trial, </w:t>
      </w:r>
      <w:r w:rsidRPr="00295B9F" w:rsidR="00F21FEE">
        <w:rPr>
          <w:rFonts w:eastAsia="Century Schoolbook" w:cs="Century Schoolbook"/>
          <w:szCs w:val="26"/>
        </w:rPr>
        <w:t>Spectrum</w:t>
      </w:r>
      <w:r w:rsidRPr="00295B9F" w:rsidR="005164D7">
        <w:rPr>
          <w:rFonts w:eastAsia="Century Schoolbook" w:cs="Century Schoolbook"/>
          <w:szCs w:val="26"/>
        </w:rPr>
        <w:t xml:space="preserve"> offered the testimony of Donald Hensel regarding the ownership of seven properties.</w:t>
      </w:r>
      <w:r w:rsidRPr="00295B9F" w:rsidR="00AD7692">
        <w:rPr>
          <w:rFonts w:eastAsia="Century Schoolbook" w:cs="Century Schoolbook"/>
          <w:szCs w:val="26"/>
        </w:rPr>
        <w:t xml:space="preserve"> In response, Naranjo</w:t>
      </w:r>
      <w:r w:rsidRPr="00295B9F" w:rsidR="00D80F4A">
        <w:rPr>
          <w:rFonts w:eastAsia="Century Schoolbook" w:cs="Century Schoolbook"/>
          <w:szCs w:val="26"/>
        </w:rPr>
        <w:t xml:space="preserve"> offered the testimony of Roger Haines who was qualified as a</w:t>
      </w:r>
      <w:r w:rsidRPr="00295B9F" w:rsidR="008738FE">
        <w:rPr>
          <w:rFonts w:eastAsia="Century Schoolbook" w:cs="Century Schoolbook"/>
          <w:szCs w:val="26"/>
        </w:rPr>
        <w:t>n</w:t>
      </w:r>
      <w:r w:rsidRPr="00295B9F" w:rsidR="00D80F4A">
        <w:rPr>
          <w:rFonts w:eastAsia="Century Schoolbook" w:cs="Century Schoolbook"/>
          <w:szCs w:val="26"/>
        </w:rPr>
        <w:t xml:space="preserve"> expert </w:t>
      </w:r>
      <w:r w:rsidRPr="00295B9F" w:rsidR="008738FE">
        <w:rPr>
          <w:rFonts w:eastAsia="Century Schoolbook" w:cs="Century Schoolbook"/>
          <w:szCs w:val="26"/>
        </w:rPr>
        <w:t>o</w:t>
      </w:r>
      <w:r w:rsidRPr="00295B9F" w:rsidR="00D80F4A">
        <w:rPr>
          <w:rFonts w:eastAsia="Century Schoolbook" w:cs="Century Schoolbook"/>
          <w:szCs w:val="26"/>
        </w:rPr>
        <w:t>n the federal enclave doctrine.</w:t>
      </w:r>
      <w:r w:rsidRPr="00295B9F" w:rsidR="00DF2AD2">
        <w:rPr>
          <w:rFonts w:eastAsia="Century Schoolbook" w:cs="Century Schoolbook"/>
          <w:szCs w:val="26"/>
        </w:rPr>
        <w:t xml:space="preserve"> Based on the testimony of both </w:t>
      </w:r>
      <w:r w:rsidRPr="00295B9F" w:rsidR="006101C3">
        <w:rPr>
          <w:rFonts w:eastAsia="Century Schoolbook" w:cs="Century Schoolbook"/>
          <w:szCs w:val="26"/>
        </w:rPr>
        <w:t>witnesse</w:t>
      </w:r>
      <w:r w:rsidRPr="00295B9F" w:rsidR="00DF2AD2">
        <w:rPr>
          <w:rFonts w:eastAsia="Century Schoolbook" w:cs="Century Schoolbook"/>
          <w:szCs w:val="26"/>
        </w:rPr>
        <w:t>s, the trial court identified three properties that may be partly or wholly a federal enclave.</w:t>
      </w:r>
      <w:r w:rsidRPr="00295B9F" w:rsidR="0031597E">
        <w:rPr>
          <w:rFonts w:eastAsia="Century Schoolbook" w:cs="Century Schoolbook"/>
          <w:szCs w:val="26"/>
        </w:rPr>
        <w:t xml:space="preserve"> With respect to the first property, both </w:t>
      </w:r>
      <w:r w:rsidRPr="00295B9F" w:rsidR="008C52A3">
        <w:rPr>
          <w:rFonts w:eastAsia="Century Schoolbook" w:cs="Century Schoolbook"/>
          <w:szCs w:val="26"/>
        </w:rPr>
        <w:t>witnesses agreed a portion of the property was owned by the federal government prior to 1</w:t>
      </w:r>
      <w:r w:rsidRPr="00295B9F" w:rsidR="0097624C">
        <w:rPr>
          <w:rFonts w:eastAsia="Century Schoolbook" w:cs="Century Schoolbook"/>
          <w:szCs w:val="26"/>
        </w:rPr>
        <w:t>9</w:t>
      </w:r>
      <w:r w:rsidRPr="00295B9F" w:rsidR="008C52A3">
        <w:rPr>
          <w:rFonts w:eastAsia="Century Schoolbook" w:cs="Century Schoolbook"/>
          <w:szCs w:val="26"/>
        </w:rPr>
        <w:t xml:space="preserve">40, but neither witness could determine </w:t>
      </w:r>
      <w:r w:rsidRPr="00295B9F" w:rsidR="0097624C">
        <w:rPr>
          <w:rFonts w:eastAsia="Century Schoolbook" w:cs="Century Schoolbook"/>
          <w:szCs w:val="26"/>
        </w:rPr>
        <w:t xml:space="preserve">which portion of the property. Regarding the second property, </w:t>
      </w:r>
      <w:r w:rsidRPr="00295B9F" w:rsidR="00490087">
        <w:rPr>
          <w:rFonts w:eastAsia="Century Schoolbook" w:cs="Century Schoolbook"/>
          <w:szCs w:val="26"/>
        </w:rPr>
        <w:t>both witnesses agreed it was a federal enclave but the court concluded “testimony also indicated that this specific location was no longer in use.”</w:t>
      </w:r>
      <w:r w:rsidRPr="00295B9F" w:rsidR="00DC0244">
        <w:rPr>
          <w:rFonts w:eastAsia="Century Schoolbook" w:cs="Century Schoolbook"/>
          <w:szCs w:val="26"/>
        </w:rPr>
        <w:t xml:space="preserve"> Finally, the witnesses again agreed that a third property was a federal enclave, but </w:t>
      </w:r>
      <w:r w:rsidRPr="00295B9F" w:rsidR="00C752CC">
        <w:rPr>
          <w:rFonts w:eastAsia="Century Schoolbook" w:cs="Century Schoolbook"/>
          <w:szCs w:val="26"/>
        </w:rPr>
        <w:t xml:space="preserve">that the state ceded concurrent jurisdiction over that location. Based on this evidence, the court found Spectrum </w:t>
      </w:r>
      <w:r w:rsidRPr="00295B9F">
        <w:rPr>
          <w:rFonts w:eastAsia="Century Schoolbook" w:cs="Century Schoolbook"/>
          <w:szCs w:val="26"/>
        </w:rPr>
        <w:t>“</w:t>
      </w:r>
      <w:r w:rsidRPr="00295B9F" w:rsidR="00C752CC">
        <w:rPr>
          <w:rFonts w:eastAsia="Century Schoolbook" w:cs="Century Schoolbook"/>
          <w:szCs w:val="26"/>
        </w:rPr>
        <w:t xml:space="preserve">failed to carry its burden </w:t>
      </w:r>
      <w:r w:rsidRPr="00295B9F">
        <w:rPr>
          <w:rFonts w:eastAsia="Century Schoolbook" w:cs="Century Schoolbook"/>
          <w:szCs w:val="26"/>
        </w:rPr>
        <w:t xml:space="preserve">to establish that any of the locations at issue are federal enclaves over which the federal government asserts exclusive jurisdiction such that state law does not apply .  . . .” That the defense was ultimately unsuccessful, however, </w:t>
      </w:r>
      <w:r w:rsidRPr="00295B9F" w:rsidR="00F2633E">
        <w:rPr>
          <w:rFonts w:eastAsia="Century Schoolbook" w:cs="Century Schoolbook"/>
          <w:szCs w:val="26"/>
        </w:rPr>
        <w:t xml:space="preserve">does </w:t>
      </w:r>
      <w:r w:rsidRPr="00295B9F">
        <w:rPr>
          <w:rFonts w:eastAsia="Century Schoolbook" w:cs="Century Schoolbook"/>
          <w:szCs w:val="26"/>
        </w:rPr>
        <w:t>“</w:t>
      </w:r>
      <w:r w:rsidRPr="00295B9F">
        <w:rPr>
          <w:color w:val="000000"/>
          <w:sz w:val="27"/>
          <w:szCs w:val="27"/>
          <w:shd w:val="clear" w:color="auto" w:fill="FFFFFF"/>
        </w:rPr>
        <w:t>not preclude a finding that a good faith dispute did exist.” (</w:t>
      </w:r>
      <w:r w:rsidRPr="00295B9F">
        <w:rPr>
          <w:rFonts w:eastAsia="Century Schoolbook" w:cs="Century Schoolbook"/>
          <w:szCs w:val="26"/>
        </w:rPr>
        <w:t>Cal. Code Regs., tit. 8, § 13520.)</w:t>
      </w:r>
      <w:r w:rsidRPr="00295B9F">
        <w:rPr>
          <w:color w:val="000000"/>
          <w:sz w:val="27"/>
          <w:szCs w:val="27"/>
          <w:shd w:val="clear" w:color="auto" w:fill="FFFFFF"/>
        </w:rPr>
        <w:t> </w:t>
      </w:r>
    </w:p>
    <w:p w:rsidR="00585C26" w:rsidRPr="00295B9F" w:rsidP="00D10B84" w14:paraId="2AA33661" w14:textId="4564F3C4">
      <w:pPr>
        <w:ind w:firstLine="720"/>
        <w:rPr>
          <w:rFonts w:eastAsia="Century Schoolbook" w:cs="Century Schoolbook"/>
          <w:szCs w:val="26"/>
        </w:rPr>
      </w:pPr>
      <w:r w:rsidRPr="00295B9F">
        <w:rPr>
          <w:rFonts w:eastAsia="Century Schoolbook" w:cs="Century Schoolbook"/>
          <w:szCs w:val="26"/>
        </w:rPr>
        <w:t>In</w:t>
      </w:r>
      <w:r w:rsidRPr="00295B9F" w:rsidR="005763CF">
        <w:rPr>
          <w:rFonts w:eastAsia="Century Schoolbook" w:cs="Century Schoolbook"/>
          <w:szCs w:val="26"/>
        </w:rPr>
        <w:t xml:space="preserve"> addition to its federal enclave defense, Spectrum also argued </w:t>
      </w:r>
      <w:r w:rsidRPr="00295B9F" w:rsidR="008F56C7">
        <w:rPr>
          <w:rFonts w:eastAsia="Century Schoolbook" w:cs="Century Schoolbook"/>
          <w:szCs w:val="26"/>
        </w:rPr>
        <w:t xml:space="preserve">state regulation does not apply to Spectrum officers without express congressional authorization under the intergovernmental immunity doctrine. </w:t>
      </w:r>
      <w:r w:rsidRPr="00295B9F" w:rsidR="003B52E9">
        <w:rPr>
          <w:rFonts w:eastAsia="Century Schoolbook" w:cs="Century Schoolbook"/>
          <w:szCs w:val="26"/>
        </w:rPr>
        <w:t>I</w:t>
      </w:r>
      <w:r w:rsidRPr="00295B9F" w:rsidR="00F63C93">
        <w:rPr>
          <w:rFonts w:eastAsia="Century Schoolbook" w:cs="Century Schoolbook"/>
          <w:szCs w:val="26"/>
        </w:rPr>
        <w:t>n</w:t>
      </w:r>
      <w:r w:rsidRPr="00295B9F" w:rsidR="003B52E9">
        <w:rPr>
          <w:rFonts w:eastAsia="Century Schoolbook" w:cs="Century Schoolbook"/>
          <w:szCs w:val="26"/>
        </w:rPr>
        <w:t xml:space="preserve"> its trial brief, </w:t>
      </w:r>
      <w:r w:rsidRPr="00295B9F" w:rsidR="00EC70FF">
        <w:rPr>
          <w:rFonts w:eastAsia="Century Schoolbook" w:cs="Century Schoolbook"/>
          <w:szCs w:val="26"/>
        </w:rPr>
        <w:t>Spectrum</w:t>
      </w:r>
      <w:r w:rsidRPr="00295B9F" w:rsidR="003B52E9">
        <w:rPr>
          <w:rFonts w:eastAsia="Century Schoolbook" w:cs="Century Schoolbook"/>
          <w:szCs w:val="26"/>
        </w:rPr>
        <w:t xml:space="preserve"> cited case law for the proposition that “a federally owned facility performing a federal function is shielded f</w:t>
      </w:r>
      <w:r w:rsidRPr="00295B9F" w:rsidR="00F63C93">
        <w:rPr>
          <w:rFonts w:eastAsia="Century Schoolbook" w:cs="Century Schoolbook"/>
          <w:szCs w:val="26"/>
        </w:rPr>
        <w:t>ro</w:t>
      </w:r>
      <w:r w:rsidRPr="00295B9F" w:rsidR="003B52E9">
        <w:rPr>
          <w:rFonts w:eastAsia="Century Schoolbook" w:cs="Century Schoolbook"/>
          <w:szCs w:val="26"/>
        </w:rPr>
        <w:t>m direct state regulation, even though the federal function is carried out by a p</w:t>
      </w:r>
      <w:r w:rsidRPr="00295B9F" w:rsidR="002B7F1B">
        <w:rPr>
          <w:rFonts w:eastAsia="Century Schoolbook" w:cs="Century Schoolbook"/>
          <w:szCs w:val="26"/>
        </w:rPr>
        <w:t>rivat</w:t>
      </w:r>
      <w:r w:rsidRPr="00295B9F" w:rsidR="003B52E9">
        <w:rPr>
          <w:rFonts w:eastAsia="Century Schoolbook" w:cs="Century Schoolbook"/>
          <w:szCs w:val="26"/>
        </w:rPr>
        <w:t xml:space="preserve">e contractor, unless Congress clearly </w:t>
      </w:r>
      <w:r w:rsidRPr="00295B9F" w:rsidR="002B7F1B">
        <w:rPr>
          <w:rFonts w:eastAsia="Century Schoolbook" w:cs="Century Schoolbook"/>
          <w:szCs w:val="26"/>
        </w:rPr>
        <w:t>authorizes</w:t>
      </w:r>
      <w:r w:rsidRPr="00295B9F" w:rsidR="003B52E9">
        <w:rPr>
          <w:rFonts w:eastAsia="Century Schoolbook" w:cs="Century Schoolbook"/>
          <w:szCs w:val="26"/>
        </w:rPr>
        <w:t xml:space="preserve"> such regulation.”</w:t>
      </w:r>
      <w:r w:rsidRPr="00295B9F" w:rsidR="002B7F1B">
        <w:rPr>
          <w:rFonts w:eastAsia="Century Schoolbook" w:cs="Century Schoolbook"/>
          <w:szCs w:val="26"/>
        </w:rPr>
        <w:t xml:space="preserve"> </w:t>
      </w:r>
      <w:r w:rsidRPr="00295B9F" w:rsidR="00311777">
        <w:rPr>
          <w:rFonts w:eastAsia="Century Schoolbook" w:cs="Century Schoolbook"/>
          <w:szCs w:val="26"/>
        </w:rPr>
        <w:t xml:space="preserve">During </w:t>
      </w:r>
      <w:r w:rsidRPr="00295B9F" w:rsidR="00D02370">
        <w:rPr>
          <w:rFonts w:eastAsia="Century Schoolbook" w:cs="Century Schoolbook"/>
          <w:szCs w:val="26"/>
        </w:rPr>
        <w:t>the first phase of</w:t>
      </w:r>
      <w:r w:rsidRPr="00295B9F" w:rsidR="00311777">
        <w:rPr>
          <w:rFonts w:eastAsia="Century Schoolbook" w:cs="Century Schoolbook"/>
          <w:szCs w:val="26"/>
        </w:rPr>
        <w:t xml:space="preserve"> trial,</w:t>
      </w:r>
      <w:r w:rsidRPr="00295B9F" w:rsidR="003B0EA8">
        <w:rPr>
          <w:rFonts w:eastAsia="Century Schoolbook" w:cs="Century Schoolbook"/>
          <w:szCs w:val="26"/>
        </w:rPr>
        <w:t xml:space="preserve"> </w:t>
      </w:r>
      <w:r w:rsidRPr="00295B9F" w:rsidR="00210B9B">
        <w:rPr>
          <w:rFonts w:eastAsia="Century Schoolbook" w:cs="Century Schoolbook"/>
          <w:szCs w:val="26"/>
        </w:rPr>
        <w:t xml:space="preserve">Spectrum offered the testimony of </w:t>
      </w:r>
      <w:r w:rsidRPr="00295B9F" w:rsidR="00197467">
        <w:rPr>
          <w:rFonts w:eastAsia="Century Schoolbook" w:cs="Century Schoolbook"/>
          <w:szCs w:val="26"/>
        </w:rPr>
        <w:t xml:space="preserve">Spectrum’s </w:t>
      </w:r>
      <w:r w:rsidRPr="00295B9F" w:rsidR="003F5979">
        <w:rPr>
          <w:rFonts w:eastAsia="Century Schoolbook" w:cs="Century Schoolbook"/>
          <w:szCs w:val="26"/>
        </w:rPr>
        <w:t>vice president</w:t>
      </w:r>
      <w:r w:rsidRPr="00295B9F" w:rsidR="00197467">
        <w:rPr>
          <w:rFonts w:eastAsia="Century Schoolbook" w:cs="Century Schoolbook"/>
          <w:szCs w:val="26"/>
        </w:rPr>
        <w:t xml:space="preserve"> and </w:t>
      </w:r>
      <w:r w:rsidRPr="00295B9F" w:rsidR="00917A17">
        <w:rPr>
          <w:rFonts w:eastAsia="Century Schoolbook" w:cs="Century Schoolbook"/>
          <w:szCs w:val="26"/>
        </w:rPr>
        <w:t>p</w:t>
      </w:r>
      <w:r w:rsidRPr="00295B9F" w:rsidR="00197467">
        <w:rPr>
          <w:rFonts w:eastAsia="Century Schoolbook" w:cs="Century Schoolbook"/>
          <w:szCs w:val="26"/>
        </w:rPr>
        <w:t xml:space="preserve">ersonnel </w:t>
      </w:r>
      <w:r w:rsidRPr="00295B9F" w:rsidR="00917A17">
        <w:rPr>
          <w:rFonts w:eastAsia="Century Schoolbook" w:cs="Century Schoolbook"/>
          <w:szCs w:val="26"/>
        </w:rPr>
        <w:t>m</w:t>
      </w:r>
      <w:r w:rsidRPr="00295B9F" w:rsidR="00197467">
        <w:rPr>
          <w:rFonts w:eastAsia="Century Schoolbook" w:cs="Century Schoolbook"/>
          <w:szCs w:val="26"/>
        </w:rPr>
        <w:t>anager</w:t>
      </w:r>
      <w:r w:rsidRPr="00295B9F" w:rsidR="00917A17">
        <w:rPr>
          <w:rFonts w:eastAsia="Century Schoolbook" w:cs="Century Schoolbook"/>
          <w:szCs w:val="26"/>
        </w:rPr>
        <w:t>, John Oden.</w:t>
      </w:r>
      <w:r w:rsidRPr="00295B9F" w:rsidR="00AD2044">
        <w:rPr>
          <w:rFonts w:eastAsia="Century Schoolbook" w:cs="Century Schoolbook"/>
          <w:szCs w:val="26"/>
        </w:rPr>
        <w:t xml:space="preserve"> He testified “Spectrum guards federal prisoners or detainees f</w:t>
      </w:r>
      <w:r w:rsidRPr="00295B9F" w:rsidR="003704EE">
        <w:rPr>
          <w:rFonts w:eastAsia="Century Schoolbook" w:cs="Century Schoolbook"/>
          <w:szCs w:val="26"/>
        </w:rPr>
        <w:t>ro</w:t>
      </w:r>
      <w:r w:rsidRPr="00295B9F" w:rsidR="00AD2044">
        <w:rPr>
          <w:rFonts w:eastAsia="Century Schoolbook" w:cs="Century Schoolbook"/>
          <w:szCs w:val="26"/>
        </w:rPr>
        <w:t>m the time they’re taken f</w:t>
      </w:r>
      <w:r w:rsidRPr="00295B9F" w:rsidR="003704EE">
        <w:rPr>
          <w:rFonts w:eastAsia="Century Schoolbook" w:cs="Century Schoolbook"/>
          <w:szCs w:val="26"/>
        </w:rPr>
        <w:t>ro</w:t>
      </w:r>
      <w:r w:rsidRPr="00295B9F" w:rsidR="00AD2044">
        <w:rPr>
          <w:rFonts w:eastAsia="Century Schoolbook" w:cs="Century Schoolbook"/>
          <w:szCs w:val="26"/>
        </w:rPr>
        <w:t>m the agency until the time they’re returned.”</w:t>
      </w:r>
      <w:r w:rsidRPr="00295B9F" w:rsidR="0029101A">
        <w:rPr>
          <w:rFonts w:eastAsia="Century Schoolbook" w:cs="Century Schoolbook"/>
          <w:szCs w:val="26"/>
        </w:rPr>
        <w:t xml:space="preserve"> </w:t>
      </w:r>
      <w:r w:rsidRPr="00295B9F" w:rsidR="002031FC">
        <w:rPr>
          <w:rFonts w:eastAsia="Century Schoolbook" w:cs="Century Schoolbook"/>
          <w:szCs w:val="26"/>
        </w:rPr>
        <w:t>He further testified that “all of the contracts that Spectrum works under are with federal agencies</w:t>
      </w:r>
      <w:r w:rsidRPr="00295B9F" w:rsidR="00B94600">
        <w:rPr>
          <w:rFonts w:eastAsia="Century Schoolbook" w:cs="Century Schoolbook"/>
          <w:szCs w:val="26"/>
        </w:rPr>
        <w:t>”</w:t>
      </w:r>
      <w:r w:rsidRPr="00295B9F" w:rsidR="00B26A27">
        <w:rPr>
          <w:rFonts w:eastAsia="Century Schoolbook" w:cs="Century Schoolbook"/>
          <w:szCs w:val="26"/>
        </w:rPr>
        <w:t xml:space="preserve"> and “the contract</w:t>
      </w:r>
      <w:r w:rsidRPr="00295B9F" w:rsidR="0035397B">
        <w:rPr>
          <w:rFonts w:eastAsia="Century Schoolbook" w:cs="Century Schoolbook"/>
          <w:szCs w:val="26"/>
        </w:rPr>
        <w:t>s</w:t>
      </w:r>
      <w:r w:rsidRPr="00295B9F" w:rsidR="00B26A27">
        <w:rPr>
          <w:rFonts w:eastAsia="Century Schoolbook" w:cs="Century Schoolbook"/>
          <w:szCs w:val="26"/>
        </w:rPr>
        <w:t xml:space="preserve"> with the federal agencies give [Spectrum </w:t>
      </w:r>
      <w:r w:rsidRPr="00295B9F" w:rsidR="00AE03A4">
        <w:rPr>
          <w:rFonts w:eastAsia="Century Schoolbook" w:cs="Century Schoolbook"/>
          <w:szCs w:val="26"/>
        </w:rPr>
        <w:t>guards] the authority to take custody of the prisoners that [Spectrum] guard</w:t>
      </w:r>
      <w:r w:rsidRPr="00295B9F" w:rsidR="007B6F10">
        <w:rPr>
          <w:rFonts w:eastAsia="Century Schoolbook" w:cs="Century Schoolbook"/>
          <w:szCs w:val="26"/>
        </w:rPr>
        <w:t>[</w:t>
      </w:r>
      <w:r w:rsidRPr="00295B9F" w:rsidR="00AE03A4">
        <w:rPr>
          <w:rFonts w:eastAsia="Century Schoolbook" w:cs="Century Schoolbook"/>
          <w:szCs w:val="26"/>
        </w:rPr>
        <w:t>s</w:t>
      </w:r>
      <w:r w:rsidRPr="00295B9F" w:rsidR="007B6F10">
        <w:rPr>
          <w:rFonts w:eastAsia="Century Schoolbook" w:cs="Century Schoolbook"/>
          <w:szCs w:val="26"/>
        </w:rPr>
        <w:t>]</w:t>
      </w:r>
      <w:r w:rsidRPr="00295B9F" w:rsidR="00AE03A4">
        <w:rPr>
          <w:rFonts w:eastAsia="Century Schoolbook" w:cs="Century Schoolbook"/>
          <w:szCs w:val="26"/>
        </w:rPr>
        <w:t>.”</w:t>
      </w:r>
      <w:r w:rsidRPr="00295B9F" w:rsidR="00B94600">
        <w:rPr>
          <w:rFonts w:eastAsia="Century Schoolbook" w:cs="Century Schoolbook"/>
          <w:szCs w:val="26"/>
        </w:rPr>
        <w:t xml:space="preserve"> </w:t>
      </w:r>
      <w:r w:rsidRPr="00295B9F" w:rsidR="00680146">
        <w:rPr>
          <w:rFonts w:eastAsia="Century Schoolbook" w:cs="Century Schoolbook"/>
          <w:szCs w:val="26"/>
        </w:rPr>
        <w:t>The record demonstrates, therefore, that Spectrum’s defenses were not “unsupported by any evidence.”</w:t>
      </w:r>
      <w:r w:rsidRPr="00295B9F" w:rsidR="00536DCD">
        <w:rPr>
          <w:rFonts w:eastAsia="Century Schoolbook" w:cs="Century Schoolbook"/>
          <w:szCs w:val="26"/>
        </w:rPr>
        <w:t xml:space="preserve"> Rather, the trial court, after weighing the evidence presented at trial and </w:t>
      </w:r>
      <w:r w:rsidRPr="00295B9F" w:rsidR="00A55732">
        <w:rPr>
          <w:rFonts w:eastAsia="Century Schoolbook" w:cs="Century Schoolbook"/>
          <w:szCs w:val="26"/>
        </w:rPr>
        <w:t xml:space="preserve">reviewing the law in the parties’ respective trial briefs, </w:t>
      </w:r>
      <w:r w:rsidRPr="00295B9F" w:rsidR="0067159A">
        <w:rPr>
          <w:rFonts w:eastAsia="Century Schoolbook" w:cs="Century Schoolbook"/>
          <w:szCs w:val="26"/>
        </w:rPr>
        <w:t>held</w:t>
      </w:r>
      <w:r w:rsidRPr="00295B9F" w:rsidR="00A55732">
        <w:rPr>
          <w:rFonts w:eastAsia="Century Schoolbook" w:cs="Century Schoolbook"/>
          <w:szCs w:val="26"/>
        </w:rPr>
        <w:t xml:space="preserve"> Spectrum “has not carried its burden on the facts o</w:t>
      </w:r>
      <w:r w:rsidRPr="00295B9F" w:rsidR="00123F1C">
        <w:rPr>
          <w:rFonts w:eastAsia="Century Schoolbook" w:cs="Century Schoolbook"/>
          <w:szCs w:val="26"/>
        </w:rPr>
        <w:t>r</w:t>
      </w:r>
      <w:r w:rsidRPr="00295B9F" w:rsidR="00A55732">
        <w:rPr>
          <w:rFonts w:eastAsia="Century Schoolbook" w:cs="Century Schoolbook"/>
          <w:szCs w:val="26"/>
        </w:rPr>
        <w:t xml:space="preserve"> the law as to the affirmative defenses that </w:t>
      </w:r>
      <w:r w:rsidR="00FF601D">
        <w:rPr>
          <w:rFonts w:eastAsia="Century Schoolbook" w:cs="Century Schoolbook"/>
          <w:szCs w:val="26"/>
        </w:rPr>
        <w:t>[had been]</w:t>
      </w:r>
      <w:r w:rsidRPr="00295B9F" w:rsidR="00A55732">
        <w:rPr>
          <w:rFonts w:eastAsia="Century Schoolbook" w:cs="Century Schoolbook"/>
          <w:szCs w:val="26"/>
        </w:rPr>
        <w:t xml:space="preserve"> adjudicated or were presented to the court in this phase of the </w:t>
      </w:r>
      <w:r w:rsidRPr="00295B9F" w:rsidR="00796615">
        <w:rPr>
          <w:rFonts w:eastAsia="Century Schoolbook" w:cs="Century Schoolbook"/>
          <w:szCs w:val="26"/>
        </w:rPr>
        <w:t>proceedings</w:t>
      </w:r>
      <w:r w:rsidRPr="00295B9F" w:rsidR="00A55732">
        <w:rPr>
          <w:rFonts w:eastAsia="Century Schoolbook" w:cs="Century Schoolbook"/>
          <w:szCs w:val="26"/>
        </w:rPr>
        <w:t>.”</w:t>
      </w:r>
    </w:p>
    <w:p w:rsidR="000818CB" w:rsidRPr="00295B9F" w:rsidP="00412FE9" w14:paraId="77589CF8" w14:textId="33292787">
      <w:pPr>
        <w:ind w:firstLine="720"/>
        <w:rPr>
          <w:rFonts w:eastAsia="Century Schoolbook" w:cs="Century Schoolbook"/>
          <w:szCs w:val="26"/>
        </w:rPr>
      </w:pPr>
      <w:r w:rsidRPr="00295B9F">
        <w:rPr>
          <w:rFonts w:eastAsia="Century Schoolbook" w:cs="Century Schoolbook"/>
          <w:szCs w:val="26"/>
        </w:rPr>
        <w:t xml:space="preserve">Accordingly, </w:t>
      </w:r>
      <w:r w:rsidRPr="00295B9F" w:rsidR="00366E8C">
        <w:rPr>
          <w:rFonts w:eastAsia="Century Schoolbook" w:cs="Century Schoolbook"/>
          <w:szCs w:val="26"/>
        </w:rPr>
        <w:t>we conclude substantial evidence supports</w:t>
      </w:r>
      <w:r w:rsidRPr="00295B9F">
        <w:rPr>
          <w:rFonts w:eastAsia="Century Schoolbook" w:cs="Century Schoolbook"/>
          <w:szCs w:val="26"/>
        </w:rPr>
        <w:t xml:space="preserve"> </w:t>
      </w:r>
      <w:r w:rsidRPr="00295B9F" w:rsidR="006A0A0C">
        <w:rPr>
          <w:rFonts w:eastAsia="Century Schoolbook" w:cs="Century Schoolbook"/>
          <w:szCs w:val="26"/>
        </w:rPr>
        <w:t>the trial court’s finding that Spectrum’s defenses were presented in good faith</w:t>
      </w:r>
      <w:r w:rsidRPr="00295B9F" w:rsidR="0083595C">
        <w:rPr>
          <w:rFonts w:eastAsia="Century Schoolbook" w:cs="Century Schoolbook"/>
          <w:szCs w:val="26"/>
        </w:rPr>
        <w:t>,</w:t>
      </w:r>
      <w:r w:rsidRPr="00295B9F" w:rsidR="006A0A0C">
        <w:rPr>
          <w:rFonts w:eastAsia="Century Schoolbook" w:cs="Century Schoolbook"/>
          <w:szCs w:val="26"/>
        </w:rPr>
        <w:t xml:space="preserve"> and were not unreasonable or unsupported by the evidence. </w:t>
      </w:r>
      <w:r w:rsidRPr="00295B9F" w:rsidR="004B43CA">
        <w:rPr>
          <w:rFonts w:eastAsia="Century Schoolbook" w:cs="Century Schoolbook"/>
          <w:szCs w:val="26"/>
        </w:rPr>
        <w:t xml:space="preserve">The trial court, therefore, </w:t>
      </w:r>
      <w:r w:rsidRPr="00295B9F" w:rsidR="00FD5D0F">
        <w:rPr>
          <w:rFonts w:eastAsia="Century Schoolbook" w:cs="Century Schoolbook"/>
          <w:szCs w:val="26"/>
        </w:rPr>
        <w:t>properly denied</w:t>
      </w:r>
      <w:r w:rsidRPr="00295B9F" w:rsidR="004B43CA">
        <w:rPr>
          <w:rFonts w:eastAsia="Century Schoolbook" w:cs="Century Schoolbook"/>
          <w:szCs w:val="26"/>
        </w:rPr>
        <w:t xml:space="preserve"> </w:t>
      </w:r>
      <w:r w:rsidRPr="00295B9F" w:rsidR="00CB361C">
        <w:rPr>
          <w:rFonts w:eastAsia="Century Schoolbook" w:cs="Century Schoolbook"/>
          <w:szCs w:val="26"/>
        </w:rPr>
        <w:t>waiting time penalties under section 203</w:t>
      </w:r>
      <w:r w:rsidRPr="00295B9F" w:rsidR="0056190C">
        <w:rPr>
          <w:rFonts w:eastAsia="Century Schoolbook" w:cs="Century Schoolbook"/>
          <w:szCs w:val="26"/>
        </w:rPr>
        <w:t xml:space="preserve"> based on its finding that Spectrum did not “willfully” fail to </w:t>
      </w:r>
      <w:r w:rsidRPr="00295B9F" w:rsidR="00A1241F">
        <w:rPr>
          <w:rFonts w:eastAsia="Century Schoolbook" w:cs="Century Schoolbook"/>
          <w:szCs w:val="26"/>
        </w:rPr>
        <w:t>pay timely wages.</w:t>
      </w:r>
    </w:p>
    <w:p w:rsidR="00577DFA" w:rsidRPr="00295B9F" w:rsidP="00412FE9" w14:paraId="550B9AE7" w14:textId="3DCE6244">
      <w:pPr>
        <w:numPr>
          <w:ilvl w:val="0"/>
          <w:numId w:val="27"/>
        </w:numPr>
        <w:spacing w:before="160" w:after="160"/>
        <w:ind w:left="720" w:hanging="720"/>
        <w:rPr>
          <w:rFonts w:eastAsia="Times New Roman"/>
          <w:b/>
          <w:bCs/>
          <w:kern w:val="2"/>
          <w:szCs w:val="26"/>
        </w:rPr>
      </w:pPr>
      <w:r w:rsidRPr="00295B9F">
        <w:rPr>
          <w:rFonts w:eastAsia="Times New Roman"/>
          <w:b/>
          <w:bCs/>
          <w:kern w:val="2"/>
          <w:szCs w:val="26"/>
        </w:rPr>
        <w:t xml:space="preserve">Spectrum’s Failure to </w:t>
      </w:r>
      <w:r w:rsidRPr="00295B9F" w:rsidR="00813757">
        <w:rPr>
          <w:rFonts w:eastAsia="Times New Roman"/>
          <w:b/>
          <w:bCs/>
          <w:kern w:val="2"/>
          <w:szCs w:val="26"/>
        </w:rPr>
        <w:t xml:space="preserve">Include Meal Premium Pay </w:t>
      </w:r>
      <w:r w:rsidRPr="00295B9F" w:rsidR="00F72256">
        <w:rPr>
          <w:rFonts w:eastAsia="Times New Roman"/>
          <w:b/>
          <w:bCs/>
          <w:kern w:val="2"/>
          <w:szCs w:val="26"/>
        </w:rPr>
        <w:t>o</w:t>
      </w:r>
      <w:r w:rsidRPr="00295B9F" w:rsidR="00813757">
        <w:rPr>
          <w:rFonts w:eastAsia="Times New Roman"/>
          <w:b/>
          <w:bCs/>
          <w:kern w:val="2"/>
          <w:szCs w:val="26"/>
        </w:rPr>
        <w:t xml:space="preserve">n </w:t>
      </w:r>
      <w:r w:rsidRPr="00295B9F" w:rsidR="006E7E16">
        <w:rPr>
          <w:rFonts w:eastAsia="Times New Roman"/>
          <w:b/>
          <w:bCs/>
          <w:kern w:val="2"/>
          <w:szCs w:val="26"/>
        </w:rPr>
        <w:t xml:space="preserve">Employees’ </w:t>
      </w:r>
      <w:r w:rsidRPr="00295B9F" w:rsidR="00813757">
        <w:rPr>
          <w:rFonts w:eastAsia="Times New Roman"/>
          <w:b/>
          <w:bCs/>
          <w:kern w:val="2"/>
          <w:szCs w:val="26"/>
        </w:rPr>
        <w:t>Wage Statements Was Not “K</w:t>
      </w:r>
      <w:r w:rsidRPr="00295B9F" w:rsidR="00252678">
        <w:rPr>
          <w:rFonts w:eastAsia="Times New Roman"/>
          <w:b/>
          <w:bCs/>
          <w:kern w:val="2"/>
          <w:szCs w:val="26"/>
        </w:rPr>
        <w:t xml:space="preserve">nowing and </w:t>
      </w:r>
      <w:r w:rsidRPr="00295B9F" w:rsidR="00813757">
        <w:rPr>
          <w:rFonts w:eastAsia="Times New Roman"/>
          <w:b/>
          <w:bCs/>
          <w:kern w:val="2"/>
          <w:szCs w:val="26"/>
        </w:rPr>
        <w:t>I</w:t>
      </w:r>
      <w:r w:rsidRPr="00295B9F" w:rsidR="00252678">
        <w:rPr>
          <w:rFonts w:eastAsia="Times New Roman"/>
          <w:b/>
          <w:bCs/>
          <w:kern w:val="2"/>
          <w:szCs w:val="26"/>
        </w:rPr>
        <w:t>ntentional</w:t>
      </w:r>
      <w:r w:rsidRPr="00295B9F" w:rsidR="00813757">
        <w:rPr>
          <w:rFonts w:eastAsia="Times New Roman"/>
          <w:b/>
          <w:bCs/>
          <w:kern w:val="2"/>
          <w:szCs w:val="26"/>
        </w:rPr>
        <w:t>”</w:t>
      </w:r>
    </w:p>
    <w:p w:rsidR="008D1182" w:rsidRPr="00295B9F" w:rsidP="00D81054" w14:paraId="2EAC21BE" w14:textId="6C7950D2">
      <w:pPr>
        <w:ind w:firstLine="720"/>
        <w:rPr>
          <w:rFonts w:eastAsia="Times New Roman"/>
          <w:kern w:val="2"/>
          <w:szCs w:val="26"/>
        </w:rPr>
      </w:pPr>
      <w:r w:rsidRPr="00295B9F">
        <w:rPr>
          <w:rFonts w:eastAsia="Times New Roman"/>
          <w:kern w:val="2"/>
          <w:szCs w:val="26"/>
        </w:rPr>
        <w:t>Section 226, subdivision (a) requires employers to provide wage statements to employees with specific items of information listed in the statute.</w:t>
      </w:r>
      <w:r w:rsidRPr="00295B9F" w:rsidR="00B540BB">
        <w:rPr>
          <w:rFonts w:eastAsia="Times New Roman"/>
          <w:kern w:val="2"/>
          <w:szCs w:val="26"/>
        </w:rPr>
        <w:t xml:space="preserve"> </w:t>
      </w:r>
      <w:r w:rsidRPr="00295B9F" w:rsidR="00440A8E">
        <w:rPr>
          <w:rFonts w:eastAsia="Times New Roman"/>
          <w:kern w:val="2"/>
          <w:szCs w:val="26"/>
        </w:rPr>
        <w:t xml:space="preserve">“An employee suffering injury as a result of a knowing and intentional failure by an employer to comply with subdivision (a)” </w:t>
      </w:r>
      <w:r w:rsidRPr="00295B9F" w:rsidR="003A01D6">
        <w:rPr>
          <w:rFonts w:eastAsia="Times New Roman"/>
          <w:kern w:val="2"/>
          <w:szCs w:val="26"/>
        </w:rPr>
        <w:t>is entitled</w:t>
      </w:r>
      <w:r w:rsidRPr="00295B9F" w:rsidR="00440A8E">
        <w:rPr>
          <w:rFonts w:eastAsia="Times New Roman"/>
          <w:kern w:val="2"/>
          <w:szCs w:val="26"/>
        </w:rPr>
        <w:t xml:space="preserve"> to recover the greater of actual damages or statutory penalties. </w:t>
      </w:r>
      <w:r w:rsidRPr="00295B9F" w:rsidR="003A01D6">
        <w:rPr>
          <w:rFonts w:eastAsia="Times New Roman"/>
          <w:kern w:val="2"/>
          <w:szCs w:val="26"/>
        </w:rPr>
        <w:t>(</w:t>
      </w:r>
      <w:r w:rsidRPr="00295B9F" w:rsidR="00440A8E">
        <w:rPr>
          <w:rFonts w:eastAsia="Times New Roman"/>
          <w:kern w:val="2"/>
          <w:szCs w:val="26"/>
        </w:rPr>
        <w:t>§ 226</w:t>
      </w:r>
      <w:r w:rsidR="00FF601D">
        <w:rPr>
          <w:rFonts w:eastAsia="Times New Roman"/>
          <w:kern w:val="2"/>
          <w:szCs w:val="26"/>
        </w:rPr>
        <w:t xml:space="preserve">, subd. </w:t>
      </w:r>
      <w:r w:rsidRPr="00295B9F" w:rsidR="00440A8E">
        <w:rPr>
          <w:rFonts w:eastAsia="Times New Roman"/>
          <w:kern w:val="2"/>
          <w:szCs w:val="26"/>
        </w:rPr>
        <w:t>(e)(1).</w:t>
      </w:r>
      <w:r w:rsidRPr="00295B9F" w:rsidR="003A01D6">
        <w:rPr>
          <w:rFonts w:eastAsia="Times New Roman"/>
          <w:kern w:val="2"/>
          <w:szCs w:val="26"/>
        </w:rPr>
        <w:t>)</w:t>
      </w:r>
    </w:p>
    <w:p w:rsidR="00124D1F" w:rsidRPr="00295B9F" w:rsidP="00902A26" w14:paraId="45681D02" w14:textId="02310A8D">
      <w:pPr>
        <w:ind w:firstLine="720"/>
        <w:rPr>
          <w:rFonts w:eastAsia="Times New Roman"/>
          <w:kern w:val="2"/>
          <w:szCs w:val="26"/>
        </w:rPr>
      </w:pPr>
      <w:r w:rsidRPr="00295B9F">
        <w:rPr>
          <w:rFonts w:eastAsia="Times New Roman"/>
          <w:kern w:val="2"/>
          <w:szCs w:val="26"/>
        </w:rPr>
        <w:t>It</w:t>
      </w:r>
      <w:r w:rsidRPr="00295B9F" w:rsidR="00C06286">
        <w:rPr>
          <w:rFonts w:eastAsia="Times New Roman"/>
          <w:kern w:val="2"/>
          <w:szCs w:val="26"/>
        </w:rPr>
        <w:t xml:space="preserve"> is “undisputed that Spectrum neither paid [</w:t>
      </w:r>
      <w:r w:rsidR="00A4134C">
        <w:rPr>
          <w:rFonts w:eastAsia="Times New Roman"/>
          <w:kern w:val="2"/>
          <w:szCs w:val="26"/>
        </w:rPr>
        <w:t xml:space="preserve"> </w:t>
      </w:r>
      <w:r w:rsidRPr="00295B9F" w:rsidR="00C06286">
        <w:rPr>
          <w:rFonts w:eastAsia="Times New Roman"/>
          <w:kern w:val="2"/>
          <w:szCs w:val="26"/>
        </w:rPr>
        <w:t>] premium pay nor reported it as earned on employee wage statement</w:t>
      </w:r>
      <w:r w:rsidRPr="00295B9F" w:rsidR="00F72256">
        <w:rPr>
          <w:rFonts w:eastAsia="Times New Roman"/>
          <w:kern w:val="2"/>
          <w:szCs w:val="26"/>
        </w:rPr>
        <w:t>s</w:t>
      </w:r>
      <w:r w:rsidRPr="00295B9F" w:rsidR="00C06286">
        <w:rPr>
          <w:rFonts w:eastAsia="Times New Roman"/>
          <w:kern w:val="2"/>
          <w:szCs w:val="26"/>
        </w:rPr>
        <w:t>.” (</w:t>
      </w:r>
      <w:r w:rsidRPr="00295B9F" w:rsidR="00F96BE2">
        <w:rPr>
          <w:rFonts w:eastAsia="Times New Roman"/>
          <w:i/>
          <w:iCs/>
          <w:kern w:val="2"/>
          <w:szCs w:val="26"/>
        </w:rPr>
        <w:t>Naranjo v. Spectrum Security Services, Inc</w:t>
      </w:r>
      <w:r w:rsidRPr="00295B9F" w:rsidR="00F96BE2">
        <w:rPr>
          <w:rFonts w:eastAsia="Times New Roman"/>
          <w:kern w:val="2"/>
          <w:szCs w:val="26"/>
        </w:rPr>
        <w:t>.</w:t>
      </w:r>
      <w:r w:rsidRPr="00295B9F" w:rsidR="00492C30">
        <w:rPr>
          <w:rFonts w:eastAsia="Times New Roman"/>
          <w:kern w:val="2"/>
          <w:szCs w:val="26"/>
        </w:rPr>
        <w:t xml:space="preserve">, </w:t>
      </w:r>
      <w:r w:rsidRPr="00295B9F" w:rsidR="00492C30">
        <w:rPr>
          <w:rFonts w:eastAsia="Times New Roman"/>
          <w:i/>
          <w:iCs/>
          <w:kern w:val="2"/>
          <w:szCs w:val="26"/>
        </w:rPr>
        <w:t>supra</w:t>
      </w:r>
      <w:r w:rsidRPr="00295B9F" w:rsidR="00492C30">
        <w:rPr>
          <w:rFonts w:eastAsia="Times New Roman"/>
          <w:kern w:val="2"/>
          <w:szCs w:val="26"/>
        </w:rPr>
        <w:t>,</w:t>
      </w:r>
      <w:r w:rsidRPr="00295B9F" w:rsidR="00F96BE2">
        <w:rPr>
          <w:rFonts w:eastAsia="Times New Roman"/>
          <w:kern w:val="2"/>
          <w:szCs w:val="26"/>
        </w:rPr>
        <w:t xml:space="preserve"> 13 Cal.</w:t>
      </w:r>
      <w:r w:rsidRPr="00295B9F" w:rsidR="00B2479C">
        <w:rPr>
          <w:rFonts w:eastAsia="Times New Roman"/>
          <w:kern w:val="2"/>
          <w:szCs w:val="26"/>
        </w:rPr>
        <w:t>5th</w:t>
      </w:r>
      <w:r w:rsidRPr="00295B9F" w:rsidR="00F96BE2">
        <w:rPr>
          <w:rFonts w:eastAsia="Times New Roman"/>
          <w:kern w:val="2"/>
          <w:szCs w:val="26"/>
        </w:rPr>
        <w:t xml:space="preserve"> </w:t>
      </w:r>
      <w:r w:rsidRPr="00295B9F" w:rsidR="00492C30">
        <w:rPr>
          <w:rFonts w:eastAsia="Times New Roman"/>
          <w:kern w:val="2"/>
          <w:szCs w:val="26"/>
        </w:rPr>
        <w:t>at p.</w:t>
      </w:r>
      <w:r w:rsidRPr="00295B9F" w:rsidR="00F96BE2">
        <w:rPr>
          <w:rFonts w:eastAsia="Times New Roman"/>
          <w:kern w:val="2"/>
          <w:szCs w:val="26"/>
        </w:rPr>
        <w:t xml:space="preserve"> 105.</w:t>
      </w:r>
      <w:r w:rsidRPr="00295B9F" w:rsidR="00C02EB5">
        <w:rPr>
          <w:rFonts w:eastAsia="Times New Roman"/>
          <w:kern w:val="2"/>
          <w:szCs w:val="26"/>
        </w:rPr>
        <w:t>)</w:t>
      </w:r>
      <w:r w:rsidRPr="00295B9F" w:rsidR="00F72256">
        <w:rPr>
          <w:rFonts w:eastAsia="Times New Roman"/>
          <w:kern w:val="2"/>
          <w:szCs w:val="26"/>
        </w:rPr>
        <w:t xml:space="preserve"> </w:t>
      </w:r>
      <w:r w:rsidRPr="00295B9F" w:rsidR="00103648">
        <w:rPr>
          <w:rFonts w:eastAsia="Times New Roman"/>
          <w:kern w:val="2"/>
          <w:szCs w:val="26"/>
        </w:rPr>
        <w:t xml:space="preserve">Naranjo argues Spectrum’s failure to include premium pay </w:t>
      </w:r>
      <w:r w:rsidRPr="00295B9F" w:rsidR="00F72256">
        <w:rPr>
          <w:rFonts w:eastAsia="Times New Roman"/>
          <w:kern w:val="2"/>
          <w:szCs w:val="26"/>
        </w:rPr>
        <w:t xml:space="preserve">on </w:t>
      </w:r>
      <w:r w:rsidRPr="00295B9F" w:rsidR="00C2587E">
        <w:rPr>
          <w:rFonts w:eastAsia="Times New Roman"/>
          <w:kern w:val="2"/>
          <w:szCs w:val="26"/>
        </w:rPr>
        <w:t xml:space="preserve">wage statements was “knowing and intentional” because </w:t>
      </w:r>
      <w:r w:rsidRPr="00295B9F" w:rsidR="00C50E74">
        <w:rPr>
          <w:rFonts w:eastAsia="Times New Roman"/>
          <w:kern w:val="2"/>
          <w:szCs w:val="26"/>
        </w:rPr>
        <w:t>Spectrum was aware of the factual predi</w:t>
      </w:r>
      <w:r w:rsidRPr="00295B9F" w:rsidR="00892E05">
        <w:rPr>
          <w:rFonts w:eastAsia="Times New Roman"/>
          <w:kern w:val="2"/>
          <w:szCs w:val="26"/>
        </w:rPr>
        <w:t>c</w:t>
      </w:r>
      <w:r w:rsidRPr="00295B9F" w:rsidR="00C50E74">
        <w:rPr>
          <w:rFonts w:eastAsia="Times New Roman"/>
          <w:kern w:val="2"/>
          <w:szCs w:val="26"/>
        </w:rPr>
        <w:t xml:space="preserve">ate underlying </w:t>
      </w:r>
      <w:r w:rsidRPr="00295B9F" w:rsidR="00892E05">
        <w:rPr>
          <w:rFonts w:eastAsia="Times New Roman"/>
          <w:kern w:val="2"/>
          <w:szCs w:val="26"/>
        </w:rPr>
        <w:t xml:space="preserve">the violation, </w:t>
      </w:r>
      <w:r w:rsidRPr="00186317" w:rsidR="00892E05">
        <w:rPr>
          <w:rFonts w:eastAsia="Times New Roman"/>
          <w:iCs/>
          <w:kern w:val="2"/>
          <w:szCs w:val="26"/>
        </w:rPr>
        <w:t>i.</w:t>
      </w:r>
      <w:r w:rsidRPr="00B756F0" w:rsidR="00892E05">
        <w:rPr>
          <w:rFonts w:eastAsia="Times New Roman"/>
          <w:iCs/>
          <w:kern w:val="2"/>
          <w:szCs w:val="26"/>
        </w:rPr>
        <w:t>e.</w:t>
      </w:r>
      <w:r w:rsidRPr="00295B9F" w:rsidR="00892E05">
        <w:rPr>
          <w:rFonts w:eastAsia="Times New Roman"/>
          <w:kern w:val="2"/>
          <w:szCs w:val="26"/>
        </w:rPr>
        <w:t xml:space="preserve">, that </w:t>
      </w:r>
      <w:r w:rsidRPr="00295B9F" w:rsidR="00C06286">
        <w:rPr>
          <w:rFonts w:eastAsia="Times New Roman"/>
          <w:kern w:val="2"/>
          <w:szCs w:val="26"/>
        </w:rPr>
        <w:t>premium pay was not reported on employee wage statements</w:t>
      </w:r>
      <w:r w:rsidRPr="00295B9F" w:rsidR="00B2479C">
        <w:rPr>
          <w:rFonts w:eastAsia="Times New Roman"/>
          <w:kern w:val="2"/>
          <w:szCs w:val="26"/>
        </w:rPr>
        <w:t xml:space="preserve"> </w:t>
      </w:r>
      <w:r w:rsidRPr="00295B9F" w:rsidR="00D21DD7">
        <w:rPr>
          <w:rFonts w:eastAsia="Times New Roman"/>
          <w:kern w:val="2"/>
          <w:szCs w:val="26"/>
        </w:rPr>
        <w:t>(</w:t>
      </w:r>
      <w:r w:rsidRPr="00295B9F" w:rsidR="00B2479C">
        <w:rPr>
          <w:rFonts w:eastAsia="Times New Roman"/>
          <w:kern w:val="2"/>
          <w:szCs w:val="26"/>
        </w:rPr>
        <w:t xml:space="preserve">because Spectrum did not pay </w:t>
      </w:r>
      <w:r w:rsidRPr="00295B9F" w:rsidR="00916AF9">
        <w:rPr>
          <w:rFonts w:eastAsia="Times New Roman"/>
          <w:kern w:val="2"/>
          <w:szCs w:val="26"/>
        </w:rPr>
        <w:t xml:space="preserve">the meal break </w:t>
      </w:r>
      <w:r w:rsidRPr="00295B9F" w:rsidR="00D64504">
        <w:rPr>
          <w:rFonts w:eastAsia="Times New Roman"/>
          <w:kern w:val="2"/>
          <w:szCs w:val="26"/>
        </w:rPr>
        <w:t>class members premium pay</w:t>
      </w:r>
      <w:r w:rsidRPr="00295B9F" w:rsidR="00D21DD7">
        <w:rPr>
          <w:rFonts w:eastAsia="Times New Roman"/>
          <w:kern w:val="2"/>
          <w:szCs w:val="26"/>
        </w:rPr>
        <w:t>)</w:t>
      </w:r>
      <w:r w:rsidRPr="00295B9F" w:rsidR="00C06286">
        <w:rPr>
          <w:rFonts w:eastAsia="Times New Roman"/>
          <w:kern w:val="2"/>
          <w:szCs w:val="26"/>
        </w:rPr>
        <w:t xml:space="preserve">. </w:t>
      </w:r>
      <w:r w:rsidRPr="00295B9F" w:rsidR="00F62B85">
        <w:rPr>
          <w:rFonts w:eastAsia="Times New Roman"/>
          <w:kern w:val="2"/>
          <w:szCs w:val="26"/>
        </w:rPr>
        <w:t>Spectrum counters that the failure to include premium pay on the wage statement</w:t>
      </w:r>
      <w:r w:rsidRPr="00295B9F" w:rsidR="009F5E1B">
        <w:rPr>
          <w:rFonts w:eastAsia="Times New Roman"/>
          <w:kern w:val="2"/>
          <w:szCs w:val="26"/>
        </w:rPr>
        <w:t>s</w:t>
      </w:r>
      <w:r w:rsidRPr="00295B9F" w:rsidR="00F62B85">
        <w:rPr>
          <w:rFonts w:eastAsia="Times New Roman"/>
          <w:kern w:val="2"/>
          <w:szCs w:val="26"/>
        </w:rPr>
        <w:t xml:space="preserve"> was not “knowing and intentional</w:t>
      </w:r>
      <w:r w:rsidRPr="00295B9F" w:rsidR="006D20D5">
        <w:rPr>
          <w:rFonts w:eastAsia="Times New Roman"/>
          <w:kern w:val="2"/>
          <w:szCs w:val="26"/>
        </w:rPr>
        <w:t xml:space="preserve">” </w:t>
      </w:r>
      <w:r w:rsidRPr="00295B9F" w:rsidR="009B22A1">
        <w:rPr>
          <w:rFonts w:eastAsia="Times New Roman"/>
          <w:kern w:val="2"/>
          <w:szCs w:val="26"/>
        </w:rPr>
        <w:t xml:space="preserve">because Spectrum had a good faith </w:t>
      </w:r>
      <w:r w:rsidRPr="00295B9F" w:rsidR="00C36B40">
        <w:rPr>
          <w:rFonts w:eastAsia="Times New Roman"/>
          <w:kern w:val="2"/>
          <w:szCs w:val="26"/>
        </w:rPr>
        <w:t xml:space="preserve">belief </w:t>
      </w:r>
      <w:r w:rsidRPr="00295B9F" w:rsidR="007F7654">
        <w:rPr>
          <w:rFonts w:eastAsia="Times New Roman"/>
          <w:kern w:val="2"/>
          <w:szCs w:val="26"/>
        </w:rPr>
        <w:t>it was not in violation of section 226.</w:t>
      </w:r>
      <w:r w:rsidRPr="00295B9F" w:rsidR="00C36B40">
        <w:rPr>
          <w:rFonts w:eastAsia="Times New Roman"/>
          <w:kern w:val="2"/>
          <w:szCs w:val="26"/>
        </w:rPr>
        <w:t xml:space="preserve"> </w:t>
      </w:r>
      <w:r w:rsidRPr="00295B9F" w:rsidR="00902A26">
        <w:rPr>
          <w:rFonts w:eastAsia="Times New Roman"/>
          <w:kern w:val="2"/>
          <w:szCs w:val="26"/>
        </w:rPr>
        <w:t xml:space="preserve">The </w:t>
      </w:r>
      <w:r w:rsidRPr="00295B9F" w:rsidR="00BB760E">
        <w:rPr>
          <w:rFonts w:eastAsia="Times New Roman"/>
          <w:kern w:val="2"/>
          <w:szCs w:val="26"/>
        </w:rPr>
        <w:t>issue</w:t>
      </w:r>
      <w:r w:rsidRPr="00295B9F" w:rsidR="00B93BEC">
        <w:rPr>
          <w:rFonts w:eastAsia="Times New Roman"/>
          <w:kern w:val="2"/>
          <w:szCs w:val="26"/>
        </w:rPr>
        <w:t xml:space="preserve"> here</w:t>
      </w:r>
      <w:r w:rsidRPr="00295B9F" w:rsidR="00BB760E">
        <w:rPr>
          <w:rFonts w:eastAsia="Times New Roman"/>
          <w:kern w:val="2"/>
          <w:szCs w:val="26"/>
        </w:rPr>
        <w:t xml:space="preserve"> </w:t>
      </w:r>
      <w:r w:rsidRPr="00295B9F" w:rsidR="00902A26">
        <w:rPr>
          <w:rFonts w:eastAsia="Times New Roman"/>
          <w:kern w:val="2"/>
          <w:szCs w:val="26"/>
        </w:rPr>
        <w:t xml:space="preserve">therefore </w:t>
      </w:r>
      <w:r w:rsidRPr="00295B9F" w:rsidR="00BB760E">
        <w:rPr>
          <w:rFonts w:eastAsia="Times New Roman"/>
          <w:kern w:val="2"/>
          <w:szCs w:val="26"/>
        </w:rPr>
        <w:t>turns on whether</w:t>
      </w:r>
      <w:r w:rsidRPr="00295B9F" w:rsidR="00C74AA3">
        <w:rPr>
          <w:rFonts w:eastAsia="Times New Roman"/>
          <w:kern w:val="2"/>
          <w:szCs w:val="26"/>
        </w:rPr>
        <w:t xml:space="preserve"> the “willful” standard in section 203 is the </w:t>
      </w:r>
      <w:r w:rsidRPr="00295B9F" w:rsidR="0002347B">
        <w:rPr>
          <w:rFonts w:eastAsia="Times New Roman"/>
          <w:kern w:val="2"/>
          <w:szCs w:val="26"/>
        </w:rPr>
        <w:t>same as the</w:t>
      </w:r>
      <w:r w:rsidRPr="00295B9F" w:rsidR="00BB760E">
        <w:rPr>
          <w:rFonts w:eastAsia="Times New Roman"/>
          <w:kern w:val="2"/>
          <w:szCs w:val="26"/>
        </w:rPr>
        <w:t xml:space="preserve"> “knowing and intentional”</w:t>
      </w:r>
      <w:r w:rsidRPr="00295B9F" w:rsidR="0002347B">
        <w:rPr>
          <w:rFonts w:eastAsia="Times New Roman"/>
          <w:kern w:val="2"/>
          <w:szCs w:val="26"/>
        </w:rPr>
        <w:t xml:space="preserve"> standard</w:t>
      </w:r>
      <w:r w:rsidRPr="00295B9F" w:rsidR="00BB760E">
        <w:rPr>
          <w:rFonts w:eastAsia="Times New Roman"/>
          <w:kern w:val="2"/>
          <w:szCs w:val="26"/>
        </w:rPr>
        <w:t xml:space="preserve"> in section 226</w:t>
      </w:r>
      <w:r w:rsidRPr="00295B9F" w:rsidR="00007A01">
        <w:rPr>
          <w:rFonts w:eastAsia="Times New Roman"/>
          <w:kern w:val="2"/>
          <w:szCs w:val="26"/>
        </w:rPr>
        <w:t xml:space="preserve">, such that a “good faith dispute” defense should apply to </w:t>
      </w:r>
      <w:r w:rsidRPr="00295B9F" w:rsidR="00FA475D">
        <w:rPr>
          <w:rFonts w:eastAsia="Times New Roman"/>
          <w:kern w:val="2"/>
          <w:szCs w:val="26"/>
        </w:rPr>
        <w:t xml:space="preserve">claims for penalties under both </w:t>
      </w:r>
      <w:r w:rsidRPr="00295B9F" w:rsidR="002C3610">
        <w:rPr>
          <w:rFonts w:eastAsia="Times New Roman"/>
          <w:kern w:val="2"/>
          <w:szCs w:val="26"/>
        </w:rPr>
        <w:t>s</w:t>
      </w:r>
      <w:r w:rsidRPr="00295B9F" w:rsidR="001155BF">
        <w:rPr>
          <w:rFonts w:eastAsia="Times New Roman"/>
          <w:kern w:val="2"/>
          <w:szCs w:val="26"/>
        </w:rPr>
        <w:t>ection</w:t>
      </w:r>
      <w:r w:rsidRPr="00295B9F" w:rsidR="002C3610">
        <w:rPr>
          <w:rFonts w:eastAsia="Times New Roman"/>
          <w:kern w:val="2"/>
          <w:szCs w:val="26"/>
        </w:rPr>
        <w:t>s</w:t>
      </w:r>
      <w:r w:rsidRPr="00295B9F" w:rsidR="00D25E65">
        <w:rPr>
          <w:rFonts w:eastAsia="Times New Roman"/>
          <w:kern w:val="2"/>
          <w:szCs w:val="26"/>
        </w:rPr>
        <w:t>.</w:t>
      </w:r>
      <w:r w:rsidRPr="00295B9F" w:rsidR="00902A26">
        <w:rPr>
          <w:rFonts w:eastAsia="Times New Roman"/>
          <w:kern w:val="2"/>
          <w:szCs w:val="26"/>
        </w:rPr>
        <w:t xml:space="preserve"> </w:t>
      </w:r>
      <w:r w:rsidRPr="00295B9F" w:rsidR="004925F9">
        <w:rPr>
          <w:rFonts w:eastAsia="Times New Roman"/>
          <w:kern w:val="2"/>
          <w:szCs w:val="26"/>
        </w:rPr>
        <w:t>For the reasons discussed below, we conclude</w:t>
      </w:r>
      <w:r w:rsidRPr="00295B9F" w:rsidR="004079C6">
        <w:rPr>
          <w:rFonts w:eastAsia="Times New Roman"/>
          <w:kern w:val="2"/>
          <w:szCs w:val="26"/>
        </w:rPr>
        <w:t xml:space="preserve"> an employer’s good faith belief </w:t>
      </w:r>
      <w:r w:rsidRPr="00295B9F" w:rsidR="00561CC0">
        <w:rPr>
          <w:rFonts w:eastAsia="Times New Roman"/>
          <w:kern w:val="2"/>
          <w:szCs w:val="26"/>
        </w:rPr>
        <w:t>that it is not violating section 226 precludes a finding of a knowing and intentional violation.</w:t>
      </w:r>
    </w:p>
    <w:p w:rsidR="00B449BA" w:rsidRPr="00295B9F" w:rsidP="00A55562" w14:paraId="46BE8D23" w14:textId="0544F732">
      <w:pPr>
        <w:ind w:firstLine="720"/>
        <w:rPr>
          <w:rFonts w:eastAsia="Times New Roman"/>
          <w:kern w:val="2"/>
          <w:szCs w:val="26"/>
        </w:rPr>
      </w:pPr>
      <w:r w:rsidRPr="00295B9F">
        <w:rPr>
          <w:rFonts w:eastAsia="Times New Roman"/>
          <w:kern w:val="2"/>
          <w:szCs w:val="26"/>
        </w:rPr>
        <w:t xml:space="preserve">The words “knowing and intentional” </w:t>
      </w:r>
      <w:r w:rsidRPr="00295B9F" w:rsidR="00517962">
        <w:rPr>
          <w:rFonts w:eastAsia="Times New Roman"/>
          <w:kern w:val="2"/>
          <w:szCs w:val="26"/>
        </w:rPr>
        <w:t xml:space="preserve">in </w:t>
      </w:r>
      <w:r w:rsidRPr="00295B9F">
        <w:rPr>
          <w:rFonts w:eastAsia="Times New Roman"/>
          <w:kern w:val="2"/>
          <w:szCs w:val="26"/>
        </w:rPr>
        <w:t>section 226, subdivision (e) are not specifically defined, except that the p</w:t>
      </w:r>
      <w:r w:rsidRPr="00295B9F" w:rsidR="00DE500A">
        <w:rPr>
          <w:rFonts w:eastAsia="Times New Roman"/>
          <w:kern w:val="2"/>
          <w:szCs w:val="26"/>
        </w:rPr>
        <w:t xml:space="preserve">hrase </w:t>
      </w:r>
      <w:r w:rsidRPr="00295B9F" w:rsidR="00517962">
        <w:rPr>
          <w:rFonts w:eastAsia="Times New Roman"/>
          <w:kern w:val="2"/>
          <w:szCs w:val="26"/>
        </w:rPr>
        <w:t>does not include a “clerical or inadvertent mistake</w:t>
      </w:r>
      <w:r w:rsidRPr="00295B9F" w:rsidR="00D105E3">
        <w:rPr>
          <w:rFonts w:eastAsia="Times New Roman"/>
          <w:kern w:val="2"/>
          <w:szCs w:val="26"/>
        </w:rPr>
        <w:t xml:space="preserve">.” (See </w:t>
      </w:r>
      <w:r w:rsidRPr="00295B9F" w:rsidR="008E2369">
        <w:rPr>
          <w:rFonts w:eastAsia="Times New Roman"/>
          <w:kern w:val="2"/>
          <w:szCs w:val="26"/>
        </w:rPr>
        <w:t>§ 226, subd. (e)(3) [“</w:t>
      </w:r>
      <w:r w:rsidRPr="00295B9F" w:rsidR="00AC0281">
        <w:rPr>
          <w:rFonts w:eastAsia="Times New Roman"/>
          <w:kern w:val="2"/>
          <w:szCs w:val="26"/>
        </w:rPr>
        <w:t xml:space="preserve">For purposes of this subdivision, </w:t>
      </w:r>
      <w:r w:rsidRPr="00295B9F" w:rsidR="004F3A21">
        <w:rPr>
          <w:rFonts w:eastAsia="Times New Roman"/>
          <w:kern w:val="2"/>
          <w:szCs w:val="26"/>
        </w:rPr>
        <w:t>a ‘knowing and intentional failure’ does not include an i</w:t>
      </w:r>
      <w:r w:rsidRPr="00295B9F" w:rsidR="00DF598F">
        <w:rPr>
          <w:rFonts w:eastAsia="Times New Roman"/>
          <w:kern w:val="2"/>
          <w:szCs w:val="26"/>
        </w:rPr>
        <w:t>s</w:t>
      </w:r>
      <w:r w:rsidRPr="00295B9F" w:rsidR="004F3A21">
        <w:rPr>
          <w:rFonts w:eastAsia="Times New Roman"/>
          <w:kern w:val="2"/>
          <w:szCs w:val="26"/>
        </w:rPr>
        <w:t xml:space="preserve">olated and unintentional </w:t>
      </w:r>
      <w:r w:rsidRPr="00295B9F" w:rsidR="00DF598F">
        <w:rPr>
          <w:rFonts w:eastAsia="Times New Roman"/>
          <w:kern w:val="2"/>
          <w:szCs w:val="26"/>
        </w:rPr>
        <w:t>payroll error due to a clerical or inadvertent mistake.</w:t>
      </w:r>
      <w:r w:rsidRPr="00295B9F" w:rsidR="00A4134C">
        <w:rPr>
          <w:rFonts w:eastAsia="Times New Roman"/>
          <w:kern w:val="2"/>
          <w:szCs w:val="26"/>
        </w:rPr>
        <w:t>”</w:t>
      </w:r>
      <w:r w:rsidRPr="00295B9F" w:rsidR="00F2498F">
        <w:rPr>
          <w:rFonts w:ascii="Lato" w:hAnsi="Lato"/>
          <w:color w:val="212121"/>
          <w:sz w:val="27"/>
          <w:szCs w:val="27"/>
          <w:shd w:val="clear" w:color="auto" w:fill="FFFFFF"/>
        </w:rPr>
        <w:t>].)</w:t>
      </w:r>
      <w:r w:rsidRPr="00295B9F" w:rsidR="00F2498F">
        <w:rPr>
          <w:rFonts w:eastAsia="Times New Roman"/>
          <w:kern w:val="2"/>
          <w:szCs w:val="26"/>
        </w:rPr>
        <w:t xml:space="preserve"> Our Supreme Court’s decision in </w:t>
      </w:r>
      <w:r w:rsidRPr="00295B9F" w:rsidR="00F2498F">
        <w:rPr>
          <w:rFonts w:eastAsia="Times New Roman"/>
          <w:i/>
          <w:iCs/>
          <w:kern w:val="2"/>
          <w:szCs w:val="26"/>
        </w:rPr>
        <w:t>In re Trombley</w:t>
      </w:r>
      <w:r w:rsidRPr="00295B9F" w:rsidR="00F2498F">
        <w:rPr>
          <w:rFonts w:eastAsia="Times New Roman"/>
          <w:kern w:val="2"/>
          <w:szCs w:val="26"/>
        </w:rPr>
        <w:t xml:space="preserve"> (1948) 31 Cal.2d 801</w:t>
      </w:r>
      <w:r w:rsidRPr="00295B9F" w:rsidR="00BC563A">
        <w:rPr>
          <w:rFonts w:eastAsia="Times New Roman"/>
          <w:kern w:val="2"/>
          <w:szCs w:val="26"/>
        </w:rPr>
        <w:t xml:space="preserve"> (</w:t>
      </w:r>
      <w:r w:rsidRPr="00295B9F" w:rsidR="00BC563A">
        <w:rPr>
          <w:rFonts w:eastAsia="Times New Roman"/>
          <w:i/>
          <w:iCs/>
          <w:kern w:val="2"/>
          <w:szCs w:val="26"/>
        </w:rPr>
        <w:t>Trombley</w:t>
      </w:r>
      <w:r w:rsidRPr="00295B9F" w:rsidR="00BC563A">
        <w:rPr>
          <w:rFonts w:eastAsia="Times New Roman"/>
          <w:kern w:val="2"/>
          <w:szCs w:val="26"/>
        </w:rPr>
        <w:t>)</w:t>
      </w:r>
      <w:r w:rsidRPr="00295B9F" w:rsidR="00F2498F">
        <w:rPr>
          <w:rFonts w:eastAsia="Times New Roman"/>
          <w:kern w:val="2"/>
          <w:szCs w:val="26"/>
        </w:rPr>
        <w:t>, however, provides guidance.</w:t>
      </w:r>
      <w:r w:rsidRPr="00295B9F" w:rsidR="00A55562">
        <w:rPr>
          <w:rFonts w:eastAsia="Times New Roman"/>
          <w:kern w:val="2"/>
          <w:szCs w:val="26"/>
        </w:rPr>
        <w:t xml:space="preserve"> There, the</w:t>
      </w:r>
      <w:r w:rsidRPr="00295B9F" w:rsidR="0031410E">
        <w:rPr>
          <w:rFonts w:eastAsia="Times New Roman"/>
          <w:kern w:val="2"/>
          <w:szCs w:val="26"/>
        </w:rPr>
        <w:t xml:space="preserve"> </w:t>
      </w:r>
      <w:r w:rsidRPr="00295B9F" w:rsidR="0031410E">
        <w:rPr>
          <w:rFonts w:eastAsia="Times New Roman"/>
          <w:i/>
          <w:iCs/>
          <w:kern w:val="2"/>
          <w:szCs w:val="26"/>
        </w:rPr>
        <w:t>Trombley</w:t>
      </w:r>
      <w:r w:rsidRPr="00295B9F">
        <w:rPr>
          <w:rFonts w:eastAsia="Times New Roman"/>
          <w:kern w:val="2"/>
          <w:szCs w:val="26"/>
        </w:rPr>
        <w:t xml:space="preserve"> </w:t>
      </w:r>
      <w:r w:rsidRPr="00295B9F" w:rsidR="0031410E">
        <w:rPr>
          <w:rFonts w:eastAsia="Times New Roman"/>
          <w:kern w:val="2"/>
          <w:szCs w:val="26"/>
        </w:rPr>
        <w:t xml:space="preserve">court </w:t>
      </w:r>
      <w:r w:rsidRPr="00295B9F">
        <w:rPr>
          <w:rFonts w:eastAsia="Times New Roman"/>
          <w:kern w:val="2"/>
          <w:szCs w:val="26"/>
        </w:rPr>
        <w:t>linked the</w:t>
      </w:r>
      <w:r w:rsidRPr="00295B9F" w:rsidR="00235062">
        <w:rPr>
          <w:rFonts w:eastAsia="Times New Roman"/>
          <w:kern w:val="2"/>
          <w:szCs w:val="26"/>
        </w:rPr>
        <w:t xml:space="preserve"> “</w:t>
      </w:r>
      <w:r w:rsidRPr="00295B9F" w:rsidR="00ED28D7">
        <w:rPr>
          <w:rFonts w:eastAsia="Times New Roman"/>
          <w:kern w:val="2"/>
          <w:szCs w:val="26"/>
        </w:rPr>
        <w:t>knowing</w:t>
      </w:r>
      <w:r w:rsidRPr="00295B9F" w:rsidR="00235062">
        <w:rPr>
          <w:rFonts w:eastAsia="Times New Roman"/>
          <w:kern w:val="2"/>
          <w:szCs w:val="26"/>
        </w:rPr>
        <w:t xml:space="preserve"> and intentional” standard </w:t>
      </w:r>
      <w:r w:rsidRPr="00295B9F" w:rsidR="00ED28D7">
        <w:rPr>
          <w:rFonts w:eastAsia="Times New Roman"/>
          <w:kern w:val="2"/>
          <w:szCs w:val="26"/>
        </w:rPr>
        <w:t xml:space="preserve">to a </w:t>
      </w:r>
      <w:r w:rsidRPr="00295B9F" w:rsidR="009031E0">
        <w:rPr>
          <w:rFonts w:eastAsia="Times New Roman"/>
          <w:kern w:val="2"/>
          <w:szCs w:val="26"/>
        </w:rPr>
        <w:t>“</w:t>
      </w:r>
      <w:r w:rsidRPr="00295B9F" w:rsidR="00ED28D7">
        <w:rPr>
          <w:rFonts w:eastAsia="Times New Roman"/>
          <w:kern w:val="2"/>
          <w:szCs w:val="26"/>
        </w:rPr>
        <w:t>willfulness</w:t>
      </w:r>
      <w:r w:rsidRPr="00295B9F" w:rsidR="009031E0">
        <w:rPr>
          <w:rFonts w:eastAsia="Times New Roman"/>
          <w:kern w:val="2"/>
          <w:szCs w:val="26"/>
        </w:rPr>
        <w:t>”</w:t>
      </w:r>
      <w:r w:rsidRPr="00295B9F" w:rsidR="00ED28D7">
        <w:rPr>
          <w:rFonts w:eastAsia="Times New Roman"/>
          <w:kern w:val="2"/>
          <w:szCs w:val="26"/>
        </w:rPr>
        <w:t xml:space="preserve"> standard</w:t>
      </w:r>
      <w:r w:rsidRPr="00295B9F" w:rsidR="00624CCD">
        <w:rPr>
          <w:rFonts w:eastAsia="Times New Roman"/>
          <w:kern w:val="2"/>
          <w:szCs w:val="26"/>
        </w:rPr>
        <w:t>.</w:t>
      </w:r>
      <w:r w:rsidRPr="00295B9F" w:rsidR="00BC563A">
        <w:rPr>
          <w:rFonts w:eastAsia="Times New Roman"/>
          <w:kern w:val="2"/>
          <w:szCs w:val="26"/>
        </w:rPr>
        <w:t xml:space="preserve"> (</w:t>
      </w:r>
      <w:r w:rsidR="002A1F23">
        <w:rPr>
          <w:rFonts w:eastAsia="Times New Roman"/>
          <w:i/>
          <w:iCs/>
          <w:kern w:val="2"/>
          <w:szCs w:val="26"/>
        </w:rPr>
        <w:t>Id.</w:t>
      </w:r>
      <w:r w:rsidRPr="00295B9F" w:rsidR="00BC563A">
        <w:rPr>
          <w:rFonts w:eastAsia="Times New Roman"/>
          <w:kern w:val="2"/>
          <w:szCs w:val="26"/>
        </w:rPr>
        <w:t xml:space="preserve"> at pp. 807-808.)</w:t>
      </w:r>
      <w:r w:rsidRPr="00295B9F" w:rsidR="00624CCD">
        <w:rPr>
          <w:rFonts w:eastAsia="Times New Roman"/>
          <w:kern w:val="2"/>
          <w:szCs w:val="26"/>
        </w:rPr>
        <w:t xml:space="preserve"> </w:t>
      </w:r>
      <w:r w:rsidRPr="00295B9F" w:rsidR="0031410E">
        <w:rPr>
          <w:rFonts w:eastAsia="Times New Roman"/>
          <w:kern w:val="2"/>
          <w:szCs w:val="26"/>
        </w:rPr>
        <w:t>It</w:t>
      </w:r>
      <w:r w:rsidRPr="00295B9F" w:rsidR="00422A2A">
        <w:rPr>
          <w:rFonts w:eastAsia="Times New Roman"/>
          <w:kern w:val="2"/>
          <w:szCs w:val="26"/>
        </w:rPr>
        <w:t xml:space="preserve"> held section 216, which criminalizes willful failures to pay wages, was </w:t>
      </w:r>
      <w:r w:rsidRPr="00295B9F" w:rsidR="006E5BC6">
        <w:rPr>
          <w:rFonts w:eastAsia="Times New Roman"/>
          <w:kern w:val="2"/>
          <w:szCs w:val="26"/>
        </w:rPr>
        <w:t>constitutional</w:t>
      </w:r>
      <w:r w:rsidRPr="00295B9F" w:rsidR="00422A2A">
        <w:rPr>
          <w:rFonts w:eastAsia="Times New Roman"/>
          <w:kern w:val="2"/>
          <w:szCs w:val="26"/>
        </w:rPr>
        <w:t xml:space="preserve"> because of the </w:t>
      </w:r>
      <w:r w:rsidRPr="00295B9F" w:rsidR="000F4057">
        <w:rPr>
          <w:rFonts w:eastAsia="Times New Roman"/>
          <w:kern w:val="2"/>
          <w:szCs w:val="26"/>
        </w:rPr>
        <w:t>“willfulness” limitation.</w:t>
      </w:r>
      <w:r>
        <w:rPr>
          <w:rStyle w:val="FootnoteReference"/>
          <w:rFonts w:eastAsia="Times New Roman"/>
          <w:b w:val="0"/>
          <w:bCs/>
          <w:kern w:val="2"/>
          <w:szCs w:val="26"/>
        </w:rPr>
        <w:footnoteReference w:id="7"/>
      </w:r>
      <w:r w:rsidRPr="00295B9F" w:rsidR="000F4057">
        <w:rPr>
          <w:rFonts w:eastAsia="Times New Roman"/>
          <w:b/>
          <w:bCs/>
          <w:kern w:val="2"/>
          <w:szCs w:val="26"/>
        </w:rPr>
        <w:t xml:space="preserve"> </w:t>
      </w:r>
      <w:r w:rsidRPr="00295B9F" w:rsidR="00AA1441">
        <w:rPr>
          <w:rFonts w:eastAsia="Times New Roman"/>
          <w:kern w:val="2"/>
          <w:szCs w:val="26"/>
        </w:rPr>
        <w:t>(</w:t>
      </w:r>
      <w:r w:rsidRPr="00295B9F" w:rsidR="00BC563A">
        <w:rPr>
          <w:rFonts w:eastAsia="Times New Roman"/>
          <w:i/>
          <w:iCs/>
          <w:kern w:val="2"/>
          <w:szCs w:val="26"/>
        </w:rPr>
        <w:t>Trombley</w:t>
      </w:r>
      <w:r w:rsidR="00A4134C">
        <w:rPr>
          <w:rFonts w:eastAsia="Times New Roman"/>
          <w:iCs/>
          <w:kern w:val="2"/>
          <w:szCs w:val="26"/>
        </w:rPr>
        <w:t>,</w:t>
      </w:r>
      <w:r w:rsidR="002A1F23">
        <w:rPr>
          <w:rFonts w:eastAsia="Times New Roman"/>
          <w:iCs/>
          <w:kern w:val="2"/>
          <w:szCs w:val="26"/>
        </w:rPr>
        <w:t xml:space="preserve"> </w:t>
      </w:r>
      <w:r w:rsidRPr="000B429F" w:rsidR="002A1F23">
        <w:rPr>
          <w:rFonts w:eastAsia="Times New Roman"/>
          <w:i/>
          <w:kern w:val="2"/>
          <w:szCs w:val="26"/>
        </w:rPr>
        <w:t>supra</w:t>
      </w:r>
      <w:r w:rsidR="002A1F23">
        <w:rPr>
          <w:rFonts w:eastAsia="Times New Roman"/>
          <w:iCs/>
          <w:kern w:val="2"/>
          <w:szCs w:val="26"/>
        </w:rPr>
        <w:t>, 31 Cal.2d</w:t>
      </w:r>
      <w:r w:rsidRPr="00295B9F" w:rsidR="00AA1441">
        <w:rPr>
          <w:rFonts w:eastAsia="Times New Roman"/>
          <w:kern w:val="2"/>
          <w:szCs w:val="26"/>
        </w:rPr>
        <w:t xml:space="preserve"> at pp. 807-808.)</w:t>
      </w:r>
      <w:r w:rsidRPr="00295B9F" w:rsidR="00AA1441">
        <w:rPr>
          <w:rFonts w:eastAsia="Times New Roman"/>
          <w:b/>
          <w:bCs/>
          <w:kern w:val="2"/>
          <w:szCs w:val="26"/>
        </w:rPr>
        <w:t xml:space="preserve"> </w:t>
      </w:r>
      <w:r w:rsidRPr="00295B9F" w:rsidR="00517962">
        <w:rPr>
          <w:rFonts w:eastAsia="Times New Roman"/>
          <w:kern w:val="2"/>
          <w:szCs w:val="26"/>
        </w:rPr>
        <w:t xml:space="preserve">The </w:t>
      </w:r>
      <w:r w:rsidRPr="00295B9F" w:rsidR="00517962">
        <w:rPr>
          <w:rFonts w:eastAsia="Times New Roman"/>
          <w:i/>
          <w:iCs/>
          <w:kern w:val="2"/>
          <w:szCs w:val="26"/>
        </w:rPr>
        <w:t>Trombley</w:t>
      </w:r>
      <w:r w:rsidRPr="00295B9F" w:rsidR="00517962">
        <w:rPr>
          <w:rFonts w:eastAsia="Times New Roman"/>
          <w:kern w:val="2"/>
          <w:szCs w:val="26"/>
        </w:rPr>
        <w:t xml:space="preserve"> court</w:t>
      </w:r>
      <w:r w:rsidRPr="00295B9F" w:rsidR="000F4057">
        <w:rPr>
          <w:rFonts w:eastAsia="Times New Roman"/>
          <w:kern w:val="2"/>
          <w:szCs w:val="26"/>
        </w:rPr>
        <w:t xml:space="preserve"> explained: </w:t>
      </w:r>
      <w:r w:rsidRPr="00295B9F" w:rsidR="00B40401">
        <w:rPr>
          <w:rFonts w:eastAsia="Times New Roman"/>
          <w:kern w:val="2"/>
          <w:szCs w:val="26"/>
        </w:rPr>
        <w:t>“Subdivision (a) [of section 216]</w:t>
      </w:r>
      <w:r w:rsidRPr="00295B9F" w:rsidR="00211818">
        <w:rPr>
          <w:rFonts w:eastAsia="Times New Roman"/>
          <w:kern w:val="2"/>
          <w:szCs w:val="26"/>
        </w:rPr>
        <w:t xml:space="preserve"> construed together with the Penal Code definition of the word ‘willful,’ makes it a crime for an employer having the ability to pay, </w:t>
      </w:r>
      <w:r w:rsidRPr="00295B9F" w:rsidR="00211818">
        <w:rPr>
          <w:rFonts w:eastAsia="Times New Roman"/>
          <w:i/>
          <w:iCs/>
          <w:kern w:val="2"/>
          <w:szCs w:val="26"/>
        </w:rPr>
        <w:t>knowingly and intentionally</w:t>
      </w:r>
      <w:r w:rsidRPr="00295B9F" w:rsidR="00211818">
        <w:rPr>
          <w:rFonts w:eastAsia="Times New Roman"/>
          <w:kern w:val="2"/>
          <w:szCs w:val="26"/>
        </w:rPr>
        <w:t xml:space="preserve"> to refuse to pay wages which he knows are due.</w:t>
      </w:r>
      <w:r w:rsidRPr="00295B9F" w:rsidR="00D879C8">
        <w:rPr>
          <w:rFonts w:ascii="Lato" w:hAnsi="Lato"/>
          <w:color w:val="212121"/>
          <w:sz w:val="27"/>
          <w:szCs w:val="27"/>
          <w:shd w:val="clear" w:color="auto" w:fill="FFFFFF"/>
        </w:rPr>
        <w:t xml:space="preserve"> </w:t>
      </w:r>
      <w:r w:rsidRPr="00295B9F" w:rsidR="004B5563">
        <w:rPr>
          <w:rFonts w:eastAsia="Times New Roman"/>
          <w:kern w:val="2"/>
          <w:szCs w:val="26"/>
        </w:rPr>
        <w:t>A</w:t>
      </w:r>
      <w:r w:rsidRPr="00295B9F" w:rsidR="00D879C8">
        <w:rPr>
          <w:rFonts w:eastAsia="Times New Roman"/>
          <w:kern w:val="2"/>
          <w:szCs w:val="26"/>
        </w:rPr>
        <w:t xml:space="preserve"> similar construction </w:t>
      </w:r>
      <w:r w:rsidRPr="00295B9F" w:rsidR="007B7701">
        <w:rPr>
          <w:rFonts w:eastAsia="Times New Roman"/>
          <w:kern w:val="2"/>
          <w:szCs w:val="26"/>
        </w:rPr>
        <w:t xml:space="preserve">was placed </w:t>
      </w:r>
      <w:r w:rsidRPr="00295B9F" w:rsidR="00D879C8">
        <w:rPr>
          <w:rFonts w:eastAsia="Times New Roman"/>
          <w:kern w:val="2"/>
          <w:szCs w:val="26"/>
        </w:rPr>
        <w:t xml:space="preserve">on section 203 of the Labor Code which imposes penalties where an employer </w:t>
      </w:r>
      <w:r w:rsidRPr="00295B9F" w:rsidR="0065617E">
        <w:rPr>
          <w:rFonts w:eastAsia="Times New Roman"/>
          <w:kern w:val="2"/>
          <w:szCs w:val="26"/>
        </w:rPr>
        <w:t>‘</w:t>
      </w:r>
      <w:r w:rsidRPr="00295B9F" w:rsidR="00D879C8">
        <w:rPr>
          <w:rFonts w:eastAsia="Times New Roman"/>
          <w:kern w:val="2"/>
          <w:szCs w:val="26"/>
        </w:rPr>
        <w:t>willfully fails to pay . . . wages of an employee who is discharged or who quits.</w:t>
      </w:r>
      <w:r w:rsidRPr="00295B9F" w:rsidR="0065617E">
        <w:rPr>
          <w:rFonts w:eastAsia="Times New Roman"/>
          <w:kern w:val="2"/>
          <w:szCs w:val="26"/>
        </w:rPr>
        <w:t>’</w:t>
      </w:r>
      <w:r w:rsidRPr="00295B9F" w:rsidR="00D879C8">
        <w:rPr>
          <w:rFonts w:eastAsia="Times New Roman"/>
          <w:kern w:val="2"/>
          <w:szCs w:val="26"/>
        </w:rPr>
        <w:t xml:space="preserve"> In interpreting that section, it was recognized that a dispute in good faith as to whether any wages were due would be a defense to an action for such penalties.</w:t>
      </w:r>
      <w:r w:rsidRPr="00295B9F" w:rsidR="00AC69FF">
        <w:rPr>
          <w:rFonts w:eastAsia="Times New Roman"/>
          <w:kern w:val="2"/>
          <w:szCs w:val="26"/>
        </w:rPr>
        <w:t xml:space="preserve"> (</w:t>
      </w:r>
      <w:r w:rsidRPr="00295B9F" w:rsidR="00AC69FF">
        <w:rPr>
          <w:rFonts w:eastAsia="Times New Roman"/>
          <w:i/>
          <w:iCs/>
          <w:kern w:val="2"/>
          <w:szCs w:val="26"/>
        </w:rPr>
        <w:t>Davis v. Morris</w:t>
      </w:r>
      <w:r w:rsidRPr="00295B9F" w:rsidR="00847FA9">
        <w:rPr>
          <w:rFonts w:eastAsia="Times New Roman"/>
          <w:kern w:val="2"/>
          <w:szCs w:val="26"/>
        </w:rPr>
        <w:t xml:space="preserve"> (1940) 37 Cal.App.2d 269.)</w:t>
      </w:r>
      <w:r w:rsidRPr="00295B9F" w:rsidR="0097139A">
        <w:rPr>
          <w:rFonts w:eastAsia="Times New Roman"/>
          <w:kern w:val="2"/>
          <w:szCs w:val="26"/>
        </w:rPr>
        <w:t xml:space="preserve"> </w:t>
      </w:r>
      <w:r w:rsidRPr="00295B9F" w:rsidR="005E597D">
        <w:rPr>
          <w:rFonts w:eastAsia="Times New Roman"/>
          <w:kern w:val="2"/>
          <w:szCs w:val="26"/>
        </w:rPr>
        <w:t>S</w:t>
      </w:r>
      <w:r w:rsidRPr="00295B9F" w:rsidR="0097139A">
        <w:rPr>
          <w:rFonts w:eastAsia="Times New Roman"/>
          <w:kern w:val="2"/>
          <w:szCs w:val="26"/>
        </w:rPr>
        <w:t>ubdivision (a), therefore, does not, as contended by petitioner, make the mere failure to pay wages a crime, nor does it subject an employer to imprisonment who disputes in good faith an employee</w:t>
      </w:r>
      <w:r w:rsidRPr="00295B9F" w:rsidR="00F84715">
        <w:rPr>
          <w:rFonts w:eastAsia="Times New Roman"/>
          <w:kern w:val="2"/>
          <w:szCs w:val="26"/>
        </w:rPr>
        <w:t>’</w:t>
      </w:r>
      <w:r w:rsidRPr="00295B9F" w:rsidR="0097139A">
        <w:rPr>
          <w:rFonts w:eastAsia="Times New Roman"/>
          <w:kern w:val="2"/>
          <w:szCs w:val="26"/>
        </w:rPr>
        <w:t>s claim for wages.</w:t>
      </w:r>
      <w:r w:rsidRPr="00295B9F" w:rsidR="00BE37B8">
        <w:rPr>
          <w:rFonts w:eastAsia="Times New Roman"/>
          <w:kern w:val="2"/>
          <w:szCs w:val="26"/>
        </w:rPr>
        <w:t>”</w:t>
      </w:r>
      <w:r w:rsidRPr="00295B9F" w:rsidR="0065617E">
        <w:rPr>
          <w:rFonts w:eastAsia="Times New Roman"/>
          <w:kern w:val="2"/>
          <w:szCs w:val="26"/>
        </w:rPr>
        <w:t xml:space="preserve"> (</w:t>
      </w:r>
      <w:r w:rsidRPr="00295B9F" w:rsidR="0089405D">
        <w:rPr>
          <w:rFonts w:eastAsia="Times New Roman"/>
          <w:i/>
          <w:iCs/>
          <w:kern w:val="2"/>
          <w:szCs w:val="26"/>
        </w:rPr>
        <w:t>Trombley</w:t>
      </w:r>
      <w:r w:rsidR="00A4134C">
        <w:rPr>
          <w:rFonts w:eastAsia="Times New Roman"/>
          <w:iCs/>
          <w:kern w:val="2"/>
          <w:szCs w:val="26"/>
        </w:rPr>
        <w:t>,</w:t>
      </w:r>
      <w:r w:rsidRPr="00295B9F" w:rsidR="0065617E">
        <w:rPr>
          <w:rFonts w:eastAsia="Times New Roman"/>
          <w:kern w:val="2"/>
          <w:szCs w:val="26"/>
        </w:rPr>
        <w:t xml:space="preserve"> </w:t>
      </w:r>
      <w:r w:rsidRPr="000B429F" w:rsidR="002A1F23">
        <w:rPr>
          <w:rFonts w:eastAsia="Times New Roman"/>
          <w:i/>
          <w:iCs/>
          <w:kern w:val="2"/>
          <w:szCs w:val="26"/>
        </w:rPr>
        <w:t>supra</w:t>
      </w:r>
      <w:r w:rsidR="002A1F23">
        <w:rPr>
          <w:rFonts w:eastAsia="Times New Roman"/>
          <w:kern w:val="2"/>
          <w:szCs w:val="26"/>
        </w:rPr>
        <w:t xml:space="preserve">, 31 Cal.2d </w:t>
      </w:r>
      <w:r w:rsidRPr="00295B9F" w:rsidR="0065617E">
        <w:rPr>
          <w:rFonts w:eastAsia="Times New Roman"/>
          <w:kern w:val="2"/>
          <w:szCs w:val="26"/>
        </w:rPr>
        <w:t>at p</w:t>
      </w:r>
      <w:r w:rsidRPr="00295B9F" w:rsidR="0097139A">
        <w:rPr>
          <w:rFonts w:eastAsia="Times New Roman"/>
          <w:kern w:val="2"/>
          <w:szCs w:val="26"/>
        </w:rPr>
        <w:t>p. 807-808</w:t>
      </w:r>
      <w:r w:rsidRPr="00295B9F" w:rsidR="0089405D">
        <w:rPr>
          <w:rFonts w:eastAsia="Times New Roman"/>
          <w:kern w:val="2"/>
          <w:szCs w:val="26"/>
        </w:rPr>
        <w:t>, italics added</w:t>
      </w:r>
      <w:r w:rsidRPr="00295B9F" w:rsidR="0097139A">
        <w:rPr>
          <w:rFonts w:eastAsia="Times New Roman"/>
          <w:kern w:val="2"/>
          <w:szCs w:val="26"/>
        </w:rPr>
        <w:t>.)</w:t>
      </w:r>
    </w:p>
    <w:p w:rsidR="00124D1F" w:rsidRPr="00295B9F" w:rsidP="00A23933" w14:paraId="171D4FE0" w14:textId="0E22CBE7">
      <w:pPr>
        <w:ind w:firstLine="720"/>
        <w:rPr>
          <w:rFonts w:eastAsia="Times New Roman"/>
          <w:kern w:val="2"/>
          <w:szCs w:val="26"/>
        </w:rPr>
      </w:pPr>
      <w:r w:rsidRPr="00295B9F">
        <w:rPr>
          <w:rFonts w:eastAsia="Times New Roman"/>
          <w:kern w:val="2"/>
          <w:szCs w:val="26"/>
        </w:rPr>
        <w:t xml:space="preserve">Other </w:t>
      </w:r>
      <w:r w:rsidRPr="00295B9F" w:rsidR="008800CC">
        <w:rPr>
          <w:rFonts w:eastAsia="Times New Roman"/>
          <w:kern w:val="2"/>
          <w:szCs w:val="26"/>
        </w:rPr>
        <w:t>courts</w:t>
      </w:r>
      <w:r w:rsidRPr="00295B9F" w:rsidR="00434086">
        <w:rPr>
          <w:rFonts w:eastAsia="Times New Roman"/>
          <w:kern w:val="2"/>
          <w:szCs w:val="26"/>
        </w:rPr>
        <w:t xml:space="preserve"> have </w:t>
      </w:r>
      <w:r w:rsidRPr="00295B9F">
        <w:rPr>
          <w:rFonts w:eastAsia="Times New Roman"/>
          <w:kern w:val="2"/>
          <w:szCs w:val="26"/>
        </w:rPr>
        <w:t xml:space="preserve">also </w:t>
      </w:r>
      <w:r w:rsidRPr="00295B9F" w:rsidR="00434086">
        <w:rPr>
          <w:rFonts w:eastAsia="Times New Roman"/>
          <w:kern w:val="2"/>
          <w:szCs w:val="26"/>
        </w:rPr>
        <w:t xml:space="preserve">defined </w:t>
      </w:r>
      <w:r w:rsidRPr="00295B9F" w:rsidR="007C34D4">
        <w:rPr>
          <w:rFonts w:eastAsia="Times New Roman"/>
          <w:kern w:val="2"/>
          <w:szCs w:val="26"/>
        </w:rPr>
        <w:t>“</w:t>
      </w:r>
      <w:r w:rsidRPr="00295B9F" w:rsidR="00434086">
        <w:rPr>
          <w:rFonts w:eastAsia="Times New Roman"/>
          <w:kern w:val="2"/>
          <w:szCs w:val="26"/>
        </w:rPr>
        <w:t>willful</w:t>
      </w:r>
      <w:r w:rsidRPr="00295B9F" w:rsidR="007C34D4">
        <w:rPr>
          <w:rFonts w:eastAsia="Times New Roman"/>
          <w:kern w:val="2"/>
          <w:szCs w:val="26"/>
        </w:rPr>
        <w:t>”</w:t>
      </w:r>
      <w:r w:rsidRPr="00295B9F" w:rsidR="003E5881">
        <w:rPr>
          <w:rFonts w:eastAsia="Times New Roman"/>
          <w:kern w:val="2"/>
          <w:szCs w:val="26"/>
        </w:rPr>
        <w:t xml:space="preserve"> in section 203</w:t>
      </w:r>
      <w:r w:rsidRPr="00295B9F" w:rsidR="00434086">
        <w:rPr>
          <w:rFonts w:eastAsia="Times New Roman"/>
          <w:kern w:val="2"/>
          <w:szCs w:val="26"/>
        </w:rPr>
        <w:t xml:space="preserve"> </w:t>
      </w:r>
      <w:r w:rsidRPr="00295B9F" w:rsidR="00C2435C">
        <w:rPr>
          <w:rFonts w:eastAsia="Times New Roman"/>
          <w:kern w:val="2"/>
          <w:szCs w:val="26"/>
        </w:rPr>
        <w:t>to mean</w:t>
      </w:r>
      <w:r w:rsidRPr="00295B9F" w:rsidR="00434086">
        <w:rPr>
          <w:rFonts w:eastAsia="Times New Roman"/>
          <w:kern w:val="2"/>
          <w:szCs w:val="26"/>
        </w:rPr>
        <w:t xml:space="preserve"> </w:t>
      </w:r>
      <w:r w:rsidRPr="00295B9F" w:rsidR="00C2435C">
        <w:rPr>
          <w:rFonts w:eastAsia="Times New Roman"/>
          <w:kern w:val="2"/>
          <w:szCs w:val="26"/>
        </w:rPr>
        <w:t>“</w:t>
      </w:r>
      <w:r w:rsidRPr="00295B9F" w:rsidR="00434086">
        <w:rPr>
          <w:rFonts w:eastAsia="Times New Roman"/>
          <w:kern w:val="2"/>
          <w:szCs w:val="26"/>
        </w:rPr>
        <w:t>intentional</w:t>
      </w:r>
      <w:r w:rsidRPr="00295B9F" w:rsidR="00C2435C">
        <w:rPr>
          <w:rFonts w:eastAsia="Times New Roman"/>
          <w:kern w:val="2"/>
          <w:szCs w:val="26"/>
        </w:rPr>
        <w:t>ly</w:t>
      </w:r>
      <w:r w:rsidRPr="00295B9F" w:rsidR="00434086">
        <w:rPr>
          <w:rFonts w:eastAsia="Times New Roman"/>
          <w:kern w:val="2"/>
          <w:szCs w:val="26"/>
        </w:rPr>
        <w:t>.</w:t>
      </w:r>
      <w:r w:rsidRPr="00295B9F" w:rsidR="00C2435C">
        <w:rPr>
          <w:rFonts w:eastAsia="Times New Roman"/>
          <w:kern w:val="2"/>
          <w:szCs w:val="26"/>
        </w:rPr>
        <w:t>”</w:t>
      </w:r>
      <w:r w:rsidRPr="00295B9F" w:rsidR="00434086">
        <w:rPr>
          <w:rFonts w:eastAsia="Times New Roman"/>
          <w:kern w:val="2"/>
          <w:szCs w:val="26"/>
        </w:rPr>
        <w:t xml:space="preserve"> “</w:t>
      </w:r>
      <w:r w:rsidRPr="00295B9F" w:rsidR="00E2334A">
        <w:rPr>
          <w:rFonts w:eastAsia="Times New Roman"/>
          <w:kern w:val="2"/>
          <w:szCs w:val="26"/>
        </w:rPr>
        <w:t>As used in section 203, ‘willful</w:t>
      </w:r>
      <w:r w:rsidRPr="00295B9F" w:rsidR="005E32F2">
        <w:rPr>
          <w:rFonts w:eastAsia="Times New Roman"/>
          <w:kern w:val="2"/>
          <w:szCs w:val="26"/>
        </w:rPr>
        <w:t>’</w:t>
      </w:r>
      <w:r w:rsidRPr="00295B9F" w:rsidR="003B2DDF">
        <w:rPr>
          <w:rFonts w:eastAsia="Times New Roman"/>
          <w:kern w:val="2"/>
          <w:szCs w:val="26"/>
        </w:rPr>
        <w:t xml:space="preserve"> . . . means </w:t>
      </w:r>
      <w:r w:rsidRPr="00295B9F" w:rsidR="00E62384">
        <w:rPr>
          <w:rFonts w:eastAsia="Times New Roman"/>
          <w:kern w:val="2"/>
          <w:szCs w:val="26"/>
        </w:rPr>
        <w:t>that the employer intentionally failed or refused to perform an act </w:t>
      </w:r>
      <w:r w:rsidRPr="00295B9F" w:rsidR="00E62384">
        <w:rPr>
          <w:rFonts w:eastAsia="Times New Roman"/>
          <w:i/>
          <w:iCs/>
          <w:kern w:val="2"/>
          <w:szCs w:val="26"/>
        </w:rPr>
        <w:t>which was required to be done</w:t>
      </w:r>
      <w:r w:rsidRPr="00295B9F" w:rsidR="00E62384">
        <w:rPr>
          <w:rFonts w:eastAsia="Times New Roman"/>
          <w:kern w:val="2"/>
          <w:szCs w:val="26"/>
        </w:rPr>
        <w:t>.</w:t>
      </w:r>
      <w:r w:rsidRPr="00295B9F" w:rsidR="00B449BA">
        <w:rPr>
          <w:rFonts w:eastAsia="Times New Roman"/>
          <w:kern w:val="2"/>
          <w:szCs w:val="26"/>
        </w:rPr>
        <w:t>” (</w:t>
      </w:r>
      <w:r w:rsidRPr="00295B9F" w:rsidR="00B449BA">
        <w:rPr>
          <w:rFonts w:eastAsia="Times New Roman"/>
          <w:i/>
          <w:iCs/>
          <w:kern w:val="2"/>
          <w:szCs w:val="26"/>
        </w:rPr>
        <w:t>Barnhill</w:t>
      </w:r>
      <w:r w:rsidRPr="00295B9F" w:rsidR="002D290C">
        <w:rPr>
          <w:rFonts w:eastAsia="Times New Roman"/>
          <w:kern w:val="2"/>
          <w:szCs w:val="26"/>
        </w:rPr>
        <w:t xml:space="preserve">, </w:t>
      </w:r>
      <w:r w:rsidRPr="00295B9F" w:rsidR="002D290C">
        <w:rPr>
          <w:rFonts w:eastAsia="Times New Roman"/>
          <w:i/>
          <w:iCs/>
          <w:kern w:val="2"/>
          <w:szCs w:val="26"/>
        </w:rPr>
        <w:t>supra</w:t>
      </w:r>
      <w:r w:rsidRPr="00295B9F" w:rsidR="002D290C">
        <w:rPr>
          <w:rFonts w:eastAsia="Times New Roman"/>
          <w:kern w:val="2"/>
          <w:szCs w:val="26"/>
        </w:rPr>
        <w:t>,</w:t>
      </w:r>
      <w:r w:rsidRPr="00295B9F" w:rsidR="00B449BA">
        <w:rPr>
          <w:rFonts w:eastAsia="Times New Roman"/>
          <w:kern w:val="2"/>
          <w:szCs w:val="26"/>
        </w:rPr>
        <w:t xml:space="preserve"> 125 Cal.App.3d </w:t>
      </w:r>
      <w:r w:rsidRPr="00295B9F" w:rsidR="002D290C">
        <w:rPr>
          <w:rFonts w:eastAsia="Times New Roman"/>
          <w:kern w:val="2"/>
          <w:szCs w:val="26"/>
        </w:rPr>
        <w:t>at p.</w:t>
      </w:r>
      <w:r w:rsidRPr="00295B9F" w:rsidR="00B449BA">
        <w:rPr>
          <w:rFonts w:eastAsia="Times New Roman"/>
          <w:kern w:val="2"/>
          <w:szCs w:val="26"/>
        </w:rPr>
        <w:t xml:space="preserve"> </w:t>
      </w:r>
      <w:r w:rsidRPr="00295B9F" w:rsidR="00892E2A">
        <w:rPr>
          <w:rFonts w:eastAsia="Times New Roman"/>
          <w:kern w:val="2"/>
          <w:szCs w:val="26"/>
        </w:rPr>
        <w:t>7</w:t>
      </w:r>
      <w:r w:rsidRPr="00295B9F" w:rsidR="002D290C">
        <w:rPr>
          <w:rFonts w:eastAsia="Times New Roman"/>
          <w:kern w:val="2"/>
          <w:szCs w:val="26"/>
        </w:rPr>
        <w:t>,</w:t>
      </w:r>
      <w:r w:rsidRPr="00295B9F" w:rsidR="00892E2A">
        <w:rPr>
          <w:rFonts w:eastAsia="Times New Roman"/>
          <w:kern w:val="2"/>
          <w:szCs w:val="26"/>
        </w:rPr>
        <w:t xml:space="preserve"> </w:t>
      </w:r>
      <w:r w:rsidR="00A4134C">
        <w:rPr>
          <w:rFonts w:eastAsia="Times New Roman"/>
          <w:kern w:val="2"/>
          <w:szCs w:val="26"/>
        </w:rPr>
        <w:t xml:space="preserve">original </w:t>
      </w:r>
      <w:r w:rsidRPr="00295B9F" w:rsidR="00892E2A">
        <w:rPr>
          <w:rFonts w:eastAsia="Times New Roman"/>
          <w:kern w:val="2"/>
          <w:szCs w:val="26"/>
        </w:rPr>
        <w:t>italics</w:t>
      </w:r>
      <w:r w:rsidRPr="00295B9F" w:rsidR="001033F6">
        <w:rPr>
          <w:rFonts w:eastAsia="Times New Roman"/>
          <w:kern w:val="2"/>
          <w:szCs w:val="26"/>
        </w:rPr>
        <w:t xml:space="preserve">; see also </w:t>
      </w:r>
      <w:r w:rsidRPr="00295B9F" w:rsidR="00895C55">
        <w:rPr>
          <w:rFonts w:eastAsia="Times New Roman"/>
          <w:i/>
          <w:iCs/>
          <w:kern w:val="2"/>
          <w:szCs w:val="26"/>
        </w:rPr>
        <w:t>Amaral</w:t>
      </w:r>
      <w:r w:rsidR="00A4134C">
        <w:rPr>
          <w:rFonts w:eastAsia="Times New Roman"/>
          <w:iCs/>
          <w:kern w:val="2"/>
          <w:szCs w:val="26"/>
        </w:rPr>
        <w:t xml:space="preserve">, </w:t>
      </w:r>
      <w:r w:rsidR="00613138">
        <w:rPr>
          <w:rFonts w:eastAsia="Times New Roman"/>
          <w:i/>
          <w:iCs/>
          <w:kern w:val="2"/>
          <w:szCs w:val="26"/>
        </w:rPr>
        <w:t>supra</w:t>
      </w:r>
      <w:r w:rsidR="00613138">
        <w:rPr>
          <w:rFonts w:eastAsia="Times New Roman"/>
          <w:iCs/>
          <w:kern w:val="2"/>
          <w:szCs w:val="26"/>
        </w:rPr>
        <w:t>,</w:t>
      </w:r>
      <w:r w:rsidRPr="00295B9F" w:rsidR="00895C55">
        <w:rPr>
          <w:rFonts w:eastAsia="Times New Roman"/>
          <w:i/>
          <w:iCs/>
          <w:kern w:val="2"/>
          <w:szCs w:val="26"/>
        </w:rPr>
        <w:t xml:space="preserve"> </w:t>
      </w:r>
      <w:r w:rsidRPr="00295B9F" w:rsidR="0095699F">
        <w:rPr>
          <w:rFonts w:eastAsia="Times New Roman"/>
          <w:kern w:val="2"/>
          <w:szCs w:val="26"/>
        </w:rPr>
        <w:t>163 Cal.App.</w:t>
      </w:r>
      <w:r w:rsidRPr="00295B9F" w:rsidR="000E04FE">
        <w:rPr>
          <w:rFonts w:eastAsia="Times New Roman"/>
          <w:kern w:val="2"/>
          <w:szCs w:val="26"/>
        </w:rPr>
        <w:t>4th</w:t>
      </w:r>
      <w:r w:rsidRPr="00295B9F" w:rsidR="0095699F">
        <w:rPr>
          <w:rFonts w:eastAsia="Times New Roman"/>
          <w:kern w:val="2"/>
          <w:szCs w:val="26"/>
        </w:rPr>
        <w:t xml:space="preserve"> </w:t>
      </w:r>
      <w:r w:rsidR="00613138">
        <w:rPr>
          <w:rFonts w:eastAsia="Times New Roman"/>
          <w:kern w:val="2"/>
          <w:szCs w:val="26"/>
        </w:rPr>
        <w:t>at p.</w:t>
      </w:r>
      <w:r w:rsidRPr="00295B9F" w:rsidR="0095699F">
        <w:rPr>
          <w:rFonts w:eastAsia="Times New Roman"/>
          <w:kern w:val="2"/>
          <w:szCs w:val="26"/>
        </w:rPr>
        <w:t xml:space="preserve"> </w:t>
      </w:r>
      <w:r w:rsidRPr="00295B9F" w:rsidR="0019526F">
        <w:rPr>
          <w:rFonts w:eastAsia="Times New Roman"/>
          <w:kern w:val="2"/>
          <w:szCs w:val="26"/>
        </w:rPr>
        <w:t>1201 [“The settled meaning of ‘willful,’ as used in section 203, is that an employer has intentional</w:t>
      </w:r>
      <w:r w:rsidRPr="00295B9F" w:rsidR="0008155B">
        <w:rPr>
          <w:rFonts w:eastAsia="Times New Roman"/>
          <w:kern w:val="2"/>
          <w:szCs w:val="26"/>
        </w:rPr>
        <w:t>ly</w:t>
      </w:r>
      <w:r w:rsidRPr="00295B9F" w:rsidR="0019526F">
        <w:rPr>
          <w:rFonts w:eastAsia="Times New Roman"/>
          <w:kern w:val="2"/>
          <w:szCs w:val="26"/>
        </w:rPr>
        <w:t xml:space="preserve"> failed or refused to per</w:t>
      </w:r>
      <w:r w:rsidRPr="00295B9F" w:rsidR="0008155B">
        <w:rPr>
          <w:rFonts w:eastAsia="Times New Roman"/>
          <w:kern w:val="2"/>
          <w:szCs w:val="26"/>
        </w:rPr>
        <w:t>form an act that was required to be done.”].)</w:t>
      </w:r>
    </w:p>
    <w:p w:rsidR="009468F9" w:rsidRPr="00295B9F" w:rsidP="00E460CC" w14:paraId="6CF7B35B" w14:textId="4C2D6AC1">
      <w:pPr>
        <w:ind w:firstLine="720"/>
        <w:rPr>
          <w:rFonts w:eastAsia="Times New Roman"/>
          <w:kern w:val="2"/>
          <w:szCs w:val="26"/>
        </w:rPr>
      </w:pPr>
      <w:r w:rsidRPr="00295B9F">
        <w:rPr>
          <w:rFonts w:eastAsia="Times New Roman"/>
          <w:kern w:val="2"/>
          <w:szCs w:val="26"/>
        </w:rPr>
        <w:t>Moreover</w:t>
      </w:r>
      <w:r w:rsidRPr="00295B9F" w:rsidR="00124D1F">
        <w:rPr>
          <w:rFonts w:eastAsia="Times New Roman"/>
          <w:kern w:val="2"/>
          <w:szCs w:val="26"/>
        </w:rPr>
        <w:t xml:space="preserve">, </w:t>
      </w:r>
      <w:r w:rsidRPr="00295B9F" w:rsidR="00376E76">
        <w:rPr>
          <w:rFonts w:eastAsia="Times New Roman"/>
          <w:kern w:val="2"/>
          <w:szCs w:val="26"/>
        </w:rPr>
        <w:t xml:space="preserve">although </w:t>
      </w:r>
      <w:r w:rsidRPr="00295B9F" w:rsidR="00C86618">
        <w:rPr>
          <w:rFonts w:eastAsia="Times New Roman"/>
          <w:kern w:val="2"/>
          <w:szCs w:val="26"/>
        </w:rPr>
        <w:t xml:space="preserve">district </w:t>
      </w:r>
      <w:r w:rsidRPr="00295B9F" w:rsidR="00376E76">
        <w:rPr>
          <w:rFonts w:eastAsia="Times New Roman"/>
          <w:kern w:val="2"/>
          <w:szCs w:val="26"/>
        </w:rPr>
        <w:t xml:space="preserve">courts in California </w:t>
      </w:r>
      <w:r w:rsidRPr="00295B9F" w:rsidR="00C86618">
        <w:rPr>
          <w:rFonts w:eastAsia="Times New Roman"/>
          <w:kern w:val="2"/>
          <w:szCs w:val="26"/>
        </w:rPr>
        <w:t>are divided on the question, the majority view</w:t>
      </w:r>
      <w:r w:rsidRPr="00295B9F" w:rsidR="004A5640">
        <w:rPr>
          <w:rFonts w:eastAsia="Times New Roman"/>
          <w:kern w:val="2"/>
          <w:szCs w:val="26"/>
        </w:rPr>
        <w:t xml:space="preserve"> </w:t>
      </w:r>
      <w:r w:rsidRPr="00295B9F" w:rsidR="00D3611B">
        <w:rPr>
          <w:rFonts w:eastAsia="Times New Roman"/>
          <w:kern w:val="2"/>
          <w:szCs w:val="26"/>
        </w:rPr>
        <w:t xml:space="preserve">is that an employer’s good faith belief it is not violating </w:t>
      </w:r>
      <w:r w:rsidRPr="00295B9F" w:rsidR="006B5256">
        <w:rPr>
          <w:rFonts w:eastAsia="Times New Roman"/>
          <w:kern w:val="2"/>
          <w:szCs w:val="26"/>
        </w:rPr>
        <w:t>the Cali</w:t>
      </w:r>
      <w:r w:rsidRPr="00295B9F" w:rsidR="000940E4">
        <w:rPr>
          <w:rFonts w:eastAsia="Times New Roman"/>
          <w:kern w:val="2"/>
          <w:szCs w:val="26"/>
        </w:rPr>
        <w:t>f</w:t>
      </w:r>
      <w:r w:rsidRPr="00295B9F" w:rsidR="006B5256">
        <w:rPr>
          <w:rFonts w:eastAsia="Times New Roman"/>
          <w:kern w:val="2"/>
          <w:szCs w:val="26"/>
        </w:rPr>
        <w:t>ornia Labor Code precludes a finding of a knowing and intentional violation.</w:t>
      </w:r>
      <w:r w:rsidRPr="00295B9F" w:rsidR="00EF56E1">
        <w:rPr>
          <w:rFonts w:eastAsia="Times New Roman"/>
          <w:kern w:val="2"/>
          <w:szCs w:val="26"/>
        </w:rPr>
        <w:t xml:space="preserve"> </w:t>
      </w:r>
      <w:r w:rsidRPr="00295B9F" w:rsidR="006B5256">
        <w:rPr>
          <w:rFonts w:eastAsia="Times New Roman"/>
          <w:kern w:val="2"/>
          <w:szCs w:val="26"/>
        </w:rPr>
        <w:t>(See</w:t>
      </w:r>
      <w:r w:rsidR="00613138">
        <w:rPr>
          <w:rFonts w:eastAsia="Times New Roman"/>
          <w:kern w:val="2"/>
          <w:szCs w:val="26"/>
        </w:rPr>
        <w:t>,</w:t>
      </w:r>
      <w:r w:rsidRPr="00295B9F" w:rsidR="000940E4">
        <w:rPr>
          <w:rFonts w:eastAsia="Times New Roman"/>
          <w:kern w:val="2"/>
          <w:szCs w:val="26"/>
        </w:rPr>
        <w:t xml:space="preserve"> e.g.</w:t>
      </w:r>
      <w:r w:rsidR="00613138">
        <w:rPr>
          <w:rFonts w:eastAsia="Times New Roman"/>
          <w:kern w:val="2"/>
          <w:szCs w:val="26"/>
        </w:rPr>
        <w:t>,</w:t>
      </w:r>
      <w:r w:rsidRPr="00295B9F" w:rsidR="000940E4">
        <w:rPr>
          <w:rFonts w:eastAsia="Times New Roman"/>
          <w:kern w:val="2"/>
          <w:szCs w:val="26"/>
        </w:rPr>
        <w:t xml:space="preserve"> </w:t>
      </w:r>
      <w:r w:rsidRPr="00295B9F" w:rsidR="00ED4131">
        <w:rPr>
          <w:rFonts w:eastAsia="Times New Roman"/>
          <w:i/>
          <w:iCs/>
          <w:kern w:val="2"/>
          <w:szCs w:val="26"/>
        </w:rPr>
        <w:t>Oman v. Delta Air Lines, Inc</w:t>
      </w:r>
      <w:r w:rsidRPr="00295B9F" w:rsidR="00ED4131">
        <w:rPr>
          <w:rFonts w:eastAsia="Times New Roman"/>
          <w:kern w:val="2"/>
          <w:szCs w:val="26"/>
        </w:rPr>
        <w:t>. (</w:t>
      </w:r>
      <w:r w:rsidRPr="00295B9F" w:rsidR="0095332D">
        <w:rPr>
          <w:rFonts w:eastAsia="Times New Roman"/>
          <w:kern w:val="2"/>
          <w:szCs w:val="26"/>
        </w:rPr>
        <w:t>C.D. Cal., July 8, 2022, No.</w:t>
      </w:r>
      <w:r w:rsidRPr="00295B9F" w:rsidR="007619C1">
        <w:t xml:space="preserve"> </w:t>
      </w:r>
      <w:r w:rsidRPr="00295B9F" w:rsidR="007619C1">
        <w:rPr>
          <w:rFonts w:eastAsia="Times New Roman"/>
          <w:kern w:val="2"/>
          <w:szCs w:val="26"/>
        </w:rPr>
        <w:t>15-cv-00131-WHO</w:t>
      </w:r>
      <w:r w:rsidRPr="00295B9F" w:rsidR="0095332D">
        <w:rPr>
          <w:rFonts w:eastAsia="Times New Roman"/>
          <w:kern w:val="2"/>
          <w:szCs w:val="26"/>
        </w:rPr>
        <w:t>) 2022 U.S. Dist. LEXI</w:t>
      </w:r>
      <w:r w:rsidRPr="00295B9F" w:rsidR="007619C1">
        <w:rPr>
          <w:rFonts w:eastAsia="Times New Roman"/>
          <w:kern w:val="2"/>
          <w:szCs w:val="26"/>
        </w:rPr>
        <w:t>S</w:t>
      </w:r>
      <w:r w:rsidRPr="00295B9F" w:rsidR="0095332D">
        <w:rPr>
          <w:rFonts w:eastAsia="Times New Roman"/>
          <w:kern w:val="2"/>
          <w:szCs w:val="26"/>
        </w:rPr>
        <w:t xml:space="preserve"> 184423, at *</w:t>
      </w:r>
      <w:r w:rsidRPr="00295B9F" w:rsidR="000111E4">
        <w:rPr>
          <w:rFonts w:eastAsia="Times New Roman"/>
          <w:kern w:val="2"/>
          <w:szCs w:val="26"/>
        </w:rPr>
        <w:t xml:space="preserve">30-31 [collecting cases]; </w:t>
      </w:r>
      <w:r w:rsidRPr="00295B9F" w:rsidR="00C1100E">
        <w:rPr>
          <w:rFonts w:eastAsia="Times New Roman"/>
          <w:i/>
          <w:iCs/>
          <w:kern w:val="2"/>
          <w:szCs w:val="26"/>
        </w:rPr>
        <w:t>Arroyo v. Int</w:t>
      </w:r>
      <w:r w:rsidRPr="00295B9F" w:rsidR="000F4FBC">
        <w:rPr>
          <w:rFonts w:eastAsia="Times New Roman"/>
          <w:i/>
          <w:iCs/>
          <w:kern w:val="2"/>
          <w:szCs w:val="26"/>
        </w:rPr>
        <w:t>’</w:t>
      </w:r>
      <w:r w:rsidRPr="00295B9F" w:rsidR="00C1100E">
        <w:rPr>
          <w:rFonts w:eastAsia="Times New Roman"/>
          <w:i/>
          <w:iCs/>
          <w:kern w:val="2"/>
          <w:szCs w:val="26"/>
        </w:rPr>
        <w:t xml:space="preserve">l Paper </w:t>
      </w:r>
      <w:r w:rsidRPr="00295B9F" w:rsidR="001155BF">
        <w:rPr>
          <w:rFonts w:eastAsia="Times New Roman"/>
          <w:i/>
          <w:iCs/>
          <w:kern w:val="2"/>
          <w:szCs w:val="26"/>
        </w:rPr>
        <w:t>C</w:t>
      </w:r>
      <w:r w:rsidRPr="00295B9F" w:rsidR="00C1100E">
        <w:rPr>
          <w:rFonts w:eastAsia="Times New Roman"/>
          <w:i/>
          <w:iCs/>
          <w:kern w:val="2"/>
          <w:szCs w:val="26"/>
        </w:rPr>
        <w:t>o</w:t>
      </w:r>
      <w:r w:rsidRPr="00295B9F" w:rsidR="000F4FBC">
        <w:rPr>
          <w:rFonts w:eastAsia="Times New Roman"/>
          <w:i/>
          <w:iCs/>
          <w:kern w:val="2"/>
          <w:szCs w:val="26"/>
        </w:rPr>
        <w:t>.</w:t>
      </w:r>
      <w:r w:rsidRPr="00295B9F" w:rsidR="00C1100E">
        <w:rPr>
          <w:rFonts w:eastAsia="Times New Roman"/>
          <w:i/>
          <w:iCs/>
          <w:kern w:val="2"/>
          <w:szCs w:val="26"/>
        </w:rPr>
        <w:t xml:space="preserve"> </w:t>
      </w:r>
      <w:r w:rsidRPr="00295B9F" w:rsidR="00C1100E">
        <w:rPr>
          <w:rFonts w:eastAsia="Times New Roman"/>
          <w:kern w:val="2"/>
          <w:szCs w:val="26"/>
        </w:rPr>
        <w:t>(N.D. Cal., Feb. 24, 2020</w:t>
      </w:r>
      <w:r w:rsidRPr="00295B9F" w:rsidR="00996D9D">
        <w:rPr>
          <w:rFonts w:eastAsia="Times New Roman"/>
          <w:kern w:val="2"/>
          <w:szCs w:val="26"/>
        </w:rPr>
        <w:t>, No. 17-</w:t>
      </w:r>
      <w:r w:rsidRPr="00295B9F" w:rsidR="00BC3043">
        <w:rPr>
          <w:rFonts w:eastAsia="Times New Roman"/>
          <w:kern w:val="2"/>
          <w:szCs w:val="26"/>
        </w:rPr>
        <w:t>cv</w:t>
      </w:r>
      <w:r w:rsidRPr="00295B9F" w:rsidR="00996D9D">
        <w:rPr>
          <w:rFonts w:eastAsia="Times New Roman"/>
          <w:kern w:val="2"/>
          <w:szCs w:val="26"/>
        </w:rPr>
        <w:t>-06211-BLF</w:t>
      </w:r>
      <w:r w:rsidRPr="00295B9F" w:rsidR="008C4418">
        <w:rPr>
          <w:rFonts w:eastAsia="Times New Roman"/>
          <w:kern w:val="2"/>
          <w:szCs w:val="26"/>
        </w:rPr>
        <w:t xml:space="preserve">) </w:t>
      </w:r>
      <w:r w:rsidRPr="00295B9F" w:rsidR="00C14949">
        <w:rPr>
          <w:rFonts w:eastAsia="Times New Roman"/>
          <w:kern w:val="2"/>
          <w:szCs w:val="26"/>
        </w:rPr>
        <w:t>2020 U.S. Dist. LEXIS 32069</w:t>
      </w:r>
      <w:r w:rsidRPr="00295B9F" w:rsidR="008C4418">
        <w:rPr>
          <w:rFonts w:eastAsia="Times New Roman"/>
          <w:kern w:val="2"/>
          <w:szCs w:val="26"/>
        </w:rPr>
        <w:t>, at *</w:t>
      </w:r>
      <w:r w:rsidRPr="00295B9F" w:rsidR="0099487F">
        <w:rPr>
          <w:rFonts w:eastAsia="Times New Roman"/>
          <w:kern w:val="2"/>
          <w:szCs w:val="26"/>
        </w:rPr>
        <w:t>38-39</w:t>
      </w:r>
      <w:r w:rsidRPr="00295B9F" w:rsidR="007D479E">
        <w:rPr>
          <w:rFonts w:eastAsia="Times New Roman"/>
          <w:kern w:val="2"/>
          <w:szCs w:val="26"/>
        </w:rPr>
        <w:t>, original emphasis</w:t>
      </w:r>
      <w:r w:rsidRPr="00295B9F" w:rsidR="008C4418">
        <w:rPr>
          <w:rFonts w:eastAsia="Times New Roman"/>
          <w:kern w:val="2"/>
          <w:szCs w:val="26"/>
        </w:rPr>
        <w:t xml:space="preserve"> [</w:t>
      </w:r>
      <w:r w:rsidRPr="00295B9F" w:rsidR="00C91582">
        <w:rPr>
          <w:rFonts w:eastAsia="Times New Roman"/>
          <w:kern w:val="2"/>
          <w:szCs w:val="26"/>
        </w:rPr>
        <w:t xml:space="preserve">finding </w:t>
      </w:r>
      <w:r w:rsidRPr="00295B9F" w:rsidR="001F5CEB">
        <w:rPr>
          <w:rFonts w:eastAsia="Times New Roman"/>
          <w:kern w:val="2"/>
          <w:szCs w:val="26"/>
        </w:rPr>
        <w:t>persuasive</w:t>
      </w:r>
      <w:r w:rsidRPr="00295B9F" w:rsidR="00C91582">
        <w:rPr>
          <w:rFonts w:eastAsia="Times New Roman"/>
          <w:kern w:val="2"/>
          <w:szCs w:val="26"/>
        </w:rPr>
        <w:t xml:space="preserve"> those decisions holding that a</w:t>
      </w:r>
      <w:r w:rsidRPr="00295B9F" w:rsidR="00EA6701">
        <w:rPr>
          <w:rFonts w:eastAsia="Times New Roman"/>
          <w:kern w:val="2"/>
          <w:szCs w:val="26"/>
        </w:rPr>
        <w:t>n employer’s good faith belie</w:t>
      </w:r>
      <w:r w:rsidRPr="00295B9F" w:rsidR="005D74CB">
        <w:rPr>
          <w:rFonts w:eastAsia="Times New Roman"/>
          <w:kern w:val="2"/>
          <w:szCs w:val="26"/>
        </w:rPr>
        <w:t>f</w:t>
      </w:r>
      <w:r w:rsidRPr="00295B9F" w:rsidR="00EA6701">
        <w:rPr>
          <w:rFonts w:eastAsia="Times New Roman"/>
          <w:kern w:val="2"/>
          <w:szCs w:val="26"/>
        </w:rPr>
        <w:t xml:space="preserve"> that it is in </w:t>
      </w:r>
      <w:r w:rsidRPr="00295B9F" w:rsidR="000A2516">
        <w:rPr>
          <w:rFonts w:eastAsia="Times New Roman"/>
          <w:kern w:val="2"/>
          <w:szCs w:val="26"/>
        </w:rPr>
        <w:t>compliance with section 226 pre</w:t>
      </w:r>
      <w:r w:rsidRPr="00295B9F" w:rsidR="00001930">
        <w:rPr>
          <w:rFonts w:eastAsia="Times New Roman"/>
          <w:kern w:val="2"/>
          <w:szCs w:val="26"/>
        </w:rPr>
        <w:t xml:space="preserve">cludes liability under that statute because to do otherwise would </w:t>
      </w:r>
      <w:bookmarkStart w:id="11" w:name="_Hlk121145400"/>
      <w:r w:rsidRPr="00295B9F" w:rsidR="00DB76BD">
        <w:rPr>
          <w:rFonts w:eastAsia="Times New Roman"/>
          <w:kern w:val="2"/>
          <w:szCs w:val="26"/>
        </w:rPr>
        <w:t xml:space="preserve">“read </w:t>
      </w:r>
      <w:r w:rsidRPr="00295B9F" w:rsidR="00DB76BD">
        <w:rPr>
          <w:rFonts w:eastAsia="Times New Roman"/>
          <w:i/>
          <w:iCs/>
          <w:kern w:val="2"/>
          <w:szCs w:val="26"/>
        </w:rPr>
        <w:t>out</w:t>
      </w:r>
      <w:r w:rsidRPr="00295B9F" w:rsidR="00DB76BD">
        <w:rPr>
          <w:rFonts w:eastAsia="Times New Roman"/>
          <w:kern w:val="2"/>
          <w:szCs w:val="26"/>
        </w:rPr>
        <w:t xml:space="preserve"> of [section] 226</w:t>
      </w:r>
      <w:r w:rsidRPr="00295B9F" w:rsidR="00FD15D4">
        <w:rPr>
          <w:rFonts w:eastAsia="Times New Roman"/>
          <w:kern w:val="2"/>
          <w:szCs w:val="26"/>
        </w:rPr>
        <w:t xml:space="preserve">[,subdivision] (e) the mental state implicated by the </w:t>
      </w:r>
      <w:r w:rsidRPr="00295B9F" w:rsidR="001F5CEB">
        <w:rPr>
          <w:rFonts w:eastAsia="Times New Roman"/>
          <w:kern w:val="2"/>
          <w:szCs w:val="26"/>
        </w:rPr>
        <w:t>phrase</w:t>
      </w:r>
      <w:r w:rsidRPr="00295B9F" w:rsidR="00FD15D4">
        <w:rPr>
          <w:rFonts w:eastAsia="Times New Roman"/>
          <w:kern w:val="2"/>
          <w:szCs w:val="26"/>
        </w:rPr>
        <w:t xml:space="preserve"> </w:t>
      </w:r>
      <w:r w:rsidRPr="00295B9F" w:rsidR="00E45F54">
        <w:rPr>
          <w:rFonts w:eastAsia="Times New Roman"/>
          <w:kern w:val="2"/>
          <w:szCs w:val="26"/>
        </w:rPr>
        <w:t>‘</w:t>
      </w:r>
      <w:r w:rsidRPr="00295B9F" w:rsidR="00FD15D4">
        <w:rPr>
          <w:rFonts w:eastAsia="Times New Roman"/>
          <w:kern w:val="2"/>
          <w:szCs w:val="26"/>
        </w:rPr>
        <w:t>knowing and intentional</w:t>
      </w:r>
      <w:r w:rsidRPr="00295B9F" w:rsidR="00E45F54">
        <w:rPr>
          <w:rFonts w:eastAsia="Times New Roman"/>
          <w:kern w:val="2"/>
          <w:szCs w:val="26"/>
        </w:rPr>
        <w:t>’</w:t>
      </w:r>
      <w:r w:rsidRPr="00295B9F" w:rsidR="001F5CEB">
        <w:rPr>
          <w:rFonts w:eastAsia="Times New Roman"/>
          <w:kern w:val="2"/>
          <w:szCs w:val="26"/>
        </w:rPr>
        <w:t>”</w:t>
      </w:r>
      <w:r w:rsidRPr="00295B9F" w:rsidR="006E0A86">
        <w:rPr>
          <w:rFonts w:eastAsia="Times New Roman"/>
          <w:kern w:val="2"/>
          <w:szCs w:val="26"/>
        </w:rPr>
        <w:t>]</w:t>
      </w:r>
      <w:r w:rsidRPr="00295B9F" w:rsidR="00E45F54">
        <w:rPr>
          <w:rFonts w:eastAsia="Times New Roman"/>
          <w:kern w:val="2"/>
          <w:szCs w:val="26"/>
        </w:rPr>
        <w:t xml:space="preserve">; </w:t>
      </w:r>
      <w:bookmarkEnd w:id="11"/>
      <w:r w:rsidRPr="00295B9F" w:rsidR="00C65F8F">
        <w:rPr>
          <w:rFonts w:eastAsia="Times New Roman"/>
          <w:i/>
          <w:iCs/>
          <w:kern w:val="2"/>
          <w:szCs w:val="26"/>
        </w:rPr>
        <w:t>Utne v. Home Depot U.S.A., Inc.</w:t>
      </w:r>
      <w:r w:rsidRPr="00295B9F" w:rsidR="00C65F8F">
        <w:rPr>
          <w:rFonts w:eastAsia="Times New Roman"/>
          <w:kern w:val="2"/>
          <w:szCs w:val="26"/>
        </w:rPr>
        <w:t xml:space="preserve"> </w:t>
      </w:r>
      <w:r w:rsidRPr="00295B9F" w:rsidR="00B97CAF">
        <w:rPr>
          <w:rFonts w:eastAsia="Times New Roman"/>
          <w:kern w:val="2"/>
          <w:szCs w:val="26"/>
        </w:rPr>
        <w:t>(N.D. Cal.</w:t>
      </w:r>
      <w:r w:rsidR="006265C3">
        <w:rPr>
          <w:rFonts w:eastAsia="Times New Roman"/>
          <w:kern w:val="2"/>
          <w:szCs w:val="26"/>
        </w:rPr>
        <w:t>,</w:t>
      </w:r>
      <w:r w:rsidRPr="00295B9F" w:rsidR="00B97CAF">
        <w:rPr>
          <w:rFonts w:eastAsia="Times New Roman"/>
          <w:kern w:val="2"/>
          <w:szCs w:val="26"/>
        </w:rPr>
        <w:t xml:space="preserve"> July 11, 2019</w:t>
      </w:r>
      <w:r w:rsidRPr="00295B9F" w:rsidR="008C52A6">
        <w:rPr>
          <w:rFonts w:eastAsia="Times New Roman"/>
          <w:kern w:val="2"/>
          <w:szCs w:val="26"/>
        </w:rPr>
        <w:t xml:space="preserve">, No. </w:t>
      </w:r>
      <w:r w:rsidRPr="00295B9F" w:rsidR="00F310A2">
        <w:rPr>
          <w:rFonts w:eastAsia="Times New Roman"/>
          <w:kern w:val="2"/>
          <w:szCs w:val="26"/>
        </w:rPr>
        <w:t>16-cv-01854-RS</w:t>
      </w:r>
      <w:r w:rsidRPr="00295B9F" w:rsidR="00F36722">
        <w:rPr>
          <w:rFonts w:eastAsia="Times New Roman"/>
          <w:kern w:val="2"/>
          <w:szCs w:val="26"/>
        </w:rPr>
        <w:t>) 2019 U.S. Dist. LEXIS 115648</w:t>
      </w:r>
      <w:r w:rsidRPr="00295B9F" w:rsidR="009D65E5">
        <w:rPr>
          <w:rFonts w:eastAsia="Times New Roman"/>
          <w:kern w:val="2"/>
          <w:szCs w:val="26"/>
        </w:rPr>
        <w:t>, at *</w:t>
      </w:r>
      <w:r w:rsidRPr="00295B9F" w:rsidR="004F6256">
        <w:rPr>
          <w:rFonts w:eastAsia="Times New Roman"/>
          <w:kern w:val="2"/>
          <w:szCs w:val="26"/>
        </w:rPr>
        <w:t>16</w:t>
      </w:r>
      <w:r w:rsidRPr="00295B9F" w:rsidR="009D65E5">
        <w:rPr>
          <w:rFonts w:eastAsia="Times New Roman"/>
          <w:kern w:val="2"/>
          <w:szCs w:val="26"/>
        </w:rPr>
        <w:t xml:space="preserve"> [</w:t>
      </w:r>
      <w:r w:rsidRPr="00295B9F" w:rsidR="00D32EF0">
        <w:rPr>
          <w:rFonts w:eastAsia="Times New Roman"/>
          <w:kern w:val="2"/>
          <w:szCs w:val="26"/>
        </w:rPr>
        <w:t>noting</w:t>
      </w:r>
      <w:r w:rsidRPr="00295B9F" w:rsidR="00FA0671">
        <w:rPr>
          <w:rFonts w:eastAsia="Times New Roman"/>
          <w:kern w:val="2"/>
          <w:szCs w:val="26"/>
        </w:rPr>
        <w:t xml:space="preserve"> the “‘knowing and intentional’ standard applicable to [s]ection 226 is closely related to the ‘willfulness’ standard which governs [s]ection 203</w:t>
      </w:r>
      <w:r w:rsidRPr="00295B9F" w:rsidR="009B2FA1">
        <w:rPr>
          <w:rFonts w:eastAsia="Times New Roman"/>
          <w:kern w:val="2"/>
          <w:szCs w:val="26"/>
        </w:rPr>
        <w:t xml:space="preserve">” and “[g]iven the similarity between these two governing standards, it is only logical that the good faith defense would apply to both [s]ections, not merely to [s]ection 203”]; </w:t>
      </w:r>
      <w:r w:rsidRPr="00295B9F" w:rsidR="00381138">
        <w:rPr>
          <w:rFonts w:eastAsia="Times New Roman"/>
          <w:i/>
          <w:iCs/>
          <w:kern w:val="2"/>
          <w:szCs w:val="26"/>
        </w:rPr>
        <w:t>Woods</w:t>
      </w:r>
      <w:r w:rsidRPr="00295B9F" w:rsidR="00710878">
        <w:rPr>
          <w:rFonts w:eastAsia="Times New Roman"/>
          <w:i/>
          <w:iCs/>
          <w:kern w:val="2"/>
          <w:szCs w:val="26"/>
        </w:rPr>
        <w:t xml:space="preserve"> v. Vector Mktg. Corp</w:t>
      </w:r>
      <w:r w:rsidRPr="00295B9F" w:rsidR="00710878">
        <w:rPr>
          <w:rFonts w:eastAsia="Times New Roman"/>
          <w:kern w:val="2"/>
          <w:szCs w:val="26"/>
        </w:rPr>
        <w:t xml:space="preserve">. (N.D. Cal., May 22, 2015, </w:t>
      </w:r>
      <w:r w:rsidRPr="00295B9F" w:rsidR="0044513E">
        <w:rPr>
          <w:rFonts w:eastAsia="Times New Roman"/>
          <w:kern w:val="2"/>
          <w:szCs w:val="26"/>
        </w:rPr>
        <w:t xml:space="preserve">No. </w:t>
      </w:r>
      <w:r w:rsidRPr="00295B9F" w:rsidR="007D0793">
        <w:rPr>
          <w:rFonts w:eastAsia="Times New Roman"/>
          <w:kern w:val="2"/>
          <w:szCs w:val="26"/>
        </w:rPr>
        <w:t>C-14-0264 EMC</w:t>
      </w:r>
      <w:r w:rsidRPr="00295B9F" w:rsidR="006E47F9">
        <w:rPr>
          <w:rFonts w:eastAsia="Times New Roman"/>
          <w:kern w:val="2"/>
          <w:szCs w:val="26"/>
        </w:rPr>
        <w:t>) 2015 U.S. Dist. LEXIS 67303, at *</w:t>
      </w:r>
      <w:r w:rsidRPr="00295B9F" w:rsidR="00713C93">
        <w:rPr>
          <w:rFonts w:eastAsia="Times New Roman"/>
          <w:kern w:val="2"/>
          <w:szCs w:val="26"/>
        </w:rPr>
        <w:t>9</w:t>
      </w:r>
      <w:r w:rsidRPr="00295B9F" w:rsidR="0061468E">
        <w:rPr>
          <w:rFonts w:eastAsia="Times New Roman"/>
          <w:kern w:val="2"/>
          <w:szCs w:val="26"/>
        </w:rPr>
        <w:t xml:space="preserve"> (</w:t>
      </w:r>
      <w:r w:rsidRPr="00295B9F" w:rsidR="0061468E">
        <w:rPr>
          <w:rFonts w:eastAsia="Times New Roman"/>
          <w:i/>
          <w:iCs/>
          <w:kern w:val="2"/>
          <w:szCs w:val="26"/>
        </w:rPr>
        <w:t>Woods</w:t>
      </w:r>
      <w:r w:rsidRPr="00295B9F" w:rsidR="0061468E">
        <w:rPr>
          <w:rFonts w:eastAsia="Times New Roman"/>
          <w:kern w:val="2"/>
          <w:szCs w:val="26"/>
        </w:rPr>
        <w:t>)</w:t>
      </w:r>
      <w:r w:rsidRPr="00295B9F" w:rsidR="00713C93">
        <w:rPr>
          <w:rFonts w:eastAsia="Times New Roman"/>
          <w:kern w:val="2"/>
          <w:szCs w:val="26"/>
        </w:rPr>
        <w:t xml:space="preserve"> [expla</w:t>
      </w:r>
      <w:r w:rsidRPr="00295B9F" w:rsidR="00544FD5">
        <w:rPr>
          <w:rFonts w:eastAsia="Times New Roman"/>
          <w:kern w:val="2"/>
          <w:szCs w:val="26"/>
        </w:rPr>
        <w:t>ining</w:t>
      </w:r>
      <w:r w:rsidRPr="00295B9F" w:rsidR="00713C93">
        <w:rPr>
          <w:rFonts w:eastAsia="Times New Roman"/>
          <w:kern w:val="2"/>
          <w:szCs w:val="26"/>
        </w:rPr>
        <w:t xml:space="preserve"> “[t]he similarity between </w:t>
      </w:r>
      <w:r w:rsidRPr="00295B9F" w:rsidR="00544FD5">
        <w:rPr>
          <w:rFonts w:eastAsia="Times New Roman"/>
          <w:kern w:val="2"/>
          <w:szCs w:val="26"/>
        </w:rPr>
        <w:t>‘</w:t>
      </w:r>
      <w:r w:rsidRPr="00295B9F" w:rsidR="00713C93">
        <w:rPr>
          <w:rFonts w:eastAsia="Times New Roman"/>
          <w:kern w:val="2"/>
          <w:szCs w:val="26"/>
        </w:rPr>
        <w:t>knowingly and intentionally</w:t>
      </w:r>
      <w:r w:rsidRPr="00295B9F" w:rsidR="00544FD5">
        <w:rPr>
          <w:rFonts w:eastAsia="Times New Roman"/>
          <w:kern w:val="2"/>
          <w:szCs w:val="26"/>
        </w:rPr>
        <w:t>’</w:t>
      </w:r>
      <w:r w:rsidRPr="00295B9F" w:rsidR="00713C93">
        <w:rPr>
          <w:rFonts w:eastAsia="Times New Roman"/>
          <w:kern w:val="2"/>
          <w:szCs w:val="26"/>
        </w:rPr>
        <w:t xml:space="preserve"> under </w:t>
      </w:r>
      <w:r w:rsidRPr="00295B9F" w:rsidR="00544FD5">
        <w:rPr>
          <w:rFonts w:eastAsia="Times New Roman"/>
          <w:kern w:val="2"/>
          <w:szCs w:val="26"/>
        </w:rPr>
        <w:t>[s]</w:t>
      </w:r>
      <w:r w:rsidRPr="00295B9F" w:rsidR="00713C93">
        <w:rPr>
          <w:rFonts w:eastAsia="Times New Roman"/>
          <w:kern w:val="2"/>
          <w:szCs w:val="26"/>
        </w:rPr>
        <w:t xml:space="preserve">ection 226 and </w:t>
      </w:r>
      <w:r w:rsidRPr="00295B9F" w:rsidR="00544FD5">
        <w:rPr>
          <w:rFonts w:eastAsia="Times New Roman"/>
          <w:kern w:val="2"/>
          <w:szCs w:val="26"/>
        </w:rPr>
        <w:t>‘</w:t>
      </w:r>
      <w:r w:rsidRPr="00295B9F" w:rsidR="00713C93">
        <w:rPr>
          <w:rFonts w:eastAsia="Times New Roman"/>
          <w:kern w:val="2"/>
          <w:szCs w:val="26"/>
        </w:rPr>
        <w:t>willfully</w:t>
      </w:r>
      <w:r w:rsidRPr="00295B9F" w:rsidR="00544FD5">
        <w:rPr>
          <w:rFonts w:eastAsia="Times New Roman"/>
          <w:kern w:val="2"/>
          <w:szCs w:val="26"/>
        </w:rPr>
        <w:t>’</w:t>
      </w:r>
      <w:r w:rsidRPr="00295B9F" w:rsidR="00713C93">
        <w:rPr>
          <w:rFonts w:eastAsia="Times New Roman"/>
          <w:kern w:val="2"/>
          <w:szCs w:val="26"/>
        </w:rPr>
        <w:t xml:space="preserve"> under </w:t>
      </w:r>
      <w:r w:rsidRPr="00295B9F" w:rsidR="00544FD5">
        <w:rPr>
          <w:rFonts w:eastAsia="Times New Roman"/>
          <w:kern w:val="2"/>
          <w:szCs w:val="26"/>
        </w:rPr>
        <w:t>[s]</w:t>
      </w:r>
      <w:r w:rsidRPr="00295B9F" w:rsidR="00713C93">
        <w:rPr>
          <w:rFonts w:eastAsia="Times New Roman"/>
          <w:kern w:val="2"/>
          <w:szCs w:val="26"/>
        </w:rPr>
        <w:t>ection 203 with respect to their incorporation of a good faith dispute defense is consistent with the Labor Code generally for several reasons</w:t>
      </w:r>
      <w:r w:rsidRPr="00295B9F" w:rsidR="00544FD5">
        <w:rPr>
          <w:rFonts w:eastAsia="Times New Roman"/>
          <w:kern w:val="2"/>
          <w:szCs w:val="26"/>
        </w:rPr>
        <w:t xml:space="preserve">” including </w:t>
      </w:r>
      <w:r w:rsidRPr="00295B9F" w:rsidR="006852B7">
        <w:rPr>
          <w:rFonts w:eastAsia="Times New Roman"/>
          <w:kern w:val="2"/>
          <w:szCs w:val="26"/>
        </w:rPr>
        <w:t xml:space="preserve">that “California courts have defined willful as intentional” and </w:t>
      </w:r>
      <w:r w:rsidRPr="00295B9F" w:rsidR="00997299">
        <w:rPr>
          <w:rFonts w:eastAsia="Times New Roman"/>
          <w:kern w:val="2"/>
          <w:szCs w:val="26"/>
        </w:rPr>
        <w:t xml:space="preserve">“the Labor Code itself treats </w:t>
      </w:r>
      <w:r w:rsidRPr="00295B9F" w:rsidR="008935EC">
        <w:rPr>
          <w:rFonts w:eastAsia="Times New Roman"/>
          <w:kern w:val="2"/>
          <w:szCs w:val="26"/>
        </w:rPr>
        <w:t>‘</w:t>
      </w:r>
      <w:r w:rsidRPr="00295B9F" w:rsidR="00997299">
        <w:rPr>
          <w:rFonts w:eastAsia="Times New Roman"/>
          <w:kern w:val="2"/>
          <w:szCs w:val="26"/>
        </w:rPr>
        <w:t>willful</w:t>
      </w:r>
      <w:r w:rsidRPr="00295B9F" w:rsidR="0009709D">
        <w:rPr>
          <w:rFonts w:eastAsia="Times New Roman"/>
          <w:kern w:val="2"/>
          <w:szCs w:val="26"/>
        </w:rPr>
        <w:t>’</w:t>
      </w:r>
      <w:r w:rsidRPr="00295B9F" w:rsidR="00997299">
        <w:rPr>
          <w:rFonts w:eastAsia="Times New Roman"/>
          <w:kern w:val="2"/>
          <w:szCs w:val="26"/>
        </w:rPr>
        <w:t xml:space="preserve"> and </w:t>
      </w:r>
      <w:r w:rsidRPr="00295B9F" w:rsidR="008935EC">
        <w:rPr>
          <w:rFonts w:eastAsia="Times New Roman"/>
          <w:kern w:val="2"/>
          <w:szCs w:val="26"/>
        </w:rPr>
        <w:t>‘</w:t>
      </w:r>
      <w:r w:rsidRPr="00295B9F" w:rsidR="00997299">
        <w:rPr>
          <w:rFonts w:eastAsia="Times New Roman"/>
          <w:kern w:val="2"/>
          <w:szCs w:val="26"/>
        </w:rPr>
        <w:t>knowing and intentional</w:t>
      </w:r>
      <w:r w:rsidRPr="00295B9F" w:rsidR="008935EC">
        <w:rPr>
          <w:rFonts w:eastAsia="Times New Roman"/>
          <w:kern w:val="2"/>
          <w:szCs w:val="26"/>
        </w:rPr>
        <w:t>’</w:t>
      </w:r>
      <w:r w:rsidRPr="00295B9F" w:rsidR="00997299">
        <w:rPr>
          <w:rFonts w:eastAsia="Times New Roman"/>
          <w:kern w:val="2"/>
          <w:szCs w:val="26"/>
        </w:rPr>
        <w:t xml:space="preserve"> violations with similar weight. Violations of </w:t>
      </w:r>
      <w:r w:rsidRPr="00295B9F" w:rsidR="008935EC">
        <w:rPr>
          <w:rFonts w:eastAsia="Times New Roman"/>
          <w:kern w:val="2"/>
          <w:szCs w:val="26"/>
        </w:rPr>
        <w:t>[s]</w:t>
      </w:r>
      <w:r w:rsidRPr="00295B9F" w:rsidR="00997299">
        <w:rPr>
          <w:rFonts w:eastAsia="Times New Roman"/>
          <w:kern w:val="2"/>
          <w:szCs w:val="26"/>
        </w:rPr>
        <w:t>ection 203 and 226 both lead to civil penalties</w:t>
      </w:r>
      <w:r w:rsidRPr="00295B9F" w:rsidR="008935EC">
        <w:rPr>
          <w:rFonts w:eastAsia="Times New Roman"/>
          <w:kern w:val="2"/>
          <w:szCs w:val="26"/>
        </w:rPr>
        <w:t>”]</w:t>
      </w:r>
      <w:r>
        <w:rPr>
          <w:rStyle w:val="FootnoteReference"/>
          <w:rFonts w:eastAsia="Times New Roman"/>
          <w:b w:val="0"/>
          <w:bCs/>
          <w:kern w:val="2"/>
          <w:szCs w:val="26"/>
        </w:rPr>
        <w:footnoteReference w:id="8"/>
      </w:r>
      <w:r w:rsidRPr="00295B9F" w:rsidR="008935EC">
        <w:rPr>
          <w:rFonts w:eastAsia="Times New Roman"/>
          <w:kern w:val="2"/>
          <w:szCs w:val="26"/>
        </w:rPr>
        <w:t xml:space="preserve">; </w:t>
      </w:r>
      <w:r w:rsidRPr="00295B9F" w:rsidR="00977753">
        <w:rPr>
          <w:rFonts w:eastAsia="Times New Roman"/>
          <w:i/>
          <w:iCs/>
          <w:kern w:val="2"/>
          <w:szCs w:val="26"/>
        </w:rPr>
        <w:t>M</w:t>
      </w:r>
      <w:r w:rsidRPr="00295B9F" w:rsidR="002330B9">
        <w:rPr>
          <w:rFonts w:eastAsia="Times New Roman"/>
          <w:i/>
          <w:iCs/>
          <w:kern w:val="2"/>
          <w:szCs w:val="26"/>
        </w:rPr>
        <w:t>agadia v. Wal-Mart Associates, Inc</w:t>
      </w:r>
      <w:r w:rsidRPr="00295B9F" w:rsidR="002330B9">
        <w:rPr>
          <w:rFonts w:eastAsia="Times New Roman"/>
          <w:kern w:val="2"/>
          <w:szCs w:val="26"/>
        </w:rPr>
        <w:t xml:space="preserve">. (N.D. Cal. 2019) 384 F.Supp.3d 1058, </w:t>
      </w:r>
      <w:r w:rsidRPr="00295B9F" w:rsidR="00BD7CBB">
        <w:rPr>
          <w:rFonts w:eastAsia="Times New Roman"/>
          <w:kern w:val="2"/>
          <w:szCs w:val="26"/>
        </w:rPr>
        <w:t>1081 [</w:t>
      </w:r>
      <w:r w:rsidRPr="00295B9F" w:rsidR="003D1CFC">
        <w:rPr>
          <w:rFonts w:eastAsia="Times New Roman"/>
          <w:kern w:val="2"/>
          <w:szCs w:val="26"/>
        </w:rPr>
        <w:t xml:space="preserve">finding </w:t>
      </w:r>
      <w:r w:rsidRPr="00295B9F" w:rsidR="003922E5">
        <w:rPr>
          <w:rFonts w:eastAsia="Times New Roman"/>
          <w:kern w:val="2"/>
          <w:szCs w:val="26"/>
        </w:rPr>
        <w:t xml:space="preserve">the </w:t>
      </w:r>
      <w:r w:rsidRPr="00295B9F" w:rsidR="00E92311">
        <w:rPr>
          <w:rFonts w:eastAsia="Times New Roman"/>
          <w:kern w:val="2"/>
          <w:szCs w:val="26"/>
        </w:rPr>
        <w:t>“</w:t>
      </w:r>
      <w:r w:rsidRPr="00295B9F" w:rsidR="003922E5">
        <w:rPr>
          <w:rFonts w:eastAsia="Times New Roman"/>
          <w:kern w:val="2"/>
          <w:szCs w:val="26"/>
        </w:rPr>
        <w:t>knowing and intentional</w:t>
      </w:r>
      <w:r w:rsidRPr="00295B9F" w:rsidR="00E92311">
        <w:rPr>
          <w:rFonts w:eastAsia="Times New Roman"/>
          <w:kern w:val="2"/>
          <w:szCs w:val="26"/>
        </w:rPr>
        <w:t>”</w:t>
      </w:r>
      <w:r w:rsidRPr="00295B9F" w:rsidR="003922E5">
        <w:rPr>
          <w:rFonts w:eastAsia="Times New Roman"/>
          <w:kern w:val="2"/>
          <w:szCs w:val="26"/>
        </w:rPr>
        <w:t xml:space="preserve"> requirement of section 226 </w:t>
      </w:r>
      <w:r w:rsidRPr="00295B9F" w:rsidR="0048315E">
        <w:rPr>
          <w:rFonts w:eastAsia="Times New Roman"/>
          <w:kern w:val="2"/>
          <w:szCs w:val="26"/>
        </w:rPr>
        <w:t xml:space="preserve">to be “akin” to the willfulness requirement </w:t>
      </w:r>
      <w:r w:rsidRPr="00295B9F" w:rsidR="00E92311">
        <w:rPr>
          <w:rFonts w:eastAsia="Times New Roman"/>
          <w:kern w:val="2"/>
          <w:szCs w:val="26"/>
        </w:rPr>
        <w:t>of section 203]</w:t>
      </w:r>
      <w:r w:rsidRPr="00295B9F" w:rsidR="00B307EF">
        <w:rPr>
          <w:rFonts w:eastAsia="Times New Roman"/>
          <w:kern w:val="2"/>
          <w:szCs w:val="26"/>
        </w:rPr>
        <w:t>.)</w:t>
      </w:r>
    </w:p>
    <w:p w:rsidR="009468F9" w:rsidRPr="00295B9F" w:rsidP="00252678" w14:paraId="633C76A3" w14:textId="79509123">
      <w:pPr>
        <w:ind w:firstLine="720"/>
        <w:rPr>
          <w:rFonts w:eastAsia="Times New Roman"/>
          <w:kern w:val="2"/>
          <w:szCs w:val="26"/>
        </w:rPr>
      </w:pPr>
      <w:r w:rsidRPr="00295B9F">
        <w:rPr>
          <w:rFonts w:eastAsia="Times New Roman"/>
          <w:kern w:val="2"/>
          <w:szCs w:val="26"/>
        </w:rPr>
        <w:t xml:space="preserve">We are unpersuaded by the approach Naranjo </w:t>
      </w:r>
      <w:r w:rsidRPr="00295B9F" w:rsidR="003D597E">
        <w:rPr>
          <w:rFonts w:eastAsia="Times New Roman"/>
          <w:kern w:val="2"/>
          <w:szCs w:val="26"/>
        </w:rPr>
        <w:t>advances</w:t>
      </w:r>
      <w:r w:rsidRPr="00295B9F" w:rsidR="00F94526">
        <w:rPr>
          <w:rFonts w:eastAsia="Times New Roman"/>
          <w:kern w:val="2"/>
          <w:szCs w:val="26"/>
        </w:rPr>
        <w:t>,</w:t>
      </w:r>
      <w:r w:rsidRPr="00295B9F">
        <w:rPr>
          <w:rFonts w:eastAsia="Times New Roman"/>
          <w:kern w:val="2"/>
          <w:szCs w:val="26"/>
        </w:rPr>
        <w:t xml:space="preserve"> and that a minority of </w:t>
      </w:r>
      <w:r w:rsidRPr="00295B9F" w:rsidR="005971DE">
        <w:rPr>
          <w:rFonts w:eastAsia="Times New Roman"/>
          <w:kern w:val="2"/>
          <w:szCs w:val="26"/>
        </w:rPr>
        <w:t xml:space="preserve">federal </w:t>
      </w:r>
      <w:r w:rsidRPr="00295B9F">
        <w:rPr>
          <w:rFonts w:eastAsia="Times New Roman"/>
          <w:kern w:val="2"/>
          <w:szCs w:val="26"/>
        </w:rPr>
        <w:t>district courts have adopted</w:t>
      </w:r>
      <w:r w:rsidRPr="00295B9F" w:rsidR="000250A6">
        <w:rPr>
          <w:rFonts w:eastAsia="Times New Roman"/>
          <w:kern w:val="2"/>
          <w:szCs w:val="26"/>
        </w:rPr>
        <w:t>, which</w:t>
      </w:r>
      <w:r w:rsidRPr="00295B9F" w:rsidR="00642A85">
        <w:rPr>
          <w:rFonts w:eastAsia="Times New Roman"/>
          <w:kern w:val="2"/>
          <w:szCs w:val="26"/>
        </w:rPr>
        <w:t> </w:t>
      </w:r>
      <w:r w:rsidRPr="00295B9F" w:rsidR="000250A6">
        <w:rPr>
          <w:rFonts w:eastAsia="Times New Roman"/>
          <w:kern w:val="2"/>
          <w:szCs w:val="26"/>
        </w:rPr>
        <w:t xml:space="preserve">is that </w:t>
      </w:r>
      <w:r w:rsidRPr="00295B9F" w:rsidR="008E5F5D">
        <w:rPr>
          <w:rFonts w:eastAsia="Times New Roman"/>
          <w:kern w:val="2"/>
          <w:szCs w:val="26"/>
        </w:rPr>
        <w:t xml:space="preserve">“knowing and intentional” is a “minimal standard” </w:t>
      </w:r>
      <w:r w:rsidRPr="00295B9F" w:rsidR="00E11311">
        <w:rPr>
          <w:rFonts w:eastAsia="Times New Roman"/>
          <w:kern w:val="2"/>
          <w:szCs w:val="26"/>
        </w:rPr>
        <w:t>that may be satisfied by simply showing an employer provided an</w:t>
      </w:r>
      <w:r w:rsidRPr="00295B9F" w:rsidR="00642A85">
        <w:rPr>
          <w:rFonts w:eastAsia="Times New Roman"/>
          <w:kern w:val="2"/>
          <w:szCs w:val="26"/>
        </w:rPr>
        <w:t> </w:t>
      </w:r>
      <w:r w:rsidRPr="00295B9F" w:rsidR="00E11311">
        <w:rPr>
          <w:rFonts w:eastAsia="Times New Roman"/>
          <w:kern w:val="2"/>
          <w:szCs w:val="26"/>
        </w:rPr>
        <w:t>inadequate wage statement not as a result of clerical error or</w:t>
      </w:r>
      <w:r w:rsidRPr="00295B9F" w:rsidR="00642A85">
        <w:rPr>
          <w:rFonts w:eastAsia="Times New Roman"/>
          <w:kern w:val="2"/>
          <w:szCs w:val="26"/>
        </w:rPr>
        <w:t> </w:t>
      </w:r>
      <w:r w:rsidRPr="00295B9F" w:rsidR="00E11311">
        <w:rPr>
          <w:rFonts w:eastAsia="Times New Roman"/>
          <w:kern w:val="2"/>
          <w:szCs w:val="26"/>
        </w:rPr>
        <w:t>inadvertent mistake.</w:t>
      </w:r>
      <w:r w:rsidRPr="00295B9F" w:rsidR="00824BCC">
        <w:rPr>
          <w:rFonts w:eastAsia="Times New Roman"/>
          <w:kern w:val="2"/>
          <w:szCs w:val="26"/>
        </w:rPr>
        <w:t xml:space="preserve"> (See </w:t>
      </w:r>
      <w:r w:rsidRPr="00295B9F" w:rsidR="000629E2">
        <w:rPr>
          <w:rFonts w:eastAsia="Times New Roman"/>
          <w:i/>
          <w:iCs/>
          <w:kern w:val="2"/>
          <w:szCs w:val="26"/>
        </w:rPr>
        <w:t>Greenl</w:t>
      </w:r>
      <w:r w:rsidRPr="00295B9F" w:rsidR="000533E5">
        <w:rPr>
          <w:rFonts w:eastAsia="Times New Roman"/>
          <w:i/>
          <w:iCs/>
          <w:kern w:val="2"/>
          <w:szCs w:val="26"/>
        </w:rPr>
        <w:t>ight</w:t>
      </w:r>
      <w:r w:rsidRPr="00295B9F" w:rsidR="001A17B8">
        <w:rPr>
          <w:rFonts w:eastAsia="Times New Roman"/>
          <w:i/>
          <w:iCs/>
          <w:kern w:val="2"/>
          <w:szCs w:val="26"/>
        </w:rPr>
        <w:t xml:space="preserve"> Sys., LLC v. Breckenfelder </w:t>
      </w:r>
      <w:r w:rsidRPr="00295B9F" w:rsidR="001A17B8">
        <w:rPr>
          <w:rFonts w:eastAsia="Times New Roman"/>
          <w:kern w:val="2"/>
          <w:szCs w:val="26"/>
        </w:rPr>
        <w:t xml:space="preserve">(N.D. Cal., June 28, 2021, No. </w:t>
      </w:r>
      <w:r w:rsidRPr="00295B9F" w:rsidR="00D508AD">
        <w:rPr>
          <w:rFonts w:eastAsia="Times New Roman"/>
          <w:kern w:val="2"/>
          <w:szCs w:val="26"/>
        </w:rPr>
        <w:t>19-cv-066</w:t>
      </w:r>
      <w:r w:rsidRPr="00295B9F" w:rsidR="004A3488">
        <w:rPr>
          <w:rFonts w:eastAsia="Times New Roman"/>
          <w:kern w:val="2"/>
          <w:szCs w:val="26"/>
        </w:rPr>
        <w:t>58-EMC</w:t>
      </w:r>
      <w:r w:rsidRPr="00295B9F" w:rsidR="001A17B8">
        <w:rPr>
          <w:rFonts w:eastAsia="Times New Roman"/>
          <w:kern w:val="2"/>
          <w:szCs w:val="26"/>
        </w:rPr>
        <w:t>) 2021 U.S. Dist. LEXIS 120</w:t>
      </w:r>
      <w:r w:rsidRPr="00295B9F" w:rsidR="00626C59">
        <w:rPr>
          <w:rFonts w:eastAsia="Times New Roman"/>
          <w:kern w:val="2"/>
          <w:szCs w:val="26"/>
        </w:rPr>
        <w:t>2</w:t>
      </w:r>
      <w:r w:rsidRPr="00295B9F" w:rsidR="001A17B8">
        <w:rPr>
          <w:rFonts w:eastAsia="Times New Roman"/>
          <w:kern w:val="2"/>
          <w:szCs w:val="26"/>
        </w:rPr>
        <w:t>88, at *39</w:t>
      </w:r>
      <w:r w:rsidRPr="00295B9F" w:rsidR="00603365">
        <w:rPr>
          <w:rFonts w:eastAsia="Times New Roman"/>
          <w:kern w:val="2"/>
          <w:szCs w:val="26"/>
        </w:rPr>
        <w:t xml:space="preserve"> [“[F]or the minority view, ‘knowing and intentional’ </w:t>
      </w:r>
      <w:r w:rsidRPr="00295B9F" w:rsidR="00D508AD">
        <w:rPr>
          <w:rFonts w:eastAsia="Times New Roman"/>
          <w:kern w:val="2"/>
          <w:szCs w:val="26"/>
        </w:rPr>
        <w:t>si</w:t>
      </w:r>
      <w:r w:rsidRPr="00295B9F" w:rsidR="00603365">
        <w:rPr>
          <w:rFonts w:eastAsia="Times New Roman"/>
          <w:kern w:val="2"/>
          <w:szCs w:val="26"/>
        </w:rPr>
        <w:t>mply requires ‘that the</w:t>
      </w:r>
      <w:r w:rsidRPr="00295B9F" w:rsidR="00642A85">
        <w:rPr>
          <w:rFonts w:eastAsia="Times New Roman"/>
          <w:kern w:val="2"/>
          <w:szCs w:val="26"/>
        </w:rPr>
        <w:t> </w:t>
      </w:r>
      <w:r w:rsidRPr="00295B9F" w:rsidR="00603365">
        <w:rPr>
          <w:rFonts w:eastAsia="Times New Roman"/>
          <w:kern w:val="2"/>
          <w:szCs w:val="26"/>
        </w:rPr>
        <w:t>defendant knew . . . facts existed that brought its actions or omissions with</w:t>
      </w:r>
      <w:r w:rsidRPr="00295B9F" w:rsidR="0041227E">
        <w:rPr>
          <w:rFonts w:eastAsia="Times New Roman"/>
          <w:kern w:val="2"/>
          <w:szCs w:val="26"/>
        </w:rPr>
        <w:t>in</w:t>
      </w:r>
      <w:r w:rsidRPr="00295B9F" w:rsidR="00603365">
        <w:rPr>
          <w:rFonts w:eastAsia="Times New Roman"/>
          <w:kern w:val="2"/>
          <w:szCs w:val="26"/>
        </w:rPr>
        <w:t xml:space="preserve"> the provisions of section 226</w:t>
      </w:r>
      <w:r w:rsidRPr="00295B9F" w:rsidR="00313486">
        <w:rPr>
          <w:rFonts w:eastAsia="Times New Roman"/>
          <w:kern w:val="2"/>
          <w:szCs w:val="26"/>
        </w:rPr>
        <w:t>[,subdivision](a)</w:t>
      </w:r>
      <w:r w:rsidRPr="00295B9F" w:rsidR="00642A85">
        <w:rPr>
          <w:rFonts w:eastAsia="Times New Roman"/>
          <w:kern w:val="2"/>
          <w:szCs w:val="26"/>
        </w:rPr>
        <w:t> </w:t>
      </w:r>
      <w:r w:rsidRPr="00295B9F" w:rsidR="00313486">
        <w:rPr>
          <w:rFonts w:eastAsia="Times New Roman"/>
          <w:kern w:val="2"/>
          <w:szCs w:val="26"/>
        </w:rPr>
        <w:t>.</w:t>
      </w:r>
      <w:r w:rsidRPr="00295B9F" w:rsidR="00642A85">
        <w:rPr>
          <w:rFonts w:eastAsia="Times New Roman"/>
          <w:kern w:val="2"/>
          <w:szCs w:val="26"/>
        </w:rPr>
        <w:t> </w:t>
      </w:r>
      <w:r w:rsidRPr="00295B9F" w:rsidR="00313486">
        <w:rPr>
          <w:rFonts w:eastAsia="Times New Roman"/>
          <w:kern w:val="2"/>
          <w:szCs w:val="26"/>
        </w:rPr>
        <w:t>.</w:t>
      </w:r>
      <w:r w:rsidRPr="00295B9F" w:rsidR="00642A85">
        <w:rPr>
          <w:rFonts w:eastAsia="Times New Roman"/>
          <w:kern w:val="2"/>
          <w:szCs w:val="26"/>
        </w:rPr>
        <w:t> </w:t>
      </w:r>
      <w:r w:rsidRPr="00295B9F" w:rsidR="00313486">
        <w:rPr>
          <w:rFonts w:eastAsia="Times New Roman"/>
          <w:kern w:val="2"/>
          <w:szCs w:val="26"/>
        </w:rPr>
        <w:t>.”].)</w:t>
      </w:r>
      <w:r w:rsidRPr="00295B9F" w:rsidR="007A2F48">
        <w:rPr>
          <w:rFonts w:eastAsia="Times New Roman"/>
          <w:kern w:val="2"/>
          <w:szCs w:val="26"/>
        </w:rPr>
        <w:t xml:space="preserve"> </w:t>
      </w:r>
      <w:r w:rsidRPr="00295B9F" w:rsidR="00DB5FCB">
        <w:rPr>
          <w:rFonts w:eastAsia="Times New Roman"/>
          <w:kern w:val="2"/>
          <w:szCs w:val="26"/>
        </w:rPr>
        <w:t>Rather, c</w:t>
      </w:r>
      <w:r w:rsidRPr="00295B9F" w:rsidR="004A3488">
        <w:rPr>
          <w:rFonts w:eastAsia="Times New Roman"/>
          <w:kern w:val="2"/>
          <w:szCs w:val="26"/>
        </w:rPr>
        <w:t>onsistent with</w:t>
      </w:r>
      <w:r w:rsidRPr="00295B9F" w:rsidR="00D264A5">
        <w:rPr>
          <w:rFonts w:eastAsia="Times New Roman"/>
          <w:kern w:val="2"/>
          <w:szCs w:val="26"/>
        </w:rPr>
        <w:t xml:space="preserve"> California precedent linking </w:t>
      </w:r>
      <w:r w:rsidRPr="00295B9F" w:rsidR="00DD407F">
        <w:rPr>
          <w:rFonts w:eastAsia="Times New Roman"/>
          <w:kern w:val="2"/>
          <w:szCs w:val="26"/>
        </w:rPr>
        <w:t>the “willfulness” standard to a “knowing and intentional” standard,</w:t>
      </w:r>
      <w:r w:rsidRPr="00295B9F" w:rsidR="00D264A5">
        <w:rPr>
          <w:rFonts w:eastAsia="Times New Roman"/>
          <w:kern w:val="2"/>
          <w:szCs w:val="26"/>
        </w:rPr>
        <w:t xml:space="preserve"> </w:t>
      </w:r>
      <w:r w:rsidRPr="00295B9F" w:rsidR="00D979F5">
        <w:rPr>
          <w:rFonts w:eastAsia="Times New Roman"/>
          <w:kern w:val="2"/>
          <w:szCs w:val="26"/>
        </w:rPr>
        <w:t xml:space="preserve">we </w:t>
      </w:r>
      <w:r w:rsidRPr="00295B9F" w:rsidR="00764974">
        <w:rPr>
          <w:rFonts w:eastAsia="Times New Roman"/>
          <w:kern w:val="2"/>
          <w:szCs w:val="26"/>
        </w:rPr>
        <w:t>agree with the weight of authority that</w:t>
      </w:r>
      <w:r w:rsidRPr="00295B9F" w:rsidR="00D979F5">
        <w:rPr>
          <w:rFonts w:eastAsia="Times New Roman"/>
          <w:kern w:val="2"/>
          <w:szCs w:val="26"/>
        </w:rPr>
        <w:t> </w:t>
      </w:r>
      <w:r w:rsidRPr="00295B9F" w:rsidR="00AB5062">
        <w:rPr>
          <w:rFonts w:eastAsia="Times New Roman"/>
          <w:kern w:val="2"/>
          <w:szCs w:val="26"/>
        </w:rPr>
        <w:t xml:space="preserve">a good faith dispute </w:t>
      </w:r>
      <w:r w:rsidRPr="00295B9F" w:rsidR="00133C5C">
        <w:rPr>
          <w:rFonts w:eastAsia="Times New Roman"/>
          <w:kern w:val="2"/>
          <w:szCs w:val="26"/>
        </w:rPr>
        <w:t>over whether</w:t>
      </w:r>
      <w:r w:rsidRPr="00295B9F" w:rsidR="00AB5062">
        <w:rPr>
          <w:rFonts w:eastAsia="Times New Roman"/>
          <w:kern w:val="2"/>
          <w:szCs w:val="26"/>
        </w:rPr>
        <w:t xml:space="preserve"> an employer </w:t>
      </w:r>
      <w:r w:rsidRPr="00295B9F" w:rsidR="00547136">
        <w:rPr>
          <w:rFonts w:eastAsia="Times New Roman"/>
          <w:kern w:val="2"/>
          <w:szCs w:val="26"/>
        </w:rPr>
        <w:t>is in compliance with section 226</w:t>
      </w:r>
      <w:r w:rsidRPr="00295B9F" w:rsidR="00D979F5">
        <w:rPr>
          <w:rFonts w:eastAsia="Times New Roman"/>
          <w:kern w:val="2"/>
          <w:szCs w:val="26"/>
        </w:rPr>
        <w:t> precludes a finding of a knowing and intentional violation.</w:t>
      </w:r>
      <w:r>
        <w:rPr>
          <w:rStyle w:val="FootnoteReference"/>
          <w:rFonts w:eastAsia="Times New Roman"/>
          <w:b w:val="0"/>
          <w:bCs/>
          <w:kern w:val="2"/>
          <w:szCs w:val="26"/>
        </w:rPr>
        <w:footnoteReference w:id="9"/>
      </w:r>
      <w:r w:rsidRPr="00295B9F" w:rsidR="0071145A">
        <w:rPr>
          <w:rFonts w:eastAsia="Times New Roman"/>
          <w:kern w:val="2"/>
          <w:szCs w:val="26"/>
        </w:rPr>
        <w:t xml:space="preserve"> To hold otherwise would “read </w:t>
      </w:r>
      <w:r w:rsidRPr="00295B9F" w:rsidR="0071145A">
        <w:rPr>
          <w:rFonts w:eastAsia="Times New Roman"/>
          <w:i/>
          <w:iCs/>
          <w:kern w:val="2"/>
          <w:szCs w:val="26"/>
        </w:rPr>
        <w:t>out</w:t>
      </w:r>
      <w:r w:rsidRPr="00295B9F" w:rsidR="0071145A">
        <w:rPr>
          <w:rFonts w:eastAsia="Times New Roman"/>
          <w:kern w:val="2"/>
          <w:szCs w:val="26"/>
        </w:rPr>
        <w:t xml:space="preserve"> of [section] 226</w:t>
      </w:r>
      <w:r w:rsidR="003C6925">
        <w:rPr>
          <w:rFonts w:eastAsia="Times New Roman"/>
          <w:kern w:val="2"/>
          <w:szCs w:val="26"/>
        </w:rPr>
        <w:t xml:space="preserve"> </w:t>
      </w:r>
      <w:r w:rsidRPr="00295B9F" w:rsidR="0071145A">
        <w:rPr>
          <w:rFonts w:eastAsia="Times New Roman"/>
          <w:kern w:val="2"/>
          <w:szCs w:val="26"/>
        </w:rPr>
        <w:t>[,subdivision] (e) the mental state implicated by the phrase ‘knowing and intentional</w:t>
      </w:r>
      <w:r w:rsidRPr="00295B9F" w:rsidR="00982431">
        <w:rPr>
          <w:rFonts w:eastAsia="Times New Roman"/>
          <w:kern w:val="2"/>
          <w:szCs w:val="26"/>
        </w:rPr>
        <w:t>.</w:t>
      </w:r>
      <w:r w:rsidRPr="00295B9F" w:rsidR="0071145A">
        <w:rPr>
          <w:rFonts w:eastAsia="Times New Roman"/>
          <w:kern w:val="2"/>
          <w:szCs w:val="26"/>
        </w:rPr>
        <w:t>’</w:t>
      </w:r>
      <w:r w:rsidRPr="00295B9F" w:rsidR="00DC5CF7">
        <w:rPr>
          <w:rFonts w:eastAsia="Times New Roman"/>
          <w:kern w:val="2"/>
          <w:szCs w:val="26"/>
        </w:rPr>
        <w:t>”</w:t>
      </w:r>
      <w:r w:rsidRPr="00295B9F" w:rsidR="00881E10">
        <w:rPr>
          <w:rFonts w:eastAsia="Times New Roman"/>
          <w:kern w:val="2"/>
          <w:szCs w:val="26"/>
        </w:rPr>
        <w:t xml:space="preserve"> (</w:t>
      </w:r>
      <w:r w:rsidRPr="00295B9F" w:rsidR="00B20D80">
        <w:rPr>
          <w:rFonts w:eastAsia="Times New Roman"/>
          <w:i/>
          <w:iCs/>
          <w:kern w:val="2"/>
          <w:szCs w:val="26"/>
        </w:rPr>
        <w:t>Arroyo v. Int</w:t>
      </w:r>
      <w:r w:rsidRPr="00295B9F" w:rsidR="00CC5965">
        <w:rPr>
          <w:rFonts w:eastAsia="Times New Roman"/>
          <w:i/>
          <w:iCs/>
          <w:kern w:val="2"/>
          <w:szCs w:val="26"/>
        </w:rPr>
        <w:t>’</w:t>
      </w:r>
      <w:r w:rsidRPr="00295B9F" w:rsidR="00B20D80">
        <w:rPr>
          <w:rFonts w:eastAsia="Times New Roman"/>
          <w:i/>
          <w:iCs/>
          <w:kern w:val="2"/>
          <w:szCs w:val="26"/>
        </w:rPr>
        <w:t>l Paper Co</w:t>
      </w:r>
      <w:r w:rsidRPr="00295B9F" w:rsidR="00CC5965">
        <w:rPr>
          <w:rFonts w:eastAsia="Times New Roman"/>
          <w:i/>
          <w:iCs/>
          <w:kern w:val="2"/>
          <w:szCs w:val="26"/>
        </w:rPr>
        <w:t>.</w:t>
      </w:r>
      <w:r w:rsidRPr="00295B9F" w:rsidR="0061468E">
        <w:rPr>
          <w:rFonts w:eastAsia="Times New Roman"/>
          <w:i/>
          <w:iCs/>
          <w:kern w:val="2"/>
          <w:szCs w:val="26"/>
        </w:rPr>
        <w:t>, supra,</w:t>
      </w:r>
      <w:r w:rsidRPr="00295B9F" w:rsidR="00B20D80">
        <w:rPr>
          <w:rFonts w:eastAsia="Times New Roman"/>
          <w:kern w:val="2"/>
          <w:szCs w:val="26"/>
        </w:rPr>
        <w:t xml:space="preserve"> 2020 U.S. Dist. LEXIS 32069, at *39</w:t>
      </w:r>
      <w:r w:rsidRPr="00295B9F" w:rsidR="00815A45">
        <w:rPr>
          <w:rFonts w:eastAsia="Times New Roman"/>
          <w:kern w:val="2"/>
          <w:szCs w:val="26"/>
        </w:rPr>
        <w:t>, original emphasis</w:t>
      </w:r>
      <w:r w:rsidRPr="00295B9F" w:rsidR="00B20D80">
        <w:rPr>
          <w:rFonts w:eastAsia="Times New Roman"/>
          <w:kern w:val="2"/>
          <w:szCs w:val="26"/>
        </w:rPr>
        <w:t xml:space="preserve">.) </w:t>
      </w:r>
      <w:r w:rsidRPr="00295B9F" w:rsidR="0071145A">
        <w:rPr>
          <w:rFonts w:eastAsia="Times New Roman"/>
          <w:kern w:val="2"/>
          <w:szCs w:val="26"/>
        </w:rPr>
        <w:t xml:space="preserve"> </w:t>
      </w:r>
    </w:p>
    <w:p w:rsidR="00A615A0" w:rsidRPr="00CA58FB" w:rsidP="00CA58FB" w14:paraId="178CBA5F" w14:textId="46B110A9">
      <w:pPr>
        <w:spacing w:after="160"/>
        <w:ind w:firstLine="720"/>
        <w:rPr>
          <w:rFonts w:eastAsia="Times New Roman"/>
          <w:kern w:val="2"/>
          <w:szCs w:val="26"/>
        </w:rPr>
      </w:pPr>
      <w:r w:rsidRPr="00295B9F">
        <w:rPr>
          <w:rFonts w:eastAsia="Times New Roman"/>
          <w:kern w:val="2"/>
          <w:szCs w:val="26"/>
        </w:rPr>
        <w:t>As discussed above, substantial evidence support</w:t>
      </w:r>
      <w:r w:rsidRPr="00295B9F" w:rsidR="00DB7B21">
        <w:rPr>
          <w:rFonts w:eastAsia="Times New Roman"/>
          <w:kern w:val="2"/>
          <w:szCs w:val="26"/>
        </w:rPr>
        <w:t>s</w:t>
      </w:r>
      <w:r w:rsidRPr="00295B9F">
        <w:rPr>
          <w:rFonts w:eastAsia="Times New Roman"/>
          <w:kern w:val="2"/>
          <w:szCs w:val="26"/>
        </w:rPr>
        <w:t xml:space="preserve"> the trial court’s finding </w:t>
      </w:r>
      <w:r w:rsidRPr="00295B9F" w:rsidR="000C5E80">
        <w:rPr>
          <w:rFonts w:eastAsia="Times New Roman"/>
          <w:kern w:val="2"/>
          <w:szCs w:val="26"/>
        </w:rPr>
        <w:t xml:space="preserve">that Spectrum presented defenses </w:t>
      </w:r>
      <w:r w:rsidRPr="00295B9F" w:rsidR="00B96852">
        <w:rPr>
          <w:rFonts w:eastAsia="Times New Roman"/>
          <w:kern w:val="2"/>
          <w:szCs w:val="26"/>
        </w:rPr>
        <w:t xml:space="preserve">in the first phase of trial </w:t>
      </w:r>
      <w:r w:rsidRPr="00295B9F" w:rsidR="000C5E80">
        <w:rPr>
          <w:rFonts w:eastAsia="Times New Roman"/>
          <w:kern w:val="2"/>
          <w:szCs w:val="26"/>
        </w:rPr>
        <w:t>in good faith</w:t>
      </w:r>
      <w:r w:rsidRPr="00295B9F">
        <w:rPr>
          <w:rFonts w:eastAsia="Times New Roman"/>
          <w:kern w:val="2"/>
          <w:szCs w:val="26"/>
        </w:rPr>
        <w:t xml:space="preserve">. </w:t>
      </w:r>
      <w:r w:rsidRPr="00295B9F" w:rsidR="00FA7CD4">
        <w:rPr>
          <w:rFonts w:eastAsia="Times New Roman"/>
          <w:kern w:val="2"/>
          <w:szCs w:val="26"/>
        </w:rPr>
        <w:t xml:space="preserve">That finding </w:t>
      </w:r>
      <w:r w:rsidRPr="00295B9F" w:rsidR="00B96852">
        <w:rPr>
          <w:rFonts w:eastAsia="Times New Roman"/>
          <w:kern w:val="2"/>
          <w:szCs w:val="26"/>
        </w:rPr>
        <w:t xml:space="preserve">not only </w:t>
      </w:r>
      <w:r w:rsidRPr="00295B9F" w:rsidR="00FA7CD4">
        <w:rPr>
          <w:rFonts w:eastAsia="Times New Roman"/>
          <w:kern w:val="2"/>
          <w:szCs w:val="26"/>
        </w:rPr>
        <w:t xml:space="preserve">precludes a </w:t>
      </w:r>
      <w:r w:rsidRPr="00295B9F" w:rsidR="00B95357">
        <w:rPr>
          <w:rFonts w:eastAsia="Times New Roman"/>
          <w:kern w:val="2"/>
          <w:szCs w:val="26"/>
        </w:rPr>
        <w:t>“</w:t>
      </w:r>
      <w:r w:rsidRPr="00295B9F" w:rsidR="00B96852">
        <w:rPr>
          <w:rFonts w:eastAsia="Times New Roman"/>
          <w:kern w:val="2"/>
          <w:szCs w:val="26"/>
        </w:rPr>
        <w:t>willfulness</w:t>
      </w:r>
      <w:r w:rsidRPr="00295B9F" w:rsidR="00B95357">
        <w:rPr>
          <w:rFonts w:eastAsia="Times New Roman"/>
          <w:kern w:val="2"/>
          <w:szCs w:val="26"/>
        </w:rPr>
        <w:t>”</w:t>
      </w:r>
      <w:r w:rsidRPr="00295B9F" w:rsidR="00B96852">
        <w:rPr>
          <w:rFonts w:eastAsia="Times New Roman"/>
          <w:kern w:val="2"/>
          <w:szCs w:val="26"/>
        </w:rPr>
        <w:t xml:space="preserve"> finding under section 203, but also a “knowing and intentional” </w:t>
      </w:r>
      <w:r w:rsidRPr="00295B9F" w:rsidR="00AF260E">
        <w:rPr>
          <w:rFonts w:eastAsia="Times New Roman"/>
          <w:kern w:val="2"/>
          <w:szCs w:val="26"/>
        </w:rPr>
        <w:t>finding</w:t>
      </w:r>
      <w:r w:rsidRPr="00295B9F" w:rsidR="00B96852">
        <w:rPr>
          <w:rFonts w:eastAsia="Times New Roman"/>
          <w:kern w:val="2"/>
          <w:szCs w:val="26"/>
        </w:rPr>
        <w:t xml:space="preserve"> under section 226</w:t>
      </w:r>
      <w:r w:rsidRPr="00295B9F" w:rsidR="00FA7CD4">
        <w:rPr>
          <w:rFonts w:eastAsia="Times New Roman"/>
          <w:kern w:val="2"/>
          <w:szCs w:val="26"/>
        </w:rPr>
        <w:t>.</w:t>
      </w:r>
      <w:r>
        <w:rPr>
          <w:rStyle w:val="FootnoteReference"/>
          <w:rFonts w:eastAsia="Times New Roman"/>
          <w:b w:val="0"/>
          <w:bCs/>
          <w:kern w:val="2"/>
          <w:szCs w:val="26"/>
        </w:rPr>
        <w:footnoteReference w:id="10"/>
      </w:r>
      <w:r w:rsidRPr="00295B9F" w:rsidR="00FA7CD4">
        <w:rPr>
          <w:rFonts w:eastAsia="Times New Roman"/>
          <w:kern w:val="2"/>
          <w:szCs w:val="26"/>
        </w:rPr>
        <w:t xml:space="preserve"> The trial court therefore erred by </w:t>
      </w:r>
      <w:r w:rsidRPr="00295B9F" w:rsidR="00B95357">
        <w:rPr>
          <w:rFonts w:eastAsia="Times New Roman"/>
          <w:kern w:val="2"/>
          <w:szCs w:val="26"/>
        </w:rPr>
        <w:t xml:space="preserve">awarding penalties under section 226 based on its conclusion </w:t>
      </w:r>
      <w:r w:rsidRPr="00295B9F" w:rsidR="0063352F">
        <w:rPr>
          <w:rFonts w:eastAsia="Times New Roman"/>
          <w:kern w:val="2"/>
          <w:szCs w:val="26"/>
        </w:rPr>
        <w:t>that the omission of the premium pay</w:t>
      </w:r>
      <w:r w:rsidRPr="00295B9F" w:rsidR="005A2686">
        <w:rPr>
          <w:rFonts w:eastAsia="Times New Roman"/>
          <w:kern w:val="2"/>
          <w:szCs w:val="26"/>
        </w:rPr>
        <w:t xml:space="preserve"> on employees’ wage statements</w:t>
      </w:r>
      <w:r w:rsidRPr="00295B9F" w:rsidR="0063352F">
        <w:rPr>
          <w:rFonts w:eastAsia="Times New Roman"/>
          <w:kern w:val="2"/>
          <w:szCs w:val="26"/>
        </w:rPr>
        <w:t xml:space="preserve"> was </w:t>
      </w:r>
      <w:r w:rsidRPr="00295B9F" w:rsidR="00077957">
        <w:rPr>
          <w:rFonts w:eastAsia="Times New Roman"/>
          <w:kern w:val="2"/>
          <w:szCs w:val="26"/>
        </w:rPr>
        <w:t xml:space="preserve">“knowing and intentional” because it was </w:t>
      </w:r>
      <w:r w:rsidRPr="00295B9F" w:rsidR="005A2686">
        <w:rPr>
          <w:rFonts w:eastAsia="Times New Roman"/>
          <w:kern w:val="2"/>
          <w:szCs w:val="26"/>
        </w:rPr>
        <w:t>“</w:t>
      </w:r>
      <w:r w:rsidRPr="00295B9F" w:rsidR="0063352F">
        <w:rPr>
          <w:rFonts w:eastAsia="Times New Roman"/>
          <w:kern w:val="2"/>
          <w:szCs w:val="26"/>
        </w:rPr>
        <w:t>not inadvertent</w:t>
      </w:r>
      <w:r w:rsidRPr="00295B9F" w:rsidR="005A2686">
        <w:rPr>
          <w:rFonts w:eastAsia="Times New Roman"/>
          <w:kern w:val="2"/>
          <w:szCs w:val="26"/>
        </w:rPr>
        <w:t>[.]”</w:t>
      </w:r>
      <w:r>
        <w:rPr>
          <w:rFonts w:eastAsia="Times New Roman"/>
          <w:kern w:val="2"/>
          <w:szCs w:val="26"/>
        </w:rPr>
        <w:t xml:space="preserve"> </w:t>
      </w:r>
      <w:r w:rsidRPr="00295B9F" w:rsidR="0066332D">
        <w:rPr>
          <w:rFonts w:eastAsia="Times New Roman"/>
          <w:kern w:val="2"/>
          <w:szCs w:val="26"/>
        </w:rPr>
        <w:t xml:space="preserve">Because </w:t>
      </w:r>
      <w:r w:rsidRPr="00295B9F" w:rsidR="00C57A8B">
        <w:rPr>
          <w:rFonts w:eastAsia="Times New Roman"/>
          <w:kern w:val="2"/>
          <w:szCs w:val="26"/>
        </w:rPr>
        <w:t>Naranjo was not entitled to section 226 penalties, the attorneys’ fees awarded pursuant to that statute al</w:t>
      </w:r>
      <w:r w:rsidRPr="00295B9F" w:rsidR="004E13A4">
        <w:rPr>
          <w:rFonts w:eastAsia="Times New Roman"/>
          <w:kern w:val="2"/>
          <w:szCs w:val="26"/>
        </w:rPr>
        <w:t>so</w:t>
      </w:r>
      <w:r w:rsidRPr="00295B9F" w:rsidR="00C57A8B">
        <w:rPr>
          <w:rFonts w:eastAsia="Times New Roman"/>
          <w:kern w:val="2"/>
          <w:szCs w:val="26"/>
        </w:rPr>
        <w:t xml:space="preserve"> must be reversed.</w:t>
      </w:r>
      <w:r>
        <w:rPr>
          <w:rStyle w:val="FootnoteReference"/>
          <w:rFonts w:eastAsia="Times New Roman"/>
          <w:b w:val="0"/>
          <w:bCs/>
          <w:kern w:val="2"/>
          <w:szCs w:val="26"/>
        </w:rPr>
        <w:footnoteReference w:id="11"/>
      </w:r>
    </w:p>
    <w:p w:rsidR="00454B70" w:rsidRPr="00295B9F" w:rsidP="00642A85" w14:paraId="5D4B193B" w14:textId="6A353DB2">
      <w:pPr>
        <w:pStyle w:val="ListParagraph"/>
        <w:spacing w:after="160"/>
        <w:ind w:left="0"/>
        <w:jc w:val="center"/>
        <w:rPr>
          <w:b/>
        </w:rPr>
      </w:pPr>
      <w:r w:rsidRPr="00295B9F">
        <w:rPr>
          <w:b/>
        </w:rPr>
        <w:t>DISPOSITION</w:t>
      </w:r>
    </w:p>
    <w:p w:rsidR="00111CE8" w:rsidRPr="00295B9F" w:rsidP="00861B7A" w14:paraId="3079E3F0" w14:textId="6EA5DDDC">
      <w:pPr>
        <w:pStyle w:val="ListParagraph"/>
        <w:ind w:left="0" w:firstLine="720"/>
      </w:pPr>
      <w:r w:rsidRPr="00295B9F">
        <w:t>Following remand from the S</w:t>
      </w:r>
      <w:r w:rsidRPr="00295B9F" w:rsidR="00143700">
        <w:t xml:space="preserve">upreme Court, the disposition </w:t>
      </w:r>
      <w:r w:rsidRPr="00295B9F" w:rsidR="006E7795">
        <w:t xml:space="preserve">remains unchanged from the disposition </w:t>
      </w:r>
      <w:r w:rsidRPr="00295B9F" w:rsidR="003D0935">
        <w:t>contained in our opinion filed</w:t>
      </w:r>
      <w:r w:rsidRPr="00295B9F" w:rsidR="00EE2DE4">
        <w:t xml:space="preserve"> September 26, 2019</w:t>
      </w:r>
      <w:r w:rsidRPr="00295B9F" w:rsidR="00EB1326">
        <w:t>:</w:t>
      </w:r>
      <w:r w:rsidRPr="00295B9F" w:rsidR="003D0935">
        <w:t xml:space="preserve"> </w:t>
      </w:r>
      <w:r w:rsidRPr="00295B9F" w:rsidR="000F7592">
        <w:t>“</w:t>
      </w:r>
      <w:r w:rsidRPr="00295B9F">
        <w:t>That portion of the judgment awarding the meal break subclass premium wages, but denying section 203 penalties, is affirmed. The portion of the judgment assessing section 226 penalties and awarding the meal break subclass attorney fees is reversed. The meal break subclass is entitled to prejudgment interest on the premium wages award at the rate of seven percent. The interlocutory order denying certification of a rest break class is reversed. The matter is remanded to the trial court with directions to award prejudgment interest at seven percent on the premium wages award and to certify a rest break class.</w:t>
      </w:r>
    </w:p>
    <w:p w:rsidR="0080105A" w:rsidRPr="00CA58FB" w:rsidP="00CA58FB" w14:paraId="5EDDB9BB" w14:textId="1C3D761B">
      <w:pPr>
        <w:pStyle w:val="ListParagraph"/>
        <w:ind w:left="0" w:firstLine="720"/>
        <w:rPr>
          <w:u w:val="single"/>
        </w:rPr>
      </w:pPr>
      <w:r w:rsidRPr="00295B9F">
        <w:t>“</w:t>
      </w:r>
      <w:r w:rsidRPr="00295B9F" w:rsidR="00111CE8">
        <w:t>In the interests of justice, the meal break subclass and Naranjo are awarded costs on appeal.</w:t>
      </w:r>
      <w:r w:rsidRPr="00295B9F">
        <w:t>” (</w:t>
      </w:r>
      <w:r w:rsidRPr="00295B9F">
        <w:rPr>
          <w:i/>
          <w:iCs/>
        </w:rPr>
        <w:t>Naranjo II, supra</w:t>
      </w:r>
      <w:r w:rsidRPr="00295B9F">
        <w:t xml:space="preserve">, </w:t>
      </w:r>
      <w:r w:rsidRPr="00295B9F" w:rsidR="00B84BF9">
        <w:t>40 Cal.App.</w:t>
      </w:r>
      <w:r w:rsidRPr="00295B9F" w:rsidR="00135E0C">
        <w:t>5th</w:t>
      </w:r>
      <w:r w:rsidRPr="00295B9F" w:rsidR="00B84BF9">
        <w:t xml:space="preserve"> at p. 481.)</w:t>
      </w:r>
    </w:p>
    <w:p w:rsidR="00CA58FB" w:rsidRPr="00E04131" w:rsidP="00CA58FB" w14:paraId="403A48FA" w14:textId="77777777">
      <w:pPr>
        <w:pStyle w:val="ListParagraph"/>
        <w:ind w:left="0" w:firstLine="720"/>
      </w:pPr>
    </w:p>
    <w:p w:rsidR="00CA58FB" w:rsidRPr="00784CBF" w:rsidP="00CA58FB" w14:paraId="170E66E7" w14:textId="2DC07648">
      <w:pPr>
        <w:pStyle w:val="ListParagraph"/>
        <w:ind w:left="0"/>
        <w:jc w:val="center"/>
        <w:rPr>
          <w:b/>
        </w:rPr>
      </w:pPr>
      <w:r>
        <w:rPr>
          <w:b/>
        </w:rPr>
        <w:t>CERTIFIED FOR PUBLICATION</w:t>
      </w:r>
    </w:p>
    <w:p w:rsidR="00CA58FB" w:rsidRPr="00454B70" w:rsidP="00CA58FB" w14:paraId="1E8E7BB8" w14:textId="77777777">
      <w:pPr>
        <w:pStyle w:val="ListParagraph"/>
      </w:pPr>
    </w:p>
    <w:p w:rsidR="00CA58FB" w:rsidP="00CA58FB" w14:paraId="5B2D067A" w14:textId="77777777">
      <w:pPr>
        <w:jc w:val="right"/>
      </w:pPr>
    </w:p>
    <w:p w:rsidR="00CA58FB" w:rsidP="00CA58FB" w14:paraId="695E5ED8" w14:textId="77777777">
      <w:pPr>
        <w:jc w:val="right"/>
      </w:pPr>
    </w:p>
    <w:p w:rsidR="00CA58FB" w:rsidP="00CA58FB" w14:paraId="64696D37" w14:textId="77777777">
      <w:pPr>
        <w:jc w:val="right"/>
      </w:pPr>
      <w:r>
        <w:t>CURREY, Acting P. J.</w:t>
      </w:r>
    </w:p>
    <w:p w:rsidR="00CA58FB" w:rsidP="00CA58FB" w14:paraId="3B8FD4A3" w14:textId="77777777">
      <w:r>
        <w:t xml:space="preserve">We concur:   </w:t>
      </w:r>
    </w:p>
    <w:p w:rsidR="00CA58FB" w:rsidP="00CA58FB" w14:paraId="17DD3C25" w14:textId="77777777"/>
    <w:p w:rsidR="00CA58FB" w:rsidP="00CA58FB" w14:paraId="1D59237F" w14:textId="77777777"/>
    <w:p w:rsidR="00CA58FB" w:rsidP="00CA58FB" w14:paraId="7FB3809F" w14:textId="77777777"/>
    <w:p w:rsidR="00CA58FB" w:rsidP="00CA58FB" w14:paraId="245A4A86" w14:textId="77777777">
      <w:r>
        <w:t>COLLINS, J.</w:t>
      </w:r>
    </w:p>
    <w:p w:rsidR="00CA58FB" w:rsidRPr="007F2F3E" w:rsidP="00CA58FB" w14:paraId="36E9CCC6" w14:textId="77777777"/>
    <w:p w:rsidR="00CA58FB" w:rsidRPr="007F2F3E" w:rsidP="00CA58FB" w14:paraId="42619674" w14:textId="77777777"/>
    <w:p w:rsidR="00CA58FB" w:rsidRPr="007F2F3E" w:rsidP="00CA58FB" w14:paraId="34D5C7C4" w14:textId="77777777"/>
    <w:p w:rsidR="0080105A" w:rsidRPr="007F2F3E" w:rsidP="00CA58FB" w14:paraId="435AACF7" w14:textId="64D28ED5">
      <w:r w:rsidRPr="007F2F3E">
        <w:t>LAVIN</w:t>
      </w:r>
      <w:r w:rsidRPr="007F2F3E" w:rsidR="00CA58FB">
        <w:t>, J.</w:t>
      </w:r>
      <w:r>
        <w:rPr>
          <w:rStyle w:val="FootnoteReference"/>
        </w:rPr>
        <w:footnoteReference w:customMarkFollows="1" w:id="12"/>
        <w:t xml:space="preserve">*</w:t>
      </w:r>
    </w:p>
    <w:sectPr w:rsidSect="007815ED">
      <w:footerReference w:type="default" r:id="rId6"/>
      <w:pgSz w:w="12240" w:h="15840" w:code="1"/>
      <w:pgMar w:top="2160" w:right="2160" w:bottom="2160" w:left="216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41BA" w14:paraId="5A49BD4F" w14:textId="77777777">
    <w:pPr>
      <w:pStyle w:val="Footer"/>
      <w:jc w:val="center"/>
    </w:pPr>
    <w:r>
      <w:fldChar w:fldCharType="begin"/>
    </w:r>
    <w:r>
      <w:instrText xml:space="preserve"> PAGE   \* MERGEFORMAT </w:instrText>
    </w:r>
    <w:r>
      <w:fldChar w:fldCharType="separate"/>
    </w:r>
    <w:r w:rsidR="003649D8">
      <w:rPr>
        <w:noProof/>
      </w:rPr>
      <w:t>22</w:t>
    </w:r>
    <w:r>
      <w:rPr>
        <w:noProof/>
      </w:rPr>
      <w:fldChar w:fldCharType="end"/>
    </w:r>
  </w:p>
  <w:p w:rsidR="001241BA" w14:paraId="59F053D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47A1D" w:rsidP="009530E4" w14:paraId="02AB3AD4" w14:textId="77777777">
      <w:pPr>
        <w:spacing w:line="240" w:lineRule="auto"/>
      </w:pPr>
      <w:r>
        <w:separator/>
      </w:r>
    </w:p>
  </w:footnote>
  <w:footnote w:type="continuationSeparator" w:id="1">
    <w:p w:rsidR="00647A1D" w:rsidP="009530E4" w14:paraId="5DC40527" w14:textId="77777777">
      <w:pPr>
        <w:spacing w:line="240" w:lineRule="auto"/>
      </w:pPr>
      <w:r>
        <w:continuationSeparator/>
      </w:r>
    </w:p>
  </w:footnote>
  <w:footnote w:type="continuationNotice" w:id="2">
    <w:p w:rsidR="00647A1D" w14:paraId="492D31C7" w14:textId="77777777">
      <w:pPr>
        <w:spacing w:line="240" w:lineRule="auto"/>
      </w:pPr>
    </w:p>
  </w:footnote>
  <w:footnote w:id="3">
    <w:p w:rsidR="005E5D09" w:rsidRPr="00673878" w:rsidP="005E5D09" w14:paraId="46F98522" w14:textId="4B5605E5">
      <w:pPr>
        <w:pStyle w:val="FootnoteText"/>
        <w:spacing w:line="240" w:lineRule="auto"/>
        <w:rPr>
          <w:sz w:val="26"/>
          <w:szCs w:val="26"/>
        </w:rPr>
      </w:pPr>
      <w:r w:rsidRPr="00673878">
        <w:rPr>
          <w:rStyle w:val="FootnoteReference"/>
          <w:b w:val="0"/>
          <w:bCs/>
          <w:sz w:val="26"/>
          <w:szCs w:val="26"/>
          <w:vertAlign w:val="baseline"/>
        </w:rPr>
        <w:footnoteRef/>
      </w:r>
      <w:r w:rsidRPr="00673878">
        <w:rPr>
          <w:b/>
          <w:bCs/>
          <w:sz w:val="26"/>
          <w:szCs w:val="26"/>
        </w:rPr>
        <w:t xml:space="preserve"> </w:t>
      </w:r>
      <w:r w:rsidRPr="00673878">
        <w:rPr>
          <w:sz w:val="26"/>
          <w:szCs w:val="26"/>
        </w:rPr>
        <w:tab/>
        <w:t>All further undesignated statutory references are to the Labor Code.</w:t>
      </w:r>
    </w:p>
  </w:footnote>
  <w:footnote w:id="4">
    <w:p w:rsidR="005F2D5A" w:rsidRPr="00673878" w:rsidP="00FF76F4" w14:paraId="162CDEC2" w14:textId="04C406D1">
      <w:pPr>
        <w:pStyle w:val="FootnoteText"/>
        <w:spacing w:line="240" w:lineRule="auto"/>
        <w:rPr>
          <w:sz w:val="26"/>
          <w:szCs w:val="26"/>
        </w:rPr>
      </w:pPr>
      <w:r w:rsidRPr="00673878">
        <w:rPr>
          <w:rStyle w:val="FootnoteReference"/>
          <w:b w:val="0"/>
          <w:bCs/>
          <w:sz w:val="26"/>
          <w:szCs w:val="26"/>
          <w:vertAlign w:val="baseline"/>
        </w:rPr>
        <w:footnoteRef/>
      </w:r>
      <w:r w:rsidRPr="00673878">
        <w:rPr>
          <w:b/>
          <w:bCs/>
          <w:sz w:val="26"/>
          <w:szCs w:val="26"/>
        </w:rPr>
        <w:t xml:space="preserve"> </w:t>
      </w:r>
      <w:r w:rsidRPr="00673878">
        <w:rPr>
          <w:sz w:val="26"/>
          <w:szCs w:val="26"/>
        </w:rPr>
        <w:tab/>
        <w:t xml:space="preserve">We note that, </w:t>
      </w:r>
      <w:r w:rsidRPr="00673878" w:rsidR="00CA6102">
        <w:rPr>
          <w:sz w:val="26"/>
          <w:szCs w:val="26"/>
        </w:rPr>
        <w:t xml:space="preserve">over 40 years before </w:t>
      </w:r>
      <w:r w:rsidRPr="00673878" w:rsidR="00CA6102">
        <w:rPr>
          <w:i/>
          <w:iCs/>
          <w:sz w:val="26"/>
          <w:szCs w:val="26"/>
        </w:rPr>
        <w:t>Barnhill</w:t>
      </w:r>
      <w:r w:rsidRPr="00673878" w:rsidR="00CA6102">
        <w:rPr>
          <w:sz w:val="26"/>
          <w:szCs w:val="26"/>
        </w:rPr>
        <w:t xml:space="preserve">, the court in </w:t>
      </w:r>
      <w:r w:rsidRPr="00673878" w:rsidR="004254CE">
        <w:rPr>
          <w:i/>
          <w:iCs/>
          <w:sz w:val="26"/>
          <w:szCs w:val="26"/>
        </w:rPr>
        <w:t>Davis v. Morris</w:t>
      </w:r>
      <w:r w:rsidRPr="00673878" w:rsidR="004254CE">
        <w:rPr>
          <w:sz w:val="26"/>
          <w:szCs w:val="26"/>
        </w:rPr>
        <w:t xml:space="preserve"> (1940) 37 Cal.App.2d 269, 274</w:t>
      </w:r>
      <w:r w:rsidR="002D5380">
        <w:rPr>
          <w:sz w:val="26"/>
          <w:szCs w:val="26"/>
        </w:rPr>
        <w:t>,</w:t>
      </w:r>
      <w:r w:rsidRPr="00673878" w:rsidR="004254CE">
        <w:rPr>
          <w:sz w:val="26"/>
          <w:szCs w:val="26"/>
        </w:rPr>
        <w:t xml:space="preserve"> similarly </w:t>
      </w:r>
      <w:r w:rsidRPr="00673878" w:rsidR="00F103AD">
        <w:rPr>
          <w:sz w:val="26"/>
          <w:szCs w:val="26"/>
        </w:rPr>
        <w:t xml:space="preserve">recognized that </w:t>
      </w:r>
      <w:r w:rsidRPr="00673878" w:rsidR="00ED0EC4">
        <w:rPr>
          <w:sz w:val="26"/>
          <w:szCs w:val="26"/>
        </w:rPr>
        <w:t xml:space="preserve">a </w:t>
      </w:r>
      <w:r w:rsidRPr="00673878" w:rsidR="00550FAD">
        <w:rPr>
          <w:sz w:val="26"/>
          <w:szCs w:val="26"/>
        </w:rPr>
        <w:t xml:space="preserve">good faith dispute over whether any wages were due would be a defense to </w:t>
      </w:r>
      <w:r w:rsidRPr="00673878" w:rsidR="00FF76F4">
        <w:rPr>
          <w:sz w:val="26"/>
          <w:szCs w:val="26"/>
        </w:rPr>
        <w:t>a claim</w:t>
      </w:r>
      <w:r w:rsidRPr="00673878" w:rsidR="00550FAD">
        <w:rPr>
          <w:sz w:val="26"/>
          <w:szCs w:val="26"/>
        </w:rPr>
        <w:t xml:space="preserve"> for section 203 penalties</w:t>
      </w:r>
      <w:r w:rsidRPr="00673878" w:rsidR="00884871">
        <w:rPr>
          <w:sz w:val="26"/>
          <w:szCs w:val="26"/>
        </w:rPr>
        <w:t>: “</w:t>
      </w:r>
      <w:r w:rsidRPr="00673878" w:rsidR="00212DA6">
        <w:rPr>
          <w:sz w:val="26"/>
          <w:szCs w:val="26"/>
        </w:rPr>
        <w:t>It was the sole province of the trial court to determine whether the defendants were in good faith in claiming that wages were not due because the plaintiff contributed his services as a member of the partnership. That issue was decided against them.</w:t>
      </w:r>
      <w:r w:rsidRPr="00673878" w:rsidR="00E546CC">
        <w:rPr>
          <w:sz w:val="26"/>
          <w:szCs w:val="26"/>
        </w:rPr>
        <w:t>”</w:t>
      </w:r>
    </w:p>
  </w:footnote>
  <w:footnote w:id="5">
    <w:p w:rsidR="00F669A7" w:rsidRPr="00673878" w:rsidP="00C12A22" w14:paraId="4A1DC7F4" w14:textId="3C8BB53B">
      <w:pPr>
        <w:pStyle w:val="FootnoteText"/>
        <w:spacing w:line="240" w:lineRule="auto"/>
        <w:rPr>
          <w:sz w:val="26"/>
          <w:szCs w:val="26"/>
        </w:rPr>
      </w:pPr>
      <w:r w:rsidRPr="00673878">
        <w:rPr>
          <w:rStyle w:val="FootnoteReference"/>
          <w:b w:val="0"/>
          <w:bCs/>
          <w:sz w:val="26"/>
          <w:szCs w:val="26"/>
          <w:vertAlign w:val="baseline"/>
        </w:rPr>
        <w:footnoteRef/>
      </w:r>
      <w:r w:rsidRPr="00673878">
        <w:rPr>
          <w:b/>
          <w:bCs/>
          <w:sz w:val="26"/>
          <w:szCs w:val="26"/>
        </w:rPr>
        <w:t xml:space="preserve"> </w:t>
      </w:r>
      <w:r w:rsidRPr="00673878">
        <w:rPr>
          <w:sz w:val="26"/>
          <w:szCs w:val="26"/>
        </w:rPr>
        <w:tab/>
        <w:t xml:space="preserve">Our Supreme Court has also recognized that regulation 13520 defines the standard for “willful” in section 203. (See </w:t>
      </w:r>
      <w:r w:rsidRPr="00673878">
        <w:rPr>
          <w:i/>
          <w:iCs/>
          <w:sz w:val="26"/>
          <w:szCs w:val="26"/>
        </w:rPr>
        <w:t>Smith v. Rae-Venter Law Group</w:t>
      </w:r>
      <w:r w:rsidRPr="00673878">
        <w:rPr>
          <w:sz w:val="26"/>
          <w:szCs w:val="26"/>
        </w:rPr>
        <w:t xml:space="preserve"> </w:t>
      </w:r>
      <w:r w:rsidRPr="00673878" w:rsidR="00211F16">
        <w:rPr>
          <w:sz w:val="26"/>
          <w:szCs w:val="26"/>
        </w:rPr>
        <w:t>(2002) 29 Cal.</w:t>
      </w:r>
      <w:r w:rsidRPr="00673878" w:rsidR="009F0466">
        <w:rPr>
          <w:sz w:val="26"/>
          <w:szCs w:val="26"/>
        </w:rPr>
        <w:t>4th</w:t>
      </w:r>
      <w:r w:rsidRPr="00673878" w:rsidR="00211F16">
        <w:rPr>
          <w:sz w:val="26"/>
          <w:szCs w:val="26"/>
        </w:rPr>
        <w:t xml:space="preserve"> 345, 354, </w:t>
      </w:r>
      <w:r w:rsidRPr="00673878" w:rsidR="00AF405B">
        <w:rPr>
          <w:sz w:val="26"/>
          <w:szCs w:val="26"/>
        </w:rPr>
        <w:t>f</w:t>
      </w:r>
      <w:r w:rsidRPr="00673878" w:rsidR="00211F16">
        <w:rPr>
          <w:sz w:val="26"/>
          <w:szCs w:val="26"/>
        </w:rPr>
        <w:t>n. 3</w:t>
      </w:r>
      <w:r w:rsidRPr="00673878" w:rsidR="00FE1C1C">
        <w:rPr>
          <w:sz w:val="26"/>
          <w:szCs w:val="26"/>
        </w:rPr>
        <w:t>,</w:t>
      </w:r>
      <w:r w:rsidRPr="00673878" w:rsidR="00211F16">
        <w:rPr>
          <w:sz w:val="26"/>
          <w:szCs w:val="26"/>
        </w:rPr>
        <w:t xml:space="preserve"> </w:t>
      </w:r>
      <w:r w:rsidR="006B14FA">
        <w:rPr>
          <w:sz w:val="26"/>
          <w:szCs w:val="26"/>
        </w:rPr>
        <w:t xml:space="preserve">superseded by statute on other grounds </w:t>
      </w:r>
      <w:r w:rsidRPr="00673878" w:rsidR="00211F16">
        <w:rPr>
          <w:sz w:val="26"/>
          <w:szCs w:val="26"/>
        </w:rPr>
        <w:t xml:space="preserve">[quoting </w:t>
      </w:r>
      <w:r w:rsidRPr="00673878" w:rsidR="000C1027">
        <w:rPr>
          <w:sz w:val="26"/>
          <w:szCs w:val="26"/>
        </w:rPr>
        <w:t xml:space="preserve">regulation 13520 </w:t>
      </w:r>
      <w:r w:rsidRPr="00673878" w:rsidR="004644BD">
        <w:rPr>
          <w:sz w:val="26"/>
          <w:szCs w:val="26"/>
        </w:rPr>
        <w:t>for the proposition that a good faith dispute that any wages are due will preclude an award of waiting time penalties under section 203</w:t>
      </w:r>
      <w:r w:rsidRPr="00673878" w:rsidR="00012B52">
        <w:rPr>
          <w:sz w:val="26"/>
          <w:szCs w:val="26"/>
        </w:rPr>
        <w:t>]</w:t>
      </w:r>
      <w:r w:rsidRPr="00673878" w:rsidR="004644BD">
        <w:rPr>
          <w:sz w:val="26"/>
          <w:szCs w:val="26"/>
        </w:rPr>
        <w:t>.)</w:t>
      </w:r>
    </w:p>
  </w:footnote>
  <w:footnote w:id="6">
    <w:p w:rsidR="001A2D03" w:rsidRPr="00673878" w:rsidP="001A2D03" w14:paraId="697A8E0C" w14:textId="23D0D342">
      <w:pPr>
        <w:pStyle w:val="FootnoteText"/>
        <w:spacing w:line="240" w:lineRule="auto"/>
        <w:rPr>
          <w:sz w:val="26"/>
          <w:szCs w:val="26"/>
        </w:rPr>
      </w:pPr>
      <w:r w:rsidRPr="00673878">
        <w:rPr>
          <w:rStyle w:val="FootnoteReference"/>
          <w:b w:val="0"/>
          <w:bCs/>
          <w:sz w:val="26"/>
          <w:szCs w:val="26"/>
          <w:vertAlign w:val="baseline"/>
        </w:rPr>
        <w:footnoteRef/>
      </w:r>
      <w:r w:rsidRPr="00673878">
        <w:rPr>
          <w:b/>
          <w:bCs/>
          <w:sz w:val="26"/>
          <w:szCs w:val="26"/>
        </w:rPr>
        <w:t xml:space="preserve"> </w:t>
      </w:r>
      <w:r w:rsidRPr="00673878">
        <w:rPr>
          <w:sz w:val="26"/>
          <w:szCs w:val="26"/>
        </w:rPr>
        <w:tab/>
        <w:t>“A federal enclave is land over which the federal government exercises legislative jurisdiction.” (</w:t>
      </w:r>
      <w:r w:rsidRPr="00673878">
        <w:rPr>
          <w:i/>
          <w:iCs/>
          <w:sz w:val="26"/>
          <w:szCs w:val="26"/>
        </w:rPr>
        <w:t>Taylor v. Lockheed Martin Corp</w:t>
      </w:r>
      <w:r w:rsidRPr="00673878">
        <w:rPr>
          <w:sz w:val="26"/>
          <w:szCs w:val="26"/>
        </w:rPr>
        <w:t xml:space="preserve">. (2000) 78 Cal.App.4th 472, 478.) </w:t>
      </w:r>
      <w:r w:rsidRPr="00673878" w:rsidR="001708A5">
        <w:rPr>
          <w:sz w:val="26"/>
          <w:szCs w:val="26"/>
        </w:rPr>
        <w:t>“</w:t>
      </w:r>
      <w:r w:rsidRPr="00673878">
        <w:rPr>
          <w:sz w:val="26"/>
          <w:szCs w:val="26"/>
        </w:rPr>
        <w:t>An enclave is created when the federal government purchases land within a state with the state’s consent, which may be conditioned on the retention of state jurisdiction consistent with the federal use.” (</w:t>
      </w:r>
      <w:r w:rsidRPr="00673878">
        <w:rPr>
          <w:i/>
          <w:iCs/>
          <w:sz w:val="26"/>
          <w:szCs w:val="26"/>
        </w:rPr>
        <w:t>Ibid</w:t>
      </w:r>
      <w:r w:rsidRPr="00673878">
        <w:rPr>
          <w:sz w:val="26"/>
          <w:szCs w:val="26"/>
        </w:rPr>
        <w:t xml:space="preserve">.) After 1940, any property acquired by the federal government is conclusively presumed not to be a federal enclave unless and until the federal government accepts jurisdiction over the land. (40 U.S.C. § 3112; see also </w:t>
      </w:r>
      <w:r w:rsidRPr="00673878">
        <w:rPr>
          <w:i/>
          <w:iCs/>
          <w:sz w:val="26"/>
          <w:szCs w:val="26"/>
        </w:rPr>
        <w:t>Doe v. Camp Pendleton v. Quantico Hous. LLC</w:t>
      </w:r>
      <w:r w:rsidRPr="00673878">
        <w:rPr>
          <w:sz w:val="26"/>
          <w:szCs w:val="26"/>
        </w:rPr>
        <w:t xml:space="preserve"> (C.D. Cal., Apr. 16, 2020</w:t>
      </w:r>
      <w:r w:rsidRPr="00673878" w:rsidR="001437FA">
        <w:rPr>
          <w:sz w:val="26"/>
          <w:szCs w:val="26"/>
        </w:rPr>
        <w:t>, No.: 20-cv-224-GPC-AHG</w:t>
      </w:r>
      <w:r w:rsidRPr="00673878">
        <w:rPr>
          <w:sz w:val="26"/>
          <w:szCs w:val="26"/>
        </w:rPr>
        <w:t>) 2020 U.S. Dist. LEXIS 67104, at *12.)</w:t>
      </w:r>
    </w:p>
  </w:footnote>
  <w:footnote w:id="7">
    <w:p w:rsidR="006E5BC6" w:rsidRPr="00673878" w:rsidP="00F709E6" w14:paraId="50EB88D8" w14:textId="7E413D10">
      <w:pPr>
        <w:pStyle w:val="FootnoteText"/>
        <w:spacing w:line="240" w:lineRule="auto"/>
        <w:rPr>
          <w:sz w:val="26"/>
          <w:szCs w:val="26"/>
        </w:rPr>
      </w:pPr>
      <w:r w:rsidRPr="00673878">
        <w:rPr>
          <w:rStyle w:val="FootnoteReference"/>
          <w:b w:val="0"/>
          <w:bCs/>
          <w:sz w:val="26"/>
          <w:szCs w:val="26"/>
          <w:vertAlign w:val="baseline"/>
        </w:rPr>
        <w:footnoteRef/>
      </w:r>
      <w:r w:rsidRPr="00673878">
        <w:rPr>
          <w:b/>
          <w:bCs/>
          <w:sz w:val="26"/>
          <w:szCs w:val="26"/>
        </w:rPr>
        <w:t xml:space="preserve"> </w:t>
      </w:r>
      <w:r w:rsidRPr="00673878">
        <w:rPr>
          <w:sz w:val="26"/>
          <w:szCs w:val="26"/>
        </w:rPr>
        <w:tab/>
        <w:t>Section 216</w:t>
      </w:r>
      <w:r w:rsidRPr="00673878" w:rsidR="00FE59B0">
        <w:rPr>
          <w:sz w:val="26"/>
          <w:szCs w:val="26"/>
        </w:rPr>
        <w:t>, subdivision (a)</w:t>
      </w:r>
      <w:r w:rsidRPr="00673878">
        <w:rPr>
          <w:sz w:val="26"/>
          <w:szCs w:val="26"/>
        </w:rPr>
        <w:t xml:space="preserve"> provides</w:t>
      </w:r>
      <w:r w:rsidRPr="00673878" w:rsidR="00CF060F">
        <w:rPr>
          <w:sz w:val="26"/>
          <w:szCs w:val="26"/>
        </w:rPr>
        <w:t>, in relevant part</w:t>
      </w:r>
      <w:r w:rsidRPr="00673878">
        <w:rPr>
          <w:sz w:val="26"/>
          <w:szCs w:val="26"/>
        </w:rPr>
        <w:t xml:space="preserve">: </w:t>
      </w:r>
      <w:r w:rsidRPr="00673878" w:rsidR="00CF060F">
        <w:rPr>
          <w:sz w:val="26"/>
          <w:szCs w:val="26"/>
        </w:rPr>
        <w:t>A person</w:t>
      </w:r>
      <w:r w:rsidRPr="00673878" w:rsidR="00124E12">
        <w:rPr>
          <w:sz w:val="26"/>
          <w:szCs w:val="26"/>
        </w:rPr>
        <w:t xml:space="preserve"> is guilty of a </w:t>
      </w:r>
      <w:r w:rsidRPr="00673878" w:rsidR="00F709E6">
        <w:rPr>
          <w:sz w:val="26"/>
          <w:szCs w:val="26"/>
        </w:rPr>
        <w:t>misdemeanor</w:t>
      </w:r>
      <w:r w:rsidRPr="00673878" w:rsidR="00124E12">
        <w:rPr>
          <w:sz w:val="26"/>
          <w:szCs w:val="26"/>
        </w:rPr>
        <w:t xml:space="preserve"> who “[h]aving the ability to pay, willfully refuses to pay wages due and payable after demand has been made.”</w:t>
      </w:r>
    </w:p>
  </w:footnote>
  <w:footnote w:id="8">
    <w:p w:rsidR="00673878" w:rsidRPr="00673878" w:rsidP="00E460CC" w14:paraId="0CBFCBB5" w14:textId="1D2C672B">
      <w:pPr>
        <w:pStyle w:val="FootnoteText"/>
        <w:spacing w:line="240" w:lineRule="auto"/>
        <w:rPr>
          <w:sz w:val="26"/>
          <w:szCs w:val="26"/>
        </w:rPr>
      </w:pPr>
      <w:r w:rsidRPr="00673878">
        <w:rPr>
          <w:rStyle w:val="FootnoteReference"/>
          <w:b w:val="0"/>
          <w:bCs/>
          <w:sz w:val="26"/>
          <w:szCs w:val="26"/>
          <w:vertAlign w:val="baseline"/>
        </w:rPr>
        <w:footnoteRef/>
      </w:r>
      <w:r w:rsidRPr="00673878">
        <w:rPr>
          <w:b/>
          <w:bCs/>
          <w:sz w:val="26"/>
          <w:szCs w:val="26"/>
        </w:rPr>
        <w:t xml:space="preserve"> </w:t>
      </w:r>
      <w:r w:rsidRPr="00673878">
        <w:rPr>
          <w:sz w:val="26"/>
          <w:szCs w:val="26"/>
        </w:rPr>
        <w:tab/>
        <w:t xml:space="preserve">The </w:t>
      </w:r>
      <w:r w:rsidRPr="00673878">
        <w:rPr>
          <w:i/>
          <w:iCs/>
          <w:sz w:val="26"/>
          <w:szCs w:val="26"/>
        </w:rPr>
        <w:t>Woods</w:t>
      </w:r>
      <w:r w:rsidRPr="00673878">
        <w:rPr>
          <w:sz w:val="26"/>
          <w:szCs w:val="26"/>
        </w:rPr>
        <w:t xml:space="preserve"> court also </w:t>
      </w:r>
      <w:r w:rsidRPr="00673878" w:rsidR="00485A92">
        <w:rPr>
          <w:sz w:val="26"/>
          <w:szCs w:val="26"/>
        </w:rPr>
        <w:t>opined that “[i]t would seem ironic if the good faith dispute defense applied to [s]ection 203, which involves failure to timely pay wages, but not to [s]ection 226, which involve</w:t>
      </w:r>
      <w:r w:rsidRPr="00673878" w:rsidR="00AA548B">
        <w:rPr>
          <w:sz w:val="26"/>
          <w:szCs w:val="26"/>
        </w:rPr>
        <w:t>s</w:t>
      </w:r>
      <w:r w:rsidRPr="00673878" w:rsidR="00485A92">
        <w:rPr>
          <w:sz w:val="26"/>
          <w:szCs w:val="26"/>
        </w:rPr>
        <w:t xml:space="preserve"> inaccurate wages statements.</w:t>
      </w:r>
      <w:r w:rsidRPr="00673878" w:rsidR="00EB15B6">
        <w:rPr>
          <w:sz w:val="26"/>
          <w:szCs w:val="26"/>
        </w:rPr>
        <w:t xml:space="preserve"> If anything, </w:t>
      </w:r>
      <w:r w:rsidRPr="00673878" w:rsidR="002A1406">
        <w:rPr>
          <w:sz w:val="26"/>
          <w:szCs w:val="26"/>
        </w:rPr>
        <w:t>failure to pay wages would seem to warrant lesser tolerance of defenses than failing to provide accurate wage statements.”</w:t>
      </w:r>
      <w:r w:rsidRPr="00673878" w:rsidR="002A3F37">
        <w:rPr>
          <w:sz w:val="26"/>
          <w:szCs w:val="26"/>
        </w:rPr>
        <w:t xml:space="preserve"> (</w:t>
      </w:r>
      <w:r w:rsidRPr="00673878" w:rsidR="002A3F37">
        <w:rPr>
          <w:i/>
          <w:iCs/>
          <w:sz w:val="26"/>
          <w:szCs w:val="26"/>
        </w:rPr>
        <w:t xml:space="preserve">Woods, </w:t>
      </w:r>
      <w:r w:rsidRPr="00673878" w:rsidR="006A786C">
        <w:rPr>
          <w:i/>
          <w:iCs/>
          <w:sz w:val="26"/>
          <w:szCs w:val="26"/>
        </w:rPr>
        <w:t>supra</w:t>
      </w:r>
      <w:r w:rsidRPr="00673878" w:rsidR="006A786C">
        <w:rPr>
          <w:sz w:val="26"/>
          <w:szCs w:val="26"/>
        </w:rPr>
        <w:t xml:space="preserve">, </w:t>
      </w:r>
      <w:r w:rsidRPr="00673878" w:rsidR="00D80098">
        <w:rPr>
          <w:sz w:val="26"/>
          <w:szCs w:val="26"/>
        </w:rPr>
        <w:t>2015 U.S. Dist. LEXIS 67303 at *</w:t>
      </w:r>
      <w:r w:rsidRPr="00673878" w:rsidR="00E57823">
        <w:rPr>
          <w:sz w:val="26"/>
          <w:szCs w:val="26"/>
        </w:rPr>
        <w:t>12</w:t>
      </w:r>
      <w:r w:rsidRPr="00673878" w:rsidR="00D80098">
        <w:rPr>
          <w:sz w:val="26"/>
          <w:szCs w:val="26"/>
        </w:rPr>
        <w:t xml:space="preserve">, </w:t>
      </w:r>
      <w:r w:rsidRPr="00673878" w:rsidR="00E57823">
        <w:rPr>
          <w:sz w:val="26"/>
          <w:szCs w:val="26"/>
        </w:rPr>
        <w:t>f</w:t>
      </w:r>
      <w:r w:rsidRPr="00673878" w:rsidR="00D80098">
        <w:rPr>
          <w:sz w:val="26"/>
          <w:szCs w:val="26"/>
        </w:rPr>
        <w:t>n.3.</w:t>
      </w:r>
      <w:r w:rsidRPr="00673878" w:rsidR="007D0793">
        <w:rPr>
          <w:sz w:val="26"/>
          <w:szCs w:val="26"/>
        </w:rPr>
        <w:t>)</w:t>
      </w:r>
    </w:p>
  </w:footnote>
  <w:footnote w:id="9">
    <w:p w:rsidR="009D793B" w:rsidRPr="00673878" w:rsidP="00420EB6" w14:paraId="33F878A3" w14:textId="4C1C0051">
      <w:pPr>
        <w:pStyle w:val="FootnoteText"/>
        <w:spacing w:line="240" w:lineRule="auto"/>
        <w:rPr>
          <w:sz w:val="26"/>
          <w:szCs w:val="26"/>
        </w:rPr>
      </w:pPr>
      <w:r w:rsidRPr="00673878">
        <w:rPr>
          <w:rStyle w:val="FootnoteReference"/>
          <w:b w:val="0"/>
          <w:bCs/>
          <w:sz w:val="26"/>
          <w:szCs w:val="26"/>
          <w:vertAlign w:val="baseline"/>
        </w:rPr>
        <w:footnoteRef/>
      </w:r>
      <w:r w:rsidRPr="00673878">
        <w:rPr>
          <w:b/>
          <w:bCs/>
          <w:sz w:val="26"/>
          <w:szCs w:val="26"/>
        </w:rPr>
        <w:t xml:space="preserve"> </w:t>
      </w:r>
      <w:r w:rsidRPr="00673878">
        <w:rPr>
          <w:sz w:val="26"/>
          <w:szCs w:val="26"/>
        </w:rPr>
        <w:tab/>
        <w:t xml:space="preserve">We acknowledge </w:t>
      </w:r>
      <w:r w:rsidRPr="00673878">
        <w:rPr>
          <w:i/>
          <w:iCs/>
          <w:sz w:val="26"/>
          <w:szCs w:val="26"/>
        </w:rPr>
        <w:t xml:space="preserve">Furry v. East Bay </w:t>
      </w:r>
      <w:r w:rsidRPr="00673878" w:rsidR="000663FB">
        <w:rPr>
          <w:i/>
          <w:iCs/>
          <w:sz w:val="26"/>
          <w:szCs w:val="26"/>
        </w:rPr>
        <w:t>Publishing</w:t>
      </w:r>
      <w:r w:rsidRPr="00673878">
        <w:rPr>
          <w:i/>
          <w:iCs/>
          <w:sz w:val="26"/>
          <w:szCs w:val="26"/>
        </w:rPr>
        <w:t>, LLC</w:t>
      </w:r>
      <w:r w:rsidRPr="00673878">
        <w:rPr>
          <w:sz w:val="26"/>
          <w:szCs w:val="26"/>
        </w:rPr>
        <w:t xml:space="preserve"> (</w:t>
      </w:r>
      <w:r w:rsidRPr="00673878" w:rsidR="000663FB">
        <w:rPr>
          <w:sz w:val="26"/>
          <w:szCs w:val="26"/>
        </w:rPr>
        <w:t>2018) 30 Cal.App.</w:t>
      </w:r>
      <w:r w:rsidRPr="00673878" w:rsidR="0067659C">
        <w:rPr>
          <w:sz w:val="26"/>
          <w:szCs w:val="26"/>
        </w:rPr>
        <w:t>5th</w:t>
      </w:r>
      <w:r w:rsidRPr="00673878" w:rsidR="000663FB">
        <w:rPr>
          <w:sz w:val="26"/>
          <w:szCs w:val="26"/>
        </w:rPr>
        <w:t xml:space="preserve"> 1072, 1085</w:t>
      </w:r>
      <w:r w:rsidRPr="00673878" w:rsidR="00053E78">
        <w:rPr>
          <w:sz w:val="26"/>
          <w:szCs w:val="26"/>
        </w:rPr>
        <w:t xml:space="preserve"> (</w:t>
      </w:r>
      <w:r w:rsidRPr="00673878" w:rsidR="00053E78">
        <w:rPr>
          <w:i/>
          <w:iCs/>
          <w:sz w:val="26"/>
          <w:szCs w:val="26"/>
        </w:rPr>
        <w:t>Furry</w:t>
      </w:r>
      <w:r w:rsidRPr="00673878" w:rsidR="00053E78">
        <w:rPr>
          <w:sz w:val="26"/>
          <w:szCs w:val="26"/>
        </w:rPr>
        <w:t>)</w:t>
      </w:r>
      <w:r w:rsidRPr="00673878" w:rsidR="000663FB">
        <w:rPr>
          <w:sz w:val="26"/>
          <w:szCs w:val="26"/>
        </w:rPr>
        <w:t xml:space="preserve"> </w:t>
      </w:r>
      <w:r w:rsidRPr="00673878" w:rsidR="00EF3587">
        <w:rPr>
          <w:sz w:val="26"/>
          <w:szCs w:val="26"/>
        </w:rPr>
        <w:t xml:space="preserve">and </w:t>
      </w:r>
      <w:r w:rsidRPr="00673878" w:rsidR="00EF3587">
        <w:rPr>
          <w:i/>
          <w:iCs/>
          <w:sz w:val="26"/>
          <w:szCs w:val="26"/>
        </w:rPr>
        <w:t>Kao v. Holiday</w:t>
      </w:r>
      <w:r w:rsidRPr="00673878" w:rsidR="00EF3587">
        <w:rPr>
          <w:sz w:val="26"/>
          <w:szCs w:val="26"/>
        </w:rPr>
        <w:t xml:space="preserve"> (2017) </w:t>
      </w:r>
      <w:r w:rsidRPr="00673878" w:rsidR="00593815">
        <w:rPr>
          <w:sz w:val="26"/>
          <w:szCs w:val="26"/>
        </w:rPr>
        <w:t>12 Cal.App.</w:t>
      </w:r>
      <w:r w:rsidRPr="00673878" w:rsidR="00053E78">
        <w:rPr>
          <w:sz w:val="26"/>
          <w:szCs w:val="26"/>
        </w:rPr>
        <w:t>5th</w:t>
      </w:r>
      <w:r w:rsidRPr="00673878" w:rsidR="00593815">
        <w:rPr>
          <w:sz w:val="26"/>
          <w:szCs w:val="26"/>
        </w:rPr>
        <w:t xml:space="preserve"> 947, 962</w:t>
      </w:r>
      <w:r w:rsidRPr="00673878" w:rsidR="00053E78">
        <w:rPr>
          <w:sz w:val="26"/>
          <w:szCs w:val="26"/>
        </w:rPr>
        <w:t xml:space="preserve"> (</w:t>
      </w:r>
      <w:r w:rsidRPr="00673878" w:rsidR="00053E78">
        <w:rPr>
          <w:i/>
          <w:iCs/>
          <w:sz w:val="26"/>
          <w:szCs w:val="26"/>
        </w:rPr>
        <w:t>Kao</w:t>
      </w:r>
      <w:r w:rsidRPr="00673878" w:rsidR="00053E78">
        <w:rPr>
          <w:sz w:val="26"/>
          <w:szCs w:val="26"/>
        </w:rPr>
        <w:t>)</w:t>
      </w:r>
      <w:r w:rsidRPr="00673878" w:rsidR="00593815">
        <w:rPr>
          <w:sz w:val="26"/>
          <w:szCs w:val="26"/>
        </w:rPr>
        <w:t xml:space="preserve"> reject the application of a good faith defense </w:t>
      </w:r>
      <w:r w:rsidRPr="00673878" w:rsidR="00E65CC0">
        <w:rPr>
          <w:sz w:val="26"/>
          <w:szCs w:val="26"/>
        </w:rPr>
        <w:t xml:space="preserve">to a claim for penalties under section 226 when employers argue ignorance of the law. (See </w:t>
      </w:r>
      <w:r w:rsidRPr="00673878" w:rsidR="00E65CC0">
        <w:rPr>
          <w:i/>
          <w:iCs/>
          <w:sz w:val="26"/>
          <w:szCs w:val="26"/>
        </w:rPr>
        <w:t>Furry, supra</w:t>
      </w:r>
      <w:r w:rsidRPr="00673878" w:rsidR="00E65CC0">
        <w:rPr>
          <w:sz w:val="26"/>
          <w:szCs w:val="26"/>
        </w:rPr>
        <w:t>, 30 Cal.App.</w:t>
      </w:r>
      <w:r w:rsidRPr="00673878" w:rsidR="00831DFA">
        <w:rPr>
          <w:sz w:val="26"/>
          <w:szCs w:val="26"/>
        </w:rPr>
        <w:t>5th</w:t>
      </w:r>
      <w:r w:rsidRPr="00673878" w:rsidR="00E65CC0">
        <w:rPr>
          <w:sz w:val="26"/>
          <w:szCs w:val="26"/>
        </w:rPr>
        <w:t xml:space="preserve"> at p. 1085 [</w:t>
      </w:r>
      <w:r w:rsidRPr="00673878" w:rsidR="00053E78">
        <w:rPr>
          <w:sz w:val="26"/>
          <w:szCs w:val="26"/>
        </w:rPr>
        <w:t>r</w:t>
      </w:r>
      <w:r w:rsidRPr="00673878" w:rsidR="00311762">
        <w:rPr>
          <w:sz w:val="26"/>
          <w:szCs w:val="26"/>
        </w:rPr>
        <w:t>ejecting the good faith defense to Labor Code section 226 </w:t>
      </w:r>
      <w:r w:rsidRPr="00673878" w:rsidR="00053E78">
        <w:rPr>
          <w:sz w:val="26"/>
          <w:szCs w:val="26"/>
        </w:rPr>
        <w:t>“</w:t>
      </w:r>
      <w:r w:rsidRPr="00673878" w:rsidR="00311762">
        <w:rPr>
          <w:sz w:val="26"/>
          <w:szCs w:val="26"/>
        </w:rPr>
        <w:t xml:space="preserve">because it </w:t>
      </w:r>
      <w:r w:rsidRPr="00673878" w:rsidR="00B94BD6">
        <w:rPr>
          <w:sz w:val="26"/>
          <w:szCs w:val="26"/>
        </w:rPr>
        <w:t>‘“</w:t>
      </w:r>
      <w:r w:rsidRPr="00673878" w:rsidR="00311762">
        <w:rPr>
          <w:sz w:val="26"/>
          <w:szCs w:val="26"/>
        </w:rPr>
        <w:t xml:space="preserve">stands contrary to the often repeated legal maxim: </w:t>
      </w:r>
      <w:r w:rsidRPr="00673878" w:rsidR="00B94BD6">
        <w:rPr>
          <w:sz w:val="26"/>
          <w:szCs w:val="26"/>
        </w:rPr>
        <w:t>‘</w:t>
      </w:r>
      <w:r w:rsidRPr="00673878" w:rsidR="00311762">
        <w:rPr>
          <w:sz w:val="26"/>
          <w:szCs w:val="26"/>
        </w:rPr>
        <w:t>ignorance of the law will not excuse any person, either civilly or criminally</w:t>
      </w:r>
      <w:r w:rsidRPr="00673878" w:rsidR="00B94BD6">
        <w:rPr>
          <w:sz w:val="26"/>
          <w:szCs w:val="26"/>
        </w:rPr>
        <w:t>’”’</w:t>
      </w:r>
      <w:r w:rsidRPr="00673878" w:rsidR="00053E78">
        <w:rPr>
          <w:sz w:val="26"/>
          <w:szCs w:val="26"/>
        </w:rPr>
        <w:t>”</w:t>
      </w:r>
      <w:r w:rsidR="003C6925">
        <w:rPr>
          <w:sz w:val="26"/>
          <w:szCs w:val="26"/>
        </w:rPr>
        <w:t>]</w:t>
      </w:r>
      <w:r w:rsidRPr="00673878" w:rsidR="00311762">
        <w:rPr>
          <w:sz w:val="26"/>
          <w:szCs w:val="26"/>
        </w:rPr>
        <w:t>; </w:t>
      </w:r>
      <w:r w:rsidRPr="00673878" w:rsidR="00311762">
        <w:rPr>
          <w:i/>
          <w:iCs/>
          <w:sz w:val="26"/>
          <w:szCs w:val="26"/>
        </w:rPr>
        <w:t>Kao</w:t>
      </w:r>
      <w:r w:rsidRPr="00673878" w:rsidR="00311762">
        <w:rPr>
          <w:sz w:val="26"/>
          <w:szCs w:val="26"/>
        </w:rPr>
        <w:t xml:space="preserve">, </w:t>
      </w:r>
      <w:r w:rsidRPr="00673878" w:rsidR="00053E78">
        <w:rPr>
          <w:i/>
          <w:iCs/>
          <w:sz w:val="26"/>
          <w:szCs w:val="26"/>
        </w:rPr>
        <w:t>supra</w:t>
      </w:r>
      <w:r w:rsidRPr="00673878" w:rsidR="00053E78">
        <w:rPr>
          <w:sz w:val="26"/>
          <w:szCs w:val="26"/>
        </w:rPr>
        <w:t xml:space="preserve">, </w:t>
      </w:r>
      <w:r w:rsidRPr="00673878" w:rsidR="00311762">
        <w:rPr>
          <w:sz w:val="26"/>
          <w:szCs w:val="26"/>
        </w:rPr>
        <w:t>12 Cal.App.5th at 962 </w:t>
      </w:r>
      <w:r w:rsidRPr="00673878" w:rsidR="009A6FAD">
        <w:rPr>
          <w:sz w:val="26"/>
          <w:szCs w:val="26"/>
        </w:rPr>
        <w:t>[</w:t>
      </w:r>
      <w:r w:rsidRPr="00673878" w:rsidR="00311762">
        <w:rPr>
          <w:sz w:val="26"/>
          <w:szCs w:val="26"/>
        </w:rPr>
        <w:t xml:space="preserve">finding that </w:t>
      </w:r>
      <w:r w:rsidRPr="00673878" w:rsidR="00D02838">
        <w:rPr>
          <w:sz w:val="26"/>
          <w:szCs w:val="26"/>
        </w:rPr>
        <w:t>“</w:t>
      </w:r>
      <w:r w:rsidRPr="00673878" w:rsidR="00311762">
        <w:rPr>
          <w:sz w:val="26"/>
          <w:szCs w:val="26"/>
        </w:rPr>
        <w:t>a belief [that] amounts to a mistake of law</w:t>
      </w:r>
      <w:r w:rsidR="00A615A0">
        <w:rPr>
          <w:sz w:val="26"/>
          <w:szCs w:val="26"/>
        </w:rPr>
        <w:t> </w:t>
      </w:r>
      <w:r w:rsidRPr="00673878" w:rsidR="00311762">
        <w:rPr>
          <w:sz w:val="26"/>
          <w:szCs w:val="26"/>
        </w:rPr>
        <w:t>.</w:t>
      </w:r>
      <w:r w:rsidR="00A615A0">
        <w:rPr>
          <w:sz w:val="26"/>
          <w:szCs w:val="26"/>
        </w:rPr>
        <w:t> </w:t>
      </w:r>
      <w:r w:rsidRPr="00673878" w:rsidR="00311762">
        <w:rPr>
          <w:sz w:val="26"/>
          <w:szCs w:val="26"/>
        </w:rPr>
        <w:t>.</w:t>
      </w:r>
      <w:r w:rsidR="00A615A0">
        <w:rPr>
          <w:sz w:val="26"/>
          <w:szCs w:val="26"/>
        </w:rPr>
        <w:t> </w:t>
      </w:r>
      <w:r w:rsidRPr="00673878" w:rsidR="00311762">
        <w:rPr>
          <w:sz w:val="26"/>
          <w:szCs w:val="26"/>
        </w:rPr>
        <w:t>. is not excused under the statute mandating itemized wage statements</w:t>
      </w:r>
      <w:r w:rsidRPr="00673878" w:rsidR="00D02838">
        <w:rPr>
          <w:sz w:val="26"/>
          <w:szCs w:val="26"/>
        </w:rPr>
        <w:t>”</w:t>
      </w:r>
      <w:r w:rsidRPr="00673878" w:rsidR="00420EB6">
        <w:rPr>
          <w:sz w:val="26"/>
          <w:szCs w:val="26"/>
        </w:rPr>
        <w:t>].)</w:t>
      </w:r>
      <w:r w:rsidRPr="00673878" w:rsidR="00D5170D">
        <w:rPr>
          <w:sz w:val="26"/>
          <w:szCs w:val="26"/>
        </w:rPr>
        <w:t xml:space="preserve"> </w:t>
      </w:r>
      <w:r w:rsidRPr="00673878" w:rsidR="003057CA">
        <w:rPr>
          <w:sz w:val="26"/>
          <w:szCs w:val="26"/>
        </w:rPr>
        <w:t>Here,</w:t>
      </w:r>
      <w:r w:rsidRPr="00673878" w:rsidR="00DB7B21">
        <w:rPr>
          <w:sz w:val="26"/>
          <w:szCs w:val="26"/>
        </w:rPr>
        <w:t xml:space="preserve"> </w:t>
      </w:r>
      <w:r w:rsidRPr="00673878" w:rsidR="00212AD7">
        <w:rPr>
          <w:sz w:val="26"/>
          <w:szCs w:val="26"/>
        </w:rPr>
        <w:t>Spectrum’s good faith dispute argument is that it</w:t>
      </w:r>
      <w:r w:rsidRPr="00673878" w:rsidR="003057CA">
        <w:rPr>
          <w:sz w:val="26"/>
          <w:szCs w:val="26"/>
        </w:rPr>
        <w:t xml:space="preserve"> </w:t>
      </w:r>
      <w:r w:rsidRPr="00673878" w:rsidR="006C1D57">
        <w:rPr>
          <w:sz w:val="26"/>
          <w:szCs w:val="26"/>
        </w:rPr>
        <w:t xml:space="preserve">presented its federal defenses </w:t>
      </w:r>
      <w:r w:rsidRPr="00673878" w:rsidR="00212AD7">
        <w:rPr>
          <w:sz w:val="26"/>
          <w:szCs w:val="26"/>
        </w:rPr>
        <w:t>during phase one</w:t>
      </w:r>
      <w:r w:rsidRPr="00673878" w:rsidR="006C1D57">
        <w:rPr>
          <w:sz w:val="26"/>
          <w:szCs w:val="26"/>
        </w:rPr>
        <w:t xml:space="preserve"> of the trial in good faith, not that </w:t>
      </w:r>
      <w:r w:rsidRPr="00673878" w:rsidR="00212AD7">
        <w:rPr>
          <w:sz w:val="26"/>
          <w:szCs w:val="26"/>
        </w:rPr>
        <w:t>it was ignorant of the law.</w:t>
      </w:r>
      <w:r w:rsidRPr="00673878" w:rsidR="008862EA">
        <w:rPr>
          <w:sz w:val="26"/>
          <w:szCs w:val="26"/>
        </w:rPr>
        <w:t xml:space="preserve"> </w:t>
      </w:r>
      <w:r w:rsidRPr="00673878" w:rsidR="00D3447F">
        <w:rPr>
          <w:sz w:val="26"/>
          <w:szCs w:val="26"/>
        </w:rPr>
        <w:t>We therefore find neither case applicable.</w:t>
      </w:r>
    </w:p>
  </w:footnote>
  <w:footnote w:id="10">
    <w:p w:rsidR="00BD384A" w:rsidP="00AE7FEF" w14:paraId="5B823131" w14:textId="7CE8B9E7">
      <w:pPr>
        <w:pStyle w:val="FootnoteText"/>
        <w:spacing w:line="240" w:lineRule="auto"/>
        <w:rPr>
          <w:sz w:val="26"/>
          <w:szCs w:val="26"/>
        </w:rPr>
      </w:pPr>
      <w:r w:rsidRPr="00673878">
        <w:rPr>
          <w:rStyle w:val="FootnoteReference"/>
          <w:b w:val="0"/>
          <w:bCs/>
          <w:sz w:val="26"/>
          <w:szCs w:val="26"/>
          <w:vertAlign w:val="baseline"/>
        </w:rPr>
        <w:footnoteRef/>
      </w:r>
      <w:r w:rsidRPr="00673878">
        <w:rPr>
          <w:b/>
          <w:bCs/>
          <w:sz w:val="26"/>
          <w:szCs w:val="26"/>
        </w:rPr>
        <w:t xml:space="preserve"> </w:t>
      </w:r>
      <w:r w:rsidRPr="00673878">
        <w:rPr>
          <w:sz w:val="26"/>
          <w:szCs w:val="26"/>
        </w:rPr>
        <w:tab/>
      </w:r>
      <w:r w:rsidRPr="00673878" w:rsidR="00C3419C">
        <w:rPr>
          <w:sz w:val="26"/>
          <w:szCs w:val="26"/>
        </w:rPr>
        <w:t>In</w:t>
      </w:r>
      <w:r w:rsidRPr="00673878">
        <w:rPr>
          <w:sz w:val="26"/>
          <w:szCs w:val="26"/>
        </w:rPr>
        <w:t xml:space="preserve"> addition to the trial court’s finding </w:t>
      </w:r>
      <w:r w:rsidRPr="00673878" w:rsidR="009D793B">
        <w:rPr>
          <w:sz w:val="26"/>
          <w:szCs w:val="26"/>
        </w:rPr>
        <w:t xml:space="preserve">that a good faith dispute existed regarding whether premium pay was owed, </w:t>
      </w:r>
      <w:r w:rsidRPr="00673878" w:rsidR="00C3419C">
        <w:rPr>
          <w:sz w:val="26"/>
          <w:szCs w:val="26"/>
        </w:rPr>
        <w:t xml:space="preserve">we also note there was a good faith dispute regarding whether premium pay constituted “wages” that must be reported on wage statements. That issue was not resolved until our Supreme Court’s </w:t>
      </w:r>
      <w:r w:rsidRPr="00673878" w:rsidR="00B17952">
        <w:rPr>
          <w:sz w:val="26"/>
          <w:szCs w:val="26"/>
        </w:rPr>
        <w:t xml:space="preserve">2022 </w:t>
      </w:r>
      <w:r w:rsidRPr="00673878" w:rsidR="00C3419C">
        <w:rPr>
          <w:sz w:val="26"/>
          <w:szCs w:val="26"/>
        </w:rPr>
        <w:t>decision</w:t>
      </w:r>
      <w:r w:rsidRPr="00673878" w:rsidR="00B17952">
        <w:rPr>
          <w:sz w:val="26"/>
          <w:szCs w:val="26"/>
        </w:rPr>
        <w:t xml:space="preserve">. (See </w:t>
      </w:r>
      <w:r w:rsidRPr="00673878" w:rsidR="00F61425">
        <w:rPr>
          <w:i/>
          <w:iCs/>
          <w:sz w:val="26"/>
          <w:szCs w:val="26"/>
        </w:rPr>
        <w:t>Naranjo v. Spectrum Security Services, Inc.</w:t>
      </w:r>
      <w:r w:rsidRPr="00673878" w:rsidR="00C904F4">
        <w:rPr>
          <w:sz w:val="26"/>
          <w:szCs w:val="26"/>
        </w:rPr>
        <w:t xml:space="preserve">, </w:t>
      </w:r>
      <w:r w:rsidRPr="00673878" w:rsidR="00C904F4">
        <w:rPr>
          <w:i/>
          <w:iCs/>
          <w:sz w:val="26"/>
          <w:szCs w:val="26"/>
        </w:rPr>
        <w:t>supra</w:t>
      </w:r>
      <w:r w:rsidRPr="00673878" w:rsidR="00C904F4">
        <w:rPr>
          <w:sz w:val="26"/>
          <w:szCs w:val="26"/>
        </w:rPr>
        <w:t>,</w:t>
      </w:r>
      <w:r w:rsidRPr="00673878" w:rsidR="00F61425">
        <w:rPr>
          <w:sz w:val="26"/>
          <w:szCs w:val="26"/>
        </w:rPr>
        <w:t xml:space="preserve"> 13 Cal.5th </w:t>
      </w:r>
      <w:r w:rsidRPr="00673878" w:rsidR="00C904F4">
        <w:rPr>
          <w:sz w:val="26"/>
          <w:szCs w:val="26"/>
        </w:rPr>
        <w:t>at p.</w:t>
      </w:r>
      <w:r w:rsidRPr="00673878" w:rsidR="00F61425">
        <w:rPr>
          <w:sz w:val="26"/>
          <w:szCs w:val="26"/>
        </w:rPr>
        <w:t xml:space="preserve"> 102.)</w:t>
      </w:r>
    </w:p>
    <w:p w:rsidR="00CA58FB" w:rsidRPr="00673878" w:rsidP="00AE7FEF" w14:paraId="0730D9CB" w14:textId="77777777">
      <w:pPr>
        <w:pStyle w:val="FootnoteText"/>
        <w:spacing w:line="240" w:lineRule="auto"/>
        <w:rPr>
          <w:sz w:val="26"/>
          <w:szCs w:val="26"/>
        </w:rPr>
      </w:pPr>
    </w:p>
  </w:footnote>
  <w:footnote w:id="11">
    <w:p w:rsidR="00F93A73" w:rsidRPr="00673878" w:rsidP="00D92303" w14:paraId="37525763" w14:textId="3B72EF1F">
      <w:pPr>
        <w:pStyle w:val="FootnoteText"/>
        <w:spacing w:line="240" w:lineRule="auto"/>
        <w:rPr>
          <w:sz w:val="26"/>
          <w:szCs w:val="26"/>
        </w:rPr>
      </w:pPr>
      <w:r w:rsidRPr="00673878">
        <w:rPr>
          <w:rStyle w:val="FootnoteReference"/>
          <w:b w:val="0"/>
          <w:bCs/>
          <w:sz w:val="26"/>
          <w:szCs w:val="26"/>
          <w:vertAlign w:val="baseline"/>
        </w:rPr>
        <w:footnoteRef/>
      </w:r>
      <w:r w:rsidRPr="00673878">
        <w:rPr>
          <w:b/>
          <w:bCs/>
          <w:sz w:val="26"/>
          <w:szCs w:val="26"/>
        </w:rPr>
        <w:t xml:space="preserve"> </w:t>
      </w:r>
      <w:r w:rsidRPr="00673878" w:rsidR="00B42E66">
        <w:rPr>
          <w:sz w:val="26"/>
          <w:szCs w:val="26"/>
        </w:rPr>
        <w:tab/>
        <w:t>Class counsel did not ask for attorneys’ fees under any other statute. (</w:t>
      </w:r>
      <w:r w:rsidRPr="00673878" w:rsidR="00B42E66">
        <w:rPr>
          <w:i/>
          <w:iCs/>
          <w:sz w:val="26"/>
          <w:szCs w:val="26"/>
        </w:rPr>
        <w:t>Naranjo II, supra</w:t>
      </w:r>
      <w:r w:rsidRPr="00673878" w:rsidR="00B42E66">
        <w:rPr>
          <w:sz w:val="26"/>
          <w:szCs w:val="26"/>
        </w:rPr>
        <w:t xml:space="preserve">, 40 Cal.App.5th at p. </w:t>
      </w:r>
      <w:r w:rsidRPr="00673878" w:rsidR="00D92303">
        <w:rPr>
          <w:sz w:val="26"/>
          <w:szCs w:val="26"/>
        </w:rPr>
        <w:t xml:space="preserve">474, </w:t>
      </w:r>
      <w:r w:rsidRPr="00673878" w:rsidR="00AA78E2">
        <w:rPr>
          <w:sz w:val="26"/>
          <w:szCs w:val="26"/>
        </w:rPr>
        <w:t>f</w:t>
      </w:r>
      <w:r w:rsidRPr="00673878" w:rsidR="00D92303">
        <w:rPr>
          <w:sz w:val="26"/>
          <w:szCs w:val="26"/>
        </w:rPr>
        <w:t>n.</w:t>
      </w:r>
      <w:r w:rsidR="006265C3">
        <w:rPr>
          <w:sz w:val="26"/>
          <w:szCs w:val="26"/>
        </w:rPr>
        <w:t xml:space="preserve"> </w:t>
      </w:r>
      <w:r w:rsidRPr="00673878" w:rsidR="00D92303">
        <w:rPr>
          <w:sz w:val="26"/>
          <w:szCs w:val="26"/>
        </w:rPr>
        <w:t>12.)</w:t>
      </w:r>
    </w:p>
  </w:footnote>
  <w:footnote w:id="12">
    <w:p w:rsidR="00CA58FB" w:rsidRPr="00FB2B11" w:rsidP="007F2F3E" w14:paraId="07D2FDD5" w14:textId="5E3D3204">
      <w:pPr>
        <w:pStyle w:val="FootnoteText"/>
        <w:spacing w:line="240" w:lineRule="auto"/>
        <w:rPr>
          <w:sz w:val="26"/>
        </w:rPr>
      </w:pPr>
      <w:r w:rsidRPr="007F2F3E">
        <w:rPr>
          <w:rStyle w:val="FootnoteReference"/>
          <w:bCs/>
        </w:rPr>
        <w:t>*</w:t>
      </w:r>
      <w:r w:rsidRPr="007F2F3E">
        <w:rPr>
          <w:b/>
          <w:bCs/>
          <w:sz w:val="26"/>
        </w:rPr>
        <w:t xml:space="preserve"> </w:t>
      </w:r>
      <w:r w:rsidRPr="007F2F3E">
        <w:rPr>
          <w:sz w:val="26"/>
        </w:rPr>
        <w:tab/>
      </w:r>
      <w:r w:rsidRPr="007F2F3E" w:rsidR="00B33317">
        <w:rPr>
          <w:sz w:val="26"/>
        </w:rPr>
        <w:t xml:space="preserve">Justice of the Court of Appeal, Second Appellate District, Division </w:t>
      </w:r>
      <w:r w:rsidRPr="007F2F3E" w:rsidR="007F2F3E">
        <w:rPr>
          <w:sz w:val="26"/>
        </w:rPr>
        <w:t>Three</w:t>
      </w:r>
      <w:r w:rsidRPr="007F2F3E" w:rsidR="00B33317">
        <w:rPr>
          <w:sz w:val="26"/>
        </w:rPr>
        <w:t>, assigned to Division Four, by the Chief Justice pursuant to article VI, section 6 of the California Constitution.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544C70"/>
    <w:multiLevelType w:val="hybridMultilevel"/>
    <w:tmpl w:val="5F2A5958"/>
    <w:lvl w:ilvl="0">
      <w:start w:val="1"/>
      <w:numFmt w:val="upperLetter"/>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5D73239"/>
    <w:multiLevelType w:val="hybridMultilevel"/>
    <w:tmpl w:val="C6B4976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D582A7F"/>
    <w:multiLevelType w:val="hybridMultilevel"/>
    <w:tmpl w:val="72D4CC1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F555AC0"/>
    <w:multiLevelType w:val="hybridMultilevel"/>
    <w:tmpl w:val="2AF42BAA"/>
    <w:lvl w:ilvl="0">
      <w:start w:val="110"/>
      <w:numFmt w:val="bullet"/>
      <w:lvlText w:val=""/>
      <w:lvlJc w:val="left"/>
      <w:pPr>
        <w:ind w:left="720" w:hanging="360"/>
      </w:pPr>
      <w:rPr>
        <w:rFonts w:ascii="Wingdings" w:eastAsia="Times New Roma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03910D4"/>
    <w:multiLevelType w:val="hybridMultilevel"/>
    <w:tmpl w:val="FD16CCCA"/>
    <w:lvl w:ilvl="0">
      <w:start w:val="1"/>
      <w:numFmt w:val="upperRoman"/>
      <w:lvlText w:val="%1."/>
      <w:lvlJc w:val="left"/>
      <w:pPr>
        <w:ind w:left="1080" w:hanging="720"/>
      </w:pPr>
      <w:rPr>
        <w:rFonts w:eastAsia="Calibr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6E50253"/>
    <w:multiLevelType w:val="hybridMultilevel"/>
    <w:tmpl w:val="FD08E326"/>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B426C85"/>
    <w:multiLevelType w:val="hybridMultilevel"/>
    <w:tmpl w:val="96DE7086"/>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D7E1E75"/>
    <w:multiLevelType w:val="hybridMultilevel"/>
    <w:tmpl w:val="BDDA05B0"/>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E3754E7"/>
    <w:multiLevelType w:val="hybridMultilevel"/>
    <w:tmpl w:val="06F06F4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04C42F3"/>
    <w:multiLevelType w:val="hybridMultilevel"/>
    <w:tmpl w:val="8760ECC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5D50BBD"/>
    <w:multiLevelType w:val="hybridMultilevel"/>
    <w:tmpl w:val="EB662E3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9061135"/>
    <w:multiLevelType w:val="hybridMultilevel"/>
    <w:tmpl w:val="826021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293636D"/>
    <w:multiLevelType w:val="hybridMultilevel"/>
    <w:tmpl w:val="F95A73C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534378C"/>
    <w:multiLevelType w:val="hybridMultilevel"/>
    <w:tmpl w:val="8BC6A8D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DCA3DB2"/>
    <w:multiLevelType w:val="hybridMultilevel"/>
    <w:tmpl w:val="CFBE3F5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EBB4D9C"/>
    <w:multiLevelType w:val="hybridMultilevel"/>
    <w:tmpl w:val="7FD4648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40EE28F8"/>
    <w:multiLevelType w:val="hybridMultilevel"/>
    <w:tmpl w:val="3AE6094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8971591"/>
    <w:multiLevelType w:val="hybridMultilevel"/>
    <w:tmpl w:val="C498796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4A252D46"/>
    <w:multiLevelType w:val="hybridMultilevel"/>
    <w:tmpl w:val="512467C0"/>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4A5158C0"/>
    <w:multiLevelType w:val="hybridMultilevel"/>
    <w:tmpl w:val="B5C022FC"/>
    <w:lvl w:ilvl="0">
      <w:start w:val="1"/>
      <w:numFmt w:val="upperLetter"/>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54480A55"/>
    <w:multiLevelType w:val="hybridMultilevel"/>
    <w:tmpl w:val="A4FE52AA"/>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1">
    <w:nsid w:val="5648606B"/>
    <w:multiLevelType w:val="multilevel"/>
    <w:tmpl w:val="C4D0E18C"/>
    <w:lvl w:ilvl="0">
      <w:start w:val="1"/>
      <w:numFmt w:val="decimal"/>
      <w:pStyle w:val="Heading21"/>
      <w:lvlText w:val="%1."/>
      <w:lvlJc w:val="left"/>
      <w:pPr>
        <w:ind w:left="2160" w:hanging="720"/>
      </w:pPr>
      <w:rPr>
        <w:rFonts w:ascii="Century Schoolbook" w:hAnsi="Century Schoolbook" w:hint="default"/>
        <w:b/>
        <w:i w:val="0"/>
        <w:sz w:val="26"/>
      </w:rPr>
    </w:lvl>
    <w:lvl w:ilvl="1">
      <w:start w:val="1"/>
      <w:numFmt w:val="decimal"/>
      <w:pStyle w:val="Heading3"/>
      <w:lvlText w:val="%1.%2."/>
      <w:lvlJc w:val="left"/>
      <w:pPr>
        <w:tabs>
          <w:tab w:val="num" w:pos="2880"/>
        </w:tabs>
        <w:ind w:left="2880" w:hanging="720"/>
      </w:pPr>
      <w:rPr>
        <w:rFonts w:ascii="Century Schoolbook" w:hAnsi="Century Schoolbook" w:hint="default"/>
        <w:b/>
        <w:i w:val="0"/>
        <w:kern w:val="20"/>
        <w:sz w:val="26"/>
      </w:rPr>
    </w:lvl>
    <w:lvl w:ilvl="2">
      <w:start w:val="1"/>
      <w:numFmt w:val="decimal"/>
      <w:pStyle w:val="Heading4"/>
      <w:lvlText w:val="%1.%2.%3."/>
      <w:lvlJc w:val="left"/>
      <w:pPr>
        <w:tabs>
          <w:tab w:val="num" w:pos="3067"/>
        </w:tabs>
        <w:ind w:left="3067" w:hanging="907"/>
      </w:pPr>
      <w:rPr>
        <w:rFonts w:ascii="Century Schoolbook" w:hAnsi="Century Schoolbook" w:hint="default"/>
        <w:b/>
        <w:i w:val="0"/>
        <w:sz w:val="26"/>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2">
    <w:nsid w:val="56D15934"/>
    <w:multiLevelType w:val="hybridMultilevel"/>
    <w:tmpl w:val="6BA4DAC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73E408E"/>
    <w:multiLevelType w:val="hybridMultilevel"/>
    <w:tmpl w:val="0F9AC4A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A622696"/>
    <w:multiLevelType w:val="hybridMultilevel"/>
    <w:tmpl w:val="2BB068B2"/>
    <w:lvl w:ilvl="0">
      <w:start w:val="1"/>
      <w:numFmt w:val="decimal"/>
      <w:lvlText w:val="%1."/>
      <w:lvlJc w:val="left"/>
      <w:pPr>
        <w:ind w:left="1080" w:hanging="360"/>
      </w:pPr>
      <w:rPr>
        <w:rFonts w:hint="default"/>
        <w:i w:val="0"/>
        <w:i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677F5368"/>
    <w:multiLevelType w:val="hybridMultilevel"/>
    <w:tmpl w:val="89B6812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6CC76C19"/>
    <w:multiLevelType w:val="hybridMultilevel"/>
    <w:tmpl w:val="6E0670B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FCE0D3E"/>
    <w:multiLevelType w:val="hybridMultilevel"/>
    <w:tmpl w:val="D242DBA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6741300"/>
    <w:multiLevelType w:val="hybridMultilevel"/>
    <w:tmpl w:val="72582DFE"/>
    <w:lvl w:ilvl="0">
      <w:start w:val="1"/>
      <w:numFmt w:val="upperLetter"/>
      <w:lvlText w:val="%1."/>
      <w:lvlJc w:val="left"/>
      <w:pPr>
        <w:ind w:left="1080" w:hanging="360"/>
      </w:pPr>
      <w:rPr>
        <w:rFonts w:hint="default"/>
        <w:i/>
        <w:iCs/>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7FCE558F"/>
    <w:multiLevelType w:val="hybridMultilevel"/>
    <w:tmpl w:val="38B01224"/>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2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9"/>
  </w:num>
  <w:num w:numId="5">
    <w:abstractNumId w:val="5"/>
  </w:num>
  <w:num w:numId="6">
    <w:abstractNumId w:val="12"/>
  </w:num>
  <w:num w:numId="7">
    <w:abstractNumId w:val="29"/>
  </w:num>
  <w:num w:numId="8">
    <w:abstractNumId w:val="0"/>
  </w:num>
  <w:num w:numId="9">
    <w:abstractNumId w:val="22"/>
  </w:num>
  <w:num w:numId="10">
    <w:abstractNumId w:val="23"/>
  </w:num>
  <w:num w:numId="11">
    <w:abstractNumId w:val="26"/>
  </w:num>
  <w:num w:numId="12">
    <w:abstractNumId w:val="3"/>
  </w:num>
  <w:num w:numId="13">
    <w:abstractNumId w:val="25"/>
  </w:num>
  <w:num w:numId="14">
    <w:abstractNumId w:val="20"/>
  </w:num>
  <w:num w:numId="15">
    <w:abstractNumId w:val="14"/>
  </w:num>
  <w:num w:numId="16">
    <w:abstractNumId w:val="4"/>
  </w:num>
  <w:num w:numId="17">
    <w:abstractNumId w:val="11"/>
  </w:num>
  <w:num w:numId="18">
    <w:abstractNumId w:val="27"/>
  </w:num>
  <w:num w:numId="19">
    <w:abstractNumId w:val="18"/>
  </w:num>
  <w:num w:numId="20">
    <w:abstractNumId w:val="1"/>
  </w:num>
  <w:num w:numId="21">
    <w:abstractNumId w:val="6"/>
  </w:num>
  <w:num w:numId="22">
    <w:abstractNumId w:val="17"/>
  </w:num>
  <w:num w:numId="23">
    <w:abstractNumId w:val="28"/>
  </w:num>
  <w:num w:numId="24">
    <w:abstractNumId w:val="8"/>
  </w:num>
  <w:num w:numId="25">
    <w:abstractNumId w:val="2"/>
  </w:num>
  <w:num w:numId="26">
    <w:abstractNumId w:val="15"/>
  </w:num>
  <w:num w:numId="27">
    <w:abstractNumId w:val="10"/>
  </w:num>
  <w:num w:numId="28">
    <w:abstractNumId w:val="13"/>
  </w:num>
  <w:num w:numId="29">
    <w:abstractNumId w:val="9"/>
  </w:num>
  <w:num w:numId="30">
    <w:abstractNumId w:val="24"/>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0E4"/>
    <w:rsid w:val="000003B7"/>
    <w:rsid w:val="00000780"/>
    <w:rsid w:val="00000AE8"/>
    <w:rsid w:val="000014CA"/>
    <w:rsid w:val="00001617"/>
    <w:rsid w:val="0000173F"/>
    <w:rsid w:val="0000182C"/>
    <w:rsid w:val="00001930"/>
    <w:rsid w:val="00001A75"/>
    <w:rsid w:val="00001C05"/>
    <w:rsid w:val="00002A4E"/>
    <w:rsid w:val="000035A2"/>
    <w:rsid w:val="000036C7"/>
    <w:rsid w:val="0000370C"/>
    <w:rsid w:val="00003818"/>
    <w:rsid w:val="00003DFC"/>
    <w:rsid w:val="00003F38"/>
    <w:rsid w:val="00005220"/>
    <w:rsid w:val="00005C1E"/>
    <w:rsid w:val="000060B7"/>
    <w:rsid w:val="00007537"/>
    <w:rsid w:val="0000782B"/>
    <w:rsid w:val="00007A01"/>
    <w:rsid w:val="000105F9"/>
    <w:rsid w:val="00010699"/>
    <w:rsid w:val="00010887"/>
    <w:rsid w:val="00010A66"/>
    <w:rsid w:val="000111E4"/>
    <w:rsid w:val="00011505"/>
    <w:rsid w:val="00011ED8"/>
    <w:rsid w:val="0001214C"/>
    <w:rsid w:val="0001228D"/>
    <w:rsid w:val="00012334"/>
    <w:rsid w:val="0001276F"/>
    <w:rsid w:val="00012801"/>
    <w:rsid w:val="00012B52"/>
    <w:rsid w:val="000139D4"/>
    <w:rsid w:val="00013A75"/>
    <w:rsid w:val="00013D74"/>
    <w:rsid w:val="00014359"/>
    <w:rsid w:val="0001463F"/>
    <w:rsid w:val="00014973"/>
    <w:rsid w:val="00014AA0"/>
    <w:rsid w:val="00015368"/>
    <w:rsid w:val="000156A9"/>
    <w:rsid w:val="000158A3"/>
    <w:rsid w:val="0001621E"/>
    <w:rsid w:val="00016341"/>
    <w:rsid w:val="00016DF8"/>
    <w:rsid w:val="00017650"/>
    <w:rsid w:val="00017A7D"/>
    <w:rsid w:val="00017C9F"/>
    <w:rsid w:val="00020B52"/>
    <w:rsid w:val="00021357"/>
    <w:rsid w:val="0002159F"/>
    <w:rsid w:val="00022579"/>
    <w:rsid w:val="0002347B"/>
    <w:rsid w:val="00023AA5"/>
    <w:rsid w:val="00023ED4"/>
    <w:rsid w:val="00024508"/>
    <w:rsid w:val="000246E3"/>
    <w:rsid w:val="000248F2"/>
    <w:rsid w:val="000250A6"/>
    <w:rsid w:val="000250BE"/>
    <w:rsid w:val="0002525C"/>
    <w:rsid w:val="00025687"/>
    <w:rsid w:val="0002572C"/>
    <w:rsid w:val="00025BB9"/>
    <w:rsid w:val="00025F4B"/>
    <w:rsid w:val="00026F44"/>
    <w:rsid w:val="00027230"/>
    <w:rsid w:val="00027CF1"/>
    <w:rsid w:val="000303E2"/>
    <w:rsid w:val="00030590"/>
    <w:rsid w:val="00031404"/>
    <w:rsid w:val="00031924"/>
    <w:rsid w:val="000322A0"/>
    <w:rsid w:val="00032468"/>
    <w:rsid w:val="0003297D"/>
    <w:rsid w:val="0003323E"/>
    <w:rsid w:val="000332A7"/>
    <w:rsid w:val="000333B7"/>
    <w:rsid w:val="00033E83"/>
    <w:rsid w:val="00034158"/>
    <w:rsid w:val="00034719"/>
    <w:rsid w:val="00034B36"/>
    <w:rsid w:val="00034D2E"/>
    <w:rsid w:val="000352D8"/>
    <w:rsid w:val="0003558E"/>
    <w:rsid w:val="00035605"/>
    <w:rsid w:val="00035851"/>
    <w:rsid w:val="0003589A"/>
    <w:rsid w:val="00035E70"/>
    <w:rsid w:val="000366EB"/>
    <w:rsid w:val="0003670E"/>
    <w:rsid w:val="000368E5"/>
    <w:rsid w:val="00036955"/>
    <w:rsid w:val="0003777E"/>
    <w:rsid w:val="00037DCE"/>
    <w:rsid w:val="00037E23"/>
    <w:rsid w:val="00040337"/>
    <w:rsid w:val="00040457"/>
    <w:rsid w:val="0004131B"/>
    <w:rsid w:val="00041525"/>
    <w:rsid w:val="000429EE"/>
    <w:rsid w:val="00042C28"/>
    <w:rsid w:val="00042C6C"/>
    <w:rsid w:val="00042C9B"/>
    <w:rsid w:val="00042D46"/>
    <w:rsid w:val="00043C39"/>
    <w:rsid w:val="00043D6D"/>
    <w:rsid w:val="00044333"/>
    <w:rsid w:val="0004466A"/>
    <w:rsid w:val="00044AAF"/>
    <w:rsid w:val="00044E53"/>
    <w:rsid w:val="00045331"/>
    <w:rsid w:val="000453AE"/>
    <w:rsid w:val="00045E0B"/>
    <w:rsid w:val="00045F2D"/>
    <w:rsid w:val="000467ED"/>
    <w:rsid w:val="00046A2C"/>
    <w:rsid w:val="00046A58"/>
    <w:rsid w:val="00046A72"/>
    <w:rsid w:val="00046FCE"/>
    <w:rsid w:val="000472BA"/>
    <w:rsid w:val="00047565"/>
    <w:rsid w:val="00047EA7"/>
    <w:rsid w:val="0005000C"/>
    <w:rsid w:val="00051A56"/>
    <w:rsid w:val="00051FB2"/>
    <w:rsid w:val="00052182"/>
    <w:rsid w:val="00052388"/>
    <w:rsid w:val="00052806"/>
    <w:rsid w:val="00052F5A"/>
    <w:rsid w:val="000533E5"/>
    <w:rsid w:val="00053D59"/>
    <w:rsid w:val="00053E78"/>
    <w:rsid w:val="00054135"/>
    <w:rsid w:val="00054614"/>
    <w:rsid w:val="00054653"/>
    <w:rsid w:val="000549B7"/>
    <w:rsid w:val="00054A68"/>
    <w:rsid w:val="00054AB4"/>
    <w:rsid w:val="00054D1C"/>
    <w:rsid w:val="00054E96"/>
    <w:rsid w:val="00055187"/>
    <w:rsid w:val="00055202"/>
    <w:rsid w:val="0005538D"/>
    <w:rsid w:val="00055912"/>
    <w:rsid w:val="000562B6"/>
    <w:rsid w:val="00056435"/>
    <w:rsid w:val="000570E2"/>
    <w:rsid w:val="00057ACA"/>
    <w:rsid w:val="00057B49"/>
    <w:rsid w:val="00057CD1"/>
    <w:rsid w:val="00060BE8"/>
    <w:rsid w:val="00060D76"/>
    <w:rsid w:val="00061493"/>
    <w:rsid w:val="00061907"/>
    <w:rsid w:val="00061D93"/>
    <w:rsid w:val="00061E81"/>
    <w:rsid w:val="0006283B"/>
    <w:rsid w:val="000629E2"/>
    <w:rsid w:val="00062C27"/>
    <w:rsid w:val="00062C78"/>
    <w:rsid w:val="00064752"/>
    <w:rsid w:val="00064AD2"/>
    <w:rsid w:val="00065009"/>
    <w:rsid w:val="00065059"/>
    <w:rsid w:val="000653D8"/>
    <w:rsid w:val="000663FB"/>
    <w:rsid w:val="00066C75"/>
    <w:rsid w:val="000671CD"/>
    <w:rsid w:val="00067335"/>
    <w:rsid w:val="0006796C"/>
    <w:rsid w:val="000701D3"/>
    <w:rsid w:val="00070418"/>
    <w:rsid w:val="00070FBF"/>
    <w:rsid w:val="000710E1"/>
    <w:rsid w:val="000717EC"/>
    <w:rsid w:val="000718A9"/>
    <w:rsid w:val="00071C3E"/>
    <w:rsid w:val="0007291F"/>
    <w:rsid w:val="00072B8C"/>
    <w:rsid w:val="00072E11"/>
    <w:rsid w:val="00073066"/>
    <w:rsid w:val="00073192"/>
    <w:rsid w:val="00073FB7"/>
    <w:rsid w:val="00074010"/>
    <w:rsid w:val="00074C6E"/>
    <w:rsid w:val="00076186"/>
    <w:rsid w:val="000761C5"/>
    <w:rsid w:val="0007676F"/>
    <w:rsid w:val="000768DE"/>
    <w:rsid w:val="00077957"/>
    <w:rsid w:val="00077AB4"/>
    <w:rsid w:val="00077BAD"/>
    <w:rsid w:val="00077E44"/>
    <w:rsid w:val="0008006D"/>
    <w:rsid w:val="000800E1"/>
    <w:rsid w:val="0008057E"/>
    <w:rsid w:val="00080C0A"/>
    <w:rsid w:val="00080CFE"/>
    <w:rsid w:val="0008111F"/>
    <w:rsid w:val="00081130"/>
    <w:rsid w:val="00081479"/>
    <w:rsid w:val="0008155B"/>
    <w:rsid w:val="000818CB"/>
    <w:rsid w:val="00081E27"/>
    <w:rsid w:val="000823C0"/>
    <w:rsid w:val="000828DA"/>
    <w:rsid w:val="00082BC8"/>
    <w:rsid w:val="0008321D"/>
    <w:rsid w:val="00083871"/>
    <w:rsid w:val="000840AB"/>
    <w:rsid w:val="000841AE"/>
    <w:rsid w:val="00084AF5"/>
    <w:rsid w:val="00085289"/>
    <w:rsid w:val="00085407"/>
    <w:rsid w:val="000860DA"/>
    <w:rsid w:val="0008634F"/>
    <w:rsid w:val="000868C6"/>
    <w:rsid w:val="00086B1A"/>
    <w:rsid w:val="00087731"/>
    <w:rsid w:val="00087B6C"/>
    <w:rsid w:val="00087F4A"/>
    <w:rsid w:val="00087F6E"/>
    <w:rsid w:val="000907F6"/>
    <w:rsid w:val="00090B1F"/>
    <w:rsid w:val="0009130C"/>
    <w:rsid w:val="00091AAA"/>
    <w:rsid w:val="00091B2A"/>
    <w:rsid w:val="000923CD"/>
    <w:rsid w:val="000927AE"/>
    <w:rsid w:val="00092B26"/>
    <w:rsid w:val="000933B8"/>
    <w:rsid w:val="0009355F"/>
    <w:rsid w:val="00093952"/>
    <w:rsid w:val="00093A92"/>
    <w:rsid w:val="000940E4"/>
    <w:rsid w:val="000941E2"/>
    <w:rsid w:val="00094BBB"/>
    <w:rsid w:val="00094CA7"/>
    <w:rsid w:val="00095330"/>
    <w:rsid w:val="000954CA"/>
    <w:rsid w:val="00096A6A"/>
    <w:rsid w:val="0009709D"/>
    <w:rsid w:val="000970AA"/>
    <w:rsid w:val="000971F2"/>
    <w:rsid w:val="000A1B1B"/>
    <w:rsid w:val="000A2130"/>
    <w:rsid w:val="000A23F4"/>
    <w:rsid w:val="000A2516"/>
    <w:rsid w:val="000A2A07"/>
    <w:rsid w:val="000A3775"/>
    <w:rsid w:val="000A3FBF"/>
    <w:rsid w:val="000A5697"/>
    <w:rsid w:val="000A7F3F"/>
    <w:rsid w:val="000B179C"/>
    <w:rsid w:val="000B1A9E"/>
    <w:rsid w:val="000B1D23"/>
    <w:rsid w:val="000B20FE"/>
    <w:rsid w:val="000B2C39"/>
    <w:rsid w:val="000B2F12"/>
    <w:rsid w:val="000B3BDB"/>
    <w:rsid w:val="000B3EEC"/>
    <w:rsid w:val="000B429F"/>
    <w:rsid w:val="000B432E"/>
    <w:rsid w:val="000B45C8"/>
    <w:rsid w:val="000B46D0"/>
    <w:rsid w:val="000B488E"/>
    <w:rsid w:val="000B5431"/>
    <w:rsid w:val="000B56E4"/>
    <w:rsid w:val="000B5BC5"/>
    <w:rsid w:val="000B6112"/>
    <w:rsid w:val="000B633C"/>
    <w:rsid w:val="000B6C20"/>
    <w:rsid w:val="000B6C6C"/>
    <w:rsid w:val="000B6D1F"/>
    <w:rsid w:val="000B7238"/>
    <w:rsid w:val="000B7BB6"/>
    <w:rsid w:val="000C004E"/>
    <w:rsid w:val="000C00A1"/>
    <w:rsid w:val="000C02AD"/>
    <w:rsid w:val="000C1027"/>
    <w:rsid w:val="000C10D4"/>
    <w:rsid w:val="000C1B23"/>
    <w:rsid w:val="000C1E5D"/>
    <w:rsid w:val="000C1FDE"/>
    <w:rsid w:val="000C2022"/>
    <w:rsid w:val="000C27C4"/>
    <w:rsid w:val="000C2BE0"/>
    <w:rsid w:val="000C2D7D"/>
    <w:rsid w:val="000C2DB9"/>
    <w:rsid w:val="000C301A"/>
    <w:rsid w:val="000C3182"/>
    <w:rsid w:val="000C3336"/>
    <w:rsid w:val="000C3B20"/>
    <w:rsid w:val="000C44E0"/>
    <w:rsid w:val="000C52C8"/>
    <w:rsid w:val="000C5327"/>
    <w:rsid w:val="000C5E37"/>
    <w:rsid w:val="000C5E80"/>
    <w:rsid w:val="000C66CE"/>
    <w:rsid w:val="000C6F3B"/>
    <w:rsid w:val="000C70A2"/>
    <w:rsid w:val="000C7303"/>
    <w:rsid w:val="000C73EA"/>
    <w:rsid w:val="000D0245"/>
    <w:rsid w:val="000D0C54"/>
    <w:rsid w:val="000D150F"/>
    <w:rsid w:val="000D1A80"/>
    <w:rsid w:val="000D1BF5"/>
    <w:rsid w:val="000D1FDE"/>
    <w:rsid w:val="000D2437"/>
    <w:rsid w:val="000D2C65"/>
    <w:rsid w:val="000D3431"/>
    <w:rsid w:val="000D3699"/>
    <w:rsid w:val="000D3C6E"/>
    <w:rsid w:val="000D46A6"/>
    <w:rsid w:val="000D5C2A"/>
    <w:rsid w:val="000D5E37"/>
    <w:rsid w:val="000D645D"/>
    <w:rsid w:val="000D6C29"/>
    <w:rsid w:val="000D72D4"/>
    <w:rsid w:val="000D7561"/>
    <w:rsid w:val="000D7605"/>
    <w:rsid w:val="000D7A7E"/>
    <w:rsid w:val="000D7C85"/>
    <w:rsid w:val="000E021B"/>
    <w:rsid w:val="000E03B0"/>
    <w:rsid w:val="000E04FE"/>
    <w:rsid w:val="000E05FD"/>
    <w:rsid w:val="000E0B16"/>
    <w:rsid w:val="000E0E20"/>
    <w:rsid w:val="000E1DA5"/>
    <w:rsid w:val="000E3183"/>
    <w:rsid w:val="000E3828"/>
    <w:rsid w:val="000E3846"/>
    <w:rsid w:val="000E3D85"/>
    <w:rsid w:val="000E3DD1"/>
    <w:rsid w:val="000E4055"/>
    <w:rsid w:val="000E4DAB"/>
    <w:rsid w:val="000E58EF"/>
    <w:rsid w:val="000E5A29"/>
    <w:rsid w:val="000E5F99"/>
    <w:rsid w:val="000E6255"/>
    <w:rsid w:val="000E6275"/>
    <w:rsid w:val="000E62E1"/>
    <w:rsid w:val="000E6D88"/>
    <w:rsid w:val="000F11E4"/>
    <w:rsid w:val="000F1D6D"/>
    <w:rsid w:val="000F217D"/>
    <w:rsid w:val="000F2285"/>
    <w:rsid w:val="000F2A51"/>
    <w:rsid w:val="000F3D16"/>
    <w:rsid w:val="000F4057"/>
    <w:rsid w:val="000F4FBA"/>
    <w:rsid w:val="000F4FBC"/>
    <w:rsid w:val="000F5C36"/>
    <w:rsid w:val="000F5DA5"/>
    <w:rsid w:val="000F6AD6"/>
    <w:rsid w:val="000F70CA"/>
    <w:rsid w:val="000F728C"/>
    <w:rsid w:val="000F7592"/>
    <w:rsid w:val="000F75B5"/>
    <w:rsid w:val="00100400"/>
    <w:rsid w:val="00101030"/>
    <w:rsid w:val="0010124C"/>
    <w:rsid w:val="001016E9"/>
    <w:rsid w:val="001017E7"/>
    <w:rsid w:val="00101D61"/>
    <w:rsid w:val="001022F7"/>
    <w:rsid w:val="001032AC"/>
    <w:rsid w:val="001033F6"/>
    <w:rsid w:val="00103494"/>
    <w:rsid w:val="00103648"/>
    <w:rsid w:val="001036FF"/>
    <w:rsid w:val="00103733"/>
    <w:rsid w:val="00103839"/>
    <w:rsid w:val="00103A4A"/>
    <w:rsid w:val="00104AE6"/>
    <w:rsid w:val="001058F6"/>
    <w:rsid w:val="0010645D"/>
    <w:rsid w:val="001064F5"/>
    <w:rsid w:val="00106ACF"/>
    <w:rsid w:val="00106C85"/>
    <w:rsid w:val="00106E19"/>
    <w:rsid w:val="00106F57"/>
    <w:rsid w:val="0010727E"/>
    <w:rsid w:val="00107C58"/>
    <w:rsid w:val="00107CFD"/>
    <w:rsid w:val="00107D61"/>
    <w:rsid w:val="00110217"/>
    <w:rsid w:val="00110258"/>
    <w:rsid w:val="00110BDE"/>
    <w:rsid w:val="00111015"/>
    <w:rsid w:val="001113E6"/>
    <w:rsid w:val="001114D2"/>
    <w:rsid w:val="00111CE8"/>
    <w:rsid w:val="0011235B"/>
    <w:rsid w:val="00112594"/>
    <w:rsid w:val="00112717"/>
    <w:rsid w:val="001127DF"/>
    <w:rsid w:val="00112B19"/>
    <w:rsid w:val="00112F55"/>
    <w:rsid w:val="0011426E"/>
    <w:rsid w:val="001143BA"/>
    <w:rsid w:val="0011442D"/>
    <w:rsid w:val="00114586"/>
    <w:rsid w:val="00114702"/>
    <w:rsid w:val="001155BF"/>
    <w:rsid w:val="00116115"/>
    <w:rsid w:val="001161B6"/>
    <w:rsid w:val="00116287"/>
    <w:rsid w:val="00116848"/>
    <w:rsid w:val="0011688F"/>
    <w:rsid w:val="00116A82"/>
    <w:rsid w:val="00116D2C"/>
    <w:rsid w:val="00117ABE"/>
    <w:rsid w:val="00117B7B"/>
    <w:rsid w:val="00117EDE"/>
    <w:rsid w:val="00120423"/>
    <w:rsid w:val="001214F3"/>
    <w:rsid w:val="0012161D"/>
    <w:rsid w:val="001219C3"/>
    <w:rsid w:val="001221E3"/>
    <w:rsid w:val="001223D6"/>
    <w:rsid w:val="00122C5C"/>
    <w:rsid w:val="00122D12"/>
    <w:rsid w:val="00123B27"/>
    <w:rsid w:val="00123B40"/>
    <w:rsid w:val="00123F1C"/>
    <w:rsid w:val="001241BA"/>
    <w:rsid w:val="00124664"/>
    <w:rsid w:val="00124C0D"/>
    <w:rsid w:val="00124D1F"/>
    <w:rsid w:val="00124E12"/>
    <w:rsid w:val="0012507C"/>
    <w:rsid w:val="00125BEA"/>
    <w:rsid w:val="00125F22"/>
    <w:rsid w:val="001264CA"/>
    <w:rsid w:val="001264D9"/>
    <w:rsid w:val="00126715"/>
    <w:rsid w:val="0012696F"/>
    <w:rsid w:val="00127210"/>
    <w:rsid w:val="00127DD6"/>
    <w:rsid w:val="00127ED4"/>
    <w:rsid w:val="00130298"/>
    <w:rsid w:val="00130900"/>
    <w:rsid w:val="001313A5"/>
    <w:rsid w:val="001318A6"/>
    <w:rsid w:val="0013208A"/>
    <w:rsid w:val="0013279A"/>
    <w:rsid w:val="0013312D"/>
    <w:rsid w:val="00133930"/>
    <w:rsid w:val="00133C5C"/>
    <w:rsid w:val="001343BA"/>
    <w:rsid w:val="0013496F"/>
    <w:rsid w:val="00134BFE"/>
    <w:rsid w:val="00135E0C"/>
    <w:rsid w:val="001370DB"/>
    <w:rsid w:val="0013720F"/>
    <w:rsid w:val="001373F1"/>
    <w:rsid w:val="00137422"/>
    <w:rsid w:val="00137FB6"/>
    <w:rsid w:val="00140393"/>
    <w:rsid w:val="0014062E"/>
    <w:rsid w:val="00140C38"/>
    <w:rsid w:val="00140E77"/>
    <w:rsid w:val="00140EF1"/>
    <w:rsid w:val="00141A30"/>
    <w:rsid w:val="00142056"/>
    <w:rsid w:val="00142775"/>
    <w:rsid w:val="001430E7"/>
    <w:rsid w:val="00143262"/>
    <w:rsid w:val="00143432"/>
    <w:rsid w:val="00143487"/>
    <w:rsid w:val="00143551"/>
    <w:rsid w:val="00143700"/>
    <w:rsid w:val="00143793"/>
    <w:rsid w:val="001437FA"/>
    <w:rsid w:val="001438A2"/>
    <w:rsid w:val="00143969"/>
    <w:rsid w:val="00143DD1"/>
    <w:rsid w:val="001440A5"/>
    <w:rsid w:val="00144745"/>
    <w:rsid w:val="0014620C"/>
    <w:rsid w:val="00146551"/>
    <w:rsid w:val="00146CE2"/>
    <w:rsid w:val="00146F59"/>
    <w:rsid w:val="00146F98"/>
    <w:rsid w:val="00147524"/>
    <w:rsid w:val="00147C7F"/>
    <w:rsid w:val="00150AB4"/>
    <w:rsid w:val="0015102B"/>
    <w:rsid w:val="001515BA"/>
    <w:rsid w:val="00151AFE"/>
    <w:rsid w:val="0015208D"/>
    <w:rsid w:val="0015212A"/>
    <w:rsid w:val="00152228"/>
    <w:rsid w:val="001525CB"/>
    <w:rsid w:val="00153041"/>
    <w:rsid w:val="001536BB"/>
    <w:rsid w:val="001538CB"/>
    <w:rsid w:val="00153C6B"/>
    <w:rsid w:val="00153DC4"/>
    <w:rsid w:val="0015444C"/>
    <w:rsid w:val="0015508F"/>
    <w:rsid w:val="001550EB"/>
    <w:rsid w:val="00155882"/>
    <w:rsid w:val="00155937"/>
    <w:rsid w:val="00155AAC"/>
    <w:rsid w:val="00155ACE"/>
    <w:rsid w:val="00155CEE"/>
    <w:rsid w:val="00156E2C"/>
    <w:rsid w:val="00157026"/>
    <w:rsid w:val="00157060"/>
    <w:rsid w:val="00157B99"/>
    <w:rsid w:val="00160A95"/>
    <w:rsid w:val="00160C9B"/>
    <w:rsid w:val="0016134A"/>
    <w:rsid w:val="001614A7"/>
    <w:rsid w:val="001621FA"/>
    <w:rsid w:val="00162203"/>
    <w:rsid w:val="00162E7C"/>
    <w:rsid w:val="0016316C"/>
    <w:rsid w:val="0016419D"/>
    <w:rsid w:val="00164666"/>
    <w:rsid w:val="00164E66"/>
    <w:rsid w:val="00164F8D"/>
    <w:rsid w:val="00165D1C"/>
    <w:rsid w:val="00165FA3"/>
    <w:rsid w:val="001661C2"/>
    <w:rsid w:val="00166B2F"/>
    <w:rsid w:val="0016743F"/>
    <w:rsid w:val="00167C3E"/>
    <w:rsid w:val="00170332"/>
    <w:rsid w:val="001708A5"/>
    <w:rsid w:val="00171001"/>
    <w:rsid w:val="0017109B"/>
    <w:rsid w:val="001713E6"/>
    <w:rsid w:val="00172C17"/>
    <w:rsid w:val="00173B13"/>
    <w:rsid w:val="00174330"/>
    <w:rsid w:val="00174B5A"/>
    <w:rsid w:val="00174E72"/>
    <w:rsid w:val="00174F39"/>
    <w:rsid w:val="00175104"/>
    <w:rsid w:val="00177080"/>
    <w:rsid w:val="001772BC"/>
    <w:rsid w:val="001776B3"/>
    <w:rsid w:val="00177E8B"/>
    <w:rsid w:val="001814BB"/>
    <w:rsid w:val="00181554"/>
    <w:rsid w:val="001817DB"/>
    <w:rsid w:val="001828D4"/>
    <w:rsid w:val="0018292C"/>
    <w:rsid w:val="001829FE"/>
    <w:rsid w:val="00182F93"/>
    <w:rsid w:val="001835BC"/>
    <w:rsid w:val="001839F3"/>
    <w:rsid w:val="0018484A"/>
    <w:rsid w:val="00184CB9"/>
    <w:rsid w:val="001850E5"/>
    <w:rsid w:val="00185CB9"/>
    <w:rsid w:val="001862E8"/>
    <w:rsid w:val="00186317"/>
    <w:rsid w:val="00186551"/>
    <w:rsid w:val="00186B4A"/>
    <w:rsid w:val="00186D26"/>
    <w:rsid w:val="00186F6E"/>
    <w:rsid w:val="001870A4"/>
    <w:rsid w:val="001870FE"/>
    <w:rsid w:val="00187155"/>
    <w:rsid w:val="00187F60"/>
    <w:rsid w:val="0019092A"/>
    <w:rsid w:val="00191275"/>
    <w:rsid w:val="0019240A"/>
    <w:rsid w:val="0019247B"/>
    <w:rsid w:val="001924D1"/>
    <w:rsid w:val="00192B92"/>
    <w:rsid w:val="00193151"/>
    <w:rsid w:val="00193170"/>
    <w:rsid w:val="001936CF"/>
    <w:rsid w:val="00193F20"/>
    <w:rsid w:val="001946B6"/>
    <w:rsid w:val="0019526F"/>
    <w:rsid w:val="001961F2"/>
    <w:rsid w:val="00196307"/>
    <w:rsid w:val="0019696F"/>
    <w:rsid w:val="00197467"/>
    <w:rsid w:val="00197D24"/>
    <w:rsid w:val="001A0943"/>
    <w:rsid w:val="001A0B6A"/>
    <w:rsid w:val="001A17B8"/>
    <w:rsid w:val="001A1886"/>
    <w:rsid w:val="001A198E"/>
    <w:rsid w:val="001A2110"/>
    <w:rsid w:val="001A22BB"/>
    <w:rsid w:val="001A2D03"/>
    <w:rsid w:val="001A3673"/>
    <w:rsid w:val="001A3E69"/>
    <w:rsid w:val="001A4D51"/>
    <w:rsid w:val="001A5314"/>
    <w:rsid w:val="001A563B"/>
    <w:rsid w:val="001A56A1"/>
    <w:rsid w:val="001A5DB0"/>
    <w:rsid w:val="001A6425"/>
    <w:rsid w:val="001A6790"/>
    <w:rsid w:val="001A68D3"/>
    <w:rsid w:val="001A6AAD"/>
    <w:rsid w:val="001A6C35"/>
    <w:rsid w:val="001A71F1"/>
    <w:rsid w:val="001A7262"/>
    <w:rsid w:val="001A7834"/>
    <w:rsid w:val="001A7FA6"/>
    <w:rsid w:val="001B00E0"/>
    <w:rsid w:val="001B0379"/>
    <w:rsid w:val="001B1161"/>
    <w:rsid w:val="001B1375"/>
    <w:rsid w:val="001B1A30"/>
    <w:rsid w:val="001B1BC7"/>
    <w:rsid w:val="001B2039"/>
    <w:rsid w:val="001B2A78"/>
    <w:rsid w:val="001B3503"/>
    <w:rsid w:val="001B363F"/>
    <w:rsid w:val="001B456D"/>
    <w:rsid w:val="001B4680"/>
    <w:rsid w:val="001B47D6"/>
    <w:rsid w:val="001B527D"/>
    <w:rsid w:val="001B5289"/>
    <w:rsid w:val="001B5335"/>
    <w:rsid w:val="001B56B1"/>
    <w:rsid w:val="001B56D3"/>
    <w:rsid w:val="001B5751"/>
    <w:rsid w:val="001B6466"/>
    <w:rsid w:val="001B7194"/>
    <w:rsid w:val="001B7593"/>
    <w:rsid w:val="001B7686"/>
    <w:rsid w:val="001B7829"/>
    <w:rsid w:val="001B78E9"/>
    <w:rsid w:val="001B78F7"/>
    <w:rsid w:val="001C0D38"/>
    <w:rsid w:val="001C100D"/>
    <w:rsid w:val="001C14EF"/>
    <w:rsid w:val="001C1C88"/>
    <w:rsid w:val="001C236A"/>
    <w:rsid w:val="001C2BA3"/>
    <w:rsid w:val="001C2E45"/>
    <w:rsid w:val="001C2FF0"/>
    <w:rsid w:val="001C4001"/>
    <w:rsid w:val="001C400D"/>
    <w:rsid w:val="001C46A2"/>
    <w:rsid w:val="001C4BBA"/>
    <w:rsid w:val="001C4FE5"/>
    <w:rsid w:val="001C5013"/>
    <w:rsid w:val="001C507F"/>
    <w:rsid w:val="001C5235"/>
    <w:rsid w:val="001C57E5"/>
    <w:rsid w:val="001C5D0F"/>
    <w:rsid w:val="001C5DA4"/>
    <w:rsid w:val="001C5E02"/>
    <w:rsid w:val="001C71E4"/>
    <w:rsid w:val="001C75E0"/>
    <w:rsid w:val="001C7679"/>
    <w:rsid w:val="001C76DD"/>
    <w:rsid w:val="001C76DF"/>
    <w:rsid w:val="001C7F62"/>
    <w:rsid w:val="001D1B19"/>
    <w:rsid w:val="001D1B4A"/>
    <w:rsid w:val="001D30E5"/>
    <w:rsid w:val="001D350C"/>
    <w:rsid w:val="001D37AE"/>
    <w:rsid w:val="001D44DE"/>
    <w:rsid w:val="001D5280"/>
    <w:rsid w:val="001D538D"/>
    <w:rsid w:val="001D5E22"/>
    <w:rsid w:val="001D605A"/>
    <w:rsid w:val="001D63D1"/>
    <w:rsid w:val="001D6795"/>
    <w:rsid w:val="001D69C5"/>
    <w:rsid w:val="001D6BA8"/>
    <w:rsid w:val="001D762A"/>
    <w:rsid w:val="001D77AB"/>
    <w:rsid w:val="001E0F4C"/>
    <w:rsid w:val="001E11A9"/>
    <w:rsid w:val="001E1497"/>
    <w:rsid w:val="001E2576"/>
    <w:rsid w:val="001E3DBA"/>
    <w:rsid w:val="001E3E54"/>
    <w:rsid w:val="001E3E65"/>
    <w:rsid w:val="001E5161"/>
    <w:rsid w:val="001E51D5"/>
    <w:rsid w:val="001E5440"/>
    <w:rsid w:val="001E5511"/>
    <w:rsid w:val="001E6449"/>
    <w:rsid w:val="001E67BA"/>
    <w:rsid w:val="001E7431"/>
    <w:rsid w:val="001E78F0"/>
    <w:rsid w:val="001E7E5A"/>
    <w:rsid w:val="001F038F"/>
    <w:rsid w:val="001F0E13"/>
    <w:rsid w:val="001F1835"/>
    <w:rsid w:val="001F1B68"/>
    <w:rsid w:val="001F20D9"/>
    <w:rsid w:val="001F21A5"/>
    <w:rsid w:val="001F2D41"/>
    <w:rsid w:val="001F2DCB"/>
    <w:rsid w:val="001F37BA"/>
    <w:rsid w:val="001F4249"/>
    <w:rsid w:val="001F446A"/>
    <w:rsid w:val="001F55A3"/>
    <w:rsid w:val="001F5CEB"/>
    <w:rsid w:val="001F63D9"/>
    <w:rsid w:val="001F6F39"/>
    <w:rsid w:val="001F711D"/>
    <w:rsid w:val="001F781F"/>
    <w:rsid w:val="001F787A"/>
    <w:rsid w:val="001F7981"/>
    <w:rsid w:val="001F79AC"/>
    <w:rsid w:val="001F7A60"/>
    <w:rsid w:val="001F7A7F"/>
    <w:rsid w:val="001F7B54"/>
    <w:rsid w:val="00200028"/>
    <w:rsid w:val="002002D7"/>
    <w:rsid w:val="0020048D"/>
    <w:rsid w:val="002004D9"/>
    <w:rsid w:val="0020050A"/>
    <w:rsid w:val="00200DAB"/>
    <w:rsid w:val="00200FF8"/>
    <w:rsid w:val="002011D9"/>
    <w:rsid w:val="00201811"/>
    <w:rsid w:val="00201B49"/>
    <w:rsid w:val="00201E53"/>
    <w:rsid w:val="00201FFA"/>
    <w:rsid w:val="0020203A"/>
    <w:rsid w:val="002023AE"/>
    <w:rsid w:val="00202859"/>
    <w:rsid w:val="00202DED"/>
    <w:rsid w:val="002030A1"/>
    <w:rsid w:val="002031FC"/>
    <w:rsid w:val="00203C26"/>
    <w:rsid w:val="00204B13"/>
    <w:rsid w:val="00204BBD"/>
    <w:rsid w:val="00204CC2"/>
    <w:rsid w:val="0020504F"/>
    <w:rsid w:val="00205130"/>
    <w:rsid w:val="00205350"/>
    <w:rsid w:val="002059B9"/>
    <w:rsid w:val="002061EE"/>
    <w:rsid w:val="0020623F"/>
    <w:rsid w:val="00207308"/>
    <w:rsid w:val="00207D0F"/>
    <w:rsid w:val="00207E88"/>
    <w:rsid w:val="0021000E"/>
    <w:rsid w:val="0021034D"/>
    <w:rsid w:val="002103D0"/>
    <w:rsid w:val="00210498"/>
    <w:rsid w:val="00210B9B"/>
    <w:rsid w:val="00210D53"/>
    <w:rsid w:val="00210F8F"/>
    <w:rsid w:val="00211106"/>
    <w:rsid w:val="002111E1"/>
    <w:rsid w:val="00211475"/>
    <w:rsid w:val="00211818"/>
    <w:rsid w:val="00211C3B"/>
    <w:rsid w:val="00211D80"/>
    <w:rsid w:val="00211F16"/>
    <w:rsid w:val="00212AD7"/>
    <w:rsid w:val="00212D18"/>
    <w:rsid w:val="00212D43"/>
    <w:rsid w:val="00212DA6"/>
    <w:rsid w:val="00212DD4"/>
    <w:rsid w:val="0021391D"/>
    <w:rsid w:val="00213D42"/>
    <w:rsid w:val="00213DEF"/>
    <w:rsid w:val="002140E3"/>
    <w:rsid w:val="00214D7C"/>
    <w:rsid w:val="00216107"/>
    <w:rsid w:val="0021623B"/>
    <w:rsid w:val="00216548"/>
    <w:rsid w:val="0021664C"/>
    <w:rsid w:val="00216D74"/>
    <w:rsid w:val="00216F2F"/>
    <w:rsid w:val="0021700D"/>
    <w:rsid w:val="00217071"/>
    <w:rsid w:val="00217F41"/>
    <w:rsid w:val="00220C96"/>
    <w:rsid w:val="00221588"/>
    <w:rsid w:val="00221AE2"/>
    <w:rsid w:val="00222F24"/>
    <w:rsid w:val="00223159"/>
    <w:rsid w:val="00223401"/>
    <w:rsid w:val="002243B2"/>
    <w:rsid w:val="002247C2"/>
    <w:rsid w:val="00224C08"/>
    <w:rsid w:val="00224F63"/>
    <w:rsid w:val="0022531D"/>
    <w:rsid w:val="00226BBD"/>
    <w:rsid w:val="0022704E"/>
    <w:rsid w:val="00227650"/>
    <w:rsid w:val="00227D3A"/>
    <w:rsid w:val="0023014D"/>
    <w:rsid w:val="002317BB"/>
    <w:rsid w:val="00231AD3"/>
    <w:rsid w:val="00231B3C"/>
    <w:rsid w:val="00231C92"/>
    <w:rsid w:val="00231DD0"/>
    <w:rsid w:val="00232336"/>
    <w:rsid w:val="00232BE3"/>
    <w:rsid w:val="00232FDD"/>
    <w:rsid w:val="002330B9"/>
    <w:rsid w:val="00233AB1"/>
    <w:rsid w:val="00234112"/>
    <w:rsid w:val="00234C95"/>
    <w:rsid w:val="00234E60"/>
    <w:rsid w:val="00234F28"/>
    <w:rsid w:val="00235062"/>
    <w:rsid w:val="00235705"/>
    <w:rsid w:val="00235842"/>
    <w:rsid w:val="00235DCD"/>
    <w:rsid w:val="002370BC"/>
    <w:rsid w:val="0023710E"/>
    <w:rsid w:val="00237173"/>
    <w:rsid w:val="0023718B"/>
    <w:rsid w:val="00237676"/>
    <w:rsid w:val="0023785D"/>
    <w:rsid w:val="00237A52"/>
    <w:rsid w:val="00237C64"/>
    <w:rsid w:val="00237D59"/>
    <w:rsid w:val="0024010F"/>
    <w:rsid w:val="00240330"/>
    <w:rsid w:val="0024069D"/>
    <w:rsid w:val="0024070F"/>
    <w:rsid w:val="0024077E"/>
    <w:rsid w:val="002408C0"/>
    <w:rsid w:val="00240990"/>
    <w:rsid w:val="00240B66"/>
    <w:rsid w:val="0024119C"/>
    <w:rsid w:val="00241C75"/>
    <w:rsid w:val="00241DAA"/>
    <w:rsid w:val="002420BC"/>
    <w:rsid w:val="002421F9"/>
    <w:rsid w:val="00242512"/>
    <w:rsid w:val="0024290C"/>
    <w:rsid w:val="00242B88"/>
    <w:rsid w:val="0024367A"/>
    <w:rsid w:val="0024372D"/>
    <w:rsid w:val="00243885"/>
    <w:rsid w:val="00243D28"/>
    <w:rsid w:val="00244CCB"/>
    <w:rsid w:val="00244E28"/>
    <w:rsid w:val="00245ACA"/>
    <w:rsid w:val="002460CA"/>
    <w:rsid w:val="00246125"/>
    <w:rsid w:val="0024667C"/>
    <w:rsid w:val="00246EF2"/>
    <w:rsid w:val="002470E9"/>
    <w:rsid w:val="002470FB"/>
    <w:rsid w:val="00247A34"/>
    <w:rsid w:val="0025021F"/>
    <w:rsid w:val="0025092D"/>
    <w:rsid w:val="00250EC3"/>
    <w:rsid w:val="00251059"/>
    <w:rsid w:val="0025144F"/>
    <w:rsid w:val="002514A6"/>
    <w:rsid w:val="002523B3"/>
    <w:rsid w:val="00252678"/>
    <w:rsid w:val="00253675"/>
    <w:rsid w:val="00253964"/>
    <w:rsid w:val="00254C7E"/>
    <w:rsid w:val="00254F6A"/>
    <w:rsid w:val="002557E8"/>
    <w:rsid w:val="002562BE"/>
    <w:rsid w:val="00256888"/>
    <w:rsid w:val="00256DF6"/>
    <w:rsid w:val="0025720E"/>
    <w:rsid w:val="00257874"/>
    <w:rsid w:val="002578C7"/>
    <w:rsid w:val="0025790B"/>
    <w:rsid w:val="00257D58"/>
    <w:rsid w:val="0026073F"/>
    <w:rsid w:val="00260789"/>
    <w:rsid w:val="00260D37"/>
    <w:rsid w:val="00260F5C"/>
    <w:rsid w:val="00261F10"/>
    <w:rsid w:val="0026207D"/>
    <w:rsid w:val="002621B1"/>
    <w:rsid w:val="002622C4"/>
    <w:rsid w:val="00262BB4"/>
    <w:rsid w:val="00263544"/>
    <w:rsid w:val="0026406C"/>
    <w:rsid w:val="002643B1"/>
    <w:rsid w:val="002648F4"/>
    <w:rsid w:val="00264914"/>
    <w:rsid w:val="00264AFC"/>
    <w:rsid w:val="00264F39"/>
    <w:rsid w:val="00265923"/>
    <w:rsid w:val="00265A26"/>
    <w:rsid w:val="00266B64"/>
    <w:rsid w:val="0026708D"/>
    <w:rsid w:val="00270A0F"/>
    <w:rsid w:val="0027200D"/>
    <w:rsid w:val="0027237A"/>
    <w:rsid w:val="00272BEA"/>
    <w:rsid w:val="00273A3E"/>
    <w:rsid w:val="00273ABE"/>
    <w:rsid w:val="00274550"/>
    <w:rsid w:val="00274B0B"/>
    <w:rsid w:val="00274CF2"/>
    <w:rsid w:val="00274D4E"/>
    <w:rsid w:val="002759AA"/>
    <w:rsid w:val="002759CA"/>
    <w:rsid w:val="00275D6E"/>
    <w:rsid w:val="00276044"/>
    <w:rsid w:val="00276894"/>
    <w:rsid w:val="0027691D"/>
    <w:rsid w:val="00277F82"/>
    <w:rsid w:val="002801B1"/>
    <w:rsid w:val="00281498"/>
    <w:rsid w:val="0028199F"/>
    <w:rsid w:val="00281C6C"/>
    <w:rsid w:val="00282263"/>
    <w:rsid w:val="002825FE"/>
    <w:rsid w:val="00282CAA"/>
    <w:rsid w:val="002837D1"/>
    <w:rsid w:val="0028385E"/>
    <w:rsid w:val="00283E5A"/>
    <w:rsid w:val="00284632"/>
    <w:rsid w:val="002848B0"/>
    <w:rsid w:val="00284B3A"/>
    <w:rsid w:val="002872B0"/>
    <w:rsid w:val="0028747C"/>
    <w:rsid w:val="00287F74"/>
    <w:rsid w:val="00287FC8"/>
    <w:rsid w:val="00290AF9"/>
    <w:rsid w:val="00290E25"/>
    <w:rsid w:val="00290EE0"/>
    <w:rsid w:val="0029101A"/>
    <w:rsid w:val="002910FE"/>
    <w:rsid w:val="002918FB"/>
    <w:rsid w:val="00291D6E"/>
    <w:rsid w:val="00291E86"/>
    <w:rsid w:val="002926B4"/>
    <w:rsid w:val="00292A00"/>
    <w:rsid w:val="00292D13"/>
    <w:rsid w:val="00292F89"/>
    <w:rsid w:val="002930FB"/>
    <w:rsid w:val="00293F0F"/>
    <w:rsid w:val="002940E2"/>
    <w:rsid w:val="0029425E"/>
    <w:rsid w:val="002943AF"/>
    <w:rsid w:val="00294F36"/>
    <w:rsid w:val="002951CA"/>
    <w:rsid w:val="00295202"/>
    <w:rsid w:val="002956B7"/>
    <w:rsid w:val="00295B9F"/>
    <w:rsid w:val="00295BC2"/>
    <w:rsid w:val="0029633A"/>
    <w:rsid w:val="002970FC"/>
    <w:rsid w:val="00297B42"/>
    <w:rsid w:val="002A0622"/>
    <w:rsid w:val="002A1390"/>
    <w:rsid w:val="002A1406"/>
    <w:rsid w:val="002A1803"/>
    <w:rsid w:val="002A1F23"/>
    <w:rsid w:val="002A1F2B"/>
    <w:rsid w:val="002A209D"/>
    <w:rsid w:val="002A2DD1"/>
    <w:rsid w:val="002A37B7"/>
    <w:rsid w:val="002A3F37"/>
    <w:rsid w:val="002A408F"/>
    <w:rsid w:val="002A4272"/>
    <w:rsid w:val="002A4320"/>
    <w:rsid w:val="002A4550"/>
    <w:rsid w:val="002A4C5F"/>
    <w:rsid w:val="002A4E57"/>
    <w:rsid w:val="002A50A5"/>
    <w:rsid w:val="002A511D"/>
    <w:rsid w:val="002A5FFE"/>
    <w:rsid w:val="002A73CF"/>
    <w:rsid w:val="002B0CEA"/>
    <w:rsid w:val="002B19F0"/>
    <w:rsid w:val="002B1A48"/>
    <w:rsid w:val="002B1EC7"/>
    <w:rsid w:val="002B210C"/>
    <w:rsid w:val="002B263D"/>
    <w:rsid w:val="002B2C3E"/>
    <w:rsid w:val="002B300E"/>
    <w:rsid w:val="002B350A"/>
    <w:rsid w:val="002B44A5"/>
    <w:rsid w:val="002B4A1B"/>
    <w:rsid w:val="002B4F68"/>
    <w:rsid w:val="002B69AE"/>
    <w:rsid w:val="002B6AE5"/>
    <w:rsid w:val="002B6DD6"/>
    <w:rsid w:val="002B6EFC"/>
    <w:rsid w:val="002B7856"/>
    <w:rsid w:val="002B7F1B"/>
    <w:rsid w:val="002C0054"/>
    <w:rsid w:val="002C08A7"/>
    <w:rsid w:val="002C2207"/>
    <w:rsid w:val="002C251D"/>
    <w:rsid w:val="002C2AE8"/>
    <w:rsid w:val="002C35D1"/>
    <w:rsid w:val="002C3610"/>
    <w:rsid w:val="002C3D40"/>
    <w:rsid w:val="002C3EED"/>
    <w:rsid w:val="002C3FB3"/>
    <w:rsid w:val="002C43C0"/>
    <w:rsid w:val="002C456F"/>
    <w:rsid w:val="002C4ECD"/>
    <w:rsid w:val="002C5700"/>
    <w:rsid w:val="002C57FE"/>
    <w:rsid w:val="002C580A"/>
    <w:rsid w:val="002C5C50"/>
    <w:rsid w:val="002C5D3F"/>
    <w:rsid w:val="002C63D0"/>
    <w:rsid w:val="002C6DB1"/>
    <w:rsid w:val="002C70D6"/>
    <w:rsid w:val="002C72A6"/>
    <w:rsid w:val="002C7F39"/>
    <w:rsid w:val="002D11B2"/>
    <w:rsid w:val="002D11D4"/>
    <w:rsid w:val="002D13CF"/>
    <w:rsid w:val="002D146C"/>
    <w:rsid w:val="002D15EE"/>
    <w:rsid w:val="002D1800"/>
    <w:rsid w:val="002D1BD3"/>
    <w:rsid w:val="002D23FA"/>
    <w:rsid w:val="002D24F2"/>
    <w:rsid w:val="002D290C"/>
    <w:rsid w:val="002D31B0"/>
    <w:rsid w:val="002D3669"/>
    <w:rsid w:val="002D3BCB"/>
    <w:rsid w:val="002D3E42"/>
    <w:rsid w:val="002D45EF"/>
    <w:rsid w:val="002D4A85"/>
    <w:rsid w:val="002D4F8C"/>
    <w:rsid w:val="002D5312"/>
    <w:rsid w:val="002D5380"/>
    <w:rsid w:val="002D55CB"/>
    <w:rsid w:val="002D612B"/>
    <w:rsid w:val="002D79B4"/>
    <w:rsid w:val="002D7B38"/>
    <w:rsid w:val="002E0146"/>
    <w:rsid w:val="002E0539"/>
    <w:rsid w:val="002E07FD"/>
    <w:rsid w:val="002E089E"/>
    <w:rsid w:val="002E138D"/>
    <w:rsid w:val="002E18E6"/>
    <w:rsid w:val="002E1D84"/>
    <w:rsid w:val="002E27F2"/>
    <w:rsid w:val="002E347E"/>
    <w:rsid w:val="002E3A41"/>
    <w:rsid w:val="002E40E2"/>
    <w:rsid w:val="002E5912"/>
    <w:rsid w:val="002E5D73"/>
    <w:rsid w:val="002E6081"/>
    <w:rsid w:val="002E60F7"/>
    <w:rsid w:val="002E6835"/>
    <w:rsid w:val="002E70DC"/>
    <w:rsid w:val="002E73ED"/>
    <w:rsid w:val="002E7974"/>
    <w:rsid w:val="002F04CA"/>
    <w:rsid w:val="002F05E8"/>
    <w:rsid w:val="002F0F31"/>
    <w:rsid w:val="002F15A4"/>
    <w:rsid w:val="002F1708"/>
    <w:rsid w:val="002F1A24"/>
    <w:rsid w:val="002F2138"/>
    <w:rsid w:val="002F2626"/>
    <w:rsid w:val="002F29B0"/>
    <w:rsid w:val="002F46B8"/>
    <w:rsid w:val="002F4DD7"/>
    <w:rsid w:val="002F5D68"/>
    <w:rsid w:val="002F5E14"/>
    <w:rsid w:val="002F68C1"/>
    <w:rsid w:val="002F711B"/>
    <w:rsid w:val="002F7460"/>
    <w:rsid w:val="002F7877"/>
    <w:rsid w:val="0030035B"/>
    <w:rsid w:val="00300397"/>
    <w:rsid w:val="00300450"/>
    <w:rsid w:val="003011CB"/>
    <w:rsid w:val="00301BE1"/>
    <w:rsid w:val="00301CA1"/>
    <w:rsid w:val="00301EB8"/>
    <w:rsid w:val="00301F18"/>
    <w:rsid w:val="003023BF"/>
    <w:rsid w:val="00302703"/>
    <w:rsid w:val="00302D4A"/>
    <w:rsid w:val="0030350A"/>
    <w:rsid w:val="00303B55"/>
    <w:rsid w:val="00303E84"/>
    <w:rsid w:val="00303EDF"/>
    <w:rsid w:val="003057CA"/>
    <w:rsid w:val="00305FE3"/>
    <w:rsid w:val="0030628F"/>
    <w:rsid w:val="003077B8"/>
    <w:rsid w:val="00307D5C"/>
    <w:rsid w:val="00307FC5"/>
    <w:rsid w:val="003102AD"/>
    <w:rsid w:val="003109CB"/>
    <w:rsid w:val="003114BF"/>
    <w:rsid w:val="00311762"/>
    <w:rsid w:val="00311777"/>
    <w:rsid w:val="00311ABD"/>
    <w:rsid w:val="00311AE8"/>
    <w:rsid w:val="003131EA"/>
    <w:rsid w:val="00313486"/>
    <w:rsid w:val="00313D28"/>
    <w:rsid w:val="0031410E"/>
    <w:rsid w:val="003142F6"/>
    <w:rsid w:val="0031434F"/>
    <w:rsid w:val="00314AB0"/>
    <w:rsid w:val="00314AB9"/>
    <w:rsid w:val="00315734"/>
    <w:rsid w:val="0031597E"/>
    <w:rsid w:val="00315DAE"/>
    <w:rsid w:val="00315EEE"/>
    <w:rsid w:val="00316580"/>
    <w:rsid w:val="00316BE3"/>
    <w:rsid w:val="003170DB"/>
    <w:rsid w:val="00317ED1"/>
    <w:rsid w:val="00320474"/>
    <w:rsid w:val="003219DB"/>
    <w:rsid w:val="00321D23"/>
    <w:rsid w:val="00321F61"/>
    <w:rsid w:val="00322A56"/>
    <w:rsid w:val="003233B4"/>
    <w:rsid w:val="003235FF"/>
    <w:rsid w:val="00323D47"/>
    <w:rsid w:val="003240D3"/>
    <w:rsid w:val="003240F8"/>
    <w:rsid w:val="00325FDF"/>
    <w:rsid w:val="00326E2E"/>
    <w:rsid w:val="0032748E"/>
    <w:rsid w:val="003303EE"/>
    <w:rsid w:val="0033073D"/>
    <w:rsid w:val="0033084B"/>
    <w:rsid w:val="00330EB3"/>
    <w:rsid w:val="003311A3"/>
    <w:rsid w:val="003311C1"/>
    <w:rsid w:val="003311CC"/>
    <w:rsid w:val="00331472"/>
    <w:rsid w:val="00331940"/>
    <w:rsid w:val="0033211B"/>
    <w:rsid w:val="00332D0E"/>
    <w:rsid w:val="00333062"/>
    <w:rsid w:val="0033342D"/>
    <w:rsid w:val="00333501"/>
    <w:rsid w:val="00333BA1"/>
    <w:rsid w:val="00333D84"/>
    <w:rsid w:val="00333F2A"/>
    <w:rsid w:val="0033430B"/>
    <w:rsid w:val="00334377"/>
    <w:rsid w:val="00334AB0"/>
    <w:rsid w:val="003356A5"/>
    <w:rsid w:val="00335C05"/>
    <w:rsid w:val="00335CA1"/>
    <w:rsid w:val="00336A3A"/>
    <w:rsid w:val="00336D16"/>
    <w:rsid w:val="00337D60"/>
    <w:rsid w:val="00340C97"/>
    <w:rsid w:val="003414B8"/>
    <w:rsid w:val="00341676"/>
    <w:rsid w:val="003419C8"/>
    <w:rsid w:val="00341DE1"/>
    <w:rsid w:val="00342BB9"/>
    <w:rsid w:val="0034306D"/>
    <w:rsid w:val="0034365E"/>
    <w:rsid w:val="00343B96"/>
    <w:rsid w:val="0034468A"/>
    <w:rsid w:val="003447CA"/>
    <w:rsid w:val="00344D1C"/>
    <w:rsid w:val="0034595F"/>
    <w:rsid w:val="00346BA0"/>
    <w:rsid w:val="00347042"/>
    <w:rsid w:val="00347851"/>
    <w:rsid w:val="003478CE"/>
    <w:rsid w:val="00350212"/>
    <w:rsid w:val="00350851"/>
    <w:rsid w:val="00351097"/>
    <w:rsid w:val="003510CD"/>
    <w:rsid w:val="00351557"/>
    <w:rsid w:val="003517C0"/>
    <w:rsid w:val="00351952"/>
    <w:rsid w:val="00351D77"/>
    <w:rsid w:val="00352079"/>
    <w:rsid w:val="00352325"/>
    <w:rsid w:val="00352401"/>
    <w:rsid w:val="003524E6"/>
    <w:rsid w:val="003528D6"/>
    <w:rsid w:val="00352C55"/>
    <w:rsid w:val="00352C92"/>
    <w:rsid w:val="0035305A"/>
    <w:rsid w:val="003533EA"/>
    <w:rsid w:val="003534B8"/>
    <w:rsid w:val="003536B4"/>
    <w:rsid w:val="0035397B"/>
    <w:rsid w:val="003540AF"/>
    <w:rsid w:val="00354221"/>
    <w:rsid w:val="00354CE2"/>
    <w:rsid w:val="00354DE5"/>
    <w:rsid w:val="0035517F"/>
    <w:rsid w:val="003561AE"/>
    <w:rsid w:val="003562F0"/>
    <w:rsid w:val="00356757"/>
    <w:rsid w:val="00356913"/>
    <w:rsid w:val="00356B34"/>
    <w:rsid w:val="00357836"/>
    <w:rsid w:val="00357A0F"/>
    <w:rsid w:val="00357CA5"/>
    <w:rsid w:val="00361B65"/>
    <w:rsid w:val="00362438"/>
    <w:rsid w:val="0036248D"/>
    <w:rsid w:val="00362DB4"/>
    <w:rsid w:val="00362F55"/>
    <w:rsid w:val="00363677"/>
    <w:rsid w:val="003636C0"/>
    <w:rsid w:val="00363D26"/>
    <w:rsid w:val="0036421D"/>
    <w:rsid w:val="00364454"/>
    <w:rsid w:val="003649D8"/>
    <w:rsid w:val="00364C07"/>
    <w:rsid w:val="00364E15"/>
    <w:rsid w:val="00364E3E"/>
    <w:rsid w:val="00364E41"/>
    <w:rsid w:val="00365116"/>
    <w:rsid w:val="00365122"/>
    <w:rsid w:val="003653FD"/>
    <w:rsid w:val="0036541E"/>
    <w:rsid w:val="0036573C"/>
    <w:rsid w:val="00365EFC"/>
    <w:rsid w:val="0036617D"/>
    <w:rsid w:val="003665DA"/>
    <w:rsid w:val="00366DD4"/>
    <w:rsid w:val="00366E8C"/>
    <w:rsid w:val="00367519"/>
    <w:rsid w:val="00367A32"/>
    <w:rsid w:val="00367D87"/>
    <w:rsid w:val="003704CC"/>
    <w:rsid w:val="003704EE"/>
    <w:rsid w:val="0037090A"/>
    <w:rsid w:val="00371137"/>
    <w:rsid w:val="003711FA"/>
    <w:rsid w:val="003717A3"/>
    <w:rsid w:val="00372C8D"/>
    <w:rsid w:val="00372F30"/>
    <w:rsid w:val="00373B62"/>
    <w:rsid w:val="00373FEE"/>
    <w:rsid w:val="003740F1"/>
    <w:rsid w:val="0037414E"/>
    <w:rsid w:val="00374C46"/>
    <w:rsid w:val="00374DF8"/>
    <w:rsid w:val="00374F2E"/>
    <w:rsid w:val="00375CA7"/>
    <w:rsid w:val="00376104"/>
    <w:rsid w:val="00376467"/>
    <w:rsid w:val="00376616"/>
    <w:rsid w:val="003766E9"/>
    <w:rsid w:val="0037696A"/>
    <w:rsid w:val="00376BC0"/>
    <w:rsid w:val="00376E76"/>
    <w:rsid w:val="003771CD"/>
    <w:rsid w:val="0037736A"/>
    <w:rsid w:val="00377910"/>
    <w:rsid w:val="00377D8E"/>
    <w:rsid w:val="00380242"/>
    <w:rsid w:val="00380DA0"/>
    <w:rsid w:val="00380F37"/>
    <w:rsid w:val="00381138"/>
    <w:rsid w:val="00381681"/>
    <w:rsid w:val="00381D6D"/>
    <w:rsid w:val="00382C3C"/>
    <w:rsid w:val="00382E41"/>
    <w:rsid w:val="003832C1"/>
    <w:rsid w:val="003836FA"/>
    <w:rsid w:val="00384610"/>
    <w:rsid w:val="0038468A"/>
    <w:rsid w:val="00384B32"/>
    <w:rsid w:val="00384BDD"/>
    <w:rsid w:val="00384E71"/>
    <w:rsid w:val="00385BE7"/>
    <w:rsid w:val="00385E0C"/>
    <w:rsid w:val="00386744"/>
    <w:rsid w:val="003867BF"/>
    <w:rsid w:val="00386F25"/>
    <w:rsid w:val="00390204"/>
    <w:rsid w:val="00390FFA"/>
    <w:rsid w:val="003911A6"/>
    <w:rsid w:val="003911B6"/>
    <w:rsid w:val="00391543"/>
    <w:rsid w:val="00391547"/>
    <w:rsid w:val="003922E5"/>
    <w:rsid w:val="003933B6"/>
    <w:rsid w:val="003933C7"/>
    <w:rsid w:val="00393417"/>
    <w:rsid w:val="00393C2B"/>
    <w:rsid w:val="003945E3"/>
    <w:rsid w:val="003947EF"/>
    <w:rsid w:val="00394AFF"/>
    <w:rsid w:val="00394B47"/>
    <w:rsid w:val="00394E52"/>
    <w:rsid w:val="00395633"/>
    <w:rsid w:val="00395956"/>
    <w:rsid w:val="00395BA6"/>
    <w:rsid w:val="00395CDC"/>
    <w:rsid w:val="00395DBD"/>
    <w:rsid w:val="00396475"/>
    <w:rsid w:val="00396F2E"/>
    <w:rsid w:val="00397B5C"/>
    <w:rsid w:val="003A01D6"/>
    <w:rsid w:val="003A06E5"/>
    <w:rsid w:val="003A0930"/>
    <w:rsid w:val="003A0AB7"/>
    <w:rsid w:val="003A0FD4"/>
    <w:rsid w:val="003A11EC"/>
    <w:rsid w:val="003A1335"/>
    <w:rsid w:val="003A20DE"/>
    <w:rsid w:val="003A2811"/>
    <w:rsid w:val="003A2BE8"/>
    <w:rsid w:val="003A2D93"/>
    <w:rsid w:val="003A4BD7"/>
    <w:rsid w:val="003A56D7"/>
    <w:rsid w:val="003A5B44"/>
    <w:rsid w:val="003A6019"/>
    <w:rsid w:val="003A697C"/>
    <w:rsid w:val="003A7A56"/>
    <w:rsid w:val="003B0499"/>
    <w:rsid w:val="003B0EA8"/>
    <w:rsid w:val="003B1644"/>
    <w:rsid w:val="003B1A19"/>
    <w:rsid w:val="003B1DC0"/>
    <w:rsid w:val="003B2DDF"/>
    <w:rsid w:val="003B43D9"/>
    <w:rsid w:val="003B497E"/>
    <w:rsid w:val="003B49D9"/>
    <w:rsid w:val="003B5193"/>
    <w:rsid w:val="003B52E9"/>
    <w:rsid w:val="003B533D"/>
    <w:rsid w:val="003B5793"/>
    <w:rsid w:val="003B595F"/>
    <w:rsid w:val="003B5F19"/>
    <w:rsid w:val="003B653C"/>
    <w:rsid w:val="003B6BB0"/>
    <w:rsid w:val="003B6E07"/>
    <w:rsid w:val="003B6EC2"/>
    <w:rsid w:val="003B7B1B"/>
    <w:rsid w:val="003C0585"/>
    <w:rsid w:val="003C0642"/>
    <w:rsid w:val="003C0ABA"/>
    <w:rsid w:val="003C19CB"/>
    <w:rsid w:val="003C1B1F"/>
    <w:rsid w:val="003C2262"/>
    <w:rsid w:val="003C2BEE"/>
    <w:rsid w:val="003C2FC3"/>
    <w:rsid w:val="003C310C"/>
    <w:rsid w:val="003C3BA8"/>
    <w:rsid w:val="003C3BDE"/>
    <w:rsid w:val="003C3C25"/>
    <w:rsid w:val="003C3D8B"/>
    <w:rsid w:val="003C3ED7"/>
    <w:rsid w:val="003C4007"/>
    <w:rsid w:val="003C4116"/>
    <w:rsid w:val="003C42AD"/>
    <w:rsid w:val="003C455D"/>
    <w:rsid w:val="003C4F2D"/>
    <w:rsid w:val="003C4FB9"/>
    <w:rsid w:val="003C50AD"/>
    <w:rsid w:val="003C51F2"/>
    <w:rsid w:val="003C547A"/>
    <w:rsid w:val="003C57A9"/>
    <w:rsid w:val="003C67F5"/>
    <w:rsid w:val="003C6925"/>
    <w:rsid w:val="003C6EB8"/>
    <w:rsid w:val="003C713A"/>
    <w:rsid w:val="003C7837"/>
    <w:rsid w:val="003C7951"/>
    <w:rsid w:val="003D06E8"/>
    <w:rsid w:val="003D0935"/>
    <w:rsid w:val="003D0A5B"/>
    <w:rsid w:val="003D14D4"/>
    <w:rsid w:val="003D1CCE"/>
    <w:rsid w:val="003D1CFC"/>
    <w:rsid w:val="003D305D"/>
    <w:rsid w:val="003D316E"/>
    <w:rsid w:val="003D3709"/>
    <w:rsid w:val="003D3971"/>
    <w:rsid w:val="003D3F13"/>
    <w:rsid w:val="003D4FFD"/>
    <w:rsid w:val="003D5223"/>
    <w:rsid w:val="003D52CD"/>
    <w:rsid w:val="003D571B"/>
    <w:rsid w:val="003D597E"/>
    <w:rsid w:val="003D59E5"/>
    <w:rsid w:val="003D5D85"/>
    <w:rsid w:val="003D63AE"/>
    <w:rsid w:val="003D6AB3"/>
    <w:rsid w:val="003D6E0A"/>
    <w:rsid w:val="003D702F"/>
    <w:rsid w:val="003D7971"/>
    <w:rsid w:val="003D7E89"/>
    <w:rsid w:val="003E171B"/>
    <w:rsid w:val="003E1BDD"/>
    <w:rsid w:val="003E1C39"/>
    <w:rsid w:val="003E2A76"/>
    <w:rsid w:val="003E38ED"/>
    <w:rsid w:val="003E3FC2"/>
    <w:rsid w:val="003E432C"/>
    <w:rsid w:val="003E481C"/>
    <w:rsid w:val="003E5093"/>
    <w:rsid w:val="003E52A1"/>
    <w:rsid w:val="003E5632"/>
    <w:rsid w:val="003E5881"/>
    <w:rsid w:val="003E59D0"/>
    <w:rsid w:val="003E5C96"/>
    <w:rsid w:val="003E5D1A"/>
    <w:rsid w:val="003E653C"/>
    <w:rsid w:val="003E67D6"/>
    <w:rsid w:val="003E6BBE"/>
    <w:rsid w:val="003E74A1"/>
    <w:rsid w:val="003E77F1"/>
    <w:rsid w:val="003F013C"/>
    <w:rsid w:val="003F016C"/>
    <w:rsid w:val="003F0203"/>
    <w:rsid w:val="003F04D4"/>
    <w:rsid w:val="003F05F3"/>
    <w:rsid w:val="003F084A"/>
    <w:rsid w:val="003F0850"/>
    <w:rsid w:val="003F1FC5"/>
    <w:rsid w:val="003F211E"/>
    <w:rsid w:val="003F2228"/>
    <w:rsid w:val="003F2A66"/>
    <w:rsid w:val="003F34CA"/>
    <w:rsid w:val="003F3BB2"/>
    <w:rsid w:val="003F4192"/>
    <w:rsid w:val="003F4DF1"/>
    <w:rsid w:val="003F5042"/>
    <w:rsid w:val="003F5523"/>
    <w:rsid w:val="003F5673"/>
    <w:rsid w:val="003F57B3"/>
    <w:rsid w:val="003F5979"/>
    <w:rsid w:val="003F641C"/>
    <w:rsid w:val="003F6F01"/>
    <w:rsid w:val="003F6F5D"/>
    <w:rsid w:val="003F7BDC"/>
    <w:rsid w:val="00400461"/>
    <w:rsid w:val="004005CF"/>
    <w:rsid w:val="00401394"/>
    <w:rsid w:val="00401785"/>
    <w:rsid w:val="004018AD"/>
    <w:rsid w:val="00402542"/>
    <w:rsid w:val="00402B46"/>
    <w:rsid w:val="00402DB2"/>
    <w:rsid w:val="00402DE3"/>
    <w:rsid w:val="00403489"/>
    <w:rsid w:val="004038B4"/>
    <w:rsid w:val="004040AB"/>
    <w:rsid w:val="0040445A"/>
    <w:rsid w:val="0040449E"/>
    <w:rsid w:val="004049F1"/>
    <w:rsid w:val="00404E9E"/>
    <w:rsid w:val="00404ED5"/>
    <w:rsid w:val="00404F1C"/>
    <w:rsid w:val="004055F4"/>
    <w:rsid w:val="00405951"/>
    <w:rsid w:val="00405DDC"/>
    <w:rsid w:val="004064A6"/>
    <w:rsid w:val="00406F34"/>
    <w:rsid w:val="004079C6"/>
    <w:rsid w:val="00407FC3"/>
    <w:rsid w:val="004102EA"/>
    <w:rsid w:val="004114C6"/>
    <w:rsid w:val="0041158C"/>
    <w:rsid w:val="00411B04"/>
    <w:rsid w:val="0041227E"/>
    <w:rsid w:val="00412DC3"/>
    <w:rsid w:val="00412EE4"/>
    <w:rsid w:val="00412FE9"/>
    <w:rsid w:val="00413D9E"/>
    <w:rsid w:val="00414688"/>
    <w:rsid w:val="00414ABE"/>
    <w:rsid w:val="00415107"/>
    <w:rsid w:val="00415380"/>
    <w:rsid w:val="0041636F"/>
    <w:rsid w:val="00416DE2"/>
    <w:rsid w:val="00416FA7"/>
    <w:rsid w:val="0041722A"/>
    <w:rsid w:val="0041749A"/>
    <w:rsid w:val="0041762D"/>
    <w:rsid w:val="0042042F"/>
    <w:rsid w:val="00420C43"/>
    <w:rsid w:val="00420EB6"/>
    <w:rsid w:val="004214A7"/>
    <w:rsid w:val="004214E9"/>
    <w:rsid w:val="004215D6"/>
    <w:rsid w:val="004219D8"/>
    <w:rsid w:val="00421B44"/>
    <w:rsid w:val="00422A2A"/>
    <w:rsid w:val="00422F93"/>
    <w:rsid w:val="00422FE6"/>
    <w:rsid w:val="00424026"/>
    <w:rsid w:val="00424743"/>
    <w:rsid w:val="00424E4F"/>
    <w:rsid w:val="004254CE"/>
    <w:rsid w:val="00425F60"/>
    <w:rsid w:val="00426301"/>
    <w:rsid w:val="00426B88"/>
    <w:rsid w:val="00427095"/>
    <w:rsid w:val="00427256"/>
    <w:rsid w:val="00427334"/>
    <w:rsid w:val="00427596"/>
    <w:rsid w:val="00427874"/>
    <w:rsid w:val="00427986"/>
    <w:rsid w:val="00427A53"/>
    <w:rsid w:val="00427DDF"/>
    <w:rsid w:val="00430175"/>
    <w:rsid w:val="00431406"/>
    <w:rsid w:val="00431A5F"/>
    <w:rsid w:val="00431B51"/>
    <w:rsid w:val="004327A0"/>
    <w:rsid w:val="004329E5"/>
    <w:rsid w:val="00432BE5"/>
    <w:rsid w:val="00432DF7"/>
    <w:rsid w:val="00434086"/>
    <w:rsid w:val="00434EF8"/>
    <w:rsid w:val="004354DB"/>
    <w:rsid w:val="00435551"/>
    <w:rsid w:val="00435770"/>
    <w:rsid w:val="00435FD8"/>
    <w:rsid w:val="00436DBB"/>
    <w:rsid w:val="00437288"/>
    <w:rsid w:val="00440A8E"/>
    <w:rsid w:val="00440BE2"/>
    <w:rsid w:val="00440C2E"/>
    <w:rsid w:val="00440F61"/>
    <w:rsid w:val="0044204B"/>
    <w:rsid w:val="0044231D"/>
    <w:rsid w:val="0044269C"/>
    <w:rsid w:val="0044279C"/>
    <w:rsid w:val="0044296C"/>
    <w:rsid w:val="00443763"/>
    <w:rsid w:val="0044388A"/>
    <w:rsid w:val="00443BF1"/>
    <w:rsid w:val="00443EDC"/>
    <w:rsid w:val="004446CB"/>
    <w:rsid w:val="00444ECE"/>
    <w:rsid w:val="00445105"/>
    <w:rsid w:val="0044513E"/>
    <w:rsid w:val="00445520"/>
    <w:rsid w:val="00445A35"/>
    <w:rsid w:val="00446EC5"/>
    <w:rsid w:val="0044712C"/>
    <w:rsid w:val="004475F9"/>
    <w:rsid w:val="00447611"/>
    <w:rsid w:val="00447DA5"/>
    <w:rsid w:val="004500AA"/>
    <w:rsid w:val="004506D2"/>
    <w:rsid w:val="00450749"/>
    <w:rsid w:val="00452555"/>
    <w:rsid w:val="00452AD8"/>
    <w:rsid w:val="00452B08"/>
    <w:rsid w:val="00453BE2"/>
    <w:rsid w:val="0045432F"/>
    <w:rsid w:val="00454772"/>
    <w:rsid w:val="00454B70"/>
    <w:rsid w:val="0045531B"/>
    <w:rsid w:val="00455E9A"/>
    <w:rsid w:val="004560C9"/>
    <w:rsid w:val="00456BC2"/>
    <w:rsid w:val="00457416"/>
    <w:rsid w:val="00457B57"/>
    <w:rsid w:val="00457C35"/>
    <w:rsid w:val="00457E15"/>
    <w:rsid w:val="004601AD"/>
    <w:rsid w:val="00460331"/>
    <w:rsid w:val="00460780"/>
    <w:rsid w:val="00460BBB"/>
    <w:rsid w:val="004611F0"/>
    <w:rsid w:val="004616FA"/>
    <w:rsid w:val="00461BBF"/>
    <w:rsid w:val="00461DEA"/>
    <w:rsid w:val="004620FB"/>
    <w:rsid w:val="004626CD"/>
    <w:rsid w:val="0046275D"/>
    <w:rsid w:val="004627A8"/>
    <w:rsid w:val="00462A8C"/>
    <w:rsid w:val="0046346A"/>
    <w:rsid w:val="00463B3A"/>
    <w:rsid w:val="0046426E"/>
    <w:rsid w:val="004644BD"/>
    <w:rsid w:val="00464A03"/>
    <w:rsid w:val="00465086"/>
    <w:rsid w:val="004650AD"/>
    <w:rsid w:val="004652FA"/>
    <w:rsid w:val="00465477"/>
    <w:rsid w:val="00465BFD"/>
    <w:rsid w:val="00465D0B"/>
    <w:rsid w:val="00465FF2"/>
    <w:rsid w:val="00466041"/>
    <w:rsid w:val="004661FB"/>
    <w:rsid w:val="00466543"/>
    <w:rsid w:val="00466973"/>
    <w:rsid w:val="00466EE3"/>
    <w:rsid w:val="00467155"/>
    <w:rsid w:val="004673D3"/>
    <w:rsid w:val="00467639"/>
    <w:rsid w:val="004677BC"/>
    <w:rsid w:val="00467C8E"/>
    <w:rsid w:val="00467F2F"/>
    <w:rsid w:val="004700A4"/>
    <w:rsid w:val="004706D5"/>
    <w:rsid w:val="00471825"/>
    <w:rsid w:val="004718F1"/>
    <w:rsid w:val="00471C47"/>
    <w:rsid w:val="00471D95"/>
    <w:rsid w:val="00472141"/>
    <w:rsid w:val="00472471"/>
    <w:rsid w:val="004725B3"/>
    <w:rsid w:val="00472B30"/>
    <w:rsid w:val="00472B6C"/>
    <w:rsid w:val="00472FC7"/>
    <w:rsid w:val="00472FFE"/>
    <w:rsid w:val="004739AB"/>
    <w:rsid w:val="00473ADA"/>
    <w:rsid w:val="00474742"/>
    <w:rsid w:val="00474B59"/>
    <w:rsid w:val="0047548E"/>
    <w:rsid w:val="00475A06"/>
    <w:rsid w:val="00475B54"/>
    <w:rsid w:val="00475BE8"/>
    <w:rsid w:val="00475E9E"/>
    <w:rsid w:val="00476467"/>
    <w:rsid w:val="00476612"/>
    <w:rsid w:val="00476BFC"/>
    <w:rsid w:val="00476EEF"/>
    <w:rsid w:val="004771A0"/>
    <w:rsid w:val="004777C7"/>
    <w:rsid w:val="00480B14"/>
    <w:rsid w:val="00481226"/>
    <w:rsid w:val="00481F5A"/>
    <w:rsid w:val="00481FC5"/>
    <w:rsid w:val="004822FE"/>
    <w:rsid w:val="00482CA7"/>
    <w:rsid w:val="00482EAD"/>
    <w:rsid w:val="0048315E"/>
    <w:rsid w:val="00483D9A"/>
    <w:rsid w:val="00483E6E"/>
    <w:rsid w:val="0048574F"/>
    <w:rsid w:val="00485A92"/>
    <w:rsid w:val="00486220"/>
    <w:rsid w:val="00486912"/>
    <w:rsid w:val="00486A55"/>
    <w:rsid w:val="00486FB1"/>
    <w:rsid w:val="00487ACD"/>
    <w:rsid w:val="00487FB5"/>
    <w:rsid w:val="00490087"/>
    <w:rsid w:val="0049026D"/>
    <w:rsid w:val="0049029C"/>
    <w:rsid w:val="00490CAE"/>
    <w:rsid w:val="004916A3"/>
    <w:rsid w:val="00491954"/>
    <w:rsid w:val="004925F9"/>
    <w:rsid w:val="00492923"/>
    <w:rsid w:val="00492AC1"/>
    <w:rsid w:val="00492C30"/>
    <w:rsid w:val="00492D7E"/>
    <w:rsid w:val="00492E46"/>
    <w:rsid w:val="00493192"/>
    <w:rsid w:val="00493623"/>
    <w:rsid w:val="00493ED9"/>
    <w:rsid w:val="00494C54"/>
    <w:rsid w:val="0049526C"/>
    <w:rsid w:val="00495323"/>
    <w:rsid w:val="004954BC"/>
    <w:rsid w:val="00495EDA"/>
    <w:rsid w:val="004961FF"/>
    <w:rsid w:val="004966AB"/>
    <w:rsid w:val="00496986"/>
    <w:rsid w:val="00496C43"/>
    <w:rsid w:val="00497137"/>
    <w:rsid w:val="004A00D5"/>
    <w:rsid w:val="004A0294"/>
    <w:rsid w:val="004A07F6"/>
    <w:rsid w:val="004A08A4"/>
    <w:rsid w:val="004A0D5E"/>
    <w:rsid w:val="004A1CBC"/>
    <w:rsid w:val="004A3270"/>
    <w:rsid w:val="004A3488"/>
    <w:rsid w:val="004A4643"/>
    <w:rsid w:val="004A4923"/>
    <w:rsid w:val="004A4A3B"/>
    <w:rsid w:val="004A5640"/>
    <w:rsid w:val="004A6276"/>
    <w:rsid w:val="004A66FB"/>
    <w:rsid w:val="004A68F4"/>
    <w:rsid w:val="004A69FF"/>
    <w:rsid w:val="004A6F25"/>
    <w:rsid w:val="004A791F"/>
    <w:rsid w:val="004A7A46"/>
    <w:rsid w:val="004A7AC8"/>
    <w:rsid w:val="004B0FE5"/>
    <w:rsid w:val="004B1915"/>
    <w:rsid w:val="004B1991"/>
    <w:rsid w:val="004B2496"/>
    <w:rsid w:val="004B25C3"/>
    <w:rsid w:val="004B3684"/>
    <w:rsid w:val="004B3C57"/>
    <w:rsid w:val="004B43CA"/>
    <w:rsid w:val="004B4621"/>
    <w:rsid w:val="004B47B1"/>
    <w:rsid w:val="004B4969"/>
    <w:rsid w:val="004B4B89"/>
    <w:rsid w:val="004B4E28"/>
    <w:rsid w:val="004B5555"/>
    <w:rsid w:val="004B5563"/>
    <w:rsid w:val="004B5684"/>
    <w:rsid w:val="004B5B84"/>
    <w:rsid w:val="004B6770"/>
    <w:rsid w:val="004C0056"/>
    <w:rsid w:val="004C0246"/>
    <w:rsid w:val="004C030C"/>
    <w:rsid w:val="004C0AAF"/>
    <w:rsid w:val="004C0C86"/>
    <w:rsid w:val="004C157A"/>
    <w:rsid w:val="004C1601"/>
    <w:rsid w:val="004C17A2"/>
    <w:rsid w:val="004C19DE"/>
    <w:rsid w:val="004C1F68"/>
    <w:rsid w:val="004C268E"/>
    <w:rsid w:val="004C2A0B"/>
    <w:rsid w:val="004C2B46"/>
    <w:rsid w:val="004C3826"/>
    <w:rsid w:val="004C3AAE"/>
    <w:rsid w:val="004C4071"/>
    <w:rsid w:val="004C48F2"/>
    <w:rsid w:val="004C4D5F"/>
    <w:rsid w:val="004C50B8"/>
    <w:rsid w:val="004C5636"/>
    <w:rsid w:val="004C5A53"/>
    <w:rsid w:val="004C668E"/>
    <w:rsid w:val="004C6915"/>
    <w:rsid w:val="004C72BA"/>
    <w:rsid w:val="004C7BF5"/>
    <w:rsid w:val="004D062D"/>
    <w:rsid w:val="004D078B"/>
    <w:rsid w:val="004D0902"/>
    <w:rsid w:val="004D0F76"/>
    <w:rsid w:val="004D13FE"/>
    <w:rsid w:val="004D22DC"/>
    <w:rsid w:val="004D22F9"/>
    <w:rsid w:val="004D25FC"/>
    <w:rsid w:val="004D2D7B"/>
    <w:rsid w:val="004D36A1"/>
    <w:rsid w:val="004D3C80"/>
    <w:rsid w:val="004D4823"/>
    <w:rsid w:val="004D4B8B"/>
    <w:rsid w:val="004D5843"/>
    <w:rsid w:val="004D5B29"/>
    <w:rsid w:val="004D6012"/>
    <w:rsid w:val="004D7AB5"/>
    <w:rsid w:val="004D7E4D"/>
    <w:rsid w:val="004E0100"/>
    <w:rsid w:val="004E020B"/>
    <w:rsid w:val="004E0678"/>
    <w:rsid w:val="004E084C"/>
    <w:rsid w:val="004E0934"/>
    <w:rsid w:val="004E0A30"/>
    <w:rsid w:val="004E0B7E"/>
    <w:rsid w:val="004E12B8"/>
    <w:rsid w:val="004E13A4"/>
    <w:rsid w:val="004E1829"/>
    <w:rsid w:val="004E2064"/>
    <w:rsid w:val="004E278E"/>
    <w:rsid w:val="004E30D4"/>
    <w:rsid w:val="004E31FA"/>
    <w:rsid w:val="004E3348"/>
    <w:rsid w:val="004E3719"/>
    <w:rsid w:val="004E3A03"/>
    <w:rsid w:val="004E3E9A"/>
    <w:rsid w:val="004E40C9"/>
    <w:rsid w:val="004E42F1"/>
    <w:rsid w:val="004E4A55"/>
    <w:rsid w:val="004E4C06"/>
    <w:rsid w:val="004E4E92"/>
    <w:rsid w:val="004E4F61"/>
    <w:rsid w:val="004E580F"/>
    <w:rsid w:val="004E709E"/>
    <w:rsid w:val="004E7BBA"/>
    <w:rsid w:val="004F002B"/>
    <w:rsid w:val="004F0771"/>
    <w:rsid w:val="004F080B"/>
    <w:rsid w:val="004F10A5"/>
    <w:rsid w:val="004F14B1"/>
    <w:rsid w:val="004F1D77"/>
    <w:rsid w:val="004F1FC4"/>
    <w:rsid w:val="004F23F6"/>
    <w:rsid w:val="004F3473"/>
    <w:rsid w:val="004F3A21"/>
    <w:rsid w:val="004F3AD9"/>
    <w:rsid w:val="004F3B8D"/>
    <w:rsid w:val="004F3D2C"/>
    <w:rsid w:val="004F45F3"/>
    <w:rsid w:val="004F4869"/>
    <w:rsid w:val="004F515F"/>
    <w:rsid w:val="004F51E6"/>
    <w:rsid w:val="004F55E9"/>
    <w:rsid w:val="004F5610"/>
    <w:rsid w:val="004F6256"/>
    <w:rsid w:val="004F682A"/>
    <w:rsid w:val="004F6B92"/>
    <w:rsid w:val="004F7084"/>
    <w:rsid w:val="004F7804"/>
    <w:rsid w:val="004F78B8"/>
    <w:rsid w:val="004F7AAB"/>
    <w:rsid w:val="00500413"/>
    <w:rsid w:val="00500B58"/>
    <w:rsid w:val="00500BC7"/>
    <w:rsid w:val="00500C65"/>
    <w:rsid w:val="00501069"/>
    <w:rsid w:val="0050120E"/>
    <w:rsid w:val="00501A9D"/>
    <w:rsid w:val="00501F05"/>
    <w:rsid w:val="00502538"/>
    <w:rsid w:val="00502D83"/>
    <w:rsid w:val="00502FE0"/>
    <w:rsid w:val="00503265"/>
    <w:rsid w:val="00503A91"/>
    <w:rsid w:val="005041DE"/>
    <w:rsid w:val="00504281"/>
    <w:rsid w:val="005049D4"/>
    <w:rsid w:val="00504CA1"/>
    <w:rsid w:val="0050560E"/>
    <w:rsid w:val="00505C7F"/>
    <w:rsid w:val="00505D02"/>
    <w:rsid w:val="00505FF2"/>
    <w:rsid w:val="0050677E"/>
    <w:rsid w:val="005070E0"/>
    <w:rsid w:val="0050726F"/>
    <w:rsid w:val="005075A3"/>
    <w:rsid w:val="00507622"/>
    <w:rsid w:val="005077F2"/>
    <w:rsid w:val="0051015F"/>
    <w:rsid w:val="005117DB"/>
    <w:rsid w:val="005118F7"/>
    <w:rsid w:val="00511B73"/>
    <w:rsid w:val="005124AD"/>
    <w:rsid w:val="0051280F"/>
    <w:rsid w:val="00512F4C"/>
    <w:rsid w:val="00515310"/>
    <w:rsid w:val="005159FB"/>
    <w:rsid w:val="00515FF1"/>
    <w:rsid w:val="0051617F"/>
    <w:rsid w:val="005164D7"/>
    <w:rsid w:val="0051692F"/>
    <w:rsid w:val="005169B1"/>
    <w:rsid w:val="0051704A"/>
    <w:rsid w:val="00517167"/>
    <w:rsid w:val="005175B9"/>
    <w:rsid w:val="005176C0"/>
    <w:rsid w:val="00517962"/>
    <w:rsid w:val="00517D5B"/>
    <w:rsid w:val="00520548"/>
    <w:rsid w:val="00520601"/>
    <w:rsid w:val="00520662"/>
    <w:rsid w:val="00520C13"/>
    <w:rsid w:val="00520DB2"/>
    <w:rsid w:val="005216B6"/>
    <w:rsid w:val="00521928"/>
    <w:rsid w:val="00522280"/>
    <w:rsid w:val="00522F11"/>
    <w:rsid w:val="0052449D"/>
    <w:rsid w:val="0052454E"/>
    <w:rsid w:val="00524DC6"/>
    <w:rsid w:val="00524FBE"/>
    <w:rsid w:val="00525A98"/>
    <w:rsid w:val="00525F87"/>
    <w:rsid w:val="00526AC6"/>
    <w:rsid w:val="00526B95"/>
    <w:rsid w:val="00527413"/>
    <w:rsid w:val="00527F15"/>
    <w:rsid w:val="00530019"/>
    <w:rsid w:val="005302B9"/>
    <w:rsid w:val="00530C4B"/>
    <w:rsid w:val="00530C4C"/>
    <w:rsid w:val="0053191A"/>
    <w:rsid w:val="005326B2"/>
    <w:rsid w:val="00533628"/>
    <w:rsid w:val="005338AE"/>
    <w:rsid w:val="0053437A"/>
    <w:rsid w:val="00534C40"/>
    <w:rsid w:val="00535460"/>
    <w:rsid w:val="00536859"/>
    <w:rsid w:val="00536DCD"/>
    <w:rsid w:val="00536EEA"/>
    <w:rsid w:val="00537583"/>
    <w:rsid w:val="00540321"/>
    <w:rsid w:val="00540D82"/>
    <w:rsid w:val="00540DB6"/>
    <w:rsid w:val="00540FEA"/>
    <w:rsid w:val="005414DD"/>
    <w:rsid w:val="0054157F"/>
    <w:rsid w:val="00542590"/>
    <w:rsid w:val="00543272"/>
    <w:rsid w:val="00543A22"/>
    <w:rsid w:val="00544E5B"/>
    <w:rsid w:val="00544F47"/>
    <w:rsid w:val="00544FD5"/>
    <w:rsid w:val="00545629"/>
    <w:rsid w:val="005457DC"/>
    <w:rsid w:val="00545CAE"/>
    <w:rsid w:val="0054613B"/>
    <w:rsid w:val="00546998"/>
    <w:rsid w:val="00546A8C"/>
    <w:rsid w:val="00546FE7"/>
    <w:rsid w:val="00547136"/>
    <w:rsid w:val="00547643"/>
    <w:rsid w:val="00547659"/>
    <w:rsid w:val="00547EBB"/>
    <w:rsid w:val="005509F6"/>
    <w:rsid w:val="00550FAD"/>
    <w:rsid w:val="00552126"/>
    <w:rsid w:val="00552F46"/>
    <w:rsid w:val="0055452A"/>
    <w:rsid w:val="0055455F"/>
    <w:rsid w:val="005546A3"/>
    <w:rsid w:val="00554776"/>
    <w:rsid w:val="00554BB7"/>
    <w:rsid w:val="00556363"/>
    <w:rsid w:val="0055641B"/>
    <w:rsid w:val="00556FE4"/>
    <w:rsid w:val="0055772F"/>
    <w:rsid w:val="00557D53"/>
    <w:rsid w:val="00560709"/>
    <w:rsid w:val="00560857"/>
    <w:rsid w:val="0056190C"/>
    <w:rsid w:val="00561CC0"/>
    <w:rsid w:val="00562BEF"/>
    <w:rsid w:val="00563618"/>
    <w:rsid w:val="0056368F"/>
    <w:rsid w:val="005645D7"/>
    <w:rsid w:val="00565A3E"/>
    <w:rsid w:val="0056679D"/>
    <w:rsid w:val="005673C4"/>
    <w:rsid w:val="005677C0"/>
    <w:rsid w:val="005679F6"/>
    <w:rsid w:val="0057004A"/>
    <w:rsid w:val="0057006F"/>
    <w:rsid w:val="005702B8"/>
    <w:rsid w:val="005707B2"/>
    <w:rsid w:val="00570AB9"/>
    <w:rsid w:val="005717DD"/>
    <w:rsid w:val="00571DAD"/>
    <w:rsid w:val="005726D8"/>
    <w:rsid w:val="00572D88"/>
    <w:rsid w:val="0057330D"/>
    <w:rsid w:val="00574D06"/>
    <w:rsid w:val="005753F7"/>
    <w:rsid w:val="005754A5"/>
    <w:rsid w:val="005756BF"/>
    <w:rsid w:val="00575960"/>
    <w:rsid w:val="005763CF"/>
    <w:rsid w:val="0057683B"/>
    <w:rsid w:val="00576A92"/>
    <w:rsid w:val="00577387"/>
    <w:rsid w:val="00577756"/>
    <w:rsid w:val="00577D9B"/>
    <w:rsid w:val="00577DFA"/>
    <w:rsid w:val="0058189E"/>
    <w:rsid w:val="00581B50"/>
    <w:rsid w:val="00582185"/>
    <w:rsid w:val="0058248B"/>
    <w:rsid w:val="00583909"/>
    <w:rsid w:val="0058439A"/>
    <w:rsid w:val="00584CEF"/>
    <w:rsid w:val="00584ECB"/>
    <w:rsid w:val="005852D4"/>
    <w:rsid w:val="00585C26"/>
    <w:rsid w:val="005862B4"/>
    <w:rsid w:val="005863D0"/>
    <w:rsid w:val="005874C3"/>
    <w:rsid w:val="005875CA"/>
    <w:rsid w:val="00587C3E"/>
    <w:rsid w:val="00587ECE"/>
    <w:rsid w:val="00590435"/>
    <w:rsid w:val="0059112E"/>
    <w:rsid w:val="005916C2"/>
    <w:rsid w:val="00591CB3"/>
    <w:rsid w:val="005920F8"/>
    <w:rsid w:val="005924E5"/>
    <w:rsid w:val="00592F16"/>
    <w:rsid w:val="00593002"/>
    <w:rsid w:val="00593815"/>
    <w:rsid w:val="00593A3D"/>
    <w:rsid w:val="00593B0D"/>
    <w:rsid w:val="00593B56"/>
    <w:rsid w:val="00593C0E"/>
    <w:rsid w:val="00593EF0"/>
    <w:rsid w:val="00594370"/>
    <w:rsid w:val="00594756"/>
    <w:rsid w:val="00594766"/>
    <w:rsid w:val="00594A0E"/>
    <w:rsid w:val="00595B22"/>
    <w:rsid w:val="00595C17"/>
    <w:rsid w:val="00595C48"/>
    <w:rsid w:val="005971DE"/>
    <w:rsid w:val="0059737C"/>
    <w:rsid w:val="00597835"/>
    <w:rsid w:val="005A08F9"/>
    <w:rsid w:val="005A1520"/>
    <w:rsid w:val="005A23C5"/>
    <w:rsid w:val="005A2475"/>
    <w:rsid w:val="005A2494"/>
    <w:rsid w:val="005A2686"/>
    <w:rsid w:val="005A26B7"/>
    <w:rsid w:val="005A26FF"/>
    <w:rsid w:val="005A2721"/>
    <w:rsid w:val="005A3B2F"/>
    <w:rsid w:val="005A4295"/>
    <w:rsid w:val="005A442B"/>
    <w:rsid w:val="005A4E69"/>
    <w:rsid w:val="005A622B"/>
    <w:rsid w:val="005A6953"/>
    <w:rsid w:val="005A6A91"/>
    <w:rsid w:val="005A7203"/>
    <w:rsid w:val="005A7C09"/>
    <w:rsid w:val="005A7C24"/>
    <w:rsid w:val="005A7FB9"/>
    <w:rsid w:val="005B11FC"/>
    <w:rsid w:val="005B1B30"/>
    <w:rsid w:val="005B1C73"/>
    <w:rsid w:val="005B1DE6"/>
    <w:rsid w:val="005B265E"/>
    <w:rsid w:val="005B2AE6"/>
    <w:rsid w:val="005B30C0"/>
    <w:rsid w:val="005B323F"/>
    <w:rsid w:val="005B4792"/>
    <w:rsid w:val="005B489A"/>
    <w:rsid w:val="005B4982"/>
    <w:rsid w:val="005B4A18"/>
    <w:rsid w:val="005B5C43"/>
    <w:rsid w:val="005B6B31"/>
    <w:rsid w:val="005B783D"/>
    <w:rsid w:val="005B7927"/>
    <w:rsid w:val="005B7AB8"/>
    <w:rsid w:val="005C11FB"/>
    <w:rsid w:val="005C181A"/>
    <w:rsid w:val="005C286D"/>
    <w:rsid w:val="005C2AF0"/>
    <w:rsid w:val="005C32EC"/>
    <w:rsid w:val="005C4551"/>
    <w:rsid w:val="005C62CA"/>
    <w:rsid w:val="005C6313"/>
    <w:rsid w:val="005C6CF1"/>
    <w:rsid w:val="005C72B5"/>
    <w:rsid w:val="005C7647"/>
    <w:rsid w:val="005C77A8"/>
    <w:rsid w:val="005D0275"/>
    <w:rsid w:val="005D0461"/>
    <w:rsid w:val="005D076D"/>
    <w:rsid w:val="005D0970"/>
    <w:rsid w:val="005D108A"/>
    <w:rsid w:val="005D10D8"/>
    <w:rsid w:val="005D160F"/>
    <w:rsid w:val="005D1873"/>
    <w:rsid w:val="005D1DCE"/>
    <w:rsid w:val="005D1F39"/>
    <w:rsid w:val="005D25A2"/>
    <w:rsid w:val="005D318E"/>
    <w:rsid w:val="005D31EB"/>
    <w:rsid w:val="005D397B"/>
    <w:rsid w:val="005D3BDD"/>
    <w:rsid w:val="005D470A"/>
    <w:rsid w:val="005D4A69"/>
    <w:rsid w:val="005D4ECC"/>
    <w:rsid w:val="005D5292"/>
    <w:rsid w:val="005D5913"/>
    <w:rsid w:val="005D5A96"/>
    <w:rsid w:val="005D5D16"/>
    <w:rsid w:val="005D65FE"/>
    <w:rsid w:val="005D6955"/>
    <w:rsid w:val="005D6DB9"/>
    <w:rsid w:val="005D6E97"/>
    <w:rsid w:val="005D7029"/>
    <w:rsid w:val="005D74CB"/>
    <w:rsid w:val="005D7543"/>
    <w:rsid w:val="005D7996"/>
    <w:rsid w:val="005E020F"/>
    <w:rsid w:val="005E071A"/>
    <w:rsid w:val="005E1341"/>
    <w:rsid w:val="005E14BE"/>
    <w:rsid w:val="005E1A6E"/>
    <w:rsid w:val="005E2B87"/>
    <w:rsid w:val="005E2E8D"/>
    <w:rsid w:val="005E3239"/>
    <w:rsid w:val="005E32F2"/>
    <w:rsid w:val="005E3333"/>
    <w:rsid w:val="005E386D"/>
    <w:rsid w:val="005E3D0F"/>
    <w:rsid w:val="005E3E0A"/>
    <w:rsid w:val="005E49D8"/>
    <w:rsid w:val="005E4A79"/>
    <w:rsid w:val="005E4C8C"/>
    <w:rsid w:val="005E5330"/>
    <w:rsid w:val="005E54EA"/>
    <w:rsid w:val="005E597D"/>
    <w:rsid w:val="005E59A0"/>
    <w:rsid w:val="005E5D09"/>
    <w:rsid w:val="005E62B8"/>
    <w:rsid w:val="005E62DD"/>
    <w:rsid w:val="005E63FF"/>
    <w:rsid w:val="005E65B4"/>
    <w:rsid w:val="005E6AE9"/>
    <w:rsid w:val="005E6B35"/>
    <w:rsid w:val="005E715F"/>
    <w:rsid w:val="005E7336"/>
    <w:rsid w:val="005E7411"/>
    <w:rsid w:val="005E7737"/>
    <w:rsid w:val="005E7925"/>
    <w:rsid w:val="005F07DC"/>
    <w:rsid w:val="005F0888"/>
    <w:rsid w:val="005F08E6"/>
    <w:rsid w:val="005F0AFA"/>
    <w:rsid w:val="005F2D5A"/>
    <w:rsid w:val="005F2F2E"/>
    <w:rsid w:val="005F3E34"/>
    <w:rsid w:val="005F41C7"/>
    <w:rsid w:val="005F4F48"/>
    <w:rsid w:val="005F56F5"/>
    <w:rsid w:val="005F5A66"/>
    <w:rsid w:val="005F5E99"/>
    <w:rsid w:val="005F6562"/>
    <w:rsid w:val="005F6843"/>
    <w:rsid w:val="00600671"/>
    <w:rsid w:val="0060129B"/>
    <w:rsid w:val="00601D3D"/>
    <w:rsid w:val="00601FF5"/>
    <w:rsid w:val="00602842"/>
    <w:rsid w:val="00603248"/>
    <w:rsid w:val="00603365"/>
    <w:rsid w:val="006034A6"/>
    <w:rsid w:val="0060397A"/>
    <w:rsid w:val="00603D40"/>
    <w:rsid w:val="00603D61"/>
    <w:rsid w:val="00604119"/>
    <w:rsid w:val="006049B8"/>
    <w:rsid w:val="00604B28"/>
    <w:rsid w:val="00604B46"/>
    <w:rsid w:val="00604DAD"/>
    <w:rsid w:val="00605CB3"/>
    <w:rsid w:val="0060626F"/>
    <w:rsid w:val="0060627A"/>
    <w:rsid w:val="006065D8"/>
    <w:rsid w:val="006066B8"/>
    <w:rsid w:val="00606827"/>
    <w:rsid w:val="00606F05"/>
    <w:rsid w:val="00607227"/>
    <w:rsid w:val="00607AFD"/>
    <w:rsid w:val="006101C3"/>
    <w:rsid w:val="00610B9B"/>
    <w:rsid w:val="006127F9"/>
    <w:rsid w:val="00613138"/>
    <w:rsid w:val="006131A0"/>
    <w:rsid w:val="0061334A"/>
    <w:rsid w:val="006138FB"/>
    <w:rsid w:val="0061392B"/>
    <w:rsid w:val="00613CA5"/>
    <w:rsid w:val="006141D7"/>
    <w:rsid w:val="0061468E"/>
    <w:rsid w:val="00614763"/>
    <w:rsid w:val="0061546B"/>
    <w:rsid w:val="00615807"/>
    <w:rsid w:val="006159DD"/>
    <w:rsid w:val="00615F40"/>
    <w:rsid w:val="00616026"/>
    <w:rsid w:val="0061655F"/>
    <w:rsid w:val="00616BA5"/>
    <w:rsid w:val="00617820"/>
    <w:rsid w:val="0062025F"/>
    <w:rsid w:val="006202B1"/>
    <w:rsid w:val="00620EBD"/>
    <w:rsid w:val="00620F2C"/>
    <w:rsid w:val="006214D5"/>
    <w:rsid w:val="006220A7"/>
    <w:rsid w:val="00622290"/>
    <w:rsid w:val="006222B5"/>
    <w:rsid w:val="00622425"/>
    <w:rsid w:val="00622D75"/>
    <w:rsid w:val="006238CD"/>
    <w:rsid w:val="00623BE2"/>
    <w:rsid w:val="00623F40"/>
    <w:rsid w:val="00623FE4"/>
    <w:rsid w:val="0062411E"/>
    <w:rsid w:val="00624C4F"/>
    <w:rsid w:val="00624CCD"/>
    <w:rsid w:val="00624E3B"/>
    <w:rsid w:val="00625391"/>
    <w:rsid w:val="0062559E"/>
    <w:rsid w:val="00626388"/>
    <w:rsid w:val="006264EF"/>
    <w:rsid w:val="006265C3"/>
    <w:rsid w:val="006269C7"/>
    <w:rsid w:val="006269E5"/>
    <w:rsid w:val="00626C3F"/>
    <w:rsid w:val="00626C59"/>
    <w:rsid w:val="00627144"/>
    <w:rsid w:val="00627411"/>
    <w:rsid w:val="006275F4"/>
    <w:rsid w:val="00627986"/>
    <w:rsid w:val="006279EC"/>
    <w:rsid w:val="00627CB5"/>
    <w:rsid w:val="00630033"/>
    <w:rsid w:val="00630042"/>
    <w:rsid w:val="006300C1"/>
    <w:rsid w:val="00630926"/>
    <w:rsid w:val="00631255"/>
    <w:rsid w:val="006313D6"/>
    <w:rsid w:val="00631588"/>
    <w:rsid w:val="006318C5"/>
    <w:rsid w:val="00632080"/>
    <w:rsid w:val="006324D7"/>
    <w:rsid w:val="00632D98"/>
    <w:rsid w:val="00633304"/>
    <w:rsid w:val="0063352F"/>
    <w:rsid w:val="00633849"/>
    <w:rsid w:val="00633D46"/>
    <w:rsid w:val="0063451D"/>
    <w:rsid w:val="00635AA5"/>
    <w:rsid w:val="00635CAB"/>
    <w:rsid w:val="00635F84"/>
    <w:rsid w:val="0063618B"/>
    <w:rsid w:val="006361C2"/>
    <w:rsid w:val="00636D25"/>
    <w:rsid w:val="0063738C"/>
    <w:rsid w:val="0063742C"/>
    <w:rsid w:val="0063746B"/>
    <w:rsid w:val="006376A9"/>
    <w:rsid w:val="006377BC"/>
    <w:rsid w:val="00637829"/>
    <w:rsid w:val="00637CD3"/>
    <w:rsid w:val="00637D34"/>
    <w:rsid w:val="0064072B"/>
    <w:rsid w:val="0064099F"/>
    <w:rsid w:val="00641449"/>
    <w:rsid w:val="00641472"/>
    <w:rsid w:val="0064188A"/>
    <w:rsid w:val="00641B35"/>
    <w:rsid w:val="00642A85"/>
    <w:rsid w:val="006432DC"/>
    <w:rsid w:val="006435FC"/>
    <w:rsid w:val="00643F70"/>
    <w:rsid w:val="006444CE"/>
    <w:rsid w:val="0064477E"/>
    <w:rsid w:val="00645985"/>
    <w:rsid w:val="00645F0D"/>
    <w:rsid w:val="00645F64"/>
    <w:rsid w:val="006461FE"/>
    <w:rsid w:val="006463E2"/>
    <w:rsid w:val="006468C6"/>
    <w:rsid w:val="006468E5"/>
    <w:rsid w:val="00646FAD"/>
    <w:rsid w:val="00647593"/>
    <w:rsid w:val="00647A1D"/>
    <w:rsid w:val="006500C9"/>
    <w:rsid w:val="006508D0"/>
    <w:rsid w:val="00650DEB"/>
    <w:rsid w:val="00651172"/>
    <w:rsid w:val="00651682"/>
    <w:rsid w:val="00651EFB"/>
    <w:rsid w:val="00652A99"/>
    <w:rsid w:val="00652D46"/>
    <w:rsid w:val="00652E8D"/>
    <w:rsid w:val="00653207"/>
    <w:rsid w:val="006533A4"/>
    <w:rsid w:val="006535D1"/>
    <w:rsid w:val="00653F3F"/>
    <w:rsid w:val="00655002"/>
    <w:rsid w:val="006556B0"/>
    <w:rsid w:val="00655F3C"/>
    <w:rsid w:val="0065617E"/>
    <w:rsid w:val="00656225"/>
    <w:rsid w:val="006566B8"/>
    <w:rsid w:val="00656E03"/>
    <w:rsid w:val="0066064D"/>
    <w:rsid w:val="006608AC"/>
    <w:rsid w:val="0066112E"/>
    <w:rsid w:val="00661B62"/>
    <w:rsid w:val="00661E3B"/>
    <w:rsid w:val="00661FF1"/>
    <w:rsid w:val="00662125"/>
    <w:rsid w:val="006626DE"/>
    <w:rsid w:val="0066332D"/>
    <w:rsid w:val="006636CE"/>
    <w:rsid w:val="00663D27"/>
    <w:rsid w:val="00663E1C"/>
    <w:rsid w:val="0066489F"/>
    <w:rsid w:val="006649EB"/>
    <w:rsid w:val="00664DB8"/>
    <w:rsid w:val="00664DC5"/>
    <w:rsid w:val="00665060"/>
    <w:rsid w:val="006654F3"/>
    <w:rsid w:val="006655E9"/>
    <w:rsid w:val="0066580F"/>
    <w:rsid w:val="00666415"/>
    <w:rsid w:val="00666AA3"/>
    <w:rsid w:val="00666ABF"/>
    <w:rsid w:val="00666C62"/>
    <w:rsid w:val="00667866"/>
    <w:rsid w:val="006679CC"/>
    <w:rsid w:val="00667CDD"/>
    <w:rsid w:val="00667E7E"/>
    <w:rsid w:val="0067017D"/>
    <w:rsid w:val="00670302"/>
    <w:rsid w:val="0067047A"/>
    <w:rsid w:val="00670733"/>
    <w:rsid w:val="0067159A"/>
    <w:rsid w:val="006719AB"/>
    <w:rsid w:val="00671F1B"/>
    <w:rsid w:val="00672042"/>
    <w:rsid w:val="006724D3"/>
    <w:rsid w:val="00672631"/>
    <w:rsid w:val="00672BAA"/>
    <w:rsid w:val="00673878"/>
    <w:rsid w:val="00673E0E"/>
    <w:rsid w:val="00675448"/>
    <w:rsid w:val="0067568C"/>
    <w:rsid w:val="00675BA1"/>
    <w:rsid w:val="0067659C"/>
    <w:rsid w:val="00676CE8"/>
    <w:rsid w:val="006773E0"/>
    <w:rsid w:val="00677F08"/>
    <w:rsid w:val="0068006E"/>
    <w:rsid w:val="00680146"/>
    <w:rsid w:val="00680366"/>
    <w:rsid w:val="00680A62"/>
    <w:rsid w:val="00680C13"/>
    <w:rsid w:val="00680D78"/>
    <w:rsid w:val="00680E76"/>
    <w:rsid w:val="0068109F"/>
    <w:rsid w:val="0068134C"/>
    <w:rsid w:val="00681F25"/>
    <w:rsid w:val="00682069"/>
    <w:rsid w:val="006827EB"/>
    <w:rsid w:val="0068286C"/>
    <w:rsid w:val="00682923"/>
    <w:rsid w:val="00682B56"/>
    <w:rsid w:val="00682C4F"/>
    <w:rsid w:val="00682D2E"/>
    <w:rsid w:val="00684368"/>
    <w:rsid w:val="006852B7"/>
    <w:rsid w:val="006853A8"/>
    <w:rsid w:val="00685EEB"/>
    <w:rsid w:val="00686355"/>
    <w:rsid w:val="0068678B"/>
    <w:rsid w:val="00686A3D"/>
    <w:rsid w:val="0068737B"/>
    <w:rsid w:val="006877C0"/>
    <w:rsid w:val="00687D89"/>
    <w:rsid w:val="006907D0"/>
    <w:rsid w:val="0069084C"/>
    <w:rsid w:val="00690AEE"/>
    <w:rsid w:val="00690BE1"/>
    <w:rsid w:val="00691EF9"/>
    <w:rsid w:val="006926F4"/>
    <w:rsid w:val="00692FC4"/>
    <w:rsid w:val="00693308"/>
    <w:rsid w:val="006934DF"/>
    <w:rsid w:val="00694902"/>
    <w:rsid w:val="00694CEB"/>
    <w:rsid w:val="00695032"/>
    <w:rsid w:val="00695262"/>
    <w:rsid w:val="006952F8"/>
    <w:rsid w:val="00695572"/>
    <w:rsid w:val="006957EE"/>
    <w:rsid w:val="006958E3"/>
    <w:rsid w:val="00695DF9"/>
    <w:rsid w:val="006962EE"/>
    <w:rsid w:val="006963D1"/>
    <w:rsid w:val="00697A63"/>
    <w:rsid w:val="00697C24"/>
    <w:rsid w:val="006A044A"/>
    <w:rsid w:val="006A0A0C"/>
    <w:rsid w:val="006A12B4"/>
    <w:rsid w:val="006A19C8"/>
    <w:rsid w:val="006A1C8F"/>
    <w:rsid w:val="006A245E"/>
    <w:rsid w:val="006A2BEC"/>
    <w:rsid w:val="006A2FB9"/>
    <w:rsid w:val="006A3220"/>
    <w:rsid w:val="006A33A6"/>
    <w:rsid w:val="006A33A7"/>
    <w:rsid w:val="006A349C"/>
    <w:rsid w:val="006A34AF"/>
    <w:rsid w:val="006A386B"/>
    <w:rsid w:val="006A3C74"/>
    <w:rsid w:val="006A4060"/>
    <w:rsid w:val="006A5137"/>
    <w:rsid w:val="006A528B"/>
    <w:rsid w:val="006A698E"/>
    <w:rsid w:val="006A6AE8"/>
    <w:rsid w:val="006A6F11"/>
    <w:rsid w:val="006A7064"/>
    <w:rsid w:val="006A757B"/>
    <w:rsid w:val="006A774A"/>
    <w:rsid w:val="006A7754"/>
    <w:rsid w:val="006A786C"/>
    <w:rsid w:val="006B0284"/>
    <w:rsid w:val="006B05AC"/>
    <w:rsid w:val="006B061B"/>
    <w:rsid w:val="006B0CC4"/>
    <w:rsid w:val="006B14FA"/>
    <w:rsid w:val="006B2925"/>
    <w:rsid w:val="006B2F21"/>
    <w:rsid w:val="006B4D9A"/>
    <w:rsid w:val="006B519F"/>
    <w:rsid w:val="006B5256"/>
    <w:rsid w:val="006B54EC"/>
    <w:rsid w:val="006B5684"/>
    <w:rsid w:val="006B61FE"/>
    <w:rsid w:val="006B667A"/>
    <w:rsid w:val="006B6C61"/>
    <w:rsid w:val="006B6D27"/>
    <w:rsid w:val="006B7019"/>
    <w:rsid w:val="006B76E0"/>
    <w:rsid w:val="006B7810"/>
    <w:rsid w:val="006B7B2B"/>
    <w:rsid w:val="006B7EA7"/>
    <w:rsid w:val="006C0204"/>
    <w:rsid w:val="006C0734"/>
    <w:rsid w:val="006C0A3D"/>
    <w:rsid w:val="006C0C34"/>
    <w:rsid w:val="006C182D"/>
    <w:rsid w:val="006C1CEB"/>
    <w:rsid w:val="006C1D57"/>
    <w:rsid w:val="006C26DB"/>
    <w:rsid w:val="006C36E0"/>
    <w:rsid w:val="006C37CD"/>
    <w:rsid w:val="006C3A0A"/>
    <w:rsid w:val="006C48CC"/>
    <w:rsid w:val="006C5613"/>
    <w:rsid w:val="006C5A89"/>
    <w:rsid w:val="006C6635"/>
    <w:rsid w:val="006C663B"/>
    <w:rsid w:val="006C670F"/>
    <w:rsid w:val="006C6721"/>
    <w:rsid w:val="006C712A"/>
    <w:rsid w:val="006C71DF"/>
    <w:rsid w:val="006C7518"/>
    <w:rsid w:val="006C7613"/>
    <w:rsid w:val="006D0153"/>
    <w:rsid w:val="006D1300"/>
    <w:rsid w:val="006D1B70"/>
    <w:rsid w:val="006D1C44"/>
    <w:rsid w:val="006D20D5"/>
    <w:rsid w:val="006D2296"/>
    <w:rsid w:val="006D2583"/>
    <w:rsid w:val="006D2D79"/>
    <w:rsid w:val="006D33BA"/>
    <w:rsid w:val="006D344E"/>
    <w:rsid w:val="006D347D"/>
    <w:rsid w:val="006D3E7E"/>
    <w:rsid w:val="006D4065"/>
    <w:rsid w:val="006D448B"/>
    <w:rsid w:val="006D44C7"/>
    <w:rsid w:val="006D45DA"/>
    <w:rsid w:val="006D4F65"/>
    <w:rsid w:val="006D5468"/>
    <w:rsid w:val="006D675E"/>
    <w:rsid w:val="006D77D6"/>
    <w:rsid w:val="006E040F"/>
    <w:rsid w:val="006E054C"/>
    <w:rsid w:val="006E08D3"/>
    <w:rsid w:val="006E0A86"/>
    <w:rsid w:val="006E0D71"/>
    <w:rsid w:val="006E0DE1"/>
    <w:rsid w:val="006E19D4"/>
    <w:rsid w:val="006E2016"/>
    <w:rsid w:val="006E2288"/>
    <w:rsid w:val="006E29D6"/>
    <w:rsid w:val="006E2F13"/>
    <w:rsid w:val="006E307F"/>
    <w:rsid w:val="006E3543"/>
    <w:rsid w:val="006E3BAD"/>
    <w:rsid w:val="006E47F9"/>
    <w:rsid w:val="006E4A99"/>
    <w:rsid w:val="006E53A3"/>
    <w:rsid w:val="006E5512"/>
    <w:rsid w:val="006E57D3"/>
    <w:rsid w:val="006E587E"/>
    <w:rsid w:val="006E5BC6"/>
    <w:rsid w:val="006E5C1C"/>
    <w:rsid w:val="006E602A"/>
    <w:rsid w:val="006E6588"/>
    <w:rsid w:val="006E6A84"/>
    <w:rsid w:val="006E6AA8"/>
    <w:rsid w:val="006E6CEF"/>
    <w:rsid w:val="006E6F1E"/>
    <w:rsid w:val="006E734F"/>
    <w:rsid w:val="006E73E0"/>
    <w:rsid w:val="006E75DC"/>
    <w:rsid w:val="006E7795"/>
    <w:rsid w:val="006E7C58"/>
    <w:rsid w:val="006E7E16"/>
    <w:rsid w:val="006F04C2"/>
    <w:rsid w:val="006F0FFC"/>
    <w:rsid w:val="006F1599"/>
    <w:rsid w:val="006F1956"/>
    <w:rsid w:val="006F1980"/>
    <w:rsid w:val="006F1FE8"/>
    <w:rsid w:val="006F2234"/>
    <w:rsid w:val="006F238A"/>
    <w:rsid w:val="006F27E8"/>
    <w:rsid w:val="006F2B4A"/>
    <w:rsid w:val="006F3856"/>
    <w:rsid w:val="006F3C99"/>
    <w:rsid w:val="006F400A"/>
    <w:rsid w:val="006F4330"/>
    <w:rsid w:val="006F4689"/>
    <w:rsid w:val="006F49C4"/>
    <w:rsid w:val="006F55A5"/>
    <w:rsid w:val="006F5625"/>
    <w:rsid w:val="006F567F"/>
    <w:rsid w:val="006F5FAE"/>
    <w:rsid w:val="006F69C8"/>
    <w:rsid w:val="006F6A72"/>
    <w:rsid w:val="006F6B0B"/>
    <w:rsid w:val="006F6CC0"/>
    <w:rsid w:val="006F70F4"/>
    <w:rsid w:val="006F745D"/>
    <w:rsid w:val="006F7597"/>
    <w:rsid w:val="006F7AC0"/>
    <w:rsid w:val="006F7B68"/>
    <w:rsid w:val="006F7F60"/>
    <w:rsid w:val="00700C96"/>
    <w:rsid w:val="007019DB"/>
    <w:rsid w:val="00701AA6"/>
    <w:rsid w:val="00701F17"/>
    <w:rsid w:val="007022C2"/>
    <w:rsid w:val="007026B7"/>
    <w:rsid w:val="0070288B"/>
    <w:rsid w:val="00702997"/>
    <w:rsid w:val="00702E7B"/>
    <w:rsid w:val="00703359"/>
    <w:rsid w:val="007033EA"/>
    <w:rsid w:val="00703D06"/>
    <w:rsid w:val="00704615"/>
    <w:rsid w:val="00704881"/>
    <w:rsid w:val="00704CB6"/>
    <w:rsid w:val="007050F3"/>
    <w:rsid w:val="0070541F"/>
    <w:rsid w:val="00706273"/>
    <w:rsid w:val="00707761"/>
    <w:rsid w:val="00707D5A"/>
    <w:rsid w:val="00707D75"/>
    <w:rsid w:val="00707FA5"/>
    <w:rsid w:val="00707FEE"/>
    <w:rsid w:val="007107FF"/>
    <w:rsid w:val="00710878"/>
    <w:rsid w:val="0071145A"/>
    <w:rsid w:val="0071165E"/>
    <w:rsid w:val="007116A9"/>
    <w:rsid w:val="0071224C"/>
    <w:rsid w:val="0071289F"/>
    <w:rsid w:val="00712C80"/>
    <w:rsid w:val="007133E3"/>
    <w:rsid w:val="007138B6"/>
    <w:rsid w:val="00713977"/>
    <w:rsid w:val="00713C93"/>
    <w:rsid w:val="0071465E"/>
    <w:rsid w:val="00714964"/>
    <w:rsid w:val="00714A04"/>
    <w:rsid w:val="00714E61"/>
    <w:rsid w:val="00715934"/>
    <w:rsid w:val="00715F2D"/>
    <w:rsid w:val="00716275"/>
    <w:rsid w:val="00716849"/>
    <w:rsid w:val="00716A47"/>
    <w:rsid w:val="00716A8F"/>
    <w:rsid w:val="007173A7"/>
    <w:rsid w:val="00717E9B"/>
    <w:rsid w:val="00720856"/>
    <w:rsid w:val="00720AFA"/>
    <w:rsid w:val="00720B6A"/>
    <w:rsid w:val="007218E8"/>
    <w:rsid w:val="00722181"/>
    <w:rsid w:val="00722302"/>
    <w:rsid w:val="007224B6"/>
    <w:rsid w:val="00722C9F"/>
    <w:rsid w:val="007239AB"/>
    <w:rsid w:val="007246BD"/>
    <w:rsid w:val="0072486E"/>
    <w:rsid w:val="007248D0"/>
    <w:rsid w:val="00725A18"/>
    <w:rsid w:val="00725A78"/>
    <w:rsid w:val="00725C3E"/>
    <w:rsid w:val="00725EE4"/>
    <w:rsid w:val="00726795"/>
    <w:rsid w:val="00726A04"/>
    <w:rsid w:val="00726A81"/>
    <w:rsid w:val="00726ECD"/>
    <w:rsid w:val="007274DD"/>
    <w:rsid w:val="00727C10"/>
    <w:rsid w:val="00727CC8"/>
    <w:rsid w:val="00727CF0"/>
    <w:rsid w:val="00730F54"/>
    <w:rsid w:val="00731929"/>
    <w:rsid w:val="0073205E"/>
    <w:rsid w:val="00732A95"/>
    <w:rsid w:val="007331D5"/>
    <w:rsid w:val="007343BE"/>
    <w:rsid w:val="00734460"/>
    <w:rsid w:val="007345F5"/>
    <w:rsid w:val="007346DE"/>
    <w:rsid w:val="00734D2F"/>
    <w:rsid w:val="00735DB6"/>
    <w:rsid w:val="00735EEB"/>
    <w:rsid w:val="00736215"/>
    <w:rsid w:val="007362EE"/>
    <w:rsid w:val="00737499"/>
    <w:rsid w:val="007400DE"/>
    <w:rsid w:val="00740847"/>
    <w:rsid w:val="007408C2"/>
    <w:rsid w:val="00740AD6"/>
    <w:rsid w:val="00740D6E"/>
    <w:rsid w:val="00740F93"/>
    <w:rsid w:val="007414A2"/>
    <w:rsid w:val="00742037"/>
    <w:rsid w:val="00742292"/>
    <w:rsid w:val="0074239C"/>
    <w:rsid w:val="007423BE"/>
    <w:rsid w:val="00742521"/>
    <w:rsid w:val="00742A8F"/>
    <w:rsid w:val="00742B8C"/>
    <w:rsid w:val="00743492"/>
    <w:rsid w:val="00743BDD"/>
    <w:rsid w:val="00743F29"/>
    <w:rsid w:val="00744E8A"/>
    <w:rsid w:val="00744EC9"/>
    <w:rsid w:val="007452F1"/>
    <w:rsid w:val="00746E3B"/>
    <w:rsid w:val="007471E0"/>
    <w:rsid w:val="007474EA"/>
    <w:rsid w:val="007477B6"/>
    <w:rsid w:val="00750072"/>
    <w:rsid w:val="00750840"/>
    <w:rsid w:val="0075085C"/>
    <w:rsid w:val="00750CA0"/>
    <w:rsid w:val="00750FAB"/>
    <w:rsid w:val="0075106E"/>
    <w:rsid w:val="00751241"/>
    <w:rsid w:val="00752767"/>
    <w:rsid w:val="00752D58"/>
    <w:rsid w:val="007535B7"/>
    <w:rsid w:val="00753C35"/>
    <w:rsid w:val="00754767"/>
    <w:rsid w:val="00754EEC"/>
    <w:rsid w:val="00755949"/>
    <w:rsid w:val="007562B1"/>
    <w:rsid w:val="007562B4"/>
    <w:rsid w:val="0075631A"/>
    <w:rsid w:val="007563B1"/>
    <w:rsid w:val="00756893"/>
    <w:rsid w:val="00756D5D"/>
    <w:rsid w:val="00756E14"/>
    <w:rsid w:val="00757877"/>
    <w:rsid w:val="00757AED"/>
    <w:rsid w:val="00757E30"/>
    <w:rsid w:val="00760949"/>
    <w:rsid w:val="00760F17"/>
    <w:rsid w:val="00760F78"/>
    <w:rsid w:val="00761066"/>
    <w:rsid w:val="0076128B"/>
    <w:rsid w:val="00761740"/>
    <w:rsid w:val="0076180D"/>
    <w:rsid w:val="007619C1"/>
    <w:rsid w:val="00761C51"/>
    <w:rsid w:val="00762723"/>
    <w:rsid w:val="00762769"/>
    <w:rsid w:val="00762810"/>
    <w:rsid w:val="00762A95"/>
    <w:rsid w:val="00763476"/>
    <w:rsid w:val="007637E1"/>
    <w:rsid w:val="007644A8"/>
    <w:rsid w:val="0076486E"/>
    <w:rsid w:val="00764974"/>
    <w:rsid w:val="00764AAE"/>
    <w:rsid w:val="00764C63"/>
    <w:rsid w:val="00764DA3"/>
    <w:rsid w:val="007653CD"/>
    <w:rsid w:val="00766462"/>
    <w:rsid w:val="0076649C"/>
    <w:rsid w:val="0076673D"/>
    <w:rsid w:val="007669FF"/>
    <w:rsid w:val="00766AC3"/>
    <w:rsid w:val="00766D29"/>
    <w:rsid w:val="00767471"/>
    <w:rsid w:val="007676EB"/>
    <w:rsid w:val="00767C76"/>
    <w:rsid w:val="00767CDB"/>
    <w:rsid w:val="007705DA"/>
    <w:rsid w:val="007709E3"/>
    <w:rsid w:val="00770AB4"/>
    <w:rsid w:val="00771652"/>
    <w:rsid w:val="00771B0E"/>
    <w:rsid w:val="00772A4F"/>
    <w:rsid w:val="00773266"/>
    <w:rsid w:val="00773ABF"/>
    <w:rsid w:val="00773B92"/>
    <w:rsid w:val="00773BA3"/>
    <w:rsid w:val="00773BCE"/>
    <w:rsid w:val="007741A9"/>
    <w:rsid w:val="0077438D"/>
    <w:rsid w:val="00774791"/>
    <w:rsid w:val="0077640F"/>
    <w:rsid w:val="00776600"/>
    <w:rsid w:val="0077727D"/>
    <w:rsid w:val="00777FD4"/>
    <w:rsid w:val="0078151A"/>
    <w:rsid w:val="007815ED"/>
    <w:rsid w:val="00781C75"/>
    <w:rsid w:val="00782137"/>
    <w:rsid w:val="007828FC"/>
    <w:rsid w:val="00782A4D"/>
    <w:rsid w:val="00783975"/>
    <w:rsid w:val="00783C9B"/>
    <w:rsid w:val="00784054"/>
    <w:rsid w:val="007840A2"/>
    <w:rsid w:val="007841C5"/>
    <w:rsid w:val="00784CBF"/>
    <w:rsid w:val="007851B1"/>
    <w:rsid w:val="00785B99"/>
    <w:rsid w:val="00785EDA"/>
    <w:rsid w:val="00786250"/>
    <w:rsid w:val="00786264"/>
    <w:rsid w:val="0078669B"/>
    <w:rsid w:val="00787B42"/>
    <w:rsid w:val="007906F4"/>
    <w:rsid w:val="00790B93"/>
    <w:rsid w:val="00790F63"/>
    <w:rsid w:val="00791101"/>
    <w:rsid w:val="00792375"/>
    <w:rsid w:val="0079276C"/>
    <w:rsid w:val="007930A6"/>
    <w:rsid w:val="00793AE2"/>
    <w:rsid w:val="00793B90"/>
    <w:rsid w:val="00793E59"/>
    <w:rsid w:val="00794F85"/>
    <w:rsid w:val="00795392"/>
    <w:rsid w:val="007954C4"/>
    <w:rsid w:val="00795A94"/>
    <w:rsid w:val="00795B3B"/>
    <w:rsid w:val="00796379"/>
    <w:rsid w:val="00796615"/>
    <w:rsid w:val="00796985"/>
    <w:rsid w:val="007969C4"/>
    <w:rsid w:val="00797136"/>
    <w:rsid w:val="007977B4"/>
    <w:rsid w:val="007978CF"/>
    <w:rsid w:val="00797F74"/>
    <w:rsid w:val="007A0320"/>
    <w:rsid w:val="007A035F"/>
    <w:rsid w:val="007A05F4"/>
    <w:rsid w:val="007A0797"/>
    <w:rsid w:val="007A08A7"/>
    <w:rsid w:val="007A0BD0"/>
    <w:rsid w:val="007A12A8"/>
    <w:rsid w:val="007A1E26"/>
    <w:rsid w:val="007A2139"/>
    <w:rsid w:val="007A2A0A"/>
    <w:rsid w:val="007A2F48"/>
    <w:rsid w:val="007A3F01"/>
    <w:rsid w:val="007A420C"/>
    <w:rsid w:val="007A51C8"/>
    <w:rsid w:val="007A5468"/>
    <w:rsid w:val="007A64F7"/>
    <w:rsid w:val="007A6B36"/>
    <w:rsid w:val="007A74A0"/>
    <w:rsid w:val="007A7A1A"/>
    <w:rsid w:val="007B003B"/>
    <w:rsid w:val="007B0383"/>
    <w:rsid w:val="007B1E07"/>
    <w:rsid w:val="007B20B4"/>
    <w:rsid w:val="007B20FE"/>
    <w:rsid w:val="007B250B"/>
    <w:rsid w:val="007B29BF"/>
    <w:rsid w:val="007B2A3E"/>
    <w:rsid w:val="007B3A0B"/>
    <w:rsid w:val="007B3A36"/>
    <w:rsid w:val="007B46D0"/>
    <w:rsid w:val="007B5159"/>
    <w:rsid w:val="007B5E3A"/>
    <w:rsid w:val="007B62E5"/>
    <w:rsid w:val="007B643C"/>
    <w:rsid w:val="007B693A"/>
    <w:rsid w:val="007B6B98"/>
    <w:rsid w:val="007B6EF0"/>
    <w:rsid w:val="007B6F10"/>
    <w:rsid w:val="007B7164"/>
    <w:rsid w:val="007B75A4"/>
    <w:rsid w:val="007B7701"/>
    <w:rsid w:val="007B77CF"/>
    <w:rsid w:val="007B7865"/>
    <w:rsid w:val="007B7B4A"/>
    <w:rsid w:val="007C0949"/>
    <w:rsid w:val="007C122A"/>
    <w:rsid w:val="007C130C"/>
    <w:rsid w:val="007C1629"/>
    <w:rsid w:val="007C1E27"/>
    <w:rsid w:val="007C226F"/>
    <w:rsid w:val="007C2370"/>
    <w:rsid w:val="007C25C8"/>
    <w:rsid w:val="007C25ED"/>
    <w:rsid w:val="007C28B1"/>
    <w:rsid w:val="007C2E55"/>
    <w:rsid w:val="007C34D4"/>
    <w:rsid w:val="007C361E"/>
    <w:rsid w:val="007C3D3A"/>
    <w:rsid w:val="007C3D92"/>
    <w:rsid w:val="007C3E9C"/>
    <w:rsid w:val="007C3FC6"/>
    <w:rsid w:val="007C40E7"/>
    <w:rsid w:val="007C503C"/>
    <w:rsid w:val="007C6825"/>
    <w:rsid w:val="007C68F1"/>
    <w:rsid w:val="007C6B1B"/>
    <w:rsid w:val="007C7041"/>
    <w:rsid w:val="007D0793"/>
    <w:rsid w:val="007D08CB"/>
    <w:rsid w:val="007D12AB"/>
    <w:rsid w:val="007D1DC5"/>
    <w:rsid w:val="007D318B"/>
    <w:rsid w:val="007D3322"/>
    <w:rsid w:val="007D3A25"/>
    <w:rsid w:val="007D3B0A"/>
    <w:rsid w:val="007D4070"/>
    <w:rsid w:val="007D479E"/>
    <w:rsid w:val="007D4E0E"/>
    <w:rsid w:val="007D5114"/>
    <w:rsid w:val="007D58B8"/>
    <w:rsid w:val="007D59E0"/>
    <w:rsid w:val="007D5C29"/>
    <w:rsid w:val="007D5E21"/>
    <w:rsid w:val="007D6359"/>
    <w:rsid w:val="007D785B"/>
    <w:rsid w:val="007D7D4B"/>
    <w:rsid w:val="007E0E17"/>
    <w:rsid w:val="007E1572"/>
    <w:rsid w:val="007E15F1"/>
    <w:rsid w:val="007E16ED"/>
    <w:rsid w:val="007E2020"/>
    <w:rsid w:val="007E204B"/>
    <w:rsid w:val="007E24D6"/>
    <w:rsid w:val="007E2668"/>
    <w:rsid w:val="007E2C5F"/>
    <w:rsid w:val="007E3A34"/>
    <w:rsid w:val="007E4119"/>
    <w:rsid w:val="007E4579"/>
    <w:rsid w:val="007E4D72"/>
    <w:rsid w:val="007E52B7"/>
    <w:rsid w:val="007E5F7D"/>
    <w:rsid w:val="007E6FEA"/>
    <w:rsid w:val="007E7980"/>
    <w:rsid w:val="007F00C5"/>
    <w:rsid w:val="007F0422"/>
    <w:rsid w:val="007F0E92"/>
    <w:rsid w:val="007F10AC"/>
    <w:rsid w:val="007F1478"/>
    <w:rsid w:val="007F1C28"/>
    <w:rsid w:val="007F242E"/>
    <w:rsid w:val="007F2747"/>
    <w:rsid w:val="007F2BA5"/>
    <w:rsid w:val="007F2F3E"/>
    <w:rsid w:val="007F2FE7"/>
    <w:rsid w:val="007F315B"/>
    <w:rsid w:val="007F34DC"/>
    <w:rsid w:val="007F3673"/>
    <w:rsid w:val="007F3928"/>
    <w:rsid w:val="007F41A2"/>
    <w:rsid w:val="007F4645"/>
    <w:rsid w:val="007F495A"/>
    <w:rsid w:val="007F512B"/>
    <w:rsid w:val="007F5828"/>
    <w:rsid w:val="007F6076"/>
    <w:rsid w:val="007F6484"/>
    <w:rsid w:val="007F6D15"/>
    <w:rsid w:val="007F7050"/>
    <w:rsid w:val="007F7412"/>
    <w:rsid w:val="007F7615"/>
    <w:rsid w:val="007F7654"/>
    <w:rsid w:val="007F78C2"/>
    <w:rsid w:val="00800144"/>
    <w:rsid w:val="00800BCD"/>
    <w:rsid w:val="00800BDF"/>
    <w:rsid w:val="00800C56"/>
    <w:rsid w:val="00801035"/>
    <w:rsid w:val="0080105A"/>
    <w:rsid w:val="00801537"/>
    <w:rsid w:val="00801D40"/>
    <w:rsid w:val="00801DE8"/>
    <w:rsid w:val="008025C3"/>
    <w:rsid w:val="00802AB8"/>
    <w:rsid w:val="0080321A"/>
    <w:rsid w:val="00803764"/>
    <w:rsid w:val="00803A54"/>
    <w:rsid w:val="00803AAE"/>
    <w:rsid w:val="008041BB"/>
    <w:rsid w:val="00804653"/>
    <w:rsid w:val="00804931"/>
    <w:rsid w:val="00805369"/>
    <w:rsid w:val="00805736"/>
    <w:rsid w:val="00805A20"/>
    <w:rsid w:val="00805C29"/>
    <w:rsid w:val="00805C8C"/>
    <w:rsid w:val="00805D3A"/>
    <w:rsid w:val="00806297"/>
    <w:rsid w:val="0080698A"/>
    <w:rsid w:val="0080716F"/>
    <w:rsid w:val="0081085B"/>
    <w:rsid w:val="00810E58"/>
    <w:rsid w:val="008117DA"/>
    <w:rsid w:val="00811A44"/>
    <w:rsid w:val="00811A63"/>
    <w:rsid w:val="00811D44"/>
    <w:rsid w:val="00811E10"/>
    <w:rsid w:val="00811FA7"/>
    <w:rsid w:val="008128C6"/>
    <w:rsid w:val="0081347A"/>
    <w:rsid w:val="00813757"/>
    <w:rsid w:val="00813AED"/>
    <w:rsid w:val="00813E84"/>
    <w:rsid w:val="00814D00"/>
    <w:rsid w:val="008152C3"/>
    <w:rsid w:val="00815375"/>
    <w:rsid w:val="00815A45"/>
    <w:rsid w:val="008164F7"/>
    <w:rsid w:val="00816E50"/>
    <w:rsid w:val="00817268"/>
    <w:rsid w:val="00817B6A"/>
    <w:rsid w:val="00817C6B"/>
    <w:rsid w:val="008205CD"/>
    <w:rsid w:val="008205EA"/>
    <w:rsid w:val="008205EF"/>
    <w:rsid w:val="00820E30"/>
    <w:rsid w:val="008213B8"/>
    <w:rsid w:val="00821678"/>
    <w:rsid w:val="00821A45"/>
    <w:rsid w:val="00822094"/>
    <w:rsid w:val="00822472"/>
    <w:rsid w:val="00822648"/>
    <w:rsid w:val="00822B2E"/>
    <w:rsid w:val="0082310B"/>
    <w:rsid w:val="00823328"/>
    <w:rsid w:val="00823550"/>
    <w:rsid w:val="008242F7"/>
    <w:rsid w:val="00824737"/>
    <w:rsid w:val="00824BCC"/>
    <w:rsid w:val="00824C1D"/>
    <w:rsid w:val="008255A6"/>
    <w:rsid w:val="00825A40"/>
    <w:rsid w:val="00825AC8"/>
    <w:rsid w:val="00825D9D"/>
    <w:rsid w:val="00825F86"/>
    <w:rsid w:val="00825F9D"/>
    <w:rsid w:val="0082696E"/>
    <w:rsid w:val="00826AD7"/>
    <w:rsid w:val="00826EBB"/>
    <w:rsid w:val="00826F13"/>
    <w:rsid w:val="00827064"/>
    <w:rsid w:val="008278ED"/>
    <w:rsid w:val="00827B34"/>
    <w:rsid w:val="00827C6B"/>
    <w:rsid w:val="00830139"/>
    <w:rsid w:val="00830339"/>
    <w:rsid w:val="00830D7E"/>
    <w:rsid w:val="0083103E"/>
    <w:rsid w:val="00831114"/>
    <w:rsid w:val="008314F3"/>
    <w:rsid w:val="008318DC"/>
    <w:rsid w:val="00831DD8"/>
    <w:rsid w:val="00831DFA"/>
    <w:rsid w:val="00832DD2"/>
    <w:rsid w:val="00833270"/>
    <w:rsid w:val="00834488"/>
    <w:rsid w:val="00834B4B"/>
    <w:rsid w:val="00834F81"/>
    <w:rsid w:val="00835373"/>
    <w:rsid w:val="008357A8"/>
    <w:rsid w:val="0083595C"/>
    <w:rsid w:val="00835A6D"/>
    <w:rsid w:val="00835C4B"/>
    <w:rsid w:val="00835F95"/>
    <w:rsid w:val="008363E9"/>
    <w:rsid w:val="00836405"/>
    <w:rsid w:val="00836674"/>
    <w:rsid w:val="00836B0D"/>
    <w:rsid w:val="0083769B"/>
    <w:rsid w:val="00840030"/>
    <w:rsid w:val="00840561"/>
    <w:rsid w:val="0084087F"/>
    <w:rsid w:val="00840CD5"/>
    <w:rsid w:val="00840CEC"/>
    <w:rsid w:val="00840DFC"/>
    <w:rsid w:val="0084118C"/>
    <w:rsid w:val="00841FB2"/>
    <w:rsid w:val="00842355"/>
    <w:rsid w:val="00842615"/>
    <w:rsid w:val="00842AF7"/>
    <w:rsid w:val="00842EC3"/>
    <w:rsid w:val="0084310B"/>
    <w:rsid w:val="00843130"/>
    <w:rsid w:val="008433FA"/>
    <w:rsid w:val="0084346D"/>
    <w:rsid w:val="008436E8"/>
    <w:rsid w:val="008437F0"/>
    <w:rsid w:val="00844530"/>
    <w:rsid w:val="00844657"/>
    <w:rsid w:val="00844952"/>
    <w:rsid w:val="00844F23"/>
    <w:rsid w:val="00845200"/>
    <w:rsid w:val="008453C8"/>
    <w:rsid w:val="0084565B"/>
    <w:rsid w:val="008457D0"/>
    <w:rsid w:val="0084594D"/>
    <w:rsid w:val="00845A6A"/>
    <w:rsid w:val="00845A80"/>
    <w:rsid w:val="00845B86"/>
    <w:rsid w:val="00845CBD"/>
    <w:rsid w:val="00847288"/>
    <w:rsid w:val="0084742B"/>
    <w:rsid w:val="008474E5"/>
    <w:rsid w:val="00847FA9"/>
    <w:rsid w:val="008500E7"/>
    <w:rsid w:val="00850254"/>
    <w:rsid w:val="00850E93"/>
    <w:rsid w:val="00850E9A"/>
    <w:rsid w:val="00851A2E"/>
    <w:rsid w:val="00852BBC"/>
    <w:rsid w:val="00853160"/>
    <w:rsid w:val="008535FA"/>
    <w:rsid w:val="00854220"/>
    <w:rsid w:val="00854544"/>
    <w:rsid w:val="00854860"/>
    <w:rsid w:val="00856007"/>
    <w:rsid w:val="008563B7"/>
    <w:rsid w:val="0085646C"/>
    <w:rsid w:val="00856922"/>
    <w:rsid w:val="00857648"/>
    <w:rsid w:val="0085786A"/>
    <w:rsid w:val="00860476"/>
    <w:rsid w:val="008607E5"/>
    <w:rsid w:val="00860B39"/>
    <w:rsid w:val="00860D5A"/>
    <w:rsid w:val="00861158"/>
    <w:rsid w:val="008614FA"/>
    <w:rsid w:val="008616E9"/>
    <w:rsid w:val="00861894"/>
    <w:rsid w:val="00861B7A"/>
    <w:rsid w:val="0086305E"/>
    <w:rsid w:val="00863984"/>
    <w:rsid w:val="00863E80"/>
    <w:rsid w:val="00864D52"/>
    <w:rsid w:val="0086530D"/>
    <w:rsid w:val="00865508"/>
    <w:rsid w:val="00865BF8"/>
    <w:rsid w:val="0086619E"/>
    <w:rsid w:val="00867511"/>
    <w:rsid w:val="00867B89"/>
    <w:rsid w:val="0087050C"/>
    <w:rsid w:val="0087054E"/>
    <w:rsid w:val="00871109"/>
    <w:rsid w:val="00871265"/>
    <w:rsid w:val="00871DA8"/>
    <w:rsid w:val="008722C2"/>
    <w:rsid w:val="008724CC"/>
    <w:rsid w:val="008726EB"/>
    <w:rsid w:val="0087281D"/>
    <w:rsid w:val="0087313A"/>
    <w:rsid w:val="0087359D"/>
    <w:rsid w:val="008738FE"/>
    <w:rsid w:val="0087395E"/>
    <w:rsid w:val="00873C5A"/>
    <w:rsid w:val="00874288"/>
    <w:rsid w:val="00874392"/>
    <w:rsid w:val="00874C00"/>
    <w:rsid w:val="00874EC7"/>
    <w:rsid w:val="0087508F"/>
    <w:rsid w:val="00875A03"/>
    <w:rsid w:val="00875BEC"/>
    <w:rsid w:val="00875EA9"/>
    <w:rsid w:val="00876306"/>
    <w:rsid w:val="00876FD9"/>
    <w:rsid w:val="008771FE"/>
    <w:rsid w:val="00877FC3"/>
    <w:rsid w:val="00880044"/>
    <w:rsid w:val="008800CC"/>
    <w:rsid w:val="0088019F"/>
    <w:rsid w:val="008802BE"/>
    <w:rsid w:val="008803B0"/>
    <w:rsid w:val="00880C8A"/>
    <w:rsid w:val="00880E9C"/>
    <w:rsid w:val="0088108A"/>
    <w:rsid w:val="00881097"/>
    <w:rsid w:val="0088128B"/>
    <w:rsid w:val="0088141B"/>
    <w:rsid w:val="00881E10"/>
    <w:rsid w:val="00882197"/>
    <w:rsid w:val="00882364"/>
    <w:rsid w:val="00883363"/>
    <w:rsid w:val="008847A0"/>
    <w:rsid w:val="00884871"/>
    <w:rsid w:val="008857DE"/>
    <w:rsid w:val="00885BD0"/>
    <w:rsid w:val="00885D10"/>
    <w:rsid w:val="00885E9F"/>
    <w:rsid w:val="008862EA"/>
    <w:rsid w:val="00886BC0"/>
    <w:rsid w:val="008876F6"/>
    <w:rsid w:val="00887EEE"/>
    <w:rsid w:val="00890AEC"/>
    <w:rsid w:val="00891555"/>
    <w:rsid w:val="008916F5"/>
    <w:rsid w:val="00891D76"/>
    <w:rsid w:val="00892D5A"/>
    <w:rsid w:val="00892E05"/>
    <w:rsid w:val="00892E2A"/>
    <w:rsid w:val="008935EC"/>
    <w:rsid w:val="00893613"/>
    <w:rsid w:val="00893E92"/>
    <w:rsid w:val="0089405D"/>
    <w:rsid w:val="008941B6"/>
    <w:rsid w:val="00894375"/>
    <w:rsid w:val="008943FD"/>
    <w:rsid w:val="00894690"/>
    <w:rsid w:val="0089489D"/>
    <w:rsid w:val="00894D23"/>
    <w:rsid w:val="00894EAD"/>
    <w:rsid w:val="0089575A"/>
    <w:rsid w:val="008958E3"/>
    <w:rsid w:val="0089594A"/>
    <w:rsid w:val="00895B95"/>
    <w:rsid w:val="00895BE2"/>
    <w:rsid w:val="00895C55"/>
    <w:rsid w:val="00896EC9"/>
    <w:rsid w:val="00897574"/>
    <w:rsid w:val="008979C0"/>
    <w:rsid w:val="008A0003"/>
    <w:rsid w:val="008A072E"/>
    <w:rsid w:val="008A0936"/>
    <w:rsid w:val="008A0AB6"/>
    <w:rsid w:val="008A112A"/>
    <w:rsid w:val="008A167E"/>
    <w:rsid w:val="008A1A34"/>
    <w:rsid w:val="008A257F"/>
    <w:rsid w:val="008A3B6F"/>
    <w:rsid w:val="008A3B72"/>
    <w:rsid w:val="008A3B8A"/>
    <w:rsid w:val="008A4810"/>
    <w:rsid w:val="008A507A"/>
    <w:rsid w:val="008A56BD"/>
    <w:rsid w:val="008A5928"/>
    <w:rsid w:val="008A6347"/>
    <w:rsid w:val="008A6581"/>
    <w:rsid w:val="008A66E5"/>
    <w:rsid w:val="008A6BCF"/>
    <w:rsid w:val="008A7711"/>
    <w:rsid w:val="008A7746"/>
    <w:rsid w:val="008A7F64"/>
    <w:rsid w:val="008B09BC"/>
    <w:rsid w:val="008B0B12"/>
    <w:rsid w:val="008B0EBB"/>
    <w:rsid w:val="008B1CD1"/>
    <w:rsid w:val="008B1DA2"/>
    <w:rsid w:val="008B1F7A"/>
    <w:rsid w:val="008B2B03"/>
    <w:rsid w:val="008B3248"/>
    <w:rsid w:val="008B3673"/>
    <w:rsid w:val="008B381E"/>
    <w:rsid w:val="008B3EFD"/>
    <w:rsid w:val="008B4969"/>
    <w:rsid w:val="008B4C0B"/>
    <w:rsid w:val="008B5004"/>
    <w:rsid w:val="008B51C3"/>
    <w:rsid w:val="008B5B7E"/>
    <w:rsid w:val="008B5D84"/>
    <w:rsid w:val="008B6303"/>
    <w:rsid w:val="008B6C12"/>
    <w:rsid w:val="008B6DD7"/>
    <w:rsid w:val="008B78E3"/>
    <w:rsid w:val="008B7E08"/>
    <w:rsid w:val="008B7F18"/>
    <w:rsid w:val="008C0C30"/>
    <w:rsid w:val="008C1251"/>
    <w:rsid w:val="008C12DC"/>
    <w:rsid w:val="008C138E"/>
    <w:rsid w:val="008C1744"/>
    <w:rsid w:val="008C1D82"/>
    <w:rsid w:val="008C2E9B"/>
    <w:rsid w:val="008C31DE"/>
    <w:rsid w:val="008C34A8"/>
    <w:rsid w:val="008C3A7B"/>
    <w:rsid w:val="008C4418"/>
    <w:rsid w:val="008C48B8"/>
    <w:rsid w:val="008C48D5"/>
    <w:rsid w:val="008C4F64"/>
    <w:rsid w:val="008C52A3"/>
    <w:rsid w:val="008C52A6"/>
    <w:rsid w:val="008C5FDF"/>
    <w:rsid w:val="008C60FC"/>
    <w:rsid w:val="008C66BD"/>
    <w:rsid w:val="008C6CFF"/>
    <w:rsid w:val="008C6EB1"/>
    <w:rsid w:val="008C6F37"/>
    <w:rsid w:val="008C7026"/>
    <w:rsid w:val="008C74A6"/>
    <w:rsid w:val="008C776B"/>
    <w:rsid w:val="008C7DC1"/>
    <w:rsid w:val="008D05D5"/>
    <w:rsid w:val="008D0D4F"/>
    <w:rsid w:val="008D1182"/>
    <w:rsid w:val="008D1AB9"/>
    <w:rsid w:val="008D21DA"/>
    <w:rsid w:val="008D2FB3"/>
    <w:rsid w:val="008D3F5D"/>
    <w:rsid w:val="008D4B07"/>
    <w:rsid w:val="008D4C93"/>
    <w:rsid w:val="008D4F09"/>
    <w:rsid w:val="008D4FC5"/>
    <w:rsid w:val="008D5373"/>
    <w:rsid w:val="008D5537"/>
    <w:rsid w:val="008D5893"/>
    <w:rsid w:val="008D5D35"/>
    <w:rsid w:val="008D5E46"/>
    <w:rsid w:val="008D615F"/>
    <w:rsid w:val="008D6242"/>
    <w:rsid w:val="008D63E1"/>
    <w:rsid w:val="008D67E7"/>
    <w:rsid w:val="008D6AB1"/>
    <w:rsid w:val="008D6AE7"/>
    <w:rsid w:val="008D6FF9"/>
    <w:rsid w:val="008D7532"/>
    <w:rsid w:val="008D75E3"/>
    <w:rsid w:val="008D7817"/>
    <w:rsid w:val="008D79F3"/>
    <w:rsid w:val="008D7A3F"/>
    <w:rsid w:val="008D7C78"/>
    <w:rsid w:val="008E0792"/>
    <w:rsid w:val="008E095D"/>
    <w:rsid w:val="008E0972"/>
    <w:rsid w:val="008E0DD6"/>
    <w:rsid w:val="008E0EBB"/>
    <w:rsid w:val="008E17F9"/>
    <w:rsid w:val="008E1A78"/>
    <w:rsid w:val="008E1F71"/>
    <w:rsid w:val="008E2369"/>
    <w:rsid w:val="008E26EE"/>
    <w:rsid w:val="008E3807"/>
    <w:rsid w:val="008E38CB"/>
    <w:rsid w:val="008E4297"/>
    <w:rsid w:val="008E46B6"/>
    <w:rsid w:val="008E495D"/>
    <w:rsid w:val="008E5A2E"/>
    <w:rsid w:val="008E5C1B"/>
    <w:rsid w:val="008E5F5D"/>
    <w:rsid w:val="008E6251"/>
    <w:rsid w:val="008E6569"/>
    <w:rsid w:val="008E7096"/>
    <w:rsid w:val="008E78C5"/>
    <w:rsid w:val="008E7C5C"/>
    <w:rsid w:val="008E7FAB"/>
    <w:rsid w:val="008F0708"/>
    <w:rsid w:val="008F070F"/>
    <w:rsid w:val="008F0718"/>
    <w:rsid w:val="008F0E78"/>
    <w:rsid w:val="008F1A53"/>
    <w:rsid w:val="008F1E95"/>
    <w:rsid w:val="008F22D8"/>
    <w:rsid w:val="008F2313"/>
    <w:rsid w:val="008F27ED"/>
    <w:rsid w:val="008F2BEF"/>
    <w:rsid w:val="008F36D6"/>
    <w:rsid w:val="008F3A51"/>
    <w:rsid w:val="008F3AB1"/>
    <w:rsid w:val="008F3DF7"/>
    <w:rsid w:val="008F4ABB"/>
    <w:rsid w:val="008F51CF"/>
    <w:rsid w:val="008F549C"/>
    <w:rsid w:val="008F54FA"/>
    <w:rsid w:val="008F56C7"/>
    <w:rsid w:val="008F6674"/>
    <w:rsid w:val="008F70BE"/>
    <w:rsid w:val="008F7362"/>
    <w:rsid w:val="008F76A9"/>
    <w:rsid w:val="008F79FC"/>
    <w:rsid w:val="009006F6"/>
    <w:rsid w:val="00900822"/>
    <w:rsid w:val="00901061"/>
    <w:rsid w:val="00901276"/>
    <w:rsid w:val="009014FE"/>
    <w:rsid w:val="00901BC5"/>
    <w:rsid w:val="00902029"/>
    <w:rsid w:val="009024D4"/>
    <w:rsid w:val="00902A26"/>
    <w:rsid w:val="00902F53"/>
    <w:rsid w:val="00903175"/>
    <w:rsid w:val="009031E0"/>
    <w:rsid w:val="00903292"/>
    <w:rsid w:val="0090336E"/>
    <w:rsid w:val="00903432"/>
    <w:rsid w:val="00903876"/>
    <w:rsid w:val="00903AF7"/>
    <w:rsid w:val="00903B86"/>
    <w:rsid w:val="00903D38"/>
    <w:rsid w:val="00904088"/>
    <w:rsid w:val="00904ADB"/>
    <w:rsid w:val="00905DBB"/>
    <w:rsid w:val="0090648E"/>
    <w:rsid w:val="0090682C"/>
    <w:rsid w:val="00906965"/>
    <w:rsid w:val="00906A80"/>
    <w:rsid w:val="00907261"/>
    <w:rsid w:val="009074D1"/>
    <w:rsid w:val="00907A00"/>
    <w:rsid w:val="009101A1"/>
    <w:rsid w:val="009107C3"/>
    <w:rsid w:val="0091137B"/>
    <w:rsid w:val="00911EE8"/>
    <w:rsid w:val="00912039"/>
    <w:rsid w:val="0091211E"/>
    <w:rsid w:val="00913151"/>
    <w:rsid w:val="009141BB"/>
    <w:rsid w:val="00914623"/>
    <w:rsid w:val="00914830"/>
    <w:rsid w:val="0091494A"/>
    <w:rsid w:val="00914D24"/>
    <w:rsid w:val="00915831"/>
    <w:rsid w:val="00915AB2"/>
    <w:rsid w:val="00915CD4"/>
    <w:rsid w:val="00915DE8"/>
    <w:rsid w:val="00915F48"/>
    <w:rsid w:val="009169E4"/>
    <w:rsid w:val="00916AF9"/>
    <w:rsid w:val="00917679"/>
    <w:rsid w:val="0091772A"/>
    <w:rsid w:val="009179BC"/>
    <w:rsid w:val="00917A17"/>
    <w:rsid w:val="0092065D"/>
    <w:rsid w:val="009206F6"/>
    <w:rsid w:val="0092105D"/>
    <w:rsid w:val="00921C6C"/>
    <w:rsid w:val="00921D15"/>
    <w:rsid w:val="00922AF1"/>
    <w:rsid w:val="00923463"/>
    <w:rsid w:val="00924465"/>
    <w:rsid w:val="00924D6D"/>
    <w:rsid w:val="00925570"/>
    <w:rsid w:val="0092570C"/>
    <w:rsid w:val="00925939"/>
    <w:rsid w:val="00925E6F"/>
    <w:rsid w:val="0092616A"/>
    <w:rsid w:val="00926B15"/>
    <w:rsid w:val="00927503"/>
    <w:rsid w:val="00927B4D"/>
    <w:rsid w:val="00927D68"/>
    <w:rsid w:val="0093027D"/>
    <w:rsid w:val="00930336"/>
    <w:rsid w:val="009308E3"/>
    <w:rsid w:val="009315E7"/>
    <w:rsid w:val="009316D9"/>
    <w:rsid w:val="00931A41"/>
    <w:rsid w:val="00931D2D"/>
    <w:rsid w:val="00931D8F"/>
    <w:rsid w:val="009326D5"/>
    <w:rsid w:val="00932ED8"/>
    <w:rsid w:val="0093303C"/>
    <w:rsid w:val="0093335D"/>
    <w:rsid w:val="00933877"/>
    <w:rsid w:val="00933CF2"/>
    <w:rsid w:val="00933DF7"/>
    <w:rsid w:val="00933E2F"/>
    <w:rsid w:val="00933ECE"/>
    <w:rsid w:val="009343D7"/>
    <w:rsid w:val="00934743"/>
    <w:rsid w:val="00935016"/>
    <w:rsid w:val="0093509F"/>
    <w:rsid w:val="009351B9"/>
    <w:rsid w:val="00935413"/>
    <w:rsid w:val="009355E2"/>
    <w:rsid w:val="0093574A"/>
    <w:rsid w:val="009359FE"/>
    <w:rsid w:val="00935A93"/>
    <w:rsid w:val="00935B92"/>
    <w:rsid w:val="00935C8A"/>
    <w:rsid w:val="00935F9B"/>
    <w:rsid w:val="00936243"/>
    <w:rsid w:val="00936BDD"/>
    <w:rsid w:val="00936F74"/>
    <w:rsid w:val="00937136"/>
    <w:rsid w:val="00937331"/>
    <w:rsid w:val="00937393"/>
    <w:rsid w:val="0093745C"/>
    <w:rsid w:val="0093783B"/>
    <w:rsid w:val="00937A0B"/>
    <w:rsid w:val="0094034F"/>
    <w:rsid w:val="00940576"/>
    <w:rsid w:val="009405CC"/>
    <w:rsid w:val="0094068F"/>
    <w:rsid w:val="009408D4"/>
    <w:rsid w:val="00940A27"/>
    <w:rsid w:val="00940BCE"/>
    <w:rsid w:val="00940BE5"/>
    <w:rsid w:val="00941ABA"/>
    <w:rsid w:val="009422A1"/>
    <w:rsid w:val="00942889"/>
    <w:rsid w:val="00942D51"/>
    <w:rsid w:val="00942FFB"/>
    <w:rsid w:val="00944127"/>
    <w:rsid w:val="00944155"/>
    <w:rsid w:val="009441EA"/>
    <w:rsid w:val="009444C7"/>
    <w:rsid w:val="009448F9"/>
    <w:rsid w:val="00945510"/>
    <w:rsid w:val="00945785"/>
    <w:rsid w:val="00945B2C"/>
    <w:rsid w:val="00945C79"/>
    <w:rsid w:val="00946197"/>
    <w:rsid w:val="009465A6"/>
    <w:rsid w:val="009468F9"/>
    <w:rsid w:val="00946E0C"/>
    <w:rsid w:val="00947316"/>
    <w:rsid w:val="0094748C"/>
    <w:rsid w:val="009477ED"/>
    <w:rsid w:val="009501C1"/>
    <w:rsid w:val="009501D4"/>
    <w:rsid w:val="00950601"/>
    <w:rsid w:val="00950D8D"/>
    <w:rsid w:val="0095110F"/>
    <w:rsid w:val="00951198"/>
    <w:rsid w:val="00951341"/>
    <w:rsid w:val="00951768"/>
    <w:rsid w:val="00952083"/>
    <w:rsid w:val="0095231C"/>
    <w:rsid w:val="0095306E"/>
    <w:rsid w:val="00953079"/>
    <w:rsid w:val="009530E4"/>
    <w:rsid w:val="0095332D"/>
    <w:rsid w:val="009540DE"/>
    <w:rsid w:val="009541C6"/>
    <w:rsid w:val="00954782"/>
    <w:rsid w:val="00954E58"/>
    <w:rsid w:val="00955873"/>
    <w:rsid w:val="009558A8"/>
    <w:rsid w:val="00955E12"/>
    <w:rsid w:val="00955E7A"/>
    <w:rsid w:val="0095699F"/>
    <w:rsid w:val="00957CFA"/>
    <w:rsid w:val="00960113"/>
    <w:rsid w:val="009607B3"/>
    <w:rsid w:val="0096099E"/>
    <w:rsid w:val="009615ED"/>
    <w:rsid w:val="00961F81"/>
    <w:rsid w:val="00963607"/>
    <w:rsid w:val="0096482B"/>
    <w:rsid w:val="00964CA8"/>
    <w:rsid w:val="0096508B"/>
    <w:rsid w:val="0096572B"/>
    <w:rsid w:val="00965EFB"/>
    <w:rsid w:val="00966A4F"/>
    <w:rsid w:val="00966EA0"/>
    <w:rsid w:val="0096734E"/>
    <w:rsid w:val="00967D48"/>
    <w:rsid w:val="00970611"/>
    <w:rsid w:val="00970E32"/>
    <w:rsid w:val="0097139A"/>
    <w:rsid w:val="00971EBB"/>
    <w:rsid w:val="00972010"/>
    <w:rsid w:val="009725B1"/>
    <w:rsid w:val="00972630"/>
    <w:rsid w:val="00972816"/>
    <w:rsid w:val="00972B52"/>
    <w:rsid w:val="00972C1A"/>
    <w:rsid w:val="00972C85"/>
    <w:rsid w:val="00972C92"/>
    <w:rsid w:val="009730F9"/>
    <w:rsid w:val="0097384C"/>
    <w:rsid w:val="00973A17"/>
    <w:rsid w:val="00973AE5"/>
    <w:rsid w:val="00974653"/>
    <w:rsid w:val="009746CE"/>
    <w:rsid w:val="00974729"/>
    <w:rsid w:val="00974844"/>
    <w:rsid w:val="00974A8F"/>
    <w:rsid w:val="00974BCF"/>
    <w:rsid w:val="0097542E"/>
    <w:rsid w:val="0097593C"/>
    <w:rsid w:val="0097593D"/>
    <w:rsid w:val="00975EE6"/>
    <w:rsid w:val="00976084"/>
    <w:rsid w:val="0097624C"/>
    <w:rsid w:val="009763F4"/>
    <w:rsid w:val="009765D9"/>
    <w:rsid w:val="0097676E"/>
    <w:rsid w:val="00976C22"/>
    <w:rsid w:val="009771FF"/>
    <w:rsid w:val="009772DC"/>
    <w:rsid w:val="00977753"/>
    <w:rsid w:val="00977BF0"/>
    <w:rsid w:val="009806CD"/>
    <w:rsid w:val="00981B78"/>
    <w:rsid w:val="00982431"/>
    <w:rsid w:val="00982E95"/>
    <w:rsid w:val="00983A72"/>
    <w:rsid w:val="00983DCF"/>
    <w:rsid w:val="00983F5B"/>
    <w:rsid w:val="00984160"/>
    <w:rsid w:val="00984472"/>
    <w:rsid w:val="0098484C"/>
    <w:rsid w:val="00984BE4"/>
    <w:rsid w:val="00984DAB"/>
    <w:rsid w:val="00984F9A"/>
    <w:rsid w:val="0098535B"/>
    <w:rsid w:val="009862C5"/>
    <w:rsid w:val="009865E5"/>
    <w:rsid w:val="00986A14"/>
    <w:rsid w:val="00987276"/>
    <w:rsid w:val="00987599"/>
    <w:rsid w:val="00987B7C"/>
    <w:rsid w:val="009900B1"/>
    <w:rsid w:val="00990389"/>
    <w:rsid w:val="00990E31"/>
    <w:rsid w:val="009911E4"/>
    <w:rsid w:val="00992259"/>
    <w:rsid w:val="009925E6"/>
    <w:rsid w:val="00992836"/>
    <w:rsid w:val="0099314D"/>
    <w:rsid w:val="0099364F"/>
    <w:rsid w:val="00993F5E"/>
    <w:rsid w:val="00994234"/>
    <w:rsid w:val="009944D9"/>
    <w:rsid w:val="009947F1"/>
    <w:rsid w:val="0099487F"/>
    <w:rsid w:val="00994926"/>
    <w:rsid w:val="00995012"/>
    <w:rsid w:val="00995681"/>
    <w:rsid w:val="00995882"/>
    <w:rsid w:val="009960C1"/>
    <w:rsid w:val="00996D9D"/>
    <w:rsid w:val="00996E93"/>
    <w:rsid w:val="00996EA8"/>
    <w:rsid w:val="00996F5A"/>
    <w:rsid w:val="0099712B"/>
    <w:rsid w:val="009971DF"/>
    <w:rsid w:val="00997299"/>
    <w:rsid w:val="009973F8"/>
    <w:rsid w:val="00997565"/>
    <w:rsid w:val="009977B3"/>
    <w:rsid w:val="00997B04"/>
    <w:rsid w:val="00997B9A"/>
    <w:rsid w:val="009A00DD"/>
    <w:rsid w:val="009A06D5"/>
    <w:rsid w:val="009A0743"/>
    <w:rsid w:val="009A0A5B"/>
    <w:rsid w:val="009A0E9E"/>
    <w:rsid w:val="009A2341"/>
    <w:rsid w:val="009A3192"/>
    <w:rsid w:val="009A358E"/>
    <w:rsid w:val="009A46EF"/>
    <w:rsid w:val="009A4B33"/>
    <w:rsid w:val="009A5497"/>
    <w:rsid w:val="009A54FB"/>
    <w:rsid w:val="009A5A1C"/>
    <w:rsid w:val="009A5FEF"/>
    <w:rsid w:val="009A68B1"/>
    <w:rsid w:val="009A6A8D"/>
    <w:rsid w:val="009A6B41"/>
    <w:rsid w:val="009A6E02"/>
    <w:rsid w:val="009A6FAD"/>
    <w:rsid w:val="009A7C8D"/>
    <w:rsid w:val="009B04C4"/>
    <w:rsid w:val="009B057B"/>
    <w:rsid w:val="009B0758"/>
    <w:rsid w:val="009B08AF"/>
    <w:rsid w:val="009B0CCD"/>
    <w:rsid w:val="009B0D5C"/>
    <w:rsid w:val="009B15F4"/>
    <w:rsid w:val="009B1A9C"/>
    <w:rsid w:val="009B1E81"/>
    <w:rsid w:val="009B1EC8"/>
    <w:rsid w:val="009B22A1"/>
    <w:rsid w:val="009B2D08"/>
    <w:rsid w:val="009B2FA1"/>
    <w:rsid w:val="009B34D5"/>
    <w:rsid w:val="009B3B4F"/>
    <w:rsid w:val="009B4230"/>
    <w:rsid w:val="009B50CF"/>
    <w:rsid w:val="009B63AD"/>
    <w:rsid w:val="009B6CA1"/>
    <w:rsid w:val="009B6F08"/>
    <w:rsid w:val="009B761E"/>
    <w:rsid w:val="009B77C4"/>
    <w:rsid w:val="009B7F8A"/>
    <w:rsid w:val="009C069C"/>
    <w:rsid w:val="009C07FA"/>
    <w:rsid w:val="009C095D"/>
    <w:rsid w:val="009C1154"/>
    <w:rsid w:val="009C1221"/>
    <w:rsid w:val="009C16E0"/>
    <w:rsid w:val="009C1827"/>
    <w:rsid w:val="009C193E"/>
    <w:rsid w:val="009C2702"/>
    <w:rsid w:val="009C2846"/>
    <w:rsid w:val="009C3289"/>
    <w:rsid w:val="009C39B1"/>
    <w:rsid w:val="009C3BDD"/>
    <w:rsid w:val="009C3C12"/>
    <w:rsid w:val="009C3CBB"/>
    <w:rsid w:val="009C4012"/>
    <w:rsid w:val="009C5109"/>
    <w:rsid w:val="009C5AC7"/>
    <w:rsid w:val="009C5F07"/>
    <w:rsid w:val="009C6297"/>
    <w:rsid w:val="009C63EE"/>
    <w:rsid w:val="009C6D43"/>
    <w:rsid w:val="009C7690"/>
    <w:rsid w:val="009C7BC7"/>
    <w:rsid w:val="009D0D99"/>
    <w:rsid w:val="009D0FC1"/>
    <w:rsid w:val="009D11C1"/>
    <w:rsid w:val="009D136C"/>
    <w:rsid w:val="009D1767"/>
    <w:rsid w:val="009D224A"/>
    <w:rsid w:val="009D2673"/>
    <w:rsid w:val="009D28F7"/>
    <w:rsid w:val="009D2AED"/>
    <w:rsid w:val="009D374C"/>
    <w:rsid w:val="009D3C71"/>
    <w:rsid w:val="009D464D"/>
    <w:rsid w:val="009D4B48"/>
    <w:rsid w:val="009D4B6C"/>
    <w:rsid w:val="009D5984"/>
    <w:rsid w:val="009D63C1"/>
    <w:rsid w:val="009D65E5"/>
    <w:rsid w:val="009D6C11"/>
    <w:rsid w:val="009D6D51"/>
    <w:rsid w:val="009D70B7"/>
    <w:rsid w:val="009D768F"/>
    <w:rsid w:val="009D7852"/>
    <w:rsid w:val="009D793B"/>
    <w:rsid w:val="009D7B7E"/>
    <w:rsid w:val="009E0A15"/>
    <w:rsid w:val="009E0D39"/>
    <w:rsid w:val="009E0D6E"/>
    <w:rsid w:val="009E1A49"/>
    <w:rsid w:val="009E264D"/>
    <w:rsid w:val="009E293E"/>
    <w:rsid w:val="009E2B88"/>
    <w:rsid w:val="009E2B95"/>
    <w:rsid w:val="009E384C"/>
    <w:rsid w:val="009E3D0B"/>
    <w:rsid w:val="009E3FA3"/>
    <w:rsid w:val="009E40DC"/>
    <w:rsid w:val="009E436E"/>
    <w:rsid w:val="009E43F8"/>
    <w:rsid w:val="009E4AB6"/>
    <w:rsid w:val="009E4C36"/>
    <w:rsid w:val="009E5334"/>
    <w:rsid w:val="009E5AB0"/>
    <w:rsid w:val="009E708E"/>
    <w:rsid w:val="009E71CE"/>
    <w:rsid w:val="009E7918"/>
    <w:rsid w:val="009E7BFD"/>
    <w:rsid w:val="009E7C7B"/>
    <w:rsid w:val="009E7D28"/>
    <w:rsid w:val="009F025D"/>
    <w:rsid w:val="009F0466"/>
    <w:rsid w:val="009F0C45"/>
    <w:rsid w:val="009F0E2F"/>
    <w:rsid w:val="009F0EFE"/>
    <w:rsid w:val="009F0F51"/>
    <w:rsid w:val="009F0FF8"/>
    <w:rsid w:val="009F1057"/>
    <w:rsid w:val="009F1A00"/>
    <w:rsid w:val="009F1CE0"/>
    <w:rsid w:val="009F21C2"/>
    <w:rsid w:val="009F25D9"/>
    <w:rsid w:val="009F2747"/>
    <w:rsid w:val="009F2F7B"/>
    <w:rsid w:val="009F33CD"/>
    <w:rsid w:val="009F34D1"/>
    <w:rsid w:val="009F4D6D"/>
    <w:rsid w:val="009F4FB1"/>
    <w:rsid w:val="009F503C"/>
    <w:rsid w:val="009F5466"/>
    <w:rsid w:val="009F5852"/>
    <w:rsid w:val="009F5A20"/>
    <w:rsid w:val="009F5A3B"/>
    <w:rsid w:val="009F5BC8"/>
    <w:rsid w:val="009F5CE6"/>
    <w:rsid w:val="009F5E1B"/>
    <w:rsid w:val="009F6116"/>
    <w:rsid w:val="009F61E8"/>
    <w:rsid w:val="009F627F"/>
    <w:rsid w:val="009F62C7"/>
    <w:rsid w:val="009F6704"/>
    <w:rsid w:val="009F6BA9"/>
    <w:rsid w:val="009F6F53"/>
    <w:rsid w:val="009F7617"/>
    <w:rsid w:val="009F777A"/>
    <w:rsid w:val="00A0018A"/>
    <w:rsid w:val="00A00B60"/>
    <w:rsid w:val="00A00FA8"/>
    <w:rsid w:val="00A0165A"/>
    <w:rsid w:val="00A0175F"/>
    <w:rsid w:val="00A01957"/>
    <w:rsid w:val="00A01FCB"/>
    <w:rsid w:val="00A025DC"/>
    <w:rsid w:val="00A028D0"/>
    <w:rsid w:val="00A030CB"/>
    <w:rsid w:val="00A03674"/>
    <w:rsid w:val="00A03D3D"/>
    <w:rsid w:val="00A03D9A"/>
    <w:rsid w:val="00A03E75"/>
    <w:rsid w:val="00A04669"/>
    <w:rsid w:val="00A04C3C"/>
    <w:rsid w:val="00A04E60"/>
    <w:rsid w:val="00A063C1"/>
    <w:rsid w:val="00A06436"/>
    <w:rsid w:val="00A06EFC"/>
    <w:rsid w:val="00A073BA"/>
    <w:rsid w:val="00A077CF"/>
    <w:rsid w:val="00A0787A"/>
    <w:rsid w:val="00A1025E"/>
    <w:rsid w:val="00A11589"/>
    <w:rsid w:val="00A1238A"/>
    <w:rsid w:val="00A1241F"/>
    <w:rsid w:val="00A129F2"/>
    <w:rsid w:val="00A129F4"/>
    <w:rsid w:val="00A12E3C"/>
    <w:rsid w:val="00A12EBD"/>
    <w:rsid w:val="00A134BC"/>
    <w:rsid w:val="00A13519"/>
    <w:rsid w:val="00A14446"/>
    <w:rsid w:val="00A14593"/>
    <w:rsid w:val="00A14B52"/>
    <w:rsid w:val="00A156B0"/>
    <w:rsid w:val="00A156BF"/>
    <w:rsid w:val="00A15746"/>
    <w:rsid w:val="00A157F6"/>
    <w:rsid w:val="00A1699F"/>
    <w:rsid w:val="00A172F7"/>
    <w:rsid w:val="00A17613"/>
    <w:rsid w:val="00A208B2"/>
    <w:rsid w:val="00A20D3A"/>
    <w:rsid w:val="00A21224"/>
    <w:rsid w:val="00A21511"/>
    <w:rsid w:val="00A226F2"/>
    <w:rsid w:val="00A236F4"/>
    <w:rsid w:val="00A23933"/>
    <w:rsid w:val="00A2394A"/>
    <w:rsid w:val="00A23CA8"/>
    <w:rsid w:val="00A23EC5"/>
    <w:rsid w:val="00A23FF7"/>
    <w:rsid w:val="00A2438F"/>
    <w:rsid w:val="00A246B7"/>
    <w:rsid w:val="00A2480E"/>
    <w:rsid w:val="00A259BF"/>
    <w:rsid w:val="00A25A10"/>
    <w:rsid w:val="00A25B77"/>
    <w:rsid w:val="00A25E5A"/>
    <w:rsid w:val="00A26296"/>
    <w:rsid w:val="00A2648B"/>
    <w:rsid w:val="00A26804"/>
    <w:rsid w:val="00A26825"/>
    <w:rsid w:val="00A269A0"/>
    <w:rsid w:val="00A26A80"/>
    <w:rsid w:val="00A2743B"/>
    <w:rsid w:val="00A275EF"/>
    <w:rsid w:val="00A2768C"/>
    <w:rsid w:val="00A27DAF"/>
    <w:rsid w:val="00A30379"/>
    <w:rsid w:val="00A30F85"/>
    <w:rsid w:val="00A3141B"/>
    <w:rsid w:val="00A3182C"/>
    <w:rsid w:val="00A318B8"/>
    <w:rsid w:val="00A31C55"/>
    <w:rsid w:val="00A31E24"/>
    <w:rsid w:val="00A32276"/>
    <w:rsid w:val="00A325FC"/>
    <w:rsid w:val="00A32648"/>
    <w:rsid w:val="00A32DCF"/>
    <w:rsid w:val="00A3412D"/>
    <w:rsid w:val="00A341B1"/>
    <w:rsid w:val="00A3435E"/>
    <w:rsid w:val="00A34377"/>
    <w:rsid w:val="00A345CC"/>
    <w:rsid w:val="00A346CB"/>
    <w:rsid w:val="00A349B6"/>
    <w:rsid w:val="00A35119"/>
    <w:rsid w:val="00A35224"/>
    <w:rsid w:val="00A357F2"/>
    <w:rsid w:val="00A36009"/>
    <w:rsid w:val="00A367F3"/>
    <w:rsid w:val="00A36A76"/>
    <w:rsid w:val="00A36D7E"/>
    <w:rsid w:val="00A37D28"/>
    <w:rsid w:val="00A37EB4"/>
    <w:rsid w:val="00A4072B"/>
    <w:rsid w:val="00A4129F"/>
    <w:rsid w:val="00A4134C"/>
    <w:rsid w:val="00A416FB"/>
    <w:rsid w:val="00A41D24"/>
    <w:rsid w:val="00A41F25"/>
    <w:rsid w:val="00A42827"/>
    <w:rsid w:val="00A43BEE"/>
    <w:rsid w:val="00A4421B"/>
    <w:rsid w:val="00A44321"/>
    <w:rsid w:val="00A44379"/>
    <w:rsid w:val="00A4440C"/>
    <w:rsid w:val="00A44883"/>
    <w:rsid w:val="00A4550B"/>
    <w:rsid w:val="00A45728"/>
    <w:rsid w:val="00A4588B"/>
    <w:rsid w:val="00A45B67"/>
    <w:rsid w:val="00A465F1"/>
    <w:rsid w:val="00A466D4"/>
    <w:rsid w:val="00A46F47"/>
    <w:rsid w:val="00A474F7"/>
    <w:rsid w:val="00A47882"/>
    <w:rsid w:val="00A50567"/>
    <w:rsid w:val="00A505B7"/>
    <w:rsid w:val="00A50B57"/>
    <w:rsid w:val="00A50EF9"/>
    <w:rsid w:val="00A51908"/>
    <w:rsid w:val="00A51964"/>
    <w:rsid w:val="00A51E4C"/>
    <w:rsid w:val="00A52315"/>
    <w:rsid w:val="00A52831"/>
    <w:rsid w:val="00A52BE9"/>
    <w:rsid w:val="00A52CD0"/>
    <w:rsid w:val="00A5395D"/>
    <w:rsid w:val="00A53BDB"/>
    <w:rsid w:val="00A53E2A"/>
    <w:rsid w:val="00A545E8"/>
    <w:rsid w:val="00A547AA"/>
    <w:rsid w:val="00A553B7"/>
    <w:rsid w:val="00A55562"/>
    <w:rsid w:val="00A55732"/>
    <w:rsid w:val="00A55AF4"/>
    <w:rsid w:val="00A55BCE"/>
    <w:rsid w:val="00A55D32"/>
    <w:rsid w:val="00A561A2"/>
    <w:rsid w:val="00A56368"/>
    <w:rsid w:val="00A5783D"/>
    <w:rsid w:val="00A57A64"/>
    <w:rsid w:val="00A57D52"/>
    <w:rsid w:val="00A57D7F"/>
    <w:rsid w:val="00A6075C"/>
    <w:rsid w:val="00A60AE7"/>
    <w:rsid w:val="00A60B02"/>
    <w:rsid w:val="00A615A0"/>
    <w:rsid w:val="00A61628"/>
    <w:rsid w:val="00A61685"/>
    <w:rsid w:val="00A6168D"/>
    <w:rsid w:val="00A61DD2"/>
    <w:rsid w:val="00A61E51"/>
    <w:rsid w:val="00A62062"/>
    <w:rsid w:val="00A62879"/>
    <w:rsid w:val="00A62897"/>
    <w:rsid w:val="00A62A7D"/>
    <w:rsid w:val="00A63C3B"/>
    <w:rsid w:val="00A646ED"/>
    <w:rsid w:val="00A648DB"/>
    <w:rsid w:val="00A64F01"/>
    <w:rsid w:val="00A651C5"/>
    <w:rsid w:val="00A65E9F"/>
    <w:rsid w:val="00A6672B"/>
    <w:rsid w:val="00A66F8C"/>
    <w:rsid w:val="00A675DE"/>
    <w:rsid w:val="00A70DC9"/>
    <w:rsid w:val="00A71B9C"/>
    <w:rsid w:val="00A71CD8"/>
    <w:rsid w:val="00A71F57"/>
    <w:rsid w:val="00A7255E"/>
    <w:rsid w:val="00A72678"/>
    <w:rsid w:val="00A7268D"/>
    <w:rsid w:val="00A72823"/>
    <w:rsid w:val="00A73265"/>
    <w:rsid w:val="00A737A8"/>
    <w:rsid w:val="00A73C20"/>
    <w:rsid w:val="00A73FFB"/>
    <w:rsid w:val="00A741CF"/>
    <w:rsid w:val="00A74A09"/>
    <w:rsid w:val="00A74F0C"/>
    <w:rsid w:val="00A74FA7"/>
    <w:rsid w:val="00A751AF"/>
    <w:rsid w:val="00A76835"/>
    <w:rsid w:val="00A76FFB"/>
    <w:rsid w:val="00A77206"/>
    <w:rsid w:val="00A77626"/>
    <w:rsid w:val="00A80486"/>
    <w:rsid w:val="00A807EC"/>
    <w:rsid w:val="00A80B34"/>
    <w:rsid w:val="00A80E02"/>
    <w:rsid w:val="00A8152A"/>
    <w:rsid w:val="00A818F7"/>
    <w:rsid w:val="00A819E5"/>
    <w:rsid w:val="00A82F82"/>
    <w:rsid w:val="00A838C3"/>
    <w:rsid w:val="00A83910"/>
    <w:rsid w:val="00A83D90"/>
    <w:rsid w:val="00A83E25"/>
    <w:rsid w:val="00A84B2A"/>
    <w:rsid w:val="00A84C20"/>
    <w:rsid w:val="00A85176"/>
    <w:rsid w:val="00A85F92"/>
    <w:rsid w:val="00A85FAC"/>
    <w:rsid w:val="00A8694A"/>
    <w:rsid w:val="00A869E8"/>
    <w:rsid w:val="00A86B5A"/>
    <w:rsid w:val="00A86CEE"/>
    <w:rsid w:val="00A8726A"/>
    <w:rsid w:val="00A87AC4"/>
    <w:rsid w:val="00A90350"/>
    <w:rsid w:val="00A907B6"/>
    <w:rsid w:val="00A9217C"/>
    <w:rsid w:val="00A92AA5"/>
    <w:rsid w:val="00A92C78"/>
    <w:rsid w:val="00A92F20"/>
    <w:rsid w:val="00A93576"/>
    <w:rsid w:val="00A93C28"/>
    <w:rsid w:val="00A945FA"/>
    <w:rsid w:val="00A94A9D"/>
    <w:rsid w:val="00A95DAB"/>
    <w:rsid w:val="00A963CC"/>
    <w:rsid w:val="00AA094D"/>
    <w:rsid w:val="00AA09B6"/>
    <w:rsid w:val="00AA0A3E"/>
    <w:rsid w:val="00AA0CBE"/>
    <w:rsid w:val="00AA125E"/>
    <w:rsid w:val="00AA1441"/>
    <w:rsid w:val="00AA162A"/>
    <w:rsid w:val="00AA1CAB"/>
    <w:rsid w:val="00AA2B29"/>
    <w:rsid w:val="00AA3468"/>
    <w:rsid w:val="00AA35D2"/>
    <w:rsid w:val="00AA37EB"/>
    <w:rsid w:val="00AA3BDC"/>
    <w:rsid w:val="00AA3CCA"/>
    <w:rsid w:val="00AA5007"/>
    <w:rsid w:val="00AA548B"/>
    <w:rsid w:val="00AA5760"/>
    <w:rsid w:val="00AA69E3"/>
    <w:rsid w:val="00AA6CBB"/>
    <w:rsid w:val="00AA7001"/>
    <w:rsid w:val="00AA78BE"/>
    <w:rsid w:val="00AA78E2"/>
    <w:rsid w:val="00AB028A"/>
    <w:rsid w:val="00AB02F2"/>
    <w:rsid w:val="00AB1251"/>
    <w:rsid w:val="00AB20AF"/>
    <w:rsid w:val="00AB2AE5"/>
    <w:rsid w:val="00AB3756"/>
    <w:rsid w:val="00AB39FE"/>
    <w:rsid w:val="00AB41B7"/>
    <w:rsid w:val="00AB4DB7"/>
    <w:rsid w:val="00AB4DEB"/>
    <w:rsid w:val="00AB5062"/>
    <w:rsid w:val="00AB5075"/>
    <w:rsid w:val="00AB6199"/>
    <w:rsid w:val="00AB6CCD"/>
    <w:rsid w:val="00AB78E5"/>
    <w:rsid w:val="00AB7A2D"/>
    <w:rsid w:val="00AC0281"/>
    <w:rsid w:val="00AC0575"/>
    <w:rsid w:val="00AC12D4"/>
    <w:rsid w:val="00AC12EC"/>
    <w:rsid w:val="00AC14F0"/>
    <w:rsid w:val="00AC152F"/>
    <w:rsid w:val="00AC16EF"/>
    <w:rsid w:val="00AC1C4D"/>
    <w:rsid w:val="00AC20A5"/>
    <w:rsid w:val="00AC2162"/>
    <w:rsid w:val="00AC25FC"/>
    <w:rsid w:val="00AC2E6B"/>
    <w:rsid w:val="00AC2EDB"/>
    <w:rsid w:val="00AC31BE"/>
    <w:rsid w:val="00AC38B2"/>
    <w:rsid w:val="00AC3920"/>
    <w:rsid w:val="00AC3F30"/>
    <w:rsid w:val="00AC3FCB"/>
    <w:rsid w:val="00AC4385"/>
    <w:rsid w:val="00AC4869"/>
    <w:rsid w:val="00AC4F2E"/>
    <w:rsid w:val="00AC5448"/>
    <w:rsid w:val="00AC5667"/>
    <w:rsid w:val="00AC56AC"/>
    <w:rsid w:val="00AC5B8E"/>
    <w:rsid w:val="00AC5CA0"/>
    <w:rsid w:val="00AC5E58"/>
    <w:rsid w:val="00AC623F"/>
    <w:rsid w:val="00AC63DB"/>
    <w:rsid w:val="00AC6421"/>
    <w:rsid w:val="00AC6569"/>
    <w:rsid w:val="00AC69FF"/>
    <w:rsid w:val="00AC6A44"/>
    <w:rsid w:val="00AC6A4D"/>
    <w:rsid w:val="00AC713D"/>
    <w:rsid w:val="00AC73E9"/>
    <w:rsid w:val="00AC748F"/>
    <w:rsid w:val="00AD0B2F"/>
    <w:rsid w:val="00AD101C"/>
    <w:rsid w:val="00AD1452"/>
    <w:rsid w:val="00AD1707"/>
    <w:rsid w:val="00AD1D50"/>
    <w:rsid w:val="00AD1D79"/>
    <w:rsid w:val="00AD1E2C"/>
    <w:rsid w:val="00AD2044"/>
    <w:rsid w:val="00AD2382"/>
    <w:rsid w:val="00AD2566"/>
    <w:rsid w:val="00AD25C8"/>
    <w:rsid w:val="00AD2723"/>
    <w:rsid w:val="00AD3556"/>
    <w:rsid w:val="00AD44D3"/>
    <w:rsid w:val="00AD46EC"/>
    <w:rsid w:val="00AD5353"/>
    <w:rsid w:val="00AD554F"/>
    <w:rsid w:val="00AD5C7E"/>
    <w:rsid w:val="00AD5FA4"/>
    <w:rsid w:val="00AD637F"/>
    <w:rsid w:val="00AD649C"/>
    <w:rsid w:val="00AD654B"/>
    <w:rsid w:val="00AD6C77"/>
    <w:rsid w:val="00AD6F5F"/>
    <w:rsid w:val="00AD7692"/>
    <w:rsid w:val="00AD77EA"/>
    <w:rsid w:val="00AD78E5"/>
    <w:rsid w:val="00AE03A4"/>
    <w:rsid w:val="00AE0639"/>
    <w:rsid w:val="00AE0B5F"/>
    <w:rsid w:val="00AE0BCC"/>
    <w:rsid w:val="00AE0F0E"/>
    <w:rsid w:val="00AE1200"/>
    <w:rsid w:val="00AE18C8"/>
    <w:rsid w:val="00AE2051"/>
    <w:rsid w:val="00AE2465"/>
    <w:rsid w:val="00AE3D9A"/>
    <w:rsid w:val="00AE3FA7"/>
    <w:rsid w:val="00AE46DE"/>
    <w:rsid w:val="00AE4D70"/>
    <w:rsid w:val="00AE5132"/>
    <w:rsid w:val="00AE55AE"/>
    <w:rsid w:val="00AE55E4"/>
    <w:rsid w:val="00AE56A9"/>
    <w:rsid w:val="00AE65F6"/>
    <w:rsid w:val="00AE6B21"/>
    <w:rsid w:val="00AE7FEF"/>
    <w:rsid w:val="00AF00F7"/>
    <w:rsid w:val="00AF0412"/>
    <w:rsid w:val="00AF08FF"/>
    <w:rsid w:val="00AF101E"/>
    <w:rsid w:val="00AF1689"/>
    <w:rsid w:val="00AF17DB"/>
    <w:rsid w:val="00AF1A54"/>
    <w:rsid w:val="00AF1DDC"/>
    <w:rsid w:val="00AF1FF3"/>
    <w:rsid w:val="00AF260E"/>
    <w:rsid w:val="00AF2753"/>
    <w:rsid w:val="00AF27DD"/>
    <w:rsid w:val="00AF3376"/>
    <w:rsid w:val="00AF35BC"/>
    <w:rsid w:val="00AF3616"/>
    <w:rsid w:val="00AF383F"/>
    <w:rsid w:val="00AF3923"/>
    <w:rsid w:val="00AF3BBA"/>
    <w:rsid w:val="00AF405B"/>
    <w:rsid w:val="00AF418D"/>
    <w:rsid w:val="00AF444B"/>
    <w:rsid w:val="00AF4E67"/>
    <w:rsid w:val="00AF5EE9"/>
    <w:rsid w:val="00AF6D9B"/>
    <w:rsid w:val="00AF6DAA"/>
    <w:rsid w:val="00AF7090"/>
    <w:rsid w:val="00AF72F1"/>
    <w:rsid w:val="00AF7484"/>
    <w:rsid w:val="00B00108"/>
    <w:rsid w:val="00B00DCA"/>
    <w:rsid w:val="00B00FA3"/>
    <w:rsid w:val="00B01AE8"/>
    <w:rsid w:val="00B01BA0"/>
    <w:rsid w:val="00B01CA3"/>
    <w:rsid w:val="00B01E1D"/>
    <w:rsid w:val="00B024E7"/>
    <w:rsid w:val="00B03060"/>
    <w:rsid w:val="00B030B7"/>
    <w:rsid w:val="00B031D6"/>
    <w:rsid w:val="00B0378B"/>
    <w:rsid w:val="00B038C0"/>
    <w:rsid w:val="00B03A0C"/>
    <w:rsid w:val="00B03EA0"/>
    <w:rsid w:val="00B0495F"/>
    <w:rsid w:val="00B04AF5"/>
    <w:rsid w:val="00B04CD2"/>
    <w:rsid w:val="00B05BBC"/>
    <w:rsid w:val="00B0621B"/>
    <w:rsid w:val="00B0639A"/>
    <w:rsid w:val="00B06957"/>
    <w:rsid w:val="00B07715"/>
    <w:rsid w:val="00B10502"/>
    <w:rsid w:val="00B10947"/>
    <w:rsid w:val="00B10AE5"/>
    <w:rsid w:val="00B10CA9"/>
    <w:rsid w:val="00B10E39"/>
    <w:rsid w:val="00B11C28"/>
    <w:rsid w:val="00B11F3A"/>
    <w:rsid w:val="00B12186"/>
    <w:rsid w:val="00B12B19"/>
    <w:rsid w:val="00B12BBE"/>
    <w:rsid w:val="00B12C80"/>
    <w:rsid w:val="00B12EDF"/>
    <w:rsid w:val="00B13B01"/>
    <w:rsid w:val="00B14E9B"/>
    <w:rsid w:val="00B15775"/>
    <w:rsid w:val="00B158AF"/>
    <w:rsid w:val="00B15D3D"/>
    <w:rsid w:val="00B16286"/>
    <w:rsid w:val="00B164F2"/>
    <w:rsid w:val="00B1659E"/>
    <w:rsid w:val="00B1691B"/>
    <w:rsid w:val="00B16ADE"/>
    <w:rsid w:val="00B1738E"/>
    <w:rsid w:val="00B174BD"/>
    <w:rsid w:val="00B1767C"/>
    <w:rsid w:val="00B17829"/>
    <w:rsid w:val="00B17944"/>
    <w:rsid w:val="00B17952"/>
    <w:rsid w:val="00B20321"/>
    <w:rsid w:val="00B20B0C"/>
    <w:rsid w:val="00B20B0F"/>
    <w:rsid w:val="00B20B54"/>
    <w:rsid w:val="00B20D80"/>
    <w:rsid w:val="00B216AD"/>
    <w:rsid w:val="00B21B72"/>
    <w:rsid w:val="00B21EFE"/>
    <w:rsid w:val="00B221A3"/>
    <w:rsid w:val="00B223A3"/>
    <w:rsid w:val="00B22634"/>
    <w:rsid w:val="00B2266A"/>
    <w:rsid w:val="00B226C4"/>
    <w:rsid w:val="00B22B12"/>
    <w:rsid w:val="00B23D37"/>
    <w:rsid w:val="00B242BF"/>
    <w:rsid w:val="00B24476"/>
    <w:rsid w:val="00B244B8"/>
    <w:rsid w:val="00B2479C"/>
    <w:rsid w:val="00B24E6B"/>
    <w:rsid w:val="00B25472"/>
    <w:rsid w:val="00B258A3"/>
    <w:rsid w:val="00B25A36"/>
    <w:rsid w:val="00B2650A"/>
    <w:rsid w:val="00B2650D"/>
    <w:rsid w:val="00B26889"/>
    <w:rsid w:val="00B26A27"/>
    <w:rsid w:val="00B26B6B"/>
    <w:rsid w:val="00B26DE7"/>
    <w:rsid w:val="00B26E6A"/>
    <w:rsid w:val="00B2710C"/>
    <w:rsid w:val="00B277C1"/>
    <w:rsid w:val="00B27F76"/>
    <w:rsid w:val="00B30102"/>
    <w:rsid w:val="00B3022C"/>
    <w:rsid w:val="00B307EF"/>
    <w:rsid w:val="00B30B40"/>
    <w:rsid w:val="00B30E23"/>
    <w:rsid w:val="00B31383"/>
    <w:rsid w:val="00B316A1"/>
    <w:rsid w:val="00B31B72"/>
    <w:rsid w:val="00B31CBA"/>
    <w:rsid w:val="00B32FE4"/>
    <w:rsid w:val="00B331B6"/>
    <w:rsid w:val="00B33317"/>
    <w:rsid w:val="00B336BB"/>
    <w:rsid w:val="00B33724"/>
    <w:rsid w:val="00B33A50"/>
    <w:rsid w:val="00B33B86"/>
    <w:rsid w:val="00B33CEA"/>
    <w:rsid w:val="00B33E8C"/>
    <w:rsid w:val="00B342C1"/>
    <w:rsid w:val="00B34A67"/>
    <w:rsid w:val="00B356BE"/>
    <w:rsid w:val="00B359A6"/>
    <w:rsid w:val="00B35CA9"/>
    <w:rsid w:val="00B35D1D"/>
    <w:rsid w:val="00B368A4"/>
    <w:rsid w:val="00B371F6"/>
    <w:rsid w:val="00B372D3"/>
    <w:rsid w:val="00B3743D"/>
    <w:rsid w:val="00B37E49"/>
    <w:rsid w:val="00B40176"/>
    <w:rsid w:val="00B40401"/>
    <w:rsid w:val="00B4097F"/>
    <w:rsid w:val="00B41783"/>
    <w:rsid w:val="00B42178"/>
    <w:rsid w:val="00B4244B"/>
    <w:rsid w:val="00B426CF"/>
    <w:rsid w:val="00B4297D"/>
    <w:rsid w:val="00B42E07"/>
    <w:rsid w:val="00B42E66"/>
    <w:rsid w:val="00B42EFD"/>
    <w:rsid w:val="00B43372"/>
    <w:rsid w:val="00B44706"/>
    <w:rsid w:val="00B448DB"/>
    <w:rsid w:val="00B449BA"/>
    <w:rsid w:val="00B45917"/>
    <w:rsid w:val="00B45E4A"/>
    <w:rsid w:val="00B46B68"/>
    <w:rsid w:val="00B4740B"/>
    <w:rsid w:val="00B4758D"/>
    <w:rsid w:val="00B47646"/>
    <w:rsid w:val="00B5024D"/>
    <w:rsid w:val="00B5041F"/>
    <w:rsid w:val="00B505E9"/>
    <w:rsid w:val="00B50A15"/>
    <w:rsid w:val="00B51203"/>
    <w:rsid w:val="00B514E9"/>
    <w:rsid w:val="00B51C6F"/>
    <w:rsid w:val="00B528C1"/>
    <w:rsid w:val="00B52AFD"/>
    <w:rsid w:val="00B53773"/>
    <w:rsid w:val="00B537D0"/>
    <w:rsid w:val="00B53E27"/>
    <w:rsid w:val="00B53EA7"/>
    <w:rsid w:val="00B53F08"/>
    <w:rsid w:val="00B540BB"/>
    <w:rsid w:val="00B54A26"/>
    <w:rsid w:val="00B54F47"/>
    <w:rsid w:val="00B5552C"/>
    <w:rsid w:val="00B555CE"/>
    <w:rsid w:val="00B55E1D"/>
    <w:rsid w:val="00B56400"/>
    <w:rsid w:val="00B56CBA"/>
    <w:rsid w:val="00B56E4D"/>
    <w:rsid w:val="00B5702F"/>
    <w:rsid w:val="00B619FA"/>
    <w:rsid w:val="00B61C86"/>
    <w:rsid w:val="00B61ED2"/>
    <w:rsid w:val="00B61FF5"/>
    <w:rsid w:val="00B62C57"/>
    <w:rsid w:val="00B63204"/>
    <w:rsid w:val="00B638E5"/>
    <w:rsid w:val="00B63F61"/>
    <w:rsid w:val="00B640AE"/>
    <w:rsid w:val="00B64851"/>
    <w:rsid w:val="00B64977"/>
    <w:rsid w:val="00B65155"/>
    <w:rsid w:val="00B65D8E"/>
    <w:rsid w:val="00B65EB0"/>
    <w:rsid w:val="00B6640F"/>
    <w:rsid w:val="00B66504"/>
    <w:rsid w:val="00B66856"/>
    <w:rsid w:val="00B66CDA"/>
    <w:rsid w:val="00B67546"/>
    <w:rsid w:val="00B67B81"/>
    <w:rsid w:val="00B67D3F"/>
    <w:rsid w:val="00B67FF5"/>
    <w:rsid w:val="00B7004F"/>
    <w:rsid w:val="00B70CDC"/>
    <w:rsid w:val="00B7162D"/>
    <w:rsid w:val="00B7184B"/>
    <w:rsid w:val="00B723E9"/>
    <w:rsid w:val="00B729E9"/>
    <w:rsid w:val="00B72B5B"/>
    <w:rsid w:val="00B731BD"/>
    <w:rsid w:val="00B740E0"/>
    <w:rsid w:val="00B7413A"/>
    <w:rsid w:val="00B74D9B"/>
    <w:rsid w:val="00B74F1C"/>
    <w:rsid w:val="00B7514D"/>
    <w:rsid w:val="00B7522F"/>
    <w:rsid w:val="00B754E8"/>
    <w:rsid w:val="00B756F0"/>
    <w:rsid w:val="00B75853"/>
    <w:rsid w:val="00B75F07"/>
    <w:rsid w:val="00B77272"/>
    <w:rsid w:val="00B77909"/>
    <w:rsid w:val="00B80865"/>
    <w:rsid w:val="00B80F2E"/>
    <w:rsid w:val="00B81555"/>
    <w:rsid w:val="00B815CD"/>
    <w:rsid w:val="00B818C3"/>
    <w:rsid w:val="00B8205B"/>
    <w:rsid w:val="00B82356"/>
    <w:rsid w:val="00B825C0"/>
    <w:rsid w:val="00B82777"/>
    <w:rsid w:val="00B82A36"/>
    <w:rsid w:val="00B831DA"/>
    <w:rsid w:val="00B84333"/>
    <w:rsid w:val="00B84398"/>
    <w:rsid w:val="00B84A9A"/>
    <w:rsid w:val="00B84BF9"/>
    <w:rsid w:val="00B851D8"/>
    <w:rsid w:val="00B85661"/>
    <w:rsid w:val="00B85DB7"/>
    <w:rsid w:val="00B85EBC"/>
    <w:rsid w:val="00B86089"/>
    <w:rsid w:val="00B862AD"/>
    <w:rsid w:val="00B8650C"/>
    <w:rsid w:val="00B8661A"/>
    <w:rsid w:val="00B868B5"/>
    <w:rsid w:val="00B8741E"/>
    <w:rsid w:val="00B8755E"/>
    <w:rsid w:val="00B876C0"/>
    <w:rsid w:val="00B877B9"/>
    <w:rsid w:val="00B87F56"/>
    <w:rsid w:val="00B90418"/>
    <w:rsid w:val="00B90ACB"/>
    <w:rsid w:val="00B9192F"/>
    <w:rsid w:val="00B91D50"/>
    <w:rsid w:val="00B91D6B"/>
    <w:rsid w:val="00B92C3B"/>
    <w:rsid w:val="00B9340F"/>
    <w:rsid w:val="00B9357D"/>
    <w:rsid w:val="00B93BEC"/>
    <w:rsid w:val="00B94151"/>
    <w:rsid w:val="00B9425F"/>
    <w:rsid w:val="00B94418"/>
    <w:rsid w:val="00B94600"/>
    <w:rsid w:val="00B94BD6"/>
    <w:rsid w:val="00B95357"/>
    <w:rsid w:val="00B9590F"/>
    <w:rsid w:val="00B96448"/>
    <w:rsid w:val="00B96554"/>
    <w:rsid w:val="00B96852"/>
    <w:rsid w:val="00B9692A"/>
    <w:rsid w:val="00B96A0B"/>
    <w:rsid w:val="00B96E32"/>
    <w:rsid w:val="00B96F62"/>
    <w:rsid w:val="00B97775"/>
    <w:rsid w:val="00B97931"/>
    <w:rsid w:val="00B97937"/>
    <w:rsid w:val="00B97C05"/>
    <w:rsid w:val="00B97CAF"/>
    <w:rsid w:val="00BA03BD"/>
    <w:rsid w:val="00BA05E1"/>
    <w:rsid w:val="00BA05ED"/>
    <w:rsid w:val="00BA181D"/>
    <w:rsid w:val="00BA1AC7"/>
    <w:rsid w:val="00BA1B2C"/>
    <w:rsid w:val="00BA1BA8"/>
    <w:rsid w:val="00BA2302"/>
    <w:rsid w:val="00BA2872"/>
    <w:rsid w:val="00BA2D87"/>
    <w:rsid w:val="00BA3834"/>
    <w:rsid w:val="00BA477B"/>
    <w:rsid w:val="00BA4AF7"/>
    <w:rsid w:val="00BA4C32"/>
    <w:rsid w:val="00BA4DE9"/>
    <w:rsid w:val="00BA4E29"/>
    <w:rsid w:val="00BA4EB2"/>
    <w:rsid w:val="00BA58BB"/>
    <w:rsid w:val="00BA5C15"/>
    <w:rsid w:val="00BA6788"/>
    <w:rsid w:val="00BA73F4"/>
    <w:rsid w:val="00BA754B"/>
    <w:rsid w:val="00BB0AB7"/>
    <w:rsid w:val="00BB0CB4"/>
    <w:rsid w:val="00BB14D9"/>
    <w:rsid w:val="00BB1743"/>
    <w:rsid w:val="00BB1B1C"/>
    <w:rsid w:val="00BB1C7E"/>
    <w:rsid w:val="00BB1F36"/>
    <w:rsid w:val="00BB2150"/>
    <w:rsid w:val="00BB328C"/>
    <w:rsid w:val="00BB4058"/>
    <w:rsid w:val="00BB4A8D"/>
    <w:rsid w:val="00BB584C"/>
    <w:rsid w:val="00BB5C32"/>
    <w:rsid w:val="00BB6428"/>
    <w:rsid w:val="00BB6B8F"/>
    <w:rsid w:val="00BB6DBE"/>
    <w:rsid w:val="00BB7533"/>
    <w:rsid w:val="00BB760E"/>
    <w:rsid w:val="00BB7964"/>
    <w:rsid w:val="00BB7C0C"/>
    <w:rsid w:val="00BC012A"/>
    <w:rsid w:val="00BC02FE"/>
    <w:rsid w:val="00BC03DA"/>
    <w:rsid w:val="00BC0D46"/>
    <w:rsid w:val="00BC1029"/>
    <w:rsid w:val="00BC10F3"/>
    <w:rsid w:val="00BC16A7"/>
    <w:rsid w:val="00BC16B1"/>
    <w:rsid w:val="00BC1747"/>
    <w:rsid w:val="00BC1B16"/>
    <w:rsid w:val="00BC1EAE"/>
    <w:rsid w:val="00BC2B9C"/>
    <w:rsid w:val="00BC2BAD"/>
    <w:rsid w:val="00BC2EA4"/>
    <w:rsid w:val="00BC3043"/>
    <w:rsid w:val="00BC344D"/>
    <w:rsid w:val="00BC36EA"/>
    <w:rsid w:val="00BC384E"/>
    <w:rsid w:val="00BC3F46"/>
    <w:rsid w:val="00BC4E58"/>
    <w:rsid w:val="00BC55BD"/>
    <w:rsid w:val="00BC563A"/>
    <w:rsid w:val="00BC5CC6"/>
    <w:rsid w:val="00BC5E8E"/>
    <w:rsid w:val="00BC6075"/>
    <w:rsid w:val="00BC6760"/>
    <w:rsid w:val="00BC67BF"/>
    <w:rsid w:val="00BC68E3"/>
    <w:rsid w:val="00BC6D11"/>
    <w:rsid w:val="00BC7323"/>
    <w:rsid w:val="00BC7ACC"/>
    <w:rsid w:val="00BC7B94"/>
    <w:rsid w:val="00BC7F02"/>
    <w:rsid w:val="00BD00B2"/>
    <w:rsid w:val="00BD066B"/>
    <w:rsid w:val="00BD06C0"/>
    <w:rsid w:val="00BD09D1"/>
    <w:rsid w:val="00BD13F6"/>
    <w:rsid w:val="00BD1B86"/>
    <w:rsid w:val="00BD2082"/>
    <w:rsid w:val="00BD2425"/>
    <w:rsid w:val="00BD2923"/>
    <w:rsid w:val="00BD29D9"/>
    <w:rsid w:val="00BD2E0A"/>
    <w:rsid w:val="00BD300E"/>
    <w:rsid w:val="00BD384A"/>
    <w:rsid w:val="00BD45A5"/>
    <w:rsid w:val="00BD47EC"/>
    <w:rsid w:val="00BD50D5"/>
    <w:rsid w:val="00BD50DB"/>
    <w:rsid w:val="00BD55D9"/>
    <w:rsid w:val="00BD5D90"/>
    <w:rsid w:val="00BD62BE"/>
    <w:rsid w:val="00BD6B8E"/>
    <w:rsid w:val="00BD6CE7"/>
    <w:rsid w:val="00BD6D66"/>
    <w:rsid w:val="00BD6F66"/>
    <w:rsid w:val="00BD7CBB"/>
    <w:rsid w:val="00BE107D"/>
    <w:rsid w:val="00BE1B15"/>
    <w:rsid w:val="00BE20E5"/>
    <w:rsid w:val="00BE25CF"/>
    <w:rsid w:val="00BE277D"/>
    <w:rsid w:val="00BE2971"/>
    <w:rsid w:val="00BE3492"/>
    <w:rsid w:val="00BE34A9"/>
    <w:rsid w:val="00BE37B8"/>
    <w:rsid w:val="00BE38A0"/>
    <w:rsid w:val="00BE39FE"/>
    <w:rsid w:val="00BE4408"/>
    <w:rsid w:val="00BE474D"/>
    <w:rsid w:val="00BE4D8D"/>
    <w:rsid w:val="00BE4E9D"/>
    <w:rsid w:val="00BE5083"/>
    <w:rsid w:val="00BE574D"/>
    <w:rsid w:val="00BE5CE6"/>
    <w:rsid w:val="00BE658C"/>
    <w:rsid w:val="00BE6B73"/>
    <w:rsid w:val="00BE717D"/>
    <w:rsid w:val="00BE7549"/>
    <w:rsid w:val="00BE7C5A"/>
    <w:rsid w:val="00BE7E8B"/>
    <w:rsid w:val="00BF0AC4"/>
    <w:rsid w:val="00BF130F"/>
    <w:rsid w:val="00BF27C5"/>
    <w:rsid w:val="00BF29AE"/>
    <w:rsid w:val="00BF2ED5"/>
    <w:rsid w:val="00BF3D2B"/>
    <w:rsid w:val="00BF3DF6"/>
    <w:rsid w:val="00BF5BD1"/>
    <w:rsid w:val="00BF63CA"/>
    <w:rsid w:val="00BF66EA"/>
    <w:rsid w:val="00BF6E76"/>
    <w:rsid w:val="00BF767C"/>
    <w:rsid w:val="00BF7A96"/>
    <w:rsid w:val="00C00211"/>
    <w:rsid w:val="00C009B2"/>
    <w:rsid w:val="00C01175"/>
    <w:rsid w:val="00C01A16"/>
    <w:rsid w:val="00C026EB"/>
    <w:rsid w:val="00C02E78"/>
    <w:rsid w:val="00C02EB5"/>
    <w:rsid w:val="00C032A2"/>
    <w:rsid w:val="00C03B36"/>
    <w:rsid w:val="00C047ED"/>
    <w:rsid w:val="00C04984"/>
    <w:rsid w:val="00C04D75"/>
    <w:rsid w:val="00C04EB6"/>
    <w:rsid w:val="00C050EA"/>
    <w:rsid w:val="00C051E1"/>
    <w:rsid w:val="00C05561"/>
    <w:rsid w:val="00C05B20"/>
    <w:rsid w:val="00C05F9A"/>
    <w:rsid w:val="00C06286"/>
    <w:rsid w:val="00C06545"/>
    <w:rsid w:val="00C06BFD"/>
    <w:rsid w:val="00C07B8B"/>
    <w:rsid w:val="00C07CF7"/>
    <w:rsid w:val="00C10204"/>
    <w:rsid w:val="00C10655"/>
    <w:rsid w:val="00C108D6"/>
    <w:rsid w:val="00C10AD9"/>
    <w:rsid w:val="00C10B6C"/>
    <w:rsid w:val="00C10C3F"/>
    <w:rsid w:val="00C1100E"/>
    <w:rsid w:val="00C1140A"/>
    <w:rsid w:val="00C11AAA"/>
    <w:rsid w:val="00C11EF3"/>
    <w:rsid w:val="00C12092"/>
    <w:rsid w:val="00C1226F"/>
    <w:rsid w:val="00C12919"/>
    <w:rsid w:val="00C1294F"/>
    <w:rsid w:val="00C12A22"/>
    <w:rsid w:val="00C12EDC"/>
    <w:rsid w:val="00C133A6"/>
    <w:rsid w:val="00C136C5"/>
    <w:rsid w:val="00C1393F"/>
    <w:rsid w:val="00C1399B"/>
    <w:rsid w:val="00C13E4D"/>
    <w:rsid w:val="00C14020"/>
    <w:rsid w:val="00C140B4"/>
    <w:rsid w:val="00C14131"/>
    <w:rsid w:val="00C14949"/>
    <w:rsid w:val="00C15438"/>
    <w:rsid w:val="00C15F34"/>
    <w:rsid w:val="00C16393"/>
    <w:rsid w:val="00C1643B"/>
    <w:rsid w:val="00C16A88"/>
    <w:rsid w:val="00C17A2A"/>
    <w:rsid w:val="00C21311"/>
    <w:rsid w:val="00C215E4"/>
    <w:rsid w:val="00C21D34"/>
    <w:rsid w:val="00C220E3"/>
    <w:rsid w:val="00C2222B"/>
    <w:rsid w:val="00C230CF"/>
    <w:rsid w:val="00C2408D"/>
    <w:rsid w:val="00C241E1"/>
    <w:rsid w:val="00C2435C"/>
    <w:rsid w:val="00C24B27"/>
    <w:rsid w:val="00C24B8D"/>
    <w:rsid w:val="00C24F65"/>
    <w:rsid w:val="00C2500D"/>
    <w:rsid w:val="00C25174"/>
    <w:rsid w:val="00C2587E"/>
    <w:rsid w:val="00C259A3"/>
    <w:rsid w:val="00C25A0E"/>
    <w:rsid w:val="00C25C18"/>
    <w:rsid w:val="00C25FC3"/>
    <w:rsid w:val="00C267F4"/>
    <w:rsid w:val="00C309E4"/>
    <w:rsid w:val="00C3131D"/>
    <w:rsid w:val="00C31411"/>
    <w:rsid w:val="00C31555"/>
    <w:rsid w:val="00C31D5A"/>
    <w:rsid w:val="00C325B5"/>
    <w:rsid w:val="00C32644"/>
    <w:rsid w:val="00C329AA"/>
    <w:rsid w:val="00C32EB3"/>
    <w:rsid w:val="00C332F1"/>
    <w:rsid w:val="00C33335"/>
    <w:rsid w:val="00C33A21"/>
    <w:rsid w:val="00C33D4D"/>
    <w:rsid w:val="00C3419C"/>
    <w:rsid w:val="00C344B3"/>
    <w:rsid w:val="00C346C7"/>
    <w:rsid w:val="00C34CC3"/>
    <w:rsid w:val="00C3537C"/>
    <w:rsid w:val="00C3582A"/>
    <w:rsid w:val="00C35D91"/>
    <w:rsid w:val="00C36911"/>
    <w:rsid w:val="00C36B40"/>
    <w:rsid w:val="00C36DEE"/>
    <w:rsid w:val="00C37088"/>
    <w:rsid w:val="00C3765E"/>
    <w:rsid w:val="00C4006B"/>
    <w:rsid w:val="00C40245"/>
    <w:rsid w:val="00C4039E"/>
    <w:rsid w:val="00C413A3"/>
    <w:rsid w:val="00C4149A"/>
    <w:rsid w:val="00C42018"/>
    <w:rsid w:val="00C4288F"/>
    <w:rsid w:val="00C42B23"/>
    <w:rsid w:val="00C42C04"/>
    <w:rsid w:val="00C42D90"/>
    <w:rsid w:val="00C431A4"/>
    <w:rsid w:val="00C434CE"/>
    <w:rsid w:val="00C444A8"/>
    <w:rsid w:val="00C44A5B"/>
    <w:rsid w:val="00C44B56"/>
    <w:rsid w:val="00C45418"/>
    <w:rsid w:val="00C455FC"/>
    <w:rsid w:val="00C459E1"/>
    <w:rsid w:val="00C45B27"/>
    <w:rsid w:val="00C45E66"/>
    <w:rsid w:val="00C4609B"/>
    <w:rsid w:val="00C460F3"/>
    <w:rsid w:val="00C46AF1"/>
    <w:rsid w:val="00C47A5F"/>
    <w:rsid w:val="00C47E80"/>
    <w:rsid w:val="00C50AF9"/>
    <w:rsid w:val="00C50E74"/>
    <w:rsid w:val="00C51273"/>
    <w:rsid w:val="00C517CF"/>
    <w:rsid w:val="00C51B59"/>
    <w:rsid w:val="00C53BE0"/>
    <w:rsid w:val="00C543E3"/>
    <w:rsid w:val="00C54D9B"/>
    <w:rsid w:val="00C556AF"/>
    <w:rsid w:val="00C55B76"/>
    <w:rsid w:val="00C55E77"/>
    <w:rsid w:val="00C55FB1"/>
    <w:rsid w:val="00C567B0"/>
    <w:rsid w:val="00C56B6D"/>
    <w:rsid w:val="00C56CD7"/>
    <w:rsid w:val="00C57A8B"/>
    <w:rsid w:val="00C57B6E"/>
    <w:rsid w:val="00C57CFB"/>
    <w:rsid w:val="00C6056D"/>
    <w:rsid w:val="00C60827"/>
    <w:rsid w:val="00C61893"/>
    <w:rsid w:val="00C62688"/>
    <w:rsid w:val="00C62F08"/>
    <w:rsid w:val="00C6362B"/>
    <w:rsid w:val="00C636B7"/>
    <w:rsid w:val="00C64084"/>
    <w:rsid w:val="00C64257"/>
    <w:rsid w:val="00C65202"/>
    <w:rsid w:val="00C65CEC"/>
    <w:rsid w:val="00C65F8F"/>
    <w:rsid w:val="00C6642C"/>
    <w:rsid w:val="00C66D0E"/>
    <w:rsid w:val="00C66DF5"/>
    <w:rsid w:val="00C66E98"/>
    <w:rsid w:val="00C67838"/>
    <w:rsid w:val="00C70203"/>
    <w:rsid w:val="00C70D13"/>
    <w:rsid w:val="00C70D41"/>
    <w:rsid w:val="00C7151D"/>
    <w:rsid w:val="00C715D8"/>
    <w:rsid w:val="00C71703"/>
    <w:rsid w:val="00C71BC6"/>
    <w:rsid w:val="00C71DA5"/>
    <w:rsid w:val="00C725A0"/>
    <w:rsid w:val="00C72C22"/>
    <w:rsid w:val="00C72CC0"/>
    <w:rsid w:val="00C73663"/>
    <w:rsid w:val="00C73D9E"/>
    <w:rsid w:val="00C7446E"/>
    <w:rsid w:val="00C748AD"/>
    <w:rsid w:val="00C74AA3"/>
    <w:rsid w:val="00C74C24"/>
    <w:rsid w:val="00C75070"/>
    <w:rsid w:val="00C752CC"/>
    <w:rsid w:val="00C7536C"/>
    <w:rsid w:val="00C75670"/>
    <w:rsid w:val="00C75784"/>
    <w:rsid w:val="00C75DB9"/>
    <w:rsid w:val="00C76108"/>
    <w:rsid w:val="00C764F6"/>
    <w:rsid w:val="00C76F2B"/>
    <w:rsid w:val="00C777D9"/>
    <w:rsid w:val="00C81260"/>
    <w:rsid w:val="00C81720"/>
    <w:rsid w:val="00C81783"/>
    <w:rsid w:val="00C831BC"/>
    <w:rsid w:val="00C8395C"/>
    <w:rsid w:val="00C8426D"/>
    <w:rsid w:val="00C84C2B"/>
    <w:rsid w:val="00C84EFD"/>
    <w:rsid w:val="00C85331"/>
    <w:rsid w:val="00C855D5"/>
    <w:rsid w:val="00C85DCC"/>
    <w:rsid w:val="00C864EA"/>
    <w:rsid w:val="00C864F1"/>
    <w:rsid w:val="00C86560"/>
    <w:rsid w:val="00C86618"/>
    <w:rsid w:val="00C86DE4"/>
    <w:rsid w:val="00C8797C"/>
    <w:rsid w:val="00C904F4"/>
    <w:rsid w:val="00C905B2"/>
    <w:rsid w:val="00C90628"/>
    <w:rsid w:val="00C90B4F"/>
    <w:rsid w:val="00C91582"/>
    <w:rsid w:val="00C91D66"/>
    <w:rsid w:val="00C92317"/>
    <w:rsid w:val="00C925FE"/>
    <w:rsid w:val="00C931E9"/>
    <w:rsid w:val="00C93289"/>
    <w:rsid w:val="00C93407"/>
    <w:rsid w:val="00C934FD"/>
    <w:rsid w:val="00C93A1C"/>
    <w:rsid w:val="00C93E4F"/>
    <w:rsid w:val="00C942D8"/>
    <w:rsid w:val="00C94B43"/>
    <w:rsid w:val="00C94DF4"/>
    <w:rsid w:val="00C9529E"/>
    <w:rsid w:val="00C95479"/>
    <w:rsid w:val="00C954E4"/>
    <w:rsid w:val="00C9558E"/>
    <w:rsid w:val="00C9566B"/>
    <w:rsid w:val="00C95881"/>
    <w:rsid w:val="00C95980"/>
    <w:rsid w:val="00C960E6"/>
    <w:rsid w:val="00C961E9"/>
    <w:rsid w:val="00C9657E"/>
    <w:rsid w:val="00C96773"/>
    <w:rsid w:val="00C9691D"/>
    <w:rsid w:val="00C96FD3"/>
    <w:rsid w:val="00C97445"/>
    <w:rsid w:val="00C97475"/>
    <w:rsid w:val="00C97A58"/>
    <w:rsid w:val="00C97AD8"/>
    <w:rsid w:val="00C97CAE"/>
    <w:rsid w:val="00C97E97"/>
    <w:rsid w:val="00CA02CD"/>
    <w:rsid w:val="00CA04D3"/>
    <w:rsid w:val="00CA0E15"/>
    <w:rsid w:val="00CA0E75"/>
    <w:rsid w:val="00CA1798"/>
    <w:rsid w:val="00CA20ED"/>
    <w:rsid w:val="00CA2375"/>
    <w:rsid w:val="00CA303B"/>
    <w:rsid w:val="00CA3050"/>
    <w:rsid w:val="00CA4188"/>
    <w:rsid w:val="00CA4DFA"/>
    <w:rsid w:val="00CA5069"/>
    <w:rsid w:val="00CA58F5"/>
    <w:rsid w:val="00CA58FB"/>
    <w:rsid w:val="00CA5ED7"/>
    <w:rsid w:val="00CA6102"/>
    <w:rsid w:val="00CA620A"/>
    <w:rsid w:val="00CA62F5"/>
    <w:rsid w:val="00CA6B83"/>
    <w:rsid w:val="00CA6EE4"/>
    <w:rsid w:val="00CA726F"/>
    <w:rsid w:val="00CA7573"/>
    <w:rsid w:val="00CA7722"/>
    <w:rsid w:val="00CB0044"/>
    <w:rsid w:val="00CB014A"/>
    <w:rsid w:val="00CB18B8"/>
    <w:rsid w:val="00CB1D05"/>
    <w:rsid w:val="00CB1E77"/>
    <w:rsid w:val="00CB1FF3"/>
    <w:rsid w:val="00CB24E3"/>
    <w:rsid w:val="00CB34C1"/>
    <w:rsid w:val="00CB361C"/>
    <w:rsid w:val="00CB3908"/>
    <w:rsid w:val="00CB3AB7"/>
    <w:rsid w:val="00CB40B1"/>
    <w:rsid w:val="00CB4877"/>
    <w:rsid w:val="00CB4EA9"/>
    <w:rsid w:val="00CB4FDC"/>
    <w:rsid w:val="00CB53E8"/>
    <w:rsid w:val="00CB57F0"/>
    <w:rsid w:val="00CB59EA"/>
    <w:rsid w:val="00CB5A72"/>
    <w:rsid w:val="00CB5BA0"/>
    <w:rsid w:val="00CB60F9"/>
    <w:rsid w:val="00CB6795"/>
    <w:rsid w:val="00CB6D16"/>
    <w:rsid w:val="00CB6F88"/>
    <w:rsid w:val="00CB71D8"/>
    <w:rsid w:val="00CB7410"/>
    <w:rsid w:val="00CB76B3"/>
    <w:rsid w:val="00CB77F6"/>
    <w:rsid w:val="00CB7A33"/>
    <w:rsid w:val="00CB7FCC"/>
    <w:rsid w:val="00CC037B"/>
    <w:rsid w:val="00CC071E"/>
    <w:rsid w:val="00CC2A5F"/>
    <w:rsid w:val="00CC2F5B"/>
    <w:rsid w:val="00CC3541"/>
    <w:rsid w:val="00CC45BC"/>
    <w:rsid w:val="00CC4D4F"/>
    <w:rsid w:val="00CC5965"/>
    <w:rsid w:val="00CC5CA0"/>
    <w:rsid w:val="00CC61B6"/>
    <w:rsid w:val="00CC63F9"/>
    <w:rsid w:val="00CC68C4"/>
    <w:rsid w:val="00CC6A25"/>
    <w:rsid w:val="00CC7012"/>
    <w:rsid w:val="00CC73C2"/>
    <w:rsid w:val="00CC7612"/>
    <w:rsid w:val="00CC761D"/>
    <w:rsid w:val="00CD037B"/>
    <w:rsid w:val="00CD0C69"/>
    <w:rsid w:val="00CD1021"/>
    <w:rsid w:val="00CD1172"/>
    <w:rsid w:val="00CD1316"/>
    <w:rsid w:val="00CD1CF6"/>
    <w:rsid w:val="00CD2319"/>
    <w:rsid w:val="00CD286E"/>
    <w:rsid w:val="00CD33D2"/>
    <w:rsid w:val="00CD35D2"/>
    <w:rsid w:val="00CD3DEE"/>
    <w:rsid w:val="00CD4BD3"/>
    <w:rsid w:val="00CD509C"/>
    <w:rsid w:val="00CD5491"/>
    <w:rsid w:val="00CD61AA"/>
    <w:rsid w:val="00CD62D9"/>
    <w:rsid w:val="00CD7022"/>
    <w:rsid w:val="00CD7609"/>
    <w:rsid w:val="00CD79C2"/>
    <w:rsid w:val="00CD7B67"/>
    <w:rsid w:val="00CD7CD4"/>
    <w:rsid w:val="00CD7F97"/>
    <w:rsid w:val="00CE0088"/>
    <w:rsid w:val="00CE09AE"/>
    <w:rsid w:val="00CE0D1F"/>
    <w:rsid w:val="00CE0F6F"/>
    <w:rsid w:val="00CE16D9"/>
    <w:rsid w:val="00CE2199"/>
    <w:rsid w:val="00CE21E2"/>
    <w:rsid w:val="00CE22CB"/>
    <w:rsid w:val="00CE26BC"/>
    <w:rsid w:val="00CE2F89"/>
    <w:rsid w:val="00CE3026"/>
    <w:rsid w:val="00CE3AA4"/>
    <w:rsid w:val="00CE3CCB"/>
    <w:rsid w:val="00CE3D75"/>
    <w:rsid w:val="00CE456D"/>
    <w:rsid w:val="00CE459C"/>
    <w:rsid w:val="00CE467D"/>
    <w:rsid w:val="00CE47E2"/>
    <w:rsid w:val="00CE5729"/>
    <w:rsid w:val="00CE5824"/>
    <w:rsid w:val="00CE598E"/>
    <w:rsid w:val="00CE5A42"/>
    <w:rsid w:val="00CE5CB2"/>
    <w:rsid w:val="00CE6080"/>
    <w:rsid w:val="00CE6190"/>
    <w:rsid w:val="00CE6959"/>
    <w:rsid w:val="00CE741F"/>
    <w:rsid w:val="00CE7803"/>
    <w:rsid w:val="00CE781A"/>
    <w:rsid w:val="00CE7B43"/>
    <w:rsid w:val="00CF025E"/>
    <w:rsid w:val="00CF060F"/>
    <w:rsid w:val="00CF0872"/>
    <w:rsid w:val="00CF0B56"/>
    <w:rsid w:val="00CF0B88"/>
    <w:rsid w:val="00CF0E3B"/>
    <w:rsid w:val="00CF0E7E"/>
    <w:rsid w:val="00CF154C"/>
    <w:rsid w:val="00CF155A"/>
    <w:rsid w:val="00CF15C1"/>
    <w:rsid w:val="00CF224F"/>
    <w:rsid w:val="00CF237E"/>
    <w:rsid w:val="00CF250B"/>
    <w:rsid w:val="00CF2EA6"/>
    <w:rsid w:val="00CF311E"/>
    <w:rsid w:val="00CF3195"/>
    <w:rsid w:val="00CF31A3"/>
    <w:rsid w:val="00CF332F"/>
    <w:rsid w:val="00CF334B"/>
    <w:rsid w:val="00CF36C6"/>
    <w:rsid w:val="00CF3809"/>
    <w:rsid w:val="00CF3CBC"/>
    <w:rsid w:val="00CF41CE"/>
    <w:rsid w:val="00CF4C1C"/>
    <w:rsid w:val="00CF4D01"/>
    <w:rsid w:val="00CF5417"/>
    <w:rsid w:val="00CF5B00"/>
    <w:rsid w:val="00CF5F11"/>
    <w:rsid w:val="00CF6348"/>
    <w:rsid w:val="00CF669D"/>
    <w:rsid w:val="00CF7520"/>
    <w:rsid w:val="00CF7B67"/>
    <w:rsid w:val="00CF7BDB"/>
    <w:rsid w:val="00D002F3"/>
    <w:rsid w:val="00D017BB"/>
    <w:rsid w:val="00D01C5F"/>
    <w:rsid w:val="00D02370"/>
    <w:rsid w:val="00D026B5"/>
    <w:rsid w:val="00D02838"/>
    <w:rsid w:val="00D02856"/>
    <w:rsid w:val="00D03223"/>
    <w:rsid w:val="00D0345B"/>
    <w:rsid w:val="00D03618"/>
    <w:rsid w:val="00D044E5"/>
    <w:rsid w:val="00D045EA"/>
    <w:rsid w:val="00D04925"/>
    <w:rsid w:val="00D049D1"/>
    <w:rsid w:val="00D05040"/>
    <w:rsid w:val="00D053CA"/>
    <w:rsid w:val="00D054AF"/>
    <w:rsid w:val="00D05792"/>
    <w:rsid w:val="00D057CA"/>
    <w:rsid w:val="00D063C8"/>
    <w:rsid w:val="00D07E3C"/>
    <w:rsid w:val="00D101EF"/>
    <w:rsid w:val="00D105E3"/>
    <w:rsid w:val="00D10B49"/>
    <w:rsid w:val="00D10B84"/>
    <w:rsid w:val="00D12249"/>
    <w:rsid w:val="00D12AE7"/>
    <w:rsid w:val="00D12BAD"/>
    <w:rsid w:val="00D15025"/>
    <w:rsid w:val="00D15184"/>
    <w:rsid w:val="00D1530B"/>
    <w:rsid w:val="00D15331"/>
    <w:rsid w:val="00D15663"/>
    <w:rsid w:val="00D15A7B"/>
    <w:rsid w:val="00D160FD"/>
    <w:rsid w:val="00D163B2"/>
    <w:rsid w:val="00D16AAF"/>
    <w:rsid w:val="00D172C8"/>
    <w:rsid w:val="00D17310"/>
    <w:rsid w:val="00D17FEA"/>
    <w:rsid w:val="00D213BB"/>
    <w:rsid w:val="00D21689"/>
    <w:rsid w:val="00D21A18"/>
    <w:rsid w:val="00D21DD7"/>
    <w:rsid w:val="00D22301"/>
    <w:rsid w:val="00D22416"/>
    <w:rsid w:val="00D22620"/>
    <w:rsid w:val="00D22B5E"/>
    <w:rsid w:val="00D23135"/>
    <w:rsid w:val="00D23170"/>
    <w:rsid w:val="00D236DB"/>
    <w:rsid w:val="00D2384B"/>
    <w:rsid w:val="00D23B49"/>
    <w:rsid w:val="00D24C2B"/>
    <w:rsid w:val="00D253D0"/>
    <w:rsid w:val="00D254A8"/>
    <w:rsid w:val="00D25524"/>
    <w:rsid w:val="00D25835"/>
    <w:rsid w:val="00D25CF3"/>
    <w:rsid w:val="00D25E65"/>
    <w:rsid w:val="00D25F74"/>
    <w:rsid w:val="00D264A5"/>
    <w:rsid w:val="00D279F3"/>
    <w:rsid w:val="00D27E12"/>
    <w:rsid w:val="00D3098A"/>
    <w:rsid w:val="00D30F39"/>
    <w:rsid w:val="00D317B3"/>
    <w:rsid w:val="00D31A12"/>
    <w:rsid w:val="00D32278"/>
    <w:rsid w:val="00D32614"/>
    <w:rsid w:val="00D32BF4"/>
    <w:rsid w:val="00D32EC9"/>
    <w:rsid w:val="00D32EF0"/>
    <w:rsid w:val="00D333B7"/>
    <w:rsid w:val="00D3447F"/>
    <w:rsid w:val="00D344C2"/>
    <w:rsid w:val="00D34581"/>
    <w:rsid w:val="00D3487D"/>
    <w:rsid w:val="00D34FAF"/>
    <w:rsid w:val="00D35150"/>
    <w:rsid w:val="00D3611B"/>
    <w:rsid w:val="00D3626C"/>
    <w:rsid w:val="00D37EFA"/>
    <w:rsid w:val="00D40FCF"/>
    <w:rsid w:val="00D41749"/>
    <w:rsid w:val="00D41B1C"/>
    <w:rsid w:val="00D425D5"/>
    <w:rsid w:val="00D425DF"/>
    <w:rsid w:val="00D428E6"/>
    <w:rsid w:val="00D42C96"/>
    <w:rsid w:val="00D42D69"/>
    <w:rsid w:val="00D44A4A"/>
    <w:rsid w:val="00D44C66"/>
    <w:rsid w:val="00D450EF"/>
    <w:rsid w:val="00D45583"/>
    <w:rsid w:val="00D46DAC"/>
    <w:rsid w:val="00D46E57"/>
    <w:rsid w:val="00D47A07"/>
    <w:rsid w:val="00D47A5C"/>
    <w:rsid w:val="00D505D4"/>
    <w:rsid w:val="00D5063B"/>
    <w:rsid w:val="00D5063E"/>
    <w:rsid w:val="00D50888"/>
    <w:rsid w:val="00D508AD"/>
    <w:rsid w:val="00D50DD5"/>
    <w:rsid w:val="00D5170D"/>
    <w:rsid w:val="00D52650"/>
    <w:rsid w:val="00D539F1"/>
    <w:rsid w:val="00D53B73"/>
    <w:rsid w:val="00D53C45"/>
    <w:rsid w:val="00D543EB"/>
    <w:rsid w:val="00D5463F"/>
    <w:rsid w:val="00D54919"/>
    <w:rsid w:val="00D55887"/>
    <w:rsid w:val="00D558D6"/>
    <w:rsid w:val="00D559AC"/>
    <w:rsid w:val="00D55AE6"/>
    <w:rsid w:val="00D55C44"/>
    <w:rsid w:val="00D55E05"/>
    <w:rsid w:val="00D55E22"/>
    <w:rsid w:val="00D56DE4"/>
    <w:rsid w:val="00D57095"/>
    <w:rsid w:val="00D5796F"/>
    <w:rsid w:val="00D579BE"/>
    <w:rsid w:val="00D57F50"/>
    <w:rsid w:val="00D60195"/>
    <w:rsid w:val="00D604EC"/>
    <w:rsid w:val="00D6053E"/>
    <w:rsid w:val="00D60C7E"/>
    <w:rsid w:val="00D6106E"/>
    <w:rsid w:val="00D61DA5"/>
    <w:rsid w:val="00D6214D"/>
    <w:rsid w:val="00D630E0"/>
    <w:rsid w:val="00D633EB"/>
    <w:rsid w:val="00D63FAC"/>
    <w:rsid w:val="00D6436B"/>
    <w:rsid w:val="00D64504"/>
    <w:rsid w:val="00D65554"/>
    <w:rsid w:val="00D655C8"/>
    <w:rsid w:val="00D65718"/>
    <w:rsid w:val="00D65919"/>
    <w:rsid w:val="00D65B33"/>
    <w:rsid w:val="00D65EBB"/>
    <w:rsid w:val="00D660CF"/>
    <w:rsid w:val="00D667F5"/>
    <w:rsid w:val="00D6717D"/>
    <w:rsid w:val="00D67461"/>
    <w:rsid w:val="00D67F4C"/>
    <w:rsid w:val="00D70924"/>
    <w:rsid w:val="00D71E9B"/>
    <w:rsid w:val="00D724CD"/>
    <w:rsid w:val="00D724F2"/>
    <w:rsid w:val="00D72E36"/>
    <w:rsid w:val="00D7392D"/>
    <w:rsid w:val="00D75092"/>
    <w:rsid w:val="00D750FC"/>
    <w:rsid w:val="00D75CE3"/>
    <w:rsid w:val="00D76068"/>
    <w:rsid w:val="00D76214"/>
    <w:rsid w:val="00D76245"/>
    <w:rsid w:val="00D762E0"/>
    <w:rsid w:val="00D764A7"/>
    <w:rsid w:val="00D766D1"/>
    <w:rsid w:val="00D76E43"/>
    <w:rsid w:val="00D80098"/>
    <w:rsid w:val="00D80130"/>
    <w:rsid w:val="00D80717"/>
    <w:rsid w:val="00D807EF"/>
    <w:rsid w:val="00D80C4B"/>
    <w:rsid w:val="00D80F4A"/>
    <w:rsid w:val="00D80F92"/>
    <w:rsid w:val="00D81054"/>
    <w:rsid w:val="00D818F1"/>
    <w:rsid w:val="00D81F02"/>
    <w:rsid w:val="00D82567"/>
    <w:rsid w:val="00D829D7"/>
    <w:rsid w:val="00D82DD4"/>
    <w:rsid w:val="00D82E4D"/>
    <w:rsid w:val="00D83B8C"/>
    <w:rsid w:val="00D83DC0"/>
    <w:rsid w:val="00D84039"/>
    <w:rsid w:val="00D8429E"/>
    <w:rsid w:val="00D84C7E"/>
    <w:rsid w:val="00D84CF2"/>
    <w:rsid w:val="00D85148"/>
    <w:rsid w:val="00D85BD6"/>
    <w:rsid w:val="00D86142"/>
    <w:rsid w:val="00D86146"/>
    <w:rsid w:val="00D86B12"/>
    <w:rsid w:val="00D86BD5"/>
    <w:rsid w:val="00D872B6"/>
    <w:rsid w:val="00D8736D"/>
    <w:rsid w:val="00D879C8"/>
    <w:rsid w:val="00D87ACB"/>
    <w:rsid w:val="00D87ADE"/>
    <w:rsid w:val="00D901FD"/>
    <w:rsid w:val="00D907C0"/>
    <w:rsid w:val="00D90C47"/>
    <w:rsid w:val="00D9100A"/>
    <w:rsid w:val="00D91FA1"/>
    <w:rsid w:val="00D921F9"/>
    <w:rsid w:val="00D92303"/>
    <w:rsid w:val="00D92D70"/>
    <w:rsid w:val="00D936CE"/>
    <w:rsid w:val="00D939CD"/>
    <w:rsid w:val="00D93C32"/>
    <w:rsid w:val="00D93D6E"/>
    <w:rsid w:val="00D94C85"/>
    <w:rsid w:val="00D94D25"/>
    <w:rsid w:val="00D94F82"/>
    <w:rsid w:val="00D9508F"/>
    <w:rsid w:val="00D95213"/>
    <w:rsid w:val="00D953E8"/>
    <w:rsid w:val="00D958A1"/>
    <w:rsid w:val="00D95915"/>
    <w:rsid w:val="00D95ACE"/>
    <w:rsid w:val="00D95D48"/>
    <w:rsid w:val="00D96343"/>
    <w:rsid w:val="00D969C8"/>
    <w:rsid w:val="00D96BB3"/>
    <w:rsid w:val="00D96CC2"/>
    <w:rsid w:val="00D97250"/>
    <w:rsid w:val="00D973DC"/>
    <w:rsid w:val="00D979F5"/>
    <w:rsid w:val="00DA0363"/>
    <w:rsid w:val="00DA0DDD"/>
    <w:rsid w:val="00DA0F49"/>
    <w:rsid w:val="00DA0F90"/>
    <w:rsid w:val="00DA11A9"/>
    <w:rsid w:val="00DA154C"/>
    <w:rsid w:val="00DA1AD0"/>
    <w:rsid w:val="00DA2540"/>
    <w:rsid w:val="00DA25D1"/>
    <w:rsid w:val="00DA277E"/>
    <w:rsid w:val="00DA2DBD"/>
    <w:rsid w:val="00DA3A17"/>
    <w:rsid w:val="00DA3B9F"/>
    <w:rsid w:val="00DA4168"/>
    <w:rsid w:val="00DA423E"/>
    <w:rsid w:val="00DA431A"/>
    <w:rsid w:val="00DA47D8"/>
    <w:rsid w:val="00DA590D"/>
    <w:rsid w:val="00DA5996"/>
    <w:rsid w:val="00DA5D10"/>
    <w:rsid w:val="00DA5E2F"/>
    <w:rsid w:val="00DA6119"/>
    <w:rsid w:val="00DA6CFD"/>
    <w:rsid w:val="00DA7145"/>
    <w:rsid w:val="00DA72BC"/>
    <w:rsid w:val="00DA79CF"/>
    <w:rsid w:val="00DA7CBF"/>
    <w:rsid w:val="00DB07F7"/>
    <w:rsid w:val="00DB0912"/>
    <w:rsid w:val="00DB1287"/>
    <w:rsid w:val="00DB1A15"/>
    <w:rsid w:val="00DB1AB8"/>
    <w:rsid w:val="00DB1B96"/>
    <w:rsid w:val="00DB2204"/>
    <w:rsid w:val="00DB286A"/>
    <w:rsid w:val="00DB2CC2"/>
    <w:rsid w:val="00DB3171"/>
    <w:rsid w:val="00DB31FB"/>
    <w:rsid w:val="00DB3A57"/>
    <w:rsid w:val="00DB3B63"/>
    <w:rsid w:val="00DB3B7D"/>
    <w:rsid w:val="00DB3F56"/>
    <w:rsid w:val="00DB41D8"/>
    <w:rsid w:val="00DB4677"/>
    <w:rsid w:val="00DB49BC"/>
    <w:rsid w:val="00DB54B4"/>
    <w:rsid w:val="00DB57BF"/>
    <w:rsid w:val="00DB58D0"/>
    <w:rsid w:val="00DB5FCB"/>
    <w:rsid w:val="00DB6645"/>
    <w:rsid w:val="00DB6D75"/>
    <w:rsid w:val="00DB6F15"/>
    <w:rsid w:val="00DB76BD"/>
    <w:rsid w:val="00DB7769"/>
    <w:rsid w:val="00DB7B21"/>
    <w:rsid w:val="00DB7CD6"/>
    <w:rsid w:val="00DB7E27"/>
    <w:rsid w:val="00DC00C1"/>
    <w:rsid w:val="00DC0150"/>
    <w:rsid w:val="00DC0244"/>
    <w:rsid w:val="00DC0335"/>
    <w:rsid w:val="00DC0BF2"/>
    <w:rsid w:val="00DC0CBF"/>
    <w:rsid w:val="00DC0DFF"/>
    <w:rsid w:val="00DC15EF"/>
    <w:rsid w:val="00DC1BC4"/>
    <w:rsid w:val="00DC1BFF"/>
    <w:rsid w:val="00DC1ECF"/>
    <w:rsid w:val="00DC26BE"/>
    <w:rsid w:val="00DC27B0"/>
    <w:rsid w:val="00DC29FC"/>
    <w:rsid w:val="00DC2F29"/>
    <w:rsid w:val="00DC385D"/>
    <w:rsid w:val="00DC47D3"/>
    <w:rsid w:val="00DC4A59"/>
    <w:rsid w:val="00DC4E7D"/>
    <w:rsid w:val="00DC5CF7"/>
    <w:rsid w:val="00DC5D66"/>
    <w:rsid w:val="00DC612E"/>
    <w:rsid w:val="00DC6BD2"/>
    <w:rsid w:val="00DC6DA4"/>
    <w:rsid w:val="00DC763F"/>
    <w:rsid w:val="00DC7857"/>
    <w:rsid w:val="00DD0660"/>
    <w:rsid w:val="00DD06BC"/>
    <w:rsid w:val="00DD06E3"/>
    <w:rsid w:val="00DD0CBA"/>
    <w:rsid w:val="00DD109D"/>
    <w:rsid w:val="00DD1232"/>
    <w:rsid w:val="00DD1D3F"/>
    <w:rsid w:val="00DD1E74"/>
    <w:rsid w:val="00DD2085"/>
    <w:rsid w:val="00DD216F"/>
    <w:rsid w:val="00DD22D2"/>
    <w:rsid w:val="00DD3673"/>
    <w:rsid w:val="00DD3F6D"/>
    <w:rsid w:val="00DD407F"/>
    <w:rsid w:val="00DD47F2"/>
    <w:rsid w:val="00DD49B5"/>
    <w:rsid w:val="00DD4A56"/>
    <w:rsid w:val="00DD4C09"/>
    <w:rsid w:val="00DD502A"/>
    <w:rsid w:val="00DD52D7"/>
    <w:rsid w:val="00DD572A"/>
    <w:rsid w:val="00DD5AFA"/>
    <w:rsid w:val="00DD5BBE"/>
    <w:rsid w:val="00DD6397"/>
    <w:rsid w:val="00DD6802"/>
    <w:rsid w:val="00DD7110"/>
    <w:rsid w:val="00DD72A6"/>
    <w:rsid w:val="00DD769C"/>
    <w:rsid w:val="00DE01A9"/>
    <w:rsid w:val="00DE0537"/>
    <w:rsid w:val="00DE0A76"/>
    <w:rsid w:val="00DE10A8"/>
    <w:rsid w:val="00DE1707"/>
    <w:rsid w:val="00DE17BD"/>
    <w:rsid w:val="00DE27FC"/>
    <w:rsid w:val="00DE2A98"/>
    <w:rsid w:val="00DE2B75"/>
    <w:rsid w:val="00DE39ED"/>
    <w:rsid w:val="00DE3A7A"/>
    <w:rsid w:val="00DE457C"/>
    <w:rsid w:val="00DE4E2F"/>
    <w:rsid w:val="00DE500A"/>
    <w:rsid w:val="00DE51C9"/>
    <w:rsid w:val="00DE526B"/>
    <w:rsid w:val="00DE59B6"/>
    <w:rsid w:val="00DE5F1E"/>
    <w:rsid w:val="00DE6055"/>
    <w:rsid w:val="00DE6236"/>
    <w:rsid w:val="00DE650F"/>
    <w:rsid w:val="00DE6817"/>
    <w:rsid w:val="00DE74AB"/>
    <w:rsid w:val="00DE79F3"/>
    <w:rsid w:val="00DE7F0C"/>
    <w:rsid w:val="00DE7F39"/>
    <w:rsid w:val="00DF0FAD"/>
    <w:rsid w:val="00DF1337"/>
    <w:rsid w:val="00DF1D7D"/>
    <w:rsid w:val="00DF2013"/>
    <w:rsid w:val="00DF2426"/>
    <w:rsid w:val="00DF291D"/>
    <w:rsid w:val="00DF2A84"/>
    <w:rsid w:val="00DF2AD2"/>
    <w:rsid w:val="00DF2CFD"/>
    <w:rsid w:val="00DF34F2"/>
    <w:rsid w:val="00DF3EA7"/>
    <w:rsid w:val="00DF4381"/>
    <w:rsid w:val="00DF47F2"/>
    <w:rsid w:val="00DF54C8"/>
    <w:rsid w:val="00DF58C3"/>
    <w:rsid w:val="00DF598F"/>
    <w:rsid w:val="00DF5D40"/>
    <w:rsid w:val="00DF7AB8"/>
    <w:rsid w:val="00E005C0"/>
    <w:rsid w:val="00E00BF4"/>
    <w:rsid w:val="00E01569"/>
    <w:rsid w:val="00E01D89"/>
    <w:rsid w:val="00E02D2C"/>
    <w:rsid w:val="00E031D2"/>
    <w:rsid w:val="00E03373"/>
    <w:rsid w:val="00E03673"/>
    <w:rsid w:val="00E04131"/>
    <w:rsid w:val="00E0427D"/>
    <w:rsid w:val="00E047F3"/>
    <w:rsid w:val="00E05186"/>
    <w:rsid w:val="00E055AF"/>
    <w:rsid w:val="00E05ECF"/>
    <w:rsid w:val="00E06057"/>
    <w:rsid w:val="00E06177"/>
    <w:rsid w:val="00E063EA"/>
    <w:rsid w:val="00E06C6D"/>
    <w:rsid w:val="00E06C93"/>
    <w:rsid w:val="00E07277"/>
    <w:rsid w:val="00E075A1"/>
    <w:rsid w:val="00E079C3"/>
    <w:rsid w:val="00E10329"/>
    <w:rsid w:val="00E10666"/>
    <w:rsid w:val="00E112DC"/>
    <w:rsid w:val="00E11311"/>
    <w:rsid w:val="00E11E5A"/>
    <w:rsid w:val="00E125DF"/>
    <w:rsid w:val="00E12767"/>
    <w:rsid w:val="00E12F98"/>
    <w:rsid w:val="00E130CF"/>
    <w:rsid w:val="00E13430"/>
    <w:rsid w:val="00E139D9"/>
    <w:rsid w:val="00E13F84"/>
    <w:rsid w:val="00E14AFA"/>
    <w:rsid w:val="00E15579"/>
    <w:rsid w:val="00E15A27"/>
    <w:rsid w:val="00E15D1B"/>
    <w:rsid w:val="00E1600D"/>
    <w:rsid w:val="00E165D0"/>
    <w:rsid w:val="00E16919"/>
    <w:rsid w:val="00E16DF9"/>
    <w:rsid w:val="00E17C4F"/>
    <w:rsid w:val="00E20134"/>
    <w:rsid w:val="00E20642"/>
    <w:rsid w:val="00E20C8D"/>
    <w:rsid w:val="00E20F26"/>
    <w:rsid w:val="00E2167B"/>
    <w:rsid w:val="00E2191D"/>
    <w:rsid w:val="00E22367"/>
    <w:rsid w:val="00E22416"/>
    <w:rsid w:val="00E22908"/>
    <w:rsid w:val="00E2334A"/>
    <w:rsid w:val="00E23589"/>
    <w:rsid w:val="00E23DD5"/>
    <w:rsid w:val="00E24601"/>
    <w:rsid w:val="00E24712"/>
    <w:rsid w:val="00E24A99"/>
    <w:rsid w:val="00E250F1"/>
    <w:rsid w:val="00E2552E"/>
    <w:rsid w:val="00E259F8"/>
    <w:rsid w:val="00E25BD6"/>
    <w:rsid w:val="00E26B9A"/>
    <w:rsid w:val="00E26D16"/>
    <w:rsid w:val="00E2780C"/>
    <w:rsid w:val="00E27C27"/>
    <w:rsid w:val="00E304DE"/>
    <w:rsid w:val="00E3071B"/>
    <w:rsid w:val="00E30D2F"/>
    <w:rsid w:val="00E31425"/>
    <w:rsid w:val="00E31669"/>
    <w:rsid w:val="00E31A2C"/>
    <w:rsid w:val="00E31F04"/>
    <w:rsid w:val="00E324EA"/>
    <w:rsid w:val="00E32A8E"/>
    <w:rsid w:val="00E33BD0"/>
    <w:rsid w:val="00E33F29"/>
    <w:rsid w:val="00E3407A"/>
    <w:rsid w:val="00E34338"/>
    <w:rsid w:val="00E34448"/>
    <w:rsid w:val="00E34F84"/>
    <w:rsid w:val="00E351AA"/>
    <w:rsid w:val="00E3569E"/>
    <w:rsid w:val="00E36272"/>
    <w:rsid w:val="00E36ABB"/>
    <w:rsid w:val="00E3707D"/>
    <w:rsid w:val="00E37C95"/>
    <w:rsid w:val="00E37EBC"/>
    <w:rsid w:val="00E40017"/>
    <w:rsid w:val="00E4024F"/>
    <w:rsid w:val="00E4056D"/>
    <w:rsid w:val="00E40B65"/>
    <w:rsid w:val="00E40D19"/>
    <w:rsid w:val="00E41BB7"/>
    <w:rsid w:val="00E41E80"/>
    <w:rsid w:val="00E4213E"/>
    <w:rsid w:val="00E421DE"/>
    <w:rsid w:val="00E4227C"/>
    <w:rsid w:val="00E42C16"/>
    <w:rsid w:val="00E43D8D"/>
    <w:rsid w:val="00E4430A"/>
    <w:rsid w:val="00E448AE"/>
    <w:rsid w:val="00E451E0"/>
    <w:rsid w:val="00E45431"/>
    <w:rsid w:val="00E45754"/>
    <w:rsid w:val="00E45D46"/>
    <w:rsid w:val="00E45F54"/>
    <w:rsid w:val="00E460CC"/>
    <w:rsid w:val="00E46583"/>
    <w:rsid w:val="00E466FF"/>
    <w:rsid w:val="00E471F4"/>
    <w:rsid w:val="00E4723E"/>
    <w:rsid w:val="00E475CA"/>
    <w:rsid w:val="00E478AC"/>
    <w:rsid w:val="00E47E12"/>
    <w:rsid w:val="00E47E5E"/>
    <w:rsid w:val="00E505D4"/>
    <w:rsid w:val="00E51248"/>
    <w:rsid w:val="00E517FD"/>
    <w:rsid w:val="00E51FF6"/>
    <w:rsid w:val="00E520E8"/>
    <w:rsid w:val="00E5240A"/>
    <w:rsid w:val="00E52968"/>
    <w:rsid w:val="00E53347"/>
    <w:rsid w:val="00E53EAA"/>
    <w:rsid w:val="00E546CC"/>
    <w:rsid w:val="00E54706"/>
    <w:rsid w:val="00E54851"/>
    <w:rsid w:val="00E55AA6"/>
    <w:rsid w:val="00E55F58"/>
    <w:rsid w:val="00E567EE"/>
    <w:rsid w:val="00E5699E"/>
    <w:rsid w:val="00E5744A"/>
    <w:rsid w:val="00E57823"/>
    <w:rsid w:val="00E602B6"/>
    <w:rsid w:val="00E6052C"/>
    <w:rsid w:val="00E61468"/>
    <w:rsid w:val="00E619FD"/>
    <w:rsid w:val="00E61AF0"/>
    <w:rsid w:val="00E62021"/>
    <w:rsid w:val="00E62384"/>
    <w:rsid w:val="00E623C2"/>
    <w:rsid w:val="00E6242A"/>
    <w:rsid w:val="00E6283F"/>
    <w:rsid w:val="00E62C40"/>
    <w:rsid w:val="00E62CA5"/>
    <w:rsid w:val="00E63B32"/>
    <w:rsid w:val="00E641C0"/>
    <w:rsid w:val="00E6480C"/>
    <w:rsid w:val="00E64D4B"/>
    <w:rsid w:val="00E65C6E"/>
    <w:rsid w:val="00E65CC0"/>
    <w:rsid w:val="00E661B3"/>
    <w:rsid w:val="00E67508"/>
    <w:rsid w:val="00E67BD8"/>
    <w:rsid w:val="00E67C39"/>
    <w:rsid w:val="00E67FBC"/>
    <w:rsid w:val="00E70288"/>
    <w:rsid w:val="00E702AF"/>
    <w:rsid w:val="00E70861"/>
    <w:rsid w:val="00E70922"/>
    <w:rsid w:val="00E70E87"/>
    <w:rsid w:val="00E71829"/>
    <w:rsid w:val="00E7187C"/>
    <w:rsid w:val="00E71940"/>
    <w:rsid w:val="00E71C18"/>
    <w:rsid w:val="00E71C68"/>
    <w:rsid w:val="00E730AC"/>
    <w:rsid w:val="00E732E1"/>
    <w:rsid w:val="00E73700"/>
    <w:rsid w:val="00E73A77"/>
    <w:rsid w:val="00E73A9B"/>
    <w:rsid w:val="00E73B48"/>
    <w:rsid w:val="00E73F9A"/>
    <w:rsid w:val="00E75017"/>
    <w:rsid w:val="00E75023"/>
    <w:rsid w:val="00E752BF"/>
    <w:rsid w:val="00E7545C"/>
    <w:rsid w:val="00E75BD7"/>
    <w:rsid w:val="00E76E0B"/>
    <w:rsid w:val="00E77615"/>
    <w:rsid w:val="00E77910"/>
    <w:rsid w:val="00E77A45"/>
    <w:rsid w:val="00E77A65"/>
    <w:rsid w:val="00E800C9"/>
    <w:rsid w:val="00E8071F"/>
    <w:rsid w:val="00E80902"/>
    <w:rsid w:val="00E809D0"/>
    <w:rsid w:val="00E815A9"/>
    <w:rsid w:val="00E818D4"/>
    <w:rsid w:val="00E81AB7"/>
    <w:rsid w:val="00E81FF7"/>
    <w:rsid w:val="00E820E9"/>
    <w:rsid w:val="00E82502"/>
    <w:rsid w:val="00E831BE"/>
    <w:rsid w:val="00E83619"/>
    <w:rsid w:val="00E83840"/>
    <w:rsid w:val="00E838E4"/>
    <w:rsid w:val="00E83C7C"/>
    <w:rsid w:val="00E83D7A"/>
    <w:rsid w:val="00E8408A"/>
    <w:rsid w:val="00E84A7B"/>
    <w:rsid w:val="00E853A7"/>
    <w:rsid w:val="00E858D9"/>
    <w:rsid w:val="00E85AB0"/>
    <w:rsid w:val="00E86482"/>
    <w:rsid w:val="00E86649"/>
    <w:rsid w:val="00E86F76"/>
    <w:rsid w:val="00E87772"/>
    <w:rsid w:val="00E90199"/>
    <w:rsid w:val="00E903AD"/>
    <w:rsid w:val="00E90488"/>
    <w:rsid w:val="00E90499"/>
    <w:rsid w:val="00E905EA"/>
    <w:rsid w:val="00E90D39"/>
    <w:rsid w:val="00E912CD"/>
    <w:rsid w:val="00E9155D"/>
    <w:rsid w:val="00E91678"/>
    <w:rsid w:val="00E918D4"/>
    <w:rsid w:val="00E9190F"/>
    <w:rsid w:val="00E91ECB"/>
    <w:rsid w:val="00E91F02"/>
    <w:rsid w:val="00E92311"/>
    <w:rsid w:val="00E9259A"/>
    <w:rsid w:val="00E925CB"/>
    <w:rsid w:val="00E930C6"/>
    <w:rsid w:val="00E933A9"/>
    <w:rsid w:val="00E93744"/>
    <w:rsid w:val="00E93990"/>
    <w:rsid w:val="00E94188"/>
    <w:rsid w:val="00E94770"/>
    <w:rsid w:val="00E94A70"/>
    <w:rsid w:val="00E94EDF"/>
    <w:rsid w:val="00E94F10"/>
    <w:rsid w:val="00E9560F"/>
    <w:rsid w:val="00E96075"/>
    <w:rsid w:val="00E96107"/>
    <w:rsid w:val="00E96A26"/>
    <w:rsid w:val="00E973B5"/>
    <w:rsid w:val="00E97E59"/>
    <w:rsid w:val="00EA0454"/>
    <w:rsid w:val="00EA08B4"/>
    <w:rsid w:val="00EA0DA0"/>
    <w:rsid w:val="00EA0F21"/>
    <w:rsid w:val="00EA1B52"/>
    <w:rsid w:val="00EA1EC5"/>
    <w:rsid w:val="00EA2868"/>
    <w:rsid w:val="00EA3570"/>
    <w:rsid w:val="00EA358B"/>
    <w:rsid w:val="00EA3750"/>
    <w:rsid w:val="00EA3C21"/>
    <w:rsid w:val="00EA4096"/>
    <w:rsid w:val="00EA4425"/>
    <w:rsid w:val="00EA4540"/>
    <w:rsid w:val="00EA4BEC"/>
    <w:rsid w:val="00EA4F7D"/>
    <w:rsid w:val="00EA5259"/>
    <w:rsid w:val="00EA5E13"/>
    <w:rsid w:val="00EA6701"/>
    <w:rsid w:val="00EA68CA"/>
    <w:rsid w:val="00EA6B38"/>
    <w:rsid w:val="00EA70C0"/>
    <w:rsid w:val="00EA7113"/>
    <w:rsid w:val="00EA71EC"/>
    <w:rsid w:val="00EA77E3"/>
    <w:rsid w:val="00EA793F"/>
    <w:rsid w:val="00EA7D69"/>
    <w:rsid w:val="00EB02F1"/>
    <w:rsid w:val="00EB0D8F"/>
    <w:rsid w:val="00EB11E7"/>
    <w:rsid w:val="00EB1326"/>
    <w:rsid w:val="00EB15B6"/>
    <w:rsid w:val="00EB1AAD"/>
    <w:rsid w:val="00EB1CAC"/>
    <w:rsid w:val="00EB3415"/>
    <w:rsid w:val="00EB4D54"/>
    <w:rsid w:val="00EB51C2"/>
    <w:rsid w:val="00EB54F8"/>
    <w:rsid w:val="00EB630A"/>
    <w:rsid w:val="00EB68C3"/>
    <w:rsid w:val="00EB6EE0"/>
    <w:rsid w:val="00EB70DE"/>
    <w:rsid w:val="00EB715F"/>
    <w:rsid w:val="00EB7E84"/>
    <w:rsid w:val="00EC01F2"/>
    <w:rsid w:val="00EC0636"/>
    <w:rsid w:val="00EC0DE5"/>
    <w:rsid w:val="00EC0F27"/>
    <w:rsid w:val="00EC1576"/>
    <w:rsid w:val="00EC1C39"/>
    <w:rsid w:val="00EC1CB2"/>
    <w:rsid w:val="00EC22EE"/>
    <w:rsid w:val="00EC3F4C"/>
    <w:rsid w:val="00EC56F7"/>
    <w:rsid w:val="00EC6A82"/>
    <w:rsid w:val="00EC70FF"/>
    <w:rsid w:val="00EC7397"/>
    <w:rsid w:val="00ED0223"/>
    <w:rsid w:val="00ED028B"/>
    <w:rsid w:val="00ED0848"/>
    <w:rsid w:val="00ED0B33"/>
    <w:rsid w:val="00ED0C7C"/>
    <w:rsid w:val="00ED0EC4"/>
    <w:rsid w:val="00ED2061"/>
    <w:rsid w:val="00ED2474"/>
    <w:rsid w:val="00ED28D7"/>
    <w:rsid w:val="00ED2E38"/>
    <w:rsid w:val="00ED31B7"/>
    <w:rsid w:val="00ED32B1"/>
    <w:rsid w:val="00ED3C0F"/>
    <w:rsid w:val="00ED3D53"/>
    <w:rsid w:val="00ED3DD1"/>
    <w:rsid w:val="00ED4131"/>
    <w:rsid w:val="00ED5883"/>
    <w:rsid w:val="00ED5909"/>
    <w:rsid w:val="00ED5DEB"/>
    <w:rsid w:val="00ED6B84"/>
    <w:rsid w:val="00ED7461"/>
    <w:rsid w:val="00ED790D"/>
    <w:rsid w:val="00ED79FE"/>
    <w:rsid w:val="00ED7D37"/>
    <w:rsid w:val="00EE0388"/>
    <w:rsid w:val="00EE0681"/>
    <w:rsid w:val="00EE1590"/>
    <w:rsid w:val="00EE19F1"/>
    <w:rsid w:val="00EE270B"/>
    <w:rsid w:val="00EE2B57"/>
    <w:rsid w:val="00EE2DE4"/>
    <w:rsid w:val="00EE2F1C"/>
    <w:rsid w:val="00EE3A64"/>
    <w:rsid w:val="00EE3B9B"/>
    <w:rsid w:val="00EE422E"/>
    <w:rsid w:val="00EE4648"/>
    <w:rsid w:val="00EE4F18"/>
    <w:rsid w:val="00EE50F6"/>
    <w:rsid w:val="00EE5369"/>
    <w:rsid w:val="00EE59F6"/>
    <w:rsid w:val="00EE5D71"/>
    <w:rsid w:val="00EE6412"/>
    <w:rsid w:val="00EE6ABA"/>
    <w:rsid w:val="00EE6BA9"/>
    <w:rsid w:val="00EE6D4C"/>
    <w:rsid w:val="00EE715D"/>
    <w:rsid w:val="00EE75BE"/>
    <w:rsid w:val="00EE778B"/>
    <w:rsid w:val="00EF058E"/>
    <w:rsid w:val="00EF06CD"/>
    <w:rsid w:val="00EF1FC3"/>
    <w:rsid w:val="00EF242E"/>
    <w:rsid w:val="00EF28E9"/>
    <w:rsid w:val="00EF2A34"/>
    <w:rsid w:val="00EF3587"/>
    <w:rsid w:val="00EF36D5"/>
    <w:rsid w:val="00EF4975"/>
    <w:rsid w:val="00EF4E5A"/>
    <w:rsid w:val="00EF5065"/>
    <w:rsid w:val="00EF56E1"/>
    <w:rsid w:val="00EF59B1"/>
    <w:rsid w:val="00EF5E31"/>
    <w:rsid w:val="00EF6481"/>
    <w:rsid w:val="00EF6E29"/>
    <w:rsid w:val="00EF7B7D"/>
    <w:rsid w:val="00EF7BC1"/>
    <w:rsid w:val="00EF7CA1"/>
    <w:rsid w:val="00F00547"/>
    <w:rsid w:val="00F01F06"/>
    <w:rsid w:val="00F024F1"/>
    <w:rsid w:val="00F035E5"/>
    <w:rsid w:val="00F03B36"/>
    <w:rsid w:val="00F040A3"/>
    <w:rsid w:val="00F046F4"/>
    <w:rsid w:val="00F05CB6"/>
    <w:rsid w:val="00F060BB"/>
    <w:rsid w:val="00F062B1"/>
    <w:rsid w:val="00F073FF"/>
    <w:rsid w:val="00F0743D"/>
    <w:rsid w:val="00F07F35"/>
    <w:rsid w:val="00F1004B"/>
    <w:rsid w:val="00F103AD"/>
    <w:rsid w:val="00F1132D"/>
    <w:rsid w:val="00F115D1"/>
    <w:rsid w:val="00F11814"/>
    <w:rsid w:val="00F11A17"/>
    <w:rsid w:val="00F11EF7"/>
    <w:rsid w:val="00F120DF"/>
    <w:rsid w:val="00F131DB"/>
    <w:rsid w:val="00F132B2"/>
    <w:rsid w:val="00F145AB"/>
    <w:rsid w:val="00F14B81"/>
    <w:rsid w:val="00F15260"/>
    <w:rsid w:val="00F15526"/>
    <w:rsid w:val="00F16438"/>
    <w:rsid w:val="00F1662C"/>
    <w:rsid w:val="00F16D1B"/>
    <w:rsid w:val="00F16DE8"/>
    <w:rsid w:val="00F17EA8"/>
    <w:rsid w:val="00F200DB"/>
    <w:rsid w:val="00F205F9"/>
    <w:rsid w:val="00F20A0F"/>
    <w:rsid w:val="00F21081"/>
    <w:rsid w:val="00F21E9D"/>
    <w:rsid w:val="00F21FEE"/>
    <w:rsid w:val="00F2210E"/>
    <w:rsid w:val="00F221B1"/>
    <w:rsid w:val="00F22570"/>
    <w:rsid w:val="00F22819"/>
    <w:rsid w:val="00F23108"/>
    <w:rsid w:val="00F23376"/>
    <w:rsid w:val="00F238B3"/>
    <w:rsid w:val="00F238C1"/>
    <w:rsid w:val="00F23B19"/>
    <w:rsid w:val="00F247A0"/>
    <w:rsid w:val="00F247F4"/>
    <w:rsid w:val="00F2498F"/>
    <w:rsid w:val="00F24D97"/>
    <w:rsid w:val="00F2518B"/>
    <w:rsid w:val="00F25D9A"/>
    <w:rsid w:val="00F25E15"/>
    <w:rsid w:val="00F25F18"/>
    <w:rsid w:val="00F2633E"/>
    <w:rsid w:val="00F2658C"/>
    <w:rsid w:val="00F2725F"/>
    <w:rsid w:val="00F30517"/>
    <w:rsid w:val="00F30565"/>
    <w:rsid w:val="00F30E64"/>
    <w:rsid w:val="00F31090"/>
    <w:rsid w:val="00F310A2"/>
    <w:rsid w:val="00F3136B"/>
    <w:rsid w:val="00F31377"/>
    <w:rsid w:val="00F31534"/>
    <w:rsid w:val="00F315C5"/>
    <w:rsid w:val="00F3177C"/>
    <w:rsid w:val="00F31A08"/>
    <w:rsid w:val="00F31E8D"/>
    <w:rsid w:val="00F32123"/>
    <w:rsid w:val="00F324AB"/>
    <w:rsid w:val="00F32E72"/>
    <w:rsid w:val="00F34286"/>
    <w:rsid w:val="00F34CE9"/>
    <w:rsid w:val="00F351D5"/>
    <w:rsid w:val="00F351FE"/>
    <w:rsid w:val="00F3521F"/>
    <w:rsid w:val="00F35DCB"/>
    <w:rsid w:val="00F363E2"/>
    <w:rsid w:val="00F36654"/>
    <w:rsid w:val="00F36722"/>
    <w:rsid w:val="00F36F8F"/>
    <w:rsid w:val="00F40B15"/>
    <w:rsid w:val="00F40F1D"/>
    <w:rsid w:val="00F40FF7"/>
    <w:rsid w:val="00F41448"/>
    <w:rsid w:val="00F414B8"/>
    <w:rsid w:val="00F417B9"/>
    <w:rsid w:val="00F41B95"/>
    <w:rsid w:val="00F42228"/>
    <w:rsid w:val="00F4252C"/>
    <w:rsid w:val="00F42677"/>
    <w:rsid w:val="00F42813"/>
    <w:rsid w:val="00F42AC2"/>
    <w:rsid w:val="00F431DF"/>
    <w:rsid w:val="00F4386C"/>
    <w:rsid w:val="00F4388D"/>
    <w:rsid w:val="00F438F5"/>
    <w:rsid w:val="00F43A16"/>
    <w:rsid w:val="00F43AF5"/>
    <w:rsid w:val="00F43BAF"/>
    <w:rsid w:val="00F43E87"/>
    <w:rsid w:val="00F43E8F"/>
    <w:rsid w:val="00F4418C"/>
    <w:rsid w:val="00F44E37"/>
    <w:rsid w:val="00F45029"/>
    <w:rsid w:val="00F4531A"/>
    <w:rsid w:val="00F45C85"/>
    <w:rsid w:val="00F460FB"/>
    <w:rsid w:val="00F46416"/>
    <w:rsid w:val="00F465E8"/>
    <w:rsid w:val="00F479D4"/>
    <w:rsid w:val="00F47A00"/>
    <w:rsid w:val="00F47B89"/>
    <w:rsid w:val="00F503DE"/>
    <w:rsid w:val="00F506A8"/>
    <w:rsid w:val="00F5086C"/>
    <w:rsid w:val="00F50D87"/>
    <w:rsid w:val="00F512DB"/>
    <w:rsid w:val="00F51974"/>
    <w:rsid w:val="00F5238E"/>
    <w:rsid w:val="00F5323C"/>
    <w:rsid w:val="00F53336"/>
    <w:rsid w:val="00F53D86"/>
    <w:rsid w:val="00F5493B"/>
    <w:rsid w:val="00F55296"/>
    <w:rsid w:val="00F56083"/>
    <w:rsid w:val="00F57795"/>
    <w:rsid w:val="00F57990"/>
    <w:rsid w:val="00F57C03"/>
    <w:rsid w:val="00F57F4C"/>
    <w:rsid w:val="00F60991"/>
    <w:rsid w:val="00F61425"/>
    <w:rsid w:val="00F61A90"/>
    <w:rsid w:val="00F62B85"/>
    <w:rsid w:val="00F62E21"/>
    <w:rsid w:val="00F63C8F"/>
    <w:rsid w:val="00F63C93"/>
    <w:rsid w:val="00F63DC3"/>
    <w:rsid w:val="00F64108"/>
    <w:rsid w:val="00F6469F"/>
    <w:rsid w:val="00F6474E"/>
    <w:rsid w:val="00F64AC6"/>
    <w:rsid w:val="00F6565A"/>
    <w:rsid w:val="00F65736"/>
    <w:rsid w:val="00F6635C"/>
    <w:rsid w:val="00F663DD"/>
    <w:rsid w:val="00F663F0"/>
    <w:rsid w:val="00F665D7"/>
    <w:rsid w:val="00F669A7"/>
    <w:rsid w:val="00F66B19"/>
    <w:rsid w:val="00F66D58"/>
    <w:rsid w:val="00F66F5D"/>
    <w:rsid w:val="00F67543"/>
    <w:rsid w:val="00F677A4"/>
    <w:rsid w:val="00F67873"/>
    <w:rsid w:val="00F67C56"/>
    <w:rsid w:val="00F709E6"/>
    <w:rsid w:val="00F70CDD"/>
    <w:rsid w:val="00F70F2B"/>
    <w:rsid w:val="00F71C0E"/>
    <w:rsid w:val="00F721C9"/>
    <w:rsid w:val="00F72256"/>
    <w:rsid w:val="00F72858"/>
    <w:rsid w:val="00F7293D"/>
    <w:rsid w:val="00F72C4D"/>
    <w:rsid w:val="00F72C98"/>
    <w:rsid w:val="00F72EE7"/>
    <w:rsid w:val="00F73C50"/>
    <w:rsid w:val="00F73CA6"/>
    <w:rsid w:val="00F74F36"/>
    <w:rsid w:val="00F75024"/>
    <w:rsid w:val="00F759C6"/>
    <w:rsid w:val="00F75AA2"/>
    <w:rsid w:val="00F75DC3"/>
    <w:rsid w:val="00F76C66"/>
    <w:rsid w:val="00F77686"/>
    <w:rsid w:val="00F80088"/>
    <w:rsid w:val="00F80137"/>
    <w:rsid w:val="00F802BD"/>
    <w:rsid w:val="00F80357"/>
    <w:rsid w:val="00F80E3C"/>
    <w:rsid w:val="00F81BC0"/>
    <w:rsid w:val="00F82003"/>
    <w:rsid w:val="00F83522"/>
    <w:rsid w:val="00F838F9"/>
    <w:rsid w:val="00F83A9C"/>
    <w:rsid w:val="00F8452B"/>
    <w:rsid w:val="00F84715"/>
    <w:rsid w:val="00F84C95"/>
    <w:rsid w:val="00F85107"/>
    <w:rsid w:val="00F855CC"/>
    <w:rsid w:val="00F85673"/>
    <w:rsid w:val="00F85A6A"/>
    <w:rsid w:val="00F85AF0"/>
    <w:rsid w:val="00F85C6B"/>
    <w:rsid w:val="00F8606C"/>
    <w:rsid w:val="00F86107"/>
    <w:rsid w:val="00F862BC"/>
    <w:rsid w:val="00F86A46"/>
    <w:rsid w:val="00F8724E"/>
    <w:rsid w:val="00F87C69"/>
    <w:rsid w:val="00F87CB2"/>
    <w:rsid w:val="00F87E63"/>
    <w:rsid w:val="00F9012C"/>
    <w:rsid w:val="00F9042F"/>
    <w:rsid w:val="00F90B2E"/>
    <w:rsid w:val="00F91BF4"/>
    <w:rsid w:val="00F91EA7"/>
    <w:rsid w:val="00F91F97"/>
    <w:rsid w:val="00F9241B"/>
    <w:rsid w:val="00F92A10"/>
    <w:rsid w:val="00F92BE9"/>
    <w:rsid w:val="00F92E8A"/>
    <w:rsid w:val="00F93A73"/>
    <w:rsid w:val="00F94526"/>
    <w:rsid w:val="00F95811"/>
    <w:rsid w:val="00F95F45"/>
    <w:rsid w:val="00F96033"/>
    <w:rsid w:val="00F9677B"/>
    <w:rsid w:val="00F96BC7"/>
    <w:rsid w:val="00F96BE2"/>
    <w:rsid w:val="00F97C9D"/>
    <w:rsid w:val="00FA0671"/>
    <w:rsid w:val="00FA06FE"/>
    <w:rsid w:val="00FA134A"/>
    <w:rsid w:val="00FA14DA"/>
    <w:rsid w:val="00FA1905"/>
    <w:rsid w:val="00FA1F98"/>
    <w:rsid w:val="00FA3016"/>
    <w:rsid w:val="00FA32EA"/>
    <w:rsid w:val="00FA3670"/>
    <w:rsid w:val="00FA3BFF"/>
    <w:rsid w:val="00FA3EC8"/>
    <w:rsid w:val="00FA413B"/>
    <w:rsid w:val="00FA455F"/>
    <w:rsid w:val="00FA475D"/>
    <w:rsid w:val="00FA4AE3"/>
    <w:rsid w:val="00FA4B7D"/>
    <w:rsid w:val="00FA4E98"/>
    <w:rsid w:val="00FA596A"/>
    <w:rsid w:val="00FA6569"/>
    <w:rsid w:val="00FA7973"/>
    <w:rsid w:val="00FA7A1E"/>
    <w:rsid w:val="00FA7CD4"/>
    <w:rsid w:val="00FA7DF4"/>
    <w:rsid w:val="00FB0414"/>
    <w:rsid w:val="00FB0626"/>
    <w:rsid w:val="00FB0A1C"/>
    <w:rsid w:val="00FB0C8E"/>
    <w:rsid w:val="00FB125C"/>
    <w:rsid w:val="00FB131F"/>
    <w:rsid w:val="00FB19B8"/>
    <w:rsid w:val="00FB220A"/>
    <w:rsid w:val="00FB2876"/>
    <w:rsid w:val="00FB2B11"/>
    <w:rsid w:val="00FB415F"/>
    <w:rsid w:val="00FB4658"/>
    <w:rsid w:val="00FB477D"/>
    <w:rsid w:val="00FB4F74"/>
    <w:rsid w:val="00FB5099"/>
    <w:rsid w:val="00FB50C9"/>
    <w:rsid w:val="00FB5607"/>
    <w:rsid w:val="00FB5838"/>
    <w:rsid w:val="00FB5A52"/>
    <w:rsid w:val="00FB6872"/>
    <w:rsid w:val="00FB6A38"/>
    <w:rsid w:val="00FB6E60"/>
    <w:rsid w:val="00FB6FD7"/>
    <w:rsid w:val="00FB724F"/>
    <w:rsid w:val="00FB746F"/>
    <w:rsid w:val="00FB78BD"/>
    <w:rsid w:val="00FB7F2F"/>
    <w:rsid w:val="00FC0109"/>
    <w:rsid w:val="00FC0450"/>
    <w:rsid w:val="00FC063E"/>
    <w:rsid w:val="00FC0920"/>
    <w:rsid w:val="00FC1061"/>
    <w:rsid w:val="00FC21CB"/>
    <w:rsid w:val="00FC279B"/>
    <w:rsid w:val="00FC2A39"/>
    <w:rsid w:val="00FC342A"/>
    <w:rsid w:val="00FC4186"/>
    <w:rsid w:val="00FC422E"/>
    <w:rsid w:val="00FC47A7"/>
    <w:rsid w:val="00FC4AC7"/>
    <w:rsid w:val="00FC4CC6"/>
    <w:rsid w:val="00FC57B5"/>
    <w:rsid w:val="00FC5965"/>
    <w:rsid w:val="00FC61B0"/>
    <w:rsid w:val="00FC6439"/>
    <w:rsid w:val="00FC64E6"/>
    <w:rsid w:val="00FC66D9"/>
    <w:rsid w:val="00FC77C3"/>
    <w:rsid w:val="00FC7893"/>
    <w:rsid w:val="00FD0477"/>
    <w:rsid w:val="00FD0703"/>
    <w:rsid w:val="00FD0E3C"/>
    <w:rsid w:val="00FD1304"/>
    <w:rsid w:val="00FD15D4"/>
    <w:rsid w:val="00FD1799"/>
    <w:rsid w:val="00FD1A5F"/>
    <w:rsid w:val="00FD2CAB"/>
    <w:rsid w:val="00FD2D5B"/>
    <w:rsid w:val="00FD33C1"/>
    <w:rsid w:val="00FD390D"/>
    <w:rsid w:val="00FD3C0A"/>
    <w:rsid w:val="00FD461B"/>
    <w:rsid w:val="00FD4BA6"/>
    <w:rsid w:val="00FD57F5"/>
    <w:rsid w:val="00FD5C03"/>
    <w:rsid w:val="00FD5C94"/>
    <w:rsid w:val="00FD5D0F"/>
    <w:rsid w:val="00FD5D2D"/>
    <w:rsid w:val="00FD611B"/>
    <w:rsid w:val="00FD6360"/>
    <w:rsid w:val="00FD64F7"/>
    <w:rsid w:val="00FD66C7"/>
    <w:rsid w:val="00FD7E3C"/>
    <w:rsid w:val="00FE0239"/>
    <w:rsid w:val="00FE0855"/>
    <w:rsid w:val="00FE111B"/>
    <w:rsid w:val="00FE1C1C"/>
    <w:rsid w:val="00FE20C0"/>
    <w:rsid w:val="00FE22FD"/>
    <w:rsid w:val="00FE24A0"/>
    <w:rsid w:val="00FE29B7"/>
    <w:rsid w:val="00FE2CB1"/>
    <w:rsid w:val="00FE2FC2"/>
    <w:rsid w:val="00FE3046"/>
    <w:rsid w:val="00FE31D2"/>
    <w:rsid w:val="00FE3DF2"/>
    <w:rsid w:val="00FE458B"/>
    <w:rsid w:val="00FE4700"/>
    <w:rsid w:val="00FE5815"/>
    <w:rsid w:val="00FE59B0"/>
    <w:rsid w:val="00FE5A02"/>
    <w:rsid w:val="00FE5B40"/>
    <w:rsid w:val="00FE63D8"/>
    <w:rsid w:val="00FE77AE"/>
    <w:rsid w:val="00FE77E1"/>
    <w:rsid w:val="00FE7CB5"/>
    <w:rsid w:val="00FE7D66"/>
    <w:rsid w:val="00FF0061"/>
    <w:rsid w:val="00FF016E"/>
    <w:rsid w:val="00FF0866"/>
    <w:rsid w:val="00FF0ECE"/>
    <w:rsid w:val="00FF1535"/>
    <w:rsid w:val="00FF1A16"/>
    <w:rsid w:val="00FF2038"/>
    <w:rsid w:val="00FF2440"/>
    <w:rsid w:val="00FF2E9F"/>
    <w:rsid w:val="00FF2FE1"/>
    <w:rsid w:val="00FF352B"/>
    <w:rsid w:val="00FF3D85"/>
    <w:rsid w:val="00FF4198"/>
    <w:rsid w:val="00FF41A2"/>
    <w:rsid w:val="00FF4448"/>
    <w:rsid w:val="00FF4946"/>
    <w:rsid w:val="00FF4CA7"/>
    <w:rsid w:val="00FF4D9B"/>
    <w:rsid w:val="00FF54F5"/>
    <w:rsid w:val="00FF5555"/>
    <w:rsid w:val="00FF56BA"/>
    <w:rsid w:val="00FF59A9"/>
    <w:rsid w:val="00FF601D"/>
    <w:rsid w:val="00FF6639"/>
    <w:rsid w:val="00FF6AB3"/>
    <w:rsid w:val="00FF6B69"/>
    <w:rsid w:val="00FF6CD5"/>
    <w:rsid w:val="00FF6E33"/>
    <w:rsid w:val="00FF718B"/>
    <w:rsid w:val="00FF7435"/>
    <w:rsid w:val="00FF76F4"/>
    <w:rsid w:val="00FF7C3A"/>
    <w:rsid w:val="00FF7DF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8" w:lineRule="auto"/>
    </w:pPr>
    <w:rPr>
      <w:rFonts w:ascii="Century Schoolbook" w:hAnsi="Century Schoolbook"/>
      <w:sz w:val="26"/>
      <w:szCs w:val="22"/>
    </w:rPr>
  </w:style>
  <w:style w:type="paragraph" w:styleId="Heading1">
    <w:name w:val="heading 1"/>
    <w:basedOn w:val="Normal"/>
    <w:next w:val="Normal"/>
    <w:link w:val="Heading1Char"/>
    <w:uiPriority w:val="9"/>
    <w:qFormat/>
    <w:rsid w:val="009530E4"/>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9530E4"/>
    <w:pPr>
      <w:keepNext/>
      <w:spacing w:before="240" w:after="60"/>
      <w:outlineLvl w:val="1"/>
    </w:pPr>
    <w:rPr>
      <w:rFonts w:ascii="Calibri Light" w:eastAsia="Times New Roman" w:hAnsi="Calibri Light"/>
      <w:b/>
      <w:bCs/>
      <w:i/>
      <w:iCs/>
      <w:sz w:val="28"/>
      <w:szCs w:val="28"/>
    </w:rPr>
  </w:style>
  <w:style w:type="paragraph" w:styleId="Heading3">
    <w:name w:val="heading 3"/>
    <w:basedOn w:val="Heading2"/>
    <w:next w:val="Normal"/>
    <w:link w:val="Heading3Char"/>
    <w:uiPriority w:val="9"/>
    <w:unhideWhenUsed/>
    <w:qFormat/>
    <w:rsid w:val="009530E4"/>
    <w:pPr>
      <w:keepLines/>
      <w:numPr>
        <w:ilvl w:val="1"/>
        <w:numId w:val="1"/>
      </w:numPr>
      <w:tabs>
        <w:tab w:val="left" w:pos="720"/>
      </w:tabs>
      <w:suppressAutoHyphens/>
      <w:spacing w:before="120" w:after="120"/>
      <w:outlineLvl w:val="2"/>
    </w:pPr>
    <w:rPr>
      <w:rFonts w:ascii="Century Schoolbook" w:eastAsia="Calibri" w:hAnsi="Century Schoolbook"/>
      <w:bCs w:val="0"/>
      <w:i w:val="0"/>
      <w:iCs w:val="0"/>
      <w:kern w:val="2"/>
      <w:sz w:val="25"/>
      <w:szCs w:val="26"/>
    </w:rPr>
  </w:style>
  <w:style w:type="paragraph" w:styleId="Heading4">
    <w:name w:val="heading 4"/>
    <w:basedOn w:val="Heading3"/>
    <w:next w:val="Normal"/>
    <w:link w:val="Heading4Char"/>
    <w:uiPriority w:val="9"/>
    <w:unhideWhenUsed/>
    <w:qFormat/>
    <w:rsid w:val="009530E4"/>
    <w:pPr>
      <w:numPr>
        <w:ilvl w:val="2"/>
      </w:numPr>
      <w:outlineLvl w:val="3"/>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9530E4"/>
    <w:rPr>
      <w:sz w:val="20"/>
      <w:szCs w:val="20"/>
    </w:rPr>
  </w:style>
  <w:style w:type="character" w:customStyle="1" w:styleId="FootnoteTextChar">
    <w:name w:val="Footnote Text Char"/>
    <w:link w:val="FootnoteText"/>
    <w:uiPriority w:val="99"/>
    <w:rsid w:val="009530E4"/>
    <w:rPr>
      <w:rFonts w:ascii="Century Schoolbook" w:hAnsi="Century Schoolbook"/>
    </w:rPr>
  </w:style>
  <w:style w:type="paragraph" w:customStyle="1" w:styleId="Heading21">
    <w:name w:val="Heading 21"/>
    <w:basedOn w:val="Heading1"/>
    <w:next w:val="Normal"/>
    <w:uiPriority w:val="9"/>
    <w:unhideWhenUsed/>
    <w:qFormat/>
    <w:rsid w:val="009530E4"/>
    <w:pPr>
      <w:keepLines/>
      <w:numPr>
        <w:numId w:val="1"/>
      </w:numPr>
      <w:tabs>
        <w:tab w:val="num" w:pos="360"/>
        <w:tab w:val="left" w:pos="720"/>
      </w:tabs>
      <w:suppressAutoHyphens/>
      <w:spacing w:before="120" w:after="120"/>
      <w:ind w:left="0" w:firstLine="0"/>
      <w:outlineLvl w:val="1"/>
    </w:pPr>
    <w:rPr>
      <w:rFonts w:ascii="Century Schoolbook" w:eastAsia="Calibri" w:hAnsi="Century Schoolbook"/>
      <w:bCs w:val="0"/>
      <w:kern w:val="16"/>
      <w:sz w:val="25"/>
      <w:szCs w:val="26"/>
    </w:rPr>
  </w:style>
  <w:style w:type="character" w:customStyle="1" w:styleId="Heading3Char">
    <w:name w:val="Heading 3 Char"/>
    <w:link w:val="Heading3"/>
    <w:uiPriority w:val="9"/>
    <w:rsid w:val="009530E4"/>
    <w:rPr>
      <w:rFonts w:ascii="Century Schoolbook" w:hAnsi="Century Schoolbook"/>
      <w:b/>
      <w:kern w:val="2"/>
      <w:sz w:val="25"/>
      <w:szCs w:val="26"/>
    </w:rPr>
  </w:style>
  <w:style w:type="character" w:customStyle="1" w:styleId="Heading4Char">
    <w:name w:val="Heading 4 Char"/>
    <w:link w:val="Heading4"/>
    <w:uiPriority w:val="9"/>
    <w:rsid w:val="009530E4"/>
    <w:rPr>
      <w:rFonts w:ascii="Century Schoolbook" w:hAnsi="Century Schoolbook"/>
      <w:b/>
      <w:bCs/>
      <w:kern w:val="2"/>
      <w:sz w:val="25"/>
      <w:szCs w:val="26"/>
    </w:rPr>
  </w:style>
  <w:style w:type="character" w:styleId="FootnoteReference">
    <w:name w:val="footnote reference"/>
    <w:unhideWhenUsed/>
    <w:qFormat/>
    <w:rsid w:val="009530E4"/>
    <w:rPr>
      <w:rFonts w:ascii="Century Schoolbook" w:hAnsi="Century Schoolbook"/>
      <w:b/>
      <w:sz w:val="24"/>
      <w:vertAlign w:val="superscript"/>
    </w:rPr>
  </w:style>
  <w:style w:type="table" w:customStyle="1" w:styleId="TableGrid1">
    <w:name w:val="Table Grid1"/>
    <w:basedOn w:val="TableNormal"/>
    <w:next w:val="TableGrid"/>
    <w:uiPriority w:val="59"/>
    <w:rsid w:val="009530E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9530E4"/>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9530E4"/>
    <w:rPr>
      <w:rFonts w:ascii="Calibri Light" w:eastAsia="Times New Roman" w:hAnsi="Calibri Light" w:cs="Times New Roman"/>
      <w:b/>
      <w:bCs/>
      <w:i/>
      <w:iCs/>
      <w:sz w:val="28"/>
      <w:szCs w:val="28"/>
    </w:rPr>
  </w:style>
  <w:style w:type="table" w:styleId="TableGrid">
    <w:name w:val="Table Grid"/>
    <w:basedOn w:val="TableNormal"/>
    <w:uiPriority w:val="39"/>
    <w:rsid w:val="00953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141BB"/>
    <w:rPr>
      <w:color w:val="0563C1"/>
      <w:u w:val="single"/>
    </w:rPr>
  </w:style>
  <w:style w:type="paragraph" w:styleId="ListParagraph">
    <w:name w:val="List Paragraph"/>
    <w:basedOn w:val="Normal"/>
    <w:uiPriority w:val="34"/>
    <w:qFormat/>
    <w:rsid w:val="002622C4"/>
    <w:pPr>
      <w:ind w:left="720"/>
    </w:pPr>
  </w:style>
  <w:style w:type="paragraph" w:styleId="Header">
    <w:name w:val="header"/>
    <w:basedOn w:val="Normal"/>
    <w:link w:val="HeaderChar"/>
    <w:uiPriority w:val="99"/>
    <w:unhideWhenUsed/>
    <w:rsid w:val="002622C4"/>
    <w:pPr>
      <w:tabs>
        <w:tab w:val="center" w:pos="4680"/>
        <w:tab w:val="right" w:pos="9360"/>
      </w:tabs>
    </w:pPr>
  </w:style>
  <w:style w:type="character" w:customStyle="1" w:styleId="HeaderChar">
    <w:name w:val="Header Char"/>
    <w:link w:val="Header"/>
    <w:uiPriority w:val="99"/>
    <w:rsid w:val="002622C4"/>
    <w:rPr>
      <w:rFonts w:ascii="Century Schoolbook" w:hAnsi="Century Schoolbook"/>
      <w:sz w:val="26"/>
      <w:szCs w:val="22"/>
    </w:rPr>
  </w:style>
  <w:style w:type="paragraph" w:styleId="Footer">
    <w:name w:val="footer"/>
    <w:basedOn w:val="Normal"/>
    <w:link w:val="FooterChar"/>
    <w:uiPriority w:val="99"/>
    <w:unhideWhenUsed/>
    <w:rsid w:val="002622C4"/>
    <w:pPr>
      <w:tabs>
        <w:tab w:val="center" w:pos="4680"/>
        <w:tab w:val="right" w:pos="9360"/>
      </w:tabs>
    </w:pPr>
  </w:style>
  <w:style w:type="character" w:customStyle="1" w:styleId="FooterChar">
    <w:name w:val="Footer Char"/>
    <w:link w:val="Footer"/>
    <w:uiPriority w:val="99"/>
    <w:rsid w:val="002622C4"/>
    <w:rPr>
      <w:rFonts w:ascii="Century Schoolbook" w:hAnsi="Century Schoolbook"/>
      <w:sz w:val="26"/>
      <w:szCs w:val="22"/>
    </w:rPr>
  </w:style>
  <w:style w:type="paragraph" w:styleId="BalloonText">
    <w:name w:val="Balloon Text"/>
    <w:basedOn w:val="Normal"/>
    <w:link w:val="BalloonTextChar"/>
    <w:uiPriority w:val="99"/>
    <w:semiHidden/>
    <w:unhideWhenUsed/>
    <w:rsid w:val="00467639"/>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467639"/>
    <w:rPr>
      <w:rFonts w:ascii="Segoe UI" w:hAnsi="Segoe UI" w:cs="Segoe UI"/>
      <w:sz w:val="18"/>
      <w:szCs w:val="18"/>
    </w:rPr>
  </w:style>
  <w:style w:type="character" w:styleId="CommentReference">
    <w:name w:val="annotation reference"/>
    <w:uiPriority w:val="99"/>
    <w:semiHidden/>
    <w:unhideWhenUsed/>
    <w:rsid w:val="00395BA6"/>
    <w:rPr>
      <w:sz w:val="16"/>
      <w:szCs w:val="16"/>
    </w:rPr>
  </w:style>
  <w:style w:type="paragraph" w:styleId="CommentText">
    <w:name w:val="annotation text"/>
    <w:basedOn w:val="Normal"/>
    <w:link w:val="CommentTextChar"/>
    <w:uiPriority w:val="99"/>
    <w:unhideWhenUsed/>
    <w:rsid w:val="00395BA6"/>
    <w:rPr>
      <w:sz w:val="20"/>
      <w:szCs w:val="20"/>
    </w:rPr>
  </w:style>
  <w:style w:type="character" w:customStyle="1" w:styleId="CommentTextChar">
    <w:name w:val="Comment Text Char"/>
    <w:link w:val="CommentText"/>
    <w:uiPriority w:val="99"/>
    <w:rsid w:val="00395BA6"/>
    <w:rPr>
      <w:rFonts w:ascii="Century Schoolbook" w:hAnsi="Century Schoolbook"/>
    </w:rPr>
  </w:style>
  <w:style w:type="paragraph" w:styleId="CommentSubject">
    <w:name w:val="annotation subject"/>
    <w:basedOn w:val="CommentText"/>
    <w:next w:val="CommentText"/>
    <w:link w:val="CommentSubjectChar"/>
    <w:uiPriority w:val="99"/>
    <w:semiHidden/>
    <w:unhideWhenUsed/>
    <w:rsid w:val="00395BA6"/>
    <w:rPr>
      <w:b/>
      <w:bCs/>
    </w:rPr>
  </w:style>
  <w:style w:type="character" w:customStyle="1" w:styleId="CommentSubjectChar">
    <w:name w:val="Comment Subject Char"/>
    <w:link w:val="CommentSubject"/>
    <w:uiPriority w:val="99"/>
    <w:semiHidden/>
    <w:rsid w:val="00395BA6"/>
    <w:rPr>
      <w:rFonts w:ascii="Century Schoolbook" w:hAnsi="Century Schoolbook"/>
      <w:b/>
      <w:bCs/>
    </w:rPr>
  </w:style>
  <w:style w:type="paragraph" w:styleId="Revision">
    <w:name w:val="Revision"/>
    <w:hidden/>
    <w:uiPriority w:val="99"/>
    <w:semiHidden/>
    <w:rsid w:val="009477ED"/>
    <w:rPr>
      <w:rFonts w:ascii="Century Schoolbook" w:hAnsi="Century Schoolbook"/>
      <w:sz w:val="26"/>
      <w:szCs w:val="22"/>
    </w:rPr>
  </w:style>
  <w:style w:type="character" w:customStyle="1" w:styleId="UnresolvedMention1">
    <w:name w:val="Unresolved Mention1"/>
    <w:uiPriority w:val="99"/>
    <w:semiHidden/>
    <w:unhideWhenUsed/>
    <w:rsid w:val="00947316"/>
    <w:rPr>
      <w:color w:val="605E5C"/>
      <w:shd w:val="clear" w:color="auto" w:fill="E1DFDD"/>
    </w:rPr>
  </w:style>
  <w:style w:type="paragraph" w:styleId="NormalWeb">
    <w:name w:val="Normal (Web)"/>
    <w:basedOn w:val="Normal"/>
    <w:uiPriority w:val="99"/>
    <w:semiHidden/>
    <w:unhideWhenUsed/>
    <w:rsid w:val="00FF5555"/>
    <w:rPr>
      <w:rFonts w:ascii="Times New Roman" w:hAnsi="Times New Roman"/>
      <w:sz w:val="24"/>
      <w:szCs w:val="24"/>
    </w:rPr>
  </w:style>
  <w:style w:type="character" w:customStyle="1" w:styleId="ssit">
    <w:name w:val="ss_it"/>
    <w:basedOn w:val="DefaultParagraphFont"/>
    <w:rsid w:val="00BF63CA"/>
  </w:style>
  <w:style w:type="character" w:customStyle="1" w:styleId="xapple-converted-space">
    <w:name w:val="x_apple-converted-space"/>
    <w:basedOn w:val="DefaultParagraphFont"/>
    <w:rsid w:val="00E65C6E"/>
  </w:style>
  <w:style w:type="paragraph" w:customStyle="1" w:styleId="paragraphlist">
    <w:name w:val="paragraphlist"/>
    <w:basedOn w:val="Normal"/>
    <w:rsid w:val="00282263"/>
    <w:pPr>
      <w:spacing w:before="100" w:beforeAutospacing="1" w:after="100" w:afterAutospacing="1" w:line="240" w:lineRule="auto"/>
    </w:pPr>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602842"/>
    <w:pPr>
      <w:spacing w:line="240" w:lineRule="auto"/>
    </w:pPr>
    <w:rPr>
      <w:sz w:val="20"/>
      <w:szCs w:val="20"/>
    </w:rPr>
  </w:style>
  <w:style w:type="character" w:customStyle="1" w:styleId="EndnoteTextChar">
    <w:name w:val="Endnote Text Char"/>
    <w:basedOn w:val="DefaultParagraphFont"/>
    <w:link w:val="EndnoteText"/>
    <w:uiPriority w:val="99"/>
    <w:semiHidden/>
    <w:rsid w:val="00602842"/>
    <w:rPr>
      <w:rFonts w:ascii="Century Schoolbook" w:hAnsi="Century Schoolbook"/>
    </w:rPr>
  </w:style>
  <w:style w:type="character" w:styleId="EndnoteReference">
    <w:name w:val="endnote reference"/>
    <w:basedOn w:val="DefaultParagraphFont"/>
    <w:uiPriority w:val="99"/>
    <w:semiHidden/>
    <w:unhideWhenUsed/>
    <w:rsid w:val="00602842"/>
    <w:rPr>
      <w:vertAlign w:val="superscript"/>
    </w:rPr>
  </w:style>
  <w:style w:type="character" w:customStyle="1" w:styleId="UnresolvedMention2">
    <w:name w:val="Unresolved Mention2"/>
    <w:basedOn w:val="DefaultParagraphFont"/>
    <w:uiPriority w:val="99"/>
    <w:semiHidden/>
    <w:unhideWhenUsed/>
    <w:rsid w:val="002C3FB3"/>
    <w:rPr>
      <w:color w:val="605E5C"/>
      <w:shd w:val="clear" w:color="auto" w:fill="E1DFDD"/>
    </w:rPr>
  </w:style>
  <w:style w:type="character" w:styleId="PlaceholderText">
    <w:name w:val="Placeholder Text"/>
    <w:basedOn w:val="DefaultParagraphFont"/>
    <w:uiPriority w:val="99"/>
    <w:semiHidden/>
    <w:rsid w:val="002F15A4"/>
    <w:rPr>
      <w:color w:val="808080"/>
    </w:rPr>
  </w:style>
  <w:style w:type="character" w:styleId="FollowedHyperlink">
    <w:name w:val="FollowedHyperlink"/>
    <w:basedOn w:val="DefaultParagraphFont"/>
    <w:uiPriority w:val="99"/>
    <w:semiHidden/>
    <w:unhideWhenUsed/>
    <w:rsid w:val="006265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AC2F2-2FC2-A34C-A822-6183D2B2A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4758</Words>
  <Characters>27122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2023-02-28T00:20:09Z</dcterms:created>
  <dcterms:modified xsi:type="dcterms:W3CDTF">2023-02-28T00:20:09Z</dcterms:modified>
</cp:coreProperties>
</file>