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5516B" w:rsidP="0025516B">
      <w:pPr>
        <w:spacing w:line="240" w:lineRule="auto"/>
        <w:rPr>
          <w:sz w:val="20"/>
        </w:rPr>
      </w:pPr>
      <w:r>
        <w:rPr>
          <w:sz w:val="20"/>
        </w:rPr>
        <w:t>Filed 7/2/24 (unmodified opinion attached)</w:t>
      </w:r>
    </w:p>
    <w:p w:rsidR="0025516B" w:rsidP="0025516B">
      <w:pPr>
        <w:rPr>
          <w:sz w:val="20"/>
        </w:rPr>
      </w:pPr>
    </w:p>
    <w:p w:rsidR="0025516B" w:rsidP="0025516B">
      <w:pPr>
        <w:jc w:val="center"/>
        <w:rPr>
          <w:b/>
        </w:rPr>
      </w:pPr>
      <w:r>
        <w:rPr>
          <w:b/>
        </w:rPr>
        <w:t>CERTIFIED FOR PUBLICATION</w:t>
      </w:r>
    </w:p>
    <w:p w:rsidR="0025516B" w:rsidP="0025516B">
      <w:pPr>
        <w:jc w:val="center"/>
      </w:pPr>
    </w:p>
    <w:p w:rsidR="0025516B" w:rsidRPr="007D11C6" w:rsidP="0025516B">
      <w:pPr>
        <w:jc w:val="center"/>
      </w:pPr>
      <w:r w:rsidRPr="007D11C6">
        <w:t>IN THE COURT OF APPEAL OF THE STATE OF CALIFORNIA</w:t>
      </w:r>
    </w:p>
    <w:p w:rsidR="0025516B" w:rsidRPr="007D11C6" w:rsidP="0025516B">
      <w:pPr>
        <w:jc w:val="center"/>
      </w:pPr>
      <w:r w:rsidRPr="007D11C6">
        <w:t>FIRST APPELLATE DISTRICT</w:t>
      </w:r>
    </w:p>
    <w:p w:rsidR="0025516B" w:rsidRPr="007D11C6" w:rsidP="0025516B">
      <w:pPr>
        <w:jc w:val="center"/>
      </w:pPr>
      <w:r w:rsidRPr="007D11C6">
        <w:t>DIVISION THREE</w:t>
      </w:r>
    </w:p>
    <w:p w:rsidR="0025516B" w:rsidRPr="007D11C6" w:rsidP="0025516B">
      <w:pPr>
        <w:spacing w:line="240" w:lineRule="auto"/>
        <w:jc w:val="center"/>
      </w:pPr>
    </w:p>
    <w:p w:rsidR="0025516B" w:rsidRPr="007D11C6" w:rsidP="0025516B">
      <w:pPr>
        <w:spacing w:line="240" w:lineRule="auto"/>
        <w:jc w:val="center"/>
      </w:pPr>
    </w:p>
    <w:tbl>
      <w:tblPr>
        <w:tblW w:w="9540" w:type="dxa"/>
        <w:tblInd w:w="0" w:type="dxa"/>
        <w:tblLayout w:type="fixed"/>
        <w:tblCellMar>
          <w:top w:w="0" w:type="dxa"/>
          <w:left w:w="108" w:type="dxa"/>
          <w:bottom w:w="0" w:type="dxa"/>
          <w:right w:w="108" w:type="dxa"/>
        </w:tblCellMar>
        <w:tblLook w:val="0000"/>
      </w:tblPr>
      <w:tblGrid>
        <w:gridCol w:w="4770"/>
        <w:gridCol w:w="4770"/>
      </w:tblGrid>
      <w:tr w:rsidTr="00F6513A">
        <w:tblPrEx>
          <w:tblW w:w="9540" w:type="dxa"/>
          <w:tblInd w:w="0" w:type="dxa"/>
          <w:tblLayout w:type="fixed"/>
          <w:tblCellMar>
            <w:top w:w="0" w:type="dxa"/>
            <w:left w:w="108" w:type="dxa"/>
            <w:bottom w:w="0" w:type="dxa"/>
            <w:right w:w="108" w:type="dxa"/>
          </w:tblCellMar>
          <w:tblLook w:val="0000"/>
        </w:tblPrEx>
        <w:tc>
          <w:tcPr>
            <w:tcW w:w="4770" w:type="dxa"/>
            <w:tcBorders>
              <w:bottom w:val="single" w:sz="4" w:space="0" w:color="auto"/>
              <w:right w:val="single" w:sz="4" w:space="0" w:color="auto"/>
            </w:tcBorders>
            <w:shd w:val="clear" w:color="auto" w:fill="auto"/>
          </w:tcPr>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REGENTS OF THE UNIVERSITY OF CALIFORNIA,</w:t>
            </w:r>
          </w:p>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Pr>
                <w:rFonts w:ascii="Century Schoolbook" w:hAnsi="Century Schoolbook" w:eastAsiaTheme="minorHAnsi" w:cstheme="minorBidi"/>
                <w:sz w:val="26"/>
                <w:szCs w:val="26"/>
                <w:lang w:val="en-US" w:eastAsia="en-US" w:bidi="ar-SA"/>
              </w:rPr>
              <w:t>Petitioner,</w:t>
            </w:r>
          </w:p>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v.</w:t>
            </w:r>
          </w:p>
          <w:p w:rsidR="0025516B"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SUPERIOR COURT OF THE CITY AND COUNTY OF SAN FRANCISCO,</w:t>
            </w:r>
          </w:p>
          <w:p w:rsidR="0025516B"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Pr>
                <w:rFonts w:ascii="Century Schoolbook" w:hAnsi="Century Schoolbook" w:eastAsiaTheme="minorHAnsi" w:cstheme="minorBidi"/>
                <w:sz w:val="26"/>
                <w:szCs w:val="26"/>
                <w:lang w:val="en-US" w:eastAsia="en-US" w:bidi="ar-SA"/>
              </w:rPr>
              <w:t>Respondent;</w:t>
            </w:r>
          </w:p>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PARNASSUS NEIGHBORHOOD COALITION,</w:t>
            </w:r>
          </w:p>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Pr>
                <w:rFonts w:ascii="Century Schoolbook" w:hAnsi="Century Schoolbook" w:eastAsiaTheme="minorHAnsi" w:cstheme="minorBidi"/>
                <w:sz w:val="26"/>
                <w:szCs w:val="26"/>
                <w:lang w:val="en-US" w:eastAsia="en-US" w:bidi="ar-SA"/>
              </w:rPr>
              <w:t>Real Party in Interest.</w:t>
            </w:r>
          </w:p>
        </w:tc>
        <w:tc>
          <w:tcPr>
            <w:tcW w:w="4770" w:type="dxa"/>
            <w:tcBorders>
              <w:left w:val="single" w:sz="4" w:space="0" w:color="auto"/>
            </w:tcBorders>
            <w:shd w:val="clear" w:color="auto" w:fill="auto"/>
          </w:tcPr>
          <w:p w:rsidR="0025516B" w:rsidRPr="007D11C6" w:rsidP="00F6513A">
            <w:pPr>
              <w:spacing w:after="120" w:line="240" w:lineRule="auto"/>
              <w:rPr>
                <w:rStyle w:val="DefaultParagraphFont"/>
                <w:rFonts w:ascii="Century Schoolbook" w:hAnsi="Century Schoolbook" w:eastAsiaTheme="minorHAnsi" w:cstheme="minorBidi"/>
                <w:sz w:val="26"/>
                <w:szCs w:val="26"/>
                <w:lang w:val="en-US" w:eastAsia="en-US" w:bidi="ar-SA"/>
              </w:rPr>
            </w:pPr>
          </w:p>
          <w:p w:rsidR="0025516B" w:rsidP="00F6513A">
            <w:pPr>
              <w:spacing w:after="120" w:line="240" w:lineRule="auto"/>
              <w:rPr>
                <w:rStyle w:val="DefaultParagraphFont"/>
                <w:rFonts w:ascii="Century Schoolbook" w:hAnsi="Century Schoolbook" w:eastAsiaTheme="minorHAnsi" w:cstheme="minorBidi"/>
                <w:sz w:val="26"/>
                <w:szCs w:val="26"/>
                <w:lang w:val="en-US" w:eastAsia="en-US" w:bidi="ar-SA"/>
              </w:rPr>
            </w:pPr>
          </w:p>
          <w:p w:rsidR="0025516B" w:rsidP="00F6513A">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A169318</w:t>
            </w:r>
          </w:p>
          <w:p w:rsidR="0025516B" w:rsidP="00F6513A">
            <w:pPr>
              <w:spacing w:line="240" w:lineRule="auto"/>
              <w:rPr>
                <w:rStyle w:val="DefaultParagraphFont"/>
                <w:rFonts w:ascii="Century Schoolbook" w:hAnsi="Century Schoolbook" w:eastAsiaTheme="minorHAnsi" w:cstheme="minorBidi"/>
                <w:sz w:val="26"/>
                <w:szCs w:val="26"/>
                <w:lang w:val="en-US" w:eastAsia="en-US" w:bidi="ar-SA"/>
              </w:rPr>
            </w:pPr>
          </w:p>
          <w:p w:rsidR="0025516B" w:rsidP="00F6513A">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(City &amp; County of San Francisco    </w:t>
            </w:r>
          </w:p>
          <w:p w:rsidR="0025516B" w:rsidP="00F6513A">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 CGC-23-605307)</w:t>
            </w:r>
          </w:p>
          <w:p w:rsidR="0025516B" w:rsidP="00F6513A">
            <w:pPr>
              <w:spacing w:line="240" w:lineRule="auto"/>
              <w:rPr>
                <w:rStyle w:val="DefaultParagraphFont"/>
                <w:rFonts w:ascii="Century Schoolbook" w:hAnsi="Century Schoolbook" w:eastAsiaTheme="minorHAnsi" w:cstheme="minorBidi"/>
                <w:sz w:val="26"/>
                <w:szCs w:val="26"/>
                <w:lang w:val="en-US" w:eastAsia="en-US" w:bidi="ar-SA"/>
              </w:rPr>
            </w:pPr>
          </w:p>
          <w:p w:rsidR="0025516B" w:rsidP="00F6513A">
            <w:pPr>
              <w:spacing w:line="240" w:lineRule="auto"/>
              <w:rPr>
                <w:rStyle w:val="DefaultParagraphFont"/>
                <w:rFonts w:ascii="Century Schoolbook" w:hAnsi="Century Schoolbook" w:eastAsiaTheme="minorHAnsi" w:cstheme="minorBidi"/>
                <w:b/>
                <w:bCs/>
                <w:sz w:val="26"/>
                <w:szCs w:val="26"/>
                <w:lang w:val="en-US" w:eastAsia="en-US" w:bidi="ar-SA"/>
              </w:rPr>
            </w:pPr>
            <w:r w:rsidRPr="004C2024">
              <w:rPr>
                <w:rFonts w:ascii="Century Schoolbook" w:hAnsi="Century Schoolbook" w:eastAsiaTheme="minorHAnsi" w:cstheme="minorBidi"/>
                <w:b/>
                <w:bCs/>
                <w:sz w:val="26"/>
                <w:szCs w:val="26"/>
                <w:lang w:val="en-US" w:eastAsia="en-US" w:bidi="ar-SA"/>
              </w:rPr>
              <w:t xml:space="preserve">    </w:t>
            </w:r>
            <w:r w:rsidRPr="006E6DD0">
              <w:rPr>
                <w:rFonts w:ascii="Century Schoolbook" w:hAnsi="Century Schoolbook" w:eastAsiaTheme="minorHAnsi" w:cstheme="minorBidi"/>
                <w:b/>
                <w:bCs/>
                <w:sz w:val="26"/>
                <w:szCs w:val="26"/>
                <w:lang w:val="en-US" w:eastAsia="en-US" w:bidi="ar-SA"/>
              </w:rPr>
              <w:t>ORDER MODIFYING OPINION</w:t>
            </w:r>
          </w:p>
          <w:p w:rsidR="0025516B" w:rsidP="00F6513A">
            <w:pPr>
              <w:spacing w:line="240" w:lineRule="auto"/>
              <w:rPr>
                <w:rStyle w:val="DefaultParagraphFont"/>
                <w:rFonts w:ascii="Century Schoolbook" w:hAnsi="Century Schoolbook" w:eastAsiaTheme="minorHAnsi" w:cstheme="minorBidi"/>
                <w:b/>
                <w:bCs/>
                <w:sz w:val="26"/>
                <w:szCs w:val="26"/>
                <w:lang w:val="en-US" w:eastAsia="en-US" w:bidi="ar-SA"/>
              </w:rPr>
            </w:pPr>
            <w:r w:rsidRPr="004C2024">
              <w:rPr>
                <w:rFonts w:ascii="Century Schoolbook" w:hAnsi="Century Schoolbook" w:eastAsiaTheme="minorHAnsi" w:cstheme="minorBidi"/>
                <w:b/>
                <w:bCs/>
                <w:sz w:val="26"/>
                <w:szCs w:val="26"/>
                <w:lang w:val="en-US" w:eastAsia="en-US" w:bidi="ar-SA"/>
              </w:rPr>
              <w:t xml:space="preserve">    </w:t>
            </w:r>
            <w:r>
              <w:rPr>
                <w:rFonts w:ascii="Century Schoolbook" w:hAnsi="Century Schoolbook" w:eastAsiaTheme="minorHAnsi" w:cstheme="minorBidi"/>
                <w:b/>
                <w:bCs/>
                <w:sz w:val="26"/>
                <w:szCs w:val="26"/>
                <w:lang w:val="en-US" w:eastAsia="en-US" w:bidi="ar-SA"/>
              </w:rPr>
              <w:t xml:space="preserve">AND DENYING REHEARING </w:t>
            </w:r>
          </w:p>
          <w:p w:rsidR="0025516B" w:rsidRPr="007D11C6" w:rsidP="00F6513A">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b/>
                <w:bCs/>
                <w:sz w:val="26"/>
                <w:szCs w:val="26"/>
                <w:lang w:val="en-US" w:eastAsia="en-US" w:bidi="ar-SA"/>
              </w:rPr>
              <w:t xml:space="preserve">    </w:t>
            </w:r>
            <w:r w:rsidRPr="006E6DD0">
              <w:rPr>
                <w:rFonts w:ascii="Century Schoolbook" w:hAnsi="Century Schoolbook" w:eastAsiaTheme="minorHAnsi" w:cstheme="minorBidi"/>
                <w:b/>
                <w:bCs/>
                <w:sz w:val="26"/>
                <w:szCs w:val="26"/>
                <w:lang w:val="en-US" w:eastAsia="en-US" w:bidi="ar-SA"/>
              </w:rPr>
              <w:t>[NO CHANGE IN JUDGMENT</w:t>
            </w:r>
            <w:r>
              <w:rPr>
                <w:rFonts w:ascii="Century Schoolbook" w:hAnsi="Century Schoolbook" w:eastAsiaTheme="minorHAnsi" w:cstheme="minorBidi"/>
                <w:b/>
                <w:bCs/>
                <w:sz w:val="26"/>
                <w:szCs w:val="26"/>
                <w:lang w:val="en-US" w:eastAsia="en-US" w:bidi="ar-SA"/>
              </w:rPr>
              <w:t>]</w:t>
            </w:r>
          </w:p>
        </w:tc>
      </w:tr>
    </w:tbl>
    <w:p w:rsidR="0025516B" w:rsidP="0025516B"/>
    <w:p w:rsidR="0025516B" w:rsidRPr="0096349B" w:rsidP="0025516B">
      <w:pPr>
        <w:spacing w:line="240" w:lineRule="auto"/>
        <w:rPr>
          <w:rFonts w:ascii="Times New Roman" w:hAnsi="Times New Roman" w:cs="Times New Roman"/>
          <w:sz w:val="24"/>
          <w:szCs w:val="24"/>
        </w:rPr>
      </w:pPr>
      <w:r w:rsidRPr="00375DFA">
        <w:rPr>
          <w:b/>
          <w:bCs/>
        </w:rPr>
        <w:t>THE COURT</w:t>
      </w:r>
      <w:r>
        <w:rPr>
          <w:rStyle w:val="FootnoteReference"/>
        </w:rPr>
        <w:footnoteReference w:customMarkFollows="1" w:id="2"/>
        <w:t xml:space="preserve">*</w:t>
      </w:r>
      <w:r w:rsidRPr="00375DFA">
        <w:rPr>
          <w:b/>
          <w:bCs/>
        </w:rPr>
        <w:t>:</w:t>
      </w:r>
    </w:p>
    <w:p w:rsidR="0025516B" w:rsidP="0025516B">
      <w:r>
        <w:tab/>
      </w:r>
      <w:r w:rsidRPr="00375DFA">
        <w:t>It is ordered that the published opinion filed o</w:t>
      </w:r>
      <w:r>
        <w:t>n June 13</w:t>
      </w:r>
      <w:r w:rsidRPr="00375DFA">
        <w:t>, 202</w:t>
      </w:r>
      <w:r>
        <w:t>4</w:t>
      </w:r>
      <w:r w:rsidRPr="00375DFA">
        <w:t>, be</w:t>
      </w:r>
      <w:r>
        <w:t xml:space="preserve"> </w:t>
      </w:r>
      <w:r w:rsidRPr="00375DFA">
        <w:t>modified as follows:</w:t>
      </w:r>
    </w:p>
    <w:p w:rsidR="0025516B" w:rsidP="0025516B">
      <w:r>
        <w:tab/>
        <w:t>On page 16, the second full paragraph, the first sentence, change “vacate its order denying the Regents’ demurrer” to “vacate its order overruling the Regents’ demurrer.”</w:t>
      </w:r>
    </w:p>
    <w:p w:rsidR="0025516B" w:rsidP="0025516B">
      <w:r>
        <w:tab/>
        <w:t xml:space="preserve">On page 16, the second full paragraph, the third sentence, change “The Regents shall recover their costs on appeal. (Cal. Rules of Court, rule </w:t>
      </w:r>
      <w:r>
        <w:t>8.278(a).)” to “The Regents shall recover their costs in this writ proceeding. (Cal. Rules of Court, rule 8.493(a)(1)(A).)”</w:t>
      </w:r>
    </w:p>
    <w:p w:rsidR="0025516B" w:rsidP="0025516B">
      <w:r>
        <w:tab/>
        <w:t xml:space="preserve">There is no change in the judgment. </w:t>
      </w:r>
    </w:p>
    <w:p w:rsidR="0025516B" w:rsidP="0025516B">
      <w:r>
        <w:tab/>
        <w:t>Real party in interest’s petition for rehearing, filed June 28, 2024, is denied.</w:t>
      </w:r>
    </w:p>
    <w:p w:rsidR="0025516B" w:rsidP="0025516B"/>
    <w:p w:rsidR="0025516B" w:rsidRPr="00DC5AD0" w:rsidP="0025516B">
      <w:pPr>
        <w:rPr>
          <w:iCs/>
          <w:u w:val="single"/>
        </w:rPr>
      </w:pPr>
      <w:r w:rsidRPr="00AC2F8D">
        <w:rPr>
          <w:iCs/>
        </w:rPr>
        <w:t xml:space="preserve">Dated:  </w:t>
      </w:r>
      <w:r w:rsidRPr="00DC5AD0">
        <w:rPr>
          <w:iCs/>
          <w:u w:val="single"/>
        </w:rPr>
        <w:t>__7/2/2024____________</w:t>
      </w:r>
      <w:r>
        <w:rPr>
          <w:iCs/>
        </w:rPr>
        <w:t xml:space="preserve">       </w:t>
      </w:r>
      <w:r w:rsidRPr="00AC2F8D">
        <w:rPr>
          <w:iCs/>
        </w:rPr>
        <w:t>____</w:t>
      </w:r>
      <w:r w:rsidRPr="00DC5AD0">
        <w:rPr>
          <w:iCs/>
          <w:u w:val="single"/>
        </w:rPr>
        <w:t>Fujisaki, Acting P.J.___, Acting P. J.</w:t>
      </w:r>
    </w:p>
    <w:p w:rsidR="0025516B" w:rsidP="0025516B">
      <w:pPr>
        <w:spacing w:line="240" w:lineRule="auto"/>
        <w:rPr>
          <w:iCs/>
        </w:rPr>
      </w:pPr>
    </w:p>
    <w:p w:rsidR="0025516B" w:rsidP="0025516B">
      <w:pPr>
        <w:spacing w:line="240" w:lineRule="auto"/>
        <w:rPr>
          <w:iCs/>
        </w:rPr>
      </w:pPr>
    </w:p>
    <w:p w:rsidR="0025516B" w:rsidP="0003699D">
      <w:pPr>
        <w:rPr>
          <w:sz w:val="20"/>
        </w:rPr>
        <w:sectPr w:rsidSect="004A6D2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03699D" w:rsidP="0003699D">
      <w:pPr>
        <w:rPr>
          <w:sz w:val="20"/>
        </w:rPr>
      </w:pPr>
      <w:r>
        <w:rPr>
          <w:sz w:val="20"/>
        </w:rPr>
        <w:t xml:space="preserve">Filed </w:t>
      </w:r>
      <w:r w:rsidR="004A3AEC">
        <w:rPr>
          <w:sz w:val="20"/>
        </w:rPr>
        <w:t>6/13/24</w:t>
      </w:r>
      <w:r w:rsidR="00FC0442">
        <w:rPr>
          <w:sz w:val="20"/>
        </w:rPr>
        <w:t xml:space="preserve"> (unmodified opinion)</w:t>
      </w:r>
    </w:p>
    <w:p w:rsidR="0003699D" w:rsidP="0003699D">
      <w:pPr>
        <w:jc w:val="center"/>
        <w:rPr>
          <w:b/>
        </w:rPr>
      </w:pPr>
      <w:r>
        <w:rPr>
          <w:b/>
        </w:rPr>
        <w:t>CERTIFIED FOR PUBLICATION</w:t>
      </w:r>
    </w:p>
    <w:p w:rsidR="0003699D" w:rsidP="0003699D">
      <w:pPr>
        <w:jc w:val="center"/>
      </w:pPr>
    </w:p>
    <w:p w:rsidR="00C93269" w:rsidRPr="007D11C6" w:rsidP="0003699D">
      <w:pPr>
        <w:jc w:val="center"/>
      </w:pPr>
      <w:r w:rsidRPr="007D11C6">
        <w:t>IN THE COURT OF APPEAL OF THE STATE OF CALIFORNIA</w:t>
      </w:r>
    </w:p>
    <w:p w:rsidR="00C93269" w:rsidRPr="007D11C6" w:rsidP="00C93269">
      <w:pPr>
        <w:jc w:val="center"/>
      </w:pPr>
      <w:r w:rsidRPr="007D11C6">
        <w:t>FIRST APPELLATE DISTRICT</w:t>
      </w:r>
    </w:p>
    <w:p w:rsidR="00C93269" w:rsidRPr="007D11C6" w:rsidP="00C93269">
      <w:pPr>
        <w:jc w:val="center"/>
      </w:pPr>
      <w:r w:rsidRPr="007D11C6">
        <w:t>DIVISION THREE</w:t>
      </w:r>
    </w:p>
    <w:p w:rsidR="00C93269" w:rsidRPr="007D11C6" w:rsidP="00C93269">
      <w:pPr>
        <w:spacing w:line="240" w:lineRule="auto"/>
        <w:jc w:val="center"/>
      </w:pPr>
    </w:p>
    <w:p w:rsidR="00C93269" w:rsidRPr="007D11C6" w:rsidP="00C93269">
      <w:pPr>
        <w:spacing w:line="240" w:lineRule="auto"/>
        <w:jc w:val="center"/>
      </w:pPr>
    </w:p>
    <w:tbl>
      <w:tblPr>
        <w:tblW w:w="9540" w:type="dxa"/>
        <w:tblInd w:w="0" w:type="dxa"/>
        <w:tblLayout w:type="fixed"/>
        <w:tblCellMar>
          <w:top w:w="0" w:type="dxa"/>
          <w:left w:w="108" w:type="dxa"/>
          <w:bottom w:w="0" w:type="dxa"/>
          <w:right w:w="108" w:type="dxa"/>
        </w:tblCellMar>
        <w:tblLook w:val="0000"/>
      </w:tblPr>
      <w:tblGrid>
        <w:gridCol w:w="4770"/>
        <w:gridCol w:w="4770"/>
      </w:tblGrid>
      <w:tr>
        <w:tblPrEx>
          <w:tblW w:w="9540" w:type="dxa"/>
          <w:tblInd w:w="0" w:type="dxa"/>
          <w:tblLayout w:type="fixed"/>
          <w:tblCellMar>
            <w:top w:w="0" w:type="dxa"/>
            <w:left w:w="108" w:type="dxa"/>
            <w:bottom w:w="0" w:type="dxa"/>
            <w:right w:w="108" w:type="dxa"/>
          </w:tblCellMar>
          <w:tblLook w:val="0000"/>
        </w:tblPrEx>
        <w:tc>
          <w:tcPr>
            <w:tcW w:w="4770" w:type="dxa"/>
            <w:tcBorders>
              <w:bottom w:val="single" w:sz="4" w:space="0" w:color="auto"/>
              <w:right w:val="single" w:sz="4" w:space="0" w:color="auto"/>
            </w:tcBorders>
            <w:shd w:val="clear" w:color="auto" w:fill="auto"/>
          </w:tcPr>
          <w:p w:rsidR="00C93269" w:rsidRPr="007D11C6" w:rsidP="004D1574">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w:t>
            </w:r>
            <w:r w:rsidR="00E229F0">
              <w:rPr>
                <w:rFonts w:ascii="Century Schoolbook" w:hAnsi="Century Schoolbook" w:eastAsiaTheme="minorHAnsi" w:cstheme="minorBidi"/>
                <w:sz w:val="26"/>
                <w:szCs w:val="26"/>
                <w:lang w:val="en-US" w:eastAsia="en-US" w:bidi="ar-SA"/>
              </w:rPr>
              <w:t>E REGENTS OF THE UNIVERSITY OF CALIFORNIA</w:t>
            </w:r>
            <w:r w:rsidR="003B288A">
              <w:rPr>
                <w:rFonts w:ascii="Century Schoolbook" w:hAnsi="Century Schoolbook" w:eastAsiaTheme="minorHAnsi" w:cstheme="minorBidi"/>
                <w:sz w:val="26"/>
                <w:szCs w:val="26"/>
                <w:lang w:val="en-US" w:eastAsia="en-US" w:bidi="ar-SA"/>
              </w:rPr>
              <w:t>,</w:t>
            </w:r>
          </w:p>
          <w:p w:rsidR="00C93269" w:rsidRPr="007D11C6">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sidR="00E229F0">
              <w:rPr>
                <w:rFonts w:ascii="Century Schoolbook" w:hAnsi="Century Schoolbook" w:eastAsiaTheme="minorHAnsi" w:cstheme="minorBidi"/>
                <w:sz w:val="26"/>
                <w:szCs w:val="26"/>
                <w:lang w:val="en-US" w:eastAsia="en-US" w:bidi="ar-SA"/>
              </w:rPr>
              <w:t>Petitioner</w:t>
            </w:r>
            <w:r w:rsidR="00107D29">
              <w:rPr>
                <w:rFonts w:ascii="Century Schoolbook" w:hAnsi="Century Schoolbook" w:eastAsiaTheme="minorHAnsi" w:cstheme="minorBidi"/>
                <w:sz w:val="26"/>
                <w:szCs w:val="26"/>
                <w:lang w:val="en-US" w:eastAsia="en-US" w:bidi="ar-SA"/>
              </w:rPr>
              <w:t>,</w:t>
            </w:r>
          </w:p>
          <w:p w:rsidR="00C93269" w:rsidRPr="007D11C6" w:rsidP="000C2E1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v.</w:t>
            </w:r>
          </w:p>
          <w:p w:rsidR="00C93269" w:rsidP="004D1574">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THE SUPERIOR COURT OF THE CITY AND COUNTY OF </w:t>
            </w:r>
            <w:r w:rsidR="00E229F0">
              <w:rPr>
                <w:rFonts w:ascii="Century Schoolbook" w:hAnsi="Century Schoolbook" w:eastAsiaTheme="minorHAnsi" w:cstheme="minorBidi"/>
                <w:sz w:val="26"/>
                <w:szCs w:val="26"/>
                <w:lang w:val="en-US" w:eastAsia="en-US" w:bidi="ar-SA"/>
              </w:rPr>
              <w:t>SAN FRANCISCO</w:t>
            </w:r>
            <w:r>
              <w:rPr>
                <w:rFonts w:ascii="Century Schoolbook" w:hAnsi="Century Schoolbook" w:eastAsiaTheme="minorHAnsi" w:cstheme="minorBidi"/>
                <w:sz w:val="26"/>
                <w:szCs w:val="26"/>
                <w:lang w:val="en-US" w:eastAsia="en-US" w:bidi="ar-SA"/>
              </w:rPr>
              <w:t>,</w:t>
            </w:r>
          </w:p>
          <w:p w:rsidR="00E229F0" w:rsidP="000C2E1A">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Pr>
                <w:rFonts w:ascii="Century Schoolbook" w:hAnsi="Century Schoolbook" w:eastAsiaTheme="minorHAnsi" w:cstheme="minorBidi"/>
                <w:sz w:val="26"/>
                <w:szCs w:val="26"/>
                <w:lang w:val="en-US" w:eastAsia="en-US" w:bidi="ar-SA"/>
              </w:rPr>
              <w:t>Respondent</w:t>
            </w:r>
            <w:r w:rsidR="0050687A">
              <w:rPr>
                <w:rFonts w:ascii="Century Schoolbook" w:hAnsi="Century Schoolbook" w:eastAsiaTheme="minorHAnsi" w:cstheme="minorBidi"/>
                <w:sz w:val="26"/>
                <w:szCs w:val="26"/>
                <w:lang w:val="en-US" w:eastAsia="en-US" w:bidi="ar-SA"/>
              </w:rPr>
              <w:t>;</w:t>
            </w:r>
          </w:p>
          <w:p w:rsidR="00E229F0" w:rsidRPr="007D11C6" w:rsidP="004D1574">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PARNASSUS NEIGHBORHOOD COALITION</w:t>
            </w:r>
            <w:r w:rsidR="003B288A">
              <w:rPr>
                <w:rFonts w:ascii="Century Schoolbook" w:hAnsi="Century Schoolbook" w:eastAsiaTheme="minorHAnsi" w:cstheme="minorBidi"/>
                <w:sz w:val="26"/>
                <w:szCs w:val="26"/>
                <w:lang w:val="en-US" w:eastAsia="en-US" w:bidi="ar-SA"/>
              </w:rPr>
              <w:t>,</w:t>
            </w:r>
          </w:p>
          <w:p w:rsidR="00C93269" w:rsidRPr="007D11C6">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ab/>
            </w:r>
            <w:r w:rsidR="00E229F0">
              <w:rPr>
                <w:rFonts w:ascii="Century Schoolbook" w:hAnsi="Century Schoolbook" w:eastAsiaTheme="minorHAnsi" w:cstheme="minorBidi"/>
                <w:sz w:val="26"/>
                <w:szCs w:val="26"/>
                <w:lang w:val="en-US" w:eastAsia="en-US" w:bidi="ar-SA"/>
              </w:rPr>
              <w:t>Real Party in Interest</w:t>
            </w:r>
            <w:r w:rsidR="00107D29">
              <w:rPr>
                <w:rFonts w:ascii="Century Schoolbook" w:hAnsi="Century Schoolbook" w:eastAsiaTheme="minorHAnsi" w:cstheme="minorBidi"/>
                <w:sz w:val="26"/>
                <w:szCs w:val="26"/>
                <w:lang w:val="en-US" w:eastAsia="en-US" w:bidi="ar-SA"/>
              </w:rPr>
              <w:t>.</w:t>
            </w:r>
          </w:p>
        </w:tc>
        <w:tc>
          <w:tcPr>
            <w:tcW w:w="4770" w:type="dxa"/>
            <w:tcBorders>
              <w:left w:val="single" w:sz="4" w:space="0" w:color="auto"/>
            </w:tcBorders>
            <w:shd w:val="clear" w:color="auto" w:fill="auto"/>
          </w:tcPr>
          <w:p w:rsidR="00C93269" w:rsidRPr="007D11C6">
            <w:pPr>
              <w:spacing w:after="120" w:line="240" w:lineRule="auto"/>
              <w:rPr>
                <w:rStyle w:val="DefaultParagraphFont"/>
                <w:rFonts w:ascii="Century Schoolbook" w:hAnsi="Century Schoolbook" w:eastAsiaTheme="minorHAnsi" w:cstheme="minorBidi"/>
                <w:sz w:val="26"/>
                <w:szCs w:val="26"/>
                <w:lang w:val="en-US" w:eastAsia="en-US" w:bidi="ar-SA"/>
              </w:rPr>
            </w:pPr>
          </w:p>
          <w:p w:rsidR="00C93269">
            <w:pPr>
              <w:spacing w:after="120" w:line="240" w:lineRule="auto"/>
              <w:rPr>
                <w:rStyle w:val="DefaultParagraphFont"/>
                <w:rFonts w:ascii="Century Schoolbook" w:hAnsi="Century Schoolbook" w:eastAsiaTheme="minorHAnsi" w:cstheme="minorBidi"/>
                <w:sz w:val="26"/>
                <w:szCs w:val="26"/>
                <w:lang w:val="en-US" w:eastAsia="en-US" w:bidi="ar-SA"/>
              </w:rPr>
            </w:pPr>
            <w:r w:rsidRPr="007D11C6">
              <w:rPr>
                <w:rFonts w:ascii="Century Schoolbook" w:hAnsi="Century Schoolbook" w:eastAsiaTheme="minorHAnsi" w:cstheme="minorBidi"/>
                <w:sz w:val="26"/>
                <w:szCs w:val="26"/>
                <w:lang w:val="en-US" w:eastAsia="en-US" w:bidi="ar-SA"/>
              </w:rPr>
              <w:t xml:space="preserve">    </w:t>
            </w:r>
          </w:p>
          <w:p w:rsidR="00C93269">
            <w:pPr>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r w:rsidR="00C91A77">
              <w:rPr>
                <w:rFonts w:ascii="Century Schoolbook" w:hAnsi="Century Schoolbook" w:eastAsiaTheme="minorHAnsi" w:cstheme="minorBidi"/>
                <w:sz w:val="26"/>
                <w:szCs w:val="26"/>
                <w:lang w:val="en-US" w:eastAsia="en-US" w:bidi="ar-SA"/>
              </w:rPr>
              <w:t>A169318</w:t>
            </w:r>
          </w:p>
          <w:p w:rsidR="004F16AF" w:rsidP="00720A2E">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r w:rsidR="00CA0B52">
              <w:rPr>
                <w:rFonts w:ascii="Century Schoolbook" w:hAnsi="Century Schoolbook" w:eastAsiaTheme="minorHAnsi" w:cstheme="minorBidi"/>
                <w:sz w:val="26"/>
                <w:szCs w:val="26"/>
                <w:lang w:val="en-US" w:eastAsia="en-US" w:bidi="ar-SA"/>
              </w:rPr>
              <w:t xml:space="preserve"> </w:t>
            </w:r>
          </w:p>
          <w:p w:rsidR="004F16AF" w:rsidP="00720A2E">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r w:rsidR="00CA0B52">
              <w:rPr>
                <w:rFonts w:ascii="Century Schoolbook" w:hAnsi="Century Schoolbook" w:eastAsiaTheme="minorHAnsi" w:cstheme="minorBidi"/>
                <w:sz w:val="26"/>
                <w:szCs w:val="26"/>
                <w:lang w:val="en-US" w:eastAsia="en-US" w:bidi="ar-SA"/>
              </w:rPr>
              <w:t xml:space="preserve"> </w:t>
            </w:r>
            <w:r w:rsidR="00720A2E">
              <w:rPr>
                <w:rFonts w:ascii="Century Schoolbook" w:hAnsi="Century Schoolbook" w:eastAsiaTheme="minorHAnsi" w:cstheme="minorBidi"/>
                <w:sz w:val="26"/>
                <w:szCs w:val="26"/>
                <w:lang w:val="en-US" w:eastAsia="en-US" w:bidi="ar-SA"/>
              </w:rPr>
              <w:t>(</w:t>
            </w:r>
            <w:r>
              <w:rPr>
                <w:rFonts w:ascii="Century Schoolbook" w:hAnsi="Century Schoolbook" w:eastAsiaTheme="minorHAnsi" w:cstheme="minorBidi"/>
                <w:sz w:val="26"/>
                <w:szCs w:val="26"/>
                <w:lang w:val="en-US" w:eastAsia="en-US" w:bidi="ar-SA"/>
              </w:rPr>
              <w:t xml:space="preserve">City &amp; County of </w:t>
            </w:r>
            <w:r w:rsidR="00720A2E">
              <w:rPr>
                <w:rFonts w:ascii="Century Schoolbook" w:hAnsi="Century Schoolbook" w:eastAsiaTheme="minorHAnsi" w:cstheme="minorBidi"/>
                <w:sz w:val="26"/>
                <w:szCs w:val="26"/>
                <w:lang w:val="en-US" w:eastAsia="en-US" w:bidi="ar-SA"/>
              </w:rPr>
              <w:t>San Francisco</w:t>
            </w:r>
            <w:r>
              <w:rPr>
                <w:rFonts w:ascii="Century Schoolbook" w:hAnsi="Century Schoolbook" w:eastAsiaTheme="minorHAnsi" w:cstheme="minorBidi"/>
                <w:sz w:val="26"/>
                <w:szCs w:val="26"/>
                <w:lang w:val="en-US" w:eastAsia="en-US" w:bidi="ar-SA"/>
              </w:rPr>
              <w:t xml:space="preserve">    </w:t>
            </w:r>
          </w:p>
          <w:p w:rsidR="00720A2E" w:rsidRPr="007D11C6" w:rsidP="00720A2E">
            <w:pPr>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r w:rsidR="00CA0B52">
              <w:rPr>
                <w:rFonts w:ascii="Century Schoolbook" w:hAnsi="Century Schoolbook" w:eastAsiaTheme="minorHAnsi" w:cstheme="minorBidi"/>
                <w:sz w:val="26"/>
                <w:szCs w:val="26"/>
                <w:lang w:val="en-US" w:eastAsia="en-US" w:bidi="ar-SA"/>
              </w:rPr>
              <w:t xml:space="preserve"> </w:t>
            </w:r>
            <w:r>
              <w:rPr>
                <w:rFonts w:ascii="Century Schoolbook" w:hAnsi="Century Schoolbook" w:eastAsiaTheme="minorHAnsi" w:cstheme="minorBidi"/>
                <w:sz w:val="26"/>
                <w:szCs w:val="26"/>
                <w:lang w:val="en-US" w:eastAsia="en-US" w:bidi="ar-SA"/>
              </w:rPr>
              <w:t xml:space="preserve">  Super. Ct. No. CGC-23-605307)</w:t>
            </w:r>
          </w:p>
        </w:tc>
      </w:tr>
    </w:tbl>
    <w:p w:rsidR="00C93269" w:rsidP="00C93269">
      <w:pPr>
        <w:rPr>
          <w:rFonts w:cs="Times New Roman"/>
          <w:b/>
          <w:bCs/>
        </w:rPr>
      </w:pPr>
    </w:p>
    <w:p w:rsidR="00B035F0" w:rsidP="00C93269">
      <w:pPr>
        <w:rPr>
          <w:rFonts w:cs="Times New Roman"/>
        </w:rPr>
      </w:pPr>
      <w:r>
        <w:rPr>
          <w:rFonts w:cs="Times New Roman"/>
          <w:b/>
          <w:bCs/>
        </w:rPr>
        <w:tab/>
      </w:r>
      <w:r w:rsidR="00297F27">
        <w:rPr>
          <w:rFonts w:cs="Times New Roman"/>
        </w:rPr>
        <w:t xml:space="preserve">The Regents of the University of California (Regents) approved </w:t>
      </w:r>
      <w:r w:rsidR="00ED7871">
        <w:rPr>
          <w:rFonts w:cs="Times New Roman"/>
        </w:rPr>
        <w:t xml:space="preserve">the </w:t>
      </w:r>
      <w:r w:rsidR="00297F27">
        <w:rPr>
          <w:rFonts w:cs="Times New Roman"/>
        </w:rPr>
        <w:t xml:space="preserve">construction of a new hospital at its University of California San Francisco (UCSF) Parnassus Heights </w:t>
      </w:r>
      <w:r w:rsidR="00300F39">
        <w:rPr>
          <w:rFonts w:cs="Times New Roman"/>
        </w:rPr>
        <w:t>c</w:t>
      </w:r>
      <w:r w:rsidR="00297F27">
        <w:rPr>
          <w:rFonts w:cs="Times New Roman"/>
        </w:rPr>
        <w:t>ampus</w:t>
      </w:r>
      <w:r w:rsidR="0095331C">
        <w:rPr>
          <w:rFonts w:cs="Times New Roman"/>
        </w:rPr>
        <w:t xml:space="preserve"> (Parnassus)</w:t>
      </w:r>
      <w:r w:rsidR="00ED7871">
        <w:rPr>
          <w:rFonts w:cs="Times New Roman"/>
        </w:rPr>
        <w:t>;</w:t>
      </w:r>
      <w:r w:rsidR="00297F27">
        <w:rPr>
          <w:rFonts w:cs="Times New Roman"/>
        </w:rPr>
        <w:t xml:space="preserve"> </w:t>
      </w:r>
      <w:r w:rsidR="00ED7871">
        <w:rPr>
          <w:rFonts w:cs="Times New Roman"/>
        </w:rPr>
        <w:t xml:space="preserve">the hospital </w:t>
      </w:r>
      <w:r w:rsidR="003F0CE2">
        <w:rPr>
          <w:rFonts w:cs="Times New Roman"/>
        </w:rPr>
        <w:t xml:space="preserve">will </w:t>
      </w:r>
      <w:r w:rsidR="006E2107">
        <w:rPr>
          <w:rFonts w:cs="Times New Roman"/>
        </w:rPr>
        <w:t xml:space="preserve">allegedly </w:t>
      </w:r>
      <w:r w:rsidR="00297F27">
        <w:rPr>
          <w:rFonts w:cs="Times New Roman"/>
        </w:rPr>
        <w:t xml:space="preserve">exceed local building height and bulk restrictions.  </w:t>
      </w:r>
      <w:r w:rsidR="007F78B3">
        <w:rPr>
          <w:rFonts w:cs="Times New Roman"/>
        </w:rPr>
        <w:t xml:space="preserve">Parnassus Neighborhood </w:t>
      </w:r>
      <w:r w:rsidR="002A2DA2">
        <w:rPr>
          <w:rFonts w:cs="Times New Roman"/>
        </w:rPr>
        <w:t>Coalition (the Coalition)</w:t>
      </w:r>
      <w:r w:rsidR="00ED7871">
        <w:rPr>
          <w:rFonts w:cs="Times New Roman"/>
        </w:rPr>
        <w:t xml:space="preserve"> —</w:t>
      </w:r>
      <w:r w:rsidR="00052E38">
        <w:rPr>
          <w:rFonts w:cs="Times New Roman"/>
        </w:rPr>
        <w:t xml:space="preserve"> a group of </w:t>
      </w:r>
      <w:r w:rsidR="00FF0328">
        <w:rPr>
          <w:rFonts w:cs="Times New Roman"/>
        </w:rPr>
        <w:t>property owners residing</w:t>
      </w:r>
      <w:r w:rsidR="00052E38">
        <w:rPr>
          <w:rFonts w:cs="Times New Roman"/>
        </w:rPr>
        <w:t xml:space="preserve"> near the proposed </w:t>
      </w:r>
      <w:r w:rsidR="00E27AFF">
        <w:rPr>
          <w:rFonts w:cs="Times New Roman"/>
        </w:rPr>
        <w:t xml:space="preserve">hospital </w:t>
      </w:r>
      <w:r w:rsidR="00ED7871">
        <w:rPr>
          <w:rFonts w:cs="Times New Roman"/>
        </w:rPr>
        <w:t>—</w:t>
      </w:r>
      <w:r w:rsidR="002A2DA2">
        <w:rPr>
          <w:rFonts w:cs="Times New Roman"/>
        </w:rPr>
        <w:t xml:space="preserve"> </w:t>
      </w:r>
      <w:r w:rsidR="00ED7871">
        <w:rPr>
          <w:rFonts w:cs="Times New Roman"/>
        </w:rPr>
        <w:t xml:space="preserve">sued to </w:t>
      </w:r>
      <w:r w:rsidR="00451077">
        <w:rPr>
          <w:rFonts w:cs="Times New Roman"/>
        </w:rPr>
        <w:t xml:space="preserve">enjoin </w:t>
      </w:r>
      <w:r w:rsidR="00ED7871">
        <w:rPr>
          <w:rFonts w:cs="Times New Roman"/>
        </w:rPr>
        <w:t>the</w:t>
      </w:r>
      <w:r w:rsidR="00451077">
        <w:rPr>
          <w:rFonts w:cs="Times New Roman"/>
        </w:rPr>
        <w:t xml:space="preserve"> </w:t>
      </w:r>
      <w:r w:rsidR="00ED7871">
        <w:rPr>
          <w:rFonts w:cs="Times New Roman"/>
        </w:rPr>
        <w:t xml:space="preserve">construction, a </w:t>
      </w:r>
      <w:r w:rsidR="00451077">
        <w:rPr>
          <w:rFonts w:cs="Times New Roman"/>
        </w:rPr>
        <w:t>“threatened nuisance per se</w:t>
      </w:r>
      <w:r w:rsidR="00ED7871">
        <w:rPr>
          <w:rFonts w:cs="Times New Roman"/>
        </w:rPr>
        <w:t>.</w:t>
      </w:r>
      <w:r w:rsidR="00451077">
        <w:rPr>
          <w:rFonts w:cs="Times New Roman"/>
        </w:rPr>
        <w:t xml:space="preserve">” </w:t>
      </w:r>
      <w:r w:rsidR="00E124CF">
        <w:rPr>
          <w:rFonts w:cs="Times New Roman"/>
        </w:rPr>
        <w:t xml:space="preserve"> </w:t>
      </w:r>
      <w:r w:rsidR="00FF0328">
        <w:rPr>
          <w:rFonts w:cs="Times New Roman"/>
        </w:rPr>
        <w:t>In a demurrer, the Regents</w:t>
      </w:r>
      <w:r w:rsidR="0021684B">
        <w:rPr>
          <w:rFonts w:cs="Times New Roman"/>
        </w:rPr>
        <w:t xml:space="preserve"> argued </w:t>
      </w:r>
      <w:r w:rsidR="00D51E9C">
        <w:rPr>
          <w:rFonts w:cs="Times New Roman"/>
        </w:rPr>
        <w:t>they</w:t>
      </w:r>
      <w:r w:rsidR="0021684B">
        <w:rPr>
          <w:rFonts w:cs="Times New Roman"/>
        </w:rPr>
        <w:t xml:space="preserve"> </w:t>
      </w:r>
      <w:r w:rsidR="00D51E9C">
        <w:rPr>
          <w:rFonts w:cs="Times New Roman"/>
        </w:rPr>
        <w:t>are</w:t>
      </w:r>
      <w:r w:rsidR="0021684B">
        <w:rPr>
          <w:rFonts w:cs="Times New Roman"/>
        </w:rPr>
        <w:t xml:space="preserve"> a state entity</w:t>
      </w:r>
      <w:r w:rsidR="00D33245">
        <w:rPr>
          <w:rFonts w:cs="Times New Roman"/>
        </w:rPr>
        <w:t xml:space="preserve"> </w:t>
      </w:r>
      <w:r w:rsidR="00D1297D">
        <w:rPr>
          <w:rFonts w:cs="Times New Roman"/>
        </w:rPr>
        <w:t>immune from complying with</w:t>
      </w:r>
      <w:r w:rsidR="00D33245">
        <w:rPr>
          <w:rFonts w:cs="Times New Roman"/>
        </w:rPr>
        <w:t xml:space="preserve"> local building </w:t>
      </w:r>
      <w:r w:rsidR="00156F7B">
        <w:rPr>
          <w:rFonts w:cs="Times New Roman"/>
        </w:rPr>
        <w:t>and zoning regulations</w:t>
      </w:r>
      <w:r w:rsidR="00110EB0">
        <w:rPr>
          <w:rFonts w:cs="Times New Roman"/>
        </w:rPr>
        <w:t xml:space="preserve"> when engaging in </w:t>
      </w:r>
      <w:r w:rsidR="0059669E">
        <w:rPr>
          <w:rFonts w:cs="Times New Roman"/>
        </w:rPr>
        <w:t xml:space="preserve">a </w:t>
      </w:r>
      <w:r w:rsidR="00110EB0">
        <w:rPr>
          <w:rFonts w:cs="Times New Roman"/>
        </w:rPr>
        <w:t xml:space="preserve">governmental activity such as constructing university buildings.  </w:t>
      </w:r>
      <w:r w:rsidR="004856F4">
        <w:rPr>
          <w:rFonts w:cs="Times New Roman"/>
        </w:rPr>
        <w:t xml:space="preserve">The trial court disagreed, concluding </w:t>
      </w:r>
      <w:r w:rsidR="00D603E9">
        <w:rPr>
          <w:rFonts w:cs="Times New Roman"/>
        </w:rPr>
        <w:t xml:space="preserve">the Regents’ </w:t>
      </w:r>
      <w:r w:rsidR="007F03FC">
        <w:rPr>
          <w:rFonts w:cs="Times New Roman"/>
        </w:rPr>
        <w:t>immunity hinged on a question of fact</w:t>
      </w:r>
      <w:r w:rsidR="00BE3298">
        <w:rPr>
          <w:rFonts w:cs="Times New Roman"/>
        </w:rPr>
        <w:t xml:space="preserve"> </w:t>
      </w:r>
      <w:r w:rsidR="003816C6">
        <w:rPr>
          <w:rFonts w:cs="Times New Roman"/>
        </w:rPr>
        <w:t>—</w:t>
      </w:r>
      <w:r w:rsidR="00BE3298">
        <w:rPr>
          <w:rFonts w:cs="Times New Roman"/>
        </w:rPr>
        <w:t xml:space="preserve"> </w:t>
      </w:r>
      <w:r w:rsidR="003816C6">
        <w:rPr>
          <w:rFonts w:cs="Times New Roman"/>
        </w:rPr>
        <w:t xml:space="preserve">whether the </w:t>
      </w:r>
      <w:r w:rsidR="00172739">
        <w:rPr>
          <w:rFonts w:cs="Times New Roman"/>
        </w:rPr>
        <w:t xml:space="preserve">proposed </w:t>
      </w:r>
      <w:r w:rsidR="003816C6">
        <w:rPr>
          <w:rFonts w:cs="Times New Roman"/>
        </w:rPr>
        <w:t xml:space="preserve">construction </w:t>
      </w:r>
      <w:r w:rsidR="00A34F7D">
        <w:rPr>
          <w:rFonts w:cs="Times New Roman"/>
        </w:rPr>
        <w:t xml:space="preserve">constituted </w:t>
      </w:r>
      <w:r w:rsidR="0059669E">
        <w:rPr>
          <w:rFonts w:cs="Times New Roman"/>
        </w:rPr>
        <w:t xml:space="preserve">a </w:t>
      </w:r>
      <w:r w:rsidR="00E1781F">
        <w:rPr>
          <w:rFonts w:cs="Times New Roman"/>
        </w:rPr>
        <w:t xml:space="preserve">governmental </w:t>
      </w:r>
      <w:r w:rsidR="00475306">
        <w:rPr>
          <w:rFonts w:cs="Times New Roman"/>
        </w:rPr>
        <w:t>or proprietary activity</w:t>
      </w:r>
      <w:r w:rsidR="006414CF">
        <w:rPr>
          <w:rFonts w:cs="Times New Roman"/>
        </w:rPr>
        <w:t xml:space="preserve"> </w:t>
      </w:r>
      <w:r w:rsidR="00E1781F">
        <w:rPr>
          <w:rFonts w:cs="Times New Roman"/>
        </w:rPr>
        <w:t xml:space="preserve">— </w:t>
      </w:r>
      <w:r w:rsidR="00EE5438">
        <w:rPr>
          <w:rFonts w:cs="Times New Roman"/>
        </w:rPr>
        <w:t>that could not be resolved on a demurrer</w:t>
      </w:r>
      <w:r w:rsidR="00235719">
        <w:rPr>
          <w:rFonts w:cs="Times New Roman"/>
        </w:rPr>
        <w:t>.</w:t>
      </w:r>
    </w:p>
    <w:p w:rsidR="008E6554" w:rsidRPr="004D1574" w:rsidP="00F2102A">
      <w:pPr>
        <w:rPr>
          <w:rFonts w:cs="Times New Roman"/>
        </w:rPr>
      </w:pPr>
      <w:r>
        <w:rPr>
          <w:rFonts w:cs="Times New Roman"/>
        </w:rPr>
        <w:tab/>
        <w:t xml:space="preserve">The Regents </w:t>
      </w:r>
      <w:r w:rsidR="004A36B5">
        <w:rPr>
          <w:rFonts w:cs="Times New Roman"/>
        </w:rPr>
        <w:t xml:space="preserve">petitioned for a writ of mandate </w:t>
      </w:r>
      <w:r w:rsidR="0003115B">
        <w:rPr>
          <w:rFonts w:cs="Times New Roman"/>
        </w:rPr>
        <w:t xml:space="preserve">to </w:t>
      </w:r>
      <w:r w:rsidR="00777A18">
        <w:rPr>
          <w:rFonts w:cs="Times New Roman"/>
        </w:rPr>
        <w:t>vacat</w:t>
      </w:r>
      <w:r w:rsidR="0003115B">
        <w:rPr>
          <w:rFonts w:cs="Times New Roman"/>
        </w:rPr>
        <w:t>e</w:t>
      </w:r>
      <w:r w:rsidR="00777A18">
        <w:rPr>
          <w:rFonts w:cs="Times New Roman"/>
        </w:rPr>
        <w:t xml:space="preserve"> the trial court’s order</w:t>
      </w:r>
      <w:r w:rsidR="0015510B">
        <w:rPr>
          <w:rFonts w:cs="Times New Roman"/>
        </w:rPr>
        <w:t xml:space="preserve">. </w:t>
      </w:r>
      <w:r w:rsidR="00FF3194">
        <w:rPr>
          <w:rFonts w:cs="Times New Roman"/>
        </w:rPr>
        <w:t xml:space="preserve"> </w:t>
      </w:r>
      <w:r w:rsidR="00D7018E">
        <w:rPr>
          <w:rFonts w:cs="Times New Roman"/>
        </w:rPr>
        <w:t>Assuming the truth of facts pled by the Coalition, w</w:t>
      </w:r>
      <w:r w:rsidR="003954AA">
        <w:rPr>
          <w:rFonts w:cs="Times New Roman"/>
        </w:rPr>
        <w:t>e conclude</w:t>
      </w:r>
      <w:r w:rsidR="00EE3676">
        <w:rPr>
          <w:rFonts w:cs="Times New Roman"/>
        </w:rPr>
        <w:t xml:space="preserve"> </w:t>
      </w:r>
      <w:r w:rsidR="003954AA">
        <w:rPr>
          <w:rFonts w:cs="Times New Roman"/>
        </w:rPr>
        <w:t>the</w:t>
      </w:r>
      <w:r w:rsidR="007C0C8D">
        <w:rPr>
          <w:rFonts w:cs="Times New Roman"/>
        </w:rPr>
        <w:t xml:space="preserve"> proposed </w:t>
      </w:r>
      <w:r w:rsidR="00E27AFF">
        <w:rPr>
          <w:rFonts w:cs="Times New Roman"/>
        </w:rPr>
        <w:t xml:space="preserve">hospital </w:t>
      </w:r>
      <w:r w:rsidR="00BC1F7E">
        <w:rPr>
          <w:rFonts w:cs="Times New Roman"/>
        </w:rPr>
        <w:t xml:space="preserve">would </w:t>
      </w:r>
      <w:r w:rsidR="00502AE4">
        <w:rPr>
          <w:rFonts w:cs="Times New Roman"/>
        </w:rPr>
        <w:t>facilita</w:t>
      </w:r>
      <w:r w:rsidR="00BC1F7E">
        <w:rPr>
          <w:rFonts w:cs="Times New Roman"/>
        </w:rPr>
        <w:t>te</w:t>
      </w:r>
      <w:r w:rsidR="00502AE4">
        <w:rPr>
          <w:rFonts w:cs="Times New Roman"/>
        </w:rPr>
        <w:t xml:space="preserve"> </w:t>
      </w:r>
      <w:r w:rsidR="003F0CE2">
        <w:rPr>
          <w:rFonts w:cs="Times New Roman"/>
        </w:rPr>
        <w:t xml:space="preserve">the provision of </w:t>
      </w:r>
      <w:r w:rsidR="00266B9A">
        <w:rPr>
          <w:rFonts w:cs="Times New Roman"/>
        </w:rPr>
        <w:t>clinical services</w:t>
      </w:r>
      <w:r w:rsidR="003954AA">
        <w:rPr>
          <w:rFonts w:cs="Times New Roman"/>
        </w:rPr>
        <w:t>,</w:t>
      </w:r>
      <w:r w:rsidR="00266B9A">
        <w:rPr>
          <w:rFonts w:cs="Times New Roman"/>
        </w:rPr>
        <w:t xml:space="preserve"> </w:t>
      </w:r>
      <w:r w:rsidR="00BC1F7E">
        <w:rPr>
          <w:rFonts w:cs="Times New Roman"/>
        </w:rPr>
        <w:t xml:space="preserve">thereby </w:t>
      </w:r>
      <w:r w:rsidR="00266B9A">
        <w:rPr>
          <w:rFonts w:cs="Times New Roman"/>
        </w:rPr>
        <w:t>advanc</w:t>
      </w:r>
      <w:r w:rsidR="00BC1F7E">
        <w:rPr>
          <w:rFonts w:cs="Times New Roman"/>
        </w:rPr>
        <w:t>ing</w:t>
      </w:r>
      <w:r w:rsidR="00266B9A">
        <w:rPr>
          <w:rFonts w:cs="Times New Roman"/>
        </w:rPr>
        <w:t xml:space="preserve"> UCSF’s academic missio</w:t>
      </w:r>
      <w:r w:rsidR="008A74B7">
        <w:rPr>
          <w:rFonts w:cs="Times New Roman"/>
        </w:rPr>
        <w:t>n</w:t>
      </w:r>
      <w:r w:rsidR="003954AA">
        <w:rPr>
          <w:rFonts w:cs="Times New Roman"/>
        </w:rPr>
        <w:t xml:space="preserve"> and </w:t>
      </w:r>
      <w:r w:rsidR="008A74B7">
        <w:rPr>
          <w:rFonts w:cs="Times New Roman"/>
        </w:rPr>
        <w:t xml:space="preserve">the Regents’ </w:t>
      </w:r>
      <w:r w:rsidR="003D2529">
        <w:rPr>
          <w:rFonts w:cs="Times New Roman"/>
        </w:rPr>
        <w:t>educational purpose</w:t>
      </w:r>
      <w:r w:rsidR="00266B9A">
        <w:rPr>
          <w:rFonts w:cs="Times New Roman"/>
        </w:rPr>
        <w:t xml:space="preserve"> — </w:t>
      </w:r>
      <w:r w:rsidR="00ED7871">
        <w:rPr>
          <w:rFonts w:cs="Times New Roman"/>
        </w:rPr>
        <w:t xml:space="preserve">i.e., </w:t>
      </w:r>
      <w:r w:rsidR="008A74B7">
        <w:rPr>
          <w:rFonts w:cs="Times New Roman"/>
        </w:rPr>
        <w:t>governmental activity</w:t>
      </w:r>
      <w:r w:rsidR="00502AE4">
        <w:rPr>
          <w:rFonts w:cs="Times New Roman"/>
        </w:rPr>
        <w:t xml:space="preserve">. </w:t>
      </w:r>
      <w:r w:rsidR="00CD1DA3">
        <w:rPr>
          <w:rFonts w:cs="Times New Roman"/>
        </w:rPr>
        <w:t xml:space="preserve"> </w:t>
      </w:r>
      <w:r w:rsidR="00BC1F7E">
        <w:rPr>
          <w:rFonts w:cs="Times New Roman"/>
        </w:rPr>
        <w:t>B</w:t>
      </w:r>
      <w:r w:rsidR="00E27AFF">
        <w:rPr>
          <w:rFonts w:cs="Times New Roman"/>
        </w:rPr>
        <w:t xml:space="preserve">ecause the project </w:t>
      </w:r>
      <w:r w:rsidR="001254A3">
        <w:rPr>
          <w:rFonts w:cs="Times New Roman"/>
        </w:rPr>
        <w:t xml:space="preserve">falls within </w:t>
      </w:r>
      <w:r w:rsidR="00414D9F">
        <w:rPr>
          <w:rFonts w:cs="Times New Roman"/>
        </w:rPr>
        <w:t xml:space="preserve">the Regents’ broad </w:t>
      </w:r>
      <w:r w:rsidR="00F2102A">
        <w:rPr>
          <w:rFonts w:cs="Times New Roman"/>
        </w:rPr>
        <w:t>public purpose</w:t>
      </w:r>
      <w:r w:rsidR="00E27AFF">
        <w:rPr>
          <w:rFonts w:cs="Times New Roman"/>
        </w:rPr>
        <w:t xml:space="preserve">, </w:t>
      </w:r>
      <w:r w:rsidR="00BC1F7E">
        <w:rPr>
          <w:rFonts w:cs="Times New Roman"/>
        </w:rPr>
        <w:t xml:space="preserve">we hold the Regents </w:t>
      </w:r>
      <w:r w:rsidR="00ED7871">
        <w:rPr>
          <w:rFonts w:cs="Times New Roman"/>
        </w:rPr>
        <w:t xml:space="preserve">are </w:t>
      </w:r>
      <w:r w:rsidR="002A3C82">
        <w:rPr>
          <w:rFonts w:cs="Times New Roman"/>
        </w:rPr>
        <w:t>exempt from the local regulations at issue</w:t>
      </w:r>
      <w:r w:rsidR="00ED7871">
        <w:rPr>
          <w:rFonts w:cs="Times New Roman"/>
        </w:rPr>
        <w:t>,</w:t>
      </w:r>
      <w:r w:rsidR="00EA13E7">
        <w:rPr>
          <w:rFonts w:cs="Times New Roman"/>
        </w:rPr>
        <w:t xml:space="preserve"> </w:t>
      </w:r>
      <w:r w:rsidR="000C5494">
        <w:rPr>
          <w:rFonts w:cs="Times New Roman"/>
        </w:rPr>
        <w:t>and the demurrer should have been sustained.</w:t>
      </w:r>
      <w:r w:rsidR="00F2102A">
        <w:rPr>
          <w:rFonts w:cs="Times New Roman"/>
        </w:rPr>
        <w:t xml:space="preserve"> </w:t>
      </w:r>
      <w:r w:rsidR="00BF16A0">
        <w:rPr>
          <w:rFonts w:cs="Times New Roman"/>
        </w:rPr>
        <w:t xml:space="preserve"> </w:t>
      </w:r>
      <w:r w:rsidR="00F2102A">
        <w:rPr>
          <w:rFonts w:cs="Times New Roman"/>
        </w:rPr>
        <w:t>(</w:t>
      </w:r>
      <w:r w:rsidRPr="00F2102A" w:rsidR="00F2102A">
        <w:rPr>
          <w:rFonts w:cs="Times New Roman"/>
          <w:i/>
          <w:iCs/>
        </w:rPr>
        <w:t>Bame v. City of Del Mar</w:t>
      </w:r>
      <w:r w:rsidR="00F2102A">
        <w:rPr>
          <w:rFonts w:cs="Times New Roman"/>
          <w:i/>
          <w:iCs/>
        </w:rPr>
        <w:t xml:space="preserve"> </w:t>
      </w:r>
      <w:r w:rsidRPr="00F2102A" w:rsidR="00F2102A">
        <w:rPr>
          <w:rFonts w:cs="Times New Roman"/>
        </w:rPr>
        <w:t xml:space="preserve">86 </w:t>
      </w:r>
      <w:r w:rsidR="00990BB2">
        <w:rPr>
          <w:rFonts w:cs="Times New Roman"/>
        </w:rPr>
        <w:t xml:space="preserve">(2001) </w:t>
      </w:r>
      <w:r w:rsidRPr="00F2102A" w:rsidR="00F2102A">
        <w:rPr>
          <w:rFonts w:cs="Times New Roman"/>
        </w:rPr>
        <w:t>Cal.App.4th 1346, 1358</w:t>
      </w:r>
      <w:r w:rsidR="00F2102A">
        <w:rPr>
          <w:rFonts w:cs="Times New Roman"/>
        </w:rPr>
        <w:t xml:space="preserve"> (</w:t>
      </w:r>
      <w:r w:rsidR="00F2102A">
        <w:rPr>
          <w:rFonts w:cs="Times New Roman"/>
          <w:i/>
          <w:iCs/>
        </w:rPr>
        <w:t>Bame</w:t>
      </w:r>
      <w:r w:rsidR="00F2102A">
        <w:rPr>
          <w:rFonts w:cs="Times New Roman"/>
        </w:rPr>
        <w:t>).</w:t>
      </w:r>
      <w:r w:rsidRPr="00F2102A" w:rsidR="00F2102A">
        <w:rPr>
          <w:rFonts w:cs="Times New Roman"/>
        </w:rPr>
        <w:t>)</w:t>
      </w:r>
      <w:r w:rsidR="00F2102A">
        <w:rPr>
          <w:rFonts w:cs="Times New Roman"/>
        </w:rPr>
        <w:t xml:space="preserve">  </w:t>
      </w:r>
      <w:r w:rsidR="00CE3E8A">
        <w:rPr>
          <w:rFonts w:cs="Times New Roman"/>
        </w:rPr>
        <w:t xml:space="preserve">Accordingly, we issue </w:t>
      </w:r>
      <w:r w:rsidR="0031684A">
        <w:rPr>
          <w:rFonts w:cs="Times New Roman"/>
        </w:rPr>
        <w:t>the writ of mandate</w:t>
      </w:r>
      <w:r w:rsidR="00DA4C56">
        <w:rPr>
          <w:rFonts w:cs="Times New Roman"/>
        </w:rPr>
        <w:t>.</w:t>
      </w:r>
    </w:p>
    <w:p w:rsidR="008B7CEE" w:rsidP="008B7CEE">
      <w:pPr>
        <w:jc w:val="center"/>
        <w:rPr>
          <w:rFonts w:cs="Times New Roman"/>
          <w:b/>
          <w:bCs/>
        </w:rPr>
      </w:pPr>
      <w:r>
        <w:rPr>
          <w:rFonts w:cs="Times New Roman"/>
          <w:b/>
          <w:bCs/>
        </w:rPr>
        <w:t>BACKGROUND</w:t>
      </w:r>
    </w:p>
    <w:p w:rsidR="008B7CEE" w:rsidP="00371BB8">
      <w:pPr>
        <w:ind w:firstLine="720"/>
        <w:rPr>
          <w:rFonts w:cs="Times New Roman"/>
        </w:rPr>
      </w:pPr>
      <w:r>
        <w:rPr>
          <w:rFonts w:cs="Times New Roman"/>
        </w:rPr>
        <w:t>The Regents own and operate UCSF, a medical complex, research center, and professional school</w:t>
      </w:r>
      <w:r w:rsidR="00200A46">
        <w:rPr>
          <w:rFonts w:cs="Times New Roman"/>
        </w:rPr>
        <w:t xml:space="preserve"> in San Francisco (City)</w:t>
      </w:r>
      <w:r w:rsidR="008E0B02">
        <w:rPr>
          <w:rFonts w:cs="Times New Roman"/>
        </w:rPr>
        <w:t>, with an educational mission</w:t>
      </w:r>
      <w:r>
        <w:rPr>
          <w:rFonts w:cs="Times New Roman"/>
        </w:rPr>
        <w:t xml:space="preserve">.  </w:t>
      </w:r>
      <w:r w:rsidRPr="008504AA">
        <w:rPr>
          <w:rFonts w:cs="Times New Roman"/>
        </w:rPr>
        <w:t xml:space="preserve">In 2014, the </w:t>
      </w:r>
      <w:r>
        <w:rPr>
          <w:rFonts w:cs="Times New Roman"/>
        </w:rPr>
        <w:t>Regents approved a long-ra</w:t>
      </w:r>
      <w:r w:rsidR="00ED7871">
        <w:rPr>
          <w:rFonts w:cs="Times New Roman"/>
        </w:rPr>
        <w:t>n</w:t>
      </w:r>
      <w:r>
        <w:rPr>
          <w:rFonts w:cs="Times New Roman"/>
        </w:rPr>
        <w:t xml:space="preserve">ge development plan for UCSF.  </w:t>
      </w:r>
      <w:r w:rsidR="00ED7871">
        <w:rPr>
          <w:rFonts w:cs="Times New Roman"/>
        </w:rPr>
        <w:t xml:space="preserve">It </w:t>
      </w:r>
      <w:r>
        <w:rPr>
          <w:rFonts w:cs="Times New Roman"/>
        </w:rPr>
        <w:t xml:space="preserve">consisted of renovating several of </w:t>
      </w:r>
      <w:r w:rsidR="0059669E">
        <w:rPr>
          <w:rFonts w:cs="Times New Roman"/>
        </w:rPr>
        <w:t>UCSF’s</w:t>
      </w:r>
      <w:r>
        <w:rPr>
          <w:rFonts w:cs="Times New Roman"/>
        </w:rPr>
        <w:t xml:space="preserve"> campuses, including Parnassus. </w:t>
      </w:r>
      <w:r w:rsidR="00D03C5A">
        <w:rPr>
          <w:rFonts w:cs="Times New Roman"/>
        </w:rPr>
        <w:t xml:space="preserve"> </w:t>
      </w:r>
      <w:r w:rsidR="00D566C8">
        <w:rPr>
          <w:rFonts w:cs="Times New Roman"/>
        </w:rPr>
        <w:t xml:space="preserve">The plan </w:t>
      </w:r>
      <w:r w:rsidR="0095331C">
        <w:rPr>
          <w:rFonts w:cs="Times New Roman"/>
        </w:rPr>
        <w:t xml:space="preserve">primarily </w:t>
      </w:r>
      <w:r w:rsidR="00D566C8">
        <w:rPr>
          <w:rFonts w:cs="Times New Roman"/>
        </w:rPr>
        <w:t xml:space="preserve">would </w:t>
      </w:r>
      <w:r w:rsidR="0095331C">
        <w:rPr>
          <w:rFonts w:cs="Times New Roman"/>
        </w:rPr>
        <w:t xml:space="preserve">have </w:t>
      </w:r>
      <w:r w:rsidR="00D566C8">
        <w:rPr>
          <w:rFonts w:cs="Times New Roman"/>
        </w:rPr>
        <w:t>involve</w:t>
      </w:r>
      <w:r w:rsidR="0095331C">
        <w:rPr>
          <w:rFonts w:cs="Times New Roman"/>
        </w:rPr>
        <w:t>d</w:t>
      </w:r>
      <w:r w:rsidR="00D566C8">
        <w:rPr>
          <w:rFonts w:cs="Times New Roman"/>
        </w:rPr>
        <w:t xml:space="preserve"> </w:t>
      </w:r>
      <w:r w:rsidRPr="00784D2A">
        <w:rPr>
          <w:rFonts w:cs="Times New Roman"/>
        </w:rPr>
        <w:t xml:space="preserve">construction of a </w:t>
      </w:r>
      <w:r>
        <w:rPr>
          <w:rFonts w:cs="Times New Roman"/>
        </w:rPr>
        <w:t>hospital</w:t>
      </w:r>
      <w:r w:rsidR="00E82E47">
        <w:rPr>
          <w:rFonts w:cs="Times New Roman"/>
        </w:rPr>
        <w:t xml:space="preserve"> </w:t>
      </w:r>
      <w:r w:rsidR="00ED7871">
        <w:rPr>
          <w:rFonts w:cs="Times New Roman"/>
        </w:rPr>
        <w:t xml:space="preserve">to </w:t>
      </w:r>
      <w:r w:rsidR="00E82E47">
        <w:rPr>
          <w:rFonts w:cs="Times New Roman"/>
        </w:rPr>
        <w:t>provide clinical services to advance UCSF’s academic mission</w:t>
      </w:r>
      <w:r>
        <w:rPr>
          <w:rFonts w:cs="Times New Roman"/>
        </w:rPr>
        <w:t>.</w:t>
      </w:r>
      <w:r w:rsidR="00CA1F19">
        <w:rPr>
          <w:rFonts w:cs="Times New Roman"/>
        </w:rPr>
        <w:t xml:space="preserve"> </w:t>
      </w:r>
      <w:r w:rsidR="00A76F19">
        <w:rPr>
          <w:rFonts w:cs="Times New Roman"/>
        </w:rPr>
        <w:t xml:space="preserve"> </w:t>
      </w:r>
      <w:r>
        <w:rPr>
          <w:rFonts w:cs="Times New Roman"/>
        </w:rPr>
        <w:t>UCSF ultimately did not move forward with this proposed change.</w:t>
      </w:r>
    </w:p>
    <w:p w:rsidR="008B7CEE" w:rsidP="008B7CEE">
      <w:pPr>
        <w:ind w:firstLine="720"/>
        <w:rPr>
          <w:rFonts w:cs="Times New Roman"/>
        </w:rPr>
      </w:pPr>
      <w:r>
        <w:rPr>
          <w:rFonts w:cs="Times New Roman"/>
        </w:rPr>
        <w:t xml:space="preserve">Instead, the Regents </w:t>
      </w:r>
      <w:r w:rsidR="001B34B3">
        <w:rPr>
          <w:rFonts w:cs="Times New Roman"/>
        </w:rPr>
        <w:t xml:space="preserve">approved </w:t>
      </w:r>
      <w:r>
        <w:rPr>
          <w:rFonts w:cs="Times New Roman"/>
        </w:rPr>
        <w:t xml:space="preserve">the </w:t>
      </w:r>
      <w:r w:rsidR="00F15293">
        <w:rPr>
          <w:rFonts w:cs="Times New Roman"/>
        </w:rPr>
        <w:t>“</w:t>
      </w:r>
      <w:r>
        <w:rPr>
          <w:rFonts w:cs="Times New Roman"/>
        </w:rPr>
        <w:t xml:space="preserve">Comprehensive Parnassus </w:t>
      </w:r>
      <w:r w:rsidRPr="00A91432">
        <w:rPr>
          <w:rFonts w:cs="Times New Roman"/>
        </w:rPr>
        <w:t xml:space="preserve">Heights </w:t>
      </w:r>
      <w:r w:rsidRPr="00D240A3">
        <w:rPr>
          <w:rFonts w:cs="Times New Roman"/>
        </w:rPr>
        <w:t>Plan</w:t>
      </w:r>
      <w:r w:rsidR="00F15293">
        <w:rPr>
          <w:rFonts w:cs="Times New Roman"/>
        </w:rPr>
        <w:t>”</w:t>
      </w:r>
      <w:r w:rsidRPr="00D240A3">
        <w:rPr>
          <w:rFonts w:cs="Times New Roman"/>
        </w:rPr>
        <w:t xml:space="preserve"> </w:t>
      </w:r>
      <w:r w:rsidR="00200A46">
        <w:rPr>
          <w:rFonts w:cs="Times New Roman"/>
        </w:rPr>
        <w:t xml:space="preserve">in </w:t>
      </w:r>
      <w:r w:rsidR="001B34B3">
        <w:rPr>
          <w:rFonts w:cs="Times New Roman"/>
        </w:rPr>
        <w:t>2021</w:t>
      </w:r>
      <w:r w:rsidRPr="00A25367">
        <w:rPr>
          <w:rFonts w:cs="Times New Roman"/>
        </w:rPr>
        <w:t>.</w:t>
      </w:r>
      <w:r w:rsidR="00ED7871">
        <w:rPr>
          <w:rFonts w:cs="Times New Roman"/>
        </w:rPr>
        <w:t xml:space="preserve"> </w:t>
      </w:r>
      <w:r>
        <w:rPr>
          <w:rFonts w:cs="Times New Roman"/>
        </w:rPr>
        <w:t xml:space="preserve"> The plan </w:t>
      </w:r>
      <w:r w:rsidR="002B4CF5">
        <w:rPr>
          <w:rFonts w:cs="Times New Roman"/>
        </w:rPr>
        <w:t xml:space="preserve">contemplates the </w:t>
      </w:r>
      <w:r>
        <w:rPr>
          <w:rFonts w:cs="Times New Roman"/>
        </w:rPr>
        <w:t xml:space="preserve">construction of a larger hospital (the New Hospital), </w:t>
      </w:r>
      <w:r w:rsidRPr="00170F12">
        <w:rPr>
          <w:rFonts w:cs="Times New Roman"/>
        </w:rPr>
        <w:t xml:space="preserve">approximately </w:t>
      </w:r>
      <w:r w:rsidR="00494ACB">
        <w:rPr>
          <w:rFonts w:cs="Times New Roman"/>
        </w:rPr>
        <w:t>900,000</w:t>
      </w:r>
      <w:r w:rsidR="00FE3797">
        <w:rPr>
          <w:rFonts w:cs="Times New Roman"/>
        </w:rPr>
        <w:t xml:space="preserve"> gross square feet</w:t>
      </w:r>
      <w:r>
        <w:rPr>
          <w:rFonts w:cs="Times New Roman"/>
        </w:rPr>
        <w:t xml:space="preserve">. </w:t>
      </w:r>
      <w:r w:rsidR="00020773">
        <w:rPr>
          <w:rFonts w:cs="Times New Roman"/>
        </w:rPr>
        <w:t xml:space="preserve"> </w:t>
      </w:r>
      <w:r>
        <w:rPr>
          <w:rFonts w:cs="Times New Roman"/>
        </w:rPr>
        <w:t xml:space="preserve">Although </w:t>
      </w:r>
      <w:r w:rsidR="002B4CF5">
        <w:rPr>
          <w:rFonts w:cs="Times New Roman"/>
        </w:rPr>
        <w:t xml:space="preserve">the project’s </w:t>
      </w:r>
      <w:r w:rsidR="00200A46">
        <w:rPr>
          <w:rFonts w:cs="Times New Roman"/>
        </w:rPr>
        <w:t xml:space="preserve">size would </w:t>
      </w:r>
      <w:r w:rsidR="004A52DF">
        <w:rPr>
          <w:rFonts w:cs="Times New Roman"/>
        </w:rPr>
        <w:t xml:space="preserve">allegedly </w:t>
      </w:r>
      <w:r>
        <w:rPr>
          <w:rFonts w:cs="Times New Roman"/>
        </w:rPr>
        <w:t xml:space="preserve">violate the </w:t>
      </w:r>
      <w:r w:rsidR="009D0EE1">
        <w:rPr>
          <w:rFonts w:cs="Times New Roman"/>
        </w:rPr>
        <w:t>City’s</w:t>
      </w:r>
      <w:r>
        <w:rPr>
          <w:rFonts w:cs="Times New Roman"/>
        </w:rPr>
        <w:t xml:space="preserve"> property and zoning regulations, </w:t>
      </w:r>
      <w:r w:rsidR="00200A46">
        <w:rPr>
          <w:rFonts w:cs="Times New Roman"/>
        </w:rPr>
        <w:t xml:space="preserve">it </w:t>
      </w:r>
      <w:r>
        <w:rPr>
          <w:rFonts w:cs="Times New Roman"/>
        </w:rPr>
        <w:t xml:space="preserve">would </w:t>
      </w:r>
      <w:r w:rsidR="00076865">
        <w:rPr>
          <w:rFonts w:cs="Times New Roman"/>
        </w:rPr>
        <w:t>provide</w:t>
      </w:r>
      <w:r>
        <w:rPr>
          <w:rFonts w:cs="Times New Roman"/>
        </w:rPr>
        <w:t xml:space="preserve"> </w:t>
      </w:r>
      <w:r w:rsidR="00200A46">
        <w:rPr>
          <w:rFonts w:cs="Times New Roman"/>
        </w:rPr>
        <w:t xml:space="preserve">more </w:t>
      </w:r>
      <w:r>
        <w:rPr>
          <w:rFonts w:cs="Times New Roman"/>
        </w:rPr>
        <w:t>beds</w:t>
      </w:r>
      <w:r w:rsidR="00076865">
        <w:rPr>
          <w:rFonts w:cs="Times New Roman"/>
        </w:rPr>
        <w:t xml:space="preserve"> for inpatients</w:t>
      </w:r>
      <w:r w:rsidR="00200A46">
        <w:rPr>
          <w:rFonts w:cs="Times New Roman"/>
        </w:rPr>
        <w:t xml:space="preserve"> and</w:t>
      </w:r>
      <w:r>
        <w:rPr>
          <w:rFonts w:cs="Times New Roman"/>
        </w:rPr>
        <w:t xml:space="preserve"> increas</w:t>
      </w:r>
      <w:r w:rsidR="00200A46">
        <w:rPr>
          <w:rFonts w:cs="Times New Roman"/>
        </w:rPr>
        <w:t>e</w:t>
      </w:r>
      <w:r>
        <w:rPr>
          <w:rFonts w:cs="Times New Roman"/>
        </w:rPr>
        <w:t xml:space="preserve"> </w:t>
      </w:r>
      <w:r w:rsidR="002B4CF5">
        <w:rPr>
          <w:rFonts w:cs="Times New Roman"/>
        </w:rPr>
        <w:t xml:space="preserve">the campus’s hospital </w:t>
      </w:r>
      <w:r>
        <w:rPr>
          <w:rFonts w:cs="Times New Roman"/>
        </w:rPr>
        <w:t>capacity.</w:t>
      </w:r>
      <w:r w:rsidR="00BC6C80">
        <w:rPr>
          <w:rFonts w:cs="Times New Roman"/>
        </w:rPr>
        <w:t xml:space="preserve"> </w:t>
      </w:r>
      <w:r>
        <w:rPr>
          <w:rFonts w:cs="Times New Roman"/>
        </w:rPr>
        <w:t xml:space="preserve"> </w:t>
      </w:r>
      <w:r w:rsidR="001B34B3">
        <w:rPr>
          <w:rFonts w:cs="Times New Roman"/>
        </w:rPr>
        <w:t xml:space="preserve">This was part of the Regents’ plan </w:t>
      </w:r>
      <w:r w:rsidRPr="007E3705" w:rsidR="001B34B3">
        <w:rPr>
          <w:rFonts w:cs="Times New Roman"/>
        </w:rPr>
        <w:t>to advance its mission, which includes identifying unmet community needs and making new investments to satisfy those needs.</w:t>
      </w:r>
    </w:p>
    <w:p w:rsidR="008B7CEE">
      <w:pPr>
        <w:ind w:firstLine="720"/>
        <w:rPr>
          <w:rFonts w:cs="Times New Roman"/>
        </w:rPr>
      </w:pPr>
      <w:r>
        <w:rPr>
          <w:rFonts w:cs="Times New Roman"/>
        </w:rPr>
        <w:t xml:space="preserve">In March 2023, </w:t>
      </w:r>
      <w:r w:rsidR="009117E4">
        <w:rPr>
          <w:rFonts w:cs="Times New Roman"/>
        </w:rPr>
        <w:t>the Coalition</w:t>
      </w:r>
      <w:r w:rsidR="00067E72">
        <w:rPr>
          <w:rFonts w:cs="Times New Roman"/>
        </w:rPr>
        <w:t xml:space="preserve"> </w:t>
      </w:r>
      <w:r>
        <w:rPr>
          <w:rFonts w:cs="Times New Roman"/>
        </w:rPr>
        <w:t>filed a complaint against the Regents</w:t>
      </w:r>
      <w:r w:rsidR="00A50A0C">
        <w:rPr>
          <w:rFonts w:cs="Times New Roman"/>
        </w:rPr>
        <w:t xml:space="preserve"> to enjoin </w:t>
      </w:r>
      <w:r w:rsidR="00517779">
        <w:rPr>
          <w:rFonts w:cs="Times New Roman"/>
        </w:rPr>
        <w:t>construction of the New Hospital</w:t>
      </w:r>
      <w:r w:rsidR="00631477">
        <w:rPr>
          <w:rFonts w:cs="Times New Roman"/>
        </w:rPr>
        <w:t xml:space="preserve">. </w:t>
      </w:r>
      <w:r w:rsidR="00450D17">
        <w:rPr>
          <w:rFonts w:cs="Times New Roman"/>
        </w:rPr>
        <w:t xml:space="preserve"> It </w:t>
      </w:r>
      <w:r>
        <w:rPr>
          <w:rFonts w:cs="Times New Roman"/>
        </w:rPr>
        <w:t>alleg</w:t>
      </w:r>
      <w:r w:rsidR="00450D17">
        <w:rPr>
          <w:rFonts w:cs="Times New Roman"/>
        </w:rPr>
        <w:t>ed</w:t>
      </w:r>
      <w:r>
        <w:rPr>
          <w:rFonts w:cs="Times New Roman"/>
        </w:rPr>
        <w:t xml:space="preserve"> the proposed construction violated the City’s height and bulk restrictions and would result in air and noise emissions, creating a nuisance to local residents.  The Regents demurred, arguing </w:t>
      </w:r>
      <w:r w:rsidR="00A76F19">
        <w:rPr>
          <w:rFonts w:cs="Times New Roman"/>
        </w:rPr>
        <w:t xml:space="preserve">they </w:t>
      </w:r>
      <w:r w:rsidR="0095331C">
        <w:rPr>
          <w:rFonts w:cs="Times New Roman"/>
        </w:rPr>
        <w:t>a</w:t>
      </w:r>
      <w:r w:rsidR="00A76F19">
        <w:rPr>
          <w:rFonts w:cs="Times New Roman"/>
        </w:rPr>
        <w:t>r</w:t>
      </w:r>
      <w:r w:rsidR="00FF712F">
        <w:rPr>
          <w:rFonts w:cs="Times New Roman"/>
        </w:rPr>
        <w:t>e</w:t>
      </w:r>
      <w:r>
        <w:rPr>
          <w:rFonts w:cs="Times New Roman"/>
        </w:rPr>
        <w:t xml:space="preserve"> exempt from local building and zoning regulations because </w:t>
      </w:r>
      <w:r w:rsidR="00517779">
        <w:rPr>
          <w:rFonts w:cs="Times New Roman"/>
        </w:rPr>
        <w:t>they are</w:t>
      </w:r>
      <w:r>
        <w:rPr>
          <w:rFonts w:cs="Times New Roman"/>
        </w:rPr>
        <w:t xml:space="preserve"> a state entity with sovereign immunity.  According to the Regents, constructing the New Hospital is for patient care, scientific research, and teaching, thus furthering its educational purpose.  Specifically, the Regents provide medical education for graduate students in </w:t>
      </w:r>
      <w:r w:rsidR="00D51E9C">
        <w:rPr>
          <w:rFonts w:cs="Times New Roman"/>
        </w:rPr>
        <w:t xml:space="preserve">the </w:t>
      </w:r>
      <w:r>
        <w:rPr>
          <w:rFonts w:cs="Times New Roman"/>
        </w:rPr>
        <w:t xml:space="preserve">five medical schools located at Parnassus.  That the </w:t>
      </w:r>
      <w:r w:rsidR="0095331C">
        <w:rPr>
          <w:rFonts w:cs="Times New Roman"/>
        </w:rPr>
        <w:t xml:space="preserve">proposed </w:t>
      </w:r>
      <w:r>
        <w:rPr>
          <w:rFonts w:cs="Times New Roman"/>
        </w:rPr>
        <w:t xml:space="preserve">construction has some additional noneducational purpose does not </w:t>
      </w:r>
      <w:r w:rsidR="00A32796">
        <w:rPr>
          <w:rFonts w:cs="Times New Roman"/>
        </w:rPr>
        <w:t xml:space="preserve">destroy </w:t>
      </w:r>
      <w:r>
        <w:rPr>
          <w:rFonts w:cs="Times New Roman"/>
        </w:rPr>
        <w:t>the Regents’ exemption from local regulations.</w:t>
      </w:r>
    </w:p>
    <w:p w:rsidR="008B7CEE" w:rsidP="008B7CEE">
      <w:pPr>
        <w:ind w:firstLine="720"/>
        <w:rPr>
          <w:rFonts w:cs="Times New Roman"/>
        </w:rPr>
      </w:pPr>
      <w:r>
        <w:rPr>
          <w:rFonts w:cs="Times New Roman"/>
        </w:rPr>
        <w:t xml:space="preserve">In opposition, the Coalition argued </w:t>
      </w:r>
      <w:r w:rsidR="00A32796">
        <w:rPr>
          <w:rFonts w:cs="Times New Roman"/>
        </w:rPr>
        <w:t xml:space="preserve">the proposed </w:t>
      </w:r>
      <w:r>
        <w:rPr>
          <w:rFonts w:cs="Times New Roman"/>
        </w:rPr>
        <w:t>construct</w:t>
      </w:r>
      <w:r w:rsidR="00A32796">
        <w:rPr>
          <w:rFonts w:cs="Times New Roman"/>
        </w:rPr>
        <w:t xml:space="preserve">ion would </w:t>
      </w:r>
      <w:r>
        <w:rPr>
          <w:rFonts w:cs="Times New Roman"/>
        </w:rPr>
        <w:t xml:space="preserve">promote the continued expansion of UCSF’s proprietary activities as a healthcare provider rather than exclusively advancing its educational and patient needs.  Specifically, UCSF’s revenue </w:t>
      </w:r>
      <w:r w:rsidR="00DA3B9B">
        <w:rPr>
          <w:rFonts w:cs="Times New Roman"/>
        </w:rPr>
        <w:t xml:space="preserve">doubled </w:t>
      </w:r>
      <w:r>
        <w:rPr>
          <w:rFonts w:cs="Times New Roman"/>
        </w:rPr>
        <w:t xml:space="preserve">from 2015 </w:t>
      </w:r>
      <w:r w:rsidR="00D539DB">
        <w:rPr>
          <w:rFonts w:cs="Times New Roman"/>
        </w:rPr>
        <w:t xml:space="preserve">to </w:t>
      </w:r>
      <w:r>
        <w:rPr>
          <w:rFonts w:cs="Times New Roman"/>
        </w:rPr>
        <w:t xml:space="preserve">2021. </w:t>
      </w:r>
      <w:r w:rsidR="00F81563">
        <w:rPr>
          <w:rFonts w:cs="Times New Roman"/>
        </w:rPr>
        <w:t xml:space="preserve"> </w:t>
      </w:r>
      <w:r>
        <w:rPr>
          <w:rFonts w:cs="Times New Roman"/>
        </w:rPr>
        <w:t>Because the Regents</w:t>
      </w:r>
      <w:r w:rsidR="00A76F19">
        <w:rPr>
          <w:rFonts w:cs="Times New Roman"/>
        </w:rPr>
        <w:t>’</w:t>
      </w:r>
      <w:r>
        <w:rPr>
          <w:rFonts w:cs="Times New Roman"/>
        </w:rPr>
        <w:t xml:space="preserve"> </w:t>
      </w:r>
      <w:r w:rsidR="0095331C">
        <w:rPr>
          <w:rFonts w:cs="Times New Roman"/>
        </w:rPr>
        <w:t xml:space="preserve">proposed </w:t>
      </w:r>
      <w:r>
        <w:rPr>
          <w:rFonts w:cs="Times New Roman"/>
        </w:rPr>
        <w:t xml:space="preserve">construction </w:t>
      </w:r>
      <w:r w:rsidR="0095331C">
        <w:rPr>
          <w:rFonts w:cs="Times New Roman"/>
        </w:rPr>
        <w:t xml:space="preserve">is </w:t>
      </w:r>
      <w:r>
        <w:rPr>
          <w:rFonts w:cs="Times New Roman"/>
        </w:rPr>
        <w:t>not solely for education</w:t>
      </w:r>
      <w:r w:rsidR="0095331C">
        <w:rPr>
          <w:rFonts w:cs="Times New Roman"/>
        </w:rPr>
        <w:t>al</w:t>
      </w:r>
      <w:r>
        <w:rPr>
          <w:rFonts w:cs="Times New Roman"/>
        </w:rPr>
        <w:t xml:space="preserve"> purposes, </w:t>
      </w:r>
      <w:r w:rsidR="00CC6385">
        <w:rPr>
          <w:rFonts w:cs="Times New Roman"/>
        </w:rPr>
        <w:t xml:space="preserve">the Coalition argued, </w:t>
      </w:r>
      <w:r w:rsidR="00A76F19">
        <w:rPr>
          <w:rFonts w:cs="Times New Roman"/>
        </w:rPr>
        <w:t>they are not</w:t>
      </w:r>
      <w:r>
        <w:rPr>
          <w:rFonts w:cs="Times New Roman"/>
        </w:rPr>
        <w:t xml:space="preserve"> exempt from local building codes and zoning restrictions.</w:t>
      </w:r>
    </w:p>
    <w:p w:rsidR="007F310B" w:rsidP="00AA4BA3">
      <w:pPr>
        <w:ind w:firstLine="720"/>
        <w:rPr>
          <w:rFonts w:cs="Times New Roman"/>
        </w:rPr>
      </w:pPr>
      <w:r>
        <w:rPr>
          <w:rFonts w:cs="Times New Roman"/>
        </w:rPr>
        <w:t xml:space="preserve">The trial court agreed with the Coalition and overruled the demurrer.  It concluded the applicability of the City’s zoning and planning regulations </w:t>
      </w:r>
      <w:r w:rsidR="00525A29">
        <w:rPr>
          <w:rFonts w:cs="Times New Roman"/>
        </w:rPr>
        <w:t xml:space="preserve">requires resolution of </w:t>
      </w:r>
      <w:r>
        <w:rPr>
          <w:rFonts w:cs="Times New Roman"/>
        </w:rPr>
        <w:t>a question of fact — “whether the hospital, as currently proposed, is a propriet</w:t>
      </w:r>
      <w:r w:rsidR="00A32796">
        <w:rPr>
          <w:rFonts w:cs="Times New Roman"/>
        </w:rPr>
        <w:t>ar</w:t>
      </w:r>
      <w:r>
        <w:rPr>
          <w:rFonts w:cs="Times New Roman"/>
        </w:rPr>
        <w:t xml:space="preserve">y activity subject to local regulations” — not appropriate for </w:t>
      </w:r>
      <w:r w:rsidR="00525A29">
        <w:rPr>
          <w:rFonts w:cs="Times New Roman"/>
        </w:rPr>
        <w:t xml:space="preserve">resolution </w:t>
      </w:r>
      <w:r>
        <w:rPr>
          <w:rFonts w:cs="Times New Roman"/>
        </w:rPr>
        <w:t xml:space="preserve">on demurrer.  The court further concluded the Regents failed to cite anything to support </w:t>
      </w:r>
      <w:r w:rsidR="00A76F19">
        <w:rPr>
          <w:rFonts w:cs="Times New Roman"/>
        </w:rPr>
        <w:t>the</w:t>
      </w:r>
      <w:r w:rsidR="00525A29">
        <w:rPr>
          <w:rFonts w:cs="Times New Roman"/>
        </w:rPr>
        <w:t>ir</w:t>
      </w:r>
      <w:r w:rsidR="00A76F19">
        <w:rPr>
          <w:rFonts w:cs="Times New Roman"/>
        </w:rPr>
        <w:t xml:space="preserve"> </w:t>
      </w:r>
      <w:r>
        <w:rPr>
          <w:rFonts w:cs="Times New Roman"/>
        </w:rPr>
        <w:t xml:space="preserve">argument </w:t>
      </w:r>
      <w:r w:rsidR="00525A29">
        <w:rPr>
          <w:rFonts w:cs="Times New Roman"/>
        </w:rPr>
        <w:t xml:space="preserve">that </w:t>
      </w:r>
      <w:r>
        <w:rPr>
          <w:rFonts w:cs="Times New Roman"/>
        </w:rPr>
        <w:t>state entities may be entitled to sovereign immunity when their proposed projects involve a mix of proprietary and government activit</w:t>
      </w:r>
      <w:r w:rsidR="0059669E">
        <w:rPr>
          <w:rFonts w:cs="Times New Roman"/>
        </w:rPr>
        <w:t>ies</w:t>
      </w:r>
      <w:r>
        <w:rPr>
          <w:rFonts w:cs="Times New Roman"/>
        </w:rPr>
        <w:t xml:space="preserve">. </w:t>
      </w:r>
      <w:r w:rsidR="00524880">
        <w:rPr>
          <w:rFonts w:cs="Times New Roman"/>
        </w:rPr>
        <w:t xml:space="preserve"> According to the court, </w:t>
      </w:r>
      <w:r w:rsidR="007E5C3B">
        <w:rPr>
          <w:rFonts w:cs="Times New Roman"/>
        </w:rPr>
        <w:t xml:space="preserve">the exemption only applies when a project is </w:t>
      </w:r>
      <w:r w:rsidRPr="009150E0" w:rsidR="007E5C3B">
        <w:rPr>
          <w:rFonts w:cs="Times New Roman"/>
          <w:i/>
          <w:iCs/>
        </w:rPr>
        <w:t>solely</w:t>
      </w:r>
      <w:r w:rsidR="007E5C3B">
        <w:rPr>
          <w:rFonts w:cs="Times New Roman"/>
        </w:rPr>
        <w:t xml:space="preserve"> for educational purposes.</w:t>
      </w:r>
    </w:p>
    <w:p w:rsidR="008B7CEE" w:rsidRPr="00AA4BA3" w:rsidP="00AA4BA3">
      <w:pPr>
        <w:ind w:firstLine="720"/>
        <w:rPr>
          <w:rFonts w:cs="Times New Roman"/>
        </w:rPr>
      </w:pPr>
      <w:r>
        <w:rPr>
          <w:rFonts w:cs="Times New Roman"/>
        </w:rPr>
        <w:t xml:space="preserve">The Regents petitioned for a writ of mandate, requesting review of the trial court’s demurrer ruling, and seeking a stay.  We stayed discovery pending further consideration of the petition and issued an order to show cause why mandate or other appropriate relief should not be granted. </w:t>
      </w:r>
    </w:p>
    <w:p w:rsidR="008B7CEE" w:rsidP="008B7CEE">
      <w:pPr>
        <w:jc w:val="center"/>
        <w:rPr>
          <w:rFonts w:cs="Times New Roman"/>
          <w:b/>
          <w:bCs/>
        </w:rPr>
      </w:pPr>
      <w:r>
        <w:rPr>
          <w:rFonts w:cs="Times New Roman"/>
          <w:b/>
          <w:bCs/>
        </w:rPr>
        <w:t>DISCUSSION</w:t>
      </w:r>
    </w:p>
    <w:p w:rsidR="002A1D05" w:rsidP="003E13CC">
      <w:pPr>
        <w:ind w:firstLine="720"/>
        <w:rPr>
          <w:rFonts w:cs="Times New Roman"/>
        </w:rPr>
      </w:pPr>
      <w:r>
        <w:rPr>
          <w:rFonts w:cs="Times New Roman"/>
        </w:rPr>
        <w:t xml:space="preserve">The Regents </w:t>
      </w:r>
      <w:r w:rsidR="006641D7">
        <w:rPr>
          <w:rFonts w:cs="Times New Roman"/>
        </w:rPr>
        <w:t>urge us to</w:t>
      </w:r>
      <w:r>
        <w:rPr>
          <w:rFonts w:cs="Times New Roman"/>
        </w:rPr>
        <w:t xml:space="preserve"> </w:t>
      </w:r>
      <w:r w:rsidR="00851AC0">
        <w:rPr>
          <w:rFonts w:cs="Times New Roman"/>
        </w:rPr>
        <w:t xml:space="preserve">issue </w:t>
      </w:r>
      <w:r w:rsidR="00525A29">
        <w:rPr>
          <w:rFonts w:cs="Times New Roman"/>
        </w:rPr>
        <w:t>a</w:t>
      </w:r>
      <w:r w:rsidR="00851AC0">
        <w:rPr>
          <w:rFonts w:cs="Times New Roman"/>
        </w:rPr>
        <w:t xml:space="preserve"> writ of mandate </w:t>
      </w:r>
      <w:r w:rsidR="007E4F15">
        <w:rPr>
          <w:rFonts w:cs="Times New Roman"/>
        </w:rPr>
        <w:t>vacating the</w:t>
      </w:r>
      <w:r>
        <w:rPr>
          <w:rFonts w:cs="Times New Roman"/>
        </w:rPr>
        <w:t xml:space="preserve"> trial court’s </w:t>
      </w:r>
      <w:r w:rsidR="00911449">
        <w:rPr>
          <w:rFonts w:cs="Times New Roman"/>
        </w:rPr>
        <w:t>order</w:t>
      </w:r>
      <w:r>
        <w:rPr>
          <w:rFonts w:cs="Times New Roman"/>
        </w:rPr>
        <w:t xml:space="preserve"> overruling </w:t>
      </w:r>
      <w:r w:rsidR="007E4F15">
        <w:rPr>
          <w:rFonts w:cs="Times New Roman"/>
        </w:rPr>
        <w:t xml:space="preserve">their </w:t>
      </w:r>
      <w:r>
        <w:rPr>
          <w:rFonts w:cs="Times New Roman"/>
        </w:rPr>
        <w:t xml:space="preserve">demurrer.  </w:t>
      </w:r>
      <w:r w:rsidR="00552D4C">
        <w:rPr>
          <w:rFonts w:cs="Times New Roman"/>
        </w:rPr>
        <w:t xml:space="preserve">According to the </w:t>
      </w:r>
      <w:r w:rsidR="00A16839">
        <w:rPr>
          <w:rFonts w:cs="Times New Roman"/>
        </w:rPr>
        <w:t xml:space="preserve">Regents, </w:t>
      </w:r>
      <w:r w:rsidR="00C81EFA">
        <w:rPr>
          <w:rFonts w:cs="Times New Roman"/>
        </w:rPr>
        <w:t xml:space="preserve">they </w:t>
      </w:r>
      <w:r w:rsidR="00620172">
        <w:rPr>
          <w:rFonts w:cs="Times New Roman"/>
        </w:rPr>
        <w:t xml:space="preserve">are exempt from </w:t>
      </w:r>
      <w:r w:rsidR="00541D6F">
        <w:rPr>
          <w:rFonts w:cs="Times New Roman"/>
        </w:rPr>
        <w:t xml:space="preserve">the City’s </w:t>
      </w:r>
      <w:r w:rsidR="00D77B82">
        <w:rPr>
          <w:rFonts w:cs="Times New Roman"/>
        </w:rPr>
        <w:t xml:space="preserve">building and zoning regulations </w:t>
      </w:r>
      <w:r w:rsidR="00525A29">
        <w:rPr>
          <w:rFonts w:cs="Times New Roman"/>
        </w:rPr>
        <w:t xml:space="preserve">otherwise </w:t>
      </w:r>
      <w:r w:rsidR="00D77B82">
        <w:rPr>
          <w:rFonts w:cs="Times New Roman"/>
        </w:rPr>
        <w:t xml:space="preserve">generally applicable to private businesses. </w:t>
      </w:r>
      <w:r w:rsidR="003E13CC">
        <w:rPr>
          <w:rFonts w:cs="Times New Roman"/>
        </w:rPr>
        <w:t xml:space="preserve"> </w:t>
      </w:r>
      <w:r>
        <w:rPr>
          <w:rFonts w:cs="Times New Roman"/>
        </w:rPr>
        <w:t>We agree.</w:t>
      </w:r>
    </w:p>
    <w:p w:rsidR="00A86946" w:rsidP="00AE4FAC">
      <w:pPr>
        <w:ind w:firstLine="720"/>
        <w:rPr>
          <w:rFonts w:cs="Times New Roman"/>
        </w:rPr>
      </w:pPr>
      <w:r>
        <w:rPr>
          <w:rFonts w:cs="Times New Roman"/>
        </w:rPr>
        <w:t xml:space="preserve">As a preliminary matter, </w:t>
      </w:r>
      <w:r w:rsidR="007E4F15">
        <w:rPr>
          <w:rFonts w:cs="Times New Roman"/>
        </w:rPr>
        <w:t xml:space="preserve">writ review is warranted. </w:t>
      </w:r>
      <w:r w:rsidR="004951E7">
        <w:rPr>
          <w:rFonts w:cs="Times New Roman"/>
        </w:rPr>
        <w:t xml:space="preserve"> </w:t>
      </w:r>
      <w:r w:rsidR="008C4C4E">
        <w:rPr>
          <w:rFonts w:cs="Times New Roman"/>
        </w:rPr>
        <w:t>Generally,</w:t>
      </w:r>
      <w:r w:rsidR="004951E7">
        <w:rPr>
          <w:rFonts w:cs="Times New Roman"/>
        </w:rPr>
        <w:t xml:space="preserve"> an</w:t>
      </w:r>
      <w:r w:rsidR="00EF3362">
        <w:rPr>
          <w:rFonts w:cs="Times New Roman"/>
        </w:rPr>
        <w:t xml:space="preserve"> </w:t>
      </w:r>
      <w:r w:rsidR="004951E7">
        <w:rPr>
          <w:rFonts w:cs="Times New Roman"/>
        </w:rPr>
        <w:t xml:space="preserve">order overruling a demurrer </w:t>
      </w:r>
      <w:r w:rsidR="00326D60">
        <w:rPr>
          <w:rFonts w:cs="Times New Roman"/>
        </w:rPr>
        <w:t xml:space="preserve">is not immediately appealable; it </w:t>
      </w:r>
      <w:r w:rsidR="004951E7">
        <w:rPr>
          <w:rFonts w:cs="Times New Roman"/>
        </w:rPr>
        <w:t xml:space="preserve">may be reviewed </w:t>
      </w:r>
    </w:p>
    <w:p w:rsidR="008B7CEE" w:rsidP="00A86946">
      <w:pPr>
        <w:rPr>
          <w:rFonts w:cs="Times New Roman"/>
        </w:rPr>
      </w:pPr>
      <w:r>
        <w:rPr>
          <w:rFonts w:cs="Times New Roman"/>
        </w:rPr>
        <w:t xml:space="preserve">on appeal </w:t>
      </w:r>
      <w:r w:rsidR="00EF3362">
        <w:rPr>
          <w:rFonts w:cs="Times New Roman"/>
        </w:rPr>
        <w:t>following a final judgment</w:t>
      </w:r>
      <w:r w:rsidR="008C4C4E">
        <w:rPr>
          <w:rFonts w:cs="Times New Roman"/>
        </w:rPr>
        <w:t xml:space="preserve">.  </w:t>
      </w:r>
      <w:r w:rsidRPr="008C4C4E" w:rsidR="008C4C4E">
        <w:rPr>
          <w:rFonts w:cs="Times New Roman"/>
        </w:rPr>
        <w:t>(</w:t>
      </w:r>
      <w:r w:rsidRPr="004D1574" w:rsidR="008C4C4E">
        <w:rPr>
          <w:rFonts w:cs="Times New Roman"/>
          <w:i/>
          <w:iCs/>
        </w:rPr>
        <w:t>Casterson v. Superior Court</w:t>
      </w:r>
      <w:r w:rsidRPr="008C4C4E" w:rsidR="008C4C4E">
        <w:rPr>
          <w:rFonts w:cs="Times New Roman"/>
        </w:rPr>
        <w:t xml:space="preserve"> (2002) 101</w:t>
      </w:r>
      <w:r w:rsidR="00A86946">
        <w:rPr>
          <w:rFonts w:cs="Times New Roman"/>
        </w:rPr>
        <w:t> </w:t>
      </w:r>
      <w:r w:rsidRPr="008C4C4E" w:rsidR="008C4C4E">
        <w:rPr>
          <w:rFonts w:cs="Times New Roman"/>
        </w:rPr>
        <w:t>Cal.App.4th 177, 182.)</w:t>
      </w:r>
      <w:r w:rsidR="008C4C4E">
        <w:rPr>
          <w:rFonts w:cs="Times New Roman"/>
        </w:rPr>
        <w:t xml:space="preserve">  </w:t>
      </w:r>
      <w:r w:rsidR="00690308">
        <w:rPr>
          <w:rFonts w:cs="Times New Roman"/>
        </w:rPr>
        <w:t xml:space="preserve">But writ review may be granted where </w:t>
      </w:r>
      <w:r w:rsidR="006B11CD">
        <w:rPr>
          <w:rFonts w:cs="Times New Roman"/>
        </w:rPr>
        <w:t>the order</w:t>
      </w:r>
      <w:r w:rsidR="00690308">
        <w:rPr>
          <w:rFonts w:cs="Times New Roman"/>
        </w:rPr>
        <w:t xml:space="preserve"> raises a significant issue of law </w:t>
      </w:r>
      <w:r w:rsidR="00112D66">
        <w:rPr>
          <w:rFonts w:cs="Times New Roman"/>
        </w:rPr>
        <w:t xml:space="preserve">or </w:t>
      </w:r>
      <w:r w:rsidR="00890613">
        <w:rPr>
          <w:rFonts w:cs="Times New Roman"/>
        </w:rPr>
        <w:t>“</w:t>
      </w:r>
      <w:r w:rsidRPr="00187638" w:rsidR="00187638">
        <w:rPr>
          <w:rFonts w:cs="Times New Roman"/>
        </w:rPr>
        <w:t>resolution of the issue would result in a final disposition as to the petitioner.</w:t>
      </w:r>
      <w:r w:rsidR="00890613">
        <w:rPr>
          <w:rFonts w:cs="Times New Roman"/>
        </w:rPr>
        <w:t>”  (</w:t>
      </w:r>
      <w:r w:rsidRPr="004D1574" w:rsidR="00890613">
        <w:rPr>
          <w:rFonts w:cs="Times New Roman"/>
          <w:i/>
          <w:iCs/>
        </w:rPr>
        <w:t>Ibid</w:t>
      </w:r>
      <w:r w:rsidR="00890613">
        <w:rPr>
          <w:rFonts w:cs="Times New Roman"/>
        </w:rPr>
        <w:t xml:space="preserve">.)  </w:t>
      </w:r>
      <w:r w:rsidR="006B11CD">
        <w:rPr>
          <w:rFonts w:cs="Times New Roman"/>
        </w:rPr>
        <w:t xml:space="preserve">Both </w:t>
      </w:r>
      <w:r w:rsidR="00525A29">
        <w:rPr>
          <w:rFonts w:cs="Times New Roman"/>
        </w:rPr>
        <w:t xml:space="preserve">considerations </w:t>
      </w:r>
      <w:r w:rsidR="006B11CD">
        <w:rPr>
          <w:rFonts w:cs="Times New Roman"/>
        </w:rPr>
        <w:t>apply</w:t>
      </w:r>
      <w:r w:rsidR="00A32796">
        <w:rPr>
          <w:rFonts w:cs="Times New Roman"/>
        </w:rPr>
        <w:t xml:space="preserve"> here</w:t>
      </w:r>
      <w:r w:rsidR="006B11CD">
        <w:rPr>
          <w:rFonts w:cs="Times New Roman"/>
        </w:rPr>
        <w:t>.</w:t>
      </w:r>
      <w:r>
        <w:rPr>
          <w:rFonts w:cs="Times New Roman"/>
        </w:rPr>
        <w:t xml:space="preserve"> </w:t>
      </w:r>
      <w:r w:rsidR="005E31FF">
        <w:rPr>
          <w:rFonts w:cs="Times New Roman"/>
        </w:rPr>
        <w:t xml:space="preserve"> </w:t>
      </w:r>
      <w:r w:rsidR="00525A29">
        <w:rPr>
          <w:rFonts w:cs="Times New Roman"/>
        </w:rPr>
        <w:t>W</w:t>
      </w:r>
      <w:r>
        <w:rPr>
          <w:rFonts w:cs="Times New Roman"/>
        </w:rPr>
        <w:t xml:space="preserve">hether the </w:t>
      </w:r>
      <w:r w:rsidR="003A3931">
        <w:rPr>
          <w:rFonts w:cs="Times New Roman"/>
        </w:rPr>
        <w:t xml:space="preserve">Regents are entitled </w:t>
      </w:r>
      <w:r>
        <w:rPr>
          <w:rFonts w:cs="Times New Roman"/>
        </w:rPr>
        <w:t xml:space="preserve">to sovereign immunity from local building and zoning regulations </w:t>
      </w:r>
      <w:r w:rsidR="003A3931">
        <w:rPr>
          <w:rFonts w:cs="Times New Roman"/>
        </w:rPr>
        <w:t xml:space="preserve">when building the </w:t>
      </w:r>
      <w:r w:rsidR="002B192E">
        <w:rPr>
          <w:rFonts w:cs="Times New Roman"/>
        </w:rPr>
        <w:t xml:space="preserve">New Hospital </w:t>
      </w:r>
      <w:r>
        <w:rPr>
          <w:rFonts w:cs="Times New Roman"/>
        </w:rPr>
        <w:t>presents a significant constitutional issue.  (</w:t>
      </w:r>
      <w:r w:rsidRPr="00680C15">
        <w:rPr>
          <w:rFonts w:cs="Times New Roman"/>
          <w:i/>
          <w:iCs/>
        </w:rPr>
        <w:t>City &amp; C</w:t>
      </w:r>
      <w:r>
        <w:rPr>
          <w:rFonts w:cs="Times New Roman"/>
          <w:i/>
          <w:iCs/>
        </w:rPr>
        <w:t xml:space="preserve">ounty </w:t>
      </w:r>
      <w:r w:rsidRPr="00680C15">
        <w:rPr>
          <w:rFonts w:cs="Times New Roman"/>
          <w:i/>
          <w:iCs/>
        </w:rPr>
        <w:t>of San Francisco v. Regents of Univ</w:t>
      </w:r>
      <w:r w:rsidR="00DB1BF9">
        <w:rPr>
          <w:rFonts w:cs="Times New Roman"/>
          <w:i/>
          <w:iCs/>
        </w:rPr>
        <w:t>ersity</w:t>
      </w:r>
      <w:r w:rsidRPr="00680C15">
        <w:rPr>
          <w:rFonts w:cs="Times New Roman"/>
          <w:i/>
          <w:iCs/>
        </w:rPr>
        <w:t xml:space="preserve"> of California</w:t>
      </w:r>
      <w:r>
        <w:rPr>
          <w:rFonts w:cs="Times New Roman"/>
        </w:rPr>
        <w:t xml:space="preserve"> (2019)</w:t>
      </w:r>
      <w:r w:rsidRPr="00D93923">
        <w:rPr>
          <w:rFonts w:cs="Times New Roman"/>
        </w:rPr>
        <w:t xml:space="preserve"> 7 Cal.5th 536, </w:t>
      </w:r>
      <w:r>
        <w:rPr>
          <w:rFonts w:cs="Times New Roman"/>
        </w:rPr>
        <w:t>544</w:t>
      </w:r>
      <w:r w:rsidR="00DB1BF9">
        <w:rPr>
          <w:rFonts w:cs="Times New Roman"/>
        </w:rPr>
        <w:t xml:space="preserve"> (</w:t>
      </w:r>
      <w:r w:rsidR="00DE743C">
        <w:rPr>
          <w:rFonts w:cs="Times New Roman"/>
          <w:i/>
          <w:iCs/>
        </w:rPr>
        <w:t>Hastings</w:t>
      </w:r>
      <w:r w:rsidR="00DB1BF9">
        <w:rPr>
          <w:rFonts w:cs="Times New Roman"/>
        </w:rPr>
        <w:t>)</w:t>
      </w:r>
      <w:r w:rsidR="00DA25E6">
        <w:rPr>
          <w:rFonts w:cs="Times New Roman"/>
        </w:rPr>
        <w:t xml:space="preserve"> </w:t>
      </w:r>
      <w:r w:rsidR="002A0D49">
        <w:rPr>
          <w:rFonts w:cs="Times New Roman"/>
        </w:rPr>
        <w:t xml:space="preserve">[allocation of authority between a local government </w:t>
      </w:r>
      <w:r w:rsidR="00AC0397">
        <w:rPr>
          <w:rFonts w:cs="Times New Roman"/>
        </w:rPr>
        <w:t>and state agency is a</w:t>
      </w:r>
      <w:r w:rsidR="0093668E">
        <w:rPr>
          <w:rFonts w:cs="Times New Roman"/>
        </w:rPr>
        <w:t>n issue regarding the constitutional system]</w:t>
      </w:r>
      <w:r>
        <w:rPr>
          <w:rFonts w:cs="Times New Roman"/>
        </w:rPr>
        <w:t>.)</w:t>
      </w:r>
      <w:r w:rsidR="006A4222">
        <w:rPr>
          <w:rFonts w:cs="Times New Roman"/>
        </w:rPr>
        <w:t xml:space="preserve">  </w:t>
      </w:r>
      <w:r w:rsidR="00F9632A">
        <w:rPr>
          <w:rFonts w:cs="Times New Roman"/>
        </w:rPr>
        <w:t>And r</w:t>
      </w:r>
      <w:r w:rsidR="002F2111">
        <w:rPr>
          <w:rFonts w:cs="Times New Roman"/>
        </w:rPr>
        <w:t xml:space="preserve">esolution of this issue in the Regents’ favor will result in a final disposition as to the </w:t>
      </w:r>
      <w:r w:rsidR="001A7A73">
        <w:rPr>
          <w:rFonts w:cs="Times New Roman"/>
        </w:rPr>
        <w:t>Coalition’s complaint</w:t>
      </w:r>
      <w:r w:rsidR="005F2331">
        <w:rPr>
          <w:rFonts w:cs="Times New Roman"/>
        </w:rPr>
        <w:t xml:space="preserve"> </w:t>
      </w:r>
      <w:r w:rsidR="00F9632A">
        <w:rPr>
          <w:rFonts w:cs="Times New Roman"/>
        </w:rPr>
        <w:t>—</w:t>
      </w:r>
      <w:r w:rsidR="005F2331">
        <w:rPr>
          <w:rFonts w:cs="Times New Roman"/>
        </w:rPr>
        <w:t xml:space="preserve"> </w:t>
      </w:r>
      <w:r w:rsidR="00F9632A">
        <w:rPr>
          <w:rFonts w:cs="Times New Roman"/>
        </w:rPr>
        <w:t>it would be d</w:t>
      </w:r>
      <w:r w:rsidR="00AF2DAB">
        <w:rPr>
          <w:rFonts w:cs="Times New Roman"/>
        </w:rPr>
        <w:t>ismissed</w:t>
      </w:r>
      <w:r w:rsidR="001A7A73">
        <w:rPr>
          <w:rFonts w:cs="Times New Roman"/>
        </w:rPr>
        <w:t>.  (</w:t>
      </w:r>
      <w:r w:rsidR="001A7A73">
        <w:rPr>
          <w:rFonts w:cs="Times New Roman"/>
          <w:i/>
          <w:iCs/>
        </w:rPr>
        <w:t>Ca</w:t>
      </w:r>
      <w:r w:rsidR="00C8105F">
        <w:rPr>
          <w:rFonts w:cs="Times New Roman"/>
          <w:i/>
          <w:iCs/>
        </w:rPr>
        <w:t>s</w:t>
      </w:r>
      <w:r w:rsidR="001A7A73">
        <w:rPr>
          <w:rFonts w:cs="Times New Roman"/>
          <w:i/>
          <w:iCs/>
        </w:rPr>
        <w:t>terson</w:t>
      </w:r>
      <w:r w:rsidR="001A7A73">
        <w:rPr>
          <w:rFonts w:cs="Times New Roman"/>
        </w:rPr>
        <w:t>, at p. 182.)</w:t>
      </w:r>
    </w:p>
    <w:p w:rsidR="008B7CEE">
      <w:pPr>
        <w:ind w:firstLine="720"/>
        <w:rPr>
          <w:rFonts w:cs="Times New Roman"/>
        </w:rPr>
      </w:pPr>
      <w:r>
        <w:rPr>
          <w:rFonts w:cs="Times New Roman"/>
        </w:rPr>
        <w:t xml:space="preserve">We </w:t>
      </w:r>
      <w:r w:rsidR="00A32796">
        <w:rPr>
          <w:rFonts w:cs="Times New Roman"/>
        </w:rPr>
        <w:t xml:space="preserve">independently </w:t>
      </w:r>
      <w:r>
        <w:rPr>
          <w:rFonts w:cs="Times New Roman"/>
        </w:rPr>
        <w:t xml:space="preserve">review </w:t>
      </w:r>
      <w:r w:rsidR="002E472A">
        <w:rPr>
          <w:rFonts w:cs="Times New Roman"/>
        </w:rPr>
        <w:t>an order overruling a demurrer</w:t>
      </w:r>
      <w:r>
        <w:rPr>
          <w:rFonts w:cs="Times New Roman"/>
        </w:rPr>
        <w:t xml:space="preserve">, </w:t>
      </w:r>
      <w:r w:rsidRPr="005A0887">
        <w:rPr>
          <w:rFonts w:cs="Times New Roman"/>
        </w:rPr>
        <w:t>assessing whether the complaint states a cause of action under any legal theory.</w:t>
      </w:r>
      <w:r>
        <w:rPr>
          <w:rFonts w:cs="Times New Roman"/>
        </w:rPr>
        <w:t xml:space="preserve">  (</w:t>
      </w:r>
      <w:r w:rsidRPr="00E91E88">
        <w:rPr>
          <w:rFonts w:cs="Times New Roman"/>
          <w:i/>
          <w:iCs/>
        </w:rPr>
        <w:t>Brandwein v. Butler</w:t>
      </w:r>
      <w:r>
        <w:rPr>
          <w:rFonts w:cs="Times New Roman"/>
        </w:rPr>
        <w:t xml:space="preserve"> (2013) 218 </w:t>
      </w:r>
      <w:r w:rsidRPr="000C5FEC">
        <w:rPr>
          <w:rFonts w:cs="Times New Roman"/>
        </w:rPr>
        <w:t>Cal.Ap</w:t>
      </w:r>
      <w:r>
        <w:rPr>
          <w:rFonts w:cs="Times New Roman"/>
        </w:rPr>
        <w:t xml:space="preserve">p.4th 1485, 1497.)  </w:t>
      </w:r>
      <w:r w:rsidR="002E472A">
        <w:rPr>
          <w:rFonts w:cs="Times New Roman"/>
        </w:rPr>
        <w:t xml:space="preserve">If it does, we assess whether the complaint </w:t>
      </w:r>
      <w:r w:rsidR="0089334C">
        <w:rPr>
          <w:rFonts w:cs="Times New Roman"/>
        </w:rPr>
        <w:t xml:space="preserve">clearly </w:t>
      </w:r>
      <w:r w:rsidR="002E472A">
        <w:rPr>
          <w:rFonts w:cs="Times New Roman"/>
        </w:rPr>
        <w:t>discloses a defense or bar to recovery.</w:t>
      </w:r>
      <w:r w:rsidR="002C7003">
        <w:rPr>
          <w:rFonts w:cs="Times New Roman"/>
        </w:rPr>
        <w:t xml:space="preserve">  (</w:t>
      </w:r>
      <w:r w:rsidRPr="004D1574" w:rsidR="002C7003">
        <w:rPr>
          <w:rFonts w:cs="Times New Roman"/>
          <w:i/>
          <w:iCs/>
        </w:rPr>
        <w:t>See’s Candies, Inc. v. Superior Court</w:t>
      </w:r>
      <w:r w:rsidR="002C7003">
        <w:rPr>
          <w:rFonts w:cs="Times New Roman"/>
        </w:rPr>
        <w:t xml:space="preserve"> (2021)</w:t>
      </w:r>
      <w:r w:rsidRPr="002C7003" w:rsidR="002C7003">
        <w:rPr>
          <w:rFonts w:cs="Times New Roman"/>
        </w:rPr>
        <w:t xml:space="preserve"> 73 Cal.App.5th 66, 76</w:t>
      </w:r>
      <w:r w:rsidR="002C7003">
        <w:rPr>
          <w:rFonts w:cs="Times New Roman"/>
        </w:rPr>
        <w:t xml:space="preserve">.)  </w:t>
      </w:r>
      <w:r>
        <w:rPr>
          <w:rFonts w:cs="Times New Roman"/>
        </w:rPr>
        <w:t>In doing so, we assume the truth of all facts properly pleaded and those reasonably inferred from the pleadings.  (</w:t>
      </w:r>
      <w:r>
        <w:rPr>
          <w:rFonts w:cs="Times New Roman"/>
          <w:i/>
          <w:iCs/>
        </w:rPr>
        <w:t xml:space="preserve">Regents of University of California v. Superior Court </w:t>
      </w:r>
      <w:r>
        <w:rPr>
          <w:rFonts w:cs="Times New Roman"/>
        </w:rPr>
        <w:t>(2013) 220 Cal.App.4th 549, 558.)  But we do not assume the truth of “contentions, deductions, or conclusions of law.”  (</w:t>
      </w:r>
      <w:r w:rsidRPr="00CA2006">
        <w:rPr>
          <w:rFonts w:cs="Times New Roman"/>
          <w:i/>
          <w:iCs/>
        </w:rPr>
        <w:t>Stearn v. County of San Bernardino</w:t>
      </w:r>
      <w:r>
        <w:rPr>
          <w:rFonts w:cs="Times New Roman"/>
        </w:rPr>
        <w:t xml:space="preserve"> (2009) 170 Cal.App.4th 434, 440.)  Having engaged in that review, we agree the trial court erroneously overruled the demurrer. </w:t>
      </w:r>
      <w:r w:rsidR="00FE53B7">
        <w:rPr>
          <w:rFonts w:cs="Times New Roman"/>
        </w:rPr>
        <w:t xml:space="preserve"> </w:t>
      </w:r>
      <w:r w:rsidR="005E2310">
        <w:rPr>
          <w:rFonts w:cs="Times New Roman"/>
        </w:rPr>
        <w:t xml:space="preserve">We conclude </w:t>
      </w:r>
      <w:r w:rsidR="0029435F">
        <w:rPr>
          <w:rFonts w:cs="Times New Roman"/>
        </w:rPr>
        <w:t xml:space="preserve">the </w:t>
      </w:r>
      <w:r w:rsidR="00775A9B">
        <w:rPr>
          <w:rFonts w:cs="Times New Roman"/>
        </w:rPr>
        <w:t xml:space="preserve">complaint clearly discloses </w:t>
      </w:r>
      <w:r w:rsidR="00AD12E3">
        <w:rPr>
          <w:rFonts w:cs="Times New Roman"/>
        </w:rPr>
        <w:t xml:space="preserve">the </w:t>
      </w:r>
      <w:r w:rsidR="0029435F">
        <w:rPr>
          <w:rFonts w:cs="Times New Roman"/>
        </w:rPr>
        <w:t>Regents</w:t>
      </w:r>
      <w:r w:rsidR="00525A29">
        <w:rPr>
          <w:rFonts w:cs="Times New Roman"/>
        </w:rPr>
        <w:t>’</w:t>
      </w:r>
      <w:r w:rsidR="0029435F">
        <w:rPr>
          <w:rFonts w:cs="Times New Roman"/>
        </w:rPr>
        <w:t xml:space="preserve"> immunity from the City’s </w:t>
      </w:r>
      <w:r w:rsidR="007E3705">
        <w:rPr>
          <w:rFonts w:cs="Times New Roman"/>
        </w:rPr>
        <w:t>p</w:t>
      </w:r>
      <w:r w:rsidR="0029435F">
        <w:rPr>
          <w:rFonts w:cs="Times New Roman"/>
        </w:rPr>
        <w:t xml:space="preserve">lanning </w:t>
      </w:r>
      <w:r w:rsidR="007E3705">
        <w:rPr>
          <w:rFonts w:cs="Times New Roman"/>
        </w:rPr>
        <w:t>c</w:t>
      </w:r>
      <w:r w:rsidR="0029435F">
        <w:rPr>
          <w:rFonts w:cs="Times New Roman"/>
        </w:rPr>
        <w:t>ode</w:t>
      </w:r>
      <w:r w:rsidR="00D62A37">
        <w:rPr>
          <w:rFonts w:cs="Times New Roman"/>
        </w:rPr>
        <w:t>, barring the Coalition’s recovery as a matter of law.</w:t>
      </w:r>
      <w:r w:rsidR="0029435F">
        <w:rPr>
          <w:rFonts w:cs="Times New Roman"/>
        </w:rPr>
        <w:t xml:space="preserve"> </w:t>
      </w:r>
    </w:p>
    <w:p w:rsidR="00195AC3" w:rsidRPr="00195AC3" w:rsidP="00195AC3">
      <w:pPr>
        <w:jc w:val="center"/>
        <w:rPr>
          <w:rFonts w:cs="Times New Roman"/>
          <w:b/>
          <w:bCs/>
        </w:rPr>
      </w:pPr>
      <w:r w:rsidRPr="00195AC3">
        <w:rPr>
          <w:rFonts w:cs="Times New Roman"/>
          <w:b/>
          <w:bCs/>
        </w:rPr>
        <w:t>I.</w:t>
      </w:r>
    </w:p>
    <w:p w:rsidR="007C1033" w:rsidP="008D3703">
      <w:pPr>
        <w:ind w:firstLine="720"/>
        <w:rPr>
          <w:rFonts w:cs="Times New Roman"/>
        </w:rPr>
      </w:pPr>
      <w:r>
        <w:rPr>
          <w:rFonts w:cs="Times New Roman"/>
        </w:rPr>
        <w:t xml:space="preserve">We begin by </w:t>
      </w:r>
      <w:r w:rsidR="007F087B">
        <w:rPr>
          <w:rFonts w:cs="Times New Roman"/>
        </w:rPr>
        <w:t xml:space="preserve">providing an overview of the relevant law.  </w:t>
      </w:r>
      <w:r w:rsidR="008B7CEE">
        <w:rPr>
          <w:rFonts w:cs="Times New Roman"/>
        </w:rPr>
        <w:t xml:space="preserve">The </w:t>
      </w:r>
      <w:r w:rsidR="007D33F7">
        <w:rPr>
          <w:rFonts w:cs="Times New Roman"/>
        </w:rPr>
        <w:t xml:space="preserve">California Constitution establishes the Regents as a </w:t>
      </w:r>
      <w:r w:rsidR="00FB7B5C">
        <w:rPr>
          <w:rFonts w:cs="Times New Roman"/>
        </w:rPr>
        <w:t>“</w:t>
      </w:r>
      <w:r w:rsidR="007D33F7">
        <w:rPr>
          <w:rFonts w:cs="Times New Roman"/>
        </w:rPr>
        <w:t>public trust</w:t>
      </w:r>
      <w:r w:rsidR="00C62495">
        <w:rPr>
          <w:rFonts w:cs="Times New Roman"/>
        </w:rPr>
        <w:t> </w:t>
      </w:r>
      <w:r w:rsidR="00DB572A">
        <w:rPr>
          <w:rFonts w:cs="Times New Roman"/>
        </w:rPr>
        <w:t>. . .</w:t>
      </w:r>
      <w:r w:rsidR="00384C91">
        <w:rPr>
          <w:rFonts w:cs="Times New Roman"/>
        </w:rPr>
        <w:t> </w:t>
      </w:r>
      <w:r w:rsidR="005F06D0">
        <w:rPr>
          <w:rFonts w:cs="Times New Roman"/>
        </w:rPr>
        <w:t>with full powers of organization and government</w:t>
      </w:r>
      <w:r w:rsidR="00A424F3">
        <w:rPr>
          <w:rFonts w:cs="Times New Roman"/>
        </w:rPr>
        <w:t>,</w:t>
      </w:r>
      <w:r w:rsidR="00FB7B5C">
        <w:rPr>
          <w:rFonts w:cs="Times New Roman"/>
        </w:rPr>
        <w:t>”</w:t>
      </w:r>
      <w:r w:rsidR="005F06D0">
        <w:rPr>
          <w:rFonts w:cs="Times New Roman"/>
        </w:rPr>
        <w:t xml:space="preserve"> </w:t>
      </w:r>
      <w:r w:rsidR="00A424F3">
        <w:rPr>
          <w:rFonts w:cs="Times New Roman"/>
        </w:rPr>
        <w:t>including “the legal title and the management and disposition</w:t>
      </w:r>
      <w:r w:rsidR="00E4616F">
        <w:rPr>
          <w:rFonts w:cs="Times New Roman"/>
        </w:rPr>
        <w:t>” of university property and</w:t>
      </w:r>
      <w:r w:rsidR="00A424F3">
        <w:rPr>
          <w:rFonts w:cs="Times New Roman"/>
        </w:rPr>
        <w:t xml:space="preserve"> </w:t>
      </w:r>
      <w:r w:rsidR="00E4616F">
        <w:rPr>
          <w:rFonts w:cs="Times New Roman"/>
        </w:rPr>
        <w:t>“</w:t>
      </w:r>
      <w:r w:rsidR="00A424F3">
        <w:rPr>
          <w:rFonts w:cs="Times New Roman"/>
        </w:rPr>
        <w:t>of property held for its benefit</w:t>
      </w:r>
      <w:r w:rsidR="00E4616F">
        <w:rPr>
          <w:rFonts w:cs="Times New Roman"/>
        </w:rPr>
        <w:t>.”</w:t>
      </w:r>
      <w:r w:rsidR="005F06D0">
        <w:rPr>
          <w:rFonts w:cs="Times New Roman"/>
        </w:rPr>
        <w:t xml:space="preserve"> </w:t>
      </w:r>
      <w:r w:rsidR="00E4616F">
        <w:rPr>
          <w:rFonts w:cs="Times New Roman"/>
        </w:rPr>
        <w:t xml:space="preserve"> </w:t>
      </w:r>
      <w:r w:rsidR="005F06D0">
        <w:rPr>
          <w:rFonts w:cs="Times New Roman"/>
        </w:rPr>
        <w:t>(Cal. Const., art. IX,</w:t>
      </w:r>
      <w:r w:rsidR="007D33F7">
        <w:rPr>
          <w:rFonts w:cs="Times New Roman"/>
        </w:rPr>
        <w:t xml:space="preserve"> §</w:t>
      </w:r>
      <w:r w:rsidR="00D04310">
        <w:rPr>
          <w:rFonts w:cs="Times New Roman"/>
        </w:rPr>
        <w:t> </w:t>
      </w:r>
      <w:r w:rsidR="007D33F7">
        <w:rPr>
          <w:rFonts w:cs="Times New Roman"/>
        </w:rPr>
        <w:t>9, subd</w:t>
      </w:r>
      <w:r w:rsidR="00213F92">
        <w:rPr>
          <w:rFonts w:cs="Times New Roman"/>
        </w:rPr>
        <w:t>s</w:t>
      </w:r>
      <w:r w:rsidR="007D33F7">
        <w:rPr>
          <w:rFonts w:cs="Times New Roman"/>
        </w:rPr>
        <w:t>. (a)</w:t>
      </w:r>
      <w:r w:rsidR="00213F92">
        <w:rPr>
          <w:rFonts w:cs="Times New Roman"/>
        </w:rPr>
        <w:t>, (f)</w:t>
      </w:r>
      <w:r w:rsidR="00CC4962">
        <w:rPr>
          <w:rFonts w:cs="Times New Roman"/>
        </w:rPr>
        <w:t xml:space="preserve">; </w:t>
      </w:r>
      <w:r w:rsidR="00EC30EE">
        <w:rPr>
          <w:rFonts w:cs="Times New Roman"/>
          <w:i/>
          <w:iCs/>
        </w:rPr>
        <w:t>Hastings</w:t>
      </w:r>
      <w:r w:rsidR="00DB1BF9">
        <w:rPr>
          <w:rFonts w:cs="Times New Roman"/>
        </w:rPr>
        <w:t xml:space="preserve">, </w:t>
      </w:r>
      <w:r w:rsidR="00DB1BF9">
        <w:rPr>
          <w:rFonts w:cs="Times New Roman"/>
          <w:i/>
          <w:iCs/>
        </w:rPr>
        <w:t>supra</w:t>
      </w:r>
      <w:r w:rsidR="00DB1BF9">
        <w:rPr>
          <w:rFonts w:cs="Times New Roman"/>
        </w:rPr>
        <w:t>,</w:t>
      </w:r>
      <w:r w:rsidR="00DB1BF9">
        <w:rPr>
          <w:rFonts w:cs="Times New Roman"/>
          <w:i/>
          <w:iCs/>
        </w:rPr>
        <w:t xml:space="preserve"> </w:t>
      </w:r>
      <w:r w:rsidRPr="00CC4962" w:rsidR="00CC4962">
        <w:rPr>
          <w:rFonts w:cs="Times New Roman"/>
        </w:rPr>
        <w:t xml:space="preserve">7 Cal.5th </w:t>
      </w:r>
      <w:r w:rsidR="00DB1BF9">
        <w:rPr>
          <w:rFonts w:cs="Times New Roman"/>
        </w:rPr>
        <w:t>at p.</w:t>
      </w:r>
      <w:r w:rsidRPr="00CC4962" w:rsidR="00CC4962">
        <w:rPr>
          <w:rFonts w:cs="Times New Roman"/>
        </w:rPr>
        <w:t xml:space="preserve"> 545</w:t>
      </w:r>
      <w:r w:rsidR="007D33F7">
        <w:rPr>
          <w:rFonts w:cs="Times New Roman"/>
        </w:rPr>
        <w:t>.)</w:t>
      </w:r>
      <w:r w:rsidR="00FB7B5C">
        <w:rPr>
          <w:rFonts w:cs="Times New Roman"/>
        </w:rPr>
        <w:t xml:space="preserve">  </w:t>
      </w:r>
      <w:r w:rsidR="006B7389">
        <w:rPr>
          <w:rFonts w:cs="Times New Roman"/>
        </w:rPr>
        <w:t xml:space="preserve">As a </w:t>
      </w:r>
      <w:r w:rsidR="00FF6418">
        <w:rPr>
          <w:rFonts w:cs="Times New Roman"/>
        </w:rPr>
        <w:t>“constitutionally created arm of the state,” the Regents have “virtual autonomy in self-governance</w:t>
      </w:r>
      <w:r w:rsidR="008D3703">
        <w:rPr>
          <w:rFonts w:cs="Times New Roman"/>
        </w:rPr>
        <w:t xml:space="preserve">,” and </w:t>
      </w:r>
      <w:r w:rsidR="00887BA1">
        <w:rPr>
          <w:rFonts w:cs="Times New Roman"/>
        </w:rPr>
        <w:t xml:space="preserve">their </w:t>
      </w:r>
      <w:r w:rsidR="006B7389">
        <w:rPr>
          <w:rFonts w:cs="Times New Roman"/>
        </w:rPr>
        <w:t>power “ ‘</w:t>
      </w:r>
      <w:r w:rsidR="00B42B86">
        <w:rPr>
          <w:rFonts w:cs="Times New Roman"/>
        </w:rPr>
        <w:t xml:space="preserve"> “</w:t>
      </w:r>
      <w:r w:rsidRPr="006B7389" w:rsidR="006B7389">
        <w:rPr>
          <w:rFonts w:cs="Times New Roman"/>
        </w:rPr>
        <w:t>to operate, control, and administer the University is virtually exclusive.</w:t>
      </w:r>
      <w:r w:rsidR="00B42B86">
        <w:rPr>
          <w:rFonts w:cs="Times New Roman"/>
        </w:rPr>
        <w:t xml:space="preserve">” </w:t>
      </w:r>
      <w:r w:rsidR="008D3703">
        <w:rPr>
          <w:rFonts w:cs="Times New Roman"/>
        </w:rPr>
        <w:t>’ ”  (</w:t>
      </w:r>
      <w:r w:rsidRPr="008D3703" w:rsidR="006B7389">
        <w:rPr>
          <w:rFonts w:cs="Times New Roman"/>
          <w:i/>
          <w:iCs/>
        </w:rPr>
        <w:t>Regents of Univ</w:t>
      </w:r>
      <w:r w:rsidRPr="008D3703" w:rsidR="008D3703">
        <w:rPr>
          <w:rFonts w:cs="Times New Roman"/>
          <w:i/>
          <w:iCs/>
        </w:rPr>
        <w:t>ersity</w:t>
      </w:r>
      <w:r w:rsidRPr="008D3703" w:rsidR="006B7389">
        <w:rPr>
          <w:rFonts w:cs="Times New Roman"/>
          <w:i/>
          <w:iCs/>
        </w:rPr>
        <w:t xml:space="preserve"> of California v. City of Santa Monica</w:t>
      </w:r>
      <w:r w:rsidR="008D3703">
        <w:rPr>
          <w:rFonts w:cs="Times New Roman"/>
        </w:rPr>
        <w:t xml:space="preserve"> (1978) </w:t>
      </w:r>
      <w:r w:rsidRPr="006B7389" w:rsidR="006B7389">
        <w:rPr>
          <w:rFonts w:cs="Times New Roman"/>
        </w:rPr>
        <w:t>77 Cal.App.3d 130, 135</w:t>
      </w:r>
      <w:r w:rsidR="008D3703">
        <w:rPr>
          <w:rFonts w:cs="Times New Roman"/>
        </w:rPr>
        <w:t xml:space="preserve"> (</w:t>
      </w:r>
      <w:r w:rsidR="008D3703">
        <w:rPr>
          <w:rFonts w:cs="Times New Roman"/>
          <w:i/>
          <w:iCs/>
        </w:rPr>
        <w:t>Santa Monica</w:t>
      </w:r>
      <w:r w:rsidR="008D3703">
        <w:rPr>
          <w:rFonts w:cs="Times New Roman"/>
        </w:rPr>
        <w:t>).</w:t>
      </w:r>
      <w:r w:rsidRPr="006B7389" w:rsidR="006B7389">
        <w:rPr>
          <w:rFonts w:cs="Times New Roman"/>
        </w:rPr>
        <w:t>)</w:t>
      </w:r>
      <w:r w:rsidR="008D3703">
        <w:rPr>
          <w:rFonts w:cs="Times New Roman"/>
        </w:rPr>
        <w:t xml:space="preserve">  </w:t>
      </w:r>
      <w:r w:rsidR="00242049">
        <w:rPr>
          <w:rFonts w:cs="Times New Roman"/>
        </w:rPr>
        <w:t xml:space="preserve">Given </w:t>
      </w:r>
      <w:r w:rsidRPr="00E62464" w:rsidR="00A00F1F">
        <w:rPr>
          <w:rFonts w:cs="Times New Roman"/>
        </w:rPr>
        <w:t>th</w:t>
      </w:r>
      <w:r w:rsidRPr="00E62464" w:rsidR="00295769">
        <w:rPr>
          <w:rFonts w:cs="Times New Roman"/>
        </w:rPr>
        <w:t>is</w:t>
      </w:r>
      <w:r w:rsidRPr="00E62464" w:rsidR="00A00F1F">
        <w:rPr>
          <w:rFonts w:cs="Times New Roman"/>
        </w:rPr>
        <w:t xml:space="preserve"> </w:t>
      </w:r>
      <w:r w:rsidRPr="00E62464" w:rsidR="00D11B18">
        <w:rPr>
          <w:rFonts w:cs="Times New Roman"/>
        </w:rPr>
        <w:t xml:space="preserve">unique </w:t>
      </w:r>
      <w:r w:rsidRPr="00E62464" w:rsidR="00A00F1F">
        <w:rPr>
          <w:rFonts w:cs="Times New Roman"/>
        </w:rPr>
        <w:t xml:space="preserve">status, the Regents have </w:t>
      </w:r>
      <w:r w:rsidR="008A02B2">
        <w:rPr>
          <w:rFonts w:cs="Times New Roman"/>
        </w:rPr>
        <w:t>“</w:t>
      </w:r>
      <w:r w:rsidRPr="00A84818" w:rsidR="008A02B2">
        <w:rPr>
          <w:rFonts w:cs="Times New Roman"/>
        </w:rPr>
        <w:t xml:space="preserve">immunity from local regulation unless the state, through statute or provision of the California Constitution, has </w:t>
      </w:r>
      <w:r w:rsidR="008C2002">
        <w:rPr>
          <w:rFonts w:cs="Times New Roman"/>
        </w:rPr>
        <w:t xml:space="preserve">[expressly] </w:t>
      </w:r>
      <w:r w:rsidRPr="00A84818" w:rsidR="008A02B2">
        <w:rPr>
          <w:rFonts w:cs="Times New Roman"/>
        </w:rPr>
        <w:t>consented to waive such immunity</w:t>
      </w:r>
      <w:r w:rsidR="008A02B2">
        <w:rPr>
          <w:rFonts w:cs="Times New Roman"/>
        </w:rPr>
        <w:t>.”  (</w:t>
      </w:r>
      <w:r w:rsidRPr="001033EC" w:rsidR="008A02B2">
        <w:rPr>
          <w:rFonts w:cs="Times New Roman"/>
          <w:i/>
          <w:iCs/>
        </w:rPr>
        <w:t>Laidlaw Waste Systems, Inc. v. Bay Cities Services, Inc</w:t>
      </w:r>
      <w:r w:rsidRPr="009110FB" w:rsidR="008A02B2">
        <w:rPr>
          <w:rFonts w:cs="Times New Roman"/>
        </w:rPr>
        <w:t>.</w:t>
      </w:r>
      <w:r w:rsidR="008A02B2">
        <w:rPr>
          <w:rFonts w:cs="Times New Roman"/>
        </w:rPr>
        <w:t xml:space="preserve"> (1996) </w:t>
      </w:r>
      <w:r w:rsidRPr="009110FB" w:rsidR="008A02B2">
        <w:rPr>
          <w:rFonts w:cs="Times New Roman"/>
        </w:rPr>
        <w:t>43 Cal.App.4th 630</w:t>
      </w:r>
      <w:r w:rsidR="008A02B2">
        <w:rPr>
          <w:rFonts w:cs="Times New Roman"/>
        </w:rPr>
        <w:t>, 63</w:t>
      </w:r>
      <w:r w:rsidR="009F7D23">
        <w:rPr>
          <w:rFonts w:cs="Times New Roman"/>
        </w:rPr>
        <w:t>5</w:t>
      </w:r>
      <w:r w:rsidR="008A02B2">
        <w:rPr>
          <w:rFonts w:cs="Times New Roman"/>
        </w:rPr>
        <w:t xml:space="preserve">; </w:t>
      </w:r>
      <w:r w:rsidRPr="00E62464" w:rsidR="000118EC">
        <w:rPr>
          <w:rFonts w:cs="Times New Roman"/>
          <w:i/>
          <w:iCs/>
        </w:rPr>
        <w:t>Hall v. City of Taft</w:t>
      </w:r>
      <w:r w:rsidRPr="00E62464" w:rsidR="000118EC">
        <w:rPr>
          <w:rFonts w:cs="Times New Roman"/>
        </w:rPr>
        <w:t xml:space="preserve"> (1956) 47 Cal.2d 177, 18</w:t>
      </w:r>
      <w:r w:rsidRPr="00E62464" w:rsidR="00D85B61">
        <w:rPr>
          <w:rFonts w:cs="Times New Roman"/>
        </w:rPr>
        <w:t>2―183</w:t>
      </w:r>
      <w:r w:rsidR="009F7D23">
        <w:rPr>
          <w:rFonts w:cs="Times New Roman"/>
        </w:rPr>
        <w:t>.</w:t>
      </w:r>
      <w:r w:rsidRPr="00E62464" w:rsidR="000118EC">
        <w:rPr>
          <w:rFonts w:cs="Times New Roman"/>
        </w:rPr>
        <w:t>)</w:t>
      </w:r>
      <w:r w:rsidR="009110FB">
        <w:rPr>
          <w:rFonts w:cs="Times New Roman"/>
        </w:rPr>
        <w:t xml:space="preserve">  </w:t>
      </w:r>
      <w:r w:rsidR="00E37B13">
        <w:rPr>
          <w:rFonts w:cs="Times New Roman"/>
        </w:rPr>
        <w:t>Indeed</w:t>
      </w:r>
      <w:r w:rsidR="00D410DF">
        <w:rPr>
          <w:rFonts w:cs="Times New Roman"/>
        </w:rPr>
        <w:t>, there are general limits on</w:t>
      </w:r>
      <w:r w:rsidR="00CC4E55">
        <w:rPr>
          <w:rFonts w:cs="Times New Roman"/>
        </w:rPr>
        <w:t xml:space="preserve"> </w:t>
      </w:r>
      <w:r w:rsidR="00D410DF">
        <w:rPr>
          <w:rFonts w:cs="Times New Roman"/>
        </w:rPr>
        <w:t xml:space="preserve">a “city’s power over ‘municipal affairs’ ” </w:t>
      </w:r>
      <w:r w:rsidR="00B5461A">
        <w:rPr>
          <w:rFonts w:cs="Times New Roman"/>
        </w:rPr>
        <w:t>as related to state entities.</w:t>
      </w:r>
      <w:r w:rsidR="00D410DF">
        <w:rPr>
          <w:rFonts w:cs="Times New Roman"/>
        </w:rPr>
        <w:t xml:space="preserve"> </w:t>
      </w:r>
      <w:r w:rsidR="00B5461A">
        <w:rPr>
          <w:rFonts w:cs="Times New Roman"/>
        </w:rPr>
        <w:t xml:space="preserve"> </w:t>
      </w:r>
      <w:r w:rsidR="00D410DF">
        <w:rPr>
          <w:rFonts w:cs="Times New Roman"/>
        </w:rPr>
        <w:t>(</w:t>
      </w:r>
      <w:r w:rsidR="00D410DF">
        <w:rPr>
          <w:rFonts w:cs="Times New Roman"/>
          <w:i/>
          <w:iCs/>
        </w:rPr>
        <w:t>Hastings</w:t>
      </w:r>
      <w:r w:rsidR="00D410DF">
        <w:rPr>
          <w:rFonts w:cs="Times New Roman"/>
        </w:rPr>
        <w:t xml:space="preserve">, at p. 552; see also </w:t>
      </w:r>
      <w:r w:rsidRPr="00A408E8" w:rsidR="00D410DF">
        <w:rPr>
          <w:rFonts w:cs="Times New Roman"/>
          <w:i/>
          <w:iCs/>
        </w:rPr>
        <w:t>In re Means</w:t>
      </w:r>
      <w:r w:rsidRPr="00A408E8" w:rsidR="00D410DF">
        <w:rPr>
          <w:rFonts w:cs="Times New Roman"/>
        </w:rPr>
        <w:t xml:space="preserve"> (1939) 14</w:t>
      </w:r>
      <w:r w:rsidR="00A86946">
        <w:rPr>
          <w:rFonts w:cs="Times New Roman"/>
        </w:rPr>
        <w:t> </w:t>
      </w:r>
      <w:r w:rsidRPr="00A408E8" w:rsidR="00D410DF">
        <w:rPr>
          <w:rFonts w:cs="Times New Roman"/>
        </w:rPr>
        <w:t>Cal.2d 254</w:t>
      </w:r>
      <w:r w:rsidR="00D410DF">
        <w:rPr>
          <w:rFonts w:cs="Times New Roman"/>
        </w:rPr>
        <w:t xml:space="preserve">, </w:t>
      </w:r>
    </w:p>
    <w:p w:rsidR="009110FB" w:rsidRPr="009110FB" w:rsidP="007C1033">
      <w:pPr>
        <w:rPr>
          <w:rFonts w:cs="Times New Roman"/>
        </w:rPr>
      </w:pPr>
      <w:r>
        <w:rPr>
          <w:rFonts w:cs="Times New Roman"/>
        </w:rPr>
        <w:t>256–25</w:t>
      </w:r>
      <w:r w:rsidR="00B106D2">
        <w:rPr>
          <w:rFonts w:cs="Times New Roman"/>
        </w:rPr>
        <w:t>8</w:t>
      </w:r>
      <w:r>
        <w:rPr>
          <w:rFonts w:cs="Times New Roman"/>
        </w:rPr>
        <w:t xml:space="preserve"> [municipal plumber certification ordinance could not be applied to state employee because the state acted in an exclusive field when setting qualifications for state employees].)</w:t>
      </w:r>
      <w:r w:rsidRPr="00FF24C9">
        <w:t xml:space="preserve"> </w:t>
      </w:r>
      <w:r>
        <w:t xml:space="preserve"> </w:t>
      </w:r>
    </w:p>
    <w:p w:rsidR="009110FB" w:rsidRPr="009110FB" w:rsidP="00507DBA">
      <w:pPr>
        <w:ind w:firstLine="720"/>
        <w:rPr>
          <w:rFonts w:cs="Times New Roman"/>
        </w:rPr>
      </w:pPr>
      <w:r>
        <w:rPr>
          <w:rFonts w:cs="Times New Roman"/>
        </w:rPr>
        <w:t xml:space="preserve">For instance, </w:t>
      </w:r>
      <w:r w:rsidR="00414528">
        <w:rPr>
          <w:rFonts w:cs="Times New Roman"/>
        </w:rPr>
        <w:t>“</w:t>
      </w:r>
      <w:r>
        <w:rPr>
          <w:rFonts w:cs="Times New Roman"/>
        </w:rPr>
        <w:t>r</w:t>
      </w:r>
      <w:r w:rsidRPr="00414528" w:rsidR="00414528">
        <w:rPr>
          <w:rFonts w:cs="Times New Roman"/>
        </w:rPr>
        <w:t>egulations that require construction to be overseen by local supervisors ceases to be a municipal affair once they are applied to state buildings.</w:t>
      </w:r>
      <w:r w:rsidR="00E47620">
        <w:rPr>
          <w:rFonts w:cs="Times New Roman"/>
        </w:rPr>
        <w:t>”  (</w:t>
      </w:r>
      <w:r w:rsidR="00E47620">
        <w:rPr>
          <w:rFonts w:cs="Times New Roman"/>
          <w:i/>
          <w:iCs/>
        </w:rPr>
        <w:t>Hastings</w:t>
      </w:r>
      <w:r w:rsidR="00E47620">
        <w:rPr>
          <w:rFonts w:cs="Times New Roman"/>
        </w:rPr>
        <w:t xml:space="preserve">, </w:t>
      </w:r>
      <w:r w:rsidR="005B19F4">
        <w:rPr>
          <w:rFonts w:cs="Times New Roman"/>
          <w:i/>
          <w:iCs/>
        </w:rPr>
        <w:t>supra</w:t>
      </w:r>
      <w:r w:rsidR="005B19F4">
        <w:rPr>
          <w:rFonts w:cs="Times New Roman"/>
        </w:rPr>
        <w:t xml:space="preserve">, 7 Cal.5th </w:t>
      </w:r>
      <w:r w:rsidR="00E47620">
        <w:rPr>
          <w:rFonts w:cs="Times New Roman"/>
        </w:rPr>
        <w:t>at p. 553.)</w:t>
      </w:r>
      <w:r w:rsidRPr="002E1EF4" w:rsidR="002E1EF4">
        <w:rPr>
          <w:rFonts w:cs="Times New Roman"/>
        </w:rPr>
        <w:t xml:space="preserve"> </w:t>
      </w:r>
      <w:r w:rsidR="00E47620">
        <w:rPr>
          <w:rFonts w:cs="Times New Roman"/>
        </w:rPr>
        <w:t xml:space="preserve"> </w:t>
      </w:r>
      <w:r w:rsidR="00B5461A">
        <w:rPr>
          <w:rFonts w:cs="Times New Roman"/>
        </w:rPr>
        <w:t>Generally,</w:t>
      </w:r>
      <w:r w:rsidR="00A94F35">
        <w:rPr>
          <w:rFonts w:cs="Times New Roman"/>
        </w:rPr>
        <w:t xml:space="preserve"> when the state “</w:t>
      </w:r>
      <w:r w:rsidRPr="00E62464" w:rsidR="00A94F35">
        <w:rPr>
          <w:rFonts w:cs="Times New Roman"/>
        </w:rPr>
        <w:t>engages in such sovereign activities as the construction and maintenance of its buildings,</w:t>
      </w:r>
      <w:r w:rsidR="00A94F35">
        <w:rPr>
          <w:rFonts w:cs="Times New Roman"/>
        </w:rPr>
        <w:t>”</w:t>
      </w:r>
      <w:r w:rsidRPr="00E62464" w:rsidR="00A94F35">
        <w:rPr>
          <w:rFonts w:cs="Times New Roman"/>
        </w:rPr>
        <w:t xml:space="preserve"> </w:t>
      </w:r>
      <w:r w:rsidR="00A94F35">
        <w:rPr>
          <w:rFonts w:cs="Times New Roman"/>
        </w:rPr>
        <w:t>“</w:t>
      </w:r>
      <w:r w:rsidRPr="00E62464" w:rsidR="00A94F35">
        <w:rPr>
          <w:rFonts w:cs="Times New Roman"/>
        </w:rPr>
        <w:t>it is not subject to local regulations</w:t>
      </w:r>
      <w:r w:rsidR="00A94F35">
        <w:rPr>
          <w:rFonts w:cs="Times New Roman"/>
        </w:rPr>
        <w:t xml:space="preserve">” absent express legislative or constitutional waiver of that sovereign immunity.  </w:t>
      </w:r>
      <w:r w:rsidRPr="00E62464" w:rsidR="00A94F35">
        <w:rPr>
          <w:rFonts w:cs="Times New Roman"/>
        </w:rPr>
        <w:t>(</w:t>
      </w:r>
      <w:r w:rsidRPr="00516790" w:rsidR="00A94F35">
        <w:rPr>
          <w:rFonts w:cs="Times New Roman"/>
          <w:i/>
          <w:iCs/>
        </w:rPr>
        <w:t>Hall</w:t>
      </w:r>
      <w:r w:rsidR="00F71F9F">
        <w:rPr>
          <w:rFonts w:cs="Times New Roman"/>
          <w:i/>
          <w:iCs/>
        </w:rPr>
        <w:t xml:space="preserve"> v. City of Taft</w:t>
      </w:r>
      <w:r w:rsidRPr="00516790" w:rsidR="00A94F35">
        <w:rPr>
          <w:rFonts w:cs="Times New Roman"/>
        </w:rPr>
        <w:t>,</w:t>
      </w:r>
      <w:r w:rsidRPr="00516790" w:rsidR="00A94F35">
        <w:rPr>
          <w:rFonts w:cs="Times New Roman"/>
          <w:i/>
          <w:iCs/>
        </w:rPr>
        <w:t xml:space="preserve"> supra</w:t>
      </w:r>
      <w:r w:rsidRPr="00516790" w:rsidR="00A94F35">
        <w:rPr>
          <w:rFonts w:cs="Times New Roman"/>
        </w:rPr>
        <w:t>,</w:t>
      </w:r>
      <w:r w:rsidRPr="00516790" w:rsidR="00A94F35">
        <w:rPr>
          <w:rFonts w:cs="Times New Roman"/>
          <w:i/>
          <w:iCs/>
        </w:rPr>
        <w:t xml:space="preserve"> </w:t>
      </w:r>
      <w:r w:rsidRPr="00516790" w:rsidR="00A94F35">
        <w:rPr>
          <w:rFonts w:cs="Times New Roman"/>
        </w:rPr>
        <w:t>47 Cal.2d</w:t>
      </w:r>
      <w:r w:rsidRPr="00516790" w:rsidR="00A94F35">
        <w:rPr>
          <w:rFonts w:cs="Times New Roman"/>
          <w:i/>
          <w:iCs/>
        </w:rPr>
        <w:t xml:space="preserve"> </w:t>
      </w:r>
      <w:r w:rsidR="00A94F35">
        <w:rPr>
          <w:rFonts w:cs="Times New Roman"/>
        </w:rPr>
        <w:t xml:space="preserve">at </w:t>
      </w:r>
      <w:r w:rsidRPr="00E62464" w:rsidR="00A94F35">
        <w:rPr>
          <w:rFonts w:cs="Times New Roman"/>
        </w:rPr>
        <w:t>p. 183</w:t>
      </w:r>
      <w:r w:rsidR="00A94F35">
        <w:rPr>
          <w:rFonts w:cs="Times New Roman"/>
        </w:rPr>
        <w:t xml:space="preserve"> [rejecting city’s attempt to enforce building ordinances against contractor constructing a school building where plans had been approved by the State Department of Education].)</w:t>
      </w:r>
      <w:r w:rsidR="00507DBA">
        <w:rPr>
          <w:rFonts w:cs="Times New Roman"/>
        </w:rPr>
        <w:t xml:space="preserve">  </w:t>
      </w:r>
      <w:r w:rsidR="001F2E95">
        <w:rPr>
          <w:rFonts w:cs="Times New Roman"/>
        </w:rPr>
        <w:t>In</w:t>
      </w:r>
      <w:r w:rsidR="002E785D">
        <w:rPr>
          <w:rFonts w:cs="Times New Roman"/>
        </w:rPr>
        <w:t xml:space="preserve"> </w:t>
      </w:r>
      <w:r w:rsidRPr="004D1574" w:rsidR="002E785D">
        <w:rPr>
          <w:rFonts w:cs="Times New Roman"/>
          <w:i/>
          <w:iCs/>
        </w:rPr>
        <w:t xml:space="preserve">City of Orange v. Valenti </w:t>
      </w:r>
      <w:r w:rsidRPr="006F1057" w:rsidR="002E785D">
        <w:rPr>
          <w:rFonts w:cs="Times New Roman"/>
        </w:rPr>
        <w:t>(1974) 37 Cal.App.3d 240</w:t>
      </w:r>
      <w:r w:rsidR="002E785D">
        <w:rPr>
          <w:rFonts w:cs="Times New Roman"/>
        </w:rPr>
        <w:t>, the court determined a city ordinance requiring a specific number of parking spaces did not apply to the state unemployment insurance office.  (</w:t>
      </w:r>
      <w:r w:rsidR="002E785D">
        <w:rPr>
          <w:rFonts w:cs="Times New Roman"/>
          <w:i/>
          <w:iCs/>
        </w:rPr>
        <w:t>Id</w:t>
      </w:r>
      <w:r w:rsidR="002E785D">
        <w:rPr>
          <w:rFonts w:cs="Times New Roman"/>
        </w:rPr>
        <w:t xml:space="preserve">. at p. 244.)  </w:t>
      </w:r>
      <w:r w:rsidR="00B82827">
        <w:rPr>
          <w:rFonts w:cs="Times New Roman"/>
        </w:rPr>
        <w:t>A contrary holding</w:t>
      </w:r>
      <w:r w:rsidR="002E785D">
        <w:rPr>
          <w:rFonts w:cs="Times New Roman"/>
        </w:rPr>
        <w:t xml:space="preserve"> would have curtailed the use of the building as an unemployment insurance office</w:t>
      </w:r>
      <w:r w:rsidR="00C4248F">
        <w:rPr>
          <w:rFonts w:cs="Times New Roman"/>
        </w:rPr>
        <w:t xml:space="preserve">, </w:t>
      </w:r>
      <w:r w:rsidR="002E785D">
        <w:rPr>
          <w:rFonts w:cs="Times New Roman"/>
        </w:rPr>
        <w:t>impermissibly limit</w:t>
      </w:r>
      <w:r w:rsidR="00C4248F">
        <w:rPr>
          <w:rFonts w:cs="Times New Roman"/>
        </w:rPr>
        <w:t>ing</w:t>
      </w:r>
      <w:r w:rsidR="002E785D">
        <w:rPr>
          <w:rFonts w:cs="Times New Roman"/>
        </w:rPr>
        <w:t xml:space="preserve"> the “state’s sovereignty by local regulation.”  (</w:t>
      </w:r>
      <w:r w:rsidR="002E785D">
        <w:rPr>
          <w:rFonts w:cs="Times New Roman"/>
          <w:i/>
          <w:iCs/>
        </w:rPr>
        <w:t>Ibid</w:t>
      </w:r>
      <w:r w:rsidR="002E785D">
        <w:rPr>
          <w:rFonts w:cs="Times New Roman"/>
        </w:rPr>
        <w:t xml:space="preserve">.) </w:t>
      </w:r>
      <w:r w:rsidR="00E301EC">
        <w:rPr>
          <w:rFonts w:cs="Times New Roman"/>
        </w:rPr>
        <w:t xml:space="preserve"> Similarly, the state’s maintenance of its public school buildings, including trash collection, is a “sovereign activity not subject to local regulation absent legislative or constitutional consent to local regulation.”  (</w:t>
      </w:r>
      <w:r w:rsidR="00E301EC">
        <w:rPr>
          <w:rFonts w:cs="Times New Roman"/>
          <w:i/>
          <w:iCs/>
        </w:rPr>
        <w:t>Laidlaw</w:t>
      </w:r>
      <w:r w:rsidR="00D94C8B">
        <w:rPr>
          <w:rFonts w:cs="Times New Roman"/>
          <w:i/>
          <w:iCs/>
        </w:rPr>
        <w:t xml:space="preserve"> Waste Systems, Inc. v. Bay Cities Services, Inc.</w:t>
      </w:r>
      <w:r w:rsidR="00732DBC">
        <w:rPr>
          <w:rFonts w:cs="Times New Roman"/>
        </w:rPr>
        <w:t xml:space="preserve">, </w:t>
      </w:r>
      <w:r w:rsidR="00732DBC">
        <w:rPr>
          <w:rFonts w:cs="Times New Roman"/>
          <w:i/>
          <w:iCs/>
        </w:rPr>
        <w:t>supra</w:t>
      </w:r>
      <w:r w:rsidR="00732DBC">
        <w:rPr>
          <w:rFonts w:cs="Times New Roman"/>
        </w:rPr>
        <w:t>,</w:t>
      </w:r>
      <w:r w:rsidR="00732DBC">
        <w:rPr>
          <w:rFonts w:cs="Times New Roman"/>
          <w:i/>
          <w:iCs/>
        </w:rPr>
        <w:t xml:space="preserve"> </w:t>
      </w:r>
      <w:r w:rsidR="00E301EC">
        <w:rPr>
          <w:rFonts w:cs="Times New Roman"/>
        </w:rPr>
        <w:t xml:space="preserve">43 Cal.App.4th </w:t>
      </w:r>
      <w:r w:rsidR="00732DBC">
        <w:rPr>
          <w:rFonts w:cs="Times New Roman"/>
        </w:rPr>
        <w:t xml:space="preserve">at p. </w:t>
      </w:r>
      <w:r w:rsidR="00E301EC">
        <w:rPr>
          <w:rFonts w:cs="Times New Roman"/>
        </w:rPr>
        <w:t>637</w:t>
      </w:r>
      <w:r w:rsidR="00225D25">
        <w:rPr>
          <w:rFonts w:cs="Times New Roman"/>
        </w:rPr>
        <w:t xml:space="preserve"> [</w:t>
      </w:r>
      <w:r w:rsidR="00EE053C">
        <w:rPr>
          <w:rFonts w:cs="Times New Roman"/>
        </w:rPr>
        <w:t>school districts as state agencies were immune from city trash collection regulations requiring t</w:t>
      </w:r>
      <w:r w:rsidR="00D80004">
        <w:rPr>
          <w:rFonts w:cs="Times New Roman"/>
        </w:rPr>
        <w:t>hem to exclusively use plaintiff’s collection services]</w:t>
      </w:r>
      <w:r w:rsidR="00E301EC">
        <w:rPr>
          <w:rFonts w:cs="Times New Roman"/>
        </w:rPr>
        <w:t>.)</w:t>
      </w:r>
      <w:r w:rsidRPr="006A5440" w:rsidR="00E301EC">
        <w:rPr>
          <w:rFonts w:cs="Times New Roman"/>
        </w:rPr>
        <w:t xml:space="preserve"> </w:t>
      </w:r>
      <w:r w:rsidR="00E301EC">
        <w:rPr>
          <w:rFonts w:cs="Times New Roman"/>
        </w:rPr>
        <w:t xml:space="preserve"> “</w:t>
      </w:r>
      <w:r w:rsidRPr="006A5440" w:rsidR="00E301EC">
        <w:rPr>
          <w:rFonts w:cs="Times New Roman"/>
        </w:rPr>
        <w:t>The cases concern substantive regulatory requirements that interfered with the state</w:t>
      </w:r>
      <w:r w:rsidR="00187D25">
        <w:rPr>
          <w:rFonts w:cs="Times New Roman"/>
        </w:rPr>
        <w:t>’</w:t>
      </w:r>
      <w:r w:rsidRPr="006A5440" w:rsidR="00E301EC">
        <w:rPr>
          <w:rFonts w:cs="Times New Roman"/>
        </w:rPr>
        <w:t>s substantive judgments about how to perform its assigned functions.</w:t>
      </w:r>
      <w:r w:rsidR="00E301EC">
        <w:rPr>
          <w:rFonts w:cs="Times New Roman"/>
        </w:rPr>
        <w:t xml:space="preserve">” </w:t>
      </w:r>
      <w:r w:rsidR="0093674D">
        <w:rPr>
          <w:rFonts w:cs="Times New Roman"/>
        </w:rPr>
        <w:t xml:space="preserve"> </w:t>
      </w:r>
      <w:r w:rsidR="00E301EC">
        <w:rPr>
          <w:rFonts w:cs="Times New Roman"/>
        </w:rPr>
        <w:t>(</w:t>
      </w:r>
      <w:r w:rsidR="00F35FDC">
        <w:rPr>
          <w:rFonts w:cs="Times New Roman"/>
          <w:i/>
          <w:iCs/>
        </w:rPr>
        <w:t>Hastings</w:t>
      </w:r>
      <w:r w:rsidRPr="006A5440" w:rsidR="00E301EC">
        <w:rPr>
          <w:rFonts w:cs="Times New Roman"/>
        </w:rPr>
        <w:t xml:space="preserve">, </w:t>
      </w:r>
      <w:r w:rsidRPr="00B775EB" w:rsidR="00B775EB">
        <w:rPr>
          <w:rFonts w:cs="Times New Roman"/>
          <w:i/>
          <w:iCs/>
        </w:rPr>
        <w:t>supra</w:t>
      </w:r>
      <w:r w:rsidR="00B775EB">
        <w:rPr>
          <w:rFonts w:cs="Times New Roman"/>
        </w:rPr>
        <w:t xml:space="preserve">, </w:t>
      </w:r>
      <w:r w:rsidRPr="00B775EB" w:rsidR="00E301EC">
        <w:rPr>
          <w:rFonts w:cs="Times New Roman"/>
        </w:rPr>
        <w:t>7</w:t>
      </w:r>
      <w:r w:rsidRPr="006A5440" w:rsidR="00E301EC">
        <w:rPr>
          <w:rFonts w:cs="Times New Roman"/>
        </w:rPr>
        <w:t xml:space="preserve"> Cal.5th at </w:t>
      </w:r>
      <w:r w:rsidR="00E301EC">
        <w:rPr>
          <w:rFonts w:cs="Times New Roman"/>
        </w:rPr>
        <w:t>p</w:t>
      </w:r>
      <w:r w:rsidR="00D544B7">
        <w:rPr>
          <w:rFonts w:cs="Times New Roman"/>
        </w:rPr>
        <w:t>p</w:t>
      </w:r>
      <w:r w:rsidR="00E301EC">
        <w:rPr>
          <w:rFonts w:cs="Times New Roman"/>
        </w:rPr>
        <w:t xml:space="preserve">. </w:t>
      </w:r>
      <w:r w:rsidRPr="006A5440" w:rsidR="00E301EC">
        <w:rPr>
          <w:rFonts w:cs="Times New Roman"/>
        </w:rPr>
        <w:t>553</w:t>
      </w:r>
      <w:r w:rsidR="00D544B7">
        <w:rPr>
          <w:rFonts w:cs="Times New Roman"/>
        </w:rPr>
        <w:t>–554</w:t>
      </w:r>
      <w:r w:rsidR="00E301EC">
        <w:rPr>
          <w:rFonts w:cs="Times New Roman"/>
        </w:rPr>
        <w:t>.)  The “state’s prerogatives must prevail” if there is a conflict between a “</w:t>
      </w:r>
      <w:r w:rsidRPr="006A5440" w:rsidR="00E301EC">
        <w:rPr>
          <w:rFonts w:cs="Times New Roman"/>
        </w:rPr>
        <w:t>municipality</w:t>
      </w:r>
      <w:r w:rsidR="00E301EC">
        <w:rPr>
          <w:rFonts w:cs="Times New Roman"/>
        </w:rPr>
        <w:t>’</w:t>
      </w:r>
      <w:r w:rsidRPr="006A5440" w:rsidR="00E301EC">
        <w:rPr>
          <w:rFonts w:cs="Times New Roman"/>
        </w:rPr>
        <w:t>s view of, say, how best to build a parking lot, and the state</w:t>
      </w:r>
      <w:r w:rsidR="00E301EC">
        <w:rPr>
          <w:rFonts w:cs="Times New Roman"/>
        </w:rPr>
        <w:t>’</w:t>
      </w:r>
      <w:r w:rsidRPr="006A5440" w:rsidR="00E301EC">
        <w:rPr>
          <w:rFonts w:cs="Times New Roman"/>
        </w:rPr>
        <w:t>s ability to decide for itself what sort of parking lot would best serve its needs</w:t>
      </w:r>
      <w:r w:rsidR="00E301EC">
        <w:rPr>
          <w:rFonts w:cs="Times New Roman"/>
        </w:rPr>
        <w:t>.”  (</w:t>
      </w:r>
      <w:r w:rsidR="00D544B7">
        <w:rPr>
          <w:rFonts w:cs="Times New Roman"/>
          <w:i/>
          <w:iCs/>
        </w:rPr>
        <w:t>Id</w:t>
      </w:r>
      <w:r w:rsidR="00D544B7">
        <w:rPr>
          <w:rFonts w:cs="Times New Roman"/>
        </w:rPr>
        <w:t>. at p. 554</w:t>
      </w:r>
      <w:r w:rsidR="00E301EC">
        <w:rPr>
          <w:rFonts w:cs="Times New Roman"/>
        </w:rPr>
        <w:t>.)</w:t>
      </w:r>
    </w:p>
    <w:p w:rsidR="00A86946" w:rsidP="00A961F3">
      <w:pPr>
        <w:ind w:firstLine="720"/>
        <w:rPr>
          <w:rFonts w:cs="Times New Roman"/>
        </w:rPr>
      </w:pPr>
      <w:r w:rsidRPr="00FA4B88">
        <w:rPr>
          <w:rFonts w:cs="Times New Roman"/>
        </w:rPr>
        <w:t xml:space="preserve">But </w:t>
      </w:r>
      <w:r>
        <w:rPr>
          <w:rFonts w:cs="Times New Roman"/>
        </w:rPr>
        <w:t xml:space="preserve">state </w:t>
      </w:r>
      <w:r w:rsidR="00193BCC">
        <w:rPr>
          <w:rFonts w:cs="Times New Roman"/>
        </w:rPr>
        <w:t>entities</w:t>
      </w:r>
      <w:r>
        <w:rPr>
          <w:rFonts w:cs="Times New Roman"/>
        </w:rPr>
        <w:t xml:space="preserve"> are not</w:t>
      </w:r>
      <w:r w:rsidRPr="00FA4B88">
        <w:rPr>
          <w:rFonts w:cs="Times New Roman"/>
        </w:rPr>
        <w:t xml:space="preserve"> “categorically beyond the reach of any local law.” </w:t>
      </w:r>
      <w:r>
        <w:rPr>
          <w:rFonts w:cs="Times New Roman"/>
        </w:rPr>
        <w:t xml:space="preserve"> </w:t>
      </w:r>
      <w:r w:rsidRPr="00FA4B88">
        <w:rPr>
          <w:rFonts w:cs="Times New Roman"/>
        </w:rPr>
        <w:t>(</w:t>
      </w:r>
      <w:r w:rsidR="007F136E">
        <w:rPr>
          <w:rFonts w:cs="Times New Roman"/>
          <w:i/>
          <w:iCs/>
        </w:rPr>
        <w:t>Hastings</w:t>
      </w:r>
      <w:r>
        <w:rPr>
          <w:rFonts w:cs="Times New Roman"/>
        </w:rPr>
        <w:t xml:space="preserve">, </w:t>
      </w:r>
      <w:r>
        <w:rPr>
          <w:rFonts w:cs="Times New Roman"/>
          <w:i/>
          <w:iCs/>
        </w:rPr>
        <w:t>supra</w:t>
      </w:r>
      <w:r>
        <w:rPr>
          <w:rFonts w:cs="Times New Roman"/>
        </w:rPr>
        <w:t>,</w:t>
      </w:r>
      <w:r>
        <w:rPr>
          <w:rFonts w:cs="Times New Roman"/>
          <w:i/>
          <w:iCs/>
        </w:rPr>
        <w:t xml:space="preserve"> </w:t>
      </w:r>
      <w:r w:rsidRPr="00FA4B88">
        <w:rPr>
          <w:rFonts w:cs="Times New Roman"/>
        </w:rPr>
        <w:t xml:space="preserve">7 Cal.5th </w:t>
      </w:r>
      <w:r>
        <w:rPr>
          <w:rFonts w:cs="Times New Roman"/>
        </w:rPr>
        <w:t>at p.</w:t>
      </w:r>
      <w:r w:rsidRPr="00FA4B88">
        <w:rPr>
          <w:rFonts w:cs="Times New Roman"/>
        </w:rPr>
        <w:t xml:space="preserve"> 554.) </w:t>
      </w:r>
      <w:r>
        <w:rPr>
          <w:rFonts w:cs="Times New Roman"/>
        </w:rPr>
        <w:t xml:space="preserve"> </w:t>
      </w:r>
      <w:r w:rsidR="00CD666A">
        <w:rPr>
          <w:rFonts w:cs="Times New Roman"/>
        </w:rPr>
        <w:t xml:space="preserve">Exemption from local regulation </w:t>
      </w:r>
      <w:r w:rsidR="00193BCC">
        <w:rPr>
          <w:rFonts w:cs="Times New Roman"/>
        </w:rPr>
        <w:t>is appropriate</w:t>
      </w:r>
      <w:r w:rsidR="00CD666A">
        <w:rPr>
          <w:rFonts w:cs="Times New Roman"/>
        </w:rPr>
        <w:t xml:space="preserve"> </w:t>
      </w:r>
      <w:r w:rsidR="00193BCC">
        <w:rPr>
          <w:rFonts w:cs="Times New Roman"/>
        </w:rPr>
        <w:t>when the entity is</w:t>
      </w:r>
      <w:r w:rsidR="00CD666A">
        <w:rPr>
          <w:rFonts w:cs="Times New Roman"/>
        </w:rPr>
        <w:t xml:space="preserve"> operating in a </w:t>
      </w:r>
      <w:r w:rsidRPr="00922A26" w:rsidR="00CD666A">
        <w:rPr>
          <w:rFonts w:cs="Times New Roman"/>
        </w:rPr>
        <w:t>governmental capacity</w:t>
      </w:r>
      <w:r w:rsidR="00CD666A">
        <w:rPr>
          <w:rFonts w:cs="Times New Roman"/>
        </w:rPr>
        <w:t xml:space="preserve">.  </w:t>
      </w:r>
      <w:r w:rsidRPr="00922A26" w:rsidR="00CD666A">
        <w:rPr>
          <w:rFonts w:cs="Times New Roman"/>
        </w:rPr>
        <w:t>(</w:t>
      </w:r>
      <w:r w:rsidRPr="00967CA0" w:rsidR="00CD666A">
        <w:rPr>
          <w:rFonts w:cs="Times New Roman"/>
          <w:i/>
          <w:iCs/>
        </w:rPr>
        <w:t>Bame</w:t>
      </w:r>
      <w:r w:rsidR="00102C83">
        <w:rPr>
          <w:rFonts w:cs="Times New Roman"/>
        </w:rPr>
        <w:t xml:space="preserve">, </w:t>
      </w:r>
      <w:r w:rsidR="00102C83">
        <w:rPr>
          <w:rFonts w:cs="Times New Roman"/>
          <w:i/>
          <w:iCs/>
        </w:rPr>
        <w:t>supra</w:t>
      </w:r>
      <w:r w:rsidR="00102C83">
        <w:rPr>
          <w:rFonts w:cs="Times New Roman"/>
        </w:rPr>
        <w:t>,</w:t>
      </w:r>
      <w:r w:rsidR="00196BA4">
        <w:rPr>
          <w:rFonts w:cs="Times New Roman"/>
        </w:rPr>
        <w:t xml:space="preserve"> </w:t>
      </w:r>
      <w:r w:rsidRPr="00967CA0" w:rsidR="00CD666A">
        <w:rPr>
          <w:rFonts w:cs="Times New Roman"/>
        </w:rPr>
        <w:t xml:space="preserve">86 Cal.App.4th </w:t>
      </w:r>
      <w:r w:rsidR="00102C83">
        <w:rPr>
          <w:rFonts w:cs="Times New Roman"/>
        </w:rPr>
        <w:t>at p.</w:t>
      </w:r>
      <w:r w:rsidRPr="00967CA0" w:rsidR="00CD666A">
        <w:rPr>
          <w:rFonts w:cs="Times New Roman"/>
        </w:rPr>
        <w:t xml:space="preserve"> </w:t>
      </w:r>
      <w:r w:rsidRPr="00922A26" w:rsidR="00CD666A">
        <w:rPr>
          <w:rFonts w:cs="Times New Roman"/>
        </w:rPr>
        <w:t>1356.)</w:t>
      </w:r>
      <w:r w:rsidR="00CD666A">
        <w:rPr>
          <w:rFonts w:cs="Times New Roman"/>
        </w:rPr>
        <w:t xml:space="preserve">  On the other hand, m</w:t>
      </w:r>
      <w:r w:rsidRPr="00FA4B88" w:rsidR="00E14640">
        <w:rPr>
          <w:rFonts w:cs="Times New Roman"/>
        </w:rPr>
        <w:t>unicipal regulation of a</w:t>
      </w:r>
      <w:r w:rsidR="002A4DAD">
        <w:rPr>
          <w:rFonts w:cs="Times New Roman"/>
        </w:rPr>
        <w:t>n</w:t>
      </w:r>
      <w:r w:rsidRPr="00FA4B88" w:rsidR="00E14640">
        <w:rPr>
          <w:rFonts w:cs="Times New Roman"/>
        </w:rPr>
        <w:t xml:space="preserve"> entity’s activities</w:t>
      </w:r>
      <w:r w:rsidR="00E14640">
        <w:rPr>
          <w:rFonts w:cs="Times New Roman"/>
        </w:rPr>
        <w:t xml:space="preserve"> may be authorized </w:t>
      </w:r>
      <w:r w:rsidRPr="00FA4B88" w:rsidR="00E14640">
        <w:rPr>
          <w:rFonts w:cs="Times New Roman"/>
        </w:rPr>
        <w:t xml:space="preserve">in situations where </w:t>
      </w:r>
    </w:p>
    <w:p w:rsidR="00A86946" w:rsidP="00A86946">
      <w:pPr>
        <w:rPr>
          <w:rFonts w:cs="Times New Roman"/>
        </w:rPr>
      </w:pPr>
      <w:r w:rsidRPr="00FA4B88">
        <w:rPr>
          <w:rFonts w:cs="Times New Roman"/>
        </w:rPr>
        <w:t xml:space="preserve">its conduct </w:t>
      </w:r>
      <w:r w:rsidR="00D13453">
        <w:rPr>
          <w:rFonts w:cs="Times New Roman"/>
        </w:rPr>
        <w:t>bears</w:t>
      </w:r>
      <w:r w:rsidRPr="00FA4B88">
        <w:rPr>
          <w:rFonts w:cs="Times New Roman"/>
        </w:rPr>
        <w:t xml:space="preserve"> no relation to its governmental functions.</w:t>
      </w:r>
      <w:r>
        <w:rPr>
          <w:rStyle w:val="FootnoteReference"/>
          <w:rFonts w:cs="Times New Roman"/>
        </w:rPr>
        <w:footnoteReference w:id="3"/>
      </w:r>
      <w:r w:rsidRPr="00FA4B88">
        <w:rPr>
          <w:rFonts w:cs="Times New Roman"/>
        </w:rPr>
        <w:t xml:space="preserve">  </w:t>
      </w:r>
      <w:r w:rsidRPr="00525A29">
        <w:rPr>
          <w:rFonts w:cs="Times New Roman"/>
        </w:rPr>
        <w:t>(</w:t>
      </w:r>
      <w:r w:rsidRPr="00525A29" w:rsidR="00525A29">
        <w:rPr>
          <w:rFonts w:cs="Times New Roman"/>
          <w:i/>
          <w:iCs/>
        </w:rPr>
        <w:t>Hastings</w:t>
      </w:r>
      <w:r w:rsidR="00525A29">
        <w:rPr>
          <w:rFonts w:cs="Times New Roman"/>
        </w:rPr>
        <w:t>,</w:t>
      </w:r>
      <w:r w:rsidRPr="00FA4B88">
        <w:rPr>
          <w:rFonts w:cs="Times New Roman"/>
        </w:rPr>
        <w:t xml:space="preserve"> </w:t>
      </w:r>
    </w:p>
    <w:p w:rsidR="001B5EFE" w:rsidP="00A86946">
      <w:pPr>
        <w:rPr>
          <w:rFonts w:cs="Times New Roman"/>
        </w:rPr>
      </w:pPr>
      <w:r w:rsidRPr="00FA4B88">
        <w:rPr>
          <w:rFonts w:cs="Times New Roman"/>
        </w:rPr>
        <w:t>at p</w:t>
      </w:r>
      <w:r w:rsidR="00CC497B">
        <w:rPr>
          <w:rFonts w:cs="Times New Roman"/>
        </w:rPr>
        <w:t>p</w:t>
      </w:r>
      <w:r w:rsidRPr="00FA4B88">
        <w:rPr>
          <w:rFonts w:cs="Times New Roman"/>
        </w:rPr>
        <w:t>.</w:t>
      </w:r>
      <w:r w:rsidR="00E331A0">
        <w:rPr>
          <w:rFonts w:cs="Times New Roman"/>
        </w:rPr>
        <w:t> </w:t>
      </w:r>
      <w:r w:rsidRPr="00FA4B88">
        <w:rPr>
          <w:rFonts w:cs="Times New Roman"/>
        </w:rPr>
        <w:t>553</w:t>
      </w:r>
      <w:r w:rsidR="00CC497B">
        <w:rPr>
          <w:rFonts w:cs="Times New Roman"/>
        </w:rPr>
        <w:t>–554</w:t>
      </w:r>
      <w:r w:rsidRPr="00FA4B88">
        <w:rPr>
          <w:rFonts w:cs="Times New Roman"/>
        </w:rPr>
        <w:t xml:space="preserve">, fn. 5; </w:t>
      </w:r>
      <w:r w:rsidR="00FE47A0">
        <w:rPr>
          <w:rFonts w:cs="Times New Roman"/>
          <w:i/>
          <w:iCs/>
        </w:rPr>
        <w:t xml:space="preserve">Board of Trustees v. </w:t>
      </w:r>
      <w:r w:rsidR="00953C67">
        <w:rPr>
          <w:rFonts w:cs="Times New Roman"/>
          <w:i/>
          <w:iCs/>
        </w:rPr>
        <w:t xml:space="preserve">City of </w:t>
      </w:r>
      <w:r>
        <w:rPr>
          <w:rFonts w:cs="Times New Roman"/>
          <w:i/>
          <w:iCs/>
        </w:rPr>
        <w:t>Los Angeles</w:t>
      </w:r>
      <w:r w:rsidR="00FE47A0">
        <w:rPr>
          <w:rFonts w:cs="Times New Roman"/>
          <w:i/>
          <w:iCs/>
        </w:rPr>
        <w:t xml:space="preserve"> </w:t>
      </w:r>
      <w:r w:rsidR="00FE47A0">
        <w:rPr>
          <w:rFonts w:cs="Times New Roman"/>
        </w:rPr>
        <w:t xml:space="preserve">(1975) </w:t>
      </w:r>
      <w:r w:rsidRPr="00FA4B88">
        <w:rPr>
          <w:rFonts w:cs="Times New Roman"/>
        </w:rPr>
        <w:t>49</w:t>
      </w:r>
      <w:r w:rsidR="00A86946">
        <w:rPr>
          <w:rFonts w:cs="Times New Roman"/>
        </w:rPr>
        <w:t> </w:t>
      </w:r>
      <w:r w:rsidRPr="00FA4B88">
        <w:rPr>
          <w:rFonts w:cs="Times New Roman"/>
        </w:rPr>
        <w:t xml:space="preserve">Cal.App.3d </w:t>
      </w:r>
      <w:r w:rsidR="00FE47A0">
        <w:rPr>
          <w:rFonts w:cs="Times New Roman"/>
        </w:rPr>
        <w:t xml:space="preserve">45, </w:t>
      </w:r>
      <w:r w:rsidRPr="00FA4B88">
        <w:rPr>
          <w:rFonts w:cs="Times New Roman"/>
        </w:rPr>
        <w:t>49</w:t>
      </w:r>
      <w:r w:rsidR="00605D51">
        <w:rPr>
          <w:rFonts w:cs="Times New Roman"/>
        </w:rPr>
        <w:t xml:space="preserve"> (</w:t>
      </w:r>
      <w:r w:rsidR="00605D51">
        <w:rPr>
          <w:rFonts w:cs="Times New Roman"/>
          <w:i/>
          <w:iCs/>
        </w:rPr>
        <w:t>Los Angeles</w:t>
      </w:r>
      <w:r w:rsidR="00605D51">
        <w:rPr>
          <w:rFonts w:cs="Times New Roman"/>
        </w:rPr>
        <w:t>)</w:t>
      </w:r>
      <w:r w:rsidRPr="00FA4B88">
        <w:rPr>
          <w:rFonts w:cs="Times New Roman"/>
        </w:rPr>
        <w:t>.)</w:t>
      </w:r>
      <w:r>
        <w:rPr>
          <w:rFonts w:cs="Times New Roman"/>
        </w:rPr>
        <w:t xml:space="preserve">  In </w:t>
      </w:r>
      <w:r>
        <w:rPr>
          <w:rFonts w:cs="Times New Roman"/>
          <w:i/>
          <w:iCs/>
        </w:rPr>
        <w:t>Los Angeles</w:t>
      </w:r>
      <w:r>
        <w:rPr>
          <w:rFonts w:cs="Times New Roman"/>
        </w:rPr>
        <w:t xml:space="preserve">, the court rejected the </w:t>
      </w:r>
      <w:r w:rsidR="00FE47A0">
        <w:rPr>
          <w:rFonts w:cs="Times New Roman"/>
        </w:rPr>
        <w:t xml:space="preserve">argument of the </w:t>
      </w:r>
      <w:r>
        <w:rPr>
          <w:rFonts w:cs="Times New Roman"/>
        </w:rPr>
        <w:t xml:space="preserve">Board of Trustees of the California State University </w:t>
      </w:r>
      <w:r w:rsidR="00FE47A0">
        <w:rPr>
          <w:rFonts w:cs="Times New Roman"/>
        </w:rPr>
        <w:t xml:space="preserve">that </w:t>
      </w:r>
      <w:r>
        <w:rPr>
          <w:rFonts w:cs="Times New Roman"/>
        </w:rPr>
        <w:t xml:space="preserve">it was immune from </w:t>
      </w:r>
      <w:r w:rsidR="00AC0095">
        <w:rPr>
          <w:rFonts w:cs="Times New Roman"/>
        </w:rPr>
        <w:t xml:space="preserve">a </w:t>
      </w:r>
      <w:r>
        <w:rPr>
          <w:rFonts w:cs="Times New Roman"/>
        </w:rPr>
        <w:t xml:space="preserve">municipal permitting requirement </w:t>
      </w:r>
      <w:r w:rsidR="00FE5EBD">
        <w:rPr>
          <w:rFonts w:cs="Times New Roman"/>
        </w:rPr>
        <w:t>regarding</w:t>
      </w:r>
      <w:r>
        <w:rPr>
          <w:rFonts w:cs="Times New Roman"/>
        </w:rPr>
        <w:t xml:space="preserve"> a circus being held on its property.  (</w:t>
      </w:r>
      <w:r>
        <w:rPr>
          <w:rFonts w:cs="Times New Roman"/>
          <w:i/>
          <w:iCs/>
        </w:rPr>
        <w:t>Los Angeles</w:t>
      </w:r>
      <w:r w:rsidRPr="00BF564C">
        <w:rPr>
          <w:rFonts w:cs="Times New Roman"/>
        </w:rPr>
        <w:t>,</w:t>
      </w:r>
      <w:r w:rsidRPr="00BF564C">
        <w:rPr>
          <w:rFonts w:cs="Times New Roman"/>
          <w:i/>
          <w:iCs/>
        </w:rPr>
        <w:t xml:space="preserve"> </w:t>
      </w:r>
      <w:r w:rsidRPr="00BF564C">
        <w:rPr>
          <w:rFonts w:cs="Times New Roman"/>
        </w:rPr>
        <w:t xml:space="preserve">at </w:t>
      </w:r>
      <w:r>
        <w:rPr>
          <w:rFonts w:cs="Times New Roman"/>
        </w:rPr>
        <w:t xml:space="preserve">p. 48.)  The state was leasing its property for a “revenue-producing activity” </w:t>
      </w:r>
      <w:r w:rsidR="00D63A02">
        <w:rPr>
          <w:rFonts w:cs="Times New Roman"/>
        </w:rPr>
        <w:t xml:space="preserve">that </w:t>
      </w:r>
      <w:r>
        <w:rPr>
          <w:rFonts w:cs="Times New Roman"/>
        </w:rPr>
        <w:t xml:space="preserve">had </w:t>
      </w:r>
      <w:r w:rsidR="005D6831">
        <w:rPr>
          <w:rFonts w:cs="Times New Roman"/>
        </w:rPr>
        <w:t>“</w:t>
      </w:r>
      <w:r w:rsidRPr="009150E0">
        <w:rPr>
          <w:rFonts w:cs="Times New Roman"/>
          <w:i/>
          <w:iCs/>
        </w:rPr>
        <w:t>no relation</w:t>
      </w:r>
      <w:r>
        <w:rPr>
          <w:rFonts w:cs="Times New Roman"/>
        </w:rPr>
        <w:t xml:space="preserve"> to the governmental function of the university.”  (</w:t>
      </w:r>
      <w:r>
        <w:rPr>
          <w:rFonts w:cs="Times New Roman"/>
          <w:i/>
          <w:iCs/>
        </w:rPr>
        <w:t>Id</w:t>
      </w:r>
      <w:r>
        <w:rPr>
          <w:rFonts w:cs="Times New Roman"/>
        </w:rPr>
        <w:t xml:space="preserve">. at p. </w:t>
      </w:r>
      <w:r w:rsidR="00373C25">
        <w:rPr>
          <w:rFonts w:cs="Times New Roman"/>
        </w:rPr>
        <w:t>50</w:t>
      </w:r>
      <w:r w:rsidR="00994F96">
        <w:rPr>
          <w:rFonts w:cs="Times New Roman"/>
        </w:rPr>
        <w:t>, italics added</w:t>
      </w:r>
      <w:r w:rsidR="00706DA3">
        <w:rPr>
          <w:rFonts w:cs="Times New Roman"/>
        </w:rPr>
        <w:t xml:space="preserve">; </w:t>
      </w:r>
      <w:r w:rsidR="003E5911">
        <w:rPr>
          <w:rFonts w:cs="Times New Roman"/>
        </w:rPr>
        <w:t xml:space="preserve">see also </w:t>
      </w:r>
      <w:r w:rsidRPr="00A961F3" w:rsidR="00A961F3">
        <w:rPr>
          <w:rFonts w:cs="Times New Roman"/>
          <w:i/>
          <w:iCs/>
        </w:rPr>
        <w:t>Guidi v. State</w:t>
      </w:r>
      <w:r w:rsidR="00A961F3">
        <w:rPr>
          <w:rFonts w:cs="Times New Roman"/>
        </w:rPr>
        <w:t xml:space="preserve"> (1953) </w:t>
      </w:r>
      <w:r w:rsidRPr="00A961F3" w:rsidR="00A961F3">
        <w:rPr>
          <w:rFonts w:cs="Times New Roman"/>
        </w:rPr>
        <w:t xml:space="preserve">41 Cal.2d 623, </w:t>
      </w:r>
      <w:r w:rsidR="003E5911">
        <w:rPr>
          <w:rFonts w:cs="Times New Roman"/>
        </w:rPr>
        <w:t>625, 627–628</w:t>
      </w:r>
      <w:r w:rsidR="008A3D8F">
        <w:rPr>
          <w:rFonts w:cs="Times New Roman"/>
        </w:rPr>
        <w:t xml:space="preserve"> [state agricultural society </w:t>
      </w:r>
      <w:r w:rsidR="00156DDA">
        <w:rPr>
          <w:rFonts w:cs="Times New Roman"/>
        </w:rPr>
        <w:t xml:space="preserve">that was organized and operated to interest and educate the general public in agricultural </w:t>
      </w:r>
      <w:r w:rsidR="006E728B">
        <w:rPr>
          <w:rFonts w:cs="Times New Roman"/>
        </w:rPr>
        <w:t>and industrial subject</w:t>
      </w:r>
      <w:r w:rsidR="00FF1D0D">
        <w:rPr>
          <w:rFonts w:cs="Times New Roman"/>
        </w:rPr>
        <w:t>s</w:t>
      </w:r>
      <w:r w:rsidR="006E728B">
        <w:rPr>
          <w:rFonts w:cs="Times New Roman"/>
        </w:rPr>
        <w:t xml:space="preserve"> not </w:t>
      </w:r>
      <w:r w:rsidR="003143A7">
        <w:rPr>
          <w:rFonts w:cs="Times New Roman"/>
        </w:rPr>
        <w:t xml:space="preserve">immune from tort liability </w:t>
      </w:r>
      <w:r w:rsidR="002B7350">
        <w:rPr>
          <w:rFonts w:cs="Times New Roman"/>
        </w:rPr>
        <w:t>when conducting fireworks show and operat</w:t>
      </w:r>
      <w:r w:rsidR="00FE47A0">
        <w:rPr>
          <w:rFonts w:cs="Times New Roman"/>
        </w:rPr>
        <w:t>ing</w:t>
      </w:r>
      <w:r w:rsidR="002B7350">
        <w:rPr>
          <w:rFonts w:cs="Times New Roman"/>
        </w:rPr>
        <w:t xml:space="preserve"> horse arena</w:t>
      </w:r>
      <w:r w:rsidR="003E5911">
        <w:rPr>
          <w:rFonts w:cs="Times New Roman"/>
        </w:rPr>
        <w:t xml:space="preserve"> on government property]</w:t>
      </w:r>
      <w:r>
        <w:rPr>
          <w:rFonts w:cs="Times New Roman"/>
        </w:rPr>
        <w:t xml:space="preserve">.)  Other courts have similarly concluded the Regents are not entitled to sovereign immunity where </w:t>
      </w:r>
      <w:r w:rsidR="00FF1D0D">
        <w:rPr>
          <w:rFonts w:cs="Times New Roman"/>
        </w:rPr>
        <w:t xml:space="preserve">they </w:t>
      </w:r>
      <w:r>
        <w:rPr>
          <w:rFonts w:cs="Times New Roman"/>
        </w:rPr>
        <w:t>acted in a capacity no different from a private university or individual.  (</w:t>
      </w:r>
      <w:r w:rsidRPr="00FC456C">
        <w:rPr>
          <w:rFonts w:cs="Times New Roman"/>
          <w:i/>
          <w:iCs/>
        </w:rPr>
        <w:t>Regents of Univ</w:t>
      </w:r>
      <w:r>
        <w:rPr>
          <w:rFonts w:cs="Times New Roman"/>
          <w:i/>
          <w:iCs/>
        </w:rPr>
        <w:t>ersity</w:t>
      </w:r>
      <w:r w:rsidRPr="00FC456C">
        <w:rPr>
          <w:rFonts w:cs="Times New Roman"/>
          <w:i/>
          <w:iCs/>
        </w:rPr>
        <w:t xml:space="preserve"> of Cal</w:t>
      </w:r>
      <w:r>
        <w:rPr>
          <w:rFonts w:cs="Times New Roman"/>
          <w:i/>
          <w:iCs/>
        </w:rPr>
        <w:t>ifornia</w:t>
      </w:r>
      <w:r w:rsidRPr="00FC456C">
        <w:rPr>
          <w:rFonts w:cs="Times New Roman"/>
          <w:i/>
          <w:iCs/>
        </w:rPr>
        <w:t xml:space="preserve"> v. Superior Court</w:t>
      </w:r>
      <w:r w:rsidRPr="00FC456C">
        <w:rPr>
          <w:rFonts w:cs="Times New Roman"/>
        </w:rPr>
        <w:t xml:space="preserve"> (1976) 17 Cal.3d 533, 537 [</w:t>
      </w:r>
      <w:r>
        <w:rPr>
          <w:rFonts w:cs="Times New Roman"/>
        </w:rPr>
        <w:t>making investment decisions “are not so closely related to its educational decisions to cloak” the university with immunity, they are not uniquely governmental functions</w:t>
      </w:r>
      <w:r w:rsidRPr="00FC456C">
        <w:rPr>
          <w:rFonts w:cs="Times New Roman"/>
        </w:rPr>
        <w:t>]</w:t>
      </w:r>
      <w:r>
        <w:rPr>
          <w:rFonts w:cs="Times New Roman"/>
        </w:rPr>
        <w:t>.)</w:t>
      </w:r>
    </w:p>
    <w:p w:rsidR="00811D23" w:rsidRPr="00811D23" w:rsidP="00811D23">
      <w:pPr>
        <w:jc w:val="center"/>
        <w:rPr>
          <w:rFonts w:cs="Times New Roman"/>
          <w:b/>
          <w:bCs/>
        </w:rPr>
      </w:pPr>
      <w:r w:rsidRPr="00811D23">
        <w:rPr>
          <w:rFonts w:cs="Times New Roman"/>
          <w:b/>
          <w:bCs/>
        </w:rPr>
        <w:t>II.</w:t>
      </w:r>
    </w:p>
    <w:p w:rsidR="00A86946" w:rsidP="00AA4908">
      <w:pPr>
        <w:ind w:firstLine="720"/>
        <w:rPr>
          <w:rFonts w:cs="Times New Roman"/>
        </w:rPr>
      </w:pPr>
      <w:r>
        <w:rPr>
          <w:rFonts w:cs="Times New Roman"/>
        </w:rPr>
        <w:t xml:space="preserve">Assuming the truth of facts alleged in the Coalition’s complaint, </w:t>
      </w:r>
      <w:r w:rsidR="00AC0095">
        <w:rPr>
          <w:rFonts w:cs="Times New Roman"/>
        </w:rPr>
        <w:t xml:space="preserve">we conclude </w:t>
      </w:r>
      <w:r w:rsidR="00AF0C4D">
        <w:rPr>
          <w:rFonts w:cs="Times New Roman"/>
        </w:rPr>
        <w:t xml:space="preserve">the Regents </w:t>
      </w:r>
      <w:r w:rsidR="00960676">
        <w:rPr>
          <w:rFonts w:cs="Times New Roman"/>
        </w:rPr>
        <w:t xml:space="preserve">are </w:t>
      </w:r>
      <w:r w:rsidR="00FF1D0D">
        <w:rPr>
          <w:rFonts w:cs="Times New Roman"/>
        </w:rPr>
        <w:t xml:space="preserve">exempt from </w:t>
      </w:r>
      <w:r w:rsidR="00AF0C4D">
        <w:rPr>
          <w:rFonts w:cs="Times New Roman"/>
        </w:rPr>
        <w:t xml:space="preserve">the City’s </w:t>
      </w:r>
      <w:r w:rsidR="00196BA4">
        <w:rPr>
          <w:rFonts w:cs="Times New Roman"/>
        </w:rPr>
        <w:t>p</w:t>
      </w:r>
      <w:r w:rsidR="00AF0C4D">
        <w:rPr>
          <w:rFonts w:cs="Times New Roman"/>
        </w:rPr>
        <w:t xml:space="preserve">lanning </w:t>
      </w:r>
      <w:r w:rsidR="00196BA4">
        <w:rPr>
          <w:rFonts w:cs="Times New Roman"/>
        </w:rPr>
        <w:t>c</w:t>
      </w:r>
      <w:r w:rsidR="00AF0C4D">
        <w:rPr>
          <w:rFonts w:cs="Times New Roman"/>
        </w:rPr>
        <w:t>ode provisions at issue</w:t>
      </w:r>
      <w:r w:rsidR="005D168F">
        <w:rPr>
          <w:rFonts w:cs="Times New Roman"/>
        </w:rPr>
        <w:t>.</w:t>
      </w:r>
      <w:r w:rsidR="008025F8">
        <w:rPr>
          <w:rFonts w:cs="Times New Roman"/>
        </w:rPr>
        <w:t xml:space="preserve"> </w:t>
      </w:r>
      <w:r w:rsidR="00901AB5">
        <w:rPr>
          <w:rFonts w:cs="Times New Roman"/>
        </w:rPr>
        <w:t xml:space="preserve"> (</w:t>
      </w:r>
      <w:r w:rsidRPr="004D1574" w:rsidR="00901AB5">
        <w:rPr>
          <w:rFonts w:cs="Times New Roman"/>
          <w:i/>
          <w:iCs/>
        </w:rPr>
        <w:t>See’s Candies, Inc. v. Superior Court</w:t>
      </w:r>
      <w:r w:rsidR="00605D51">
        <w:rPr>
          <w:rFonts w:cs="Times New Roman"/>
        </w:rPr>
        <w:t xml:space="preserve">, </w:t>
      </w:r>
      <w:r w:rsidR="00605D51">
        <w:rPr>
          <w:rFonts w:cs="Times New Roman"/>
          <w:i/>
          <w:iCs/>
        </w:rPr>
        <w:t>supra</w:t>
      </w:r>
      <w:r w:rsidR="00605D51">
        <w:rPr>
          <w:rFonts w:cs="Times New Roman"/>
        </w:rPr>
        <w:t>,</w:t>
      </w:r>
      <w:r w:rsidR="00605D51">
        <w:rPr>
          <w:rFonts w:cs="Times New Roman"/>
          <w:i/>
          <w:iCs/>
        </w:rPr>
        <w:t xml:space="preserve"> </w:t>
      </w:r>
      <w:r w:rsidRPr="002C7003" w:rsidR="00901AB5">
        <w:rPr>
          <w:rFonts w:cs="Times New Roman"/>
        </w:rPr>
        <w:t xml:space="preserve">73 Cal.App.5th </w:t>
      </w:r>
      <w:r w:rsidR="00605D51">
        <w:rPr>
          <w:rFonts w:cs="Times New Roman"/>
        </w:rPr>
        <w:t>at p. </w:t>
      </w:r>
      <w:r w:rsidRPr="002C7003" w:rsidR="00901AB5">
        <w:rPr>
          <w:rFonts w:cs="Times New Roman"/>
        </w:rPr>
        <w:t>76</w:t>
      </w:r>
      <w:r w:rsidR="00901AB5">
        <w:rPr>
          <w:rFonts w:cs="Times New Roman"/>
        </w:rPr>
        <w:t>.)  The Coalition does not</w:t>
      </w:r>
      <w:r w:rsidR="008B452F">
        <w:rPr>
          <w:rFonts w:cs="Times New Roman"/>
        </w:rPr>
        <w:t xml:space="preserve"> </w:t>
      </w:r>
      <w:r w:rsidR="00901AB5">
        <w:rPr>
          <w:rFonts w:cs="Times New Roman"/>
        </w:rPr>
        <w:t>and cannot allege</w:t>
      </w:r>
      <w:r w:rsidR="008B452F">
        <w:rPr>
          <w:rFonts w:cs="Times New Roman"/>
        </w:rPr>
        <w:t xml:space="preserve"> </w:t>
      </w:r>
      <w:r w:rsidR="00C77A0C">
        <w:rPr>
          <w:rFonts w:cs="Times New Roman"/>
        </w:rPr>
        <w:t xml:space="preserve">that construction of the New Hospital </w:t>
      </w:r>
      <w:r w:rsidR="00960676">
        <w:rPr>
          <w:rFonts w:cs="Times New Roman"/>
        </w:rPr>
        <w:t>has no</w:t>
      </w:r>
      <w:r w:rsidR="008025F8">
        <w:rPr>
          <w:rFonts w:cs="Times New Roman"/>
        </w:rPr>
        <w:t xml:space="preserve"> relation to the Regents’ governmental functions</w:t>
      </w:r>
      <w:r w:rsidR="00640C36">
        <w:rPr>
          <w:rFonts w:cs="Times New Roman"/>
        </w:rPr>
        <w:t xml:space="preserve"> of providing medical education and other educational purposes</w:t>
      </w:r>
      <w:r w:rsidR="008025F8">
        <w:rPr>
          <w:rFonts w:cs="Times New Roman"/>
        </w:rPr>
        <w:t xml:space="preserve">. </w:t>
      </w:r>
      <w:r w:rsidR="00C77A0C">
        <w:rPr>
          <w:rFonts w:cs="Times New Roman"/>
        </w:rPr>
        <w:t xml:space="preserve"> (</w:t>
      </w:r>
      <w:r w:rsidR="00EA17D5">
        <w:rPr>
          <w:rFonts w:cs="Times New Roman"/>
          <w:i/>
          <w:iCs/>
        </w:rPr>
        <w:t>Los Angeles</w:t>
      </w:r>
      <w:r w:rsidRPr="00FA4B88" w:rsidR="00EA17D5">
        <w:rPr>
          <w:rFonts w:cs="Times New Roman"/>
        </w:rPr>
        <w:t xml:space="preserve">, </w:t>
      </w:r>
      <w:r w:rsidRPr="00FA4B88" w:rsidR="00EA17D5">
        <w:rPr>
          <w:rFonts w:cs="Times New Roman"/>
          <w:i/>
          <w:iCs/>
        </w:rPr>
        <w:t>supra</w:t>
      </w:r>
      <w:r w:rsidRPr="00FA4B88" w:rsidR="00EA17D5">
        <w:rPr>
          <w:rFonts w:cs="Times New Roman"/>
        </w:rPr>
        <w:t>, 49</w:t>
      </w:r>
      <w:r>
        <w:rPr>
          <w:rFonts w:cs="Times New Roman"/>
        </w:rPr>
        <w:t> </w:t>
      </w:r>
      <w:r w:rsidRPr="00FA4B88" w:rsidR="00EA17D5">
        <w:rPr>
          <w:rFonts w:cs="Times New Roman"/>
        </w:rPr>
        <w:t xml:space="preserve">Cal.App.3d at </w:t>
      </w:r>
      <w:r w:rsidR="00EA17D5">
        <w:rPr>
          <w:rFonts w:cs="Times New Roman"/>
        </w:rPr>
        <w:t xml:space="preserve">p. </w:t>
      </w:r>
      <w:r w:rsidR="00761853">
        <w:rPr>
          <w:rFonts w:cs="Times New Roman"/>
        </w:rPr>
        <w:t>50</w:t>
      </w:r>
      <w:r w:rsidR="00E32E59">
        <w:rPr>
          <w:rFonts w:cs="Times New Roman"/>
        </w:rPr>
        <w:t>.)</w:t>
      </w:r>
      <w:r w:rsidR="00A77F95">
        <w:rPr>
          <w:rFonts w:cs="Times New Roman"/>
        </w:rPr>
        <w:t xml:space="preserve">  </w:t>
      </w:r>
      <w:r w:rsidR="00396C92">
        <w:rPr>
          <w:rFonts w:cs="Times New Roman"/>
        </w:rPr>
        <w:t>T</w:t>
      </w:r>
      <w:r w:rsidRPr="00DD0965" w:rsidR="00396C92">
        <w:rPr>
          <w:rFonts w:cs="Times New Roman"/>
        </w:rPr>
        <w:t>he Regents</w:t>
      </w:r>
      <w:r w:rsidR="00396C92">
        <w:rPr>
          <w:rFonts w:cs="Times New Roman"/>
        </w:rPr>
        <w:t xml:space="preserve"> have vast power regarding UCSF’s property administration</w:t>
      </w:r>
      <w:r w:rsidR="00C82DBF">
        <w:rPr>
          <w:rFonts w:cs="Times New Roman"/>
        </w:rPr>
        <w:t>, such as taking and holding “</w:t>
      </w:r>
      <w:r w:rsidRPr="00D435E2" w:rsidR="00C82DBF">
        <w:rPr>
          <w:rFonts w:cs="Times New Roman"/>
        </w:rPr>
        <w:t>without restriction, all real and personal property for the benefit of the university or incidentally to its conduct</w:t>
      </w:r>
      <w:r w:rsidR="00C82DBF">
        <w:rPr>
          <w:rFonts w:cs="Times New Roman"/>
        </w:rPr>
        <w:t xml:space="preserve">.”  </w:t>
      </w:r>
      <w:r w:rsidR="00396C92">
        <w:rPr>
          <w:rFonts w:cs="Times New Roman"/>
        </w:rPr>
        <w:t>(</w:t>
      </w:r>
      <w:r w:rsidRPr="00DD0965" w:rsidR="00396C92">
        <w:rPr>
          <w:rFonts w:cs="Times New Roman"/>
        </w:rPr>
        <w:t>Cal. Const., art. IX</w:t>
      </w:r>
      <w:r w:rsidR="00A40171">
        <w:rPr>
          <w:rFonts w:cs="Times New Roman"/>
        </w:rPr>
        <w:t>,</w:t>
      </w:r>
      <w:r w:rsidRPr="00DD0965" w:rsidR="00396C92">
        <w:rPr>
          <w:rFonts w:cs="Times New Roman"/>
        </w:rPr>
        <w:t xml:space="preserve"> §</w:t>
      </w:r>
      <w:r w:rsidR="00AC0095">
        <w:rPr>
          <w:rFonts w:cs="Times New Roman"/>
        </w:rPr>
        <w:t> </w:t>
      </w:r>
      <w:r w:rsidRPr="00DD0965" w:rsidR="00396C92">
        <w:rPr>
          <w:rFonts w:cs="Times New Roman"/>
        </w:rPr>
        <w:t>9</w:t>
      </w:r>
      <w:r w:rsidR="00396C92">
        <w:rPr>
          <w:rFonts w:cs="Times New Roman"/>
        </w:rPr>
        <w:t>, subd. (f).)</w:t>
      </w:r>
      <w:r w:rsidR="00D31867">
        <w:rPr>
          <w:rFonts w:cs="Times New Roman"/>
        </w:rPr>
        <w:t xml:space="preserve">  “</w:t>
      </w:r>
      <w:r w:rsidRPr="00D31867" w:rsidR="00D31867">
        <w:rPr>
          <w:rFonts w:cs="Times New Roman"/>
        </w:rPr>
        <w:t xml:space="preserve">Broadly stated, the function of the </w:t>
      </w:r>
      <w:r w:rsidR="009F3265">
        <w:rPr>
          <w:rFonts w:cs="Times New Roman"/>
        </w:rPr>
        <w:t>[Regents]</w:t>
      </w:r>
      <w:r w:rsidRPr="00D31867" w:rsidR="00D31867">
        <w:rPr>
          <w:rFonts w:cs="Times New Roman"/>
        </w:rPr>
        <w:t xml:space="preserve"> is to impart learning and to advance the boundaries of knowledge.</w:t>
      </w:r>
      <w:r w:rsidR="009F3265">
        <w:rPr>
          <w:rFonts w:cs="Times New Roman"/>
        </w:rPr>
        <w:t>”</w:t>
      </w:r>
      <w:r w:rsidRPr="00D31867" w:rsidR="00D31867">
        <w:rPr>
          <w:rFonts w:cs="Times New Roman"/>
        </w:rPr>
        <w:t xml:space="preserve"> </w:t>
      </w:r>
      <w:r w:rsidR="00D13AED">
        <w:rPr>
          <w:rFonts w:cs="Times New Roman"/>
        </w:rPr>
        <w:t xml:space="preserve"> </w:t>
      </w:r>
      <w:r w:rsidRPr="00D31867" w:rsidR="00D31867">
        <w:rPr>
          <w:rFonts w:cs="Times New Roman"/>
        </w:rPr>
        <w:t>(</w:t>
      </w:r>
      <w:r w:rsidRPr="00D13AED" w:rsidR="00D31867">
        <w:rPr>
          <w:rFonts w:cs="Times New Roman"/>
          <w:i/>
          <w:iCs/>
        </w:rPr>
        <w:t>Goldberg v. Regents of University of California</w:t>
      </w:r>
      <w:r w:rsidRPr="00D31867" w:rsidR="00D31867">
        <w:rPr>
          <w:rFonts w:cs="Times New Roman"/>
        </w:rPr>
        <w:t xml:space="preserve"> (1967) 24</w:t>
      </w:r>
      <w:r w:rsidR="00A030E8">
        <w:rPr>
          <w:rFonts w:cs="Times New Roman"/>
        </w:rPr>
        <w:t>8</w:t>
      </w:r>
      <w:r>
        <w:rPr>
          <w:rFonts w:cs="Times New Roman"/>
        </w:rPr>
        <w:t> </w:t>
      </w:r>
      <w:r w:rsidRPr="00D31867" w:rsidR="00D31867">
        <w:rPr>
          <w:rFonts w:cs="Times New Roman"/>
        </w:rPr>
        <w:t>Cal.App.2d 867, 8</w:t>
      </w:r>
      <w:r w:rsidR="00512296">
        <w:rPr>
          <w:rFonts w:cs="Times New Roman"/>
        </w:rPr>
        <w:t>7</w:t>
      </w:r>
      <w:r w:rsidRPr="00D31867" w:rsidR="00D31867">
        <w:rPr>
          <w:rFonts w:cs="Times New Roman"/>
        </w:rPr>
        <w:t xml:space="preserve">9.) </w:t>
      </w:r>
      <w:r w:rsidR="00D13AED">
        <w:rPr>
          <w:rFonts w:cs="Times New Roman"/>
        </w:rPr>
        <w:t xml:space="preserve"> </w:t>
      </w:r>
      <w:r w:rsidR="00C03245">
        <w:t xml:space="preserve">The Coalition concedes </w:t>
      </w:r>
      <w:r w:rsidR="009A1DB0">
        <w:rPr>
          <w:rFonts w:cs="Times New Roman"/>
        </w:rPr>
        <w:t>UCSF provides clinical services</w:t>
      </w:r>
      <w:r w:rsidR="002A66AB">
        <w:rPr>
          <w:rFonts w:cs="Times New Roman"/>
        </w:rPr>
        <w:t xml:space="preserve"> and </w:t>
      </w:r>
      <w:r w:rsidR="00FF1D0D">
        <w:rPr>
          <w:rFonts w:cs="Times New Roman"/>
        </w:rPr>
        <w:t xml:space="preserve">that </w:t>
      </w:r>
      <w:r w:rsidR="002A66AB">
        <w:rPr>
          <w:rFonts w:cs="Times New Roman"/>
        </w:rPr>
        <w:t xml:space="preserve">the </w:t>
      </w:r>
      <w:r w:rsidR="00EF0084">
        <w:rPr>
          <w:rFonts w:cs="Times New Roman"/>
        </w:rPr>
        <w:t>construction of a hospital</w:t>
      </w:r>
      <w:r w:rsidR="00E56A0E">
        <w:rPr>
          <w:rFonts w:cs="Times New Roman"/>
        </w:rPr>
        <w:t xml:space="preserve"> </w:t>
      </w:r>
      <w:r w:rsidR="00AC0095">
        <w:rPr>
          <w:rFonts w:cs="Times New Roman"/>
        </w:rPr>
        <w:t xml:space="preserve">— albeit a smaller one than the New Hospital — </w:t>
      </w:r>
      <w:r w:rsidR="00C07841">
        <w:rPr>
          <w:rFonts w:cs="Times New Roman"/>
        </w:rPr>
        <w:t xml:space="preserve">at Parnassus </w:t>
      </w:r>
      <w:r w:rsidR="00FF1D0D">
        <w:rPr>
          <w:rFonts w:cs="Times New Roman"/>
        </w:rPr>
        <w:t xml:space="preserve">would </w:t>
      </w:r>
      <w:r w:rsidR="00F50895">
        <w:rPr>
          <w:rFonts w:cs="Times New Roman"/>
        </w:rPr>
        <w:t xml:space="preserve">advance </w:t>
      </w:r>
      <w:r w:rsidR="0047517B">
        <w:rPr>
          <w:rFonts w:cs="Times New Roman"/>
        </w:rPr>
        <w:t xml:space="preserve">the Regents’ </w:t>
      </w:r>
      <w:r w:rsidR="00C07841">
        <w:rPr>
          <w:rFonts w:cs="Times New Roman"/>
        </w:rPr>
        <w:t>“</w:t>
      </w:r>
      <w:r w:rsidR="0047517B">
        <w:rPr>
          <w:rFonts w:cs="Times New Roman"/>
        </w:rPr>
        <w:t>educational</w:t>
      </w:r>
      <w:r w:rsidR="00F50895">
        <w:rPr>
          <w:rFonts w:cs="Times New Roman"/>
        </w:rPr>
        <w:t xml:space="preserve"> mission</w:t>
      </w:r>
      <w:r w:rsidR="00B35B29">
        <w:rPr>
          <w:rFonts w:cs="Times New Roman"/>
        </w:rPr>
        <w:t>.</w:t>
      </w:r>
      <w:r w:rsidR="00C07841">
        <w:rPr>
          <w:rFonts w:cs="Times New Roman"/>
        </w:rPr>
        <w:t>”</w:t>
      </w:r>
      <w:r w:rsidR="003E6BFB">
        <w:rPr>
          <w:rFonts w:cs="Times New Roman"/>
        </w:rPr>
        <w:t xml:space="preserve"> </w:t>
      </w:r>
      <w:r w:rsidR="002064AB">
        <w:t xml:space="preserve"> </w:t>
      </w:r>
      <w:r w:rsidR="00E75326">
        <w:t>That concession is fatal to the Coalition</w:t>
      </w:r>
      <w:r w:rsidR="006A4639">
        <w:t xml:space="preserve">’s </w:t>
      </w:r>
      <w:r w:rsidR="00266073">
        <w:t>complaint</w:t>
      </w:r>
      <w:r w:rsidR="004B2891">
        <w:t xml:space="preserve">.  Even though the </w:t>
      </w:r>
      <w:r w:rsidR="00C07841">
        <w:t>proposed New H</w:t>
      </w:r>
      <w:r w:rsidR="00117642">
        <w:t xml:space="preserve">ospital may be </w:t>
      </w:r>
      <w:r w:rsidR="00FF1D0D">
        <w:t xml:space="preserve">larger and </w:t>
      </w:r>
      <w:r w:rsidR="00117642">
        <w:t>produc</w:t>
      </w:r>
      <w:r w:rsidR="00FF1D0D">
        <w:t>e greater revenue</w:t>
      </w:r>
      <w:r w:rsidR="00117642">
        <w:t xml:space="preserve">, it </w:t>
      </w:r>
      <w:r w:rsidR="00FF1D0D">
        <w:t xml:space="preserve">still </w:t>
      </w:r>
      <w:r w:rsidR="00980EC9">
        <w:t xml:space="preserve">has a relation to the Regents’ governmental functions </w:t>
      </w:r>
      <w:r w:rsidR="00C07841">
        <w:t xml:space="preserve">and is </w:t>
      </w:r>
      <w:r w:rsidR="00980EC9">
        <w:t xml:space="preserve">thus </w:t>
      </w:r>
      <w:r w:rsidR="00266073">
        <w:t xml:space="preserve">entitled to immunity.  </w:t>
      </w:r>
      <w:r w:rsidRPr="00922A26" w:rsidR="00266073">
        <w:rPr>
          <w:rFonts w:cs="Times New Roman"/>
        </w:rPr>
        <w:t>(</w:t>
      </w:r>
      <w:r w:rsidR="00117642">
        <w:rPr>
          <w:rFonts w:cs="Times New Roman"/>
          <w:i/>
          <w:iCs/>
        </w:rPr>
        <w:t>Los Angeles</w:t>
      </w:r>
      <w:r w:rsidRPr="00FA4B88" w:rsidR="00117642">
        <w:rPr>
          <w:rFonts w:cs="Times New Roman"/>
        </w:rPr>
        <w:t>,</w:t>
      </w:r>
      <w:r w:rsidR="00117642">
        <w:rPr>
          <w:rFonts w:cs="Times New Roman"/>
        </w:rPr>
        <w:t xml:space="preserve"> </w:t>
      </w:r>
      <w:r w:rsidRPr="00FA4B88" w:rsidR="00117642">
        <w:rPr>
          <w:rFonts w:cs="Times New Roman"/>
        </w:rPr>
        <w:t xml:space="preserve">at </w:t>
      </w:r>
      <w:r w:rsidR="00117642">
        <w:rPr>
          <w:rFonts w:cs="Times New Roman"/>
        </w:rPr>
        <w:t>p.</w:t>
      </w:r>
      <w:r w:rsidR="00C07841">
        <w:rPr>
          <w:rFonts w:cs="Times New Roman"/>
        </w:rPr>
        <w:t> </w:t>
      </w:r>
      <w:r w:rsidR="00AC7549">
        <w:rPr>
          <w:rFonts w:cs="Times New Roman"/>
        </w:rPr>
        <w:t>50</w:t>
      </w:r>
      <w:r w:rsidR="00117642">
        <w:rPr>
          <w:rFonts w:cs="Times New Roman"/>
        </w:rPr>
        <w:t xml:space="preserve">; </w:t>
      </w:r>
      <w:r w:rsidRPr="00967CA0" w:rsidR="00266073">
        <w:rPr>
          <w:rFonts w:cs="Times New Roman"/>
          <w:i/>
          <w:iCs/>
        </w:rPr>
        <w:t>Bame</w:t>
      </w:r>
      <w:r w:rsidR="00266073">
        <w:rPr>
          <w:rFonts w:cs="Times New Roman"/>
        </w:rPr>
        <w:t xml:space="preserve">, </w:t>
      </w:r>
      <w:r w:rsidR="00266073">
        <w:rPr>
          <w:rFonts w:cs="Times New Roman"/>
          <w:i/>
          <w:iCs/>
        </w:rPr>
        <w:t>supra</w:t>
      </w:r>
      <w:r w:rsidR="00266073">
        <w:rPr>
          <w:rFonts w:cs="Times New Roman"/>
        </w:rPr>
        <w:t>,</w:t>
      </w:r>
      <w:r w:rsidR="00266073">
        <w:rPr>
          <w:rFonts w:cs="Times New Roman"/>
          <w:i/>
          <w:iCs/>
        </w:rPr>
        <w:t xml:space="preserve"> </w:t>
      </w:r>
      <w:r w:rsidRPr="00967CA0" w:rsidR="00266073">
        <w:rPr>
          <w:rFonts w:cs="Times New Roman"/>
        </w:rPr>
        <w:t xml:space="preserve">86 Cal.App.4th </w:t>
      </w:r>
    </w:p>
    <w:p w:rsidR="00266073" w:rsidP="00A86946">
      <w:pPr>
        <w:rPr>
          <w:rFonts w:cs="Times New Roman"/>
        </w:rPr>
      </w:pPr>
      <w:r>
        <w:rPr>
          <w:rFonts w:cs="Times New Roman"/>
        </w:rPr>
        <w:t xml:space="preserve">at p. </w:t>
      </w:r>
      <w:r w:rsidRPr="00922A26">
        <w:rPr>
          <w:rFonts w:cs="Times New Roman"/>
        </w:rPr>
        <w:t>1356</w:t>
      </w:r>
      <w:r>
        <w:rPr>
          <w:rFonts w:cs="Times New Roman"/>
        </w:rPr>
        <w:t xml:space="preserve">.) </w:t>
      </w:r>
    </w:p>
    <w:p w:rsidR="00E913DD" w:rsidRPr="008C6E32" w:rsidP="008C6E32">
      <w:pPr>
        <w:ind w:firstLine="720"/>
        <w:rPr>
          <w:rFonts w:cs="Times New Roman"/>
        </w:rPr>
      </w:pPr>
      <w:r>
        <w:rPr>
          <w:rFonts w:cs="Times New Roman"/>
        </w:rPr>
        <w:t>Indeed,</w:t>
      </w:r>
      <w:r w:rsidR="00266073">
        <w:rPr>
          <w:rFonts w:cs="Times New Roman"/>
        </w:rPr>
        <w:t xml:space="preserve"> </w:t>
      </w:r>
      <w:r w:rsidR="00266073">
        <w:t>t</w:t>
      </w:r>
      <w:r w:rsidR="002032B7">
        <w:t>he</w:t>
      </w:r>
      <w:r w:rsidR="00D631AC">
        <w:t xml:space="preserve"> Regents determined a larger hospital was necessary to </w:t>
      </w:r>
      <w:r w:rsidR="003D318A">
        <w:t xml:space="preserve">expand access to accommodate increasing patient demand and </w:t>
      </w:r>
      <w:r w:rsidR="00C92EE7">
        <w:t>UCSF’s survival</w:t>
      </w:r>
      <w:r w:rsidR="007D482E">
        <w:t xml:space="preserve">.  </w:t>
      </w:r>
      <w:r w:rsidR="008C6E32">
        <w:t>(</w:t>
      </w:r>
      <w:r w:rsidRPr="005431EF" w:rsidR="008C6E32">
        <w:rPr>
          <w:rFonts w:cs="Times New Roman"/>
          <w:i/>
          <w:iCs/>
        </w:rPr>
        <w:t>Smith v. Regents of University of California</w:t>
      </w:r>
      <w:r w:rsidRPr="005431EF" w:rsidR="008C6E32">
        <w:rPr>
          <w:rFonts w:cs="Times New Roman"/>
        </w:rPr>
        <w:t xml:space="preserve"> (1993) 4 Cal.4th</w:t>
      </w:r>
      <w:r w:rsidR="008C6E32">
        <w:rPr>
          <w:rFonts w:cs="Times New Roman"/>
        </w:rPr>
        <w:t xml:space="preserve"> </w:t>
      </w:r>
      <w:r w:rsidRPr="005431EF" w:rsidR="008C6E32">
        <w:rPr>
          <w:rFonts w:cs="Times New Roman"/>
        </w:rPr>
        <w:t>843, 852</w:t>
      </w:r>
      <w:r w:rsidR="008C6E32">
        <w:rPr>
          <w:rFonts w:cs="Times New Roman"/>
        </w:rPr>
        <w:t>–8</w:t>
      </w:r>
      <w:r w:rsidRPr="005431EF" w:rsidR="008C6E32">
        <w:rPr>
          <w:rFonts w:cs="Times New Roman"/>
        </w:rPr>
        <w:t xml:space="preserve">53 </w:t>
      </w:r>
      <w:r w:rsidR="008C6E32">
        <w:rPr>
          <w:rFonts w:cs="Times New Roman"/>
        </w:rPr>
        <w:t>[</w:t>
      </w:r>
      <w:r w:rsidRPr="005431EF" w:rsidR="008C6E32">
        <w:rPr>
          <w:rFonts w:cs="Times New Roman"/>
        </w:rPr>
        <w:t>Regents “have considerable discretion to determine how best to carry out the</w:t>
      </w:r>
      <w:r w:rsidR="008C6E32">
        <w:rPr>
          <w:rFonts w:cs="Times New Roman"/>
        </w:rPr>
        <w:t xml:space="preserve"> </w:t>
      </w:r>
      <w:r w:rsidRPr="005431EF" w:rsidR="008C6E32">
        <w:rPr>
          <w:rFonts w:cs="Times New Roman"/>
        </w:rPr>
        <w:t>University’s educational mission”</w:t>
      </w:r>
      <w:r w:rsidR="008C6E32">
        <w:rPr>
          <w:rFonts w:cs="Times New Roman"/>
        </w:rPr>
        <w:t>],</w:t>
      </w:r>
      <w:r w:rsidRPr="005431EF" w:rsidR="008C6E32">
        <w:rPr>
          <w:rFonts w:cs="Times New Roman"/>
        </w:rPr>
        <w:t xml:space="preserve"> disagreed with on other grounds by </w:t>
      </w:r>
      <w:r w:rsidRPr="005431EF" w:rsidR="008C6E32">
        <w:rPr>
          <w:rFonts w:cs="Times New Roman"/>
          <w:i/>
          <w:iCs/>
        </w:rPr>
        <w:t>Board of Regents of University of Wisconsin</w:t>
      </w:r>
      <w:r w:rsidR="008C6E32">
        <w:rPr>
          <w:rFonts w:cs="Times New Roman"/>
          <w:i/>
          <w:iCs/>
        </w:rPr>
        <w:t xml:space="preserve"> </w:t>
      </w:r>
      <w:r w:rsidRPr="005431EF" w:rsidR="008C6E32">
        <w:rPr>
          <w:rFonts w:cs="Times New Roman"/>
          <w:i/>
          <w:iCs/>
        </w:rPr>
        <w:t>System v. Southworth</w:t>
      </w:r>
      <w:r w:rsidR="00601DF0">
        <w:rPr>
          <w:rFonts w:cs="Times New Roman"/>
        </w:rPr>
        <w:t xml:space="preserve"> </w:t>
      </w:r>
      <w:r w:rsidRPr="005431EF" w:rsidR="00601DF0">
        <w:rPr>
          <w:rFonts w:cs="Times New Roman"/>
        </w:rPr>
        <w:t>(2000)</w:t>
      </w:r>
      <w:r w:rsidRPr="005431EF" w:rsidR="008C6E32">
        <w:rPr>
          <w:rFonts w:cs="Times New Roman"/>
        </w:rPr>
        <w:t xml:space="preserve"> 529 U.S. 217, 228.)</w:t>
      </w:r>
      <w:r w:rsidR="008C6E32">
        <w:rPr>
          <w:rFonts w:cs="Times New Roman"/>
        </w:rPr>
        <w:t xml:space="preserve">  </w:t>
      </w:r>
      <w:r w:rsidR="001C0098">
        <w:t>On</w:t>
      </w:r>
      <w:r w:rsidR="00786F58">
        <w:t xml:space="preserve"> its face, </w:t>
      </w:r>
      <w:r w:rsidR="00B3606A">
        <w:t xml:space="preserve">the </w:t>
      </w:r>
      <w:r w:rsidR="004F73BC">
        <w:t>Coalition’s complaint</w:t>
      </w:r>
      <w:r w:rsidR="00B7172E">
        <w:t xml:space="preserve"> — </w:t>
      </w:r>
      <w:r w:rsidR="002C3E01">
        <w:t>seeking the</w:t>
      </w:r>
      <w:r w:rsidR="00D308E2">
        <w:t xml:space="preserve"> Regents’ compliance</w:t>
      </w:r>
      <w:r w:rsidR="00633DAB">
        <w:t xml:space="preserve"> </w:t>
      </w:r>
      <w:r w:rsidR="00D308E2">
        <w:t>with</w:t>
      </w:r>
      <w:r w:rsidR="00633DAB">
        <w:t xml:space="preserve"> local building regulations</w:t>
      </w:r>
      <w:r w:rsidR="003B7602">
        <w:t xml:space="preserve"> </w:t>
      </w:r>
      <w:r w:rsidR="00D308E2">
        <w:t>in constructing the New Hospital</w:t>
      </w:r>
      <w:r w:rsidR="002C3E01">
        <w:t xml:space="preserve"> — </w:t>
      </w:r>
      <w:r w:rsidR="00DB65FD">
        <w:t>concerns “</w:t>
      </w:r>
      <w:r w:rsidRPr="007D46FB" w:rsidR="007D46FB">
        <w:t>substantive regulatory requirements that interfere</w:t>
      </w:r>
      <w:r w:rsidR="00A67AF5">
        <w:t>[]</w:t>
      </w:r>
      <w:r w:rsidRPr="007D46FB" w:rsidR="007D46FB">
        <w:t xml:space="preserve"> with the state’s substantive judgments about how to perform its assigned functions.”  (</w:t>
      </w:r>
      <w:r w:rsidRPr="007D46FB" w:rsidR="007D46FB">
        <w:rPr>
          <w:i/>
          <w:iCs/>
        </w:rPr>
        <w:t>Hastings</w:t>
      </w:r>
      <w:r w:rsidRPr="007D46FB" w:rsidR="007D46FB">
        <w:t xml:space="preserve">, </w:t>
      </w:r>
      <w:r w:rsidRPr="007D46FB" w:rsidR="007D46FB">
        <w:rPr>
          <w:i/>
          <w:iCs/>
        </w:rPr>
        <w:t>supra</w:t>
      </w:r>
      <w:r w:rsidRPr="007D46FB" w:rsidR="007D46FB">
        <w:t xml:space="preserve">, 7 Cal.5th at pp. 553–554.)  </w:t>
      </w:r>
      <w:r w:rsidR="00DB65FD">
        <w:t xml:space="preserve">In </w:t>
      </w:r>
      <w:r w:rsidR="003D318A">
        <w:t>these</w:t>
      </w:r>
      <w:r w:rsidR="00DB65FD">
        <w:t xml:space="preserve"> circumstance</w:t>
      </w:r>
      <w:r w:rsidR="003D318A">
        <w:t>s</w:t>
      </w:r>
      <w:r w:rsidR="00DB65FD">
        <w:t xml:space="preserve">, </w:t>
      </w:r>
      <w:r w:rsidR="00340767">
        <w:t>t</w:t>
      </w:r>
      <w:r w:rsidRPr="007D46FB" w:rsidR="007D46FB">
        <w:t xml:space="preserve">he “state’s prerogatives must prevail” </w:t>
      </w:r>
      <w:r w:rsidR="00340767">
        <w:t xml:space="preserve">since there is a conflict between </w:t>
      </w:r>
      <w:r w:rsidR="000B642D">
        <w:t xml:space="preserve">the City’s </w:t>
      </w:r>
      <w:r w:rsidR="00E83916">
        <w:t>p</w:t>
      </w:r>
      <w:r w:rsidR="00B8784C">
        <w:t xml:space="preserve">lanning </w:t>
      </w:r>
      <w:r w:rsidR="00E83916">
        <w:t>c</w:t>
      </w:r>
      <w:r w:rsidR="00B8784C">
        <w:t>ode</w:t>
      </w:r>
      <w:r w:rsidR="000B642D">
        <w:t xml:space="preserve"> and </w:t>
      </w:r>
      <w:r w:rsidR="00774204">
        <w:t>the Regents</w:t>
      </w:r>
      <w:r w:rsidR="004647DB">
        <w:t>’ “</w:t>
      </w:r>
      <w:r w:rsidRPr="007D46FB" w:rsidR="007D46FB">
        <w:t xml:space="preserve">ability to decide for itself what sort of </w:t>
      </w:r>
      <w:r w:rsidR="004647DB">
        <w:t>[hospital]</w:t>
      </w:r>
      <w:r w:rsidRPr="007D46FB" w:rsidR="007D46FB">
        <w:t xml:space="preserve"> would best serve its needs</w:t>
      </w:r>
      <w:r w:rsidR="000A564D">
        <w:t>.</w:t>
      </w:r>
      <w:r w:rsidRPr="007D46FB" w:rsidR="007D46FB">
        <w:t>”  (</w:t>
      </w:r>
      <w:r w:rsidRPr="00601DF0" w:rsidR="00601DF0">
        <w:rPr>
          <w:i/>
          <w:iCs/>
        </w:rPr>
        <w:t>Hastings</w:t>
      </w:r>
      <w:r w:rsidRPr="0091257E" w:rsidR="00591474">
        <w:t>,</w:t>
      </w:r>
      <w:r w:rsidRPr="007D46FB" w:rsidR="007D46FB">
        <w:t xml:space="preserve"> at p. 554</w:t>
      </w:r>
      <w:r w:rsidR="00010F39">
        <w:t>; Attorney General Opinion 75 Ops.Cal.Atty.Gen. 98</w:t>
      </w:r>
      <w:r w:rsidR="001E7CC9">
        <w:t>, 103</w:t>
      </w:r>
      <w:r w:rsidR="00010F39">
        <w:t xml:space="preserve"> (1992) [</w:t>
      </w:r>
      <w:r w:rsidR="00775055">
        <w:t>Regents</w:t>
      </w:r>
      <w:r w:rsidR="00482A12">
        <w:t xml:space="preserve">’ construction of </w:t>
      </w:r>
      <w:r w:rsidR="00B6219D">
        <w:t>faculty housing</w:t>
      </w:r>
      <w:r w:rsidR="00775055">
        <w:t xml:space="preserve"> </w:t>
      </w:r>
      <w:r w:rsidR="00B6219D">
        <w:t xml:space="preserve">was </w:t>
      </w:r>
      <w:r w:rsidR="00775055">
        <w:t xml:space="preserve">not subject to </w:t>
      </w:r>
      <w:r w:rsidR="00773020">
        <w:t xml:space="preserve">Subdivision Map Act </w:t>
      </w:r>
      <w:r w:rsidR="00996EE1">
        <w:t>since it was “such an integral part of its land management prerogatives and so closely related to its educational decisions</w:t>
      </w:r>
      <w:r w:rsidR="00064242">
        <w:t>”</w:t>
      </w:r>
      <w:r w:rsidR="00996EE1">
        <w:t xml:space="preserve">]; </w:t>
      </w:r>
      <w:r w:rsidRPr="00773020" w:rsidR="00773020">
        <w:rPr>
          <w:i/>
          <w:iCs/>
        </w:rPr>
        <w:t>California Assn. of Psychology Providers v. Rank</w:t>
      </w:r>
      <w:r w:rsidR="00773020">
        <w:t xml:space="preserve"> (1990) 51 Cal.3d 1, 17 [Attorney General opns</w:t>
      </w:r>
      <w:r w:rsidR="00D332D5">
        <w:t>.</w:t>
      </w:r>
      <w:r w:rsidR="00773020">
        <w:t xml:space="preserve"> not binding, but entitled to great weight].)</w:t>
      </w:r>
    </w:p>
    <w:p w:rsidR="006C670C" w:rsidP="006C670C">
      <w:pPr>
        <w:ind w:firstLine="720"/>
        <w:rPr>
          <w:rFonts w:cs="Times New Roman"/>
        </w:rPr>
      </w:pPr>
      <w:r>
        <w:rPr>
          <w:rFonts w:cs="Times New Roman"/>
        </w:rPr>
        <w:t xml:space="preserve">More importantly, </w:t>
      </w:r>
      <w:r w:rsidR="00687B64">
        <w:rPr>
          <w:rFonts w:cs="Times New Roman"/>
        </w:rPr>
        <w:t xml:space="preserve">that the </w:t>
      </w:r>
      <w:r w:rsidR="00C12FB2">
        <w:rPr>
          <w:rFonts w:cs="Times New Roman"/>
        </w:rPr>
        <w:t>New Hospital may increase UCSF</w:t>
      </w:r>
      <w:r w:rsidR="00C07841">
        <w:rPr>
          <w:rFonts w:cs="Times New Roman"/>
        </w:rPr>
        <w:t>’s revenue</w:t>
      </w:r>
      <w:r w:rsidR="00744F9A">
        <w:rPr>
          <w:rFonts w:cs="Times New Roman"/>
        </w:rPr>
        <w:t> </w:t>
      </w:r>
      <w:r w:rsidR="00C07841">
        <w:rPr>
          <w:rFonts w:cs="Times New Roman"/>
        </w:rPr>
        <w:t>—</w:t>
      </w:r>
      <w:r w:rsidR="00C12FB2">
        <w:rPr>
          <w:rFonts w:cs="Times New Roman"/>
        </w:rPr>
        <w:t xml:space="preserve"> and consequently </w:t>
      </w:r>
      <w:r w:rsidR="00C07841">
        <w:rPr>
          <w:rFonts w:cs="Times New Roman"/>
        </w:rPr>
        <w:t xml:space="preserve">that of </w:t>
      </w:r>
      <w:r w:rsidR="00C12FB2">
        <w:rPr>
          <w:rFonts w:cs="Times New Roman"/>
        </w:rPr>
        <w:t>the Regents</w:t>
      </w:r>
      <w:r w:rsidR="00C07841">
        <w:rPr>
          <w:rFonts w:cs="Times New Roman"/>
        </w:rPr>
        <w:t xml:space="preserve"> —</w:t>
      </w:r>
      <w:r w:rsidR="00C12FB2">
        <w:rPr>
          <w:rFonts w:cs="Times New Roman"/>
        </w:rPr>
        <w:t xml:space="preserve"> </w:t>
      </w:r>
      <w:r w:rsidR="00EA1D98">
        <w:rPr>
          <w:rFonts w:cs="Times New Roman"/>
        </w:rPr>
        <w:t xml:space="preserve">does not </w:t>
      </w:r>
      <w:r w:rsidR="00C07841">
        <w:rPr>
          <w:rFonts w:cs="Times New Roman"/>
        </w:rPr>
        <w:t xml:space="preserve">constrain </w:t>
      </w:r>
      <w:r w:rsidR="00EA1D98">
        <w:rPr>
          <w:rFonts w:cs="Times New Roman"/>
        </w:rPr>
        <w:t>the Regents’ st</w:t>
      </w:r>
      <w:r w:rsidR="00B82C1B">
        <w:rPr>
          <w:rFonts w:cs="Times New Roman"/>
        </w:rPr>
        <w:t>ate sovereignty</w:t>
      </w:r>
      <w:r w:rsidR="00687B64">
        <w:rPr>
          <w:rFonts w:cs="Times New Roman"/>
        </w:rPr>
        <w:t xml:space="preserve">.  </w:t>
      </w:r>
      <w:r>
        <w:rPr>
          <w:rFonts w:cs="Times New Roman"/>
        </w:rPr>
        <w:t>(</w:t>
      </w:r>
      <w:r w:rsidRPr="009C7A59">
        <w:rPr>
          <w:rFonts w:cs="Times New Roman"/>
          <w:i/>
          <w:iCs/>
        </w:rPr>
        <w:t>Bame</w:t>
      </w:r>
      <w:r w:rsidR="00FF2FCB">
        <w:rPr>
          <w:rFonts w:cs="Times New Roman"/>
        </w:rPr>
        <w:t xml:space="preserve">, </w:t>
      </w:r>
      <w:r w:rsidR="00FF2FCB">
        <w:rPr>
          <w:rFonts w:cs="Times New Roman"/>
          <w:i/>
          <w:iCs/>
        </w:rPr>
        <w:t>supra</w:t>
      </w:r>
      <w:r w:rsidR="00FF2FCB">
        <w:rPr>
          <w:rFonts w:cs="Times New Roman"/>
        </w:rPr>
        <w:t>,</w:t>
      </w:r>
      <w:r w:rsidR="00FF2FCB">
        <w:rPr>
          <w:rFonts w:cs="Times New Roman"/>
          <w:i/>
          <w:iCs/>
        </w:rPr>
        <w:t xml:space="preserve"> </w:t>
      </w:r>
      <w:r w:rsidRPr="009C7A59">
        <w:rPr>
          <w:rFonts w:cs="Times New Roman"/>
        </w:rPr>
        <w:t xml:space="preserve">86 Cal.App.4th </w:t>
      </w:r>
      <w:r w:rsidR="00FF2FCB">
        <w:rPr>
          <w:rFonts w:cs="Times New Roman"/>
        </w:rPr>
        <w:t>at p.</w:t>
      </w:r>
      <w:r>
        <w:rPr>
          <w:rFonts w:cs="Times New Roman"/>
        </w:rPr>
        <w:t xml:space="preserve"> 1358.)</w:t>
      </w:r>
      <w:r w:rsidR="0061745C">
        <w:rPr>
          <w:rFonts w:cs="Times New Roman"/>
        </w:rPr>
        <w:t xml:space="preserve">  </w:t>
      </w:r>
      <w:r>
        <w:rPr>
          <w:rFonts w:cs="Times New Roman"/>
          <w:i/>
          <w:iCs/>
        </w:rPr>
        <w:t>Bame</w:t>
      </w:r>
      <w:r>
        <w:rPr>
          <w:rFonts w:cs="Times New Roman"/>
        </w:rPr>
        <w:t xml:space="preserve"> is instructive.  </w:t>
      </w:r>
      <w:r w:rsidR="00226329">
        <w:rPr>
          <w:rFonts w:cs="Times New Roman"/>
        </w:rPr>
        <w:t>There</w:t>
      </w:r>
      <w:r>
        <w:rPr>
          <w:rFonts w:cs="Times New Roman"/>
        </w:rPr>
        <w:t xml:space="preserve">, </w:t>
      </w:r>
      <w:r w:rsidRPr="00DA3027">
        <w:rPr>
          <w:rFonts w:cs="Times New Roman"/>
        </w:rPr>
        <w:t xml:space="preserve">the court </w:t>
      </w:r>
      <w:r w:rsidR="009351D1">
        <w:rPr>
          <w:rFonts w:cs="Times New Roman"/>
        </w:rPr>
        <w:t xml:space="preserve">addressed whether </w:t>
      </w:r>
      <w:r w:rsidR="00DD23EE">
        <w:rPr>
          <w:rFonts w:cs="Times New Roman"/>
        </w:rPr>
        <w:t>a</w:t>
      </w:r>
      <w:r w:rsidR="001A53DD">
        <w:rPr>
          <w:rFonts w:cs="Times New Roman"/>
        </w:rPr>
        <w:t xml:space="preserve"> </w:t>
      </w:r>
      <w:r w:rsidR="00DD23EE">
        <w:rPr>
          <w:rFonts w:cs="Times New Roman"/>
        </w:rPr>
        <w:t xml:space="preserve">city </w:t>
      </w:r>
      <w:r w:rsidR="001A53DD">
        <w:rPr>
          <w:rFonts w:cs="Times New Roman"/>
        </w:rPr>
        <w:t xml:space="preserve">could impose an admissions tax on </w:t>
      </w:r>
      <w:r w:rsidR="00E0570E">
        <w:rPr>
          <w:rFonts w:cs="Times New Roman"/>
        </w:rPr>
        <w:t xml:space="preserve">private </w:t>
      </w:r>
      <w:r w:rsidR="001A53DD">
        <w:rPr>
          <w:rFonts w:cs="Times New Roman"/>
        </w:rPr>
        <w:t xml:space="preserve">entities under contract with the </w:t>
      </w:r>
      <w:r w:rsidR="00B12F29">
        <w:rPr>
          <w:rFonts w:cs="Times New Roman"/>
        </w:rPr>
        <w:t>state agricultural district</w:t>
      </w:r>
      <w:r w:rsidR="001A53DD">
        <w:rPr>
          <w:rFonts w:cs="Times New Roman"/>
        </w:rPr>
        <w:t xml:space="preserve"> </w:t>
      </w:r>
      <w:r w:rsidR="00B7662B">
        <w:rPr>
          <w:rFonts w:cs="Times New Roman"/>
        </w:rPr>
        <w:t>when those entities</w:t>
      </w:r>
      <w:r w:rsidR="001A53DD">
        <w:rPr>
          <w:rFonts w:cs="Times New Roman"/>
        </w:rPr>
        <w:t xml:space="preserve"> conducted consumer-oriented events</w:t>
      </w:r>
      <w:r w:rsidR="00B7662B">
        <w:rPr>
          <w:rFonts w:cs="Times New Roman"/>
        </w:rPr>
        <w:t xml:space="preserve">, such as </w:t>
      </w:r>
      <w:r w:rsidRPr="00DA3027">
        <w:rPr>
          <w:rFonts w:cs="Times New Roman"/>
        </w:rPr>
        <w:t>conventions and exhibitions at a fairground</w:t>
      </w:r>
      <w:r w:rsidR="00B7662B">
        <w:rPr>
          <w:rFonts w:cs="Times New Roman"/>
        </w:rPr>
        <w:t xml:space="preserve">.  </w:t>
      </w:r>
      <w:r w:rsidR="00A1528E">
        <w:rPr>
          <w:rFonts w:cs="Times New Roman"/>
        </w:rPr>
        <w:t xml:space="preserve">The court rejected the argument that </w:t>
      </w:r>
      <w:r w:rsidR="00E11038">
        <w:rPr>
          <w:rFonts w:cs="Times New Roman"/>
        </w:rPr>
        <w:t xml:space="preserve">by </w:t>
      </w:r>
      <w:r w:rsidR="0034300E">
        <w:rPr>
          <w:rFonts w:cs="Times New Roman"/>
        </w:rPr>
        <w:t>leasing property for these consumer-oriented events</w:t>
      </w:r>
      <w:r w:rsidR="00493920">
        <w:rPr>
          <w:rFonts w:cs="Times New Roman"/>
        </w:rPr>
        <w:t xml:space="preserve">, the </w:t>
      </w:r>
      <w:r w:rsidR="00C07841">
        <w:rPr>
          <w:rFonts w:cs="Times New Roman"/>
        </w:rPr>
        <w:t>d</w:t>
      </w:r>
      <w:r w:rsidR="00493920">
        <w:rPr>
          <w:rFonts w:cs="Times New Roman"/>
        </w:rPr>
        <w:t>istrict was engaging</w:t>
      </w:r>
      <w:r w:rsidR="0034300E">
        <w:rPr>
          <w:rFonts w:cs="Times New Roman"/>
        </w:rPr>
        <w:t xml:space="preserve"> </w:t>
      </w:r>
      <w:r w:rsidR="00493920">
        <w:rPr>
          <w:rFonts w:cs="Times New Roman"/>
        </w:rPr>
        <w:t>in</w:t>
      </w:r>
      <w:r w:rsidR="00971CE5">
        <w:rPr>
          <w:rFonts w:cs="Times New Roman"/>
        </w:rPr>
        <w:t xml:space="preserve"> solely</w:t>
      </w:r>
      <w:r w:rsidRPr="00DA3027">
        <w:rPr>
          <w:rFonts w:cs="Times New Roman"/>
        </w:rPr>
        <w:t xml:space="preserve"> revenue-producing or proprietary function</w:t>
      </w:r>
      <w:r w:rsidR="00971CE5">
        <w:rPr>
          <w:rFonts w:cs="Times New Roman"/>
        </w:rPr>
        <w:t>s</w:t>
      </w:r>
      <w:r w:rsidRPr="00DA3027">
        <w:rPr>
          <w:rFonts w:cs="Times New Roman"/>
        </w:rPr>
        <w:t xml:space="preserve"> beyond its governmental functions.  (</w:t>
      </w:r>
      <w:r w:rsidRPr="007E5567">
        <w:rPr>
          <w:rFonts w:cs="Times New Roman"/>
          <w:i/>
          <w:iCs/>
        </w:rPr>
        <w:t>Id</w:t>
      </w:r>
      <w:r w:rsidRPr="00DA3027">
        <w:rPr>
          <w:rFonts w:cs="Times New Roman"/>
        </w:rPr>
        <w:t xml:space="preserve">. at pp. </w:t>
      </w:r>
      <w:r w:rsidR="002379D7">
        <w:rPr>
          <w:rFonts w:cs="Times New Roman"/>
        </w:rPr>
        <w:t xml:space="preserve">1351, </w:t>
      </w:r>
      <w:r w:rsidRPr="00DA3027">
        <w:rPr>
          <w:rFonts w:cs="Times New Roman"/>
        </w:rPr>
        <w:t>1353, 1357.)</w:t>
      </w:r>
      <w:r>
        <w:rPr>
          <w:rFonts w:cs="Times New Roman"/>
        </w:rPr>
        <w:t xml:space="preserve">  Those events instead fell within the </w:t>
      </w:r>
      <w:r w:rsidR="00C07841">
        <w:rPr>
          <w:rFonts w:cs="Times New Roman"/>
        </w:rPr>
        <w:t>d</w:t>
      </w:r>
      <w:r>
        <w:rPr>
          <w:rFonts w:cs="Times New Roman"/>
        </w:rPr>
        <w:t>istrict’s broad purposes “to educate or inform consumers of California</w:t>
      </w:r>
      <w:r w:rsidR="00272072">
        <w:rPr>
          <w:rFonts w:cs="Times New Roman"/>
        </w:rPr>
        <w:t>’s</w:t>
      </w:r>
      <w:r>
        <w:rPr>
          <w:rFonts w:cs="Times New Roman"/>
        </w:rPr>
        <w:t xml:space="preserve"> products, industries or resources.”  (</w:t>
      </w:r>
      <w:r>
        <w:rPr>
          <w:rFonts w:cs="Times New Roman"/>
          <w:i/>
          <w:iCs/>
        </w:rPr>
        <w:t>Id</w:t>
      </w:r>
      <w:r>
        <w:rPr>
          <w:rFonts w:cs="Times New Roman"/>
        </w:rPr>
        <w:t xml:space="preserve">. at pp. 1357–1358.)  </w:t>
      </w:r>
      <w:r w:rsidR="001F0BC4">
        <w:rPr>
          <w:rFonts w:cs="Times New Roman"/>
        </w:rPr>
        <w:t xml:space="preserve">The </w:t>
      </w:r>
      <w:r w:rsidR="00C07841">
        <w:rPr>
          <w:rFonts w:cs="Times New Roman"/>
        </w:rPr>
        <w:t>d</w:t>
      </w:r>
      <w:r w:rsidR="001F0BC4">
        <w:rPr>
          <w:rFonts w:cs="Times New Roman"/>
        </w:rPr>
        <w:t xml:space="preserve">istrict’s immunity </w:t>
      </w:r>
      <w:r w:rsidR="00E40127">
        <w:rPr>
          <w:rFonts w:cs="Times New Roman"/>
        </w:rPr>
        <w:t xml:space="preserve">from </w:t>
      </w:r>
      <w:r w:rsidR="00B15A8C">
        <w:rPr>
          <w:rFonts w:cs="Times New Roman"/>
        </w:rPr>
        <w:t xml:space="preserve">the </w:t>
      </w:r>
      <w:r w:rsidR="007B57E1">
        <w:rPr>
          <w:rFonts w:cs="Times New Roman"/>
        </w:rPr>
        <w:t>tax</w:t>
      </w:r>
      <w:r>
        <w:rPr>
          <w:rFonts w:cs="Times New Roman"/>
        </w:rPr>
        <w:t xml:space="preserve"> thus extended to private entities with which the </w:t>
      </w:r>
      <w:r w:rsidR="00C07841">
        <w:rPr>
          <w:rFonts w:cs="Times New Roman"/>
        </w:rPr>
        <w:t>d</w:t>
      </w:r>
      <w:r>
        <w:rPr>
          <w:rFonts w:cs="Times New Roman"/>
        </w:rPr>
        <w:t>istrict leased or contracted to</w:t>
      </w:r>
      <w:r w:rsidRPr="005F372A">
        <w:rPr>
          <w:rFonts w:cs="Times New Roman"/>
        </w:rPr>
        <w:t xml:space="preserve"> </w:t>
      </w:r>
      <w:r>
        <w:rPr>
          <w:rFonts w:cs="Times New Roman"/>
        </w:rPr>
        <w:t xml:space="preserve">hold </w:t>
      </w:r>
      <w:r w:rsidRPr="0020191F">
        <w:rPr>
          <w:rFonts w:cs="Times New Roman"/>
        </w:rPr>
        <w:t>consumer product exhibitions</w:t>
      </w:r>
      <w:r>
        <w:rPr>
          <w:rFonts w:cs="Times New Roman"/>
        </w:rPr>
        <w:t xml:space="preserve">, even though </w:t>
      </w:r>
      <w:r w:rsidR="00E0570E">
        <w:rPr>
          <w:rFonts w:cs="Times New Roman"/>
        </w:rPr>
        <w:t>their</w:t>
      </w:r>
      <w:r>
        <w:rPr>
          <w:rFonts w:cs="Times New Roman"/>
        </w:rPr>
        <w:t xml:space="preserve"> actions </w:t>
      </w:r>
      <w:r w:rsidR="00842371">
        <w:rPr>
          <w:rFonts w:cs="Times New Roman"/>
        </w:rPr>
        <w:t>were</w:t>
      </w:r>
      <w:r>
        <w:rPr>
          <w:rFonts w:cs="Times New Roman"/>
        </w:rPr>
        <w:t xml:space="preserve"> also revenue raising.  (</w:t>
      </w:r>
      <w:r>
        <w:rPr>
          <w:rFonts w:cs="Times New Roman"/>
          <w:i/>
          <w:iCs/>
        </w:rPr>
        <w:t>Id</w:t>
      </w:r>
      <w:r>
        <w:rPr>
          <w:rFonts w:cs="Times New Roman"/>
        </w:rPr>
        <w:t>. at p. 1358.)</w:t>
      </w:r>
    </w:p>
    <w:p w:rsidR="00744F9A" w:rsidP="009532D4">
      <w:pPr>
        <w:ind w:firstLine="720"/>
      </w:pPr>
      <w:r>
        <w:t xml:space="preserve">Here too the proposed construction falls within the Regents’ broad purposes.  </w:t>
      </w:r>
      <w:r w:rsidR="00B5103D">
        <w:t xml:space="preserve">The Regents operate </w:t>
      </w:r>
      <w:r w:rsidR="00E673F5">
        <w:t>UCSF, includ</w:t>
      </w:r>
      <w:r w:rsidR="00CE42D1">
        <w:t xml:space="preserve">ing </w:t>
      </w:r>
      <w:r w:rsidR="00E673F5">
        <w:t>Parnassus, which provides medica</w:t>
      </w:r>
      <w:r w:rsidR="00CE42D1">
        <w:t>l</w:t>
      </w:r>
      <w:r w:rsidR="00E673F5">
        <w:t xml:space="preserve"> education. </w:t>
      </w:r>
      <w:r w:rsidR="00A15490">
        <w:t xml:space="preserve"> </w:t>
      </w:r>
      <w:r w:rsidR="004B2074">
        <w:t xml:space="preserve">UCSF has an academic mission </w:t>
      </w:r>
      <w:r w:rsidR="005438D9">
        <w:t>that includes</w:t>
      </w:r>
      <w:r w:rsidR="004B2074">
        <w:t xml:space="preserve"> provid</w:t>
      </w:r>
      <w:r w:rsidR="005438D9">
        <w:t>ing</w:t>
      </w:r>
      <w:r w:rsidR="004B2074">
        <w:t xml:space="preserve"> clinical services. </w:t>
      </w:r>
      <w:r w:rsidR="00754207">
        <w:t xml:space="preserve"> </w:t>
      </w:r>
      <w:r w:rsidRPr="005E7BC1" w:rsidR="005E7BC1">
        <w:t>(Ed. Code, §</w:t>
      </w:r>
      <w:r>
        <w:t> </w:t>
      </w:r>
      <w:r w:rsidRPr="005E7BC1" w:rsidR="005E7BC1">
        <w:t>66010.4, subd.</w:t>
      </w:r>
      <w:r w:rsidR="00D41041">
        <w:t> </w:t>
      </w:r>
      <w:r w:rsidRPr="005E7BC1" w:rsidR="005E7BC1">
        <w:t>(c) [</w:t>
      </w:r>
      <w:r w:rsidR="005E7BC1">
        <w:t xml:space="preserve">University of California </w:t>
      </w:r>
    </w:p>
    <w:p w:rsidR="00744F9A" w:rsidP="00744F9A">
      <w:pPr>
        <w:rPr>
          <w:rFonts w:cs="Times New Roman"/>
        </w:rPr>
      </w:pPr>
      <w:r>
        <w:t>has “</w:t>
      </w:r>
      <w:r w:rsidRPr="005E7BC1">
        <w:t>exclusive jurisdiction in public higher education over . . . graduate instruction in the professions of medicine, dentistry, and veterinary medicine.</w:t>
      </w:r>
      <w:r>
        <w:t> </w:t>
      </w:r>
      <w:r w:rsidRPr="005E7BC1">
        <w:t xml:space="preserve">. . </w:t>
      </w:r>
      <w:r w:rsidR="009E4E28">
        <w:t xml:space="preserve">.  </w:t>
      </w:r>
      <w:r w:rsidRPr="005E7BC1">
        <w:t>The University of California shall be the primary state-supported academic agency for research</w:t>
      </w:r>
      <w:r>
        <w:t>”</w:t>
      </w:r>
      <w:r w:rsidRPr="005E7BC1">
        <w:t>]</w:t>
      </w:r>
      <w:r>
        <w:t xml:space="preserve">.)  </w:t>
      </w:r>
      <w:r>
        <w:rPr>
          <w:rFonts w:cs="Times New Roman"/>
        </w:rPr>
        <w:t>Constructing the New</w:t>
      </w:r>
      <w:r w:rsidR="00501000">
        <w:rPr>
          <w:rFonts w:cs="Times New Roman"/>
        </w:rPr>
        <w:t xml:space="preserve"> </w:t>
      </w:r>
      <w:r>
        <w:rPr>
          <w:rFonts w:cs="Times New Roman"/>
        </w:rPr>
        <w:t>H</w:t>
      </w:r>
      <w:r w:rsidR="00501000">
        <w:rPr>
          <w:rFonts w:cs="Times New Roman"/>
        </w:rPr>
        <w:t xml:space="preserve">ospital is </w:t>
      </w:r>
      <w:r w:rsidR="003A2B66">
        <w:rPr>
          <w:rFonts w:cs="Times New Roman"/>
        </w:rPr>
        <w:t xml:space="preserve">thus </w:t>
      </w:r>
      <w:r w:rsidR="00501000">
        <w:rPr>
          <w:rFonts w:cs="Times New Roman"/>
        </w:rPr>
        <w:t>“</w:t>
      </w:r>
      <w:r w:rsidR="005A0584">
        <w:rPr>
          <w:rFonts w:cs="Times New Roman"/>
        </w:rPr>
        <w:t> </w:t>
      </w:r>
      <w:r w:rsidR="00501000">
        <w:rPr>
          <w:rFonts w:cs="Times New Roman"/>
        </w:rPr>
        <w:t>‘part of [</w:t>
      </w:r>
      <w:r w:rsidR="003A2B66">
        <w:rPr>
          <w:rFonts w:cs="Times New Roman"/>
        </w:rPr>
        <w:t>UCSF’s]</w:t>
      </w:r>
      <w:r w:rsidR="00501000">
        <w:rPr>
          <w:rFonts w:cs="Times New Roman"/>
        </w:rPr>
        <w:t xml:space="preserve"> intended public purpose, not merely ancillary revenue raising.’ ”  (</w:t>
      </w:r>
      <w:r w:rsidRPr="00391DE3" w:rsidR="00501000">
        <w:rPr>
          <w:rFonts w:cs="Times New Roman"/>
          <w:i/>
          <w:iCs/>
        </w:rPr>
        <w:t>Bame</w:t>
      </w:r>
      <w:r w:rsidR="00501000">
        <w:rPr>
          <w:rFonts w:cs="Times New Roman"/>
        </w:rPr>
        <w:t xml:space="preserve">, </w:t>
      </w:r>
      <w:r w:rsidR="003A2B66">
        <w:rPr>
          <w:rFonts w:cs="Times New Roman"/>
          <w:i/>
          <w:iCs/>
        </w:rPr>
        <w:t>supra</w:t>
      </w:r>
      <w:r w:rsidR="003A2B66">
        <w:rPr>
          <w:rFonts w:cs="Times New Roman"/>
        </w:rPr>
        <w:t>,</w:t>
      </w:r>
      <w:r w:rsidR="003A2B66">
        <w:rPr>
          <w:rFonts w:cs="Times New Roman"/>
          <w:i/>
          <w:iCs/>
        </w:rPr>
        <w:t xml:space="preserve"> </w:t>
      </w:r>
      <w:r w:rsidRPr="009C7A59" w:rsidR="003A2B66">
        <w:rPr>
          <w:rFonts w:cs="Times New Roman"/>
        </w:rPr>
        <w:t xml:space="preserve">86 Cal.App.4th </w:t>
      </w:r>
      <w:r w:rsidR="00501000">
        <w:rPr>
          <w:rFonts w:cs="Times New Roman"/>
        </w:rPr>
        <w:t>at p. 135</w:t>
      </w:r>
      <w:r w:rsidR="0042419D">
        <w:rPr>
          <w:rFonts w:cs="Times New Roman"/>
        </w:rPr>
        <w:t>6</w:t>
      </w:r>
      <w:r w:rsidR="00501000">
        <w:rPr>
          <w:rFonts w:cs="Times New Roman"/>
        </w:rPr>
        <w:t xml:space="preserve">.)  </w:t>
      </w:r>
      <w:r w:rsidR="00EE6C16">
        <w:t xml:space="preserve">While the relevant </w:t>
      </w:r>
      <w:r w:rsidR="00A90FEA">
        <w:t xml:space="preserve">constitutional provision governing the Regents </w:t>
      </w:r>
      <w:r w:rsidR="000C42E8">
        <w:t>“</w:t>
      </w:r>
      <w:r w:rsidRPr="00C2635D" w:rsidR="00C2635D">
        <w:rPr>
          <w:rFonts w:cs="Times New Roman"/>
        </w:rPr>
        <w:t>does not expressly include</w:t>
      </w:r>
      <w:r w:rsidR="000C42E8">
        <w:rPr>
          <w:rFonts w:cs="Times New Roman"/>
        </w:rPr>
        <w:t xml:space="preserve">” </w:t>
      </w:r>
      <w:r w:rsidR="00A5591B">
        <w:rPr>
          <w:rFonts w:cs="Times New Roman"/>
        </w:rPr>
        <w:t>construction</w:t>
      </w:r>
      <w:r w:rsidR="0014757B">
        <w:rPr>
          <w:rFonts w:cs="Times New Roman"/>
        </w:rPr>
        <w:t xml:space="preserve">, </w:t>
      </w:r>
      <w:r w:rsidR="00B5749B">
        <w:rPr>
          <w:rFonts w:cs="Times New Roman"/>
        </w:rPr>
        <w:t>building the New Hospital</w:t>
      </w:r>
      <w:r w:rsidR="00060914">
        <w:rPr>
          <w:rFonts w:cs="Times New Roman"/>
        </w:rPr>
        <w:t xml:space="preserve"> </w:t>
      </w:r>
      <w:r w:rsidR="0014757B">
        <w:rPr>
          <w:rFonts w:cs="Times New Roman"/>
        </w:rPr>
        <w:t>is nonetheless “</w:t>
      </w:r>
      <w:r w:rsidRPr="00C2635D" w:rsidR="00C2635D">
        <w:rPr>
          <w:rFonts w:cs="Times New Roman"/>
        </w:rPr>
        <w:t xml:space="preserve">encompassed within the </w:t>
      </w:r>
      <w:r w:rsidR="0014757B">
        <w:rPr>
          <w:rFonts w:cs="Times New Roman"/>
        </w:rPr>
        <w:t>[Regents’]</w:t>
      </w:r>
      <w:r w:rsidRPr="00C2635D" w:rsidR="00C2635D">
        <w:rPr>
          <w:rFonts w:cs="Times New Roman"/>
        </w:rPr>
        <w:t xml:space="preserve"> purpose</w:t>
      </w:r>
      <w:r w:rsidR="0014757B">
        <w:rPr>
          <w:rFonts w:cs="Times New Roman"/>
        </w:rPr>
        <w:t xml:space="preserve">” of </w:t>
      </w:r>
      <w:r w:rsidRPr="00C2635D" w:rsidR="00C2635D">
        <w:rPr>
          <w:rFonts w:cs="Times New Roman"/>
        </w:rPr>
        <w:t xml:space="preserve">advancing the </w:t>
      </w:r>
      <w:r w:rsidR="00700EA4">
        <w:rPr>
          <w:rFonts w:cs="Times New Roman"/>
        </w:rPr>
        <w:t>UCSF’s</w:t>
      </w:r>
      <w:r w:rsidRPr="00C2635D" w:rsidR="00C2635D">
        <w:rPr>
          <w:rFonts w:cs="Times New Roman"/>
        </w:rPr>
        <w:t xml:space="preserve"> academic needs </w:t>
      </w:r>
      <w:r w:rsidR="00700EA4">
        <w:rPr>
          <w:rFonts w:cs="Times New Roman"/>
        </w:rPr>
        <w:t>of providing clinical services</w:t>
      </w:r>
      <w:r w:rsidR="00F076C2">
        <w:rPr>
          <w:rFonts w:cs="Times New Roman"/>
        </w:rPr>
        <w:t>.  (</w:t>
      </w:r>
      <w:r w:rsidR="00F076C2">
        <w:rPr>
          <w:rFonts w:cs="Times New Roman"/>
          <w:i/>
          <w:iCs/>
        </w:rPr>
        <w:t>Bame</w:t>
      </w:r>
      <w:r w:rsidR="00F076C2">
        <w:rPr>
          <w:rFonts w:cs="Times New Roman"/>
        </w:rPr>
        <w:t>, at p. 1358</w:t>
      </w:r>
      <w:r w:rsidR="00774303">
        <w:rPr>
          <w:rFonts w:cs="Times New Roman"/>
        </w:rPr>
        <w:t xml:space="preserve">; </w:t>
      </w:r>
      <w:r w:rsidRPr="00C12F39" w:rsidR="000C403C">
        <w:rPr>
          <w:rFonts w:cs="Times New Roman"/>
          <w:i/>
          <w:iCs/>
        </w:rPr>
        <w:t>Yerba Buena Neighborhood Consortium, LLC v. Regents of Univ</w:t>
      </w:r>
      <w:r w:rsidR="00B0680E">
        <w:rPr>
          <w:rFonts w:cs="Times New Roman"/>
          <w:i/>
          <w:iCs/>
        </w:rPr>
        <w:t>ersity</w:t>
      </w:r>
      <w:r w:rsidRPr="00C12F39" w:rsidR="000C403C">
        <w:rPr>
          <w:rFonts w:cs="Times New Roman"/>
          <w:i/>
          <w:iCs/>
        </w:rPr>
        <w:t xml:space="preserve"> of California</w:t>
      </w:r>
      <w:r w:rsidR="00C12F39">
        <w:rPr>
          <w:rFonts w:cs="Times New Roman"/>
        </w:rPr>
        <w:t xml:space="preserve"> (2023) </w:t>
      </w:r>
      <w:r w:rsidRPr="000C403C" w:rsidR="000C403C">
        <w:rPr>
          <w:rFonts w:cs="Times New Roman"/>
        </w:rPr>
        <w:t>95 Cal.App.5th 779, 789</w:t>
      </w:r>
      <w:r w:rsidR="00C12F39">
        <w:rPr>
          <w:rFonts w:cs="Times New Roman"/>
        </w:rPr>
        <w:t xml:space="preserve"> [recognizing </w:t>
      </w:r>
      <w:r w:rsidR="00B452E1">
        <w:rPr>
          <w:rFonts w:cs="Times New Roman"/>
        </w:rPr>
        <w:t xml:space="preserve">the Regents increased the size of the New Hospital </w:t>
      </w:r>
      <w:r w:rsidR="00BC11E2">
        <w:rPr>
          <w:rFonts w:cs="Times New Roman"/>
        </w:rPr>
        <w:t>for UCSF “</w:t>
      </w:r>
      <w:r>
        <w:rPr>
          <w:rFonts w:cs="Times New Roman"/>
        </w:rPr>
        <w:t> </w:t>
      </w:r>
      <w:r w:rsidR="00BC11E2">
        <w:rPr>
          <w:rFonts w:cs="Times New Roman"/>
        </w:rPr>
        <w:t>‘to retain its leadership position in patient care, research, and education’ ”]</w:t>
      </w:r>
      <w:r w:rsidR="00F076C2">
        <w:rPr>
          <w:rFonts w:cs="Times New Roman"/>
        </w:rPr>
        <w:t>.)</w:t>
      </w:r>
      <w:r w:rsidR="00D03B32">
        <w:rPr>
          <w:rFonts w:cs="Times New Roman"/>
        </w:rPr>
        <w:t xml:space="preserve">  </w:t>
      </w:r>
      <w:r w:rsidR="00141732">
        <w:rPr>
          <w:rFonts w:cs="Times New Roman"/>
        </w:rPr>
        <w:t>As such</w:t>
      </w:r>
      <w:r w:rsidR="00206005">
        <w:rPr>
          <w:rFonts w:cs="Times New Roman"/>
        </w:rPr>
        <w:t xml:space="preserve">, </w:t>
      </w:r>
      <w:r w:rsidR="00B95D47">
        <w:rPr>
          <w:rFonts w:cs="Times New Roman"/>
        </w:rPr>
        <w:t>the</w:t>
      </w:r>
      <w:r w:rsidR="000F3C81">
        <w:rPr>
          <w:rFonts w:cs="Times New Roman"/>
        </w:rPr>
        <w:t xml:space="preserve"> Regents are immune from the relevant </w:t>
      </w:r>
      <w:r w:rsidR="00275FEE">
        <w:rPr>
          <w:rFonts w:cs="Times New Roman"/>
        </w:rPr>
        <w:t>p</w:t>
      </w:r>
      <w:r w:rsidR="000F3C81">
        <w:rPr>
          <w:rFonts w:cs="Times New Roman"/>
        </w:rPr>
        <w:t xml:space="preserve">lanning </w:t>
      </w:r>
      <w:r w:rsidR="00275FEE">
        <w:rPr>
          <w:rFonts w:cs="Times New Roman"/>
        </w:rPr>
        <w:t>c</w:t>
      </w:r>
      <w:r w:rsidR="000F3C81">
        <w:rPr>
          <w:rFonts w:cs="Times New Roman"/>
        </w:rPr>
        <w:t xml:space="preserve">ode </w:t>
      </w:r>
    </w:p>
    <w:p w:rsidR="000121CD" w:rsidRPr="000C403C" w:rsidP="00744F9A">
      <w:pPr>
        <w:rPr>
          <w:rFonts w:cs="Times New Roman"/>
        </w:rPr>
      </w:pPr>
      <w:r>
        <w:rPr>
          <w:rFonts w:cs="Times New Roman"/>
        </w:rPr>
        <w:t>provisions at issue here.</w:t>
      </w:r>
      <w:r w:rsidRPr="00FE5EE2" w:rsidR="00FE5EE2">
        <w:rPr>
          <w:rFonts w:cs="Times New Roman"/>
        </w:rPr>
        <w:t xml:space="preserve"> </w:t>
      </w:r>
      <w:r w:rsidR="00FE5EE2">
        <w:rPr>
          <w:rFonts w:cs="Times New Roman"/>
        </w:rPr>
        <w:t xml:space="preserve"> We are not confronted with a situation where the governmental function at issue is trivial or peripheral when compared with the proprietary function, and we need not address whether such an instance would lead to the same result.</w:t>
      </w:r>
    </w:p>
    <w:p w:rsidR="005A72C7" w:rsidP="005A72C7">
      <w:pPr>
        <w:ind w:firstLine="720"/>
      </w:pPr>
      <w:r>
        <w:rPr>
          <w:rFonts w:cs="Times New Roman"/>
        </w:rPr>
        <w:t xml:space="preserve">The </w:t>
      </w:r>
      <w:r w:rsidR="004A7DC2">
        <w:rPr>
          <w:rFonts w:cs="Times New Roman"/>
        </w:rPr>
        <w:t xml:space="preserve">Coalition’s arguments </w:t>
      </w:r>
      <w:r w:rsidR="001C245B">
        <w:rPr>
          <w:rFonts w:cs="Times New Roman"/>
        </w:rPr>
        <w:t xml:space="preserve">do not </w:t>
      </w:r>
      <w:r w:rsidR="0053678B">
        <w:rPr>
          <w:rFonts w:cs="Times New Roman"/>
        </w:rPr>
        <w:t>persuade us otherwise</w:t>
      </w:r>
      <w:r w:rsidR="004A7DC2">
        <w:rPr>
          <w:rFonts w:cs="Times New Roman"/>
        </w:rPr>
        <w:t xml:space="preserve">.  </w:t>
      </w:r>
      <w:r w:rsidR="00081749">
        <w:rPr>
          <w:rFonts w:cs="Times New Roman"/>
        </w:rPr>
        <w:t xml:space="preserve">Relying on </w:t>
      </w:r>
      <w:r w:rsidRPr="00F76FFD" w:rsidR="00081749">
        <w:rPr>
          <w:rFonts w:cs="Times New Roman"/>
          <w:i/>
          <w:iCs/>
        </w:rPr>
        <w:t>Santa Monica</w:t>
      </w:r>
      <w:r w:rsidR="00081749">
        <w:rPr>
          <w:rFonts w:cs="Times New Roman"/>
        </w:rPr>
        <w:t xml:space="preserve">, </w:t>
      </w:r>
      <w:r w:rsidR="00081749">
        <w:rPr>
          <w:rFonts w:cs="Times New Roman"/>
          <w:i/>
          <w:iCs/>
        </w:rPr>
        <w:t>supra</w:t>
      </w:r>
      <w:r w:rsidR="00081749">
        <w:rPr>
          <w:rFonts w:cs="Times New Roman"/>
        </w:rPr>
        <w:t>,</w:t>
      </w:r>
      <w:r w:rsidR="00081749">
        <w:rPr>
          <w:rFonts w:cs="Times New Roman"/>
          <w:i/>
          <w:iCs/>
        </w:rPr>
        <w:t xml:space="preserve"> </w:t>
      </w:r>
      <w:r w:rsidRPr="00F76FFD" w:rsidR="00081749">
        <w:rPr>
          <w:rFonts w:cs="Times New Roman"/>
        </w:rPr>
        <w:t>77 Cal.App.3d 130</w:t>
      </w:r>
      <w:r w:rsidR="00081749">
        <w:rPr>
          <w:rFonts w:cs="Times New Roman"/>
        </w:rPr>
        <w:t xml:space="preserve">, </w:t>
      </w:r>
      <w:r w:rsidR="00E331A0">
        <w:t xml:space="preserve">it </w:t>
      </w:r>
      <w:r w:rsidR="00081749">
        <w:t xml:space="preserve">insists the Regents are only exempt from local building codes and zoning regulations if the construction is </w:t>
      </w:r>
      <w:r w:rsidRPr="0029250B" w:rsidR="00081749">
        <w:rPr>
          <w:i/>
          <w:iCs/>
        </w:rPr>
        <w:t>solely</w:t>
      </w:r>
      <w:r w:rsidR="00081749">
        <w:t xml:space="preserve"> for educational purposes. </w:t>
      </w:r>
      <w:r w:rsidRPr="00406664" w:rsidR="00081749">
        <w:t xml:space="preserve"> (</w:t>
      </w:r>
      <w:r w:rsidRPr="00406664" w:rsidR="00081749">
        <w:rPr>
          <w:i/>
          <w:iCs/>
        </w:rPr>
        <w:t>Id</w:t>
      </w:r>
      <w:r w:rsidRPr="00406664" w:rsidR="00081749">
        <w:t xml:space="preserve">. at p. 136.) </w:t>
      </w:r>
      <w:r w:rsidR="00081749">
        <w:t xml:space="preserve"> </w:t>
      </w:r>
      <w:r>
        <w:t xml:space="preserve">The Coalition asserts the New Hospital advances UCSF’s proprietary interest as a healthcare provider, thus nullifying the Regents’ immunity here.  In support, the Coalition notes UCSF expanded its clinical services in 2015 beyond </w:t>
      </w:r>
      <w:r w:rsidR="001C245B">
        <w:t xml:space="preserve">that </w:t>
      </w:r>
      <w:r>
        <w:t xml:space="preserve">necessary to advance </w:t>
      </w:r>
      <w:r w:rsidR="001C245B">
        <w:t xml:space="preserve">its </w:t>
      </w:r>
      <w:r>
        <w:t>educational mission, doubling its revenue between 2015 to 2021</w:t>
      </w:r>
      <w:r w:rsidR="00141732">
        <w:t>,</w:t>
      </w:r>
      <w:r>
        <w:t xml:space="preserve"> while student enrollment only increased by two percent.  And constructing the New Hospital promotes UCSF’s continued expansion of </w:t>
      </w:r>
      <w:r w:rsidR="00386C5A">
        <w:t>its</w:t>
      </w:r>
      <w:r>
        <w:t xml:space="preserve"> proprietary activities</w:t>
      </w:r>
      <w:r w:rsidR="00141732">
        <w:t>;</w:t>
      </w:r>
      <w:r>
        <w:t xml:space="preserve"> </w:t>
      </w:r>
      <w:r w:rsidR="00141732">
        <w:t xml:space="preserve">the Coalition notes </w:t>
      </w:r>
      <w:r w:rsidR="001C245B">
        <w:t xml:space="preserve">it </w:t>
      </w:r>
      <w:r w:rsidR="001B1B73">
        <w:t xml:space="preserve">has </w:t>
      </w:r>
      <w:r w:rsidR="0091257E">
        <w:t xml:space="preserve">rebranded </w:t>
      </w:r>
      <w:r w:rsidR="001B1B73">
        <w:t xml:space="preserve">itself UCSF Health, and </w:t>
      </w:r>
      <w:r>
        <w:t>the educational population of students</w:t>
      </w:r>
      <w:r w:rsidR="004F78F7">
        <w:t xml:space="preserve"> and </w:t>
      </w:r>
      <w:r>
        <w:t>faculty</w:t>
      </w:r>
      <w:r w:rsidR="004F78F7">
        <w:t xml:space="preserve"> </w:t>
      </w:r>
      <w:r>
        <w:t xml:space="preserve">is expected to grow by 25 percent, while the staff workforce would grow </w:t>
      </w:r>
      <w:r w:rsidR="004F78F7">
        <w:t>approximately</w:t>
      </w:r>
      <w:r>
        <w:t xml:space="preserve"> 60 percent.  </w:t>
      </w:r>
      <w:r w:rsidR="00141732">
        <w:t>Moreover, a</w:t>
      </w:r>
      <w:r w:rsidR="006F7819">
        <w:t xml:space="preserve">ccording to the Coalition, </w:t>
      </w:r>
      <w:r w:rsidR="00021971">
        <w:t>UCSF competes with other private healthcare providers.</w:t>
      </w:r>
    </w:p>
    <w:p w:rsidR="00B8282C" w:rsidP="008E326F">
      <w:pPr>
        <w:ind w:firstLine="720"/>
        <w:rPr>
          <w:rFonts w:cs="Times New Roman"/>
        </w:rPr>
      </w:pPr>
      <w:r>
        <w:rPr>
          <w:rFonts w:cs="Times New Roman"/>
        </w:rPr>
        <w:t xml:space="preserve">First, we do not read </w:t>
      </w:r>
      <w:r>
        <w:rPr>
          <w:rFonts w:cs="Times New Roman"/>
          <w:i/>
          <w:iCs/>
        </w:rPr>
        <w:t xml:space="preserve">Santa Monica </w:t>
      </w:r>
      <w:r>
        <w:rPr>
          <w:rFonts w:cs="Times New Roman"/>
        </w:rPr>
        <w:t xml:space="preserve">in such a restrictive manner.  There, the Regents leased property for educational purposes.  </w:t>
      </w:r>
      <w:r w:rsidRPr="0091257E">
        <w:rPr>
          <w:rFonts w:cs="Times New Roman"/>
        </w:rPr>
        <w:t>(</w:t>
      </w:r>
      <w:r w:rsidR="00141732">
        <w:rPr>
          <w:rFonts w:cs="Times New Roman"/>
          <w:i/>
          <w:iCs/>
        </w:rPr>
        <w:t xml:space="preserve">Santa </w:t>
      </w:r>
      <w:r w:rsidRPr="00141732" w:rsidR="00141732">
        <w:rPr>
          <w:rFonts w:cs="Times New Roman"/>
          <w:i/>
          <w:iCs/>
        </w:rPr>
        <w:t>Monica</w:t>
      </w:r>
      <w:r w:rsidRPr="00141732" w:rsidR="00141732">
        <w:rPr>
          <w:rFonts w:cs="Times New Roman"/>
        </w:rPr>
        <w:t>,</w:t>
      </w:r>
      <w:r>
        <w:rPr>
          <w:rFonts w:cs="Times New Roman"/>
        </w:rPr>
        <w:t xml:space="preserve"> </w:t>
      </w:r>
      <w:r w:rsidR="00141732">
        <w:rPr>
          <w:rFonts w:cs="Times New Roman"/>
          <w:i/>
          <w:iCs/>
        </w:rPr>
        <w:t>supra</w:t>
      </w:r>
      <w:r w:rsidR="00141732">
        <w:rPr>
          <w:rFonts w:cs="Times New Roman"/>
        </w:rPr>
        <w:t>, 77 Cal.App.3d</w:t>
      </w:r>
      <w:r w:rsidR="00141732">
        <w:rPr>
          <w:rFonts w:cs="Times New Roman"/>
          <w:i/>
          <w:iCs/>
        </w:rPr>
        <w:t xml:space="preserve"> </w:t>
      </w:r>
      <w:r>
        <w:rPr>
          <w:rFonts w:cs="Times New Roman"/>
        </w:rPr>
        <w:t>at p. 132.)  T</w:t>
      </w:r>
      <w:r w:rsidRPr="003135E8">
        <w:rPr>
          <w:rFonts w:cs="Times New Roman"/>
        </w:rPr>
        <w:t>he</w:t>
      </w:r>
      <w:r w:rsidRPr="00953035">
        <w:rPr>
          <w:rFonts w:cs="Times New Roman"/>
        </w:rPr>
        <w:t xml:space="preserve"> court </w:t>
      </w:r>
      <w:r>
        <w:rPr>
          <w:rFonts w:cs="Times New Roman"/>
        </w:rPr>
        <w:t xml:space="preserve">determined the local </w:t>
      </w:r>
      <w:r w:rsidRPr="00953035">
        <w:rPr>
          <w:rFonts w:cs="Times New Roman"/>
        </w:rPr>
        <w:t xml:space="preserve">building </w:t>
      </w:r>
      <w:r>
        <w:rPr>
          <w:rFonts w:cs="Times New Roman"/>
        </w:rPr>
        <w:t xml:space="preserve">regulations governing construction and permitting fees </w:t>
      </w:r>
      <w:r w:rsidRPr="00953035">
        <w:rPr>
          <w:rFonts w:cs="Times New Roman"/>
        </w:rPr>
        <w:t xml:space="preserve">were not applicable to </w:t>
      </w:r>
      <w:r w:rsidR="00141732">
        <w:rPr>
          <w:rFonts w:cs="Times New Roman"/>
        </w:rPr>
        <w:t xml:space="preserve">the </w:t>
      </w:r>
      <w:r w:rsidR="002A2D99">
        <w:rPr>
          <w:rFonts w:cs="Times New Roman"/>
        </w:rPr>
        <w:t xml:space="preserve">Regents’ </w:t>
      </w:r>
      <w:r>
        <w:rPr>
          <w:rFonts w:cs="Times New Roman"/>
        </w:rPr>
        <w:t>alterations — relocating partitions and installing an air conditioning system — in property leased by the University of California.</w:t>
      </w:r>
      <w:r w:rsidRPr="00953035">
        <w:rPr>
          <w:rFonts w:cs="Times New Roman"/>
        </w:rPr>
        <w:t xml:space="preserve"> </w:t>
      </w:r>
      <w:r>
        <w:rPr>
          <w:rFonts w:cs="Times New Roman"/>
        </w:rPr>
        <w:t xml:space="preserve"> (</w:t>
      </w:r>
      <w:r>
        <w:rPr>
          <w:rFonts w:cs="Times New Roman"/>
          <w:i/>
          <w:iCs/>
        </w:rPr>
        <w:t>Id</w:t>
      </w:r>
      <w:r>
        <w:rPr>
          <w:rFonts w:cs="Times New Roman"/>
        </w:rPr>
        <w:t xml:space="preserve">. at pp. </w:t>
      </w:r>
      <w:r w:rsidR="00B37FE4">
        <w:rPr>
          <w:rFonts w:cs="Times New Roman"/>
        </w:rPr>
        <w:t xml:space="preserve">132, </w:t>
      </w:r>
      <w:r>
        <w:rPr>
          <w:rFonts w:cs="Times New Roman"/>
        </w:rPr>
        <w:t xml:space="preserve">135–136.)  The court’s statement — “the Regents </w:t>
      </w:r>
      <w:r w:rsidRPr="00FA5CD8">
        <w:rPr>
          <w:rFonts w:cs="Times New Roman"/>
        </w:rPr>
        <w:t>in constructing improvements solely for educational purposes are exempt from local building codes and zoning regulations”</w:t>
      </w:r>
      <w:r w:rsidR="00141732">
        <w:rPr>
          <w:rFonts w:cs="Times New Roman"/>
        </w:rPr>
        <w:t xml:space="preserve"> </w:t>
      </w:r>
      <w:r>
        <w:rPr>
          <w:rFonts w:cs="Times New Roman"/>
        </w:rPr>
        <w:t xml:space="preserve">— </w:t>
      </w:r>
      <w:r w:rsidR="00141732">
        <w:rPr>
          <w:rFonts w:cs="Times New Roman"/>
        </w:rPr>
        <w:t xml:space="preserve">cannot be read to </w:t>
      </w:r>
      <w:r>
        <w:rPr>
          <w:rFonts w:cs="Times New Roman"/>
        </w:rPr>
        <w:t xml:space="preserve">limit the circumstances under which the Regents </w:t>
      </w:r>
      <w:r w:rsidR="00B87BC8">
        <w:rPr>
          <w:rFonts w:cs="Times New Roman"/>
        </w:rPr>
        <w:t>are</w:t>
      </w:r>
      <w:r>
        <w:rPr>
          <w:rFonts w:cs="Times New Roman"/>
        </w:rPr>
        <w:t xml:space="preserve"> exempt from local regulations.  (</w:t>
      </w:r>
      <w:r>
        <w:rPr>
          <w:rFonts w:cs="Times New Roman"/>
          <w:i/>
          <w:iCs/>
        </w:rPr>
        <w:t>Id</w:t>
      </w:r>
      <w:r>
        <w:rPr>
          <w:rFonts w:cs="Times New Roman"/>
        </w:rPr>
        <w:t xml:space="preserve">. at p. 136; see also </w:t>
      </w:r>
      <w:r w:rsidRPr="002665A5">
        <w:rPr>
          <w:rFonts w:cs="Times New Roman"/>
        </w:rPr>
        <w:t>Cal. Const., art. IX</w:t>
      </w:r>
      <w:r w:rsidR="009D7141">
        <w:rPr>
          <w:rFonts w:cs="Times New Roman"/>
        </w:rPr>
        <w:t>,</w:t>
      </w:r>
      <w:r w:rsidRPr="002665A5">
        <w:rPr>
          <w:rFonts w:cs="Times New Roman"/>
        </w:rPr>
        <w:t xml:space="preserve"> § 9</w:t>
      </w:r>
      <w:r>
        <w:rPr>
          <w:rFonts w:cs="Times New Roman"/>
        </w:rPr>
        <w:t xml:space="preserve"> [description of </w:t>
      </w:r>
      <w:r w:rsidR="00141732">
        <w:rPr>
          <w:rFonts w:cs="Times New Roman"/>
        </w:rPr>
        <w:t xml:space="preserve">the </w:t>
      </w:r>
      <w:r>
        <w:rPr>
          <w:rFonts w:cs="Times New Roman"/>
        </w:rPr>
        <w:t>Regent</w:t>
      </w:r>
      <w:r w:rsidR="00141732">
        <w:rPr>
          <w:rFonts w:cs="Times New Roman"/>
        </w:rPr>
        <w:t>s</w:t>
      </w:r>
      <w:r>
        <w:rPr>
          <w:rFonts w:cs="Times New Roman"/>
        </w:rPr>
        <w:t xml:space="preserve">’ authority lacking the terms “solely” or “exclusively”].)  </w:t>
      </w:r>
      <w:r w:rsidR="00E63CB9">
        <w:rPr>
          <w:rFonts w:cs="Times New Roman"/>
        </w:rPr>
        <w:t xml:space="preserve">The court </w:t>
      </w:r>
      <w:r>
        <w:rPr>
          <w:rFonts w:cs="Times New Roman"/>
        </w:rPr>
        <w:t xml:space="preserve">simply addressed the circumstances present in that case.  </w:t>
      </w:r>
      <w:r w:rsidR="00AC0095">
        <w:rPr>
          <w:rFonts w:cs="Times New Roman"/>
        </w:rPr>
        <w:t xml:space="preserve">But </w:t>
      </w:r>
      <w:r w:rsidR="00F03C43">
        <w:rPr>
          <w:rFonts w:cs="Times New Roman"/>
        </w:rPr>
        <w:t>it</w:t>
      </w:r>
      <w:r w:rsidR="00196B2D">
        <w:rPr>
          <w:rFonts w:cs="Times New Roman"/>
        </w:rPr>
        <w:t xml:space="preserve"> </w:t>
      </w:r>
      <w:r>
        <w:rPr>
          <w:rFonts w:cs="Times New Roman"/>
        </w:rPr>
        <w:t xml:space="preserve">did not </w:t>
      </w:r>
      <w:r w:rsidR="00E63CB9">
        <w:rPr>
          <w:rFonts w:cs="Times New Roman"/>
        </w:rPr>
        <w:t xml:space="preserve">purport to </w:t>
      </w:r>
      <w:r>
        <w:rPr>
          <w:rFonts w:cs="Times New Roman"/>
        </w:rPr>
        <w:t>address</w:t>
      </w:r>
      <w:r w:rsidR="00310801">
        <w:rPr>
          <w:rFonts w:cs="Times New Roman"/>
        </w:rPr>
        <w:t xml:space="preserve"> </w:t>
      </w:r>
      <w:r w:rsidR="00E63CB9">
        <w:rPr>
          <w:rFonts w:cs="Times New Roman"/>
        </w:rPr>
        <w:t xml:space="preserve">a situation where a project squarely within the Regents’ government function might also </w:t>
      </w:r>
      <w:r w:rsidR="001C245B">
        <w:rPr>
          <w:rFonts w:cs="Times New Roman"/>
        </w:rPr>
        <w:t xml:space="preserve">serve </w:t>
      </w:r>
      <w:r w:rsidR="00F03C43">
        <w:rPr>
          <w:rFonts w:cs="Times New Roman"/>
        </w:rPr>
        <w:t>some proprietary interest</w:t>
      </w:r>
      <w:r w:rsidRPr="008E326F" w:rsidR="008E326F">
        <w:rPr>
          <w:rFonts w:cs="Times New Roman"/>
        </w:rPr>
        <w:t>.</w:t>
      </w:r>
    </w:p>
    <w:p w:rsidR="00744F9A" w:rsidP="007F609B">
      <w:pPr>
        <w:ind w:firstLine="720"/>
      </w:pPr>
      <w:r>
        <w:t>Second</w:t>
      </w:r>
      <w:r w:rsidR="007D1226">
        <w:t xml:space="preserve">, the Coalition’s </w:t>
      </w:r>
      <w:r w:rsidR="0090076F">
        <w:t xml:space="preserve">repeated </w:t>
      </w:r>
      <w:r w:rsidR="004D2F55">
        <w:t xml:space="preserve">conclusory </w:t>
      </w:r>
      <w:r w:rsidR="007D1226">
        <w:t>allegations</w:t>
      </w:r>
      <w:r w:rsidR="004B1E00">
        <w:t xml:space="preserve"> </w:t>
      </w:r>
      <w:r w:rsidR="00F03C43">
        <w:t xml:space="preserve">that </w:t>
      </w:r>
      <w:r w:rsidR="004D2F55">
        <w:t xml:space="preserve">the </w:t>
      </w:r>
    </w:p>
    <w:p w:rsidR="00744F9A" w:rsidP="00744F9A">
      <w:r>
        <w:t xml:space="preserve">New Hospital </w:t>
      </w:r>
      <w:r w:rsidR="00F03C43">
        <w:t xml:space="preserve">serves </w:t>
      </w:r>
      <w:r>
        <w:t xml:space="preserve">a proprietary </w:t>
      </w:r>
      <w:r w:rsidR="00F03C43">
        <w:t xml:space="preserve">function </w:t>
      </w:r>
      <w:r w:rsidR="005A72C7">
        <w:t xml:space="preserve">do not save </w:t>
      </w:r>
      <w:r w:rsidR="007D1226">
        <w:t>its complaint</w:t>
      </w:r>
      <w:r w:rsidR="005A72C7">
        <w:t xml:space="preserve"> </w:t>
      </w:r>
    </w:p>
    <w:p w:rsidR="007F609B" w:rsidP="00744F9A">
      <w:r>
        <w:t xml:space="preserve">from demurrer.  </w:t>
      </w:r>
      <w:r w:rsidR="0016680D">
        <w:t>(</w:t>
      </w:r>
      <w:r w:rsidR="00021968">
        <w:t xml:space="preserve">See </w:t>
      </w:r>
      <w:r w:rsidRPr="00822A18" w:rsidR="0016680D">
        <w:rPr>
          <w:i/>
          <w:iCs/>
        </w:rPr>
        <w:t>Beard v. City &amp; C</w:t>
      </w:r>
      <w:r w:rsidR="0016680D">
        <w:rPr>
          <w:i/>
          <w:iCs/>
        </w:rPr>
        <w:t>ounty</w:t>
      </w:r>
      <w:r w:rsidRPr="00822A18" w:rsidR="0016680D">
        <w:rPr>
          <w:i/>
          <w:iCs/>
        </w:rPr>
        <w:t xml:space="preserve"> of San Francisco</w:t>
      </w:r>
      <w:r w:rsidR="0016680D">
        <w:t xml:space="preserve"> (19</w:t>
      </w:r>
      <w:r w:rsidR="001C245B">
        <w:t>47</w:t>
      </w:r>
      <w:r w:rsidR="0016680D">
        <w:t>) 79</w:t>
      </w:r>
      <w:r w:rsidR="00744F9A">
        <w:t> </w:t>
      </w:r>
      <w:r w:rsidR="0016680D">
        <w:t>Cal.App.2d 753, 755</w:t>
      </w:r>
      <w:r w:rsidR="00F03C43">
        <w:t xml:space="preserve"> </w:t>
      </w:r>
      <w:r w:rsidR="0016680D">
        <w:t xml:space="preserve">[allegation </w:t>
      </w:r>
      <w:r w:rsidR="00F03C43">
        <w:t xml:space="preserve">in a tort liability case </w:t>
      </w:r>
      <w:r w:rsidR="0016680D">
        <w:t xml:space="preserve">that a municipal corporation operates a hospital in a proprietary capacity is </w:t>
      </w:r>
      <w:r w:rsidR="008F5CC4">
        <w:t xml:space="preserve">generally </w:t>
      </w:r>
      <w:r w:rsidR="0016680D">
        <w:t>a mere conclusion of law</w:t>
      </w:r>
      <w:r w:rsidR="001B369E">
        <w:t xml:space="preserve">].)  </w:t>
      </w:r>
      <w:r>
        <w:t xml:space="preserve">We do not assume the truth of contentions or conclusions of law in the operative complaint.  </w:t>
      </w:r>
      <w:r w:rsidRPr="0083757E">
        <w:t>(</w:t>
      </w:r>
      <w:r w:rsidRPr="0083757E">
        <w:rPr>
          <w:i/>
          <w:iCs/>
        </w:rPr>
        <w:t>Stearn v. County of San Bernardino</w:t>
      </w:r>
      <w:r>
        <w:t xml:space="preserve">, </w:t>
      </w:r>
      <w:r>
        <w:rPr>
          <w:i/>
          <w:iCs/>
        </w:rPr>
        <w:t>supra</w:t>
      </w:r>
      <w:r>
        <w:t>,</w:t>
      </w:r>
      <w:r>
        <w:rPr>
          <w:i/>
          <w:iCs/>
        </w:rPr>
        <w:t xml:space="preserve"> </w:t>
      </w:r>
      <w:r w:rsidRPr="0083757E">
        <w:t xml:space="preserve">170 Cal.App.4th </w:t>
      </w:r>
      <w:r>
        <w:t>at p.</w:t>
      </w:r>
      <w:r w:rsidRPr="0083757E">
        <w:t xml:space="preserve"> 440.)</w:t>
      </w:r>
      <w:r>
        <w:t xml:space="preserve">  </w:t>
      </w:r>
      <w:r w:rsidR="009B6303">
        <w:t>More importantly</w:t>
      </w:r>
      <w:r w:rsidR="00BA04E6">
        <w:t>, the</w:t>
      </w:r>
      <w:r w:rsidR="001D1ED4">
        <w:t xml:space="preserve"> Coalition fails to cite any authority for </w:t>
      </w:r>
      <w:r w:rsidR="00B1164F">
        <w:t xml:space="preserve">its assertion </w:t>
      </w:r>
      <w:r w:rsidR="00C5265B">
        <w:t xml:space="preserve">that </w:t>
      </w:r>
      <w:r>
        <w:t>by providing healthcare, the Regents, through UCSF, are acting in a purely proprietary capacity</w:t>
      </w:r>
      <w:r w:rsidR="00D716C4">
        <w:t xml:space="preserve"> </w:t>
      </w:r>
      <w:r w:rsidR="00DD1F76">
        <w:t>not entitled to immunity</w:t>
      </w:r>
      <w:r>
        <w:t>.  (</w:t>
      </w:r>
      <w:r w:rsidR="001B369E">
        <w:rPr>
          <w:i/>
          <w:iCs/>
        </w:rPr>
        <w:t>Beard</w:t>
      </w:r>
      <w:r w:rsidR="001B369E">
        <w:t>, at p. 757</w:t>
      </w:r>
      <w:r w:rsidR="001B369E">
        <w:rPr>
          <w:i/>
          <w:iCs/>
        </w:rPr>
        <w:t xml:space="preserve"> </w:t>
      </w:r>
      <w:r w:rsidR="001B369E">
        <w:t>[</w:t>
      </w:r>
      <w:r>
        <w:t>“</w:t>
      </w:r>
      <w:r w:rsidRPr="00D27ED4">
        <w:t>receipt of revenue from the activities is not the essential factor which makes them proprietary</w:t>
      </w:r>
      <w:r w:rsidR="00021968">
        <w:t>,</w:t>
      </w:r>
      <w:r>
        <w:t>”</w:t>
      </w:r>
      <w:r w:rsidR="00021968">
        <w:t xml:space="preserve"> the “determining factor is whether the activities ‘are essentially governmental in character’ ”</w:t>
      </w:r>
      <w:r>
        <w:t xml:space="preserve">].)  </w:t>
      </w:r>
      <w:r w:rsidRPr="001373A1">
        <w:rPr>
          <w:i/>
          <w:iCs/>
        </w:rPr>
        <w:t xml:space="preserve">Beard </w:t>
      </w:r>
      <w:r w:rsidR="003B7317">
        <w:t>does not assist the Coalition</w:t>
      </w:r>
      <w:r>
        <w:t xml:space="preserve">.  </w:t>
      </w:r>
      <w:r w:rsidR="00FF3A6C">
        <w:t xml:space="preserve">That court </w:t>
      </w:r>
      <w:r w:rsidR="00FF3FE3">
        <w:t xml:space="preserve">addressed </w:t>
      </w:r>
      <w:r w:rsidR="00C36E0D">
        <w:t>whether operating a hospital</w:t>
      </w:r>
      <w:r w:rsidRPr="00AE2D34" w:rsidR="00C36E0D">
        <w:t xml:space="preserve"> </w:t>
      </w:r>
      <w:r w:rsidR="00C36E0D">
        <w:t>“</w:t>
      </w:r>
      <w:r w:rsidRPr="00AE2D34" w:rsidR="00C36E0D">
        <w:t>under the charter of the consolidated city and county is a governmental or a proprietary function.</w:t>
      </w:r>
      <w:r w:rsidR="00C36E0D">
        <w:t>”  (</w:t>
      </w:r>
      <w:r w:rsidRPr="00686296" w:rsidR="00C36E0D">
        <w:rPr>
          <w:i/>
          <w:iCs/>
        </w:rPr>
        <w:t>Id</w:t>
      </w:r>
      <w:r w:rsidR="00C36E0D">
        <w:t>. at p. 754.)</w:t>
      </w:r>
      <w:r w:rsidR="009D243A">
        <w:t xml:space="preserve">  But t</w:t>
      </w:r>
      <w:r w:rsidR="007C223F">
        <w:t xml:space="preserve">he parties conceded a county is not liable for injuries arising from the operation of a hospital, </w:t>
      </w:r>
      <w:r w:rsidR="00021968">
        <w:t xml:space="preserve">and </w:t>
      </w:r>
      <w:r w:rsidR="008F5CC4">
        <w:t xml:space="preserve">the respondent conceded </w:t>
      </w:r>
      <w:r w:rsidR="00B007E6">
        <w:t xml:space="preserve">a city is liable for injuries arising out of its </w:t>
      </w:r>
      <w:r w:rsidR="007C223F">
        <w:t>proprietary activities.  (</w:t>
      </w:r>
      <w:r w:rsidR="007C223F">
        <w:rPr>
          <w:i/>
          <w:iCs/>
        </w:rPr>
        <w:t>Ibid</w:t>
      </w:r>
      <w:r w:rsidR="007C223F">
        <w:t>.)</w:t>
      </w:r>
      <w:r w:rsidR="0044702A">
        <w:rPr>
          <w:i/>
          <w:iCs/>
        </w:rPr>
        <w:t xml:space="preserve">  </w:t>
      </w:r>
      <w:r w:rsidR="000C0B61">
        <w:t>Th</w:t>
      </w:r>
      <w:r w:rsidR="00430154">
        <w:t>us, the</w:t>
      </w:r>
      <w:r w:rsidR="000C0B61">
        <w:t xml:space="preserve"> determinative issue there was whether San Francisco’s dual status </w:t>
      </w:r>
      <w:r w:rsidR="00783AD2">
        <w:t xml:space="preserve">as both a city and county </w:t>
      </w:r>
      <w:r w:rsidR="00B03B67">
        <w:t xml:space="preserve">signified </w:t>
      </w:r>
      <w:r w:rsidR="00952C37">
        <w:t>it operated the hospital as a city</w:t>
      </w:r>
      <w:r w:rsidR="000C0B61">
        <w:t>.  (</w:t>
      </w:r>
      <w:r w:rsidR="00FD27B0">
        <w:rPr>
          <w:i/>
          <w:iCs/>
        </w:rPr>
        <w:t>Ibid</w:t>
      </w:r>
      <w:r w:rsidR="000C0B61">
        <w:t>.)</w:t>
      </w:r>
      <w:r>
        <w:rPr>
          <w:rStyle w:val="FootnoteReference"/>
        </w:rPr>
        <w:footnoteReference w:id="4"/>
      </w:r>
      <w:r w:rsidR="000C0B61">
        <w:t xml:space="preserve">  </w:t>
      </w:r>
      <w:r w:rsidR="00430154">
        <w:t>The</w:t>
      </w:r>
      <w:r w:rsidR="007C72F9">
        <w:t xml:space="preserve"> identity of the </w:t>
      </w:r>
      <w:r w:rsidR="00021968">
        <w:t xml:space="preserve">entity </w:t>
      </w:r>
      <w:r w:rsidR="00D50B55">
        <w:t>engaging in</w:t>
      </w:r>
      <w:r w:rsidR="002B6540">
        <w:t xml:space="preserve"> the activity</w:t>
      </w:r>
      <w:r w:rsidR="007A16AD">
        <w:t xml:space="preserve"> was critical to determining </w:t>
      </w:r>
      <w:r w:rsidR="007D29F6">
        <w:t xml:space="preserve">liability. </w:t>
      </w:r>
      <w:r w:rsidR="003C7991">
        <w:t xml:space="preserve"> </w:t>
      </w:r>
      <w:r w:rsidR="007D29F6">
        <w:t>(</w:t>
      </w:r>
      <w:r w:rsidR="007D29F6">
        <w:rPr>
          <w:i/>
          <w:iCs/>
        </w:rPr>
        <w:t>Id</w:t>
      </w:r>
      <w:r w:rsidR="007D29F6">
        <w:t>. at p.</w:t>
      </w:r>
      <w:r w:rsidR="00021968">
        <w:t> </w:t>
      </w:r>
      <w:r w:rsidR="007D29F6">
        <w:t>756.)</w:t>
      </w:r>
      <w:r w:rsidR="007D29F6">
        <w:rPr>
          <w:i/>
          <w:iCs/>
        </w:rPr>
        <w:t xml:space="preserve">  </w:t>
      </w:r>
      <w:r w:rsidR="009726BA">
        <w:t>Here, t</w:t>
      </w:r>
      <w:r>
        <w:t xml:space="preserve">here is no </w:t>
      </w:r>
      <w:r w:rsidR="007D29F6">
        <w:t xml:space="preserve">dispute the Regents operate UCSF as a state entity entitled to </w:t>
      </w:r>
      <w:r w:rsidR="008319F9">
        <w:t xml:space="preserve">immunity when </w:t>
      </w:r>
      <w:r w:rsidR="00021968">
        <w:t xml:space="preserve">they </w:t>
      </w:r>
      <w:r w:rsidR="008319F9">
        <w:t xml:space="preserve">engage in governmental functions.  </w:t>
      </w:r>
    </w:p>
    <w:p w:rsidR="005A72C7" w:rsidP="00714EB1">
      <w:pPr>
        <w:ind w:firstLine="720"/>
      </w:pPr>
      <w:r>
        <w:t>To</w:t>
      </w:r>
      <w:r w:rsidR="007C44BC">
        <w:t xml:space="preserve"> the extent the Coalition </w:t>
      </w:r>
      <w:r w:rsidR="00316BE7">
        <w:t>relies on</w:t>
      </w:r>
      <w:r w:rsidR="007C44BC">
        <w:t xml:space="preserve"> </w:t>
      </w:r>
      <w:r w:rsidRPr="00316BE7" w:rsidR="00AE6EE6">
        <w:rPr>
          <w:i/>
          <w:iCs/>
        </w:rPr>
        <w:t>Yolo v. Modesto Irrigation District</w:t>
      </w:r>
      <w:r w:rsidR="00AE6EE6">
        <w:t xml:space="preserve"> (1932) 216 Cal.</w:t>
      </w:r>
      <w:r w:rsidR="00F30B06">
        <w:t xml:space="preserve"> </w:t>
      </w:r>
      <w:r w:rsidR="00AE6EE6">
        <w:t>274</w:t>
      </w:r>
      <w:r w:rsidR="00900DDB">
        <w:t>,</w:t>
      </w:r>
      <w:r w:rsidR="00AE6EE6">
        <w:t xml:space="preserve"> </w:t>
      </w:r>
      <w:r w:rsidR="003D1344">
        <w:t xml:space="preserve">to </w:t>
      </w:r>
      <w:r w:rsidR="00362C91">
        <w:t>argue</w:t>
      </w:r>
      <w:r w:rsidR="003D1344">
        <w:t xml:space="preserve"> the New Hospital is a purely proprietary </w:t>
      </w:r>
      <w:r w:rsidR="00495DEE">
        <w:t xml:space="preserve">enterprise </w:t>
      </w:r>
      <w:r w:rsidR="00F30B06">
        <w:t xml:space="preserve">— </w:t>
      </w:r>
      <w:r w:rsidR="005005BB">
        <w:t xml:space="preserve">since it </w:t>
      </w:r>
      <w:r w:rsidR="00874504">
        <w:t xml:space="preserve">will provide </w:t>
      </w:r>
      <w:r w:rsidR="005005BB">
        <w:t>services that</w:t>
      </w:r>
      <w:r w:rsidR="00495DEE">
        <w:t xml:space="preserve"> </w:t>
      </w:r>
      <w:r w:rsidR="005005BB">
        <w:t>are</w:t>
      </w:r>
      <w:r w:rsidR="00495DEE">
        <w:t xml:space="preserve"> additional to and not necessary for UCSF’s </w:t>
      </w:r>
      <w:r w:rsidR="00B50760">
        <w:t>education mission</w:t>
      </w:r>
      <w:r w:rsidR="00F30B06">
        <w:t xml:space="preserve"> — </w:t>
      </w:r>
      <w:r w:rsidR="00B50760">
        <w:t xml:space="preserve">that reliance is misplaced. </w:t>
      </w:r>
      <w:r>
        <w:t xml:space="preserve"> </w:t>
      </w:r>
      <w:r w:rsidR="001B4452">
        <w:rPr>
          <w:i/>
          <w:iCs/>
        </w:rPr>
        <w:t xml:space="preserve">Yolo </w:t>
      </w:r>
      <w:r w:rsidR="00BE4226">
        <w:t xml:space="preserve">merely </w:t>
      </w:r>
      <w:r w:rsidR="00266405">
        <w:t xml:space="preserve">stated irrigation districts that generate </w:t>
      </w:r>
      <w:r w:rsidR="005318ED">
        <w:t xml:space="preserve">and transmit </w:t>
      </w:r>
      <w:r w:rsidR="00266405">
        <w:t>electricity are engaged in a proprietary activity</w:t>
      </w:r>
      <w:r w:rsidR="00DC6DD5">
        <w:t xml:space="preserve"> </w:t>
      </w:r>
      <w:r w:rsidR="00B25F34">
        <w:t>—</w:t>
      </w:r>
      <w:r w:rsidR="00DC6DD5">
        <w:t xml:space="preserve"> </w:t>
      </w:r>
      <w:r w:rsidR="00B25F34">
        <w:t xml:space="preserve">the services the district provided </w:t>
      </w:r>
      <w:r w:rsidR="00DC6DD5">
        <w:t>were different</w:t>
      </w:r>
      <w:r w:rsidRPr="00DC6DD5" w:rsidR="00DC6DD5">
        <w:t xml:space="preserve"> </w:t>
      </w:r>
      <w:r w:rsidR="00A46F58">
        <w:t>from and beyond</w:t>
      </w:r>
      <w:r w:rsidR="00DC6DD5">
        <w:t xml:space="preserve"> necessary irrigation district </w:t>
      </w:r>
      <w:r w:rsidR="00BE66DD">
        <w:t>activities</w:t>
      </w:r>
      <w:r w:rsidR="00DC6DD5">
        <w:t xml:space="preserve">, </w:t>
      </w:r>
      <w:r w:rsidR="00A46F58">
        <w:t xml:space="preserve">such as </w:t>
      </w:r>
      <w:r w:rsidR="00DC6DD5">
        <w:t>pumping and draining</w:t>
      </w:r>
      <w:r w:rsidR="00266405">
        <w:t xml:space="preserve">. </w:t>
      </w:r>
      <w:r w:rsidR="00031B8A">
        <w:t xml:space="preserve"> (</w:t>
      </w:r>
      <w:r w:rsidRPr="00031B8A" w:rsidR="00031B8A">
        <w:rPr>
          <w:i/>
          <w:iCs/>
        </w:rPr>
        <w:t>Id</w:t>
      </w:r>
      <w:r w:rsidR="00031B8A">
        <w:t>. at p</w:t>
      </w:r>
      <w:r w:rsidR="004B79BE">
        <w:t>p</w:t>
      </w:r>
      <w:r w:rsidR="00031B8A">
        <w:t xml:space="preserve">. </w:t>
      </w:r>
      <w:r w:rsidR="004B79BE">
        <w:t>277–</w:t>
      </w:r>
      <w:r w:rsidR="00031B8A">
        <w:t>278</w:t>
      </w:r>
      <w:r w:rsidR="00C06FFD">
        <w:t>.)</w:t>
      </w:r>
      <w:r w:rsidR="008F656D">
        <w:t xml:space="preserve">  </w:t>
      </w:r>
      <w:r w:rsidR="00E54B12">
        <w:t>Thus</w:t>
      </w:r>
      <w:r w:rsidR="00843A23">
        <w:t xml:space="preserve">, the irrigation district was liable for torts related to </w:t>
      </w:r>
      <w:r w:rsidR="007A1B70">
        <w:t>generating and transmitting electricity.  (</w:t>
      </w:r>
      <w:r w:rsidRPr="007A1B70" w:rsidR="007A1B70">
        <w:rPr>
          <w:i/>
          <w:iCs/>
        </w:rPr>
        <w:t>Id</w:t>
      </w:r>
      <w:r w:rsidR="007A1B70">
        <w:t>. at p.</w:t>
      </w:r>
      <w:r w:rsidR="000E4675">
        <w:t> </w:t>
      </w:r>
      <w:r w:rsidR="007A1B70">
        <w:t xml:space="preserve">280.)  </w:t>
      </w:r>
      <w:r w:rsidRPr="007A1B70" w:rsidR="008F656D">
        <w:t>Here</w:t>
      </w:r>
      <w:r w:rsidR="008F656D">
        <w:t xml:space="preserve">, the Coalition alleged the </w:t>
      </w:r>
      <w:r w:rsidR="005013EC">
        <w:t xml:space="preserve">Regents </w:t>
      </w:r>
      <w:r w:rsidR="00F01FD0">
        <w:t xml:space="preserve">in 2014 </w:t>
      </w:r>
      <w:r w:rsidR="005013EC">
        <w:t xml:space="preserve">proposed constructing a smaller hospital that </w:t>
      </w:r>
      <w:r w:rsidR="00643C26">
        <w:t xml:space="preserve">would </w:t>
      </w:r>
      <w:r w:rsidR="00231746">
        <w:t>provide clinical services</w:t>
      </w:r>
      <w:r w:rsidR="007A1B70">
        <w:t xml:space="preserve"> thus fulfilling its academic mission</w:t>
      </w:r>
      <w:r w:rsidR="001B3361">
        <w:t xml:space="preserve">. </w:t>
      </w:r>
      <w:r w:rsidR="00F175D9">
        <w:t xml:space="preserve"> It also alleged the</w:t>
      </w:r>
      <w:r w:rsidR="007A1B70">
        <w:t xml:space="preserve"> New Hospital would provide healthcare services</w:t>
      </w:r>
      <w:r w:rsidR="00231746">
        <w:t xml:space="preserve">.  </w:t>
      </w:r>
      <w:r w:rsidR="001B4452">
        <w:t xml:space="preserve">This appears to be a distinction without a difference, and certainly not one that </w:t>
      </w:r>
      <w:r w:rsidR="00FF4F32">
        <w:t xml:space="preserve">nullifies </w:t>
      </w:r>
      <w:r w:rsidR="001B4452">
        <w:t xml:space="preserve">the fact that both the smaller and larger hospital would further </w:t>
      </w:r>
      <w:r w:rsidR="003B7BCD">
        <w:t>UCSF’s educational mission</w:t>
      </w:r>
      <w:r w:rsidR="007A52DB">
        <w:t xml:space="preserve">. </w:t>
      </w:r>
      <w:r w:rsidR="008421D8">
        <w:t xml:space="preserve"> </w:t>
      </w:r>
    </w:p>
    <w:p w:rsidR="00443FFB" w:rsidRPr="00B17886" w:rsidP="00B17886">
      <w:pPr>
        <w:ind w:firstLine="720"/>
        <w:rPr>
          <w:rFonts w:cs="Times New Roman"/>
        </w:rPr>
      </w:pPr>
      <w:r w:rsidRPr="004B4AC3">
        <w:rPr>
          <w:rFonts w:cs="Times New Roman"/>
        </w:rPr>
        <w:t>Because</w:t>
      </w:r>
      <w:r w:rsidRPr="00C2635D">
        <w:rPr>
          <w:rFonts w:cs="Times New Roman"/>
        </w:rPr>
        <w:t xml:space="preserve"> </w:t>
      </w:r>
      <w:r>
        <w:rPr>
          <w:rFonts w:cs="Times New Roman"/>
        </w:rPr>
        <w:t>the New Hospital</w:t>
      </w:r>
      <w:r w:rsidRPr="00C2635D">
        <w:rPr>
          <w:rFonts w:cs="Times New Roman"/>
        </w:rPr>
        <w:t xml:space="preserve"> serves the </w:t>
      </w:r>
      <w:r>
        <w:rPr>
          <w:rFonts w:cs="Times New Roman"/>
        </w:rPr>
        <w:t xml:space="preserve">Regents’ broad </w:t>
      </w:r>
      <w:r w:rsidRPr="00C2635D">
        <w:rPr>
          <w:rFonts w:cs="Times New Roman"/>
        </w:rPr>
        <w:t>governmental purpose</w:t>
      </w:r>
      <w:r>
        <w:rPr>
          <w:rFonts w:cs="Times New Roman"/>
        </w:rPr>
        <w:t>, the</w:t>
      </w:r>
      <w:r w:rsidR="00485812">
        <w:rPr>
          <w:rFonts w:cs="Times New Roman"/>
        </w:rPr>
        <w:t>y</w:t>
      </w:r>
      <w:r>
        <w:rPr>
          <w:rFonts w:cs="Times New Roman"/>
        </w:rPr>
        <w:t xml:space="preserve"> are </w:t>
      </w:r>
      <w:r w:rsidR="008D5953">
        <w:rPr>
          <w:rFonts w:cs="Times New Roman"/>
        </w:rPr>
        <w:t xml:space="preserve">exempt from </w:t>
      </w:r>
      <w:r>
        <w:rPr>
          <w:rFonts w:cs="Times New Roman"/>
        </w:rPr>
        <w:t xml:space="preserve">the City’s </w:t>
      </w:r>
      <w:r w:rsidR="00FD27B0">
        <w:rPr>
          <w:rFonts w:cs="Times New Roman"/>
        </w:rPr>
        <w:t>p</w:t>
      </w:r>
      <w:r>
        <w:rPr>
          <w:rFonts w:cs="Times New Roman"/>
        </w:rPr>
        <w:t xml:space="preserve">lanning </w:t>
      </w:r>
      <w:r w:rsidR="00FD27B0">
        <w:rPr>
          <w:rFonts w:cs="Times New Roman"/>
        </w:rPr>
        <w:t>c</w:t>
      </w:r>
      <w:r>
        <w:rPr>
          <w:rFonts w:cs="Times New Roman"/>
        </w:rPr>
        <w:t>ode</w:t>
      </w:r>
      <w:r w:rsidRPr="00C2635D">
        <w:rPr>
          <w:rFonts w:cs="Times New Roman"/>
        </w:rPr>
        <w:t>.</w:t>
      </w:r>
      <w:r w:rsidR="000D37EA">
        <w:rPr>
          <w:rFonts w:cs="Times New Roman"/>
        </w:rPr>
        <w:t xml:space="preserve">  The Coalition is not entitled to relief. </w:t>
      </w:r>
    </w:p>
    <w:p w:rsidR="001B48FF" w:rsidP="001B48FF">
      <w:pPr>
        <w:jc w:val="center"/>
        <w:rPr>
          <w:rFonts w:cs="Times New Roman"/>
          <w:b/>
          <w:bCs/>
        </w:rPr>
      </w:pPr>
      <w:r w:rsidRPr="001B48FF">
        <w:rPr>
          <w:rFonts w:cs="Times New Roman"/>
          <w:b/>
          <w:bCs/>
        </w:rPr>
        <w:t>II</w:t>
      </w:r>
      <w:r w:rsidR="003A4D64">
        <w:rPr>
          <w:rFonts w:cs="Times New Roman"/>
          <w:b/>
          <w:bCs/>
        </w:rPr>
        <w:t>I.</w:t>
      </w:r>
    </w:p>
    <w:p w:rsidR="00B147B1" w:rsidP="007B476B">
      <w:pPr>
        <w:ind w:firstLine="720"/>
        <w:rPr>
          <w:rFonts w:ascii="Times New Roman" w:eastAsia="Arial Unicode MS" w:hAnsi="Times New Roman" w:cs="Times New Roman"/>
          <w:sz w:val="24"/>
          <w:szCs w:val="24"/>
          <w:bdr w:val="nil"/>
        </w:rPr>
      </w:pPr>
      <w:r>
        <w:rPr>
          <w:rFonts w:cs="Times New Roman"/>
        </w:rPr>
        <w:t>The Coalition contends</w:t>
      </w:r>
      <w:r w:rsidR="006F6675">
        <w:rPr>
          <w:rFonts w:cs="Times New Roman"/>
        </w:rPr>
        <w:t xml:space="preserve"> </w:t>
      </w:r>
      <w:r w:rsidR="00E224A6">
        <w:rPr>
          <w:rFonts w:cs="Times New Roman"/>
        </w:rPr>
        <w:t xml:space="preserve">the issue of the Regents’ immunity </w:t>
      </w:r>
      <w:r w:rsidR="00715E49">
        <w:rPr>
          <w:rFonts w:cs="Times New Roman"/>
        </w:rPr>
        <w:t xml:space="preserve">presents a question of fact not suitable for resolution on demurrer. </w:t>
      </w:r>
      <w:r w:rsidR="00525934">
        <w:rPr>
          <w:rFonts w:cs="Times New Roman"/>
        </w:rPr>
        <w:t xml:space="preserve"> </w:t>
      </w:r>
      <w:r>
        <w:rPr>
          <w:rFonts w:cs="Times New Roman"/>
        </w:rPr>
        <w:t xml:space="preserve">Based on the law set forth above and the facts alleged, we disagree.  </w:t>
      </w:r>
      <w:r w:rsidR="00791150">
        <w:rPr>
          <w:rFonts w:cs="Times New Roman"/>
        </w:rPr>
        <w:t xml:space="preserve">The Coalition admits </w:t>
      </w:r>
      <w:r w:rsidR="00FE3AC6">
        <w:rPr>
          <w:rFonts w:cs="Times New Roman"/>
        </w:rPr>
        <w:t>the “operation of clinical healthcare facilities</w:t>
      </w:r>
      <w:r w:rsidR="00136AE2">
        <w:rPr>
          <w:rFonts w:cs="Times New Roman"/>
        </w:rPr>
        <w:t>”</w:t>
      </w:r>
      <w:r w:rsidR="00FE3AC6">
        <w:rPr>
          <w:rFonts w:cs="Times New Roman"/>
        </w:rPr>
        <w:t xml:space="preserve"> </w:t>
      </w:r>
      <w:r w:rsidR="00136AE2">
        <w:rPr>
          <w:rFonts w:cs="Times New Roman"/>
        </w:rPr>
        <w:t>“</w:t>
      </w:r>
      <w:r w:rsidR="00FE3AC6">
        <w:rPr>
          <w:rFonts w:cs="Times New Roman"/>
        </w:rPr>
        <w:t>necessary for teaching new medical professionals fall</w:t>
      </w:r>
      <w:r w:rsidR="00C703FB">
        <w:rPr>
          <w:rFonts w:cs="Times New Roman"/>
        </w:rPr>
        <w:t>s</w:t>
      </w:r>
      <w:r w:rsidR="00FE3AC6">
        <w:rPr>
          <w:rFonts w:cs="Times New Roman"/>
        </w:rPr>
        <w:t xml:space="preserve"> within” the Regents’ educational purpose. </w:t>
      </w:r>
      <w:r w:rsidR="00EF1654">
        <w:rPr>
          <w:rFonts w:cs="Times New Roman"/>
        </w:rPr>
        <w:t xml:space="preserve"> Indeed, </w:t>
      </w:r>
      <w:r w:rsidR="00DA4238">
        <w:rPr>
          <w:rFonts w:cs="Times New Roman"/>
        </w:rPr>
        <w:t xml:space="preserve">it alleged the originally planned 2014 </w:t>
      </w:r>
      <w:r w:rsidR="00C61FC1">
        <w:rPr>
          <w:rFonts w:cs="Times New Roman"/>
        </w:rPr>
        <w:t xml:space="preserve">hospital would satisfy UCSF’s need to provide clinical services that advance its academic mission. </w:t>
      </w:r>
      <w:r w:rsidR="008A5521">
        <w:rPr>
          <w:rFonts w:cs="Times New Roman"/>
        </w:rPr>
        <w:t xml:space="preserve"> </w:t>
      </w:r>
      <w:r w:rsidR="007B14F3">
        <w:rPr>
          <w:rFonts w:cs="Times New Roman"/>
        </w:rPr>
        <w:t xml:space="preserve">The only reasonable inference </w:t>
      </w:r>
      <w:r w:rsidR="00136AE2">
        <w:rPr>
          <w:rFonts w:cs="Times New Roman"/>
        </w:rPr>
        <w:t xml:space="preserve">to </w:t>
      </w:r>
      <w:r w:rsidR="007B14F3">
        <w:rPr>
          <w:rFonts w:cs="Times New Roman"/>
        </w:rPr>
        <w:t xml:space="preserve">be drawn from </w:t>
      </w:r>
      <w:r w:rsidR="00EA4A0B">
        <w:rPr>
          <w:rFonts w:cs="Times New Roman"/>
        </w:rPr>
        <w:t xml:space="preserve">these </w:t>
      </w:r>
      <w:r w:rsidR="00800178">
        <w:rPr>
          <w:rFonts w:cs="Times New Roman"/>
        </w:rPr>
        <w:t>allegations is that the New Hospital</w:t>
      </w:r>
      <w:r w:rsidR="00D3311B">
        <w:rPr>
          <w:rFonts w:cs="Times New Roman"/>
        </w:rPr>
        <w:t xml:space="preserve"> </w:t>
      </w:r>
      <w:r w:rsidR="00EA4A0B">
        <w:rPr>
          <w:rFonts w:cs="Times New Roman"/>
        </w:rPr>
        <w:t xml:space="preserve">— </w:t>
      </w:r>
      <w:r w:rsidR="00D3311B">
        <w:rPr>
          <w:rFonts w:cs="Times New Roman"/>
        </w:rPr>
        <w:t xml:space="preserve">which would </w:t>
      </w:r>
      <w:r w:rsidR="00EA4A0B">
        <w:rPr>
          <w:rFonts w:cs="Times New Roman"/>
        </w:rPr>
        <w:t xml:space="preserve">also </w:t>
      </w:r>
      <w:r w:rsidR="00D3311B">
        <w:rPr>
          <w:rFonts w:cs="Times New Roman"/>
        </w:rPr>
        <w:t>provide clinical services</w:t>
      </w:r>
      <w:r w:rsidR="00EA4A0B">
        <w:rPr>
          <w:rFonts w:cs="Times New Roman"/>
        </w:rPr>
        <w:t xml:space="preserve"> — </w:t>
      </w:r>
      <w:r w:rsidR="00136AE2">
        <w:rPr>
          <w:rFonts w:cs="Times New Roman"/>
        </w:rPr>
        <w:t xml:space="preserve">similarly </w:t>
      </w:r>
      <w:r w:rsidR="00D3311B">
        <w:rPr>
          <w:rFonts w:cs="Times New Roman"/>
        </w:rPr>
        <w:t>advances UCSF’s educational mission</w:t>
      </w:r>
      <w:r w:rsidR="00945CD4">
        <w:rPr>
          <w:rFonts w:cs="Times New Roman"/>
        </w:rPr>
        <w:t xml:space="preserve">, </w:t>
      </w:r>
      <w:r w:rsidR="00EA4A0B">
        <w:rPr>
          <w:rFonts w:cs="Times New Roman"/>
        </w:rPr>
        <w:t xml:space="preserve">even if </w:t>
      </w:r>
      <w:r w:rsidR="00BA2E7D">
        <w:rPr>
          <w:rFonts w:cs="Times New Roman"/>
        </w:rPr>
        <w:t xml:space="preserve">it </w:t>
      </w:r>
      <w:r w:rsidR="0076264E">
        <w:rPr>
          <w:rFonts w:cs="Times New Roman"/>
        </w:rPr>
        <w:t>also does more</w:t>
      </w:r>
      <w:r w:rsidR="00945CD4">
        <w:rPr>
          <w:rFonts w:cs="Times New Roman"/>
        </w:rPr>
        <w:t xml:space="preserve">. </w:t>
      </w:r>
      <w:r w:rsidR="00216A5A">
        <w:rPr>
          <w:rFonts w:cs="Times New Roman"/>
        </w:rPr>
        <w:t xml:space="preserve"> </w:t>
      </w:r>
      <w:r w:rsidRPr="00216A5A" w:rsidR="00216A5A">
        <w:rPr>
          <w:rFonts w:cs="Times New Roman"/>
        </w:rPr>
        <w:t>(</w:t>
      </w:r>
      <w:r w:rsidR="008E5A73">
        <w:rPr>
          <w:rFonts w:cs="Times New Roman"/>
          <w:i/>
          <w:iCs/>
        </w:rPr>
        <w:t>Regents of University of California v. Superior Court</w:t>
      </w:r>
      <w:r w:rsidRPr="00765FF3" w:rsidR="008E5A73">
        <w:rPr>
          <w:rFonts w:cs="Times New Roman"/>
        </w:rPr>
        <w:t>,</w:t>
      </w:r>
      <w:r w:rsidR="008E5A73">
        <w:rPr>
          <w:rFonts w:cs="Times New Roman"/>
          <w:i/>
          <w:iCs/>
        </w:rPr>
        <w:t xml:space="preserve"> supra</w:t>
      </w:r>
      <w:r w:rsidR="008E5A73">
        <w:rPr>
          <w:rFonts w:cs="Times New Roman"/>
        </w:rPr>
        <w:t>,</w:t>
      </w:r>
      <w:r w:rsidR="008E5A73">
        <w:rPr>
          <w:rFonts w:cs="Times New Roman"/>
          <w:i/>
          <w:iCs/>
        </w:rPr>
        <w:t xml:space="preserve"> </w:t>
      </w:r>
      <w:r w:rsidR="008E5A73">
        <w:rPr>
          <w:rFonts w:cs="Times New Roman"/>
        </w:rPr>
        <w:t xml:space="preserve">220 Cal.App.4th </w:t>
      </w:r>
      <w:r w:rsidR="00C703FB">
        <w:rPr>
          <w:rFonts w:cs="Times New Roman"/>
        </w:rPr>
        <w:t>at p.</w:t>
      </w:r>
      <w:r w:rsidR="008E5A73">
        <w:rPr>
          <w:rFonts w:cs="Times New Roman"/>
        </w:rPr>
        <w:t xml:space="preserve"> 558</w:t>
      </w:r>
      <w:r w:rsidRPr="00216A5A" w:rsidR="008E5A73">
        <w:rPr>
          <w:rFonts w:cs="Times New Roman"/>
        </w:rPr>
        <w:t xml:space="preserve"> </w:t>
      </w:r>
      <w:r w:rsidRPr="00216A5A" w:rsidR="00216A5A">
        <w:rPr>
          <w:rFonts w:cs="Times New Roman"/>
        </w:rPr>
        <w:t>[</w:t>
      </w:r>
      <w:r w:rsidR="00920716">
        <w:rPr>
          <w:rFonts w:cs="Times New Roman"/>
        </w:rPr>
        <w:t>accepting as true reasonable inferences from plaintiff’s allegations].)</w:t>
      </w:r>
      <w:r w:rsidR="00EA0AF7">
        <w:rPr>
          <w:rFonts w:cs="Times New Roman"/>
        </w:rPr>
        <w:t xml:space="preserve"> </w:t>
      </w:r>
      <w:r w:rsidR="005B58EA">
        <w:rPr>
          <w:rFonts w:cs="Times New Roman"/>
        </w:rPr>
        <w:t xml:space="preserve"> These undisputed facts are fatal </w:t>
      </w:r>
      <w:r w:rsidR="00D6750F">
        <w:rPr>
          <w:rFonts w:cs="Times New Roman"/>
        </w:rPr>
        <w:t xml:space="preserve">as a matter of law </w:t>
      </w:r>
      <w:r w:rsidR="005B58EA">
        <w:rPr>
          <w:rFonts w:cs="Times New Roman"/>
        </w:rPr>
        <w:t xml:space="preserve">to the Coalition’s </w:t>
      </w:r>
      <w:r w:rsidR="00D76AC6">
        <w:rPr>
          <w:rFonts w:cs="Times New Roman"/>
        </w:rPr>
        <w:t>nuisance claim under the sovereign immunity cases discussed above</w:t>
      </w:r>
      <w:r w:rsidR="00460016">
        <w:rPr>
          <w:rFonts w:cs="Times New Roman"/>
        </w:rPr>
        <w:t xml:space="preserve"> </w:t>
      </w:r>
      <w:r w:rsidR="00D76AC6">
        <w:rPr>
          <w:rFonts w:cs="Times New Roman"/>
        </w:rPr>
        <w:t>—</w:t>
      </w:r>
      <w:r w:rsidR="00460016">
        <w:rPr>
          <w:rFonts w:cs="Times New Roman"/>
        </w:rPr>
        <w:t xml:space="preserve"> </w:t>
      </w:r>
      <w:r w:rsidR="00D76AC6">
        <w:rPr>
          <w:rFonts w:cs="Times New Roman"/>
        </w:rPr>
        <w:t>the New Hospital serv</w:t>
      </w:r>
      <w:r w:rsidR="008B6DB7">
        <w:rPr>
          <w:rFonts w:cs="Times New Roman"/>
        </w:rPr>
        <w:t xml:space="preserve">es the Regents’ broad education purposes, and </w:t>
      </w:r>
      <w:r w:rsidR="00136AE2">
        <w:rPr>
          <w:rFonts w:cs="Times New Roman"/>
        </w:rPr>
        <w:t xml:space="preserve">they </w:t>
      </w:r>
      <w:r w:rsidR="008B6DB7">
        <w:rPr>
          <w:rFonts w:cs="Times New Roman"/>
        </w:rPr>
        <w:t xml:space="preserve">are entitled to immunity from the </w:t>
      </w:r>
      <w:r w:rsidR="00460016">
        <w:rPr>
          <w:rFonts w:cs="Times New Roman"/>
        </w:rPr>
        <w:t xml:space="preserve">relevant </w:t>
      </w:r>
      <w:r w:rsidR="008B6DB7">
        <w:rPr>
          <w:rFonts w:cs="Times New Roman"/>
        </w:rPr>
        <w:t xml:space="preserve">City </w:t>
      </w:r>
      <w:r w:rsidR="00607C4D">
        <w:rPr>
          <w:rFonts w:cs="Times New Roman"/>
        </w:rPr>
        <w:t>p</w:t>
      </w:r>
      <w:r w:rsidR="008B6DB7">
        <w:rPr>
          <w:rFonts w:cs="Times New Roman"/>
        </w:rPr>
        <w:t xml:space="preserve">lanning </w:t>
      </w:r>
      <w:r w:rsidR="00607C4D">
        <w:rPr>
          <w:rFonts w:cs="Times New Roman"/>
        </w:rPr>
        <w:t>c</w:t>
      </w:r>
      <w:r w:rsidR="00460016">
        <w:rPr>
          <w:rFonts w:cs="Times New Roman"/>
        </w:rPr>
        <w:t>ode provisions at issue here.</w:t>
      </w:r>
      <w:r w:rsidR="00E77BDB">
        <w:rPr>
          <w:rFonts w:cs="Times New Roman"/>
        </w:rPr>
        <w:t xml:space="preserve">  (</w:t>
      </w:r>
      <w:r w:rsidRPr="00967CA0" w:rsidR="00E77BDB">
        <w:rPr>
          <w:rFonts w:cs="Times New Roman"/>
          <w:i/>
          <w:iCs/>
        </w:rPr>
        <w:t>Bame</w:t>
      </w:r>
      <w:r w:rsidR="00E77BDB">
        <w:rPr>
          <w:rFonts w:cs="Times New Roman"/>
        </w:rPr>
        <w:t xml:space="preserve">, </w:t>
      </w:r>
      <w:r w:rsidR="00E77BDB">
        <w:rPr>
          <w:rFonts w:cs="Times New Roman"/>
          <w:i/>
          <w:iCs/>
        </w:rPr>
        <w:t>supra</w:t>
      </w:r>
      <w:r w:rsidR="00E77BDB">
        <w:rPr>
          <w:rFonts w:cs="Times New Roman"/>
        </w:rPr>
        <w:t>,</w:t>
      </w:r>
      <w:r w:rsidR="00E77BDB">
        <w:rPr>
          <w:rFonts w:cs="Times New Roman"/>
          <w:i/>
          <w:iCs/>
        </w:rPr>
        <w:t xml:space="preserve"> </w:t>
      </w:r>
      <w:r w:rsidRPr="00967CA0" w:rsidR="00E77BDB">
        <w:rPr>
          <w:rFonts w:cs="Times New Roman"/>
        </w:rPr>
        <w:t>86</w:t>
      </w:r>
      <w:r w:rsidR="00224094">
        <w:rPr>
          <w:rFonts w:cs="Times New Roman"/>
        </w:rPr>
        <w:t> </w:t>
      </w:r>
      <w:r w:rsidRPr="00967CA0" w:rsidR="00E77BDB">
        <w:rPr>
          <w:rFonts w:cs="Times New Roman"/>
        </w:rPr>
        <w:t xml:space="preserve">Cal.App.4th </w:t>
      </w:r>
      <w:r w:rsidR="00E77BDB">
        <w:rPr>
          <w:rFonts w:cs="Times New Roman"/>
        </w:rPr>
        <w:t xml:space="preserve">at p. </w:t>
      </w:r>
      <w:r w:rsidRPr="00922A26" w:rsidR="00E77BDB">
        <w:rPr>
          <w:rFonts w:cs="Times New Roman"/>
        </w:rPr>
        <w:t>1356</w:t>
      </w:r>
      <w:r w:rsidR="00E77BDB">
        <w:rPr>
          <w:rFonts w:cs="Times New Roman"/>
        </w:rPr>
        <w:t>.)</w:t>
      </w:r>
    </w:p>
    <w:p w:rsidR="00B147B1" w:rsidP="00A51494">
      <w:pPr>
        <w:ind w:firstLine="720"/>
      </w:pPr>
      <w:r>
        <w:t>None of the Coalition’s cited authorities alters this conclusion.</w:t>
      </w:r>
      <w:r w:rsidR="00660CF6">
        <w:t xml:space="preserve">  </w:t>
      </w:r>
      <w:r w:rsidR="00B44B87">
        <w:t xml:space="preserve">The </w:t>
      </w:r>
      <w:r w:rsidR="00FF1598">
        <w:t xml:space="preserve">complaint alleges facts sufficient to invoke the Regents’ immunity from compliance with the </w:t>
      </w:r>
      <w:r w:rsidR="00384571">
        <w:t>p</w:t>
      </w:r>
      <w:r w:rsidR="00FF1598">
        <w:t xml:space="preserve">lanning </w:t>
      </w:r>
      <w:r w:rsidR="00384571">
        <w:t>c</w:t>
      </w:r>
      <w:r w:rsidR="00FF1598">
        <w:t>ode</w:t>
      </w:r>
      <w:r w:rsidR="00A25AEE">
        <w:t xml:space="preserve"> without reference to </w:t>
      </w:r>
      <w:r w:rsidR="00235E58">
        <w:t>other facts supported by an affidavit</w:t>
      </w:r>
      <w:r w:rsidR="00FF1598">
        <w:t xml:space="preserve">.  </w:t>
      </w:r>
      <w:r w:rsidR="00660CF6">
        <w:t>(</w:t>
      </w:r>
      <w:r w:rsidR="005176F0">
        <w:t xml:space="preserve">Compare with </w:t>
      </w:r>
      <w:r w:rsidRPr="00DB1FDB" w:rsidR="00660CF6">
        <w:rPr>
          <w:i/>
          <w:iCs/>
        </w:rPr>
        <w:t>Pianka v. State</w:t>
      </w:r>
      <w:r w:rsidR="00DB1FDB">
        <w:t xml:space="preserve"> (1956) </w:t>
      </w:r>
      <w:r w:rsidR="00660CF6">
        <w:t>46 Cal.2d 208, 212</w:t>
      </w:r>
      <w:r w:rsidR="001F7240">
        <w:t xml:space="preserve"> [</w:t>
      </w:r>
      <w:r w:rsidR="008D57AB">
        <w:t xml:space="preserve">error </w:t>
      </w:r>
      <w:r w:rsidR="00565E22">
        <w:t xml:space="preserve">to grant motion to dismiss negligence claim where state presented an affidavit </w:t>
      </w:r>
      <w:r w:rsidR="005176F0">
        <w:t>containing</w:t>
      </w:r>
      <w:r w:rsidR="00B16326">
        <w:t xml:space="preserve"> facts contradicting </w:t>
      </w:r>
      <w:r w:rsidR="00EC4DCA">
        <w:t>plaintiff’s allegations</w:t>
      </w:r>
      <w:r w:rsidR="00C90E4A">
        <w:t>]</w:t>
      </w:r>
      <w:r w:rsidR="00D84365">
        <w:t xml:space="preserve">; </w:t>
      </w:r>
      <w:r w:rsidRPr="004D1574" w:rsidR="00D84365">
        <w:rPr>
          <w:rFonts w:cs="Times New Roman"/>
          <w:i/>
          <w:iCs/>
        </w:rPr>
        <w:t>See’s Candies, Inc. v. Superior Court</w:t>
      </w:r>
      <w:r w:rsidR="00D84365">
        <w:rPr>
          <w:rFonts w:cs="Times New Roman"/>
        </w:rPr>
        <w:t xml:space="preserve">, </w:t>
      </w:r>
      <w:r w:rsidR="00D84365">
        <w:rPr>
          <w:rFonts w:cs="Times New Roman"/>
          <w:i/>
          <w:iCs/>
        </w:rPr>
        <w:t>supra</w:t>
      </w:r>
      <w:r w:rsidR="00D84365">
        <w:rPr>
          <w:rFonts w:cs="Times New Roman"/>
        </w:rPr>
        <w:t>,</w:t>
      </w:r>
      <w:r w:rsidR="00D84365">
        <w:rPr>
          <w:rFonts w:cs="Times New Roman"/>
          <w:i/>
          <w:iCs/>
        </w:rPr>
        <w:t xml:space="preserve"> </w:t>
      </w:r>
      <w:r w:rsidRPr="002C7003" w:rsidR="00D84365">
        <w:rPr>
          <w:rFonts w:cs="Times New Roman"/>
        </w:rPr>
        <w:t xml:space="preserve">73 Cal.App.5th </w:t>
      </w:r>
      <w:r w:rsidR="00D84365">
        <w:rPr>
          <w:rFonts w:cs="Times New Roman"/>
        </w:rPr>
        <w:t>at p.</w:t>
      </w:r>
      <w:r w:rsidRPr="002C7003" w:rsidR="00D84365">
        <w:rPr>
          <w:rFonts w:cs="Times New Roman"/>
        </w:rPr>
        <w:t xml:space="preserve"> 76</w:t>
      </w:r>
      <w:r w:rsidR="00C90E4A">
        <w:t xml:space="preserve">.)  </w:t>
      </w:r>
      <w:r w:rsidR="00C92DAE">
        <w:t xml:space="preserve">There is also no issue </w:t>
      </w:r>
      <w:r w:rsidR="00AD282D">
        <w:t xml:space="preserve">regarding the Regents’ status as a state entity.  (Compare with </w:t>
      </w:r>
      <w:r w:rsidR="00AD282D">
        <w:rPr>
          <w:i/>
          <w:iCs/>
        </w:rPr>
        <w:t>Beard</w:t>
      </w:r>
      <w:r w:rsidR="00DB6301">
        <w:rPr>
          <w:i/>
          <w:iCs/>
        </w:rPr>
        <w:t xml:space="preserve"> v. City &amp; County of San Francisco</w:t>
      </w:r>
      <w:r w:rsidR="00AD282D">
        <w:t xml:space="preserve">, </w:t>
      </w:r>
      <w:r w:rsidR="00AD282D">
        <w:rPr>
          <w:i/>
          <w:iCs/>
        </w:rPr>
        <w:t>supra</w:t>
      </w:r>
      <w:r w:rsidR="00AD282D">
        <w:t>, 79 Cal.App.2d at pp.</w:t>
      </w:r>
      <w:r w:rsidR="00224094">
        <w:t> </w:t>
      </w:r>
      <w:r w:rsidR="00AD282D">
        <w:t xml:space="preserve">755–756 </w:t>
      </w:r>
      <w:r w:rsidR="00CB370E">
        <w:t>[concluding</w:t>
      </w:r>
      <w:r w:rsidR="00AD282D">
        <w:rPr>
          <w:i/>
          <w:iCs/>
        </w:rPr>
        <w:t xml:space="preserve"> </w:t>
      </w:r>
      <w:r w:rsidR="004F1445">
        <w:t xml:space="preserve">the City </w:t>
      </w:r>
      <w:r w:rsidR="001601A3">
        <w:t>&amp;</w:t>
      </w:r>
      <w:r w:rsidR="004F1445">
        <w:t xml:space="preserve"> County of San Francisco’s unusual dual status as a </w:t>
      </w:r>
      <w:r w:rsidR="00CB370E">
        <w:t>county</w:t>
      </w:r>
      <w:r w:rsidR="004F1445">
        <w:t xml:space="preserve"> and municipal actor rendered</w:t>
      </w:r>
      <w:r w:rsidR="00A81D16">
        <w:t xml:space="preserve"> the manner in which it operated a hospital</w:t>
      </w:r>
      <w:r w:rsidR="00632750">
        <w:t xml:space="preserve"> </w:t>
      </w:r>
      <w:r w:rsidR="004F1445">
        <w:t>a mixed question of law and fact</w:t>
      </w:r>
      <w:r w:rsidR="002B042D">
        <w:t>]</w:t>
      </w:r>
      <w:r w:rsidR="004F1445">
        <w:t>.</w:t>
      </w:r>
      <w:r w:rsidR="002B042D">
        <w:t>)</w:t>
      </w:r>
      <w:r w:rsidR="002D6D4B">
        <w:t xml:space="preserve">  Nor is there any issue concerning </w:t>
      </w:r>
      <w:r w:rsidR="00CD03A7">
        <w:t xml:space="preserve">whether the </w:t>
      </w:r>
      <w:r w:rsidR="0086223F">
        <w:t>p</w:t>
      </w:r>
      <w:r w:rsidR="00CD03A7">
        <w:t xml:space="preserve">lanning </w:t>
      </w:r>
      <w:r w:rsidR="0086223F">
        <w:t>c</w:t>
      </w:r>
      <w:r w:rsidR="00CD03A7">
        <w:t xml:space="preserve">ode governs a </w:t>
      </w:r>
      <w:r w:rsidR="00175086">
        <w:t>municipal affair</w:t>
      </w:r>
      <w:r w:rsidR="00C03D18">
        <w:t xml:space="preserve"> or whether the court </w:t>
      </w:r>
      <w:r w:rsidR="0010631D">
        <w:t xml:space="preserve">must </w:t>
      </w:r>
      <w:r w:rsidR="00C03D18">
        <w:t>invalidate a valid charter city measure</w:t>
      </w:r>
      <w:r w:rsidR="00A51494">
        <w:t xml:space="preserve">.  (Compare with </w:t>
      </w:r>
      <w:r w:rsidR="00A51494">
        <w:rPr>
          <w:i/>
          <w:iCs/>
        </w:rPr>
        <w:t>Hastings</w:t>
      </w:r>
      <w:r w:rsidR="00A51494">
        <w:t xml:space="preserve">, </w:t>
      </w:r>
      <w:r w:rsidR="00A51494">
        <w:rPr>
          <w:i/>
          <w:iCs/>
        </w:rPr>
        <w:t>supra</w:t>
      </w:r>
      <w:r w:rsidR="00A51494">
        <w:t>, 7</w:t>
      </w:r>
      <w:r w:rsidR="00C340D1">
        <w:t> </w:t>
      </w:r>
      <w:r w:rsidR="00A51494">
        <w:t>Cal.5th at p. 555 [</w:t>
      </w:r>
      <w:r w:rsidR="00871424">
        <w:t>“</w:t>
      </w:r>
      <w:r w:rsidRPr="00871424" w:rsidR="00871424">
        <w:t xml:space="preserve">Courts may invalidate an otherwise valid charter city measure only where, </w:t>
      </w:r>
      <w:r w:rsidR="00871424">
        <w:t>‘</w:t>
      </w:r>
      <w:r w:rsidRPr="00871424" w:rsidR="00871424">
        <w:t>under the historical circumstances presented, the state has a more substantial interest</w:t>
      </w:r>
      <w:r w:rsidR="00CB3297">
        <w:t xml:space="preserve"> </w:t>
      </w:r>
      <w:r w:rsidRPr="00871424" w:rsidR="00871424">
        <w:t>in the subject than the charter city</w:t>
      </w:r>
      <w:r w:rsidR="00E657BF">
        <w:t>’</w:t>
      </w:r>
      <w:r w:rsidR="00ED01C6">
        <w:t xml:space="preserve"> ”</w:t>
      </w:r>
      <w:r w:rsidR="00E657BF">
        <w:t>—</w:t>
      </w:r>
      <w:r w:rsidR="00597608">
        <w:t xml:space="preserve"> </w:t>
      </w:r>
      <w:r w:rsidR="00E657BF">
        <w:t>as demonstrated through a “ ‘fact-bound justification’ </w:t>
      </w:r>
      <w:r w:rsidRPr="00871424" w:rsidR="00871424">
        <w:t>”</w:t>
      </w:r>
      <w:r w:rsidR="00E657BF">
        <w:t>].)</w:t>
      </w:r>
      <w:r w:rsidR="000E1C2D">
        <w:t xml:space="preserve">  </w:t>
      </w:r>
      <w:r w:rsidR="0010631D">
        <w:t>In other words, n</w:t>
      </w:r>
      <w:r w:rsidR="000E1C2D">
        <w:t xml:space="preserve">o additional facts are necessary to adduce the Regents’ entitlement to immunity. </w:t>
      </w:r>
      <w:r w:rsidR="00ED489F">
        <w:t xml:space="preserve"> The trial court erroneously denied the Regents’ demurrer. </w:t>
      </w:r>
    </w:p>
    <w:p w:rsidR="002E46E3" w:rsidRPr="008F5CC4" w:rsidP="008F5CC4">
      <w:pPr>
        <w:ind w:firstLine="720"/>
      </w:pPr>
      <w:r>
        <w:t>We also reject the Coalition</w:t>
      </w:r>
      <w:r w:rsidR="00617EEC">
        <w:t>’s request for leave to amend its complaint</w:t>
      </w:r>
      <w:r w:rsidR="00683B94">
        <w:t xml:space="preserve"> to establish facts that UCSF operates </w:t>
      </w:r>
      <w:r w:rsidR="00E56E71">
        <w:t xml:space="preserve">its healthcare services </w:t>
      </w:r>
      <w:r w:rsidR="00683B94">
        <w:t xml:space="preserve">as a business enterprise entirely separate </w:t>
      </w:r>
      <w:r w:rsidR="0012024F">
        <w:t xml:space="preserve">and distinct </w:t>
      </w:r>
      <w:r w:rsidR="006F6836">
        <w:t xml:space="preserve">from </w:t>
      </w:r>
      <w:r w:rsidR="00E56E71">
        <w:t>its</w:t>
      </w:r>
      <w:r w:rsidR="006F6836">
        <w:t xml:space="preserve"> educational institution.  </w:t>
      </w:r>
      <w:r w:rsidR="00B14329">
        <w:t>(</w:t>
      </w:r>
      <w:r w:rsidRPr="00C30DF2" w:rsidR="00C30DF2">
        <w:rPr>
          <w:i/>
          <w:iCs/>
        </w:rPr>
        <w:t xml:space="preserve">Murphy v. Twitter, Inc. </w:t>
      </w:r>
      <w:r w:rsidRPr="00C30DF2" w:rsidR="00C30DF2">
        <w:t>(2021) 60 Cal.App.5th 12, 41</w:t>
      </w:r>
      <w:r w:rsidR="00C30DF2">
        <w:t xml:space="preserve"> [request for leave to amend available for the first time in appellate court]</w:t>
      </w:r>
      <w:r w:rsidR="00343063">
        <w:t xml:space="preserve">.)  </w:t>
      </w:r>
      <w:r w:rsidR="00E42882">
        <w:t xml:space="preserve">Sustaining a demurrer without leave to amend is proper </w:t>
      </w:r>
      <w:r w:rsidR="009C4C7F">
        <w:t>“ ‘where the facts are not in dispute, and the nature of the plaintiff's claim is clear, but, under the substantive law, no liability exists.’ ”</w:t>
      </w:r>
      <w:r w:rsidR="00CB1279">
        <w:t xml:space="preserve">  (</w:t>
      </w:r>
      <w:r w:rsidRPr="00CB1279" w:rsidR="009C4C7F">
        <w:rPr>
          <w:i/>
          <w:iCs/>
        </w:rPr>
        <w:t>Traverso v. Dep</w:t>
      </w:r>
      <w:r w:rsidR="00CB1279">
        <w:rPr>
          <w:i/>
          <w:iCs/>
        </w:rPr>
        <w:t>artment</w:t>
      </w:r>
      <w:r w:rsidRPr="00CB1279" w:rsidR="009C4C7F">
        <w:rPr>
          <w:i/>
          <w:iCs/>
        </w:rPr>
        <w:t xml:space="preserve"> of Transp</w:t>
      </w:r>
      <w:r w:rsidR="00CB1279">
        <w:t>ortation (2001)</w:t>
      </w:r>
      <w:r w:rsidR="009C4C7F">
        <w:t xml:space="preserve"> 87 Cal.App.4th 1142, 1144</w:t>
      </w:r>
      <w:r w:rsidR="001D6A70">
        <w:t>–</w:t>
      </w:r>
      <w:r w:rsidR="009C4C7F">
        <w:t>1145</w:t>
      </w:r>
      <w:r w:rsidR="001D6A70">
        <w:t xml:space="preserve">.)  </w:t>
      </w:r>
      <w:r w:rsidR="00C928D8">
        <w:t xml:space="preserve">Here, there is no dispute that </w:t>
      </w:r>
      <w:r w:rsidR="00587DEA">
        <w:t xml:space="preserve">construction of </w:t>
      </w:r>
      <w:r w:rsidR="00C928D8">
        <w:t xml:space="preserve">a hospital </w:t>
      </w:r>
      <w:r w:rsidR="00587DEA">
        <w:t>at Parnassus would</w:t>
      </w:r>
      <w:r w:rsidR="00C928D8">
        <w:t xml:space="preserve"> </w:t>
      </w:r>
      <w:r w:rsidR="00C14696">
        <w:t xml:space="preserve">advance </w:t>
      </w:r>
      <w:r w:rsidR="00C928D8">
        <w:t xml:space="preserve">the Regents’ academic </w:t>
      </w:r>
      <w:r w:rsidR="00975190">
        <w:t xml:space="preserve">mission.  </w:t>
      </w:r>
      <w:r w:rsidR="00527648">
        <w:t xml:space="preserve">As discussed above, </w:t>
      </w:r>
      <w:r w:rsidR="006B6240">
        <w:t xml:space="preserve">constructing </w:t>
      </w:r>
      <w:r w:rsidR="00527648">
        <w:t xml:space="preserve">the New Hospital </w:t>
      </w:r>
      <w:r w:rsidR="006B6240">
        <w:t xml:space="preserve">would </w:t>
      </w:r>
      <w:r w:rsidR="00527648">
        <w:t>similarly advance</w:t>
      </w:r>
      <w:r w:rsidR="006B6240">
        <w:t xml:space="preserve"> </w:t>
      </w:r>
      <w:r w:rsidR="00527648">
        <w:t>the Regents’ academic mission, even accepting as true</w:t>
      </w:r>
      <w:r w:rsidR="00E01B0A">
        <w:t xml:space="preserve"> the Coalition’s allegations </w:t>
      </w:r>
      <w:r w:rsidR="00B5366B">
        <w:t xml:space="preserve">that </w:t>
      </w:r>
      <w:r w:rsidR="005407D9">
        <w:t xml:space="preserve">UCSF’s clinical services </w:t>
      </w:r>
      <w:r w:rsidR="00DB1EA7">
        <w:t xml:space="preserve">provided by the New Hospital </w:t>
      </w:r>
      <w:r w:rsidR="005407D9">
        <w:t xml:space="preserve">would extend beyond those </w:t>
      </w:r>
      <w:r w:rsidR="00B5366B">
        <w:t xml:space="preserve">strictly </w:t>
      </w:r>
      <w:r w:rsidR="005407D9">
        <w:t>necessary to satisfy this mission.</w:t>
      </w:r>
      <w:r w:rsidR="00DC1E4B">
        <w:t xml:space="preserve">  Any </w:t>
      </w:r>
      <w:r w:rsidR="00030BEE">
        <w:t xml:space="preserve">facts in an </w:t>
      </w:r>
      <w:r w:rsidR="007E7873">
        <w:t>amended complaint contradicting those allegat</w:t>
      </w:r>
      <w:r w:rsidR="00030BEE">
        <w:t>ions may be disregarded</w:t>
      </w:r>
      <w:r w:rsidR="00A44761">
        <w:t>.</w:t>
      </w:r>
      <w:r w:rsidR="005407D9">
        <w:t xml:space="preserve"> </w:t>
      </w:r>
      <w:r w:rsidR="00A44761">
        <w:t xml:space="preserve"> </w:t>
      </w:r>
      <w:r w:rsidRPr="00975190" w:rsidR="00975190">
        <w:t>(</w:t>
      </w:r>
      <w:r w:rsidRPr="008F5CC4" w:rsidR="008F5CC4">
        <w:rPr>
          <w:i/>
          <w:iCs/>
        </w:rPr>
        <w:t>Cantu v. Resolution Trust Corp</w:t>
      </w:r>
      <w:r w:rsidRPr="008F5CC4" w:rsidR="008F5CC4">
        <w:t>.</w:t>
      </w:r>
      <w:r w:rsidR="008F5CC4">
        <w:t xml:space="preserve"> (1992) </w:t>
      </w:r>
      <w:r w:rsidRPr="008F5CC4" w:rsidR="008F5CC4">
        <w:t>4 Cal.App.4th 857, 877</w:t>
      </w:r>
      <w:r w:rsidRPr="008F5CC4" w:rsidR="008F5CC4">
        <w:rPr>
          <w:i/>
          <w:iCs/>
        </w:rPr>
        <w:t xml:space="preserve"> </w:t>
      </w:r>
      <w:r w:rsidR="008F5CC4">
        <w:t>[“</w:t>
      </w:r>
      <w:r w:rsidRPr="008F5CC4" w:rsidR="008F5CC4">
        <w:t>plaintiff may not plead facts that contradict the facts or positions that the plaintiff pleaded in earlier actions or suppress facts that prove the pleaded facts false</w:t>
      </w:r>
      <w:r w:rsidR="008F5CC4">
        <w:t>”], italics omitted].)</w:t>
      </w:r>
      <w:r w:rsidR="00017BC0">
        <w:t xml:space="preserve">  </w:t>
      </w:r>
      <w:r w:rsidR="004D1E29">
        <w:t>There is no reasonable probability</w:t>
      </w:r>
      <w:r w:rsidR="00374486">
        <w:t xml:space="preserve"> the complaint can be cured by amendment. </w:t>
      </w:r>
      <w:r w:rsidR="004D1E29">
        <w:t xml:space="preserve"> </w:t>
      </w:r>
      <w:r w:rsidR="00997E55">
        <w:t>(</w:t>
      </w:r>
      <w:r w:rsidRPr="00997E55" w:rsidR="00343063">
        <w:rPr>
          <w:i/>
          <w:iCs/>
        </w:rPr>
        <w:t>A.J. Fistes Corp. v. GDL Best Contractors, Inc.</w:t>
      </w:r>
      <w:r w:rsidRPr="00343063" w:rsidR="00343063">
        <w:t xml:space="preserve"> (2019) 38 Cal.App.5th 677, 687</w:t>
      </w:r>
      <w:r w:rsidR="00374486">
        <w:t>.)</w:t>
      </w:r>
      <w:r w:rsidR="00C928D8">
        <w:t xml:space="preserve"> </w:t>
      </w:r>
      <w:r w:rsidR="00260303">
        <w:t xml:space="preserve"> </w:t>
      </w:r>
    </w:p>
    <w:p w:rsidR="00AB1D52" w:rsidP="00374486">
      <w:pPr>
        <w:ind w:firstLine="720"/>
      </w:pPr>
      <w:r>
        <w:rPr>
          <w:rFonts w:cs="Times New Roman"/>
        </w:rPr>
        <w:t xml:space="preserve">In sum, because the New Hospital </w:t>
      </w:r>
      <w:r w:rsidR="00212489">
        <w:rPr>
          <w:rFonts w:cs="Times New Roman"/>
        </w:rPr>
        <w:t xml:space="preserve">falls within the Regents’ </w:t>
      </w:r>
      <w:r w:rsidR="00D31FFB">
        <w:rPr>
          <w:rFonts w:cs="Times New Roman"/>
        </w:rPr>
        <w:t xml:space="preserve">broad purposes to </w:t>
      </w:r>
      <w:r w:rsidR="00E331A0">
        <w:rPr>
          <w:rFonts w:cs="Times New Roman"/>
        </w:rPr>
        <w:t>provide medical education for graduate students</w:t>
      </w:r>
      <w:r w:rsidR="00E305B6">
        <w:rPr>
          <w:rFonts w:cs="Times New Roman"/>
        </w:rPr>
        <w:t>, a</w:t>
      </w:r>
      <w:r w:rsidR="00F90270">
        <w:rPr>
          <w:rFonts w:cs="Times New Roman"/>
        </w:rPr>
        <w:t xml:space="preserve"> </w:t>
      </w:r>
      <w:r>
        <w:rPr>
          <w:rFonts w:cs="Times New Roman"/>
        </w:rPr>
        <w:t>governmental activity — even if it may also bear some relationship to a proprietary activity</w:t>
      </w:r>
      <w:r w:rsidR="00224094">
        <w:rPr>
          <w:rFonts w:cs="Times New Roman"/>
        </w:rPr>
        <w:t> </w:t>
      </w:r>
      <w:r>
        <w:rPr>
          <w:rFonts w:cs="Times New Roman"/>
        </w:rPr>
        <w:t xml:space="preserve">— we hold the Regents are exempt from the local regulations at issue.  Thus, the demurrer should have been sustained.  </w:t>
      </w:r>
    </w:p>
    <w:p w:rsidR="00A44761" w:rsidRPr="00A44761" w:rsidP="00A44761">
      <w:pPr>
        <w:jc w:val="center"/>
        <w:rPr>
          <w:rFonts w:ascii="TimesNewRoman" w:hAnsi="TimesNewRoman" w:cs="TimesNewRoman"/>
          <w:b/>
          <w:bCs/>
          <w:sz w:val="24"/>
          <w:szCs w:val="24"/>
        </w:rPr>
      </w:pPr>
      <w:r>
        <w:rPr>
          <w:b/>
          <w:bCs/>
        </w:rPr>
        <w:t>DISPOSITION</w:t>
      </w:r>
    </w:p>
    <w:p w:rsidR="0003699D" w:rsidP="00DB1F43">
      <w:r>
        <w:tab/>
        <w:t xml:space="preserve">Let the peremptory writ of mandate issue directing respondent court to vacate its order denying the Regents’ demurrer and to enter a new order sustaining </w:t>
      </w:r>
      <w:r w:rsidR="00D606E1">
        <w:t xml:space="preserve">the demurrer.  The temporary stay order is dissolved.  The Regents </w:t>
      </w:r>
      <w:r w:rsidR="000A2C18">
        <w:t>shall recover their</w:t>
      </w:r>
      <w:r w:rsidR="001B7C0B">
        <w:t xml:space="preserve"> costs on appeal. </w:t>
      </w:r>
      <w:r w:rsidR="00FE0856">
        <w:t xml:space="preserve"> (</w:t>
      </w:r>
      <w:r w:rsidRPr="00FE0856" w:rsidR="00FE0856">
        <w:t>Cal</w:t>
      </w:r>
      <w:r w:rsidR="00FE0856">
        <w:t>.</w:t>
      </w:r>
      <w:r w:rsidRPr="00FE0856" w:rsidR="00FE0856">
        <w:t xml:space="preserve"> Rules of Court, rule 8.278(a).</w:t>
      </w:r>
      <w:r w:rsidR="00FE0856">
        <w:t>)</w:t>
      </w:r>
    </w:p>
    <w:p w:rsidR="0003699D">
      <w:r>
        <w:br w:type="page"/>
      </w:r>
    </w:p>
    <w:p w:rsidR="00DB1F43"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RODRÍGUEZ, J.</w:t>
      </w: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WE CONCUR:</w:t>
      </w: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FUJISAKI, Acting P. J.</w:t>
      </w: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C9065A" w:rsidP="00C9065A">
      <w:pPr>
        <w:spacing w:line="240" w:lineRule="auto"/>
        <w:rPr>
          <w:rFonts w:ascii="Times New Roman" w:hAnsi="Times New Roman" w:cs="Times New Roman"/>
          <w:sz w:val="24"/>
          <w:szCs w:val="24"/>
        </w:rPr>
      </w:pPr>
      <w:r>
        <w:rPr>
          <w:rFonts w:ascii="Times New Roman" w:hAnsi="Times New Roman" w:cs="Times New Roman"/>
          <w:sz w:val="24"/>
          <w:szCs w:val="24"/>
        </w:rPr>
        <w:t>PETROU, J.</w:t>
      </w: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C9065A" w:rsidP="00C9065A">
      <w:pPr>
        <w:spacing w:line="240" w:lineRule="auto"/>
        <w:rPr>
          <w:rFonts w:ascii="Times New Roman" w:hAnsi="Times New Roman" w:cs="Times New Roman"/>
          <w:sz w:val="24"/>
          <w:szCs w:val="24"/>
        </w:rPr>
      </w:pPr>
    </w:p>
    <w:p w:rsidR="0079696A" w:rsidP="00C9065A">
      <w:pPr>
        <w:spacing w:line="240" w:lineRule="auto"/>
        <w:rPr>
          <w:rFonts w:ascii="Times New Roman" w:hAnsi="Times New Roman" w:cs="Times New Roman"/>
          <w:sz w:val="24"/>
          <w:szCs w:val="24"/>
        </w:rPr>
      </w:pPr>
      <w:r>
        <w:rPr>
          <w:rFonts w:ascii="Times New Roman" w:hAnsi="Times New Roman" w:cs="Times New Roman"/>
          <w:sz w:val="24"/>
          <w:szCs w:val="24"/>
        </w:rPr>
        <w:t>A169318</w:t>
      </w:r>
    </w:p>
    <w:p w:rsidR="0079696A">
      <w:pPr>
        <w:rPr>
          <w:rFonts w:ascii="Times New Roman" w:hAnsi="Times New Roman" w:cs="Times New Roman"/>
          <w:sz w:val="24"/>
          <w:szCs w:val="24"/>
        </w:rPr>
      </w:pPr>
      <w:r>
        <w:rPr>
          <w:rFonts w:ascii="Times New Roman" w:hAnsi="Times New Roman" w:cs="Times New Roman"/>
          <w:sz w:val="24"/>
          <w:szCs w:val="24"/>
        </w:rPr>
        <w:br w:type="page"/>
      </w:r>
    </w:p>
    <w:p w:rsidR="0079696A" w:rsidP="00F47C03">
      <w:pPr>
        <w:spacing w:line="240" w:lineRule="auto"/>
      </w:pPr>
      <w:r>
        <w:t>San Francisco County Superior Court, Hon. Charles F. Haines.</w:t>
      </w:r>
    </w:p>
    <w:p w:rsidR="0079696A" w:rsidP="00F47C03">
      <w:pPr>
        <w:spacing w:line="240" w:lineRule="auto"/>
        <w:rPr>
          <w:shd w:val="clear" w:color="auto" w:fill="FFFF00"/>
        </w:rPr>
      </w:pPr>
    </w:p>
    <w:p w:rsidR="0079696A" w:rsidP="00F47C03">
      <w:pPr>
        <w:spacing w:line="240" w:lineRule="auto"/>
      </w:pPr>
      <w:r>
        <w:t>Reed Smith, Raymond A. Cardozo, Sarah Johansen; University of California, Anagha Dandekar Clifford; Lubin Olson &amp; Niewiadomski, Charles Olson, Philip Sciranka and Carolyn Lee, for Petitioner.</w:t>
      </w:r>
    </w:p>
    <w:p w:rsidR="0079696A" w:rsidP="00F47C03">
      <w:pPr>
        <w:spacing w:line="240" w:lineRule="auto"/>
      </w:pPr>
    </w:p>
    <w:p w:rsidR="0079696A" w:rsidP="00F47C03">
      <w:pPr>
        <w:spacing w:line="240" w:lineRule="auto"/>
      </w:pPr>
      <w:r>
        <w:t>No appearance for Respondent.</w:t>
      </w:r>
    </w:p>
    <w:p w:rsidR="0079696A" w:rsidP="00F47C03">
      <w:pPr>
        <w:spacing w:line="240" w:lineRule="auto"/>
      </w:pPr>
    </w:p>
    <w:p w:rsidR="00C9065A" w:rsidRPr="00F47C03" w:rsidP="00F47C03">
      <w:pPr>
        <w:spacing w:line="240" w:lineRule="auto"/>
      </w:pPr>
      <w:r>
        <w:t>Soluri Meserve, Patrick M. Soluri and Osha R. Meserve, for Real Party in Interest.</w:t>
      </w:r>
    </w:p>
    <w:sectPr w:rsidSect="0025516B">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2495745"/>
      <w:docPartObj>
        <w:docPartGallery w:val="Page Numbers (Bottom of Page)"/>
        <w:docPartUnique/>
      </w:docPartObj>
    </w:sdtPr>
    <w:sdtEndPr>
      <w:rPr>
        <w:noProof/>
      </w:rPr>
    </w:sdtEndPr>
    <w:sdtContent>
      <w:p w:rsidR="00C91A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1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686A" w:rsidP="00C91A77">
      <w:pPr>
        <w:spacing w:line="240" w:lineRule="auto"/>
      </w:pPr>
      <w:r>
        <w:separator/>
      </w:r>
    </w:p>
  </w:footnote>
  <w:footnote w:type="continuationSeparator" w:id="1">
    <w:p w:rsidR="005A686A" w:rsidP="00C91A77">
      <w:pPr>
        <w:spacing w:line="240" w:lineRule="auto"/>
      </w:pPr>
      <w:r>
        <w:continuationSeparator/>
      </w:r>
    </w:p>
  </w:footnote>
  <w:footnote w:id="2">
    <w:p w:rsidR="0025516B" w:rsidP="0025516B">
      <w:pPr>
        <w:pStyle w:val="FootnoteText"/>
        <w:ind w:firstLine="720"/>
        <w:rPr>
          <w:sz w:val="26"/>
          <w:szCs w:val="26"/>
        </w:rPr>
      </w:pPr>
      <w:r>
        <w:rPr>
          <w:rStyle w:val="FootnoteReference"/>
          <w:sz w:val="26"/>
          <w:szCs w:val="26"/>
        </w:rPr>
        <w:t>*</w:t>
      </w:r>
      <w:r>
        <w:rPr>
          <w:sz w:val="26"/>
          <w:szCs w:val="26"/>
        </w:rPr>
        <w:t xml:space="preserve"> Fujisaki, Acting P. J., Petrou, J., and Rodríguez, J. participated in the decision.</w:t>
      </w:r>
    </w:p>
  </w:footnote>
  <w:footnote w:id="3">
    <w:p w:rsidR="00E14640" w:rsidRPr="00DE5947" w:rsidP="00CB11B8">
      <w:pPr>
        <w:pStyle w:val="FootnoteText"/>
        <w:ind w:firstLine="720"/>
        <w:rPr>
          <w:sz w:val="26"/>
          <w:szCs w:val="26"/>
        </w:rPr>
      </w:pPr>
      <w:r w:rsidRPr="00DE5947">
        <w:rPr>
          <w:rStyle w:val="FootnoteReference"/>
          <w:sz w:val="26"/>
          <w:szCs w:val="26"/>
        </w:rPr>
        <w:footnoteRef/>
      </w:r>
      <w:r w:rsidRPr="00DE5947">
        <w:rPr>
          <w:sz w:val="26"/>
          <w:szCs w:val="26"/>
        </w:rPr>
        <w:t xml:space="preserve"> </w:t>
      </w:r>
      <w:r w:rsidRPr="00DE5947">
        <w:rPr>
          <w:rFonts w:cs="Helvetica Neue"/>
          <w:color w:val="000000"/>
          <w:sz w:val="26"/>
          <w:szCs w:val="26"/>
        </w:rPr>
        <w:t>Other exceptions to the Regent</w:t>
      </w:r>
      <w:r w:rsidR="00525A29">
        <w:rPr>
          <w:rFonts w:cs="Helvetica Neue"/>
          <w:color w:val="000000"/>
          <w:sz w:val="26"/>
          <w:szCs w:val="26"/>
        </w:rPr>
        <w:t>s</w:t>
      </w:r>
      <w:r w:rsidRPr="00DE5947">
        <w:rPr>
          <w:rFonts w:cs="Helvetica Neue"/>
          <w:color w:val="000000"/>
          <w:sz w:val="26"/>
          <w:szCs w:val="26"/>
        </w:rPr>
        <w:t>’ sovereign immunity</w:t>
      </w:r>
      <w:r>
        <w:rPr>
          <w:rFonts w:cs="Helvetica Neue"/>
          <w:color w:val="000000"/>
          <w:sz w:val="26"/>
          <w:szCs w:val="26"/>
        </w:rPr>
        <w:t>, not relevant here,</w:t>
      </w:r>
      <w:r w:rsidRPr="00DE5947">
        <w:rPr>
          <w:rFonts w:cs="Helvetica Neue"/>
          <w:color w:val="000000"/>
          <w:sz w:val="26"/>
          <w:szCs w:val="26"/>
        </w:rPr>
        <w:t xml:space="preserve"> include appropriation, general police power regulations applicable to </w:t>
      </w:r>
      <w:r w:rsidR="0091257E">
        <w:rPr>
          <w:rFonts w:cs="Helvetica Neue"/>
          <w:color w:val="000000"/>
          <w:sz w:val="26"/>
          <w:szCs w:val="26"/>
        </w:rPr>
        <w:t>persons and corporations</w:t>
      </w:r>
      <w:r w:rsidRPr="00DE5947">
        <w:rPr>
          <w:rFonts w:cs="Helvetica Neue"/>
          <w:color w:val="000000"/>
          <w:sz w:val="26"/>
          <w:szCs w:val="26"/>
        </w:rPr>
        <w:t>, and laws applicable to public agencies that regulate matters of statewide concern.</w:t>
      </w:r>
      <w:r>
        <w:rPr>
          <w:rFonts w:cs="Helvetica Neue"/>
          <w:color w:val="000000"/>
          <w:sz w:val="26"/>
          <w:szCs w:val="26"/>
        </w:rPr>
        <w:t xml:space="preserve">  (</w:t>
      </w:r>
      <w:r w:rsidRPr="00DE5947">
        <w:rPr>
          <w:rFonts w:cs="Helvetica Neue"/>
          <w:i/>
          <w:iCs/>
          <w:color w:val="000000"/>
          <w:sz w:val="26"/>
          <w:szCs w:val="26"/>
        </w:rPr>
        <w:t>Scharf v. Regents of Univ</w:t>
      </w:r>
      <w:r w:rsidR="007A4C0E">
        <w:rPr>
          <w:rFonts w:cs="Helvetica Neue"/>
          <w:i/>
          <w:iCs/>
          <w:color w:val="000000"/>
          <w:sz w:val="26"/>
          <w:szCs w:val="26"/>
        </w:rPr>
        <w:t>ersity</w:t>
      </w:r>
      <w:r w:rsidRPr="00DE5947">
        <w:rPr>
          <w:rFonts w:cs="Helvetica Neue"/>
          <w:i/>
          <w:iCs/>
          <w:color w:val="000000"/>
          <w:sz w:val="26"/>
          <w:szCs w:val="26"/>
        </w:rPr>
        <w:t xml:space="preserve"> of Cal</w:t>
      </w:r>
      <w:r w:rsidR="007A4C0E">
        <w:rPr>
          <w:rFonts w:cs="Helvetica Neue"/>
          <w:i/>
          <w:iCs/>
          <w:color w:val="000000"/>
          <w:sz w:val="26"/>
          <w:szCs w:val="26"/>
        </w:rPr>
        <w:t>ifornia</w:t>
      </w:r>
      <w:r w:rsidRPr="00DE5947">
        <w:rPr>
          <w:rFonts w:cs="Helvetica Neue"/>
          <w:i/>
          <w:iCs/>
          <w:color w:val="000000"/>
          <w:sz w:val="26"/>
          <w:szCs w:val="26"/>
        </w:rPr>
        <w:t xml:space="preserve"> </w:t>
      </w:r>
      <w:r w:rsidRPr="00DE5947">
        <w:rPr>
          <w:rFonts w:cs="Helvetica Neue"/>
          <w:color w:val="000000"/>
          <w:sz w:val="26"/>
          <w:szCs w:val="26"/>
        </w:rPr>
        <w:t>(1991) 234 Cal.App.3d 1393, 1402.</w:t>
      </w:r>
      <w:r>
        <w:rPr>
          <w:rFonts w:cs="Helvetica Neue"/>
          <w:color w:val="000000"/>
          <w:sz w:val="26"/>
          <w:szCs w:val="26"/>
        </w:rPr>
        <w:t>)</w:t>
      </w:r>
    </w:p>
  </w:footnote>
  <w:footnote w:id="4">
    <w:p w:rsidR="000C0B61" w:rsidRPr="00666CD2" w:rsidP="000C0B61">
      <w:pPr>
        <w:pStyle w:val="FootnoteText"/>
        <w:ind w:firstLine="720"/>
        <w:rPr>
          <w:sz w:val="26"/>
          <w:szCs w:val="26"/>
        </w:rPr>
      </w:pPr>
      <w:r w:rsidRPr="00666CD2">
        <w:rPr>
          <w:rStyle w:val="FootnoteReference"/>
          <w:sz w:val="26"/>
          <w:szCs w:val="26"/>
        </w:rPr>
        <w:footnoteRef/>
      </w:r>
      <w:r w:rsidRPr="00666CD2">
        <w:rPr>
          <w:sz w:val="26"/>
          <w:szCs w:val="26"/>
        </w:rPr>
        <w:t xml:space="preserve"> </w:t>
      </w:r>
      <w:r w:rsidR="003D4E7C">
        <w:rPr>
          <w:sz w:val="26"/>
          <w:szCs w:val="26"/>
        </w:rPr>
        <w:t xml:space="preserve"> We acknowledge </w:t>
      </w:r>
      <w:r w:rsidR="00E422A4">
        <w:rPr>
          <w:sz w:val="26"/>
          <w:szCs w:val="26"/>
        </w:rPr>
        <w:t>t</w:t>
      </w:r>
      <w:r>
        <w:rPr>
          <w:sz w:val="26"/>
          <w:szCs w:val="26"/>
        </w:rPr>
        <w:t>he “</w:t>
      </w:r>
      <w:r w:rsidRPr="00380825">
        <w:rPr>
          <w:sz w:val="26"/>
          <w:szCs w:val="26"/>
        </w:rPr>
        <w:t>distinction between governmental and proprietary activity is no longer applicable to determine governmental tort liability</w:t>
      </w:r>
      <w:r w:rsidR="00E422A4">
        <w:rPr>
          <w:sz w:val="26"/>
          <w:szCs w:val="26"/>
        </w:rPr>
        <w:t>, [but] it remains viable in the context of encroachment of municipal regulations</w:t>
      </w:r>
      <w:r>
        <w:rPr>
          <w:sz w:val="26"/>
          <w:szCs w:val="26"/>
        </w:rPr>
        <w:t>.”  (</w:t>
      </w:r>
      <w:r w:rsidRPr="00380825">
        <w:rPr>
          <w:i/>
          <w:iCs/>
          <w:sz w:val="26"/>
          <w:szCs w:val="26"/>
        </w:rPr>
        <w:t>Bame</w:t>
      </w:r>
      <w:r>
        <w:rPr>
          <w:sz w:val="26"/>
          <w:szCs w:val="26"/>
        </w:rPr>
        <w:t xml:space="preserve">, </w:t>
      </w:r>
      <w:r>
        <w:rPr>
          <w:i/>
          <w:iCs/>
          <w:sz w:val="26"/>
          <w:szCs w:val="26"/>
        </w:rPr>
        <w:t>supra</w:t>
      </w:r>
      <w:r>
        <w:rPr>
          <w:sz w:val="26"/>
          <w:szCs w:val="26"/>
        </w:rPr>
        <w:t>,</w:t>
      </w:r>
      <w:r>
        <w:rPr>
          <w:i/>
          <w:iCs/>
          <w:sz w:val="26"/>
          <w:szCs w:val="26"/>
        </w:rPr>
        <w:t xml:space="preserve"> </w:t>
      </w:r>
      <w:r w:rsidRPr="00380825">
        <w:rPr>
          <w:sz w:val="26"/>
          <w:szCs w:val="26"/>
        </w:rPr>
        <w:t xml:space="preserve">86 Cal.App.4th </w:t>
      </w:r>
      <w:r>
        <w:rPr>
          <w:sz w:val="26"/>
          <w:szCs w:val="26"/>
        </w:rPr>
        <w:t>at p.</w:t>
      </w:r>
      <w:r w:rsidRPr="00380825">
        <w:rPr>
          <w:sz w:val="26"/>
          <w:szCs w:val="26"/>
        </w:rPr>
        <w:t xml:space="preserve"> 1356</w:t>
      </w:r>
      <w:r>
        <w:rPr>
          <w:sz w:val="26"/>
          <w:szCs w:val="26"/>
        </w:rPr>
        <w:t>.</w:t>
      </w:r>
      <w:r w:rsidRPr="00380825">
        <w:rPr>
          <w:sz w:val="26"/>
          <w:szCs w:val="26"/>
        </w:rPr>
        <w:t>)</w:t>
      </w:r>
      <w:r>
        <w:rPr>
          <w:sz w:val="26"/>
          <w:szCs w:val="26"/>
        </w:rPr>
        <w:t xml:space="preserve">  </w:t>
      </w:r>
      <w:r w:rsidR="00A15B3E">
        <w:rPr>
          <w:sz w:val="26"/>
          <w:szCs w:val="26"/>
        </w:rPr>
        <w:t>But we question</w:t>
      </w:r>
      <w:r w:rsidR="001D5BC0">
        <w:rPr>
          <w:sz w:val="26"/>
          <w:szCs w:val="26"/>
        </w:rPr>
        <w:t xml:space="preserve"> whether </w:t>
      </w:r>
      <w:r w:rsidR="008D3CDA">
        <w:rPr>
          <w:sz w:val="26"/>
          <w:szCs w:val="26"/>
        </w:rPr>
        <w:t xml:space="preserve">tort liability </w:t>
      </w:r>
      <w:r w:rsidR="00A15B3E">
        <w:rPr>
          <w:sz w:val="26"/>
          <w:szCs w:val="26"/>
        </w:rPr>
        <w:t xml:space="preserve">case law </w:t>
      </w:r>
      <w:r w:rsidR="001D5BC0">
        <w:rPr>
          <w:sz w:val="26"/>
          <w:szCs w:val="26"/>
        </w:rPr>
        <w:t xml:space="preserve">remains useful when </w:t>
      </w:r>
      <w:r w:rsidR="00873A86">
        <w:rPr>
          <w:sz w:val="26"/>
          <w:szCs w:val="26"/>
        </w:rPr>
        <w:t xml:space="preserve">identifying </w:t>
      </w:r>
      <w:r w:rsidR="00CA6083">
        <w:rPr>
          <w:sz w:val="26"/>
          <w:szCs w:val="26"/>
        </w:rPr>
        <w:t xml:space="preserve">specific circumstances </w:t>
      </w:r>
      <w:r w:rsidR="00FF187C">
        <w:rPr>
          <w:sz w:val="26"/>
          <w:szCs w:val="26"/>
        </w:rPr>
        <w:t xml:space="preserve">where a state entity is engaging in proprietary rather than </w:t>
      </w:r>
      <w:r w:rsidR="00A15B3E">
        <w:rPr>
          <w:sz w:val="26"/>
          <w:szCs w:val="26"/>
        </w:rPr>
        <w:t>governmental activities</w:t>
      </w:r>
      <w:r w:rsidR="00784C63">
        <w:rPr>
          <w:sz w:val="26"/>
          <w:szCs w:val="26"/>
        </w:rPr>
        <w:t xml:space="preserve">.  </w:t>
      </w:r>
      <w:r w:rsidR="000F3C67">
        <w:rPr>
          <w:sz w:val="26"/>
          <w:szCs w:val="26"/>
        </w:rPr>
        <w:t>Indeed, o</w:t>
      </w:r>
      <w:r w:rsidRPr="00666CD2">
        <w:rPr>
          <w:sz w:val="26"/>
          <w:szCs w:val="26"/>
        </w:rPr>
        <w:t xml:space="preserve">ne court </w:t>
      </w:r>
      <w:r>
        <w:rPr>
          <w:sz w:val="26"/>
          <w:szCs w:val="26"/>
        </w:rPr>
        <w:t>noted the analysis in</w:t>
      </w:r>
      <w:r w:rsidRPr="00666CD2">
        <w:rPr>
          <w:sz w:val="26"/>
          <w:szCs w:val="26"/>
        </w:rPr>
        <w:t xml:space="preserve"> </w:t>
      </w:r>
      <w:r w:rsidRPr="00666CD2">
        <w:rPr>
          <w:i/>
          <w:iCs/>
          <w:sz w:val="26"/>
          <w:szCs w:val="26"/>
        </w:rPr>
        <w:t>Beard</w:t>
      </w:r>
      <w:r w:rsidR="005640B3">
        <w:rPr>
          <w:sz w:val="26"/>
          <w:szCs w:val="26"/>
        </w:rPr>
        <w:t xml:space="preserve"> </w:t>
      </w:r>
      <w:r w:rsidR="001D5BC0">
        <w:rPr>
          <w:sz w:val="26"/>
          <w:szCs w:val="26"/>
        </w:rPr>
        <w:t>(</w:t>
      </w:r>
      <w:r w:rsidR="005640B3">
        <w:rPr>
          <w:sz w:val="26"/>
          <w:szCs w:val="26"/>
        </w:rPr>
        <w:t>among other</w:t>
      </w:r>
      <w:r w:rsidR="001D5BC0">
        <w:rPr>
          <w:sz w:val="26"/>
          <w:szCs w:val="26"/>
        </w:rPr>
        <w:t xml:space="preserve"> cases)</w:t>
      </w:r>
      <w:r>
        <w:rPr>
          <w:sz w:val="26"/>
          <w:szCs w:val="26"/>
        </w:rPr>
        <w:t xml:space="preserve"> </w:t>
      </w:r>
      <w:r w:rsidR="001D5BC0">
        <w:rPr>
          <w:sz w:val="26"/>
          <w:szCs w:val="26"/>
        </w:rPr>
        <w:t xml:space="preserve">may be obsolete when considering </w:t>
      </w:r>
      <w:r>
        <w:rPr>
          <w:sz w:val="26"/>
          <w:szCs w:val="26"/>
        </w:rPr>
        <w:t>whether an activity was proprietary.  (</w:t>
      </w:r>
      <w:r w:rsidRPr="002C192C">
        <w:rPr>
          <w:i/>
          <w:iCs/>
          <w:sz w:val="26"/>
          <w:szCs w:val="26"/>
        </w:rPr>
        <w:t>Riverside County Transportation Com. v. Southern California Gas Co</w:t>
      </w:r>
      <w:r w:rsidRPr="00C27847">
        <w:rPr>
          <w:sz w:val="26"/>
          <w:szCs w:val="26"/>
        </w:rPr>
        <w:t>.</w:t>
      </w:r>
      <w:r w:rsidR="001D5BC0">
        <w:rPr>
          <w:sz w:val="26"/>
          <w:szCs w:val="26"/>
        </w:rPr>
        <w:t xml:space="preserve"> (2020)</w:t>
      </w:r>
      <w:r w:rsidRPr="00C27847">
        <w:rPr>
          <w:sz w:val="26"/>
          <w:szCs w:val="26"/>
        </w:rPr>
        <w:t xml:space="preserve"> </w:t>
      </w:r>
      <w:r w:rsidRPr="00C27847" w:rsidR="001D5BC0">
        <w:rPr>
          <w:sz w:val="26"/>
          <w:szCs w:val="26"/>
        </w:rPr>
        <w:t>54 Cal.App.5th 823</w:t>
      </w:r>
      <w:r w:rsidRPr="00C27847">
        <w:rPr>
          <w:sz w:val="26"/>
          <w:szCs w:val="26"/>
        </w:rPr>
        <w:t>, 864</w:t>
      </w:r>
      <w:r>
        <w:rPr>
          <w:sz w:val="26"/>
          <w:szCs w:val="26"/>
        </w:rPr>
        <w:t xml:space="preserve">, fn. 22.)  It suggested prior cases </w:t>
      </w:r>
      <w:r w:rsidR="001D5BC0">
        <w:rPr>
          <w:sz w:val="26"/>
          <w:szCs w:val="26"/>
        </w:rPr>
        <w:t xml:space="preserve">tried </w:t>
      </w:r>
      <w:r>
        <w:rPr>
          <w:sz w:val="26"/>
          <w:szCs w:val="26"/>
        </w:rPr>
        <w:t>to find entities engaged in proprietary activities</w:t>
      </w:r>
      <w:r w:rsidR="001D5BC0">
        <w:rPr>
          <w:sz w:val="26"/>
          <w:szCs w:val="26"/>
        </w:rPr>
        <w:t xml:space="preserve"> because they were decided in an </w:t>
      </w:r>
      <w:r>
        <w:rPr>
          <w:sz w:val="26"/>
          <w:szCs w:val="26"/>
        </w:rPr>
        <w:t>“</w:t>
      </w:r>
      <w:r w:rsidRPr="00666CD2">
        <w:rPr>
          <w:sz w:val="26"/>
          <w:szCs w:val="26"/>
        </w:rPr>
        <w:t xml:space="preserve">era when municipal tort immunity still turned on the governmental-proprietary distinction.” </w:t>
      </w:r>
      <w:r>
        <w:rPr>
          <w:sz w:val="26"/>
          <w:szCs w:val="26"/>
        </w:rPr>
        <w:t xml:space="preserve"> (</w:t>
      </w:r>
      <w:r w:rsidR="001D5BC0">
        <w:rPr>
          <w:i/>
          <w:iCs/>
          <w:sz w:val="26"/>
          <w:szCs w:val="26"/>
        </w:rPr>
        <w:t xml:space="preserve">Id. </w:t>
      </w:r>
      <w:r w:rsidR="001D5BC0">
        <w:rPr>
          <w:sz w:val="26"/>
          <w:szCs w:val="26"/>
        </w:rPr>
        <w:t>at p</w:t>
      </w:r>
      <w:r w:rsidR="002B43A8">
        <w:rPr>
          <w:sz w:val="26"/>
          <w:szCs w:val="26"/>
        </w:rPr>
        <w:t>p</w:t>
      </w:r>
      <w:r w:rsidR="001D5BC0">
        <w:rPr>
          <w:sz w:val="26"/>
          <w:szCs w:val="26"/>
        </w:rPr>
        <w:t xml:space="preserve">. </w:t>
      </w:r>
      <w:r w:rsidRPr="00C27847">
        <w:rPr>
          <w:sz w:val="26"/>
          <w:szCs w:val="26"/>
        </w:rPr>
        <w:t>864</w:t>
      </w:r>
      <w:r w:rsidR="002B43A8">
        <w:rPr>
          <w:sz w:val="26"/>
          <w:szCs w:val="26"/>
        </w:rPr>
        <w:t>–865</w:t>
      </w:r>
      <w:r>
        <w:rPr>
          <w:sz w:val="26"/>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6D2938"/>
    <w:multiLevelType w:val="hybridMultilevel"/>
    <w:tmpl w:val="BBD6A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C0525C"/>
    <w:multiLevelType w:val="hybridMultilevel"/>
    <w:tmpl w:val="0B9CA54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1152AC3"/>
    <w:multiLevelType w:val="hybridMultilevel"/>
    <w:tmpl w:val="0590A9DE"/>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31832EBE"/>
    <w:multiLevelType w:val="hybridMultilevel"/>
    <w:tmpl w:val="B63A4A5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6B50D79"/>
    <w:multiLevelType w:val="hybridMultilevel"/>
    <w:tmpl w:val="9F20F6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2132A8"/>
    <w:multiLevelType w:val="hybridMultilevel"/>
    <w:tmpl w:val="21FE5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2A0812"/>
    <w:multiLevelType w:val="hybridMultilevel"/>
    <w:tmpl w:val="CE4CD1C6"/>
    <w:lvl w:ilvl="0">
      <w:start w:val="1"/>
      <w:numFmt w:val="decimal"/>
      <w:lvlText w:val="%1."/>
      <w:lvlJc w:val="left"/>
      <w:pPr>
        <w:ind w:left="720" w:hanging="360"/>
      </w:pPr>
      <w:rPr>
        <w:rFonts w:eastAsiaTheme="minorHAnsi"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BE36A9"/>
    <w:multiLevelType w:val="hybridMultilevel"/>
    <w:tmpl w:val="D72E8DDA"/>
    <w:lvl w:ilvl="0">
      <w:start w:val="5"/>
      <w:numFmt w:val="bullet"/>
      <w:lvlText w:val=""/>
      <w:lvlJc w:val="left"/>
      <w:pPr>
        <w:ind w:left="720" w:hanging="360"/>
      </w:pPr>
      <w:rPr>
        <w:rFonts w:ascii="Wingdings" w:hAnsi="Wingdings"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4B84C37"/>
    <w:multiLevelType w:val="hybridMultilevel"/>
    <w:tmpl w:val="8BF6DD6C"/>
    <w:lvl w:ilvl="0">
      <w:start w:val="5"/>
      <w:numFmt w:val="bullet"/>
      <w:lvlText w:val=""/>
      <w:lvlJc w:val="left"/>
      <w:pPr>
        <w:ind w:left="720" w:hanging="360"/>
      </w:pPr>
      <w:rPr>
        <w:rFonts w:ascii="Wingdings" w:hAnsi="Wingdings"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E14031"/>
    <w:multiLevelType w:val="hybridMultilevel"/>
    <w:tmpl w:val="3864BB8A"/>
    <w:lvl w:ilvl="0">
      <w:start w:val="5"/>
      <w:numFmt w:val="bullet"/>
      <w:lvlText w:val=""/>
      <w:lvlJc w:val="left"/>
      <w:pPr>
        <w:ind w:left="720" w:hanging="360"/>
      </w:pPr>
      <w:rPr>
        <w:rFonts w:ascii="Wingdings" w:hAnsi="Wingdings"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6C66809"/>
    <w:multiLevelType w:val="hybridMultilevel"/>
    <w:tmpl w:val="679076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10"/>
  </w:num>
  <w:num w:numId="6">
    <w:abstractNumId w:val="6"/>
  </w:num>
  <w:num w:numId="7">
    <w:abstractNumId w:val="4"/>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7F7"/>
    <w:pPr>
      <w:ind w:left="720"/>
      <w:contextualSpacing/>
    </w:pPr>
  </w:style>
  <w:style w:type="paragraph" w:styleId="Header">
    <w:name w:val="header"/>
    <w:basedOn w:val="Normal"/>
    <w:link w:val="HeaderChar"/>
    <w:uiPriority w:val="99"/>
    <w:unhideWhenUsed/>
    <w:rsid w:val="00C91A77"/>
    <w:pPr>
      <w:tabs>
        <w:tab w:val="center" w:pos="4680"/>
        <w:tab w:val="right" w:pos="9360"/>
      </w:tabs>
      <w:spacing w:line="240" w:lineRule="auto"/>
    </w:pPr>
  </w:style>
  <w:style w:type="character" w:customStyle="1" w:styleId="HeaderChar">
    <w:name w:val="Header Char"/>
    <w:basedOn w:val="DefaultParagraphFont"/>
    <w:link w:val="Header"/>
    <w:uiPriority w:val="99"/>
    <w:rsid w:val="00C91A77"/>
  </w:style>
  <w:style w:type="paragraph" w:styleId="Footer">
    <w:name w:val="footer"/>
    <w:basedOn w:val="Normal"/>
    <w:link w:val="FooterChar"/>
    <w:uiPriority w:val="99"/>
    <w:unhideWhenUsed/>
    <w:rsid w:val="00C91A77"/>
    <w:pPr>
      <w:tabs>
        <w:tab w:val="center" w:pos="4680"/>
        <w:tab w:val="right" w:pos="9360"/>
      </w:tabs>
      <w:spacing w:line="240" w:lineRule="auto"/>
    </w:pPr>
  </w:style>
  <w:style w:type="character" w:customStyle="1" w:styleId="FooterChar">
    <w:name w:val="Footer Char"/>
    <w:basedOn w:val="DefaultParagraphFont"/>
    <w:link w:val="Footer"/>
    <w:uiPriority w:val="99"/>
    <w:rsid w:val="00C91A77"/>
  </w:style>
  <w:style w:type="paragraph" w:styleId="FootnoteText">
    <w:name w:val="footnote text"/>
    <w:basedOn w:val="Normal"/>
    <w:link w:val="FootnoteTextChar"/>
    <w:uiPriority w:val="99"/>
    <w:semiHidden/>
    <w:unhideWhenUsed/>
    <w:rsid w:val="00BC1B3B"/>
    <w:pPr>
      <w:spacing w:line="240" w:lineRule="auto"/>
    </w:pPr>
    <w:rPr>
      <w:sz w:val="20"/>
      <w:szCs w:val="20"/>
    </w:rPr>
  </w:style>
  <w:style w:type="character" w:customStyle="1" w:styleId="FootnoteTextChar">
    <w:name w:val="Footnote Text Char"/>
    <w:basedOn w:val="DefaultParagraphFont"/>
    <w:link w:val="FootnoteText"/>
    <w:uiPriority w:val="99"/>
    <w:semiHidden/>
    <w:rsid w:val="00BC1B3B"/>
    <w:rPr>
      <w:sz w:val="20"/>
      <w:szCs w:val="20"/>
    </w:rPr>
  </w:style>
  <w:style w:type="character" w:styleId="FootnoteReference">
    <w:name w:val="footnote reference"/>
    <w:basedOn w:val="DefaultParagraphFont"/>
    <w:uiPriority w:val="99"/>
    <w:semiHidden/>
    <w:unhideWhenUsed/>
    <w:rsid w:val="00BC1B3B"/>
    <w:rPr>
      <w:vertAlign w:val="superscript"/>
    </w:rPr>
  </w:style>
  <w:style w:type="character" w:styleId="CommentReference">
    <w:name w:val="annotation reference"/>
    <w:basedOn w:val="DefaultParagraphFont"/>
    <w:uiPriority w:val="99"/>
    <w:semiHidden/>
    <w:unhideWhenUsed/>
    <w:rsid w:val="00FC2C41"/>
    <w:rPr>
      <w:sz w:val="16"/>
      <w:szCs w:val="16"/>
    </w:rPr>
  </w:style>
  <w:style w:type="paragraph" w:styleId="CommentText">
    <w:name w:val="annotation text"/>
    <w:basedOn w:val="Normal"/>
    <w:link w:val="CommentTextChar"/>
    <w:uiPriority w:val="99"/>
    <w:unhideWhenUsed/>
    <w:rsid w:val="00FC2C41"/>
    <w:pPr>
      <w:spacing w:line="240" w:lineRule="auto"/>
    </w:pPr>
    <w:rPr>
      <w:sz w:val="20"/>
      <w:szCs w:val="20"/>
    </w:rPr>
  </w:style>
  <w:style w:type="character" w:customStyle="1" w:styleId="CommentTextChar">
    <w:name w:val="Comment Text Char"/>
    <w:basedOn w:val="DefaultParagraphFont"/>
    <w:link w:val="CommentText"/>
    <w:uiPriority w:val="99"/>
    <w:rsid w:val="00FC2C41"/>
    <w:rPr>
      <w:sz w:val="20"/>
      <w:szCs w:val="20"/>
    </w:rPr>
  </w:style>
  <w:style w:type="paragraph" w:styleId="CommentSubject">
    <w:name w:val="annotation subject"/>
    <w:basedOn w:val="CommentText"/>
    <w:next w:val="CommentText"/>
    <w:link w:val="CommentSubjectChar"/>
    <w:uiPriority w:val="99"/>
    <w:semiHidden/>
    <w:unhideWhenUsed/>
    <w:rsid w:val="00FC2C41"/>
    <w:rPr>
      <w:b/>
      <w:bCs/>
    </w:rPr>
  </w:style>
  <w:style w:type="character" w:customStyle="1" w:styleId="CommentSubjectChar">
    <w:name w:val="Comment Subject Char"/>
    <w:basedOn w:val="CommentTextChar"/>
    <w:link w:val="CommentSubject"/>
    <w:uiPriority w:val="99"/>
    <w:semiHidden/>
    <w:rsid w:val="00FC2C41"/>
    <w:rPr>
      <w:b/>
      <w:bCs/>
      <w:sz w:val="20"/>
      <w:szCs w:val="20"/>
    </w:rPr>
  </w:style>
  <w:style w:type="paragraph" w:styleId="BalloonText">
    <w:name w:val="Balloon Text"/>
    <w:basedOn w:val="Normal"/>
    <w:link w:val="BalloonTextChar"/>
    <w:uiPriority w:val="99"/>
    <w:semiHidden/>
    <w:unhideWhenUsed/>
    <w:rsid w:val="00D876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631"/>
    <w:rPr>
      <w:rFonts w:ascii="Segoe UI" w:hAnsi="Segoe UI" w:cs="Segoe UI"/>
      <w:sz w:val="18"/>
      <w:szCs w:val="18"/>
    </w:rPr>
  </w:style>
  <w:style w:type="paragraph" w:styleId="Revision">
    <w:name w:val="Revision"/>
    <w:hidden/>
    <w:uiPriority w:val="99"/>
    <w:semiHidden/>
    <w:rsid w:val="0014758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2024-07-02T16:23:11Z</dcterms:created>
  <dcterms:modified xsi:type="dcterms:W3CDTF">2024-07-02T16:23:11Z</dcterms:modified>
</cp:coreProperties>
</file>