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05D72" w:rsidRPr="00105D72" w:rsidP="00105D72" w14:paraId="49E8F7D7" w14:textId="5CE8E4C9">
      <w:pPr>
        <w:spacing w:line="240" w:lineRule="auto"/>
        <w:rPr>
          <w:rFonts w:ascii="Century Schoolbook" w:hAnsi="Century Schoolbook"/>
          <w:sz w:val="20"/>
        </w:rPr>
      </w:pPr>
      <w:r w:rsidRPr="00105D72">
        <w:rPr>
          <w:rFonts w:ascii="Century Schoolbook" w:hAnsi="Century Schoolbook"/>
          <w:sz w:val="20"/>
        </w:rPr>
        <w:t xml:space="preserve">Filed </w:t>
      </w:r>
      <w:r>
        <w:rPr>
          <w:rFonts w:ascii="Century Schoolbook" w:hAnsi="Century Schoolbook"/>
          <w:sz w:val="20"/>
        </w:rPr>
        <w:t>6</w:t>
      </w:r>
      <w:r w:rsidRPr="00105D72">
        <w:rPr>
          <w:rFonts w:ascii="Century Schoolbook" w:hAnsi="Century Schoolbook"/>
          <w:sz w:val="20"/>
        </w:rPr>
        <w:t>/</w:t>
      </w:r>
      <w:r w:rsidR="00B74605">
        <w:rPr>
          <w:rFonts w:ascii="Century Schoolbook" w:hAnsi="Century Schoolbook"/>
          <w:sz w:val="20"/>
        </w:rPr>
        <w:t>24</w:t>
      </w:r>
      <w:r w:rsidRPr="00105D72">
        <w:rPr>
          <w:rFonts w:ascii="Century Schoolbook" w:hAnsi="Century Schoolbook"/>
          <w:sz w:val="20"/>
        </w:rPr>
        <w:t>/24</w:t>
      </w:r>
    </w:p>
    <w:p w:rsidR="00105D72" w:rsidRPr="00105D72" w:rsidP="00105D72" w14:paraId="0978C11C" w14:textId="77777777">
      <w:pPr>
        <w:spacing w:line="240" w:lineRule="auto"/>
        <w:jc w:val="center"/>
        <w:rPr>
          <w:rFonts w:ascii="Century Schoolbook" w:hAnsi="Century Schoolbook"/>
          <w:b/>
        </w:rPr>
      </w:pPr>
      <w:r w:rsidRPr="00105D72">
        <w:rPr>
          <w:rFonts w:ascii="Century Schoolbook" w:hAnsi="Century Schoolbook"/>
          <w:b/>
        </w:rPr>
        <w:t>CERTIFIED FOR PUBLICATION</w:t>
      </w:r>
    </w:p>
    <w:p w:rsidR="00105D72" w:rsidRPr="00105D72" w:rsidP="00105D72" w14:paraId="7895117B" w14:textId="77777777">
      <w:pPr>
        <w:spacing w:line="240" w:lineRule="auto"/>
        <w:jc w:val="center"/>
        <w:rPr>
          <w:rFonts w:ascii="Century Schoolbook" w:hAnsi="Century Schoolbook"/>
        </w:rPr>
      </w:pPr>
    </w:p>
    <w:p w:rsidR="00923C0B" w:rsidRPr="00B973EA" w:rsidP="00923C0B" w14:paraId="2DFD4B25" w14:textId="0C57EF1D">
      <w:pPr>
        <w:spacing w:line="240" w:lineRule="auto"/>
        <w:jc w:val="center"/>
        <w:rPr>
          <w:rFonts w:ascii="Century Schoolbook" w:hAnsi="Century Schoolbook"/>
        </w:rPr>
      </w:pPr>
      <w:r w:rsidRPr="00B973EA">
        <w:rPr>
          <w:rFonts w:ascii="Century Schoolbook" w:hAnsi="Century Schoolbook"/>
        </w:rPr>
        <w:t>IN</w:t>
      </w:r>
      <w:r>
        <w:rPr>
          <w:rFonts w:ascii="Century Schoolbook" w:hAnsi="Century Schoolbook"/>
        </w:rPr>
        <w:t xml:space="preserve"> </w:t>
      </w:r>
      <w:r w:rsidRPr="00B973EA">
        <w:rPr>
          <w:rFonts w:ascii="Century Schoolbook" w:hAnsi="Century Schoolbook"/>
        </w:rPr>
        <w:t>THE</w:t>
      </w:r>
      <w:r>
        <w:rPr>
          <w:rFonts w:ascii="Century Schoolbook" w:hAnsi="Century Schoolbook"/>
        </w:rPr>
        <w:t xml:space="preserve"> </w:t>
      </w:r>
      <w:r w:rsidRPr="00B973EA">
        <w:rPr>
          <w:rFonts w:ascii="Century Schoolbook" w:hAnsi="Century Schoolbook"/>
        </w:rPr>
        <w:t>COURT</w:t>
      </w:r>
      <w:r>
        <w:rPr>
          <w:rFonts w:ascii="Century Schoolbook" w:hAnsi="Century Schoolbook"/>
        </w:rPr>
        <w:t xml:space="preserve"> </w:t>
      </w:r>
      <w:r w:rsidRPr="00B973EA">
        <w:rPr>
          <w:rFonts w:ascii="Century Schoolbook" w:hAnsi="Century Schoolbook"/>
        </w:rPr>
        <w:t>OF</w:t>
      </w:r>
      <w:r>
        <w:rPr>
          <w:rFonts w:ascii="Century Schoolbook" w:hAnsi="Century Schoolbook"/>
        </w:rPr>
        <w:t xml:space="preserve"> </w:t>
      </w:r>
      <w:r w:rsidRPr="00B973EA">
        <w:rPr>
          <w:rFonts w:ascii="Century Schoolbook" w:hAnsi="Century Schoolbook"/>
        </w:rPr>
        <w:t>APPEAL</w:t>
      </w:r>
      <w:r>
        <w:rPr>
          <w:rFonts w:ascii="Century Schoolbook" w:hAnsi="Century Schoolbook"/>
        </w:rPr>
        <w:t xml:space="preserve"> </w:t>
      </w:r>
      <w:r w:rsidRPr="00B973EA">
        <w:rPr>
          <w:rFonts w:ascii="Century Schoolbook" w:hAnsi="Century Schoolbook"/>
        </w:rPr>
        <w:t>OF</w:t>
      </w:r>
      <w:r>
        <w:rPr>
          <w:rFonts w:ascii="Century Schoolbook" w:hAnsi="Century Schoolbook"/>
        </w:rPr>
        <w:t xml:space="preserve"> </w:t>
      </w:r>
      <w:r w:rsidRPr="00B973EA">
        <w:rPr>
          <w:rFonts w:ascii="Century Schoolbook" w:hAnsi="Century Schoolbook"/>
        </w:rPr>
        <w:t>THE</w:t>
      </w:r>
      <w:r>
        <w:rPr>
          <w:rFonts w:ascii="Century Schoolbook" w:hAnsi="Century Schoolbook"/>
        </w:rPr>
        <w:t xml:space="preserve"> </w:t>
      </w:r>
      <w:r w:rsidRPr="00B973EA">
        <w:rPr>
          <w:rFonts w:ascii="Century Schoolbook" w:hAnsi="Century Schoolbook"/>
        </w:rPr>
        <w:t>STATE</w:t>
      </w:r>
      <w:r>
        <w:rPr>
          <w:rFonts w:ascii="Century Schoolbook" w:hAnsi="Century Schoolbook"/>
        </w:rPr>
        <w:t xml:space="preserve"> </w:t>
      </w:r>
      <w:r w:rsidRPr="00B973EA">
        <w:rPr>
          <w:rFonts w:ascii="Century Schoolbook" w:hAnsi="Century Schoolbook"/>
        </w:rPr>
        <w:t>OF</w:t>
      </w:r>
      <w:r>
        <w:rPr>
          <w:rFonts w:ascii="Century Schoolbook" w:hAnsi="Century Schoolbook"/>
        </w:rPr>
        <w:t xml:space="preserve"> </w:t>
      </w:r>
      <w:r w:rsidRPr="00B973EA">
        <w:rPr>
          <w:rFonts w:ascii="Century Schoolbook" w:hAnsi="Century Schoolbook"/>
        </w:rPr>
        <w:t>CALIFORNIA</w:t>
      </w:r>
    </w:p>
    <w:p w:rsidR="00923C0B" w:rsidRPr="00B973EA" w:rsidP="00923C0B" w14:paraId="6938A75A" w14:textId="77777777">
      <w:pPr>
        <w:spacing w:line="240" w:lineRule="auto"/>
        <w:jc w:val="center"/>
        <w:rPr>
          <w:rFonts w:ascii="Century Schoolbook" w:hAnsi="Century Schoolbook"/>
        </w:rPr>
      </w:pPr>
    </w:p>
    <w:p w:rsidR="00923C0B" w:rsidRPr="00B973EA" w:rsidP="00923C0B" w14:paraId="3D790A87" w14:textId="77777777">
      <w:pPr>
        <w:spacing w:line="240" w:lineRule="auto"/>
        <w:jc w:val="center"/>
        <w:rPr>
          <w:rFonts w:ascii="Century Schoolbook" w:hAnsi="Century Schoolbook"/>
        </w:rPr>
      </w:pPr>
      <w:r w:rsidRPr="00B973EA">
        <w:rPr>
          <w:rFonts w:ascii="Century Schoolbook" w:hAnsi="Century Schoolbook"/>
        </w:rPr>
        <w:t>FIRST</w:t>
      </w:r>
      <w:r>
        <w:rPr>
          <w:rFonts w:ascii="Century Schoolbook" w:hAnsi="Century Schoolbook"/>
        </w:rPr>
        <w:t xml:space="preserve"> </w:t>
      </w:r>
      <w:r w:rsidRPr="00B973EA">
        <w:rPr>
          <w:rFonts w:ascii="Century Schoolbook" w:hAnsi="Century Schoolbook"/>
        </w:rPr>
        <w:t>APPELLATE</w:t>
      </w:r>
      <w:r>
        <w:rPr>
          <w:rFonts w:ascii="Century Schoolbook" w:hAnsi="Century Schoolbook"/>
        </w:rPr>
        <w:t xml:space="preserve"> </w:t>
      </w:r>
      <w:r w:rsidRPr="00B973EA">
        <w:rPr>
          <w:rFonts w:ascii="Century Schoolbook" w:hAnsi="Century Schoolbook"/>
        </w:rPr>
        <w:t>DISTRICT</w:t>
      </w:r>
    </w:p>
    <w:p w:rsidR="00923C0B" w:rsidRPr="00B973EA" w:rsidP="00923C0B" w14:paraId="6795A6EC" w14:textId="77777777">
      <w:pPr>
        <w:spacing w:line="240" w:lineRule="auto"/>
        <w:jc w:val="center"/>
        <w:rPr>
          <w:rFonts w:ascii="Century Schoolbook" w:hAnsi="Century Schoolbook"/>
        </w:rPr>
      </w:pPr>
    </w:p>
    <w:p w:rsidR="00923C0B" w:rsidRPr="00B973EA" w:rsidP="00923C0B" w14:paraId="73318951" w14:textId="77777777">
      <w:pPr>
        <w:spacing w:line="240" w:lineRule="auto"/>
        <w:jc w:val="center"/>
        <w:rPr>
          <w:rFonts w:ascii="Century Schoolbook" w:hAnsi="Century Schoolbook"/>
        </w:rPr>
      </w:pPr>
      <w:r w:rsidRPr="00B973EA">
        <w:rPr>
          <w:rFonts w:ascii="Century Schoolbook" w:hAnsi="Century Schoolbook"/>
        </w:rPr>
        <w:t>DIVISION</w:t>
      </w:r>
      <w:r>
        <w:rPr>
          <w:rFonts w:ascii="Century Schoolbook" w:hAnsi="Century Schoolbook"/>
        </w:rPr>
        <w:t xml:space="preserve"> </w:t>
      </w:r>
      <w:r w:rsidRPr="00B973EA">
        <w:rPr>
          <w:rFonts w:ascii="Century Schoolbook" w:hAnsi="Century Schoolbook"/>
        </w:rPr>
        <w:t>TWO</w:t>
      </w:r>
    </w:p>
    <w:p w:rsidR="00923C0B" w:rsidRPr="00B973EA" w:rsidP="00923C0B" w14:paraId="4E6DE39B" w14:textId="77777777">
      <w:pPr>
        <w:spacing w:line="240" w:lineRule="auto"/>
        <w:jc w:val="center"/>
        <w:rPr>
          <w:rFonts w:ascii="Century Schoolbook" w:hAnsi="Century Schoolbook"/>
        </w:rPr>
      </w:pPr>
    </w:p>
    <w:p w:rsidR="00923C0B" w:rsidRPr="00B973EA" w:rsidP="00923C0B" w14:paraId="68C1A2D3" w14:textId="77777777">
      <w:pPr>
        <w:spacing w:line="240" w:lineRule="auto"/>
        <w:jc w:val="center"/>
        <w:rPr>
          <w:rFonts w:ascii="Century Schoolbook" w:hAnsi="Century Schoolbook"/>
        </w:rPr>
      </w:pPr>
    </w:p>
    <w:tbl>
      <w:tblPr>
        <w:tblW w:w="0" w:type="auto"/>
        <w:tblLayout w:type="fixed"/>
        <w:tblLook w:val="0000"/>
      </w:tblPr>
      <w:tblGrid>
        <w:gridCol w:w="4680"/>
        <w:gridCol w:w="4680"/>
      </w:tblGrid>
      <w:tr w14:paraId="1C316EA3" w14:textId="77777777" w:rsidTr="00C775AE">
        <w:tblPrEx>
          <w:tblW w:w="0" w:type="auto"/>
          <w:tblLayout w:type="fixed"/>
          <w:tblLook w:val="0000"/>
        </w:tblPrEx>
        <w:tc>
          <w:tcPr>
            <w:tcW w:w="4680" w:type="dxa"/>
            <w:tcBorders>
              <w:bottom w:val="single" w:sz="4" w:space="0" w:color="auto"/>
              <w:right w:val="single" w:sz="4" w:space="0" w:color="auto"/>
            </w:tcBorders>
            <w:shd w:val="clear" w:color="auto" w:fill="auto"/>
          </w:tcPr>
          <w:p w:rsidR="00923C0B" w:rsidRPr="00B973EA" w:rsidP="00C775AE" w14:paraId="6790599C" w14:textId="3050F71F">
            <w:pPr>
              <w:spacing w:after="120" w:line="240" w:lineRule="auto"/>
              <w:rPr>
                <w:rFonts w:ascii="Century Schoolbook" w:hAnsi="Century Schoolbook"/>
              </w:rPr>
            </w:pPr>
            <w:r>
              <w:rPr>
                <w:rFonts w:ascii="Century Schoolbook" w:hAnsi="Century Schoolbook"/>
              </w:rPr>
              <w:t>JANE DOE WHBE 3, et al.,</w:t>
            </w:r>
          </w:p>
          <w:p w:rsidR="00923C0B" w:rsidRPr="00B973EA" w:rsidP="00C775AE" w14:paraId="27CA9129" w14:textId="05448AE0">
            <w:pPr>
              <w:spacing w:after="120" w:line="240" w:lineRule="auto"/>
              <w:rPr>
                <w:rFonts w:ascii="Century Schoolbook" w:hAnsi="Century Schoolbook"/>
              </w:rPr>
            </w:pPr>
            <w:r w:rsidRPr="00B973EA">
              <w:rPr>
                <w:rFonts w:ascii="Century Schoolbook" w:hAnsi="Century Schoolbook"/>
              </w:rPr>
              <w:tab/>
            </w:r>
            <w:r>
              <w:rPr>
                <w:rFonts w:ascii="Century Schoolbook" w:hAnsi="Century Schoolbook"/>
              </w:rPr>
              <w:t xml:space="preserve">Plaintiffs </w:t>
            </w:r>
            <w:r w:rsidRPr="00B973EA">
              <w:rPr>
                <w:rFonts w:ascii="Century Schoolbook" w:hAnsi="Century Schoolbook"/>
              </w:rPr>
              <w:t>and</w:t>
            </w:r>
            <w:r>
              <w:rPr>
                <w:rFonts w:ascii="Century Schoolbook" w:hAnsi="Century Schoolbook"/>
              </w:rPr>
              <w:t xml:space="preserve"> </w:t>
            </w:r>
            <w:r w:rsidRPr="00B973EA">
              <w:rPr>
                <w:rFonts w:ascii="Century Schoolbook" w:hAnsi="Century Schoolbook"/>
              </w:rPr>
              <w:t>Appellant</w:t>
            </w:r>
            <w:r>
              <w:rPr>
                <w:rFonts w:ascii="Century Schoolbook" w:hAnsi="Century Schoolbook"/>
              </w:rPr>
              <w:t>s</w:t>
            </w:r>
            <w:r w:rsidRPr="00B973EA">
              <w:rPr>
                <w:rFonts w:ascii="Century Schoolbook" w:hAnsi="Century Schoolbook"/>
              </w:rPr>
              <w:t>,</w:t>
            </w:r>
          </w:p>
          <w:p w:rsidR="00923C0B" w:rsidRPr="00B973EA" w:rsidP="00C775AE" w14:paraId="212FA36B" w14:textId="77777777">
            <w:pPr>
              <w:spacing w:after="120" w:line="240" w:lineRule="auto"/>
              <w:rPr>
                <w:rFonts w:ascii="Century Schoolbook" w:hAnsi="Century Schoolbook"/>
              </w:rPr>
            </w:pPr>
            <w:r w:rsidRPr="00B973EA">
              <w:rPr>
                <w:rFonts w:ascii="Century Schoolbook" w:hAnsi="Century Schoolbook"/>
              </w:rPr>
              <w:t>v.</w:t>
            </w:r>
          </w:p>
          <w:p w:rsidR="00923C0B" w:rsidRPr="00B973EA" w:rsidP="00C775AE" w14:paraId="3B9D0B53" w14:textId="395B6260">
            <w:pPr>
              <w:spacing w:after="120" w:line="240" w:lineRule="auto"/>
              <w:rPr>
                <w:rFonts w:ascii="Century Schoolbook" w:hAnsi="Century Schoolbook"/>
              </w:rPr>
            </w:pPr>
            <w:r>
              <w:rPr>
                <w:rFonts w:ascii="Century Schoolbook" w:hAnsi="Century Schoolbook"/>
              </w:rPr>
              <w:t>UBER TECHNOLOGIES, INC., et al.,</w:t>
            </w:r>
          </w:p>
          <w:p w:rsidR="00923C0B" w:rsidRPr="00B973EA" w:rsidP="00C775AE" w14:paraId="12C8459F" w14:textId="77777777">
            <w:pPr>
              <w:spacing w:after="120" w:line="240" w:lineRule="auto"/>
              <w:rPr>
                <w:rFonts w:ascii="Century Schoolbook" w:hAnsi="Century Schoolbook"/>
              </w:rPr>
            </w:pPr>
            <w:r w:rsidRPr="00B973EA">
              <w:rPr>
                <w:rFonts w:ascii="Century Schoolbook" w:hAnsi="Century Schoolbook"/>
              </w:rPr>
              <w:tab/>
            </w:r>
            <w:r>
              <w:rPr>
                <w:rFonts w:ascii="Century Schoolbook" w:hAnsi="Century Schoolbook"/>
              </w:rPr>
              <w:t xml:space="preserve">Defendants </w:t>
            </w:r>
            <w:r w:rsidRPr="00B973EA">
              <w:rPr>
                <w:rFonts w:ascii="Century Schoolbook" w:hAnsi="Century Schoolbook"/>
              </w:rPr>
              <w:t>and</w:t>
            </w:r>
            <w:r>
              <w:rPr>
                <w:rFonts w:ascii="Century Schoolbook" w:hAnsi="Century Schoolbook"/>
              </w:rPr>
              <w:t xml:space="preserve"> </w:t>
            </w:r>
            <w:r w:rsidRPr="00B973EA">
              <w:rPr>
                <w:rFonts w:ascii="Century Schoolbook" w:hAnsi="Century Schoolbook"/>
              </w:rPr>
              <w:t>Respondent</w:t>
            </w:r>
            <w:r>
              <w:rPr>
                <w:rFonts w:ascii="Century Schoolbook" w:hAnsi="Century Schoolbook"/>
              </w:rPr>
              <w:t>s</w:t>
            </w:r>
            <w:r w:rsidRPr="00B973EA">
              <w:rPr>
                <w:rFonts w:ascii="Century Schoolbook" w:hAnsi="Century Schoolbook"/>
              </w:rPr>
              <w:t>.</w:t>
            </w:r>
          </w:p>
        </w:tc>
        <w:tc>
          <w:tcPr>
            <w:tcW w:w="4680" w:type="dxa"/>
            <w:tcBorders>
              <w:left w:val="single" w:sz="4" w:space="0" w:color="auto"/>
            </w:tcBorders>
            <w:shd w:val="clear" w:color="auto" w:fill="auto"/>
          </w:tcPr>
          <w:p w:rsidR="00923C0B" w:rsidRPr="00B973EA" w:rsidP="00C775AE" w14:paraId="2823AFC4" w14:textId="77777777">
            <w:pPr>
              <w:spacing w:line="240" w:lineRule="auto"/>
              <w:rPr>
                <w:rFonts w:ascii="Century Schoolbook" w:hAnsi="Century Schoolbook"/>
              </w:rPr>
            </w:pPr>
          </w:p>
          <w:p w:rsidR="00923C0B" w:rsidRPr="00B973EA" w:rsidP="00C775AE" w14:paraId="7C1AC538" w14:textId="77777777">
            <w:pPr>
              <w:spacing w:line="240" w:lineRule="auto"/>
              <w:rPr>
                <w:rFonts w:ascii="Century Schoolbook" w:hAnsi="Century Schoolbook"/>
              </w:rPr>
            </w:pPr>
          </w:p>
          <w:p w:rsidR="00923C0B" w:rsidRPr="00B973EA" w:rsidP="00C775AE" w14:paraId="2A0CFF70" w14:textId="0C769AAD">
            <w:pPr>
              <w:spacing w:line="240" w:lineRule="auto"/>
              <w:rPr>
                <w:rFonts w:ascii="Century Schoolbook" w:hAnsi="Century Schoolbook"/>
              </w:rPr>
            </w:pPr>
            <w:r>
              <w:rPr>
                <w:rFonts w:ascii="Century Schoolbook" w:hAnsi="Century Schoolbook"/>
              </w:rPr>
              <w:t xml:space="preserve">      </w:t>
            </w:r>
            <w:r w:rsidRPr="00CF4CB4">
              <w:rPr>
                <w:rFonts w:ascii="Century Schoolbook" w:hAnsi="Century Schoolbook"/>
              </w:rPr>
              <w:t>A</w:t>
            </w:r>
            <w:r>
              <w:rPr>
                <w:rFonts w:ascii="Century Schoolbook" w:hAnsi="Century Schoolbook"/>
              </w:rPr>
              <w:t>167458</w:t>
            </w:r>
            <w:r w:rsidR="006A73FF">
              <w:rPr>
                <w:rFonts w:ascii="Century Schoolbook" w:hAnsi="Century Schoolbook"/>
              </w:rPr>
              <w:t xml:space="preserve">, </w:t>
            </w:r>
            <w:r>
              <w:rPr>
                <w:rFonts w:ascii="Century Schoolbook" w:hAnsi="Century Schoolbook"/>
              </w:rPr>
              <w:t>A167709</w:t>
            </w:r>
          </w:p>
          <w:p w:rsidR="00923C0B" w:rsidRPr="00B973EA" w:rsidP="00C775AE" w14:paraId="4FB03C89" w14:textId="77777777">
            <w:pPr>
              <w:spacing w:line="240" w:lineRule="auto"/>
              <w:rPr>
                <w:rFonts w:ascii="Century Schoolbook" w:hAnsi="Century Schoolbook"/>
              </w:rPr>
            </w:pPr>
          </w:p>
          <w:p w:rsidR="00923C0B" w:rsidRPr="00B973EA" w:rsidP="00C775AE" w14:paraId="370F2D3C" w14:textId="77777777">
            <w:pPr>
              <w:spacing w:line="240" w:lineRule="auto"/>
              <w:rPr>
                <w:rFonts w:ascii="Century Schoolbook" w:hAnsi="Century Schoolbook"/>
              </w:rPr>
            </w:pPr>
            <w:r>
              <w:rPr>
                <w:rFonts w:ascii="Century Schoolbook" w:hAnsi="Century Schoolbook"/>
              </w:rPr>
              <w:t xml:space="preserve">      </w:t>
            </w:r>
            <w:r w:rsidRPr="00B973EA">
              <w:rPr>
                <w:rFonts w:ascii="Century Schoolbook" w:hAnsi="Century Schoolbook"/>
              </w:rPr>
              <w:t>(</w:t>
            </w:r>
            <w:r>
              <w:rPr>
                <w:rFonts w:ascii="Century Schoolbook" w:hAnsi="Century Schoolbook"/>
              </w:rPr>
              <w:t xml:space="preserve">San Francisco City &amp; </w:t>
            </w:r>
            <w:r w:rsidRPr="00A22C40">
              <w:rPr>
                <w:rFonts w:ascii="Century Schoolbook" w:hAnsi="Century Schoolbook"/>
              </w:rPr>
              <w:t>County</w:t>
            </w:r>
          </w:p>
          <w:p w:rsidR="00923C0B" w:rsidRPr="00B973EA" w:rsidP="00C775AE" w14:paraId="5C472BFD" w14:textId="08BA2E1E">
            <w:pPr>
              <w:spacing w:line="240" w:lineRule="auto"/>
              <w:rPr>
                <w:rFonts w:ascii="Century Schoolbook" w:hAnsi="Century Schoolbook"/>
              </w:rPr>
            </w:pPr>
            <w:r>
              <w:rPr>
                <w:rFonts w:ascii="Century Schoolbook" w:hAnsi="Century Schoolbook"/>
              </w:rPr>
              <w:t xml:space="preserve">      </w:t>
            </w:r>
            <w:r w:rsidRPr="00B973EA">
              <w:rPr>
                <w:rFonts w:ascii="Century Schoolbook" w:hAnsi="Century Schoolbook"/>
              </w:rPr>
              <w:t>Super.</w:t>
            </w:r>
            <w:r>
              <w:rPr>
                <w:rFonts w:ascii="Century Schoolbook" w:hAnsi="Century Schoolbook"/>
              </w:rPr>
              <w:t xml:space="preserve"> </w:t>
            </w:r>
            <w:r w:rsidRPr="00B973EA">
              <w:rPr>
                <w:rFonts w:ascii="Century Schoolbook" w:hAnsi="Century Schoolbook"/>
              </w:rPr>
              <w:t>Ct.</w:t>
            </w:r>
            <w:r>
              <w:rPr>
                <w:rFonts w:ascii="Century Schoolbook" w:hAnsi="Century Schoolbook"/>
              </w:rPr>
              <w:t xml:space="preserve"> </w:t>
            </w:r>
            <w:r w:rsidRPr="00B973EA">
              <w:rPr>
                <w:rFonts w:ascii="Century Schoolbook" w:hAnsi="Century Schoolbook"/>
              </w:rPr>
              <w:t>No.</w:t>
            </w:r>
            <w:r>
              <w:rPr>
                <w:rFonts w:ascii="Century Schoolbook" w:hAnsi="Century Schoolbook"/>
              </w:rPr>
              <w:t xml:space="preserve"> CJC21005188</w:t>
            </w:r>
            <w:r w:rsidRPr="00B973EA">
              <w:rPr>
                <w:rFonts w:ascii="Century Schoolbook" w:hAnsi="Century Schoolbook"/>
              </w:rPr>
              <w:t>)</w:t>
            </w:r>
          </w:p>
          <w:p w:rsidR="00923C0B" w:rsidRPr="00B973EA" w:rsidP="00C775AE" w14:paraId="316F76E8" w14:textId="77777777">
            <w:pPr>
              <w:spacing w:line="240" w:lineRule="auto"/>
              <w:rPr>
                <w:rFonts w:ascii="Century Schoolbook" w:hAnsi="Century Schoolbook"/>
              </w:rPr>
            </w:pPr>
          </w:p>
        </w:tc>
      </w:tr>
    </w:tbl>
    <w:p w:rsidR="00E05470" w14:paraId="4EB1B5E4" w14:textId="77777777">
      <w:pPr>
        <w:rPr>
          <w:rFonts w:ascii="Century Schoolbook" w:hAnsi="Century Schoolbook"/>
        </w:rPr>
      </w:pPr>
      <w:r w:rsidRPr="00291D4A">
        <w:rPr>
          <w:rFonts w:ascii="Century Schoolbook" w:hAnsi="Century Schoolbook"/>
        </w:rPr>
        <w:tab/>
      </w:r>
      <w:r w:rsidRPr="00FC4015">
        <w:rPr>
          <w:rFonts w:ascii="Century Schoolbook" w:hAnsi="Century Schoolbook"/>
        </w:rPr>
        <w:t xml:space="preserve">In 2020, </w:t>
      </w:r>
      <w:r w:rsidRPr="00FC4015" w:rsidR="00291D4A">
        <w:rPr>
          <w:rFonts w:ascii="Century Schoolbook" w:hAnsi="Century Schoolbook"/>
        </w:rPr>
        <w:t xml:space="preserve">plaintiff </w:t>
      </w:r>
      <w:r w:rsidRPr="00FC4015">
        <w:rPr>
          <w:rFonts w:ascii="Century Schoolbook" w:hAnsi="Century Schoolbook"/>
        </w:rPr>
        <w:t>Jane Doe</w:t>
      </w:r>
      <w:r w:rsidR="001641C6">
        <w:rPr>
          <w:rFonts w:ascii="Century Schoolbook" w:hAnsi="Century Schoolbook"/>
        </w:rPr>
        <w:t xml:space="preserve"> (</w:t>
      </w:r>
      <w:r w:rsidR="00267DB7">
        <w:rPr>
          <w:rFonts w:ascii="Century Schoolbook" w:hAnsi="Century Schoolbook"/>
        </w:rPr>
        <w:t xml:space="preserve">later </w:t>
      </w:r>
      <w:r w:rsidR="001641C6">
        <w:rPr>
          <w:rFonts w:ascii="Century Schoolbook" w:hAnsi="Century Schoolbook"/>
        </w:rPr>
        <w:t>to become identified</w:t>
      </w:r>
      <w:r w:rsidR="00267DB7">
        <w:rPr>
          <w:rFonts w:ascii="Century Schoolbook" w:hAnsi="Century Schoolbook"/>
        </w:rPr>
        <w:t xml:space="preserve"> as Jane Doe</w:t>
      </w:r>
      <w:r w:rsidRPr="00FC4015">
        <w:rPr>
          <w:rFonts w:ascii="Century Schoolbook" w:hAnsi="Century Schoolbook"/>
        </w:rPr>
        <w:t xml:space="preserve"> </w:t>
      </w:r>
      <w:r w:rsidRPr="006B76A8">
        <w:rPr>
          <w:rFonts w:ascii="Century Schoolbook" w:hAnsi="Century Schoolbook"/>
        </w:rPr>
        <w:t>WHBE 3</w:t>
      </w:r>
      <w:r w:rsidR="001641C6">
        <w:rPr>
          <w:rFonts w:ascii="Century Schoolbook" w:hAnsi="Century Schoolbook"/>
        </w:rPr>
        <w:t xml:space="preserve">) </w:t>
      </w:r>
      <w:r w:rsidRPr="00FC4015">
        <w:rPr>
          <w:rFonts w:ascii="Century Schoolbook" w:hAnsi="Century Schoolbook"/>
        </w:rPr>
        <w:t xml:space="preserve">filed suit against </w:t>
      </w:r>
      <w:r w:rsidR="00D75538">
        <w:rPr>
          <w:rFonts w:ascii="Century Schoolbook" w:hAnsi="Century Schoolbook"/>
        </w:rPr>
        <w:t>Uber Technologies, Inc. and Raiser, LLC, its wholly owned subsidiary (together, Uber)</w:t>
      </w:r>
      <w:r w:rsidRPr="00FC4015">
        <w:rPr>
          <w:rFonts w:ascii="Century Schoolbook" w:hAnsi="Century Schoolbook"/>
        </w:rPr>
        <w:t xml:space="preserve"> in San Francisco Superior Court for claims arising out of an incident </w:t>
      </w:r>
      <w:r w:rsidRPr="00FC4015" w:rsidR="00D02DDC">
        <w:rPr>
          <w:rFonts w:ascii="Century Schoolbook" w:hAnsi="Century Schoolbook"/>
        </w:rPr>
        <w:t xml:space="preserve">in Hawaii </w:t>
      </w:r>
      <w:r w:rsidRPr="00FC4015">
        <w:rPr>
          <w:rFonts w:ascii="Century Schoolbook" w:hAnsi="Century Schoolbook"/>
        </w:rPr>
        <w:t xml:space="preserve">in which </w:t>
      </w:r>
      <w:r w:rsidR="00814A55">
        <w:rPr>
          <w:rFonts w:ascii="Century Schoolbook" w:hAnsi="Century Schoolbook"/>
        </w:rPr>
        <w:t xml:space="preserve">Doe </w:t>
      </w:r>
      <w:r w:rsidR="00806186">
        <w:rPr>
          <w:rFonts w:ascii="Century Schoolbook" w:hAnsi="Century Schoolbook"/>
        </w:rPr>
        <w:t xml:space="preserve">alleged she </w:t>
      </w:r>
      <w:r w:rsidRPr="00FC4015">
        <w:rPr>
          <w:rFonts w:ascii="Century Schoolbook" w:hAnsi="Century Schoolbook"/>
        </w:rPr>
        <w:t xml:space="preserve">was sexually assaulted by her Uber driver.  </w:t>
      </w:r>
      <w:r w:rsidR="001641C6">
        <w:rPr>
          <w:rFonts w:ascii="Century Schoolbook" w:hAnsi="Century Schoolbook"/>
        </w:rPr>
        <w:t xml:space="preserve">In 2021, </w:t>
      </w:r>
      <w:r w:rsidR="00267DB7">
        <w:rPr>
          <w:rFonts w:ascii="Century Schoolbook" w:hAnsi="Century Schoolbook"/>
        </w:rPr>
        <w:t>Jane Doe</w:t>
      </w:r>
      <w:r w:rsidRPr="00FC4015">
        <w:rPr>
          <w:rFonts w:ascii="Century Schoolbook" w:hAnsi="Century Schoolbook"/>
        </w:rPr>
        <w:t xml:space="preserve"> LSA 35</w:t>
      </w:r>
      <w:r w:rsidR="00160860">
        <w:rPr>
          <w:rFonts w:ascii="Century Schoolbook" w:hAnsi="Century Schoolbook"/>
        </w:rPr>
        <w:t xml:space="preserve"> </w:t>
      </w:r>
      <w:r w:rsidRPr="00FC4015">
        <w:rPr>
          <w:rFonts w:ascii="Century Schoolbook" w:hAnsi="Century Schoolbook"/>
        </w:rPr>
        <w:t xml:space="preserve">filed a similar suit </w:t>
      </w:r>
      <w:r w:rsidRPr="00FC4015" w:rsidR="00D02DDC">
        <w:rPr>
          <w:rFonts w:ascii="Century Schoolbook" w:hAnsi="Century Schoolbook"/>
        </w:rPr>
        <w:t>alleging that she was sexually assaulted by her</w:t>
      </w:r>
      <w:r w:rsidR="00D02DDC">
        <w:rPr>
          <w:rFonts w:ascii="Century Schoolbook" w:hAnsi="Century Schoolbook"/>
        </w:rPr>
        <w:t xml:space="preserve"> Uber driver in Texas</w:t>
      </w:r>
      <w:r>
        <w:rPr>
          <w:rFonts w:ascii="Century Schoolbook" w:hAnsi="Century Schoolbook"/>
        </w:rPr>
        <w:t xml:space="preserve">.  </w:t>
      </w:r>
      <w:r w:rsidR="00D02DDC">
        <w:rPr>
          <w:rFonts w:ascii="Century Schoolbook" w:hAnsi="Century Schoolbook"/>
        </w:rPr>
        <w:t xml:space="preserve">Their cases, along with hundreds of others, were eventually coordinated before one </w:t>
      </w:r>
      <w:r w:rsidR="00752917">
        <w:rPr>
          <w:rFonts w:ascii="Century Schoolbook" w:hAnsi="Century Schoolbook"/>
        </w:rPr>
        <w:t xml:space="preserve">coordination trial </w:t>
      </w:r>
      <w:r w:rsidR="00D02DDC">
        <w:rPr>
          <w:rFonts w:ascii="Century Schoolbook" w:hAnsi="Century Schoolbook"/>
        </w:rPr>
        <w:t xml:space="preserve">judge </w:t>
      </w:r>
      <w:r w:rsidR="009338B8">
        <w:rPr>
          <w:rFonts w:ascii="Century Schoolbook" w:hAnsi="Century Schoolbook"/>
        </w:rPr>
        <w:t>of</w:t>
      </w:r>
      <w:r w:rsidR="00D02DDC">
        <w:rPr>
          <w:rFonts w:ascii="Century Schoolbook" w:hAnsi="Century Schoolbook"/>
        </w:rPr>
        <w:t xml:space="preserve"> the San Francisco Superior Court.  </w:t>
      </w:r>
    </w:p>
    <w:p w:rsidR="00267DB7" w14:paraId="0B2D86C1" w14:textId="129BD6FB">
      <w:pPr>
        <w:rPr>
          <w:rFonts w:ascii="Century Schoolbook" w:hAnsi="Century Schoolbook"/>
        </w:rPr>
      </w:pPr>
      <w:r>
        <w:rPr>
          <w:rFonts w:ascii="Century Schoolbook" w:hAnsi="Century Schoolbook"/>
        </w:rPr>
        <w:tab/>
      </w:r>
      <w:r w:rsidR="00D75538">
        <w:rPr>
          <w:rFonts w:ascii="Century Schoolbook" w:hAnsi="Century Schoolbook"/>
        </w:rPr>
        <w:t>Uber</w:t>
      </w:r>
      <w:r w:rsidR="00D02DDC">
        <w:rPr>
          <w:rFonts w:ascii="Century Schoolbook" w:hAnsi="Century Schoolbook"/>
        </w:rPr>
        <w:t xml:space="preserve"> moved to stay </w:t>
      </w:r>
      <w:r w:rsidR="005C3386">
        <w:rPr>
          <w:rFonts w:ascii="Century Schoolbook" w:hAnsi="Century Schoolbook"/>
        </w:rPr>
        <w:t xml:space="preserve">the </w:t>
      </w:r>
      <w:r w:rsidR="00D02DDC">
        <w:rPr>
          <w:rFonts w:ascii="Century Schoolbook" w:hAnsi="Century Schoolbook"/>
        </w:rPr>
        <w:t>cases on the ground of forum non conveniens</w:t>
      </w:r>
      <w:r w:rsidR="005E5FAE">
        <w:rPr>
          <w:rFonts w:ascii="Century Schoolbook" w:hAnsi="Century Schoolbook"/>
        </w:rPr>
        <w:t xml:space="preserve">, and </w:t>
      </w:r>
      <w:r w:rsidR="00D75538">
        <w:rPr>
          <w:rFonts w:ascii="Century Schoolbook" w:hAnsi="Century Schoolbook"/>
        </w:rPr>
        <w:t>in a comprehensive 21-page order the trial court granted the motions.  T</w:t>
      </w:r>
      <w:r w:rsidR="005E5FAE">
        <w:rPr>
          <w:rFonts w:ascii="Century Schoolbook" w:hAnsi="Century Schoolbook"/>
        </w:rPr>
        <w:t>he trial court subsequently entered the parties’ agreed-upon order applying the ruling to a vast number of “non-California cases,” where the alleged incident took place outside California</w:t>
      </w:r>
      <w:r w:rsidR="00FC4015">
        <w:rPr>
          <w:rFonts w:ascii="Century Schoolbook" w:hAnsi="Century Schoolbook"/>
        </w:rPr>
        <w:t>, the alleged assailant resides outside California,</w:t>
      </w:r>
      <w:r w:rsidR="005E5FAE">
        <w:rPr>
          <w:rFonts w:ascii="Century Schoolbook" w:hAnsi="Century Schoolbook"/>
        </w:rPr>
        <w:t xml:space="preserve"> and the plaintiffs either were not California residents or became </w:t>
      </w:r>
      <w:r w:rsidR="005E5FAE">
        <w:rPr>
          <w:rFonts w:ascii="Century Schoolbook" w:hAnsi="Century Schoolbook"/>
        </w:rPr>
        <w:t xml:space="preserve">California residents </w:t>
      </w:r>
      <w:r w:rsidR="001641C6">
        <w:rPr>
          <w:rFonts w:ascii="Century Schoolbook" w:hAnsi="Century Schoolbook"/>
        </w:rPr>
        <w:t xml:space="preserve">only </w:t>
      </w:r>
      <w:r w:rsidR="005E5FAE">
        <w:rPr>
          <w:rFonts w:ascii="Century Schoolbook" w:hAnsi="Century Schoolbook"/>
        </w:rPr>
        <w:t>after the alleged incident.  The agreed-upon order stayed the non-California cases</w:t>
      </w:r>
      <w:r w:rsidR="00806186">
        <w:rPr>
          <w:rFonts w:ascii="Century Schoolbook" w:hAnsi="Century Schoolbook"/>
        </w:rPr>
        <w:t xml:space="preserve"> and </w:t>
      </w:r>
      <w:r w:rsidR="005E5FAE">
        <w:rPr>
          <w:rFonts w:ascii="Century Schoolbook" w:hAnsi="Century Schoolbook"/>
        </w:rPr>
        <w:t>provided for tolling of the statute of limitations</w:t>
      </w:r>
      <w:r w:rsidR="00806186">
        <w:rPr>
          <w:rFonts w:ascii="Century Schoolbook" w:hAnsi="Century Schoolbook"/>
        </w:rPr>
        <w:t>.</w:t>
      </w:r>
      <w:r w:rsidR="00291D4A">
        <w:rPr>
          <w:rFonts w:ascii="Century Schoolbook" w:hAnsi="Century Schoolbook"/>
        </w:rPr>
        <w:t xml:space="preserve"> </w:t>
      </w:r>
    </w:p>
    <w:p w:rsidR="00923C0B" w:rsidRPr="006E37D2" w14:paraId="65CB9587" w14:textId="1953A085">
      <w:pPr>
        <w:rPr>
          <w:rFonts w:ascii="Century Schoolbook" w:hAnsi="Century Schoolbook"/>
        </w:rPr>
      </w:pPr>
      <w:r>
        <w:rPr>
          <w:rFonts w:ascii="Century Schoolbook" w:hAnsi="Century Schoolbook"/>
        </w:rPr>
        <w:tab/>
      </w:r>
      <w:r w:rsidR="00291D4A">
        <w:rPr>
          <w:rFonts w:ascii="Century Schoolbook" w:hAnsi="Century Schoolbook"/>
        </w:rPr>
        <w:t>Plaintiffs appeal both the trial court’s forum non conveniens order and the agreed-upon order applying it to the non-California cases</w:t>
      </w:r>
      <w:r w:rsidR="00D75538">
        <w:rPr>
          <w:rFonts w:ascii="Century Schoolbook" w:hAnsi="Century Schoolbook"/>
        </w:rPr>
        <w:t xml:space="preserve">, asserting </w:t>
      </w:r>
      <w:r w:rsidR="007B49F9">
        <w:rPr>
          <w:rFonts w:ascii="Century Schoolbook" w:hAnsi="Century Schoolbook"/>
        </w:rPr>
        <w:t>that the trial court erred in</w:t>
      </w:r>
      <w:r w:rsidR="00806186">
        <w:rPr>
          <w:rFonts w:ascii="Century Schoolbook" w:hAnsi="Century Schoolbook"/>
        </w:rPr>
        <w:t xml:space="preserve">: </w:t>
      </w:r>
      <w:r w:rsidR="007B49F9">
        <w:rPr>
          <w:rFonts w:ascii="Century Schoolbook" w:hAnsi="Century Schoolbook"/>
        </w:rPr>
        <w:t xml:space="preserve"> failing to “ensure that a suit</w:t>
      </w:r>
      <w:r w:rsidR="00A720F6">
        <w:rPr>
          <w:rFonts w:ascii="Century Schoolbook" w:hAnsi="Century Schoolbook"/>
        </w:rPr>
        <w:t>ab</w:t>
      </w:r>
      <w:r w:rsidR="007B49F9">
        <w:rPr>
          <w:rFonts w:ascii="Century Schoolbook" w:hAnsi="Century Schoolbook"/>
        </w:rPr>
        <w:t>le alternative forum</w:t>
      </w:r>
      <w:r w:rsidR="00A720F6">
        <w:rPr>
          <w:rFonts w:ascii="Century Schoolbook" w:hAnsi="Century Schoolbook"/>
        </w:rPr>
        <w:t xml:space="preserve"> existed for </w:t>
      </w:r>
      <w:r w:rsidR="004E2B38">
        <w:rPr>
          <w:rFonts w:ascii="Century Schoolbook" w:hAnsi="Century Schoolbook"/>
        </w:rPr>
        <w:t xml:space="preserve">all </w:t>
      </w:r>
      <w:r w:rsidR="00A720F6">
        <w:rPr>
          <w:rFonts w:ascii="Century Schoolbook" w:hAnsi="Century Schoolbook"/>
        </w:rPr>
        <w:t xml:space="preserve">the affected cases”; </w:t>
      </w:r>
      <w:r w:rsidR="00526F3B">
        <w:rPr>
          <w:rFonts w:ascii="Century Schoolbook" w:hAnsi="Century Schoolbook"/>
        </w:rPr>
        <w:t xml:space="preserve">failing to require Uber to demonstrate that California was a “seriously inconvenient” forum; </w:t>
      </w:r>
      <w:r w:rsidR="00E57ACF">
        <w:rPr>
          <w:rFonts w:ascii="Century Schoolbook" w:hAnsi="Century Schoolbook"/>
        </w:rPr>
        <w:t xml:space="preserve">failing to begin from the presumption that California was a convenient forum; </w:t>
      </w:r>
      <w:r w:rsidR="009C0E87">
        <w:rPr>
          <w:rFonts w:ascii="Century Schoolbook" w:hAnsi="Century Schoolbook"/>
        </w:rPr>
        <w:t xml:space="preserve">and </w:t>
      </w:r>
      <w:r w:rsidR="00E57ACF">
        <w:rPr>
          <w:rFonts w:ascii="Century Schoolbook" w:hAnsi="Century Schoolbook"/>
        </w:rPr>
        <w:t xml:space="preserve">failing to </w:t>
      </w:r>
      <w:r w:rsidR="00157B1D">
        <w:rPr>
          <w:rFonts w:ascii="Century Schoolbook" w:hAnsi="Century Schoolbook"/>
        </w:rPr>
        <w:t xml:space="preserve">“accord the </w:t>
      </w:r>
      <w:r w:rsidR="00512C8D">
        <w:rPr>
          <w:rFonts w:ascii="Century Schoolbook" w:hAnsi="Century Schoolbook"/>
        </w:rPr>
        <w:t>coo</w:t>
      </w:r>
      <w:r w:rsidR="008D76C1">
        <w:rPr>
          <w:rFonts w:ascii="Century Schoolbook" w:hAnsi="Century Schoolbook"/>
        </w:rPr>
        <w:t>rdination order proper deference</w:t>
      </w:r>
      <w:r w:rsidR="009C0E87">
        <w:rPr>
          <w:rFonts w:ascii="Century Schoolbook" w:hAnsi="Century Schoolbook"/>
        </w:rPr>
        <w:t>.</w:t>
      </w:r>
      <w:r w:rsidR="00806186">
        <w:rPr>
          <w:rFonts w:ascii="Century Schoolbook" w:hAnsi="Century Schoolbook"/>
        </w:rPr>
        <w:t>”</w:t>
      </w:r>
      <w:r w:rsidR="009C0E87">
        <w:rPr>
          <w:rFonts w:ascii="Century Schoolbook" w:hAnsi="Century Schoolbook"/>
        </w:rPr>
        <w:t xml:space="preserve">  Plaintiffs also assert </w:t>
      </w:r>
      <w:r w:rsidR="00B162A5">
        <w:rPr>
          <w:rFonts w:ascii="Century Schoolbook" w:hAnsi="Century Schoolbook"/>
        </w:rPr>
        <w:t>that Uber’s terms of use require it to honor plaintiffs’ choice of forum</w:t>
      </w:r>
      <w:r w:rsidR="001641C6">
        <w:rPr>
          <w:rFonts w:ascii="Century Schoolbook" w:hAnsi="Century Schoolbook"/>
        </w:rPr>
        <w:t xml:space="preserve">.  We </w:t>
      </w:r>
      <w:r w:rsidR="00806186">
        <w:rPr>
          <w:rFonts w:ascii="Century Schoolbook" w:hAnsi="Century Schoolbook"/>
        </w:rPr>
        <w:t xml:space="preserve">conclude that none of </w:t>
      </w:r>
      <w:r w:rsidR="001641C6">
        <w:rPr>
          <w:rFonts w:ascii="Century Schoolbook" w:hAnsi="Century Schoolbook"/>
        </w:rPr>
        <w:t>the claims</w:t>
      </w:r>
      <w:r w:rsidR="00806186">
        <w:rPr>
          <w:rFonts w:ascii="Century Schoolbook" w:hAnsi="Century Schoolbook"/>
        </w:rPr>
        <w:t xml:space="preserve"> has merit</w:t>
      </w:r>
      <w:r w:rsidR="001641C6">
        <w:rPr>
          <w:rFonts w:ascii="Century Schoolbook" w:hAnsi="Century Schoolbook"/>
        </w:rPr>
        <w:t xml:space="preserve">, and </w:t>
      </w:r>
      <w:r w:rsidR="00806186">
        <w:rPr>
          <w:rFonts w:ascii="Century Schoolbook" w:hAnsi="Century Schoolbook"/>
        </w:rPr>
        <w:t xml:space="preserve">we </w:t>
      </w:r>
      <w:r w:rsidR="001641C6">
        <w:rPr>
          <w:rFonts w:ascii="Century Schoolbook" w:hAnsi="Century Schoolbook"/>
        </w:rPr>
        <w:t>affirm.</w:t>
      </w:r>
      <w:r w:rsidR="00D75538">
        <w:rPr>
          <w:rFonts w:ascii="Century Schoolbook" w:hAnsi="Century Schoolbook"/>
        </w:rPr>
        <w:t xml:space="preserve"> </w:t>
      </w:r>
      <w:r w:rsidR="006E37D2">
        <w:rPr>
          <w:rFonts w:ascii="Century Schoolbook" w:hAnsi="Century Schoolbook"/>
        </w:rPr>
        <w:t xml:space="preserve"> </w:t>
      </w:r>
    </w:p>
    <w:p w:rsidR="00A826B4" w:rsidP="0026040F" w14:paraId="583DEE7F" w14:textId="23A690DA">
      <w:pPr>
        <w:spacing w:after="120"/>
        <w:jc w:val="center"/>
        <w:rPr>
          <w:rFonts w:ascii="Century Schoolbook" w:hAnsi="Century Schoolbook"/>
          <w:b/>
          <w:bCs/>
        </w:rPr>
      </w:pPr>
      <w:r w:rsidRPr="00A826B4">
        <w:rPr>
          <w:rFonts w:ascii="Century Schoolbook" w:hAnsi="Century Schoolbook"/>
          <w:b/>
          <w:bCs/>
        </w:rPr>
        <w:t>BACKGROUND</w:t>
      </w:r>
    </w:p>
    <w:p w:rsidR="0026040F" w:rsidP="0026040F" w14:paraId="5704444C" w14:textId="49804B9E">
      <w:pPr>
        <w:spacing w:line="240" w:lineRule="auto"/>
        <w:rPr>
          <w:rFonts w:ascii="Century Schoolbook" w:hAnsi="Century Schoolbook"/>
          <w:b/>
          <w:bCs/>
        </w:rPr>
      </w:pPr>
      <w:r>
        <w:rPr>
          <w:rFonts w:ascii="Century Schoolbook" w:hAnsi="Century Schoolbook"/>
          <w:b/>
          <w:bCs/>
        </w:rPr>
        <w:tab/>
        <w:t>Jane Doe WHBE 3, Jane Doe LSA 35, and the Petition for Coordination</w:t>
      </w:r>
    </w:p>
    <w:p w:rsidR="00806186" w:rsidP="00D01004" w14:paraId="0F231512" w14:textId="3B1D9B80">
      <w:pPr>
        <w:rPr>
          <w:rFonts w:ascii="Century Schoolbook" w:hAnsi="Century Schoolbook"/>
        </w:rPr>
      </w:pPr>
      <w:r>
        <w:rPr>
          <w:rFonts w:ascii="Century Schoolbook" w:hAnsi="Century Schoolbook"/>
          <w:b/>
          <w:bCs/>
        </w:rPr>
        <w:tab/>
      </w:r>
      <w:r w:rsidR="00C80AA3">
        <w:rPr>
          <w:rFonts w:ascii="Century Schoolbook" w:hAnsi="Century Schoolbook"/>
        </w:rPr>
        <w:t xml:space="preserve">On June 8, 2020, </w:t>
      </w:r>
      <w:r w:rsidRPr="00D01004" w:rsidR="00D01004">
        <w:rPr>
          <w:rFonts w:ascii="Century Schoolbook" w:hAnsi="Century Schoolbook"/>
        </w:rPr>
        <w:t>Jane Doe WHBE 3</w:t>
      </w:r>
      <w:r>
        <w:rPr>
          <w:rStyle w:val="FootnoteReference"/>
          <w:rFonts w:ascii="Century Schoolbook" w:hAnsi="Century Schoolbook"/>
        </w:rPr>
        <w:footnoteReference w:id="2"/>
      </w:r>
      <w:r w:rsidRPr="00D01004" w:rsidR="00D01004">
        <w:rPr>
          <w:rFonts w:ascii="Century Schoolbook" w:hAnsi="Century Schoolbook"/>
        </w:rPr>
        <w:t xml:space="preserve"> filed </w:t>
      </w:r>
      <w:r w:rsidR="00C80AA3">
        <w:rPr>
          <w:rFonts w:ascii="Century Schoolbook" w:hAnsi="Century Schoolbook"/>
        </w:rPr>
        <w:t xml:space="preserve">suit against Uber </w:t>
      </w:r>
      <w:r w:rsidRPr="00D01004" w:rsidR="00D01004">
        <w:rPr>
          <w:rFonts w:ascii="Century Schoolbook" w:hAnsi="Century Schoolbook"/>
        </w:rPr>
        <w:t>in San Francisco Superior Court</w:t>
      </w:r>
      <w:r w:rsidR="00C80AA3">
        <w:rPr>
          <w:rFonts w:ascii="Century Schoolbook" w:hAnsi="Century Schoolbook"/>
        </w:rPr>
        <w:t xml:space="preserve"> for negligence, fraud, assault, sexual battery, false imprisonment, and other claims</w:t>
      </w:r>
      <w:r w:rsidRPr="00D01004" w:rsidR="00D01004">
        <w:rPr>
          <w:rFonts w:ascii="Century Schoolbook" w:hAnsi="Century Schoolbook"/>
        </w:rPr>
        <w:t xml:space="preserve">.  </w:t>
      </w:r>
      <w:r w:rsidR="00160860">
        <w:rPr>
          <w:rFonts w:ascii="Century Schoolbook" w:hAnsi="Century Schoolbook"/>
        </w:rPr>
        <w:t>She</w:t>
      </w:r>
      <w:r w:rsidR="00C80AA3">
        <w:rPr>
          <w:rFonts w:ascii="Century Schoolbook" w:hAnsi="Century Schoolbook"/>
        </w:rPr>
        <w:t xml:space="preserve"> alleged she </w:t>
      </w:r>
      <w:r w:rsidR="007D4F75">
        <w:rPr>
          <w:rFonts w:ascii="Century Schoolbook" w:hAnsi="Century Schoolbook"/>
        </w:rPr>
        <w:t xml:space="preserve">was a resident of Fresno County, </w:t>
      </w:r>
      <w:r w:rsidR="00C80AA3">
        <w:rPr>
          <w:rFonts w:ascii="Century Schoolbook" w:hAnsi="Century Schoolbook"/>
        </w:rPr>
        <w:t>“grew up in California and is a lifelong California resident</w:t>
      </w:r>
      <w:r w:rsidR="007D4F75">
        <w:rPr>
          <w:rFonts w:ascii="Century Schoolbook" w:hAnsi="Century Schoolbook"/>
        </w:rPr>
        <w:t>,</w:t>
      </w:r>
      <w:r w:rsidR="00C80AA3">
        <w:rPr>
          <w:rFonts w:ascii="Century Schoolbook" w:hAnsi="Century Schoolbook"/>
        </w:rPr>
        <w:t xml:space="preserve">” </w:t>
      </w:r>
      <w:r w:rsidR="007D4F75">
        <w:rPr>
          <w:rFonts w:ascii="Century Schoolbook" w:hAnsi="Century Schoolbook"/>
        </w:rPr>
        <w:t xml:space="preserve">and had been sexually assaulted by </w:t>
      </w:r>
      <w:r w:rsidR="004F533F">
        <w:rPr>
          <w:rFonts w:ascii="Century Schoolbook" w:hAnsi="Century Schoolbook"/>
        </w:rPr>
        <w:t>her</w:t>
      </w:r>
      <w:r w:rsidR="007D4F75">
        <w:rPr>
          <w:rFonts w:ascii="Century Schoolbook" w:hAnsi="Century Schoolbook"/>
        </w:rPr>
        <w:t xml:space="preserve"> Uber driver in Hawaii on January 13, 2020.  </w:t>
      </w:r>
    </w:p>
    <w:p w:rsidR="00D01004" w:rsidP="00D01004" w14:paraId="2195EA87" w14:textId="2F42D895">
      <w:pPr>
        <w:rPr>
          <w:rFonts w:ascii="Century Schoolbook" w:hAnsi="Century Schoolbook"/>
        </w:rPr>
      </w:pPr>
      <w:r>
        <w:rPr>
          <w:rFonts w:ascii="Century Schoolbook" w:hAnsi="Century Schoolbook"/>
        </w:rPr>
        <w:tab/>
      </w:r>
      <w:r w:rsidRPr="00D01004">
        <w:rPr>
          <w:rFonts w:ascii="Century Schoolbook" w:hAnsi="Century Schoolbook"/>
        </w:rPr>
        <w:t>On June 16, 2021, Jane Doe LSA 35</w:t>
      </w:r>
      <w:r>
        <w:rPr>
          <w:rStyle w:val="FootnoteReference"/>
          <w:rFonts w:ascii="Century Schoolbook" w:hAnsi="Century Schoolbook"/>
        </w:rPr>
        <w:footnoteReference w:id="3"/>
      </w:r>
      <w:r w:rsidRPr="00D01004">
        <w:rPr>
          <w:rFonts w:ascii="Century Schoolbook" w:hAnsi="Century Schoolbook"/>
        </w:rPr>
        <w:t xml:space="preserve"> filed </w:t>
      </w:r>
      <w:r w:rsidR="004F533F">
        <w:rPr>
          <w:rFonts w:ascii="Century Schoolbook" w:hAnsi="Century Schoolbook"/>
        </w:rPr>
        <w:t>a similar</w:t>
      </w:r>
      <w:r w:rsidRPr="00D01004">
        <w:rPr>
          <w:rFonts w:ascii="Century Schoolbook" w:hAnsi="Century Schoolbook"/>
        </w:rPr>
        <w:t xml:space="preserve"> complaint in San</w:t>
      </w:r>
      <w:r>
        <w:rPr>
          <w:rFonts w:ascii="Century Schoolbook" w:hAnsi="Century Schoolbook"/>
        </w:rPr>
        <w:t xml:space="preserve"> </w:t>
      </w:r>
      <w:r w:rsidRPr="00D01004">
        <w:rPr>
          <w:rFonts w:ascii="Century Schoolbook" w:hAnsi="Century Schoolbook"/>
        </w:rPr>
        <w:t xml:space="preserve">Francisco Superior Court. </w:t>
      </w:r>
      <w:r>
        <w:rPr>
          <w:rFonts w:ascii="Century Schoolbook" w:hAnsi="Century Schoolbook"/>
        </w:rPr>
        <w:t xml:space="preserve"> </w:t>
      </w:r>
      <w:r w:rsidR="004A7322">
        <w:rPr>
          <w:rFonts w:ascii="Century Schoolbook" w:hAnsi="Century Schoolbook"/>
        </w:rPr>
        <w:t xml:space="preserve">She alleged that she was sexually assaulted by an Uber driver </w:t>
      </w:r>
      <w:r w:rsidRPr="00D01004">
        <w:rPr>
          <w:rFonts w:ascii="Century Schoolbook" w:hAnsi="Century Schoolbook"/>
        </w:rPr>
        <w:t>in November 2017.</w:t>
      </w:r>
      <w:r>
        <w:rPr>
          <w:rFonts w:ascii="Century Schoolbook" w:hAnsi="Century Schoolbook"/>
        </w:rPr>
        <w:t xml:space="preserve"> </w:t>
      </w:r>
      <w:r w:rsidRPr="00D01004">
        <w:rPr>
          <w:rFonts w:ascii="Century Schoolbook" w:hAnsi="Century Schoolbook"/>
        </w:rPr>
        <w:t xml:space="preserve"> </w:t>
      </w:r>
    </w:p>
    <w:p w:rsidR="00D01004" w:rsidP="00BB2718" w14:paraId="64F3C84D" w14:textId="319284E7">
      <w:pPr>
        <w:rPr>
          <w:rFonts w:ascii="Century Schoolbook" w:hAnsi="Century Schoolbook"/>
        </w:rPr>
      </w:pPr>
      <w:r>
        <w:rPr>
          <w:rFonts w:ascii="Century Schoolbook" w:hAnsi="Century Schoolbook"/>
        </w:rPr>
        <w:tab/>
      </w:r>
      <w:r w:rsidRPr="00D01004">
        <w:rPr>
          <w:rFonts w:ascii="Century Schoolbook" w:hAnsi="Century Schoolbook"/>
        </w:rPr>
        <w:t xml:space="preserve">On June 28, 2021, Jane Doe LSA 1, </w:t>
      </w:r>
      <w:r w:rsidR="004A7322">
        <w:rPr>
          <w:rFonts w:ascii="Century Schoolbook" w:hAnsi="Century Schoolbook"/>
        </w:rPr>
        <w:t xml:space="preserve">the </w:t>
      </w:r>
      <w:r w:rsidRPr="00D01004">
        <w:rPr>
          <w:rFonts w:ascii="Century Schoolbook" w:hAnsi="Century Schoolbook"/>
        </w:rPr>
        <w:t xml:space="preserve">plaintiff in </w:t>
      </w:r>
      <w:r w:rsidR="00160860">
        <w:rPr>
          <w:rFonts w:ascii="Century Schoolbook" w:hAnsi="Century Schoolbook"/>
        </w:rPr>
        <w:t>another case</w:t>
      </w:r>
      <w:r w:rsidR="001641C6">
        <w:rPr>
          <w:rFonts w:ascii="Century Schoolbook" w:hAnsi="Century Schoolbook"/>
        </w:rPr>
        <w:t xml:space="preserve"> in </w:t>
      </w:r>
      <w:r w:rsidRPr="00D01004" w:rsidR="001641C6">
        <w:rPr>
          <w:rFonts w:ascii="Century Schoolbook" w:hAnsi="Century Schoolbook"/>
        </w:rPr>
        <w:t>San Francisco Superior Court</w:t>
      </w:r>
      <w:r w:rsidR="00806186">
        <w:rPr>
          <w:rFonts w:ascii="Century Schoolbook" w:hAnsi="Century Schoolbook"/>
        </w:rPr>
        <w:t>,</w:t>
      </w:r>
      <w:r w:rsidR="006F4359">
        <w:rPr>
          <w:rFonts w:ascii="Century Schoolbook" w:hAnsi="Century Schoolbook"/>
        </w:rPr>
        <w:t xml:space="preserve"> </w:t>
      </w:r>
      <w:r w:rsidRPr="00D01004">
        <w:rPr>
          <w:rFonts w:ascii="Century Schoolbook" w:hAnsi="Century Schoolbook"/>
        </w:rPr>
        <w:t>submitted</w:t>
      </w:r>
      <w:r w:rsidR="006F4359">
        <w:rPr>
          <w:rFonts w:ascii="Century Schoolbook" w:hAnsi="Century Schoolbook"/>
        </w:rPr>
        <w:t xml:space="preserve"> </w:t>
      </w:r>
      <w:r w:rsidRPr="00D01004" w:rsidR="006F4359">
        <w:rPr>
          <w:rFonts w:ascii="Century Schoolbook" w:hAnsi="Century Schoolbook"/>
        </w:rPr>
        <w:t>to the Chair of</w:t>
      </w:r>
      <w:r w:rsidR="006F4359">
        <w:rPr>
          <w:rFonts w:ascii="Century Schoolbook" w:hAnsi="Century Schoolbook"/>
        </w:rPr>
        <w:t xml:space="preserve"> </w:t>
      </w:r>
      <w:r w:rsidR="00F01A2A">
        <w:rPr>
          <w:rFonts w:ascii="Century Schoolbook" w:hAnsi="Century Schoolbook"/>
        </w:rPr>
        <w:t xml:space="preserve">the </w:t>
      </w:r>
      <w:r w:rsidRPr="00D01004" w:rsidR="006F4359">
        <w:rPr>
          <w:rFonts w:ascii="Century Schoolbook" w:hAnsi="Century Schoolbook"/>
        </w:rPr>
        <w:t>Judicial Council</w:t>
      </w:r>
      <w:r w:rsidRPr="00D01004">
        <w:rPr>
          <w:rFonts w:ascii="Century Schoolbook" w:hAnsi="Century Schoolbook"/>
        </w:rPr>
        <w:t xml:space="preserve"> </w:t>
      </w:r>
      <w:r w:rsidR="004A7322">
        <w:rPr>
          <w:rFonts w:ascii="Century Schoolbook" w:hAnsi="Century Schoolbook"/>
        </w:rPr>
        <w:t>a</w:t>
      </w:r>
      <w:r w:rsidRPr="00D01004">
        <w:rPr>
          <w:rFonts w:ascii="Century Schoolbook" w:hAnsi="Century Schoolbook"/>
        </w:rPr>
        <w:t xml:space="preserve"> petition for coordination,</w:t>
      </w:r>
      <w:r>
        <w:rPr>
          <w:rFonts w:ascii="Century Schoolbook" w:hAnsi="Century Schoolbook"/>
        </w:rPr>
        <w:t xml:space="preserve"> </w:t>
      </w:r>
      <w:r w:rsidRPr="00D01004">
        <w:rPr>
          <w:rFonts w:ascii="Century Schoolbook" w:hAnsi="Century Schoolbook"/>
        </w:rPr>
        <w:t>designation as complex</w:t>
      </w:r>
      <w:r w:rsidR="004A7322">
        <w:rPr>
          <w:rFonts w:ascii="Century Schoolbook" w:hAnsi="Century Schoolbook"/>
        </w:rPr>
        <w:t>,</w:t>
      </w:r>
      <w:r w:rsidRPr="00D01004">
        <w:rPr>
          <w:rFonts w:ascii="Century Schoolbook" w:hAnsi="Century Schoolbook"/>
        </w:rPr>
        <w:t xml:space="preserve"> and application for a stay</w:t>
      </w:r>
      <w:r w:rsidR="00806186">
        <w:rPr>
          <w:rFonts w:ascii="Century Schoolbook" w:hAnsi="Century Schoolbook"/>
        </w:rPr>
        <w:t>,</w:t>
      </w:r>
      <w:r w:rsidRPr="00D01004">
        <w:rPr>
          <w:rFonts w:ascii="Century Schoolbook" w:hAnsi="Century Schoolbook"/>
        </w:rPr>
        <w:t xml:space="preserve"> </w:t>
      </w:r>
      <w:r w:rsidR="00F3426C">
        <w:rPr>
          <w:rFonts w:ascii="Century Schoolbook" w:hAnsi="Century Schoolbook"/>
        </w:rPr>
        <w:t>pursuant</w:t>
      </w:r>
      <w:r w:rsidR="004A7322">
        <w:rPr>
          <w:rFonts w:ascii="Century Schoolbook" w:hAnsi="Century Schoolbook"/>
        </w:rPr>
        <w:t xml:space="preserve"> to </w:t>
      </w:r>
      <w:r w:rsidRPr="00D01004" w:rsidR="00656523">
        <w:rPr>
          <w:rFonts w:ascii="Century Schoolbook" w:hAnsi="Century Schoolbook"/>
        </w:rPr>
        <w:t>Code of Civil Procedure section</w:t>
      </w:r>
      <w:r w:rsidR="00656523">
        <w:rPr>
          <w:rFonts w:ascii="Century Schoolbook" w:hAnsi="Century Schoolbook"/>
        </w:rPr>
        <w:t>s 404 and</w:t>
      </w:r>
      <w:r w:rsidRPr="00D01004" w:rsidR="00656523">
        <w:rPr>
          <w:rFonts w:ascii="Century Schoolbook" w:hAnsi="Century Schoolbook"/>
        </w:rPr>
        <w:t xml:space="preserve"> 404.1.</w:t>
      </w:r>
      <w:r>
        <w:rPr>
          <w:rStyle w:val="FootnoteReference"/>
          <w:rFonts w:ascii="Century Schoolbook" w:hAnsi="Century Schoolbook"/>
        </w:rPr>
        <w:footnoteReference w:id="4"/>
      </w:r>
      <w:r w:rsidR="00656523">
        <w:rPr>
          <w:rFonts w:ascii="Century Schoolbook" w:hAnsi="Century Schoolbook"/>
        </w:rPr>
        <w:t xml:space="preserve"> </w:t>
      </w:r>
      <w:r w:rsidRPr="00D01004">
        <w:rPr>
          <w:rFonts w:ascii="Century Schoolbook" w:hAnsi="Century Schoolbook"/>
        </w:rPr>
        <w:t xml:space="preserve"> </w:t>
      </w:r>
      <w:r w:rsidR="003F4A85">
        <w:rPr>
          <w:rFonts w:ascii="Century Schoolbook" w:hAnsi="Century Schoolbook"/>
        </w:rPr>
        <w:t xml:space="preserve">The </w:t>
      </w:r>
      <w:r w:rsidRPr="00D01004">
        <w:rPr>
          <w:rFonts w:ascii="Century Schoolbook" w:hAnsi="Century Schoolbook"/>
        </w:rPr>
        <w:t xml:space="preserve">petition </w:t>
      </w:r>
      <w:r w:rsidR="00656523">
        <w:rPr>
          <w:rFonts w:ascii="Century Schoolbook" w:hAnsi="Century Schoolbook"/>
        </w:rPr>
        <w:t>alleged that there were 86 similar cases by rape and sexual assault victims pending against Uber in at least five counties</w:t>
      </w:r>
      <w:r w:rsidR="00160860">
        <w:rPr>
          <w:rFonts w:ascii="Century Schoolbook" w:hAnsi="Century Schoolbook"/>
        </w:rPr>
        <w:t>,</w:t>
      </w:r>
      <w:r w:rsidR="00656523">
        <w:rPr>
          <w:rFonts w:ascii="Century Schoolbook" w:hAnsi="Century Schoolbook"/>
        </w:rPr>
        <w:t xml:space="preserve"> including </w:t>
      </w:r>
      <w:r w:rsidRPr="00656523" w:rsidR="00656523">
        <w:rPr>
          <w:rFonts w:ascii="Century Schoolbook" w:hAnsi="Century Schoolbook"/>
        </w:rPr>
        <w:t>San Francisco, Ke</w:t>
      </w:r>
      <w:r w:rsidR="00BB2718">
        <w:rPr>
          <w:rFonts w:ascii="Century Schoolbook" w:hAnsi="Century Schoolbook"/>
        </w:rPr>
        <w:t>rn</w:t>
      </w:r>
      <w:r w:rsidRPr="00656523" w:rsidR="00656523">
        <w:rPr>
          <w:rFonts w:ascii="Century Schoolbook" w:hAnsi="Century Schoolbook"/>
        </w:rPr>
        <w:t xml:space="preserve">, Santa Clara, Los Angeles, </w:t>
      </w:r>
      <w:r w:rsidR="00656523">
        <w:rPr>
          <w:rFonts w:ascii="Century Schoolbook" w:hAnsi="Century Schoolbook"/>
        </w:rPr>
        <w:t xml:space="preserve">and </w:t>
      </w:r>
      <w:r w:rsidRPr="00656523" w:rsidR="00656523">
        <w:rPr>
          <w:rFonts w:ascii="Century Schoolbook" w:hAnsi="Century Schoolbook"/>
        </w:rPr>
        <w:t>Sacramento</w:t>
      </w:r>
      <w:r w:rsidR="00656523">
        <w:rPr>
          <w:rFonts w:ascii="Century Schoolbook" w:hAnsi="Century Schoolbook"/>
        </w:rPr>
        <w:t xml:space="preserve">.  The petition requested that the cases be designated as complex, that they be coordinated </w:t>
      </w:r>
      <w:r w:rsidR="00BB2718">
        <w:rPr>
          <w:rFonts w:ascii="Century Schoolbook" w:hAnsi="Century Schoolbook"/>
        </w:rPr>
        <w:t xml:space="preserve">before one judge of the San Francisco Superior Court, and that they be stayed pending the outcome of the petition.  </w:t>
      </w:r>
    </w:p>
    <w:p w:rsidR="00D01004" w:rsidP="00D01004" w14:paraId="2D20787C" w14:textId="2FEADEB6">
      <w:pPr>
        <w:rPr>
          <w:rFonts w:ascii="Century Schoolbook" w:hAnsi="Century Schoolbook"/>
        </w:rPr>
      </w:pPr>
      <w:r>
        <w:rPr>
          <w:rFonts w:ascii="Century Schoolbook" w:hAnsi="Century Schoolbook"/>
        </w:rPr>
        <w:tab/>
      </w:r>
      <w:r w:rsidR="00BB2718">
        <w:rPr>
          <w:rFonts w:ascii="Century Schoolbook" w:hAnsi="Century Schoolbook"/>
        </w:rPr>
        <w:t xml:space="preserve">On August 12, the Presiding Judge of the San Francisco Superior Court assigned the Honorable Andrew Y.S. Cheng as the coordination motion judge and set a hearing on the motion for coordination.  </w:t>
      </w:r>
      <w:r w:rsidR="005313CA">
        <w:rPr>
          <w:rFonts w:ascii="Century Schoolbook" w:hAnsi="Century Schoolbook"/>
        </w:rPr>
        <w:t>Uber filed opposition, petitioners a reply</w:t>
      </w:r>
      <w:r w:rsidR="003F1F9B">
        <w:rPr>
          <w:rFonts w:ascii="Century Schoolbook" w:hAnsi="Century Schoolbook"/>
        </w:rPr>
        <w:t>,</w:t>
      </w:r>
      <w:r w:rsidR="005313CA">
        <w:rPr>
          <w:rFonts w:ascii="Century Schoolbook" w:hAnsi="Century Schoolbook"/>
        </w:rPr>
        <w:t xml:space="preserve"> </w:t>
      </w:r>
      <w:r w:rsidR="00510B91">
        <w:rPr>
          <w:rFonts w:ascii="Century Schoolbook" w:hAnsi="Century Schoolbook"/>
        </w:rPr>
        <w:t>and t</w:t>
      </w:r>
      <w:r w:rsidRPr="00D01004">
        <w:rPr>
          <w:rFonts w:ascii="Century Schoolbook" w:hAnsi="Century Schoolbook"/>
        </w:rPr>
        <w:t>he</w:t>
      </w:r>
      <w:r>
        <w:rPr>
          <w:rFonts w:ascii="Century Schoolbook" w:hAnsi="Century Schoolbook"/>
        </w:rPr>
        <w:t xml:space="preserve"> </w:t>
      </w:r>
      <w:r w:rsidRPr="00D01004">
        <w:rPr>
          <w:rFonts w:ascii="Century Schoolbook" w:hAnsi="Century Schoolbook"/>
        </w:rPr>
        <w:t xml:space="preserve">motion </w:t>
      </w:r>
      <w:r w:rsidR="005313CA">
        <w:rPr>
          <w:rFonts w:ascii="Century Schoolbook" w:hAnsi="Century Schoolbook"/>
        </w:rPr>
        <w:t xml:space="preserve">came on for hearing </w:t>
      </w:r>
      <w:r w:rsidRPr="00D01004">
        <w:rPr>
          <w:rFonts w:ascii="Century Schoolbook" w:hAnsi="Century Schoolbook"/>
        </w:rPr>
        <w:t xml:space="preserve">on November 3, </w:t>
      </w:r>
      <w:r w:rsidR="005313CA">
        <w:rPr>
          <w:rFonts w:ascii="Century Schoolbook" w:hAnsi="Century Schoolbook"/>
        </w:rPr>
        <w:t xml:space="preserve">at the conclusion of which </w:t>
      </w:r>
      <w:r w:rsidR="00510B91">
        <w:rPr>
          <w:rFonts w:ascii="Century Schoolbook" w:hAnsi="Century Schoolbook"/>
        </w:rPr>
        <w:t xml:space="preserve">Judge Cheng </w:t>
      </w:r>
      <w:r w:rsidR="005313CA">
        <w:rPr>
          <w:rFonts w:ascii="Century Schoolbook" w:hAnsi="Century Schoolbook"/>
        </w:rPr>
        <w:t>took the matter under submission</w:t>
      </w:r>
      <w:r w:rsidRPr="00D01004">
        <w:rPr>
          <w:rFonts w:ascii="Century Schoolbook" w:hAnsi="Century Schoolbook"/>
        </w:rPr>
        <w:t>.</w:t>
      </w:r>
      <w:r>
        <w:rPr>
          <w:rStyle w:val="FootnoteReference"/>
          <w:rFonts w:ascii="Century Schoolbook" w:hAnsi="Century Schoolbook"/>
        </w:rPr>
        <w:footnoteReference w:id="5"/>
      </w:r>
      <w:r w:rsidRPr="00D01004">
        <w:rPr>
          <w:rFonts w:ascii="Century Schoolbook" w:hAnsi="Century Schoolbook"/>
        </w:rPr>
        <w:t xml:space="preserve"> </w:t>
      </w:r>
      <w:r w:rsidR="001E7B28">
        <w:rPr>
          <w:rFonts w:ascii="Century Schoolbook" w:hAnsi="Century Schoolbook"/>
        </w:rPr>
        <w:t xml:space="preserve"> </w:t>
      </w:r>
    </w:p>
    <w:p w:rsidR="00D01004" w:rsidP="00DF725D" w14:paraId="24D046F6" w14:textId="11A4FC99">
      <w:pPr>
        <w:rPr>
          <w:rFonts w:ascii="Century Schoolbook" w:hAnsi="Century Schoolbook"/>
        </w:rPr>
      </w:pPr>
      <w:r>
        <w:rPr>
          <w:rFonts w:ascii="Century Schoolbook" w:hAnsi="Century Schoolbook"/>
        </w:rPr>
        <w:tab/>
      </w:r>
      <w:r w:rsidRPr="00A73F17" w:rsidR="00A73F17">
        <w:rPr>
          <w:rFonts w:ascii="Century Schoolbook" w:hAnsi="Century Schoolbook"/>
        </w:rPr>
        <w:t xml:space="preserve">On December 9, </w:t>
      </w:r>
      <w:r w:rsidR="001E7B28">
        <w:rPr>
          <w:rFonts w:ascii="Century Schoolbook" w:hAnsi="Century Schoolbook"/>
        </w:rPr>
        <w:t xml:space="preserve">Judge Cheng </w:t>
      </w:r>
      <w:r w:rsidR="00A73F17">
        <w:rPr>
          <w:rFonts w:ascii="Century Schoolbook" w:hAnsi="Century Schoolbook"/>
        </w:rPr>
        <w:t>issued a five</w:t>
      </w:r>
      <w:r w:rsidR="00DF725D">
        <w:rPr>
          <w:rFonts w:ascii="Century Schoolbook" w:hAnsi="Century Schoolbook"/>
        </w:rPr>
        <w:t>-</w:t>
      </w:r>
      <w:r w:rsidR="00A73F17">
        <w:rPr>
          <w:rFonts w:ascii="Century Schoolbook" w:hAnsi="Century Schoolbook"/>
        </w:rPr>
        <w:t xml:space="preserve">page order </w:t>
      </w:r>
      <w:r w:rsidRPr="00A73F17" w:rsidR="00A73F17">
        <w:rPr>
          <w:rFonts w:ascii="Century Schoolbook" w:hAnsi="Century Schoolbook"/>
        </w:rPr>
        <w:t>grant</w:t>
      </w:r>
      <w:r w:rsidR="00A73F17">
        <w:rPr>
          <w:rFonts w:ascii="Century Schoolbook" w:hAnsi="Century Schoolbook"/>
        </w:rPr>
        <w:t>ing</w:t>
      </w:r>
      <w:r w:rsidRPr="00A73F17" w:rsidR="00A73F17">
        <w:rPr>
          <w:rFonts w:ascii="Century Schoolbook" w:hAnsi="Century Schoolbook"/>
        </w:rPr>
        <w:t xml:space="preserve"> the petition for</w:t>
      </w:r>
      <w:r w:rsidR="00A73F17">
        <w:rPr>
          <w:rFonts w:ascii="Century Schoolbook" w:hAnsi="Century Schoolbook"/>
        </w:rPr>
        <w:t xml:space="preserve"> </w:t>
      </w:r>
      <w:r w:rsidRPr="00A73F17" w:rsidR="00A73F17">
        <w:rPr>
          <w:rFonts w:ascii="Century Schoolbook" w:hAnsi="Century Schoolbook"/>
        </w:rPr>
        <w:t>coordination and request for a stay</w:t>
      </w:r>
      <w:r w:rsidR="00D53FFB">
        <w:rPr>
          <w:rFonts w:ascii="Century Schoolbook" w:hAnsi="Century Schoolbook"/>
        </w:rPr>
        <w:t>, and recommending San Francisco Superior Court as the site for the coordinated proceedings</w:t>
      </w:r>
      <w:r w:rsidRPr="00A73F17" w:rsidR="00A73F17">
        <w:rPr>
          <w:rFonts w:ascii="Century Schoolbook" w:hAnsi="Century Schoolbook"/>
        </w:rPr>
        <w:t xml:space="preserve">. </w:t>
      </w:r>
      <w:r w:rsidR="00A73F17">
        <w:rPr>
          <w:rFonts w:ascii="Century Schoolbook" w:hAnsi="Century Schoolbook"/>
        </w:rPr>
        <w:t xml:space="preserve"> </w:t>
      </w:r>
      <w:r w:rsidR="00160860">
        <w:rPr>
          <w:rFonts w:ascii="Century Schoolbook" w:hAnsi="Century Schoolbook"/>
        </w:rPr>
        <w:t xml:space="preserve">Doing so, </w:t>
      </w:r>
      <w:r w:rsidR="00D53FFB">
        <w:rPr>
          <w:rFonts w:ascii="Century Schoolbook" w:hAnsi="Century Schoolbook"/>
        </w:rPr>
        <w:t xml:space="preserve">Judge Cheng </w:t>
      </w:r>
      <w:r w:rsidR="00160860">
        <w:rPr>
          <w:rFonts w:ascii="Century Schoolbook" w:hAnsi="Century Schoolbook"/>
        </w:rPr>
        <w:t xml:space="preserve">said </w:t>
      </w:r>
      <w:r w:rsidR="00806186">
        <w:rPr>
          <w:rFonts w:ascii="Century Schoolbook" w:hAnsi="Century Schoolbook"/>
        </w:rPr>
        <w:t xml:space="preserve">among other things </w:t>
      </w:r>
      <w:r w:rsidR="00160860">
        <w:rPr>
          <w:rFonts w:ascii="Century Schoolbook" w:hAnsi="Century Schoolbook"/>
        </w:rPr>
        <w:t>that</w:t>
      </w:r>
      <w:r w:rsidR="00A73F17">
        <w:rPr>
          <w:rFonts w:ascii="Century Schoolbook" w:hAnsi="Century Schoolbook"/>
        </w:rPr>
        <w:t xml:space="preserve"> “</w:t>
      </w:r>
      <w:r w:rsidRPr="00DF725D" w:rsidR="00DF725D">
        <w:rPr>
          <w:rFonts w:ascii="Century Schoolbook" w:hAnsi="Century Schoolbook"/>
        </w:rPr>
        <w:t>The Court rejects Uber</w:t>
      </w:r>
      <w:r w:rsidR="00DF725D">
        <w:rPr>
          <w:rFonts w:ascii="Century Schoolbook" w:hAnsi="Century Schoolbook"/>
        </w:rPr>
        <w:t>’</w:t>
      </w:r>
      <w:r w:rsidRPr="00DF725D" w:rsidR="00DF725D">
        <w:rPr>
          <w:rFonts w:ascii="Century Schoolbook" w:hAnsi="Century Schoolbook"/>
        </w:rPr>
        <w:t xml:space="preserve">s arguments that </w:t>
      </w:r>
      <w:r w:rsidRPr="00DF725D" w:rsidR="00DF725D">
        <w:rPr>
          <w:rFonts w:ascii="Century Schoolbook" w:hAnsi="Century Schoolbook"/>
          <w:i/>
          <w:iCs/>
        </w:rPr>
        <w:t>forum non conveniens</w:t>
      </w:r>
      <w:r w:rsidRPr="00DF725D" w:rsidR="00DF725D">
        <w:rPr>
          <w:rFonts w:ascii="Century Schoolbook" w:hAnsi="Century Schoolbook"/>
        </w:rPr>
        <w:t xml:space="preserve">, choice of law, and liability determinations are unavoidably individualized. </w:t>
      </w:r>
      <w:r w:rsidR="00DF725D">
        <w:rPr>
          <w:rFonts w:ascii="Century Schoolbook" w:hAnsi="Century Schoolbook"/>
        </w:rPr>
        <w:t xml:space="preserve"> </w:t>
      </w:r>
      <w:r w:rsidRPr="00DF725D" w:rsidR="00DF725D">
        <w:rPr>
          <w:rFonts w:ascii="Century Schoolbook" w:hAnsi="Century Schoolbook"/>
        </w:rPr>
        <w:t xml:space="preserve">Rather, liability questions center on </w:t>
      </w:r>
      <w:r w:rsidR="00D53FFB">
        <w:rPr>
          <w:rFonts w:ascii="Century Schoolbook" w:hAnsi="Century Schoolbook"/>
        </w:rPr>
        <w:t>[Uber]</w:t>
      </w:r>
      <w:r w:rsidRPr="00DF725D" w:rsidR="00DF725D">
        <w:rPr>
          <w:rFonts w:ascii="Century Schoolbook" w:hAnsi="Century Schoolbook"/>
        </w:rPr>
        <w:t xml:space="preserve">, not its drivers. </w:t>
      </w:r>
      <w:r w:rsidR="00DF725D">
        <w:rPr>
          <w:rFonts w:ascii="Century Schoolbook" w:hAnsi="Century Schoolbook"/>
        </w:rPr>
        <w:t xml:space="preserve"> </w:t>
      </w:r>
      <w:r w:rsidRPr="00DF725D" w:rsidR="00DF725D">
        <w:rPr>
          <w:rFonts w:ascii="Century Schoolbook" w:hAnsi="Century Schoolbook"/>
        </w:rPr>
        <w:t xml:space="preserve">Further, while </w:t>
      </w:r>
      <w:r w:rsidRPr="00DF725D" w:rsidR="00DF725D">
        <w:rPr>
          <w:rFonts w:ascii="Century Schoolbook" w:hAnsi="Century Schoolbook"/>
          <w:i/>
          <w:iCs/>
        </w:rPr>
        <w:t>forum non conveniens</w:t>
      </w:r>
      <w:r w:rsidRPr="00DF725D" w:rsidR="00DF725D">
        <w:rPr>
          <w:rFonts w:ascii="Century Schoolbook" w:hAnsi="Century Schoolbook"/>
        </w:rPr>
        <w:t>, choice of</w:t>
      </w:r>
      <w:r w:rsidR="00DF725D">
        <w:rPr>
          <w:rFonts w:ascii="Century Schoolbook" w:hAnsi="Century Schoolbook"/>
        </w:rPr>
        <w:t xml:space="preserve"> </w:t>
      </w:r>
      <w:r w:rsidRPr="00DF725D" w:rsidR="00DF725D">
        <w:rPr>
          <w:rFonts w:ascii="Century Schoolbook" w:hAnsi="Century Schoolbook"/>
        </w:rPr>
        <w:t>law, and</w:t>
      </w:r>
      <w:r w:rsidR="00DF725D">
        <w:rPr>
          <w:rFonts w:ascii="Century Schoolbook" w:hAnsi="Century Schoolbook"/>
        </w:rPr>
        <w:t xml:space="preserve"> </w:t>
      </w:r>
      <w:r w:rsidRPr="00DF725D" w:rsidR="00DF725D">
        <w:rPr>
          <w:rFonts w:ascii="Century Schoolbook" w:hAnsi="Century Schoolbook"/>
        </w:rPr>
        <w:t>interpretation of</w:t>
      </w:r>
      <w:r w:rsidR="00DF725D">
        <w:rPr>
          <w:rFonts w:ascii="Century Schoolbook" w:hAnsi="Century Schoolbook"/>
        </w:rPr>
        <w:t xml:space="preserve"> </w:t>
      </w:r>
      <w:r w:rsidRPr="00DF725D" w:rsidR="00DF725D">
        <w:rPr>
          <w:rFonts w:ascii="Century Schoolbook" w:hAnsi="Century Schoolbook"/>
        </w:rPr>
        <w:t>Uber</w:t>
      </w:r>
      <w:r w:rsidR="00DF725D">
        <w:rPr>
          <w:rFonts w:ascii="Century Schoolbook" w:hAnsi="Century Schoolbook"/>
        </w:rPr>
        <w:t>’</w:t>
      </w:r>
      <w:r w:rsidRPr="00DF725D" w:rsidR="00DF725D">
        <w:rPr>
          <w:rFonts w:ascii="Century Schoolbook" w:hAnsi="Century Schoolbook"/>
        </w:rPr>
        <w:t>s Terms of Use may have individualized components, they address identical threshold and central legal questions that should be decided by one judge.</w:t>
      </w:r>
      <w:r w:rsidR="00DF725D">
        <w:rPr>
          <w:rFonts w:ascii="Century Schoolbook" w:hAnsi="Century Schoolbook"/>
        </w:rPr>
        <w:t xml:space="preserve">”  </w:t>
      </w:r>
    </w:p>
    <w:p w:rsidR="00752917" w:rsidRPr="00752917" w:rsidP="00DF725D" w14:paraId="4A8C62ED" w14:textId="12231790">
      <w:pPr>
        <w:rPr>
          <w:rFonts w:ascii="Century Schoolbook" w:hAnsi="Century Schoolbook"/>
          <w:b/>
          <w:bCs/>
        </w:rPr>
      </w:pPr>
      <w:r>
        <w:rPr>
          <w:rFonts w:ascii="Century Schoolbook" w:hAnsi="Century Schoolbook"/>
        </w:rPr>
        <w:tab/>
      </w:r>
      <w:r w:rsidRPr="00752917">
        <w:rPr>
          <w:rFonts w:ascii="Century Schoolbook" w:hAnsi="Century Schoolbook"/>
          <w:b/>
          <w:bCs/>
        </w:rPr>
        <w:t>Uber’s Forum Non Conveniens Motions</w:t>
      </w:r>
    </w:p>
    <w:p w:rsidR="003D7BC3" w:rsidP="002F241B" w14:paraId="06FFC135" w14:textId="1FE65918">
      <w:pPr>
        <w:rPr>
          <w:rFonts w:ascii="Century Schoolbook" w:hAnsi="Century Schoolbook"/>
        </w:rPr>
      </w:pPr>
      <w:r>
        <w:rPr>
          <w:rFonts w:ascii="Century Schoolbook" w:hAnsi="Century Schoolbook"/>
        </w:rPr>
        <w:tab/>
      </w:r>
      <w:r w:rsidRPr="00DF725D" w:rsidR="00DF725D">
        <w:rPr>
          <w:rFonts w:ascii="Century Schoolbook" w:hAnsi="Century Schoolbook"/>
        </w:rPr>
        <w:t>On</w:t>
      </w:r>
      <w:r w:rsidR="00DF725D">
        <w:rPr>
          <w:rFonts w:ascii="Century Schoolbook" w:hAnsi="Century Schoolbook"/>
        </w:rPr>
        <w:t xml:space="preserve"> </w:t>
      </w:r>
      <w:r w:rsidRPr="00DF725D" w:rsidR="00DF725D">
        <w:rPr>
          <w:rFonts w:ascii="Century Schoolbook" w:hAnsi="Century Schoolbook"/>
        </w:rPr>
        <w:t>February 2, 2022, the presiding judge of the San Francisco</w:t>
      </w:r>
      <w:r w:rsidR="00DF725D">
        <w:rPr>
          <w:rFonts w:ascii="Century Schoolbook" w:hAnsi="Century Schoolbook"/>
        </w:rPr>
        <w:t xml:space="preserve"> </w:t>
      </w:r>
      <w:r w:rsidRPr="00DF725D" w:rsidR="00DF725D">
        <w:rPr>
          <w:rFonts w:ascii="Century Schoolbook" w:hAnsi="Century Schoolbook"/>
        </w:rPr>
        <w:t>Superior Court assigned the Hon</w:t>
      </w:r>
      <w:r>
        <w:rPr>
          <w:rFonts w:ascii="Century Schoolbook" w:hAnsi="Century Schoolbook"/>
        </w:rPr>
        <w:t>orable</w:t>
      </w:r>
      <w:r w:rsidRPr="00DF725D" w:rsidR="00DF725D">
        <w:rPr>
          <w:rFonts w:ascii="Century Schoolbook" w:hAnsi="Century Schoolbook"/>
        </w:rPr>
        <w:t xml:space="preserve"> Ethan Schulman to </w:t>
      </w:r>
      <w:r>
        <w:rPr>
          <w:rFonts w:ascii="Century Schoolbook" w:hAnsi="Century Schoolbook"/>
        </w:rPr>
        <w:t xml:space="preserve">sit as </w:t>
      </w:r>
      <w:r w:rsidRPr="00DF725D" w:rsidR="00DF725D">
        <w:rPr>
          <w:rFonts w:ascii="Century Schoolbook" w:hAnsi="Century Schoolbook"/>
        </w:rPr>
        <w:t>coordination trial judge</w:t>
      </w:r>
      <w:r>
        <w:rPr>
          <w:rFonts w:ascii="Century Schoolbook" w:hAnsi="Century Schoolbook"/>
        </w:rPr>
        <w:t xml:space="preserve"> and set a case management conference for March 4</w:t>
      </w:r>
      <w:r w:rsidRPr="00DF725D" w:rsidR="00DF725D">
        <w:rPr>
          <w:rFonts w:ascii="Century Schoolbook" w:hAnsi="Century Schoolbook"/>
        </w:rPr>
        <w:t xml:space="preserve">. </w:t>
      </w:r>
      <w:r w:rsidR="00202D30">
        <w:rPr>
          <w:rFonts w:ascii="Century Schoolbook" w:hAnsi="Century Schoolbook"/>
        </w:rPr>
        <w:t xml:space="preserve"> In advance of that conference, the parties submitted a joint case management statement, noting that after the coordination petition was filed, each side had filed additional notices of add-on covering an additional 430 cases.  </w:t>
      </w:r>
      <w:r w:rsidR="002F241B">
        <w:rPr>
          <w:rFonts w:ascii="Century Schoolbook" w:hAnsi="Century Schoolbook"/>
        </w:rPr>
        <w:t xml:space="preserve">The </w:t>
      </w:r>
      <w:r w:rsidRPr="00A62A3C">
        <w:rPr>
          <w:rFonts w:ascii="Century Schoolbook" w:hAnsi="Century Schoolbook"/>
        </w:rPr>
        <w:t>joint statement</w:t>
      </w:r>
      <w:r>
        <w:rPr>
          <w:rFonts w:ascii="Century Schoolbook" w:hAnsi="Century Schoolbook"/>
        </w:rPr>
        <w:t xml:space="preserve"> </w:t>
      </w:r>
      <w:r w:rsidR="002F241B">
        <w:rPr>
          <w:rFonts w:ascii="Century Schoolbook" w:hAnsi="Century Schoolbook"/>
        </w:rPr>
        <w:t xml:space="preserve">also set </w:t>
      </w:r>
      <w:r w:rsidRPr="00A62A3C">
        <w:rPr>
          <w:rFonts w:ascii="Century Schoolbook" w:hAnsi="Century Schoolbook"/>
        </w:rPr>
        <w:t>forth the</w:t>
      </w:r>
      <w:r w:rsidR="00D000E3">
        <w:rPr>
          <w:rFonts w:ascii="Century Schoolbook" w:hAnsi="Century Schoolbook"/>
        </w:rPr>
        <w:t xml:space="preserve"> parties’</w:t>
      </w:r>
      <w:r w:rsidRPr="00A62A3C">
        <w:rPr>
          <w:rFonts w:ascii="Century Schoolbook" w:hAnsi="Century Schoolbook"/>
        </w:rPr>
        <w:t xml:space="preserve"> respective positions on how</w:t>
      </w:r>
      <w:r>
        <w:rPr>
          <w:rFonts w:ascii="Century Schoolbook" w:hAnsi="Century Schoolbook"/>
        </w:rPr>
        <w:t xml:space="preserve"> </w:t>
      </w:r>
      <w:r w:rsidRPr="00A62A3C">
        <w:rPr>
          <w:rFonts w:ascii="Century Schoolbook" w:hAnsi="Century Schoolbook"/>
        </w:rPr>
        <w:t>to proceed with the coordinated cases</w:t>
      </w:r>
      <w:r>
        <w:rPr>
          <w:rFonts w:ascii="Century Schoolbook" w:hAnsi="Century Schoolbook"/>
        </w:rPr>
        <w:t xml:space="preserve">:  Uber </w:t>
      </w:r>
      <w:r w:rsidRPr="00A62A3C">
        <w:rPr>
          <w:rFonts w:ascii="Century Schoolbook" w:hAnsi="Century Schoolbook"/>
        </w:rPr>
        <w:t xml:space="preserve">proposed </w:t>
      </w:r>
      <w:r>
        <w:rPr>
          <w:rFonts w:ascii="Century Schoolbook" w:hAnsi="Century Schoolbook"/>
        </w:rPr>
        <w:t>that Judge Schulman</w:t>
      </w:r>
      <w:r w:rsidRPr="00A62A3C">
        <w:rPr>
          <w:rFonts w:ascii="Century Schoolbook" w:hAnsi="Century Schoolbook"/>
        </w:rPr>
        <w:t xml:space="preserve"> first decide forum non conveniens motions,</w:t>
      </w:r>
      <w:r>
        <w:rPr>
          <w:rFonts w:ascii="Century Schoolbook" w:hAnsi="Century Schoolbook"/>
        </w:rPr>
        <w:t xml:space="preserve"> </w:t>
      </w:r>
      <w:r w:rsidR="00806186">
        <w:rPr>
          <w:rFonts w:ascii="Century Schoolbook" w:hAnsi="Century Schoolbook"/>
        </w:rPr>
        <w:t xml:space="preserve">plaintiffs </w:t>
      </w:r>
      <w:r>
        <w:rPr>
          <w:rFonts w:ascii="Century Schoolbook" w:hAnsi="Century Schoolbook"/>
        </w:rPr>
        <w:t>that</w:t>
      </w:r>
      <w:r w:rsidRPr="00A62A3C">
        <w:rPr>
          <w:rFonts w:ascii="Century Schoolbook" w:hAnsi="Century Schoolbook"/>
        </w:rPr>
        <w:t xml:space="preserve"> the parties proceed to the selection of</w:t>
      </w:r>
      <w:r>
        <w:rPr>
          <w:rFonts w:ascii="Century Schoolbook" w:hAnsi="Century Schoolbook"/>
        </w:rPr>
        <w:t xml:space="preserve"> </w:t>
      </w:r>
      <w:r w:rsidRPr="00A62A3C">
        <w:rPr>
          <w:rFonts w:ascii="Century Schoolbook" w:hAnsi="Century Schoolbook"/>
        </w:rPr>
        <w:t xml:space="preserve">bellwether cases for trial.   </w:t>
      </w:r>
    </w:p>
    <w:p w:rsidR="00A20D10" w:rsidP="004F3196" w14:paraId="4A946139" w14:textId="55232D85">
      <w:pPr>
        <w:rPr>
          <w:rFonts w:ascii="Century Schoolbook" w:hAnsi="Century Schoolbook"/>
        </w:rPr>
      </w:pPr>
      <w:r>
        <w:rPr>
          <w:rFonts w:ascii="Century Schoolbook" w:hAnsi="Century Schoolbook"/>
        </w:rPr>
        <w:tab/>
        <w:t xml:space="preserve">On </w:t>
      </w:r>
      <w:r w:rsidR="00071E1D">
        <w:rPr>
          <w:rFonts w:ascii="Century Schoolbook" w:hAnsi="Century Schoolbook"/>
        </w:rPr>
        <w:t>March 4</w:t>
      </w:r>
      <w:r w:rsidRPr="00A62A3C">
        <w:rPr>
          <w:rFonts w:ascii="Century Schoolbook" w:hAnsi="Century Schoolbook"/>
        </w:rPr>
        <w:t xml:space="preserve">, </w:t>
      </w:r>
      <w:r w:rsidR="00806186">
        <w:rPr>
          <w:rFonts w:ascii="Century Schoolbook" w:hAnsi="Century Schoolbook"/>
        </w:rPr>
        <w:t xml:space="preserve">Judge Schulman </w:t>
      </w:r>
      <w:r w:rsidRPr="00A62A3C">
        <w:rPr>
          <w:rFonts w:ascii="Century Schoolbook" w:hAnsi="Century Schoolbook"/>
        </w:rPr>
        <w:t>held an initial case</w:t>
      </w:r>
      <w:r>
        <w:rPr>
          <w:rFonts w:ascii="Century Schoolbook" w:hAnsi="Century Schoolbook"/>
        </w:rPr>
        <w:t xml:space="preserve"> </w:t>
      </w:r>
      <w:r w:rsidRPr="00A62A3C">
        <w:rPr>
          <w:rFonts w:ascii="Century Schoolbook" w:hAnsi="Century Schoolbook"/>
        </w:rPr>
        <w:t>management</w:t>
      </w:r>
      <w:r>
        <w:rPr>
          <w:rFonts w:ascii="Century Schoolbook" w:hAnsi="Century Schoolbook"/>
        </w:rPr>
        <w:t xml:space="preserve"> c</w:t>
      </w:r>
      <w:r w:rsidRPr="00A62A3C">
        <w:rPr>
          <w:rFonts w:ascii="Century Schoolbook" w:hAnsi="Century Schoolbook"/>
        </w:rPr>
        <w:t>onference</w:t>
      </w:r>
      <w:r>
        <w:rPr>
          <w:rFonts w:ascii="Century Schoolbook" w:hAnsi="Century Schoolbook"/>
        </w:rPr>
        <w:t>, a conference that was recorded</w:t>
      </w:r>
      <w:r w:rsidRPr="00A62A3C">
        <w:rPr>
          <w:rFonts w:ascii="Century Schoolbook" w:hAnsi="Century Schoolbook"/>
        </w:rPr>
        <w:t xml:space="preserve">. </w:t>
      </w:r>
      <w:r>
        <w:rPr>
          <w:rFonts w:ascii="Century Schoolbook" w:hAnsi="Century Schoolbook"/>
        </w:rPr>
        <w:t xml:space="preserve"> He</w:t>
      </w:r>
      <w:r w:rsidRPr="00A62A3C">
        <w:rPr>
          <w:rFonts w:ascii="Century Schoolbook" w:hAnsi="Century Schoolbook"/>
        </w:rPr>
        <w:t xml:space="preserve"> expressed the view</w:t>
      </w:r>
      <w:r>
        <w:rPr>
          <w:rFonts w:ascii="Century Schoolbook" w:hAnsi="Century Schoolbook"/>
        </w:rPr>
        <w:t xml:space="preserve"> </w:t>
      </w:r>
      <w:r w:rsidRPr="00A62A3C">
        <w:rPr>
          <w:rFonts w:ascii="Century Schoolbook" w:hAnsi="Century Schoolbook"/>
        </w:rPr>
        <w:t xml:space="preserve">that </w:t>
      </w:r>
      <w:r>
        <w:rPr>
          <w:rFonts w:ascii="Century Schoolbook" w:hAnsi="Century Schoolbook"/>
        </w:rPr>
        <w:t>Uber’s</w:t>
      </w:r>
      <w:r w:rsidRPr="00A62A3C">
        <w:rPr>
          <w:rFonts w:ascii="Century Schoolbook" w:hAnsi="Century Schoolbook"/>
        </w:rPr>
        <w:t xml:space="preserve"> “anticipated motions to stay or dismiss on</w:t>
      </w:r>
      <w:r>
        <w:rPr>
          <w:rFonts w:ascii="Century Schoolbook" w:hAnsi="Century Schoolbook"/>
        </w:rPr>
        <w:t xml:space="preserve"> </w:t>
      </w:r>
      <w:r w:rsidRPr="00C572C7">
        <w:rPr>
          <w:rFonts w:ascii="Century Schoolbook" w:hAnsi="Century Schoolbook"/>
          <w:i/>
          <w:iCs/>
        </w:rPr>
        <w:t>forum non conveniens</w:t>
      </w:r>
      <w:r w:rsidRPr="00A62A3C">
        <w:rPr>
          <w:rFonts w:ascii="Century Schoolbook" w:hAnsi="Century Schoolbook"/>
        </w:rPr>
        <w:t xml:space="preserve"> grounds represented a threshold matter</w:t>
      </w:r>
      <w:r>
        <w:rPr>
          <w:rFonts w:ascii="Century Schoolbook" w:hAnsi="Century Schoolbook"/>
        </w:rPr>
        <w:t xml:space="preserve"> </w:t>
      </w:r>
      <w:r w:rsidRPr="00A62A3C">
        <w:rPr>
          <w:rFonts w:ascii="Century Schoolbook" w:hAnsi="Century Schoolbook"/>
        </w:rPr>
        <w:t xml:space="preserve">that </w:t>
      </w:r>
      <w:r w:rsidR="00806186">
        <w:rPr>
          <w:rFonts w:ascii="Century Schoolbook" w:hAnsi="Century Schoolbook"/>
        </w:rPr>
        <w:t>[he]</w:t>
      </w:r>
      <w:r w:rsidRPr="00A62A3C">
        <w:rPr>
          <w:rFonts w:ascii="Century Schoolbook" w:hAnsi="Century Schoolbook"/>
        </w:rPr>
        <w:t xml:space="preserve"> should resolve in the first instance,” </w:t>
      </w:r>
      <w:r>
        <w:rPr>
          <w:rFonts w:ascii="Century Schoolbook" w:hAnsi="Century Schoolbook"/>
        </w:rPr>
        <w:t xml:space="preserve">going on to note </w:t>
      </w:r>
      <w:r w:rsidRPr="00A62A3C">
        <w:rPr>
          <w:rFonts w:ascii="Century Schoolbook" w:hAnsi="Century Schoolbook"/>
        </w:rPr>
        <w:t xml:space="preserve">that </w:t>
      </w:r>
      <w:r>
        <w:rPr>
          <w:rFonts w:ascii="Century Schoolbook" w:hAnsi="Century Schoolbook"/>
        </w:rPr>
        <w:t xml:space="preserve">the </w:t>
      </w:r>
      <w:r w:rsidRPr="00A62A3C">
        <w:rPr>
          <w:rFonts w:ascii="Century Schoolbook" w:hAnsi="Century Schoolbook"/>
        </w:rPr>
        <w:t>issue will determine “how many of these cases are going to</w:t>
      </w:r>
      <w:r>
        <w:rPr>
          <w:rFonts w:ascii="Century Schoolbook" w:hAnsi="Century Schoolbook"/>
        </w:rPr>
        <w:t xml:space="preserve"> </w:t>
      </w:r>
      <w:r w:rsidRPr="00A62A3C">
        <w:rPr>
          <w:rFonts w:ascii="Century Schoolbook" w:hAnsi="Century Schoolbook"/>
        </w:rPr>
        <w:t>stay” in California and “how many of them will be stayed or</w:t>
      </w:r>
      <w:r>
        <w:rPr>
          <w:rFonts w:ascii="Century Schoolbook" w:hAnsi="Century Schoolbook"/>
        </w:rPr>
        <w:t xml:space="preserve"> </w:t>
      </w:r>
      <w:r w:rsidRPr="00A62A3C">
        <w:rPr>
          <w:rFonts w:ascii="Century Schoolbook" w:hAnsi="Century Schoolbook"/>
        </w:rPr>
        <w:t xml:space="preserve"> dismissed to be refiled . . . in other [S]tates or indeed other</w:t>
      </w:r>
      <w:r>
        <w:rPr>
          <w:rFonts w:ascii="Century Schoolbook" w:hAnsi="Century Schoolbook"/>
        </w:rPr>
        <w:t xml:space="preserve"> </w:t>
      </w:r>
      <w:r w:rsidRPr="00A62A3C">
        <w:rPr>
          <w:rFonts w:ascii="Century Schoolbook" w:hAnsi="Century Schoolbook"/>
        </w:rPr>
        <w:t xml:space="preserve">countries.” </w:t>
      </w:r>
      <w:r w:rsidR="00806186">
        <w:rPr>
          <w:rFonts w:ascii="Century Schoolbook" w:hAnsi="Century Schoolbook"/>
        </w:rPr>
        <w:t xml:space="preserve"> Later in</w:t>
      </w:r>
      <w:r w:rsidRPr="00A62A3C">
        <w:rPr>
          <w:rFonts w:ascii="Century Schoolbook" w:hAnsi="Century Schoolbook"/>
        </w:rPr>
        <w:t xml:space="preserve"> the conference, </w:t>
      </w:r>
      <w:r>
        <w:rPr>
          <w:rFonts w:ascii="Century Schoolbook" w:hAnsi="Century Schoolbook"/>
        </w:rPr>
        <w:t>plaintiffs</w:t>
      </w:r>
      <w:r w:rsidRPr="00A62A3C">
        <w:rPr>
          <w:rFonts w:ascii="Century Schoolbook" w:hAnsi="Century Schoolbook"/>
        </w:rPr>
        <w:t>’ counsel expressed the</w:t>
      </w:r>
      <w:r>
        <w:rPr>
          <w:rFonts w:ascii="Century Schoolbook" w:hAnsi="Century Schoolbook"/>
        </w:rPr>
        <w:t xml:space="preserve"> </w:t>
      </w:r>
      <w:r w:rsidRPr="00A62A3C">
        <w:rPr>
          <w:rFonts w:ascii="Century Schoolbook" w:hAnsi="Century Schoolbook"/>
        </w:rPr>
        <w:t>view that the question of the appropriate forum was “something</w:t>
      </w:r>
      <w:r>
        <w:rPr>
          <w:rFonts w:ascii="Century Schoolbook" w:hAnsi="Century Schoolbook"/>
        </w:rPr>
        <w:t xml:space="preserve"> </w:t>
      </w:r>
      <w:r w:rsidRPr="00A62A3C">
        <w:rPr>
          <w:rFonts w:ascii="Century Schoolbook" w:hAnsi="Century Schoolbook"/>
        </w:rPr>
        <w:t>that the court can weigh and assess in the aggregate,” because</w:t>
      </w:r>
      <w:r>
        <w:rPr>
          <w:rFonts w:ascii="Century Schoolbook" w:hAnsi="Century Schoolbook"/>
        </w:rPr>
        <w:t xml:space="preserve"> </w:t>
      </w:r>
      <w:r w:rsidRPr="00A62A3C">
        <w:rPr>
          <w:rFonts w:ascii="Century Schoolbook" w:hAnsi="Century Schoolbook"/>
        </w:rPr>
        <w:t>the court’s decision on a forum non conveniens motion “would</w:t>
      </w:r>
      <w:r>
        <w:rPr>
          <w:rFonts w:ascii="Century Schoolbook" w:hAnsi="Century Schoolbook"/>
        </w:rPr>
        <w:t xml:space="preserve"> </w:t>
      </w:r>
      <w:r w:rsidRPr="00A62A3C">
        <w:rPr>
          <w:rFonts w:ascii="Century Schoolbook" w:hAnsi="Century Schoolbook"/>
        </w:rPr>
        <w:t xml:space="preserve">apply to all the cases.” </w:t>
      </w:r>
      <w:r>
        <w:rPr>
          <w:rFonts w:ascii="Century Schoolbook" w:hAnsi="Century Schoolbook"/>
        </w:rPr>
        <w:t xml:space="preserve"> </w:t>
      </w:r>
      <w:r w:rsidRPr="00A62A3C">
        <w:rPr>
          <w:rFonts w:ascii="Century Schoolbook" w:hAnsi="Century Schoolbook"/>
        </w:rPr>
        <w:t xml:space="preserve">According to </w:t>
      </w:r>
      <w:r>
        <w:rPr>
          <w:rFonts w:ascii="Century Schoolbook" w:hAnsi="Century Schoolbook"/>
        </w:rPr>
        <w:t>plaintiffs</w:t>
      </w:r>
      <w:r w:rsidRPr="00A62A3C">
        <w:rPr>
          <w:rFonts w:ascii="Century Schoolbook" w:hAnsi="Century Schoolbook"/>
        </w:rPr>
        <w:t>’ counsel, the parties would be able to</w:t>
      </w:r>
      <w:r>
        <w:rPr>
          <w:rFonts w:ascii="Century Schoolbook" w:hAnsi="Century Schoolbook"/>
        </w:rPr>
        <w:t xml:space="preserve"> </w:t>
      </w:r>
      <w:r w:rsidRPr="00A62A3C">
        <w:rPr>
          <w:rFonts w:ascii="Century Schoolbook" w:hAnsi="Century Schoolbook"/>
        </w:rPr>
        <w:t>“litigate this with some level of stipulated facts,” and it would not</w:t>
      </w:r>
      <w:r>
        <w:rPr>
          <w:rFonts w:ascii="Century Schoolbook" w:hAnsi="Century Schoolbook"/>
        </w:rPr>
        <w:t xml:space="preserve"> </w:t>
      </w:r>
      <w:r w:rsidRPr="00A62A3C">
        <w:rPr>
          <w:rFonts w:ascii="Century Schoolbook" w:hAnsi="Century Schoolbook"/>
        </w:rPr>
        <w:t>be necessary to “know each and every fact about every case” in</w:t>
      </w:r>
      <w:r>
        <w:rPr>
          <w:rFonts w:ascii="Century Schoolbook" w:hAnsi="Century Schoolbook"/>
        </w:rPr>
        <w:t xml:space="preserve"> </w:t>
      </w:r>
      <w:r w:rsidRPr="00A62A3C">
        <w:rPr>
          <w:rFonts w:ascii="Century Schoolbook" w:hAnsi="Century Schoolbook"/>
        </w:rPr>
        <w:t>order to “resolve the global issue of whether the cases belong [in</w:t>
      </w:r>
      <w:r>
        <w:rPr>
          <w:rFonts w:ascii="Century Schoolbook" w:hAnsi="Century Schoolbook"/>
        </w:rPr>
        <w:t xml:space="preserve"> </w:t>
      </w:r>
      <w:r w:rsidRPr="00A62A3C">
        <w:rPr>
          <w:rFonts w:ascii="Century Schoolbook" w:hAnsi="Century Schoolbook"/>
        </w:rPr>
        <w:t xml:space="preserve">California] or not.”  </w:t>
      </w:r>
      <w:r w:rsidR="00806186">
        <w:rPr>
          <w:rFonts w:ascii="Century Schoolbook" w:hAnsi="Century Schoolbook"/>
        </w:rPr>
        <w:t xml:space="preserve">The </w:t>
      </w:r>
      <w:r w:rsidRPr="00DF725D" w:rsidR="00DF725D">
        <w:rPr>
          <w:rFonts w:ascii="Century Schoolbook" w:hAnsi="Century Schoolbook"/>
        </w:rPr>
        <w:t xml:space="preserve">conference </w:t>
      </w:r>
      <w:r w:rsidR="00806186">
        <w:rPr>
          <w:rFonts w:ascii="Century Schoolbook" w:hAnsi="Century Schoolbook"/>
        </w:rPr>
        <w:t xml:space="preserve">ended with </w:t>
      </w:r>
      <w:r w:rsidR="00307A66">
        <w:rPr>
          <w:rFonts w:ascii="Century Schoolbook" w:hAnsi="Century Schoolbook"/>
        </w:rPr>
        <w:t>Judge Schulman</w:t>
      </w:r>
      <w:r w:rsidR="00D739A5">
        <w:rPr>
          <w:rFonts w:ascii="Century Schoolbook" w:hAnsi="Century Schoolbook"/>
        </w:rPr>
        <w:t xml:space="preserve"> </w:t>
      </w:r>
      <w:r w:rsidR="00806186">
        <w:rPr>
          <w:rFonts w:ascii="Century Schoolbook" w:hAnsi="Century Schoolbook"/>
        </w:rPr>
        <w:t xml:space="preserve">directing </w:t>
      </w:r>
      <w:r w:rsidR="00D739A5">
        <w:rPr>
          <w:rFonts w:ascii="Century Schoolbook" w:hAnsi="Century Schoolbook"/>
        </w:rPr>
        <w:t xml:space="preserve">the parties </w:t>
      </w:r>
      <w:r w:rsidR="00806186">
        <w:rPr>
          <w:rFonts w:ascii="Century Schoolbook" w:hAnsi="Century Schoolbook"/>
        </w:rPr>
        <w:t xml:space="preserve">to </w:t>
      </w:r>
      <w:r w:rsidR="00D739A5">
        <w:rPr>
          <w:rFonts w:ascii="Century Schoolbook" w:hAnsi="Century Schoolbook"/>
        </w:rPr>
        <w:t xml:space="preserve">meet and confer </w:t>
      </w:r>
      <w:r w:rsidR="00806186">
        <w:rPr>
          <w:rFonts w:ascii="Century Schoolbook" w:hAnsi="Century Schoolbook"/>
        </w:rPr>
        <w:t>about</w:t>
      </w:r>
      <w:r w:rsidR="00F01A2A">
        <w:rPr>
          <w:rFonts w:ascii="Century Schoolbook" w:hAnsi="Century Schoolbook"/>
        </w:rPr>
        <w:t xml:space="preserve">: </w:t>
      </w:r>
      <w:r w:rsidR="00806186">
        <w:rPr>
          <w:rFonts w:ascii="Century Schoolbook" w:hAnsi="Century Schoolbook"/>
        </w:rPr>
        <w:t xml:space="preserve"> “how to group cases” into “categories</w:t>
      </w:r>
      <w:r w:rsidR="007B1F81">
        <w:rPr>
          <w:rFonts w:ascii="Century Schoolbook" w:hAnsi="Century Schoolbook"/>
        </w:rPr>
        <w:t>,”</w:t>
      </w:r>
      <w:r w:rsidR="00806186">
        <w:rPr>
          <w:rFonts w:ascii="Century Schoolbook" w:hAnsi="Century Schoolbook"/>
        </w:rPr>
        <w:t xml:space="preserve"> </w:t>
      </w:r>
      <w:r w:rsidR="00F3426C">
        <w:rPr>
          <w:rFonts w:ascii="Century Schoolbook" w:hAnsi="Century Schoolbook"/>
        </w:rPr>
        <w:t>forum</w:t>
      </w:r>
      <w:r w:rsidR="00D739A5">
        <w:rPr>
          <w:rFonts w:ascii="Century Schoolbook" w:hAnsi="Century Schoolbook"/>
        </w:rPr>
        <w:t xml:space="preserve"> non conveniens related discovery</w:t>
      </w:r>
      <w:r w:rsidR="00806186">
        <w:rPr>
          <w:rFonts w:ascii="Century Schoolbook" w:hAnsi="Century Schoolbook"/>
        </w:rPr>
        <w:t>,</w:t>
      </w:r>
      <w:r w:rsidR="00D739A5">
        <w:rPr>
          <w:rFonts w:ascii="Century Schoolbook" w:hAnsi="Century Schoolbook"/>
        </w:rPr>
        <w:t xml:space="preserve"> and a briefing and hearing schedule on the contemplated forum non conveniens motions. </w:t>
      </w:r>
    </w:p>
    <w:p w:rsidR="004F3196" w:rsidP="0044263D" w14:paraId="60514F3E" w14:textId="3A34AE2A">
      <w:pPr>
        <w:tabs>
          <w:tab w:val="clear" w:pos="720"/>
        </w:tabs>
        <w:ind w:firstLine="720"/>
        <w:rPr>
          <w:rFonts w:ascii="Century Schoolbook" w:hAnsi="Century Schoolbook"/>
        </w:rPr>
      </w:pPr>
      <w:r>
        <w:rPr>
          <w:rFonts w:ascii="Century Schoolbook" w:hAnsi="Century Schoolbook"/>
        </w:rPr>
        <w:t>Another case management conference took place on April 2</w:t>
      </w:r>
      <w:r w:rsidR="00806186">
        <w:rPr>
          <w:rFonts w:ascii="Century Schoolbook" w:hAnsi="Century Schoolbook"/>
        </w:rPr>
        <w:t>1</w:t>
      </w:r>
      <w:r>
        <w:rPr>
          <w:rFonts w:ascii="Century Schoolbook" w:hAnsi="Century Schoolbook"/>
        </w:rPr>
        <w:t xml:space="preserve">, in advance of which the parties submitted a joint statement </w:t>
      </w:r>
      <w:r w:rsidR="00F01A2A">
        <w:rPr>
          <w:rFonts w:ascii="Century Schoolbook" w:hAnsi="Century Schoolbook"/>
        </w:rPr>
        <w:t xml:space="preserve">representing </w:t>
      </w:r>
      <w:r>
        <w:rPr>
          <w:rFonts w:ascii="Century Schoolbook" w:hAnsi="Century Schoolbook"/>
        </w:rPr>
        <w:t xml:space="preserve">that the “parties have agreed that Uber will file motions to stay or dismiss based on forum non conveniens . . . covering a few categories of cases.  Those motions will address categories of cases that Uber contends should be dismissed or stayed pending refiling in an appropriate forum, including cases in which the alleged incident took place in a state other than California, or where the Plaintiff has had a residence outside California at the time of or since the incident (the ‘non-California Cases’).” </w:t>
      </w:r>
      <w:r w:rsidR="00D12B3E">
        <w:rPr>
          <w:rFonts w:ascii="Century Schoolbook" w:hAnsi="Century Schoolbook"/>
        </w:rPr>
        <w:t xml:space="preserve"> At the conference, </w:t>
      </w:r>
      <w:r w:rsidR="00307A66">
        <w:rPr>
          <w:rFonts w:ascii="Century Schoolbook" w:hAnsi="Century Schoolbook"/>
        </w:rPr>
        <w:t>Judge Schulman</w:t>
      </w:r>
      <w:r w:rsidR="00D12B3E">
        <w:rPr>
          <w:rFonts w:ascii="Century Schoolbook" w:hAnsi="Century Schoolbook"/>
        </w:rPr>
        <w:t xml:space="preserve"> indicated that “</w:t>
      </w:r>
      <w:r w:rsidRPr="00D12B3E" w:rsidR="00D12B3E">
        <w:rPr>
          <w:rFonts w:ascii="Century Schoolbook" w:hAnsi="Century Schoolbook"/>
        </w:rPr>
        <w:t>my tentative thinking at this point is I</w:t>
      </w:r>
      <w:r w:rsidR="00D12B3E">
        <w:rPr>
          <w:rFonts w:ascii="Century Schoolbook" w:hAnsi="Century Schoolbook"/>
        </w:rPr>
        <w:t>’</w:t>
      </w:r>
      <w:r w:rsidRPr="00D12B3E" w:rsidR="00D12B3E">
        <w:rPr>
          <w:rFonts w:ascii="Century Schoolbook" w:hAnsi="Century Schoolbook"/>
        </w:rPr>
        <w:t>ll</w:t>
      </w:r>
      <w:r w:rsidR="00D12B3E">
        <w:rPr>
          <w:rFonts w:ascii="Century Schoolbook" w:hAnsi="Century Schoolbook"/>
        </w:rPr>
        <w:t xml:space="preserve"> </w:t>
      </w:r>
      <w:r w:rsidRPr="00D12B3E" w:rsidR="00D12B3E">
        <w:rPr>
          <w:rFonts w:ascii="Century Schoolbook" w:hAnsi="Century Schoolbook"/>
        </w:rPr>
        <w:t>hold the hearing on the forum non conveniens motions and</w:t>
      </w:r>
      <w:r w:rsidR="00D12B3E">
        <w:rPr>
          <w:rFonts w:ascii="Century Schoolbook" w:hAnsi="Century Schoolbook"/>
        </w:rPr>
        <w:t xml:space="preserve"> </w:t>
      </w:r>
      <w:r w:rsidRPr="00D12B3E" w:rsidR="00D12B3E">
        <w:rPr>
          <w:rFonts w:ascii="Century Schoolbook" w:hAnsi="Century Schoolbook"/>
        </w:rPr>
        <w:t>then set a case management conference to be held not too</w:t>
      </w:r>
      <w:r w:rsidR="00D12B3E">
        <w:rPr>
          <w:rFonts w:ascii="Century Schoolbook" w:hAnsi="Century Schoolbook"/>
        </w:rPr>
        <w:t xml:space="preserve"> </w:t>
      </w:r>
      <w:r w:rsidRPr="00D12B3E" w:rsidR="00D12B3E">
        <w:rPr>
          <w:rFonts w:ascii="Century Schoolbook" w:hAnsi="Century Schoolbook"/>
        </w:rPr>
        <w:t>far later after that that would give you enough time,</w:t>
      </w:r>
      <w:r w:rsidR="00752917">
        <w:rPr>
          <w:rFonts w:ascii="Century Schoolbook" w:hAnsi="Century Schoolbook"/>
        </w:rPr>
        <w:t xml:space="preserve"> </w:t>
      </w:r>
      <w:r w:rsidRPr="00D12B3E" w:rsidR="00D12B3E">
        <w:rPr>
          <w:rFonts w:ascii="Century Schoolbook" w:hAnsi="Century Schoolbook"/>
        </w:rPr>
        <w:t>once the dust from that ruling settles, to figure out how</w:t>
      </w:r>
      <w:r w:rsidR="00D12B3E">
        <w:rPr>
          <w:rFonts w:ascii="Century Schoolbook" w:hAnsi="Century Schoolbook"/>
        </w:rPr>
        <w:t xml:space="preserve"> i</w:t>
      </w:r>
      <w:r w:rsidRPr="00D12B3E" w:rsidR="00D12B3E">
        <w:rPr>
          <w:rFonts w:ascii="Century Schoolbook" w:hAnsi="Century Schoolbook"/>
        </w:rPr>
        <w:t>t affects how you</w:t>
      </w:r>
      <w:r w:rsidR="00D12B3E">
        <w:rPr>
          <w:rFonts w:ascii="Century Schoolbook" w:hAnsi="Century Schoolbook"/>
        </w:rPr>
        <w:t>’</w:t>
      </w:r>
      <w:r w:rsidRPr="00D12B3E" w:rsidR="00D12B3E">
        <w:rPr>
          <w:rFonts w:ascii="Century Schoolbook" w:hAnsi="Century Schoolbook"/>
        </w:rPr>
        <w:t>re going to handle the rest of the</w:t>
      </w:r>
      <w:r w:rsidR="00D12B3E">
        <w:rPr>
          <w:rFonts w:ascii="Century Schoolbook" w:hAnsi="Century Schoolbook"/>
        </w:rPr>
        <w:t xml:space="preserve"> </w:t>
      </w:r>
      <w:r w:rsidRPr="00D12B3E" w:rsidR="00D12B3E">
        <w:rPr>
          <w:rFonts w:ascii="Century Schoolbook" w:hAnsi="Century Schoolbook"/>
        </w:rPr>
        <w:t>cases</w:t>
      </w:r>
      <w:r w:rsidR="00D12B3E">
        <w:rPr>
          <w:rFonts w:ascii="Century Schoolbook" w:hAnsi="Century Schoolbook"/>
        </w:rPr>
        <w:t>.”</w:t>
      </w:r>
      <w:r>
        <w:rPr>
          <w:rStyle w:val="FootnoteReference"/>
          <w:rFonts w:ascii="Century Schoolbook" w:hAnsi="Century Schoolbook"/>
        </w:rPr>
        <w:footnoteReference w:id="6"/>
      </w:r>
      <w:r w:rsidR="00D12B3E">
        <w:rPr>
          <w:rFonts w:ascii="Century Schoolbook" w:hAnsi="Century Schoolbook"/>
        </w:rPr>
        <w:t xml:space="preserve">  </w:t>
      </w:r>
      <w:r>
        <w:rPr>
          <w:rFonts w:ascii="Century Schoolbook" w:hAnsi="Century Schoolbook"/>
        </w:rPr>
        <w:t xml:space="preserve"> </w:t>
      </w:r>
    </w:p>
    <w:p w:rsidR="006B0494" w:rsidP="006B0494" w14:paraId="07C0FB6A" w14:textId="66C0C094">
      <w:pPr>
        <w:rPr>
          <w:rFonts w:ascii="Century Schoolbook" w:hAnsi="Century Schoolbook"/>
        </w:rPr>
      </w:pPr>
      <w:r>
        <w:rPr>
          <w:rFonts w:ascii="Century Schoolbook" w:hAnsi="Century Schoolbook"/>
        </w:rPr>
        <w:tab/>
      </w:r>
      <w:r w:rsidR="004F3196">
        <w:rPr>
          <w:rFonts w:ascii="Century Schoolbook" w:hAnsi="Century Schoolbook"/>
        </w:rPr>
        <w:t xml:space="preserve">On August 10, the parties submitted a “Stipulation re: Forum Non Conveniens Discovery and Motions Practice,” setting forth procedures for forum non conveniens discovery and a briefing schedule for the motions.  </w:t>
      </w:r>
      <w:r w:rsidRPr="00A62A3C" w:rsidR="00D4564B">
        <w:rPr>
          <w:rFonts w:ascii="Century Schoolbook" w:hAnsi="Century Schoolbook"/>
        </w:rPr>
        <w:t xml:space="preserve">In </w:t>
      </w:r>
      <w:r w:rsidR="00E02485">
        <w:rPr>
          <w:rFonts w:ascii="Century Schoolbook" w:hAnsi="Century Schoolbook"/>
        </w:rPr>
        <w:t xml:space="preserve">the </w:t>
      </w:r>
      <w:r w:rsidR="008156FE">
        <w:rPr>
          <w:rFonts w:ascii="Century Schoolbook" w:hAnsi="Century Schoolbook"/>
        </w:rPr>
        <w:t>stipulation</w:t>
      </w:r>
      <w:r w:rsidRPr="00A62A3C" w:rsidR="00D4564B">
        <w:rPr>
          <w:rFonts w:ascii="Century Schoolbook" w:hAnsi="Century Schoolbook"/>
        </w:rPr>
        <w:t xml:space="preserve"> the</w:t>
      </w:r>
      <w:r w:rsidR="00D4564B">
        <w:rPr>
          <w:rFonts w:ascii="Century Schoolbook" w:hAnsi="Century Schoolbook"/>
        </w:rPr>
        <w:t xml:space="preserve"> </w:t>
      </w:r>
      <w:r w:rsidRPr="00A62A3C" w:rsidR="00D4564B">
        <w:rPr>
          <w:rFonts w:ascii="Century Schoolbook" w:hAnsi="Century Schoolbook"/>
        </w:rPr>
        <w:t xml:space="preserve">parties acknowledged that </w:t>
      </w:r>
      <w:r w:rsidR="00D4564B">
        <w:rPr>
          <w:rFonts w:ascii="Century Schoolbook" w:hAnsi="Century Schoolbook"/>
        </w:rPr>
        <w:t>Uber’s</w:t>
      </w:r>
      <w:r w:rsidRPr="00A62A3C" w:rsidR="00D4564B">
        <w:rPr>
          <w:rFonts w:ascii="Century Schoolbook" w:hAnsi="Century Schoolbook"/>
        </w:rPr>
        <w:t xml:space="preserve"> </w:t>
      </w:r>
      <w:r w:rsidRPr="00F01A2A" w:rsidR="00D4564B">
        <w:rPr>
          <w:rFonts w:ascii="Century Schoolbook" w:hAnsi="Century Schoolbook"/>
        </w:rPr>
        <w:t>forum non conveniens</w:t>
      </w:r>
      <w:r w:rsidR="00D4564B">
        <w:rPr>
          <w:rFonts w:ascii="Century Schoolbook" w:hAnsi="Century Schoolbook"/>
        </w:rPr>
        <w:t xml:space="preserve"> </w:t>
      </w:r>
      <w:r w:rsidRPr="00A62A3C" w:rsidR="00D4564B">
        <w:rPr>
          <w:rFonts w:ascii="Century Schoolbook" w:hAnsi="Century Schoolbook"/>
        </w:rPr>
        <w:t>motions “will cover only a number of particular cases (consistent</w:t>
      </w:r>
      <w:r w:rsidR="00D4564B">
        <w:rPr>
          <w:rFonts w:ascii="Century Schoolbook" w:hAnsi="Century Schoolbook"/>
        </w:rPr>
        <w:t xml:space="preserve"> </w:t>
      </w:r>
      <w:r w:rsidRPr="00A62A3C" w:rsidR="00D4564B">
        <w:rPr>
          <w:rFonts w:ascii="Century Schoolbook" w:hAnsi="Century Schoolbook"/>
        </w:rPr>
        <w:t>with the [p]arties’ case management statement submissions and</w:t>
      </w:r>
      <w:r w:rsidR="00D4564B">
        <w:rPr>
          <w:rFonts w:ascii="Century Schoolbook" w:hAnsi="Century Schoolbook"/>
        </w:rPr>
        <w:t xml:space="preserve"> </w:t>
      </w:r>
      <w:r w:rsidRPr="00A62A3C" w:rsidR="00D4564B">
        <w:rPr>
          <w:rFonts w:ascii="Century Schoolbook" w:hAnsi="Century Schoolbook"/>
        </w:rPr>
        <w:t>the colloquy with the Court at the conferences on March 4, 2022</w:t>
      </w:r>
      <w:r w:rsidR="00D4564B">
        <w:rPr>
          <w:rFonts w:ascii="Century Schoolbook" w:hAnsi="Century Schoolbook"/>
        </w:rPr>
        <w:t xml:space="preserve"> </w:t>
      </w:r>
      <w:r w:rsidRPr="00A62A3C" w:rsidR="00D4564B">
        <w:rPr>
          <w:rFonts w:ascii="Century Schoolbook" w:hAnsi="Century Schoolbook"/>
        </w:rPr>
        <w:t>and April 21, 2022).”  The parties thus agreed to</w:t>
      </w:r>
      <w:r w:rsidR="00D4564B">
        <w:rPr>
          <w:rFonts w:ascii="Century Schoolbook" w:hAnsi="Century Schoolbook"/>
        </w:rPr>
        <w:t xml:space="preserve"> </w:t>
      </w:r>
      <w:r w:rsidRPr="00A62A3C" w:rsidR="00D4564B">
        <w:rPr>
          <w:rFonts w:ascii="Century Schoolbook" w:hAnsi="Century Schoolbook"/>
        </w:rPr>
        <w:t xml:space="preserve">“meet and confer” after </w:t>
      </w:r>
      <w:r w:rsidR="00F01A2A">
        <w:rPr>
          <w:rFonts w:ascii="Century Schoolbook" w:hAnsi="Century Schoolbook"/>
        </w:rPr>
        <w:t xml:space="preserve">Judge Schulman’s </w:t>
      </w:r>
      <w:r w:rsidRPr="00A62A3C" w:rsidR="00D4564B">
        <w:rPr>
          <w:rFonts w:ascii="Century Schoolbook" w:hAnsi="Century Schoolbook"/>
        </w:rPr>
        <w:t xml:space="preserve">decision </w:t>
      </w:r>
      <w:r w:rsidRPr="00F01A2A" w:rsidR="00D4564B">
        <w:rPr>
          <w:rFonts w:ascii="Century Schoolbook" w:hAnsi="Century Schoolbook"/>
        </w:rPr>
        <w:t>on those particular cases</w:t>
      </w:r>
      <w:r w:rsidRPr="00A62A3C" w:rsidR="00D4564B">
        <w:rPr>
          <w:rFonts w:ascii="Century Schoolbook" w:hAnsi="Century Schoolbook"/>
        </w:rPr>
        <w:t xml:space="preserve"> to “discuss a process </w:t>
      </w:r>
      <w:r w:rsidR="008156FE">
        <w:rPr>
          <w:rFonts w:ascii="Century Schoolbook" w:hAnsi="Century Schoolbook"/>
        </w:rPr>
        <w:t>[</w:t>
      </w:r>
      <w:r w:rsidRPr="00A62A3C" w:rsidR="00D4564B">
        <w:rPr>
          <w:rFonts w:ascii="Century Schoolbook" w:hAnsi="Century Schoolbook"/>
        </w:rPr>
        <w:t>for</w:t>
      </w:r>
      <w:r w:rsidR="008156FE">
        <w:rPr>
          <w:rFonts w:ascii="Century Schoolbook" w:hAnsi="Century Schoolbook"/>
        </w:rPr>
        <w:t>]</w:t>
      </w:r>
      <w:r w:rsidRPr="00A62A3C" w:rsidR="00D4564B">
        <w:rPr>
          <w:rFonts w:ascii="Century Schoolbook" w:hAnsi="Century Schoolbook"/>
        </w:rPr>
        <w:t xml:space="preserve"> stipulating to or</w:t>
      </w:r>
      <w:r w:rsidR="00D4564B">
        <w:rPr>
          <w:rFonts w:ascii="Century Schoolbook" w:hAnsi="Century Schoolbook"/>
        </w:rPr>
        <w:t xml:space="preserve"> </w:t>
      </w:r>
      <w:r w:rsidRPr="00A62A3C" w:rsidR="00D4564B">
        <w:rPr>
          <w:rFonts w:ascii="Century Schoolbook" w:hAnsi="Century Schoolbook"/>
        </w:rPr>
        <w:t>contesting the applicability of the [c]ourt’s ruling . . . to the</w:t>
      </w:r>
      <w:r w:rsidR="00D4564B">
        <w:rPr>
          <w:rFonts w:ascii="Century Schoolbook" w:hAnsi="Century Schoolbook"/>
        </w:rPr>
        <w:t xml:space="preserve"> </w:t>
      </w:r>
      <w:r w:rsidRPr="00A62A3C" w:rsidR="00D4564B">
        <w:rPr>
          <w:rFonts w:ascii="Century Schoolbook" w:hAnsi="Century Schoolbook"/>
        </w:rPr>
        <w:t xml:space="preserve">remainder of the cases within this coordinated proceeding.” </w:t>
      </w:r>
      <w:r w:rsidR="00437BEE">
        <w:rPr>
          <w:rFonts w:ascii="Century Schoolbook" w:hAnsi="Century Schoolbook"/>
        </w:rPr>
        <w:t xml:space="preserve"> And t</w:t>
      </w:r>
      <w:r>
        <w:rPr>
          <w:rFonts w:ascii="Century Schoolbook" w:hAnsi="Century Schoolbook"/>
        </w:rPr>
        <w:t>he stipulation concluded with this:  “</w:t>
      </w:r>
      <w:r w:rsidRPr="004F3196">
        <w:rPr>
          <w:rFonts w:ascii="Century Schoolbook" w:hAnsi="Century Schoolbook"/>
        </w:rPr>
        <w:t>Following resolution of the Forum Motions, which will cover only a number of particular cases (consistent with the Parties</w:t>
      </w:r>
      <w:r>
        <w:rPr>
          <w:rFonts w:ascii="Century Schoolbook" w:hAnsi="Century Schoolbook"/>
        </w:rPr>
        <w:t>’</w:t>
      </w:r>
      <w:r w:rsidRPr="004F3196">
        <w:rPr>
          <w:rFonts w:ascii="Century Schoolbook" w:hAnsi="Century Schoolbook"/>
        </w:rPr>
        <w:t xml:space="preserve"> case management statement submissions and the colloquy with the Court at the conferences on March 4, 2022 and April 21, 2022), the parties shall meet and confer to discuss a process stipulating to or contesting the applicability of the Court</w:t>
      </w:r>
      <w:r>
        <w:rPr>
          <w:rFonts w:ascii="Century Schoolbook" w:hAnsi="Century Schoolbook"/>
        </w:rPr>
        <w:t>’</w:t>
      </w:r>
      <w:r w:rsidRPr="004F3196">
        <w:rPr>
          <w:rFonts w:ascii="Century Schoolbook" w:hAnsi="Century Schoolbook"/>
        </w:rPr>
        <w:t>s ruling on the Forum Motions to the remainder of the cases within this coordinated proceeding.</w:t>
      </w:r>
      <w:r>
        <w:rPr>
          <w:rFonts w:ascii="Century Schoolbook" w:hAnsi="Century Schoolbook"/>
        </w:rPr>
        <w:t xml:space="preserve">”  </w:t>
      </w:r>
    </w:p>
    <w:p w:rsidR="00884363" w:rsidP="00884363" w14:paraId="56F9D180" w14:textId="28E3F74F">
      <w:pPr>
        <w:rPr>
          <w:rFonts w:ascii="Century Schoolbook" w:hAnsi="Century Schoolbook"/>
        </w:rPr>
      </w:pPr>
      <w:r>
        <w:rPr>
          <w:rFonts w:ascii="Century Schoolbook" w:hAnsi="Century Schoolbook"/>
        </w:rPr>
        <w:tab/>
      </w:r>
      <w:r w:rsidRPr="007D703D">
        <w:rPr>
          <w:rFonts w:ascii="Century Schoolbook" w:hAnsi="Century Schoolbook"/>
        </w:rPr>
        <w:t xml:space="preserve">On October 10, </w:t>
      </w:r>
      <w:r>
        <w:rPr>
          <w:rFonts w:ascii="Century Schoolbook" w:hAnsi="Century Schoolbook"/>
        </w:rPr>
        <w:t>Uber</w:t>
      </w:r>
      <w:r w:rsidRPr="007D703D">
        <w:rPr>
          <w:rFonts w:ascii="Century Schoolbook" w:hAnsi="Century Schoolbook"/>
        </w:rPr>
        <w:t xml:space="preserve"> filed motions to</w:t>
      </w:r>
      <w:r>
        <w:rPr>
          <w:rFonts w:ascii="Century Schoolbook" w:hAnsi="Century Schoolbook"/>
        </w:rPr>
        <w:t xml:space="preserve"> stay or </w:t>
      </w:r>
      <w:r w:rsidRPr="007D703D">
        <w:rPr>
          <w:rFonts w:ascii="Century Schoolbook" w:hAnsi="Century Schoolbook"/>
        </w:rPr>
        <w:t xml:space="preserve">dismiss </w:t>
      </w:r>
      <w:r>
        <w:rPr>
          <w:rFonts w:ascii="Century Schoolbook" w:hAnsi="Century Schoolbook"/>
        </w:rPr>
        <w:t xml:space="preserve">two cases—those of Jane </w:t>
      </w:r>
      <w:r w:rsidRPr="007D703D">
        <w:rPr>
          <w:rFonts w:ascii="Century Schoolbook" w:hAnsi="Century Schoolbook"/>
        </w:rPr>
        <w:t xml:space="preserve">Doe LSA 35 and </w:t>
      </w:r>
      <w:r>
        <w:rPr>
          <w:rFonts w:ascii="Century Schoolbook" w:hAnsi="Century Schoolbook"/>
        </w:rPr>
        <w:t xml:space="preserve">Jane </w:t>
      </w:r>
      <w:r w:rsidRPr="007D703D">
        <w:rPr>
          <w:rFonts w:ascii="Century Schoolbook" w:hAnsi="Century Schoolbook"/>
        </w:rPr>
        <w:t>Doe</w:t>
      </w:r>
      <w:r>
        <w:rPr>
          <w:rFonts w:ascii="Century Schoolbook" w:hAnsi="Century Schoolbook"/>
        </w:rPr>
        <w:t xml:space="preserve"> </w:t>
      </w:r>
      <w:r w:rsidRPr="007D703D">
        <w:rPr>
          <w:rFonts w:ascii="Century Schoolbook" w:hAnsi="Century Schoolbook"/>
        </w:rPr>
        <w:t>WHBE 3</w:t>
      </w:r>
      <w:r>
        <w:rPr>
          <w:rFonts w:ascii="Century Schoolbook" w:hAnsi="Century Schoolbook"/>
        </w:rPr>
        <w:t>—on the grounds of forum non conveniens.  The motions asserted that as of their filing the coordinated proceeding involved some 1,201 plaintiffs, and that “the vast majority—roughly two-third</w:t>
      </w:r>
      <w:r w:rsidR="008156FE">
        <w:rPr>
          <w:rFonts w:ascii="Century Schoolbook" w:hAnsi="Century Schoolbook"/>
        </w:rPr>
        <w:t>s</w:t>
      </w:r>
      <w:r>
        <w:rPr>
          <w:rFonts w:ascii="Century Schoolbook" w:hAnsi="Century Schoolbook"/>
        </w:rPr>
        <w:t xml:space="preserve"> of cases with known alleged incident locations—involve incidents that occurred outside California, across at least 50 other jurisdictions in and outside the U.S.”  The introduction to the motions identified two categories of cases:  Category 1, in which “[t]</w:t>
      </w:r>
      <w:r w:rsidRPr="00AC2911">
        <w:rPr>
          <w:rFonts w:ascii="Century Schoolbook" w:hAnsi="Century Schoolbook"/>
        </w:rPr>
        <w:t>he alleged incident occurred outside California and both the plaintiff</w:t>
      </w:r>
      <w:r>
        <w:rPr>
          <w:rFonts w:ascii="Century Schoolbook" w:hAnsi="Century Schoolbook"/>
        </w:rPr>
        <w:t xml:space="preserve"> </w:t>
      </w:r>
      <w:r w:rsidRPr="00AC2911">
        <w:rPr>
          <w:rFonts w:ascii="Century Schoolbook" w:hAnsi="Century Schoolbook"/>
        </w:rPr>
        <w:t>and the alleged assailant reside outside California</w:t>
      </w:r>
      <w:r>
        <w:rPr>
          <w:rFonts w:ascii="Century Schoolbook" w:hAnsi="Century Schoolbook"/>
        </w:rPr>
        <w:t>,” and Category 2, in which “[t]</w:t>
      </w:r>
      <w:r w:rsidRPr="00AC2911">
        <w:rPr>
          <w:rFonts w:ascii="Century Schoolbook" w:hAnsi="Century Schoolbook"/>
        </w:rPr>
        <w:t>he alleged incident occurred outside California, the alleged assailant</w:t>
      </w:r>
      <w:r>
        <w:rPr>
          <w:rFonts w:ascii="Century Schoolbook" w:hAnsi="Century Schoolbook"/>
        </w:rPr>
        <w:t xml:space="preserve"> </w:t>
      </w:r>
      <w:r w:rsidRPr="00AC2911">
        <w:rPr>
          <w:rFonts w:ascii="Century Schoolbook" w:hAnsi="Century Schoolbook"/>
        </w:rPr>
        <w:t xml:space="preserve">resides outside California, and the plaintiff resided outside </w:t>
      </w:r>
      <w:r>
        <w:rPr>
          <w:rFonts w:ascii="Century Schoolbook" w:hAnsi="Century Schoolbook"/>
        </w:rPr>
        <w:t>C</w:t>
      </w:r>
      <w:r w:rsidRPr="00AC2911">
        <w:rPr>
          <w:rFonts w:ascii="Century Schoolbook" w:hAnsi="Century Schoolbook"/>
        </w:rPr>
        <w:t>alifornia at the time of</w:t>
      </w:r>
      <w:r>
        <w:rPr>
          <w:rFonts w:ascii="Century Schoolbook" w:hAnsi="Century Schoolbook"/>
        </w:rPr>
        <w:t xml:space="preserve"> </w:t>
      </w:r>
      <w:r w:rsidRPr="00AC2911">
        <w:rPr>
          <w:rFonts w:ascii="Century Schoolbook" w:hAnsi="Century Schoolbook"/>
        </w:rPr>
        <w:t>the alleged incident and subsequently moved to California</w:t>
      </w:r>
      <w:r>
        <w:rPr>
          <w:rFonts w:ascii="Century Schoolbook" w:hAnsi="Century Schoolbook"/>
        </w:rPr>
        <w:t xml:space="preserve">.”  The motions asserted that Jane Doe LSA 35 fell into Category 1, and Jane Doe WHBE 3 into Category 2.  </w:t>
      </w:r>
    </w:p>
    <w:p w:rsidR="00D739A5" w:rsidP="006B0494" w14:paraId="690E3A84" w14:textId="023B0DBF">
      <w:pPr>
        <w:rPr>
          <w:rFonts w:ascii="Century Schoolbook" w:hAnsi="Century Schoolbook"/>
        </w:rPr>
      </w:pPr>
      <w:r>
        <w:rPr>
          <w:rFonts w:ascii="Century Schoolbook" w:hAnsi="Century Schoolbook"/>
        </w:rPr>
        <w:tab/>
        <w:t>On November 14 and 15, plaintiffs filed oppositions to Uber’s motions, oppositions, we note, that made no reference to any claimed “deference” that should be given to the coordination order</w:t>
      </w:r>
      <w:r w:rsidRPr="002E4BBC">
        <w:rPr>
          <w:rFonts w:ascii="Century Schoolbook" w:hAnsi="Century Schoolbook"/>
        </w:rPr>
        <w:t xml:space="preserve">, no reference to any claim of collateral estoppel. </w:t>
      </w:r>
      <w:r w:rsidR="00437BEE">
        <w:rPr>
          <w:rFonts w:ascii="Century Schoolbook" w:hAnsi="Century Schoolbook"/>
        </w:rPr>
        <w:t xml:space="preserve"> </w:t>
      </w:r>
      <w:r w:rsidR="006B0494">
        <w:rPr>
          <w:rFonts w:ascii="Century Schoolbook" w:hAnsi="Century Schoolbook"/>
        </w:rPr>
        <w:t xml:space="preserve">Apropos the issues on appeal, as to </w:t>
      </w:r>
      <w:r w:rsidRPr="00A62A3C" w:rsidR="00D4564B">
        <w:rPr>
          <w:rFonts w:ascii="Century Schoolbook" w:hAnsi="Century Schoolbook"/>
        </w:rPr>
        <w:t>the Hawaii case, the individual plaintiff agreed that</w:t>
      </w:r>
      <w:r w:rsidR="00D4564B">
        <w:rPr>
          <w:rFonts w:ascii="Century Schoolbook" w:hAnsi="Century Schoolbook"/>
        </w:rPr>
        <w:t xml:space="preserve"> </w:t>
      </w:r>
      <w:r w:rsidRPr="00A62A3C" w:rsidR="00D4564B">
        <w:rPr>
          <w:rFonts w:ascii="Century Schoolbook" w:hAnsi="Century Schoolbook"/>
        </w:rPr>
        <w:t xml:space="preserve">Hawaii was a suitable alternative forum based on </w:t>
      </w:r>
      <w:r>
        <w:rPr>
          <w:rFonts w:ascii="Century Schoolbook" w:hAnsi="Century Schoolbook"/>
        </w:rPr>
        <w:t xml:space="preserve">Uber’s </w:t>
      </w:r>
      <w:r w:rsidRPr="00A62A3C" w:rsidR="00D4564B">
        <w:rPr>
          <w:rFonts w:ascii="Century Schoolbook" w:hAnsi="Century Schoolbook"/>
        </w:rPr>
        <w:t xml:space="preserve">willingness to stipulate to tolling.  </w:t>
      </w:r>
      <w:r w:rsidR="006B0494">
        <w:rPr>
          <w:rFonts w:ascii="Century Schoolbook" w:hAnsi="Century Schoolbook"/>
        </w:rPr>
        <w:t xml:space="preserve">And in </w:t>
      </w:r>
      <w:r w:rsidRPr="00A62A3C" w:rsidR="00D4564B">
        <w:rPr>
          <w:rFonts w:ascii="Century Schoolbook" w:hAnsi="Century Schoolbook"/>
        </w:rPr>
        <w:t>the Texas</w:t>
      </w:r>
      <w:r w:rsidR="00D4564B">
        <w:rPr>
          <w:rFonts w:ascii="Century Schoolbook" w:hAnsi="Century Schoolbook"/>
        </w:rPr>
        <w:t xml:space="preserve"> </w:t>
      </w:r>
      <w:r w:rsidRPr="00A62A3C" w:rsidR="00D4564B">
        <w:rPr>
          <w:rFonts w:ascii="Century Schoolbook" w:hAnsi="Century Schoolbook"/>
        </w:rPr>
        <w:t>case, the plaintiff did not</w:t>
      </w:r>
      <w:r w:rsidR="00D4564B">
        <w:rPr>
          <w:rFonts w:ascii="Century Schoolbook" w:hAnsi="Century Schoolbook"/>
        </w:rPr>
        <w:t xml:space="preserve"> </w:t>
      </w:r>
      <w:r w:rsidRPr="00A62A3C" w:rsidR="00D4564B">
        <w:rPr>
          <w:rFonts w:ascii="Century Schoolbook" w:hAnsi="Century Schoolbook"/>
        </w:rPr>
        <w:t>dispute that Texas was a suitable alternative forum.  The plaintiff in the Texas case also argued that any</w:t>
      </w:r>
      <w:r w:rsidR="00D4564B">
        <w:rPr>
          <w:rFonts w:ascii="Century Schoolbook" w:hAnsi="Century Schoolbook"/>
        </w:rPr>
        <w:t xml:space="preserve"> </w:t>
      </w:r>
      <w:r w:rsidRPr="00A62A3C" w:rsidR="00D4564B">
        <w:rPr>
          <w:rFonts w:ascii="Century Schoolbook" w:hAnsi="Century Schoolbook"/>
        </w:rPr>
        <w:t>ruling in that case should not be “extrapolated” to the remaining</w:t>
      </w:r>
      <w:r w:rsidR="00D4564B">
        <w:rPr>
          <w:rFonts w:ascii="Century Schoolbook" w:hAnsi="Century Schoolbook"/>
        </w:rPr>
        <w:t xml:space="preserve"> </w:t>
      </w:r>
      <w:r w:rsidRPr="00A62A3C" w:rsidR="00D4564B">
        <w:rPr>
          <w:rFonts w:ascii="Century Schoolbook" w:hAnsi="Century Schoolbook"/>
        </w:rPr>
        <w:t xml:space="preserve">cases.  </w:t>
      </w:r>
    </w:p>
    <w:p w:rsidR="007A0D3F" w:rsidRPr="00A62A3C" w:rsidP="00884363" w14:paraId="0048447E" w14:textId="3B1F2839">
      <w:pPr>
        <w:rPr>
          <w:rFonts w:ascii="Century Schoolbook" w:hAnsi="Century Schoolbook"/>
        </w:rPr>
      </w:pPr>
      <w:r>
        <w:rPr>
          <w:rFonts w:ascii="Century Schoolbook" w:hAnsi="Century Schoolbook"/>
        </w:rPr>
        <w:tab/>
      </w:r>
      <w:r w:rsidRPr="002E4BBC" w:rsidR="00457147">
        <w:rPr>
          <w:rFonts w:ascii="Century Schoolbook" w:hAnsi="Century Schoolbook"/>
        </w:rPr>
        <w:t>Uber filed replies</w:t>
      </w:r>
      <w:r w:rsidR="00DF6360">
        <w:rPr>
          <w:rFonts w:ascii="Century Schoolbook" w:hAnsi="Century Schoolbook"/>
        </w:rPr>
        <w:t>,</w:t>
      </w:r>
      <w:r w:rsidR="00457147">
        <w:rPr>
          <w:rFonts w:ascii="Century Schoolbook" w:hAnsi="Century Schoolbook"/>
        </w:rPr>
        <w:t xml:space="preserve"> </w:t>
      </w:r>
      <w:r w:rsidR="001B6F53">
        <w:rPr>
          <w:rFonts w:ascii="Century Schoolbook" w:hAnsi="Century Schoolbook"/>
        </w:rPr>
        <w:t>a</w:t>
      </w:r>
      <w:r w:rsidR="00CE7549">
        <w:rPr>
          <w:rFonts w:ascii="Century Schoolbook" w:hAnsi="Century Schoolbook"/>
        </w:rPr>
        <w:t>nd t</w:t>
      </w:r>
      <w:r w:rsidRPr="007D703D" w:rsidR="007D703D">
        <w:rPr>
          <w:rFonts w:ascii="Century Schoolbook" w:hAnsi="Century Schoolbook"/>
        </w:rPr>
        <w:t>he</w:t>
      </w:r>
      <w:r w:rsidR="007D703D">
        <w:rPr>
          <w:rFonts w:ascii="Century Schoolbook" w:hAnsi="Century Schoolbook"/>
        </w:rPr>
        <w:t xml:space="preserve"> </w:t>
      </w:r>
      <w:r w:rsidR="006B0494">
        <w:rPr>
          <w:rFonts w:ascii="Century Schoolbook" w:hAnsi="Century Schoolbook"/>
        </w:rPr>
        <w:t xml:space="preserve">motions </w:t>
      </w:r>
      <w:r w:rsidR="00E75F70">
        <w:rPr>
          <w:rFonts w:ascii="Century Schoolbook" w:hAnsi="Century Schoolbook"/>
        </w:rPr>
        <w:t xml:space="preserve">came on for hearing </w:t>
      </w:r>
      <w:r w:rsidRPr="007D703D" w:rsidR="007D703D">
        <w:rPr>
          <w:rFonts w:ascii="Century Schoolbook" w:hAnsi="Century Schoolbook"/>
        </w:rPr>
        <w:t xml:space="preserve">on January 4, 2023. </w:t>
      </w:r>
      <w:r>
        <w:rPr>
          <w:rFonts w:ascii="Century Schoolbook" w:hAnsi="Century Schoolbook"/>
        </w:rPr>
        <w:t xml:space="preserve"> </w:t>
      </w:r>
      <w:r w:rsidR="006B0494">
        <w:rPr>
          <w:rFonts w:ascii="Century Schoolbook" w:hAnsi="Century Schoolbook"/>
        </w:rPr>
        <w:t xml:space="preserve">Among </w:t>
      </w:r>
      <w:r>
        <w:rPr>
          <w:rFonts w:ascii="Century Schoolbook" w:hAnsi="Century Schoolbook"/>
        </w:rPr>
        <w:t>other things, counsel for plaintiffs</w:t>
      </w:r>
      <w:r w:rsidRPr="00A62A3C">
        <w:rPr>
          <w:rFonts w:ascii="Century Schoolbook" w:hAnsi="Century Schoolbook"/>
        </w:rPr>
        <w:t xml:space="preserve"> explained that they were not intending to</w:t>
      </w:r>
      <w:r>
        <w:rPr>
          <w:rFonts w:ascii="Century Schoolbook" w:hAnsi="Century Schoolbook"/>
        </w:rPr>
        <w:t xml:space="preserve"> </w:t>
      </w:r>
      <w:r w:rsidRPr="00A62A3C">
        <w:rPr>
          <w:rFonts w:ascii="Century Schoolbook" w:hAnsi="Century Schoolbook"/>
        </w:rPr>
        <w:t>“repudiat[e]” the parties’ longstanding case-management plan</w:t>
      </w:r>
      <w:r>
        <w:rPr>
          <w:rFonts w:ascii="Century Schoolbook" w:hAnsi="Century Schoolbook"/>
        </w:rPr>
        <w:t xml:space="preserve">, that </w:t>
      </w:r>
      <w:r w:rsidRPr="00A62A3C">
        <w:rPr>
          <w:rFonts w:ascii="Century Schoolbook" w:hAnsi="Century Schoolbook"/>
        </w:rPr>
        <w:t>they only intended</w:t>
      </w:r>
      <w:r>
        <w:rPr>
          <w:rFonts w:ascii="Century Schoolbook" w:hAnsi="Century Schoolbook"/>
        </w:rPr>
        <w:t xml:space="preserve"> </w:t>
      </w:r>
      <w:r w:rsidRPr="00A62A3C">
        <w:rPr>
          <w:rFonts w:ascii="Century Schoolbook" w:hAnsi="Century Schoolbook"/>
        </w:rPr>
        <w:t>to preserve the right “[to] meet and confer with [defendants] to</w:t>
      </w:r>
      <w:r>
        <w:rPr>
          <w:rFonts w:ascii="Century Schoolbook" w:hAnsi="Century Schoolbook"/>
        </w:rPr>
        <w:t xml:space="preserve"> </w:t>
      </w:r>
      <w:r w:rsidRPr="00A62A3C">
        <w:rPr>
          <w:rFonts w:ascii="Century Schoolbook" w:hAnsi="Century Schoolbook"/>
        </w:rPr>
        <w:t>figure out which of the cases the ruling touches” and to object to</w:t>
      </w:r>
      <w:r>
        <w:rPr>
          <w:rFonts w:ascii="Century Schoolbook" w:hAnsi="Century Schoolbook"/>
        </w:rPr>
        <w:t xml:space="preserve"> </w:t>
      </w:r>
      <w:r w:rsidRPr="00A62A3C">
        <w:rPr>
          <w:rFonts w:ascii="Century Schoolbook" w:hAnsi="Century Schoolbook"/>
        </w:rPr>
        <w:t xml:space="preserve">application of the ruling on a case-specific basis.  </w:t>
      </w:r>
      <w:r>
        <w:rPr>
          <w:rFonts w:ascii="Century Schoolbook" w:hAnsi="Century Schoolbook"/>
        </w:rPr>
        <w:t>And</w:t>
      </w:r>
      <w:r w:rsidR="00D30B14">
        <w:rPr>
          <w:rFonts w:ascii="Century Schoolbook" w:hAnsi="Century Schoolbook"/>
        </w:rPr>
        <w:t>,</w:t>
      </w:r>
      <w:r>
        <w:rPr>
          <w:rFonts w:ascii="Century Schoolbook" w:hAnsi="Century Schoolbook"/>
        </w:rPr>
        <w:t xml:space="preserve"> </w:t>
      </w:r>
      <w:r w:rsidRPr="00A62A3C">
        <w:rPr>
          <w:rFonts w:ascii="Century Schoolbook" w:hAnsi="Century Schoolbook"/>
        </w:rPr>
        <w:t xml:space="preserve">counsel </w:t>
      </w:r>
      <w:r>
        <w:rPr>
          <w:rFonts w:ascii="Century Schoolbook" w:hAnsi="Century Schoolbook"/>
        </w:rPr>
        <w:t xml:space="preserve">went on to </w:t>
      </w:r>
      <w:r w:rsidRPr="00A62A3C">
        <w:rPr>
          <w:rFonts w:ascii="Century Schoolbook" w:hAnsi="Century Schoolbook"/>
        </w:rPr>
        <w:t>recognize</w:t>
      </w:r>
      <w:r>
        <w:rPr>
          <w:rFonts w:ascii="Century Schoolbook" w:hAnsi="Century Schoolbook"/>
        </w:rPr>
        <w:t>,</w:t>
      </w:r>
      <w:r w:rsidRPr="00A62A3C">
        <w:rPr>
          <w:rFonts w:ascii="Century Schoolbook" w:hAnsi="Century Schoolbook"/>
        </w:rPr>
        <w:t xml:space="preserve"> if “the motion is</w:t>
      </w:r>
      <w:r>
        <w:rPr>
          <w:rFonts w:ascii="Century Schoolbook" w:hAnsi="Century Schoolbook"/>
        </w:rPr>
        <w:t xml:space="preserve"> </w:t>
      </w:r>
      <w:r w:rsidRPr="00A62A3C">
        <w:rPr>
          <w:rFonts w:ascii="Century Schoolbook" w:hAnsi="Century Schoolbook"/>
        </w:rPr>
        <w:t>granted, . . . there will be a large number of cases that will</w:t>
      </w:r>
      <w:r>
        <w:rPr>
          <w:rFonts w:ascii="Century Schoolbook" w:hAnsi="Century Schoolbook"/>
        </w:rPr>
        <w:t xml:space="preserve"> </w:t>
      </w:r>
      <w:r w:rsidRPr="00A62A3C">
        <w:rPr>
          <w:rFonts w:ascii="Century Schoolbook" w:hAnsi="Century Schoolbook"/>
        </w:rPr>
        <w:t xml:space="preserve">need to be refiled in state courts and federal courts.” </w:t>
      </w:r>
    </w:p>
    <w:p w:rsidR="00857085" w:rsidRPr="00857085" w:rsidP="00B65916" w14:paraId="03BB6378" w14:textId="004D10C7">
      <w:pPr>
        <w:spacing w:before="120" w:line="360" w:lineRule="auto"/>
        <w:rPr>
          <w:rFonts w:ascii="Century Schoolbook" w:hAnsi="Century Schoolbook"/>
          <w:b/>
          <w:bCs/>
        </w:rPr>
      </w:pPr>
      <w:r>
        <w:rPr>
          <w:rFonts w:ascii="Century Schoolbook" w:hAnsi="Century Schoolbook"/>
        </w:rPr>
        <w:tab/>
      </w:r>
      <w:r w:rsidR="00307A66">
        <w:rPr>
          <w:rFonts w:ascii="Century Schoolbook" w:hAnsi="Century Schoolbook"/>
          <w:b/>
          <w:bCs/>
        </w:rPr>
        <w:t>Judge Schulman</w:t>
      </w:r>
      <w:r w:rsidRPr="00857085">
        <w:rPr>
          <w:rFonts w:ascii="Century Schoolbook" w:hAnsi="Century Schoolbook"/>
          <w:b/>
          <w:bCs/>
        </w:rPr>
        <w:t>’s Decision</w:t>
      </w:r>
    </w:p>
    <w:p w:rsidR="00623B86" w:rsidP="00B65916" w14:paraId="57690C1A" w14:textId="3556E2E2">
      <w:pPr>
        <w:spacing w:line="360" w:lineRule="auto"/>
        <w:rPr>
          <w:rFonts w:ascii="Century Schoolbook" w:hAnsi="Century Schoolbook"/>
        </w:rPr>
      </w:pPr>
      <w:r>
        <w:rPr>
          <w:rFonts w:ascii="Century Schoolbook" w:hAnsi="Century Schoolbook"/>
        </w:rPr>
        <w:tab/>
      </w:r>
      <w:r w:rsidRPr="00587E7D" w:rsidR="00587E7D">
        <w:rPr>
          <w:rFonts w:ascii="Century Schoolbook" w:hAnsi="Century Schoolbook"/>
        </w:rPr>
        <w:t xml:space="preserve">On January 23, 2023, </w:t>
      </w:r>
      <w:r w:rsidR="00620A04">
        <w:rPr>
          <w:rFonts w:ascii="Century Schoolbook" w:hAnsi="Century Schoolbook"/>
        </w:rPr>
        <w:t>Judge Schulman</w:t>
      </w:r>
      <w:r w:rsidRPr="00587E7D" w:rsidR="00587E7D">
        <w:rPr>
          <w:rFonts w:ascii="Century Schoolbook" w:hAnsi="Century Schoolbook"/>
        </w:rPr>
        <w:t xml:space="preserve"> issued </w:t>
      </w:r>
      <w:r w:rsidR="008A35AF">
        <w:rPr>
          <w:rFonts w:ascii="Century Schoolbook" w:hAnsi="Century Schoolbook"/>
        </w:rPr>
        <w:t xml:space="preserve">a </w:t>
      </w:r>
      <w:r w:rsidR="00587E7D">
        <w:rPr>
          <w:rFonts w:ascii="Century Schoolbook" w:hAnsi="Century Schoolbook"/>
        </w:rPr>
        <w:t xml:space="preserve">21-page </w:t>
      </w:r>
      <w:r w:rsidRPr="00587E7D" w:rsidR="00587E7D">
        <w:rPr>
          <w:rFonts w:ascii="Century Schoolbook" w:hAnsi="Century Schoolbook"/>
        </w:rPr>
        <w:t xml:space="preserve">order granting </w:t>
      </w:r>
      <w:r w:rsidR="003A6445">
        <w:rPr>
          <w:rFonts w:ascii="Century Schoolbook" w:hAnsi="Century Schoolbook"/>
        </w:rPr>
        <w:t>Uber’s motions for a stay</w:t>
      </w:r>
      <w:r w:rsidR="00692B11">
        <w:rPr>
          <w:rFonts w:ascii="Century Schoolbook" w:hAnsi="Century Schoolbook"/>
        </w:rPr>
        <w:t xml:space="preserve"> as to both Jane Doe LSA 35 and Jane Doe WHBE 3</w:t>
      </w:r>
      <w:r w:rsidR="00B65916">
        <w:rPr>
          <w:rFonts w:ascii="Century Schoolbook" w:hAnsi="Century Schoolbook"/>
        </w:rPr>
        <w:t>.</w:t>
      </w:r>
      <w:r>
        <w:rPr>
          <w:rStyle w:val="FootnoteReference"/>
          <w:rFonts w:ascii="Century Schoolbook" w:hAnsi="Century Schoolbook"/>
        </w:rPr>
        <w:footnoteReference w:id="7"/>
      </w:r>
      <w:r w:rsidR="00692B11">
        <w:rPr>
          <w:rFonts w:ascii="Century Schoolbook" w:hAnsi="Century Schoolbook"/>
        </w:rPr>
        <w:t xml:space="preserve"> </w:t>
      </w:r>
      <w:r w:rsidR="00B65916">
        <w:rPr>
          <w:rFonts w:ascii="Century Schoolbook" w:hAnsi="Century Schoolbook"/>
        </w:rPr>
        <w:t xml:space="preserve"> </w:t>
      </w:r>
      <w:r w:rsidR="00692B11">
        <w:rPr>
          <w:rFonts w:ascii="Century Schoolbook" w:hAnsi="Century Schoolbook"/>
        </w:rPr>
        <w:t xml:space="preserve">The order was thorough, and thoughtful, </w:t>
      </w:r>
      <w:r w:rsidR="00884363">
        <w:rPr>
          <w:rFonts w:ascii="Century Schoolbook" w:hAnsi="Century Schoolbook"/>
        </w:rPr>
        <w:t xml:space="preserve">and proceeded in accordance with the guidelines set out in the seminal case of </w:t>
      </w:r>
      <w:r w:rsidR="00884363">
        <w:rPr>
          <w:rFonts w:ascii="Century Schoolbook" w:hAnsi="Century Schoolbook"/>
          <w:i/>
          <w:iCs/>
        </w:rPr>
        <w:t xml:space="preserve">Stangvik v. Shiley, Inc. </w:t>
      </w:r>
      <w:r w:rsidR="00884363">
        <w:rPr>
          <w:rFonts w:ascii="Century Schoolbook" w:hAnsi="Century Schoolbook"/>
        </w:rPr>
        <w:t>(1991) 54 Cal.3d 744, 751 (</w:t>
      </w:r>
      <w:r w:rsidRPr="00884363" w:rsidR="00884363">
        <w:rPr>
          <w:rFonts w:ascii="Century Schoolbook" w:hAnsi="Century Schoolbook"/>
          <w:i/>
          <w:iCs/>
        </w:rPr>
        <w:t>Stangvik</w:t>
      </w:r>
      <w:r w:rsidR="00884363">
        <w:rPr>
          <w:rFonts w:ascii="Century Schoolbook" w:hAnsi="Century Schoolbook"/>
        </w:rPr>
        <w:t>)</w:t>
      </w:r>
      <w:r w:rsidR="00B65916">
        <w:rPr>
          <w:rFonts w:ascii="Century Schoolbook" w:hAnsi="Century Schoolbook"/>
        </w:rPr>
        <w:t>.</w:t>
      </w:r>
      <w:r w:rsidR="00884363">
        <w:rPr>
          <w:rFonts w:ascii="Century Schoolbook" w:hAnsi="Century Schoolbook"/>
        </w:rPr>
        <w:t xml:space="preserve">  </w:t>
      </w:r>
      <w:r w:rsidR="00B65916">
        <w:rPr>
          <w:rFonts w:ascii="Century Schoolbook" w:hAnsi="Century Schoolbook"/>
        </w:rPr>
        <w:t>A</w:t>
      </w:r>
      <w:r w:rsidRPr="00884363" w:rsidR="00692B11">
        <w:rPr>
          <w:rFonts w:ascii="Century Schoolbook" w:hAnsi="Century Schoolbook"/>
        </w:rPr>
        <w:t>nd</w:t>
      </w:r>
      <w:r w:rsidR="00692B11">
        <w:rPr>
          <w:rFonts w:ascii="Century Schoolbook" w:hAnsi="Century Schoolbook"/>
        </w:rPr>
        <w:t xml:space="preserve"> we </w:t>
      </w:r>
      <w:r w:rsidR="008A35AF">
        <w:rPr>
          <w:rFonts w:ascii="Century Schoolbook" w:hAnsi="Century Schoolbook"/>
        </w:rPr>
        <w:t>discuss</w:t>
      </w:r>
      <w:r w:rsidR="00692B11">
        <w:rPr>
          <w:rFonts w:ascii="Century Schoolbook" w:hAnsi="Century Schoolbook"/>
        </w:rPr>
        <w:t xml:space="preserve"> it </w:t>
      </w:r>
      <w:r w:rsidR="008A35AF">
        <w:rPr>
          <w:rFonts w:ascii="Century Schoolbook" w:hAnsi="Century Schoolbook"/>
        </w:rPr>
        <w:t>at some length</w:t>
      </w:r>
      <w:r w:rsidR="003A6445">
        <w:rPr>
          <w:rFonts w:ascii="Century Schoolbook" w:hAnsi="Century Schoolbook"/>
        </w:rPr>
        <w:t xml:space="preserve">. </w:t>
      </w:r>
      <w:r w:rsidRPr="00587E7D" w:rsidR="00587E7D">
        <w:rPr>
          <w:rFonts w:ascii="Century Schoolbook" w:hAnsi="Century Schoolbook"/>
        </w:rPr>
        <w:t xml:space="preserve"> </w:t>
      </w:r>
    </w:p>
    <w:p w:rsidR="00E22159" w:rsidP="00B65916" w14:paraId="30B7B4A5" w14:textId="614AB936">
      <w:pPr>
        <w:spacing w:line="360" w:lineRule="auto"/>
        <w:rPr>
          <w:rFonts w:ascii="Century Schoolbook" w:hAnsi="Century Schoolbook"/>
        </w:rPr>
      </w:pPr>
      <w:r>
        <w:rPr>
          <w:rFonts w:ascii="Century Schoolbook" w:hAnsi="Century Schoolbook"/>
        </w:rPr>
        <w:tab/>
      </w:r>
      <w:r w:rsidR="00692B11">
        <w:rPr>
          <w:rFonts w:ascii="Century Schoolbook" w:hAnsi="Century Schoolbook"/>
        </w:rPr>
        <w:t>Judge Schulman</w:t>
      </w:r>
      <w:r w:rsidR="00D53238">
        <w:rPr>
          <w:rFonts w:ascii="Century Schoolbook" w:hAnsi="Century Schoolbook"/>
        </w:rPr>
        <w:t xml:space="preserve"> began by considering whether there was a suitable alternate forum for each of the cases</w:t>
      </w:r>
      <w:r w:rsidR="009C795E">
        <w:rPr>
          <w:rFonts w:ascii="Century Schoolbook" w:hAnsi="Century Schoolbook"/>
        </w:rPr>
        <w:t>, with this observation</w:t>
      </w:r>
      <w:r w:rsidR="00D53238">
        <w:rPr>
          <w:rFonts w:ascii="Century Schoolbook" w:hAnsi="Century Schoolbook"/>
        </w:rPr>
        <w:t>:</w:t>
      </w:r>
      <w:r w:rsidR="00692B11">
        <w:rPr>
          <w:rFonts w:ascii="Century Schoolbook" w:hAnsi="Century Schoolbook"/>
        </w:rPr>
        <w:t xml:space="preserve">  </w:t>
      </w:r>
      <w:r>
        <w:rPr>
          <w:rFonts w:ascii="Century Schoolbook" w:hAnsi="Century Schoolbook"/>
        </w:rPr>
        <w:t>“ ‘</w:t>
      </w:r>
      <w:r w:rsidRPr="00E22159">
        <w:rPr>
          <w:rFonts w:ascii="Century Schoolbook" w:hAnsi="Century Schoolbook"/>
        </w:rPr>
        <w:t>An alternative forum is suitable if it has jurisdiction and the action in that forum will not be</w:t>
      </w:r>
      <w:r>
        <w:rPr>
          <w:rFonts w:ascii="Century Schoolbook" w:hAnsi="Century Schoolbook"/>
        </w:rPr>
        <w:t xml:space="preserve"> </w:t>
      </w:r>
      <w:r w:rsidRPr="00E22159">
        <w:rPr>
          <w:rFonts w:ascii="Century Schoolbook" w:hAnsi="Century Schoolbook"/>
        </w:rPr>
        <w:t>barred by the statute of limitations.</w:t>
      </w:r>
      <w:r>
        <w:rPr>
          <w:rFonts w:ascii="Century Schoolbook" w:hAnsi="Century Schoolbook"/>
        </w:rPr>
        <w:t>’</w:t>
      </w:r>
      <w:r w:rsidRPr="00E22159">
        <w:rPr>
          <w:rFonts w:ascii="Century Schoolbook" w:hAnsi="Century Schoolbook"/>
        </w:rPr>
        <w:t xml:space="preserve"> </w:t>
      </w:r>
      <w:r>
        <w:rPr>
          <w:rFonts w:ascii="Century Schoolbook" w:hAnsi="Century Schoolbook"/>
        </w:rPr>
        <w:t xml:space="preserve"> </w:t>
      </w:r>
      <w:r w:rsidRPr="00E22159">
        <w:rPr>
          <w:rFonts w:ascii="Century Schoolbook" w:hAnsi="Century Schoolbook"/>
        </w:rPr>
        <w:t>(</w:t>
      </w:r>
      <w:r w:rsidRPr="00E22159">
        <w:rPr>
          <w:rFonts w:ascii="Century Schoolbook" w:hAnsi="Century Schoolbook"/>
          <w:i/>
          <w:iCs/>
        </w:rPr>
        <w:t>Guimei v. Gen. Electric Co.</w:t>
      </w:r>
      <w:r w:rsidRPr="00E22159">
        <w:rPr>
          <w:rFonts w:ascii="Century Schoolbook" w:hAnsi="Century Schoolbook"/>
        </w:rPr>
        <w:t xml:space="preserve"> (2009) 172</w:t>
      </w:r>
      <w:r w:rsidR="00EE6BC4">
        <w:rPr>
          <w:rFonts w:ascii="Century Schoolbook" w:hAnsi="Century Schoolbook"/>
        </w:rPr>
        <w:t> </w:t>
      </w:r>
      <w:r w:rsidRPr="00E22159">
        <w:rPr>
          <w:rFonts w:ascii="Century Schoolbook" w:hAnsi="Century Schoolbook"/>
        </w:rPr>
        <w:t>Cal.App.4th 689, 696.)</w:t>
      </w:r>
      <w:r>
        <w:rPr>
          <w:rFonts w:ascii="Century Schoolbook" w:hAnsi="Century Schoolbook"/>
        </w:rPr>
        <w:t xml:space="preserve">  ‘ “</w:t>
      </w:r>
      <w:r w:rsidRPr="00E22159">
        <w:rPr>
          <w:rFonts w:ascii="Century Schoolbook" w:hAnsi="Century Schoolbook"/>
        </w:rPr>
        <w:t>[I]t is sufficient that the action can be brought, although not necessarily won, in the alternative forum.</w:t>
      </w:r>
      <w:r>
        <w:rPr>
          <w:rFonts w:ascii="Century Schoolbook" w:hAnsi="Century Schoolbook"/>
        </w:rPr>
        <w:t xml:space="preserve">” ’  </w:t>
      </w:r>
      <w:r w:rsidRPr="00E22159">
        <w:rPr>
          <w:rFonts w:ascii="Century Schoolbook" w:hAnsi="Century Schoolbook"/>
        </w:rPr>
        <w:t>(</w:t>
      </w:r>
      <w:r w:rsidRPr="00E22159">
        <w:rPr>
          <w:rFonts w:ascii="Century Schoolbook" w:hAnsi="Century Schoolbook"/>
          <w:i/>
          <w:iCs/>
        </w:rPr>
        <w:t>Id</w:t>
      </w:r>
      <w:r w:rsidRPr="00E22159">
        <w:rPr>
          <w:rFonts w:ascii="Century Schoolbook" w:hAnsi="Century Schoolbook"/>
        </w:rPr>
        <w:t xml:space="preserve">. at 696.) </w:t>
      </w:r>
      <w:r>
        <w:rPr>
          <w:rFonts w:ascii="Century Schoolbook" w:hAnsi="Century Schoolbook"/>
        </w:rPr>
        <w:t xml:space="preserve"> ‘</w:t>
      </w:r>
      <w:r w:rsidRPr="00E22159">
        <w:rPr>
          <w:rFonts w:ascii="Century Schoolbook" w:hAnsi="Century Schoolbook"/>
        </w:rPr>
        <w:t>It is well settled under California law that the moving parties satisfy their burden on the</w:t>
      </w:r>
      <w:r>
        <w:rPr>
          <w:rFonts w:ascii="Century Schoolbook" w:hAnsi="Century Schoolbook"/>
        </w:rPr>
        <w:t xml:space="preserve"> </w:t>
      </w:r>
      <w:r w:rsidRPr="00E22159">
        <w:rPr>
          <w:rFonts w:ascii="Century Schoolbook" w:hAnsi="Century Schoolbook"/>
        </w:rPr>
        <w:t>threshold suitability issue by stipulating to submit to the jurisdiction of the alternative forum and to</w:t>
      </w:r>
      <w:r>
        <w:rPr>
          <w:rFonts w:ascii="Century Schoolbook" w:hAnsi="Century Schoolbook"/>
        </w:rPr>
        <w:t xml:space="preserve"> </w:t>
      </w:r>
      <w:r w:rsidRPr="00E22159">
        <w:rPr>
          <w:rFonts w:ascii="Century Schoolbook" w:hAnsi="Century Schoolbook"/>
        </w:rPr>
        <w:t>waive any applicable statute of limitations.</w:t>
      </w:r>
      <w:r>
        <w:rPr>
          <w:rFonts w:ascii="Century Schoolbook" w:hAnsi="Century Schoolbook"/>
        </w:rPr>
        <w:t>’</w:t>
      </w:r>
      <w:r w:rsidRPr="00E22159">
        <w:rPr>
          <w:rFonts w:ascii="Century Schoolbook" w:hAnsi="Century Schoolbook"/>
        </w:rPr>
        <w:t xml:space="preserve"> </w:t>
      </w:r>
      <w:r>
        <w:rPr>
          <w:rFonts w:ascii="Century Schoolbook" w:hAnsi="Century Schoolbook"/>
        </w:rPr>
        <w:t xml:space="preserve"> </w:t>
      </w:r>
      <w:r w:rsidRPr="00E22159">
        <w:rPr>
          <w:rFonts w:ascii="Century Schoolbook" w:hAnsi="Century Schoolbook"/>
        </w:rPr>
        <w:t>(</w:t>
      </w:r>
      <w:r w:rsidRPr="00E22159">
        <w:rPr>
          <w:rFonts w:ascii="Century Schoolbook" w:hAnsi="Century Schoolbook"/>
          <w:i/>
          <w:iCs/>
        </w:rPr>
        <w:t>Hahn v. Diaz-Barba</w:t>
      </w:r>
      <w:r w:rsidRPr="00E22159">
        <w:rPr>
          <w:rFonts w:ascii="Century Schoolbook" w:hAnsi="Century Schoolbook"/>
        </w:rPr>
        <w:t xml:space="preserve"> (2011) 194</w:t>
      </w:r>
      <w:r>
        <w:rPr>
          <w:rFonts w:ascii="Century Schoolbook" w:hAnsi="Century Schoolbook"/>
        </w:rPr>
        <w:t xml:space="preserve"> C</w:t>
      </w:r>
      <w:r w:rsidRPr="00E22159">
        <w:rPr>
          <w:rFonts w:ascii="Century Schoolbook" w:hAnsi="Century Schoolbook"/>
        </w:rPr>
        <w:t>al.App.4th 1177, 1190</w:t>
      </w:r>
      <w:r w:rsidR="00CD7DD9">
        <w:rPr>
          <w:rFonts w:ascii="Century Schoolbook" w:hAnsi="Century Schoolbook"/>
        </w:rPr>
        <w:t xml:space="preserve"> [(</w:t>
      </w:r>
      <w:r w:rsidRPr="00CD7DD9" w:rsidR="00CD7DD9">
        <w:rPr>
          <w:rFonts w:ascii="Century Schoolbook" w:hAnsi="Century Schoolbook"/>
          <w:i/>
          <w:iCs/>
        </w:rPr>
        <w:t>Hahn</w:t>
      </w:r>
      <w:r w:rsidR="00CD7DD9">
        <w:rPr>
          <w:rFonts w:ascii="Century Schoolbook" w:hAnsi="Century Schoolbook"/>
        </w:rPr>
        <w:t>)]</w:t>
      </w:r>
      <w:r w:rsidRPr="00E22159">
        <w:rPr>
          <w:rFonts w:ascii="Century Schoolbook" w:hAnsi="Century Schoolbook"/>
        </w:rPr>
        <w:t>.)</w:t>
      </w:r>
      <w:r>
        <w:rPr>
          <w:rFonts w:ascii="Century Schoolbook" w:hAnsi="Century Schoolbook"/>
        </w:rPr>
        <w:t xml:space="preserve">  </w:t>
      </w:r>
      <w:r w:rsidRPr="00E22159">
        <w:rPr>
          <w:rFonts w:ascii="Century Schoolbook" w:hAnsi="Century Schoolbook"/>
        </w:rPr>
        <w:t xml:space="preserve">Uber has offered to enter into just such a </w:t>
      </w:r>
      <w:r>
        <w:rPr>
          <w:rFonts w:ascii="Century Schoolbook" w:hAnsi="Century Schoolbook"/>
        </w:rPr>
        <w:t>s</w:t>
      </w:r>
      <w:r w:rsidRPr="00E22159">
        <w:rPr>
          <w:rFonts w:ascii="Century Schoolbook" w:hAnsi="Century Schoolbook"/>
        </w:rPr>
        <w:t xml:space="preserve">tipulation. </w:t>
      </w:r>
      <w:r>
        <w:rPr>
          <w:rFonts w:ascii="Century Schoolbook" w:hAnsi="Century Schoolbook"/>
        </w:rPr>
        <w:t xml:space="preserve"> </w:t>
      </w:r>
      <w:r w:rsidRPr="00E22159">
        <w:rPr>
          <w:rFonts w:ascii="Century Schoolbook" w:hAnsi="Century Schoolbook"/>
        </w:rPr>
        <w:t>Plaintiffs do not dispute that there is a suitable</w:t>
      </w:r>
      <w:r>
        <w:rPr>
          <w:rFonts w:ascii="Century Schoolbook" w:hAnsi="Century Schoolbook"/>
        </w:rPr>
        <w:t xml:space="preserve"> </w:t>
      </w:r>
      <w:r w:rsidRPr="00E22159">
        <w:rPr>
          <w:rFonts w:ascii="Century Schoolbook" w:hAnsi="Century Schoolbook"/>
        </w:rPr>
        <w:t>forum for each of the cases affected by Uber</w:t>
      </w:r>
      <w:r>
        <w:rPr>
          <w:rFonts w:ascii="Century Schoolbook" w:hAnsi="Century Schoolbook"/>
        </w:rPr>
        <w:t>’</w:t>
      </w:r>
      <w:r w:rsidRPr="00E22159">
        <w:rPr>
          <w:rFonts w:ascii="Century Schoolbook" w:hAnsi="Century Schoolbook"/>
        </w:rPr>
        <w:t xml:space="preserve">s motions. </w:t>
      </w:r>
      <w:r>
        <w:rPr>
          <w:rFonts w:ascii="Century Schoolbook" w:hAnsi="Century Schoolbook"/>
        </w:rPr>
        <w:t xml:space="preserve"> </w:t>
      </w:r>
      <w:r w:rsidRPr="00E22159">
        <w:rPr>
          <w:rFonts w:ascii="Century Schoolbook" w:hAnsi="Century Schoolbook"/>
        </w:rPr>
        <w:t>(See WHBE Opposition, 7 [</w:t>
      </w:r>
      <w:r>
        <w:rPr>
          <w:rFonts w:ascii="Century Schoolbook" w:hAnsi="Century Schoolbook"/>
        </w:rPr>
        <w:t>‘</w:t>
      </w:r>
      <w:r w:rsidRPr="00E22159">
        <w:rPr>
          <w:rFonts w:ascii="Century Schoolbook" w:hAnsi="Century Schoolbook"/>
        </w:rPr>
        <w:t>Ms. Doe doesn</w:t>
      </w:r>
      <w:r>
        <w:rPr>
          <w:rFonts w:ascii="Century Schoolbook" w:hAnsi="Century Schoolbook"/>
        </w:rPr>
        <w:t>’</w:t>
      </w:r>
      <w:r w:rsidRPr="00E22159">
        <w:rPr>
          <w:rFonts w:ascii="Century Schoolbook" w:hAnsi="Century Schoolbook"/>
        </w:rPr>
        <w:t>t</w:t>
      </w:r>
      <w:r>
        <w:rPr>
          <w:rFonts w:ascii="Century Schoolbook" w:hAnsi="Century Schoolbook"/>
        </w:rPr>
        <w:t xml:space="preserve"> </w:t>
      </w:r>
      <w:r w:rsidRPr="00E22159">
        <w:rPr>
          <w:rFonts w:ascii="Century Schoolbook" w:hAnsi="Century Schoolbook"/>
        </w:rPr>
        <w:t>deny that Hawaii is a suitable forum</w:t>
      </w:r>
      <w:r>
        <w:rPr>
          <w:rFonts w:ascii="Century Schoolbook" w:hAnsi="Century Schoolbook"/>
        </w:rPr>
        <w:t>’</w:t>
      </w:r>
      <w:r w:rsidRPr="00E22159">
        <w:rPr>
          <w:rFonts w:ascii="Century Schoolbook" w:hAnsi="Century Schoolbook"/>
        </w:rPr>
        <w:t>].)</w:t>
      </w:r>
      <w:r>
        <w:rPr>
          <w:rFonts w:ascii="Century Schoolbook" w:hAnsi="Century Schoolbook"/>
        </w:rPr>
        <w:t xml:space="preserve">”  </w:t>
      </w:r>
    </w:p>
    <w:p w:rsidR="00E22159" w:rsidP="00B65916" w14:paraId="146C2480" w14:textId="6DCCB849">
      <w:pPr>
        <w:spacing w:line="360" w:lineRule="auto"/>
        <w:rPr>
          <w:rFonts w:ascii="Century Schoolbook" w:hAnsi="Century Schoolbook"/>
        </w:rPr>
      </w:pPr>
      <w:r>
        <w:rPr>
          <w:rFonts w:ascii="Century Schoolbook" w:hAnsi="Century Schoolbook"/>
        </w:rPr>
        <w:tab/>
      </w:r>
      <w:r w:rsidR="009C795E">
        <w:rPr>
          <w:rFonts w:ascii="Century Schoolbook" w:hAnsi="Century Schoolbook"/>
        </w:rPr>
        <w:t xml:space="preserve">Judge Schulman </w:t>
      </w:r>
      <w:r>
        <w:rPr>
          <w:rFonts w:ascii="Century Schoolbook" w:hAnsi="Century Schoolbook"/>
        </w:rPr>
        <w:t xml:space="preserve">then considered </w:t>
      </w:r>
      <w:r w:rsidR="0039460A">
        <w:rPr>
          <w:rFonts w:ascii="Century Schoolbook" w:hAnsi="Century Schoolbook"/>
        </w:rPr>
        <w:t xml:space="preserve">the parties’ residences, </w:t>
      </w:r>
      <w:r>
        <w:rPr>
          <w:rFonts w:ascii="Century Schoolbook" w:hAnsi="Century Schoolbook"/>
        </w:rPr>
        <w:t xml:space="preserve">the </w:t>
      </w:r>
      <w:r w:rsidR="006B126B">
        <w:rPr>
          <w:rFonts w:ascii="Century Schoolbook" w:hAnsi="Century Schoolbook"/>
        </w:rPr>
        <w:t xml:space="preserve">first of the </w:t>
      </w:r>
      <w:r w:rsidR="00B65916">
        <w:rPr>
          <w:rFonts w:ascii="Century Schoolbook" w:hAnsi="Century Schoolbook"/>
          <w:i/>
          <w:iCs/>
        </w:rPr>
        <w:t xml:space="preserve">Stangvik </w:t>
      </w:r>
      <w:r w:rsidR="006B126B">
        <w:rPr>
          <w:rFonts w:ascii="Century Schoolbook" w:hAnsi="Century Schoolbook"/>
        </w:rPr>
        <w:t>private interest factors</w:t>
      </w:r>
      <w:r w:rsidR="00884363">
        <w:rPr>
          <w:rFonts w:ascii="Century Schoolbook" w:hAnsi="Century Schoolbook"/>
        </w:rPr>
        <w:t>, saying this:</w:t>
      </w:r>
      <w:r w:rsidR="006B126B">
        <w:rPr>
          <w:rFonts w:ascii="Century Schoolbook" w:hAnsi="Century Schoolbook"/>
        </w:rPr>
        <w:t xml:space="preserve"> </w:t>
      </w:r>
    </w:p>
    <w:p w:rsidR="00867A3B" w:rsidRPr="00867A3B" w:rsidP="00B65916" w14:paraId="5DDFD0F9" w14:textId="4D4C1038">
      <w:pPr>
        <w:spacing w:line="360" w:lineRule="auto"/>
        <w:rPr>
          <w:rFonts w:ascii="Century Schoolbook" w:hAnsi="Century Schoolbook"/>
        </w:rPr>
      </w:pPr>
      <w:r>
        <w:rPr>
          <w:rFonts w:ascii="Century Schoolbook" w:hAnsi="Century Schoolbook"/>
        </w:rPr>
        <w:tab/>
        <w:t>“</w:t>
      </w:r>
      <w:r w:rsidRPr="00867A3B">
        <w:rPr>
          <w:rFonts w:ascii="Century Schoolbook" w:hAnsi="Century Schoolbook"/>
        </w:rPr>
        <w:t>Both Plaintiffs assert that a plaintiff</w:t>
      </w:r>
      <w:r w:rsidR="001870D3">
        <w:rPr>
          <w:rFonts w:ascii="Century Schoolbook" w:hAnsi="Century Schoolbook"/>
        </w:rPr>
        <w:t>’</w:t>
      </w:r>
      <w:r w:rsidRPr="00867A3B">
        <w:rPr>
          <w:rFonts w:ascii="Century Schoolbook" w:hAnsi="Century Schoolbook"/>
        </w:rPr>
        <w:t>s choice of forum is entitled to great deference.</w:t>
      </w:r>
      <w:r>
        <w:rPr>
          <w:rFonts w:ascii="Century Schoolbook" w:hAnsi="Century Schoolbook"/>
        </w:rPr>
        <w:t xml:space="preserve"> </w:t>
      </w:r>
      <w:r w:rsidRPr="00867A3B">
        <w:rPr>
          <w:rFonts w:ascii="Century Schoolbook" w:hAnsi="Century Schoolbook"/>
        </w:rPr>
        <w:t xml:space="preserve"> As noted</w:t>
      </w:r>
      <w:r>
        <w:rPr>
          <w:rFonts w:ascii="Century Schoolbook" w:hAnsi="Century Schoolbook"/>
        </w:rPr>
        <w:t xml:space="preserve"> </w:t>
      </w:r>
      <w:r w:rsidRPr="00867A3B">
        <w:rPr>
          <w:rFonts w:ascii="Century Schoolbook" w:hAnsi="Century Schoolbook"/>
        </w:rPr>
        <w:t>above, however, the presumption of convenience that attaches to a plaintiff's choice of forum applies only</w:t>
      </w:r>
      <w:r>
        <w:rPr>
          <w:rFonts w:ascii="Century Schoolbook" w:hAnsi="Century Schoolbook"/>
        </w:rPr>
        <w:t xml:space="preserve"> </w:t>
      </w:r>
      <w:r w:rsidRPr="00867A3B">
        <w:rPr>
          <w:rFonts w:ascii="Century Schoolbook" w:hAnsi="Century Schoolbook"/>
        </w:rPr>
        <w:t xml:space="preserve">to California </w:t>
      </w:r>
      <w:r w:rsidRPr="000731E9">
        <w:rPr>
          <w:rFonts w:ascii="Century Schoolbook" w:hAnsi="Century Schoolbook"/>
        </w:rPr>
        <w:t>residents.  (</w:t>
      </w:r>
      <w:r w:rsidRPr="000731E9">
        <w:rPr>
          <w:rFonts w:ascii="Century Schoolbook" w:hAnsi="Century Schoolbook"/>
          <w:i/>
          <w:iCs/>
        </w:rPr>
        <w:t>Stangvik</w:t>
      </w:r>
      <w:r w:rsidRPr="000731E9">
        <w:rPr>
          <w:rFonts w:ascii="Century Schoolbook" w:hAnsi="Century Schoolbook"/>
        </w:rPr>
        <w:t xml:space="preserve">, 54 Cal.3d at </w:t>
      </w:r>
      <w:r w:rsidR="0018224E">
        <w:rPr>
          <w:rFonts w:ascii="Century Schoolbook" w:hAnsi="Century Schoolbook"/>
        </w:rPr>
        <w:t>[p</w:t>
      </w:r>
      <w:r w:rsidR="008F1ED3">
        <w:rPr>
          <w:rFonts w:ascii="Century Schoolbook" w:hAnsi="Century Schoolbook"/>
        </w:rPr>
        <w:t>p</w:t>
      </w:r>
      <w:r w:rsidR="0018224E">
        <w:rPr>
          <w:rFonts w:ascii="Century Schoolbook" w:hAnsi="Century Schoolbook"/>
        </w:rPr>
        <w:t xml:space="preserve">.] </w:t>
      </w:r>
      <w:r w:rsidRPr="000731E9">
        <w:rPr>
          <w:rFonts w:ascii="Century Schoolbook" w:hAnsi="Century Schoolbook"/>
        </w:rPr>
        <w:t>754</w:t>
      </w:r>
      <w:r w:rsidR="00CB137F">
        <w:rPr>
          <w:rFonts w:ascii="Symbol" w:hAnsi="Symbol"/>
        </w:rPr>
        <w:sym w:font="Symbol" w:char="F02D"/>
      </w:r>
      <w:r w:rsidRPr="000731E9">
        <w:rPr>
          <w:rFonts w:ascii="Century Schoolbook" w:hAnsi="Century Schoolbook"/>
        </w:rPr>
        <w:t xml:space="preserve">755; </w:t>
      </w:r>
      <w:r w:rsidRPr="000731E9">
        <w:rPr>
          <w:rFonts w:ascii="Century Schoolbook" w:hAnsi="Century Schoolbook"/>
          <w:i/>
          <w:iCs/>
        </w:rPr>
        <w:t>National Football League</w:t>
      </w:r>
      <w:r w:rsidRPr="000731E9" w:rsidR="000731E9">
        <w:rPr>
          <w:rFonts w:ascii="Century Schoolbook" w:hAnsi="Century Schoolbook"/>
        </w:rPr>
        <w:t xml:space="preserve"> [</w:t>
      </w:r>
      <w:r w:rsidRPr="000731E9" w:rsidR="000731E9">
        <w:rPr>
          <w:rFonts w:ascii="Century Schoolbook" w:hAnsi="Century Schoolbook"/>
          <w:i/>
          <w:iCs/>
        </w:rPr>
        <w:t>v.</w:t>
      </w:r>
      <w:r w:rsidRPr="000731E9" w:rsidR="000731E9">
        <w:rPr>
          <w:rFonts w:ascii="Century Schoolbook" w:hAnsi="Century Schoolbook"/>
        </w:rPr>
        <w:t xml:space="preserve"> </w:t>
      </w:r>
      <w:r w:rsidRPr="000731E9" w:rsidR="000731E9">
        <w:rPr>
          <w:rFonts w:ascii="Century Schoolbook" w:hAnsi="Century Schoolbook"/>
          <w:i/>
          <w:iCs/>
        </w:rPr>
        <w:t>Fireman’s Fund Insurance Company</w:t>
      </w:r>
      <w:r w:rsidRPr="000731E9" w:rsidR="000731E9">
        <w:rPr>
          <w:rFonts w:ascii="Century Schoolbook" w:hAnsi="Century Schoolbook"/>
        </w:rPr>
        <w:t xml:space="preserve"> (2013)]</w:t>
      </w:r>
      <w:r w:rsidRPr="000731E9">
        <w:rPr>
          <w:rFonts w:ascii="Century Schoolbook" w:hAnsi="Century Schoolbook"/>
        </w:rPr>
        <w:t xml:space="preserve"> 216 Cal.App.4th </w:t>
      </w:r>
      <w:r w:rsidRPr="000731E9" w:rsidR="000731E9">
        <w:rPr>
          <w:rFonts w:ascii="Century Schoolbook" w:hAnsi="Century Schoolbook"/>
        </w:rPr>
        <w:t>[902,]</w:t>
      </w:r>
      <w:r w:rsidRPr="000731E9">
        <w:rPr>
          <w:rFonts w:ascii="Century Schoolbook" w:hAnsi="Century Schoolbook"/>
        </w:rPr>
        <w:t xml:space="preserve"> 929</w:t>
      </w:r>
      <w:r w:rsidRPr="000731E9" w:rsidR="000731E9">
        <w:rPr>
          <w:rFonts w:ascii="Century Schoolbook" w:hAnsi="Century Schoolbook"/>
        </w:rPr>
        <w:t xml:space="preserve"> [(</w:t>
      </w:r>
      <w:r w:rsidRPr="000731E9" w:rsidR="000731E9">
        <w:rPr>
          <w:rFonts w:ascii="Century Schoolbook" w:hAnsi="Century Schoolbook"/>
          <w:i/>
          <w:iCs/>
        </w:rPr>
        <w:t>NFL</w:t>
      </w:r>
      <w:r w:rsidRPr="000731E9" w:rsidR="000731E9">
        <w:rPr>
          <w:rFonts w:ascii="Century Schoolbook" w:hAnsi="Century Schoolbook"/>
        </w:rPr>
        <w:t>)]</w:t>
      </w:r>
      <w:r w:rsidRPr="000731E9">
        <w:rPr>
          <w:rFonts w:ascii="Century Schoolbook" w:hAnsi="Century Schoolbook"/>
        </w:rPr>
        <w:t>.)  Thus, that Doe LSA 35, a Texas resident, chose to file suit in California ‘is</w:t>
      </w:r>
      <w:r w:rsidRPr="00867A3B">
        <w:rPr>
          <w:rFonts w:ascii="Century Schoolbook" w:hAnsi="Century Schoolbook"/>
        </w:rPr>
        <w:t xml:space="preserve"> not a substantial factor</w:t>
      </w:r>
      <w:r>
        <w:rPr>
          <w:rFonts w:ascii="Century Schoolbook" w:hAnsi="Century Schoolbook"/>
        </w:rPr>
        <w:t xml:space="preserve"> </w:t>
      </w:r>
      <w:r w:rsidRPr="00867A3B">
        <w:rPr>
          <w:rFonts w:ascii="Century Schoolbook" w:hAnsi="Century Schoolbook"/>
        </w:rPr>
        <w:t xml:space="preserve">in favor </w:t>
      </w:r>
      <w:r w:rsidRPr="00867A3B" w:rsidR="00F3426C">
        <w:rPr>
          <w:rFonts w:ascii="Century Schoolbook" w:hAnsi="Century Schoolbook"/>
        </w:rPr>
        <w:t>of retaining</w:t>
      </w:r>
      <w:r w:rsidRPr="00867A3B">
        <w:rPr>
          <w:rFonts w:ascii="Century Schoolbook" w:hAnsi="Century Schoolbook"/>
        </w:rPr>
        <w:t xml:space="preserve"> jurisdiction here.</w:t>
      </w:r>
      <w:r>
        <w:rPr>
          <w:rFonts w:ascii="Century Schoolbook" w:hAnsi="Century Schoolbook"/>
        </w:rPr>
        <w:t xml:space="preserve">’ </w:t>
      </w:r>
      <w:r w:rsidRPr="00867A3B">
        <w:rPr>
          <w:rFonts w:ascii="Century Schoolbook" w:hAnsi="Century Schoolbook"/>
        </w:rPr>
        <w:t xml:space="preserve"> (</w:t>
      </w:r>
      <w:r w:rsidRPr="00867A3B">
        <w:rPr>
          <w:rFonts w:ascii="Century Schoolbook" w:hAnsi="Century Schoolbook"/>
          <w:i/>
          <w:iCs/>
        </w:rPr>
        <w:t>Stangvik</w:t>
      </w:r>
      <w:r w:rsidRPr="00867A3B">
        <w:rPr>
          <w:rFonts w:ascii="Century Schoolbook" w:hAnsi="Century Schoolbook"/>
        </w:rPr>
        <w:t xml:space="preserve">, 54 Cal.3d at </w:t>
      </w:r>
      <w:r w:rsidR="0018224E">
        <w:rPr>
          <w:rFonts w:ascii="Century Schoolbook" w:hAnsi="Century Schoolbook"/>
        </w:rPr>
        <w:t xml:space="preserve">[p.] </w:t>
      </w:r>
      <w:r w:rsidRPr="00867A3B">
        <w:rPr>
          <w:rFonts w:ascii="Century Schoolbook" w:hAnsi="Century Schoolbook"/>
        </w:rPr>
        <w:t>755.)</w:t>
      </w:r>
    </w:p>
    <w:p w:rsidR="00B80FBC" w:rsidP="00B65916" w14:paraId="16FD9746" w14:textId="77777777">
      <w:pPr>
        <w:spacing w:line="360" w:lineRule="auto"/>
        <w:rPr>
          <w:rFonts w:ascii="Century Schoolbook" w:hAnsi="Century Schoolbook"/>
        </w:rPr>
      </w:pPr>
      <w:r>
        <w:rPr>
          <w:rFonts w:ascii="Century Schoolbook" w:hAnsi="Century Schoolbook"/>
        </w:rPr>
        <w:tab/>
        <w:t>“</w:t>
      </w:r>
      <w:r w:rsidRPr="00867A3B">
        <w:rPr>
          <w:rFonts w:ascii="Century Schoolbook" w:hAnsi="Century Schoolbook"/>
        </w:rPr>
        <w:t xml:space="preserve">Doe LHBE 3 stresses that in 2006, the Court of Appeal quoted </w:t>
      </w:r>
      <w:r w:rsidRPr="00867A3B">
        <w:rPr>
          <w:rFonts w:ascii="Century Schoolbook" w:hAnsi="Century Schoolbook"/>
          <w:i/>
          <w:iCs/>
        </w:rPr>
        <w:t>Ford Motor Co. v. Insurance Co. of North America</w:t>
      </w:r>
      <w:r w:rsidRPr="00867A3B">
        <w:rPr>
          <w:rFonts w:ascii="Century Schoolbook" w:hAnsi="Century Schoolbook"/>
        </w:rPr>
        <w:t xml:space="preserve"> (1995) 35 Cal.App.4th 604</w:t>
      </w:r>
      <w:r w:rsidR="00516E0E">
        <w:rPr>
          <w:rFonts w:ascii="Century Schoolbook" w:hAnsi="Century Schoolbook"/>
        </w:rPr>
        <w:t xml:space="preserve"> [(</w:t>
      </w:r>
      <w:r w:rsidRPr="00516E0E" w:rsidR="00516E0E">
        <w:rPr>
          <w:rFonts w:ascii="Century Schoolbook" w:hAnsi="Century Schoolbook"/>
          <w:i/>
          <w:iCs/>
        </w:rPr>
        <w:t>Ford</w:t>
      </w:r>
      <w:r w:rsidR="00516E0E">
        <w:rPr>
          <w:rFonts w:ascii="Century Schoolbook" w:hAnsi="Century Schoolbook"/>
        </w:rPr>
        <w:t>)]</w:t>
      </w:r>
      <w:r w:rsidRPr="00867A3B">
        <w:rPr>
          <w:rFonts w:ascii="Century Schoolbook" w:hAnsi="Century Schoolbook"/>
        </w:rPr>
        <w:t xml:space="preserve"> for the propositions that </w:t>
      </w:r>
      <w:r>
        <w:rPr>
          <w:rFonts w:ascii="Century Schoolbook" w:hAnsi="Century Schoolbook"/>
        </w:rPr>
        <w:t>‘</w:t>
      </w:r>
      <w:r w:rsidRPr="00867A3B">
        <w:rPr>
          <w:rFonts w:ascii="Century Schoolbook" w:hAnsi="Century Schoolbook"/>
        </w:rPr>
        <w:t>[a] plaintiff</w:t>
      </w:r>
      <w:r w:rsidR="00DD5A74">
        <w:rPr>
          <w:rFonts w:ascii="Century Schoolbook" w:hAnsi="Century Schoolbook"/>
        </w:rPr>
        <w:t>’</w:t>
      </w:r>
      <w:r w:rsidRPr="00867A3B">
        <w:rPr>
          <w:rFonts w:ascii="Century Schoolbook" w:hAnsi="Century Schoolbook"/>
        </w:rPr>
        <w:t>s choice of forum is</w:t>
      </w:r>
      <w:r>
        <w:rPr>
          <w:rFonts w:ascii="Century Schoolbook" w:hAnsi="Century Schoolbook"/>
        </w:rPr>
        <w:t xml:space="preserve"> </w:t>
      </w:r>
      <w:r w:rsidRPr="00867A3B">
        <w:rPr>
          <w:rFonts w:ascii="Century Schoolbook" w:hAnsi="Century Schoolbook"/>
        </w:rPr>
        <w:t>entitled to great weight even though the plaintiff is a nonresident</w:t>
      </w:r>
      <w:r>
        <w:rPr>
          <w:rFonts w:ascii="Century Schoolbook" w:hAnsi="Century Schoolbook"/>
        </w:rPr>
        <w:t>’</w:t>
      </w:r>
      <w:r w:rsidRPr="00867A3B">
        <w:rPr>
          <w:rFonts w:ascii="Century Schoolbook" w:hAnsi="Century Schoolbook"/>
        </w:rPr>
        <w:t xml:space="preserve"> and that a plaintiff</w:t>
      </w:r>
      <w:r w:rsidR="000A5995">
        <w:rPr>
          <w:rFonts w:ascii="Century Schoolbook" w:hAnsi="Century Schoolbook"/>
        </w:rPr>
        <w:t>’</w:t>
      </w:r>
      <w:r w:rsidRPr="00867A3B">
        <w:rPr>
          <w:rFonts w:ascii="Century Schoolbook" w:hAnsi="Century Schoolbook"/>
        </w:rPr>
        <w:t>s choice of forum</w:t>
      </w:r>
      <w:r>
        <w:rPr>
          <w:rFonts w:ascii="Century Schoolbook" w:hAnsi="Century Schoolbook"/>
        </w:rPr>
        <w:t xml:space="preserve"> </w:t>
      </w:r>
      <w:r w:rsidRPr="00867A3B">
        <w:rPr>
          <w:rFonts w:ascii="Century Schoolbook" w:hAnsi="Century Schoolbook"/>
        </w:rPr>
        <w:t xml:space="preserve">can be disturbed only </w:t>
      </w:r>
      <w:r>
        <w:rPr>
          <w:rFonts w:ascii="Century Schoolbook" w:hAnsi="Century Schoolbook"/>
        </w:rPr>
        <w:t>‘</w:t>
      </w:r>
      <w:r w:rsidRPr="00867A3B">
        <w:rPr>
          <w:rFonts w:ascii="Century Schoolbook" w:hAnsi="Century Schoolbook"/>
        </w:rPr>
        <w:t>if the balance is strongly in favor of the defendant.</w:t>
      </w:r>
      <w:r>
        <w:rPr>
          <w:rFonts w:ascii="Century Schoolbook" w:hAnsi="Century Schoolbook"/>
        </w:rPr>
        <w:t xml:space="preserve">’ </w:t>
      </w:r>
      <w:r w:rsidRPr="00867A3B">
        <w:rPr>
          <w:rFonts w:ascii="Century Schoolbook" w:hAnsi="Century Schoolbook"/>
        </w:rPr>
        <w:t xml:space="preserve"> (</w:t>
      </w:r>
      <w:r w:rsidRPr="00867A3B">
        <w:rPr>
          <w:rFonts w:ascii="Century Schoolbook" w:hAnsi="Century Schoolbook"/>
          <w:i/>
          <w:iCs/>
        </w:rPr>
        <w:t>Morris v. AGFA Corp.</w:t>
      </w:r>
      <w:r>
        <w:rPr>
          <w:rFonts w:ascii="Century Schoolbook" w:hAnsi="Century Schoolbook"/>
        </w:rPr>
        <w:t xml:space="preserve"> </w:t>
      </w:r>
      <w:r w:rsidRPr="00867A3B">
        <w:rPr>
          <w:rFonts w:ascii="Century Schoolbook" w:hAnsi="Century Schoolbook"/>
        </w:rPr>
        <w:t>(2006) 144 Cal.App.4th 1452, 1464</w:t>
      </w:r>
      <w:r w:rsidR="00516E0E">
        <w:rPr>
          <w:rFonts w:ascii="Century Schoolbook" w:hAnsi="Century Schoolbook"/>
        </w:rPr>
        <w:t xml:space="preserve"> [(</w:t>
      </w:r>
      <w:r w:rsidRPr="00516E0E" w:rsidR="00516E0E">
        <w:rPr>
          <w:rFonts w:ascii="Century Schoolbook" w:hAnsi="Century Schoolbook"/>
          <w:i/>
          <w:iCs/>
        </w:rPr>
        <w:t>Morris</w:t>
      </w:r>
      <w:r w:rsidR="00516E0E">
        <w:rPr>
          <w:rFonts w:ascii="Century Schoolbook" w:hAnsi="Century Schoolbook"/>
        </w:rPr>
        <w:t>)]</w:t>
      </w:r>
      <w:r w:rsidRPr="00867A3B">
        <w:rPr>
          <w:rFonts w:ascii="Century Schoolbook" w:hAnsi="Century Schoolbook"/>
        </w:rPr>
        <w:t xml:space="preserve">; LHBE Opposition, 1, 7.) </w:t>
      </w:r>
      <w:r>
        <w:rPr>
          <w:rFonts w:ascii="Century Schoolbook" w:hAnsi="Century Schoolbook"/>
        </w:rPr>
        <w:t xml:space="preserve"> </w:t>
      </w:r>
      <w:r w:rsidRPr="00867A3B">
        <w:rPr>
          <w:rFonts w:ascii="Century Schoolbook" w:hAnsi="Century Schoolbook"/>
        </w:rPr>
        <w:t>However, those propositions are no longer</w:t>
      </w:r>
      <w:r>
        <w:rPr>
          <w:rFonts w:ascii="Century Schoolbook" w:hAnsi="Century Schoolbook"/>
        </w:rPr>
        <w:t xml:space="preserve"> </w:t>
      </w:r>
      <w:r w:rsidRPr="00867A3B">
        <w:rPr>
          <w:rFonts w:ascii="Century Schoolbook" w:hAnsi="Century Schoolbook"/>
        </w:rPr>
        <w:t>correct statements of California law, if they ever were.</w:t>
      </w:r>
      <w:r w:rsidR="00570134">
        <w:rPr>
          <w:rFonts w:ascii="Century Schoolbook" w:hAnsi="Century Schoolbook"/>
        </w:rPr>
        <w:t xml:space="preserve">  [Footnote omitted.]</w:t>
      </w:r>
      <w:r w:rsidRPr="00867A3B">
        <w:rPr>
          <w:rFonts w:ascii="Century Schoolbook" w:hAnsi="Century Schoolbook"/>
        </w:rPr>
        <w:t xml:space="preserve"> </w:t>
      </w:r>
      <w:r>
        <w:rPr>
          <w:rFonts w:ascii="Century Schoolbook" w:hAnsi="Century Schoolbook"/>
        </w:rPr>
        <w:t xml:space="preserve"> </w:t>
      </w:r>
      <w:r w:rsidRPr="00867A3B">
        <w:rPr>
          <w:rFonts w:ascii="Century Schoolbook" w:hAnsi="Century Schoolbook"/>
        </w:rPr>
        <w:t>As one court explained</w:t>
      </w:r>
      <w:r w:rsidR="009069A2">
        <w:rPr>
          <w:rFonts w:ascii="Century Schoolbook" w:hAnsi="Century Schoolbook"/>
        </w:rPr>
        <w:t xml:space="preserve">:  </w:t>
      </w:r>
    </w:p>
    <w:p w:rsidR="00867A3B" w:rsidRPr="00867A3B" w:rsidP="00B65916" w14:paraId="3CAF1CE4" w14:textId="17CEBCA9">
      <w:pPr>
        <w:spacing w:line="360" w:lineRule="auto"/>
        <w:rPr>
          <w:rFonts w:ascii="Century Schoolbook" w:hAnsi="Century Schoolbook"/>
        </w:rPr>
      </w:pPr>
      <w:r>
        <w:rPr>
          <w:rFonts w:ascii="Century Schoolbook" w:hAnsi="Century Schoolbook"/>
        </w:rPr>
        <w:tab/>
      </w:r>
      <w:r w:rsidR="001870D3">
        <w:rPr>
          <w:rFonts w:ascii="Century Schoolbook" w:hAnsi="Century Schoolbook"/>
        </w:rPr>
        <w:t>“</w:t>
      </w:r>
      <w:r w:rsidR="00C17C05">
        <w:rPr>
          <w:rFonts w:ascii="Century Schoolbook" w:hAnsi="Century Schoolbook"/>
        </w:rPr>
        <w:t xml:space="preserve"> ‘</w:t>
      </w:r>
      <w:r w:rsidRPr="00867A3B">
        <w:rPr>
          <w:rFonts w:ascii="Century Schoolbook" w:hAnsi="Century Schoolbook"/>
        </w:rPr>
        <w:t>[A] resident of one of our sister states who files suit in California is entitled to due deference under</w:t>
      </w:r>
      <w:r w:rsidR="001870D3">
        <w:rPr>
          <w:rFonts w:ascii="Century Schoolbook" w:hAnsi="Century Schoolbook"/>
        </w:rPr>
        <w:t xml:space="preserve"> </w:t>
      </w:r>
      <w:r w:rsidRPr="00867A3B">
        <w:rPr>
          <w:rFonts w:ascii="Century Schoolbook" w:hAnsi="Century Schoolbook"/>
        </w:rPr>
        <w:t xml:space="preserve">the circumstances presented, not a strong presumption, in favor of its choice of forum. </w:t>
      </w:r>
      <w:r w:rsidR="001870D3">
        <w:rPr>
          <w:rFonts w:ascii="Century Schoolbook" w:hAnsi="Century Schoolbook"/>
        </w:rPr>
        <w:t xml:space="preserve"> </w:t>
      </w:r>
      <w:r w:rsidRPr="00867A3B">
        <w:rPr>
          <w:rFonts w:ascii="Century Schoolbook" w:hAnsi="Century Schoolbook"/>
        </w:rPr>
        <w:t>That</w:t>
      </w:r>
      <w:r w:rsidR="001870D3">
        <w:rPr>
          <w:rFonts w:ascii="Century Schoolbook" w:hAnsi="Century Schoolbook"/>
        </w:rPr>
        <w:t xml:space="preserve"> </w:t>
      </w:r>
      <w:r w:rsidRPr="00867A3B">
        <w:rPr>
          <w:rFonts w:ascii="Century Schoolbook" w:hAnsi="Century Schoolbook"/>
        </w:rPr>
        <w:t>deference is to be weighed and balanced by the trial court along with all the other pertinent factors,</w:t>
      </w:r>
      <w:r w:rsidR="00B65916">
        <w:rPr>
          <w:rFonts w:ascii="Century Schoolbook" w:hAnsi="Century Schoolbook"/>
        </w:rPr>
        <w:t xml:space="preserve"> </w:t>
      </w:r>
      <w:r w:rsidRPr="00867A3B">
        <w:rPr>
          <w:rFonts w:ascii="Century Schoolbook" w:hAnsi="Century Schoolbook"/>
        </w:rPr>
        <w:t>including the defendant</w:t>
      </w:r>
      <w:r w:rsidR="001870D3">
        <w:rPr>
          <w:rFonts w:ascii="Century Schoolbook" w:hAnsi="Century Schoolbook"/>
        </w:rPr>
        <w:t>’</w:t>
      </w:r>
      <w:r w:rsidRPr="00867A3B">
        <w:rPr>
          <w:rFonts w:ascii="Century Schoolbook" w:hAnsi="Century Schoolbook"/>
        </w:rPr>
        <w:t>s residence or principal place of business, and has</w:t>
      </w:r>
      <w:r w:rsidR="008A35AF">
        <w:rPr>
          <w:rFonts w:ascii="Century Schoolbook" w:hAnsi="Century Schoolbook"/>
        </w:rPr>
        <w:t xml:space="preserve"> </w:t>
      </w:r>
      <w:r w:rsidRPr="00867A3B">
        <w:rPr>
          <w:rFonts w:ascii="Century Schoolbook" w:hAnsi="Century Schoolbook"/>
        </w:rPr>
        <w:t>no direct bearing on the</w:t>
      </w:r>
      <w:r w:rsidR="001870D3">
        <w:rPr>
          <w:rFonts w:ascii="Century Schoolbook" w:hAnsi="Century Schoolbook"/>
        </w:rPr>
        <w:t xml:space="preserve"> </w:t>
      </w:r>
      <w:r w:rsidRPr="00867A3B">
        <w:rPr>
          <w:rFonts w:ascii="Century Schoolbook" w:hAnsi="Century Schoolbook"/>
        </w:rPr>
        <w:t>moving defendant</w:t>
      </w:r>
      <w:r w:rsidR="001870D3">
        <w:rPr>
          <w:rFonts w:ascii="Century Schoolbook" w:hAnsi="Century Schoolbook"/>
        </w:rPr>
        <w:t>’</w:t>
      </w:r>
      <w:r w:rsidRPr="00867A3B">
        <w:rPr>
          <w:rFonts w:ascii="Century Schoolbook" w:hAnsi="Century Schoolbook"/>
        </w:rPr>
        <w:t xml:space="preserve">s burden of proof. </w:t>
      </w:r>
      <w:r w:rsidR="001870D3">
        <w:rPr>
          <w:rFonts w:ascii="Century Schoolbook" w:hAnsi="Century Schoolbook"/>
        </w:rPr>
        <w:t xml:space="preserve"> </w:t>
      </w:r>
      <w:r w:rsidRPr="00867A3B">
        <w:rPr>
          <w:rFonts w:ascii="Century Schoolbook" w:hAnsi="Century Schoolbook"/>
        </w:rPr>
        <w:t>We therefore disagree with the contrary language in cases</w:t>
      </w:r>
      <w:r w:rsidR="001870D3">
        <w:rPr>
          <w:rFonts w:ascii="Century Schoolbook" w:hAnsi="Century Schoolbook"/>
        </w:rPr>
        <w:t xml:space="preserve"> </w:t>
      </w:r>
      <w:r w:rsidRPr="00867A3B">
        <w:rPr>
          <w:rFonts w:ascii="Century Schoolbook" w:hAnsi="Century Schoolbook"/>
        </w:rPr>
        <w:t xml:space="preserve">such as </w:t>
      </w:r>
      <w:r w:rsidRPr="001870D3">
        <w:rPr>
          <w:rFonts w:ascii="Century Schoolbook" w:hAnsi="Century Schoolbook"/>
          <w:i/>
          <w:iCs/>
        </w:rPr>
        <w:t>Ford</w:t>
      </w:r>
      <w:r w:rsidRPr="00867A3B">
        <w:rPr>
          <w:rFonts w:ascii="Century Schoolbook" w:hAnsi="Century Schoolbook"/>
        </w:rPr>
        <w:t>, which assert that all U.S. citizen plaintiffs</w:t>
      </w:r>
      <w:r w:rsidR="00FB1C76">
        <w:rPr>
          <w:rFonts w:ascii="Century Schoolbook" w:hAnsi="Century Schoolbook"/>
        </w:rPr>
        <w:t>’</w:t>
      </w:r>
      <w:r w:rsidRPr="00867A3B">
        <w:rPr>
          <w:rFonts w:ascii="Century Schoolbook" w:hAnsi="Century Schoolbook"/>
        </w:rPr>
        <w:t xml:space="preserve"> choices of forum are entitled to great</w:t>
      </w:r>
      <w:r w:rsidR="001870D3">
        <w:rPr>
          <w:rFonts w:ascii="Century Schoolbook" w:hAnsi="Century Schoolbook"/>
        </w:rPr>
        <w:t xml:space="preserve"> </w:t>
      </w:r>
      <w:r w:rsidRPr="00867A3B">
        <w:rPr>
          <w:rFonts w:ascii="Century Schoolbook" w:hAnsi="Century Schoolbook"/>
        </w:rPr>
        <w:t>weight.</w:t>
      </w:r>
      <w:r w:rsidR="00A53C12">
        <w:rPr>
          <w:rFonts w:ascii="Century Schoolbook" w:hAnsi="Century Schoolbook"/>
        </w:rPr>
        <w:t>’</w:t>
      </w:r>
      <w:r w:rsidR="00B65916">
        <w:rPr>
          <w:rFonts w:ascii="Century Schoolbook" w:hAnsi="Century Schoolbook"/>
        </w:rPr>
        <w:t xml:space="preserve">  </w:t>
      </w:r>
      <w:r w:rsidRPr="00867A3B">
        <w:rPr>
          <w:rFonts w:ascii="Century Schoolbook" w:hAnsi="Century Schoolbook"/>
        </w:rPr>
        <w:t>(</w:t>
      </w:r>
      <w:r w:rsidR="000731E9">
        <w:rPr>
          <w:rFonts w:ascii="Century Schoolbook" w:hAnsi="Century Schoolbook"/>
        </w:rPr>
        <w:t>[</w:t>
      </w:r>
      <w:r w:rsidR="000731E9">
        <w:rPr>
          <w:rFonts w:ascii="Century Schoolbook" w:hAnsi="Century Schoolbook"/>
          <w:i/>
          <w:iCs/>
        </w:rPr>
        <w:t>NFL</w:t>
      </w:r>
      <w:r w:rsidR="000731E9">
        <w:rPr>
          <w:rFonts w:ascii="Century Schoolbook" w:hAnsi="Century Schoolbook"/>
        </w:rPr>
        <w:t>]</w:t>
      </w:r>
      <w:r w:rsidRPr="00867A3B">
        <w:rPr>
          <w:rFonts w:ascii="Century Schoolbook" w:hAnsi="Century Schoolbook"/>
        </w:rPr>
        <w:t xml:space="preserve">, 216 Cal.App.3d at </w:t>
      </w:r>
      <w:r w:rsidR="00992F56">
        <w:rPr>
          <w:rFonts w:ascii="Century Schoolbook" w:hAnsi="Century Schoolbook"/>
        </w:rPr>
        <w:t xml:space="preserve">[pp.] </w:t>
      </w:r>
      <w:r w:rsidRPr="00867A3B">
        <w:rPr>
          <w:rFonts w:ascii="Century Schoolbook" w:hAnsi="Century Schoolbook"/>
        </w:rPr>
        <w:t>929</w:t>
      </w:r>
      <w:r w:rsidR="00992F56">
        <w:rPr>
          <w:rFonts w:ascii="Symbol" w:hAnsi="Symbol"/>
        </w:rPr>
        <w:sym w:font="Symbol" w:char="F02D"/>
      </w:r>
      <w:r w:rsidRPr="00867A3B">
        <w:rPr>
          <w:rFonts w:ascii="Century Schoolbook" w:hAnsi="Century Schoolbook"/>
        </w:rPr>
        <w:t xml:space="preserve">930; see also </w:t>
      </w:r>
      <w:r w:rsidRPr="001870D3">
        <w:rPr>
          <w:rFonts w:ascii="Century Schoolbook" w:hAnsi="Century Schoolbook"/>
          <w:i/>
          <w:iCs/>
        </w:rPr>
        <w:t>Fox Factory, Inc.</w:t>
      </w:r>
      <w:r w:rsidR="00EE6BC4">
        <w:rPr>
          <w:rFonts w:ascii="Century Schoolbook" w:hAnsi="Century Schoolbook"/>
          <w:i/>
          <w:iCs/>
        </w:rPr>
        <w:t> </w:t>
      </w:r>
      <w:r w:rsidR="00516E0E">
        <w:rPr>
          <w:rFonts w:ascii="Century Schoolbook" w:hAnsi="Century Schoolbook"/>
        </w:rPr>
        <w:t>[</w:t>
      </w:r>
      <w:r w:rsidRPr="00516E0E" w:rsidR="00516E0E">
        <w:rPr>
          <w:rFonts w:ascii="Century Schoolbook" w:hAnsi="Century Schoolbook"/>
          <w:i/>
          <w:iCs/>
        </w:rPr>
        <w:t>v. Superior Court</w:t>
      </w:r>
      <w:r w:rsidR="00516E0E">
        <w:rPr>
          <w:rFonts w:ascii="Century Schoolbook" w:hAnsi="Century Schoolbook"/>
        </w:rPr>
        <w:t xml:space="preserve"> (2017)]</w:t>
      </w:r>
      <w:r w:rsidRPr="00867A3B">
        <w:rPr>
          <w:rFonts w:ascii="Century Schoolbook" w:hAnsi="Century Schoolbook"/>
        </w:rPr>
        <w:t xml:space="preserve"> 11 Cal.App.5th </w:t>
      </w:r>
      <w:r w:rsidR="00516E0E">
        <w:rPr>
          <w:rFonts w:ascii="Century Schoolbook" w:hAnsi="Century Schoolbook"/>
        </w:rPr>
        <w:t>[197,]</w:t>
      </w:r>
      <w:r w:rsidRPr="00867A3B">
        <w:rPr>
          <w:rFonts w:ascii="Century Schoolbook" w:hAnsi="Century Schoolbook"/>
        </w:rPr>
        <w:t xml:space="preserve"> 206</w:t>
      </w:r>
      <w:r w:rsidR="001870D3">
        <w:rPr>
          <w:rFonts w:ascii="Century Schoolbook" w:hAnsi="Century Schoolbook"/>
        </w:rPr>
        <w:t xml:space="preserve"> </w:t>
      </w:r>
      <w:r w:rsidR="00516E0E">
        <w:rPr>
          <w:rFonts w:ascii="Century Schoolbook" w:hAnsi="Century Schoolbook"/>
        </w:rPr>
        <w:t>[(</w:t>
      </w:r>
      <w:r w:rsidRPr="00516E0E" w:rsidR="00516E0E">
        <w:rPr>
          <w:rFonts w:ascii="Century Schoolbook" w:hAnsi="Century Schoolbook"/>
          <w:i/>
          <w:iCs/>
        </w:rPr>
        <w:t>Fox Factory</w:t>
      </w:r>
      <w:r w:rsidR="00516E0E">
        <w:rPr>
          <w:rFonts w:ascii="Century Schoolbook" w:hAnsi="Century Schoolbook"/>
        </w:rPr>
        <w:t xml:space="preserve">)] </w:t>
      </w:r>
      <w:r w:rsidRPr="00867A3B">
        <w:rPr>
          <w:rFonts w:ascii="Century Schoolbook" w:hAnsi="Century Schoolbook"/>
        </w:rPr>
        <w:t xml:space="preserve">[agreeing with analysis in </w:t>
      </w:r>
      <w:r w:rsidRPr="009779B5" w:rsidR="009779B5">
        <w:rPr>
          <w:rFonts w:ascii="Century Schoolbook" w:hAnsi="Century Schoolbook"/>
        </w:rPr>
        <w:t>[</w:t>
      </w:r>
      <w:r w:rsidR="009779B5">
        <w:rPr>
          <w:rFonts w:ascii="Century Schoolbook" w:hAnsi="Century Schoolbook"/>
          <w:i/>
          <w:iCs/>
        </w:rPr>
        <w:t>NFL</w:t>
      </w:r>
      <w:r w:rsidRPr="009779B5" w:rsidR="009779B5">
        <w:rPr>
          <w:rFonts w:ascii="Century Schoolbook" w:hAnsi="Century Schoolbook"/>
        </w:rPr>
        <w:t>]</w:t>
      </w:r>
      <w:r w:rsidRPr="00867A3B">
        <w:rPr>
          <w:rFonts w:ascii="Century Schoolbook" w:hAnsi="Century Schoolbook"/>
        </w:rPr>
        <w:t xml:space="preserve"> and rejecting the suggestion that </w:t>
      </w:r>
      <w:r w:rsidR="001870D3">
        <w:rPr>
          <w:rFonts w:ascii="Century Schoolbook" w:hAnsi="Century Schoolbook"/>
        </w:rPr>
        <w:t>‘</w:t>
      </w:r>
      <w:r w:rsidRPr="00867A3B">
        <w:rPr>
          <w:rFonts w:ascii="Century Schoolbook" w:hAnsi="Century Schoolbook"/>
        </w:rPr>
        <w:t>in every case great</w:t>
      </w:r>
      <w:r w:rsidR="001870D3">
        <w:rPr>
          <w:rFonts w:ascii="Century Schoolbook" w:hAnsi="Century Schoolbook"/>
        </w:rPr>
        <w:t xml:space="preserve"> </w:t>
      </w:r>
      <w:r w:rsidRPr="00867A3B">
        <w:rPr>
          <w:rFonts w:ascii="Century Schoolbook" w:hAnsi="Century Schoolbook"/>
        </w:rPr>
        <w:t>weight is required to overcome a nonresident plaintiff</w:t>
      </w:r>
      <w:r w:rsidR="005B22E8">
        <w:rPr>
          <w:rFonts w:ascii="Century Schoolbook" w:hAnsi="Century Schoolbook"/>
        </w:rPr>
        <w:t>’</w:t>
      </w:r>
      <w:r w:rsidRPr="00867A3B">
        <w:rPr>
          <w:rFonts w:ascii="Century Schoolbook" w:hAnsi="Century Schoolbook"/>
        </w:rPr>
        <w:t>s forum choice</w:t>
      </w:r>
      <w:r w:rsidR="001870D3">
        <w:rPr>
          <w:rFonts w:ascii="Century Schoolbook" w:hAnsi="Century Schoolbook"/>
        </w:rPr>
        <w:t>’</w:t>
      </w:r>
      <w:r w:rsidRPr="00867A3B">
        <w:rPr>
          <w:rFonts w:ascii="Century Schoolbook" w:hAnsi="Century Schoolbook"/>
        </w:rPr>
        <w:t>].)</w:t>
      </w:r>
    </w:p>
    <w:p w:rsidR="00867A3B" w:rsidRPr="00867A3B" w:rsidP="00B65916" w14:paraId="0BB0DCBD" w14:textId="41F261D0">
      <w:pPr>
        <w:spacing w:line="360" w:lineRule="auto"/>
        <w:rPr>
          <w:rFonts w:ascii="Century Schoolbook" w:hAnsi="Century Schoolbook"/>
        </w:rPr>
      </w:pPr>
      <w:r>
        <w:rPr>
          <w:rFonts w:ascii="Century Schoolbook" w:hAnsi="Century Schoolbook"/>
        </w:rPr>
        <w:tab/>
      </w:r>
      <w:r w:rsidR="006B126B">
        <w:rPr>
          <w:rFonts w:ascii="Century Schoolbook" w:hAnsi="Century Schoolbook"/>
        </w:rPr>
        <w:t>“</w:t>
      </w:r>
      <w:r w:rsidRPr="00867A3B">
        <w:rPr>
          <w:rFonts w:ascii="Century Schoolbook" w:hAnsi="Century Schoolbook"/>
        </w:rPr>
        <w:t>Although Doe LHBE 3 currently is a California resident, she resided in Hawaii at the time of the</w:t>
      </w:r>
      <w:r>
        <w:rPr>
          <w:rFonts w:ascii="Century Schoolbook" w:hAnsi="Century Schoolbook"/>
        </w:rPr>
        <w:t xml:space="preserve"> </w:t>
      </w:r>
      <w:r w:rsidRPr="00867A3B">
        <w:rPr>
          <w:rFonts w:ascii="Century Schoolbook" w:hAnsi="Century Schoolbook"/>
        </w:rPr>
        <w:t>alleged incident.</w:t>
      </w:r>
      <w:r>
        <w:rPr>
          <w:rFonts w:ascii="Century Schoolbook" w:hAnsi="Century Schoolbook"/>
        </w:rPr>
        <w:t xml:space="preserve"> </w:t>
      </w:r>
      <w:r w:rsidRPr="00867A3B">
        <w:rPr>
          <w:rFonts w:ascii="Century Schoolbook" w:hAnsi="Century Schoolbook"/>
        </w:rPr>
        <w:t xml:space="preserve"> </w:t>
      </w:r>
      <w:r w:rsidR="00692B11">
        <w:rPr>
          <w:rFonts w:ascii="Century Schoolbook" w:hAnsi="Century Schoolbook"/>
        </w:rPr>
        <w:t xml:space="preserve">[Citation.] </w:t>
      </w:r>
      <w:r>
        <w:rPr>
          <w:rFonts w:ascii="Century Schoolbook" w:hAnsi="Century Schoolbook"/>
        </w:rPr>
        <w:t xml:space="preserve"> </w:t>
      </w:r>
      <w:r w:rsidRPr="00867A3B">
        <w:rPr>
          <w:rFonts w:ascii="Century Schoolbook" w:hAnsi="Century Schoolbook"/>
        </w:rPr>
        <w:t>While her choice of forum is entitled to some deference in</w:t>
      </w:r>
      <w:r>
        <w:rPr>
          <w:rFonts w:ascii="Century Schoolbook" w:hAnsi="Century Schoolbook"/>
        </w:rPr>
        <w:t xml:space="preserve"> </w:t>
      </w:r>
      <w:r w:rsidRPr="00867A3B">
        <w:rPr>
          <w:rFonts w:ascii="Century Schoolbook" w:hAnsi="Century Schoolbook"/>
        </w:rPr>
        <w:t>the analysis, California does not have a strong interest in assuring her a forum for the redress of</w:t>
      </w:r>
      <w:r w:rsidR="006B126B">
        <w:rPr>
          <w:rFonts w:ascii="Century Schoolbook" w:hAnsi="Century Schoolbook"/>
        </w:rPr>
        <w:t xml:space="preserve"> </w:t>
      </w:r>
      <w:r w:rsidRPr="00867A3B">
        <w:rPr>
          <w:rFonts w:ascii="Century Schoolbook" w:hAnsi="Century Schoolbook"/>
        </w:rPr>
        <w:t>grievances suffered in another state that provides her a suitable forum based on the happenstance that she</w:t>
      </w:r>
      <w:r>
        <w:rPr>
          <w:rFonts w:ascii="Century Schoolbook" w:hAnsi="Century Schoolbook"/>
        </w:rPr>
        <w:t xml:space="preserve"> </w:t>
      </w:r>
      <w:r w:rsidRPr="00867A3B">
        <w:rPr>
          <w:rFonts w:ascii="Century Schoolbook" w:hAnsi="Century Schoolbook"/>
        </w:rPr>
        <w:t>later moved to California.</w:t>
      </w:r>
      <w:r>
        <w:rPr>
          <w:rFonts w:ascii="Century Schoolbook" w:hAnsi="Century Schoolbook"/>
        </w:rPr>
        <w:t xml:space="preserve"> </w:t>
      </w:r>
      <w:r w:rsidRPr="00867A3B">
        <w:rPr>
          <w:rFonts w:ascii="Century Schoolbook" w:hAnsi="Century Schoolbook"/>
        </w:rPr>
        <w:t xml:space="preserve"> (See </w:t>
      </w:r>
      <w:r w:rsidRPr="001870D3">
        <w:rPr>
          <w:rFonts w:ascii="Century Schoolbook" w:hAnsi="Century Schoolbook"/>
          <w:i/>
          <w:iCs/>
        </w:rPr>
        <w:t>Henderson v. Superior Court</w:t>
      </w:r>
      <w:r w:rsidRPr="00867A3B">
        <w:rPr>
          <w:rFonts w:ascii="Century Schoolbook" w:hAnsi="Century Schoolbook"/>
        </w:rPr>
        <w:t xml:space="preserve"> (1978) 77 Cal.App.3d 583, 598 [the general</w:t>
      </w:r>
      <w:r>
        <w:rPr>
          <w:rFonts w:ascii="Century Schoolbook" w:hAnsi="Century Schoolbook"/>
        </w:rPr>
        <w:t xml:space="preserve"> </w:t>
      </w:r>
      <w:r w:rsidRPr="00867A3B">
        <w:rPr>
          <w:rFonts w:ascii="Century Schoolbook" w:hAnsi="Century Schoolbook"/>
        </w:rPr>
        <w:t>rule that a court should stay rather than dismiss a case on forum non conveniens grounds if the plaintiff is</w:t>
      </w:r>
      <w:r>
        <w:rPr>
          <w:rFonts w:ascii="Century Schoolbook" w:hAnsi="Century Schoolbook"/>
        </w:rPr>
        <w:t xml:space="preserve"> </w:t>
      </w:r>
      <w:r w:rsidRPr="00867A3B">
        <w:rPr>
          <w:rFonts w:ascii="Century Schoolbook" w:hAnsi="Century Schoolbook"/>
        </w:rPr>
        <w:t xml:space="preserve">a California resident is limited to </w:t>
      </w:r>
      <w:r>
        <w:rPr>
          <w:rFonts w:ascii="Century Schoolbook" w:hAnsi="Century Schoolbook"/>
        </w:rPr>
        <w:t>‘</w:t>
      </w:r>
      <w:r w:rsidRPr="00867A3B">
        <w:rPr>
          <w:rFonts w:ascii="Century Schoolbook" w:hAnsi="Century Schoolbook"/>
        </w:rPr>
        <w:t>plaintiffs who were bona fide California residents at the time their</w:t>
      </w:r>
      <w:r>
        <w:rPr>
          <w:rFonts w:ascii="Century Schoolbook" w:hAnsi="Century Schoolbook"/>
        </w:rPr>
        <w:t xml:space="preserve"> </w:t>
      </w:r>
      <w:r w:rsidRPr="00867A3B">
        <w:rPr>
          <w:rFonts w:ascii="Century Schoolbook" w:hAnsi="Century Schoolbook"/>
        </w:rPr>
        <w:t>causes of action arose</w:t>
      </w:r>
      <w:r>
        <w:rPr>
          <w:rFonts w:ascii="Century Schoolbook" w:hAnsi="Century Schoolbook"/>
        </w:rPr>
        <w:t>’</w:t>
      </w:r>
      <w:r w:rsidRPr="00867A3B">
        <w:rPr>
          <w:rFonts w:ascii="Century Schoolbook" w:hAnsi="Century Schoolbook"/>
        </w:rPr>
        <w:t>].)</w:t>
      </w:r>
      <w:r w:rsidR="006B126B">
        <w:rPr>
          <w:rFonts w:ascii="Century Schoolbook" w:hAnsi="Century Schoolbook"/>
        </w:rPr>
        <w:t xml:space="preserve"> </w:t>
      </w:r>
      <w:r w:rsidR="00B65916">
        <w:rPr>
          <w:rFonts w:ascii="Century Schoolbook" w:hAnsi="Century Schoolbook"/>
        </w:rPr>
        <w:t xml:space="preserve"> </w:t>
      </w:r>
      <w:r>
        <w:rPr>
          <w:rFonts w:ascii="Century Schoolbook" w:hAnsi="Century Schoolbook"/>
        </w:rPr>
        <w:t>[</w:t>
      </w:r>
      <w:r w:rsidR="00B65916">
        <w:rPr>
          <w:rFonts w:ascii="Century Schoolbook" w:hAnsi="Century Schoolbook"/>
        </w:rPr>
        <w:t>F</w:t>
      </w:r>
      <w:r w:rsidR="00570134">
        <w:rPr>
          <w:rFonts w:ascii="Century Schoolbook" w:hAnsi="Century Schoolbook"/>
        </w:rPr>
        <w:t>ootnote</w:t>
      </w:r>
      <w:r>
        <w:rPr>
          <w:rFonts w:ascii="Century Schoolbook" w:hAnsi="Century Schoolbook"/>
        </w:rPr>
        <w:t xml:space="preserve"> </w:t>
      </w:r>
      <w:r w:rsidR="006B126B">
        <w:rPr>
          <w:rFonts w:ascii="Century Schoolbook" w:hAnsi="Century Schoolbook"/>
        </w:rPr>
        <w:t>omitted.</w:t>
      </w:r>
      <w:r>
        <w:rPr>
          <w:rFonts w:ascii="Century Schoolbook" w:hAnsi="Century Schoolbook"/>
        </w:rPr>
        <w:t>]</w:t>
      </w:r>
    </w:p>
    <w:p w:rsidR="00867A3B" w:rsidP="00B65916" w14:paraId="54D537CB" w14:textId="0AB046E7">
      <w:pPr>
        <w:spacing w:line="360" w:lineRule="auto"/>
        <w:rPr>
          <w:rFonts w:ascii="Century Schoolbook" w:hAnsi="Century Schoolbook"/>
        </w:rPr>
      </w:pPr>
      <w:r>
        <w:rPr>
          <w:rFonts w:ascii="Century Schoolbook" w:hAnsi="Century Schoolbook"/>
        </w:rPr>
        <w:tab/>
        <w:t>“ ‘</w:t>
      </w:r>
      <w:r w:rsidRPr="00867A3B">
        <w:rPr>
          <w:rFonts w:ascii="Century Schoolbook" w:hAnsi="Century Schoolbook"/>
        </w:rPr>
        <w:t>Defendant</w:t>
      </w:r>
      <w:r>
        <w:rPr>
          <w:rFonts w:ascii="Century Schoolbook" w:hAnsi="Century Schoolbook"/>
        </w:rPr>
        <w:t>’</w:t>
      </w:r>
      <w:r w:rsidRPr="00867A3B">
        <w:rPr>
          <w:rFonts w:ascii="Century Schoolbook" w:hAnsi="Century Schoolbook"/>
        </w:rPr>
        <w:t xml:space="preserve">s residence is also a factor to be considered in the balance of convenience. </w:t>
      </w:r>
      <w:r>
        <w:rPr>
          <w:rFonts w:ascii="Century Schoolbook" w:hAnsi="Century Schoolbook"/>
        </w:rPr>
        <w:t xml:space="preserve"> </w:t>
      </w:r>
      <w:r w:rsidRPr="00867A3B">
        <w:rPr>
          <w:rFonts w:ascii="Century Schoolbook" w:hAnsi="Century Schoolbook"/>
        </w:rPr>
        <w:t>If a</w:t>
      </w:r>
      <w:r>
        <w:rPr>
          <w:rFonts w:ascii="Century Schoolbook" w:hAnsi="Century Schoolbook"/>
        </w:rPr>
        <w:t xml:space="preserve"> </w:t>
      </w:r>
      <w:r w:rsidRPr="00867A3B">
        <w:rPr>
          <w:rFonts w:ascii="Century Schoolbook" w:hAnsi="Century Schoolbook"/>
        </w:rPr>
        <w:t xml:space="preserve">corporation is the defendant, the state of its </w:t>
      </w:r>
      <w:r>
        <w:rPr>
          <w:rFonts w:ascii="Century Schoolbook" w:hAnsi="Century Schoolbook"/>
        </w:rPr>
        <w:t>i</w:t>
      </w:r>
      <w:r w:rsidRPr="00867A3B">
        <w:rPr>
          <w:rFonts w:ascii="Century Schoolbook" w:hAnsi="Century Schoolbook"/>
        </w:rPr>
        <w:t>ncorporation and the place where its principal place of</w:t>
      </w:r>
      <w:r>
        <w:rPr>
          <w:rFonts w:ascii="Century Schoolbook" w:hAnsi="Century Schoolbook"/>
        </w:rPr>
        <w:t xml:space="preserve"> </w:t>
      </w:r>
      <w:r w:rsidRPr="00867A3B">
        <w:rPr>
          <w:rFonts w:ascii="Century Schoolbook" w:hAnsi="Century Schoolbook"/>
        </w:rPr>
        <w:t>business is located is presumptively a convenient forum.</w:t>
      </w:r>
      <w:r>
        <w:rPr>
          <w:rFonts w:ascii="Century Schoolbook" w:hAnsi="Century Schoolbook"/>
        </w:rPr>
        <w:t>’</w:t>
      </w:r>
      <w:r w:rsidRPr="00867A3B">
        <w:rPr>
          <w:rFonts w:ascii="Century Schoolbook" w:hAnsi="Century Schoolbook"/>
        </w:rPr>
        <w:t xml:space="preserve"> </w:t>
      </w:r>
      <w:r>
        <w:rPr>
          <w:rFonts w:ascii="Century Schoolbook" w:hAnsi="Century Schoolbook"/>
        </w:rPr>
        <w:t xml:space="preserve"> </w:t>
      </w:r>
      <w:r w:rsidRPr="00867A3B">
        <w:rPr>
          <w:rFonts w:ascii="Century Schoolbook" w:hAnsi="Century Schoolbook"/>
        </w:rPr>
        <w:t>(</w:t>
      </w:r>
      <w:r w:rsidRPr="001870D3">
        <w:rPr>
          <w:rFonts w:ascii="Century Schoolbook" w:hAnsi="Century Schoolbook"/>
          <w:i/>
          <w:iCs/>
        </w:rPr>
        <w:t>Stangvik</w:t>
      </w:r>
      <w:r w:rsidRPr="00867A3B">
        <w:rPr>
          <w:rFonts w:ascii="Century Schoolbook" w:hAnsi="Century Schoolbook"/>
        </w:rPr>
        <w:t xml:space="preserve">, 54 Cal.3d at </w:t>
      </w:r>
      <w:r w:rsidR="0099270C">
        <w:rPr>
          <w:rFonts w:ascii="Century Schoolbook" w:hAnsi="Century Schoolbook"/>
        </w:rPr>
        <w:t xml:space="preserve">[p.] </w:t>
      </w:r>
      <w:r w:rsidRPr="00867A3B">
        <w:rPr>
          <w:rFonts w:ascii="Century Schoolbook" w:hAnsi="Century Schoolbook"/>
        </w:rPr>
        <w:t xml:space="preserve">755.) </w:t>
      </w:r>
      <w:r>
        <w:rPr>
          <w:rFonts w:ascii="Century Schoolbook" w:hAnsi="Century Schoolbook"/>
        </w:rPr>
        <w:t xml:space="preserve"> </w:t>
      </w:r>
      <w:r w:rsidRPr="00867A3B">
        <w:rPr>
          <w:rFonts w:ascii="Century Schoolbook" w:hAnsi="Century Schoolbook"/>
        </w:rPr>
        <w:t>How</w:t>
      </w:r>
      <w:r>
        <w:rPr>
          <w:rFonts w:ascii="Century Schoolbook" w:hAnsi="Century Schoolbook"/>
        </w:rPr>
        <w:t>e</w:t>
      </w:r>
      <w:r w:rsidRPr="00867A3B">
        <w:rPr>
          <w:rFonts w:ascii="Century Schoolbook" w:hAnsi="Century Schoolbook"/>
        </w:rPr>
        <w:t xml:space="preserve">ver, </w:t>
      </w:r>
      <w:r>
        <w:rPr>
          <w:rFonts w:ascii="Century Schoolbook" w:hAnsi="Century Schoolbook"/>
        </w:rPr>
        <w:t>‘</w:t>
      </w:r>
      <w:r w:rsidRPr="00867A3B">
        <w:rPr>
          <w:rFonts w:ascii="Century Schoolbook" w:hAnsi="Century Schoolbook"/>
        </w:rPr>
        <w:t>this</w:t>
      </w:r>
      <w:r>
        <w:rPr>
          <w:rFonts w:ascii="Century Schoolbook" w:hAnsi="Century Schoolbook"/>
        </w:rPr>
        <w:t xml:space="preserve"> </w:t>
      </w:r>
      <w:r w:rsidRPr="00867A3B">
        <w:rPr>
          <w:rFonts w:ascii="Century Schoolbook" w:hAnsi="Century Schoolbook"/>
        </w:rPr>
        <w:t>presumption is not conclusive.</w:t>
      </w:r>
      <w:r>
        <w:rPr>
          <w:rFonts w:ascii="Century Schoolbook" w:hAnsi="Century Schoolbook"/>
        </w:rPr>
        <w:t>’</w:t>
      </w:r>
      <w:r w:rsidRPr="00867A3B">
        <w:rPr>
          <w:rFonts w:ascii="Century Schoolbook" w:hAnsi="Century Schoolbook"/>
        </w:rPr>
        <w:t xml:space="preserve"> </w:t>
      </w:r>
      <w:r>
        <w:rPr>
          <w:rFonts w:ascii="Century Schoolbook" w:hAnsi="Century Schoolbook"/>
        </w:rPr>
        <w:t xml:space="preserve"> </w:t>
      </w:r>
      <w:r w:rsidRPr="00867A3B">
        <w:rPr>
          <w:rFonts w:ascii="Century Schoolbook" w:hAnsi="Century Schoolbook"/>
        </w:rPr>
        <w:t>(</w:t>
      </w:r>
      <w:r w:rsidRPr="001870D3">
        <w:rPr>
          <w:rFonts w:ascii="Century Schoolbook" w:hAnsi="Century Schoolbook"/>
          <w:i/>
          <w:iCs/>
        </w:rPr>
        <w:t>Id</w:t>
      </w:r>
      <w:r w:rsidRPr="00867A3B">
        <w:rPr>
          <w:rFonts w:ascii="Century Schoolbook" w:hAnsi="Century Schoolbook"/>
        </w:rPr>
        <w:t xml:space="preserve">. at </w:t>
      </w:r>
      <w:r w:rsidR="0099270C">
        <w:rPr>
          <w:rFonts w:ascii="Century Schoolbook" w:hAnsi="Century Schoolbook"/>
        </w:rPr>
        <w:t xml:space="preserve">[p.] </w:t>
      </w:r>
      <w:r w:rsidRPr="00867A3B">
        <w:rPr>
          <w:rFonts w:ascii="Century Schoolbook" w:hAnsi="Century Schoolbook"/>
        </w:rPr>
        <w:t>756.)</w:t>
      </w:r>
      <w:r>
        <w:rPr>
          <w:rFonts w:ascii="Century Schoolbook" w:hAnsi="Century Schoolbook"/>
        </w:rPr>
        <w:t xml:space="preserve"> </w:t>
      </w:r>
      <w:r w:rsidRPr="00867A3B">
        <w:rPr>
          <w:rFonts w:ascii="Century Schoolbook" w:hAnsi="Century Schoolbook"/>
        </w:rPr>
        <w:t xml:space="preserve"> </w:t>
      </w:r>
      <w:r>
        <w:rPr>
          <w:rFonts w:ascii="Century Schoolbook" w:hAnsi="Century Schoolbook"/>
        </w:rPr>
        <w:t>‘</w:t>
      </w:r>
      <w:r w:rsidRPr="00867A3B">
        <w:rPr>
          <w:rFonts w:ascii="Century Schoolbook" w:hAnsi="Century Schoolbook"/>
        </w:rPr>
        <w:t>A resident defendant may overcome the presumption of</w:t>
      </w:r>
      <w:r>
        <w:rPr>
          <w:rFonts w:ascii="Century Schoolbook" w:hAnsi="Century Schoolbook"/>
        </w:rPr>
        <w:t xml:space="preserve"> </w:t>
      </w:r>
      <w:r w:rsidRPr="00867A3B">
        <w:rPr>
          <w:rFonts w:ascii="Century Schoolbook" w:hAnsi="Century Schoolbook"/>
        </w:rPr>
        <w:t>convenience by evidence that the alternate jurisdiction is a more convenient place for trial of the action.</w:t>
      </w:r>
      <w:r>
        <w:rPr>
          <w:rFonts w:ascii="Century Schoolbook" w:hAnsi="Century Schoolbook"/>
        </w:rPr>
        <w:t xml:space="preserve">’  </w:t>
      </w:r>
      <w:r w:rsidRPr="001870D3">
        <w:rPr>
          <w:rFonts w:ascii="Century Schoolbook" w:hAnsi="Century Schoolbook"/>
        </w:rPr>
        <w:t>(</w:t>
      </w:r>
      <w:r w:rsidRPr="001870D3">
        <w:rPr>
          <w:rFonts w:ascii="Century Schoolbook" w:hAnsi="Century Schoolbook"/>
          <w:i/>
          <w:iCs/>
        </w:rPr>
        <w:t>Id</w:t>
      </w:r>
      <w:r w:rsidRPr="001870D3">
        <w:rPr>
          <w:rFonts w:ascii="Century Schoolbook" w:hAnsi="Century Schoolbook"/>
        </w:rPr>
        <w:t xml:space="preserve">. (footnote omitted).) </w:t>
      </w:r>
      <w:r>
        <w:rPr>
          <w:rFonts w:ascii="Century Schoolbook" w:hAnsi="Century Schoolbook"/>
        </w:rPr>
        <w:t xml:space="preserve"> </w:t>
      </w:r>
      <w:r w:rsidRPr="001870D3">
        <w:rPr>
          <w:rFonts w:ascii="Century Schoolbook" w:hAnsi="Century Schoolbook"/>
        </w:rPr>
        <w:t xml:space="preserve">Here, while Uber is incorporated in Delaware and has its principal place of business in California, it shows that it has multiple regional offices in states around the country, as well as call centers that provide specialized support for critical incidents reported by Uber App users. </w:t>
      </w:r>
      <w:r>
        <w:rPr>
          <w:rFonts w:ascii="Century Schoolbook" w:hAnsi="Century Schoolbook"/>
        </w:rPr>
        <w:t xml:space="preserve"> </w:t>
      </w:r>
      <w:r w:rsidR="00570134">
        <w:rPr>
          <w:rFonts w:ascii="Century Schoolbook" w:hAnsi="Century Schoolbook"/>
        </w:rPr>
        <w:t xml:space="preserve">[Citation.]  </w:t>
      </w:r>
      <w:r w:rsidRPr="001870D3">
        <w:rPr>
          <w:rFonts w:ascii="Century Schoolbook" w:hAnsi="Century Schoolbook"/>
        </w:rPr>
        <w:t>Thus, while this presumption favors Plaintiffs, it is not especially strong, and may be overcome by other evidence.</w:t>
      </w:r>
      <w:r>
        <w:rPr>
          <w:rFonts w:ascii="Century Schoolbook" w:hAnsi="Century Schoolbook"/>
        </w:rPr>
        <w:t xml:space="preserve">” </w:t>
      </w:r>
    </w:p>
    <w:p w:rsidR="00047A48" w:rsidP="00B65916" w14:paraId="4FEE6239" w14:textId="45EB3A65">
      <w:pPr>
        <w:spacing w:line="360" w:lineRule="auto"/>
        <w:rPr>
          <w:rFonts w:ascii="Century Schoolbook" w:hAnsi="Century Schoolbook"/>
        </w:rPr>
      </w:pPr>
      <w:r>
        <w:rPr>
          <w:rFonts w:ascii="Century Schoolbook" w:hAnsi="Century Schoolbook"/>
        </w:rPr>
        <w:tab/>
      </w:r>
      <w:r w:rsidR="008A35AF">
        <w:rPr>
          <w:rFonts w:ascii="Century Schoolbook" w:hAnsi="Century Schoolbook"/>
        </w:rPr>
        <w:t>Judge Schulman</w:t>
      </w:r>
      <w:r>
        <w:rPr>
          <w:rFonts w:ascii="Century Schoolbook" w:hAnsi="Century Schoolbook"/>
        </w:rPr>
        <w:t xml:space="preserve"> then turned to </w:t>
      </w:r>
      <w:r w:rsidR="002D627A">
        <w:rPr>
          <w:rFonts w:ascii="Century Schoolbook" w:hAnsi="Century Schoolbook"/>
        </w:rPr>
        <w:t xml:space="preserve">the location of evidence and witnesses, </w:t>
      </w:r>
      <w:r>
        <w:rPr>
          <w:rFonts w:ascii="Century Schoolbook" w:hAnsi="Century Schoolbook"/>
        </w:rPr>
        <w:t xml:space="preserve">the second of the </w:t>
      </w:r>
      <w:r w:rsidR="00570134">
        <w:rPr>
          <w:rFonts w:ascii="Century Schoolbook" w:hAnsi="Century Schoolbook"/>
          <w:i/>
          <w:iCs/>
        </w:rPr>
        <w:t xml:space="preserve">Stangvik </w:t>
      </w:r>
      <w:r>
        <w:rPr>
          <w:rFonts w:ascii="Century Schoolbook" w:hAnsi="Century Schoolbook"/>
        </w:rPr>
        <w:t xml:space="preserve">private interest factors, noting that in each case the driver and alleged perpetrator was a resident of another state, </w:t>
      </w:r>
      <w:r w:rsidR="008A35AF">
        <w:rPr>
          <w:rFonts w:ascii="Century Schoolbook" w:hAnsi="Century Schoolbook"/>
        </w:rPr>
        <w:t>further</w:t>
      </w:r>
      <w:r>
        <w:rPr>
          <w:rFonts w:ascii="Century Schoolbook" w:hAnsi="Century Schoolbook"/>
        </w:rPr>
        <w:t xml:space="preserve"> noting that plaintiffs “place a great deal of emphasis on the location of Uber’s corporate headquarters in California.</w:t>
      </w:r>
      <w:r w:rsidR="009779B5">
        <w:rPr>
          <w:rFonts w:ascii="Century Schoolbook" w:hAnsi="Century Schoolbook"/>
        </w:rPr>
        <w:t>”</w:t>
      </w:r>
      <w:r>
        <w:rPr>
          <w:rFonts w:ascii="Century Schoolbook" w:hAnsi="Century Schoolbook"/>
        </w:rPr>
        <w:t xml:space="preserve">  </w:t>
      </w:r>
      <w:r w:rsidR="008A35AF">
        <w:rPr>
          <w:rFonts w:ascii="Century Schoolbook" w:hAnsi="Century Schoolbook"/>
        </w:rPr>
        <w:t>Judge Schulman</w:t>
      </w:r>
      <w:r>
        <w:rPr>
          <w:rFonts w:ascii="Century Schoolbook" w:hAnsi="Century Schoolbook"/>
        </w:rPr>
        <w:t xml:space="preserve"> ultimately concluded that </w:t>
      </w:r>
      <w:r w:rsidR="008A35AF">
        <w:rPr>
          <w:rFonts w:ascii="Century Schoolbook" w:hAnsi="Century Schoolbook"/>
        </w:rPr>
        <w:t xml:space="preserve">he </w:t>
      </w:r>
      <w:r>
        <w:rPr>
          <w:rFonts w:ascii="Century Schoolbook" w:hAnsi="Century Schoolbook"/>
        </w:rPr>
        <w:t>need not resolve in whose favor this particular factor weighed</w:t>
      </w:r>
      <w:r w:rsidR="008A35AF">
        <w:rPr>
          <w:rFonts w:ascii="Century Schoolbook" w:hAnsi="Century Schoolbook"/>
        </w:rPr>
        <w:t>, with this explanation</w:t>
      </w:r>
      <w:r>
        <w:rPr>
          <w:rFonts w:ascii="Century Schoolbook" w:hAnsi="Century Schoolbook"/>
        </w:rPr>
        <w:t>:</w:t>
      </w:r>
      <w:r w:rsidR="008A35AF">
        <w:rPr>
          <w:rFonts w:ascii="Century Schoolbook" w:hAnsi="Century Schoolbook"/>
        </w:rPr>
        <w:t xml:space="preserve">  </w:t>
      </w:r>
      <w:r>
        <w:rPr>
          <w:rFonts w:ascii="Century Schoolbook" w:hAnsi="Century Schoolbook"/>
        </w:rPr>
        <w:t>“</w:t>
      </w:r>
      <w:r w:rsidRPr="00047A48">
        <w:rPr>
          <w:rFonts w:ascii="Century Schoolbook" w:hAnsi="Century Schoolbook"/>
        </w:rPr>
        <w:t xml:space="preserve">How the balance between these competing arguments is to be struck turns in large part on how the cases are characterized: </w:t>
      </w:r>
      <w:r>
        <w:rPr>
          <w:rFonts w:ascii="Century Schoolbook" w:hAnsi="Century Schoolbook"/>
        </w:rPr>
        <w:t xml:space="preserve"> </w:t>
      </w:r>
      <w:r w:rsidRPr="00047A48">
        <w:rPr>
          <w:rFonts w:ascii="Century Schoolbook" w:hAnsi="Century Schoolbook"/>
        </w:rPr>
        <w:t>as individual sexual assault/misconduct cases in which Plaintiffs claim Uber is vicariously liable due to its deficient safety practices, or as corporate misconduct cases in which the individual Plaintiffs</w:t>
      </w:r>
      <w:r>
        <w:rPr>
          <w:rFonts w:ascii="Century Schoolbook" w:hAnsi="Century Schoolbook"/>
        </w:rPr>
        <w:t>’</w:t>
      </w:r>
      <w:r w:rsidRPr="00047A48">
        <w:rPr>
          <w:rFonts w:ascii="Century Schoolbook" w:hAnsi="Century Schoolbook"/>
        </w:rPr>
        <w:t xml:space="preserve"> claims are, in effect, merely illustrative of their larger claims. </w:t>
      </w:r>
      <w:r>
        <w:rPr>
          <w:rFonts w:ascii="Century Schoolbook" w:hAnsi="Century Schoolbook"/>
        </w:rPr>
        <w:t xml:space="preserve"> </w:t>
      </w:r>
      <w:r w:rsidRPr="00047A48">
        <w:rPr>
          <w:rFonts w:ascii="Century Schoolbook" w:hAnsi="Century Schoolbook"/>
        </w:rPr>
        <w:t xml:space="preserve">The former view is far more persuasive to the Court since, as one federal court has pointed out, </w:t>
      </w:r>
      <w:r>
        <w:rPr>
          <w:rFonts w:ascii="Century Schoolbook" w:hAnsi="Century Schoolbook"/>
        </w:rPr>
        <w:t>‘</w:t>
      </w:r>
      <w:r w:rsidRPr="00047A48">
        <w:rPr>
          <w:rFonts w:ascii="Century Schoolbook" w:hAnsi="Century Schoolbook"/>
        </w:rPr>
        <w:t>to prevail in this case Doe must</w:t>
      </w:r>
      <w:r>
        <w:rPr>
          <w:rFonts w:ascii="Century Schoolbook" w:hAnsi="Century Schoolbook"/>
        </w:rPr>
        <w:t xml:space="preserve"> </w:t>
      </w:r>
      <w:r w:rsidRPr="00047A48">
        <w:rPr>
          <w:rFonts w:ascii="Century Schoolbook" w:hAnsi="Century Schoolbook"/>
        </w:rPr>
        <w:t>first prove that an assault took place.</w:t>
      </w:r>
      <w:r>
        <w:rPr>
          <w:rFonts w:ascii="Century Schoolbook" w:hAnsi="Century Schoolbook"/>
        </w:rPr>
        <w:t>’</w:t>
      </w:r>
      <w:r w:rsidRPr="00047A48">
        <w:rPr>
          <w:rFonts w:ascii="Century Schoolbook" w:hAnsi="Century Schoolbook"/>
        </w:rPr>
        <w:t xml:space="preserve"> </w:t>
      </w:r>
      <w:r>
        <w:rPr>
          <w:rFonts w:ascii="Century Schoolbook" w:hAnsi="Century Schoolbook"/>
        </w:rPr>
        <w:t xml:space="preserve"> [Citations.]</w:t>
      </w:r>
      <w:r w:rsidRPr="00047A48">
        <w:rPr>
          <w:rFonts w:ascii="Century Schoolbook" w:hAnsi="Century Schoolbook"/>
        </w:rPr>
        <w:t xml:space="preserve"> </w:t>
      </w:r>
      <w:r>
        <w:rPr>
          <w:rFonts w:ascii="Century Schoolbook" w:hAnsi="Century Schoolbook"/>
        </w:rPr>
        <w:t xml:space="preserve"> </w:t>
      </w:r>
      <w:r w:rsidRPr="00047A48">
        <w:rPr>
          <w:rFonts w:ascii="Century Schoolbook" w:hAnsi="Century Schoolbook"/>
        </w:rPr>
        <w:t xml:space="preserve">The Court need not definitively resolve who has the better of this debate in order to decide these motions. (See </w:t>
      </w:r>
      <w:r w:rsidRPr="00047A48">
        <w:rPr>
          <w:rFonts w:ascii="Century Schoolbook" w:hAnsi="Century Schoolbook"/>
          <w:i/>
          <w:iCs/>
        </w:rPr>
        <w:t>Stangvik</w:t>
      </w:r>
      <w:r w:rsidRPr="00047A48">
        <w:rPr>
          <w:rFonts w:ascii="Century Schoolbook" w:hAnsi="Century Schoolbook"/>
        </w:rPr>
        <w:t>, 54</w:t>
      </w:r>
      <w:r w:rsidR="00570134">
        <w:rPr>
          <w:rFonts w:ascii="Century Schoolbook" w:hAnsi="Century Schoolbook"/>
        </w:rPr>
        <w:t> </w:t>
      </w:r>
      <w:r w:rsidRPr="00047A48">
        <w:rPr>
          <w:rFonts w:ascii="Century Schoolbook" w:hAnsi="Century Schoolbook"/>
        </w:rPr>
        <w:t xml:space="preserve">Cal.3d at </w:t>
      </w:r>
      <w:r w:rsidR="0096125A">
        <w:rPr>
          <w:rFonts w:ascii="Century Schoolbook" w:hAnsi="Century Schoolbook"/>
        </w:rPr>
        <w:t xml:space="preserve">[p.] </w:t>
      </w:r>
      <w:r w:rsidRPr="00047A48">
        <w:rPr>
          <w:rFonts w:ascii="Century Schoolbook" w:hAnsi="Century Schoolbook"/>
        </w:rPr>
        <w:t>757 [</w:t>
      </w:r>
      <w:r>
        <w:rPr>
          <w:rFonts w:ascii="Century Schoolbook" w:hAnsi="Century Schoolbook"/>
        </w:rPr>
        <w:t>‘</w:t>
      </w:r>
      <w:r w:rsidRPr="00047A48">
        <w:rPr>
          <w:rFonts w:ascii="Century Schoolbook" w:hAnsi="Century Schoolbook"/>
        </w:rPr>
        <w:t>Before deciding whether</w:t>
      </w:r>
      <w:r>
        <w:rPr>
          <w:rFonts w:ascii="Century Schoolbook" w:hAnsi="Century Schoolbook"/>
        </w:rPr>
        <w:t xml:space="preserve"> </w:t>
      </w:r>
      <w:r w:rsidRPr="00047A48">
        <w:rPr>
          <w:rFonts w:ascii="Century Schoolbook" w:hAnsi="Century Schoolbook"/>
        </w:rPr>
        <w:t>the private convenience of the parties weighs in favor of plaintiffs or defendants, we consider the interests of the California public in retaining the trial of the actions in this state</w:t>
      </w:r>
      <w:r>
        <w:rPr>
          <w:rFonts w:ascii="Century Schoolbook" w:hAnsi="Century Schoolbook"/>
        </w:rPr>
        <w:t>’</w:t>
      </w:r>
      <w:r w:rsidRPr="00047A48">
        <w:rPr>
          <w:rFonts w:ascii="Century Schoolbook" w:hAnsi="Century Schoolbook"/>
        </w:rPr>
        <w:t>].)</w:t>
      </w:r>
      <w:r>
        <w:rPr>
          <w:rFonts w:ascii="Century Schoolbook" w:hAnsi="Century Schoolbook"/>
        </w:rPr>
        <w:t xml:space="preserve">”  </w:t>
      </w:r>
    </w:p>
    <w:p w:rsidR="00B65916" w:rsidP="00B65916" w14:paraId="62F7123E" w14:textId="13222AF7">
      <w:pPr>
        <w:spacing w:line="360" w:lineRule="auto"/>
        <w:rPr>
          <w:rFonts w:ascii="Century Schoolbook" w:hAnsi="Century Schoolbook"/>
        </w:rPr>
      </w:pPr>
      <w:r>
        <w:rPr>
          <w:rFonts w:ascii="Century Schoolbook" w:hAnsi="Century Schoolbook"/>
        </w:rPr>
        <w:tab/>
      </w:r>
      <w:r w:rsidR="008A35AF">
        <w:rPr>
          <w:rFonts w:ascii="Century Schoolbook" w:hAnsi="Century Schoolbook"/>
        </w:rPr>
        <w:t>Judge Schulman</w:t>
      </w:r>
      <w:r>
        <w:rPr>
          <w:rFonts w:ascii="Century Schoolbook" w:hAnsi="Century Schoolbook"/>
        </w:rPr>
        <w:t xml:space="preserve"> then considered the public interest factors under </w:t>
      </w:r>
      <w:r w:rsidRPr="004F47B1">
        <w:rPr>
          <w:rFonts w:ascii="Century Schoolbook" w:hAnsi="Century Schoolbook"/>
          <w:i/>
          <w:iCs/>
        </w:rPr>
        <w:t>Stangvik</w:t>
      </w:r>
      <w:r w:rsidR="008A35AF">
        <w:rPr>
          <w:rFonts w:ascii="Century Schoolbook" w:hAnsi="Century Schoolbook"/>
        </w:rPr>
        <w:t xml:space="preserve">:  </w:t>
      </w:r>
      <w:r>
        <w:rPr>
          <w:rFonts w:ascii="Century Schoolbook" w:hAnsi="Century Schoolbook"/>
        </w:rPr>
        <w:t>avoiding overburdening local courts with congested calendars</w:t>
      </w:r>
      <w:r w:rsidR="009779B5">
        <w:rPr>
          <w:rFonts w:ascii="Century Schoolbook" w:hAnsi="Century Schoolbook"/>
        </w:rPr>
        <w:t>, t</w:t>
      </w:r>
      <w:r>
        <w:rPr>
          <w:rFonts w:ascii="Century Schoolbook" w:hAnsi="Century Schoolbook"/>
        </w:rPr>
        <w:t xml:space="preserve">he competing interests of California on one hand and Texas and Hawaii on the other, and the interest in trying the case in a forum familiar with the applicable law and in avoiding unnecessary conflicts of laws.  </w:t>
      </w:r>
      <w:r w:rsidR="00570134">
        <w:rPr>
          <w:rFonts w:ascii="Century Schoolbook" w:hAnsi="Century Schoolbook"/>
        </w:rPr>
        <w:t>Among other things, Judge Schulman found that litigating the nearly 1,000 non-California cases in California would “overburden[] congested California courts with foreign cases,”</w:t>
      </w:r>
      <w:r w:rsidR="00610DC2">
        <w:rPr>
          <w:rFonts w:ascii="Century Schoolbook" w:hAnsi="Century Schoolbook"/>
        </w:rPr>
        <w:t xml:space="preserve"> </w:t>
      </w:r>
      <w:r w:rsidR="00570134">
        <w:rPr>
          <w:rFonts w:ascii="Century Schoolbook" w:hAnsi="Century Schoolbook"/>
        </w:rPr>
        <w:t xml:space="preserve">going on to note that his own caseload was already “overburdened with litigation as a result of the backlog of cases stemming from the pandemic,” and the non-California cases—which would require the court to apply the substantive laws of all 50 states—would “dramatically magnify[y]” that burden.  </w:t>
      </w:r>
      <w:r>
        <w:rPr>
          <w:rFonts w:ascii="Century Schoolbook" w:hAnsi="Century Schoolbook"/>
        </w:rPr>
        <w:t xml:space="preserve">And, he </w:t>
      </w:r>
      <w:r w:rsidR="00B73347">
        <w:rPr>
          <w:rFonts w:ascii="Century Schoolbook" w:hAnsi="Century Schoolbook"/>
        </w:rPr>
        <w:t>held</w:t>
      </w:r>
      <w:r>
        <w:rPr>
          <w:rFonts w:ascii="Century Schoolbook" w:hAnsi="Century Schoolbook"/>
        </w:rPr>
        <w:t xml:space="preserve">, “the public interest factors involved weigh heavily in favor of transfer, and warrant granting Uber’s motions,” public interest factors, he </w:t>
      </w:r>
      <w:r w:rsidR="00B73347">
        <w:rPr>
          <w:rFonts w:ascii="Century Schoolbook" w:hAnsi="Century Schoolbook"/>
        </w:rPr>
        <w:t xml:space="preserve">further </w:t>
      </w:r>
      <w:r>
        <w:rPr>
          <w:rFonts w:ascii="Century Schoolbook" w:hAnsi="Century Schoolbook"/>
        </w:rPr>
        <w:t xml:space="preserve">held, that “overwhelmingly apply here in favor of granting Uber’s motions as to both cases.”  </w:t>
      </w:r>
    </w:p>
    <w:p w:rsidR="008B204E" w:rsidP="00B65916" w14:paraId="6A3E31CF" w14:textId="20D6FBE8">
      <w:pPr>
        <w:spacing w:line="360" w:lineRule="auto"/>
        <w:rPr>
          <w:rFonts w:ascii="Century Schoolbook" w:hAnsi="Century Schoolbook"/>
        </w:rPr>
      </w:pPr>
      <w:r>
        <w:rPr>
          <w:rFonts w:ascii="Century Schoolbook" w:hAnsi="Century Schoolbook"/>
        </w:rPr>
        <w:tab/>
      </w:r>
      <w:r w:rsidR="008A35AF">
        <w:rPr>
          <w:rFonts w:ascii="Century Schoolbook" w:hAnsi="Century Schoolbook"/>
        </w:rPr>
        <w:t>Based on all that, Judge Schulman</w:t>
      </w:r>
      <w:r>
        <w:rPr>
          <w:rFonts w:ascii="Century Schoolbook" w:hAnsi="Century Schoolbook"/>
        </w:rPr>
        <w:t xml:space="preserve"> concluded:</w:t>
      </w:r>
      <w:r w:rsidR="008A35AF">
        <w:rPr>
          <w:rFonts w:ascii="Century Schoolbook" w:hAnsi="Century Schoolbook"/>
        </w:rPr>
        <w:t xml:space="preserve">  </w:t>
      </w:r>
      <w:r>
        <w:rPr>
          <w:rFonts w:ascii="Century Schoolbook" w:hAnsi="Century Schoolbook"/>
        </w:rPr>
        <w:t>“</w:t>
      </w:r>
      <w:r w:rsidRPr="008B204E">
        <w:rPr>
          <w:rFonts w:ascii="Century Schoolbook" w:hAnsi="Century Schoolbook"/>
        </w:rPr>
        <w:t>For the foregoing reasons, Defendant</w:t>
      </w:r>
      <w:r w:rsidR="00054548">
        <w:rPr>
          <w:rFonts w:ascii="Century Schoolbook" w:hAnsi="Century Schoolbook"/>
        </w:rPr>
        <w:t>’</w:t>
      </w:r>
      <w:r w:rsidRPr="008B204E">
        <w:rPr>
          <w:rFonts w:ascii="Century Schoolbook" w:hAnsi="Century Schoolbook"/>
        </w:rPr>
        <w:t>s motions to stay both actions are granted.</w:t>
      </w:r>
      <w:r>
        <w:rPr>
          <w:rFonts w:ascii="Century Schoolbook" w:hAnsi="Century Schoolbook"/>
        </w:rPr>
        <w:t xml:space="preserve"> </w:t>
      </w:r>
      <w:r w:rsidRPr="008B204E">
        <w:rPr>
          <w:rFonts w:ascii="Century Schoolbook" w:hAnsi="Century Schoolbook"/>
        </w:rPr>
        <w:t xml:space="preserve"> As previously directed, the parties, consistent with their stipulation and the Court</w:t>
      </w:r>
      <w:r w:rsidR="00054548">
        <w:rPr>
          <w:rFonts w:ascii="Century Schoolbook" w:hAnsi="Century Schoolbook"/>
        </w:rPr>
        <w:t>’</w:t>
      </w:r>
      <w:r w:rsidRPr="008B204E">
        <w:rPr>
          <w:rFonts w:ascii="Century Schoolbook" w:hAnsi="Century Schoolbook"/>
        </w:rPr>
        <w:t>s order, shall meet and confer to devise a process to stipulate to or contest the applicability of the Court</w:t>
      </w:r>
      <w:r w:rsidR="00054548">
        <w:rPr>
          <w:rFonts w:ascii="Century Schoolbook" w:hAnsi="Century Schoolbook"/>
        </w:rPr>
        <w:t>’</w:t>
      </w:r>
      <w:r w:rsidRPr="008B204E">
        <w:rPr>
          <w:rFonts w:ascii="Century Schoolbook" w:hAnsi="Century Schoolbook"/>
        </w:rPr>
        <w:t>s rulings on these motions to</w:t>
      </w:r>
      <w:r>
        <w:rPr>
          <w:rFonts w:ascii="Century Schoolbook" w:hAnsi="Century Schoolbook"/>
        </w:rPr>
        <w:t xml:space="preserve"> </w:t>
      </w:r>
      <w:r w:rsidRPr="008B204E">
        <w:rPr>
          <w:rFonts w:ascii="Century Schoolbook" w:hAnsi="Century Schoolbook"/>
        </w:rPr>
        <w:t xml:space="preserve">the remainder of the cases within this coordinated proceeding, and shall be </w:t>
      </w:r>
      <w:r>
        <w:rPr>
          <w:rFonts w:ascii="Century Schoolbook" w:hAnsi="Century Schoolbook"/>
        </w:rPr>
        <w:t>p</w:t>
      </w:r>
      <w:r w:rsidRPr="008B204E">
        <w:rPr>
          <w:rFonts w:ascii="Century Schoolbook" w:hAnsi="Century Schoolbook"/>
        </w:rPr>
        <w:t xml:space="preserve">repared to address those issues at the next case management conference on February 21, 2023. </w:t>
      </w:r>
      <w:r w:rsidR="00054548">
        <w:rPr>
          <w:rFonts w:ascii="Century Schoolbook" w:hAnsi="Century Schoolbook"/>
        </w:rPr>
        <w:t xml:space="preserve"> </w:t>
      </w:r>
      <w:r w:rsidRPr="008B204E">
        <w:rPr>
          <w:rFonts w:ascii="Century Schoolbook" w:hAnsi="Century Schoolbook"/>
        </w:rPr>
        <w:t>A joint case management conference</w:t>
      </w:r>
      <w:r>
        <w:rPr>
          <w:rFonts w:ascii="Century Schoolbook" w:hAnsi="Century Schoolbook"/>
        </w:rPr>
        <w:t xml:space="preserve"> </w:t>
      </w:r>
      <w:r w:rsidRPr="008B204E">
        <w:rPr>
          <w:rFonts w:ascii="Century Schoolbook" w:hAnsi="Century Schoolbook"/>
        </w:rPr>
        <w:t>statement shall be filed at least five court days prior to the case management conference.</w:t>
      </w:r>
      <w:r w:rsidR="00054548">
        <w:rPr>
          <w:rFonts w:ascii="Century Schoolbook" w:hAnsi="Century Schoolbook"/>
        </w:rPr>
        <w:t xml:space="preserve">”  </w:t>
      </w:r>
    </w:p>
    <w:p w:rsidR="00654655" w:rsidRPr="00857085" w:rsidP="009779B5" w14:paraId="3CEF5D56" w14:textId="1F5E5AE5">
      <w:pPr>
        <w:spacing w:line="240" w:lineRule="auto"/>
        <w:rPr>
          <w:rFonts w:ascii="Century Schoolbook" w:hAnsi="Century Schoolbook"/>
          <w:b/>
          <w:bCs/>
        </w:rPr>
      </w:pPr>
      <w:r>
        <w:rPr>
          <w:rFonts w:ascii="Century Schoolbook" w:hAnsi="Century Schoolbook"/>
        </w:rPr>
        <w:tab/>
      </w:r>
      <w:r w:rsidRPr="00857085">
        <w:rPr>
          <w:rFonts w:ascii="Century Schoolbook" w:hAnsi="Century Schoolbook"/>
          <w:b/>
          <w:bCs/>
        </w:rPr>
        <w:t xml:space="preserve">The </w:t>
      </w:r>
      <w:r w:rsidR="009779B5">
        <w:rPr>
          <w:rFonts w:ascii="Century Schoolbook" w:hAnsi="Century Schoolbook"/>
          <w:b/>
          <w:bCs/>
        </w:rPr>
        <w:t>Joint Case Management Conference</w:t>
      </w:r>
      <w:r w:rsidRPr="00857085">
        <w:rPr>
          <w:rFonts w:ascii="Century Schoolbook" w:hAnsi="Century Schoolbook"/>
          <w:b/>
          <w:bCs/>
        </w:rPr>
        <w:t xml:space="preserve"> Statement</w:t>
      </w:r>
    </w:p>
    <w:p w:rsidR="00B65916" w:rsidP="00B65916" w14:paraId="4ABEF5A3" w14:textId="467BC902">
      <w:pPr>
        <w:rPr>
          <w:rFonts w:ascii="Century Schoolbook" w:hAnsi="Century Schoolbook"/>
        </w:rPr>
      </w:pPr>
      <w:r>
        <w:rPr>
          <w:rFonts w:ascii="Century Schoolbook" w:hAnsi="Century Schoolbook"/>
        </w:rPr>
        <w:tab/>
      </w:r>
      <w:r w:rsidR="00DD73F2">
        <w:rPr>
          <w:rFonts w:ascii="Century Schoolbook" w:hAnsi="Century Schoolbook"/>
        </w:rPr>
        <w:t>On February 10, t</w:t>
      </w:r>
      <w:r w:rsidRPr="007229DB">
        <w:rPr>
          <w:rFonts w:ascii="Century Schoolbook" w:hAnsi="Century Schoolbook"/>
        </w:rPr>
        <w:t xml:space="preserve">he parties filed the </w:t>
      </w:r>
      <w:r w:rsidRPr="007229DB" w:rsidR="00760EF0">
        <w:rPr>
          <w:rFonts w:ascii="Century Schoolbook" w:hAnsi="Century Schoolbook"/>
        </w:rPr>
        <w:t>required joint case management statement</w:t>
      </w:r>
      <w:r w:rsidR="007B1F81">
        <w:rPr>
          <w:rFonts w:ascii="Century Schoolbook" w:hAnsi="Century Schoolbook"/>
        </w:rPr>
        <w:t>,</w:t>
      </w:r>
      <w:r w:rsidRPr="007229DB" w:rsidR="00760EF0">
        <w:rPr>
          <w:rFonts w:ascii="Century Schoolbook" w:hAnsi="Century Schoolbook"/>
        </w:rPr>
        <w:t xml:space="preserve"> </w:t>
      </w:r>
      <w:r w:rsidR="007B1F81">
        <w:rPr>
          <w:rFonts w:ascii="Century Schoolbook" w:hAnsi="Century Schoolbook"/>
        </w:rPr>
        <w:t xml:space="preserve">which </w:t>
      </w:r>
      <w:r w:rsidR="00072949">
        <w:rPr>
          <w:rFonts w:ascii="Century Schoolbook" w:hAnsi="Century Schoolbook"/>
        </w:rPr>
        <w:t>s</w:t>
      </w:r>
      <w:r w:rsidRPr="00A62A3C">
        <w:rPr>
          <w:rFonts w:ascii="Century Schoolbook" w:hAnsi="Century Schoolbook"/>
        </w:rPr>
        <w:t xml:space="preserve">tatement </w:t>
      </w:r>
      <w:r w:rsidR="00E40400">
        <w:rPr>
          <w:rFonts w:ascii="Century Schoolbook" w:hAnsi="Century Schoolbook"/>
        </w:rPr>
        <w:t xml:space="preserve">represented </w:t>
      </w:r>
      <w:r w:rsidRPr="00A62A3C">
        <w:rPr>
          <w:rFonts w:ascii="Century Schoolbook" w:hAnsi="Century Schoolbook"/>
        </w:rPr>
        <w:t>that “there is alignment over which cases are affected by” the</w:t>
      </w:r>
      <w:r>
        <w:rPr>
          <w:rFonts w:ascii="Century Schoolbook" w:hAnsi="Century Schoolbook"/>
        </w:rPr>
        <w:t xml:space="preserve"> </w:t>
      </w:r>
      <w:r w:rsidRPr="00A62A3C">
        <w:rPr>
          <w:rFonts w:ascii="Century Schoolbook" w:hAnsi="Century Schoolbook"/>
        </w:rPr>
        <w:t>January order.  Neither party contested the</w:t>
      </w:r>
      <w:r>
        <w:rPr>
          <w:rFonts w:ascii="Century Schoolbook" w:hAnsi="Century Schoolbook"/>
        </w:rPr>
        <w:t xml:space="preserve"> </w:t>
      </w:r>
      <w:r w:rsidRPr="00A62A3C">
        <w:rPr>
          <w:rFonts w:ascii="Century Schoolbook" w:hAnsi="Century Schoolbook"/>
        </w:rPr>
        <w:t>applicability of the January order to the remainder of the cases.</w:t>
      </w:r>
      <w:r>
        <w:rPr>
          <w:rFonts w:ascii="Century Schoolbook" w:hAnsi="Century Schoolbook"/>
        </w:rPr>
        <w:t xml:space="preserve">  </w:t>
      </w:r>
      <w:r w:rsidRPr="00A62A3C">
        <w:rPr>
          <w:rFonts w:ascii="Century Schoolbook" w:hAnsi="Century Schoolbook"/>
        </w:rPr>
        <w:t>The only dispute was over the specific terms “with regard to</w:t>
      </w:r>
      <w:r>
        <w:rPr>
          <w:rFonts w:ascii="Century Schoolbook" w:hAnsi="Century Schoolbook"/>
        </w:rPr>
        <w:t xml:space="preserve"> i</w:t>
      </w:r>
      <w:r w:rsidRPr="00A62A3C">
        <w:rPr>
          <w:rFonts w:ascii="Century Schoolbook" w:hAnsi="Century Schoolbook"/>
        </w:rPr>
        <w:t>mplementation,” such as the number of days permitted for</w:t>
      </w:r>
      <w:r>
        <w:rPr>
          <w:rFonts w:ascii="Century Schoolbook" w:hAnsi="Century Schoolbook"/>
        </w:rPr>
        <w:t xml:space="preserve"> </w:t>
      </w:r>
      <w:r w:rsidRPr="00A62A3C">
        <w:rPr>
          <w:rFonts w:ascii="Century Schoolbook" w:hAnsi="Century Schoolbook"/>
        </w:rPr>
        <w:t xml:space="preserve">refiling in alternative forums. </w:t>
      </w:r>
    </w:p>
    <w:p w:rsidR="00760EF0" w:rsidP="00760EF0" w14:paraId="266D9B32" w14:textId="120CC430">
      <w:pPr>
        <w:rPr>
          <w:rFonts w:ascii="Century Schoolbook" w:hAnsi="Century Schoolbook"/>
        </w:rPr>
      </w:pPr>
      <w:r>
        <w:rPr>
          <w:rFonts w:ascii="Century Schoolbook" w:hAnsi="Century Schoolbook"/>
        </w:rPr>
        <w:tab/>
      </w:r>
      <w:r w:rsidRPr="007229DB">
        <w:rPr>
          <w:rFonts w:ascii="Century Schoolbook" w:hAnsi="Century Schoolbook"/>
        </w:rPr>
        <w:t>For its part, U</w:t>
      </w:r>
      <w:r w:rsidRPr="007229DB" w:rsidR="00F1229F">
        <w:rPr>
          <w:rFonts w:ascii="Century Schoolbook" w:hAnsi="Century Schoolbook"/>
        </w:rPr>
        <w:t>ber attached to the statement a stipulation and proposed order providing that</w:t>
      </w:r>
      <w:r w:rsidRPr="007229DB">
        <w:rPr>
          <w:rFonts w:ascii="Century Schoolbook" w:hAnsi="Century Schoolbook"/>
        </w:rPr>
        <w:t xml:space="preserve"> for the cases in </w:t>
      </w:r>
      <w:r w:rsidRPr="007229DB" w:rsidR="00F3426C">
        <w:rPr>
          <w:rFonts w:ascii="Century Schoolbook" w:hAnsi="Century Schoolbook"/>
        </w:rPr>
        <w:t>Categories</w:t>
      </w:r>
      <w:r w:rsidRPr="007229DB">
        <w:rPr>
          <w:rFonts w:ascii="Century Schoolbook" w:hAnsi="Century Schoolbook"/>
        </w:rPr>
        <w:t xml:space="preserve"> 1 and 2,</w:t>
      </w:r>
      <w:r w:rsidRPr="007229DB" w:rsidR="00F1229F">
        <w:rPr>
          <w:rFonts w:ascii="Century Schoolbook" w:hAnsi="Century Schoolbook"/>
        </w:rPr>
        <w:t xml:space="preserve"> the stay effected by the court’s order would convert to a dismissal with prejudice 30 days after re-filing in an alternate forum, and that for such cases, </w:t>
      </w:r>
      <w:r w:rsidRPr="007229DB" w:rsidR="007229DB">
        <w:rPr>
          <w:rFonts w:ascii="Century Schoolbook" w:hAnsi="Century Schoolbook"/>
        </w:rPr>
        <w:t xml:space="preserve">the time between filing in California and refiling in an alternate forum </w:t>
      </w:r>
      <w:r w:rsidRPr="007229DB" w:rsidR="00F1229F">
        <w:rPr>
          <w:rFonts w:ascii="Century Schoolbook" w:hAnsi="Century Schoolbook"/>
        </w:rPr>
        <w:t>“shall not be</w:t>
      </w:r>
      <w:r w:rsidRPr="007229DB">
        <w:rPr>
          <w:rFonts w:ascii="Century Schoolbook" w:hAnsi="Century Schoolbook"/>
        </w:rPr>
        <w:t xml:space="preserve"> </w:t>
      </w:r>
      <w:r w:rsidRPr="007229DB" w:rsidR="00F1229F">
        <w:rPr>
          <w:rFonts w:ascii="Century Schoolbook" w:hAnsi="Century Schoolbook"/>
        </w:rPr>
        <w:t xml:space="preserve">counted for purposes of the statute of limitations,” and “the statute of limitations that applies to the plaintiff’s claims shall be </w:t>
      </w:r>
      <w:r w:rsidRPr="007229DB" w:rsidR="00F1229F">
        <w:rPr>
          <w:rFonts w:ascii="Century Schoolbook" w:hAnsi="Century Schoolbook"/>
          <w:i/>
          <w:iCs/>
        </w:rPr>
        <w:t>the longer of</w:t>
      </w:r>
      <w:r w:rsidRPr="007229DB" w:rsidR="00F1229F">
        <w:rPr>
          <w:rFonts w:ascii="Century Schoolbook" w:hAnsi="Century Schoolbook"/>
        </w:rPr>
        <w:t xml:space="preserve"> (a) the statute of limitations that would apply had the action been litigated in California or (b)</w:t>
      </w:r>
      <w:r w:rsidR="00072949">
        <w:rPr>
          <w:rFonts w:ascii="Century Schoolbook" w:hAnsi="Century Schoolbook"/>
        </w:rPr>
        <w:t> </w:t>
      </w:r>
      <w:r w:rsidRPr="007229DB" w:rsidR="00F1229F">
        <w:rPr>
          <w:rFonts w:ascii="Century Schoolbook" w:hAnsi="Century Schoolbook"/>
        </w:rPr>
        <w:t xml:space="preserve">the statute of limitation that applies under the law of the alternative forum in which the case is re-filed.”  </w:t>
      </w:r>
      <w:r w:rsidR="00072949">
        <w:rPr>
          <w:rFonts w:ascii="Century Schoolbook" w:hAnsi="Century Schoolbook"/>
        </w:rPr>
        <w:t xml:space="preserve">Uber’s </w:t>
      </w:r>
      <w:r w:rsidRPr="007229DB" w:rsidR="00F1229F">
        <w:rPr>
          <w:rFonts w:ascii="Century Schoolbook" w:hAnsi="Century Schoolbook"/>
        </w:rPr>
        <w:t xml:space="preserve">proposed order further provided that for cases not re-filed within 30 days in an alternate forum, the stay would convert to a dismissal with prejudice.  </w:t>
      </w:r>
      <w:r w:rsidRPr="007229DB">
        <w:rPr>
          <w:rFonts w:ascii="Century Schoolbook" w:hAnsi="Century Schoolbook"/>
        </w:rPr>
        <w:t xml:space="preserve">Uber took the position that </w:t>
      </w:r>
      <w:r w:rsidRPr="007229DB" w:rsidR="007229DB">
        <w:rPr>
          <w:rFonts w:ascii="Century Schoolbook" w:hAnsi="Century Schoolbook"/>
        </w:rPr>
        <w:t>“</w:t>
      </w:r>
      <w:r w:rsidRPr="007229DB">
        <w:rPr>
          <w:rFonts w:ascii="Century Schoolbook" w:hAnsi="Century Schoolbook"/>
        </w:rPr>
        <w:t xml:space="preserve">the draft Stipulation and Order is ready to be entered as an order of the Court.  The only issue requiring resolution is the period for re-filing:  30 days (as Uber proposed) or 6 months (as Plaintiffs proposed), or a compromise in between.” </w:t>
      </w:r>
    </w:p>
    <w:p w:rsidR="00DD73F2" w:rsidP="00F1229F" w14:paraId="7BB92009" w14:textId="4B11FCD3">
      <w:pPr>
        <w:rPr>
          <w:rFonts w:ascii="Century Schoolbook" w:hAnsi="Century Schoolbook"/>
        </w:rPr>
      </w:pPr>
      <w:r>
        <w:rPr>
          <w:rFonts w:ascii="Century Schoolbook" w:hAnsi="Century Schoolbook"/>
        </w:rPr>
        <w:tab/>
      </w:r>
      <w:r w:rsidR="00F1229F">
        <w:rPr>
          <w:rFonts w:ascii="Century Schoolbook" w:hAnsi="Century Schoolbook"/>
        </w:rPr>
        <w:t xml:space="preserve">In </w:t>
      </w:r>
      <w:r>
        <w:rPr>
          <w:rFonts w:ascii="Century Schoolbook" w:hAnsi="Century Schoolbook"/>
        </w:rPr>
        <w:t>their portion of the</w:t>
      </w:r>
      <w:r w:rsidR="00F1229F">
        <w:rPr>
          <w:rFonts w:ascii="Century Schoolbook" w:hAnsi="Century Schoolbook"/>
        </w:rPr>
        <w:t xml:space="preserve"> </w:t>
      </w:r>
      <w:r w:rsidR="004D27DE">
        <w:rPr>
          <w:rFonts w:ascii="Century Schoolbook" w:hAnsi="Century Schoolbook"/>
        </w:rPr>
        <w:t xml:space="preserve">joint </w:t>
      </w:r>
      <w:r w:rsidR="00F1229F">
        <w:rPr>
          <w:rFonts w:ascii="Century Schoolbook" w:hAnsi="Century Schoolbook"/>
        </w:rPr>
        <w:t xml:space="preserve">statement, </w:t>
      </w:r>
      <w:r w:rsidR="00F3426C">
        <w:rPr>
          <w:rFonts w:ascii="Century Schoolbook" w:hAnsi="Century Schoolbook"/>
        </w:rPr>
        <w:t>plaintiffs</w:t>
      </w:r>
      <w:r w:rsidR="00F1229F">
        <w:rPr>
          <w:rFonts w:ascii="Century Schoolbook" w:hAnsi="Century Schoolbook"/>
        </w:rPr>
        <w:t xml:space="preserve"> </w:t>
      </w:r>
      <w:r w:rsidR="006A2DFA">
        <w:rPr>
          <w:rFonts w:ascii="Century Schoolbook" w:hAnsi="Century Schoolbook"/>
        </w:rPr>
        <w:t>indicated that they had “</w:t>
      </w:r>
      <w:r w:rsidRPr="006A2DFA" w:rsidR="006A2DFA">
        <w:rPr>
          <w:rFonts w:ascii="Century Schoolbook" w:hAnsi="Century Schoolbook"/>
        </w:rPr>
        <w:t>reached out to every plaintiffs’ firm within the JCCP in order to</w:t>
      </w:r>
      <w:r w:rsidR="006A2DFA">
        <w:rPr>
          <w:rFonts w:ascii="Century Schoolbook" w:hAnsi="Century Schoolbook"/>
        </w:rPr>
        <w:t xml:space="preserve"> </w:t>
      </w:r>
      <w:r w:rsidRPr="006A2DFA" w:rsidR="006A2DFA">
        <w:rPr>
          <w:rFonts w:ascii="Century Schoolbook" w:hAnsi="Century Schoolbook"/>
        </w:rPr>
        <w:t>identify the clients whom might be impacted by the Court</w:t>
      </w:r>
      <w:r w:rsidR="006A2DFA">
        <w:rPr>
          <w:rFonts w:ascii="Century Schoolbook" w:hAnsi="Century Schoolbook"/>
        </w:rPr>
        <w:t>’</w:t>
      </w:r>
      <w:r w:rsidRPr="006A2DFA" w:rsidR="006A2DFA">
        <w:rPr>
          <w:rFonts w:ascii="Century Schoolbook" w:hAnsi="Century Schoolbook"/>
        </w:rPr>
        <w:t xml:space="preserve">s FNC </w:t>
      </w:r>
      <w:r w:rsidR="0063384C">
        <w:rPr>
          <w:rFonts w:ascii="Century Schoolbook" w:hAnsi="Century Schoolbook"/>
        </w:rPr>
        <w:t xml:space="preserve">[Forum Non Conveniens] </w:t>
      </w:r>
      <w:r w:rsidRPr="006A2DFA" w:rsidR="006A2DFA">
        <w:rPr>
          <w:rFonts w:ascii="Century Schoolbook" w:hAnsi="Century Schoolbook"/>
        </w:rPr>
        <w:t>Order</w:t>
      </w:r>
      <w:r w:rsidR="006A2DFA">
        <w:rPr>
          <w:rFonts w:ascii="Century Schoolbook" w:hAnsi="Century Schoolbook"/>
        </w:rPr>
        <w:t>,</w:t>
      </w:r>
      <w:r w:rsidR="00F51E85">
        <w:rPr>
          <w:rFonts w:ascii="Century Schoolbook" w:hAnsi="Century Schoolbook"/>
        </w:rPr>
        <w:t>”</w:t>
      </w:r>
      <w:r w:rsidR="006A2DFA">
        <w:rPr>
          <w:rFonts w:ascii="Century Schoolbook" w:hAnsi="Century Schoolbook"/>
        </w:rPr>
        <w:t xml:space="preserve"> and had “</w:t>
      </w:r>
      <w:r w:rsidRPr="006A2DFA" w:rsidR="006A2DFA">
        <w:rPr>
          <w:rFonts w:ascii="Century Schoolbook" w:hAnsi="Century Schoolbook"/>
        </w:rPr>
        <w:t>set up conference calls with firms that appear to have cases</w:t>
      </w:r>
      <w:r w:rsidR="006A2DFA">
        <w:rPr>
          <w:rFonts w:ascii="Century Schoolbook" w:hAnsi="Century Schoolbook"/>
        </w:rPr>
        <w:t xml:space="preserve"> </w:t>
      </w:r>
      <w:r w:rsidRPr="006A2DFA" w:rsidR="006A2DFA">
        <w:rPr>
          <w:rFonts w:ascii="Century Schoolbook" w:hAnsi="Century Schoolbook"/>
        </w:rPr>
        <w:t>impacted by the FNC Order</w:t>
      </w:r>
      <w:r w:rsidR="006A2DFA">
        <w:rPr>
          <w:rFonts w:ascii="Century Schoolbook" w:hAnsi="Century Schoolbook"/>
        </w:rPr>
        <w:t xml:space="preserve"> </w:t>
      </w:r>
      <w:r w:rsidRPr="006A2DFA" w:rsidR="006A2DFA">
        <w:rPr>
          <w:rFonts w:ascii="Century Schoolbook" w:hAnsi="Century Schoolbook"/>
        </w:rPr>
        <w:t>in order to determine how those firms wish to proceed.</w:t>
      </w:r>
      <w:r w:rsidR="006A2DFA">
        <w:rPr>
          <w:rFonts w:ascii="Century Schoolbook" w:hAnsi="Century Schoolbook"/>
        </w:rPr>
        <w:t xml:space="preserve">”  Plaintiffs </w:t>
      </w:r>
      <w:r w:rsidR="00F1229F">
        <w:rPr>
          <w:rFonts w:ascii="Century Schoolbook" w:hAnsi="Century Schoolbook"/>
        </w:rPr>
        <w:t xml:space="preserve">took the position that </w:t>
      </w:r>
      <w:r>
        <w:rPr>
          <w:rFonts w:ascii="Century Schoolbook" w:hAnsi="Century Schoolbook"/>
        </w:rPr>
        <w:t xml:space="preserve">30 days was not enough time to provide for refiling the affected cases, and indicated </w:t>
      </w:r>
      <w:r w:rsidR="00F1229F">
        <w:rPr>
          <w:rFonts w:ascii="Century Schoolbook" w:hAnsi="Century Schoolbook"/>
        </w:rPr>
        <w:t xml:space="preserve">they should be given six months to </w:t>
      </w:r>
      <w:r>
        <w:rPr>
          <w:rFonts w:ascii="Century Schoolbook" w:hAnsi="Century Schoolbook"/>
        </w:rPr>
        <w:t>do so</w:t>
      </w:r>
      <w:r w:rsidR="00F1229F">
        <w:rPr>
          <w:rFonts w:ascii="Century Schoolbook" w:hAnsi="Century Schoolbook"/>
        </w:rPr>
        <w:t>.  Plaintiffs also state</w:t>
      </w:r>
      <w:r>
        <w:rPr>
          <w:rFonts w:ascii="Century Schoolbook" w:hAnsi="Century Schoolbook"/>
        </w:rPr>
        <w:t>d</w:t>
      </w:r>
      <w:r w:rsidR="00F1229F">
        <w:rPr>
          <w:rFonts w:ascii="Century Schoolbook" w:hAnsi="Century Schoolbook"/>
        </w:rPr>
        <w:t xml:space="preserve"> that “</w:t>
      </w:r>
      <w:r w:rsidRPr="00122D40" w:rsidR="00F1229F">
        <w:rPr>
          <w:rFonts w:ascii="Century Schoolbook" w:hAnsi="Century Schoolbook"/>
        </w:rPr>
        <w:t>now that Uber has prevailed on the underlying motion, Plaintiffs are</w:t>
      </w:r>
      <w:r w:rsidR="00F1229F">
        <w:rPr>
          <w:rFonts w:ascii="Century Schoolbook" w:hAnsi="Century Schoolbook"/>
        </w:rPr>
        <w:t xml:space="preserve"> </w:t>
      </w:r>
      <w:r w:rsidRPr="00122D40" w:rsidR="00F1229F">
        <w:rPr>
          <w:rFonts w:ascii="Century Schoolbook" w:hAnsi="Century Schoolbook"/>
        </w:rPr>
        <w:t xml:space="preserve">encountering push back with respect to Uber’s willingness to waive the statute of </w:t>
      </w:r>
      <w:r w:rsidR="00F1229F">
        <w:rPr>
          <w:rFonts w:ascii="Century Schoolbook" w:hAnsi="Century Schoolbook"/>
        </w:rPr>
        <w:t xml:space="preserve"> l</w:t>
      </w:r>
      <w:r w:rsidRPr="00122D40" w:rsidR="00F1229F">
        <w:rPr>
          <w:rFonts w:ascii="Century Schoolbook" w:hAnsi="Century Schoolbook"/>
        </w:rPr>
        <w:t>imitations and</w:t>
      </w:r>
      <w:r w:rsidR="00F1229F">
        <w:rPr>
          <w:rFonts w:ascii="Century Schoolbook" w:hAnsi="Century Schoolbook"/>
        </w:rPr>
        <w:t xml:space="preserve"> </w:t>
      </w:r>
      <w:r w:rsidRPr="00122D40" w:rsidR="00F1229F">
        <w:rPr>
          <w:rFonts w:ascii="Century Schoolbook" w:hAnsi="Century Schoolbook"/>
        </w:rPr>
        <w:t xml:space="preserve">to ensure the fact that there is a suitable alternative forum for any case dismissed. </w:t>
      </w:r>
      <w:r w:rsidR="00F1229F">
        <w:rPr>
          <w:rFonts w:ascii="Century Schoolbook" w:hAnsi="Century Schoolbook"/>
        </w:rPr>
        <w:t xml:space="preserve"> </w:t>
      </w:r>
      <w:r w:rsidRPr="00122D40" w:rsidR="00F1229F">
        <w:rPr>
          <w:rFonts w:ascii="Century Schoolbook" w:hAnsi="Century Schoolbook"/>
        </w:rPr>
        <w:t>Accordingly,</w:t>
      </w:r>
      <w:r w:rsidR="00F1229F">
        <w:rPr>
          <w:rFonts w:ascii="Century Schoolbook" w:hAnsi="Century Schoolbook"/>
        </w:rPr>
        <w:t xml:space="preserve"> </w:t>
      </w:r>
      <w:r w:rsidRPr="00122D40" w:rsidR="00F1229F">
        <w:rPr>
          <w:rFonts w:ascii="Century Schoolbook" w:hAnsi="Century Schoolbook"/>
        </w:rPr>
        <w:t>we will be requesting that the Court clarify this aspect of its FNC Order with a further order to</w:t>
      </w:r>
      <w:r w:rsidR="00F1229F">
        <w:rPr>
          <w:rFonts w:ascii="Century Schoolbook" w:hAnsi="Century Schoolbook"/>
        </w:rPr>
        <w:t xml:space="preserve"> </w:t>
      </w:r>
      <w:r w:rsidRPr="00122D40" w:rsidR="00F1229F">
        <w:rPr>
          <w:rFonts w:ascii="Century Schoolbook" w:hAnsi="Century Schoolbook"/>
        </w:rPr>
        <w:t>the effect that Uber has agreed to waive the statute of limitations so that plaintiff</w:t>
      </w:r>
      <w:r w:rsidR="00AB2A20">
        <w:rPr>
          <w:rFonts w:ascii="Century Schoolbook" w:hAnsi="Century Schoolbook"/>
        </w:rPr>
        <w:t>[s]</w:t>
      </w:r>
      <w:r w:rsidRPr="00122D40" w:rsidR="00F1229F">
        <w:rPr>
          <w:rFonts w:ascii="Century Schoolbook" w:hAnsi="Century Schoolbook"/>
        </w:rPr>
        <w:t xml:space="preserve"> may file in an</w:t>
      </w:r>
      <w:r w:rsidR="00F1229F">
        <w:rPr>
          <w:rFonts w:ascii="Century Schoolbook" w:hAnsi="Century Schoolbook"/>
        </w:rPr>
        <w:t xml:space="preserve"> </w:t>
      </w:r>
      <w:r w:rsidRPr="00122D40" w:rsidR="00F1229F">
        <w:rPr>
          <w:rFonts w:ascii="Century Schoolbook" w:hAnsi="Century Schoolbook"/>
        </w:rPr>
        <w:t>alternative forum.</w:t>
      </w:r>
      <w:r w:rsidR="00F1229F">
        <w:rPr>
          <w:rFonts w:ascii="Century Schoolbook" w:hAnsi="Century Schoolbook"/>
        </w:rPr>
        <w:t xml:space="preserve">”  </w:t>
      </w:r>
    </w:p>
    <w:p w:rsidR="00F1229F" w:rsidRPr="00760EF0" w:rsidP="00654655" w14:paraId="4E30008F" w14:textId="61D8A545">
      <w:pPr>
        <w:rPr>
          <w:rFonts w:ascii="Century Schoolbook" w:hAnsi="Century Schoolbook"/>
          <w:b/>
          <w:bCs/>
        </w:rPr>
      </w:pPr>
      <w:r>
        <w:rPr>
          <w:rFonts w:ascii="Century Schoolbook" w:hAnsi="Century Schoolbook"/>
        </w:rPr>
        <w:tab/>
      </w:r>
      <w:r w:rsidRPr="00760EF0">
        <w:rPr>
          <w:rFonts w:ascii="Century Schoolbook" w:hAnsi="Century Schoolbook"/>
          <w:b/>
          <w:bCs/>
        </w:rPr>
        <w:t xml:space="preserve">The February 21 </w:t>
      </w:r>
      <w:r w:rsidR="00F51E85">
        <w:rPr>
          <w:rFonts w:ascii="Century Schoolbook" w:hAnsi="Century Schoolbook"/>
          <w:b/>
          <w:bCs/>
        </w:rPr>
        <w:t>Case Management</w:t>
      </w:r>
      <w:r w:rsidRPr="00760EF0">
        <w:rPr>
          <w:rFonts w:ascii="Century Schoolbook" w:hAnsi="Century Schoolbook"/>
          <w:b/>
          <w:bCs/>
        </w:rPr>
        <w:t xml:space="preserve"> Conference</w:t>
      </w:r>
    </w:p>
    <w:p w:rsidR="00A07F7E" w:rsidRPr="00237E5A" w:rsidP="00BC41D0" w14:paraId="5C1C4435" w14:textId="7EEC1E9A">
      <w:pPr>
        <w:rPr>
          <w:rFonts w:ascii="Century Schoolbook" w:hAnsi="Century Schoolbook"/>
        </w:rPr>
      </w:pPr>
      <w:r>
        <w:rPr>
          <w:rFonts w:ascii="Century Schoolbook" w:hAnsi="Century Schoolbook"/>
        </w:rPr>
        <w:tab/>
      </w:r>
      <w:r w:rsidR="00874BBF">
        <w:rPr>
          <w:rFonts w:ascii="Century Schoolbook" w:hAnsi="Century Schoolbook"/>
        </w:rPr>
        <w:t>On February 21, t</w:t>
      </w:r>
      <w:r w:rsidR="00994622">
        <w:rPr>
          <w:rFonts w:ascii="Century Schoolbook" w:hAnsi="Century Schoolbook"/>
        </w:rPr>
        <w:t xml:space="preserve">he case management conference took place.  </w:t>
      </w:r>
      <w:r w:rsidRPr="00237E5A" w:rsidR="00994622">
        <w:rPr>
          <w:rFonts w:ascii="Century Schoolbook" w:hAnsi="Century Schoolbook"/>
        </w:rPr>
        <w:t xml:space="preserve">At the beginning of the </w:t>
      </w:r>
      <w:r w:rsidRPr="00237E5A" w:rsidR="004E327D">
        <w:rPr>
          <w:rFonts w:ascii="Century Schoolbook" w:hAnsi="Century Schoolbook"/>
        </w:rPr>
        <w:t>conference</w:t>
      </w:r>
      <w:r w:rsidRPr="00237E5A">
        <w:rPr>
          <w:rFonts w:ascii="Century Schoolbook" w:hAnsi="Century Schoolbook"/>
        </w:rPr>
        <w:t xml:space="preserve">, </w:t>
      </w:r>
      <w:r w:rsidRPr="00237E5A" w:rsidR="00307A66">
        <w:rPr>
          <w:rFonts w:ascii="Century Schoolbook" w:hAnsi="Century Schoolbook"/>
        </w:rPr>
        <w:t>Judge Schulman</w:t>
      </w:r>
      <w:r w:rsidRPr="00237E5A">
        <w:rPr>
          <w:rFonts w:ascii="Century Schoolbook" w:hAnsi="Century Schoolbook"/>
        </w:rPr>
        <w:t xml:space="preserve"> indicated that based on the parties case management statement, there were “really three issues” that needed to be addressed, </w:t>
      </w:r>
      <w:r w:rsidRPr="00237E5A" w:rsidR="00994622">
        <w:rPr>
          <w:rFonts w:ascii="Century Schoolbook" w:hAnsi="Century Schoolbook"/>
        </w:rPr>
        <w:t xml:space="preserve">the </w:t>
      </w:r>
      <w:r w:rsidRPr="00237E5A">
        <w:rPr>
          <w:rFonts w:ascii="Century Schoolbook" w:hAnsi="Century Schoolbook"/>
        </w:rPr>
        <w:t xml:space="preserve">first relating to “implementation of the forum non conveniens order.” </w:t>
      </w:r>
      <w:r w:rsidRPr="00237E5A" w:rsidR="007F55F0">
        <w:rPr>
          <w:rFonts w:ascii="Century Schoolbook" w:hAnsi="Century Schoolbook"/>
        </w:rPr>
        <w:t xml:space="preserve"> Judge Schulman </w:t>
      </w:r>
      <w:r w:rsidR="00BC41D0">
        <w:rPr>
          <w:rFonts w:ascii="Century Schoolbook" w:hAnsi="Century Schoolbook"/>
        </w:rPr>
        <w:t xml:space="preserve">noted </w:t>
      </w:r>
      <w:r w:rsidRPr="00237E5A" w:rsidR="007F55F0">
        <w:rPr>
          <w:rFonts w:ascii="Century Schoolbook" w:hAnsi="Century Schoolbook"/>
        </w:rPr>
        <w:t xml:space="preserve">“one disagreement, as I understand it, relates to the duration of the stay that the Court would put into effect following a dismissal without prejudice of cases that are to be re-filed in other states and before a dismissal without prejudice converts to a dismissal with prejudice.”  On that point, </w:t>
      </w:r>
      <w:r w:rsidRPr="00237E5A" w:rsidR="000D4CBA">
        <w:rPr>
          <w:rFonts w:ascii="Century Schoolbook" w:hAnsi="Century Schoolbook"/>
        </w:rPr>
        <w:t xml:space="preserve">plaintiffs’ counsel responded that “we’re not so much focused on how fast we have to dismiss the cases.  We’re focused on how long of a waiver we’re going to get of the statute [of limitations] so that” plaintiffs would have sufficient time to refile their cases in the various alternate forums.  Judge Schulman then proposed that </w:t>
      </w:r>
      <w:r w:rsidRPr="00237E5A" w:rsidR="00E415FE">
        <w:rPr>
          <w:rFonts w:ascii="Century Schoolbook" w:hAnsi="Century Schoolbook"/>
        </w:rPr>
        <w:t xml:space="preserve">he and </w:t>
      </w:r>
      <w:r w:rsidRPr="00237E5A" w:rsidR="000D4CBA">
        <w:rPr>
          <w:rFonts w:ascii="Century Schoolbook" w:hAnsi="Century Schoolbook"/>
        </w:rPr>
        <w:t xml:space="preserve">the parties review Uber’s proposed order </w:t>
      </w:r>
      <w:r w:rsidRPr="00237E5A" w:rsidR="00E415FE">
        <w:rPr>
          <w:rFonts w:ascii="Century Schoolbook" w:hAnsi="Century Schoolbook"/>
        </w:rPr>
        <w:t xml:space="preserve">in detail to see if they could reach agreement.  With respect to the provision of the proposed order providing that 30 days after refiling in an alternate forum, the stay effected by the </w:t>
      </w:r>
      <w:r w:rsidRPr="00237E5A" w:rsidR="0082237F">
        <w:rPr>
          <w:rFonts w:ascii="Century Schoolbook" w:hAnsi="Century Schoolbook"/>
        </w:rPr>
        <w:t>January order would convert to a dismissal with prejudice, plaintiffs’ counsel responded</w:t>
      </w:r>
      <w:r w:rsidR="005A6B6E">
        <w:rPr>
          <w:rFonts w:ascii="Century Schoolbook" w:hAnsi="Century Schoolbook"/>
        </w:rPr>
        <w:t>,</w:t>
      </w:r>
      <w:r w:rsidRPr="00237E5A" w:rsidR="0082237F">
        <w:rPr>
          <w:rFonts w:ascii="Century Schoolbook" w:hAnsi="Century Schoolbook"/>
        </w:rPr>
        <w:t xml:space="preserve"> “We have no problem with that, your Honor.”  After Judge Schulman expressed his view that 180 days to refile the cases “doesn’t sound unreaso</w:t>
      </w:r>
      <w:r w:rsidR="00BC41D0">
        <w:rPr>
          <w:rFonts w:ascii="Century Schoolbook" w:hAnsi="Century Schoolbook"/>
        </w:rPr>
        <w:t>n</w:t>
      </w:r>
      <w:r w:rsidRPr="00237E5A" w:rsidR="0082237F">
        <w:rPr>
          <w:rFonts w:ascii="Century Schoolbook" w:hAnsi="Century Schoolbook"/>
        </w:rPr>
        <w:t xml:space="preserve">able to me,” he proposed that the </w:t>
      </w:r>
      <w:r w:rsidRPr="00237E5A" w:rsidR="00834329">
        <w:rPr>
          <w:rFonts w:ascii="Century Schoolbook" w:hAnsi="Century Schoolbook"/>
        </w:rPr>
        <w:t>30-day</w:t>
      </w:r>
      <w:r w:rsidRPr="00237E5A" w:rsidR="0082237F">
        <w:rPr>
          <w:rFonts w:ascii="Century Schoolbook" w:hAnsi="Century Schoolbook"/>
        </w:rPr>
        <w:t xml:space="preserve"> timeframe in </w:t>
      </w:r>
      <w:r w:rsidRPr="00237E5A" w:rsidR="00237E5A">
        <w:rPr>
          <w:rFonts w:ascii="Century Schoolbook" w:hAnsi="Century Schoolbook"/>
        </w:rPr>
        <w:t xml:space="preserve">Uber’s proposed order </w:t>
      </w:r>
      <w:r w:rsidRPr="00237E5A" w:rsidR="0082237F">
        <w:rPr>
          <w:rFonts w:ascii="Century Schoolbook" w:hAnsi="Century Schoolbook"/>
        </w:rPr>
        <w:t>be changed to 180 days</w:t>
      </w:r>
      <w:r w:rsidR="00834329">
        <w:rPr>
          <w:rFonts w:ascii="Century Schoolbook" w:hAnsi="Century Schoolbook"/>
        </w:rPr>
        <w:t xml:space="preserve">.  </w:t>
      </w:r>
      <w:r w:rsidR="00874BBF">
        <w:rPr>
          <w:rFonts w:ascii="Century Schoolbook" w:hAnsi="Century Schoolbook"/>
        </w:rPr>
        <w:t>Both c</w:t>
      </w:r>
      <w:r w:rsidRPr="00237E5A" w:rsidR="00190F66">
        <w:rPr>
          <w:rFonts w:ascii="Century Schoolbook" w:hAnsi="Century Schoolbook"/>
        </w:rPr>
        <w:t xml:space="preserve">ounsel agreed.  Judge Schulman then </w:t>
      </w:r>
      <w:r w:rsidRPr="00237E5A" w:rsidR="00596806">
        <w:rPr>
          <w:rFonts w:ascii="Century Schoolbook" w:hAnsi="Century Schoolbook"/>
        </w:rPr>
        <w:t>asked,</w:t>
      </w:r>
      <w:r w:rsidRPr="00237E5A" w:rsidR="00190F66">
        <w:rPr>
          <w:rFonts w:ascii="Century Schoolbook" w:hAnsi="Century Schoolbook"/>
        </w:rPr>
        <w:t xml:space="preserve"> “Have we just solved this </w:t>
      </w:r>
      <w:r w:rsidRPr="00237E5A" w:rsidR="000E36BD">
        <w:rPr>
          <w:rFonts w:ascii="Century Schoolbook" w:hAnsi="Century Schoolbook"/>
        </w:rPr>
        <w:t>problem?</w:t>
      </w:r>
      <w:r w:rsidRPr="00237E5A" w:rsidR="00190F66">
        <w:rPr>
          <w:rFonts w:ascii="Century Schoolbook" w:hAnsi="Century Schoolbook"/>
        </w:rPr>
        <w:t>” to which plaintiffs’ counsel responded</w:t>
      </w:r>
      <w:r w:rsidR="00E40400">
        <w:rPr>
          <w:rFonts w:ascii="Century Schoolbook" w:hAnsi="Century Schoolbook"/>
        </w:rPr>
        <w:t>,</w:t>
      </w:r>
      <w:r w:rsidRPr="00237E5A" w:rsidR="00190F66">
        <w:rPr>
          <w:rFonts w:ascii="Century Schoolbook" w:hAnsi="Century Schoolbook"/>
        </w:rPr>
        <w:t xml:space="preserve"> “I think so, your Honor.”  </w:t>
      </w:r>
      <w:r w:rsidRPr="00237E5A">
        <w:rPr>
          <w:rFonts w:ascii="Century Schoolbook" w:hAnsi="Century Schoolbook"/>
        </w:rPr>
        <w:t>Judge Schulman then suggested “I can either mark this up or alternatively why don’t you all revise the stipulation and proposed order, change the 30 to 180 in the appropriate places, sign the stip, submit it to me as a proposed order, and that’s that agenda item resolved</w:t>
      </w:r>
      <w:r w:rsidR="005238AC">
        <w:rPr>
          <w:rFonts w:ascii="Century Schoolbook" w:hAnsi="Century Schoolbook"/>
        </w:rPr>
        <w:t>.</w:t>
      </w:r>
      <w:r w:rsidRPr="00237E5A">
        <w:rPr>
          <w:rFonts w:ascii="Century Schoolbook" w:hAnsi="Century Schoolbook"/>
        </w:rPr>
        <w:t xml:space="preserve">” </w:t>
      </w:r>
      <w:r w:rsidR="005238AC">
        <w:rPr>
          <w:rFonts w:ascii="Century Schoolbook" w:hAnsi="Century Schoolbook"/>
        </w:rPr>
        <w:t xml:space="preserve"> Both </w:t>
      </w:r>
      <w:r w:rsidRPr="00237E5A">
        <w:rPr>
          <w:rFonts w:ascii="Century Schoolbook" w:hAnsi="Century Schoolbook"/>
        </w:rPr>
        <w:t>counsel replied</w:t>
      </w:r>
      <w:r w:rsidR="005238AC">
        <w:rPr>
          <w:rFonts w:ascii="Century Schoolbook" w:hAnsi="Century Schoolbook"/>
        </w:rPr>
        <w:t>,</w:t>
      </w:r>
      <w:r w:rsidRPr="00237E5A">
        <w:rPr>
          <w:rFonts w:ascii="Century Schoolbook" w:hAnsi="Century Schoolbook"/>
        </w:rPr>
        <w:t xml:space="preserve"> “Yes, your Honor.”  </w:t>
      </w:r>
    </w:p>
    <w:p w:rsidR="00C26E7A" w:rsidRPr="00994622" w:rsidP="00C26E7A" w14:paraId="74CBB5C3" w14:textId="0AA5DBF3">
      <w:pPr>
        <w:tabs>
          <w:tab w:val="left" w:pos="0"/>
          <w:tab w:val="clear" w:pos="720"/>
        </w:tabs>
        <w:rPr>
          <w:rFonts w:ascii="Century Schoolbook" w:hAnsi="Century Schoolbook"/>
          <w:b/>
          <w:bCs/>
        </w:rPr>
      </w:pPr>
      <w:r>
        <w:rPr>
          <w:rFonts w:ascii="Century Schoolbook" w:hAnsi="Century Schoolbook"/>
        </w:rPr>
        <w:tab/>
      </w:r>
      <w:r w:rsidRPr="00994622">
        <w:rPr>
          <w:rFonts w:ascii="Century Schoolbook" w:hAnsi="Century Schoolbook"/>
          <w:b/>
          <w:bCs/>
        </w:rPr>
        <w:t xml:space="preserve">The </w:t>
      </w:r>
      <w:r w:rsidR="00B4712D">
        <w:rPr>
          <w:rFonts w:ascii="Century Schoolbook" w:hAnsi="Century Schoolbook"/>
          <w:b/>
          <w:bCs/>
        </w:rPr>
        <w:t>February 28</w:t>
      </w:r>
      <w:r w:rsidRPr="00994622">
        <w:rPr>
          <w:rFonts w:ascii="Century Schoolbook" w:hAnsi="Century Schoolbook"/>
          <w:b/>
          <w:bCs/>
        </w:rPr>
        <w:t xml:space="preserve"> Order </w:t>
      </w:r>
    </w:p>
    <w:p w:rsidR="00994622" w:rsidP="00730156" w14:paraId="5F6FF65B" w14:textId="4219C89C">
      <w:pPr>
        <w:rPr>
          <w:rFonts w:ascii="Century Schoolbook" w:hAnsi="Century Schoolbook"/>
        </w:rPr>
      </w:pPr>
      <w:r>
        <w:rPr>
          <w:rFonts w:ascii="Century Schoolbook" w:hAnsi="Century Schoolbook"/>
        </w:rPr>
        <w:tab/>
      </w:r>
      <w:r w:rsidR="00D0649B">
        <w:rPr>
          <w:rFonts w:ascii="Century Schoolbook" w:hAnsi="Century Schoolbook"/>
        </w:rPr>
        <w:t>S</w:t>
      </w:r>
      <w:r>
        <w:rPr>
          <w:rFonts w:ascii="Century Schoolbook" w:hAnsi="Century Schoolbook"/>
        </w:rPr>
        <w:t>ix days later, on February 27, c</w:t>
      </w:r>
      <w:r w:rsidR="008C7229">
        <w:rPr>
          <w:rFonts w:ascii="Century Schoolbook" w:hAnsi="Century Schoolbook"/>
        </w:rPr>
        <w:t>ounsel for Uber emailed the court, attaching the proposed order and stating as follows:  “</w:t>
      </w:r>
      <w:r w:rsidRPr="008C7229" w:rsidR="008C7229">
        <w:rPr>
          <w:rFonts w:ascii="Century Schoolbook" w:hAnsi="Century Schoolbook"/>
        </w:rPr>
        <w:t>This evening, the parties filed the attached Proposed Orders, pursuant to the Court’s directions at the February 21, 2023</w:t>
      </w:r>
      <w:r w:rsidR="008C7229">
        <w:rPr>
          <w:rFonts w:ascii="Century Schoolbook" w:hAnsi="Century Schoolbook"/>
        </w:rPr>
        <w:t xml:space="preserve"> </w:t>
      </w:r>
      <w:r w:rsidRPr="008C7229" w:rsidR="008C7229">
        <w:rPr>
          <w:rFonts w:ascii="Century Schoolbook" w:hAnsi="Century Schoolbook"/>
        </w:rPr>
        <w:t xml:space="preserve">Case Management Conference. </w:t>
      </w:r>
      <w:r w:rsidR="008C7229">
        <w:rPr>
          <w:rFonts w:ascii="Century Schoolbook" w:hAnsi="Century Schoolbook"/>
        </w:rPr>
        <w:t xml:space="preserve"> </w:t>
      </w:r>
      <w:r w:rsidRPr="008C7229" w:rsidR="008C7229">
        <w:rPr>
          <w:rFonts w:ascii="Century Schoolbook" w:hAnsi="Century Schoolbook"/>
        </w:rPr>
        <w:t>Plaintiffs and the Uber Defendants conferred over these Proposed Orders, and jointly</w:t>
      </w:r>
      <w:r w:rsidR="008C7229">
        <w:rPr>
          <w:rFonts w:ascii="Century Schoolbook" w:hAnsi="Century Schoolbook"/>
        </w:rPr>
        <w:t xml:space="preserve"> </w:t>
      </w:r>
      <w:r w:rsidRPr="008C7229" w:rsidR="008C7229">
        <w:rPr>
          <w:rFonts w:ascii="Century Schoolbook" w:hAnsi="Century Schoolbook"/>
        </w:rPr>
        <w:t>agreed on the contents that would be submitted.</w:t>
      </w:r>
      <w:r w:rsidR="008C7229">
        <w:rPr>
          <w:rFonts w:ascii="Century Schoolbook" w:hAnsi="Century Schoolbook"/>
        </w:rPr>
        <w:t>”</w:t>
      </w:r>
      <w:r>
        <w:rPr>
          <w:rStyle w:val="FootnoteReference"/>
          <w:rFonts w:ascii="Century Schoolbook" w:hAnsi="Century Schoolbook"/>
        </w:rPr>
        <w:footnoteReference w:id="8"/>
      </w:r>
      <w:r w:rsidR="008C7229">
        <w:rPr>
          <w:rFonts w:ascii="Century Schoolbook" w:hAnsi="Century Schoolbook"/>
        </w:rPr>
        <w:t xml:space="preserve">  </w:t>
      </w:r>
      <w:r w:rsidR="00730156">
        <w:rPr>
          <w:rFonts w:ascii="Century Schoolbook" w:hAnsi="Century Schoolbook"/>
        </w:rPr>
        <w:t xml:space="preserve">The attached order had been modified as </w:t>
      </w:r>
      <w:r w:rsidR="00D0649B">
        <w:rPr>
          <w:rFonts w:ascii="Century Schoolbook" w:hAnsi="Century Schoolbook"/>
        </w:rPr>
        <w:t>Judge Schulman</w:t>
      </w:r>
      <w:r w:rsidR="00730156">
        <w:rPr>
          <w:rFonts w:ascii="Century Schoolbook" w:hAnsi="Century Schoolbook"/>
        </w:rPr>
        <w:t xml:space="preserve"> indicated at the February 21 </w:t>
      </w:r>
      <w:r w:rsidR="00503BD3">
        <w:rPr>
          <w:rFonts w:ascii="Century Schoolbook" w:hAnsi="Century Schoolbook"/>
        </w:rPr>
        <w:t>conference</w:t>
      </w:r>
      <w:r w:rsidR="00730156">
        <w:rPr>
          <w:rFonts w:ascii="Century Schoolbook" w:hAnsi="Century Schoolbook"/>
        </w:rPr>
        <w:t>, providing that the stay granted by the forum non conveniens ruling would apply to a list of cases attached as an exhibit</w:t>
      </w:r>
      <w:r w:rsidR="00913099">
        <w:rPr>
          <w:rFonts w:ascii="Century Schoolbook" w:hAnsi="Century Schoolbook"/>
        </w:rPr>
        <w:t>;</w:t>
      </w:r>
      <w:r w:rsidR="00730156">
        <w:rPr>
          <w:rFonts w:ascii="Century Schoolbook" w:hAnsi="Century Schoolbook"/>
        </w:rPr>
        <w:t xml:space="preserve"> that “[o]</w:t>
      </w:r>
      <w:r w:rsidRPr="00730156" w:rsidR="00730156">
        <w:rPr>
          <w:rFonts w:ascii="Century Schoolbook" w:hAnsi="Century Schoolbook"/>
        </w:rPr>
        <w:t>n the 30th day after a plaintiff re-files in an alternative forum, the stay set forth in the preceding paragraph shall convert to an order of dismissal with prejudice</w:t>
      </w:r>
      <w:r w:rsidR="00730156">
        <w:rPr>
          <w:rFonts w:ascii="Century Schoolbook" w:hAnsi="Century Schoolbook"/>
        </w:rPr>
        <w:t>”</w:t>
      </w:r>
      <w:r w:rsidR="00913099">
        <w:rPr>
          <w:rFonts w:ascii="Century Schoolbook" w:hAnsi="Century Schoolbook"/>
        </w:rPr>
        <w:t>;</w:t>
      </w:r>
      <w:r w:rsidR="00730156">
        <w:rPr>
          <w:rFonts w:ascii="Century Schoolbook" w:hAnsi="Century Schoolbook"/>
        </w:rPr>
        <w:t xml:space="preserve"> that “[f]</w:t>
      </w:r>
      <w:r w:rsidRPr="00730156" w:rsidR="00730156">
        <w:rPr>
          <w:rFonts w:ascii="Century Schoolbook" w:hAnsi="Century Schoolbook"/>
        </w:rPr>
        <w:t>or any plaintiff who has re-filed in an alternative forum within 180 days of the date of entry of this Order, the time that accrued between the date of filing of the plaintiff</w:t>
      </w:r>
      <w:r w:rsidR="006A2DFA">
        <w:rPr>
          <w:rFonts w:ascii="Century Schoolbook" w:hAnsi="Century Schoolbook"/>
        </w:rPr>
        <w:t>’</w:t>
      </w:r>
      <w:r w:rsidRPr="00730156" w:rsidR="00730156">
        <w:rPr>
          <w:rFonts w:ascii="Century Schoolbook" w:hAnsi="Century Schoolbook"/>
        </w:rPr>
        <w:t>s action in this Court and the date of re-filing in the alternative forum shall not be counted for purposes of the statute of limitations</w:t>
      </w:r>
      <w:r w:rsidR="00730156">
        <w:rPr>
          <w:rFonts w:ascii="Century Schoolbook" w:hAnsi="Century Schoolbook"/>
        </w:rPr>
        <w:t>”</w:t>
      </w:r>
      <w:r w:rsidR="00913099">
        <w:rPr>
          <w:rFonts w:ascii="Century Schoolbook" w:hAnsi="Century Schoolbook"/>
        </w:rPr>
        <w:t>;</w:t>
      </w:r>
      <w:r w:rsidR="00730156">
        <w:rPr>
          <w:rFonts w:ascii="Century Schoolbook" w:hAnsi="Century Schoolbook"/>
        </w:rPr>
        <w:t xml:space="preserve"> that “[f]</w:t>
      </w:r>
      <w:r w:rsidRPr="00730156" w:rsidR="00730156">
        <w:rPr>
          <w:rFonts w:ascii="Century Schoolbook" w:hAnsi="Century Schoolbook"/>
        </w:rPr>
        <w:t>or any plaintiff who has re-filed in an alternative forum within 180 days of the date of entry of this Order, the statute of limitations that applies to the plaintiff</w:t>
      </w:r>
      <w:r w:rsidR="00730156">
        <w:rPr>
          <w:rFonts w:ascii="Century Schoolbook" w:hAnsi="Century Schoolbook"/>
        </w:rPr>
        <w:t>’</w:t>
      </w:r>
      <w:r w:rsidRPr="00730156" w:rsidR="00730156">
        <w:rPr>
          <w:rFonts w:ascii="Century Schoolbook" w:hAnsi="Century Schoolbook"/>
        </w:rPr>
        <w:t xml:space="preserve">s claims shall be </w:t>
      </w:r>
      <w:r w:rsidRPr="00730156" w:rsidR="00730156">
        <w:rPr>
          <w:rFonts w:ascii="Century Schoolbook" w:hAnsi="Century Schoolbook"/>
          <w:i/>
          <w:iCs/>
        </w:rPr>
        <w:t>the longer of</w:t>
      </w:r>
      <w:r w:rsidRPr="00730156" w:rsidR="00730156">
        <w:rPr>
          <w:rFonts w:ascii="Century Schoolbook" w:hAnsi="Century Schoolbook"/>
        </w:rPr>
        <w:t xml:space="preserve"> (a) the statute </w:t>
      </w:r>
      <w:r w:rsidRPr="00730156" w:rsidR="00F3426C">
        <w:rPr>
          <w:rFonts w:ascii="Century Schoolbook" w:hAnsi="Century Schoolbook"/>
        </w:rPr>
        <w:t>of limitations</w:t>
      </w:r>
      <w:r w:rsidRPr="00730156" w:rsidR="00730156">
        <w:rPr>
          <w:rFonts w:ascii="Century Schoolbook" w:hAnsi="Century Schoolbook"/>
        </w:rPr>
        <w:t xml:space="preserve"> that would apply had the action been litigated in California or (b)</w:t>
      </w:r>
      <w:r w:rsidR="00913099">
        <w:rPr>
          <w:rFonts w:ascii="Century Schoolbook" w:hAnsi="Century Schoolbook"/>
        </w:rPr>
        <w:t> </w:t>
      </w:r>
      <w:r w:rsidRPr="00730156" w:rsidR="00730156">
        <w:rPr>
          <w:rFonts w:ascii="Century Schoolbook" w:hAnsi="Century Schoolbook"/>
        </w:rPr>
        <w:t>the statute of limitation that applies under the law of the alternative forum in which the case is re-filed</w:t>
      </w:r>
      <w:r w:rsidR="00730156">
        <w:rPr>
          <w:rFonts w:ascii="Century Schoolbook" w:hAnsi="Century Schoolbook"/>
        </w:rPr>
        <w:t>”</w:t>
      </w:r>
      <w:r w:rsidR="00913099">
        <w:rPr>
          <w:rFonts w:ascii="Century Schoolbook" w:hAnsi="Century Schoolbook"/>
        </w:rPr>
        <w:t>;</w:t>
      </w:r>
      <w:r w:rsidR="00730156">
        <w:rPr>
          <w:rFonts w:ascii="Century Schoolbook" w:hAnsi="Century Schoolbook"/>
        </w:rPr>
        <w:t xml:space="preserve"> and that “[w]</w:t>
      </w:r>
      <w:r w:rsidRPr="00730156" w:rsidR="00730156">
        <w:rPr>
          <w:rFonts w:ascii="Century Schoolbook" w:hAnsi="Century Schoolbook"/>
        </w:rPr>
        <w:t>ith respect to any plaintiff who has not re-filed in an alternative forum within 180 days after the date of entry of this Order, or has not sought and obtained a</w:t>
      </w:r>
      <w:r w:rsidR="00730156">
        <w:rPr>
          <w:rFonts w:ascii="Century Schoolbook" w:hAnsi="Century Schoolbook"/>
        </w:rPr>
        <w:t>n</w:t>
      </w:r>
      <w:r w:rsidRPr="00730156" w:rsidR="00730156">
        <w:rPr>
          <w:rFonts w:ascii="Century Schoolbook" w:hAnsi="Century Schoolbook"/>
        </w:rPr>
        <w:t xml:space="preserve"> extension for good cause </w:t>
      </w:r>
      <w:r w:rsidR="00730156">
        <w:rPr>
          <w:rFonts w:ascii="Century Schoolbook" w:hAnsi="Century Schoolbook"/>
        </w:rPr>
        <w:t xml:space="preserve">. . . </w:t>
      </w:r>
      <w:r w:rsidRPr="00730156" w:rsidR="00730156">
        <w:rPr>
          <w:rFonts w:ascii="Century Schoolbook" w:hAnsi="Century Schoolbook"/>
        </w:rPr>
        <w:t>, the stay set forth in the preceding paragraphs shall convert</w:t>
      </w:r>
      <w:r w:rsidR="00730156">
        <w:rPr>
          <w:rFonts w:ascii="Century Schoolbook" w:hAnsi="Century Schoolbook"/>
        </w:rPr>
        <w:t xml:space="preserve"> </w:t>
      </w:r>
      <w:r w:rsidRPr="00730156" w:rsidR="00730156">
        <w:rPr>
          <w:rFonts w:ascii="Century Schoolbook" w:hAnsi="Century Schoolbook"/>
        </w:rPr>
        <w:t>to an order of dismissal with prejudice.</w:t>
      </w:r>
      <w:r w:rsidR="00730156">
        <w:rPr>
          <w:rFonts w:ascii="Century Schoolbook" w:hAnsi="Century Schoolbook"/>
        </w:rPr>
        <w:t xml:space="preserve">” </w:t>
      </w:r>
      <w:r w:rsidR="006A2DFA">
        <w:rPr>
          <w:rFonts w:ascii="Century Schoolbook" w:hAnsi="Century Schoolbook"/>
        </w:rPr>
        <w:t xml:space="preserve"> </w:t>
      </w:r>
    </w:p>
    <w:p w:rsidR="00293B2D" w:rsidP="00913099" w14:paraId="46C52F2E" w14:textId="18560D8B">
      <w:pPr>
        <w:rPr>
          <w:rFonts w:ascii="Century Schoolbook" w:hAnsi="Century Schoolbook"/>
        </w:rPr>
      </w:pPr>
      <w:r>
        <w:rPr>
          <w:rFonts w:ascii="Century Schoolbook" w:hAnsi="Century Schoolbook"/>
        </w:rPr>
        <w:tab/>
      </w:r>
      <w:r w:rsidR="00D0649B">
        <w:rPr>
          <w:rFonts w:ascii="Century Schoolbook" w:hAnsi="Century Schoolbook"/>
        </w:rPr>
        <w:t>Judge Schulman</w:t>
      </w:r>
      <w:r w:rsidR="00730156">
        <w:rPr>
          <w:rFonts w:ascii="Century Schoolbook" w:hAnsi="Century Schoolbook"/>
        </w:rPr>
        <w:t xml:space="preserve"> issued the </w:t>
      </w:r>
      <w:r w:rsidR="008C7229">
        <w:rPr>
          <w:rFonts w:ascii="Century Schoolbook" w:hAnsi="Century Schoolbook"/>
        </w:rPr>
        <w:t>proposed order without change the next</w:t>
      </w:r>
      <w:r w:rsidRPr="009D2B57" w:rsidR="009D2B57">
        <w:rPr>
          <w:rFonts w:ascii="Century Schoolbook" w:hAnsi="Century Schoolbook"/>
        </w:rPr>
        <w:t xml:space="preserve"> day. </w:t>
      </w:r>
      <w:r w:rsidR="00CD0AD8">
        <w:rPr>
          <w:rFonts w:ascii="Century Schoolbook" w:hAnsi="Century Schoolbook"/>
        </w:rPr>
        <w:t xml:space="preserve"> </w:t>
      </w:r>
      <w:r>
        <w:rPr>
          <w:rFonts w:ascii="Century Schoolbook" w:hAnsi="Century Schoolbook"/>
        </w:rPr>
        <w:t xml:space="preserve">As pertinent here, </w:t>
      </w:r>
      <w:r w:rsidR="00F86092">
        <w:rPr>
          <w:rFonts w:ascii="Century Schoolbook" w:hAnsi="Century Schoolbook"/>
        </w:rPr>
        <w:t xml:space="preserve">it </w:t>
      </w:r>
      <w:r>
        <w:rPr>
          <w:rFonts w:ascii="Century Schoolbook" w:hAnsi="Century Schoolbook"/>
        </w:rPr>
        <w:t xml:space="preserve">provided </w:t>
      </w:r>
      <w:r w:rsidRPr="00A62A3C">
        <w:rPr>
          <w:rFonts w:ascii="Century Schoolbook" w:hAnsi="Century Schoolbook"/>
        </w:rPr>
        <w:t xml:space="preserve">that </w:t>
      </w:r>
      <w:r w:rsidR="00913099">
        <w:rPr>
          <w:rFonts w:ascii="Century Schoolbook" w:hAnsi="Century Schoolbook"/>
        </w:rPr>
        <w:t xml:space="preserve">his </w:t>
      </w:r>
      <w:r w:rsidRPr="00A62A3C">
        <w:rPr>
          <w:rFonts w:ascii="Century Schoolbook" w:hAnsi="Century Schoolbook"/>
        </w:rPr>
        <w:t>order on forum non conveniens “shall apply to all of the cases in</w:t>
      </w:r>
      <w:r>
        <w:rPr>
          <w:rFonts w:ascii="Century Schoolbook" w:hAnsi="Century Schoolbook"/>
        </w:rPr>
        <w:t xml:space="preserve"> </w:t>
      </w:r>
      <w:r w:rsidRPr="00A62A3C">
        <w:rPr>
          <w:rFonts w:ascii="Century Schoolbook" w:hAnsi="Century Schoolbook"/>
        </w:rPr>
        <w:t>this coordinated proceeding that arise from alleged incidents that</w:t>
      </w:r>
      <w:r>
        <w:rPr>
          <w:rFonts w:ascii="Century Schoolbook" w:hAnsi="Century Schoolbook"/>
        </w:rPr>
        <w:t xml:space="preserve"> </w:t>
      </w:r>
      <w:r w:rsidRPr="00A62A3C">
        <w:rPr>
          <w:rFonts w:ascii="Century Schoolbook" w:hAnsi="Century Schoolbook"/>
        </w:rPr>
        <w:t>occurred outside of California.”  Those cases would be</w:t>
      </w:r>
      <w:r>
        <w:rPr>
          <w:rFonts w:ascii="Century Schoolbook" w:hAnsi="Century Schoolbook"/>
        </w:rPr>
        <w:t xml:space="preserve"> </w:t>
      </w:r>
      <w:r w:rsidRPr="00A62A3C">
        <w:rPr>
          <w:rFonts w:ascii="Century Schoolbook" w:hAnsi="Century Schoolbook"/>
        </w:rPr>
        <w:t>“stayed pursuant and subject to the terms of the [January</w:t>
      </w:r>
      <w:r>
        <w:rPr>
          <w:rFonts w:ascii="Century Schoolbook" w:hAnsi="Century Schoolbook"/>
        </w:rPr>
        <w:t xml:space="preserve"> </w:t>
      </w:r>
      <w:r w:rsidRPr="00A62A3C">
        <w:rPr>
          <w:rFonts w:ascii="Century Schoolbook" w:hAnsi="Century Schoolbook"/>
        </w:rPr>
        <w:t xml:space="preserve">order].” </w:t>
      </w:r>
      <w:r w:rsidR="00913099">
        <w:rPr>
          <w:rFonts w:ascii="Century Schoolbook" w:hAnsi="Century Schoolbook"/>
        </w:rPr>
        <w:t xml:space="preserve"> The order also </w:t>
      </w:r>
      <w:r w:rsidRPr="00A62A3C">
        <w:rPr>
          <w:rFonts w:ascii="Century Schoolbook" w:hAnsi="Century Schoolbook"/>
        </w:rPr>
        <w:t>require</w:t>
      </w:r>
      <w:r w:rsidR="00913099">
        <w:rPr>
          <w:rFonts w:ascii="Century Schoolbook" w:hAnsi="Century Schoolbook"/>
        </w:rPr>
        <w:t>d</w:t>
      </w:r>
      <w:r w:rsidRPr="00A62A3C">
        <w:rPr>
          <w:rFonts w:ascii="Century Schoolbook" w:hAnsi="Century Schoolbook"/>
        </w:rPr>
        <w:t xml:space="preserve"> refiling within 180 days,</w:t>
      </w:r>
      <w:r>
        <w:rPr>
          <w:rFonts w:ascii="Century Schoolbook" w:hAnsi="Century Schoolbook"/>
        </w:rPr>
        <w:t xml:space="preserve"> </w:t>
      </w:r>
      <w:r w:rsidRPr="00A62A3C">
        <w:rPr>
          <w:rFonts w:ascii="Century Schoolbook" w:hAnsi="Century Schoolbook"/>
        </w:rPr>
        <w:t>and for cases refiled within that time period, it sets forth the</w:t>
      </w:r>
      <w:r>
        <w:rPr>
          <w:rFonts w:ascii="Century Schoolbook" w:hAnsi="Century Schoolbook"/>
        </w:rPr>
        <w:t xml:space="preserve"> </w:t>
      </w:r>
      <w:r w:rsidRPr="00A62A3C">
        <w:rPr>
          <w:rFonts w:ascii="Century Schoolbook" w:hAnsi="Century Schoolbook"/>
        </w:rPr>
        <w:t>terms for tolling and extending the limitations period</w:t>
      </w:r>
      <w:r w:rsidR="00F86092">
        <w:rPr>
          <w:rFonts w:ascii="Century Schoolbook" w:hAnsi="Century Schoolbook"/>
        </w:rPr>
        <w:t>:</w:t>
      </w:r>
      <w:r w:rsidRPr="00A62A3C">
        <w:rPr>
          <w:rFonts w:ascii="Century Schoolbook" w:hAnsi="Century Schoolbook"/>
        </w:rPr>
        <w:t xml:space="preserve"> </w:t>
      </w:r>
      <w:r>
        <w:rPr>
          <w:rFonts w:ascii="Century Schoolbook" w:hAnsi="Century Schoolbook"/>
        </w:rPr>
        <w:t xml:space="preserve"> </w:t>
      </w:r>
      <w:r w:rsidRPr="0083411E">
        <w:rPr>
          <w:rFonts w:ascii="Century Schoolbook" w:hAnsi="Century Schoolbook"/>
          <w:i/>
          <w:iCs/>
        </w:rPr>
        <w:t>First</w:t>
      </w:r>
      <w:r w:rsidRPr="00A62A3C">
        <w:rPr>
          <w:rFonts w:ascii="Century Schoolbook" w:hAnsi="Century Schoolbook"/>
        </w:rPr>
        <w:t>, the</w:t>
      </w:r>
      <w:r>
        <w:rPr>
          <w:rFonts w:ascii="Century Schoolbook" w:hAnsi="Century Schoolbook"/>
        </w:rPr>
        <w:t xml:space="preserve"> </w:t>
      </w:r>
      <w:r w:rsidRPr="00A62A3C">
        <w:rPr>
          <w:rFonts w:ascii="Century Schoolbook" w:hAnsi="Century Schoolbook"/>
        </w:rPr>
        <w:t>limitations period is tolled “between the date of filing of the</w:t>
      </w:r>
      <w:r>
        <w:rPr>
          <w:rFonts w:ascii="Century Schoolbook" w:hAnsi="Century Schoolbook"/>
        </w:rPr>
        <w:t xml:space="preserve"> </w:t>
      </w:r>
      <w:r w:rsidRPr="00A62A3C">
        <w:rPr>
          <w:rFonts w:ascii="Century Schoolbook" w:hAnsi="Century Schoolbook"/>
        </w:rPr>
        <w:t>plaintiff ’s action in [California court] and the date of re-filing in</w:t>
      </w:r>
      <w:r>
        <w:rPr>
          <w:rFonts w:ascii="Century Schoolbook" w:hAnsi="Century Schoolbook"/>
        </w:rPr>
        <w:t xml:space="preserve"> </w:t>
      </w:r>
      <w:r w:rsidRPr="00A62A3C">
        <w:rPr>
          <w:rFonts w:ascii="Century Schoolbook" w:hAnsi="Century Schoolbook"/>
        </w:rPr>
        <w:t xml:space="preserve">the alternative forum.”  </w:t>
      </w:r>
      <w:r w:rsidRPr="0083411E">
        <w:rPr>
          <w:rFonts w:ascii="Century Schoolbook" w:hAnsi="Century Schoolbook"/>
          <w:i/>
          <w:iCs/>
        </w:rPr>
        <w:t>Second</w:t>
      </w:r>
      <w:r w:rsidRPr="00A62A3C">
        <w:rPr>
          <w:rFonts w:ascii="Century Schoolbook" w:hAnsi="Century Schoolbook"/>
        </w:rPr>
        <w:t>, the applicable</w:t>
      </w:r>
      <w:r>
        <w:rPr>
          <w:rFonts w:ascii="Century Schoolbook" w:hAnsi="Century Schoolbook"/>
        </w:rPr>
        <w:t xml:space="preserve"> </w:t>
      </w:r>
      <w:r w:rsidRPr="00A62A3C">
        <w:rPr>
          <w:rFonts w:ascii="Century Schoolbook" w:hAnsi="Century Schoolbook"/>
        </w:rPr>
        <w:t xml:space="preserve">statute of limitations “shall be </w:t>
      </w:r>
      <w:r w:rsidRPr="0083411E">
        <w:rPr>
          <w:rFonts w:ascii="Century Schoolbook" w:hAnsi="Century Schoolbook"/>
          <w:i/>
          <w:iCs/>
        </w:rPr>
        <w:t xml:space="preserve">the longer of </w:t>
      </w:r>
      <w:r w:rsidRPr="00A62A3C">
        <w:rPr>
          <w:rFonts w:ascii="Century Schoolbook" w:hAnsi="Century Schoolbook"/>
        </w:rPr>
        <w:t>(a) the statute of</w:t>
      </w:r>
      <w:r>
        <w:rPr>
          <w:rFonts w:ascii="Century Schoolbook" w:hAnsi="Century Schoolbook"/>
        </w:rPr>
        <w:t xml:space="preserve"> </w:t>
      </w:r>
      <w:r w:rsidRPr="00A62A3C">
        <w:rPr>
          <w:rFonts w:ascii="Century Schoolbook" w:hAnsi="Century Schoolbook"/>
        </w:rPr>
        <w:t>limitations that would apply had the action been litigated in</w:t>
      </w:r>
      <w:r>
        <w:rPr>
          <w:rFonts w:ascii="Century Schoolbook" w:hAnsi="Century Schoolbook"/>
        </w:rPr>
        <w:t xml:space="preserve"> </w:t>
      </w:r>
      <w:r w:rsidRPr="00A62A3C">
        <w:rPr>
          <w:rFonts w:ascii="Century Schoolbook" w:hAnsi="Century Schoolbook"/>
        </w:rPr>
        <w:t>California or (b) the statute of limitations that applies under the</w:t>
      </w:r>
      <w:r>
        <w:rPr>
          <w:rFonts w:ascii="Century Schoolbook" w:hAnsi="Century Schoolbook"/>
        </w:rPr>
        <w:t xml:space="preserve"> </w:t>
      </w:r>
      <w:r w:rsidRPr="00A62A3C">
        <w:rPr>
          <w:rFonts w:ascii="Century Schoolbook" w:hAnsi="Century Schoolbook"/>
        </w:rPr>
        <w:t xml:space="preserve">law of the alternative forum in which the case is re-filed.” </w:t>
      </w:r>
    </w:p>
    <w:p w:rsidR="009D2B57" w:rsidP="00834245" w14:paraId="5D51B398" w14:textId="38525966">
      <w:pPr>
        <w:rPr>
          <w:rFonts w:ascii="Century Schoolbook" w:hAnsi="Century Schoolbook"/>
        </w:rPr>
      </w:pPr>
      <w:r>
        <w:rPr>
          <w:rFonts w:ascii="Century Schoolbook" w:hAnsi="Century Schoolbook"/>
        </w:rPr>
        <w:tab/>
        <w:t xml:space="preserve">Plaintiffs filed notices of appeal from both </w:t>
      </w:r>
      <w:r w:rsidR="00307A66">
        <w:rPr>
          <w:rFonts w:ascii="Century Schoolbook" w:hAnsi="Century Schoolbook"/>
        </w:rPr>
        <w:t>Judge Schulman</w:t>
      </w:r>
      <w:r>
        <w:rPr>
          <w:rFonts w:ascii="Century Schoolbook" w:hAnsi="Century Schoolbook"/>
        </w:rPr>
        <w:t>’s</w:t>
      </w:r>
      <w:r w:rsidR="00B4129D">
        <w:rPr>
          <w:rFonts w:ascii="Century Schoolbook" w:hAnsi="Century Schoolbook"/>
        </w:rPr>
        <w:t xml:space="preserve"> January</w:t>
      </w:r>
      <w:r w:rsidR="00F0674F">
        <w:rPr>
          <w:rFonts w:ascii="Century Schoolbook" w:hAnsi="Century Schoolbook"/>
        </w:rPr>
        <w:t> </w:t>
      </w:r>
      <w:r w:rsidR="00B4129D">
        <w:rPr>
          <w:rFonts w:ascii="Century Schoolbook" w:hAnsi="Century Schoolbook"/>
        </w:rPr>
        <w:t xml:space="preserve">23 </w:t>
      </w:r>
      <w:r>
        <w:rPr>
          <w:rFonts w:ascii="Century Schoolbook" w:hAnsi="Century Schoolbook"/>
        </w:rPr>
        <w:t>forum non conveniens ruling</w:t>
      </w:r>
      <w:r w:rsidR="003A086B">
        <w:rPr>
          <w:rFonts w:ascii="Century Schoolbook" w:hAnsi="Century Schoolbook"/>
        </w:rPr>
        <w:t xml:space="preserve"> </w:t>
      </w:r>
      <w:r>
        <w:rPr>
          <w:rFonts w:ascii="Century Schoolbook" w:hAnsi="Century Schoolbook"/>
        </w:rPr>
        <w:t xml:space="preserve">and </w:t>
      </w:r>
      <w:r w:rsidR="003A086B">
        <w:rPr>
          <w:rFonts w:ascii="Century Schoolbook" w:hAnsi="Century Schoolbook"/>
        </w:rPr>
        <w:t xml:space="preserve">his </w:t>
      </w:r>
      <w:r>
        <w:rPr>
          <w:rFonts w:ascii="Century Schoolbook" w:hAnsi="Century Schoolbook"/>
        </w:rPr>
        <w:t>February 28 order implementing that ruling (</w:t>
      </w:r>
      <w:r w:rsidRPr="00B4129D" w:rsidR="00B4129D">
        <w:rPr>
          <w:rFonts w:ascii="Century Schoolbook" w:hAnsi="Century Schoolbook"/>
        </w:rPr>
        <w:t>A167709</w:t>
      </w:r>
      <w:r>
        <w:rPr>
          <w:rFonts w:ascii="Century Schoolbook" w:hAnsi="Century Schoolbook"/>
        </w:rPr>
        <w:t xml:space="preserve">).  We </w:t>
      </w:r>
      <w:r w:rsidR="00B4129D">
        <w:rPr>
          <w:rFonts w:ascii="Century Schoolbook" w:hAnsi="Century Schoolbook"/>
        </w:rPr>
        <w:t xml:space="preserve">granted </w:t>
      </w:r>
      <w:r w:rsidR="00F3426C">
        <w:rPr>
          <w:rFonts w:ascii="Century Schoolbook" w:hAnsi="Century Schoolbook"/>
        </w:rPr>
        <w:t>plaintiffs</w:t>
      </w:r>
      <w:r w:rsidR="00B4129D">
        <w:rPr>
          <w:rFonts w:ascii="Century Schoolbook" w:hAnsi="Century Schoolbook"/>
        </w:rPr>
        <w:t xml:space="preserve">’ unopposed motion to consolidate the appeals. </w:t>
      </w:r>
    </w:p>
    <w:p w:rsidR="00D60F18" w:rsidRPr="00293B2D" w:rsidP="00293B2D" w14:paraId="78A5BD54" w14:textId="2B491E4B">
      <w:pPr>
        <w:jc w:val="center"/>
        <w:rPr>
          <w:rFonts w:ascii="Century Schoolbook" w:hAnsi="Century Schoolbook"/>
          <w:b/>
          <w:bCs/>
        </w:rPr>
      </w:pPr>
      <w:r w:rsidRPr="00003273">
        <w:rPr>
          <w:rFonts w:ascii="Century Schoolbook" w:hAnsi="Century Schoolbook"/>
          <w:b/>
          <w:bCs/>
        </w:rPr>
        <w:t>DISCUSSION</w:t>
      </w:r>
      <w:r>
        <w:rPr>
          <w:rFonts w:ascii="Century Schoolbook" w:hAnsi="Century Schoolbook"/>
        </w:rPr>
        <w:t xml:space="preserve"> </w:t>
      </w:r>
    </w:p>
    <w:p w:rsidR="006377FF" w:rsidP="006E372D" w14:paraId="641E2077" w14:textId="719E15C5">
      <w:pPr>
        <w:spacing w:after="120"/>
        <w:rPr>
          <w:rFonts w:ascii="Century Schoolbook" w:hAnsi="Century Schoolbook"/>
          <w:b/>
          <w:bCs/>
        </w:rPr>
      </w:pPr>
      <w:r>
        <w:rPr>
          <w:rFonts w:ascii="Century Schoolbook" w:hAnsi="Century Schoolbook"/>
          <w:b/>
          <w:bCs/>
        </w:rPr>
        <w:tab/>
      </w:r>
      <w:r w:rsidR="00B4712D">
        <w:rPr>
          <w:rFonts w:ascii="Century Schoolbook" w:hAnsi="Century Schoolbook"/>
          <w:b/>
          <w:bCs/>
        </w:rPr>
        <w:t xml:space="preserve">Forum Non Conveniens and the </w:t>
      </w:r>
      <w:r w:rsidR="00D60F18">
        <w:rPr>
          <w:rFonts w:ascii="Century Schoolbook" w:hAnsi="Century Schoolbook"/>
          <w:b/>
          <w:bCs/>
        </w:rPr>
        <w:t>Standard of Review</w:t>
      </w:r>
    </w:p>
    <w:p w:rsidR="006377FF" w:rsidP="006E372D" w14:paraId="55598142" w14:textId="104290F4">
      <w:pPr>
        <w:spacing w:line="360" w:lineRule="auto"/>
        <w:rPr>
          <w:rFonts w:ascii="Century Schoolbook" w:hAnsi="Century Schoolbook"/>
        </w:rPr>
      </w:pPr>
      <w:r>
        <w:rPr>
          <w:rFonts w:ascii="Century Schoolbook" w:hAnsi="Century Schoolbook"/>
          <w:b/>
          <w:bCs/>
        </w:rPr>
        <w:tab/>
      </w:r>
      <w:r w:rsidR="00293B2D">
        <w:rPr>
          <w:rFonts w:ascii="Century Schoolbook" w:hAnsi="Century Schoolbook"/>
        </w:rPr>
        <w:t>Our Supreme Court discussed forum non conveniens</w:t>
      </w:r>
      <w:r w:rsidR="00B912CB">
        <w:rPr>
          <w:rFonts w:ascii="Century Schoolbook" w:hAnsi="Century Schoolbook"/>
        </w:rPr>
        <w:t xml:space="preserve"> at length in </w:t>
      </w:r>
      <w:r w:rsidR="00B912CB">
        <w:rPr>
          <w:rFonts w:ascii="Century Schoolbook" w:hAnsi="Century Schoolbook"/>
          <w:i/>
          <w:iCs/>
        </w:rPr>
        <w:t>Stangvik</w:t>
      </w:r>
      <w:r w:rsidR="00B912CB">
        <w:rPr>
          <w:rFonts w:ascii="Century Schoolbook" w:hAnsi="Century Schoolbook"/>
        </w:rPr>
        <w:t>, beginning as follows</w:t>
      </w:r>
      <w:r w:rsidR="003A086B">
        <w:rPr>
          <w:rFonts w:ascii="Century Schoolbook" w:hAnsi="Century Schoolbook"/>
        </w:rPr>
        <w:t>:</w:t>
      </w:r>
      <w:r w:rsidR="00913099">
        <w:rPr>
          <w:rFonts w:ascii="Century Schoolbook" w:hAnsi="Century Schoolbook"/>
        </w:rPr>
        <w:t xml:space="preserve">  </w:t>
      </w:r>
      <w:r>
        <w:rPr>
          <w:rFonts w:ascii="Century Schoolbook" w:hAnsi="Century Schoolbook"/>
        </w:rPr>
        <w:t>“</w:t>
      </w:r>
      <w:r w:rsidRPr="004B28C5">
        <w:rPr>
          <w:rFonts w:ascii="Century Schoolbook" w:hAnsi="Century Schoolbook"/>
        </w:rPr>
        <w:t>Forum non conveniens is an equitable doctrine invoking the discretionary power of a court to decline to exercise the jurisdiction it has over a transitory cause of action when it believes that the action may be more appropriately and justly tried elsewhere.</w:t>
      </w:r>
      <w:r>
        <w:rPr>
          <w:rFonts w:ascii="Century Schoolbook" w:hAnsi="Century Schoolbook"/>
        </w:rPr>
        <w:t xml:space="preserve"> </w:t>
      </w:r>
      <w:r w:rsidRPr="004B28C5">
        <w:rPr>
          <w:rFonts w:ascii="Century Schoolbook" w:hAnsi="Century Schoolbook"/>
        </w:rPr>
        <w:t xml:space="preserve"> </w:t>
      </w:r>
      <w:r>
        <w:rPr>
          <w:rFonts w:ascii="Century Schoolbook" w:hAnsi="Century Schoolbook"/>
        </w:rPr>
        <w:t>[Citation.]</w:t>
      </w:r>
      <w:r w:rsidRPr="004B28C5">
        <w:rPr>
          <w:rFonts w:ascii="Century Schoolbook" w:hAnsi="Century Schoolbook"/>
        </w:rPr>
        <w:t xml:space="preserve"> </w:t>
      </w:r>
      <w:r>
        <w:rPr>
          <w:rFonts w:ascii="Century Schoolbook" w:hAnsi="Century Schoolbook"/>
        </w:rPr>
        <w:t xml:space="preserve"> </w:t>
      </w:r>
      <w:r w:rsidRPr="004B28C5">
        <w:rPr>
          <w:rFonts w:ascii="Century Schoolbook" w:hAnsi="Century Schoolbook"/>
        </w:rPr>
        <w:t xml:space="preserve">The doctrine was first applied in </w:t>
      </w:r>
      <w:r w:rsidRPr="000A351C">
        <w:rPr>
          <w:rFonts w:ascii="Century Schoolbook" w:hAnsi="Century Schoolbook"/>
        </w:rPr>
        <w:t>California in</w:t>
      </w:r>
      <w:r w:rsidRPr="004B28C5">
        <w:rPr>
          <w:rFonts w:ascii="Century Schoolbook" w:hAnsi="Century Schoolbook"/>
          <w:i/>
          <w:iCs/>
        </w:rPr>
        <w:t xml:space="preserve"> Price v. Atchison,</w:t>
      </w:r>
      <w:r>
        <w:rPr>
          <w:rFonts w:ascii="Century Schoolbook" w:hAnsi="Century Schoolbook"/>
        </w:rPr>
        <w:t xml:space="preserve"> </w:t>
      </w:r>
      <w:r w:rsidRPr="004B28C5">
        <w:rPr>
          <w:rFonts w:ascii="Century Schoolbook" w:hAnsi="Century Schoolbook"/>
          <w:i/>
          <w:iCs/>
        </w:rPr>
        <w:t>T. &amp; S.F. Ry. Co.</w:t>
      </w:r>
      <w:r w:rsidRPr="004B28C5">
        <w:rPr>
          <w:rFonts w:ascii="Century Schoolbook" w:hAnsi="Century Schoolbook"/>
        </w:rPr>
        <w:t xml:space="preserve"> (1954) 42 Cal.2d 577 (hereafter </w:t>
      </w:r>
      <w:r w:rsidRPr="004B28C5">
        <w:rPr>
          <w:rFonts w:ascii="Century Schoolbook" w:hAnsi="Century Schoolbook"/>
          <w:i/>
          <w:iCs/>
        </w:rPr>
        <w:t>Price</w:t>
      </w:r>
      <w:r w:rsidRPr="004B28C5">
        <w:rPr>
          <w:rFonts w:ascii="Century Schoolbook" w:hAnsi="Century Schoolbook"/>
        </w:rPr>
        <w:t xml:space="preserve">). </w:t>
      </w:r>
      <w:r>
        <w:rPr>
          <w:rFonts w:ascii="Century Schoolbook" w:hAnsi="Century Schoolbook"/>
        </w:rPr>
        <w:t xml:space="preserve"> </w:t>
      </w:r>
      <w:r w:rsidRPr="004B28C5">
        <w:rPr>
          <w:rFonts w:ascii="Century Schoolbook" w:hAnsi="Century Schoolbook"/>
        </w:rPr>
        <w:t xml:space="preserve">We described the basis of the doctrine as follows: </w:t>
      </w:r>
      <w:r>
        <w:rPr>
          <w:rFonts w:ascii="Century Schoolbook" w:hAnsi="Century Schoolbook"/>
        </w:rPr>
        <w:t>‘</w:t>
      </w:r>
      <w:r w:rsidRPr="004B28C5">
        <w:rPr>
          <w:rFonts w:ascii="Century Schoolbook" w:hAnsi="Century Schoolbook"/>
        </w:rPr>
        <w:t xml:space="preserve"> </w:t>
      </w:r>
      <w:r>
        <w:rPr>
          <w:rFonts w:ascii="Century Schoolbook" w:hAnsi="Century Schoolbook"/>
        </w:rPr>
        <w:t>“</w:t>
      </w:r>
      <w:r w:rsidRPr="004B28C5">
        <w:rPr>
          <w:rFonts w:ascii="Century Schoolbook" w:hAnsi="Century Schoolbook"/>
        </w:rPr>
        <w:t>There are manifest reasons for preferring residents in access to often overcrowded Courts, both in convenience and in the fact that broadly speaking it is they who pay for maintaining the Courts concerned.</w:t>
      </w:r>
      <w:r>
        <w:rPr>
          <w:rFonts w:ascii="Century Schoolbook" w:hAnsi="Century Schoolbook"/>
        </w:rPr>
        <w:t>”</w:t>
      </w:r>
      <w:r w:rsidRPr="004B28C5">
        <w:rPr>
          <w:rFonts w:ascii="Century Schoolbook" w:hAnsi="Century Schoolbook"/>
        </w:rPr>
        <w:t xml:space="preserve"> </w:t>
      </w:r>
      <w:r>
        <w:rPr>
          <w:rFonts w:ascii="Century Schoolbook" w:hAnsi="Century Schoolbook"/>
        </w:rPr>
        <w:t xml:space="preserve"> </w:t>
      </w:r>
      <w:r w:rsidRPr="004B28C5">
        <w:rPr>
          <w:rFonts w:ascii="Century Schoolbook" w:hAnsi="Century Schoolbook"/>
        </w:rPr>
        <w:t>[¶]</w:t>
      </w:r>
      <w:r>
        <w:rPr>
          <w:rFonts w:ascii="Century Schoolbook" w:hAnsi="Century Schoolbook"/>
        </w:rPr>
        <w:t xml:space="preserve"> </w:t>
      </w:r>
      <w:r w:rsidRPr="004B28C5">
        <w:rPr>
          <w:rFonts w:ascii="Century Schoolbook" w:hAnsi="Century Schoolbook"/>
        </w:rPr>
        <w:t xml:space="preserve"> </w:t>
      </w:r>
      <w:r>
        <w:rPr>
          <w:rFonts w:ascii="Century Schoolbook" w:hAnsi="Century Schoolbook"/>
        </w:rPr>
        <w:t>. . .</w:t>
      </w:r>
      <w:r w:rsidRPr="004B28C5">
        <w:rPr>
          <w:rFonts w:ascii="Century Schoolbook" w:hAnsi="Century Schoolbook"/>
        </w:rPr>
        <w:t xml:space="preserve"> [T]he injustices and the burdens on local courts and taxpayers, as well as on those leaving their work and business to serve as jurors, which can follow from an unchecked and unregulated importation of transitory causes of action for trial in this state </w:t>
      </w:r>
      <w:r>
        <w:rPr>
          <w:rFonts w:ascii="Century Schoolbook" w:hAnsi="Century Schoolbook"/>
        </w:rPr>
        <w:t>. . .</w:t>
      </w:r>
      <w:r w:rsidRPr="004B28C5">
        <w:rPr>
          <w:rFonts w:ascii="Century Schoolbook" w:hAnsi="Century Schoolbook"/>
        </w:rPr>
        <w:t xml:space="preserve"> require that our courts, acting upon the equitable principles </w:t>
      </w:r>
      <w:r>
        <w:rPr>
          <w:rFonts w:ascii="Century Schoolbook" w:hAnsi="Century Schoolbook"/>
        </w:rPr>
        <w:t xml:space="preserve">. . . </w:t>
      </w:r>
      <w:r w:rsidRPr="004B28C5">
        <w:rPr>
          <w:rFonts w:ascii="Century Schoolbook" w:hAnsi="Century Schoolbook"/>
        </w:rPr>
        <w:t>, exercise their discretionary power to decline to proceed in those causes of action which they conclude, on satisfactory evidence, may be more appropriately and justly tried elsewhere.</w:t>
      </w:r>
      <w:r>
        <w:rPr>
          <w:rFonts w:ascii="Century Schoolbook" w:hAnsi="Century Schoolbook"/>
        </w:rPr>
        <w:t>’</w:t>
      </w:r>
      <w:r w:rsidRPr="004B28C5">
        <w:rPr>
          <w:rFonts w:ascii="Century Schoolbook" w:hAnsi="Century Schoolbook"/>
        </w:rPr>
        <w:t xml:space="preserve"> </w:t>
      </w:r>
      <w:r>
        <w:rPr>
          <w:rFonts w:ascii="Century Schoolbook" w:hAnsi="Century Schoolbook"/>
        </w:rPr>
        <w:t xml:space="preserve"> </w:t>
      </w:r>
      <w:r w:rsidRPr="004B28C5">
        <w:rPr>
          <w:rFonts w:ascii="Century Schoolbook" w:hAnsi="Century Schoolbook"/>
        </w:rPr>
        <w:t>(</w:t>
      </w:r>
      <w:r w:rsidR="008E3913">
        <w:rPr>
          <w:rFonts w:ascii="Century Schoolbook" w:hAnsi="Century Schoolbook"/>
        </w:rPr>
        <w:t>[</w:t>
      </w:r>
      <w:r w:rsidRPr="008E3913" w:rsidR="00E203FC">
        <w:rPr>
          <w:rFonts w:ascii="Century Schoolbook" w:hAnsi="Century Schoolbook"/>
          <w:i/>
          <w:iCs/>
        </w:rPr>
        <w:t>Price</w:t>
      </w:r>
      <w:r w:rsidR="008E3913">
        <w:rPr>
          <w:rFonts w:ascii="Century Schoolbook" w:hAnsi="Century Schoolbook"/>
        </w:rPr>
        <w:t xml:space="preserve">,] </w:t>
      </w:r>
      <w:r w:rsidRPr="008E3913">
        <w:rPr>
          <w:rFonts w:ascii="Century Schoolbook" w:hAnsi="Century Schoolbook"/>
        </w:rPr>
        <w:t>at</w:t>
      </w:r>
      <w:r w:rsidRPr="004B28C5">
        <w:rPr>
          <w:rFonts w:ascii="Century Schoolbook" w:hAnsi="Century Schoolbook"/>
        </w:rPr>
        <w:t xml:space="preserve"> pp.</w:t>
      </w:r>
      <w:r w:rsidR="00B912CB">
        <w:rPr>
          <w:rFonts w:ascii="Century Schoolbook" w:hAnsi="Century Schoolbook"/>
        </w:rPr>
        <w:t> </w:t>
      </w:r>
      <w:r w:rsidRPr="004B28C5">
        <w:rPr>
          <w:rFonts w:ascii="Century Schoolbook" w:hAnsi="Century Schoolbook"/>
        </w:rPr>
        <w:t>582–584.)</w:t>
      </w:r>
      <w:r>
        <w:rPr>
          <w:rFonts w:ascii="Century Schoolbook" w:hAnsi="Century Schoolbook"/>
        </w:rPr>
        <w:t xml:space="preserve"> </w:t>
      </w:r>
    </w:p>
    <w:p w:rsidR="006943D5" w:rsidRPr="006943D5" w:rsidP="006E372D" w14:paraId="49861CC5" w14:textId="12176D86">
      <w:pPr>
        <w:tabs>
          <w:tab w:val="clear" w:pos="720"/>
        </w:tabs>
        <w:spacing w:line="360" w:lineRule="auto"/>
        <w:rPr>
          <w:rFonts w:ascii="Century Schoolbook" w:hAnsi="Century Schoolbook"/>
        </w:rPr>
      </w:pPr>
      <w:r w:rsidRPr="003D6068">
        <w:rPr>
          <w:rFonts w:ascii="Century Schoolbook" w:hAnsi="Century Schoolbook"/>
        </w:rPr>
        <w:tab/>
      </w:r>
      <w:r w:rsidRPr="007229DB">
        <w:rPr>
          <w:rFonts w:ascii="Century Schoolbook" w:hAnsi="Century Schoolbook"/>
        </w:rPr>
        <w:t xml:space="preserve">“In determining whether to grant a motion based on forum non conveniens, a court must first determine whether the alternate forum is a ‘suitable’ place for trial. </w:t>
      </w:r>
      <w:r w:rsidRPr="007229DB" w:rsidR="0092634B">
        <w:rPr>
          <w:rFonts w:ascii="Century Schoolbook" w:hAnsi="Century Schoolbook"/>
        </w:rPr>
        <w:t xml:space="preserve"> </w:t>
      </w:r>
      <w:r w:rsidR="00192D55">
        <w:rPr>
          <w:rFonts w:ascii="Century Schoolbook" w:hAnsi="Century Schoolbook"/>
        </w:rPr>
        <w:t>If it is</w:t>
      </w:r>
      <w:r w:rsidR="00217F3B">
        <w:rPr>
          <w:rFonts w:ascii="Century Schoolbook" w:hAnsi="Century Schoolbook"/>
        </w:rPr>
        <w:t>,</w:t>
      </w:r>
      <w:r w:rsidR="00192D55">
        <w:rPr>
          <w:rFonts w:ascii="Century Schoolbook" w:hAnsi="Century Schoolbook"/>
        </w:rPr>
        <w:t xml:space="preserve"> the </w:t>
      </w:r>
      <w:r w:rsidRPr="006943D5">
        <w:rPr>
          <w:rFonts w:ascii="Century Schoolbook" w:hAnsi="Century Schoolbook"/>
        </w:rPr>
        <w:t xml:space="preserve">next step is to consider the private interests of the litigants and the interests of the public in retaining the action for trial in California. </w:t>
      </w:r>
      <w:r>
        <w:rPr>
          <w:rFonts w:ascii="Century Schoolbook" w:hAnsi="Century Schoolbook"/>
        </w:rPr>
        <w:t xml:space="preserve"> </w:t>
      </w:r>
      <w:r w:rsidRPr="006943D5">
        <w:rPr>
          <w:rFonts w:ascii="Century Schoolbook" w:hAnsi="Century Schoolbook"/>
        </w:rPr>
        <w:t xml:space="preserve">The private interest factors are those that make trial and the enforceability of the ensuing judgment expeditious and relatively inexpensive, such as the ease of access to sources of proof, the cost of obtaining attendance of witnesses, and the availability of compulsory process for attendance of unwilling witnesses. </w:t>
      </w:r>
      <w:r>
        <w:rPr>
          <w:rFonts w:ascii="Century Schoolbook" w:hAnsi="Century Schoolbook"/>
        </w:rPr>
        <w:t xml:space="preserve"> </w:t>
      </w:r>
      <w:r w:rsidRPr="006943D5">
        <w:rPr>
          <w:rFonts w:ascii="Century Schoolbook" w:hAnsi="Century Schoolbook"/>
        </w:rPr>
        <w:t xml:space="preserve">The public interest factors include avoidance of overburdening local courts with congested calendars, protecting the interests of potential jurors so that they are not called upon to decide cases in which the local community has little concern, and weighing the competing interests of California and the alternate jurisdiction in the litigation. </w:t>
      </w:r>
      <w:r>
        <w:rPr>
          <w:rFonts w:ascii="Century Schoolbook" w:hAnsi="Century Schoolbook"/>
        </w:rPr>
        <w:t xml:space="preserve"> </w:t>
      </w:r>
      <w:r w:rsidRPr="006943D5">
        <w:rPr>
          <w:rFonts w:ascii="Century Schoolbook" w:hAnsi="Century Schoolbook"/>
        </w:rPr>
        <w:t>(</w:t>
      </w:r>
      <w:r w:rsidRPr="006943D5">
        <w:rPr>
          <w:rFonts w:ascii="Century Schoolbook" w:hAnsi="Century Schoolbook"/>
          <w:i/>
          <w:iCs/>
        </w:rPr>
        <w:t>Piper Aircraft Co. v. Reyno</w:t>
      </w:r>
      <w:r w:rsidRPr="006943D5">
        <w:rPr>
          <w:rFonts w:ascii="Century Schoolbook" w:hAnsi="Century Schoolbook"/>
        </w:rPr>
        <w:t xml:space="preserve"> (1981) 454 U.S. 235, 259–261 (hereafter </w:t>
      </w:r>
      <w:r w:rsidRPr="006943D5">
        <w:rPr>
          <w:rFonts w:ascii="Century Schoolbook" w:hAnsi="Century Schoolbook"/>
          <w:i/>
          <w:iCs/>
        </w:rPr>
        <w:t>Piper</w:t>
      </w:r>
      <w:r w:rsidRPr="006943D5">
        <w:rPr>
          <w:rFonts w:ascii="Century Schoolbook" w:hAnsi="Century Schoolbook"/>
        </w:rPr>
        <w:t xml:space="preserve">); </w:t>
      </w:r>
      <w:r w:rsidRPr="006943D5">
        <w:rPr>
          <w:rFonts w:ascii="Century Schoolbook" w:hAnsi="Century Schoolbook"/>
          <w:i/>
          <w:iCs/>
        </w:rPr>
        <w:t>Gulf Oil Corp. v. Gilbert</w:t>
      </w:r>
      <w:r w:rsidRPr="006943D5">
        <w:rPr>
          <w:rFonts w:ascii="Century Schoolbook" w:hAnsi="Century Schoolbook"/>
        </w:rPr>
        <w:t xml:space="preserve"> (1947) 330 U.S. 501, 507–509.)</w:t>
      </w:r>
      <w:r w:rsidR="00D0649B">
        <w:rPr>
          <w:rFonts w:ascii="Century Schoolbook" w:hAnsi="Century Schoolbook"/>
        </w:rPr>
        <w:t>”  (</w:t>
      </w:r>
      <w:r w:rsidRPr="006943D5" w:rsidR="00D0649B">
        <w:rPr>
          <w:rFonts w:ascii="Century Schoolbook" w:hAnsi="Century Schoolbook"/>
          <w:i/>
          <w:iCs/>
        </w:rPr>
        <w:t>Stangvik</w:t>
      </w:r>
      <w:r w:rsidR="00D0649B">
        <w:rPr>
          <w:rFonts w:ascii="Century Schoolbook" w:hAnsi="Century Schoolbook"/>
        </w:rPr>
        <w:t xml:space="preserve">, </w:t>
      </w:r>
      <w:r w:rsidRPr="006943D5" w:rsidR="00D0649B">
        <w:rPr>
          <w:rFonts w:ascii="Century Schoolbook" w:hAnsi="Century Schoolbook"/>
          <w:i/>
          <w:iCs/>
        </w:rPr>
        <w:t>supra</w:t>
      </w:r>
      <w:r w:rsidR="00D0649B">
        <w:rPr>
          <w:rFonts w:ascii="Century Schoolbook" w:hAnsi="Century Schoolbook"/>
        </w:rPr>
        <w:t>,</w:t>
      </w:r>
      <w:r w:rsidRPr="006943D5" w:rsidR="00D0649B">
        <w:rPr>
          <w:rFonts w:ascii="Century Schoolbook" w:hAnsi="Century Schoolbook"/>
        </w:rPr>
        <w:t xml:space="preserve"> 54 Cal. 3d </w:t>
      </w:r>
      <w:r w:rsidR="00D0649B">
        <w:rPr>
          <w:rFonts w:ascii="Century Schoolbook" w:hAnsi="Century Schoolbook"/>
        </w:rPr>
        <w:t>at pp.</w:t>
      </w:r>
      <w:r w:rsidRPr="006943D5" w:rsidR="00D0649B">
        <w:rPr>
          <w:rFonts w:ascii="Century Schoolbook" w:hAnsi="Century Schoolbook"/>
        </w:rPr>
        <w:t xml:space="preserve"> 751–</w:t>
      </w:r>
      <w:r w:rsidR="00D0649B">
        <w:rPr>
          <w:rFonts w:ascii="Century Schoolbook" w:hAnsi="Century Schoolbook"/>
        </w:rPr>
        <w:t>7</w:t>
      </w:r>
      <w:r w:rsidRPr="006943D5" w:rsidR="00D0649B">
        <w:rPr>
          <w:rFonts w:ascii="Century Schoolbook" w:hAnsi="Century Schoolbook"/>
        </w:rPr>
        <w:t>52</w:t>
      </w:r>
      <w:r w:rsidR="00D0649B">
        <w:rPr>
          <w:rFonts w:ascii="Century Schoolbook" w:hAnsi="Century Schoolbook"/>
        </w:rPr>
        <w:t>.</w:t>
      </w:r>
      <w:r w:rsidRPr="006943D5" w:rsidR="00D0649B">
        <w:rPr>
          <w:rFonts w:ascii="Century Schoolbook" w:hAnsi="Century Schoolbook"/>
        </w:rPr>
        <w:t>)</w:t>
      </w:r>
    </w:p>
    <w:p w:rsidR="006E372D" w:rsidRPr="006E372D" w:rsidP="006E372D" w14:paraId="1ECB7A36" w14:textId="6182E53C">
      <w:pPr>
        <w:pStyle w:val="FootnoteText"/>
        <w:spacing w:line="360" w:lineRule="auto"/>
        <w:rPr>
          <w:rFonts w:ascii="Century Schoolbook" w:hAnsi="Century Schoolbook"/>
          <w:sz w:val="26"/>
          <w:szCs w:val="26"/>
        </w:rPr>
      </w:pPr>
      <w:r>
        <w:rPr>
          <w:rFonts w:ascii="Century Schoolbook" w:hAnsi="Century Schoolbook"/>
          <w:sz w:val="26"/>
          <w:szCs w:val="26"/>
        </w:rPr>
        <w:tab/>
      </w:r>
      <w:r w:rsidRPr="006E372D" w:rsidR="006943D5">
        <w:rPr>
          <w:rFonts w:ascii="Century Schoolbook" w:hAnsi="Century Schoolbook"/>
          <w:sz w:val="26"/>
          <w:szCs w:val="26"/>
        </w:rPr>
        <w:t>“On a motion for forum non conveniens</w:t>
      </w:r>
      <w:r w:rsidR="003A18F2">
        <w:rPr>
          <w:rFonts w:ascii="Century Schoolbook" w:hAnsi="Century Schoolbook"/>
          <w:sz w:val="26"/>
          <w:szCs w:val="26"/>
        </w:rPr>
        <w:t>, the</w:t>
      </w:r>
      <w:r w:rsidRPr="006E372D" w:rsidR="006943D5">
        <w:rPr>
          <w:rFonts w:ascii="Century Schoolbook" w:hAnsi="Century Schoolbook"/>
          <w:sz w:val="26"/>
          <w:szCs w:val="26"/>
        </w:rPr>
        <w:t xml:space="preserve"> defendant, as the moving party, bears the burden of proof.  The granting or denial of such a motion is within the trial court’s discretion, and substantial deference is accorded its determination in this regard.  [Citations.]”  (</w:t>
      </w:r>
      <w:r w:rsidRPr="006E372D" w:rsidR="006943D5">
        <w:rPr>
          <w:rFonts w:ascii="Century Schoolbook" w:hAnsi="Century Schoolbook"/>
          <w:i/>
          <w:iCs/>
          <w:sz w:val="26"/>
          <w:szCs w:val="26"/>
        </w:rPr>
        <w:t>Stangvik</w:t>
      </w:r>
      <w:r w:rsidRPr="006E372D" w:rsidR="006943D5">
        <w:rPr>
          <w:rFonts w:ascii="Century Schoolbook" w:hAnsi="Century Schoolbook"/>
          <w:sz w:val="26"/>
          <w:szCs w:val="26"/>
        </w:rPr>
        <w:t xml:space="preserve">, </w:t>
      </w:r>
      <w:r w:rsidRPr="006E372D" w:rsidR="006943D5">
        <w:rPr>
          <w:rFonts w:ascii="Century Schoolbook" w:hAnsi="Century Schoolbook"/>
          <w:i/>
          <w:iCs/>
          <w:sz w:val="26"/>
          <w:szCs w:val="26"/>
        </w:rPr>
        <w:t>supra</w:t>
      </w:r>
      <w:r w:rsidRPr="006E372D" w:rsidR="006943D5">
        <w:rPr>
          <w:rFonts w:ascii="Century Schoolbook" w:hAnsi="Century Schoolbook"/>
          <w:sz w:val="26"/>
          <w:szCs w:val="26"/>
        </w:rPr>
        <w:t>, 54 Cal. 3d at p.</w:t>
      </w:r>
      <w:r w:rsidR="003A18F2">
        <w:rPr>
          <w:rFonts w:ascii="Century Schoolbook" w:hAnsi="Century Schoolbook"/>
          <w:sz w:val="26"/>
          <w:szCs w:val="26"/>
        </w:rPr>
        <w:t> </w:t>
      </w:r>
      <w:r w:rsidRPr="006E372D" w:rsidR="006943D5">
        <w:rPr>
          <w:rFonts w:ascii="Century Schoolbook" w:hAnsi="Century Schoolbook"/>
          <w:sz w:val="26"/>
          <w:szCs w:val="26"/>
        </w:rPr>
        <w:t>752.)</w:t>
      </w:r>
      <w:r w:rsidRPr="006E372D" w:rsidR="00516E0E">
        <w:rPr>
          <w:rFonts w:ascii="Century Schoolbook" w:hAnsi="Century Schoolbook"/>
          <w:sz w:val="26"/>
          <w:szCs w:val="26"/>
        </w:rPr>
        <w:t xml:space="preserve">  </w:t>
      </w:r>
    </w:p>
    <w:p w:rsidR="006A2E05" w:rsidP="006E372D" w14:paraId="4CE03CB6" w14:textId="77777777">
      <w:pPr>
        <w:tabs>
          <w:tab w:val="clear" w:pos="720"/>
        </w:tabs>
        <w:spacing w:line="360" w:lineRule="auto"/>
        <w:ind w:firstLine="720"/>
        <w:rPr>
          <w:rFonts w:ascii="Century Schoolbook" w:hAnsi="Century Schoolbook"/>
        </w:rPr>
      </w:pPr>
      <w:r w:rsidRPr="00F61B9E">
        <w:rPr>
          <w:rFonts w:ascii="Century Schoolbook" w:hAnsi="Century Schoolbook"/>
        </w:rPr>
        <w:t xml:space="preserve">As to what is required to show an abuse of discretion, it has been described </w:t>
      </w:r>
      <w:r w:rsidR="00981C3D">
        <w:rPr>
          <w:rFonts w:ascii="Century Schoolbook" w:hAnsi="Century Schoolbook"/>
        </w:rPr>
        <w:t xml:space="preserve">as </w:t>
      </w:r>
      <w:r w:rsidRPr="00F61B9E">
        <w:rPr>
          <w:rFonts w:ascii="Century Schoolbook" w:hAnsi="Century Schoolbook"/>
        </w:rPr>
        <w:t>a decision that “exceeds the bounds of reason” (</w:t>
      </w:r>
      <w:r w:rsidRPr="00F61B9E">
        <w:rPr>
          <w:rFonts w:ascii="Century Schoolbook" w:hAnsi="Century Schoolbook"/>
          <w:i/>
          <w:iCs/>
        </w:rPr>
        <w:t>People v. Beames</w:t>
      </w:r>
      <w:r w:rsidRPr="00F61B9E">
        <w:rPr>
          <w:rFonts w:ascii="Century Schoolbook" w:hAnsi="Century Schoolbook"/>
        </w:rPr>
        <w:t xml:space="preserve"> (2007) 40 Cal.4th 907, 920) or one that is “arbitrary, capricious, patently absurd, or even whimsical.” </w:t>
      </w:r>
      <w:r>
        <w:rPr>
          <w:rFonts w:ascii="Century Schoolbook" w:hAnsi="Century Schoolbook"/>
        </w:rPr>
        <w:t xml:space="preserve"> </w:t>
      </w:r>
      <w:r w:rsidRPr="00F61B9E">
        <w:rPr>
          <w:rFonts w:ascii="Century Schoolbook" w:hAnsi="Century Schoolbook"/>
        </w:rPr>
        <w:t>(</w:t>
      </w:r>
      <w:r w:rsidRPr="00F61B9E">
        <w:rPr>
          <w:rFonts w:ascii="Century Schoolbook" w:hAnsi="Century Schoolbook"/>
          <w:i/>
          <w:iCs/>
        </w:rPr>
        <w:t>Artus v. Gramercy Towers Condominium Ass</w:t>
      </w:r>
      <w:r w:rsidR="0008527A">
        <w:rPr>
          <w:rFonts w:ascii="Century Schoolbook" w:hAnsi="Century Schoolbook"/>
          <w:i/>
          <w:iCs/>
        </w:rPr>
        <w:t>ociation</w:t>
      </w:r>
      <w:r w:rsidRPr="00F61B9E">
        <w:rPr>
          <w:rFonts w:ascii="Century Schoolbook" w:hAnsi="Century Schoolbook"/>
        </w:rPr>
        <w:t xml:space="preserve"> (2022) 76 Cal.App.5th 1043, 1051.) </w:t>
      </w:r>
      <w:r>
        <w:rPr>
          <w:rFonts w:ascii="Century Schoolbook" w:hAnsi="Century Schoolbook"/>
        </w:rPr>
        <w:t xml:space="preserve"> </w:t>
      </w:r>
      <w:r w:rsidR="00425878">
        <w:rPr>
          <w:rFonts w:ascii="Century Schoolbook" w:hAnsi="Century Schoolbook"/>
        </w:rPr>
        <w:t xml:space="preserve">In the words of </w:t>
      </w:r>
      <w:r w:rsidRPr="00F61B9E">
        <w:rPr>
          <w:rFonts w:ascii="Century Schoolbook" w:hAnsi="Century Schoolbook"/>
        </w:rPr>
        <w:t xml:space="preserve">our Supreme Court, “[a] ruling that constitutes an abuse of discretion has been described as one that is ‘so irrational or arbitrary that no reasonable person could agree with it.’ ” </w:t>
      </w:r>
      <w:r>
        <w:rPr>
          <w:rFonts w:ascii="Century Schoolbook" w:hAnsi="Century Schoolbook"/>
        </w:rPr>
        <w:t xml:space="preserve"> </w:t>
      </w:r>
      <w:r w:rsidRPr="00F61B9E">
        <w:rPr>
          <w:rFonts w:ascii="Century Schoolbook" w:hAnsi="Century Schoolbook"/>
        </w:rPr>
        <w:t>(</w:t>
      </w:r>
      <w:r w:rsidRPr="00F61B9E">
        <w:rPr>
          <w:rFonts w:ascii="Century Schoolbook" w:hAnsi="Century Schoolbook"/>
          <w:i/>
          <w:iCs/>
        </w:rPr>
        <w:t>Sargon Enterprises, Inc. v. University of Southern California</w:t>
      </w:r>
      <w:r w:rsidRPr="00F61B9E">
        <w:rPr>
          <w:rFonts w:ascii="Century Schoolbook" w:hAnsi="Century Schoolbook"/>
        </w:rPr>
        <w:t xml:space="preserve"> (2012) 55 Cal.4th 747, 773.)</w:t>
      </w:r>
      <w:r w:rsidR="005A07AE">
        <w:rPr>
          <w:rFonts w:ascii="Century Schoolbook" w:hAnsi="Century Schoolbook"/>
        </w:rPr>
        <w:t xml:space="preserve">  </w:t>
      </w:r>
    </w:p>
    <w:p w:rsidR="00F61B9E" w:rsidP="006E372D" w14:paraId="23BC3B02" w14:textId="2979EB6C">
      <w:pPr>
        <w:tabs>
          <w:tab w:val="clear" w:pos="720"/>
        </w:tabs>
        <w:spacing w:line="360" w:lineRule="auto"/>
        <w:ind w:firstLine="720"/>
        <w:rPr>
          <w:rFonts w:ascii="Century Schoolbook" w:hAnsi="Century Schoolbook"/>
        </w:rPr>
      </w:pPr>
      <w:r>
        <w:rPr>
          <w:rFonts w:ascii="Century Schoolbook" w:hAnsi="Century Schoolbook"/>
        </w:rPr>
        <w:t>P</w:t>
      </w:r>
      <w:r w:rsidR="005A07AE">
        <w:rPr>
          <w:rFonts w:ascii="Century Schoolbook" w:hAnsi="Century Schoolbook"/>
        </w:rPr>
        <w:t>articularly apt here</w:t>
      </w:r>
      <w:r w:rsidR="005A6B6E">
        <w:rPr>
          <w:rFonts w:ascii="Century Schoolbook" w:hAnsi="Century Schoolbook"/>
        </w:rPr>
        <w:t>—</w:t>
      </w:r>
      <w:r w:rsidR="005A07AE">
        <w:rPr>
          <w:rFonts w:ascii="Century Schoolbook" w:hAnsi="Century Schoolbook"/>
        </w:rPr>
        <w:t>where the issue is an equitable one</w:t>
      </w:r>
      <w:r w:rsidR="00D90024">
        <w:rPr>
          <w:rFonts w:ascii="Century Schoolbook" w:hAnsi="Century Schoolbook"/>
        </w:rPr>
        <w:t>—</w:t>
      </w:r>
      <w:r w:rsidR="006F76AF">
        <w:rPr>
          <w:rFonts w:ascii="Century Schoolbook" w:hAnsi="Century Schoolbook"/>
        </w:rPr>
        <w:t>i</w:t>
      </w:r>
      <w:r w:rsidR="005A07AE">
        <w:rPr>
          <w:rFonts w:ascii="Century Schoolbook" w:hAnsi="Century Schoolbook"/>
        </w:rPr>
        <w:t xml:space="preserve">s our </w:t>
      </w:r>
      <w:r w:rsidR="00913099">
        <w:rPr>
          <w:rFonts w:ascii="Century Schoolbook" w:hAnsi="Century Schoolbook"/>
        </w:rPr>
        <w:t xml:space="preserve">holding </w:t>
      </w:r>
      <w:r w:rsidR="005A07AE">
        <w:rPr>
          <w:rFonts w:ascii="Century Schoolbook" w:hAnsi="Century Schoolbook"/>
        </w:rPr>
        <w:t xml:space="preserve">in </w:t>
      </w:r>
      <w:r w:rsidRPr="006F76AF" w:rsidR="00187085">
        <w:rPr>
          <w:rFonts w:ascii="Century Schoolbook" w:hAnsi="Century Schoolbook"/>
          <w:i/>
          <w:iCs/>
        </w:rPr>
        <w:t>Husain v. California Pacific Bank</w:t>
      </w:r>
      <w:r w:rsidR="00187085">
        <w:rPr>
          <w:rFonts w:ascii="Century Schoolbook" w:hAnsi="Century Schoolbook"/>
        </w:rPr>
        <w:t xml:space="preserve"> (20</w:t>
      </w:r>
      <w:r w:rsidR="006F76AF">
        <w:rPr>
          <w:rFonts w:ascii="Century Schoolbook" w:hAnsi="Century Schoolbook"/>
        </w:rPr>
        <w:t>2</w:t>
      </w:r>
      <w:r w:rsidR="00187085">
        <w:rPr>
          <w:rFonts w:ascii="Century Schoolbook" w:hAnsi="Century Schoolbook"/>
        </w:rPr>
        <w:t xml:space="preserve">1) </w:t>
      </w:r>
      <w:r w:rsidR="006B3F7F">
        <w:rPr>
          <w:rFonts w:ascii="Century Schoolbook" w:hAnsi="Century Schoolbook"/>
        </w:rPr>
        <w:t xml:space="preserve">61 </w:t>
      </w:r>
      <w:r w:rsidR="00187085">
        <w:rPr>
          <w:rFonts w:ascii="Century Schoolbook" w:hAnsi="Century Schoolbook"/>
        </w:rPr>
        <w:t>Cal.App.</w:t>
      </w:r>
      <w:r w:rsidR="006B3F7F">
        <w:rPr>
          <w:rFonts w:ascii="Century Schoolbook" w:hAnsi="Century Schoolbook"/>
        </w:rPr>
        <w:t>5</w:t>
      </w:r>
      <w:r w:rsidR="00187085">
        <w:rPr>
          <w:rFonts w:ascii="Century Schoolbook" w:hAnsi="Century Schoolbook"/>
        </w:rPr>
        <w:t xml:space="preserve">th </w:t>
      </w:r>
      <w:r w:rsidR="006B3F7F">
        <w:rPr>
          <w:rFonts w:ascii="Century Schoolbook" w:hAnsi="Century Schoolbook"/>
        </w:rPr>
        <w:t>717</w:t>
      </w:r>
      <w:r w:rsidR="00187085">
        <w:rPr>
          <w:rFonts w:ascii="Century Schoolbook" w:hAnsi="Century Schoolbook"/>
        </w:rPr>
        <w:t>, 7</w:t>
      </w:r>
      <w:r w:rsidR="006B3F7F">
        <w:rPr>
          <w:rFonts w:ascii="Century Schoolbook" w:hAnsi="Century Schoolbook"/>
        </w:rPr>
        <w:t>27</w:t>
      </w:r>
      <w:r w:rsidR="00187085">
        <w:rPr>
          <w:rFonts w:ascii="Century Schoolbook" w:hAnsi="Century Schoolbook"/>
        </w:rPr>
        <w:t xml:space="preserve">, </w:t>
      </w:r>
      <w:r w:rsidR="000D39F2">
        <w:rPr>
          <w:rFonts w:ascii="Century Schoolbook" w:hAnsi="Century Schoolbook"/>
        </w:rPr>
        <w:t xml:space="preserve">where, quoting our Division Four colleagues in </w:t>
      </w:r>
      <w:r w:rsidR="000D39F2">
        <w:rPr>
          <w:rFonts w:ascii="Century Schoolbook" w:hAnsi="Century Schoolbook"/>
          <w:i/>
          <w:iCs/>
        </w:rPr>
        <w:t xml:space="preserve">Richardson v. Franc </w:t>
      </w:r>
      <w:r w:rsidR="000D39F2">
        <w:rPr>
          <w:rFonts w:ascii="Century Schoolbook" w:hAnsi="Century Schoolbook"/>
        </w:rPr>
        <w:t xml:space="preserve">(2015) 233 Cal.App.4th 744, 751, </w:t>
      </w:r>
      <w:r w:rsidR="00187085">
        <w:rPr>
          <w:rFonts w:ascii="Century Schoolbook" w:hAnsi="Century Schoolbook"/>
        </w:rPr>
        <w:t xml:space="preserve">we said:  “ ‘After the trial court has exercised its equitable powers, the appellate court reviews the judgment under the abuse of discretion standard.  [Citation.]  “Under that standard, we resolve all evidentiary conflicts in favor of the judgment and determine whether the trial court’s decision ‘ “falls within the permissible range of options set by the legal criteria.” ’ ” ’ ”  </w:t>
      </w:r>
    </w:p>
    <w:p w:rsidR="00825615" w:rsidP="009E104E" w14:paraId="56A05F80" w14:textId="79EC4088">
      <w:pPr>
        <w:tabs>
          <w:tab w:val="clear" w:pos="720"/>
        </w:tabs>
        <w:spacing w:after="120" w:line="240" w:lineRule="auto"/>
        <w:ind w:firstLine="720"/>
        <w:rPr>
          <w:rFonts w:ascii="Century Schoolbook" w:hAnsi="Century Schoolbook"/>
        </w:rPr>
      </w:pPr>
      <w:r>
        <w:rPr>
          <w:rFonts w:ascii="Century Schoolbook" w:hAnsi="Century Schoolbook"/>
          <w:b/>
          <w:bCs/>
        </w:rPr>
        <w:t xml:space="preserve">The Alternative </w:t>
      </w:r>
      <w:r w:rsidR="006E372D">
        <w:rPr>
          <w:rFonts w:ascii="Century Schoolbook" w:hAnsi="Century Schoolbook"/>
          <w:b/>
          <w:bCs/>
        </w:rPr>
        <w:t xml:space="preserve">Fora </w:t>
      </w:r>
      <w:r>
        <w:rPr>
          <w:rFonts w:ascii="Century Schoolbook" w:hAnsi="Century Schoolbook"/>
          <w:b/>
          <w:bCs/>
        </w:rPr>
        <w:t>are Suitable</w:t>
      </w:r>
    </w:p>
    <w:p w:rsidR="009E104E" w:rsidP="009E104E" w14:paraId="22DB6726" w14:textId="4A3C77F8">
      <w:pPr>
        <w:tabs>
          <w:tab w:val="clear" w:pos="720"/>
        </w:tabs>
        <w:spacing w:line="360" w:lineRule="auto"/>
        <w:ind w:firstLine="720"/>
        <w:rPr>
          <w:rFonts w:ascii="Century Schoolbook" w:hAnsi="Century Schoolbook"/>
        </w:rPr>
      </w:pPr>
      <w:r>
        <w:rPr>
          <w:rFonts w:ascii="Century Schoolbook" w:hAnsi="Century Schoolbook"/>
        </w:rPr>
        <w:t xml:space="preserve">Plaintiffs’ first argument is that Judge Schulman “failed to ensure that a suitable </w:t>
      </w:r>
      <w:r w:rsidR="00EC74DE">
        <w:rPr>
          <w:rFonts w:ascii="Century Schoolbook" w:hAnsi="Century Schoolbook"/>
        </w:rPr>
        <w:t xml:space="preserve">alternative </w:t>
      </w:r>
      <w:r>
        <w:rPr>
          <w:rFonts w:ascii="Century Schoolbook" w:hAnsi="Century Schoolbook"/>
        </w:rPr>
        <w:t xml:space="preserve">forum existed for all affected cases.” </w:t>
      </w:r>
      <w:r w:rsidR="00056B57">
        <w:rPr>
          <w:rFonts w:ascii="Century Schoolbook" w:hAnsi="Century Schoolbook"/>
        </w:rPr>
        <w:t xml:space="preserve"> Th</w:t>
      </w:r>
      <w:r w:rsidR="006E372D">
        <w:rPr>
          <w:rFonts w:ascii="Century Schoolbook" w:hAnsi="Century Schoolbook"/>
        </w:rPr>
        <w:t>e</w:t>
      </w:r>
      <w:r w:rsidR="00056B57">
        <w:rPr>
          <w:rFonts w:ascii="Century Schoolbook" w:hAnsi="Century Schoolbook"/>
        </w:rPr>
        <w:t xml:space="preserve"> argument come</w:t>
      </w:r>
      <w:r w:rsidR="006E372D">
        <w:rPr>
          <w:rFonts w:ascii="Century Schoolbook" w:hAnsi="Century Schoolbook"/>
        </w:rPr>
        <w:t>s</w:t>
      </w:r>
      <w:r w:rsidR="00056B57">
        <w:rPr>
          <w:rFonts w:ascii="Century Schoolbook" w:hAnsi="Century Schoolbook"/>
        </w:rPr>
        <w:t xml:space="preserve"> late in the game—and ignores what occurred below.</w:t>
      </w:r>
    </w:p>
    <w:p w:rsidR="009E104E" w:rsidP="009E104E" w14:paraId="6E060F59" w14:textId="1EF42A91">
      <w:pPr>
        <w:tabs>
          <w:tab w:val="clear" w:pos="720"/>
        </w:tabs>
        <w:spacing w:line="360" w:lineRule="auto"/>
        <w:ind w:firstLine="720"/>
        <w:rPr>
          <w:rFonts w:ascii="Century Schoolbook" w:hAnsi="Century Schoolbook"/>
        </w:rPr>
      </w:pPr>
      <w:r>
        <w:rPr>
          <w:rFonts w:ascii="Century Schoolbook" w:hAnsi="Century Schoolbook"/>
        </w:rPr>
        <w:t>As noted above, the issue of a suitable alternative forum was teed up in a straightforward way.</w:t>
      </w:r>
      <w:r w:rsidR="003D4F53">
        <w:rPr>
          <w:rFonts w:ascii="Century Schoolbook" w:hAnsi="Century Schoolbook"/>
        </w:rPr>
        <w:t xml:space="preserve">  As Uber put it in its</w:t>
      </w:r>
      <w:r w:rsidR="00454835">
        <w:rPr>
          <w:rFonts w:ascii="Century Schoolbook" w:hAnsi="Century Schoolbook"/>
        </w:rPr>
        <w:t xml:space="preserve"> memorandum </w:t>
      </w:r>
      <w:r w:rsidR="00AF60C1">
        <w:rPr>
          <w:rFonts w:ascii="Century Schoolbook" w:hAnsi="Century Schoolbook"/>
        </w:rPr>
        <w:t>of points and authorities</w:t>
      </w:r>
      <w:r w:rsidR="00454835">
        <w:rPr>
          <w:rFonts w:ascii="Century Schoolbook" w:hAnsi="Century Schoolbook"/>
        </w:rPr>
        <w:t xml:space="preserve">:  </w:t>
      </w:r>
      <w:r w:rsidRPr="00924E6D" w:rsidR="00924E6D">
        <w:rPr>
          <w:rFonts w:ascii="Century Schoolbook" w:hAnsi="Century Schoolbook"/>
        </w:rPr>
        <w:t>“</w:t>
      </w:r>
      <w:r w:rsidR="00454835">
        <w:rPr>
          <w:rFonts w:ascii="Century Schoolbook" w:hAnsi="Century Schoolbook"/>
        </w:rPr>
        <w:t xml:space="preserve">As to Uber, were there any doubt, Uber would stipulate to the jurisdiction of the Hawaii courts in this case. . . . </w:t>
      </w:r>
      <w:r w:rsidR="00ED61FB">
        <w:rPr>
          <w:rFonts w:ascii="Century Schoolbook" w:hAnsi="Century Schoolbook"/>
        </w:rPr>
        <w:t xml:space="preserve"> </w:t>
      </w:r>
      <w:r w:rsidR="00B17F68">
        <w:rPr>
          <w:rFonts w:ascii="Century Schoolbook" w:hAnsi="Century Schoolbook"/>
        </w:rPr>
        <w:t xml:space="preserve">[¶]  </w:t>
      </w:r>
      <w:r w:rsidR="00454835">
        <w:rPr>
          <w:rFonts w:ascii="Century Schoolbook" w:hAnsi="Century Schoolbook"/>
        </w:rPr>
        <w:t xml:space="preserve">Nor will the Hawaii statute of limitations bar Plaintiff from bringing her claims in Hawaii.  </w:t>
      </w:r>
      <w:r w:rsidRPr="00924E6D" w:rsidR="00924E6D">
        <w:rPr>
          <w:rFonts w:ascii="Century Schoolbook" w:hAnsi="Century Schoolbook"/>
        </w:rPr>
        <w:t xml:space="preserve">Uber is willing to stipulate to toll the statute of limitations beginning on the date of filing of its October 18, 2021 Motion to Stay or Dismiss Based on </w:t>
      </w:r>
      <w:r w:rsidRPr="00454835" w:rsidR="00924E6D">
        <w:rPr>
          <w:rFonts w:ascii="Century Schoolbook" w:hAnsi="Century Schoolbook"/>
          <w:i/>
          <w:iCs/>
        </w:rPr>
        <w:t>Forum Non Conveniens</w:t>
      </w:r>
      <w:r w:rsidRPr="00924E6D" w:rsidR="00924E6D">
        <w:rPr>
          <w:rFonts w:ascii="Century Schoolbook" w:hAnsi="Century Schoolbook"/>
        </w:rPr>
        <w:t>.</w:t>
      </w:r>
      <w:r w:rsidR="00454835">
        <w:rPr>
          <w:rFonts w:ascii="Century Schoolbook" w:hAnsi="Century Schoolbook"/>
        </w:rPr>
        <w:t xml:space="preserve">  </w:t>
      </w:r>
      <w:r w:rsidRPr="00454835" w:rsidR="00454835">
        <w:rPr>
          <w:rFonts w:ascii="Century Schoolbook" w:hAnsi="Century Schoolbook"/>
        </w:rPr>
        <w:t>Accordingly,</w:t>
      </w:r>
      <w:r w:rsidR="00454835">
        <w:rPr>
          <w:rFonts w:ascii="Century Schoolbook" w:hAnsi="Century Schoolbook"/>
        </w:rPr>
        <w:t xml:space="preserve"> </w:t>
      </w:r>
      <w:r w:rsidRPr="00454835" w:rsidR="00454835">
        <w:rPr>
          <w:rFonts w:ascii="Century Schoolbook" w:hAnsi="Century Schoolbook"/>
        </w:rPr>
        <w:t>under the two-year statute of limitations that typically applies to personal injury claims like this</w:t>
      </w:r>
      <w:r w:rsidR="00454835">
        <w:rPr>
          <w:rFonts w:ascii="Century Schoolbook" w:hAnsi="Century Schoolbook"/>
        </w:rPr>
        <w:t xml:space="preserve"> </w:t>
      </w:r>
      <w:r w:rsidRPr="00454835" w:rsidR="00454835">
        <w:rPr>
          <w:rFonts w:ascii="Century Schoolbook" w:hAnsi="Century Schoolbook"/>
        </w:rPr>
        <w:t>one under Hawaii law, Plaintiff would have nearly three months before her claims become time</w:t>
      </w:r>
      <w:r w:rsidR="00454835">
        <w:rPr>
          <w:rFonts w:ascii="Century Schoolbook" w:hAnsi="Century Schoolbook"/>
        </w:rPr>
        <w:t xml:space="preserve"> </w:t>
      </w:r>
      <w:r w:rsidRPr="00454835" w:rsidR="00454835">
        <w:rPr>
          <w:rFonts w:ascii="Century Schoolbook" w:hAnsi="Century Schoolbook"/>
        </w:rPr>
        <w:t xml:space="preserve">barred. </w:t>
      </w:r>
      <w:r w:rsidR="00454835">
        <w:rPr>
          <w:rFonts w:ascii="Century Schoolbook" w:hAnsi="Century Schoolbook"/>
        </w:rPr>
        <w:t xml:space="preserve"> </w:t>
      </w:r>
      <w:r w:rsidRPr="00454835" w:rsidR="00454835">
        <w:rPr>
          <w:rFonts w:ascii="Century Schoolbook" w:hAnsi="Century Schoolbook"/>
        </w:rPr>
        <w:t>Haw. Rev. Stat. § 657-7.</w:t>
      </w:r>
      <w:r w:rsidRPr="00924E6D" w:rsidR="00924E6D">
        <w:rPr>
          <w:rFonts w:ascii="Century Schoolbook" w:hAnsi="Century Schoolbook"/>
        </w:rPr>
        <w:t xml:space="preserve">”  </w:t>
      </w:r>
      <w:r w:rsidR="00AF60C1">
        <w:rPr>
          <w:rFonts w:ascii="Century Schoolbook" w:hAnsi="Century Schoolbook"/>
        </w:rPr>
        <w:t xml:space="preserve">And with respect to Jane Doe </w:t>
      </w:r>
      <w:r w:rsidRPr="00924E6D" w:rsidR="00924E6D">
        <w:rPr>
          <w:rFonts w:ascii="Century Schoolbook" w:hAnsi="Century Schoolbook"/>
        </w:rPr>
        <w:t>LSA 35</w:t>
      </w:r>
      <w:r w:rsidR="00AF60C1">
        <w:rPr>
          <w:rFonts w:ascii="Century Schoolbook" w:hAnsi="Century Schoolbook"/>
        </w:rPr>
        <w:t>’s claims</w:t>
      </w:r>
      <w:r w:rsidRPr="00924E6D" w:rsidR="00924E6D">
        <w:rPr>
          <w:rFonts w:ascii="Century Schoolbook" w:hAnsi="Century Schoolbook"/>
        </w:rPr>
        <w:t xml:space="preserve">, </w:t>
      </w:r>
      <w:r w:rsidR="00A75E9E">
        <w:rPr>
          <w:rFonts w:ascii="Century Schoolbook" w:hAnsi="Century Schoolbook"/>
        </w:rPr>
        <w:t>Uber’s memorandum</w:t>
      </w:r>
      <w:r w:rsidRPr="00924E6D" w:rsidR="00924E6D">
        <w:rPr>
          <w:rFonts w:ascii="Century Schoolbook" w:hAnsi="Century Schoolbook"/>
        </w:rPr>
        <w:t xml:space="preserve"> </w:t>
      </w:r>
      <w:r w:rsidR="00AF60C1">
        <w:rPr>
          <w:rFonts w:ascii="Century Schoolbook" w:hAnsi="Century Schoolbook"/>
        </w:rPr>
        <w:t xml:space="preserve">of points and authorities </w:t>
      </w:r>
      <w:r w:rsidRPr="00924E6D" w:rsidR="00924E6D">
        <w:rPr>
          <w:rFonts w:ascii="Century Schoolbook" w:hAnsi="Century Schoolbook"/>
        </w:rPr>
        <w:t xml:space="preserve">stated:  </w:t>
      </w:r>
      <w:r w:rsidR="00A75E9E">
        <w:rPr>
          <w:rFonts w:ascii="Century Schoolbook" w:hAnsi="Century Schoolbook"/>
        </w:rPr>
        <w:t>“</w:t>
      </w:r>
      <w:r w:rsidRPr="00A75E9E" w:rsidR="00A75E9E">
        <w:rPr>
          <w:rFonts w:ascii="Century Schoolbook" w:hAnsi="Century Schoolbook"/>
        </w:rPr>
        <w:t>There is no dispute that the Texas courts will be able to exercise personal jurisdiction over</w:t>
      </w:r>
      <w:r w:rsidR="00A75E9E">
        <w:rPr>
          <w:rFonts w:ascii="Century Schoolbook" w:hAnsi="Century Schoolbook"/>
        </w:rPr>
        <w:t xml:space="preserve"> </w:t>
      </w:r>
      <w:r w:rsidRPr="00A75E9E" w:rsidR="00A75E9E">
        <w:rPr>
          <w:rFonts w:ascii="Century Schoolbook" w:hAnsi="Century Schoolbook"/>
        </w:rPr>
        <w:t xml:space="preserve">Uber in this matter. </w:t>
      </w:r>
      <w:r w:rsidR="00A75E9E">
        <w:rPr>
          <w:rFonts w:ascii="Century Schoolbook" w:hAnsi="Century Schoolbook"/>
        </w:rPr>
        <w:t xml:space="preserve"> </w:t>
      </w:r>
      <w:r w:rsidRPr="00A75E9E" w:rsidR="00A75E9E">
        <w:rPr>
          <w:rFonts w:ascii="Century Schoolbook" w:hAnsi="Century Schoolbook"/>
        </w:rPr>
        <w:t>Were there any doubt, Uber would stipulate to the jurisdiction of the Texas</w:t>
      </w:r>
      <w:r w:rsidR="00A75E9E">
        <w:rPr>
          <w:rFonts w:ascii="Century Schoolbook" w:hAnsi="Century Schoolbook"/>
        </w:rPr>
        <w:t xml:space="preserve"> </w:t>
      </w:r>
      <w:r w:rsidRPr="00A75E9E" w:rsidR="00A75E9E">
        <w:rPr>
          <w:rFonts w:ascii="Century Schoolbook" w:hAnsi="Century Schoolbook"/>
        </w:rPr>
        <w:t>courts in this case</w:t>
      </w:r>
      <w:r w:rsidR="00A75E9E">
        <w:rPr>
          <w:rFonts w:ascii="Century Schoolbook" w:hAnsi="Century Schoolbook"/>
        </w:rPr>
        <w:t xml:space="preserve">. . . . </w:t>
      </w:r>
      <w:r w:rsidRPr="00A75E9E" w:rsidR="00A75E9E">
        <w:rPr>
          <w:rFonts w:ascii="Century Schoolbook" w:hAnsi="Century Schoolbook"/>
        </w:rPr>
        <w:t xml:space="preserve"> Likewise, in the event this motion is granted, Uber would stipulate to toll the applicable</w:t>
      </w:r>
      <w:r w:rsidR="00A75E9E">
        <w:rPr>
          <w:rFonts w:ascii="Century Schoolbook" w:hAnsi="Century Schoolbook"/>
        </w:rPr>
        <w:t xml:space="preserve"> </w:t>
      </w:r>
      <w:r w:rsidRPr="00A75E9E" w:rsidR="00A75E9E">
        <w:rPr>
          <w:rFonts w:ascii="Century Schoolbook" w:hAnsi="Century Schoolbook"/>
        </w:rPr>
        <w:t xml:space="preserve">statutes of limitations in this action from the date Plaintiff filed her complaint in </w:t>
      </w:r>
      <w:r w:rsidRPr="00A75E9E" w:rsidR="00A75E9E">
        <w:rPr>
          <w:rFonts w:ascii="Century Schoolbook" w:hAnsi="Century Schoolbook"/>
          <w:i/>
          <w:iCs/>
        </w:rPr>
        <w:t>Jane Doe LSA 35 v. Uber Techs., Inc.</w:t>
      </w:r>
      <w:r w:rsidRPr="00A75E9E" w:rsidR="00A75E9E">
        <w:rPr>
          <w:rFonts w:ascii="Century Schoolbook" w:hAnsi="Century Schoolbook"/>
        </w:rPr>
        <w:t>, CGC-21-592274 (June 16, 2021) until Plaintiff re-files her complaint in Texas</w:t>
      </w:r>
      <w:r w:rsidR="00A75E9E">
        <w:rPr>
          <w:rFonts w:ascii="Century Schoolbook" w:hAnsi="Century Schoolbook"/>
        </w:rPr>
        <w:t xml:space="preserve"> </w:t>
      </w:r>
      <w:r w:rsidRPr="00A75E9E" w:rsidR="00A75E9E">
        <w:rPr>
          <w:rFonts w:ascii="Century Schoolbook" w:hAnsi="Century Schoolbook"/>
        </w:rPr>
        <w:t xml:space="preserve">and would stipulate to all similarly situated cases within Category 1. </w:t>
      </w:r>
      <w:r w:rsidR="00A75E9E">
        <w:rPr>
          <w:rFonts w:ascii="Century Schoolbook" w:hAnsi="Century Schoolbook"/>
        </w:rPr>
        <w:t xml:space="preserve"> </w:t>
      </w:r>
      <w:r w:rsidRPr="00A75E9E" w:rsidR="00A75E9E">
        <w:rPr>
          <w:rFonts w:ascii="Century Schoolbook" w:hAnsi="Century Schoolbook"/>
        </w:rPr>
        <w:t>Tolling stipulations like this</w:t>
      </w:r>
      <w:r w:rsidR="00A75E9E">
        <w:rPr>
          <w:rFonts w:ascii="Century Schoolbook" w:hAnsi="Century Schoolbook"/>
        </w:rPr>
        <w:t xml:space="preserve"> </w:t>
      </w:r>
      <w:r w:rsidRPr="00A75E9E" w:rsidR="00A75E9E">
        <w:rPr>
          <w:rFonts w:ascii="Century Schoolbook" w:hAnsi="Century Schoolbook"/>
        </w:rPr>
        <w:t xml:space="preserve">are routinely accepted by California courts. </w:t>
      </w:r>
      <w:r w:rsidR="00A75E9E">
        <w:rPr>
          <w:rFonts w:ascii="Century Schoolbook" w:hAnsi="Century Schoolbook"/>
        </w:rPr>
        <w:t xml:space="preserve"> </w:t>
      </w:r>
      <w:r w:rsidRPr="00A75E9E" w:rsidR="00A75E9E">
        <w:rPr>
          <w:rFonts w:ascii="Century Schoolbook" w:hAnsi="Century Schoolbook"/>
        </w:rPr>
        <w:t xml:space="preserve">See, e.g., </w:t>
      </w:r>
      <w:r w:rsidRPr="00A75E9E" w:rsidR="00A75E9E">
        <w:rPr>
          <w:rFonts w:ascii="Century Schoolbook" w:hAnsi="Century Schoolbook"/>
          <w:i/>
          <w:iCs/>
        </w:rPr>
        <w:t>Hahn</w:t>
      </w:r>
      <w:r w:rsidR="00CD7DD9">
        <w:rPr>
          <w:rFonts w:ascii="Century Schoolbook" w:hAnsi="Century Schoolbook"/>
        </w:rPr>
        <w:t>,</w:t>
      </w:r>
      <w:r w:rsidR="00AF60C1">
        <w:rPr>
          <w:rFonts w:ascii="Century Schoolbook" w:hAnsi="Century Schoolbook"/>
          <w:i/>
          <w:iCs/>
        </w:rPr>
        <w:t xml:space="preserve"> </w:t>
      </w:r>
      <w:r w:rsidRPr="00A75E9E" w:rsidR="00A75E9E">
        <w:rPr>
          <w:rFonts w:ascii="Century Schoolbook" w:hAnsi="Century Schoolbook"/>
        </w:rPr>
        <w:t xml:space="preserve">194 Cal.App.4th </w:t>
      </w:r>
      <w:r w:rsidR="00CD7DD9">
        <w:rPr>
          <w:rFonts w:ascii="Century Schoolbook" w:hAnsi="Century Schoolbook"/>
        </w:rPr>
        <w:t>at</w:t>
      </w:r>
      <w:r w:rsidRPr="00A75E9E" w:rsidR="00A75E9E">
        <w:rPr>
          <w:rFonts w:ascii="Century Schoolbook" w:hAnsi="Century Schoolbook"/>
        </w:rPr>
        <w:t xml:space="preserve"> 1190. </w:t>
      </w:r>
      <w:r w:rsidR="00F85124">
        <w:rPr>
          <w:rFonts w:ascii="Century Schoolbook" w:hAnsi="Century Schoolbook"/>
        </w:rPr>
        <w:t xml:space="preserve"> </w:t>
      </w:r>
      <w:r w:rsidRPr="00A75E9E" w:rsidR="00A75E9E">
        <w:rPr>
          <w:rFonts w:ascii="Century Schoolbook" w:hAnsi="Century Schoolbook"/>
        </w:rPr>
        <w:t>Thus, no</w:t>
      </w:r>
      <w:r w:rsidR="00A75E9E">
        <w:rPr>
          <w:rFonts w:ascii="Century Schoolbook" w:hAnsi="Century Schoolbook"/>
        </w:rPr>
        <w:t xml:space="preserve"> </w:t>
      </w:r>
      <w:r w:rsidRPr="00A75E9E" w:rsidR="00A75E9E">
        <w:rPr>
          <w:rFonts w:ascii="Century Schoolbook" w:hAnsi="Century Schoolbook"/>
        </w:rPr>
        <w:t>Texas statute of limitations will bar Plaintiff from bringing claims that were timely filed in the</w:t>
      </w:r>
      <w:r w:rsidR="00A75E9E">
        <w:rPr>
          <w:rFonts w:ascii="Century Schoolbook" w:hAnsi="Century Schoolbook"/>
        </w:rPr>
        <w:t xml:space="preserve"> </w:t>
      </w:r>
      <w:r w:rsidRPr="00A75E9E" w:rsidR="00A75E9E">
        <w:rPr>
          <w:rFonts w:ascii="Century Schoolbook" w:hAnsi="Century Schoolbook"/>
        </w:rPr>
        <w:t>California court.</w:t>
      </w:r>
      <w:r w:rsidR="00A75E9E">
        <w:rPr>
          <w:rFonts w:ascii="Century Schoolbook" w:hAnsi="Century Schoolbook"/>
        </w:rPr>
        <w:t xml:space="preserve">” </w:t>
      </w:r>
    </w:p>
    <w:p w:rsidR="00FE50FE" w:rsidP="00FE50FE" w14:paraId="2D737FB9" w14:textId="41699844">
      <w:pPr>
        <w:tabs>
          <w:tab w:val="clear" w:pos="720"/>
        </w:tabs>
        <w:spacing w:line="360" w:lineRule="auto"/>
        <w:ind w:firstLine="720"/>
        <w:rPr>
          <w:rFonts w:ascii="Century Schoolbook" w:hAnsi="Century Schoolbook"/>
        </w:rPr>
      </w:pPr>
      <w:r>
        <w:rPr>
          <w:rFonts w:ascii="Century Schoolbook" w:hAnsi="Century Schoolbook"/>
        </w:rPr>
        <w:t>In response</w:t>
      </w:r>
      <w:r w:rsidR="00F85124">
        <w:rPr>
          <w:rFonts w:ascii="Century Schoolbook" w:hAnsi="Century Schoolbook"/>
        </w:rPr>
        <w:t xml:space="preserve">, Jane Doe </w:t>
      </w:r>
      <w:r w:rsidR="00147FC8">
        <w:rPr>
          <w:rFonts w:ascii="Century Schoolbook" w:hAnsi="Century Schoolbook"/>
        </w:rPr>
        <w:t>WHBE 3</w:t>
      </w:r>
      <w:r w:rsidR="00F85124">
        <w:rPr>
          <w:rFonts w:ascii="Century Schoolbook" w:hAnsi="Century Schoolbook"/>
        </w:rPr>
        <w:t>’s</w:t>
      </w:r>
      <w:r w:rsidR="00147FC8">
        <w:rPr>
          <w:rFonts w:ascii="Century Schoolbook" w:hAnsi="Century Schoolbook"/>
        </w:rPr>
        <w:t xml:space="preserve"> opposition </w:t>
      </w:r>
      <w:r w:rsidR="00913099">
        <w:rPr>
          <w:rFonts w:ascii="Century Schoolbook" w:hAnsi="Century Schoolbook"/>
        </w:rPr>
        <w:t xml:space="preserve">admitted that </w:t>
      </w:r>
      <w:r w:rsidR="00147FC8">
        <w:rPr>
          <w:rFonts w:ascii="Century Schoolbook" w:hAnsi="Century Schoolbook"/>
        </w:rPr>
        <w:t xml:space="preserve">“Ms. Doe doesn’t deny that Hawaii is a suitable forum—given Uber’s statement that it will toll the statute of limitations.”  And </w:t>
      </w:r>
      <w:r w:rsidR="00F85124">
        <w:rPr>
          <w:rFonts w:ascii="Century Schoolbook" w:hAnsi="Century Schoolbook"/>
        </w:rPr>
        <w:t>Jane Doe</w:t>
      </w:r>
      <w:r w:rsidR="00147FC8">
        <w:rPr>
          <w:rFonts w:ascii="Century Schoolbook" w:hAnsi="Century Schoolbook"/>
        </w:rPr>
        <w:t xml:space="preserve"> </w:t>
      </w:r>
      <w:r w:rsidR="000E2EE2">
        <w:rPr>
          <w:rFonts w:ascii="Century Schoolbook" w:hAnsi="Century Schoolbook"/>
        </w:rPr>
        <w:t>LSA 35</w:t>
      </w:r>
      <w:r w:rsidR="00F85124">
        <w:rPr>
          <w:rFonts w:ascii="Century Schoolbook" w:hAnsi="Century Schoolbook"/>
        </w:rPr>
        <w:t>’s</w:t>
      </w:r>
      <w:r w:rsidR="000E2EE2">
        <w:rPr>
          <w:rFonts w:ascii="Century Schoolbook" w:hAnsi="Century Schoolbook"/>
        </w:rPr>
        <w:t xml:space="preserve"> opposition </w:t>
      </w:r>
      <w:r w:rsidR="00187085">
        <w:rPr>
          <w:rFonts w:ascii="Century Schoolbook" w:hAnsi="Century Schoolbook"/>
        </w:rPr>
        <w:t>did</w:t>
      </w:r>
      <w:r w:rsidR="000E2EE2">
        <w:rPr>
          <w:rFonts w:ascii="Century Schoolbook" w:hAnsi="Century Schoolbook"/>
        </w:rPr>
        <w:t xml:space="preserve"> not </w:t>
      </w:r>
      <w:r w:rsidR="00F85124">
        <w:rPr>
          <w:rFonts w:ascii="Century Schoolbook" w:hAnsi="Century Schoolbook"/>
        </w:rPr>
        <w:t>discuss</w:t>
      </w:r>
      <w:r w:rsidR="000E2EE2">
        <w:rPr>
          <w:rFonts w:ascii="Century Schoolbook" w:hAnsi="Century Schoolbook"/>
        </w:rPr>
        <w:t xml:space="preserve"> whether Texas is a suitable alternative forum at all</w:t>
      </w:r>
      <w:r w:rsidR="00F85124">
        <w:rPr>
          <w:rFonts w:ascii="Century Schoolbook" w:hAnsi="Century Schoolbook"/>
        </w:rPr>
        <w:t>.</w:t>
      </w:r>
      <w:r w:rsidR="000E2EE2">
        <w:rPr>
          <w:rFonts w:ascii="Century Schoolbook" w:hAnsi="Century Schoolbook"/>
        </w:rPr>
        <w:t xml:space="preserve"> </w:t>
      </w:r>
      <w:r w:rsidR="00F85124">
        <w:rPr>
          <w:rFonts w:ascii="Century Schoolbook" w:hAnsi="Century Schoolbook"/>
        </w:rPr>
        <w:t xml:space="preserve"> </w:t>
      </w:r>
      <w:r w:rsidR="00036B99">
        <w:rPr>
          <w:rFonts w:ascii="Century Schoolbook" w:hAnsi="Century Schoolbook"/>
        </w:rPr>
        <w:t>A</w:t>
      </w:r>
      <w:r w:rsidR="00C51235">
        <w:rPr>
          <w:rFonts w:ascii="Century Schoolbook" w:hAnsi="Century Schoolbook"/>
        </w:rPr>
        <w:t>nd</w:t>
      </w:r>
      <w:r w:rsidR="00036B99">
        <w:rPr>
          <w:rFonts w:ascii="Century Schoolbook" w:hAnsi="Century Schoolbook"/>
        </w:rPr>
        <w:t xml:space="preserve"> </w:t>
      </w:r>
      <w:r w:rsidR="00913099">
        <w:rPr>
          <w:rFonts w:ascii="Century Schoolbook" w:hAnsi="Century Schoolbook"/>
        </w:rPr>
        <w:t xml:space="preserve">as </w:t>
      </w:r>
      <w:r w:rsidR="00187085">
        <w:rPr>
          <w:rFonts w:ascii="Century Schoolbook" w:hAnsi="Century Schoolbook"/>
        </w:rPr>
        <w:t>quoted</w:t>
      </w:r>
      <w:r w:rsidR="00151C2E">
        <w:rPr>
          <w:rFonts w:ascii="Century Schoolbook" w:hAnsi="Century Schoolbook"/>
        </w:rPr>
        <w:t xml:space="preserve"> </w:t>
      </w:r>
      <w:r w:rsidR="00C51235">
        <w:rPr>
          <w:rFonts w:ascii="Century Schoolbook" w:hAnsi="Century Schoolbook"/>
        </w:rPr>
        <w:t>above</w:t>
      </w:r>
      <w:r w:rsidR="00036B99">
        <w:rPr>
          <w:rFonts w:ascii="Century Schoolbook" w:hAnsi="Century Schoolbook"/>
        </w:rPr>
        <w:t xml:space="preserve">, </w:t>
      </w:r>
      <w:r w:rsidR="00307A66">
        <w:rPr>
          <w:rFonts w:ascii="Century Schoolbook" w:hAnsi="Century Schoolbook"/>
        </w:rPr>
        <w:t>Judge Schulman</w:t>
      </w:r>
      <w:r w:rsidRPr="00E60BBB" w:rsidR="00E60BBB">
        <w:rPr>
          <w:rFonts w:ascii="Century Schoolbook" w:hAnsi="Century Schoolbook"/>
        </w:rPr>
        <w:t xml:space="preserve"> </w:t>
      </w:r>
      <w:r>
        <w:rPr>
          <w:rFonts w:ascii="Century Schoolbook" w:hAnsi="Century Schoolbook"/>
        </w:rPr>
        <w:t>concluded</w:t>
      </w:r>
      <w:r w:rsidRPr="00E60BBB" w:rsidR="00E60BBB">
        <w:rPr>
          <w:rFonts w:ascii="Century Schoolbook" w:hAnsi="Century Schoolbook"/>
        </w:rPr>
        <w:t>:  “</w:t>
      </w:r>
      <w:r w:rsidR="00F0674F">
        <w:rPr>
          <w:rFonts w:ascii="Century Schoolbook" w:hAnsi="Century Schoolbook"/>
        </w:rPr>
        <w:t> </w:t>
      </w:r>
      <w:r w:rsidRPr="00E60BBB" w:rsidR="00E60BBB">
        <w:rPr>
          <w:rFonts w:ascii="Century Schoolbook" w:hAnsi="Century Schoolbook"/>
        </w:rPr>
        <w:t>‘It is well settled under California law that the moving parties satisfy their burden on the threshold suitability issue by stipulating to submit to the jurisdiction of the alternative forum and to waive any applicable statute of limitations.’  (</w:t>
      </w:r>
      <w:r w:rsidRPr="00E60BBB" w:rsidR="00E60BBB">
        <w:rPr>
          <w:rFonts w:ascii="Century Schoolbook" w:hAnsi="Century Schoolbook"/>
          <w:i/>
          <w:iCs/>
        </w:rPr>
        <w:t>Hahn</w:t>
      </w:r>
      <w:r w:rsidR="00CD7DD9">
        <w:rPr>
          <w:rFonts w:ascii="Century Schoolbook" w:hAnsi="Century Schoolbook"/>
        </w:rPr>
        <w:t>,</w:t>
      </w:r>
      <w:r w:rsidRPr="00E60BBB" w:rsidR="00E60BBB">
        <w:rPr>
          <w:rFonts w:ascii="Century Schoolbook" w:hAnsi="Century Schoolbook"/>
          <w:i/>
          <w:iCs/>
        </w:rPr>
        <w:t xml:space="preserve"> </w:t>
      </w:r>
      <w:r w:rsidRPr="00CD7DD9" w:rsidR="00CD7DD9">
        <w:rPr>
          <w:rFonts w:ascii="Century Schoolbook" w:hAnsi="Century Schoolbook"/>
        </w:rPr>
        <w:t>[</w:t>
      </w:r>
      <w:r w:rsidR="00CD7DD9">
        <w:rPr>
          <w:rFonts w:ascii="Century Schoolbook" w:hAnsi="Century Schoolbook"/>
          <w:i/>
          <w:iCs/>
        </w:rPr>
        <w:t>supra</w:t>
      </w:r>
      <w:r w:rsidRPr="00CD7DD9" w:rsidR="00CD7DD9">
        <w:rPr>
          <w:rFonts w:ascii="Century Schoolbook" w:hAnsi="Century Schoolbook"/>
        </w:rPr>
        <w:t>,]</w:t>
      </w:r>
      <w:r w:rsidRPr="00E60BBB" w:rsidR="00E60BBB">
        <w:rPr>
          <w:rFonts w:ascii="Century Schoolbook" w:hAnsi="Century Schoolbook"/>
        </w:rPr>
        <w:t xml:space="preserve"> 194 Cal.App.4th </w:t>
      </w:r>
      <w:r w:rsidR="00CD7DD9">
        <w:rPr>
          <w:rFonts w:ascii="Century Schoolbook" w:hAnsi="Century Schoolbook"/>
        </w:rPr>
        <w:t>[at p.]</w:t>
      </w:r>
      <w:r w:rsidRPr="00E60BBB" w:rsidR="00E60BBB">
        <w:rPr>
          <w:rFonts w:ascii="Century Schoolbook" w:hAnsi="Century Schoolbook"/>
        </w:rPr>
        <w:t xml:space="preserve"> 1190.)  Uber has offered to enter into just such a stipulation.  Plaintiffs do not dispute that there is a suitable forum for each of the cases affected by Uber</w:t>
      </w:r>
      <w:r w:rsidR="00E60BBB">
        <w:rPr>
          <w:rFonts w:ascii="Century Schoolbook" w:hAnsi="Century Schoolbook"/>
        </w:rPr>
        <w:t>’</w:t>
      </w:r>
      <w:r w:rsidRPr="00E60BBB" w:rsidR="00E60BBB">
        <w:rPr>
          <w:rFonts w:ascii="Century Schoolbook" w:hAnsi="Century Schoolbook"/>
        </w:rPr>
        <w:t>s motions. (See WHBE Opposition, 7 [‘Ms. Doe doesn</w:t>
      </w:r>
      <w:r w:rsidR="00E60BBB">
        <w:rPr>
          <w:rFonts w:ascii="Century Schoolbook" w:hAnsi="Century Schoolbook"/>
        </w:rPr>
        <w:t>’</w:t>
      </w:r>
      <w:r w:rsidRPr="00E60BBB" w:rsidR="00E60BBB">
        <w:rPr>
          <w:rFonts w:ascii="Century Schoolbook" w:hAnsi="Century Schoolbook"/>
        </w:rPr>
        <w:t xml:space="preserve">t deny that Hawaii is a suitable forum’].)”  </w:t>
      </w:r>
    </w:p>
    <w:p w:rsidR="00913099" w:rsidP="00FE50FE" w14:paraId="74C971A2" w14:textId="04783AFD">
      <w:pPr>
        <w:tabs>
          <w:tab w:val="clear" w:pos="720"/>
        </w:tabs>
        <w:spacing w:line="360" w:lineRule="auto"/>
        <w:ind w:firstLine="720"/>
        <w:rPr>
          <w:rFonts w:ascii="Century Schoolbook" w:hAnsi="Century Schoolbook"/>
        </w:rPr>
      </w:pPr>
      <w:r>
        <w:rPr>
          <w:rFonts w:ascii="Century Schoolbook" w:hAnsi="Century Schoolbook"/>
        </w:rPr>
        <w:t>We have discussed in some detail all that occurred below, including the</w:t>
      </w:r>
      <w:r w:rsidR="00FE50FE">
        <w:rPr>
          <w:rFonts w:ascii="Century Schoolbook" w:hAnsi="Century Schoolbook"/>
        </w:rPr>
        <w:t xml:space="preserve"> several </w:t>
      </w:r>
      <w:r>
        <w:rPr>
          <w:rFonts w:ascii="Century Schoolbook" w:hAnsi="Century Schoolbook"/>
        </w:rPr>
        <w:t xml:space="preserve">admissions and </w:t>
      </w:r>
      <w:r w:rsidR="00A62F07">
        <w:rPr>
          <w:rFonts w:ascii="Century Schoolbook" w:hAnsi="Century Schoolbook"/>
        </w:rPr>
        <w:t>concessions</w:t>
      </w:r>
      <w:r>
        <w:rPr>
          <w:rFonts w:ascii="Century Schoolbook" w:hAnsi="Century Schoolbook"/>
        </w:rPr>
        <w:t xml:space="preserve">—some written, some oral—made by </w:t>
      </w:r>
      <w:r w:rsidR="00A62F07">
        <w:rPr>
          <w:rFonts w:ascii="Century Schoolbook" w:hAnsi="Century Schoolbook"/>
        </w:rPr>
        <w:t xml:space="preserve">plaintiffs’ </w:t>
      </w:r>
      <w:r>
        <w:rPr>
          <w:rFonts w:ascii="Century Schoolbook" w:hAnsi="Century Schoolbook"/>
        </w:rPr>
        <w:t xml:space="preserve">counsel.  Now, </w:t>
      </w:r>
      <w:r w:rsidR="00DA5AAF">
        <w:rPr>
          <w:rFonts w:ascii="Century Schoolbook" w:hAnsi="Century Schoolbook"/>
        </w:rPr>
        <w:t>for the first time</w:t>
      </w:r>
      <w:r>
        <w:rPr>
          <w:rFonts w:ascii="Century Schoolbook" w:hAnsi="Century Schoolbook"/>
        </w:rPr>
        <w:t>,</w:t>
      </w:r>
      <w:r w:rsidRPr="00C30DBB" w:rsidR="00C30DBB">
        <w:rPr>
          <w:rFonts w:ascii="Century Schoolbook" w:hAnsi="Century Schoolbook"/>
        </w:rPr>
        <w:t xml:space="preserve"> </w:t>
      </w:r>
      <w:r>
        <w:rPr>
          <w:rFonts w:ascii="Century Schoolbook" w:hAnsi="Century Schoolbook"/>
        </w:rPr>
        <w:t xml:space="preserve">plaintiffs argue </w:t>
      </w:r>
      <w:r w:rsidRPr="00C30DBB" w:rsidR="00C30DBB">
        <w:rPr>
          <w:rFonts w:ascii="Century Schoolbook" w:hAnsi="Century Schoolbook"/>
        </w:rPr>
        <w:t xml:space="preserve">that </w:t>
      </w:r>
      <w:r w:rsidR="0078699A">
        <w:rPr>
          <w:rFonts w:ascii="Century Schoolbook" w:hAnsi="Century Schoolbook"/>
        </w:rPr>
        <w:t xml:space="preserve">“Uber never submitted an actual stipulation” to </w:t>
      </w:r>
      <w:r w:rsidR="00ED2B24">
        <w:rPr>
          <w:rFonts w:ascii="Century Schoolbook" w:hAnsi="Century Schoolbook"/>
        </w:rPr>
        <w:t xml:space="preserve">submit to </w:t>
      </w:r>
      <w:r w:rsidR="0078699A">
        <w:rPr>
          <w:rFonts w:ascii="Century Schoolbook" w:hAnsi="Century Schoolbook"/>
        </w:rPr>
        <w:t>jurisdiction or to toll the statute of limitations</w:t>
      </w:r>
      <w:r w:rsidR="00ED2B24">
        <w:rPr>
          <w:rFonts w:ascii="Century Schoolbook" w:hAnsi="Century Schoolbook"/>
        </w:rPr>
        <w:t xml:space="preserve"> in Hawaii or Texas</w:t>
      </w:r>
      <w:r w:rsidR="0078699A">
        <w:rPr>
          <w:rFonts w:ascii="Century Schoolbook" w:hAnsi="Century Schoolbook"/>
        </w:rPr>
        <w:t xml:space="preserve">, and </w:t>
      </w:r>
      <w:r w:rsidR="000E1991">
        <w:rPr>
          <w:rFonts w:ascii="Century Schoolbook" w:hAnsi="Century Schoolbook"/>
        </w:rPr>
        <w:t xml:space="preserve">that </w:t>
      </w:r>
      <w:r w:rsidR="0078699A">
        <w:rPr>
          <w:rFonts w:ascii="Century Schoolbook" w:hAnsi="Century Schoolbook"/>
        </w:rPr>
        <w:t xml:space="preserve">the statements in Uber’s legal memoranda that it was willing to so do “are not evidence.”  </w:t>
      </w:r>
      <w:r w:rsidR="004B1E0F">
        <w:rPr>
          <w:rFonts w:ascii="Century Schoolbook" w:hAnsi="Century Schoolbook"/>
        </w:rPr>
        <w:t>Plaintiffs further argue</w:t>
      </w:r>
      <w:r w:rsidR="00E479D5">
        <w:rPr>
          <w:rFonts w:ascii="Century Schoolbook" w:hAnsi="Century Schoolbook"/>
        </w:rPr>
        <w:t xml:space="preserve">, relying </w:t>
      </w:r>
      <w:r w:rsidR="00A62F07">
        <w:rPr>
          <w:rFonts w:ascii="Century Schoolbook" w:hAnsi="Century Schoolbook"/>
        </w:rPr>
        <w:t xml:space="preserve">particularly </w:t>
      </w:r>
      <w:r w:rsidR="00E479D5">
        <w:rPr>
          <w:rFonts w:ascii="Century Schoolbook" w:hAnsi="Century Schoolbook"/>
        </w:rPr>
        <w:t xml:space="preserve">on </w:t>
      </w:r>
      <w:r w:rsidRPr="00B56773" w:rsidR="00E479D5">
        <w:rPr>
          <w:rFonts w:ascii="Century Schoolbook" w:hAnsi="Century Schoolbook"/>
          <w:i/>
          <w:iCs/>
        </w:rPr>
        <w:t>Investors Equity Life Holding Co. v. Schmidt</w:t>
      </w:r>
      <w:r w:rsidR="00E479D5">
        <w:rPr>
          <w:rFonts w:ascii="Century Schoolbook" w:hAnsi="Century Schoolbook"/>
        </w:rPr>
        <w:t xml:space="preserve"> </w:t>
      </w:r>
      <w:r w:rsidRPr="00B56773" w:rsidR="00E479D5">
        <w:rPr>
          <w:rFonts w:ascii="Century Schoolbook" w:hAnsi="Century Schoolbook"/>
        </w:rPr>
        <w:t>(2015) 233 Cal.App.4th 1363</w:t>
      </w:r>
      <w:r w:rsidR="00E479D5">
        <w:rPr>
          <w:rFonts w:ascii="Century Schoolbook" w:hAnsi="Century Schoolbook"/>
        </w:rPr>
        <w:t xml:space="preserve"> </w:t>
      </w:r>
      <w:r w:rsidRPr="00B56773" w:rsidR="00E479D5">
        <w:rPr>
          <w:rFonts w:ascii="Century Schoolbook" w:hAnsi="Century Schoolbook"/>
        </w:rPr>
        <w:t>(</w:t>
      </w:r>
      <w:r w:rsidRPr="00B56773" w:rsidR="00E479D5">
        <w:rPr>
          <w:rFonts w:ascii="Century Schoolbook" w:hAnsi="Century Schoolbook"/>
          <w:i/>
          <w:iCs/>
        </w:rPr>
        <w:t>Investors Equity II</w:t>
      </w:r>
      <w:r w:rsidRPr="00B56773" w:rsidR="00E479D5">
        <w:rPr>
          <w:rFonts w:ascii="Century Schoolbook" w:hAnsi="Century Schoolbook"/>
        </w:rPr>
        <w:t>)</w:t>
      </w:r>
      <w:r w:rsidR="00E479D5">
        <w:rPr>
          <w:rFonts w:ascii="Century Schoolbook" w:hAnsi="Century Schoolbook"/>
        </w:rPr>
        <w:t xml:space="preserve">, </w:t>
      </w:r>
      <w:r w:rsidR="004B1E0F">
        <w:rPr>
          <w:rFonts w:ascii="Century Schoolbook" w:hAnsi="Century Schoolbook"/>
        </w:rPr>
        <w:t xml:space="preserve">that </w:t>
      </w:r>
      <w:r w:rsidR="00E8293C">
        <w:rPr>
          <w:rFonts w:ascii="Century Schoolbook" w:hAnsi="Century Schoolbook"/>
        </w:rPr>
        <w:t xml:space="preserve">no such stipulation would survive the cases being dismissed, and that </w:t>
      </w:r>
      <w:r w:rsidR="00307A66">
        <w:rPr>
          <w:rFonts w:ascii="Century Schoolbook" w:hAnsi="Century Schoolbook"/>
        </w:rPr>
        <w:t>Judge Schulman</w:t>
      </w:r>
      <w:r w:rsidR="00E8293C">
        <w:rPr>
          <w:rFonts w:ascii="Century Schoolbook" w:hAnsi="Century Schoolbook"/>
        </w:rPr>
        <w:t xml:space="preserve"> erred in failing to make suitability determinations regarding the other 47 states</w:t>
      </w:r>
      <w:r w:rsidR="00957C65">
        <w:rPr>
          <w:rFonts w:ascii="Century Schoolbook" w:hAnsi="Century Schoolbook"/>
        </w:rPr>
        <w:t>—other than Texas</w:t>
      </w:r>
      <w:r w:rsidR="00FE50FE">
        <w:rPr>
          <w:rFonts w:ascii="Century Schoolbook" w:hAnsi="Century Schoolbook"/>
        </w:rPr>
        <w:t xml:space="preserve"> and</w:t>
      </w:r>
      <w:r w:rsidR="00957C65">
        <w:rPr>
          <w:rFonts w:ascii="Century Schoolbook" w:hAnsi="Century Schoolbook"/>
        </w:rPr>
        <w:t xml:space="preserve"> Hawaii—</w:t>
      </w:r>
      <w:r w:rsidR="00E8293C">
        <w:rPr>
          <w:rFonts w:ascii="Century Schoolbook" w:hAnsi="Century Schoolbook"/>
        </w:rPr>
        <w:t xml:space="preserve">where plaintiffs’ claims </w:t>
      </w:r>
      <w:r w:rsidR="005A0276">
        <w:rPr>
          <w:rFonts w:ascii="Century Schoolbook" w:hAnsi="Century Schoolbook"/>
        </w:rPr>
        <w:t>might</w:t>
      </w:r>
      <w:r w:rsidR="00E8293C">
        <w:rPr>
          <w:rFonts w:ascii="Century Schoolbook" w:hAnsi="Century Schoolbook"/>
        </w:rPr>
        <w:t xml:space="preserve"> </w:t>
      </w:r>
      <w:r w:rsidR="00611D26">
        <w:rPr>
          <w:rFonts w:ascii="Century Schoolbook" w:hAnsi="Century Schoolbook"/>
        </w:rPr>
        <w:t xml:space="preserve">ultimately </w:t>
      </w:r>
      <w:r w:rsidR="00E8293C">
        <w:rPr>
          <w:rFonts w:ascii="Century Schoolbook" w:hAnsi="Century Schoolbook"/>
        </w:rPr>
        <w:t xml:space="preserve">be re-filed.  </w:t>
      </w:r>
      <w:r w:rsidR="00235727">
        <w:rPr>
          <w:rFonts w:ascii="Century Schoolbook" w:hAnsi="Century Schoolbook"/>
        </w:rPr>
        <w:t xml:space="preserve">We </w:t>
      </w:r>
      <w:r w:rsidR="00402DCB">
        <w:rPr>
          <w:rFonts w:ascii="Century Schoolbook" w:hAnsi="Century Schoolbook"/>
        </w:rPr>
        <w:t>consider the</w:t>
      </w:r>
      <w:r w:rsidR="006F67E7">
        <w:rPr>
          <w:rFonts w:ascii="Century Schoolbook" w:hAnsi="Century Schoolbook"/>
        </w:rPr>
        <w:t xml:space="preserve"> </w:t>
      </w:r>
      <w:r w:rsidR="00DC76B2">
        <w:rPr>
          <w:rFonts w:ascii="Century Schoolbook" w:hAnsi="Century Schoolbook"/>
        </w:rPr>
        <w:t xml:space="preserve">argument </w:t>
      </w:r>
      <w:r w:rsidR="000F2FFD">
        <w:rPr>
          <w:rFonts w:ascii="Century Schoolbook" w:hAnsi="Century Schoolbook"/>
        </w:rPr>
        <w:t>waived</w:t>
      </w:r>
      <w:r w:rsidR="0080455A">
        <w:rPr>
          <w:rFonts w:ascii="Century Schoolbook" w:hAnsi="Century Schoolbook"/>
        </w:rPr>
        <w:t xml:space="preserve">.  </w:t>
      </w:r>
    </w:p>
    <w:p w:rsidR="00FE50FE" w:rsidP="00FE50FE" w14:paraId="13EFBFAC" w14:textId="4B161D93">
      <w:pPr>
        <w:tabs>
          <w:tab w:val="clear" w:pos="720"/>
        </w:tabs>
        <w:spacing w:line="360" w:lineRule="auto"/>
        <w:ind w:firstLine="720"/>
        <w:rPr>
          <w:rFonts w:ascii="Century Schoolbook" w:hAnsi="Century Schoolbook"/>
        </w:rPr>
      </w:pPr>
      <w:r>
        <w:rPr>
          <w:rFonts w:ascii="Century Schoolbook" w:hAnsi="Century Schoolbook"/>
        </w:rPr>
        <w:t>It is well settled “ ‘</w:t>
      </w:r>
      <w:r w:rsidRPr="00241920" w:rsidR="00241920">
        <w:rPr>
          <w:rFonts w:ascii="Century Schoolbook" w:hAnsi="Century Schoolbook"/>
        </w:rPr>
        <w:t xml:space="preserve">that a party to an action may not, for the first time on appeal, change the theory of the cause of action [citations] and that issues not raised in the trial court cannot be raised for the first time on appeal. </w:t>
      </w:r>
      <w:r w:rsidR="00241920">
        <w:rPr>
          <w:rFonts w:ascii="Century Schoolbook" w:hAnsi="Century Schoolbook"/>
        </w:rPr>
        <w:t xml:space="preserve"> </w:t>
      </w:r>
      <w:r w:rsidRPr="00241920" w:rsidR="00241920">
        <w:rPr>
          <w:rFonts w:ascii="Century Schoolbook" w:hAnsi="Century Schoolbook"/>
        </w:rPr>
        <w:t>[Citations.]</w:t>
      </w:r>
      <w:r w:rsidR="00241920">
        <w:rPr>
          <w:rFonts w:ascii="Century Schoolbook" w:hAnsi="Century Schoolbook"/>
        </w:rPr>
        <w:t xml:space="preserve">’ </w:t>
      </w:r>
      <w:r w:rsidRPr="00241920" w:rsidR="00241920">
        <w:rPr>
          <w:rFonts w:ascii="Century Schoolbook" w:hAnsi="Century Schoolbook"/>
        </w:rPr>
        <w:t xml:space="preserve"> (</w:t>
      </w:r>
      <w:r w:rsidRPr="00241920" w:rsidR="00241920">
        <w:rPr>
          <w:rFonts w:ascii="Century Schoolbook" w:hAnsi="Century Schoolbook"/>
          <w:i/>
          <w:iCs/>
        </w:rPr>
        <w:t>Estate of Westerman</w:t>
      </w:r>
      <w:r w:rsidRPr="00241920" w:rsidR="00241920">
        <w:rPr>
          <w:rFonts w:ascii="Century Schoolbook" w:hAnsi="Century Schoolbook"/>
        </w:rPr>
        <w:t xml:space="preserve"> (1968) 68 Cal.2d 267, 279, fn. omitted; see </w:t>
      </w:r>
      <w:r w:rsidRPr="00241920" w:rsidR="00241920">
        <w:rPr>
          <w:rFonts w:ascii="Century Schoolbook" w:hAnsi="Century Schoolbook"/>
          <w:i/>
          <w:iCs/>
        </w:rPr>
        <w:t>Cable Connection, Inc. v. DIRECTV, Inc.</w:t>
      </w:r>
      <w:r w:rsidRPr="00241920" w:rsidR="00241920">
        <w:rPr>
          <w:rFonts w:ascii="Century Schoolbook" w:hAnsi="Century Schoolbook"/>
        </w:rPr>
        <w:t xml:space="preserve"> (2008) 44 Cal.4th 1334, 1350, fn.</w:t>
      </w:r>
      <w:r w:rsidR="00913099">
        <w:rPr>
          <w:rFonts w:ascii="Century Schoolbook" w:hAnsi="Century Schoolbook"/>
        </w:rPr>
        <w:t> </w:t>
      </w:r>
      <w:r w:rsidRPr="00241920" w:rsidR="00241920">
        <w:rPr>
          <w:rFonts w:ascii="Century Schoolbook" w:hAnsi="Century Schoolbook"/>
        </w:rPr>
        <w:t>12.)</w:t>
      </w:r>
      <w:r w:rsidR="00241920">
        <w:rPr>
          <w:rFonts w:ascii="Century Schoolbook" w:hAnsi="Century Schoolbook"/>
        </w:rPr>
        <w:t>”  (</w:t>
      </w:r>
      <w:r w:rsidRPr="00241920" w:rsidR="00241920">
        <w:rPr>
          <w:rFonts w:ascii="Century Schoolbook" w:hAnsi="Century Schoolbook"/>
          <w:i/>
          <w:iCs/>
        </w:rPr>
        <w:t>Johnson v. Greenelsh</w:t>
      </w:r>
      <w:r w:rsidR="00241920">
        <w:rPr>
          <w:rFonts w:ascii="Century Schoolbook" w:hAnsi="Century Schoolbook"/>
        </w:rPr>
        <w:t xml:space="preserve"> </w:t>
      </w:r>
      <w:r w:rsidRPr="00241920" w:rsidR="00241920">
        <w:rPr>
          <w:rFonts w:ascii="Century Schoolbook" w:hAnsi="Century Schoolbook"/>
        </w:rPr>
        <w:t>(2009) 47 Cal.4th 598, 603</w:t>
      </w:r>
      <w:r w:rsidR="00241920">
        <w:rPr>
          <w:rFonts w:ascii="Century Schoolbook" w:hAnsi="Century Schoolbook"/>
        </w:rPr>
        <w:t xml:space="preserve">; see </w:t>
      </w:r>
      <w:r w:rsidR="00C26CE3">
        <w:rPr>
          <w:rFonts w:ascii="Century Schoolbook" w:hAnsi="Century Schoolbook"/>
        </w:rPr>
        <w:t xml:space="preserve">generally </w:t>
      </w:r>
      <w:r w:rsidRPr="00455AA3" w:rsidR="00241920">
        <w:rPr>
          <w:rFonts w:ascii="Century Schoolbook" w:hAnsi="Century Schoolbook"/>
        </w:rPr>
        <w:t xml:space="preserve">Eisenberg et al., Cal. Practice Guide: </w:t>
      </w:r>
      <w:r w:rsidR="00E461F2">
        <w:rPr>
          <w:rFonts w:ascii="Century Schoolbook" w:hAnsi="Century Schoolbook"/>
        </w:rPr>
        <w:t xml:space="preserve"> </w:t>
      </w:r>
      <w:r w:rsidRPr="00455AA3" w:rsidR="00241920">
        <w:rPr>
          <w:rFonts w:ascii="Century Schoolbook" w:hAnsi="Century Schoolbook"/>
        </w:rPr>
        <w:t>Civil Appeals and Writs (The Rutter Group 20</w:t>
      </w:r>
      <w:r w:rsidR="00241920">
        <w:rPr>
          <w:rFonts w:ascii="Century Schoolbook" w:hAnsi="Century Schoolbook"/>
        </w:rPr>
        <w:t>23</w:t>
      </w:r>
      <w:r w:rsidRPr="00455AA3" w:rsidR="00241920">
        <w:rPr>
          <w:rFonts w:ascii="Century Schoolbook" w:hAnsi="Century Schoolbook"/>
        </w:rPr>
        <w:t>) ¶</w:t>
      </w:r>
      <w:r w:rsidR="00913099">
        <w:rPr>
          <w:rFonts w:ascii="Century Schoolbook" w:hAnsi="Century Schoolbook"/>
        </w:rPr>
        <w:t> </w:t>
      </w:r>
      <w:r w:rsidRPr="00455AA3" w:rsidR="00241920">
        <w:rPr>
          <w:rFonts w:ascii="Century Schoolbook" w:hAnsi="Century Schoolbook"/>
        </w:rPr>
        <w:t>8:229</w:t>
      </w:r>
      <w:r w:rsidR="00241920">
        <w:rPr>
          <w:rFonts w:ascii="Century Schoolbook" w:hAnsi="Century Schoolbook"/>
        </w:rPr>
        <w:t>.)</w:t>
      </w:r>
      <w:r w:rsidR="0080455A">
        <w:rPr>
          <w:rFonts w:ascii="Century Schoolbook" w:hAnsi="Century Schoolbook"/>
        </w:rPr>
        <w:t xml:space="preserve">  </w:t>
      </w:r>
      <w:r>
        <w:rPr>
          <w:rFonts w:ascii="Century Schoolbook" w:hAnsi="Century Schoolbook"/>
        </w:rPr>
        <w:t>P</w:t>
      </w:r>
      <w:r w:rsidR="0080455A">
        <w:rPr>
          <w:rFonts w:ascii="Century Schoolbook" w:hAnsi="Century Schoolbook"/>
        </w:rPr>
        <w:t>laintiffs’ argument</w:t>
      </w:r>
      <w:r w:rsidR="00913099">
        <w:rPr>
          <w:rFonts w:ascii="Century Schoolbook" w:hAnsi="Century Schoolbook"/>
        </w:rPr>
        <w:t xml:space="preserve"> is</w:t>
      </w:r>
      <w:r w:rsidR="0080455A">
        <w:rPr>
          <w:rFonts w:ascii="Century Schoolbook" w:hAnsi="Century Schoolbook"/>
        </w:rPr>
        <w:t xml:space="preserve"> also barred by the related rule that </w:t>
      </w:r>
      <w:r w:rsidRPr="00F41B9A" w:rsidR="0080455A">
        <w:rPr>
          <w:rFonts w:ascii="Century Schoolbook" w:hAnsi="Century Schoolbook"/>
          <w:szCs w:val="26"/>
        </w:rPr>
        <w:t>“</w:t>
      </w:r>
      <w:r w:rsidR="00913099">
        <w:rPr>
          <w:rFonts w:ascii="Century Schoolbook" w:hAnsi="Century Schoolbook"/>
          <w:szCs w:val="26"/>
        </w:rPr>
        <w:t> </w:t>
      </w:r>
      <w:r w:rsidRPr="00F41B9A" w:rsidR="0080455A">
        <w:rPr>
          <w:rFonts w:ascii="Century Schoolbook" w:hAnsi="Century Schoolbook"/>
          <w:szCs w:val="26"/>
        </w:rPr>
        <w:t>‘[w]here a party by his conduct induces the commission of error, he is estopped from asserting it as a ground for reversal’ on appeal</w:t>
      </w:r>
      <w:r w:rsidR="0080455A">
        <w:rPr>
          <w:rFonts w:ascii="Century Schoolbook" w:hAnsi="Century Schoolbook"/>
          <w:szCs w:val="26"/>
        </w:rPr>
        <w:t>.</w:t>
      </w:r>
      <w:r w:rsidRPr="00F41B9A" w:rsidR="0080455A">
        <w:rPr>
          <w:rFonts w:ascii="Century Schoolbook" w:hAnsi="Century Schoolbook"/>
          <w:szCs w:val="26"/>
        </w:rPr>
        <w:t>”</w:t>
      </w:r>
      <w:r w:rsidR="0080455A">
        <w:rPr>
          <w:rFonts w:ascii="Century Schoolbook" w:hAnsi="Century Schoolbook"/>
          <w:szCs w:val="26"/>
        </w:rPr>
        <w:t xml:space="preserve">  (</w:t>
      </w:r>
      <w:r w:rsidRPr="000171B4" w:rsidR="0080455A">
        <w:rPr>
          <w:rFonts w:ascii="Century Schoolbook" w:hAnsi="Century Schoolbook"/>
          <w:i/>
          <w:iCs/>
        </w:rPr>
        <w:t>Norgart v. Upjohn Co.</w:t>
      </w:r>
      <w:r w:rsidRPr="000171B4" w:rsidR="0080455A">
        <w:rPr>
          <w:rFonts w:ascii="Century Schoolbook" w:hAnsi="Century Schoolbook"/>
        </w:rPr>
        <w:t xml:space="preserve"> (1999) 21 Cal.4th 383, 40</w:t>
      </w:r>
      <w:r w:rsidR="0080455A">
        <w:rPr>
          <w:rFonts w:ascii="Century Schoolbook" w:hAnsi="Century Schoolbook"/>
        </w:rPr>
        <w:t>3 (</w:t>
      </w:r>
      <w:r w:rsidRPr="001F69C8" w:rsidR="0080455A">
        <w:rPr>
          <w:rFonts w:ascii="Century Schoolbook" w:hAnsi="Century Schoolbook"/>
          <w:i/>
          <w:iCs/>
        </w:rPr>
        <w:t>Norgart</w:t>
      </w:r>
      <w:r w:rsidR="0080455A">
        <w:rPr>
          <w:rFonts w:ascii="Century Schoolbook" w:hAnsi="Century Schoolbook"/>
        </w:rPr>
        <w:t>)</w:t>
      </w:r>
      <w:r w:rsidRPr="00F41B9A" w:rsidR="0080455A">
        <w:rPr>
          <w:rFonts w:ascii="Century Schoolbook" w:hAnsi="Century Schoolbook"/>
          <w:szCs w:val="26"/>
        </w:rPr>
        <w:t>.)</w:t>
      </w:r>
      <w:r w:rsidR="00241920">
        <w:rPr>
          <w:rFonts w:ascii="Century Schoolbook" w:hAnsi="Century Schoolbook"/>
        </w:rPr>
        <w:t xml:space="preserve"> </w:t>
      </w:r>
    </w:p>
    <w:p w:rsidR="00913099" w:rsidP="00FE50FE" w14:paraId="48782D2A" w14:textId="477B9425">
      <w:pPr>
        <w:tabs>
          <w:tab w:val="clear" w:pos="720"/>
        </w:tabs>
        <w:spacing w:line="360" w:lineRule="auto"/>
        <w:ind w:firstLine="720"/>
        <w:rPr>
          <w:rFonts w:ascii="Century Schoolbook" w:hAnsi="Century Schoolbook"/>
        </w:rPr>
      </w:pPr>
      <w:r>
        <w:rPr>
          <w:rFonts w:ascii="Century Schoolbook" w:hAnsi="Century Schoolbook"/>
        </w:rPr>
        <w:t xml:space="preserve">If plaintiffs believed that Uber’s </w:t>
      </w:r>
      <w:r w:rsidR="005A0276">
        <w:rPr>
          <w:rFonts w:ascii="Century Schoolbook" w:hAnsi="Century Schoolbook"/>
        </w:rPr>
        <w:t>representations</w:t>
      </w:r>
      <w:r>
        <w:rPr>
          <w:rFonts w:ascii="Century Schoolbook" w:hAnsi="Century Schoolbook"/>
        </w:rPr>
        <w:t xml:space="preserve"> it was willing to stipulate to jurisdiction and to toll the statute of limitations were inadequate to establish that Hawaii and Texas were suitable alternate </w:t>
      </w:r>
      <w:r w:rsidR="00C0278B">
        <w:rPr>
          <w:rFonts w:ascii="Century Schoolbook" w:hAnsi="Century Schoolbook"/>
        </w:rPr>
        <w:t>forums</w:t>
      </w:r>
      <w:r>
        <w:rPr>
          <w:rFonts w:ascii="Century Schoolbook" w:hAnsi="Century Schoolbook"/>
        </w:rPr>
        <w:t xml:space="preserve">, they could have so argued </w:t>
      </w:r>
      <w:r w:rsidR="003D49A1">
        <w:rPr>
          <w:rFonts w:ascii="Century Schoolbook" w:hAnsi="Century Schoolbook"/>
        </w:rPr>
        <w:t>below</w:t>
      </w:r>
      <w:r w:rsidR="00251D6E">
        <w:rPr>
          <w:rFonts w:ascii="Century Schoolbook" w:hAnsi="Century Schoolbook"/>
        </w:rPr>
        <w:t xml:space="preserve">, giving </w:t>
      </w:r>
      <w:r w:rsidR="00307A66">
        <w:rPr>
          <w:rFonts w:ascii="Century Schoolbook" w:hAnsi="Century Schoolbook"/>
        </w:rPr>
        <w:t>Judge Schulman</w:t>
      </w:r>
      <w:r w:rsidR="00251D6E">
        <w:rPr>
          <w:rFonts w:ascii="Century Schoolbook" w:hAnsi="Century Schoolbook"/>
        </w:rPr>
        <w:t xml:space="preserve"> an opportunity to address the issue</w:t>
      </w:r>
      <w:r>
        <w:rPr>
          <w:rFonts w:ascii="Century Schoolbook" w:hAnsi="Century Schoolbook"/>
        </w:rPr>
        <w:t xml:space="preserve">.  They did not.  Instead, at least with respect to </w:t>
      </w:r>
      <w:r w:rsidR="002B62E4">
        <w:rPr>
          <w:rFonts w:ascii="Century Schoolbook" w:hAnsi="Century Schoolbook"/>
        </w:rPr>
        <w:t xml:space="preserve">Jane Doe </w:t>
      </w:r>
      <w:r>
        <w:rPr>
          <w:rFonts w:ascii="Century Schoolbook" w:hAnsi="Century Schoolbook"/>
        </w:rPr>
        <w:t>WHBE</w:t>
      </w:r>
      <w:r w:rsidR="00611D26">
        <w:rPr>
          <w:rFonts w:ascii="Century Schoolbook" w:hAnsi="Century Schoolbook"/>
        </w:rPr>
        <w:t xml:space="preserve"> 3</w:t>
      </w:r>
      <w:r>
        <w:rPr>
          <w:rFonts w:ascii="Century Schoolbook" w:hAnsi="Century Schoolbook"/>
        </w:rPr>
        <w:t>, they expressly conceded that Hawaii was a suitable alternative forum</w:t>
      </w:r>
      <w:r w:rsidR="00B71904">
        <w:rPr>
          <w:rFonts w:ascii="Century Schoolbook" w:hAnsi="Century Schoolbook"/>
        </w:rPr>
        <w:t xml:space="preserve"> based on Uber’s representations</w:t>
      </w:r>
      <w:r>
        <w:rPr>
          <w:rFonts w:ascii="Century Schoolbook" w:hAnsi="Century Schoolbook"/>
        </w:rPr>
        <w:t xml:space="preserve">.  (See </w:t>
      </w:r>
      <w:r w:rsidRPr="00251D6E">
        <w:rPr>
          <w:rFonts w:ascii="Century Schoolbook" w:hAnsi="Century Schoolbook"/>
          <w:i/>
          <w:iCs/>
        </w:rPr>
        <w:t>Brandwein v. Butler</w:t>
      </w:r>
      <w:r>
        <w:rPr>
          <w:rFonts w:ascii="Century Schoolbook" w:hAnsi="Century Schoolbook"/>
        </w:rPr>
        <w:t xml:space="preserve"> (2013) </w:t>
      </w:r>
      <w:r w:rsidR="00251D6E">
        <w:rPr>
          <w:rFonts w:ascii="Century Schoolbook" w:hAnsi="Century Schoolbook"/>
        </w:rPr>
        <w:t>218</w:t>
      </w:r>
      <w:r w:rsidR="00FE50FE">
        <w:rPr>
          <w:rFonts w:ascii="Century Schoolbook" w:hAnsi="Century Schoolbook"/>
        </w:rPr>
        <w:t> </w:t>
      </w:r>
      <w:r w:rsidR="00251D6E">
        <w:rPr>
          <w:rFonts w:ascii="Century Schoolbook" w:hAnsi="Century Schoolbook"/>
        </w:rPr>
        <w:t xml:space="preserve">Cal.App.4th 1485, 1519 [finding it “particularly unfair and inappropriate” to complain that trial court erred when plaintiff “led the trial court down that path by . . . </w:t>
      </w:r>
      <w:r w:rsidR="00251D6E">
        <w:rPr>
          <w:rFonts w:ascii="Century Schoolbook" w:hAnsi="Century Schoolbook"/>
          <w:i/>
          <w:iCs/>
        </w:rPr>
        <w:t>conceding the very issue he now disputes</w:t>
      </w:r>
      <w:r w:rsidR="00251D6E">
        <w:rPr>
          <w:rFonts w:ascii="Century Schoolbook" w:hAnsi="Century Schoolbook"/>
        </w:rPr>
        <w:t xml:space="preserve">”].)  </w:t>
      </w:r>
      <w:r w:rsidR="006019D7">
        <w:rPr>
          <w:rFonts w:ascii="Century Schoolbook" w:hAnsi="Century Schoolbook"/>
        </w:rPr>
        <w:t>In any event</w:t>
      </w:r>
      <w:r w:rsidR="00C55879">
        <w:rPr>
          <w:rFonts w:ascii="Century Schoolbook" w:hAnsi="Century Schoolbook"/>
        </w:rPr>
        <w:t xml:space="preserve">, the argument has no merit.  </w:t>
      </w:r>
    </w:p>
    <w:p w:rsidR="00FE50FE" w:rsidP="00FE50FE" w14:paraId="15185A34" w14:textId="137BB323">
      <w:pPr>
        <w:tabs>
          <w:tab w:val="clear" w:pos="720"/>
        </w:tabs>
        <w:spacing w:line="360" w:lineRule="auto"/>
        <w:ind w:firstLine="720"/>
        <w:rPr>
          <w:rFonts w:ascii="Century Schoolbook" w:hAnsi="Century Schoolbook"/>
        </w:rPr>
      </w:pPr>
      <w:r>
        <w:rPr>
          <w:rFonts w:ascii="Century Schoolbook" w:hAnsi="Century Schoolbook"/>
        </w:rPr>
        <w:t>Plaintiffs argue that “Uber’s promise to promise is unenforceable and cannot support a ‘suitable alternative forum’ finding,” apparently arguing that a formal</w:t>
      </w:r>
      <w:r w:rsidRPr="007A1EA0" w:rsidR="00C55879">
        <w:rPr>
          <w:rFonts w:ascii="Century Schoolbook" w:hAnsi="Century Schoolbook"/>
        </w:rPr>
        <w:t xml:space="preserve"> stipulation is required</w:t>
      </w:r>
      <w:r>
        <w:rPr>
          <w:rFonts w:ascii="Century Schoolbook" w:hAnsi="Century Schoolbook"/>
        </w:rPr>
        <w:t>.  T</w:t>
      </w:r>
      <w:r w:rsidR="00C55879">
        <w:rPr>
          <w:rFonts w:ascii="Century Schoolbook" w:hAnsi="Century Schoolbook"/>
        </w:rPr>
        <w:t>he cases are contrary</w:t>
      </w:r>
      <w:r w:rsidR="003D49A1">
        <w:rPr>
          <w:rFonts w:ascii="Century Schoolbook" w:hAnsi="Century Schoolbook"/>
        </w:rPr>
        <w:t xml:space="preserve">, illustrated by </w:t>
      </w:r>
      <w:r w:rsidRPr="007A1EA0" w:rsidR="00C55879">
        <w:rPr>
          <w:rFonts w:ascii="Century Schoolbook" w:hAnsi="Century Schoolbook"/>
          <w:i/>
          <w:iCs/>
        </w:rPr>
        <w:t>Roman v. Liberty University, Inc.</w:t>
      </w:r>
      <w:r w:rsidRPr="007A1EA0" w:rsidR="00C55879">
        <w:rPr>
          <w:rFonts w:ascii="Century Schoolbook" w:hAnsi="Century Schoolbook"/>
        </w:rPr>
        <w:t xml:space="preserve"> (2008) 162 Cal.App.4th 670, </w:t>
      </w:r>
      <w:r w:rsidR="006C116B">
        <w:rPr>
          <w:rFonts w:ascii="Century Schoolbook" w:hAnsi="Century Schoolbook"/>
        </w:rPr>
        <w:t xml:space="preserve">where </w:t>
      </w:r>
      <w:r w:rsidRPr="007A1EA0" w:rsidR="00C55879">
        <w:rPr>
          <w:rFonts w:ascii="Century Schoolbook" w:hAnsi="Century Schoolbook"/>
        </w:rPr>
        <w:t>the Court of Appeal accepted counsel’s representation “in the trial court and on this appeal that the statute of limitations would be tolled by plaintiff’s action in California . . . as equivalent, in binding effect, to a stipulation that [defendant] will not raise any statute of limitations defense in the [alternate forum].”  (</w:t>
      </w:r>
      <w:r w:rsidRPr="007A1EA0" w:rsidR="00C55879">
        <w:rPr>
          <w:rFonts w:ascii="Century Schoolbook" w:hAnsi="Century Schoolbook"/>
          <w:i/>
          <w:iCs/>
        </w:rPr>
        <w:t>Id</w:t>
      </w:r>
      <w:r w:rsidRPr="007A1EA0" w:rsidR="00C55879">
        <w:rPr>
          <w:rFonts w:ascii="Century Schoolbook" w:hAnsi="Century Schoolbook"/>
        </w:rPr>
        <w:t xml:space="preserve">. at p. 683.)  </w:t>
      </w:r>
      <w:r w:rsidR="00C55879">
        <w:rPr>
          <w:rFonts w:ascii="Century Schoolbook" w:hAnsi="Century Schoolbook"/>
        </w:rPr>
        <w:t>O</w:t>
      </w:r>
      <w:r w:rsidRPr="007A1EA0" w:rsidR="00C55879">
        <w:rPr>
          <w:rFonts w:ascii="Century Schoolbook" w:hAnsi="Century Schoolbook"/>
        </w:rPr>
        <w:t xml:space="preserve">ther courts have found an “agreement” or “offer” to stipulate sufficient to find the alternate forum suitable.  (See, e.g., </w:t>
      </w:r>
      <w:r w:rsidRPr="007A1EA0" w:rsidR="00C55879">
        <w:rPr>
          <w:rFonts w:ascii="Century Schoolbook" w:hAnsi="Century Schoolbook"/>
          <w:i/>
          <w:iCs/>
        </w:rPr>
        <w:t>Roulier v. Cannondale</w:t>
      </w:r>
      <w:r w:rsidRPr="007A1EA0" w:rsidR="00C55879">
        <w:rPr>
          <w:rFonts w:ascii="Century Schoolbook" w:hAnsi="Century Schoolbook"/>
        </w:rPr>
        <w:t xml:space="preserve"> (2002) 101 Cal.App.4th 1180, 1184, 1187 [finding alternate forum suitable where defendants “offered to stipulate to jurisdiction in that forum and to waive the statute of limitations”]; </w:t>
      </w:r>
      <w:r w:rsidRPr="007A1EA0" w:rsidR="00C55879">
        <w:rPr>
          <w:rFonts w:ascii="Century Schoolbook" w:hAnsi="Century Schoolbook"/>
          <w:i/>
          <w:iCs/>
        </w:rPr>
        <w:t>Chong v. Superior Court</w:t>
      </w:r>
      <w:r w:rsidRPr="007A1EA0" w:rsidR="00C55879">
        <w:rPr>
          <w:rFonts w:ascii="Century Schoolbook" w:hAnsi="Century Schoolbook"/>
        </w:rPr>
        <w:t xml:space="preserve"> (1997) 58 Cal.App.4th 1032, 1035, 1038 [reversing denial of motion for a stay and finding alternate forum suitable where defendants “agreed to stipulate” to jurisdiction and tolling of the statute of limitations]; </w:t>
      </w:r>
      <w:r w:rsidRPr="007A1EA0" w:rsidR="00C55879">
        <w:rPr>
          <w:rFonts w:ascii="Century Schoolbook" w:hAnsi="Century Schoolbook"/>
          <w:i/>
          <w:iCs/>
        </w:rPr>
        <w:t xml:space="preserve">Shiley Inc. v. Superior Court </w:t>
      </w:r>
      <w:r w:rsidRPr="007A1EA0" w:rsidR="00C55879">
        <w:rPr>
          <w:rFonts w:ascii="Century Schoolbook" w:hAnsi="Century Schoolbook"/>
        </w:rPr>
        <w:t xml:space="preserve">(1992) 4 Cal.App.4th 126, 129–130, 133 [affirming suitability finding where defendants “offered to stipulate” to submit to jurisdiction and to toll statute of limitations].) </w:t>
      </w:r>
      <w:r w:rsidR="008B5601">
        <w:rPr>
          <w:rFonts w:ascii="Century Schoolbook" w:hAnsi="Century Schoolbook"/>
        </w:rPr>
        <w:t xml:space="preserve"> </w:t>
      </w:r>
      <w:r w:rsidR="00913099">
        <w:rPr>
          <w:rFonts w:ascii="Century Schoolbook" w:hAnsi="Century Schoolbook"/>
        </w:rPr>
        <w:t xml:space="preserve">All four </w:t>
      </w:r>
      <w:r w:rsidR="003961AE">
        <w:rPr>
          <w:rFonts w:ascii="Century Schoolbook" w:hAnsi="Century Schoolbook"/>
        </w:rPr>
        <w:t xml:space="preserve">cases were relied on </w:t>
      </w:r>
      <w:r w:rsidR="00D90024">
        <w:rPr>
          <w:rFonts w:ascii="Century Schoolbook" w:hAnsi="Century Schoolbook"/>
        </w:rPr>
        <w:t xml:space="preserve">in </w:t>
      </w:r>
      <w:r w:rsidR="003961AE">
        <w:rPr>
          <w:rFonts w:ascii="Century Schoolbook" w:hAnsi="Century Schoolbook"/>
        </w:rPr>
        <w:t>Uber</w:t>
      </w:r>
      <w:r w:rsidR="00D90024">
        <w:rPr>
          <w:rFonts w:ascii="Century Schoolbook" w:hAnsi="Century Schoolbook"/>
        </w:rPr>
        <w:t>’s</w:t>
      </w:r>
      <w:r w:rsidR="003961AE">
        <w:rPr>
          <w:rFonts w:ascii="Century Schoolbook" w:hAnsi="Century Schoolbook"/>
        </w:rPr>
        <w:t xml:space="preserve"> respondent’s brief.  </w:t>
      </w:r>
      <w:r>
        <w:rPr>
          <w:rFonts w:ascii="Century Schoolbook" w:hAnsi="Century Schoolbook"/>
        </w:rPr>
        <w:t xml:space="preserve">All four </w:t>
      </w:r>
      <w:r w:rsidR="003961AE">
        <w:rPr>
          <w:rFonts w:ascii="Century Schoolbook" w:hAnsi="Century Schoolbook"/>
        </w:rPr>
        <w:t xml:space="preserve">cases were ignored </w:t>
      </w:r>
      <w:r>
        <w:rPr>
          <w:rFonts w:ascii="Century Schoolbook" w:hAnsi="Century Schoolbook"/>
        </w:rPr>
        <w:t>in</w:t>
      </w:r>
      <w:r w:rsidR="003961AE">
        <w:rPr>
          <w:rFonts w:ascii="Century Schoolbook" w:hAnsi="Century Schoolbook"/>
        </w:rPr>
        <w:t xml:space="preserve"> plaintiffs</w:t>
      </w:r>
      <w:r>
        <w:rPr>
          <w:rFonts w:ascii="Century Schoolbook" w:hAnsi="Century Schoolbook"/>
        </w:rPr>
        <w:t>’</w:t>
      </w:r>
      <w:r w:rsidR="003961AE">
        <w:rPr>
          <w:rFonts w:ascii="Century Schoolbook" w:hAnsi="Century Schoolbook"/>
        </w:rPr>
        <w:t xml:space="preserve"> </w:t>
      </w:r>
      <w:r w:rsidR="00B76810">
        <w:rPr>
          <w:rFonts w:ascii="Century Schoolbook" w:hAnsi="Century Schoolbook"/>
        </w:rPr>
        <w:t>reply.</w:t>
      </w:r>
    </w:p>
    <w:p w:rsidR="00FE50FE" w:rsidP="00FE50FE" w14:paraId="4B5EB152" w14:textId="42F8E5EB">
      <w:pPr>
        <w:tabs>
          <w:tab w:val="clear" w:pos="720"/>
        </w:tabs>
        <w:spacing w:line="360" w:lineRule="auto"/>
        <w:ind w:firstLine="720"/>
        <w:rPr>
          <w:rFonts w:ascii="Century Schoolbook" w:hAnsi="Century Schoolbook"/>
        </w:rPr>
      </w:pPr>
      <w:r w:rsidRPr="00B56773">
        <w:rPr>
          <w:rFonts w:ascii="Century Schoolbook" w:hAnsi="Century Schoolbook"/>
          <w:i/>
          <w:iCs/>
        </w:rPr>
        <w:t xml:space="preserve">Investors Equity </w:t>
      </w:r>
      <w:r w:rsidRPr="00E912D6" w:rsidR="00E912D6">
        <w:rPr>
          <w:rFonts w:ascii="Century Schoolbook" w:hAnsi="Century Schoolbook"/>
          <w:i/>
          <w:iCs/>
        </w:rPr>
        <w:t>II</w:t>
      </w:r>
      <w:r w:rsidR="00E912D6">
        <w:rPr>
          <w:rFonts w:ascii="Century Schoolbook" w:hAnsi="Century Schoolbook"/>
        </w:rPr>
        <w:t xml:space="preserve"> is </w:t>
      </w:r>
      <w:r w:rsidR="00913099">
        <w:rPr>
          <w:rFonts w:ascii="Century Schoolbook" w:hAnsi="Century Schoolbook"/>
        </w:rPr>
        <w:t xml:space="preserve">not to the contrary.  </w:t>
      </w:r>
      <w:r w:rsidR="00E912D6">
        <w:rPr>
          <w:rFonts w:ascii="Century Schoolbook" w:hAnsi="Century Schoolbook"/>
        </w:rPr>
        <w:t xml:space="preserve">Before </w:t>
      </w:r>
      <w:r w:rsidR="00E912D6">
        <w:rPr>
          <w:rFonts w:ascii="Century Schoolbook" w:hAnsi="Century Schoolbook"/>
          <w:i/>
          <w:iCs/>
        </w:rPr>
        <w:t xml:space="preserve">Investors Equity </w:t>
      </w:r>
      <w:r w:rsidR="00997EC8">
        <w:rPr>
          <w:rFonts w:ascii="Century Schoolbook" w:hAnsi="Century Schoolbook"/>
          <w:i/>
          <w:iCs/>
        </w:rPr>
        <w:t xml:space="preserve">II </w:t>
      </w:r>
      <w:r w:rsidRPr="00997EC8" w:rsidR="00997EC8">
        <w:rPr>
          <w:rFonts w:ascii="Century Schoolbook" w:hAnsi="Century Schoolbook"/>
        </w:rPr>
        <w:t>was</w:t>
      </w:r>
      <w:r w:rsidR="00997EC8">
        <w:rPr>
          <w:rFonts w:ascii="Century Schoolbook" w:hAnsi="Century Schoolbook"/>
          <w:i/>
          <w:iCs/>
        </w:rPr>
        <w:t xml:space="preserve"> </w:t>
      </w:r>
      <w:r w:rsidRPr="00DB626F">
        <w:rPr>
          <w:rFonts w:ascii="Century Schoolbook" w:hAnsi="Century Schoolbook"/>
          <w:i/>
          <w:iCs/>
        </w:rPr>
        <w:t>Investors Equity I</w:t>
      </w:r>
      <w:r>
        <w:rPr>
          <w:rFonts w:ascii="Century Schoolbook" w:hAnsi="Century Schoolbook"/>
        </w:rPr>
        <w:t xml:space="preserve">, </w:t>
      </w:r>
      <w:r w:rsidR="008B614A">
        <w:rPr>
          <w:rFonts w:ascii="Century Schoolbook" w:hAnsi="Century Schoolbook"/>
          <w:i/>
          <w:iCs/>
        </w:rPr>
        <w:t xml:space="preserve">Investors </w:t>
      </w:r>
      <w:r w:rsidR="00FD0CB6">
        <w:rPr>
          <w:rFonts w:ascii="Century Schoolbook" w:hAnsi="Century Schoolbook"/>
          <w:i/>
          <w:iCs/>
        </w:rPr>
        <w:t xml:space="preserve">Equity Life Holding Co. v. Schmidt </w:t>
      </w:r>
      <w:r w:rsidR="00FD0CB6">
        <w:rPr>
          <w:rFonts w:ascii="Century Schoolbook" w:hAnsi="Century Schoolbook"/>
        </w:rPr>
        <w:t>(2011) 195 Cal.App.4th 1519</w:t>
      </w:r>
      <w:r w:rsidR="00C760B7">
        <w:rPr>
          <w:rFonts w:ascii="Century Schoolbook" w:hAnsi="Century Schoolbook"/>
        </w:rPr>
        <w:t>,</w:t>
      </w:r>
      <w:r w:rsidR="00B912A7">
        <w:rPr>
          <w:rFonts w:ascii="Century Schoolbook" w:hAnsi="Century Schoolbook"/>
        </w:rPr>
        <w:t xml:space="preserve"> </w:t>
      </w:r>
      <w:r w:rsidR="00C760B7">
        <w:rPr>
          <w:rFonts w:ascii="Century Schoolbook" w:hAnsi="Century Schoolbook"/>
        </w:rPr>
        <w:t>w</w:t>
      </w:r>
      <w:r w:rsidR="00B912A7">
        <w:rPr>
          <w:rFonts w:ascii="Century Schoolbook" w:hAnsi="Century Schoolbook"/>
        </w:rPr>
        <w:t xml:space="preserve">here </w:t>
      </w:r>
      <w:r w:rsidR="00010AE1">
        <w:rPr>
          <w:rFonts w:ascii="Century Schoolbook" w:hAnsi="Century Schoolbook"/>
        </w:rPr>
        <w:t>p</w:t>
      </w:r>
      <w:r w:rsidRPr="00010AE1" w:rsidR="00010AE1">
        <w:rPr>
          <w:rFonts w:ascii="Century Schoolbook" w:hAnsi="Century Schoolbook"/>
        </w:rPr>
        <w:t>laintiff, a corporation authorized to do</w:t>
      </w:r>
      <w:r w:rsidR="00010AE1">
        <w:rPr>
          <w:rFonts w:ascii="Century Schoolbook" w:hAnsi="Century Schoolbook"/>
        </w:rPr>
        <w:t xml:space="preserve"> </w:t>
      </w:r>
      <w:r w:rsidRPr="00010AE1" w:rsidR="00010AE1">
        <w:rPr>
          <w:rFonts w:ascii="Century Schoolbook" w:hAnsi="Century Schoolbook"/>
        </w:rPr>
        <w:t>business in California</w:t>
      </w:r>
      <w:r w:rsidR="003B464F">
        <w:rPr>
          <w:rFonts w:ascii="Century Schoolbook" w:hAnsi="Century Schoolbook"/>
        </w:rPr>
        <w:t xml:space="preserve"> and the sole shareholder of a Hawaiian life insurance company subject to liquidation, brought suit in California against the Hawaii insurance commissioner and others.  (</w:t>
      </w:r>
      <w:r w:rsidRPr="00DB626F" w:rsidR="003B464F">
        <w:rPr>
          <w:rFonts w:ascii="Century Schoolbook" w:hAnsi="Century Schoolbook"/>
          <w:i/>
          <w:iCs/>
        </w:rPr>
        <w:t>Id</w:t>
      </w:r>
      <w:r w:rsidR="003B464F">
        <w:rPr>
          <w:rFonts w:ascii="Century Schoolbook" w:hAnsi="Century Schoolbook"/>
        </w:rPr>
        <w:t>. at p. 1523.)  The trial court granted defendants a stay of the action on forum non conveniens grounds, even though “</w:t>
      </w:r>
      <w:r w:rsidRPr="003B464F" w:rsidR="003B464F">
        <w:rPr>
          <w:rFonts w:ascii="Century Schoolbook" w:hAnsi="Century Schoolbook"/>
        </w:rPr>
        <w:t xml:space="preserve">defendants had only made an informal offer to stipulate to toll the statute of limitations </w:t>
      </w:r>
      <w:r w:rsidR="003B464F">
        <w:rPr>
          <w:rFonts w:ascii="Century Schoolbook" w:hAnsi="Century Schoolbook"/>
        </w:rPr>
        <w:t>‘</w:t>
      </w:r>
      <w:r w:rsidRPr="003B464F" w:rsidR="003B464F">
        <w:rPr>
          <w:rFonts w:ascii="Century Schoolbook" w:hAnsi="Century Schoolbook"/>
        </w:rPr>
        <w:t>if necessary</w:t>
      </w:r>
      <w:r w:rsidR="003B464F">
        <w:rPr>
          <w:rFonts w:ascii="Century Schoolbook" w:hAnsi="Century Schoolbook"/>
        </w:rPr>
        <w:t>.’ ”  (</w:t>
      </w:r>
      <w:r w:rsidRPr="00DB626F" w:rsidR="003B464F">
        <w:rPr>
          <w:rFonts w:ascii="Century Schoolbook" w:hAnsi="Century Schoolbook"/>
          <w:i/>
          <w:iCs/>
        </w:rPr>
        <w:t>Id</w:t>
      </w:r>
      <w:r w:rsidR="003B464F">
        <w:rPr>
          <w:rFonts w:ascii="Century Schoolbook" w:hAnsi="Century Schoolbook"/>
        </w:rPr>
        <w:t xml:space="preserve">. at p. 1527.)  </w:t>
      </w:r>
      <w:r w:rsidR="00DB626F">
        <w:rPr>
          <w:rFonts w:ascii="Century Schoolbook" w:hAnsi="Century Schoolbook"/>
        </w:rPr>
        <w:t xml:space="preserve">After </w:t>
      </w:r>
      <w:r w:rsidR="00F3426C">
        <w:rPr>
          <w:rFonts w:ascii="Century Schoolbook" w:hAnsi="Century Schoolbook"/>
        </w:rPr>
        <w:t>plaintiff</w:t>
      </w:r>
      <w:r w:rsidR="00DB626F">
        <w:rPr>
          <w:rFonts w:ascii="Century Schoolbook" w:hAnsi="Century Schoolbook"/>
        </w:rPr>
        <w:t xml:space="preserve"> appealed, all defendants executed two </w:t>
      </w:r>
      <w:r w:rsidR="00BF0D73">
        <w:rPr>
          <w:rFonts w:ascii="Century Schoolbook" w:hAnsi="Century Schoolbook"/>
        </w:rPr>
        <w:t xml:space="preserve">formal </w:t>
      </w:r>
      <w:r w:rsidR="00DB626F">
        <w:rPr>
          <w:rFonts w:ascii="Century Schoolbook" w:hAnsi="Century Schoolbook"/>
        </w:rPr>
        <w:t xml:space="preserve">stipulations agreeing to toll the statute of limitations and not </w:t>
      </w:r>
      <w:r w:rsidR="00BF0D73">
        <w:rPr>
          <w:rFonts w:ascii="Century Schoolbook" w:hAnsi="Century Schoolbook"/>
        </w:rPr>
        <w:t xml:space="preserve">to </w:t>
      </w:r>
      <w:r w:rsidR="00DB626F">
        <w:rPr>
          <w:rFonts w:ascii="Century Schoolbook" w:hAnsi="Century Schoolbook"/>
        </w:rPr>
        <w:t xml:space="preserve">contest personal jurisdiction in Hawaii. </w:t>
      </w:r>
      <w:r w:rsidR="00BF0D73">
        <w:rPr>
          <w:rFonts w:ascii="Century Schoolbook" w:hAnsi="Century Schoolbook"/>
        </w:rPr>
        <w:t xml:space="preserve"> </w:t>
      </w:r>
      <w:r w:rsidR="00DB626F">
        <w:rPr>
          <w:rFonts w:ascii="Century Schoolbook" w:hAnsi="Century Schoolbook"/>
        </w:rPr>
        <w:t>(</w:t>
      </w:r>
      <w:r w:rsidRPr="00BF0D73" w:rsidR="00DB626F">
        <w:rPr>
          <w:rFonts w:ascii="Century Schoolbook" w:hAnsi="Century Schoolbook"/>
          <w:i/>
          <w:iCs/>
        </w:rPr>
        <w:t>Id</w:t>
      </w:r>
      <w:r w:rsidR="00DB626F">
        <w:rPr>
          <w:rFonts w:ascii="Century Schoolbook" w:hAnsi="Century Schoolbook"/>
        </w:rPr>
        <w:t xml:space="preserve">. at </w:t>
      </w:r>
      <w:r w:rsidR="00BF0D73">
        <w:rPr>
          <w:rFonts w:ascii="Century Schoolbook" w:hAnsi="Century Schoolbook"/>
        </w:rPr>
        <w:t>p</w:t>
      </w:r>
      <w:r w:rsidR="00DB626F">
        <w:rPr>
          <w:rFonts w:ascii="Century Schoolbook" w:hAnsi="Century Schoolbook"/>
        </w:rPr>
        <w:t xml:space="preserve">p. </w:t>
      </w:r>
      <w:r w:rsidR="00BF0D73">
        <w:rPr>
          <w:rFonts w:ascii="Century Schoolbook" w:hAnsi="Century Schoolbook"/>
        </w:rPr>
        <w:t xml:space="preserve">1527–1528.)  </w:t>
      </w:r>
      <w:r w:rsidR="000B393A">
        <w:rPr>
          <w:rFonts w:ascii="Century Schoolbook" w:hAnsi="Century Schoolbook"/>
        </w:rPr>
        <w:t xml:space="preserve">Plaintiffs argued that </w:t>
      </w:r>
      <w:r w:rsidRPr="000B393A" w:rsidR="000B393A">
        <w:rPr>
          <w:rFonts w:ascii="Century Schoolbook" w:hAnsi="Century Schoolbook"/>
        </w:rPr>
        <w:t xml:space="preserve">defendants failed to carry their burden on </w:t>
      </w:r>
      <w:r w:rsidR="000B393A">
        <w:rPr>
          <w:rFonts w:ascii="Century Schoolbook" w:hAnsi="Century Schoolbook"/>
        </w:rPr>
        <w:t xml:space="preserve">the suitable alternative forum </w:t>
      </w:r>
      <w:r w:rsidRPr="000B393A" w:rsidR="000B393A">
        <w:rPr>
          <w:rFonts w:ascii="Century Schoolbook" w:hAnsi="Century Schoolbook"/>
        </w:rPr>
        <w:t>requirement by not directly addressing it in their original motions and belatedly filing a post</w:t>
      </w:r>
      <w:r w:rsidR="00EF745C">
        <w:rPr>
          <w:rFonts w:ascii="Century Schoolbook" w:hAnsi="Century Schoolbook"/>
        </w:rPr>
        <w:t xml:space="preserve"> </w:t>
      </w:r>
      <w:r w:rsidRPr="000B393A" w:rsidR="000B393A">
        <w:rPr>
          <w:rFonts w:ascii="Century Schoolbook" w:hAnsi="Century Schoolbook"/>
        </w:rPr>
        <w:t>appeal stipulation agreeing only to toll the statute of limitations</w:t>
      </w:r>
      <w:r w:rsidR="000B393A">
        <w:rPr>
          <w:rFonts w:ascii="Century Schoolbook" w:hAnsi="Century Schoolbook"/>
        </w:rPr>
        <w:t>.  (</w:t>
      </w:r>
      <w:r w:rsidRPr="000B393A" w:rsidR="000B393A">
        <w:rPr>
          <w:rFonts w:ascii="Century Schoolbook" w:hAnsi="Century Schoolbook"/>
          <w:i/>
          <w:iCs/>
        </w:rPr>
        <w:t>Id</w:t>
      </w:r>
      <w:r w:rsidR="000B393A">
        <w:rPr>
          <w:rFonts w:ascii="Century Schoolbook" w:hAnsi="Century Schoolbook"/>
        </w:rPr>
        <w:t xml:space="preserve">. at pp. 1528–1529.)  </w:t>
      </w:r>
      <w:r w:rsidRPr="00276773" w:rsidR="00276773">
        <w:rPr>
          <w:rFonts w:ascii="Century Schoolbook" w:hAnsi="Century Schoolbook"/>
          <w:i/>
          <w:iCs/>
        </w:rPr>
        <w:t>Investors Equity I</w:t>
      </w:r>
      <w:r w:rsidR="00276773">
        <w:rPr>
          <w:rFonts w:ascii="Century Schoolbook" w:hAnsi="Century Schoolbook"/>
        </w:rPr>
        <w:t xml:space="preserve"> affirmed the trial court’s grant of a stay.  (</w:t>
      </w:r>
      <w:r w:rsidRPr="000B393A" w:rsidR="00276773">
        <w:rPr>
          <w:rFonts w:ascii="Century Schoolbook" w:hAnsi="Century Schoolbook"/>
          <w:i/>
          <w:iCs/>
        </w:rPr>
        <w:t>Id</w:t>
      </w:r>
      <w:r w:rsidR="00276773">
        <w:rPr>
          <w:rFonts w:ascii="Century Schoolbook" w:hAnsi="Century Schoolbook"/>
        </w:rPr>
        <w:t>. at p.</w:t>
      </w:r>
      <w:r w:rsidR="00913099">
        <w:rPr>
          <w:rFonts w:ascii="Century Schoolbook" w:hAnsi="Century Schoolbook"/>
        </w:rPr>
        <w:t> </w:t>
      </w:r>
      <w:r w:rsidR="00276773">
        <w:rPr>
          <w:rFonts w:ascii="Century Schoolbook" w:hAnsi="Century Schoolbook"/>
        </w:rPr>
        <w:t xml:space="preserve">1536.)  </w:t>
      </w:r>
      <w:r w:rsidR="00BF0D73">
        <w:rPr>
          <w:rFonts w:ascii="Century Schoolbook" w:hAnsi="Century Schoolbook"/>
        </w:rPr>
        <w:t xml:space="preserve">After a lengthy discussion of the </w:t>
      </w:r>
      <w:r w:rsidR="00276773">
        <w:rPr>
          <w:rFonts w:ascii="Century Schoolbook" w:hAnsi="Century Schoolbook"/>
        </w:rPr>
        <w:t xml:space="preserve">Hawaii </w:t>
      </w:r>
      <w:r w:rsidR="00BF0D73">
        <w:rPr>
          <w:rFonts w:ascii="Century Schoolbook" w:hAnsi="Century Schoolbook"/>
        </w:rPr>
        <w:t>statute of limitations applicable to plaintiff’s claims, the court found that Hawaii was a suitable alternative forum in part based on the defendants’ stipulations, and not</w:t>
      </w:r>
      <w:r w:rsidR="000B393A">
        <w:rPr>
          <w:rFonts w:ascii="Century Schoolbook" w:hAnsi="Century Schoolbook"/>
        </w:rPr>
        <w:t>ed</w:t>
      </w:r>
      <w:r w:rsidR="00BF0D73">
        <w:rPr>
          <w:rFonts w:ascii="Century Schoolbook" w:hAnsi="Century Schoolbook"/>
        </w:rPr>
        <w:t xml:space="preserve"> that because the trial court had granted a stay rather than a dismissal, </w:t>
      </w:r>
      <w:r w:rsidR="000B393A">
        <w:rPr>
          <w:rFonts w:ascii="Century Schoolbook" w:hAnsi="Century Schoolbook"/>
        </w:rPr>
        <w:t>“[i]</w:t>
      </w:r>
      <w:r w:rsidRPr="000B393A" w:rsidR="000B393A">
        <w:rPr>
          <w:rFonts w:ascii="Century Schoolbook" w:hAnsi="Century Schoolbook"/>
        </w:rPr>
        <w:t>n the event our understanding of Hawaii law is incorrect, plaintiff will have the opportunity to seek relief in the courts of this state.</w:t>
      </w:r>
      <w:r w:rsidR="000B393A">
        <w:rPr>
          <w:rFonts w:ascii="Century Schoolbook" w:hAnsi="Century Schoolbook"/>
        </w:rPr>
        <w:t>”</w:t>
      </w:r>
      <w:r w:rsidR="00BF0D73">
        <w:rPr>
          <w:rFonts w:ascii="Century Schoolbook" w:hAnsi="Century Schoolbook"/>
        </w:rPr>
        <w:t xml:space="preserve">  (</w:t>
      </w:r>
      <w:r w:rsidRPr="000B393A" w:rsidR="00BF0D73">
        <w:rPr>
          <w:rFonts w:ascii="Century Schoolbook" w:hAnsi="Century Schoolbook"/>
          <w:i/>
          <w:iCs/>
        </w:rPr>
        <w:t>Id</w:t>
      </w:r>
      <w:r w:rsidR="00BF0D73">
        <w:rPr>
          <w:rFonts w:ascii="Century Schoolbook" w:hAnsi="Century Schoolbook"/>
        </w:rPr>
        <w:t xml:space="preserve">. at p. </w:t>
      </w:r>
      <w:r w:rsidR="000B393A">
        <w:rPr>
          <w:rFonts w:ascii="Century Schoolbook" w:hAnsi="Century Schoolbook"/>
        </w:rPr>
        <w:t>1534</w:t>
      </w:r>
      <w:r w:rsidR="00BF0D73">
        <w:rPr>
          <w:rFonts w:ascii="Century Schoolbook" w:hAnsi="Century Schoolbook"/>
        </w:rPr>
        <w:t xml:space="preserve">.)  </w:t>
      </w:r>
    </w:p>
    <w:p w:rsidR="00FE50FE" w:rsidP="00B8216E" w14:paraId="428D9378" w14:textId="15BA42B4">
      <w:pPr>
        <w:tabs>
          <w:tab w:val="clear" w:pos="720"/>
        </w:tabs>
        <w:spacing w:line="360" w:lineRule="auto"/>
        <w:ind w:firstLine="720"/>
        <w:rPr>
          <w:rFonts w:ascii="Century Schoolbook" w:hAnsi="Century Schoolbook"/>
        </w:rPr>
      </w:pPr>
      <w:r>
        <w:rPr>
          <w:rFonts w:ascii="Century Schoolbook" w:hAnsi="Century Schoolbook"/>
        </w:rPr>
        <w:t xml:space="preserve">After </w:t>
      </w:r>
      <w:r w:rsidRPr="00276773">
        <w:rPr>
          <w:rFonts w:ascii="Century Schoolbook" w:hAnsi="Century Schoolbook"/>
          <w:i/>
          <w:iCs/>
        </w:rPr>
        <w:t xml:space="preserve">Investors Equity </w:t>
      </w:r>
      <w:r w:rsidRPr="00E23AFD">
        <w:rPr>
          <w:rFonts w:ascii="Century Schoolbook" w:hAnsi="Century Schoolbook"/>
          <w:i/>
          <w:iCs/>
        </w:rPr>
        <w:t>I</w:t>
      </w:r>
      <w:r>
        <w:rPr>
          <w:rFonts w:ascii="Century Schoolbook" w:hAnsi="Century Schoolbook"/>
        </w:rPr>
        <w:t>, defendants renewed their motion to dismiss, and the court granted the motion.  (</w:t>
      </w:r>
      <w:r w:rsidRPr="00372C1C">
        <w:rPr>
          <w:rFonts w:ascii="Century Schoolbook" w:hAnsi="Century Schoolbook"/>
          <w:i/>
          <w:iCs/>
        </w:rPr>
        <w:t>Investors Equity II</w:t>
      </w:r>
      <w:r w:rsidR="00F0674F">
        <w:rPr>
          <w:rFonts w:ascii="Century Schoolbook" w:hAnsi="Century Schoolbook"/>
        </w:rPr>
        <w:t xml:space="preserve">, </w:t>
      </w:r>
      <w:r w:rsidR="00F0674F">
        <w:rPr>
          <w:rFonts w:ascii="Century Schoolbook" w:hAnsi="Century Schoolbook"/>
          <w:i/>
          <w:iCs/>
        </w:rPr>
        <w:t>supra</w:t>
      </w:r>
      <w:r w:rsidR="00F0674F">
        <w:rPr>
          <w:rFonts w:ascii="Century Schoolbook" w:hAnsi="Century Schoolbook"/>
        </w:rPr>
        <w:t>,</w:t>
      </w:r>
      <w:r w:rsidR="00B8216E">
        <w:rPr>
          <w:rFonts w:ascii="Century Schoolbook" w:hAnsi="Century Schoolbook"/>
        </w:rPr>
        <w:t xml:space="preserve"> </w:t>
      </w:r>
      <w:r w:rsidR="00372C1C">
        <w:rPr>
          <w:rFonts w:ascii="Century Schoolbook" w:hAnsi="Century Schoolbook"/>
        </w:rPr>
        <w:t>233</w:t>
      </w:r>
      <w:r>
        <w:rPr>
          <w:rFonts w:ascii="Century Schoolbook" w:hAnsi="Century Schoolbook"/>
        </w:rPr>
        <w:t> </w:t>
      </w:r>
      <w:r w:rsidR="00372C1C">
        <w:rPr>
          <w:rFonts w:ascii="Century Schoolbook" w:hAnsi="Century Schoolbook"/>
        </w:rPr>
        <w:t>Cal.App.4th</w:t>
      </w:r>
      <w:r>
        <w:rPr>
          <w:rFonts w:ascii="Century Schoolbook" w:hAnsi="Century Schoolbook"/>
        </w:rPr>
        <w:t xml:space="preserve"> </w:t>
      </w:r>
      <w:r w:rsidR="00F0674F">
        <w:rPr>
          <w:rFonts w:ascii="Century Schoolbook" w:hAnsi="Century Schoolbook"/>
        </w:rPr>
        <w:t xml:space="preserve">at pp. </w:t>
      </w:r>
      <w:r w:rsidR="00372C1C">
        <w:rPr>
          <w:rFonts w:ascii="Century Schoolbook" w:hAnsi="Century Schoolbook"/>
        </w:rPr>
        <w:t>1367–1368</w:t>
      </w:r>
      <w:r>
        <w:rPr>
          <w:rFonts w:ascii="Century Schoolbook" w:hAnsi="Century Schoolbook"/>
        </w:rPr>
        <w:t xml:space="preserve">.)  </w:t>
      </w:r>
      <w:r w:rsidR="00372C1C">
        <w:rPr>
          <w:rFonts w:ascii="Century Schoolbook" w:hAnsi="Century Schoolbook"/>
        </w:rPr>
        <w:t xml:space="preserve">This time, the Court of Appeal reversed, </w:t>
      </w:r>
      <w:r w:rsidR="003A6CC5">
        <w:rPr>
          <w:rFonts w:ascii="Century Schoolbook" w:hAnsi="Century Schoolbook"/>
        </w:rPr>
        <w:t>concluding</w:t>
      </w:r>
      <w:r w:rsidR="00372C1C">
        <w:rPr>
          <w:rFonts w:ascii="Century Schoolbook" w:hAnsi="Century Schoolbook"/>
        </w:rPr>
        <w:t xml:space="preserve"> as follows:  </w:t>
      </w:r>
      <w:r w:rsidR="00583D1F">
        <w:rPr>
          <w:rFonts w:ascii="Century Schoolbook" w:hAnsi="Century Schoolbook"/>
        </w:rPr>
        <w:t>“</w:t>
      </w:r>
      <w:r w:rsidRPr="00583D1F" w:rsidR="00583D1F">
        <w:rPr>
          <w:rFonts w:ascii="Century Schoolbook" w:hAnsi="Century Schoolbook"/>
        </w:rPr>
        <w:t>In this case, the trial court</w:t>
      </w:r>
      <w:r w:rsidR="00583D1F">
        <w:rPr>
          <w:rFonts w:ascii="Century Schoolbook" w:hAnsi="Century Schoolbook"/>
        </w:rPr>
        <w:t>’</w:t>
      </w:r>
      <w:r w:rsidRPr="00583D1F" w:rsidR="00583D1F">
        <w:rPr>
          <w:rFonts w:ascii="Century Schoolbook" w:hAnsi="Century Schoolbook"/>
        </w:rPr>
        <w:t>s original assessment of Hawaii</w:t>
      </w:r>
      <w:r w:rsidR="00583D1F">
        <w:rPr>
          <w:rFonts w:ascii="Century Schoolbook" w:hAnsi="Century Schoolbook"/>
        </w:rPr>
        <w:t>’</w:t>
      </w:r>
      <w:r w:rsidRPr="00583D1F" w:rsidR="00583D1F">
        <w:rPr>
          <w:rFonts w:ascii="Century Schoolbook" w:hAnsi="Century Schoolbook"/>
        </w:rPr>
        <w:t xml:space="preserve">s suitability, as well as our opinion affirming that assessment, was based in part on the promises and stipulations entered into by defendants </w:t>
      </w:r>
      <w:r w:rsidRPr="00583D1F" w:rsidR="00583D1F">
        <w:rPr>
          <w:rFonts w:ascii="Century Schoolbook" w:hAnsi="Century Schoolbook"/>
          <w:i/>
          <w:iCs/>
        </w:rPr>
        <w:t>in this forum</w:t>
      </w:r>
      <w:r w:rsidRPr="00583D1F" w:rsidR="00583D1F">
        <w:rPr>
          <w:rFonts w:ascii="Century Schoolbook" w:hAnsi="Century Schoolbook"/>
        </w:rPr>
        <w:t xml:space="preserve">. </w:t>
      </w:r>
      <w:r w:rsidR="00583D1F">
        <w:rPr>
          <w:rFonts w:ascii="Century Schoolbook" w:hAnsi="Century Schoolbook"/>
        </w:rPr>
        <w:t xml:space="preserve"> </w:t>
      </w:r>
      <w:r w:rsidRPr="00583D1F" w:rsidR="00583D1F">
        <w:rPr>
          <w:rFonts w:ascii="Century Schoolbook" w:hAnsi="Century Schoolbook"/>
        </w:rPr>
        <w:t xml:space="preserve">Having relied on those representations as a basis for our rulings, we have an interest in retaining jurisdiction to ensure plaintiff has a remedy in the event defendants do not comply with those promises in the alternate forum. </w:t>
      </w:r>
      <w:r w:rsidR="00583D1F">
        <w:rPr>
          <w:rFonts w:ascii="Century Schoolbook" w:hAnsi="Century Schoolbook"/>
        </w:rPr>
        <w:t xml:space="preserve"> </w:t>
      </w:r>
      <w:r w:rsidRPr="00583D1F" w:rsidR="00583D1F">
        <w:rPr>
          <w:rFonts w:ascii="Century Schoolbook" w:hAnsi="Century Schoolbook"/>
        </w:rPr>
        <w:t>Moreover, our assessment of Hawaii</w:t>
      </w:r>
      <w:r w:rsidR="00583D1F">
        <w:rPr>
          <w:rFonts w:ascii="Century Schoolbook" w:hAnsi="Century Schoolbook"/>
        </w:rPr>
        <w:t>’</w:t>
      </w:r>
      <w:r w:rsidRPr="00583D1F" w:rsidR="00583D1F">
        <w:rPr>
          <w:rFonts w:ascii="Century Schoolbook" w:hAnsi="Century Schoolbook"/>
        </w:rPr>
        <w:t>s suitability as an alternative forum was also based on our own analysis of Hawaii</w:t>
      </w:r>
      <w:r w:rsidR="00583D1F">
        <w:rPr>
          <w:rFonts w:ascii="Century Schoolbook" w:hAnsi="Century Schoolbook"/>
        </w:rPr>
        <w:t>’</w:t>
      </w:r>
      <w:r w:rsidRPr="00583D1F" w:rsidR="00583D1F">
        <w:rPr>
          <w:rFonts w:ascii="Century Schoolbook" w:hAnsi="Century Schoolbook"/>
        </w:rPr>
        <w:t>s statutes of limitations, which we concluded operated similarly to California</w:t>
      </w:r>
      <w:r w:rsidR="00583D1F">
        <w:rPr>
          <w:rFonts w:ascii="Century Schoolbook" w:hAnsi="Century Schoolbook"/>
        </w:rPr>
        <w:t>’</w:t>
      </w:r>
      <w:r w:rsidRPr="00583D1F" w:rsidR="00583D1F">
        <w:rPr>
          <w:rFonts w:ascii="Century Schoolbook" w:hAnsi="Century Schoolbook"/>
        </w:rPr>
        <w:t xml:space="preserve">s. </w:t>
      </w:r>
      <w:r w:rsidR="00583D1F">
        <w:rPr>
          <w:rFonts w:ascii="Century Schoolbook" w:hAnsi="Century Schoolbook"/>
        </w:rPr>
        <w:t xml:space="preserve"> </w:t>
      </w:r>
      <w:r w:rsidRPr="00583D1F" w:rsidR="00583D1F">
        <w:rPr>
          <w:rFonts w:ascii="Century Schoolbook" w:hAnsi="Century Schoolbook"/>
        </w:rPr>
        <w:t>However, because our analysis of Hawaii law is not binding on any proceeding conducted in Hawaii</w:t>
      </w:r>
      <w:r w:rsidR="00583D1F">
        <w:rPr>
          <w:rFonts w:ascii="Century Schoolbook" w:hAnsi="Century Schoolbook"/>
        </w:rPr>
        <w:t>’</w:t>
      </w:r>
      <w:r w:rsidRPr="00583D1F" w:rsidR="00583D1F">
        <w:rPr>
          <w:rFonts w:ascii="Century Schoolbook" w:hAnsi="Century Schoolbook"/>
        </w:rPr>
        <w:t xml:space="preserve">s own courts, we also explained that </w:t>
      </w:r>
      <w:r w:rsidR="00583D1F">
        <w:rPr>
          <w:rFonts w:ascii="Century Schoolbook" w:hAnsi="Century Schoolbook"/>
        </w:rPr>
        <w:t>‘</w:t>
      </w:r>
      <w:r w:rsidRPr="00583D1F" w:rsidR="00583D1F">
        <w:rPr>
          <w:rFonts w:ascii="Century Schoolbook" w:hAnsi="Century Schoolbook"/>
        </w:rPr>
        <w:t>[i]n the event our understanding of Hawaii law is incorrect,</w:t>
      </w:r>
      <w:r w:rsidR="00583D1F">
        <w:rPr>
          <w:rFonts w:ascii="Century Schoolbook" w:hAnsi="Century Schoolbook"/>
        </w:rPr>
        <w:t>’</w:t>
      </w:r>
      <w:r w:rsidRPr="00583D1F" w:rsidR="00583D1F">
        <w:rPr>
          <w:rFonts w:ascii="Century Schoolbook" w:hAnsi="Century Schoolbook"/>
        </w:rPr>
        <w:t xml:space="preserve"> the fact that this case was merely stayed, rather than dismissed, meant </w:t>
      </w:r>
      <w:r w:rsidR="00583D1F">
        <w:rPr>
          <w:rFonts w:ascii="Century Schoolbook" w:hAnsi="Century Schoolbook"/>
        </w:rPr>
        <w:t>‘</w:t>
      </w:r>
      <w:r w:rsidRPr="00583D1F" w:rsidR="00583D1F">
        <w:rPr>
          <w:rFonts w:ascii="Century Schoolbook" w:hAnsi="Century Schoolbook"/>
        </w:rPr>
        <w:t>plaintiff will have the opportunity to seek relief in the courts of this state.</w:t>
      </w:r>
      <w:r w:rsidR="00583D1F">
        <w:rPr>
          <w:rFonts w:ascii="Century Schoolbook" w:hAnsi="Century Schoolbook"/>
        </w:rPr>
        <w:t xml:space="preserve">’ </w:t>
      </w:r>
      <w:r w:rsidRPr="00583D1F" w:rsidR="00583D1F">
        <w:rPr>
          <w:rFonts w:ascii="Century Schoolbook" w:hAnsi="Century Schoolbook"/>
        </w:rPr>
        <w:t xml:space="preserve"> (</w:t>
      </w:r>
      <w:r w:rsidRPr="00583D1F" w:rsidR="00583D1F">
        <w:rPr>
          <w:rFonts w:ascii="Century Schoolbook" w:hAnsi="Century Schoolbook"/>
          <w:i/>
          <w:iCs/>
        </w:rPr>
        <w:t>Investors Equity I</w:t>
      </w:r>
      <w:r w:rsidRPr="00583D1F" w:rsidR="00583D1F">
        <w:rPr>
          <w:rFonts w:ascii="Century Schoolbook" w:hAnsi="Century Schoolbook"/>
        </w:rPr>
        <w:t xml:space="preserve">, </w:t>
      </w:r>
      <w:r w:rsidRPr="00583D1F" w:rsidR="00583D1F">
        <w:rPr>
          <w:rFonts w:ascii="Century Schoolbook" w:hAnsi="Century Schoolbook"/>
          <w:i/>
          <w:iCs/>
        </w:rPr>
        <w:t>supra</w:t>
      </w:r>
      <w:r w:rsidRPr="00583D1F" w:rsidR="00583D1F">
        <w:rPr>
          <w:rFonts w:ascii="Century Schoolbook" w:hAnsi="Century Schoolbook"/>
        </w:rPr>
        <w:t>, 195 Cal.App.4th at p. 1534.)</w:t>
      </w:r>
    </w:p>
    <w:p w:rsidR="00FE50FE" w:rsidP="00FE50FE" w14:paraId="3D51795D" w14:textId="77777777">
      <w:pPr>
        <w:tabs>
          <w:tab w:val="clear" w:pos="720"/>
        </w:tabs>
        <w:spacing w:line="360" w:lineRule="auto"/>
        <w:ind w:firstLine="720"/>
        <w:rPr>
          <w:rFonts w:ascii="Century Schoolbook" w:hAnsi="Century Schoolbook"/>
        </w:rPr>
      </w:pPr>
      <w:r>
        <w:rPr>
          <w:rFonts w:ascii="Century Schoolbook" w:hAnsi="Century Schoolbook"/>
        </w:rPr>
        <w:t>“</w:t>
      </w:r>
      <w:r w:rsidRPr="00583D1F">
        <w:rPr>
          <w:rFonts w:ascii="Century Schoolbook" w:hAnsi="Century Schoolbook"/>
        </w:rPr>
        <w:t>The trial court</w:t>
      </w:r>
      <w:r>
        <w:rPr>
          <w:rFonts w:ascii="Century Schoolbook" w:hAnsi="Century Schoolbook"/>
        </w:rPr>
        <w:t>’</w:t>
      </w:r>
      <w:r w:rsidRPr="00583D1F">
        <w:rPr>
          <w:rFonts w:ascii="Century Schoolbook" w:hAnsi="Century Schoolbook"/>
        </w:rPr>
        <w:t xml:space="preserve">s subsequent decision to dismiss the action undermined both of those bases for the original suitability finding. </w:t>
      </w:r>
      <w:r>
        <w:rPr>
          <w:rFonts w:ascii="Century Schoolbook" w:hAnsi="Century Schoolbook"/>
        </w:rPr>
        <w:t xml:space="preserve"> </w:t>
      </w:r>
      <w:r w:rsidRPr="00583D1F">
        <w:rPr>
          <w:rFonts w:ascii="Century Schoolbook" w:hAnsi="Century Schoolbook"/>
        </w:rPr>
        <w:t xml:space="preserve">If this case were dismissed, California would forfeit its power to act in the event the promises made by defendants in this forum are not complied with, or to offer plaintiff any relief if Hawaii ultimately interprets its own laws in a manner which materially differs from what we had anticipated. </w:t>
      </w:r>
      <w:r>
        <w:rPr>
          <w:rFonts w:ascii="Century Schoolbook" w:hAnsi="Century Schoolbook"/>
        </w:rPr>
        <w:t xml:space="preserve"> </w:t>
      </w:r>
      <w:r w:rsidRPr="00583D1F">
        <w:rPr>
          <w:rFonts w:ascii="Century Schoolbook" w:hAnsi="Century Schoolbook"/>
        </w:rPr>
        <w:t>Under these circumstances, it was error to order this case dismissed before the parties</w:t>
      </w:r>
      <w:r>
        <w:rPr>
          <w:rFonts w:ascii="Century Schoolbook" w:hAnsi="Century Schoolbook"/>
        </w:rPr>
        <w:t>’</w:t>
      </w:r>
      <w:r w:rsidRPr="00583D1F">
        <w:rPr>
          <w:rFonts w:ascii="Century Schoolbook" w:hAnsi="Century Schoolbook"/>
        </w:rPr>
        <w:t xml:space="preserve"> dispute is finally resolved in Hawaii.</w:t>
      </w:r>
      <w:r>
        <w:rPr>
          <w:rFonts w:ascii="Century Schoolbook" w:hAnsi="Century Schoolbook"/>
        </w:rPr>
        <w:t>”  (</w:t>
      </w:r>
      <w:r w:rsidRPr="00583D1F">
        <w:rPr>
          <w:rFonts w:ascii="Century Schoolbook" w:hAnsi="Century Schoolbook"/>
          <w:i/>
          <w:iCs/>
        </w:rPr>
        <w:t>Investors Equity II</w:t>
      </w:r>
      <w:r>
        <w:rPr>
          <w:rFonts w:ascii="Century Schoolbook" w:hAnsi="Century Schoolbook"/>
        </w:rPr>
        <w:t xml:space="preserve">, </w:t>
      </w:r>
      <w:r w:rsidRPr="00583D1F">
        <w:rPr>
          <w:rFonts w:ascii="Century Schoolbook" w:hAnsi="Century Schoolbook"/>
          <w:i/>
          <w:iCs/>
        </w:rPr>
        <w:t>supra</w:t>
      </w:r>
      <w:r>
        <w:rPr>
          <w:rFonts w:ascii="Century Schoolbook" w:hAnsi="Century Schoolbook"/>
        </w:rPr>
        <w:t xml:space="preserve">, 233 Cal.App.4th at p. 1368.) </w:t>
      </w:r>
    </w:p>
    <w:p w:rsidR="00FE50FE" w:rsidP="00FE50FE" w14:paraId="09A475D6" w14:textId="0B93F42D">
      <w:pPr>
        <w:tabs>
          <w:tab w:val="clear" w:pos="720"/>
        </w:tabs>
        <w:spacing w:line="360" w:lineRule="auto"/>
        <w:ind w:firstLine="720"/>
        <w:rPr>
          <w:rFonts w:ascii="Century Schoolbook" w:hAnsi="Century Schoolbook"/>
        </w:rPr>
      </w:pPr>
      <w:r>
        <w:rPr>
          <w:rFonts w:ascii="Century Schoolbook" w:hAnsi="Century Schoolbook"/>
        </w:rPr>
        <w:t xml:space="preserve">Plaintiffs argue that similarly to the dismissal in </w:t>
      </w:r>
      <w:r w:rsidRPr="006670EA">
        <w:rPr>
          <w:rFonts w:ascii="Century Schoolbook" w:hAnsi="Century Schoolbook"/>
          <w:i/>
          <w:iCs/>
        </w:rPr>
        <w:t>Investors Equity II</w:t>
      </w:r>
      <w:r>
        <w:rPr>
          <w:rFonts w:ascii="Century Schoolbook" w:hAnsi="Century Schoolbook"/>
        </w:rPr>
        <w:t xml:space="preserve">, </w:t>
      </w:r>
      <w:r w:rsidR="00307A66">
        <w:rPr>
          <w:rFonts w:ascii="Century Schoolbook" w:hAnsi="Century Schoolbook"/>
        </w:rPr>
        <w:t>Judge Schulman</w:t>
      </w:r>
      <w:r>
        <w:rPr>
          <w:rFonts w:ascii="Century Schoolbook" w:hAnsi="Century Schoolbook"/>
        </w:rPr>
        <w:t xml:space="preserve">’s February </w:t>
      </w:r>
      <w:r w:rsidR="0036089B">
        <w:rPr>
          <w:rFonts w:ascii="Century Schoolbook" w:hAnsi="Century Schoolbook"/>
        </w:rPr>
        <w:t>2</w:t>
      </w:r>
      <w:r w:rsidR="00957C65">
        <w:rPr>
          <w:rFonts w:ascii="Century Schoolbook" w:hAnsi="Century Schoolbook"/>
        </w:rPr>
        <w:t>8</w:t>
      </w:r>
      <w:r>
        <w:rPr>
          <w:rFonts w:ascii="Century Schoolbook" w:hAnsi="Century Schoolbook"/>
        </w:rPr>
        <w:t xml:space="preserve"> order “undermined” the bases for the court’s suitability findings by forfeiting the court’s power to act if Uber does not comply with its promises to toll the statute of limitations in Texas, Hawaii, or any of the other alternate </w:t>
      </w:r>
      <w:r w:rsidR="00C0278B">
        <w:rPr>
          <w:rFonts w:ascii="Century Schoolbook" w:hAnsi="Century Schoolbook"/>
        </w:rPr>
        <w:t>forums</w:t>
      </w:r>
      <w:r>
        <w:rPr>
          <w:rFonts w:ascii="Century Schoolbook" w:hAnsi="Century Schoolbook"/>
        </w:rPr>
        <w:t xml:space="preserve">.  </w:t>
      </w:r>
      <w:r w:rsidR="0036089B">
        <w:rPr>
          <w:rFonts w:ascii="Century Schoolbook" w:hAnsi="Century Schoolbook"/>
        </w:rPr>
        <w:t>The problem with this argument is that the February 2</w:t>
      </w:r>
      <w:r w:rsidR="00957C65">
        <w:rPr>
          <w:rFonts w:ascii="Century Schoolbook" w:hAnsi="Century Schoolbook"/>
        </w:rPr>
        <w:t>8</w:t>
      </w:r>
      <w:r w:rsidR="0036089B">
        <w:rPr>
          <w:rFonts w:ascii="Century Schoolbook" w:hAnsi="Century Schoolbook"/>
        </w:rPr>
        <w:t xml:space="preserve"> order was not </w:t>
      </w:r>
      <w:r w:rsidR="00B00EFA">
        <w:rPr>
          <w:rFonts w:ascii="Century Schoolbook" w:hAnsi="Century Schoolbook"/>
        </w:rPr>
        <w:t xml:space="preserve">Judge Schulman’s </w:t>
      </w:r>
      <w:r w:rsidR="0036089B">
        <w:rPr>
          <w:rFonts w:ascii="Century Schoolbook" w:hAnsi="Century Schoolbook"/>
        </w:rPr>
        <w:t xml:space="preserve">ruling on Uber’s </w:t>
      </w:r>
      <w:r w:rsidR="00573161">
        <w:rPr>
          <w:rFonts w:ascii="Century Schoolbook" w:hAnsi="Century Schoolbook"/>
        </w:rPr>
        <w:t>forum non conveniens</w:t>
      </w:r>
      <w:r w:rsidR="0036089B">
        <w:rPr>
          <w:rFonts w:ascii="Century Schoolbook" w:hAnsi="Century Schoolbook"/>
        </w:rPr>
        <w:t xml:space="preserve"> motions, but rather </w:t>
      </w:r>
      <w:r w:rsidR="000171B4">
        <w:rPr>
          <w:rFonts w:ascii="Century Schoolbook" w:hAnsi="Century Schoolbook"/>
        </w:rPr>
        <w:t>a</w:t>
      </w:r>
      <w:r w:rsidR="0036089B">
        <w:rPr>
          <w:rFonts w:ascii="Century Schoolbook" w:hAnsi="Century Schoolbook"/>
        </w:rPr>
        <w:t xml:space="preserve"> </w:t>
      </w:r>
      <w:r w:rsidR="00957C65">
        <w:rPr>
          <w:rFonts w:ascii="Century Schoolbook" w:hAnsi="Century Schoolbook"/>
          <w:i/>
          <w:iCs/>
        </w:rPr>
        <w:t>stipulated</w:t>
      </w:r>
      <w:r w:rsidR="0036089B">
        <w:rPr>
          <w:rFonts w:ascii="Century Schoolbook" w:hAnsi="Century Schoolbook"/>
        </w:rPr>
        <w:t xml:space="preserve"> order, </w:t>
      </w:r>
      <w:r w:rsidR="00632333">
        <w:rPr>
          <w:rFonts w:ascii="Century Schoolbook" w:hAnsi="Century Schoolbook"/>
        </w:rPr>
        <w:t>consented</w:t>
      </w:r>
      <w:r w:rsidR="00423F7C">
        <w:rPr>
          <w:rFonts w:ascii="Century Schoolbook" w:hAnsi="Century Schoolbook"/>
        </w:rPr>
        <w:t xml:space="preserve"> to by the parties</w:t>
      </w:r>
      <w:r w:rsidR="0036089B">
        <w:rPr>
          <w:rFonts w:ascii="Century Schoolbook" w:hAnsi="Century Schoolbook"/>
        </w:rPr>
        <w:t xml:space="preserve">, implementing </w:t>
      </w:r>
      <w:r w:rsidR="00573161">
        <w:rPr>
          <w:rFonts w:ascii="Century Schoolbook" w:hAnsi="Century Schoolbook"/>
        </w:rPr>
        <w:t>that</w:t>
      </w:r>
      <w:r w:rsidR="0036089B">
        <w:rPr>
          <w:rFonts w:ascii="Century Schoolbook" w:hAnsi="Century Schoolbook"/>
        </w:rPr>
        <w:t xml:space="preserve"> ruling.  </w:t>
      </w:r>
      <w:r w:rsidR="00632333">
        <w:rPr>
          <w:rFonts w:ascii="Century Schoolbook" w:hAnsi="Century Schoolbook"/>
        </w:rPr>
        <w:t>Plaintiffs’ argument is thus barred by t</w:t>
      </w:r>
      <w:r w:rsidR="00B00EFA">
        <w:rPr>
          <w:rFonts w:ascii="Century Schoolbook" w:hAnsi="Century Schoolbook"/>
        </w:rPr>
        <w:t xml:space="preserve">wo settled </w:t>
      </w:r>
      <w:r w:rsidR="00632333">
        <w:rPr>
          <w:rFonts w:ascii="Century Schoolbook" w:hAnsi="Century Schoolbook"/>
        </w:rPr>
        <w:t>principle</w:t>
      </w:r>
      <w:r w:rsidR="00573161">
        <w:rPr>
          <w:rFonts w:ascii="Century Schoolbook" w:hAnsi="Century Schoolbook"/>
        </w:rPr>
        <w:t>s</w:t>
      </w:r>
      <w:r w:rsidR="0062424F">
        <w:rPr>
          <w:rFonts w:ascii="Century Schoolbook" w:hAnsi="Century Schoolbook"/>
        </w:rPr>
        <w:t xml:space="preserve">: </w:t>
      </w:r>
      <w:r w:rsidR="00632333">
        <w:rPr>
          <w:rFonts w:ascii="Century Schoolbook" w:hAnsi="Century Schoolbook"/>
        </w:rPr>
        <w:t xml:space="preserve"> </w:t>
      </w:r>
      <w:r w:rsidR="00B62BAD">
        <w:rPr>
          <w:rFonts w:ascii="Century Schoolbook" w:hAnsi="Century Schoolbook"/>
        </w:rPr>
        <w:t>(1)</w:t>
      </w:r>
      <w:r w:rsidR="0062424F">
        <w:rPr>
          <w:rFonts w:ascii="Century Schoolbook" w:hAnsi="Century Schoolbook"/>
        </w:rPr>
        <w:t xml:space="preserve"> </w:t>
      </w:r>
      <w:r w:rsidR="00632333">
        <w:rPr>
          <w:rFonts w:ascii="Century Schoolbook" w:hAnsi="Century Schoolbook"/>
        </w:rPr>
        <w:t>that</w:t>
      </w:r>
      <w:r w:rsidR="00B00EFA">
        <w:rPr>
          <w:rFonts w:ascii="Century Schoolbook" w:hAnsi="Century Schoolbook"/>
        </w:rPr>
        <w:t xml:space="preserve"> </w:t>
      </w:r>
      <w:r w:rsidRPr="000171B4" w:rsidR="00632333">
        <w:rPr>
          <w:rFonts w:ascii="Century Schoolbook" w:hAnsi="Century Schoolbook"/>
        </w:rPr>
        <w:t>“ ‘by consenting to the judgment or order the party expressly waives all objection to it, and cannot be allowed afterwards, on appeal, to question its propriety</w:t>
      </w:r>
      <w:r w:rsidR="00632333">
        <w:rPr>
          <w:rFonts w:ascii="Century Schoolbook" w:hAnsi="Century Schoolbook"/>
        </w:rPr>
        <w:t>,</w:t>
      </w:r>
      <w:r w:rsidRPr="000171B4" w:rsidR="00632333">
        <w:rPr>
          <w:rFonts w:ascii="Century Schoolbook" w:hAnsi="Century Schoolbook"/>
        </w:rPr>
        <w:t>’ ”</w:t>
      </w:r>
      <w:r w:rsidR="00632333">
        <w:rPr>
          <w:rFonts w:ascii="Century Schoolbook" w:hAnsi="Century Schoolbook"/>
        </w:rPr>
        <w:t xml:space="preserve"> (</w:t>
      </w:r>
      <w:r w:rsidRPr="000171B4" w:rsidR="00632333">
        <w:rPr>
          <w:rFonts w:ascii="Century Schoolbook" w:hAnsi="Century Schoolbook"/>
          <w:i/>
          <w:iCs/>
        </w:rPr>
        <w:t>Norgart</w:t>
      </w:r>
      <w:r w:rsidR="0080455A">
        <w:rPr>
          <w:rFonts w:ascii="Century Schoolbook" w:hAnsi="Century Schoolbook"/>
        </w:rPr>
        <w:t>,</w:t>
      </w:r>
      <w:r w:rsidRPr="000171B4" w:rsidR="00632333">
        <w:rPr>
          <w:rFonts w:ascii="Century Schoolbook" w:hAnsi="Century Schoolbook"/>
          <w:i/>
          <w:iCs/>
        </w:rPr>
        <w:t xml:space="preserve"> </w:t>
      </w:r>
      <w:r w:rsidR="0080455A">
        <w:rPr>
          <w:rFonts w:ascii="Century Schoolbook" w:hAnsi="Century Schoolbook"/>
          <w:i/>
          <w:iCs/>
        </w:rPr>
        <w:t>supra</w:t>
      </w:r>
      <w:r w:rsidR="0080455A">
        <w:rPr>
          <w:rFonts w:ascii="Century Schoolbook" w:hAnsi="Century Schoolbook"/>
        </w:rPr>
        <w:t>,</w:t>
      </w:r>
      <w:r w:rsidRPr="000171B4" w:rsidR="00632333">
        <w:rPr>
          <w:rFonts w:ascii="Century Schoolbook" w:hAnsi="Century Schoolbook"/>
        </w:rPr>
        <w:t xml:space="preserve"> 21</w:t>
      </w:r>
      <w:r w:rsidR="00B00EFA">
        <w:rPr>
          <w:rFonts w:ascii="Century Schoolbook" w:hAnsi="Century Schoolbook"/>
        </w:rPr>
        <w:t> </w:t>
      </w:r>
      <w:r w:rsidRPr="000171B4" w:rsidR="00632333">
        <w:rPr>
          <w:rFonts w:ascii="Century Schoolbook" w:hAnsi="Century Schoolbook"/>
        </w:rPr>
        <w:t xml:space="preserve">Cal.4th </w:t>
      </w:r>
      <w:r w:rsidR="0080455A">
        <w:rPr>
          <w:rFonts w:ascii="Century Schoolbook" w:hAnsi="Century Schoolbook"/>
        </w:rPr>
        <w:t>at p.</w:t>
      </w:r>
      <w:r w:rsidRPr="000171B4" w:rsidR="00632333">
        <w:rPr>
          <w:rFonts w:ascii="Century Schoolbook" w:hAnsi="Century Schoolbook"/>
        </w:rPr>
        <w:t xml:space="preserve"> 400)</w:t>
      </w:r>
      <w:r w:rsidR="00B00EFA">
        <w:rPr>
          <w:rFonts w:ascii="Century Schoolbook" w:hAnsi="Century Schoolbook"/>
        </w:rPr>
        <w:t xml:space="preserve">; and (2) </w:t>
      </w:r>
      <w:r w:rsidR="001F69C8">
        <w:rPr>
          <w:rFonts w:ascii="Century Schoolbook" w:hAnsi="Century Schoolbook"/>
        </w:rPr>
        <w:t xml:space="preserve">that “ ‘[w]here a party by his conduct induces the </w:t>
      </w:r>
      <w:r w:rsidR="00F3426C">
        <w:rPr>
          <w:rFonts w:ascii="Century Schoolbook" w:hAnsi="Century Schoolbook"/>
        </w:rPr>
        <w:t>commission</w:t>
      </w:r>
      <w:r w:rsidR="001F69C8">
        <w:rPr>
          <w:rFonts w:ascii="Century Schoolbook" w:hAnsi="Century Schoolbook"/>
        </w:rPr>
        <w:t xml:space="preserve"> of error, he is estopped from asserting it as a ground for reversal’ on appeal</w:t>
      </w:r>
      <w:r w:rsidR="008245D5">
        <w:rPr>
          <w:rFonts w:ascii="Century Schoolbook" w:hAnsi="Century Schoolbook"/>
        </w:rPr>
        <w:t>.</w:t>
      </w:r>
      <w:r w:rsidR="001F69C8">
        <w:rPr>
          <w:rFonts w:ascii="Century Schoolbook" w:hAnsi="Century Schoolbook"/>
        </w:rPr>
        <w:t>” (</w:t>
      </w:r>
      <w:r w:rsidRPr="001F69C8" w:rsidR="001F69C8">
        <w:rPr>
          <w:rFonts w:ascii="Century Schoolbook" w:hAnsi="Century Schoolbook"/>
          <w:i/>
          <w:iCs/>
        </w:rPr>
        <w:t>Norgart</w:t>
      </w:r>
      <w:r w:rsidR="001F69C8">
        <w:rPr>
          <w:rFonts w:ascii="Century Schoolbook" w:hAnsi="Century Schoolbook"/>
        </w:rPr>
        <w:t xml:space="preserve">, </w:t>
      </w:r>
      <w:r w:rsidRPr="001F69C8" w:rsidR="001F69C8">
        <w:rPr>
          <w:rFonts w:ascii="Century Schoolbook" w:hAnsi="Century Schoolbook"/>
          <w:i/>
          <w:iCs/>
        </w:rPr>
        <w:t>supra</w:t>
      </w:r>
      <w:r w:rsidR="001F69C8">
        <w:rPr>
          <w:rFonts w:ascii="Century Schoolbook" w:hAnsi="Century Schoolbook"/>
        </w:rPr>
        <w:t>, 21 Cal.4th at p. 403</w:t>
      </w:r>
      <w:r w:rsidR="00EE6EFC">
        <w:rPr>
          <w:rFonts w:ascii="Century Schoolbook" w:hAnsi="Century Schoolbook"/>
        </w:rPr>
        <w:t xml:space="preserve">; </w:t>
      </w:r>
      <w:r w:rsidRPr="001F69C8" w:rsidR="00EE6EFC">
        <w:rPr>
          <w:rFonts w:ascii="Century Schoolbook" w:hAnsi="Century Schoolbook"/>
          <w:i/>
          <w:iCs/>
        </w:rPr>
        <w:t>Bell v. American Title Ins. Co.</w:t>
      </w:r>
      <w:r w:rsidRPr="00D2740E" w:rsidR="00EE6EFC">
        <w:rPr>
          <w:rFonts w:ascii="Century Schoolbook" w:hAnsi="Century Schoolbook"/>
        </w:rPr>
        <w:t xml:space="preserve"> (1991) 226 Cal.App.3d 1589, 1602</w:t>
      </w:r>
      <w:r w:rsidR="00EE6EFC">
        <w:rPr>
          <w:rFonts w:ascii="Century Schoolbook" w:hAnsi="Century Schoolbook"/>
        </w:rPr>
        <w:t xml:space="preserve"> [“[f]</w:t>
      </w:r>
      <w:r w:rsidRPr="00D2740E" w:rsidR="00EE6EFC">
        <w:rPr>
          <w:rFonts w:ascii="Century Schoolbook" w:hAnsi="Century Schoolbook"/>
        </w:rPr>
        <w:t>ailure to register a proper and timely objection to a ruling or proceeding in the trial court waives the issue on appeal”</w:t>
      </w:r>
      <w:r w:rsidR="00EE6EFC">
        <w:rPr>
          <w:rFonts w:ascii="Century Schoolbook" w:hAnsi="Century Schoolbook"/>
        </w:rPr>
        <w:t>];</w:t>
      </w:r>
      <w:r w:rsidR="006D02F4">
        <w:rPr>
          <w:rFonts w:ascii="Century Schoolbook" w:hAnsi="Century Schoolbook"/>
        </w:rPr>
        <w:t xml:space="preserve"> s</w:t>
      </w:r>
      <w:r w:rsidR="00411279">
        <w:rPr>
          <w:rFonts w:ascii="Century Schoolbook" w:hAnsi="Century Schoolbook"/>
        </w:rPr>
        <w:t xml:space="preserve">ee </w:t>
      </w:r>
      <w:r w:rsidR="006D02F4">
        <w:rPr>
          <w:rFonts w:ascii="Century Schoolbook" w:hAnsi="Century Schoolbook"/>
        </w:rPr>
        <w:t xml:space="preserve">generally </w:t>
      </w:r>
      <w:r w:rsidRPr="00455AA3" w:rsidR="00411279">
        <w:rPr>
          <w:rFonts w:ascii="Century Schoolbook" w:hAnsi="Century Schoolbook"/>
        </w:rPr>
        <w:t>Eisenberg et al., Cal. Practice Guide: Civil Appeals and Writs (The Rutter Group 20</w:t>
      </w:r>
      <w:r w:rsidR="00411279">
        <w:rPr>
          <w:rFonts w:ascii="Century Schoolbook" w:hAnsi="Century Schoolbook"/>
        </w:rPr>
        <w:t>23</w:t>
      </w:r>
      <w:r w:rsidRPr="00455AA3" w:rsidR="00411279">
        <w:rPr>
          <w:rFonts w:ascii="Century Schoolbook" w:hAnsi="Century Schoolbook"/>
        </w:rPr>
        <w:t>) ¶¶ 8:2</w:t>
      </w:r>
      <w:r w:rsidR="00411279">
        <w:rPr>
          <w:rFonts w:ascii="Century Schoolbook" w:hAnsi="Century Schoolbook"/>
        </w:rPr>
        <w:t>44</w:t>
      </w:r>
      <w:r w:rsidR="00DB4080">
        <w:rPr>
          <w:rFonts w:ascii="Century Schoolbook" w:hAnsi="Century Schoolbook"/>
        </w:rPr>
        <w:t>, 8:250</w:t>
      </w:r>
      <w:r w:rsidR="00411279">
        <w:rPr>
          <w:rFonts w:ascii="Century Schoolbook" w:hAnsi="Century Schoolbook"/>
        </w:rPr>
        <w:t>, 8:268</w:t>
      </w:r>
      <w:r w:rsidR="001F69C8">
        <w:rPr>
          <w:rFonts w:ascii="Century Schoolbook" w:hAnsi="Century Schoolbook"/>
        </w:rPr>
        <w:t>.</w:t>
      </w:r>
      <w:r w:rsidR="00D2740E">
        <w:rPr>
          <w:rFonts w:ascii="Century Schoolbook" w:hAnsi="Century Schoolbook"/>
        </w:rPr>
        <w:t xml:space="preserve">) </w:t>
      </w:r>
    </w:p>
    <w:p w:rsidR="00270BE2" w:rsidP="00270BE2" w14:paraId="778CC672" w14:textId="301DAAAC">
      <w:pPr>
        <w:tabs>
          <w:tab w:val="clear" w:pos="720"/>
        </w:tabs>
        <w:spacing w:line="360" w:lineRule="auto"/>
        <w:ind w:firstLine="720"/>
        <w:rPr>
          <w:rFonts w:ascii="Century Schoolbook" w:hAnsi="Century Schoolbook"/>
        </w:rPr>
      </w:pPr>
      <w:r w:rsidRPr="00F40013">
        <w:rPr>
          <w:rFonts w:ascii="Century Schoolbook" w:hAnsi="Century Schoolbook"/>
        </w:rPr>
        <w:t xml:space="preserve">To review, if plaintiffs believed that </w:t>
      </w:r>
      <w:r w:rsidR="00307A66">
        <w:rPr>
          <w:rFonts w:ascii="Century Schoolbook" w:hAnsi="Century Schoolbook"/>
        </w:rPr>
        <w:t>Judge Schulman</w:t>
      </w:r>
      <w:r w:rsidRPr="00F40013">
        <w:rPr>
          <w:rFonts w:ascii="Century Schoolbook" w:hAnsi="Century Schoolbook"/>
        </w:rPr>
        <w:t xml:space="preserve">’s suitability finding with respect to Texas and Hawaii was erroneous because Uber had not entered into any formal stipulation they were free to raise that issue </w:t>
      </w:r>
      <w:r w:rsidR="00B00EFA">
        <w:rPr>
          <w:rFonts w:ascii="Century Schoolbook" w:hAnsi="Century Schoolbook"/>
        </w:rPr>
        <w:t>below</w:t>
      </w:r>
      <w:r w:rsidRPr="00F40013">
        <w:rPr>
          <w:rFonts w:ascii="Century Schoolbook" w:hAnsi="Century Schoolbook"/>
        </w:rPr>
        <w:t>.  They did not.  Indeed, the br</w:t>
      </w:r>
      <w:r w:rsidRPr="00F40013" w:rsidR="008F6E83">
        <w:rPr>
          <w:rFonts w:ascii="Century Schoolbook" w:hAnsi="Century Schoolbook"/>
        </w:rPr>
        <w:t>ie</w:t>
      </w:r>
      <w:r w:rsidRPr="00F40013">
        <w:rPr>
          <w:rFonts w:ascii="Century Schoolbook" w:hAnsi="Century Schoolbook"/>
        </w:rPr>
        <w:t>fing on behalf on one plaintiff simply ignored the issue</w:t>
      </w:r>
      <w:r w:rsidR="00000EE1">
        <w:rPr>
          <w:rFonts w:ascii="Century Schoolbook" w:hAnsi="Century Schoolbook"/>
        </w:rPr>
        <w:t>—</w:t>
      </w:r>
      <w:r w:rsidRPr="00F40013" w:rsidR="008F6E83">
        <w:rPr>
          <w:rFonts w:ascii="Century Schoolbook" w:hAnsi="Century Schoolbook"/>
        </w:rPr>
        <w:t xml:space="preserve">and </w:t>
      </w:r>
      <w:r w:rsidRPr="00F40013">
        <w:rPr>
          <w:rFonts w:ascii="Century Schoolbook" w:hAnsi="Century Schoolbook"/>
        </w:rPr>
        <w:t xml:space="preserve">the briefing on behalf of the other expressly conceded it.  </w:t>
      </w:r>
      <w:r w:rsidR="00B00EFA">
        <w:rPr>
          <w:rFonts w:ascii="Century Schoolbook" w:hAnsi="Century Schoolbook"/>
        </w:rPr>
        <w:t xml:space="preserve">Moreover, </w:t>
      </w:r>
      <w:r w:rsidRPr="00F40013">
        <w:rPr>
          <w:rFonts w:ascii="Century Schoolbook" w:hAnsi="Century Schoolbook"/>
        </w:rPr>
        <w:t xml:space="preserve">Uber </w:t>
      </w:r>
      <w:r w:rsidRPr="00F40013" w:rsidR="008F6E83">
        <w:rPr>
          <w:rFonts w:ascii="Century Schoolbook" w:hAnsi="Century Schoolbook"/>
        </w:rPr>
        <w:t xml:space="preserve">attached to the joint statement </w:t>
      </w:r>
      <w:r w:rsidRPr="00F40013">
        <w:rPr>
          <w:rFonts w:ascii="Century Schoolbook" w:hAnsi="Century Schoolbook"/>
        </w:rPr>
        <w:t xml:space="preserve">a </w:t>
      </w:r>
      <w:r w:rsidRPr="00F40013" w:rsidR="00462088">
        <w:rPr>
          <w:rFonts w:ascii="Century Schoolbook" w:hAnsi="Century Schoolbook"/>
        </w:rPr>
        <w:t xml:space="preserve">stipulation and </w:t>
      </w:r>
      <w:r w:rsidRPr="00F40013">
        <w:rPr>
          <w:rFonts w:ascii="Century Schoolbook" w:hAnsi="Century Schoolbook"/>
        </w:rPr>
        <w:t>proposed order</w:t>
      </w:r>
      <w:r w:rsidRPr="00F40013" w:rsidR="00C31B22">
        <w:rPr>
          <w:rFonts w:ascii="Century Schoolbook" w:hAnsi="Century Schoolbook"/>
        </w:rPr>
        <w:t xml:space="preserve"> providing that the </w:t>
      </w:r>
      <w:r w:rsidRPr="00F40013" w:rsidR="003C7DD4">
        <w:rPr>
          <w:rFonts w:ascii="Century Schoolbook" w:hAnsi="Century Schoolbook"/>
        </w:rPr>
        <w:t xml:space="preserve">stay effected by the court’s order would convert to a dismissal with </w:t>
      </w:r>
      <w:r w:rsidRPr="00F40013" w:rsidR="00C31B22">
        <w:rPr>
          <w:rFonts w:ascii="Century Schoolbook" w:hAnsi="Century Schoolbook"/>
        </w:rPr>
        <w:t xml:space="preserve"> prejudice 30 days after re-filing in an alternate forum, </w:t>
      </w:r>
      <w:r w:rsidRPr="00F40013" w:rsidR="00F40013">
        <w:rPr>
          <w:rFonts w:ascii="Century Schoolbook" w:hAnsi="Century Schoolbook"/>
        </w:rPr>
        <w:t xml:space="preserve">with provisions to toll the statute of limitations, and that for cases not refiled within </w:t>
      </w:r>
      <w:r w:rsidR="006D70FD">
        <w:rPr>
          <w:rFonts w:ascii="Century Schoolbook" w:hAnsi="Century Schoolbook"/>
        </w:rPr>
        <w:t xml:space="preserve">the </w:t>
      </w:r>
      <w:r w:rsidRPr="00F40013" w:rsidR="00F40013">
        <w:rPr>
          <w:rFonts w:ascii="Century Schoolbook" w:hAnsi="Century Schoolbook"/>
        </w:rPr>
        <w:t xml:space="preserve">30 days, the stay would likewise be converted to a dismissal with prejudice.  </w:t>
      </w:r>
      <w:r w:rsidRPr="00F40013">
        <w:rPr>
          <w:rFonts w:ascii="Century Schoolbook" w:hAnsi="Century Schoolbook"/>
        </w:rPr>
        <w:t xml:space="preserve">Uber took the position that its proposed order sufficiently addressed all the issues, concluding with </w:t>
      </w:r>
      <w:r>
        <w:rPr>
          <w:rFonts w:ascii="Century Schoolbook" w:hAnsi="Century Schoolbook"/>
        </w:rPr>
        <w:t xml:space="preserve">this:  </w:t>
      </w:r>
      <w:r w:rsidRPr="00F40013">
        <w:rPr>
          <w:rFonts w:ascii="Century Schoolbook" w:hAnsi="Century Schoolbook"/>
        </w:rPr>
        <w:t xml:space="preserve">“In short, the draft Stipulation and Order is ready to be entered as an order of the Court.  The only issue requiring resolution is the period for re-filing:  30 days (as Uber proposed) or 6 months (as Plaintiffs proposed), or a compromise in between.”  </w:t>
      </w:r>
    </w:p>
    <w:p w:rsidR="00EE6EFC" w:rsidP="00EE6EFC" w14:paraId="6A1847B5" w14:textId="37ED18FB">
      <w:pPr>
        <w:tabs>
          <w:tab w:val="clear" w:pos="720"/>
        </w:tabs>
        <w:spacing w:line="360" w:lineRule="auto"/>
        <w:ind w:firstLine="720"/>
        <w:rPr>
          <w:rFonts w:ascii="Century Schoolbook" w:hAnsi="Century Schoolbook"/>
        </w:rPr>
      </w:pPr>
      <w:r w:rsidRPr="00F40013">
        <w:rPr>
          <w:rFonts w:ascii="Century Schoolbook" w:hAnsi="Century Schoolbook"/>
        </w:rPr>
        <w:t>In the</w:t>
      </w:r>
      <w:r w:rsidRPr="00F40013" w:rsidR="00F40013">
        <w:rPr>
          <w:rFonts w:ascii="Century Schoolbook" w:hAnsi="Century Schoolbook"/>
        </w:rPr>
        <w:t>ir portion of the joint</w:t>
      </w:r>
      <w:r w:rsidRPr="00F40013">
        <w:rPr>
          <w:rFonts w:ascii="Century Schoolbook" w:hAnsi="Century Schoolbook"/>
        </w:rPr>
        <w:t xml:space="preserve"> statement, </w:t>
      </w:r>
      <w:r w:rsidRPr="00F40013" w:rsidR="00F3426C">
        <w:rPr>
          <w:rFonts w:ascii="Century Schoolbook" w:hAnsi="Century Schoolbook"/>
        </w:rPr>
        <w:t>plaintiffs</w:t>
      </w:r>
      <w:r w:rsidRPr="00F40013">
        <w:rPr>
          <w:rFonts w:ascii="Century Schoolbook" w:hAnsi="Century Schoolbook"/>
        </w:rPr>
        <w:t xml:space="preserve"> took the position that they should be given six months to re-file the </w:t>
      </w:r>
      <w:r w:rsidRPr="00F40013" w:rsidR="00F3426C">
        <w:rPr>
          <w:rFonts w:ascii="Century Schoolbook" w:hAnsi="Century Schoolbook"/>
        </w:rPr>
        <w:t>affected</w:t>
      </w:r>
      <w:r w:rsidRPr="00F40013">
        <w:rPr>
          <w:rFonts w:ascii="Century Schoolbook" w:hAnsi="Century Schoolbook"/>
        </w:rPr>
        <w:t xml:space="preserve"> cases.  </w:t>
      </w:r>
      <w:r w:rsidRPr="00F40013" w:rsidR="00F40013">
        <w:rPr>
          <w:rFonts w:ascii="Century Schoolbook" w:hAnsi="Century Schoolbook"/>
        </w:rPr>
        <w:t>They also stated</w:t>
      </w:r>
      <w:r w:rsidRPr="00F40013" w:rsidR="00C31B22">
        <w:rPr>
          <w:rFonts w:ascii="Century Schoolbook" w:hAnsi="Century Schoolbook"/>
        </w:rPr>
        <w:t xml:space="preserve"> that “</w:t>
      </w:r>
      <w:r w:rsidRPr="00F40013" w:rsidR="00122D40">
        <w:rPr>
          <w:rFonts w:ascii="Century Schoolbook" w:hAnsi="Century Schoolbook"/>
        </w:rPr>
        <w:t>now that Uber has prevailed on the underlying motion, Plaintiffs are encountering push back with respect to Uber’s willingness to waive the statute of  limitations and to ensure the fact that there is a suitable alternative forum for any case dismissed.</w:t>
      </w:r>
      <w:r w:rsidRPr="00F40013" w:rsidR="00F40013">
        <w:rPr>
          <w:rFonts w:ascii="Century Schoolbook" w:hAnsi="Century Schoolbook"/>
        </w:rPr>
        <w:t xml:space="preserve"> </w:t>
      </w:r>
      <w:r w:rsidRPr="00F40013" w:rsidR="00122D40">
        <w:rPr>
          <w:rFonts w:ascii="Century Schoolbook" w:hAnsi="Century Schoolbook"/>
        </w:rPr>
        <w:t xml:space="preserve"> Accordingly, we will be requesting that the Court clarify this aspect of its FNC Order with a further order to the effect that Uber has agreed to waive the statute of limitations so that plaintiff may file in an alternative forum.”  </w:t>
      </w:r>
    </w:p>
    <w:p w:rsidR="00EE6EFC" w:rsidP="00EE6EFC" w14:paraId="0C5F5EC2" w14:textId="0D2DDE92">
      <w:pPr>
        <w:tabs>
          <w:tab w:val="clear" w:pos="720"/>
        </w:tabs>
        <w:spacing w:line="360" w:lineRule="auto"/>
        <w:ind w:firstLine="720"/>
        <w:rPr>
          <w:rFonts w:ascii="Century Schoolbook" w:hAnsi="Century Schoolbook"/>
        </w:rPr>
      </w:pPr>
      <w:r w:rsidRPr="00F40013">
        <w:rPr>
          <w:rFonts w:ascii="Century Schoolbook" w:hAnsi="Century Schoolbook"/>
        </w:rPr>
        <w:t>A</w:t>
      </w:r>
      <w:r w:rsidRPr="00F40013" w:rsidR="00971BC1">
        <w:rPr>
          <w:rFonts w:ascii="Century Schoolbook" w:hAnsi="Century Schoolbook"/>
        </w:rPr>
        <w:t>t the case management conference,</w:t>
      </w:r>
      <w:r w:rsidRPr="00F40013">
        <w:rPr>
          <w:rFonts w:ascii="Century Schoolbook" w:hAnsi="Century Schoolbook"/>
        </w:rPr>
        <w:t xml:space="preserve"> </w:t>
      </w:r>
      <w:r w:rsidRPr="00F40013" w:rsidR="00971BC1">
        <w:rPr>
          <w:rFonts w:ascii="Century Schoolbook" w:hAnsi="Century Schoolbook"/>
        </w:rPr>
        <w:t xml:space="preserve">plaintiffs’ counsel did not request a further order clarifying that Uber had agreed to waive the statute of limitations in any alternate </w:t>
      </w:r>
      <w:r w:rsidR="00C0278B">
        <w:rPr>
          <w:rFonts w:ascii="Century Schoolbook" w:hAnsi="Century Schoolbook"/>
        </w:rPr>
        <w:t>forums</w:t>
      </w:r>
      <w:r w:rsidRPr="00F40013" w:rsidR="004F78FA">
        <w:rPr>
          <w:rFonts w:ascii="Century Schoolbook" w:hAnsi="Century Schoolbook"/>
        </w:rPr>
        <w:t xml:space="preserve"> or otherwise </w:t>
      </w:r>
      <w:r w:rsidRPr="00F40013" w:rsidR="00CE5B77">
        <w:rPr>
          <w:rFonts w:ascii="Century Schoolbook" w:hAnsi="Century Schoolbook"/>
        </w:rPr>
        <w:t>raise that issue</w:t>
      </w:r>
      <w:r w:rsidRPr="00F40013" w:rsidR="00971BC1">
        <w:rPr>
          <w:rFonts w:ascii="Century Schoolbook" w:hAnsi="Century Schoolbook"/>
        </w:rPr>
        <w:t xml:space="preserve">.  </w:t>
      </w:r>
      <w:r w:rsidRPr="00F40013" w:rsidR="00BE6B85">
        <w:rPr>
          <w:rFonts w:ascii="Century Schoolbook" w:hAnsi="Century Schoolbook"/>
        </w:rPr>
        <w:t xml:space="preserve">When asked to address Uber’s proposed order, plaintiffs’ counsel explained that their </w:t>
      </w:r>
      <w:r w:rsidRPr="00F40013" w:rsidR="004F78FA">
        <w:rPr>
          <w:rFonts w:ascii="Century Schoolbook" w:hAnsi="Century Schoolbook"/>
        </w:rPr>
        <w:t xml:space="preserve">objection was that </w:t>
      </w:r>
      <w:r>
        <w:rPr>
          <w:rFonts w:ascii="Century Schoolbook" w:hAnsi="Century Schoolbook"/>
        </w:rPr>
        <w:t xml:space="preserve">the order </w:t>
      </w:r>
      <w:r w:rsidRPr="00F40013" w:rsidR="004F78FA">
        <w:rPr>
          <w:rFonts w:ascii="Century Schoolbook" w:hAnsi="Century Schoolbook"/>
        </w:rPr>
        <w:t xml:space="preserve">did not toll the statute of limitations or provide a long </w:t>
      </w:r>
      <w:r w:rsidRPr="00F40013" w:rsidR="00D84022">
        <w:rPr>
          <w:rFonts w:ascii="Century Schoolbook" w:hAnsi="Century Schoolbook"/>
        </w:rPr>
        <w:t xml:space="preserve">enough </w:t>
      </w:r>
      <w:r w:rsidRPr="00F40013" w:rsidR="004F78FA">
        <w:rPr>
          <w:rFonts w:ascii="Century Schoolbook" w:hAnsi="Century Schoolbook"/>
        </w:rPr>
        <w:t xml:space="preserve">period for re-filing before the cases would be dismissed.  Indeed, with respect to the portion of the order providing that the cases would </w:t>
      </w:r>
      <w:r w:rsidR="002915C0">
        <w:rPr>
          <w:rFonts w:ascii="Century Schoolbook" w:hAnsi="Century Schoolbook"/>
        </w:rPr>
        <w:t>be</w:t>
      </w:r>
      <w:r w:rsidRPr="00F40013" w:rsidR="002915C0">
        <w:rPr>
          <w:rFonts w:ascii="Century Schoolbook" w:hAnsi="Century Schoolbook"/>
        </w:rPr>
        <w:t xml:space="preserve"> dismissed</w:t>
      </w:r>
      <w:r w:rsidRPr="00F40013" w:rsidR="004F78FA">
        <w:rPr>
          <w:rFonts w:ascii="Century Schoolbook" w:hAnsi="Century Schoolbook"/>
        </w:rPr>
        <w:t xml:space="preserve"> with prejudice 30 days </w:t>
      </w:r>
      <w:r w:rsidRPr="00F40013" w:rsidR="004F78FA">
        <w:rPr>
          <w:rFonts w:ascii="Century Schoolbook" w:hAnsi="Century Schoolbook"/>
          <w:i/>
          <w:iCs/>
        </w:rPr>
        <w:t>after</w:t>
      </w:r>
      <w:r w:rsidRPr="00F40013" w:rsidR="004F78FA">
        <w:rPr>
          <w:rFonts w:ascii="Century Schoolbook" w:hAnsi="Century Schoolbook"/>
        </w:rPr>
        <w:t xml:space="preserve"> refiling elsewhere, plaintiffs’ counsel told the court that </w:t>
      </w:r>
      <w:r w:rsidRPr="00F40013" w:rsidR="00D84022">
        <w:rPr>
          <w:rFonts w:ascii="Century Schoolbook" w:hAnsi="Century Schoolbook"/>
        </w:rPr>
        <w:t xml:space="preserve">“[w]e have no problem with that, your Honor.”  </w:t>
      </w:r>
      <w:r>
        <w:rPr>
          <w:rFonts w:ascii="Century Schoolbook" w:hAnsi="Century Schoolbook"/>
        </w:rPr>
        <w:t>Then, a</w:t>
      </w:r>
      <w:r w:rsidRPr="00F40013" w:rsidR="00324555">
        <w:rPr>
          <w:rFonts w:ascii="Century Schoolbook" w:hAnsi="Century Schoolbook"/>
        </w:rPr>
        <w:t xml:space="preserve">fter </w:t>
      </w:r>
      <w:r w:rsidR="009609AE">
        <w:rPr>
          <w:rFonts w:ascii="Century Schoolbook" w:hAnsi="Century Schoolbook"/>
        </w:rPr>
        <w:t xml:space="preserve">Judge Schulman </w:t>
      </w:r>
      <w:r w:rsidRPr="00F40013" w:rsidR="00324555">
        <w:rPr>
          <w:rFonts w:ascii="Century Schoolbook" w:hAnsi="Century Schoolbook"/>
        </w:rPr>
        <w:t xml:space="preserve">suggested that plaintiffs’ proposal of 180 days to refile and toll the statute of limitations “doesn’t sound unreasonable,” </w:t>
      </w:r>
      <w:r w:rsidR="009609AE">
        <w:rPr>
          <w:rFonts w:ascii="Century Schoolbook" w:hAnsi="Century Schoolbook"/>
        </w:rPr>
        <w:t xml:space="preserve">he then </w:t>
      </w:r>
      <w:r w:rsidRPr="00F40013" w:rsidR="00324555">
        <w:rPr>
          <w:rFonts w:ascii="Century Schoolbook" w:hAnsi="Century Schoolbook"/>
        </w:rPr>
        <w:t xml:space="preserve">walked counsel </w:t>
      </w:r>
      <w:r w:rsidRPr="00F40013" w:rsidR="004D248E">
        <w:rPr>
          <w:rFonts w:ascii="Century Schoolbook" w:hAnsi="Century Schoolbook"/>
        </w:rPr>
        <w:t xml:space="preserve">paragraph by paragraph </w:t>
      </w:r>
      <w:r w:rsidRPr="00F40013" w:rsidR="00324555">
        <w:rPr>
          <w:rFonts w:ascii="Century Schoolbook" w:hAnsi="Century Schoolbook"/>
        </w:rPr>
        <w:t xml:space="preserve">through the changes to the proposed order necessary to effect that change.  </w:t>
      </w:r>
      <w:r>
        <w:rPr>
          <w:rFonts w:ascii="Century Schoolbook" w:hAnsi="Century Schoolbook"/>
        </w:rPr>
        <w:t xml:space="preserve">He </w:t>
      </w:r>
      <w:r w:rsidRPr="00F40013" w:rsidR="00324555">
        <w:rPr>
          <w:rFonts w:ascii="Century Schoolbook" w:hAnsi="Century Schoolbook"/>
        </w:rPr>
        <w:t>then asked</w:t>
      </w:r>
      <w:r>
        <w:rPr>
          <w:rFonts w:ascii="Century Schoolbook" w:hAnsi="Century Schoolbook"/>
        </w:rPr>
        <w:t>,</w:t>
      </w:r>
      <w:r w:rsidRPr="00F40013" w:rsidR="00324555">
        <w:rPr>
          <w:rFonts w:ascii="Century Schoolbook" w:hAnsi="Century Schoolbook"/>
        </w:rPr>
        <w:t xml:space="preserve"> “Have we just solved this problem?” to which plaintiffs’ counsel </w:t>
      </w:r>
      <w:r w:rsidRPr="00F40013" w:rsidR="002915C0">
        <w:rPr>
          <w:rFonts w:ascii="Century Schoolbook" w:hAnsi="Century Schoolbook"/>
        </w:rPr>
        <w:t>replied,</w:t>
      </w:r>
      <w:r w:rsidRPr="00F40013" w:rsidR="00324555">
        <w:rPr>
          <w:rFonts w:ascii="Century Schoolbook" w:hAnsi="Century Schoolbook"/>
        </w:rPr>
        <w:t xml:space="preserve"> “I think so, your Honor</w:t>
      </w:r>
      <w:r w:rsidRPr="00F40013" w:rsidR="00F76B24">
        <w:rPr>
          <w:rFonts w:ascii="Century Schoolbook" w:hAnsi="Century Schoolbook"/>
        </w:rPr>
        <w:t>.</w:t>
      </w:r>
      <w:r w:rsidRPr="00F40013" w:rsidR="00324555">
        <w:rPr>
          <w:rFonts w:ascii="Century Schoolbook" w:hAnsi="Century Schoolbook"/>
        </w:rPr>
        <w:t>”</w:t>
      </w:r>
      <w:r w:rsidRPr="00F40013" w:rsidR="00F76B24">
        <w:rPr>
          <w:rFonts w:ascii="Century Schoolbook" w:hAnsi="Century Schoolbook"/>
        </w:rPr>
        <w:t xml:space="preserve"> </w:t>
      </w:r>
      <w:r w:rsidRPr="00F40013" w:rsidR="00324555">
        <w:rPr>
          <w:rFonts w:ascii="Century Schoolbook" w:hAnsi="Century Schoolbook"/>
        </w:rPr>
        <w:t xml:space="preserve"> </w:t>
      </w:r>
      <w:r w:rsidR="00A90E17">
        <w:rPr>
          <w:rFonts w:ascii="Century Schoolbook" w:hAnsi="Century Schoolbook"/>
        </w:rPr>
        <w:t>Judge Schulman</w:t>
      </w:r>
      <w:r w:rsidRPr="00F40013" w:rsidR="00324555">
        <w:rPr>
          <w:rFonts w:ascii="Century Schoolbook" w:hAnsi="Century Schoolbook"/>
        </w:rPr>
        <w:t xml:space="preserve"> </w:t>
      </w:r>
      <w:r w:rsidRPr="00F40013" w:rsidR="00F76B24">
        <w:rPr>
          <w:rFonts w:ascii="Century Schoolbook" w:hAnsi="Century Schoolbook"/>
        </w:rPr>
        <w:t xml:space="preserve">then </w:t>
      </w:r>
      <w:r w:rsidRPr="00F40013" w:rsidR="00324555">
        <w:rPr>
          <w:rFonts w:ascii="Century Schoolbook" w:hAnsi="Century Schoolbook"/>
        </w:rPr>
        <w:t xml:space="preserve">asked the parties to </w:t>
      </w:r>
      <w:r w:rsidRPr="00F40013" w:rsidR="00014244">
        <w:rPr>
          <w:rFonts w:ascii="Century Schoolbook" w:hAnsi="Century Schoolbook"/>
        </w:rPr>
        <w:t>“revise the stipulation and proposed order, change the 30 to 180 in the appropriate places, sign the stip, submit it to me as a proposed order, and that’s that agenda item resolved</w:t>
      </w:r>
      <w:r w:rsidR="004F59DE">
        <w:rPr>
          <w:rFonts w:ascii="Century Schoolbook" w:hAnsi="Century Schoolbook"/>
        </w:rPr>
        <w:t>.</w:t>
      </w:r>
      <w:r w:rsidRPr="00F40013" w:rsidR="00014244">
        <w:rPr>
          <w:rFonts w:ascii="Century Schoolbook" w:hAnsi="Century Schoolbook"/>
        </w:rPr>
        <w:t xml:space="preserve">” </w:t>
      </w:r>
      <w:r w:rsidR="004F59DE">
        <w:rPr>
          <w:rFonts w:ascii="Century Schoolbook" w:hAnsi="Century Schoolbook"/>
        </w:rPr>
        <w:t xml:space="preserve"> Counsel </w:t>
      </w:r>
      <w:r w:rsidRPr="00F40013" w:rsidR="00014244">
        <w:rPr>
          <w:rFonts w:ascii="Century Schoolbook" w:hAnsi="Century Schoolbook"/>
        </w:rPr>
        <w:t>for both parties replied</w:t>
      </w:r>
      <w:r>
        <w:rPr>
          <w:rFonts w:ascii="Century Schoolbook" w:hAnsi="Century Schoolbook"/>
        </w:rPr>
        <w:t>,</w:t>
      </w:r>
      <w:r w:rsidRPr="00F40013" w:rsidR="00014244">
        <w:rPr>
          <w:rFonts w:ascii="Century Schoolbook" w:hAnsi="Century Schoolbook"/>
        </w:rPr>
        <w:t xml:space="preserve"> “Yes, your Honor.”  Counsel for Uber later emailed the order, modified in the </w:t>
      </w:r>
      <w:r w:rsidRPr="00F40013" w:rsidR="00407450">
        <w:rPr>
          <w:rFonts w:ascii="Century Schoolbook" w:hAnsi="Century Schoolbook"/>
        </w:rPr>
        <w:t xml:space="preserve">ways </w:t>
      </w:r>
      <w:r w:rsidRPr="00F40013" w:rsidR="00014244">
        <w:rPr>
          <w:rFonts w:ascii="Century Schoolbook" w:hAnsi="Century Schoolbook"/>
        </w:rPr>
        <w:t xml:space="preserve">discussed, to the court, copying plaintiff’s counsel, with the statement that “Plaintiffs and the Uber Defendants conferred over these Proposed Orders, and jointly agreed on the contents that would be submitted.”  </w:t>
      </w:r>
    </w:p>
    <w:p w:rsidR="00EE6EFC" w:rsidP="00EE6EFC" w14:paraId="1EE990C3" w14:textId="656931A9">
      <w:pPr>
        <w:tabs>
          <w:tab w:val="clear" w:pos="720"/>
        </w:tabs>
        <w:spacing w:line="360" w:lineRule="auto"/>
        <w:ind w:firstLine="720"/>
        <w:rPr>
          <w:rFonts w:ascii="Century Schoolbook" w:hAnsi="Century Schoolbook"/>
        </w:rPr>
      </w:pPr>
      <w:r>
        <w:rPr>
          <w:rFonts w:ascii="Century Schoolbook" w:hAnsi="Century Schoolbook"/>
        </w:rPr>
        <w:t xml:space="preserve">On reply, plaintiffs briefly argue that their challenge to the February 28 order </w:t>
      </w:r>
      <w:r w:rsidR="00B5247B">
        <w:rPr>
          <w:rFonts w:ascii="Century Schoolbook" w:hAnsi="Century Schoolbook"/>
        </w:rPr>
        <w:t>ha</w:t>
      </w:r>
      <w:r w:rsidR="009229C2">
        <w:rPr>
          <w:rFonts w:ascii="Century Schoolbook" w:hAnsi="Century Schoolbook"/>
        </w:rPr>
        <w:t>s</w:t>
      </w:r>
      <w:r w:rsidR="00B5247B">
        <w:rPr>
          <w:rFonts w:ascii="Century Schoolbook" w:hAnsi="Century Schoolbook"/>
        </w:rPr>
        <w:t xml:space="preserve"> been preserved</w:t>
      </w:r>
      <w:r>
        <w:rPr>
          <w:rFonts w:ascii="Century Schoolbook" w:hAnsi="Century Schoolbook"/>
        </w:rPr>
        <w:t xml:space="preserve">.  </w:t>
      </w:r>
      <w:r w:rsidR="00B5247B">
        <w:rPr>
          <w:rFonts w:ascii="Century Schoolbook" w:hAnsi="Century Schoolbook"/>
        </w:rPr>
        <w:t>They</w:t>
      </w:r>
      <w:r w:rsidR="00811B8C">
        <w:rPr>
          <w:rFonts w:ascii="Century Schoolbook" w:hAnsi="Century Schoolbook"/>
        </w:rPr>
        <w:t xml:space="preserve"> first note that the order provides that </w:t>
      </w:r>
      <w:r w:rsidRPr="00811B8C" w:rsidR="00811B8C">
        <w:rPr>
          <w:rFonts w:ascii="Century Schoolbook" w:hAnsi="Century Schoolbook"/>
        </w:rPr>
        <w:t>“</w:t>
      </w:r>
      <w:r w:rsidR="00811B8C">
        <w:rPr>
          <w:rFonts w:ascii="Century Schoolbook" w:hAnsi="Century Schoolbook"/>
        </w:rPr>
        <w:t>[t]</w:t>
      </w:r>
      <w:r w:rsidRPr="00811B8C" w:rsidR="00811B8C">
        <w:rPr>
          <w:rFonts w:ascii="Century Schoolbook" w:hAnsi="Century Schoolbook"/>
        </w:rPr>
        <w:t>his Order in no way</w:t>
      </w:r>
      <w:r w:rsidR="00811B8C">
        <w:rPr>
          <w:rFonts w:ascii="Century Schoolbook" w:hAnsi="Century Schoolbook"/>
        </w:rPr>
        <w:t xml:space="preserve"> </w:t>
      </w:r>
      <w:r w:rsidRPr="00811B8C" w:rsidR="00811B8C">
        <w:rPr>
          <w:rFonts w:ascii="Century Schoolbook" w:hAnsi="Century Schoolbook"/>
        </w:rPr>
        <w:t>alters any plaintiff</w:t>
      </w:r>
      <w:r w:rsidR="00811B8C">
        <w:rPr>
          <w:rFonts w:ascii="Century Schoolbook" w:hAnsi="Century Schoolbook"/>
        </w:rPr>
        <w:t>’</w:t>
      </w:r>
      <w:r w:rsidRPr="00811B8C" w:rsidR="00811B8C">
        <w:rPr>
          <w:rFonts w:ascii="Century Schoolbook" w:hAnsi="Century Schoolbook"/>
        </w:rPr>
        <w:t>s right to appeal the FNC Order as such right</w:t>
      </w:r>
      <w:r w:rsidR="00811B8C">
        <w:rPr>
          <w:rFonts w:ascii="Century Schoolbook" w:hAnsi="Century Schoolbook"/>
        </w:rPr>
        <w:t xml:space="preserve"> </w:t>
      </w:r>
      <w:r w:rsidRPr="00811B8C" w:rsidR="00811B8C">
        <w:rPr>
          <w:rFonts w:ascii="Century Schoolbook" w:hAnsi="Century Schoolbook"/>
        </w:rPr>
        <w:t>otherwise exists under California law</w:t>
      </w:r>
      <w:r w:rsidR="00811B8C">
        <w:rPr>
          <w:rFonts w:ascii="Century Schoolbook" w:hAnsi="Century Schoolbook"/>
        </w:rPr>
        <w:t>,</w:t>
      </w:r>
      <w:r w:rsidRPr="00811B8C" w:rsidR="00811B8C">
        <w:rPr>
          <w:rFonts w:ascii="Century Schoolbook" w:hAnsi="Century Schoolbook"/>
        </w:rPr>
        <w:t>”</w:t>
      </w:r>
      <w:r w:rsidR="00811B8C">
        <w:rPr>
          <w:rFonts w:ascii="Century Schoolbook" w:hAnsi="Century Schoolbook"/>
        </w:rPr>
        <w:t xml:space="preserve"> asserting that </w:t>
      </w:r>
      <w:r w:rsidR="003D570A">
        <w:rPr>
          <w:rFonts w:ascii="Century Schoolbook" w:hAnsi="Century Schoolbook"/>
        </w:rPr>
        <w:t>this language means “</w:t>
      </w:r>
      <w:r w:rsidRPr="003D570A" w:rsidR="003D570A">
        <w:rPr>
          <w:rFonts w:ascii="Century Schoolbook" w:hAnsi="Century Schoolbook"/>
        </w:rPr>
        <w:t>all</w:t>
      </w:r>
      <w:r w:rsidR="003D570A">
        <w:rPr>
          <w:rFonts w:ascii="Century Schoolbook" w:hAnsi="Century Schoolbook"/>
        </w:rPr>
        <w:t xml:space="preserve"> </w:t>
      </w:r>
      <w:r w:rsidRPr="003D570A" w:rsidR="003D570A">
        <w:rPr>
          <w:rFonts w:ascii="Century Schoolbook" w:hAnsi="Century Schoolbook"/>
        </w:rPr>
        <w:t>rights were reserved to challenge the January order and its</w:t>
      </w:r>
      <w:r w:rsidR="003D570A">
        <w:rPr>
          <w:rFonts w:ascii="Century Schoolbook" w:hAnsi="Century Schoolbook"/>
        </w:rPr>
        <w:t xml:space="preserve"> </w:t>
      </w:r>
      <w:r w:rsidRPr="003D570A" w:rsidR="003D570A">
        <w:rPr>
          <w:rFonts w:ascii="Century Schoolbook" w:hAnsi="Century Schoolbook"/>
        </w:rPr>
        <w:t>implementation.</w:t>
      </w:r>
      <w:r w:rsidR="003D570A">
        <w:rPr>
          <w:rFonts w:ascii="Century Schoolbook" w:hAnsi="Century Schoolbook"/>
        </w:rPr>
        <w:t>”</w:t>
      </w:r>
      <w:r w:rsidRPr="00811B8C" w:rsidR="00811B8C">
        <w:rPr>
          <w:rFonts w:ascii="Century Schoolbook" w:hAnsi="Century Schoolbook"/>
        </w:rPr>
        <w:t xml:space="preserve"> </w:t>
      </w:r>
      <w:r>
        <w:rPr>
          <w:rFonts w:ascii="Century Schoolbook" w:hAnsi="Century Schoolbook"/>
        </w:rPr>
        <w:t xml:space="preserve"> </w:t>
      </w:r>
      <w:r w:rsidR="003D570A">
        <w:rPr>
          <w:rFonts w:ascii="Century Schoolbook" w:hAnsi="Century Schoolbook"/>
        </w:rPr>
        <w:t>But the order defines the “FNC Order” as “</w:t>
      </w:r>
      <w:r w:rsidRPr="003D570A" w:rsidR="003D570A">
        <w:rPr>
          <w:rFonts w:ascii="Century Schoolbook" w:hAnsi="Century Schoolbook"/>
        </w:rPr>
        <w:t>The Order granting Uber</w:t>
      </w:r>
      <w:r w:rsidR="003D570A">
        <w:rPr>
          <w:rFonts w:ascii="Century Schoolbook" w:hAnsi="Century Schoolbook"/>
        </w:rPr>
        <w:t>’</w:t>
      </w:r>
      <w:r w:rsidRPr="003D570A" w:rsidR="003D570A">
        <w:rPr>
          <w:rFonts w:ascii="Century Schoolbook" w:hAnsi="Century Schoolbook"/>
        </w:rPr>
        <w:t xml:space="preserve">s motions to stay or dismiss </w:t>
      </w:r>
      <w:r w:rsidRPr="003D570A" w:rsidR="003D570A">
        <w:rPr>
          <w:rFonts w:ascii="Century Schoolbook" w:hAnsi="Century Schoolbook"/>
          <w:i/>
          <w:iCs/>
        </w:rPr>
        <w:t>Jane Doe LSA 35 v. Uber Techs., Inc., et al.</w:t>
      </w:r>
      <w:r w:rsidRPr="003D570A" w:rsidR="003D570A">
        <w:rPr>
          <w:rFonts w:ascii="Century Schoolbook" w:hAnsi="Century Schoolbook"/>
        </w:rPr>
        <w:t xml:space="preserve">, CGC-21-592274 and </w:t>
      </w:r>
      <w:r w:rsidRPr="003D570A" w:rsidR="003D570A">
        <w:rPr>
          <w:rFonts w:ascii="Century Schoolbook" w:hAnsi="Century Schoolbook"/>
          <w:i/>
          <w:iCs/>
        </w:rPr>
        <w:t>Jane Doe WHBE 3 v. Uber Techs., Inc.  et al.</w:t>
      </w:r>
      <w:r w:rsidRPr="003D570A" w:rsidR="003D570A">
        <w:rPr>
          <w:rFonts w:ascii="Century Schoolbook" w:hAnsi="Century Schoolbook"/>
        </w:rPr>
        <w:t xml:space="preserve">, CGC 20-584649 based on </w:t>
      </w:r>
      <w:r w:rsidRPr="003D570A" w:rsidR="003D570A">
        <w:rPr>
          <w:rFonts w:ascii="Century Schoolbook" w:hAnsi="Century Schoolbook"/>
          <w:i/>
          <w:iCs/>
        </w:rPr>
        <w:t>forum non conveniens</w:t>
      </w:r>
      <w:r w:rsidR="003D570A">
        <w:rPr>
          <w:rFonts w:ascii="Century Schoolbook" w:hAnsi="Century Schoolbook"/>
        </w:rPr>
        <w:t xml:space="preserve">.”  While </w:t>
      </w:r>
      <w:r w:rsidR="00B5247B">
        <w:rPr>
          <w:rFonts w:ascii="Century Schoolbook" w:hAnsi="Century Schoolbook"/>
        </w:rPr>
        <w:t xml:space="preserve">the provision </w:t>
      </w:r>
      <w:r w:rsidR="003D570A">
        <w:rPr>
          <w:rFonts w:ascii="Century Schoolbook" w:hAnsi="Century Schoolbook"/>
        </w:rPr>
        <w:t xml:space="preserve">plaintiffs </w:t>
      </w:r>
      <w:r w:rsidR="00B5247B">
        <w:rPr>
          <w:rFonts w:ascii="Century Schoolbook" w:hAnsi="Century Schoolbook"/>
        </w:rPr>
        <w:t xml:space="preserve">cite </w:t>
      </w:r>
      <w:r w:rsidR="003D570A">
        <w:rPr>
          <w:rFonts w:ascii="Century Schoolbook" w:hAnsi="Century Schoolbook"/>
        </w:rPr>
        <w:t>reserved the</w:t>
      </w:r>
      <w:r w:rsidR="00B5247B">
        <w:rPr>
          <w:rFonts w:ascii="Century Schoolbook" w:hAnsi="Century Schoolbook"/>
        </w:rPr>
        <w:t>ir</w:t>
      </w:r>
      <w:r w:rsidR="003D570A">
        <w:rPr>
          <w:rFonts w:ascii="Century Schoolbook" w:hAnsi="Century Schoolbook"/>
        </w:rPr>
        <w:t xml:space="preserve"> rights to appeal </w:t>
      </w:r>
      <w:r w:rsidR="00307A66">
        <w:rPr>
          <w:rFonts w:ascii="Century Schoolbook" w:hAnsi="Century Schoolbook"/>
        </w:rPr>
        <w:t>Judge Schulman</w:t>
      </w:r>
      <w:r w:rsidR="00B5247B">
        <w:rPr>
          <w:rFonts w:ascii="Century Schoolbook" w:hAnsi="Century Schoolbook"/>
        </w:rPr>
        <w:t>’s ruling on the forum non conveniens motions</w:t>
      </w:r>
      <w:r w:rsidR="003D570A">
        <w:rPr>
          <w:rFonts w:ascii="Century Schoolbook" w:hAnsi="Century Schoolbook"/>
        </w:rPr>
        <w:t xml:space="preserve">, </w:t>
      </w:r>
      <w:r w:rsidR="00B5247B">
        <w:rPr>
          <w:rFonts w:ascii="Century Schoolbook" w:hAnsi="Century Schoolbook"/>
        </w:rPr>
        <w:t>it</w:t>
      </w:r>
      <w:r w:rsidR="003D570A">
        <w:rPr>
          <w:rFonts w:ascii="Century Schoolbook" w:hAnsi="Century Schoolbook"/>
        </w:rPr>
        <w:t xml:space="preserve"> says nothing about challenging its </w:t>
      </w:r>
      <w:r w:rsidR="003D570A">
        <w:rPr>
          <w:rFonts w:ascii="Century Schoolbook" w:hAnsi="Century Schoolbook"/>
          <w:i/>
          <w:iCs/>
        </w:rPr>
        <w:t>implementation</w:t>
      </w:r>
      <w:r w:rsidR="003D570A">
        <w:rPr>
          <w:rFonts w:ascii="Century Schoolbook" w:hAnsi="Century Schoolbook"/>
        </w:rPr>
        <w:t>.</w:t>
      </w:r>
    </w:p>
    <w:p w:rsidR="00014244" w:rsidP="00EE6EFC" w14:paraId="20717022" w14:textId="14C91EB1">
      <w:pPr>
        <w:tabs>
          <w:tab w:val="clear" w:pos="720"/>
        </w:tabs>
        <w:spacing w:line="360" w:lineRule="auto"/>
        <w:ind w:firstLine="720"/>
        <w:rPr>
          <w:rFonts w:ascii="Century Schoolbook" w:hAnsi="Century Schoolbook"/>
        </w:rPr>
      </w:pPr>
      <w:r>
        <w:rPr>
          <w:rFonts w:ascii="Century Schoolbook" w:hAnsi="Century Schoolbook"/>
        </w:rPr>
        <w:t>Plaintiffs also note that their counsel “never signed Uber’s proposed stipulation</w:t>
      </w:r>
      <w:r w:rsidR="00EE6EFC">
        <w:rPr>
          <w:rFonts w:ascii="Century Schoolbook" w:hAnsi="Century Schoolbook"/>
        </w:rPr>
        <w:t>,</w:t>
      </w:r>
      <w:r>
        <w:rPr>
          <w:rFonts w:ascii="Century Schoolbook" w:hAnsi="Century Schoolbook"/>
        </w:rPr>
        <w:t>”</w:t>
      </w:r>
      <w:r w:rsidRPr="00075899" w:rsidR="00075899">
        <w:rPr>
          <w:rStyle w:val="FootnoteReference"/>
          <w:rFonts w:ascii="Century Schoolbook" w:hAnsi="Century Schoolbook"/>
        </w:rPr>
        <w:t xml:space="preserve"> </w:t>
      </w:r>
      <w:r>
        <w:rPr>
          <w:rFonts w:ascii="Century Schoolbook" w:hAnsi="Century Schoolbook"/>
        </w:rPr>
        <w:t xml:space="preserve">and that rather than make a “deliberate </w:t>
      </w:r>
      <w:r w:rsidR="00F3426C">
        <w:rPr>
          <w:rFonts w:ascii="Century Schoolbook" w:hAnsi="Century Schoolbook"/>
        </w:rPr>
        <w:t>tactical</w:t>
      </w:r>
      <w:r>
        <w:rPr>
          <w:rFonts w:ascii="Century Schoolbook" w:hAnsi="Century Schoolbook"/>
        </w:rPr>
        <w:t xml:space="preserve"> choice” to agree to the proposed order</w:t>
      </w:r>
      <w:r w:rsidR="00B5247B">
        <w:rPr>
          <w:rFonts w:ascii="Century Schoolbook" w:hAnsi="Century Schoolbook"/>
        </w:rPr>
        <w:t xml:space="preserve"> as modified at the February 21 hearing</w:t>
      </w:r>
      <w:r>
        <w:rPr>
          <w:rFonts w:ascii="Century Schoolbook" w:hAnsi="Century Schoolbook"/>
        </w:rPr>
        <w:t>, plaintiffs’ counsel “</w:t>
      </w:r>
      <w:r w:rsidRPr="00814FD8">
        <w:rPr>
          <w:rFonts w:ascii="Century Schoolbook" w:hAnsi="Century Schoolbook"/>
        </w:rPr>
        <w:t>expressed his</w:t>
      </w:r>
      <w:r>
        <w:rPr>
          <w:rFonts w:ascii="Century Schoolbook" w:hAnsi="Century Schoolbook"/>
        </w:rPr>
        <w:t xml:space="preserve"> </w:t>
      </w:r>
      <w:r w:rsidRPr="00814FD8">
        <w:rPr>
          <w:rFonts w:ascii="Century Schoolbook" w:hAnsi="Century Schoolbook"/>
        </w:rPr>
        <w:t xml:space="preserve">concerns </w:t>
      </w:r>
      <w:r>
        <w:rPr>
          <w:rFonts w:ascii="Century Schoolbook" w:hAnsi="Century Schoolbook"/>
        </w:rPr>
        <w:t>‘</w:t>
      </w:r>
      <w:r w:rsidRPr="00814FD8">
        <w:rPr>
          <w:rFonts w:ascii="Century Schoolbook" w:hAnsi="Century Schoolbook"/>
        </w:rPr>
        <w:t>if there had to be dismissals</w:t>
      </w:r>
      <w:r>
        <w:rPr>
          <w:rFonts w:ascii="Century Schoolbook" w:hAnsi="Century Schoolbook"/>
        </w:rPr>
        <w:t>’</w:t>
      </w:r>
      <w:r w:rsidRPr="00814FD8">
        <w:rPr>
          <w:rFonts w:ascii="Century Schoolbook" w:hAnsi="Century Schoolbook"/>
        </w:rPr>
        <w:t xml:space="preserve"> as Uber was insisting</w:t>
      </w:r>
      <w:r w:rsidR="00B5247B">
        <w:rPr>
          <w:rFonts w:ascii="Century Schoolbook" w:hAnsi="Century Schoolbook"/>
        </w:rPr>
        <w:t>.</w:t>
      </w:r>
      <w:r>
        <w:rPr>
          <w:rFonts w:ascii="Century Schoolbook" w:hAnsi="Century Schoolbook"/>
        </w:rPr>
        <w:t>”</w:t>
      </w:r>
      <w:r w:rsidR="000A3DEB">
        <w:rPr>
          <w:rFonts w:ascii="Century Schoolbook" w:hAnsi="Century Schoolbook"/>
        </w:rPr>
        <w:t xml:space="preserve"> </w:t>
      </w:r>
      <w:r>
        <w:rPr>
          <w:rFonts w:ascii="Century Schoolbook" w:hAnsi="Century Schoolbook"/>
        </w:rPr>
        <w:t xml:space="preserve"> </w:t>
      </w:r>
      <w:r w:rsidR="00E6696B">
        <w:rPr>
          <w:rFonts w:ascii="Century Schoolbook" w:hAnsi="Century Schoolbook"/>
        </w:rPr>
        <w:t xml:space="preserve">But Uber’s proposed order contains </w:t>
      </w:r>
      <w:r w:rsidR="00F3426C">
        <w:rPr>
          <w:rFonts w:ascii="Century Schoolbook" w:hAnsi="Century Schoolbook"/>
        </w:rPr>
        <w:t>precisely</w:t>
      </w:r>
      <w:r w:rsidR="00E6696B">
        <w:rPr>
          <w:rFonts w:ascii="Century Schoolbook" w:hAnsi="Century Schoolbook"/>
        </w:rPr>
        <w:t xml:space="preserve"> the same terms as its proposed stipulation, to which, as </w:t>
      </w:r>
      <w:r w:rsidR="001B1863">
        <w:rPr>
          <w:rFonts w:ascii="Century Schoolbook" w:hAnsi="Century Schoolbook"/>
        </w:rPr>
        <w:t>noted</w:t>
      </w:r>
      <w:r w:rsidR="00E6696B">
        <w:rPr>
          <w:rFonts w:ascii="Century Schoolbook" w:hAnsi="Century Schoolbook"/>
        </w:rPr>
        <w:t xml:space="preserve">, plaintiffs’ counsel consented. </w:t>
      </w:r>
    </w:p>
    <w:p w:rsidR="00FC3A04" w:rsidP="00EE6EFC" w14:paraId="251B708A" w14:textId="6E01B460">
      <w:pPr>
        <w:tabs>
          <w:tab w:val="clear" w:pos="720"/>
        </w:tabs>
        <w:spacing w:line="360" w:lineRule="auto"/>
        <w:ind w:firstLine="720"/>
        <w:rPr>
          <w:rFonts w:ascii="Century Schoolbook" w:hAnsi="Century Schoolbook"/>
        </w:rPr>
      </w:pPr>
      <w:r>
        <w:rPr>
          <w:rFonts w:ascii="Century Schoolbook" w:hAnsi="Century Schoolbook"/>
        </w:rPr>
        <w:t>P</w:t>
      </w:r>
      <w:r w:rsidR="00EE6EFC">
        <w:rPr>
          <w:rFonts w:ascii="Century Schoolbook" w:hAnsi="Century Schoolbook"/>
        </w:rPr>
        <w:t xml:space="preserve">laintiffs </w:t>
      </w:r>
      <w:r w:rsidR="00B00EFA">
        <w:rPr>
          <w:rFonts w:ascii="Century Schoolbook" w:hAnsi="Century Schoolbook"/>
        </w:rPr>
        <w:t xml:space="preserve">also </w:t>
      </w:r>
      <w:r w:rsidR="00E63DCE">
        <w:rPr>
          <w:rFonts w:ascii="Century Schoolbook" w:hAnsi="Century Schoolbook"/>
        </w:rPr>
        <w:t>contend that the February order is erroneous because it applied the January order to the non-California cases involving incidents outside of Texas and Hawaii, without “the court having made any finding that any other 47 sister-state jurisdictions present a suitable alternative forum.”  But plaintiffs agreed to a case-management plan under which decisions in cases in which forum non conveniens motions were presented would be applied to the other non-California cases</w:t>
      </w:r>
      <w:r w:rsidR="001F5CD3">
        <w:rPr>
          <w:rFonts w:ascii="Century Schoolbook" w:hAnsi="Century Schoolbook"/>
        </w:rPr>
        <w:t>, a</w:t>
      </w:r>
      <w:r w:rsidR="00E63DCE">
        <w:rPr>
          <w:rFonts w:ascii="Century Schoolbook" w:hAnsi="Century Schoolbook"/>
        </w:rPr>
        <w:t xml:space="preserve"> plan under which the forum non conveniens would be resolved across all of the non-California cases by resolving the issue in specific actions from broader categories of pending cases</w:t>
      </w:r>
      <w:r w:rsidR="006B4FF1">
        <w:rPr>
          <w:rFonts w:ascii="Century Schoolbook" w:hAnsi="Century Schoolbook"/>
        </w:rPr>
        <w:t xml:space="preserve">. </w:t>
      </w:r>
      <w:r w:rsidR="00B00EFA">
        <w:rPr>
          <w:rFonts w:ascii="Century Schoolbook" w:hAnsi="Century Schoolbook"/>
        </w:rPr>
        <w:t xml:space="preserve"> </w:t>
      </w:r>
      <w:r w:rsidR="006B4FF1">
        <w:rPr>
          <w:rFonts w:ascii="Century Schoolbook" w:hAnsi="Century Schoolbook"/>
        </w:rPr>
        <w:t xml:space="preserve">The </w:t>
      </w:r>
      <w:r w:rsidR="00E63DCE">
        <w:rPr>
          <w:rFonts w:ascii="Century Schoolbook" w:hAnsi="Century Schoolbook"/>
        </w:rPr>
        <w:t>agreement date</w:t>
      </w:r>
      <w:r w:rsidR="006B4FF1">
        <w:rPr>
          <w:rFonts w:ascii="Century Schoolbook" w:hAnsi="Century Schoolbook"/>
        </w:rPr>
        <w:t>d</w:t>
      </w:r>
      <w:r w:rsidR="00E63DCE">
        <w:rPr>
          <w:rFonts w:ascii="Century Schoolbook" w:hAnsi="Century Schoolbook"/>
        </w:rPr>
        <w:t xml:space="preserve"> back to the case-management conference in March 2022, where plaintiffs’ counsel affirmatively </w:t>
      </w:r>
      <w:r w:rsidR="00B00EFA">
        <w:rPr>
          <w:rFonts w:ascii="Century Schoolbook" w:hAnsi="Century Schoolbook"/>
        </w:rPr>
        <w:t xml:space="preserve">stated </w:t>
      </w:r>
      <w:r w:rsidR="00E63DCE">
        <w:rPr>
          <w:rFonts w:ascii="Century Schoolbook" w:hAnsi="Century Schoolbook"/>
        </w:rPr>
        <w:t xml:space="preserve">that “there is peril for everyone in trying to approach” the issue of forum non conveniens “on a case by case” basis. </w:t>
      </w:r>
      <w:r w:rsidR="006D1C60">
        <w:rPr>
          <w:rFonts w:ascii="Century Schoolbook" w:hAnsi="Century Schoolbook"/>
        </w:rPr>
        <w:t xml:space="preserve"> According to counsel, the issue was a “global” one that could be decided “in the aggregate” based on “some level of stipulated facts” rather than “each and every fact about every case.” </w:t>
      </w:r>
      <w:r>
        <w:rPr>
          <w:rFonts w:ascii="Century Schoolbook" w:hAnsi="Century Schoolbook"/>
        </w:rPr>
        <w:t xml:space="preserve"> </w:t>
      </w:r>
      <w:r w:rsidR="006D1C60">
        <w:rPr>
          <w:rFonts w:ascii="Century Schoolbook" w:hAnsi="Century Schoolbook"/>
        </w:rPr>
        <w:t xml:space="preserve">In response, Judge Schulman urged the parties to confer and “think about how to group [the] cases” into “categories” for resolving the forum issue in the aggregate.  </w:t>
      </w:r>
    </w:p>
    <w:p w:rsidR="006D1C60" w:rsidP="00EE6EFC" w14:paraId="4693ED3F" w14:textId="6F8517BD">
      <w:pPr>
        <w:tabs>
          <w:tab w:val="clear" w:pos="720"/>
        </w:tabs>
        <w:spacing w:line="360" w:lineRule="auto"/>
        <w:ind w:firstLine="720"/>
        <w:rPr>
          <w:rFonts w:ascii="Century Schoolbook" w:hAnsi="Century Schoolbook"/>
        </w:rPr>
      </w:pPr>
      <w:r>
        <w:rPr>
          <w:rFonts w:ascii="Century Schoolbook" w:hAnsi="Century Schoolbook"/>
        </w:rPr>
        <w:t xml:space="preserve">The parties did that, and the following month submitted a joint statement stating that they had “agreed that [defendants] will file motions to stay or dismiss based on forum non conveniens . . . covering a few categories of cases.”  </w:t>
      </w:r>
      <w:r w:rsidR="00FC3A04">
        <w:rPr>
          <w:rFonts w:ascii="Century Schoolbook" w:hAnsi="Century Schoolbook"/>
        </w:rPr>
        <w:t>And t</w:t>
      </w:r>
      <w:r>
        <w:rPr>
          <w:rFonts w:ascii="Century Schoolbook" w:hAnsi="Century Schoolbook"/>
        </w:rPr>
        <w:t xml:space="preserve">hroughout the ensuing year, the parties repeatedly affirmed their agreement with that approach, including in an April 2022 case management conference and an August 2022 stipulation. </w:t>
      </w:r>
    </w:p>
    <w:p w:rsidR="009865CE" w:rsidP="009865CE" w14:paraId="4B0590D7" w14:textId="71C1C16E">
      <w:pPr>
        <w:tabs>
          <w:tab w:val="clear" w:pos="720"/>
        </w:tabs>
        <w:spacing w:line="360" w:lineRule="auto"/>
        <w:ind w:firstLine="720"/>
        <w:rPr>
          <w:rFonts w:ascii="Century Schoolbook" w:hAnsi="Century Schoolbook"/>
        </w:rPr>
      </w:pPr>
      <w:r>
        <w:rPr>
          <w:rFonts w:ascii="Century Schoolbook" w:hAnsi="Century Schoolbook"/>
        </w:rPr>
        <w:t>Pursuant to the agreed upon case management plan, Uber filed motions to dismiss in two cases from broader categories of non-California cases.</w:t>
      </w:r>
      <w:r w:rsidR="00B00EFA">
        <w:rPr>
          <w:rFonts w:ascii="Century Schoolbook" w:hAnsi="Century Schoolbook"/>
        </w:rPr>
        <w:t xml:space="preserve">  </w:t>
      </w:r>
      <w:r w:rsidR="006866B4">
        <w:rPr>
          <w:rFonts w:ascii="Century Schoolbook" w:hAnsi="Century Schoolbook"/>
        </w:rPr>
        <w:t xml:space="preserve">While </w:t>
      </w:r>
      <w:r w:rsidR="00B00EFA">
        <w:rPr>
          <w:rFonts w:ascii="Century Schoolbook" w:hAnsi="Century Schoolbook"/>
        </w:rPr>
        <w:t>i</w:t>
      </w:r>
      <w:r>
        <w:rPr>
          <w:rFonts w:ascii="Century Schoolbook" w:hAnsi="Century Schoolbook"/>
        </w:rPr>
        <w:t xml:space="preserve">n opposing Uber’s motions plaintiffs </w:t>
      </w:r>
      <w:r w:rsidR="00B00EFA">
        <w:rPr>
          <w:rFonts w:ascii="Century Schoolbook" w:hAnsi="Century Schoolbook"/>
        </w:rPr>
        <w:t xml:space="preserve">did </w:t>
      </w:r>
      <w:r>
        <w:rPr>
          <w:rFonts w:ascii="Century Schoolbook" w:hAnsi="Century Schoolbook"/>
        </w:rPr>
        <w:t>argue that the court’s decision on forum non conveniens should not be automatically “extrapolated” to the other non-California cases,</w:t>
      </w:r>
      <w:r w:rsidR="00B00EFA">
        <w:rPr>
          <w:rFonts w:ascii="Century Schoolbook" w:hAnsi="Century Schoolbook"/>
        </w:rPr>
        <w:t xml:space="preserve"> as</w:t>
      </w:r>
      <w:r>
        <w:rPr>
          <w:rFonts w:ascii="Century Schoolbook" w:hAnsi="Century Schoolbook"/>
        </w:rPr>
        <w:t xml:space="preserve"> plaintiffs’ counsel </w:t>
      </w:r>
      <w:r w:rsidR="00B2395D">
        <w:rPr>
          <w:rFonts w:ascii="Century Schoolbook" w:hAnsi="Century Schoolbook"/>
        </w:rPr>
        <w:t xml:space="preserve">put it </w:t>
      </w:r>
      <w:r>
        <w:rPr>
          <w:rFonts w:ascii="Century Schoolbook" w:hAnsi="Century Schoolbook"/>
        </w:rPr>
        <w:t>at oral argument, plaintiffs were not intending to “repudiate[e]” the parties’ longstanding agreement to apply to the court’s forum non conveniens decision to the remaining non-California cases.  Instead, plaintiffs intended only to preserve the right to “meet and confer with [defendants] to figure out which of the cases the ruling touches” and object to application of the ruling on a case-specific basis.  Plaintiffs’ counsel also recognized that, if “the motion [to dismiss] is granted, . . . there will be a large number of cases that will need to be refiled in state courts and federal courts.”</w:t>
      </w:r>
      <w:r>
        <w:rPr>
          <w:rStyle w:val="FootnoteReference"/>
          <w:rFonts w:ascii="Century Schoolbook" w:hAnsi="Century Schoolbook"/>
        </w:rPr>
        <w:footnoteReference w:id="9"/>
      </w:r>
      <w:r>
        <w:rPr>
          <w:rFonts w:ascii="Century Schoolbook" w:hAnsi="Century Schoolbook"/>
        </w:rPr>
        <w:t xml:space="preserve"> </w:t>
      </w:r>
    </w:p>
    <w:p w:rsidR="009865CE" w:rsidRPr="00A75716" w:rsidP="009865CE" w14:paraId="1EF62620" w14:textId="229B4DBF">
      <w:pPr>
        <w:tabs>
          <w:tab w:val="clear" w:pos="720"/>
        </w:tabs>
        <w:spacing w:line="360" w:lineRule="auto"/>
        <w:ind w:firstLine="720"/>
        <w:rPr>
          <w:rFonts w:ascii="Century Schoolbook" w:hAnsi="Century Schoolbook"/>
        </w:rPr>
      </w:pPr>
      <w:r>
        <w:rPr>
          <w:rFonts w:ascii="Century Schoolbook" w:hAnsi="Century Schoolbook"/>
        </w:rPr>
        <w:t xml:space="preserve">In sum, plaintiffs agreed from the outset of this coordinated proceeding to litigate the issue of forum non conveniens by selecting a small number of cases in which motions were made and applying the trial court’s decision in those cases to other analogous cases in the coordinated proceeding.  And they confirmed the agreement after the trial court decided the issue of forum non conveniens against them by stipulating to the application of the January order to the remainder of the non-California cases.  </w:t>
      </w:r>
    </w:p>
    <w:p w:rsidR="00260FEE" w:rsidP="006760D2" w14:paraId="0B498B2A" w14:textId="3D7609E8">
      <w:pPr>
        <w:tabs>
          <w:tab w:val="left" w:pos="0"/>
          <w:tab w:val="clear" w:pos="720"/>
        </w:tabs>
        <w:spacing w:after="120" w:line="240" w:lineRule="auto"/>
        <w:rPr>
          <w:rFonts w:ascii="Century Schoolbook" w:hAnsi="Century Schoolbook"/>
          <w:b/>
          <w:bCs/>
        </w:rPr>
      </w:pPr>
      <w:r>
        <w:rPr>
          <w:rFonts w:ascii="Century Schoolbook" w:hAnsi="Century Schoolbook"/>
          <w:b/>
          <w:bCs/>
        </w:rPr>
        <w:tab/>
      </w:r>
      <w:r w:rsidR="00307A66">
        <w:rPr>
          <w:rFonts w:ascii="Century Schoolbook" w:hAnsi="Century Schoolbook"/>
          <w:b/>
          <w:bCs/>
        </w:rPr>
        <w:t>Judge Schulman</w:t>
      </w:r>
      <w:r>
        <w:rPr>
          <w:rFonts w:ascii="Century Schoolbook" w:hAnsi="Century Schoolbook"/>
          <w:b/>
          <w:bCs/>
        </w:rPr>
        <w:t xml:space="preserve"> Did Not Err In Failing to Require Defendants to Demonstrate California Was A “Seriously Inconvenient” Forum</w:t>
      </w:r>
    </w:p>
    <w:p w:rsidR="00173F0F" w:rsidRPr="00173F0F" w:rsidP="006760D2" w14:paraId="52855031" w14:textId="2C41B714">
      <w:pPr>
        <w:spacing w:line="360" w:lineRule="auto"/>
        <w:rPr>
          <w:rFonts w:ascii="Century Schoolbook" w:hAnsi="Century Schoolbook"/>
        </w:rPr>
      </w:pPr>
      <w:r w:rsidRPr="0093392D">
        <w:rPr>
          <w:rFonts w:ascii="Century Schoolbook" w:hAnsi="Century Schoolbook"/>
        </w:rPr>
        <w:tab/>
      </w:r>
      <w:r>
        <w:rPr>
          <w:rFonts w:ascii="Century Schoolbook" w:hAnsi="Century Schoolbook"/>
        </w:rPr>
        <w:t>Plaintiffs</w:t>
      </w:r>
      <w:r w:rsidRPr="0093392D">
        <w:rPr>
          <w:rFonts w:ascii="Century Schoolbook" w:hAnsi="Century Schoolbook"/>
        </w:rPr>
        <w:t xml:space="preserve"> </w:t>
      </w:r>
      <w:r w:rsidR="007B0261">
        <w:rPr>
          <w:rFonts w:ascii="Century Schoolbook" w:hAnsi="Century Schoolbook"/>
        </w:rPr>
        <w:t xml:space="preserve">next argue that </w:t>
      </w:r>
      <w:r w:rsidR="00307A66">
        <w:rPr>
          <w:rFonts w:ascii="Century Schoolbook" w:hAnsi="Century Schoolbook"/>
        </w:rPr>
        <w:t>Judge Schulman</w:t>
      </w:r>
      <w:r w:rsidRPr="0093392D">
        <w:rPr>
          <w:rFonts w:ascii="Century Schoolbook" w:hAnsi="Century Schoolbook"/>
        </w:rPr>
        <w:t xml:space="preserve"> </w:t>
      </w:r>
      <w:r w:rsidR="000C6274">
        <w:rPr>
          <w:rFonts w:ascii="Century Schoolbook" w:hAnsi="Century Schoolbook"/>
        </w:rPr>
        <w:t>misapplied the standards, an argument that has two sub-parts</w:t>
      </w:r>
      <w:r w:rsidR="00B00EFA">
        <w:rPr>
          <w:rFonts w:ascii="Century Schoolbook" w:hAnsi="Century Schoolbook"/>
        </w:rPr>
        <w:t xml:space="preserve">. </w:t>
      </w:r>
      <w:r w:rsidR="000C6274">
        <w:rPr>
          <w:rFonts w:ascii="Century Schoolbook" w:hAnsi="Century Schoolbook"/>
        </w:rPr>
        <w:t xml:space="preserve"> </w:t>
      </w:r>
      <w:r w:rsidR="00B00EFA">
        <w:rPr>
          <w:rFonts w:ascii="Century Schoolbook" w:hAnsi="Century Schoolbook"/>
        </w:rPr>
        <w:t>T</w:t>
      </w:r>
      <w:r w:rsidR="000C6274">
        <w:rPr>
          <w:rFonts w:ascii="Century Schoolbook" w:hAnsi="Century Schoolbook"/>
        </w:rPr>
        <w:t>he first is</w:t>
      </w:r>
      <w:r w:rsidR="000821EC">
        <w:rPr>
          <w:rFonts w:ascii="Century Schoolbook" w:hAnsi="Century Schoolbook"/>
        </w:rPr>
        <w:t xml:space="preserve"> that Judge Schulman </w:t>
      </w:r>
      <w:r w:rsidRPr="0093392D">
        <w:rPr>
          <w:rFonts w:ascii="Century Schoolbook" w:hAnsi="Century Schoolbook"/>
        </w:rPr>
        <w:t xml:space="preserve">applied the wrong legal standard </w:t>
      </w:r>
      <w:r w:rsidR="009F55C0">
        <w:rPr>
          <w:rFonts w:ascii="Century Schoolbook" w:hAnsi="Century Schoolbook"/>
        </w:rPr>
        <w:t>by</w:t>
      </w:r>
      <w:r w:rsidRPr="0093392D">
        <w:rPr>
          <w:rFonts w:ascii="Century Schoolbook" w:hAnsi="Century Schoolbook"/>
        </w:rPr>
        <w:t xml:space="preserve"> fail</w:t>
      </w:r>
      <w:r w:rsidR="009F55C0">
        <w:rPr>
          <w:rFonts w:ascii="Century Schoolbook" w:hAnsi="Century Schoolbook"/>
        </w:rPr>
        <w:t>ing</w:t>
      </w:r>
      <w:r w:rsidRPr="0093392D">
        <w:rPr>
          <w:rFonts w:ascii="Century Schoolbook" w:hAnsi="Century Schoolbook"/>
        </w:rPr>
        <w:t xml:space="preserve"> to require defendants </w:t>
      </w:r>
      <w:r w:rsidR="009F55C0">
        <w:rPr>
          <w:rFonts w:ascii="Century Schoolbook" w:hAnsi="Century Schoolbook"/>
        </w:rPr>
        <w:t xml:space="preserve">to </w:t>
      </w:r>
      <w:r w:rsidRPr="0093392D">
        <w:rPr>
          <w:rFonts w:ascii="Century Schoolbook" w:hAnsi="Century Schoolbook"/>
        </w:rPr>
        <w:t xml:space="preserve">establish that California is a </w:t>
      </w:r>
      <w:r>
        <w:rPr>
          <w:rFonts w:ascii="Century Schoolbook" w:hAnsi="Century Schoolbook"/>
        </w:rPr>
        <w:t>“</w:t>
      </w:r>
      <w:r w:rsidRPr="0093392D">
        <w:rPr>
          <w:rFonts w:ascii="Century Schoolbook" w:hAnsi="Century Schoolbook"/>
        </w:rPr>
        <w:t>seriously inconvenient</w:t>
      </w:r>
      <w:r>
        <w:rPr>
          <w:rFonts w:ascii="Century Schoolbook" w:hAnsi="Century Schoolbook"/>
        </w:rPr>
        <w:t>”</w:t>
      </w:r>
      <w:r w:rsidRPr="0093392D">
        <w:rPr>
          <w:rFonts w:ascii="Century Schoolbook" w:hAnsi="Century Schoolbook"/>
        </w:rPr>
        <w:t xml:space="preserve"> forum</w:t>
      </w:r>
      <w:r w:rsidR="00B00EFA">
        <w:rPr>
          <w:rFonts w:ascii="Century Schoolbook" w:hAnsi="Century Schoolbook"/>
        </w:rPr>
        <w:t xml:space="preserve">, an </w:t>
      </w:r>
      <w:r w:rsidR="00211B22">
        <w:rPr>
          <w:rFonts w:ascii="Century Schoolbook" w:hAnsi="Century Schoolbook"/>
        </w:rPr>
        <w:t xml:space="preserve">argument </w:t>
      </w:r>
      <w:r w:rsidR="00B00EFA">
        <w:rPr>
          <w:rFonts w:ascii="Century Schoolbook" w:hAnsi="Century Schoolbook"/>
        </w:rPr>
        <w:t xml:space="preserve">that </w:t>
      </w:r>
      <w:r w:rsidR="00A75716">
        <w:rPr>
          <w:rFonts w:ascii="Century Schoolbook" w:hAnsi="Century Schoolbook"/>
        </w:rPr>
        <w:t xml:space="preserve">relies </w:t>
      </w:r>
      <w:r w:rsidR="00211B22">
        <w:rPr>
          <w:rFonts w:ascii="Century Schoolbook" w:hAnsi="Century Schoolbook"/>
        </w:rPr>
        <w:t>on</w:t>
      </w:r>
      <w:r>
        <w:rPr>
          <w:rFonts w:ascii="Century Schoolbook" w:hAnsi="Century Schoolbook"/>
        </w:rPr>
        <w:t xml:space="preserve"> </w:t>
      </w:r>
      <w:r w:rsidRPr="00CD3C1D">
        <w:rPr>
          <w:rFonts w:ascii="Century Schoolbook" w:hAnsi="Century Schoolbook"/>
          <w:i/>
          <w:iCs/>
        </w:rPr>
        <w:t>Morris</w:t>
      </w:r>
      <w:r w:rsidR="001335E1">
        <w:rPr>
          <w:rFonts w:ascii="Century Schoolbook" w:hAnsi="Century Schoolbook"/>
        </w:rPr>
        <w:t xml:space="preserve">, </w:t>
      </w:r>
      <w:r w:rsidR="001335E1">
        <w:rPr>
          <w:rFonts w:ascii="Century Schoolbook" w:hAnsi="Century Schoolbook"/>
          <w:i/>
          <w:iCs/>
        </w:rPr>
        <w:t>supra</w:t>
      </w:r>
      <w:r w:rsidR="001335E1">
        <w:rPr>
          <w:rFonts w:ascii="Century Schoolbook" w:hAnsi="Century Schoolbook"/>
        </w:rPr>
        <w:t>,</w:t>
      </w:r>
      <w:r w:rsidR="00E104CC">
        <w:rPr>
          <w:rFonts w:ascii="Century Schoolbook" w:hAnsi="Century Schoolbook"/>
        </w:rPr>
        <w:t xml:space="preserve"> </w:t>
      </w:r>
      <w:r w:rsidRPr="00503257">
        <w:rPr>
          <w:rFonts w:ascii="Century Schoolbook" w:hAnsi="Century Schoolbook"/>
        </w:rPr>
        <w:t>144 Cal.App.4th 1452</w:t>
      </w:r>
      <w:r w:rsidR="00BD41B8">
        <w:rPr>
          <w:rFonts w:ascii="Century Schoolbook" w:hAnsi="Century Schoolbook"/>
        </w:rPr>
        <w:t>,</w:t>
      </w:r>
      <w:r w:rsidRPr="00503257">
        <w:rPr>
          <w:rFonts w:ascii="Century Schoolbook" w:hAnsi="Century Schoolbook"/>
        </w:rPr>
        <w:t xml:space="preserve"> </w:t>
      </w:r>
      <w:r w:rsidRPr="00CD3C1D">
        <w:rPr>
          <w:rFonts w:ascii="Century Schoolbook" w:hAnsi="Century Schoolbook"/>
          <w:i/>
          <w:iCs/>
        </w:rPr>
        <w:t>Ford</w:t>
      </w:r>
      <w:r w:rsidR="001335E1">
        <w:rPr>
          <w:rFonts w:ascii="Century Schoolbook" w:hAnsi="Century Schoolbook"/>
        </w:rPr>
        <w:t xml:space="preserve">, </w:t>
      </w:r>
      <w:r w:rsidR="001335E1">
        <w:rPr>
          <w:rFonts w:ascii="Century Schoolbook" w:hAnsi="Century Schoolbook"/>
          <w:i/>
          <w:iCs/>
        </w:rPr>
        <w:t>supra</w:t>
      </w:r>
      <w:r w:rsidR="001335E1">
        <w:rPr>
          <w:rFonts w:ascii="Century Schoolbook" w:hAnsi="Century Schoolbook"/>
        </w:rPr>
        <w:t>,</w:t>
      </w:r>
      <w:r w:rsidRPr="00503257">
        <w:rPr>
          <w:rFonts w:ascii="Century Schoolbook" w:hAnsi="Century Schoolbook"/>
        </w:rPr>
        <w:t xml:space="preserve"> </w:t>
      </w:r>
      <w:r w:rsidR="00F0674F">
        <w:rPr>
          <w:rFonts w:ascii="Century Schoolbook" w:hAnsi="Century Schoolbook"/>
        </w:rPr>
        <w:t xml:space="preserve">35 </w:t>
      </w:r>
      <w:r w:rsidRPr="00503257">
        <w:rPr>
          <w:rFonts w:ascii="Century Schoolbook" w:hAnsi="Century Schoolbook"/>
        </w:rPr>
        <w:t>Cal.App.4th 604</w:t>
      </w:r>
      <w:r>
        <w:rPr>
          <w:rFonts w:ascii="Century Schoolbook" w:hAnsi="Century Schoolbook"/>
        </w:rPr>
        <w:t xml:space="preserve">, and </w:t>
      </w:r>
      <w:r w:rsidR="00BD41B8">
        <w:rPr>
          <w:rFonts w:ascii="Century Schoolbook" w:hAnsi="Century Schoolbook"/>
        </w:rPr>
        <w:t xml:space="preserve">a </w:t>
      </w:r>
      <w:r w:rsidRPr="00173F0F">
        <w:rPr>
          <w:rFonts w:ascii="Century Schoolbook" w:hAnsi="Century Schoolbook"/>
        </w:rPr>
        <w:t xml:space="preserve">Judicial Council </w:t>
      </w:r>
      <w:r w:rsidR="00BC015A">
        <w:rPr>
          <w:rFonts w:ascii="Century Schoolbook" w:hAnsi="Century Schoolbook"/>
        </w:rPr>
        <w:t>c</w:t>
      </w:r>
      <w:r w:rsidRPr="00173F0F">
        <w:rPr>
          <w:rFonts w:ascii="Century Schoolbook" w:hAnsi="Century Schoolbook"/>
        </w:rPr>
        <w:t xml:space="preserve">omment to </w:t>
      </w:r>
      <w:r w:rsidR="00F0674F">
        <w:rPr>
          <w:rFonts w:ascii="Century Schoolbook" w:hAnsi="Century Schoolbook"/>
        </w:rPr>
        <w:t xml:space="preserve">Civil Code of Procedure </w:t>
      </w:r>
      <w:r w:rsidRPr="00173F0F">
        <w:rPr>
          <w:rFonts w:ascii="Century Schoolbook" w:hAnsi="Century Schoolbook"/>
        </w:rPr>
        <w:t>section 410.30</w:t>
      </w:r>
      <w:r w:rsidR="00BD41B8">
        <w:rPr>
          <w:rFonts w:ascii="Century Schoolbook" w:hAnsi="Century Schoolbook"/>
        </w:rPr>
        <w:t>.</w:t>
      </w:r>
      <w:r>
        <w:rPr>
          <w:rStyle w:val="FootnoteReference"/>
          <w:rFonts w:ascii="Century Schoolbook" w:hAnsi="Century Schoolbook"/>
        </w:rPr>
        <w:footnoteReference w:id="10"/>
      </w:r>
      <w:r w:rsidR="00BD41B8">
        <w:rPr>
          <w:rFonts w:ascii="Century Schoolbook" w:hAnsi="Century Schoolbook"/>
        </w:rPr>
        <w:t xml:space="preserve">  </w:t>
      </w:r>
      <w:r w:rsidR="00A75716">
        <w:rPr>
          <w:rFonts w:ascii="Century Schoolbook" w:hAnsi="Century Schoolbook"/>
        </w:rPr>
        <w:t>That reliance is misplaced</w:t>
      </w:r>
      <w:r w:rsidR="00BD41B8">
        <w:rPr>
          <w:rFonts w:ascii="Century Schoolbook" w:hAnsi="Century Schoolbook"/>
        </w:rPr>
        <w:t>.</w:t>
      </w:r>
    </w:p>
    <w:p w:rsidR="0030267D" w:rsidRPr="00BD41B8" w:rsidP="006760D2" w14:paraId="68AD813B" w14:textId="4B0C5EF8">
      <w:pPr>
        <w:spacing w:line="360" w:lineRule="auto"/>
        <w:rPr>
          <w:rFonts w:ascii="Century Schoolbook" w:hAnsi="Century Schoolbook"/>
        </w:rPr>
      </w:pPr>
      <w:r>
        <w:rPr>
          <w:rFonts w:ascii="Century Schoolbook" w:hAnsi="Century Schoolbook"/>
        </w:rPr>
        <w:tab/>
      </w:r>
      <w:r w:rsidR="00211B22">
        <w:rPr>
          <w:rFonts w:ascii="Century Schoolbook" w:hAnsi="Century Schoolbook"/>
        </w:rPr>
        <w:t>In</w:t>
      </w:r>
      <w:r w:rsidR="003876D5">
        <w:rPr>
          <w:rFonts w:ascii="Century Schoolbook" w:hAnsi="Century Schoolbook"/>
        </w:rPr>
        <w:t xml:space="preserve"> </w:t>
      </w:r>
      <w:r w:rsidRPr="003876D5" w:rsidR="003876D5">
        <w:rPr>
          <w:rFonts w:ascii="Century Schoolbook" w:hAnsi="Century Schoolbook"/>
          <w:i/>
          <w:iCs/>
        </w:rPr>
        <w:t>Morri</w:t>
      </w:r>
      <w:r w:rsidR="00211B22">
        <w:rPr>
          <w:rFonts w:ascii="Century Schoolbook" w:hAnsi="Century Schoolbook"/>
          <w:i/>
          <w:iCs/>
        </w:rPr>
        <w:t>s</w:t>
      </w:r>
      <w:r>
        <w:rPr>
          <w:rFonts w:ascii="Century Schoolbook" w:hAnsi="Century Schoolbook"/>
        </w:rPr>
        <w:t xml:space="preserve">, Texas plaintiffs </w:t>
      </w:r>
      <w:r w:rsidR="00FF5B84">
        <w:rPr>
          <w:rFonts w:ascii="Century Schoolbook" w:hAnsi="Century Schoolbook"/>
        </w:rPr>
        <w:t>filed a complaint for survival and wrongful death</w:t>
      </w:r>
      <w:r>
        <w:rPr>
          <w:rFonts w:ascii="Century Schoolbook" w:hAnsi="Century Schoolbook"/>
        </w:rPr>
        <w:t xml:space="preserve"> against several defendants, including two California corporations, </w:t>
      </w:r>
      <w:r w:rsidR="009F55C0">
        <w:rPr>
          <w:rFonts w:ascii="Century Schoolbook" w:hAnsi="Century Schoolbook"/>
        </w:rPr>
        <w:t xml:space="preserve">based on </w:t>
      </w:r>
      <w:r>
        <w:rPr>
          <w:rFonts w:ascii="Century Schoolbook" w:hAnsi="Century Schoolbook"/>
        </w:rPr>
        <w:t xml:space="preserve">benzene exposure that took place first in California and later in Texas.  </w:t>
      </w:r>
      <w:r w:rsidRPr="00F170B8" w:rsidR="006853FE">
        <w:rPr>
          <w:rFonts w:ascii="Century Schoolbook" w:hAnsi="Century Schoolbook"/>
          <w:i/>
          <w:iCs/>
        </w:rPr>
        <w:t>Morris</w:t>
      </w:r>
      <w:r w:rsidR="006853FE">
        <w:rPr>
          <w:rFonts w:ascii="Century Schoolbook" w:hAnsi="Century Schoolbook"/>
        </w:rPr>
        <w:t xml:space="preserve"> held that the trial court did not abuse its discretion in weighing the </w:t>
      </w:r>
      <w:r w:rsidRPr="00F170B8" w:rsidR="006853FE">
        <w:rPr>
          <w:rFonts w:ascii="Century Schoolbook" w:hAnsi="Century Schoolbook"/>
          <w:i/>
          <w:iCs/>
        </w:rPr>
        <w:t>Stangvik</w:t>
      </w:r>
      <w:r w:rsidR="006853FE">
        <w:rPr>
          <w:rFonts w:ascii="Century Schoolbook" w:hAnsi="Century Schoolbook"/>
        </w:rPr>
        <w:t xml:space="preserve"> factors, concluding that California was a “seriously inconvenient forum,” and granting the defendants’ motion </w:t>
      </w:r>
      <w:r w:rsidR="00F170B8">
        <w:rPr>
          <w:rFonts w:ascii="Century Schoolbook" w:hAnsi="Century Schoolbook"/>
        </w:rPr>
        <w:t xml:space="preserve">to </w:t>
      </w:r>
      <w:r w:rsidR="006853FE">
        <w:rPr>
          <w:rFonts w:ascii="Century Schoolbook" w:hAnsi="Century Schoolbook"/>
        </w:rPr>
        <w:t xml:space="preserve">stay the action </w:t>
      </w:r>
      <w:r w:rsidR="00F170B8">
        <w:rPr>
          <w:rFonts w:ascii="Century Schoolbook" w:hAnsi="Century Schoolbook"/>
        </w:rPr>
        <w:t>in favor of plaintiffs’ previously filed Texas action</w:t>
      </w:r>
      <w:r w:rsidR="006853FE">
        <w:rPr>
          <w:rFonts w:ascii="Century Schoolbook" w:hAnsi="Century Schoolbook"/>
        </w:rPr>
        <w:t>.  (</w:t>
      </w:r>
      <w:r w:rsidR="00F0674F">
        <w:rPr>
          <w:rFonts w:ascii="Century Schoolbook" w:hAnsi="Century Schoolbook"/>
          <w:i/>
          <w:iCs/>
        </w:rPr>
        <w:t>Morris</w:t>
      </w:r>
      <w:r w:rsidR="00F0674F">
        <w:rPr>
          <w:rFonts w:ascii="Century Schoolbook" w:hAnsi="Century Schoolbook"/>
        </w:rPr>
        <w:t>,</w:t>
      </w:r>
      <w:r w:rsidR="006853FE">
        <w:rPr>
          <w:rFonts w:ascii="Century Schoolbook" w:hAnsi="Century Schoolbook"/>
        </w:rPr>
        <w:t xml:space="preserve"> at p</w:t>
      </w:r>
      <w:r w:rsidR="00F170B8">
        <w:rPr>
          <w:rFonts w:ascii="Century Schoolbook" w:hAnsi="Century Schoolbook"/>
        </w:rPr>
        <w:t>p</w:t>
      </w:r>
      <w:r w:rsidR="006853FE">
        <w:rPr>
          <w:rFonts w:ascii="Century Schoolbook" w:hAnsi="Century Schoolbook"/>
        </w:rPr>
        <w:t xml:space="preserve">. </w:t>
      </w:r>
      <w:r w:rsidR="00F170B8">
        <w:rPr>
          <w:rFonts w:ascii="Century Schoolbook" w:hAnsi="Century Schoolbook"/>
        </w:rPr>
        <w:t>1463–1468</w:t>
      </w:r>
      <w:r w:rsidR="006853FE">
        <w:rPr>
          <w:rFonts w:ascii="Century Schoolbook" w:hAnsi="Century Schoolbook"/>
        </w:rPr>
        <w:t xml:space="preserve">.)  </w:t>
      </w:r>
      <w:r w:rsidR="00A75716">
        <w:rPr>
          <w:rFonts w:ascii="Century Schoolbook" w:hAnsi="Century Schoolbook"/>
        </w:rPr>
        <w:t>S</w:t>
      </w:r>
      <w:r w:rsidR="00D228AB">
        <w:rPr>
          <w:rFonts w:ascii="Century Schoolbook" w:hAnsi="Century Schoolbook"/>
        </w:rPr>
        <w:t xml:space="preserve">etting forth </w:t>
      </w:r>
      <w:r w:rsidR="003A3554">
        <w:rPr>
          <w:rFonts w:ascii="Century Schoolbook" w:hAnsi="Century Schoolbook"/>
        </w:rPr>
        <w:t xml:space="preserve">some </w:t>
      </w:r>
      <w:r w:rsidR="00D228AB">
        <w:rPr>
          <w:rFonts w:ascii="Century Schoolbook" w:hAnsi="Century Schoolbook"/>
        </w:rPr>
        <w:t xml:space="preserve">law and “some general principles,” </w:t>
      </w:r>
      <w:r w:rsidRPr="00163029" w:rsidR="00D228AB">
        <w:rPr>
          <w:rFonts w:ascii="Century Schoolbook" w:hAnsi="Century Schoolbook"/>
          <w:i/>
          <w:iCs/>
        </w:rPr>
        <w:t>Morris</w:t>
      </w:r>
      <w:r w:rsidR="00D228AB">
        <w:rPr>
          <w:rFonts w:ascii="Century Schoolbook" w:hAnsi="Century Schoolbook"/>
        </w:rPr>
        <w:t xml:space="preserve"> stated both that </w:t>
      </w:r>
      <w:r w:rsidR="00163029">
        <w:rPr>
          <w:rFonts w:ascii="Century Schoolbook" w:hAnsi="Century Schoolbook"/>
        </w:rPr>
        <w:t>“[t]</w:t>
      </w:r>
      <w:r w:rsidRPr="00163029" w:rsidR="00163029">
        <w:rPr>
          <w:rFonts w:ascii="Century Schoolbook" w:hAnsi="Century Schoolbook"/>
        </w:rPr>
        <w:t xml:space="preserve">he ultimate question is whether the balancing of the </w:t>
      </w:r>
      <w:r w:rsidRPr="00163029" w:rsidR="00163029">
        <w:rPr>
          <w:rFonts w:ascii="Century Schoolbook" w:hAnsi="Century Schoolbook"/>
          <w:i/>
          <w:iCs/>
        </w:rPr>
        <w:t>Stangvik</w:t>
      </w:r>
      <w:r w:rsidRPr="00163029" w:rsidR="00163029">
        <w:rPr>
          <w:rFonts w:ascii="Century Schoolbook" w:hAnsi="Century Schoolbook"/>
        </w:rPr>
        <w:t xml:space="preserve"> factors shows that California is a seriously inconvenient forum</w:t>
      </w:r>
      <w:r w:rsidR="00163029">
        <w:rPr>
          <w:rFonts w:ascii="Century Schoolbook" w:hAnsi="Century Schoolbook"/>
        </w:rPr>
        <w:t xml:space="preserve">” </w:t>
      </w:r>
      <w:r w:rsidR="00A75716">
        <w:rPr>
          <w:rFonts w:ascii="Century Schoolbook" w:hAnsi="Century Schoolbook"/>
        </w:rPr>
        <w:t xml:space="preserve">(citing to </w:t>
      </w:r>
      <w:r w:rsidRPr="001E7215" w:rsidR="00163029">
        <w:rPr>
          <w:rFonts w:ascii="Century Schoolbook" w:hAnsi="Century Schoolbook"/>
          <w:i/>
          <w:iCs/>
        </w:rPr>
        <w:t>Ford</w:t>
      </w:r>
      <w:r w:rsidR="00A75716">
        <w:rPr>
          <w:rFonts w:ascii="Century Schoolbook" w:hAnsi="Century Schoolbook"/>
        </w:rPr>
        <w:t>)</w:t>
      </w:r>
      <w:r w:rsidRPr="00163029" w:rsidR="00163029">
        <w:rPr>
          <w:rFonts w:ascii="Century Schoolbook" w:hAnsi="Century Schoolbook"/>
        </w:rPr>
        <w:t xml:space="preserve">, </w:t>
      </w:r>
      <w:r w:rsidR="00163029">
        <w:rPr>
          <w:rFonts w:ascii="Century Schoolbook" w:hAnsi="Century Schoolbook"/>
        </w:rPr>
        <w:t xml:space="preserve">and that </w:t>
      </w:r>
      <w:r w:rsidR="00E53F46">
        <w:rPr>
          <w:rFonts w:ascii="Century Schoolbook" w:hAnsi="Century Schoolbook"/>
        </w:rPr>
        <w:t>“</w:t>
      </w:r>
      <w:r w:rsidR="00163029">
        <w:rPr>
          <w:rFonts w:ascii="Century Schoolbook" w:hAnsi="Century Schoolbook"/>
        </w:rPr>
        <w:t>[a]</w:t>
      </w:r>
      <w:r w:rsidRPr="00E53F46" w:rsidR="00E53F46">
        <w:rPr>
          <w:rFonts w:ascii="Century Schoolbook" w:hAnsi="Century Schoolbook"/>
        </w:rPr>
        <w:t xml:space="preserve"> plaintiff</w:t>
      </w:r>
      <w:r w:rsidR="00163029">
        <w:rPr>
          <w:rFonts w:ascii="Century Schoolbook" w:hAnsi="Century Schoolbook"/>
        </w:rPr>
        <w:t>’</w:t>
      </w:r>
      <w:r w:rsidRPr="00E53F46" w:rsidR="00E53F46">
        <w:rPr>
          <w:rFonts w:ascii="Century Schoolbook" w:hAnsi="Century Schoolbook"/>
        </w:rPr>
        <w:t xml:space="preserve">s choice of forum </w:t>
      </w:r>
      <w:r w:rsidR="00E53F46">
        <w:rPr>
          <w:rFonts w:ascii="Century Schoolbook" w:hAnsi="Century Schoolbook"/>
        </w:rPr>
        <w:t>‘</w:t>
      </w:r>
      <w:r w:rsidRPr="00E53F46" w:rsidR="00E53F46">
        <w:rPr>
          <w:rFonts w:ascii="Century Schoolbook" w:hAnsi="Century Schoolbook"/>
        </w:rPr>
        <w:t>is entitled to great weight even though the plaintiff is a nonresident</w:t>
      </w:r>
      <w:r w:rsidR="00E53F46">
        <w:rPr>
          <w:rFonts w:ascii="Century Schoolbook" w:hAnsi="Century Schoolbook"/>
        </w:rPr>
        <w:t>’</w:t>
      </w:r>
      <w:r w:rsidR="00163029">
        <w:rPr>
          <w:rFonts w:ascii="Century Schoolbook" w:hAnsi="Century Schoolbook"/>
        </w:rPr>
        <w:t xml:space="preserve"> ”</w:t>
      </w:r>
      <w:r w:rsidRPr="00E53F46" w:rsidR="00E53F46">
        <w:rPr>
          <w:rFonts w:ascii="Century Schoolbook" w:hAnsi="Century Schoolbook"/>
        </w:rPr>
        <w:t xml:space="preserve"> </w:t>
      </w:r>
      <w:r w:rsidR="00A75716">
        <w:rPr>
          <w:rFonts w:ascii="Century Schoolbook" w:hAnsi="Century Schoolbook"/>
        </w:rPr>
        <w:t>(</w:t>
      </w:r>
      <w:r w:rsidR="00163029">
        <w:rPr>
          <w:rFonts w:ascii="Century Schoolbook" w:hAnsi="Century Schoolbook"/>
        </w:rPr>
        <w:t xml:space="preserve">again </w:t>
      </w:r>
      <w:r w:rsidR="00A75716">
        <w:rPr>
          <w:rFonts w:ascii="Century Schoolbook" w:hAnsi="Century Schoolbook"/>
        </w:rPr>
        <w:t xml:space="preserve">citing </w:t>
      </w:r>
      <w:r w:rsidR="00163029">
        <w:rPr>
          <w:rFonts w:ascii="Century Schoolbook" w:hAnsi="Century Schoolbook"/>
        </w:rPr>
        <w:t xml:space="preserve">to </w:t>
      </w:r>
      <w:r w:rsidRPr="00163029" w:rsidR="00E53F46">
        <w:rPr>
          <w:rFonts w:ascii="Century Schoolbook" w:hAnsi="Century Schoolbook"/>
          <w:i/>
          <w:iCs/>
        </w:rPr>
        <w:t>Ford</w:t>
      </w:r>
      <w:r w:rsidRPr="00E53F46" w:rsidR="00E53F46">
        <w:rPr>
          <w:rFonts w:ascii="Century Schoolbook" w:hAnsi="Century Schoolbook"/>
        </w:rPr>
        <w:t xml:space="preserve"> </w:t>
      </w:r>
      <w:r w:rsidR="00163029">
        <w:rPr>
          <w:rFonts w:ascii="Century Schoolbook" w:hAnsi="Century Schoolbook"/>
        </w:rPr>
        <w:t xml:space="preserve">and </w:t>
      </w:r>
      <w:r w:rsidR="00BD41B8">
        <w:rPr>
          <w:rFonts w:ascii="Century Schoolbook" w:hAnsi="Century Schoolbook"/>
        </w:rPr>
        <w:t>also</w:t>
      </w:r>
      <w:r w:rsidR="00163029">
        <w:rPr>
          <w:rFonts w:ascii="Century Schoolbook" w:hAnsi="Century Schoolbook"/>
        </w:rPr>
        <w:t xml:space="preserve"> </w:t>
      </w:r>
      <w:r w:rsidR="00B00EFA">
        <w:rPr>
          <w:rFonts w:ascii="Century Schoolbook" w:hAnsi="Century Schoolbook"/>
        </w:rPr>
        <w:t xml:space="preserve">to </w:t>
      </w:r>
      <w:r w:rsidRPr="00163029" w:rsidR="00E53F46">
        <w:rPr>
          <w:rFonts w:ascii="Century Schoolbook" w:hAnsi="Century Schoolbook"/>
          <w:i/>
          <w:iCs/>
        </w:rPr>
        <w:t>Hansen v. Owens–Corning Fiberglas Corp.</w:t>
      </w:r>
      <w:r w:rsidRPr="00E53F46" w:rsidR="00E53F46">
        <w:rPr>
          <w:rFonts w:ascii="Century Schoolbook" w:hAnsi="Century Schoolbook"/>
        </w:rPr>
        <w:t xml:space="preserve"> (1996) 51 Cal.App.4th 753, 760 (</w:t>
      </w:r>
      <w:r w:rsidRPr="00163029" w:rsidR="00E53F46">
        <w:rPr>
          <w:rFonts w:ascii="Century Schoolbook" w:hAnsi="Century Schoolbook"/>
          <w:i/>
          <w:iCs/>
        </w:rPr>
        <w:t>Hansen</w:t>
      </w:r>
      <w:r w:rsidRPr="00E53F46" w:rsidR="00E53F46">
        <w:rPr>
          <w:rFonts w:ascii="Century Schoolbook" w:hAnsi="Century Schoolbook"/>
        </w:rPr>
        <w:t>).</w:t>
      </w:r>
      <w:r w:rsidR="00A75716">
        <w:rPr>
          <w:rFonts w:ascii="Century Schoolbook" w:hAnsi="Century Schoolbook"/>
        </w:rPr>
        <w:t>)</w:t>
      </w:r>
      <w:r w:rsidR="00163029">
        <w:rPr>
          <w:rFonts w:ascii="Century Schoolbook" w:hAnsi="Century Schoolbook"/>
        </w:rPr>
        <w:t xml:space="preserve">  (</w:t>
      </w:r>
      <w:r w:rsidRPr="00163029" w:rsidR="00163029">
        <w:rPr>
          <w:rFonts w:ascii="Century Schoolbook" w:hAnsi="Century Schoolbook"/>
          <w:i/>
          <w:iCs/>
        </w:rPr>
        <w:t>Morris</w:t>
      </w:r>
      <w:r w:rsidR="00163029">
        <w:rPr>
          <w:rFonts w:ascii="Century Schoolbook" w:hAnsi="Century Schoolbook"/>
        </w:rPr>
        <w:t xml:space="preserve">, </w:t>
      </w:r>
      <w:r w:rsidRPr="00163029" w:rsidR="00163029">
        <w:rPr>
          <w:rFonts w:ascii="Century Schoolbook" w:hAnsi="Century Schoolbook"/>
          <w:i/>
          <w:iCs/>
        </w:rPr>
        <w:t>supra</w:t>
      </w:r>
      <w:r w:rsidR="00163029">
        <w:rPr>
          <w:rFonts w:ascii="Century Schoolbook" w:hAnsi="Century Schoolbook"/>
        </w:rPr>
        <w:t>, 144 Cal.App.4th at pp. 1464, 1465.)</w:t>
      </w:r>
      <w:r w:rsidRPr="00E53F46" w:rsidR="00E53F46">
        <w:rPr>
          <w:rFonts w:ascii="Century Schoolbook" w:hAnsi="Century Schoolbook"/>
        </w:rPr>
        <w:t xml:space="preserve"> </w:t>
      </w:r>
      <w:r w:rsidR="00E53F46">
        <w:rPr>
          <w:rFonts w:ascii="Century Schoolbook" w:hAnsi="Century Schoolbook"/>
        </w:rPr>
        <w:t xml:space="preserve"> </w:t>
      </w:r>
      <w:r w:rsidRPr="001E7215" w:rsidR="001E7215">
        <w:rPr>
          <w:rFonts w:ascii="Century Schoolbook" w:hAnsi="Century Schoolbook"/>
          <w:i/>
          <w:iCs/>
        </w:rPr>
        <w:t>Morris</w:t>
      </w:r>
      <w:r w:rsidR="001E7215">
        <w:rPr>
          <w:rFonts w:ascii="Century Schoolbook" w:hAnsi="Century Schoolbook"/>
        </w:rPr>
        <w:t xml:space="preserve"> ultimately upheld the stay</w:t>
      </w:r>
      <w:r>
        <w:rPr>
          <w:rFonts w:ascii="Century Schoolbook" w:hAnsi="Century Schoolbook"/>
        </w:rPr>
        <w:t xml:space="preserve"> at issue in th</w:t>
      </w:r>
      <w:r w:rsidR="00F90646">
        <w:rPr>
          <w:rFonts w:ascii="Century Schoolbook" w:hAnsi="Century Schoolbook"/>
        </w:rPr>
        <w:t>at</w:t>
      </w:r>
      <w:r>
        <w:rPr>
          <w:rFonts w:ascii="Century Schoolbook" w:hAnsi="Century Schoolbook"/>
        </w:rPr>
        <w:t xml:space="preserve"> case</w:t>
      </w:r>
      <w:r w:rsidR="001E7215">
        <w:rPr>
          <w:rFonts w:ascii="Century Schoolbook" w:hAnsi="Century Schoolbook"/>
        </w:rPr>
        <w:t xml:space="preserve">, </w:t>
      </w:r>
      <w:r>
        <w:rPr>
          <w:rFonts w:ascii="Century Schoolbook" w:hAnsi="Century Schoolbook"/>
        </w:rPr>
        <w:t>so its holding does not assist plaintiffs</w:t>
      </w:r>
      <w:r w:rsidR="001E7215">
        <w:rPr>
          <w:rFonts w:ascii="Century Schoolbook" w:hAnsi="Century Schoolbook"/>
        </w:rPr>
        <w:t>.</w:t>
      </w:r>
      <w:r>
        <w:rPr>
          <w:rFonts w:ascii="Century Schoolbook" w:hAnsi="Century Schoolbook"/>
        </w:rPr>
        <w:t xml:space="preserve">  </w:t>
      </w:r>
      <w:r w:rsidR="00211B22">
        <w:rPr>
          <w:rFonts w:ascii="Century Schoolbook" w:hAnsi="Century Schoolbook"/>
        </w:rPr>
        <w:t>But more to the point</w:t>
      </w:r>
      <w:r w:rsidR="00BD41B8">
        <w:rPr>
          <w:rFonts w:ascii="Century Schoolbook" w:hAnsi="Century Schoolbook"/>
        </w:rPr>
        <w:t xml:space="preserve">, </w:t>
      </w:r>
      <w:r w:rsidRPr="0030267D">
        <w:rPr>
          <w:rFonts w:ascii="Century Schoolbook" w:hAnsi="Century Schoolbook"/>
          <w:i/>
          <w:iCs/>
        </w:rPr>
        <w:t>Morris</w:t>
      </w:r>
      <w:r>
        <w:rPr>
          <w:rFonts w:ascii="Century Schoolbook" w:hAnsi="Century Schoolbook"/>
        </w:rPr>
        <w:t xml:space="preserve"> did not </w:t>
      </w:r>
      <w:r w:rsidR="00BC015A">
        <w:rPr>
          <w:rFonts w:ascii="Century Schoolbook" w:hAnsi="Century Schoolbook"/>
        </w:rPr>
        <w:t>engage in any discussion</w:t>
      </w:r>
      <w:r w:rsidR="00BD41B8">
        <w:rPr>
          <w:rFonts w:ascii="Century Schoolbook" w:hAnsi="Century Schoolbook"/>
        </w:rPr>
        <w:t>, let alone</w:t>
      </w:r>
      <w:r w:rsidR="00BC015A">
        <w:rPr>
          <w:rFonts w:ascii="Century Schoolbook" w:hAnsi="Century Schoolbook"/>
        </w:rPr>
        <w:t xml:space="preserve"> analysis</w:t>
      </w:r>
      <w:r w:rsidR="00BD41B8">
        <w:rPr>
          <w:rFonts w:ascii="Century Schoolbook" w:hAnsi="Century Schoolbook"/>
        </w:rPr>
        <w:t>,</w:t>
      </w:r>
      <w:r w:rsidR="00BC015A">
        <w:rPr>
          <w:rFonts w:ascii="Century Schoolbook" w:hAnsi="Century Schoolbook"/>
        </w:rPr>
        <w:t xml:space="preserve"> of </w:t>
      </w:r>
      <w:r>
        <w:rPr>
          <w:rFonts w:ascii="Century Schoolbook" w:hAnsi="Century Schoolbook"/>
        </w:rPr>
        <w:t>whether defendants must show that California is a “seriously inconvenient forum</w:t>
      </w:r>
      <w:r w:rsidR="00A75716">
        <w:rPr>
          <w:rFonts w:ascii="Century Schoolbook" w:hAnsi="Century Schoolbook"/>
        </w:rPr>
        <w:t>.</w:t>
      </w:r>
      <w:r>
        <w:rPr>
          <w:rFonts w:ascii="Century Schoolbook" w:hAnsi="Century Schoolbook"/>
        </w:rPr>
        <w:t>”</w:t>
      </w:r>
      <w:r w:rsidR="00A75716">
        <w:rPr>
          <w:rFonts w:ascii="Century Schoolbook" w:hAnsi="Century Schoolbook"/>
        </w:rPr>
        <w:t xml:space="preserve"> </w:t>
      </w:r>
      <w:r>
        <w:rPr>
          <w:rFonts w:ascii="Century Schoolbook" w:hAnsi="Century Schoolbook"/>
        </w:rPr>
        <w:t xml:space="preserve"> </w:t>
      </w:r>
      <w:r w:rsidR="00A75716">
        <w:rPr>
          <w:rFonts w:ascii="Century Schoolbook" w:hAnsi="Century Schoolbook"/>
        </w:rPr>
        <w:t>A</w:t>
      </w:r>
      <w:r>
        <w:rPr>
          <w:rFonts w:ascii="Century Schoolbook" w:hAnsi="Century Schoolbook"/>
        </w:rPr>
        <w:t xml:space="preserve">nd the </w:t>
      </w:r>
      <w:r w:rsidR="00F84AB0">
        <w:rPr>
          <w:rFonts w:ascii="Century Schoolbook" w:hAnsi="Century Schoolbook"/>
          <w:i/>
          <w:iCs/>
        </w:rPr>
        <w:t xml:space="preserve">Ford </w:t>
      </w:r>
      <w:r>
        <w:rPr>
          <w:rFonts w:ascii="Century Schoolbook" w:hAnsi="Century Schoolbook"/>
        </w:rPr>
        <w:t>case on which it</w:t>
      </w:r>
      <w:r w:rsidR="00F84AB0">
        <w:rPr>
          <w:rFonts w:ascii="Century Schoolbook" w:hAnsi="Century Schoolbook"/>
        </w:rPr>
        <w:t xml:space="preserve"> primarily</w:t>
      </w:r>
      <w:r>
        <w:rPr>
          <w:rFonts w:ascii="Century Schoolbook" w:hAnsi="Century Schoolbook"/>
        </w:rPr>
        <w:t xml:space="preserve"> relied </w:t>
      </w:r>
      <w:r w:rsidR="00D15EB6">
        <w:rPr>
          <w:rFonts w:ascii="Century Schoolbook" w:hAnsi="Century Schoolbook"/>
        </w:rPr>
        <w:t xml:space="preserve">for that proposition </w:t>
      </w:r>
      <w:r>
        <w:rPr>
          <w:rFonts w:ascii="Century Schoolbook" w:hAnsi="Century Schoolbook"/>
        </w:rPr>
        <w:t>do</w:t>
      </w:r>
      <w:r w:rsidR="00EE1115">
        <w:rPr>
          <w:rFonts w:ascii="Century Schoolbook" w:hAnsi="Century Schoolbook"/>
        </w:rPr>
        <w:t>es</w:t>
      </w:r>
      <w:r>
        <w:rPr>
          <w:rFonts w:ascii="Century Schoolbook" w:hAnsi="Century Schoolbook"/>
        </w:rPr>
        <w:t xml:space="preserve"> not support </w:t>
      </w:r>
      <w:r w:rsidR="00EE1115">
        <w:rPr>
          <w:rFonts w:ascii="Century Schoolbook" w:hAnsi="Century Schoolbook"/>
        </w:rPr>
        <w:t>that proposition</w:t>
      </w:r>
      <w:r>
        <w:rPr>
          <w:rFonts w:ascii="Century Schoolbook" w:hAnsi="Century Schoolbook"/>
        </w:rPr>
        <w:t xml:space="preserve">.  </w:t>
      </w:r>
      <w:r w:rsidR="00AD165F">
        <w:rPr>
          <w:rFonts w:ascii="Century Schoolbook" w:hAnsi="Century Schoolbook"/>
          <w:i/>
          <w:iCs/>
        </w:rPr>
        <w:t xml:space="preserve">Morris </w:t>
      </w:r>
      <w:r w:rsidR="00AD165F">
        <w:rPr>
          <w:rFonts w:ascii="Century Schoolbook" w:hAnsi="Century Schoolbook"/>
        </w:rPr>
        <w:t xml:space="preserve">and </w:t>
      </w:r>
      <w:r w:rsidR="00AD165F">
        <w:rPr>
          <w:rFonts w:ascii="Century Schoolbook" w:hAnsi="Century Schoolbook"/>
          <w:i/>
          <w:iCs/>
        </w:rPr>
        <w:t xml:space="preserve">Ford </w:t>
      </w:r>
      <w:r w:rsidR="00BD41B8">
        <w:rPr>
          <w:rFonts w:ascii="Century Schoolbook" w:hAnsi="Century Schoolbook"/>
        </w:rPr>
        <w:t xml:space="preserve">are not persuasive.  </w:t>
      </w:r>
      <w:r w:rsidR="00BD41B8">
        <w:rPr>
          <w:rFonts w:ascii="Century Schoolbook" w:hAnsi="Century Schoolbook"/>
          <w:i/>
          <w:iCs/>
        </w:rPr>
        <w:t xml:space="preserve">NFL </w:t>
      </w:r>
      <w:r w:rsidR="00211B22">
        <w:rPr>
          <w:rFonts w:ascii="Century Schoolbook" w:hAnsi="Century Schoolbook"/>
        </w:rPr>
        <w:t xml:space="preserve">and </w:t>
      </w:r>
      <w:r w:rsidRPr="00211B22" w:rsidR="00211B22">
        <w:rPr>
          <w:rFonts w:ascii="Century Schoolbook" w:hAnsi="Century Schoolbook"/>
          <w:i/>
          <w:iCs/>
        </w:rPr>
        <w:t>Fox Factory</w:t>
      </w:r>
      <w:r w:rsidR="00211B22">
        <w:rPr>
          <w:rFonts w:ascii="Century Schoolbook" w:hAnsi="Century Schoolbook"/>
        </w:rPr>
        <w:t xml:space="preserve"> are</w:t>
      </w:r>
      <w:r w:rsidR="00BD41B8">
        <w:rPr>
          <w:rFonts w:ascii="Century Schoolbook" w:hAnsi="Century Schoolbook"/>
        </w:rPr>
        <w:t xml:space="preserve">.  </w:t>
      </w:r>
    </w:p>
    <w:p w:rsidR="006760D2" w:rsidP="006760D2" w14:paraId="5D79C22A" w14:textId="30AD5641">
      <w:pPr>
        <w:spacing w:line="360" w:lineRule="auto"/>
        <w:rPr>
          <w:rFonts w:ascii="Century Schoolbook" w:hAnsi="Century Schoolbook"/>
        </w:rPr>
      </w:pPr>
      <w:r>
        <w:rPr>
          <w:rFonts w:ascii="Century Schoolbook" w:hAnsi="Century Schoolbook"/>
        </w:rPr>
        <w:tab/>
      </w:r>
      <w:r w:rsidR="000B5736">
        <w:rPr>
          <w:rFonts w:ascii="Century Schoolbook" w:hAnsi="Century Schoolbook"/>
        </w:rPr>
        <w:t xml:space="preserve">The court in </w:t>
      </w:r>
      <w:r w:rsidR="00874E4F">
        <w:rPr>
          <w:rFonts w:ascii="Century Schoolbook" w:hAnsi="Century Schoolbook"/>
          <w:i/>
          <w:iCs/>
        </w:rPr>
        <w:t>NFL</w:t>
      </w:r>
      <w:r w:rsidR="00874E4F">
        <w:rPr>
          <w:rFonts w:ascii="Century Schoolbook" w:hAnsi="Century Schoolbook"/>
        </w:rPr>
        <w:t xml:space="preserve">, </w:t>
      </w:r>
      <w:r w:rsidRPr="00874E4F" w:rsidR="00874E4F">
        <w:rPr>
          <w:rFonts w:ascii="Century Schoolbook" w:hAnsi="Century Schoolbook"/>
          <w:i/>
          <w:iCs/>
        </w:rPr>
        <w:t>supra</w:t>
      </w:r>
      <w:r w:rsidR="00874E4F">
        <w:rPr>
          <w:rFonts w:ascii="Century Schoolbook" w:hAnsi="Century Schoolbook"/>
        </w:rPr>
        <w:t>,</w:t>
      </w:r>
      <w:r w:rsidRPr="00503257" w:rsidR="000B5736">
        <w:rPr>
          <w:rFonts w:ascii="Century Schoolbook" w:hAnsi="Century Schoolbook"/>
        </w:rPr>
        <w:t xml:space="preserve"> 216 Cal.App.4th 902</w:t>
      </w:r>
      <w:r w:rsidR="00874E4F">
        <w:rPr>
          <w:rFonts w:ascii="Century Schoolbook" w:hAnsi="Century Schoolbook"/>
        </w:rPr>
        <w:t>,</w:t>
      </w:r>
      <w:r w:rsidR="000B5736">
        <w:rPr>
          <w:rFonts w:ascii="Century Schoolbook" w:hAnsi="Century Schoolbook"/>
        </w:rPr>
        <w:t xml:space="preserve"> consider</w:t>
      </w:r>
      <w:r w:rsidR="00D7339E">
        <w:rPr>
          <w:rFonts w:ascii="Century Schoolbook" w:hAnsi="Century Schoolbook"/>
        </w:rPr>
        <w:t>ed</w:t>
      </w:r>
      <w:r w:rsidR="000B5736">
        <w:rPr>
          <w:rFonts w:ascii="Century Schoolbook" w:hAnsi="Century Schoolbook"/>
        </w:rPr>
        <w:t xml:space="preserve"> at length the question of whether defendants must show that California is a “seriously inconvenient” forum.  </w:t>
      </w:r>
      <w:r w:rsidR="00BD5967">
        <w:rPr>
          <w:rFonts w:ascii="Century Schoolbook" w:hAnsi="Century Schoolbook"/>
        </w:rPr>
        <w:t>(</w:t>
      </w:r>
      <w:r w:rsidRPr="00DC78FB" w:rsidR="00BD5967">
        <w:rPr>
          <w:rFonts w:ascii="Century Schoolbook" w:hAnsi="Century Schoolbook"/>
          <w:i/>
          <w:iCs/>
        </w:rPr>
        <w:t>Id</w:t>
      </w:r>
      <w:r w:rsidR="00BD5967">
        <w:rPr>
          <w:rFonts w:ascii="Century Schoolbook" w:hAnsi="Century Schoolbook"/>
        </w:rPr>
        <w:t xml:space="preserve">. at pp. </w:t>
      </w:r>
      <w:r w:rsidR="00DC78FB">
        <w:rPr>
          <w:rFonts w:ascii="Century Schoolbook" w:hAnsi="Century Schoolbook"/>
        </w:rPr>
        <w:t>930–933</w:t>
      </w:r>
      <w:r w:rsidR="00BD5967">
        <w:rPr>
          <w:rFonts w:ascii="Century Schoolbook" w:hAnsi="Century Schoolbook"/>
        </w:rPr>
        <w:t xml:space="preserve">.)  </w:t>
      </w:r>
      <w:r w:rsidR="000B5736">
        <w:rPr>
          <w:rFonts w:ascii="Century Schoolbook" w:hAnsi="Century Schoolbook"/>
        </w:rPr>
        <w:t xml:space="preserve">There, </w:t>
      </w:r>
      <w:r w:rsidR="00AD5F6E">
        <w:rPr>
          <w:rFonts w:ascii="Century Schoolbook" w:hAnsi="Century Schoolbook"/>
        </w:rPr>
        <w:t>the National Football League, an unincorporated association headquartered in New York City</w:t>
      </w:r>
      <w:r w:rsidR="00B00EFA">
        <w:rPr>
          <w:rFonts w:ascii="Century Schoolbook" w:hAnsi="Century Schoolbook"/>
        </w:rPr>
        <w:t>,</w:t>
      </w:r>
      <w:r w:rsidR="00A75716">
        <w:rPr>
          <w:rFonts w:ascii="Century Schoolbook" w:hAnsi="Century Schoolbook"/>
        </w:rPr>
        <w:t xml:space="preserve"> </w:t>
      </w:r>
      <w:r w:rsidR="00AD5F6E">
        <w:rPr>
          <w:rFonts w:ascii="Century Schoolbook" w:hAnsi="Century Schoolbook"/>
        </w:rPr>
        <w:t xml:space="preserve">sought declaratory relief regarding the coverage duties of some 32 insurer defendants, with all the same entities subject to </w:t>
      </w:r>
      <w:r w:rsidR="00F3426C">
        <w:rPr>
          <w:rFonts w:ascii="Century Schoolbook" w:hAnsi="Century Schoolbook"/>
        </w:rPr>
        <w:t>parallel</w:t>
      </w:r>
      <w:r w:rsidR="00AD5F6E">
        <w:rPr>
          <w:rFonts w:ascii="Century Schoolbook" w:hAnsi="Century Schoolbook"/>
        </w:rPr>
        <w:t xml:space="preserve"> actions in the New York state courts.  (</w:t>
      </w:r>
      <w:r w:rsidRPr="007F212D" w:rsidR="00AD5F6E">
        <w:rPr>
          <w:rFonts w:ascii="Century Schoolbook" w:hAnsi="Century Schoolbook"/>
          <w:i/>
          <w:iCs/>
        </w:rPr>
        <w:t>Id</w:t>
      </w:r>
      <w:r w:rsidR="00AD5F6E">
        <w:rPr>
          <w:rFonts w:ascii="Century Schoolbook" w:hAnsi="Century Schoolbook"/>
        </w:rPr>
        <w:t xml:space="preserve">. at </w:t>
      </w:r>
      <w:r w:rsidR="00874E4F">
        <w:rPr>
          <w:rFonts w:ascii="Century Schoolbook" w:hAnsi="Century Schoolbook"/>
        </w:rPr>
        <w:t>p</w:t>
      </w:r>
      <w:r w:rsidR="00AD5F6E">
        <w:rPr>
          <w:rFonts w:ascii="Century Schoolbook" w:hAnsi="Century Schoolbook"/>
        </w:rPr>
        <w:t>p. 906</w:t>
      </w:r>
      <w:r w:rsidR="00874E4F">
        <w:rPr>
          <w:rFonts w:ascii="Century Schoolbook" w:hAnsi="Century Schoolbook"/>
        </w:rPr>
        <w:t>, 919–922</w:t>
      </w:r>
      <w:r w:rsidR="00AD5F6E">
        <w:rPr>
          <w:rFonts w:ascii="Century Schoolbook" w:hAnsi="Century Schoolbook"/>
        </w:rPr>
        <w:t xml:space="preserve">.)  </w:t>
      </w:r>
      <w:r w:rsidR="00F26EE3">
        <w:rPr>
          <w:rFonts w:ascii="Century Schoolbook" w:hAnsi="Century Schoolbook"/>
        </w:rPr>
        <w:t xml:space="preserve">The </w:t>
      </w:r>
      <w:r w:rsidR="009C412E">
        <w:rPr>
          <w:rFonts w:ascii="Century Schoolbook" w:hAnsi="Century Schoolbook"/>
        </w:rPr>
        <w:t>trial court stayed the case.  And the Court of Appeal affirmed</w:t>
      </w:r>
      <w:r w:rsidR="00F26EE3">
        <w:rPr>
          <w:rFonts w:ascii="Century Schoolbook" w:hAnsi="Century Schoolbook"/>
        </w:rPr>
        <w:t xml:space="preserve">.  </w:t>
      </w:r>
      <w:r w:rsidR="007F212D">
        <w:rPr>
          <w:rFonts w:ascii="Century Schoolbook" w:hAnsi="Century Schoolbook"/>
        </w:rPr>
        <w:t>(</w:t>
      </w:r>
      <w:r w:rsidRPr="007F212D" w:rsidR="007F212D">
        <w:rPr>
          <w:rFonts w:ascii="Century Schoolbook" w:hAnsi="Century Schoolbook"/>
          <w:i/>
          <w:iCs/>
        </w:rPr>
        <w:t>Id</w:t>
      </w:r>
      <w:r w:rsidR="007F212D">
        <w:rPr>
          <w:rFonts w:ascii="Century Schoolbook" w:hAnsi="Century Schoolbook"/>
        </w:rPr>
        <w:t>. at pp.</w:t>
      </w:r>
      <w:r w:rsidR="00ED4F07">
        <w:rPr>
          <w:rFonts w:ascii="Century Schoolbook" w:hAnsi="Century Schoolbook"/>
        </w:rPr>
        <w:t> </w:t>
      </w:r>
      <w:r w:rsidR="007F212D">
        <w:rPr>
          <w:rFonts w:ascii="Century Schoolbook" w:hAnsi="Century Schoolbook"/>
        </w:rPr>
        <w:t xml:space="preserve">939–940.)  </w:t>
      </w:r>
      <w:r w:rsidR="00211B22">
        <w:rPr>
          <w:rFonts w:ascii="Century Schoolbook" w:hAnsi="Century Schoolbook"/>
        </w:rPr>
        <w:t>Doing so</w:t>
      </w:r>
      <w:r w:rsidR="00B04067">
        <w:rPr>
          <w:rFonts w:ascii="Century Schoolbook" w:hAnsi="Century Schoolbook"/>
        </w:rPr>
        <w:t xml:space="preserve">, </w:t>
      </w:r>
      <w:r w:rsidRPr="00DC78FB" w:rsidR="00482F19">
        <w:rPr>
          <w:rFonts w:ascii="Century Schoolbook" w:hAnsi="Century Schoolbook"/>
          <w:i/>
          <w:iCs/>
        </w:rPr>
        <w:t>NFL</w:t>
      </w:r>
      <w:r w:rsidR="00482F19">
        <w:rPr>
          <w:rFonts w:ascii="Century Schoolbook" w:hAnsi="Century Schoolbook"/>
        </w:rPr>
        <w:t xml:space="preserve"> conducted a</w:t>
      </w:r>
      <w:r w:rsidR="00ED4F07">
        <w:rPr>
          <w:rFonts w:ascii="Century Schoolbook" w:hAnsi="Century Schoolbook"/>
        </w:rPr>
        <w:t>n</w:t>
      </w:r>
      <w:r w:rsidR="00482F19">
        <w:rPr>
          <w:rFonts w:ascii="Century Schoolbook" w:hAnsi="Century Schoolbook"/>
        </w:rPr>
        <w:t xml:space="preserve"> </w:t>
      </w:r>
      <w:r w:rsidR="00BC015A">
        <w:rPr>
          <w:rFonts w:ascii="Century Schoolbook" w:hAnsi="Century Schoolbook"/>
        </w:rPr>
        <w:t>exhaustive</w:t>
      </w:r>
      <w:r w:rsidR="00482F19">
        <w:rPr>
          <w:rFonts w:ascii="Century Schoolbook" w:hAnsi="Century Schoolbook"/>
        </w:rPr>
        <w:t xml:space="preserve"> review of the “seminal forum non conveniens case law,</w:t>
      </w:r>
      <w:r w:rsidR="00037AC8">
        <w:rPr>
          <w:rFonts w:ascii="Century Schoolbook" w:hAnsi="Century Schoolbook"/>
        </w:rPr>
        <w:t>”</w:t>
      </w:r>
      <w:r w:rsidR="00482F19">
        <w:rPr>
          <w:rFonts w:ascii="Century Schoolbook" w:hAnsi="Century Schoolbook"/>
        </w:rPr>
        <w:t xml:space="preserve"> the codification of the doctrine in </w:t>
      </w:r>
      <w:r w:rsidR="00037AC8">
        <w:rPr>
          <w:rFonts w:ascii="Century Schoolbook" w:hAnsi="Century Schoolbook"/>
        </w:rPr>
        <w:t xml:space="preserve">Code of Civil Procedure </w:t>
      </w:r>
      <w:r w:rsidR="00482F19">
        <w:rPr>
          <w:rFonts w:ascii="Century Schoolbook" w:hAnsi="Century Schoolbook"/>
        </w:rPr>
        <w:t xml:space="preserve">section 410.30, </w:t>
      </w:r>
      <w:r w:rsidR="0089613E">
        <w:rPr>
          <w:rFonts w:ascii="Century Schoolbook" w:hAnsi="Century Schoolbook"/>
        </w:rPr>
        <w:t xml:space="preserve">and the case law both </w:t>
      </w:r>
      <w:r w:rsidR="00F3426C">
        <w:rPr>
          <w:rFonts w:ascii="Century Schoolbook" w:hAnsi="Century Schoolbook"/>
        </w:rPr>
        <w:t>preceding</w:t>
      </w:r>
      <w:r w:rsidR="0089613E">
        <w:rPr>
          <w:rFonts w:ascii="Century Schoolbook" w:hAnsi="Century Schoolbook"/>
        </w:rPr>
        <w:t xml:space="preserve"> and following </w:t>
      </w:r>
      <w:r w:rsidRPr="00F520C7" w:rsidR="0089613E">
        <w:rPr>
          <w:rFonts w:ascii="Century Schoolbook" w:hAnsi="Century Schoolbook"/>
          <w:i/>
          <w:iCs/>
        </w:rPr>
        <w:t>Stangvik</w:t>
      </w:r>
      <w:r w:rsidR="0089613E">
        <w:rPr>
          <w:rFonts w:ascii="Century Schoolbook" w:hAnsi="Century Schoolbook"/>
        </w:rPr>
        <w:t xml:space="preserve">, the </w:t>
      </w:r>
      <w:r w:rsidR="00ED4F07">
        <w:rPr>
          <w:rFonts w:ascii="Century Schoolbook" w:hAnsi="Century Schoolbook"/>
        </w:rPr>
        <w:t xml:space="preserve">case it described as the </w:t>
      </w:r>
      <w:r w:rsidR="0089613E">
        <w:rPr>
          <w:rFonts w:ascii="Century Schoolbook" w:hAnsi="Century Schoolbook"/>
        </w:rPr>
        <w:t>“</w:t>
      </w:r>
      <w:r w:rsidRPr="0089613E" w:rsidR="0089613E">
        <w:rPr>
          <w:rFonts w:ascii="Century Schoolbook" w:hAnsi="Century Schoolbook"/>
        </w:rPr>
        <w:t xml:space="preserve">leading California Supreme Court case in the era subsequent to the enactment of </w:t>
      </w:r>
      <w:r w:rsidR="00037AC8">
        <w:rPr>
          <w:rFonts w:ascii="Century Schoolbook" w:hAnsi="Century Schoolbook"/>
        </w:rPr>
        <w:t xml:space="preserve">Code of Civil Procedure </w:t>
      </w:r>
      <w:r w:rsidRPr="0089613E" w:rsidR="0089613E">
        <w:rPr>
          <w:rFonts w:ascii="Century Schoolbook" w:hAnsi="Century Schoolbook"/>
        </w:rPr>
        <w:t>section 410.30</w:t>
      </w:r>
      <w:r w:rsidR="005A41FB">
        <w:rPr>
          <w:rFonts w:ascii="Century Schoolbook" w:hAnsi="Century Schoolbook"/>
        </w:rPr>
        <w:t>.</w:t>
      </w:r>
      <w:r w:rsidR="0089613E">
        <w:rPr>
          <w:rFonts w:ascii="Century Schoolbook" w:hAnsi="Century Schoolbook"/>
        </w:rPr>
        <w:t>”</w:t>
      </w:r>
      <w:r w:rsidR="005A41FB">
        <w:rPr>
          <w:rFonts w:ascii="Century Schoolbook" w:hAnsi="Century Schoolbook"/>
        </w:rPr>
        <w:t xml:space="preserve">  The court also discussed</w:t>
      </w:r>
      <w:r w:rsidR="0089613E">
        <w:rPr>
          <w:rFonts w:ascii="Century Schoolbook" w:hAnsi="Century Schoolbook"/>
        </w:rPr>
        <w:t xml:space="preserve"> </w:t>
      </w:r>
      <w:r w:rsidRPr="00F520C7" w:rsidR="0089613E">
        <w:rPr>
          <w:rFonts w:ascii="Century Schoolbook" w:hAnsi="Century Schoolbook"/>
          <w:i/>
          <w:iCs/>
        </w:rPr>
        <w:t>Ford</w:t>
      </w:r>
      <w:r w:rsidR="00BC015A">
        <w:rPr>
          <w:rFonts w:ascii="Century Schoolbook" w:hAnsi="Century Schoolbook"/>
        </w:rPr>
        <w:t xml:space="preserve"> and </w:t>
      </w:r>
      <w:r w:rsidRPr="003876D5" w:rsidR="00BC015A">
        <w:rPr>
          <w:rFonts w:ascii="Century Schoolbook" w:hAnsi="Century Schoolbook"/>
          <w:i/>
          <w:iCs/>
        </w:rPr>
        <w:t>Morris</w:t>
      </w:r>
      <w:r w:rsidR="005A41FB">
        <w:rPr>
          <w:rFonts w:ascii="Century Schoolbook" w:hAnsi="Century Schoolbook"/>
        </w:rPr>
        <w:t xml:space="preserve">, and rejected the NFL’s argument that defendants were required to show that California was a “seriously inconvenient” forum.  </w:t>
      </w:r>
      <w:r w:rsidR="0089613E">
        <w:rPr>
          <w:rFonts w:ascii="Century Schoolbook" w:hAnsi="Century Schoolbook"/>
        </w:rPr>
        <w:t>(</w:t>
      </w:r>
      <w:r w:rsidRPr="00F520C7" w:rsidR="0089613E">
        <w:rPr>
          <w:rFonts w:ascii="Century Schoolbook" w:hAnsi="Century Schoolbook"/>
          <w:i/>
          <w:iCs/>
        </w:rPr>
        <w:t>NFL</w:t>
      </w:r>
      <w:r w:rsidR="0089613E">
        <w:rPr>
          <w:rFonts w:ascii="Century Schoolbook" w:hAnsi="Century Schoolbook"/>
        </w:rPr>
        <w:t xml:space="preserve">, </w:t>
      </w:r>
      <w:r w:rsidRPr="00F520C7" w:rsidR="0089613E">
        <w:rPr>
          <w:rFonts w:ascii="Century Schoolbook" w:hAnsi="Century Schoolbook"/>
          <w:i/>
          <w:iCs/>
        </w:rPr>
        <w:t>supra</w:t>
      </w:r>
      <w:r w:rsidR="0089613E">
        <w:rPr>
          <w:rFonts w:ascii="Century Schoolbook" w:hAnsi="Century Schoolbook"/>
        </w:rPr>
        <w:t>, 216</w:t>
      </w:r>
      <w:r w:rsidR="00A75716">
        <w:rPr>
          <w:rFonts w:ascii="Century Schoolbook" w:hAnsi="Century Schoolbook"/>
        </w:rPr>
        <w:t> </w:t>
      </w:r>
      <w:r w:rsidR="0089613E">
        <w:rPr>
          <w:rFonts w:ascii="Century Schoolbook" w:hAnsi="Century Schoolbook"/>
        </w:rPr>
        <w:t xml:space="preserve">Cal.App.4th at pp. </w:t>
      </w:r>
      <w:r w:rsidR="00F520C7">
        <w:rPr>
          <w:rFonts w:ascii="Century Schoolbook" w:hAnsi="Century Schoolbook"/>
        </w:rPr>
        <w:t>922</w:t>
      </w:r>
      <w:r w:rsidR="00875341">
        <w:rPr>
          <w:rFonts w:ascii="Century Schoolbook" w:hAnsi="Century Schoolbook"/>
        </w:rPr>
        <w:t>–</w:t>
      </w:r>
      <w:r w:rsidR="00F520C7">
        <w:rPr>
          <w:rFonts w:ascii="Century Schoolbook" w:hAnsi="Century Schoolbook"/>
        </w:rPr>
        <w:t>933</w:t>
      </w:r>
      <w:r w:rsidR="0089613E">
        <w:rPr>
          <w:rFonts w:ascii="Century Schoolbook" w:hAnsi="Century Schoolbook"/>
        </w:rPr>
        <w:t xml:space="preserve">.)  </w:t>
      </w:r>
      <w:r w:rsidR="00E52CBE">
        <w:rPr>
          <w:rFonts w:ascii="Century Schoolbook" w:hAnsi="Century Schoolbook"/>
        </w:rPr>
        <w:t>This is how the court put it</w:t>
      </w:r>
      <w:r w:rsidR="008666A4">
        <w:rPr>
          <w:rFonts w:ascii="Century Schoolbook" w:hAnsi="Century Schoolbook"/>
        </w:rPr>
        <w:t xml:space="preserve">: </w:t>
      </w:r>
    </w:p>
    <w:p w:rsidR="008666A4" w:rsidRPr="00037AC8" w:rsidP="006760D2" w14:paraId="7F7BF106" w14:textId="64E62181">
      <w:pPr>
        <w:spacing w:line="360" w:lineRule="auto"/>
        <w:rPr>
          <w:rFonts w:ascii="Century Schoolbook" w:hAnsi="Century Schoolbook"/>
        </w:rPr>
      </w:pPr>
      <w:r>
        <w:rPr>
          <w:rFonts w:ascii="Century Schoolbook" w:hAnsi="Century Schoolbook"/>
        </w:rPr>
        <w:tab/>
        <w:t>“</w:t>
      </w:r>
      <w:r w:rsidRPr="008666A4">
        <w:rPr>
          <w:rFonts w:ascii="Century Schoolbook" w:hAnsi="Century Schoolbook"/>
        </w:rPr>
        <w:t>NFL</w:t>
      </w:r>
      <w:r>
        <w:rPr>
          <w:rFonts w:ascii="Century Schoolbook" w:hAnsi="Century Schoolbook"/>
        </w:rPr>
        <w:t>’</w:t>
      </w:r>
      <w:r w:rsidRPr="008666A4">
        <w:rPr>
          <w:rFonts w:ascii="Century Schoolbook" w:hAnsi="Century Schoolbook"/>
        </w:rPr>
        <w:t>s contention that the moving party</w:t>
      </w:r>
      <w:r>
        <w:rPr>
          <w:rFonts w:ascii="Century Schoolbook" w:hAnsi="Century Schoolbook"/>
        </w:rPr>
        <w:t>’</w:t>
      </w:r>
      <w:r w:rsidRPr="008666A4">
        <w:rPr>
          <w:rFonts w:ascii="Century Schoolbook" w:hAnsi="Century Schoolbook"/>
        </w:rPr>
        <w:t xml:space="preserve">s burden of proof in a forum non conveniens motion includes proving California is a </w:t>
      </w:r>
      <w:r>
        <w:rPr>
          <w:rFonts w:ascii="Century Schoolbook" w:hAnsi="Century Schoolbook"/>
        </w:rPr>
        <w:t>‘</w:t>
      </w:r>
      <w:r w:rsidRPr="008666A4">
        <w:rPr>
          <w:rFonts w:ascii="Century Schoolbook" w:hAnsi="Century Schoolbook"/>
        </w:rPr>
        <w:t>seriously inconvenient</w:t>
      </w:r>
      <w:r>
        <w:rPr>
          <w:rFonts w:ascii="Century Schoolbook" w:hAnsi="Century Schoolbook"/>
        </w:rPr>
        <w:t>’</w:t>
      </w:r>
      <w:r w:rsidRPr="008666A4">
        <w:rPr>
          <w:rFonts w:ascii="Century Schoolbook" w:hAnsi="Century Schoolbook"/>
        </w:rPr>
        <w:t xml:space="preserve"> forum also relies heavily on the </w:t>
      </w:r>
      <w:r w:rsidRPr="008666A4">
        <w:rPr>
          <w:rFonts w:ascii="Century Schoolbook" w:hAnsi="Century Schoolbook"/>
          <w:i/>
          <w:iCs/>
        </w:rPr>
        <w:t>Ford</w:t>
      </w:r>
      <w:r w:rsidRPr="008666A4">
        <w:rPr>
          <w:rFonts w:ascii="Century Schoolbook" w:hAnsi="Century Schoolbook"/>
        </w:rPr>
        <w:t xml:space="preserve"> case</w:t>
      </w:r>
      <w:r>
        <w:rPr>
          <w:rFonts w:ascii="Century Schoolbook" w:hAnsi="Century Schoolbook"/>
        </w:rPr>
        <w:t xml:space="preserve"> . . . </w:t>
      </w:r>
      <w:r w:rsidRPr="008666A4">
        <w:rPr>
          <w:rFonts w:ascii="Century Schoolbook" w:hAnsi="Century Schoolbook"/>
        </w:rPr>
        <w:t>.</w:t>
      </w:r>
      <w:r>
        <w:rPr>
          <w:rFonts w:ascii="Century Schoolbook" w:hAnsi="Century Schoolbook"/>
        </w:rPr>
        <w:t xml:space="preserve"> </w:t>
      </w:r>
      <w:r w:rsidRPr="008666A4">
        <w:rPr>
          <w:rFonts w:ascii="Century Schoolbook" w:hAnsi="Century Schoolbook"/>
        </w:rPr>
        <w:t xml:space="preserve"> </w:t>
      </w:r>
      <w:r>
        <w:rPr>
          <w:rFonts w:ascii="Century Schoolbook" w:hAnsi="Century Schoolbook"/>
        </w:rPr>
        <w:t>[I]</w:t>
      </w:r>
      <w:r w:rsidRPr="008666A4">
        <w:rPr>
          <w:rFonts w:ascii="Century Schoolbook" w:hAnsi="Century Schoolbook"/>
        </w:rPr>
        <w:t xml:space="preserve">n </w:t>
      </w:r>
      <w:r w:rsidRPr="008666A4">
        <w:rPr>
          <w:rFonts w:ascii="Century Schoolbook" w:hAnsi="Century Schoolbook"/>
          <w:i/>
          <w:iCs/>
        </w:rPr>
        <w:t>Ford</w:t>
      </w:r>
      <w:r w:rsidRPr="008666A4">
        <w:rPr>
          <w:rFonts w:ascii="Century Schoolbook" w:hAnsi="Century Schoolbook"/>
        </w:rPr>
        <w:t xml:space="preserve"> the </w:t>
      </w:r>
      <w:r w:rsidR="00037AC8">
        <w:rPr>
          <w:rFonts w:ascii="Century Schoolbook" w:hAnsi="Century Schoolbook"/>
        </w:rPr>
        <w:t>C</w:t>
      </w:r>
      <w:r w:rsidRPr="008666A4">
        <w:rPr>
          <w:rFonts w:ascii="Century Schoolbook" w:hAnsi="Century Schoolbook"/>
        </w:rPr>
        <w:t xml:space="preserve">ourt of </w:t>
      </w:r>
      <w:r w:rsidR="00037AC8">
        <w:rPr>
          <w:rFonts w:ascii="Century Schoolbook" w:hAnsi="Century Schoolbook"/>
        </w:rPr>
        <w:t>A</w:t>
      </w:r>
      <w:r w:rsidRPr="008666A4">
        <w:rPr>
          <w:rFonts w:ascii="Century Schoolbook" w:hAnsi="Century Schoolbook"/>
        </w:rPr>
        <w:t xml:space="preserve">ppeal overturned a trial court dismissal of a coverage action filed by a nonresident corporate plaintiff where the underlying issue was liability for cleaning up polluted California properties where </w:t>
      </w:r>
      <w:r w:rsidR="00037AC8">
        <w:rPr>
          <w:rFonts w:ascii="Century Schoolbook" w:hAnsi="Century Schoolbook"/>
        </w:rPr>
        <w:t xml:space="preserve">the </w:t>
      </w:r>
      <w:r w:rsidRPr="008666A4">
        <w:rPr>
          <w:rFonts w:ascii="Century Schoolbook" w:hAnsi="Century Schoolbook"/>
        </w:rPr>
        <w:t xml:space="preserve">plaintiff and its subsidiary had operated for lengthy periods in the recent past. </w:t>
      </w:r>
      <w:r>
        <w:rPr>
          <w:rFonts w:ascii="Century Schoolbook" w:hAnsi="Century Schoolbook"/>
        </w:rPr>
        <w:t xml:space="preserve"> </w:t>
      </w:r>
      <w:r w:rsidRPr="008666A4">
        <w:rPr>
          <w:rFonts w:ascii="Century Schoolbook" w:hAnsi="Century Schoolbook"/>
        </w:rPr>
        <w:t xml:space="preserve">The defendants were various insurance carriers, also not California residents. </w:t>
      </w:r>
      <w:r>
        <w:rPr>
          <w:rFonts w:ascii="Century Schoolbook" w:hAnsi="Century Schoolbook"/>
        </w:rPr>
        <w:t xml:space="preserve"> </w:t>
      </w:r>
      <w:r w:rsidRPr="008666A4">
        <w:rPr>
          <w:rFonts w:ascii="Century Schoolbook" w:hAnsi="Century Schoolbook"/>
        </w:rPr>
        <w:t>(</w:t>
      </w:r>
      <w:r w:rsidRPr="008666A4">
        <w:rPr>
          <w:rFonts w:ascii="Century Schoolbook" w:hAnsi="Century Schoolbook"/>
          <w:i/>
          <w:iCs/>
        </w:rPr>
        <w:t>Ford</w:t>
      </w:r>
      <w:r w:rsidRPr="008666A4">
        <w:rPr>
          <w:rFonts w:ascii="Century Schoolbook" w:hAnsi="Century Schoolbook"/>
        </w:rPr>
        <w:t xml:space="preserve">, </w:t>
      </w:r>
      <w:r w:rsidRPr="008666A4">
        <w:rPr>
          <w:rFonts w:ascii="Century Schoolbook" w:hAnsi="Century Schoolbook"/>
          <w:i/>
          <w:iCs/>
        </w:rPr>
        <w:t>supra</w:t>
      </w:r>
      <w:r w:rsidRPr="008666A4">
        <w:rPr>
          <w:rFonts w:ascii="Century Schoolbook" w:hAnsi="Century Schoolbook"/>
        </w:rPr>
        <w:t>, 35</w:t>
      </w:r>
      <w:r w:rsidR="00E525E8">
        <w:rPr>
          <w:rFonts w:ascii="Century Schoolbook" w:hAnsi="Century Schoolbook"/>
        </w:rPr>
        <w:t> </w:t>
      </w:r>
      <w:r w:rsidRPr="008666A4">
        <w:rPr>
          <w:rFonts w:ascii="Century Schoolbook" w:hAnsi="Century Schoolbook"/>
        </w:rPr>
        <w:t xml:space="preserve">Cal.App.4th at pp. 607–610.) </w:t>
      </w:r>
      <w:r>
        <w:rPr>
          <w:rFonts w:ascii="Century Schoolbook" w:hAnsi="Century Schoolbook"/>
        </w:rPr>
        <w:t xml:space="preserve"> </w:t>
      </w:r>
      <w:r w:rsidRPr="008666A4">
        <w:rPr>
          <w:rFonts w:ascii="Century Schoolbook" w:hAnsi="Century Schoolbook"/>
        </w:rPr>
        <w:t xml:space="preserve">The </w:t>
      </w:r>
      <w:r w:rsidR="00037AC8">
        <w:rPr>
          <w:rFonts w:ascii="Century Schoolbook" w:hAnsi="Century Schoolbook"/>
        </w:rPr>
        <w:t>C</w:t>
      </w:r>
      <w:r w:rsidRPr="008666A4">
        <w:rPr>
          <w:rFonts w:ascii="Century Schoolbook" w:hAnsi="Century Schoolbook"/>
        </w:rPr>
        <w:t xml:space="preserve">ourt of </w:t>
      </w:r>
      <w:r w:rsidR="00037AC8">
        <w:rPr>
          <w:rFonts w:ascii="Century Schoolbook" w:hAnsi="Century Schoolbook"/>
        </w:rPr>
        <w:t>A</w:t>
      </w:r>
      <w:r w:rsidRPr="008666A4">
        <w:rPr>
          <w:rFonts w:ascii="Century Schoolbook" w:hAnsi="Century Schoolbook"/>
        </w:rPr>
        <w:t xml:space="preserve">ppeal reversed, in light of a </w:t>
      </w:r>
      <w:r>
        <w:rPr>
          <w:rFonts w:ascii="Century Schoolbook" w:hAnsi="Century Schoolbook"/>
        </w:rPr>
        <w:t>‘</w:t>
      </w:r>
      <w:r w:rsidRPr="008666A4">
        <w:rPr>
          <w:rFonts w:ascii="Century Schoolbook" w:hAnsi="Century Schoolbook"/>
        </w:rPr>
        <w:t>wealth of factors favoring California as a forum</w:t>
      </w:r>
      <w:r>
        <w:rPr>
          <w:rFonts w:ascii="Century Schoolbook" w:hAnsi="Century Schoolbook"/>
        </w:rPr>
        <w:t>’</w:t>
      </w:r>
      <w:r w:rsidRPr="008666A4">
        <w:rPr>
          <w:rFonts w:ascii="Century Schoolbook" w:hAnsi="Century Schoolbook"/>
        </w:rPr>
        <w:t xml:space="preserve"> (</w:t>
      </w:r>
      <w:r w:rsidRPr="008666A4">
        <w:rPr>
          <w:rFonts w:ascii="Century Schoolbook" w:hAnsi="Century Schoolbook"/>
          <w:i/>
          <w:iCs/>
        </w:rPr>
        <w:t>id</w:t>
      </w:r>
      <w:r w:rsidRPr="008666A4">
        <w:rPr>
          <w:rFonts w:ascii="Century Schoolbook" w:hAnsi="Century Schoolbook"/>
        </w:rPr>
        <w:t>. at p. 618), including the fact that plaintiff Ford was a California taxpayer, employer and property owner, and the polluted properties were in California</w:t>
      </w:r>
      <w:r>
        <w:rPr>
          <w:rFonts w:ascii="Century Schoolbook" w:hAnsi="Century Schoolbook"/>
        </w:rPr>
        <w:t xml:space="preserve"> </w:t>
      </w:r>
      <w:r w:rsidRPr="008666A4">
        <w:rPr>
          <w:rFonts w:ascii="Century Schoolbook" w:hAnsi="Century Schoolbook"/>
        </w:rPr>
        <w:t>(</w:t>
      </w:r>
      <w:r w:rsidRPr="00037AC8" w:rsidR="00037AC8">
        <w:rPr>
          <w:rFonts w:ascii="Century Schoolbook" w:hAnsi="Century Schoolbook"/>
          <w:i/>
          <w:iCs/>
        </w:rPr>
        <w:t>i</w:t>
      </w:r>
      <w:r w:rsidRPr="008666A4">
        <w:rPr>
          <w:rFonts w:ascii="Century Schoolbook" w:hAnsi="Century Schoolbook"/>
          <w:i/>
          <w:iCs/>
        </w:rPr>
        <w:t>d</w:t>
      </w:r>
      <w:r w:rsidRPr="008666A4">
        <w:rPr>
          <w:rFonts w:ascii="Century Schoolbook" w:hAnsi="Century Schoolbook"/>
        </w:rPr>
        <w:t>. at pp. 612–613)</w:t>
      </w:r>
      <w:r w:rsidR="00037AC8">
        <w:rPr>
          <w:rFonts w:ascii="Century Schoolbook" w:hAnsi="Century Schoolbook"/>
        </w:rPr>
        <w:t xml:space="preserve">. </w:t>
      </w:r>
      <w:r w:rsidRPr="008666A4">
        <w:rPr>
          <w:rFonts w:ascii="Century Schoolbook" w:hAnsi="Century Schoolbook"/>
        </w:rPr>
        <w:t xml:space="preserve"> In imposing the questionable </w:t>
      </w:r>
      <w:r>
        <w:rPr>
          <w:rFonts w:ascii="Century Schoolbook" w:hAnsi="Century Schoolbook"/>
        </w:rPr>
        <w:t>‘</w:t>
      </w:r>
      <w:r w:rsidRPr="008666A4">
        <w:rPr>
          <w:rFonts w:ascii="Century Schoolbook" w:hAnsi="Century Schoolbook"/>
        </w:rPr>
        <w:t>strong presumption</w:t>
      </w:r>
      <w:r>
        <w:rPr>
          <w:rFonts w:ascii="Century Schoolbook" w:hAnsi="Century Schoolbook"/>
        </w:rPr>
        <w:t>’</w:t>
      </w:r>
      <w:r w:rsidRPr="008666A4">
        <w:rPr>
          <w:rFonts w:ascii="Century Schoolbook" w:hAnsi="Century Schoolbook"/>
        </w:rPr>
        <w:t xml:space="preserve"> standard discussed above, the court summarized the moving party</w:t>
      </w:r>
      <w:r>
        <w:rPr>
          <w:rFonts w:ascii="Century Schoolbook" w:hAnsi="Century Schoolbook"/>
        </w:rPr>
        <w:t>’</w:t>
      </w:r>
      <w:r w:rsidRPr="008666A4">
        <w:rPr>
          <w:rFonts w:ascii="Century Schoolbook" w:hAnsi="Century Schoolbook"/>
        </w:rPr>
        <w:t xml:space="preserve">s burden of proof in the following language: </w:t>
      </w:r>
      <w:r>
        <w:rPr>
          <w:rFonts w:ascii="Century Schoolbook" w:hAnsi="Century Schoolbook"/>
        </w:rPr>
        <w:t xml:space="preserve"> ‘</w:t>
      </w:r>
      <w:r w:rsidRPr="008666A4">
        <w:rPr>
          <w:rFonts w:ascii="Century Schoolbook" w:hAnsi="Century Schoolbook"/>
        </w:rPr>
        <w:t xml:space="preserve">The analysis </w:t>
      </w:r>
      <w:r>
        <w:rPr>
          <w:rFonts w:ascii="Century Schoolbook" w:hAnsi="Century Schoolbook"/>
        </w:rPr>
        <w:t>. . .</w:t>
      </w:r>
      <w:r w:rsidRPr="008666A4">
        <w:rPr>
          <w:rFonts w:ascii="Century Schoolbook" w:hAnsi="Century Schoolbook"/>
        </w:rPr>
        <w:t xml:space="preserve"> must start from the premise that defendants bore the burden of producing sufficient evidence to overcome the strong presumption of appropriateness attending plaintiff</w:t>
      </w:r>
      <w:r w:rsidR="005E4DFA">
        <w:rPr>
          <w:rFonts w:ascii="Century Schoolbook" w:hAnsi="Century Schoolbook"/>
        </w:rPr>
        <w:t>’</w:t>
      </w:r>
      <w:r w:rsidRPr="008666A4">
        <w:rPr>
          <w:rFonts w:ascii="Century Schoolbook" w:hAnsi="Century Schoolbook"/>
        </w:rPr>
        <w:t>s choice of forum</w:t>
      </w:r>
      <w:r w:rsidR="00037AC8">
        <w:rPr>
          <w:rFonts w:ascii="Century Schoolbook" w:hAnsi="Century Schoolbook"/>
        </w:rPr>
        <w:t> </w:t>
      </w:r>
      <w:r>
        <w:rPr>
          <w:rFonts w:ascii="Century Schoolbook" w:hAnsi="Century Schoolbook"/>
        </w:rPr>
        <w:t>.</w:t>
      </w:r>
      <w:r w:rsidR="00037AC8">
        <w:rPr>
          <w:rFonts w:ascii="Century Schoolbook" w:hAnsi="Century Schoolbook"/>
        </w:rPr>
        <w:t> </w:t>
      </w:r>
      <w:r>
        <w:rPr>
          <w:rFonts w:ascii="Century Schoolbook" w:hAnsi="Century Schoolbook"/>
        </w:rPr>
        <w:t>.</w:t>
      </w:r>
      <w:r w:rsidR="00037AC8">
        <w:rPr>
          <w:rFonts w:ascii="Century Schoolbook" w:hAnsi="Century Schoolbook"/>
        </w:rPr>
        <w:t> </w:t>
      </w:r>
      <w:r>
        <w:rPr>
          <w:rFonts w:ascii="Century Schoolbook" w:hAnsi="Century Schoolbook"/>
        </w:rPr>
        <w:t xml:space="preserve">. </w:t>
      </w:r>
      <w:r w:rsidRPr="008666A4">
        <w:rPr>
          <w:rFonts w:ascii="Century Schoolbook" w:hAnsi="Century Schoolbook"/>
        </w:rPr>
        <w:t xml:space="preserve">. </w:t>
      </w:r>
      <w:r>
        <w:rPr>
          <w:rFonts w:ascii="Century Schoolbook" w:hAnsi="Century Schoolbook"/>
        </w:rPr>
        <w:t xml:space="preserve"> </w:t>
      </w:r>
      <w:r w:rsidRPr="008666A4">
        <w:rPr>
          <w:rFonts w:ascii="Century Schoolbook" w:hAnsi="Century Schoolbook"/>
        </w:rPr>
        <w:t xml:space="preserve">[T]he inquiry is not whether Michigan provides a </w:t>
      </w:r>
      <w:r w:rsidRPr="00037AC8">
        <w:rPr>
          <w:rFonts w:ascii="Century Schoolbook" w:hAnsi="Century Schoolbook"/>
          <w:i/>
          <w:iCs/>
        </w:rPr>
        <w:t>better</w:t>
      </w:r>
      <w:r w:rsidRPr="008666A4">
        <w:rPr>
          <w:rFonts w:ascii="Century Schoolbook" w:hAnsi="Century Schoolbook"/>
        </w:rPr>
        <w:t xml:space="preserve"> forum than does California, but whether California is a </w:t>
      </w:r>
      <w:r w:rsidRPr="00037AC8">
        <w:rPr>
          <w:rFonts w:ascii="Century Schoolbook" w:hAnsi="Century Schoolbook"/>
          <w:i/>
          <w:iCs/>
        </w:rPr>
        <w:t>seriously inconvenient</w:t>
      </w:r>
      <w:r w:rsidRPr="008666A4">
        <w:rPr>
          <w:rFonts w:ascii="Century Schoolbook" w:hAnsi="Century Schoolbook"/>
        </w:rPr>
        <w:t xml:space="preserve"> forum. </w:t>
      </w:r>
      <w:r w:rsidR="005E4DFA">
        <w:rPr>
          <w:rFonts w:ascii="Century Schoolbook" w:hAnsi="Century Schoolbook"/>
        </w:rPr>
        <w:t xml:space="preserve"> </w:t>
      </w:r>
      <w:r w:rsidRPr="008666A4">
        <w:rPr>
          <w:rFonts w:ascii="Century Schoolbook" w:hAnsi="Century Schoolbook"/>
        </w:rPr>
        <w:t>(</w:t>
      </w:r>
      <w:r w:rsidRPr="005E4DFA">
        <w:rPr>
          <w:rFonts w:ascii="Century Schoolbook" w:hAnsi="Century Schoolbook"/>
          <w:i/>
          <w:iCs/>
        </w:rPr>
        <w:t>Northrop Corp. v. American Motorists Ins. Co.</w:t>
      </w:r>
      <w:r w:rsidR="005E4DFA">
        <w:rPr>
          <w:rFonts w:ascii="Century Schoolbook" w:hAnsi="Century Schoolbook"/>
        </w:rPr>
        <w:t xml:space="preserve"> [(1990)]</w:t>
      </w:r>
      <w:r w:rsidRPr="008666A4">
        <w:rPr>
          <w:rFonts w:ascii="Century Schoolbook" w:hAnsi="Century Schoolbook"/>
        </w:rPr>
        <w:t xml:space="preserve"> 220</w:t>
      </w:r>
      <w:r w:rsidR="00037AC8">
        <w:rPr>
          <w:rFonts w:ascii="Century Schoolbook" w:hAnsi="Century Schoolbook"/>
        </w:rPr>
        <w:t> </w:t>
      </w:r>
      <w:r w:rsidRPr="008666A4">
        <w:rPr>
          <w:rFonts w:ascii="Century Schoolbook" w:hAnsi="Century Schoolbook"/>
        </w:rPr>
        <w:t xml:space="preserve">Cal.App.3d </w:t>
      </w:r>
      <w:r w:rsidR="005E4DFA">
        <w:rPr>
          <w:rFonts w:ascii="Century Schoolbook" w:hAnsi="Century Schoolbook"/>
        </w:rPr>
        <w:t>[1553,]</w:t>
      </w:r>
      <w:r w:rsidRPr="008666A4">
        <w:rPr>
          <w:rFonts w:ascii="Century Schoolbook" w:hAnsi="Century Schoolbook"/>
        </w:rPr>
        <w:t xml:space="preserve"> 1561.)</w:t>
      </w:r>
      <w:r w:rsidR="005E4DFA">
        <w:rPr>
          <w:rFonts w:ascii="Century Schoolbook" w:hAnsi="Century Schoolbook"/>
        </w:rPr>
        <w:t xml:space="preserve">’ </w:t>
      </w:r>
      <w:r w:rsidRPr="008666A4">
        <w:rPr>
          <w:rFonts w:ascii="Century Schoolbook" w:hAnsi="Century Schoolbook"/>
        </w:rPr>
        <w:t xml:space="preserve"> (</w:t>
      </w:r>
      <w:r w:rsidRPr="005E4DFA">
        <w:rPr>
          <w:rFonts w:ascii="Century Schoolbook" w:hAnsi="Century Schoolbook"/>
          <w:i/>
          <w:iCs/>
        </w:rPr>
        <w:t>Ford</w:t>
      </w:r>
      <w:r w:rsidRPr="008666A4">
        <w:rPr>
          <w:rFonts w:ascii="Century Schoolbook" w:hAnsi="Century Schoolbook"/>
        </w:rPr>
        <w:t xml:space="preserve">, </w:t>
      </w:r>
      <w:r w:rsidRPr="005E4DFA">
        <w:rPr>
          <w:rFonts w:ascii="Century Schoolbook" w:hAnsi="Century Schoolbook"/>
          <w:i/>
          <w:iCs/>
        </w:rPr>
        <w:t>supra</w:t>
      </w:r>
      <w:r w:rsidRPr="008666A4">
        <w:rPr>
          <w:rFonts w:ascii="Century Schoolbook" w:hAnsi="Century Schoolbook"/>
        </w:rPr>
        <w:t>, at p. 611.)</w:t>
      </w:r>
      <w:r w:rsidR="005244D8">
        <w:rPr>
          <w:rFonts w:ascii="Century Schoolbook" w:hAnsi="Century Schoolbook"/>
        </w:rPr>
        <w:t xml:space="preserve">” </w:t>
      </w:r>
      <w:r w:rsidR="00037AC8">
        <w:rPr>
          <w:rFonts w:ascii="Century Schoolbook" w:hAnsi="Century Schoolbook"/>
        </w:rPr>
        <w:t xml:space="preserve"> (</w:t>
      </w:r>
      <w:r w:rsidR="00037AC8">
        <w:rPr>
          <w:rFonts w:ascii="Century Schoolbook" w:hAnsi="Century Schoolbook"/>
          <w:i/>
          <w:iCs/>
        </w:rPr>
        <w:t>NFL</w:t>
      </w:r>
      <w:r w:rsidR="00037AC8">
        <w:rPr>
          <w:rFonts w:ascii="Century Schoolbook" w:hAnsi="Century Schoolbook"/>
        </w:rPr>
        <w:t xml:space="preserve">, </w:t>
      </w:r>
      <w:r w:rsidR="00037AC8">
        <w:rPr>
          <w:rFonts w:ascii="Century Schoolbook" w:hAnsi="Century Schoolbook"/>
          <w:i/>
          <w:iCs/>
        </w:rPr>
        <w:t>supra</w:t>
      </w:r>
      <w:r w:rsidR="00037AC8">
        <w:rPr>
          <w:rFonts w:ascii="Century Schoolbook" w:hAnsi="Century Schoolbook"/>
        </w:rPr>
        <w:t>, 216 Cal.App.4th at p. 930.)</w:t>
      </w:r>
    </w:p>
    <w:p w:rsidR="00B00EFA" w:rsidP="00A55B71" w14:paraId="6BD7F5A1" w14:textId="77777777">
      <w:pPr>
        <w:spacing w:line="360" w:lineRule="auto"/>
        <w:rPr>
          <w:rFonts w:ascii="Century Schoolbook" w:hAnsi="Century Schoolbook"/>
        </w:rPr>
      </w:pPr>
      <w:r>
        <w:rPr>
          <w:rFonts w:ascii="Century Schoolbook" w:hAnsi="Century Schoolbook"/>
        </w:rPr>
        <w:tab/>
      </w:r>
      <w:r w:rsidRPr="00890537">
        <w:rPr>
          <w:rFonts w:ascii="Century Schoolbook" w:hAnsi="Century Schoolbook"/>
          <w:i/>
          <w:iCs/>
        </w:rPr>
        <w:t>NFL</w:t>
      </w:r>
      <w:r>
        <w:rPr>
          <w:rFonts w:ascii="Century Schoolbook" w:hAnsi="Century Schoolbook"/>
        </w:rPr>
        <w:t xml:space="preserve"> noted that “</w:t>
      </w:r>
      <w:r w:rsidRPr="008666A4">
        <w:rPr>
          <w:rFonts w:ascii="Century Schoolbook" w:hAnsi="Century Schoolbook"/>
        </w:rPr>
        <w:t xml:space="preserve">one searches the </w:t>
      </w:r>
      <w:r w:rsidRPr="00DC78FB">
        <w:rPr>
          <w:rFonts w:ascii="Century Schoolbook" w:hAnsi="Century Schoolbook"/>
          <w:i/>
          <w:iCs/>
        </w:rPr>
        <w:t>Northrop</w:t>
      </w:r>
      <w:r w:rsidRPr="008666A4">
        <w:rPr>
          <w:rFonts w:ascii="Century Schoolbook" w:hAnsi="Century Schoolbook"/>
        </w:rPr>
        <w:t xml:space="preserve"> opinion in vain for the words </w:t>
      </w:r>
      <w:r>
        <w:rPr>
          <w:rFonts w:ascii="Century Schoolbook" w:hAnsi="Century Schoolbook"/>
        </w:rPr>
        <w:t>‘</w:t>
      </w:r>
      <w:r w:rsidRPr="008666A4">
        <w:rPr>
          <w:rFonts w:ascii="Century Schoolbook" w:hAnsi="Century Schoolbook"/>
        </w:rPr>
        <w:t>seriously inconvenient</w:t>
      </w:r>
      <w:r>
        <w:rPr>
          <w:rFonts w:ascii="Century Schoolbook" w:hAnsi="Century Schoolbook"/>
        </w:rPr>
        <w:t xml:space="preserve">’ ” </w:t>
      </w:r>
      <w:r w:rsidR="00890537">
        <w:rPr>
          <w:rFonts w:ascii="Century Schoolbook" w:hAnsi="Century Schoolbook"/>
        </w:rPr>
        <w:t>(</w:t>
      </w:r>
      <w:r w:rsidRPr="00890537" w:rsidR="00890537">
        <w:rPr>
          <w:rFonts w:ascii="Century Schoolbook" w:hAnsi="Century Schoolbook"/>
          <w:i/>
          <w:iCs/>
        </w:rPr>
        <w:t>NFL</w:t>
      </w:r>
      <w:r w:rsidR="00890537">
        <w:rPr>
          <w:rFonts w:ascii="Century Schoolbook" w:hAnsi="Century Schoolbook"/>
        </w:rPr>
        <w:t xml:space="preserve">, </w:t>
      </w:r>
      <w:r w:rsidRPr="00890537" w:rsidR="00890537">
        <w:rPr>
          <w:rFonts w:ascii="Century Schoolbook" w:hAnsi="Century Schoolbook"/>
          <w:i/>
          <w:iCs/>
        </w:rPr>
        <w:t>supra</w:t>
      </w:r>
      <w:r w:rsidR="00890537">
        <w:rPr>
          <w:rFonts w:ascii="Century Schoolbook" w:hAnsi="Century Schoolbook"/>
        </w:rPr>
        <w:t xml:space="preserve">, 216 Cal.App.4th at pp. 930–931), </w:t>
      </w:r>
      <w:r w:rsidR="00C96714">
        <w:rPr>
          <w:rFonts w:ascii="Century Schoolbook" w:hAnsi="Century Schoolbook"/>
        </w:rPr>
        <w:t xml:space="preserve">and observed </w:t>
      </w:r>
      <w:r>
        <w:rPr>
          <w:rFonts w:ascii="Century Schoolbook" w:hAnsi="Century Schoolbook"/>
        </w:rPr>
        <w:t>that there was a “</w:t>
      </w:r>
      <w:r w:rsidRPr="00A9030B">
        <w:rPr>
          <w:rFonts w:ascii="Century Schoolbook" w:hAnsi="Century Schoolbook"/>
        </w:rPr>
        <w:t xml:space="preserve">conspicuous absence of a line of California cases culminating in the </w:t>
      </w:r>
      <w:r>
        <w:rPr>
          <w:rFonts w:ascii="Century Schoolbook" w:hAnsi="Century Schoolbook"/>
        </w:rPr>
        <w:t>‘</w:t>
      </w:r>
      <w:r w:rsidRPr="00A9030B">
        <w:rPr>
          <w:rFonts w:ascii="Century Schoolbook" w:hAnsi="Century Schoolbook"/>
        </w:rPr>
        <w:t>serious inconvenience</w:t>
      </w:r>
      <w:r>
        <w:rPr>
          <w:rFonts w:ascii="Century Schoolbook" w:hAnsi="Century Schoolbook"/>
        </w:rPr>
        <w:t>’</w:t>
      </w:r>
      <w:r w:rsidRPr="00A9030B">
        <w:rPr>
          <w:rFonts w:ascii="Century Schoolbook" w:hAnsi="Century Schoolbook"/>
        </w:rPr>
        <w:t xml:space="preserve"> standard pronounced by the court in </w:t>
      </w:r>
      <w:r w:rsidRPr="00A9030B">
        <w:rPr>
          <w:rFonts w:ascii="Century Schoolbook" w:hAnsi="Century Schoolbook"/>
          <w:i/>
          <w:iCs/>
        </w:rPr>
        <w:t>Ford</w:t>
      </w:r>
      <w:r>
        <w:rPr>
          <w:rFonts w:ascii="Century Schoolbook" w:hAnsi="Century Schoolbook"/>
        </w:rPr>
        <w:t>,” which language has never appeared in a California Supreme Court opinion</w:t>
      </w:r>
      <w:r w:rsidR="00C96714">
        <w:rPr>
          <w:rFonts w:ascii="Century Schoolbook" w:hAnsi="Century Schoolbook"/>
        </w:rPr>
        <w:t>.</w:t>
      </w:r>
      <w:r w:rsidR="00890537">
        <w:rPr>
          <w:rFonts w:ascii="Century Schoolbook" w:hAnsi="Century Schoolbook"/>
        </w:rPr>
        <w:t xml:space="preserve"> </w:t>
      </w:r>
      <w:r w:rsidR="00C96714">
        <w:rPr>
          <w:rFonts w:ascii="Century Schoolbook" w:hAnsi="Century Schoolbook"/>
        </w:rPr>
        <w:t xml:space="preserve"> </w:t>
      </w:r>
      <w:r w:rsidR="00890537">
        <w:rPr>
          <w:rFonts w:ascii="Century Schoolbook" w:hAnsi="Century Schoolbook"/>
        </w:rPr>
        <w:t>(</w:t>
      </w:r>
      <w:r w:rsidRPr="00890537" w:rsidR="00890537">
        <w:rPr>
          <w:rFonts w:ascii="Century Schoolbook" w:hAnsi="Century Schoolbook"/>
          <w:i/>
          <w:iCs/>
        </w:rPr>
        <w:t>NFL</w:t>
      </w:r>
      <w:r w:rsidR="00890537">
        <w:rPr>
          <w:rFonts w:ascii="Century Schoolbook" w:hAnsi="Century Schoolbook"/>
        </w:rPr>
        <w:t xml:space="preserve">, </w:t>
      </w:r>
      <w:r w:rsidRPr="00890537" w:rsidR="00890537">
        <w:rPr>
          <w:rFonts w:ascii="Century Schoolbook" w:hAnsi="Century Schoolbook"/>
          <w:i/>
          <w:iCs/>
        </w:rPr>
        <w:t>supra</w:t>
      </w:r>
      <w:r w:rsidR="00890537">
        <w:rPr>
          <w:rFonts w:ascii="Century Schoolbook" w:hAnsi="Century Schoolbook"/>
        </w:rPr>
        <w:t>, 216 Cal.App.4th at p. 932</w:t>
      </w:r>
      <w:r w:rsidR="00C96714">
        <w:rPr>
          <w:rFonts w:ascii="Century Schoolbook" w:hAnsi="Century Schoolbook"/>
        </w:rPr>
        <w:t>.</w:t>
      </w:r>
      <w:r w:rsidR="00890537">
        <w:rPr>
          <w:rFonts w:ascii="Century Schoolbook" w:hAnsi="Century Schoolbook"/>
        </w:rPr>
        <w:t>)</w:t>
      </w:r>
      <w:r>
        <w:rPr>
          <w:rFonts w:ascii="Century Schoolbook" w:hAnsi="Century Schoolbook"/>
        </w:rPr>
        <w:t xml:space="preserve"> </w:t>
      </w:r>
      <w:r w:rsidR="00B47E28">
        <w:rPr>
          <w:rFonts w:ascii="Century Schoolbook" w:hAnsi="Century Schoolbook"/>
        </w:rPr>
        <w:t xml:space="preserve"> </w:t>
      </w:r>
    </w:p>
    <w:p w:rsidR="00C96714" w:rsidP="00A55B71" w14:paraId="7CAD470E" w14:textId="65117A48">
      <w:pPr>
        <w:spacing w:line="360" w:lineRule="auto"/>
        <w:rPr>
          <w:rFonts w:ascii="Century Schoolbook" w:hAnsi="Century Schoolbook"/>
        </w:rPr>
      </w:pPr>
      <w:r>
        <w:rPr>
          <w:rFonts w:ascii="Century Schoolbook" w:hAnsi="Century Schoolbook"/>
        </w:rPr>
        <w:tab/>
        <w:t xml:space="preserve">Following all that, </w:t>
      </w:r>
      <w:r w:rsidRPr="00890537" w:rsidR="00890537">
        <w:rPr>
          <w:rFonts w:ascii="Century Schoolbook" w:hAnsi="Century Schoolbook"/>
          <w:i/>
          <w:iCs/>
        </w:rPr>
        <w:t>NFL</w:t>
      </w:r>
      <w:r w:rsidR="00EE7162">
        <w:rPr>
          <w:rFonts w:ascii="Century Schoolbook" w:hAnsi="Century Schoolbook"/>
        </w:rPr>
        <w:t xml:space="preserve"> concluded:  “[W]e find the </w:t>
      </w:r>
      <w:r w:rsidRPr="00C67393" w:rsidR="00EE7162">
        <w:rPr>
          <w:rFonts w:ascii="Century Schoolbook" w:hAnsi="Century Schoolbook"/>
          <w:i/>
          <w:iCs/>
        </w:rPr>
        <w:t>Ford</w:t>
      </w:r>
      <w:r w:rsidR="00EE7162">
        <w:rPr>
          <w:rFonts w:ascii="Century Schoolbook" w:hAnsi="Century Schoolbook"/>
        </w:rPr>
        <w:t xml:space="preserve"> decision questionable and in any event inapposite,” because the present case did not involve a dismissal order adverse to a California resident.  (</w:t>
      </w:r>
      <w:r w:rsidR="00037AC8">
        <w:rPr>
          <w:rFonts w:ascii="Century Schoolbook" w:hAnsi="Century Schoolbook"/>
          <w:i/>
          <w:iCs/>
        </w:rPr>
        <w:t>NFL</w:t>
      </w:r>
      <w:r w:rsidR="00037AC8">
        <w:rPr>
          <w:rFonts w:ascii="Century Schoolbook" w:hAnsi="Century Schoolbook"/>
        </w:rPr>
        <w:t xml:space="preserve">, </w:t>
      </w:r>
      <w:r w:rsidR="00037AC8">
        <w:rPr>
          <w:rFonts w:ascii="Century Schoolbook" w:hAnsi="Century Schoolbook"/>
          <w:i/>
          <w:iCs/>
        </w:rPr>
        <w:t>supra</w:t>
      </w:r>
      <w:r w:rsidR="00037AC8">
        <w:rPr>
          <w:rFonts w:ascii="Century Schoolbook" w:hAnsi="Century Schoolbook"/>
        </w:rPr>
        <w:t xml:space="preserve">, 216 Cal.App.4th </w:t>
      </w:r>
      <w:r w:rsidR="00EE7162">
        <w:rPr>
          <w:rFonts w:ascii="Century Schoolbook" w:hAnsi="Century Schoolbook"/>
        </w:rPr>
        <w:t xml:space="preserve">at p. 933.)  The court “respectfully disagree[d] with . . . </w:t>
      </w:r>
      <w:r w:rsidRPr="007C1FF8" w:rsidR="00EE7162">
        <w:rPr>
          <w:rFonts w:ascii="Century Schoolbook" w:hAnsi="Century Schoolbook"/>
          <w:i/>
          <w:iCs/>
        </w:rPr>
        <w:t>Morris</w:t>
      </w:r>
      <w:r w:rsidR="00EE7162">
        <w:rPr>
          <w:rFonts w:ascii="Century Schoolbook" w:hAnsi="Century Schoolbook"/>
        </w:rPr>
        <w:t xml:space="preserve"> and </w:t>
      </w:r>
      <w:r w:rsidRPr="007C1FF8" w:rsidR="00EE7162">
        <w:rPr>
          <w:rFonts w:ascii="Century Schoolbook" w:hAnsi="Century Schoolbook"/>
          <w:i/>
          <w:iCs/>
        </w:rPr>
        <w:t>Hansen</w:t>
      </w:r>
      <w:r w:rsidR="00EE7162">
        <w:rPr>
          <w:rFonts w:ascii="Century Schoolbook" w:hAnsi="Century Schoolbook"/>
        </w:rPr>
        <w:t xml:space="preserve"> to the extent that they impose the ‘seriously inconvenient’ burden on parties moving for a mere stay based on forum non conveniens.”  (</w:t>
      </w:r>
      <w:r w:rsidRPr="003170FD" w:rsidR="00EE7162">
        <w:rPr>
          <w:rFonts w:ascii="Century Schoolbook" w:hAnsi="Century Schoolbook"/>
          <w:i/>
          <w:iCs/>
        </w:rPr>
        <w:t>Ibid</w:t>
      </w:r>
      <w:r w:rsidR="00EE7162">
        <w:rPr>
          <w:rFonts w:ascii="Century Schoolbook" w:hAnsi="Century Schoolbook"/>
        </w:rPr>
        <w:t xml:space="preserve">.)  </w:t>
      </w:r>
      <w:r w:rsidRPr="00E53F23" w:rsidR="00E53F23">
        <w:rPr>
          <w:rFonts w:ascii="Century Schoolbook" w:hAnsi="Century Schoolbook"/>
        </w:rPr>
        <w:t xml:space="preserve">And in a footnote, the </w:t>
      </w:r>
      <w:r w:rsidRPr="00E53F23" w:rsidR="00E53F23">
        <w:rPr>
          <w:rFonts w:ascii="Century Schoolbook" w:hAnsi="Century Schoolbook"/>
          <w:i/>
          <w:iCs/>
        </w:rPr>
        <w:t>NFL</w:t>
      </w:r>
      <w:r w:rsidRPr="00E53F23" w:rsidR="00E53F23">
        <w:rPr>
          <w:rFonts w:ascii="Century Schoolbook" w:hAnsi="Century Schoolbook"/>
        </w:rPr>
        <w:t xml:space="preserve"> court a</w:t>
      </w:r>
      <w:r w:rsidR="00B47E28">
        <w:rPr>
          <w:rFonts w:ascii="Century Schoolbook" w:hAnsi="Century Schoolbook"/>
        </w:rPr>
        <w:t>dded</w:t>
      </w:r>
      <w:r w:rsidRPr="00E53F23" w:rsidR="00E53F23">
        <w:rPr>
          <w:rFonts w:ascii="Century Schoolbook" w:hAnsi="Century Schoolbook"/>
        </w:rPr>
        <w:t xml:space="preserve">:  “In the absence of authority from our Supreme Court we question whether the ‘serious inconvenience’ terminology properly describes a moving party’s burden of proof, even for dismissal motions against resident plaintiffs.  The tenor of the </w:t>
      </w:r>
      <w:r w:rsidRPr="00E53F23" w:rsidR="00E53F23">
        <w:rPr>
          <w:rFonts w:ascii="Century Schoolbook" w:hAnsi="Century Schoolbook"/>
          <w:i/>
          <w:iCs/>
        </w:rPr>
        <w:t>Archibald</w:t>
      </w:r>
      <w:r w:rsidRPr="00E53F23" w:rsidR="00E53F23">
        <w:rPr>
          <w:rFonts w:ascii="Century Schoolbook" w:hAnsi="Century Schoolbook"/>
        </w:rPr>
        <w:t xml:space="preserve"> [</w:t>
      </w:r>
      <w:r w:rsidRPr="00E53F23" w:rsidR="00E53F23">
        <w:rPr>
          <w:rFonts w:ascii="Century Schoolbook" w:hAnsi="Century Schoolbook"/>
          <w:i/>
          <w:iCs/>
        </w:rPr>
        <w:t>v. Cinerama Hotels</w:t>
      </w:r>
      <w:r w:rsidRPr="00E53F23" w:rsidR="00E53F23">
        <w:rPr>
          <w:rFonts w:ascii="Century Schoolbook" w:hAnsi="Century Schoolbook"/>
        </w:rPr>
        <w:t xml:space="preserve"> (1976) 15 Cal.3d 853] and </w:t>
      </w:r>
      <w:r w:rsidRPr="00E53F23" w:rsidR="00E53F23">
        <w:rPr>
          <w:rFonts w:ascii="Century Schoolbook" w:hAnsi="Century Schoolbook"/>
          <w:i/>
          <w:iCs/>
        </w:rPr>
        <w:t>Stangvik</w:t>
      </w:r>
      <w:r w:rsidRPr="00E53F23" w:rsidR="00E53F23">
        <w:rPr>
          <w:rFonts w:ascii="Century Schoolbook" w:hAnsi="Century Schoolbook"/>
        </w:rPr>
        <w:t xml:space="preserve"> opinions and cases closely following them suggest to us that all relevant circumstances bearing on the forum non conveniens calculus, including residence of the parties, should simply be considered by the trial court as part of the weighing and balancing process.”  (</w:t>
      </w:r>
      <w:r w:rsidRPr="00E53F23" w:rsidR="00E53F23">
        <w:rPr>
          <w:rFonts w:ascii="Century Schoolbook" w:hAnsi="Century Schoolbook"/>
          <w:i/>
          <w:iCs/>
        </w:rPr>
        <w:t>NFL</w:t>
      </w:r>
      <w:r w:rsidRPr="00E53F23" w:rsidR="00E53F23">
        <w:rPr>
          <w:rFonts w:ascii="Century Schoolbook" w:hAnsi="Century Schoolbook"/>
        </w:rPr>
        <w:t xml:space="preserve">, </w:t>
      </w:r>
      <w:r w:rsidRPr="00E53F23" w:rsidR="00E53F23">
        <w:rPr>
          <w:rFonts w:ascii="Century Schoolbook" w:hAnsi="Century Schoolbook"/>
          <w:i/>
          <w:iCs/>
        </w:rPr>
        <w:t>supra</w:t>
      </w:r>
      <w:r w:rsidRPr="00E53F23" w:rsidR="00E53F23">
        <w:rPr>
          <w:rFonts w:ascii="Century Schoolbook" w:hAnsi="Century Schoolbook"/>
        </w:rPr>
        <w:t>, 216</w:t>
      </w:r>
      <w:r w:rsidR="00B47E28">
        <w:rPr>
          <w:rFonts w:ascii="Century Schoolbook" w:hAnsi="Century Schoolbook"/>
        </w:rPr>
        <w:t> </w:t>
      </w:r>
      <w:r w:rsidRPr="00E53F23" w:rsidR="00E53F23">
        <w:rPr>
          <w:rFonts w:ascii="Century Schoolbook" w:hAnsi="Century Schoolbook"/>
        </w:rPr>
        <w:t xml:space="preserve">Cal.App.4th at p. 932 fn. 14.) </w:t>
      </w:r>
    </w:p>
    <w:p w:rsidR="00E52CBE" w:rsidP="00A55B71" w14:paraId="24D127EE" w14:textId="40912A95">
      <w:pPr>
        <w:spacing w:line="360" w:lineRule="auto"/>
        <w:rPr>
          <w:rFonts w:ascii="Century Schoolbook" w:hAnsi="Century Schoolbook"/>
        </w:rPr>
      </w:pPr>
      <w:r>
        <w:rPr>
          <w:rFonts w:ascii="Century Schoolbook" w:hAnsi="Century Schoolbook"/>
        </w:rPr>
        <w:tab/>
        <w:t>Likewise persuasive</w:t>
      </w:r>
      <w:r w:rsidR="005B0CE1">
        <w:rPr>
          <w:rFonts w:ascii="Century Schoolbook" w:hAnsi="Century Schoolbook"/>
        </w:rPr>
        <w:t xml:space="preserve"> is </w:t>
      </w:r>
      <w:r w:rsidRPr="00CD3C1D" w:rsidR="005B0CE1">
        <w:rPr>
          <w:rFonts w:ascii="Century Schoolbook" w:hAnsi="Century Schoolbook"/>
          <w:i/>
          <w:iCs/>
        </w:rPr>
        <w:t>Fox Factory</w:t>
      </w:r>
      <w:r w:rsidR="00E64062">
        <w:rPr>
          <w:rFonts w:ascii="Century Schoolbook" w:hAnsi="Century Schoolbook"/>
        </w:rPr>
        <w:t xml:space="preserve">, </w:t>
      </w:r>
      <w:r w:rsidR="00E64062">
        <w:rPr>
          <w:rFonts w:ascii="Century Schoolbook" w:hAnsi="Century Schoolbook"/>
          <w:i/>
          <w:iCs/>
        </w:rPr>
        <w:t>supra</w:t>
      </w:r>
      <w:r w:rsidR="00E64062">
        <w:rPr>
          <w:rFonts w:ascii="Century Schoolbook" w:hAnsi="Century Schoolbook"/>
        </w:rPr>
        <w:t>,</w:t>
      </w:r>
      <w:r w:rsidRPr="00503257" w:rsidR="005B0CE1">
        <w:rPr>
          <w:rFonts w:ascii="Century Schoolbook" w:hAnsi="Century Schoolbook"/>
        </w:rPr>
        <w:t xml:space="preserve"> 11 Cal.App.5th 197</w:t>
      </w:r>
      <w:r w:rsidR="005B0CE1">
        <w:rPr>
          <w:rFonts w:ascii="Century Schoolbook" w:hAnsi="Century Schoolbook"/>
        </w:rPr>
        <w:t xml:space="preserve">.  </w:t>
      </w:r>
      <w:r w:rsidRPr="00726C54" w:rsidR="00726C54">
        <w:rPr>
          <w:rFonts w:ascii="Century Schoolbook" w:hAnsi="Century Schoolbook"/>
        </w:rPr>
        <w:t>P</w:t>
      </w:r>
      <w:r w:rsidRPr="00726C54" w:rsidR="005B0CE1">
        <w:rPr>
          <w:rFonts w:ascii="Century Schoolbook" w:hAnsi="Century Schoolbook"/>
        </w:rPr>
        <w:t xml:space="preserve">laintiff </w:t>
      </w:r>
      <w:r w:rsidRPr="00726C54" w:rsidR="00726C54">
        <w:rPr>
          <w:rFonts w:ascii="Century Schoolbook" w:hAnsi="Century Schoolbook"/>
        </w:rPr>
        <w:t xml:space="preserve">there </w:t>
      </w:r>
      <w:r w:rsidRPr="00726C54" w:rsidR="005B0CE1">
        <w:rPr>
          <w:rFonts w:ascii="Century Schoolbook" w:hAnsi="Century Schoolbook"/>
        </w:rPr>
        <w:t>was a Canadian citizen injured while cycling in Canada</w:t>
      </w:r>
      <w:r w:rsidR="00726C54">
        <w:rPr>
          <w:rFonts w:ascii="Century Schoolbook" w:hAnsi="Century Schoolbook"/>
        </w:rPr>
        <w:t>, and</w:t>
      </w:r>
      <w:r w:rsidRPr="00726C54" w:rsidR="005B0CE1">
        <w:rPr>
          <w:rFonts w:ascii="Century Schoolbook" w:hAnsi="Century Schoolbook"/>
        </w:rPr>
        <w:t xml:space="preserve"> filed suit against Fox Factory, a California corporation, alleging that his injury</w:t>
      </w:r>
      <w:r w:rsidRPr="005E2ABA" w:rsidR="005B0CE1">
        <w:rPr>
          <w:rFonts w:ascii="Century Schoolbook" w:hAnsi="Century Schoolbook"/>
        </w:rPr>
        <w:t xml:space="preserve"> was caused by defective</w:t>
      </w:r>
      <w:r w:rsidR="005B0CE1">
        <w:rPr>
          <w:rFonts w:ascii="Century Schoolbook" w:hAnsi="Century Schoolbook"/>
        </w:rPr>
        <w:t xml:space="preserve"> </w:t>
      </w:r>
      <w:r w:rsidRPr="005E2ABA" w:rsidR="005B0CE1">
        <w:rPr>
          <w:rFonts w:ascii="Century Schoolbook" w:hAnsi="Century Schoolbook"/>
        </w:rPr>
        <w:t>parts manufactured by Fox</w:t>
      </w:r>
      <w:r w:rsidR="00726C54">
        <w:rPr>
          <w:rFonts w:ascii="Century Schoolbook" w:hAnsi="Century Schoolbook"/>
        </w:rPr>
        <w:t>.  T</w:t>
      </w:r>
      <w:r w:rsidR="005B0CE1">
        <w:rPr>
          <w:rFonts w:ascii="Century Schoolbook" w:hAnsi="Century Schoolbook"/>
        </w:rPr>
        <w:t xml:space="preserve">he next day, </w:t>
      </w:r>
      <w:r w:rsidR="00726C54">
        <w:rPr>
          <w:rFonts w:ascii="Century Schoolbook" w:hAnsi="Century Schoolbook"/>
        </w:rPr>
        <w:t xml:space="preserve">he </w:t>
      </w:r>
      <w:r w:rsidR="005B0CE1">
        <w:rPr>
          <w:rFonts w:ascii="Century Schoolbook" w:hAnsi="Century Schoolbook"/>
        </w:rPr>
        <w:t>filed an action in British Columbia against certain other defendants based on the same injuries.  (</w:t>
      </w:r>
      <w:r w:rsidRPr="00F12E00" w:rsidR="005B0CE1">
        <w:rPr>
          <w:rFonts w:ascii="Century Schoolbook" w:hAnsi="Century Schoolbook"/>
          <w:i/>
          <w:iCs/>
        </w:rPr>
        <w:t>Id</w:t>
      </w:r>
      <w:r w:rsidR="005B0CE1">
        <w:rPr>
          <w:rFonts w:ascii="Century Schoolbook" w:hAnsi="Century Schoolbook"/>
        </w:rPr>
        <w:t>. at pp. 200–201.)  Fox moved to dismiss or stay the California action on the ground of forum non conveniens</w:t>
      </w:r>
      <w:r>
        <w:rPr>
          <w:rFonts w:ascii="Century Schoolbook" w:hAnsi="Century Schoolbook"/>
        </w:rPr>
        <w:t xml:space="preserve">.  </w:t>
      </w:r>
      <w:r w:rsidR="00B00EFA">
        <w:rPr>
          <w:rFonts w:ascii="Century Schoolbook" w:hAnsi="Century Schoolbook"/>
        </w:rPr>
        <w:t xml:space="preserve">Relying on </w:t>
      </w:r>
      <w:r w:rsidRPr="00272465" w:rsidR="00B00EFA">
        <w:rPr>
          <w:rFonts w:ascii="Century Schoolbook" w:hAnsi="Century Schoolbook"/>
          <w:i/>
          <w:iCs/>
        </w:rPr>
        <w:t>Ford</w:t>
      </w:r>
      <w:r w:rsidR="00B00EFA">
        <w:rPr>
          <w:rFonts w:ascii="Century Schoolbook" w:hAnsi="Century Schoolbook"/>
        </w:rPr>
        <w:t>, t</w:t>
      </w:r>
      <w:r w:rsidR="005B0CE1">
        <w:rPr>
          <w:rFonts w:ascii="Century Schoolbook" w:hAnsi="Century Schoolbook"/>
        </w:rPr>
        <w:t xml:space="preserve">he trial court denied the motion, concluding that California was not a “seriously </w:t>
      </w:r>
      <w:r w:rsidR="00F3426C">
        <w:rPr>
          <w:rFonts w:ascii="Century Schoolbook" w:hAnsi="Century Schoolbook"/>
        </w:rPr>
        <w:t>inconvenient</w:t>
      </w:r>
      <w:r w:rsidR="005B0CE1">
        <w:rPr>
          <w:rFonts w:ascii="Century Schoolbook" w:hAnsi="Century Schoolbook"/>
        </w:rPr>
        <w:t xml:space="preserve"> forum.”  (</w:t>
      </w:r>
      <w:r w:rsidRPr="00272465" w:rsidR="005B0CE1">
        <w:rPr>
          <w:rFonts w:ascii="Century Schoolbook" w:hAnsi="Century Schoolbook"/>
          <w:i/>
          <w:iCs/>
        </w:rPr>
        <w:t>Fox Factory</w:t>
      </w:r>
      <w:r w:rsidR="005B0CE1">
        <w:rPr>
          <w:rFonts w:ascii="Century Schoolbook" w:hAnsi="Century Schoolbook"/>
        </w:rPr>
        <w:t xml:space="preserve">, </w:t>
      </w:r>
      <w:r w:rsidRPr="00272465" w:rsidR="005B0CE1">
        <w:rPr>
          <w:rFonts w:ascii="Century Schoolbook" w:hAnsi="Century Schoolbook"/>
          <w:i/>
          <w:iCs/>
        </w:rPr>
        <w:t>supra</w:t>
      </w:r>
      <w:r w:rsidR="005B0CE1">
        <w:rPr>
          <w:rFonts w:ascii="Century Schoolbook" w:hAnsi="Century Schoolbook"/>
        </w:rPr>
        <w:t>, 11 Cal.App.5th at p.</w:t>
      </w:r>
      <w:r w:rsidR="00037AC8">
        <w:rPr>
          <w:rFonts w:ascii="Century Schoolbook" w:hAnsi="Century Schoolbook"/>
        </w:rPr>
        <w:t> </w:t>
      </w:r>
      <w:r w:rsidR="005B0CE1">
        <w:rPr>
          <w:rFonts w:ascii="Century Schoolbook" w:hAnsi="Century Schoolbook"/>
        </w:rPr>
        <w:t xml:space="preserve">202.)  </w:t>
      </w:r>
    </w:p>
    <w:p w:rsidR="00A57A2A" w:rsidP="00A57A2A" w14:paraId="49BA3DE2" w14:textId="35123365">
      <w:pPr>
        <w:spacing w:line="360" w:lineRule="auto"/>
        <w:rPr>
          <w:rFonts w:ascii="Century Schoolbook" w:hAnsi="Century Schoolbook"/>
        </w:rPr>
      </w:pPr>
      <w:r>
        <w:rPr>
          <w:rFonts w:ascii="Century Schoolbook" w:hAnsi="Century Schoolbook"/>
        </w:rPr>
        <w:tab/>
      </w:r>
      <w:r w:rsidRPr="00E52CBE">
        <w:rPr>
          <w:rFonts w:ascii="Century Schoolbook" w:hAnsi="Century Schoolbook"/>
        </w:rPr>
        <w:t>The Court of Appeal</w:t>
      </w:r>
      <w:r w:rsidR="005B0CE1">
        <w:rPr>
          <w:rFonts w:ascii="Century Schoolbook" w:hAnsi="Century Schoolbook"/>
        </w:rPr>
        <w:t xml:space="preserve"> granted Fox</w:t>
      </w:r>
      <w:r w:rsidR="00B47E28">
        <w:rPr>
          <w:rFonts w:ascii="Century Schoolbook" w:hAnsi="Century Schoolbook"/>
        </w:rPr>
        <w:t xml:space="preserve"> Factory</w:t>
      </w:r>
      <w:r w:rsidR="005B0CE1">
        <w:rPr>
          <w:rFonts w:ascii="Century Schoolbook" w:hAnsi="Century Schoolbook"/>
        </w:rPr>
        <w:t xml:space="preserve">’s petition for writ of mandate, </w:t>
      </w:r>
      <w:r w:rsidR="0023000B">
        <w:rPr>
          <w:rFonts w:ascii="Century Schoolbook" w:hAnsi="Century Schoolbook"/>
        </w:rPr>
        <w:t>holding</w:t>
      </w:r>
      <w:r w:rsidR="005B0CE1">
        <w:rPr>
          <w:rFonts w:ascii="Century Schoolbook" w:hAnsi="Century Schoolbook"/>
        </w:rPr>
        <w:t xml:space="preserve"> that the trial court erred in requiring </w:t>
      </w:r>
      <w:r w:rsidR="00B47E28">
        <w:rPr>
          <w:rFonts w:ascii="Century Schoolbook" w:hAnsi="Century Schoolbook"/>
        </w:rPr>
        <w:t xml:space="preserve">it </w:t>
      </w:r>
      <w:r w:rsidR="005B0CE1">
        <w:rPr>
          <w:rFonts w:ascii="Century Schoolbook" w:hAnsi="Century Schoolbook"/>
        </w:rPr>
        <w:t>to demonstrate the California was a seriously inconvenient forum</w:t>
      </w:r>
      <w:r w:rsidR="004E607A">
        <w:rPr>
          <w:rFonts w:ascii="Century Schoolbook" w:hAnsi="Century Schoolbook"/>
        </w:rPr>
        <w:t>.  (</w:t>
      </w:r>
      <w:r w:rsidRPr="00272465" w:rsidR="00037AC8">
        <w:rPr>
          <w:rFonts w:ascii="Century Schoolbook" w:hAnsi="Century Schoolbook"/>
          <w:i/>
          <w:iCs/>
        </w:rPr>
        <w:t>Fox Factory</w:t>
      </w:r>
      <w:r w:rsidR="00037AC8">
        <w:rPr>
          <w:rFonts w:ascii="Century Schoolbook" w:hAnsi="Century Schoolbook"/>
        </w:rPr>
        <w:t xml:space="preserve">, </w:t>
      </w:r>
      <w:r w:rsidRPr="00272465" w:rsidR="00037AC8">
        <w:rPr>
          <w:rFonts w:ascii="Century Schoolbook" w:hAnsi="Century Schoolbook"/>
          <w:i/>
          <w:iCs/>
        </w:rPr>
        <w:t>supra</w:t>
      </w:r>
      <w:r w:rsidR="00037AC8">
        <w:rPr>
          <w:rFonts w:ascii="Century Schoolbook" w:hAnsi="Century Schoolbook"/>
        </w:rPr>
        <w:t xml:space="preserve">, 11 Cal.App.5th </w:t>
      </w:r>
      <w:r w:rsidR="004E607A">
        <w:rPr>
          <w:rFonts w:ascii="Century Schoolbook" w:hAnsi="Century Schoolbook"/>
        </w:rPr>
        <w:t xml:space="preserve">at </w:t>
      </w:r>
      <w:r w:rsidR="009F1392">
        <w:rPr>
          <w:rFonts w:ascii="Century Schoolbook" w:hAnsi="Century Schoolbook"/>
        </w:rPr>
        <w:t>p</w:t>
      </w:r>
      <w:r w:rsidR="004E607A">
        <w:rPr>
          <w:rFonts w:ascii="Century Schoolbook" w:hAnsi="Century Schoolbook"/>
        </w:rPr>
        <w:t xml:space="preserve">p. </w:t>
      </w:r>
      <w:r w:rsidR="009F1392">
        <w:rPr>
          <w:rFonts w:ascii="Century Schoolbook" w:hAnsi="Century Schoolbook"/>
        </w:rPr>
        <w:t>205–208</w:t>
      </w:r>
      <w:r w:rsidR="004E607A">
        <w:rPr>
          <w:rFonts w:ascii="Century Schoolbook" w:hAnsi="Century Schoolbook"/>
        </w:rPr>
        <w:t xml:space="preserve">.) </w:t>
      </w:r>
      <w:r w:rsidR="005B0CE1">
        <w:rPr>
          <w:rFonts w:ascii="Century Schoolbook" w:hAnsi="Century Schoolbook"/>
        </w:rPr>
        <w:t xml:space="preserve"> </w:t>
      </w:r>
      <w:r w:rsidR="00E44F4F">
        <w:rPr>
          <w:rFonts w:ascii="Century Schoolbook" w:hAnsi="Century Schoolbook"/>
        </w:rPr>
        <w:t xml:space="preserve">The court </w:t>
      </w:r>
      <w:r w:rsidR="00B47E28">
        <w:rPr>
          <w:rFonts w:ascii="Century Schoolbook" w:hAnsi="Century Schoolbook"/>
        </w:rPr>
        <w:t xml:space="preserve">observed </w:t>
      </w:r>
      <w:r w:rsidR="005B0CE1">
        <w:rPr>
          <w:rFonts w:ascii="Century Schoolbook" w:hAnsi="Century Schoolbook"/>
        </w:rPr>
        <w:t xml:space="preserve">that </w:t>
      </w:r>
      <w:r w:rsidRPr="00272465" w:rsidR="005B0CE1">
        <w:rPr>
          <w:rFonts w:ascii="Century Schoolbook" w:hAnsi="Century Schoolbook"/>
          <w:i/>
          <w:iCs/>
        </w:rPr>
        <w:t>NFL</w:t>
      </w:r>
      <w:r w:rsidR="005B0CE1">
        <w:rPr>
          <w:rFonts w:ascii="Century Schoolbook" w:hAnsi="Century Schoolbook"/>
        </w:rPr>
        <w:t xml:space="preserve"> “</w:t>
      </w:r>
      <w:r w:rsidRPr="00E15A57" w:rsidR="005B0CE1">
        <w:rPr>
          <w:rFonts w:ascii="Century Schoolbook" w:hAnsi="Century Schoolbook"/>
        </w:rPr>
        <w:t xml:space="preserve">offers a more factually analogous and more cogent analysis than that of </w:t>
      </w:r>
      <w:r w:rsidRPr="00272465" w:rsidR="005B0CE1">
        <w:rPr>
          <w:rFonts w:ascii="Century Schoolbook" w:hAnsi="Century Schoolbook"/>
          <w:i/>
          <w:iCs/>
        </w:rPr>
        <w:t>Ford</w:t>
      </w:r>
      <w:r w:rsidR="005B0CE1">
        <w:rPr>
          <w:rFonts w:ascii="Century Schoolbook" w:hAnsi="Century Schoolbook"/>
        </w:rPr>
        <w:t xml:space="preserve">” </w:t>
      </w:r>
      <w:r w:rsidR="00037AC8">
        <w:rPr>
          <w:rFonts w:ascii="Century Schoolbook" w:hAnsi="Century Schoolbook"/>
        </w:rPr>
        <w:t>(</w:t>
      </w:r>
      <w:r w:rsidR="00037AC8">
        <w:rPr>
          <w:rFonts w:ascii="Century Schoolbook" w:hAnsi="Century Schoolbook"/>
          <w:i/>
          <w:iCs/>
        </w:rPr>
        <w:t xml:space="preserve">id. </w:t>
      </w:r>
      <w:r w:rsidR="00037AC8">
        <w:rPr>
          <w:rFonts w:ascii="Century Schoolbook" w:hAnsi="Century Schoolbook"/>
        </w:rPr>
        <w:t xml:space="preserve">at p. 206) </w:t>
      </w:r>
      <w:r w:rsidR="005B0CE1">
        <w:rPr>
          <w:rFonts w:ascii="Century Schoolbook" w:hAnsi="Century Schoolbook"/>
        </w:rPr>
        <w:t xml:space="preserve">in concluding that the seriously inconvenient forum standard is inapplicable to a nonresident plaintiff, going on to </w:t>
      </w:r>
      <w:r w:rsidR="00E44F4F">
        <w:rPr>
          <w:rFonts w:ascii="Century Schoolbook" w:hAnsi="Century Schoolbook"/>
        </w:rPr>
        <w:t>saying this</w:t>
      </w:r>
      <w:r w:rsidR="005B0CE1">
        <w:rPr>
          <w:rFonts w:ascii="Century Schoolbook" w:hAnsi="Century Schoolbook"/>
        </w:rPr>
        <w:t>:  “</w:t>
      </w:r>
      <w:r w:rsidRPr="00E15A57" w:rsidR="005B0CE1">
        <w:rPr>
          <w:rFonts w:ascii="Century Schoolbook" w:hAnsi="Century Schoolbook"/>
        </w:rPr>
        <w:t>We likewise reject plaintiff</w:t>
      </w:r>
      <w:r w:rsidR="005B0CE1">
        <w:rPr>
          <w:rFonts w:ascii="Century Schoolbook" w:hAnsi="Century Schoolbook"/>
        </w:rPr>
        <w:t>’</w:t>
      </w:r>
      <w:r w:rsidRPr="00E15A57" w:rsidR="005B0CE1">
        <w:rPr>
          <w:rFonts w:ascii="Century Schoolbook" w:hAnsi="Century Schoolbook"/>
        </w:rPr>
        <w:t>s implicit suggestion that in every case great weight is required to overcome a nonresident plaintiff</w:t>
      </w:r>
      <w:r w:rsidR="005B0CE1">
        <w:rPr>
          <w:rFonts w:ascii="Century Schoolbook" w:hAnsi="Century Schoolbook"/>
        </w:rPr>
        <w:t>’</w:t>
      </w:r>
      <w:r w:rsidRPr="00E15A57" w:rsidR="005B0CE1">
        <w:rPr>
          <w:rFonts w:ascii="Century Schoolbook" w:hAnsi="Century Schoolbook"/>
        </w:rPr>
        <w:t xml:space="preserve">s forum choice. </w:t>
      </w:r>
      <w:r w:rsidR="005B0CE1">
        <w:rPr>
          <w:rFonts w:ascii="Century Schoolbook" w:hAnsi="Century Schoolbook"/>
        </w:rPr>
        <w:t xml:space="preserve"> </w:t>
      </w:r>
      <w:r w:rsidRPr="00E15A57" w:rsidR="005B0CE1">
        <w:rPr>
          <w:rFonts w:ascii="Century Schoolbook" w:hAnsi="Century Schoolbook"/>
        </w:rPr>
        <w:t xml:space="preserve">Even if we were reviewing a </w:t>
      </w:r>
      <w:r w:rsidRPr="00E15A57" w:rsidR="005B0CE1">
        <w:rPr>
          <w:rFonts w:ascii="Century Schoolbook" w:hAnsi="Century Schoolbook"/>
          <w:i/>
          <w:iCs/>
        </w:rPr>
        <w:t>dismissal</w:t>
      </w:r>
      <w:r w:rsidRPr="00E15A57" w:rsidR="005B0CE1">
        <w:rPr>
          <w:rFonts w:ascii="Century Schoolbook" w:hAnsi="Century Schoolbook"/>
        </w:rPr>
        <w:t xml:space="preserve"> order in a suit brought by a </w:t>
      </w:r>
      <w:r w:rsidRPr="00E15A57" w:rsidR="005B0CE1">
        <w:rPr>
          <w:rFonts w:ascii="Century Schoolbook" w:hAnsi="Century Schoolbook"/>
          <w:i/>
          <w:iCs/>
        </w:rPr>
        <w:t>California</w:t>
      </w:r>
      <w:r w:rsidRPr="00E15A57" w:rsidR="005B0CE1">
        <w:rPr>
          <w:rFonts w:ascii="Century Schoolbook" w:hAnsi="Century Schoolbook"/>
        </w:rPr>
        <w:t xml:space="preserve"> resident—we would not subscribe to the analysis employed in </w:t>
      </w:r>
      <w:r w:rsidRPr="00E15A57" w:rsidR="005B0CE1">
        <w:rPr>
          <w:rFonts w:ascii="Century Schoolbook" w:hAnsi="Century Schoolbook"/>
          <w:i/>
          <w:iCs/>
        </w:rPr>
        <w:t>Ford</w:t>
      </w:r>
      <w:r w:rsidRPr="00E15A57" w:rsidR="005B0CE1">
        <w:rPr>
          <w:rFonts w:ascii="Century Schoolbook" w:hAnsi="Century Schoolbook"/>
        </w:rPr>
        <w:t xml:space="preserve">. </w:t>
      </w:r>
      <w:r w:rsidR="005B0CE1">
        <w:rPr>
          <w:rFonts w:ascii="Century Schoolbook" w:hAnsi="Century Schoolbook"/>
        </w:rPr>
        <w:t xml:space="preserve"> </w:t>
      </w:r>
      <w:r w:rsidRPr="00E15A57" w:rsidR="005B0CE1">
        <w:rPr>
          <w:rFonts w:ascii="Century Schoolbook" w:hAnsi="Century Schoolbook"/>
        </w:rPr>
        <w:t>And plaintiff</w:t>
      </w:r>
      <w:r w:rsidR="005B0CE1">
        <w:rPr>
          <w:rFonts w:ascii="Century Schoolbook" w:hAnsi="Century Schoolbook"/>
        </w:rPr>
        <w:t>’</w:t>
      </w:r>
      <w:r w:rsidRPr="00E15A57" w:rsidR="005B0CE1">
        <w:rPr>
          <w:rFonts w:ascii="Century Schoolbook" w:hAnsi="Century Schoolbook"/>
        </w:rPr>
        <w:t xml:space="preserve">s position is all the more untenable in this case, as he is not even a United States citizen, a distinction highlighted in </w:t>
      </w:r>
      <w:r w:rsidRPr="00E15A57" w:rsidR="005B0CE1">
        <w:rPr>
          <w:rFonts w:ascii="Century Schoolbook" w:hAnsi="Century Schoolbook"/>
          <w:i/>
          <w:iCs/>
        </w:rPr>
        <w:t>Stangvik</w:t>
      </w:r>
      <w:r w:rsidRPr="00E15A57" w:rsidR="005B0CE1">
        <w:rPr>
          <w:rFonts w:ascii="Century Schoolbook" w:hAnsi="Century Schoolbook"/>
        </w:rPr>
        <w:t xml:space="preserve">. </w:t>
      </w:r>
      <w:r w:rsidR="005B0CE1">
        <w:rPr>
          <w:rFonts w:ascii="Century Schoolbook" w:hAnsi="Century Schoolbook"/>
        </w:rPr>
        <w:t xml:space="preserve"> </w:t>
      </w:r>
      <w:r w:rsidRPr="00E15A57" w:rsidR="005B0CE1">
        <w:rPr>
          <w:rFonts w:ascii="Century Schoolbook" w:hAnsi="Century Schoolbook"/>
        </w:rPr>
        <w:t xml:space="preserve">The superior court therefore erred in imposing a burden on Fox to show that California is a </w:t>
      </w:r>
      <w:r w:rsidRPr="00037AC8" w:rsidR="005B0CE1">
        <w:rPr>
          <w:rFonts w:ascii="Century Schoolbook" w:hAnsi="Century Schoolbook"/>
          <w:i/>
          <w:iCs/>
        </w:rPr>
        <w:t>seriously</w:t>
      </w:r>
      <w:r w:rsidRPr="00E15A57" w:rsidR="005B0CE1">
        <w:rPr>
          <w:rFonts w:ascii="Century Schoolbook" w:hAnsi="Century Schoolbook"/>
        </w:rPr>
        <w:t xml:space="preserve"> inconvenient forum in order to obtain a dismissal or stay under the forum non conveniens doctrine.</w:t>
      </w:r>
      <w:r w:rsidR="005B0CE1">
        <w:rPr>
          <w:rFonts w:ascii="Century Schoolbook" w:hAnsi="Century Schoolbook"/>
        </w:rPr>
        <w:t>”  (</w:t>
      </w:r>
      <w:r w:rsidRPr="00E15A57" w:rsidR="005B0CE1">
        <w:rPr>
          <w:rFonts w:ascii="Century Schoolbook" w:hAnsi="Century Schoolbook"/>
          <w:i/>
          <w:iCs/>
        </w:rPr>
        <w:t>Id</w:t>
      </w:r>
      <w:r w:rsidR="005B0CE1">
        <w:rPr>
          <w:rFonts w:ascii="Century Schoolbook" w:hAnsi="Century Schoolbook"/>
        </w:rPr>
        <w:t xml:space="preserve">. at p. 207.)  </w:t>
      </w:r>
    </w:p>
    <w:p w:rsidR="00425D06" w:rsidP="00425D06" w14:paraId="5A6FF401" w14:textId="1402F79B">
      <w:pPr>
        <w:spacing w:line="360" w:lineRule="auto"/>
        <w:rPr>
          <w:rFonts w:ascii="Century Schoolbook" w:hAnsi="Century Schoolbook"/>
        </w:rPr>
      </w:pPr>
      <w:r>
        <w:rPr>
          <w:rFonts w:ascii="Century Schoolbook" w:hAnsi="Century Schoolbook"/>
          <w:szCs w:val="26"/>
        </w:rPr>
        <w:tab/>
      </w:r>
      <w:r w:rsidRPr="00726C54">
        <w:rPr>
          <w:rFonts w:ascii="Century Schoolbook" w:hAnsi="Century Schoolbook"/>
          <w:szCs w:val="26"/>
        </w:rPr>
        <w:t xml:space="preserve">We find the </w:t>
      </w:r>
      <w:r w:rsidRPr="00726C54">
        <w:rPr>
          <w:rFonts w:ascii="Century Schoolbook" w:hAnsi="Century Schoolbook"/>
          <w:i/>
          <w:iCs/>
          <w:szCs w:val="26"/>
        </w:rPr>
        <w:t>NFL</w:t>
      </w:r>
      <w:r w:rsidRPr="00726C54">
        <w:rPr>
          <w:rFonts w:ascii="Century Schoolbook" w:hAnsi="Century Schoolbook"/>
          <w:szCs w:val="26"/>
        </w:rPr>
        <w:t xml:space="preserve"> decision persuasive, and agree</w:t>
      </w:r>
      <w:r>
        <w:rPr>
          <w:rFonts w:ascii="Century Schoolbook" w:hAnsi="Century Schoolbook"/>
        </w:rPr>
        <w:t xml:space="preserve"> with the </w:t>
      </w:r>
      <w:r w:rsidRPr="008A191E">
        <w:rPr>
          <w:rFonts w:ascii="Century Schoolbook" w:hAnsi="Century Schoolbook"/>
          <w:i/>
          <w:iCs/>
        </w:rPr>
        <w:t>Fox Factory</w:t>
      </w:r>
      <w:r>
        <w:rPr>
          <w:rFonts w:ascii="Century Schoolbook" w:hAnsi="Century Schoolbook"/>
        </w:rPr>
        <w:t xml:space="preserve"> court that </w:t>
      </w:r>
      <w:r w:rsidRPr="00272465">
        <w:rPr>
          <w:rFonts w:ascii="Century Schoolbook" w:hAnsi="Century Schoolbook"/>
          <w:i/>
          <w:iCs/>
        </w:rPr>
        <w:t>NFL</w:t>
      </w:r>
      <w:r>
        <w:rPr>
          <w:rFonts w:ascii="Century Schoolbook" w:hAnsi="Century Schoolbook"/>
        </w:rPr>
        <w:t xml:space="preserve"> “</w:t>
      </w:r>
      <w:r w:rsidRPr="00E15A57">
        <w:rPr>
          <w:rFonts w:ascii="Century Schoolbook" w:hAnsi="Century Schoolbook"/>
        </w:rPr>
        <w:t xml:space="preserve">offers a more factually analogous and more cogent analysis than that of </w:t>
      </w:r>
      <w:r w:rsidRPr="00272465">
        <w:rPr>
          <w:rFonts w:ascii="Century Schoolbook" w:hAnsi="Century Schoolbook"/>
          <w:i/>
          <w:iCs/>
        </w:rPr>
        <w:t>Ford</w:t>
      </w:r>
      <w:r>
        <w:rPr>
          <w:rFonts w:ascii="Century Schoolbook" w:hAnsi="Century Schoolbook"/>
        </w:rPr>
        <w:t>.”  (</w:t>
      </w:r>
      <w:r w:rsidRPr="00272465">
        <w:rPr>
          <w:rFonts w:ascii="Century Schoolbook" w:hAnsi="Century Schoolbook"/>
          <w:i/>
          <w:iCs/>
        </w:rPr>
        <w:t>Fox Factory</w:t>
      </w:r>
      <w:r>
        <w:rPr>
          <w:rFonts w:ascii="Century Schoolbook" w:hAnsi="Century Schoolbook"/>
        </w:rPr>
        <w:t xml:space="preserve">, </w:t>
      </w:r>
      <w:r w:rsidRPr="00272465">
        <w:rPr>
          <w:rFonts w:ascii="Century Schoolbook" w:hAnsi="Century Schoolbook"/>
          <w:i/>
          <w:iCs/>
        </w:rPr>
        <w:t>supra</w:t>
      </w:r>
      <w:r>
        <w:rPr>
          <w:rFonts w:ascii="Century Schoolbook" w:hAnsi="Century Schoolbook"/>
        </w:rPr>
        <w:t>, 11 Cal.App.5th at p. 206.)</w:t>
      </w:r>
    </w:p>
    <w:p w:rsidR="00726C54" w:rsidRPr="00726C54" w:rsidP="00726C54" w14:paraId="4A4E4C63" w14:textId="49CDB65B">
      <w:pPr>
        <w:pStyle w:val="FootnoteText"/>
        <w:spacing w:line="360" w:lineRule="auto"/>
        <w:rPr>
          <w:rFonts w:ascii="Century Schoolbook" w:hAnsi="Century Schoolbook"/>
          <w:sz w:val="26"/>
          <w:szCs w:val="26"/>
        </w:rPr>
      </w:pPr>
      <w:r w:rsidRPr="00726C54">
        <w:rPr>
          <w:rFonts w:ascii="Century Schoolbook" w:hAnsi="Century Schoolbook"/>
          <w:sz w:val="26"/>
          <w:szCs w:val="26"/>
        </w:rPr>
        <w:tab/>
        <w:t xml:space="preserve">This is how the leading practice commentary </w:t>
      </w:r>
      <w:r w:rsidR="00B47E28">
        <w:rPr>
          <w:rFonts w:ascii="Century Schoolbook" w:hAnsi="Century Schoolbook"/>
          <w:sz w:val="26"/>
          <w:szCs w:val="26"/>
        </w:rPr>
        <w:t>describes the law</w:t>
      </w:r>
      <w:r w:rsidRPr="00726C54">
        <w:rPr>
          <w:rFonts w:ascii="Century Schoolbook" w:hAnsi="Century Schoolbook"/>
          <w:sz w:val="26"/>
          <w:szCs w:val="26"/>
        </w:rPr>
        <w:t xml:space="preserve">:  “To the extent [the ‘seriously inconvenient’] standard is appropriate (see </w:t>
      </w:r>
      <w:r w:rsidRPr="00726C54">
        <w:rPr>
          <w:rFonts w:ascii="Century Schoolbook" w:hAnsi="Century Schoolbook"/>
          <w:i/>
          <w:iCs/>
          <w:sz w:val="26"/>
          <w:szCs w:val="26"/>
        </w:rPr>
        <w:t>Comment immediately</w:t>
      </w:r>
      <w:r w:rsidRPr="00726C54">
        <w:rPr>
          <w:rFonts w:ascii="Century Schoolbook" w:hAnsi="Century Schoolbook"/>
          <w:sz w:val="26"/>
          <w:szCs w:val="26"/>
        </w:rPr>
        <w:t xml:space="preserve"> </w:t>
      </w:r>
      <w:r w:rsidRPr="00037AC8">
        <w:rPr>
          <w:rFonts w:ascii="Century Schoolbook" w:hAnsi="Century Schoolbook"/>
          <w:i/>
          <w:iCs/>
          <w:sz w:val="26"/>
          <w:szCs w:val="26"/>
        </w:rPr>
        <w:t>below</w:t>
      </w:r>
      <w:r w:rsidRPr="00726C54">
        <w:rPr>
          <w:rFonts w:ascii="Century Schoolbook" w:hAnsi="Century Schoolbook"/>
          <w:sz w:val="26"/>
          <w:szCs w:val="26"/>
        </w:rPr>
        <w:t xml:space="preserve">), it applies only when defendant seeks </w:t>
      </w:r>
      <w:r w:rsidRPr="00726C54">
        <w:rPr>
          <w:rFonts w:ascii="Century Schoolbook" w:hAnsi="Century Schoolbook"/>
          <w:i/>
          <w:iCs/>
          <w:sz w:val="26"/>
          <w:szCs w:val="26"/>
        </w:rPr>
        <w:t>dismissal</w:t>
      </w:r>
      <w:r w:rsidRPr="00726C54">
        <w:rPr>
          <w:rFonts w:ascii="Century Schoolbook" w:hAnsi="Century Schoolbook"/>
          <w:sz w:val="26"/>
          <w:szCs w:val="26"/>
        </w:rPr>
        <w:t xml:space="preserve"> of the action on forum non conveniens grounds. It does not apply when defendant seeks a </w:t>
      </w:r>
      <w:r w:rsidRPr="00726C54">
        <w:rPr>
          <w:rFonts w:ascii="Century Schoolbook" w:hAnsi="Century Schoolbook"/>
          <w:i/>
          <w:iCs/>
          <w:sz w:val="26"/>
          <w:szCs w:val="26"/>
        </w:rPr>
        <w:t>stay</w:t>
      </w:r>
      <w:r w:rsidRPr="00726C54">
        <w:rPr>
          <w:rFonts w:ascii="Century Schoolbook" w:hAnsi="Century Schoolbook"/>
          <w:sz w:val="26"/>
          <w:szCs w:val="26"/>
        </w:rPr>
        <w:t xml:space="preserve"> of the action. </w:t>
      </w:r>
      <w:r w:rsidR="00037AC8">
        <w:rPr>
          <w:rFonts w:ascii="Century Schoolbook" w:hAnsi="Century Schoolbook"/>
          <w:sz w:val="26"/>
          <w:szCs w:val="26"/>
        </w:rPr>
        <w:t xml:space="preserve"> (</w:t>
      </w:r>
      <w:r w:rsidRPr="00726C54">
        <w:rPr>
          <w:rFonts w:ascii="Century Schoolbook" w:hAnsi="Century Schoolbook"/>
          <w:i/>
          <w:iCs/>
          <w:sz w:val="26"/>
          <w:szCs w:val="26"/>
        </w:rPr>
        <w:t>National Football League v. Fireman</w:t>
      </w:r>
      <w:r w:rsidR="00037AC8">
        <w:rPr>
          <w:rFonts w:ascii="Century Schoolbook" w:hAnsi="Century Schoolbook"/>
          <w:i/>
          <w:iCs/>
          <w:sz w:val="26"/>
          <w:szCs w:val="26"/>
        </w:rPr>
        <w:t>’</w:t>
      </w:r>
      <w:r w:rsidRPr="00726C54">
        <w:rPr>
          <w:rFonts w:ascii="Century Schoolbook" w:hAnsi="Century Schoolbook"/>
          <w:i/>
          <w:iCs/>
          <w:sz w:val="26"/>
          <w:szCs w:val="26"/>
        </w:rPr>
        <w:t>s Fund Ins. Co.</w:t>
      </w:r>
      <w:r w:rsidRPr="00726C54">
        <w:rPr>
          <w:rFonts w:ascii="Century Schoolbook" w:hAnsi="Century Schoolbook"/>
          <w:sz w:val="26"/>
          <w:szCs w:val="26"/>
        </w:rPr>
        <w:t xml:space="preserve">, </w:t>
      </w:r>
      <w:r w:rsidRPr="00726C54">
        <w:rPr>
          <w:rFonts w:ascii="Century Schoolbook" w:hAnsi="Century Schoolbook"/>
          <w:i/>
          <w:iCs/>
          <w:sz w:val="26"/>
          <w:szCs w:val="26"/>
        </w:rPr>
        <w:t>supra</w:t>
      </w:r>
      <w:r w:rsidRPr="00726C54">
        <w:rPr>
          <w:rFonts w:ascii="Century Schoolbook" w:hAnsi="Century Schoolbook"/>
          <w:sz w:val="26"/>
          <w:szCs w:val="26"/>
        </w:rPr>
        <w:t>, 216 C</w:t>
      </w:r>
      <w:r w:rsidR="00037AC8">
        <w:rPr>
          <w:rFonts w:ascii="Century Schoolbook" w:hAnsi="Century Schoolbook"/>
          <w:sz w:val="26"/>
          <w:szCs w:val="26"/>
        </w:rPr>
        <w:t>al.</w:t>
      </w:r>
      <w:r w:rsidRPr="00726C54">
        <w:rPr>
          <w:rFonts w:ascii="Century Schoolbook" w:hAnsi="Century Schoolbook"/>
          <w:sz w:val="26"/>
          <w:szCs w:val="26"/>
        </w:rPr>
        <w:t>A</w:t>
      </w:r>
      <w:r w:rsidR="00037AC8">
        <w:rPr>
          <w:rFonts w:ascii="Century Schoolbook" w:hAnsi="Century Schoolbook"/>
          <w:sz w:val="26"/>
          <w:szCs w:val="26"/>
        </w:rPr>
        <w:t>pp.</w:t>
      </w:r>
      <w:r w:rsidRPr="00726C54">
        <w:rPr>
          <w:rFonts w:ascii="Century Schoolbook" w:hAnsi="Century Schoolbook"/>
          <w:sz w:val="26"/>
          <w:szCs w:val="26"/>
        </w:rPr>
        <w:t>4th at 933</w:t>
      </w:r>
      <w:r w:rsidR="00037AC8">
        <w:rPr>
          <w:rFonts w:ascii="Symbol" w:hAnsi="Symbol"/>
          <w:sz w:val="26"/>
          <w:szCs w:val="26"/>
        </w:rPr>
        <w:sym w:font="Symbol" w:char="F02D"/>
      </w:r>
      <w:r w:rsidRPr="00726C54">
        <w:rPr>
          <w:rFonts w:ascii="Century Schoolbook" w:hAnsi="Century Schoolbook"/>
          <w:sz w:val="26"/>
          <w:szCs w:val="26"/>
        </w:rPr>
        <w:t>934,</w:t>
      </w:r>
      <w:r w:rsidR="00037AC8">
        <w:rPr>
          <w:rFonts w:ascii="Century Schoolbook" w:hAnsi="Century Schoolbook"/>
          <w:sz w:val="26"/>
          <w:szCs w:val="26"/>
        </w:rPr>
        <w:t xml:space="preserve"> . . . .)</w:t>
      </w:r>
    </w:p>
    <w:p w:rsidR="00726C54" w:rsidRPr="00726C54" w:rsidP="00726C54" w14:paraId="6AA465AD" w14:textId="4D341B2D">
      <w:pPr>
        <w:pStyle w:val="FootnoteText"/>
        <w:spacing w:line="360" w:lineRule="auto"/>
        <w:rPr>
          <w:rFonts w:ascii="Century Schoolbook" w:hAnsi="Century Schoolbook"/>
          <w:sz w:val="26"/>
          <w:szCs w:val="26"/>
        </w:rPr>
      </w:pPr>
      <w:r w:rsidRPr="00726C54">
        <w:rPr>
          <w:rFonts w:ascii="Century Schoolbook" w:hAnsi="Century Schoolbook"/>
          <w:b/>
          <w:bCs/>
          <w:i/>
          <w:iCs/>
          <w:sz w:val="26"/>
          <w:szCs w:val="26"/>
        </w:rPr>
        <w:tab/>
      </w:r>
      <w:r w:rsidRPr="00726C54">
        <w:rPr>
          <w:rFonts w:ascii="Century Schoolbook" w:hAnsi="Century Schoolbook"/>
          <w:sz w:val="26"/>
          <w:szCs w:val="26"/>
        </w:rPr>
        <w:t>“</w:t>
      </w:r>
      <w:r w:rsidRPr="00726C54">
        <w:rPr>
          <w:rFonts w:ascii="Century Schoolbook" w:hAnsi="Century Schoolbook"/>
          <w:b/>
          <w:bCs/>
          <w:i/>
          <w:iCs/>
          <w:sz w:val="26"/>
          <w:szCs w:val="26"/>
        </w:rPr>
        <w:t>Comment</w:t>
      </w:r>
      <w:r w:rsidRPr="00726C54">
        <w:rPr>
          <w:rFonts w:ascii="Century Schoolbook" w:hAnsi="Century Schoolbook"/>
          <w:sz w:val="26"/>
          <w:szCs w:val="26"/>
        </w:rPr>
        <w:t xml:space="preserve">:  The court in </w:t>
      </w:r>
      <w:r w:rsidRPr="00726C54">
        <w:rPr>
          <w:rFonts w:ascii="Century Schoolbook" w:hAnsi="Century Schoolbook"/>
          <w:i/>
          <w:iCs/>
          <w:sz w:val="26"/>
          <w:szCs w:val="26"/>
        </w:rPr>
        <w:t>National Football League</w:t>
      </w:r>
      <w:r w:rsidRPr="00726C54">
        <w:rPr>
          <w:rFonts w:ascii="Century Schoolbook" w:hAnsi="Century Schoolbook"/>
          <w:sz w:val="26"/>
          <w:szCs w:val="26"/>
        </w:rPr>
        <w:t xml:space="preserve">, </w:t>
      </w:r>
      <w:r w:rsidRPr="00726C54">
        <w:rPr>
          <w:rFonts w:ascii="Century Schoolbook" w:hAnsi="Century Schoolbook"/>
          <w:i/>
          <w:iCs/>
          <w:sz w:val="26"/>
          <w:szCs w:val="26"/>
        </w:rPr>
        <w:t>supra</w:t>
      </w:r>
      <w:r w:rsidRPr="00726C54">
        <w:rPr>
          <w:rFonts w:ascii="Century Schoolbook" w:hAnsi="Century Schoolbook"/>
          <w:sz w:val="26"/>
          <w:szCs w:val="26"/>
        </w:rPr>
        <w:t xml:space="preserve">, carefully traced the development of the ‘seriously inconvenient’ standard and concluded it was questionable whether that standard ‘properly describes a moving party’s burden of proof, even for dismissal motions against resident plaintiffs.’ </w:t>
      </w:r>
      <w:r>
        <w:rPr>
          <w:rFonts w:ascii="Century Schoolbook" w:hAnsi="Century Schoolbook"/>
          <w:sz w:val="26"/>
          <w:szCs w:val="26"/>
        </w:rPr>
        <w:t xml:space="preserve"> </w:t>
      </w:r>
      <w:r w:rsidRPr="00726C54">
        <w:rPr>
          <w:rFonts w:ascii="Century Schoolbook" w:hAnsi="Century Schoolbook"/>
          <w:sz w:val="26"/>
          <w:szCs w:val="26"/>
        </w:rPr>
        <w:t xml:space="preserve">Rather, the court should take into consideration all relevant factors, including plaintiff's residence. </w:t>
      </w:r>
      <w:r w:rsidR="00037AC8">
        <w:rPr>
          <w:rFonts w:ascii="Century Schoolbook" w:hAnsi="Century Schoolbook"/>
          <w:sz w:val="26"/>
          <w:szCs w:val="26"/>
        </w:rPr>
        <w:t xml:space="preserve"> (</w:t>
      </w:r>
      <w:r w:rsidRPr="00726C54">
        <w:rPr>
          <w:rFonts w:ascii="Century Schoolbook" w:hAnsi="Century Schoolbook"/>
          <w:i/>
          <w:iCs/>
          <w:sz w:val="26"/>
          <w:szCs w:val="26"/>
        </w:rPr>
        <w:t>National Football League v. Fireman’s Fund Ins. Co.</w:t>
      </w:r>
      <w:r w:rsidRPr="00726C54">
        <w:rPr>
          <w:rFonts w:ascii="Century Schoolbook" w:hAnsi="Century Schoolbook"/>
          <w:sz w:val="26"/>
          <w:szCs w:val="26"/>
        </w:rPr>
        <w:t xml:space="preserve">, </w:t>
      </w:r>
      <w:r w:rsidRPr="00726C54">
        <w:rPr>
          <w:rFonts w:ascii="Century Schoolbook" w:hAnsi="Century Schoolbook"/>
          <w:i/>
          <w:iCs/>
          <w:sz w:val="26"/>
          <w:szCs w:val="26"/>
        </w:rPr>
        <w:t>supra</w:t>
      </w:r>
      <w:r w:rsidRPr="00726C54">
        <w:rPr>
          <w:rFonts w:ascii="Century Schoolbook" w:hAnsi="Century Schoolbook"/>
          <w:sz w:val="26"/>
          <w:szCs w:val="26"/>
        </w:rPr>
        <w:t>, 216 C</w:t>
      </w:r>
      <w:r w:rsidR="00037AC8">
        <w:rPr>
          <w:rFonts w:ascii="Century Schoolbook" w:hAnsi="Century Schoolbook"/>
          <w:sz w:val="26"/>
          <w:szCs w:val="26"/>
        </w:rPr>
        <w:t>al.</w:t>
      </w:r>
      <w:r w:rsidRPr="00726C54">
        <w:rPr>
          <w:rFonts w:ascii="Century Schoolbook" w:hAnsi="Century Schoolbook"/>
          <w:sz w:val="26"/>
          <w:szCs w:val="26"/>
        </w:rPr>
        <w:t>A</w:t>
      </w:r>
      <w:r w:rsidR="00037AC8">
        <w:rPr>
          <w:rFonts w:ascii="Century Schoolbook" w:hAnsi="Century Schoolbook"/>
          <w:sz w:val="26"/>
          <w:szCs w:val="26"/>
        </w:rPr>
        <w:t>pp.</w:t>
      </w:r>
      <w:r w:rsidRPr="00726C54">
        <w:rPr>
          <w:rFonts w:ascii="Century Schoolbook" w:hAnsi="Century Schoolbook"/>
          <w:sz w:val="26"/>
          <w:szCs w:val="26"/>
        </w:rPr>
        <w:t>4th at 932.</w:t>
      </w:r>
      <w:r w:rsidR="00037AC8">
        <w:rPr>
          <w:rFonts w:ascii="Century Schoolbook" w:hAnsi="Century Schoolbook"/>
          <w:sz w:val="26"/>
          <w:szCs w:val="26"/>
        </w:rPr>
        <w:t>)</w:t>
      </w:r>
      <w:r w:rsidRPr="00726C54">
        <w:rPr>
          <w:rFonts w:ascii="Century Schoolbook" w:hAnsi="Century Schoolbook"/>
          <w:sz w:val="26"/>
          <w:szCs w:val="26"/>
        </w:rPr>
        <w:t>”  (Weil &amp; Brown, Cal. Practice Guide: Civil Procedure Before Trial (The Rutter Group 2023) ¶ 3:408.8.)</w:t>
      </w:r>
    </w:p>
    <w:p w:rsidR="008C3245" w:rsidP="00B47E28" w14:paraId="26E49B05" w14:textId="7ACF022F">
      <w:pPr>
        <w:spacing w:line="360" w:lineRule="auto"/>
        <w:rPr>
          <w:rFonts w:ascii="Century Schoolbook" w:hAnsi="Century Schoolbook"/>
        </w:rPr>
      </w:pPr>
      <w:r w:rsidRPr="00726C54">
        <w:rPr>
          <w:rFonts w:ascii="Century Schoolbook" w:hAnsi="Century Schoolbook"/>
          <w:szCs w:val="26"/>
        </w:rPr>
        <w:tab/>
      </w:r>
      <w:r w:rsidR="00C00CEE">
        <w:rPr>
          <w:rFonts w:ascii="Century Schoolbook" w:hAnsi="Century Schoolbook"/>
        </w:rPr>
        <w:t xml:space="preserve">Plaintiffs attempt to distinguish </w:t>
      </w:r>
      <w:r w:rsidRPr="00C00CEE" w:rsidR="00C00CEE">
        <w:rPr>
          <w:rFonts w:ascii="Century Schoolbook" w:hAnsi="Century Schoolbook"/>
          <w:i/>
          <w:iCs/>
        </w:rPr>
        <w:t>NFL</w:t>
      </w:r>
      <w:r w:rsidR="00C00CEE">
        <w:rPr>
          <w:rFonts w:ascii="Century Schoolbook" w:hAnsi="Century Schoolbook"/>
        </w:rPr>
        <w:t xml:space="preserve"> on the ground </w:t>
      </w:r>
      <w:r w:rsidR="0023000B">
        <w:rPr>
          <w:rFonts w:ascii="Century Schoolbook" w:hAnsi="Century Schoolbook"/>
        </w:rPr>
        <w:t>i</w:t>
      </w:r>
      <w:r w:rsidR="00C00CEE">
        <w:rPr>
          <w:rFonts w:ascii="Century Schoolbook" w:hAnsi="Century Schoolbook"/>
        </w:rPr>
        <w:t xml:space="preserve">t involved a stay, </w:t>
      </w:r>
      <w:r w:rsidR="00924B98">
        <w:rPr>
          <w:rFonts w:ascii="Century Schoolbook" w:hAnsi="Century Schoolbook"/>
        </w:rPr>
        <w:t xml:space="preserve">whereas they contend that </w:t>
      </w:r>
      <w:r w:rsidR="00307A66">
        <w:rPr>
          <w:rFonts w:ascii="Century Schoolbook" w:hAnsi="Century Schoolbook"/>
        </w:rPr>
        <w:t>Judge Schulman</w:t>
      </w:r>
      <w:r w:rsidR="00924B98">
        <w:rPr>
          <w:rFonts w:ascii="Century Schoolbook" w:hAnsi="Century Schoolbook"/>
        </w:rPr>
        <w:t xml:space="preserve">’s order in this case had the “legal effect” of a dismissal. </w:t>
      </w:r>
      <w:r w:rsidR="00E44F4F">
        <w:rPr>
          <w:rFonts w:ascii="Century Schoolbook" w:hAnsi="Century Schoolbook"/>
        </w:rPr>
        <w:t xml:space="preserve"> </w:t>
      </w:r>
      <w:r w:rsidR="00086EEC">
        <w:rPr>
          <w:rFonts w:ascii="Century Schoolbook" w:hAnsi="Century Schoolbook"/>
        </w:rPr>
        <w:t xml:space="preserve">Plaintiffs argue that even though the final paragraph of </w:t>
      </w:r>
      <w:r w:rsidR="00307A66">
        <w:rPr>
          <w:rFonts w:ascii="Century Schoolbook" w:hAnsi="Century Schoolbook"/>
        </w:rPr>
        <w:t>Judge Schulman</w:t>
      </w:r>
      <w:r w:rsidR="00086EEC">
        <w:rPr>
          <w:rFonts w:ascii="Century Schoolbook" w:hAnsi="Century Schoolbook"/>
        </w:rPr>
        <w:t xml:space="preserve">’s order concludes </w:t>
      </w:r>
      <w:r w:rsidRPr="00086EEC" w:rsidR="00086EEC">
        <w:rPr>
          <w:rFonts w:ascii="Century Schoolbook" w:hAnsi="Century Schoolbook"/>
        </w:rPr>
        <w:t>“</w:t>
      </w:r>
      <w:r w:rsidR="00086EEC">
        <w:rPr>
          <w:rFonts w:ascii="Century Schoolbook" w:hAnsi="Century Schoolbook"/>
        </w:rPr>
        <w:t>[d]</w:t>
      </w:r>
      <w:r w:rsidRPr="00086EEC" w:rsidR="00086EEC">
        <w:rPr>
          <w:rFonts w:ascii="Century Schoolbook" w:hAnsi="Century Schoolbook"/>
        </w:rPr>
        <w:t>efendant’s motions to stay both actions are granted</w:t>
      </w:r>
      <w:r w:rsidR="00086EEC">
        <w:rPr>
          <w:rFonts w:ascii="Century Schoolbook" w:hAnsi="Century Schoolbook"/>
        </w:rPr>
        <w:t>,</w:t>
      </w:r>
      <w:r w:rsidRPr="00086EEC" w:rsidR="00086EEC">
        <w:rPr>
          <w:rFonts w:ascii="Century Schoolbook" w:hAnsi="Century Schoolbook"/>
        </w:rPr>
        <w:t xml:space="preserve">” </w:t>
      </w:r>
      <w:r w:rsidR="00086EEC">
        <w:rPr>
          <w:rFonts w:ascii="Century Schoolbook" w:hAnsi="Century Schoolbook"/>
        </w:rPr>
        <w:t xml:space="preserve">the motions were “in legal effect, </w:t>
      </w:r>
      <w:r w:rsidR="00DB0D9C">
        <w:rPr>
          <w:rFonts w:ascii="Century Schoolbook" w:hAnsi="Century Schoolbook"/>
        </w:rPr>
        <w:t xml:space="preserve">were </w:t>
      </w:r>
      <w:r w:rsidR="00086EEC">
        <w:rPr>
          <w:rFonts w:ascii="Century Schoolbook" w:hAnsi="Century Schoolbook"/>
        </w:rPr>
        <w:t xml:space="preserve">motions to dismiss” because the cases were already stayed by the coordination order and because “the court then proceeded to </w:t>
      </w:r>
      <w:r w:rsidR="00F3426C">
        <w:rPr>
          <w:rFonts w:ascii="Century Schoolbook" w:hAnsi="Century Schoolbook"/>
        </w:rPr>
        <w:t>dismiss</w:t>
      </w:r>
      <w:r w:rsidR="00086EEC">
        <w:rPr>
          <w:rFonts w:ascii="Century Schoolbook" w:hAnsi="Century Schoolbook"/>
        </w:rPr>
        <w:t xml:space="preserve"> the actions.”  </w:t>
      </w:r>
      <w:r w:rsidR="00E44F4F">
        <w:rPr>
          <w:rFonts w:ascii="Century Schoolbook" w:hAnsi="Century Schoolbook"/>
        </w:rPr>
        <w:t xml:space="preserve">But </w:t>
      </w:r>
      <w:r w:rsidR="0023000B">
        <w:rPr>
          <w:rFonts w:ascii="Century Schoolbook" w:hAnsi="Century Schoolbook"/>
        </w:rPr>
        <w:t>Judge Schulman</w:t>
      </w:r>
      <w:r w:rsidR="00D1153E">
        <w:rPr>
          <w:rFonts w:ascii="Century Schoolbook" w:hAnsi="Century Schoolbook"/>
        </w:rPr>
        <w:t xml:space="preserve"> did not “proceed[] to dismiss the actions</w:t>
      </w:r>
      <w:r w:rsidR="0023000B">
        <w:rPr>
          <w:rFonts w:ascii="Century Schoolbook" w:hAnsi="Century Schoolbook"/>
        </w:rPr>
        <w:t>.</w:t>
      </w:r>
      <w:r w:rsidR="00D1153E">
        <w:rPr>
          <w:rFonts w:ascii="Century Schoolbook" w:hAnsi="Century Schoolbook"/>
        </w:rPr>
        <w:t>”</w:t>
      </w:r>
      <w:r w:rsidR="0023000B">
        <w:rPr>
          <w:rFonts w:ascii="Century Schoolbook" w:hAnsi="Century Schoolbook"/>
        </w:rPr>
        <w:t xml:space="preserve">  To the contrary, he</w:t>
      </w:r>
      <w:r w:rsidR="00D1153E">
        <w:rPr>
          <w:rFonts w:ascii="Century Schoolbook" w:hAnsi="Century Schoolbook"/>
        </w:rPr>
        <w:t xml:space="preserve"> entered the parties’ </w:t>
      </w:r>
      <w:r w:rsidR="00272465">
        <w:rPr>
          <w:rFonts w:ascii="Century Schoolbook" w:hAnsi="Century Schoolbook"/>
        </w:rPr>
        <w:t>agreed-upon</w:t>
      </w:r>
      <w:r w:rsidR="00D1153E">
        <w:rPr>
          <w:rFonts w:ascii="Century Schoolbook" w:hAnsi="Century Schoolbook"/>
        </w:rPr>
        <w:t xml:space="preserve"> order providing that “each </w:t>
      </w:r>
      <w:r w:rsidRPr="00D1153E" w:rsidR="00D1153E">
        <w:rPr>
          <w:rFonts w:ascii="Century Schoolbook" w:hAnsi="Century Schoolbook"/>
        </w:rPr>
        <w:t>of the Non-California Cases is hereby stayed pursuant and subject to the terms of</w:t>
      </w:r>
      <w:r w:rsidR="00D1153E">
        <w:rPr>
          <w:rFonts w:ascii="Century Schoolbook" w:hAnsi="Century Schoolbook"/>
        </w:rPr>
        <w:t xml:space="preserve"> </w:t>
      </w:r>
      <w:r w:rsidRPr="00D1153E" w:rsidR="00D1153E">
        <w:rPr>
          <w:rFonts w:ascii="Century Schoolbook" w:hAnsi="Century Schoolbook"/>
        </w:rPr>
        <w:t>the</w:t>
      </w:r>
      <w:r w:rsidR="00D1153E">
        <w:rPr>
          <w:rFonts w:ascii="Century Schoolbook" w:hAnsi="Century Schoolbook"/>
        </w:rPr>
        <w:t xml:space="preserve"> </w:t>
      </w:r>
      <w:r w:rsidRPr="00D1153E" w:rsidR="00D1153E">
        <w:rPr>
          <w:rFonts w:ascii="Century Schoolbook" w:hAnsi="Century Schoolbook"/>
        </w:rPr>
        <w:t>FNC O</w:t>
      </w:r>
      <w:r w:rsidR="00D1153E">
        <w:rPr>
          <w:rFonts w:ascii="Century Schoolbook" w:hAnsi="Century Schoolbook"/>
        </w:rPr>
        <w:t>rder,” that “[o]</w:t>
      </w:r>
      <w:r w:rsidRPr="00D1153E" w:rsidR="00D1153E">
        <w:rPr>
          <w:rFonts w:ascii="Century Schoolbook" w:hAnsi="Century Schoolbook"/>
        </w:rPr>
        <w:t>n the 30th day after a plaintiff re-files in an alternative forum, the stay set forth in the preceding paragraph shall  convert to an order of dismissal with prejudice</w:t>
      </w:r>
      <w:r w:rsidR="00D1153E">
        <w:rPr>
          <w:rFonts w:ascii="Century Schoolbook" w:hAnsi="Century Schoolbook"/>
        </w:rPr>
        <w:t>,” and that “[w]</w:t>
      </w:r>
      <w:r w:rsidRPr="00D1153E" w:rsidR="00D1153E">
        <w:rPr>
          <w:rFonts w:ascii="Century Schoolbook" w:hAnsi="Century Schoolbook"/>
        </w:rPr>
        <w:t>ith respect to any plaintiff who has not re-filed in an alternative forum within 180 days after the date of entry of this Order, or has not sought and obtained a</w:t>
      </w:r>
      <w:r w:rsidR="00D1153E">
        <w:rPr>
          <w:rFonts w:ascii="Century Schoolbook" w:hAnsi="Century Schoolbook"/>
        </w:rPr>
        <w:t>n</w:t>
      </w:r>
      <w:r w:rsidRPr="00D1153E" w:rsidR="00D1153E">
        <w:rPr>
          <w:rFonts w:ascii="Century Schoolbook" w:hAnsi="Century Schoolbook"/>
        </w:rPr>
        <w:t xml:space="preserve"> extension for good</w:t>
      </w:r>
      <w:r w:rsidR="00D1153E">
        <w:rPr>
          <w:rFonts w:ascii="Century Schoolbook" w:hAnsi="Century Schoolbook"/>
        </w:rPr>
        <w:t xml:space="preserve"> </w:t>
      </w:r>
      <w:r w:rsidRPr="00D1153E" w:rsidR="00D1153E">
        <w:rPr>
          <w:rFonts w:ascii="Century Schoolbook" w:hAnsi="Century Schoolbook"/>
        </w:rPr>
        <w:t>cause as set forth in paragraph six above, the stay set forth in the preceding paragraphs shall convert to an order of dismissal with prejudice.</w:t>
      </w:r>
      <w:r w:rsidR="00D1153E">
        <w:rPr>
          <w:rFonts w:ascii="Century Schoolbook" w:hAnsi="Century Schoolbook"/>
        </w:rPr>
        <w:t xml:space="preserve">”  It was the parties’ </w:t>
      </w:r>
      <w:r w:rsidR="002A0167">
        <w:rPr>
          <w:rFonts w:ascii="Century Schoolbook" w:hAnsi="Century Schoolbook"/>
        </w:rPr>
        <w:t xml:space="preserve">agreed-upon </w:t>
      </w:r>
      <w:r w:rsidR="007517D6">
        <w:rPr>
          <w:rFonts w:ascii="Century Schoolbook" w:hAnsi="Century Schoolbook"/>
        </w:rPr>
        <w:t xml:space="preserve">order that provided for the </w:t>
      </w:r>
      <w:r w:rsidR="00E44F4F">
        <w:rPr>
          <w:rFonts w:ascii="Century Schoolbook" w:hAnsi="Century Schoolbook"/>
        </w:rPr>
        <w:t xml:space="preserve">possible </w:t>
      </w:r>
      <w:r w:rsidR="007517D6">
        <w:rPr>
          <w:rFonts w:ascii="Century Schoolbook" w:hAnsi="Century Schoolbook"/>
        </w:rPr>
        <w:t>dismissal of the actions</w:t>
      </w:r>
      <w:r w:rsidR="005E01C2">
        <w:rPr>
          <w:rFonts w:ascii="Century Schoolbook" w:hAnsi="Century Schoolbook"/>
        </w:rPr>
        <w:t>—</w:t>
      </w:r>
      <w:r w:rsidR="007517D6">
        <w:rPr>
          <w:rFonts w:ascii="Century Schoolbook" w:hAnsi="Century Schoolbook"/>
        </w:rPr>
        <w:t xml:space="preserve">not </w:t>
      </w:r>
      <w:r w:rsidR="00620A04">
        <w:rPr>
          <w:rFonts w:ascii="Century Schoolbook" w:hAnsi="Century Schoolbook"/>
        </w:rPr>
        <w:t>Judge Schulman</w:t>
      </w:r>
      <w:r w:rsidR="007517D6">
        <w:rPr>
          <w:rFonts w:ascii="Century Schoolbook" w:hAnsi="Century Schoolbook"/>
        </w:rPr>
        <w:t>’s ruling</w:t>
      </w:r>
      <w:r w:rsidR="00E44F4F">
        <w:rPr>
          <w:rFonts w:ascii="Century Schoolbook" w:hAnsi="Century Schoolbook"/>
        </w:rPr>
        <w:t>.</w:t>
      </w:r>
    </w:p>
    <w:p w:rsidR="005E01C2" w:rsidP="005E01C2" w14:paraId="2C976B34" w14:textId="309E6CC1">
      <w:pPr>
        <w:spacing w:line="360" w:lineRule="auto"/>
        <w:rPr>
          <w:rFonts w:ascii="Century Schoolbook" w:hAnsi="Century Schoolbook"/>
        </w:rPr>
      </w:pPr>
      <w:r>
        <w:rPr>
          <w:rFonts w:ascii="Century Schoolbook" w:hAnsi="Century Schoolbook"/>
        </w:rPr>
        <w:tab/>
        <w:t xml:space="preserve">In addition to being unsupported by the authorities plaintiffs rely on, imposing the “seriously inconvenient” burden on Uber would be inconsistent with </w:t>
      </w:r>
      <w:r w:rsidRPr="005705B8">
        <w:rPr>
          <w:rFonts w:ascii="Century Schoolbook" w:hAnsi="Century Schoolbook"/>
          <w:i/>
          <w:iCs/>
        </w:rPr>
        <w:t>Stangvik</w:t>
      </w:r>
      <w:r>
        <w:rPr>
          <w:rFonts w:ascii="Century Schoolbook" w:hAnsi="Century Schoolbook"/>
        </w:rPr>
        <w:t>’s description of one of the bases for the forum non conveniens doctrine:  avoiding “ ‘a</w:t>
      </w:r>
      <w:r w:rsidRPr="005705B8">
        <w:rPr>
          <w:rFonts w:ascii="Century Schoolbook" w:hAnsi="Century Schoolbook"/>
        </w:rPr>
        <w:t>n unchecked and unregulated importation of transitory causes of action for trial in this state</w:t>
      </w:r>
      <w:r>
        <w:rPr>
          <w:rFonts w:ascii="Century Schoolbook" w:hAnsi="Century Schoolbook"/>
        </w:rPr>
        <w:t>.”  (</w:t>
      </w:r>
      <w:r w:rsidRPr="005705B8">
        <w:rPr>
          <w:rFonts w:ascii="Century Schoolbook" w:hAnsi="Century Schoolbook"/>
          <w:i/>
          <w:iCs/>
        </w:rPr>
        <w:t>Stangvik</w:t>
      </w:r>
      <w:r>
        <w:rPr>
          <w:rFonts w:ascii="Century Schoolbook" w:hAnsi="Century Schoolbook"/>
        </w:rPr>
        <w:t xml:space="preserve">, </w:t>
      </w:r>
      <w:r w:rsidRPr="005705B8">
        <w:rPr>
          <w:rFonts w:ascii="Century Schoolbook" w:hAnsi="Century Schoolbook"/>
          <w:i/>
          <w:iCs/>
        </w:rPr>
        <w:t>supra</w:t>
      </w:r>
      <w:r>
        <w:rPr>
          <w:rFonts w:ascii="Century Schoolbook" w:hAnsi="Century Schoolbook"/>
        </w:rPr>
        <w:t xml:space="preserve">, 54 Cal.3d at p. 751; see </w:t>
      </w:r>
      <w:r w:rsidRPr="00DC3310">
        <w:rPr>
          <w:rFonts w:ascii="Century Schoolbook" w:hAnsi="Century Schoolbook"/>
          <w:i/>
          <w:iCs/>
        </w:rPr>
        <w:t>Van Keulen v. Cathay Pacific Airways, Ltd.</w:t>
      </w:r>
      <w:r>
        <w:rPr>
          <w:rFonts w:ascii="Century Schoolbook" w:hAnsi="Century Schoolbook"/>
        </w:rPr>
        <w:t xml:space="preserve"> (200</w:t>
      </w:r>
      <w:r w:rsidR="00DB0D9C">
        <w:rPr>
          <w:rFonts w:ascii="Century Schoolbook" w:hAnsi="Century Schoolbook"/>
        </w:rPr>
        <w:t>8</w:t>
      </w:r>
      <w:r>
        <w:rPr>
          <w:rFonts w:ascii="Century Schoolbook" w:hAnsi="Century Schoolbook"/>
        </w:rPr>
        <w:t>)</w:t>
      </w:r>
      <w:r w:rsidRPr="002E75BB">
        <w:rPr>
          <w:rFonts w:ascii="Century Schoolbook" w:hAnsi="Century Schoolbook"/>
        </w:rPr>
        <w:t xml:space="preserve"> 162 Cal.App.4th 122, 126</w:t>
      </w:r>
      <w:r>
        <w:rPr>
          <w:rFonts w:ascii="Century Schoolbook" w:hAnsi="Century Schoolbook"/>
        </w:rPr>
        <w:t>,</w:t>
      </w:r>
      <w:r w:rsidRPr="002E75BB">
        <w:rPr>
          <w:rFonts w:ascii="Century Schoolbook" w:hAnsi="Century Schoolbook"/>
        </w:rPr>
        <w:t xml:space="preserve"> </w:t>
      </w:r>
      <w:r>
        <w:rPr>
          <w:rFonts w:ascii="Century Schoolbook" w:hAnsi="Century Schoolbook"/>
        </w:rPr>
        <w:t>f</w:t>
      </w:r>
      <w:r w:rsidRPr="002E75BB">
        <w:rPr>
          <w:rFonts w:ascii="Century Schoolbook" w:hAnsi="Century Schoolbook"/>
        </w:rPr>
        <w:t xml:space="preserve">n.2 </w:t>
      </w:r>
      <w:r>
        <w:rPr>
          <w:rFonts w:ascii="Century Schoolbook" w:hAnsi="Century Schoolbook"/>
        </w:rPr>
        <w:t>[</w:t>
      </w:r>
      <w:r w:rsidRPr="002E75BB">
        <w:rPr>
          <w:rFonts w:ascii="Century Schoolbook" w:hAnsi="Century Schoolbook"/>
        </w:rPr>
        <w:t xml:space="preserve">noting </w:t>
      </w:r>
      <w:r>
        <w:rPr>
          <w:rFonts w:ascii="Century Schoolbook" w:hAnsi="Century Schoolbook"/>
        </w:rPr>
        <w:t>that where “</w:t>
      </w:r>
      <w:r w:rsidRPr="00DC3310">
        <w:rPr>
          <w:rFonts w:ascii="Century Schoolbook" w:hAnsi="Century Schoolbook"/>
        </w:rPr>
        <w:t xml:space="preserve">plaintiffs were not California residents at the time that their claim arose, but subsequently became California residents prior to the time suit was filed, </w:t>
      </w:r>
      <w:r>
        <w:rPr>
          <w:rFonts w:ascii="Century Schoolbook" w:hAnsi="Century Schoolbook"/>
        </w:rPr>
        <w:t>‘</w:t>
      </w:r>
      <w:r w:rsidRPr="00DC3310">
        <w:rPr>
          <w:rFonts w:ascii="Century Schoolbook" w:hAnsi="Century Schoolbook"/>
        </w:rPr>
        <w:t>serious issues as to forum shopping</w:t>
      </w:r>
      <w:r>
        <w:rPr>
          <w:rFonts w:ascii="Century Schoolbook" w:hAnsi="Century Schoolbook"/>
        </w:rPr>
        <w:t>’</w:t>
      </w:r>
      <w:r w:rsidRPr="00DC3310">
        <w:rPr>
          <w:rFonts w:ascii="Century Schoolbook" w:hAnsi="Century Schoolbook"/>
        </w:rPr>
        <w:t xml:space="preserve"> had been raised</w:t>
      </w:r>
      <w:r>
        <w:rPr>
          <w:rFonts w:ascii="Century Schoolbook" w:hAnsi="Century Schoolbook"/>
        </w:rPr>
        <w:t xml:space="preserve">”]; </w:t>
      </w:r>
      <w:r w:rsidRPr="00DC3310">
        <w:rPr>
          <w:rFonts w:ascii="Century Schoolbook" w:hAnsi="Century Schoolbook"/>
          <w:i/>
          <w:iCs/>
        </w:rPr>
        <w:t>Henderson v. Superior Court</w:t>
      </w:r>
      <w:r w:rsidR="003716C2">
        <w:rPr>
          <w:rFonts w:ascii="Century Schoolbook" w:hAnsi="Century Schoolbook"/>
        </w:rPr>
        <w:t>,</w:t>
      </w:r>
      <w:r>
        <w:rPr>
          <w:rFonts w:ascii="Century Schoolbook" w:hAnsi="Century Schoolbook"/>
        </w:rPr>
        <w:t xml:space="preserve"> </w:t>
      </w:r>
      <w:r w:rsidRPr="003716C2" w:rsidR="003716C2">
        <w:rPr>
          <w:rFonts w:ascii="Century Schoolbook" w:hAnsi="Century Schoolbook"/>
          <w:i/>
          <w:iCs/>
        </w:rPr>
        <w:t>supra</w:t>
      </w:r>
      <w:r w:rsidR="003716C2">
        <w:rPr>
          <w:rFonts w:ascii="Century Schoolbook" w:hAnsi="Century Schoolbook"/>
        </w:rPr>
        <w:t xml:space="preserve">, </w:t>
      </w:r>
      <w:r w:rsidRPr="003716C2">
        <w:rPr>
          <w:rFonts w:ascii="Century Schoolbook" w:hAnsi="Century Schoolbook"/>
        </w:rPr>
        <w:t>77</w:t>
      </w:r>
      <w:r w:rsidRPr="002E75BB">
        <w:rPr>
          <w:rFonts w:ascii="Century Schoolbook" w:hAnsi="Century Schoolbook"/>
        </w:rPr>
        <w:t xml:space="preserve"> Cal.App.3d 583, 598 </w:t>
      </w:r>
      <w:r>
        <w:rPr>
          <w:rFonts w:ascii="Century Schoolbook" w:hAnsi="Century Schoolbook"/>
        </w:rPr>
        <w:t>[reversing and ordering that action be dismissed on forum non conveniens grounds where “</w:t>
      </w:r>
      <w:r w:rsidRPr="00DC3310">
        <w:rPr>
          <w:rFonts w:ascii="Century Schoolbook" w:hAnsi="Century Schoolbook"/>
        </w:rPr>
        <w:t xml:space="preserve">plaintiff </w:t>
      </w:r>
      <w:r>
        <w:rPr>
          <w:rFonts w:ascii="Century Schoolbook" w:hAnsi="Century Schoolbook"/>
        </w:rPr>
        <w:t>. . .</w:t>
      </w:r>
      <w:r w:rsidRPr="00DC3310">
        <w:rPr>
          <w:rFonts w:ascii="Century Schoolbook" w:hAnsi="Century Schoolbook"/>
        </w:rPr>
        <w:t xml:space="preserve"> had no connection with California at the time her cause of action matured</w:t>
      </w:r>
      <w:r>
        <w:rPr>
          <w:rFonts w:ascii="Century Schoolbook" w:hAnsi="Century Schoolbook"/>
        </w:rPr>
        <w:t xml:space="preserve">” but subsequently moved to California].) </w:t>
      </w:r>
    </w:p>
    <w:p w:rsidR="00F73F58" w:rsidP="00E44F4F" w14:paraId="2C5E42E0" w14:textId="0EA88772">
      <w:pPr>
        <w:spacing w:after="120" w:line="240" w:lineRule="auto"/>
        <w:rPr>
          <w:rFonts w:ascii="Century Schoolbook" w:hAnsi="Century Schoolbook"/>
          <w:b/>
          <w:bCs/>
        </w:rPr>
      </w:pPr>
      <w:r>
        <w:rPr>
          <w:rFonts w:ascii="Century Schoolbook" w:hAnsi="Century Schoolbook"/>
          <w:b/>
          <w:bCs/>
        </w:rPr>
        <w:tab/>
      </w:r>
      <w:r w:rsidR="00620A04">
        <w:rPr>
          <w:rFonts w:ascii="Century Schoolbook" w:hAnsi="Century Schoolbook"/>
          <w:b/>
          <w:bCs/>
        </w:rPr>
        <w:t>Judge Schulman</w:t>
      </w:r>
      <w:r w:rsidR="00274B99">
        <w:rPr>
          <w:rFonts w:ascii="Century Schoolbook" w:hAnsi="Century Schoolbook"/>
          <w:b/>
          <w:bCs/>
        </w:rPr>
        <w:t xml:space="preserve"> Did Not Err In Failing to </w:t>
      </w:r>
      <w:r w:rsidR="002A0167">
        <w:rPr>
          <w:rFonts w:ascii="Century Schoolbook" w:hAnsi="Century Schoolbook"/>
          <w:b/>
          <w:bCs/>
        </w:rPr>
        <w:t>Presume that California Is a Convenient Forum</w:t>
      </w:r>
      <w:r w:rsidR="00274B99">
        <w:rPr>
          <w:rFonts w:ascii="Century Schoolbook" w:hAnsi="Century Schoolbook"/>
          <w:b/>
          <w:bCs/>
        </w:rPr>
        <w:t xml:space="preserve"> </w:t>
      </w:r>
    </w:p>
    <w:p w:rsidR="0032052C" w:rsidP="00E44F4F" w14:paraId="5B0D708B" w14:textId="0EC7D2DA">
      <w:pPr>
        <w:spacing w:line="360" w:lineRule="auto"/>
        <w:rPr>
          <w:rFonts w:ascii="Century Schoolbook" w:hAnsi="Century Schoolbook"/>
        </w:rPr>
      </w:pPr>
      <w:r>
        <w:rPr>
          <w:rFonts w:ascii="Century Schoolbook" w:hAnsi="Century Schoolbook"/>
        </w:rPr>
        <w:tab/>
      </w:r>
      <w:r w:rsidR="00B97E69">
        <w:rPr>
          <w:rFonts w:ascii="Century Schoolbook" w:hAnsi="Century Schoolbook"/>
        </w:rPr>
        <w:t xml:space="preserve">The other sub-part of plaintiffs’ argument is that </w:t>
      </w:r>
      <w:r w:rsidR="00620A04">
        <w:rPr>
          <w:rFonts w:ascii="Century Schoolbook" w:hAnsi="Century Schoolbook"/>
        </w:rPr>
        <w:t>Judge Schulman</w:t>
      </w:r>
      <w:r w:rsidR="00773599">
        <w:rPr>
          <w:rFonts w:ascii="Century Schoolbook" w:hAnsi="Century Schoolbook"/>
        </w:rPr>
        <w:t xml:space="preserve"> applied the wrong standard</w:t>
      </w:r>
      <w:r w:rsidR="0071019F">
        <w:rPr>
          <w:rFonts w:ascii="Century Schoolbook" w:hAnsi="Century Schoolbook"/>
        </w:rPr>
        <w:t>—at least with respect to Jane Doe WHBE 3—</w:t>
      </w:r>
      <w:r w:rsidR="00773599">
        <w:rPr>
          <w:rFonts w:ascii="Century Schoolbook" w:hAnsi="Century Schoolbook"/>
        </w:rPr>
        <w:t>in failing to acknowledge that a “California plaintiff’s choice of forum is entitled to a presumption of convenience</w:t>
      </w:r>
      <w:r w:rsidR="00E15C1E">
        <w:rPr>
          <w:rFonts w:ascii="Century Schoolbook" w:hAnsi="Century Schoolbook"/>
        </w:rPr>
        <w:t>,</w:t>
      </w:r>
      <w:r w:rsidR="00773599">
        <w:rPr>
          <w:rFonts w:ascii="Century Schoolbook" w:hAnsi="Century Schoolbook"/>
        </w:rPr>
        <w:t xml:space="preserve">” </w:t>
      </w:r>
      <w:r w:rsidR="00580E86">
        <w:rPr>
          <w:rFonts w:ascii="Century Schoolbook" w:hAnsi="Century Schoolbook"/>
        </w:rPr>
        <w:t xml:space="preserve">apparently </w:t>
      </w:r>
      <w:r w:rsidR="00E15C1E">
        <w:rPr>
          <w:rFonts w:ascii="Century Schoolbook" w:hAnsi="Century Schoolbook"/>
        </w:rPr>
        <w:t xml:space="preserve">relying on </w:t>
      </w:r>
      <w:r w:rsidRPr="00580E86" w:rsidR="00E15C1E">
        <w:rPr>
          <w:rFonts w:ascii="Century Schoolbook" w:hAnsi="Century Schoolbook"/>
          <w:i/>
          <w:iCs/>
        </w:rPr>
        <w:t>Stangvik</w:t>
      </w:r>
      <w:r w:rsidR="00E15C1E">
        <w:rPr>
          <w:rFonts w:ascii="Century Schoolbook" w:hAnsi="Century Schoolbook"/>
        </w:rPr>
        <w:t>’s statement that “[m]</w:t>
      </w:r>
      <w:r w:rsidRPr="00E15C1E" w:rsidR="00E15C1E">
        <w:rPr>
          <w:rFonts w:ascii="Century Schoolbook" w:hAnsi="Century Schoolbook"/>
        </w:rPr>
        <w:t>any cases hold that the plaintiff</w:t>
      </w:r>
      <w:r w:rsidR="00E15C1E">
        <w:rPr>
          <w:rFonts w:ascii="Century Schoolbook" w:hAnsi="Century Schoolbook"/>
        </w:rPr>
        <w:t>’</w:t>
      </w:r>
      <w:r w:rsidRPr="00E15C1E" w:rsidR="00E15C1E">
        <w:rPr>
          <w:rFonts w:ascii="Century Schoolbook" w:hAnsi="Century Schoolbook"/>
        </w:rPr>
        <w:t>s choice of a forum should rarely be disturbed unless the balance is strongly in favor of the defendant</w:t>
      </w:r>
      <w:r w:rsidR="00B47E28">
        <w:rPr>
          <w:rFonts w:ascii="Century Schoolbook" w:hAnsi="Century Schoolbook"/>
        </w:rPr>
        <w:t>,</w:t>
      </w:r>
      <w:r w:rsidR="006346B8">
        <w:rPr>
          <w:rFonts w:ascii="Century Schoolbook" w:hAnsi="Century Schoolbook"/>
        </w:rPr>
        <w:t xml:space="preserve">” </w:t>
      </w:r>
      <w:r w:rsidR="00B47E28">
        <w:rPr>
          <w:rFonts w:ascii="Century Schoolbook" w:hAnsi="Century Schoolbook"/>
        </w:rPr>
        <w:t>ignoring</w:t>
      </w:r>
      <w:r w:rsidR="00E44F4F">
        <w:rPr>
          <w:rFonts w:ascii="Century Schoolbook" w:hAnsi="Century Schoolbook"/>
        </w:rPr>
        <w:t xml:space="preserve">, </w:t>
      </w:r>
      <w:r w:rsidR="00B97E69">
        <w:rPr>
          <w:rFonts w:ascii="Century Schoolbook" w:hAnsi="Century Schoolbook"/>
        </w:rPr>
        <w:t xml:space="preserve">as </w:t>
      </w:r>
      <w:r w:rsidRPr="00B97E69" w:rsidR="006346B8">
        <w:rPr>
          <w:rFonts w:ascii="Century Schoolbook" w:hAnsi="Century Schoolbook"/>
          <w:i/>
          <w:iCs/>
        </w:rPr>
        <w:t>Stangvik</w:t>
      </w:r>
      <w:r w:rsidR="006346B8">
        <w:rPr>
          <w:rFonts w:ascii="Century Schoolbook" w:hAnsi="Century Schoolbook"/>
        </w:rPr>
        <w:t xml:space="preserve"> </w:t>
      </w:r>
      <w:r w:rsidR="00B47E28">
        <w:rPr>
          <w:rFonts w:ascii="Century Schoolbook" w:hAnsi="Century Schoolbook"/>
        </w:rPr>
        <w:t xml:space="preserve">went on to </w:t>
      </w:r>
      <w:r w:rsidR="006346B8">
        <w:rPr>
          <w:rFonts w:ascii="Century Schoolbook" w:hAnsi="Century Schoolbook"/>
        </w:rPr>
        <w:t>note</w:t>
      </w:r>
      <w:r w:rsidR="005E01C2">
        <w:rPr>
          <w:rFonts w:ascii="Century Schoolbook" w:hAnsi="Century Schoolbook"/>
        </w:rPr>
        <w:t>,</w:t>
      </w:r>
      <w:r w:rsidR="006346B8">
        <w:rPr>
          <w:rFonts w:ascii="Century Schoolbook" w:hAnsi="Century Schoolbook"/>
        </w:rPr>
        <w:t xml:space="preserve"> “</w:t>
      </w:r>
      <w:r w:rsidRPr="00E15C1E" w:rsidR="00E15C1E">
        <w:rPr>
          <w:rFonts w:ascii="Century Schoolbook" w:hAnsi="Century Schoolbook"/>
        </w:rPr>
        <w:t>the reasons advanced for this frequently reiterated rule apply only to residents of the forum state</w:t>
      </w:r>
      <w:r w:rsidR="00B47E28">
        <w:rPr>
          <w:rFonts w:ascii="Century Schoolbook" w:hAnsi="Century Schoolbook"/>
        </w:rPr>
        <w:t xml:space="preserve">.”  </w:t>
      </w:r>
      <w:r w:rsidR="00580E86">
        <w:rPr>
          <w:rFonts w:ascii="Century Schoolbook" w:hAnsi="Century Schoolbook"/>
        </w:rPr>
        <w:t>(</w:t>
      </w:r>
      <w:r w:rsidRPr="0071019F" w:rsidR="00580E86">
        <w:rPr>
          <w:rFonts w:ascii="Century Schoolbook" w:hAnsi="Century Schoolbook"/>
          <w:i/>
          <w:iCs/>
        </w:rPr>
        <w:t>Stangvik</w:t>
      </w:r>
      <w:r w:rsidR="00580E86">
        <w:rPr>
          <w:rFonts w:ascii="Century Schoolbook" w:hAnsi="Century Schoolbook"/>
        </w:rPr>
        <w:t xml:space="preserve">, </w:t>
      </w:r>
      <w:r w:rsidRPr="0071019F" w:rsidR="00580E86">
        <w:rPr>
          <w:rFonts w:ascii="Century Schoolbook" w:hAnsi="Century Schoolbook"/>
          <w:i/>
          <w:iCs/>
        </w:rPr>
        <w:t>su</w:t>
      </w:r>
      <w:r w:rsidRPr="0071019F" w:rsidR="0071019F">
        <w:rPr>
          <w:rFonts w:ascii="Century Schoolbook" w:hAnsi="Century Schoolbook"/>
          <w:i/>
          <w:iCs/>
        </w:rPr>
        <w:t>pr</w:t>
      </w:r>
      <w:r w:rsidRPr="0071019F" w:rsidR="00580E86">
        <w:rPr>
          <w:rFonts w:ascii="Century Schoolbook" w:hAnsi="Century Schoolbook"/>
          <w:i/>
          <w:iCs/>
        </w:rPr>
        <w:t>a</w:t>
      </w:r>
      <w:r w:rsidR="00580E86">
        <w:rPr>
          <w:rFonts w:ascii="Century Schoolbook" w:hAnsi="Century Schoolbook"/>
        </w:rPr>
        <w:t xml:space="preserve">, </w:t>
      </w:r>
      <w:r w:rsidR="0071019F">
        <w:rPr>
          <w:rFonts w:ascii="Century Schoolbook" w:hAnsi="Century Schoolbook"/>
        </w:rPr>
        <w:t xml:space="preserve">54 Cal.3d at p. 754.) </w:t>
      </w:r>
      <w:r w:rsidR="00773599">
        <w:rPr>
          <w:rFonts w:ascii="Century Schoolbook" w:hAnsi="Century Schoolbook"/>
        </w:rPr>
        <w:t xml:space="preserve"> </w:t>
      </w:r>
      <w:r w:rsidR="00E44F4F">
        <w:rPr>
          <w:rFonts w:ascii="Century Schoolbook" w:hAnsi="Century Schoolbook"/>
        </w:rPr>
        <w:t>P</w:t>
      </w:r>
      <w:r w:rsidR="00874D2F">
        <w:rPr>
          <w:rFonts w:ascii="Century Schoolbook" w:hAnsi="Century Schoolbook"/>
        </w:rPr>
        <w:t xml:space="preserve">laintiffs argue that </w:t>
      </w:r>
      <w:r w:rsidR="00620A04">
        <w:rPr>
          <w:rFonts w:ascii="Century Schoolbook" w:hAnsi="Century Schoolbook"/>
        </w:rPr>
        <w:t>Judge Schulman</w:t>
      </w:r>
      <w:r w:rsidR="00874D2F">
        <w:rPr>
          <w:rFonts w:ascii="Century Schoolbook" w:hAnsi="Century Schoolbook"/>
        </w:rPr>
        <w:t xml:space="preserve"> was required to attach a presumption of convenience to California because it was </w:t>
      </w:r>
      <w:r w:rsidR="00591384">
        <w:rPr>
          <w:rFonts w:ascii="Century Schoolbook" w:hAnsi="Century Schoolbook"/>
        </w:rPr>
        <w:t xml:space="preserve">Uber’s </w:t>
      </w:r>
      <w:r w:rsidR="00874D2F">
        <w:rPr>
          <w:rFonts w:ascii="Century Schoolbook" w:hAnsi="Century Schoolbook"/>
        </w:rPr>
        <w:t>residence</w:t>
      </w:r>
      <w:r w:rsidR="00E44F4F">
        <w:rPr>
          <w:rFonts w:ascii="Century Schoolbook" w:hAnsi="Century Schoolbook"/>
        </w:rPr>
        <w:t xml:space="preserve"> and</w:t>
      </w:r>
      <w:r w:rsidR="0012343D">
        <w:rPr>
          <w:rFonts w:ascii="Century Schoolbook" w:hAnsi="Century Schoolbook"/>
        </w:rPr>
        <w:t xml:space="preserve"> that</w:t>
      </w:r>
      <w:r w:rsidR="00E44F4F">
        <w:rPr>
          <w:rFonts w:ascii="Century Schoolbook" w:hAnsi="Century Schoolbook"/>
        </w:rPr>
        <w:t>,</w:t>
      </w:r>
      <w:r w:rsidR="0012343D">
        <w:rPr>
          <w:rFonts w:ascii="Century Schoolbook" w:hAnsi="Century Schoolbook"/>
        </w:rPr>
        <w:t xml:space="preserve"> by </w:t>
      </w:r>
      <w:r w:rsidR="00AA5DE8">
        <w:rPr>
          <w:rFonts w:ascii="Century Schoolbook" w:hAnsi="Century Schoolbook"/>
        </w:rPr>
        <w:t>acknowledging this</w:t>
      </w:r>
      <w:r w:rsidR="00C053D1">
        <w:rPr>
          <w:rFonts w:ascii="Century Schoolbook" w:hAnsi="Century Schoolbook"/>
        </w:rPr>
        <w:t xml:space="preserve"> presumption</w:t>
      </w:r>
      <w:r w:rsidR="0012343D">
        <w:rPr>
          <w:rFonts w:ascii="Century Schoolbook" w:hAnsi="Century Schoolbook"/>
        </w:rPr>
        <w:t xml:space="preserve"> </w:t>
      </w:r>
      <w:r w:rsidR="00AA5DE8">
        <w:rPr>
          <w:rFonts w:ascii="Century Schoolbook" w:hAnsi="Century Schoolbook"/>
        </w:rPr>
        <w:t xml:space="preserve">but finding that it </w:t>
      </w:r>
      <w:r w:rsidR="0012343D">
        <w:rPr>
          <w:rFonts w:ascii="Century Schoolbook" w:hAnsi="Century Schoolbook"/>
        </w:rPr>
        <w:t xml:space="preserve">was not “especially strong,” </w:t>
      </w:r>
      <w:r w:rsidR="00620A04">
        <w:rPr>
          <w:rFonts w:ascii="Century Schoolbook" w:hAnsi="Century Schoolbook"/>
        </w:rPr>
        <w:t>Judge Schulman</w:t>
      </w:r>
      <w:r w:rsidR="0012343D">
        <w:rPr>
          <w:rFonts w:ascii="Century Schoolbook" w:hAnsi="Century Schoolbook"/>
        </w:rPr>
        <w:t xml:space="preserve"> failed to apply the correct standard</w:t>
      </w:r>
      <w:r w:rsidR="002A0167">
        <w:rPr>
          <w:rFonts w:ascii="Century Schoolbook" w:hAnsi="Century Schoolbook"/>
        </w:rPr>
        <w:t xml:space="preserve"> and thereby abused </w:t>
      </w:r>
      <w:r w:rsidR="00575E8D">
        <w:rPr>
          <w:rFonts w:ascii="Century Schoolbook" w:hAnsi="Century Schoolbook"/>
        </w:rPr>
        <w:t xml:space="preserve">his </w:t>
      </w:r>
      <w:r w:rsidR="002A0167">
        <w:rPr>
          <w:rFonts w:ascii="Century Schoolbook" w:hAnsi="Century Schoolbook"/>
        </w:rPr>
        <w:t>discretion</w:t>
      </w:r>
      <w:r w:rsidR="0012343D">
        <w:rPr>
          <w:rFonts w:ascii="Century Schoolbook" w:hAnsi="Century Schoolbook"/>
        </w:rPr>
        <w:t xml:space="preserve">.  </w:t>
      </w:r>
    </w:p>
    <w:p w:rsidR="000F7D30" w:rsidP="00136EB1" w14:paraId="66B45E38" w14:textId="02F4AD42">
      <w:pPr>
        <w:spacing w:line="360" w:lineRule="auto"/>
        <w:rPr>
          <w:rFonts w:ascii="Century Schoolbook" w:hAnsi="Century Schoolbook"/>
        </w:rPr>
      </w:pPr>
      <w:r>
        <w:rPr>
          <w:rFonts w:ascii="Century Schoolbook" w:hAnsi="Century Schoolbook"/>
        </w:rPr>
        <w:tab/>
      </w:r>
      <w:r w:rsidR="00620A04">
        <w:rPr>
          <w:rFonts w:ascii="Century Schoolbook" w:hAnsi="Century Schoolbook"/>
        </w:rPr>
        <w:t>Judge Schulman</w:t>
      </w:r>
      <w:r w:rsidR="00095ED0">
        <w:rPr>
          <w:rFonts w:ascii="Century Schoolbook" w:hAnsi="Century Schoolbook"/>
        </w:rPr>
        <w:t xml:space="preserve"> expressly found that </w:t>
      </w:r>
      <w:r w:rsidR="004272F4">
        <w:rPr>
          <w:rFonts w:ascii="Century Schoolbook" w:hAnsi="Century Schoolbook"/>
        </w:rPr>
        <w:t xml:space="preserve"> </w:t>
      </w:r>
      <w:r w:rsidR="002E02F3">
        <w:rPr>
          <w:rFonts w:ascii="Century Schoolbook" w:hAnsi="Century Schoolbook"/>
        </w:rPr>
        <w:t xml:space="preserve">Jane Doe WHBE 3’s choice of </w:t>
      </w:r>
      <w:r w:rsidR="00095ED0">
        <w:rPr>
          <w:rFonts w:ascii="Century Schoolbook" w:hAnsi="Century Schoolbook"/>
        </w:rPr>
        <w:t xml:space="preserve">a California </w:t>
      </w:r>
      <w:r w:rsidR="002E02F3">
        <w:rPr>
          <w:rFonts w:ascii="Century Schoolbook" w:hAnsi="Century Schoolbook"/>
        </w:rPr>
        <w:t>forum was</w:t>
      </w:r>
      <w:r w:rsidR="008E4F8E">
        <w:rPr>
          <w:rFonts w:ascii="Century Schoolbook" w:hAnsi="Century Schoolbook"/>
        </w:rPr>
        <w:t xml:space="preserve"> “entitled to some deference in the analysis</w:t>
      </w:r>
      <w:r w:rsidR="002E02F3">
        <w:rPr>
          <w:rFonts w:ascii="Century Schoolbook" w:hAnsi="Century Schoolbook"/>
        </w:rPr>
        <w:t>,</w:t>
      </w:r>
      <w:r w:rsidR="008E4F8E">
        <w:rPr>
          <w:rFonts w:ascii="Century Schoolbook" w:hAnsi="Century Schoolbook"/>
        </w:rPr>
        <w:t>”</w:t>
      </w:r>
      <w:r w:rsidR="002E02F3">
        <w:rPr>
          <w:rFonts w:ascii="Century Schoolbook" w:hAnsi="Century Schoolbook"/>
        </w:rPr>
        <w:t xml:space="preserve"> and </w:t>
      </w:r>
      <w:r w:rsidR="00AE4CBB">
        <w:rPr>
          <w:rFonts w:ascii="Century Schoolbook" w:hAnsi="Century Schoolbook"/>
        </w:rPr>
        <w:t xml:space="preserve">cited the language from </w:t>
      </w:r>
      <w:r w:rsidRPr="00DC2D59" w:rsidR="00AE4CBB">
        <w:rPr>
          <w:rFonts w:ascii="Century Schoolbook" w:hAnsi="Century Schoolbook"/>
          <w:i/>
          <w:iCs/>
        </w:rPr>
        <w:t>Stangvik</w:t>
      </w:r>
      <w:r w:rsidR="00AE4CBB">
        <w:rPr>
          <w:rFonts w:ascii="Century Schoolbook" w:hAnsi="Century Schoolbook"/>
        </w:rPr>
        <w:t xml:space="preserve"> </w:t>
      </w:r>
      <w:r w:rsidR="002E02F3">
        <w:rPr>
          <w:rFonts w:ascii="Century Schoolbook" w:hAnsi="Century Schoolbook"/>
        </w:rPr>
        <w:t>on which plaintiffs rely</w:t>
      </w:r>
      <w:r>
        <w:rPr>
          <w:rFonts w:ascii="Century Schoolbook" w:hAnsi="Century Schoolbook"/>
        </w:rPr>
        <w:t>,</w:t>
      </w:r>
      <w:r w:rsidR="002E02F3">
        <w:rPr>
          <w:rFonts w:ascii="Century Schoolbook" w:hAnsi="Century Schoolbook"/>
        </w:rPr>
        <w:t xml:space="preserve"> </w:t>
      </w:r>
      <w:r w:rsidR="00AE4CBB">
        <w:rPr>
          <w:rFonts w:ascii="Century Schoolbook" w:hAnsi="Century Schoolbook"/>
        </w:rPr>
        <w:t xml:space="preserve">stating that </w:t>
      </w:r>
      <w:r w:rsidR="00095ED0">
        <w:rPr>
          <w:rFonts w:ascii="Century Schoolbook" w:hAnsi="Century Schoolbook"/>
        </w:rPr>
        <w:t xml:space="preserve">because California was </w:t>
      </w:r>
      <w:r w:rsidR="00AE4CBB">
        <w:rPr>
          <w:rFonts w:ascii="Century Schoolbook" w:hAnsi="Century Schoolbook"/>
        </w:rPr>
        <w:t xml:space="preserve">defendants’ state of incorporation and principal place </w:t>
      </w:r>
      <w:r w:rsidR="00095ED0">
        <w:rPr>
          <w:rFonts w:ascii="Century Schoolbook" w:hAnsi="Century Schoolbook"/>
        </w:rPr>
        <w:t xml:space="preserve">of business, it </w:t>
      </w:r>
      <w:r w:rsidR="00AE4CBB">
        <w:rPr>
          <w:rFonts w:ascii="Century Schoolbook" w:hAnsi="Century Schoolbook"/>
        </w:rPr>
        <w:t xml:space="preserve">was </w:t>
      </w:r>
      <w:r w:rsidR="00095ED0">
        <w:rPr>
          <w:rFonts w:ascii="Century Schoolbook" w:hAnsi="Century Schoolbook"/>
        </w:rPr>
        <w:t>a “presumptively convenient forum.”  (</w:t>
      </w:r>
      <w:r w:rsidRPr="00DC2D59" w:rsidR="00095ED0">
        <w:rPr>
          <w:rFonts w:ascii="Century Schoolbook" w:hAnsi="Century Schoolbook"/>
          <w:i/>
          <w:iCs/>
        </w:rPr>
        <w:t>Stangvik</w:t>
      </w:r>
      <w:r w:rsidR="00095ED0">
        <w:rPr>
          <w:rFonts w:ascii="Century Schoolbook" w:hAnsi="Century Schoolbook"/>
        </w:rPr>
        <w:t xml:space="preserve">, </w:t>
      </w:r>
      <w:r w:rsidRPr="00DC2D59" w:rsidR="00095ED0">
        <w:rPr>
          <w:rFonts w:ascii="Century Schoolbook" w:hAnsi="Century Schoolbook"/>
          <w:i/>
          <w:iCs/>
        </w:rPr>
        <w:t>supra</w:t>
      </w:r>
      <w:r w:rsidR="00095ED0">
        <w:rPr>
          <w:rFonts w:ascii="Century Schoolbook" w:hAnsi="Century Schoolbook"/>
        </w:rPr>
        <w:t>, 54</w:t>
      </w:r>
      <w:r w:rsidR="00477645">
        <w:rPr>
          <w:rFonts w:ascii="Century Schoolbook" w:hAnsi="Century Schoolbook"/>
        </w:rPr>
        <w:t> </w:t>
      </w:r>
      <w:r w:rsidR="00095ED0">
        <w:rPr>
          <w:rFonts w:ascii="Century Schoolbook" w:hAnsi="Century Schoolbook"/>
        </w:rPr>
        <w:t>Cal.3d at p. 755.)</w:t>
      </w:r>
      <w:r w:rsidR="00AE4CBB">
        <w:rPr>
          <w:rFonts w:ascii="Century Schoolbook" w:hAnsi="Century Schoolbook"/>
        </w:rPr>
        <w:t xml:space="preserve"> </w:t>
      </w:r>
      <w:r w:rsidR="00095ED0">
        <w:rPr>
          <w:rFonts w:ascii="Century Schoolbook" w:hAnsi="Century Schoolbook"/>
        </w:rPr>
        <w:t xml:space="preserve"> But </w:t>
      </w:r>
      <w:r>
        <w:rPr>
          <w:rFonts w:ascii="Century Schoolbook" w:hAnsi="Century Schoolbook"/>
        </w:rPr>
        <w:t>he</w:t>
      </w:r>
      <w:r w:rsidR="00095ED0">
        <w:rPr>
          <w:rFonts w:ascii="Century Schoolbook" w:hAnsi="Century Schoolbook"/>
        </w:rPr>
        <w:t xml:space="preserve"> also quoted</w:t>
      </w:r>
      <w:r w:rsidR="00AE4CBB">
        <w:rPr>
          <w:rFonts w:ascii="Century Schoolbook" w:hAnsi="Century Schoolbook"/>
        </w:rPr>
        <w:t xml:space="preserve"> </w:t>
      </w:r>
      <w:r w:rsidRPr="00DC2D59" w:rsidR="00AE4CBB">
        <w:rPr>
          <w:rFonts w:ascii="Century Schoolbook" w:hAnsi="Century Schoolbook"/>
          <w:i/>
          <w:iCs/>
        </w:rPr>
        <w:t>Stangvik</w:t>
      </w:r>
      <w:r w:rsidR="00AE4CBB">
        <w:rPr>
          <w:rFonts w:ascii="Century Schoolbook" w:hAnsi="Century Schoolbook"/>
        </w:rPr>
        <w:t xml:space="preserve">’s further </w:t>
      </w:r>
      <w:r>
        <w:rPr>
          <w:rFonts w:ascii="Century Schoolbook" w:hAnsi="Century Schoolbook"/>
        </w:rPr>
        <w:t>holding</w:t>
      </w:r>
      <w:r w:rsidR="00B47E28">
        <w:rPr>
          <w:rFonts w:ascii="Century Schoolbook" w:hAnsi="Century Schoolbook"/>
        </w:rPr>
        <w:t>,</w:t>
      </w:r>
      <w:r w:rsidR="00AE4CBB">
        <w:rPr>
          <w:rFonts w:ascii="Century Schoolbook" w:hAnsi="Century Schoolbook"/>
        </w:rPr>
        <w:t xml:space="preserve"> that “this presumption is not conclusive” (</w:t>
      </w:r>
      <w:r w:rsidRPr="00DC2D59" w:rsidR="00AE4CBB">
        <w:rPr>
          <w:rFonts w:ascii="Century Schoolbook" w:hAnsi="Century Schoolbook"/>
          <w:i/>
          <w:iCs/>
        </w:rPr>
        <w:t>Stangvik</w:t>
      </w:r>
      <w:r w:rsidR="00AE4CBB">
        <w:rPr>
          <w:rFonts w:ascii="Century Schoolbook" w:hAnsi="Century Schoolbook"/>
        </w:rPr>
        <w:t xml:space="preserve">, </w:t>
      </w:r>
      <w:r w:rsidRPr="00DC2D59" w:rsidR="00AE4CBB">
        <w:rPr>
          <w:rFonts w:ascii="Century Schoolbook" w:hAnsi="Century Schoolbook"/>
          <w:i/>
          <w:iCs/>
        </w:rPr>
        <w:t>supra</w:t>
      </w:r>
      <w:r w:rsidR="00AE4CBB">
        <w:rPr>
          <w:rFonts w:ascii="Century Schoolbook" w:hAnsi="Century Schoolbook"/>
        </w:rPr>
        <w:t>, 54 Cal.3d at p. 756)</w:t>
      </w:r>
      <w:r w:rsidR="00B47E28">
        <w:rPr>
          <w:rFonts w:ascii="Century Schoolbook" w:hAnsi="Century Schoolbook"/>
        </w:rPr>
        <w:t>,</w:t>
      </w:r>
      <w:r w:rsidR="00AE4CBB">
        <w:rPr>
          <w:rFonts w:ascii="Century Schoolbook" w:hAnsi="Century Schoolbook"/>
        </w:rPr>
        <w:t xml:space="preserve"> and that “[a]</w:t>
      </w:r>
      <w:r w:rsidRPr="00AE4CBB" w:rsidR="00AE4CBB">
        <w:rPr>
          <w:rFonts w:ascii="Century Schoolbook" w:hAnsi="Century Schoolbook"/>
        </w:rPr>
        <w:t xml:space="preserve"> resident defendant may overcome the presumption of</w:t>
      </w:r>
      <w:r w:rsidR="00AE4CBB">
        <w:rPr>
          <w:rFonts w:ascii="Century Schoolbook" w:hAnsi="Century Schoolbook"/>
        </w:rPr>
        <w:t xml:space="preserve"> </w:t>
      </w:r>
      <w:r w:rsidRPr="00AE4CBB" w:rsidR="00AE4CBB">
        <w:rPr>
          <w:rFonts w:ascii="Century Schoolbook" w:hAnsi="Century Schoolbook"/>
        </w:rPr>
        <w:t>convenience by evidence that the alternate jurisdiction is a more convenient place for trial of the action.</w:t>
      </w:r>
      <w:r w:rsidR="00AE4CBB">
        <w:rPr>
          <w:rFonts w:ascii="Century Schoolbook" w:hAnsi="Century Schoolbook"/>
        </w:rPr>
        <w:t>”</w:t>
      </w:r>
      <w:r w:rsidR="00DC2D59">
        <w:rPr>
          <w:rFonts w:ascii="Century Schoolbook" w:hAnsi="Century Schoolbook"/>
        </w:rPr>
        <w:t xml:space="preserve">  (</w:t>
      </w:r>
      <w:r w:rsidRPr="00DC2D59" w:rsidR="00DC2D59">
        <w:rPr>
          <w:rFonts w:ascii="Century Schoolbook" w:hAnsi="Century Schoolbook"/>
          <w:i/>
          <w:iCs/>
        </w:rPr>
        <w:t>Ibid</w:t>
      </w:r>
      <w:r w:rsidR="00DC2D59">
        <w:rPr>
          <w:rFonts w:ascii="Century Schoolbook" w:hAnsi="Century Schoolbook"/>
        </w:rPr>
        <w:t>.</w:t>
      </w:r>
      <w:r w:rsidR="00DB0D9C">
        <w:rPr>
          <w:rFonts w:ascii="Century Schoolbook" w:hAnsi="Century Schoolbook"/>
        </w:rPr>
        <w:t>, fn. omitted.</w:t>
      </w:r>
      <w:r w:rsidR="00DC2D59">
        <w:rPr>
          <w:rFonts w:ascii="Century Schoolbook" w:hAnsi="Century Schoolbook"/>
        </w:rPr>
        <w:t xml:space="preserve">)  </w:t>
      </w:r>
      <w:r w:rsidR="0061137C">
        <w:rPr>
          <w:rFonts w:ascii="Century Schoolbook" w:hAnsi="Century Schoolbook"/>
        </w:rPr>
        <w:t xml:space="preserve">And </w:t>
      </w:r>
      <w:r>
        <w:rPr>
          <w:rFonts w:ascii="Century Schoolbook" w:hAnsi="Century Schoolbook"/>
        </w:rPr>
        <w:t xml:space="preserve">here it was.  </w:t>
      </w:r>
    </w:p>
    <w:p w:rsidR="0032052C" w:rsidP="00136EB1" w14:paraId="722CDAF8" w14:textId="59C3A78E">
      <w:pPr>
        <w:spacing w:line="360" w:lineRule="auto"/>
        <w:rPr>
          <w:rFonts w:ascii="Century Schoolbook" w:hAnsi="Century Schoolbook"/>
        </w:rPr>
      </w:pPr>
      <w:r>
        <w:rPr>
          <w:rFonts w:ascii="Century Schoolbook" w:hAnsi="Century Schoolbook"/>
        </w:rPr>
        <w:tab/>
        <w:t>T</w:t>
      </w:r>
      <w:r w:rsidR="0061137C">
        <w:rPr>
          <w:rFonts w:ascii="Century Schoolbook" w:hAnsi="Century Schoolbook"/>
        </w:rPr>
        <w:t xml:space="preserve">he presumption </w:t>
      </w:r>
      <w:r w:rsidR="00054802">
        <w:rPr>
          <w:rFonts w:ascii="Century Schoolbook" w:hAnsi="Century Schoolbook"/>
        </w:rPr>
        <w:t xml:space="preserve">in this case </w:t>
      </w:r>
      <w:r w:rsidR="0061137C">
        <w:rPr>
          <w:rFonts w:ascii="Century Schoolbook" w:hAnsi="Century Schoolbook"/>
        </w:rPr>
        <w:t>was overcome by other evidence</w:t>
      </w:r>
      <w:r w:rsidR="00136EB1">
        <w:rPr>
          <w:rFonts w:ascii="Century Schoolbook" w:hAnsi="Century Schoolbook"/>
        </w:rPr>
        <w:t xml:space="preserve">, including that </w:t>
      </w:r>
      <w:r w:rsidR="00DC2D59">
        <w:rPr>
          <w:rFonts w:ascii="Century Schoolbook" w:hAnsi="Century Schoolbook"/>
        </w:rPr>
        <w:t xml:space="preserve">each of the three public interest factors “weigh heavily in favor of transfer,” </w:t>
      </w:r>
      <w:r w:rsidR="00173D4C">
        <w:rPr>
          <w:rFonts w:ascii="Century Schoolbook" w:hAnsi="Century Schoolbook"/>
        </w:rPr>
        <w:t xml:space="preserve">and </w:t>
      </w:r>
      <w:r w:rsidR="008E4F8E">
        <w:rPr>
          <w:rFonts w:ascii="Century Schoolbook" w:hAnsi="Century Schoolbook"/>
        </w:rPr>
        <w:t xml:space="preserve">that </w:t>
      </w:r>
      <w:r w:rsidR="0061137C">
        <w:rPr>
          <w:rFonts w:ascii="Century Schoolbook" w:hAnsi="Century Schoolbook"/>
        </w:rPr>
        <w:t>they</w:t>
      </w:r>
      <w:r w:rsidR="008E4F8E">
        <w:rPr>
          <w:rFonts w:ascii="Century Schoolbook" w:hAnsi="Century Schoolbook"/>
        </w:rPr>
        <w:t xml:space="preserve"> </w:t>
      </w:r>
      <w:r w:rsidR="00173D4C">
        <w:rPr>
          <w:rFonts w:ascii="Century Schoolbook" w:hAnsi="Century Schoolbook"/>
        </w:rPr>
        <w:t>“overwhelmingly apply here in favor of granting Uber’s motions as to both ca</w:t>
      </w:r>
      <w:r w:rsidR="0044118F">
        <w:rPr>
          <w:rFonts w:ascii="Century Schoolbook" w:hAnsi="Century Schoolbook"/>
        </w:rPr>
        <w:t>se</w:t>
      </w:r>
      <w:r w:rsidR="00173D4C">
        <w:rPr>
          <w:rFonts w:ascii="Century Schoolbook" w:hAnsi="Century Schoolbook"/>
        </w:rPr>
        <w:t xml:space="preserve">s.”  </w:t>
      </w:r>
      <w:r w:rsidR="00B47E28">
        <w:rPr>
          <w:rFonts w:ascii="Century Schoolbook" w:hAnsi="Century Schoolbook"/>
        </w:rPr>
        <w:t>So</w:t>
      </w:r>
      <w:r w:rsidR="008E4F8E">
        <w:rPr>
          <w:rFonts w:ascii="Century Schoolbook" w:hAnsi="Century Schoolbook"/>
        </w:rPr>
        <w:t xml:space="preserve">, even attaching a presumption of convenience to </w:t>
      </w:r>
      <w:r w:rsidR="0061137C">
        <w:rPr>
          <w:rFonts w:ascii="Century Schoolbook" w:hAnsi="Century Schoolbook"/>
        </w:rPr>
        <w:t>a California forum</w:t>
      </w:r>
      <w:r w:rsidR="008E4F8E">
        <w:rPr>
          <w:rFonts w:ascii="Century Schoolbook" w:hAnsi="Century Schoolbook"/>
        </w:rPr>
        <w:t xml:space="preserve">, after weighing and balancing the relevant factors, </w:t>
      </w:r>
      <w:r w:rsidR="00620A04">
        <w:rPr>
          <w:rFonts w:ascii="Century Schoolbook" w:hAnsi="Century Schoolbook"/>
        </w:rPr>
        <w:t>Judge Schulman</w:t>
      </w:r>
      <w:r w:rsidR="008E4F8E">
        <w:rPr>
          <w:rFonts w:ascii="Century Schoolbook" w:hAnsi="Century Schoolbook"/>
        </w:rPr>
        <w:t xml:space="preserve"> found that “</w:t>
      </w:r>
      <w:r w:rsidRPr="00E15C1E" w:rsidR="008E4F8E">
        <w:rPr>
          <w:rFonts w:ascii="Century Schoolbook" w:hAnsi="Century Schoolbook"/>
        </w:rPr>
        <w:t>the balance is strongly in favor of the defendant</w:t>
      </w:r>
      <w:r w:rsidR="008E4F8E">
        <w:rPr>
          <w:rFonts w:ascii="Century Schoolbook" w:hAnsi="Century Schoolbook"/>
        </w:rPr>
        <w:t>”</w:t>
      </w:r>
      <w:r w:rsidR="003C0DC3">
        <w:rPr>
          <w:rFonts w:ascii="Century Schoolbook" w:hAnsi="Century Schoolbook"/>
        </w:rPr>
        <w:t>—a conclusion to which we owe “substantial deference</w:t>
      </w:r>
      <w:r w:rsidR="00BC7326">
        <w:rPr>
          <w:rFonts w:ascii="Century Schoolbook" w:hAnsi="Century Schoolbook"/>
        </w:rPr>
        <w:t>.</w:t>
      </w:r>
      <w:r w:rsidR="003C0DC3">
        <w:rPr>
          <w:rFonts w:ascii="Century Schoolbook" w:hAnsi="Century Schoolbook"/>
        </w:rPr>
        <w:t>”</w:t>
      </w:r>
      <w:r w:rsidR="00BC7326">
        <w:rPr>
          <w:rFonts w:ascii="Century Schoolbook" w:hAnsi="Century Schoolbook"/>
        </w:rPr>
        <w:t xml:space="preserve">  It </w:t>
      </w:r>
      <w:r w:rsidR="00173D4C">
        <w:rPr>
          <w:rFonts w:ascii="Century Schoolbook" w:hAnsi="Century Schoolbook"/>
        </w:rPr>
        <w:t>was not an abuse of its discretion.</w:t>
      </w:r>
      <w:r w:rsidR="003C0DC3">
        <w:rPr>
          <w:rFonts w:ascii="Century Schoolbook" w:hAnsi="Century Schoolbook"/>
        </w:rPr>
        <w:t xml:space="preserve">  </w:t>
      </w:r>
    </w:p>
    <w:p w:rsidR="00B34AA9" w:rsidRPr="00003273" w:rsidP="00103AC8" w14:paraId="4EA9316C" w14:textId="348ECE97">
      <w:pPr>
        <w:spacing w:after="120" w:line="240" w:lineRule="auto"/>
        <w:rPr>
          <w:rFonts w:ascii="Century Schoolbook" w:hAnsi="Century Schoolbook"/>
          <w:b/>
          <w:bCs/>
        </w:rPr>
      </w:pPr>
      <w:r>
        <w:rPr>
          <w:rFonts w:ascii="Century Schoolbook" w:hAnsi="Century Schoolbook"/>
          <w:b/>
          <w:bCs/>
        </w:rPr>
        <w:tab/>
      </w:r>
      <w:r w:rsidR="00103AC8">
        <w:rPr>
          <w:rFonts w:ascii="Century Schoolbook" w:hAnsi="Century Schoolbook"/>
          <w:b/>
          <w:bCs/>
        </w:rPr>
        <w:t>Plaintiffs’ Reliance on t</w:t>
      </w:r>
      <w:r w:rsidR="00D033A6">
        <w:rPr>
          <w:rFonts w:ascii="Century Schoolbook" w:hAnsi="Century Schoolbook"/>
          <w:b/>
          <w:bCs/>
        </w:rPr>
        <w:t xml:space="preserve">he </w:t>
      </w:r>
      <w:r w:rsidR="0061137C">
        <w:rPr>
          <w:rFonts w:ascii="Century Schoolbook" w:hAnsi="Century Schoolbook"/>
          <w:b/>
          <w:bCs/>
        </w:rPr>
        <w:t xml:space="preserve">Coordination Order </w:t>
      </w:r>
      <w:r w:rsidR="00D03025">
        <w:rPr>
          <w:rFonts w:ascii="Century Schoolbook" w:hAnsi="Century Schoolbook"/>
          <w:b/>
          <w:bCs/>
        </w:rPr>
        <w:t>Has No Merit</w:t>
      </w:r>
    </w:p>
    <w:p w:rsidR="00103AC8" w:rsidP="00103AC8" w14:paraId="3366874A" w14:textId="5DF667F1">
      <w:pPr>
        <w:spacing w:line="360" w:lineRule="auto"/>
        <w:rPr>
          <w:rFonts w:ascii="Century Schoolbook" w:hAnsi="Century Schoolbook"/>
        </w:rPr>
      </w:pPr>
      <w:r>
        <w:rPr>
          <w:rFonts w:ascii="Century Schoolbook" w:hAnsi="Century Schoolbook"/>
        </w:rPr>
        <w:tab/>
      </w:r>
      <w:r w:rsidR="00BC7326">
        <w:rPr>
          <w:rFonts w:ascii="Century Schoolbook" w:hAnsi="Century Schoolbook"/>
        </w:rPr>
        <w:t xml:space="preserve">Judge Schulman </w:t>
      </w:r>
      <w:r w:rsidR="00D03025">
        <w:rPr>
          <w:rFonts w:ascii="Century Schoolbook" w:hAnsi="Century Schoolbook"/>
        </w:rPr>
        <w:t xml:space="preserve">concluded </w:t>
      </w:r>
      <w:r w:rsidR="00BC7326">
        <w:rPr>
          <w:rFonts w:ascii="Century Schoolbook" w:hAnsi="Century Schoolbook"/>
        </w:rPr>
        <w:t>that he</w:t>
      </w:r>
      <w:r w:rsidR="0061137C">
        <w:rPr>
          <w:rFonts w:ascii="Century Schoolbook" w:hAnsi="Century Schoolbook"/>
        </w:rPr>
        <w:t xml:space="preserve"> found</w:t>
      </w:r>
      <w:r w:rsidR="001A3509">
        <w:rPr>
          <w:rFonts w:ascii="Century Schoolbook" w:hAnsi="Century Schoolbook"/>
        </w:rPr>
        <w:t xml:space="preserve"> “more persuasive” the view that the cases against Uber should be viewed “</w:t>
      </w:r>
      <w:r w:rsidRPr="001A3509" w:rsidR="001A3509">
        <w:rPr>
          <w:rFonts w:ascii="Century Schoolbook" w:hAnsi="Century Schoolbook"/>
        </w:rPr>
        <w:t>as individual sexual assault/misconduct cases in which Plaintiffs claim Uber is vicariously liable due to its deficient safety practices,</w:t>
      </w:r>
      <w:r w:rsidR="001A3509">
        <w:rPr>
          <w:rFonts w:ascii="Century Schoolbook" w:hAnsi="Century Schoolbook"/>
        </w:rPr>
        <w:t>” as opposed to “</w:t>
      </w:r>
      <w:r w:rsidRPr="001A3509" w:rsidR="001A3509">
        <w:rPr>
          <w:rFonts w:ascii="Century Schoolbook" w:hAnsi="Century Schoolbook"/>
        </w:rPr>
        <w:t>corporate misconduct cases in which the individual Plaintiffs</w:t>
      </w:r>
      <w:r w:rsidR="001A3509">
        <w:rPr>
          <w:rFonts w:ascii="Century Schoolbook" w:hAnsi="Century Schoolbook"/>
        </w:rPr>
        <w:t>’</w:t>
      </w:r>
      <w:r w:rsidRPr="001A3509" w:rsidR="001A3509">
        <w:rPr>
          <w:rFonts w:ascii="Century Schoolbook" w:hAnsi="Century Schoolbook"/>
        </w:rPr>
        <w:t xml:space="preserve"> claims are, in effect, merely illustrative of their larger claims</w:t>
      </w:r>
      <w:r w:rsidR="00BC7326">
        <w:rPr>
          <w:rFonts w:ascii="Century Schoolbook" w:hAnsi="Century Schoolbook"/>
        </w:rPr>
        <w:t>.</w:t>
      </w:r>
      <w:r w:rsidR="001A3509">
        <w:rPr>
          <w:rFonts w:ascii="Century Schoolbook" w:hAnsi="Century Schoolbook"/>
        </w:rPr>
        <w:t xml:space="preserve">” </w:t>
      </w:r>
      <w:r w:rsidR="00BC7326">
        <w:rPr>
          <w:rFonts w:ascii="Century Schoolbook" w:hAnsi="Century Schoolbook"/>
        </w:rPr>
        <w:t xml:space="preserve"> Plaintiffs argue that this holding</w:t>
      </w:r>
      <w:r w:rsidR="001A3509">
        <w:rPr>
          <w:rFonts w:ascii="Century Schoolbook" w:hAnsi="Century Schoolbook"/>
        </w:rPr>
        <w:t xml:space="preserve"> </w:t>
      </w:r>
      <w:r w:rsidR="005C09F5">
        <w:rPr>
          <w:rFonts w:ascii="Century Schoolbook" w:hAnsi="Century Schoolbook"/>
        </w:rPr>
        <w:t>fail</w:t>
      </w:r>
      <w:r w:rsidR="00482512">
        <w:rPr>
          <w:rFonts w:ascii="Century Schoolbook" w:hAnsi="Century Schoolbook"/>
        </w:rPr>
        <w:t>ed</w:t>
      </w:r>
      <w:r w:rsidR="005C09F5">
        <w:rPr>
          <w:rFonts w:ascii="Century Schoolbook" w:hAnsi="Century Schoolbook"/>
        </w:rPr>
        <w:t xml:space="preserve"> to “accord the coordination order proper deference” </w:t>
      </w:r>
      <w:r w:rsidR="00482512">
        <w:rPr>
          <w:rFonts w:ascii="Century Schoolbook" w:hAnsi="Century Schoolbook"/>
        </w:rPr>
        <w:t>a</w:t>
      </w:r>
      <w:r w:rsidR="005C09F5">
        <w:rPr>
          <w:rFonts w:ascii="Century Schoolbook" w:hAnsi="Century Schoolbook"/>
        </w:rPr>
        <w:t>nd</w:t>
      </w:r>
      <w:r w:rsidR="00966392">
        <w:rPr>
          <w:rFonts w:ascii="Century Schoolbook" w:hAnsi="Century Schoolbook"/>
        </w:rPr>
        <w:t>,</w:t>
      </w:r>
      <w:r w:rsidR="005C09F5">
        <w:rPr>
          <w:rFonts w:ascii="Century Schoolbook" w:hAnsi="Century Schoolbook"/>
        </w:rPr>
        <w:t xml:space="preserve"> citing principles of collateral estoppel, </w:t>
      </w:r>
      <w:r w:rsidR="001A3509">
        <w:rPr>
          <w:rFonts w:ascii="Century Schoolbook" w:hAnsi="Century Schoolbook"/>
        </w:rPr>
        <w:t xml:space="preserve">failed to give effect to the coordination court’s finding that </w:t>
      </w:r>
      <w:r w:rsidR="007B0066">
        <w:rPr>
          <w:rFonts w:ascii="Century Schoolbook" w:hAnsi="Century Schoolbook"/>
        </w:rPr>
        <w:t>“</w:t>
      </w:r>
      <w:r w:rsidRPr="007B0066" w:rsidR="007B0066">
        <w:rPr>
          <w:rFonts w:ascii="Century Schoolbook" w:hAnsi="Century Schoolbook"/>
          <w:i/>
          <w:iCs/>
        </w:rPr>
        <w:t>forum non conveniens</w:t>
      </w:r>
      <w:r w:rsidRPr="007B0066" w:rsidR="007B0066">
        <w:rPr>
          <w:rFonts w:ascii="Century Schoolbook" w:hAnsi="Century Schoolbook"/>
        </w:rPr>
        <w:t>, choice of law, and liability determinations</w:t>
      </w:r>
      <w:r w:rsidR="007B0066">
        <w:rPr>
          <w:rFonts w:ascii="Century Schoolbook" w:hAnsi="Century Schoolbook"/>
        </w:rPr>
        <w:t xml:space="preserve">” were not “unavoidably individualized,” but rather that “liability questions center on [Uber], not its drivers.” </w:t>
      </w:r>
    </w:p>
    <w:p w:rsidR="00103AC8" w:rsidP="00103AC8" w14:paraId="55E93991" w14:textId="327C7329">
      <w:pPr>
        <w:spacing w:line="360" w:lineRule="auto"/>
        <w:rPr>
          <w:rFonts w:ascii="Century Schoolbook" w:hAnsi="Century Schoolbook"/>
        </w:rPr>
      </w:pPr>
      <w:r>
        <w:rPr>
          <w:rFonts w:ascii="Century Schoolbook" w:hAnsi="Century Schoolbook"/>
        </w:rPr>
        <w:tab/>
      </w:r>
      <w:r w:rsidR="00482512">
        <w:rPr>
          <w:rFonts w:ascii="Century Schoolbook" w:hAnsi="Century Schoolbook"/>
        </w:rPr>
        <w:t xml:space="preserve">While Uber does not raise the point, we begin by noting that there is a serious </w:t>
      </w:r>
      <w:r>
        <w:rPr>
          <w:rFonts w:ascii="Century Schoolbook" w:hAnsi="Century Schoolbook"/>
        </w:rPr>
        <w:t xml:space="preserve">question </w:t>
      </w:r>
      <w:r w:rsidR="00482512">
        <w:rPr>
          <w:rFonts w:ascii="Century Schoolbook" w:hAnsi="Century Schoolbook"/>
        </w:rPr>
        <w:t xml:space="preserve">as to whether </w:t>
      </w:r>
      <w:r w:rsidR="00A30BBC">
        <w:rPr>
          <w:rFonts w:ascii="Century Schoolbook" w:hAnsi="Century Schoolbook"/>
        </w:rPr>
        <w:t xml:space="preserve">the argument has been preserved, as nowhere below—not in the joint case management statement, not in </w:t>
      </w:r>
      <w:r w:rsidR="00DC66ED">
        <w:rPr>
          <w:rFonts w:ascii="Century Schoolbook" w:hAnsi="Century Schoolbook"/>
        </w:rPr>
        <w:t xml:space="preserve">their </w:t>
      </w:r>
      <w:r w:rsidR="00A30BBC">
        <w:rPr>
          <w:rFonts w:ascii="Century Schoolbook" w:hAnsi="Century Schoolbook"/>
        </w:rPr>
        <w:t>opposition</w:t>
      </w:r>
      <w:r w:rsidR="00DC66ED">
        <w:rPr>
          <w:rFonts w:ascii="Century Schoolbook" w:hAnsi="Century Schoolbook"/>
        </w:rPr>
        <w:t>s</w:t>
      </w:r>
      <w:r w:rsidR="00A30BBC">
        <w:rPr>
          <w:rFonts w:ascii="Century Schoolbook" w:hAnsi="Century Schoolbook"/>
        </w:rPr>
        <w:t xml:space="preserve"> to Uber’s motion—did plaintiffs </w:t>
      </w:r>
      <w:r w:rsidR="00591384">
        <w:rPr>
          <w:rFonts w:ascii="Century Schoolbook" w:hAnsi="Century Schoolbook"/>
        </w:rPr>
        <w:t xml:space="preserve">make </w:t>
      </w:r>
      <w:r w:rsidR="00A30BBC">
        <w:rPr>
          <w:rFonts w:ascii="Century Schoolbook" w:hAnsi="Century Schoolbook"/>
        </w:rPr>
        <w:t xml:space="preserve">the argument they make here.  Plaintiffs’ brief asserts that they “argued” that the coordination order </w:t>
      </w:r>
      <w:r>
        <w:rPr>
          <w:rFonts w:ascii="Century Schoolbook" w:hAnsi="Century Schoolbook"/>
        </w:rPr>
        <w:t>“</w:t>
      </w:r>
      <w:r w:rsidR="00A30BBC">
        <w:rPr>
          <w:rFonts w:ascii="Century Schoolbook" w:hAnsi="Century Schoolbook"/>
        </w:rPr>
        <w:t>governed</w:t>
      </w:r>
      <w:r>
        <w:rPr>
          <w:rFonts w:ascii="Century Schoolbook" w:hAnsi="Century Schoolbook"/>
        </w:rPr>
        <w:t>”</w:t>
      </w:r>
      <w:r w:rsidR="00676762">
        <w:rPr>
          <w:rFonts w:ascii="Century Schoolbook" w:hAnsi="Century Schoolbook"/>
        </w:rPr>
        <w:t xml:space="preserve"> </w:t>
      </w:r>
      <w:r w:rsidR="00711330">
        <w:rPr>
          <w:rFonts w:ascii="Century Schoolbook" w:hAnsi="Century Schoolbook"/>
        </w:rPr>
        <w:t>(AOB 45</w:t>
      </w:r>
      <w:r w:rsidR="00966392">
        <w:rPr>
          <w:rFonts w:ascii="Century Schoolbook" w:hAnsi="Century Schoolbook"/>
        </w:rPr>
        <w:t>, citing to AA 1636 and AA 1671</w:t>
      </w:r>
      <w:r w:rsidR="00E44F4F">
        <w:rPr>
          <w:rFonts w:ascii="Century Schoolbook" w:hAnsi="Century Schoolbook"/>
        </w:rPr>
        <w:t xml:space="preserve">, </w:t>
      </w:r>
      <w:r w:rsidR="009F0A1C">
        <w:rPr>
          <w:rFonts w:ascii="Century Schoolbook" w:hAnsi="Century Schoolbook"/>
        </w:rPr>
        <w:t xml:space="preserve">a </w:t>
      </w:r>
      <w:r w:rsidR="00E44F4F">
        <w:rPr>
          <w:rFonts w:ascii="Century Schoolbook" w:hAnsi="Century Schoolbook"/>
        </w:rPr>
        <w:t>page from each of the opposition</w:t>
      </w:r>
      <w:r w:rsidR="00D1130E">
        <w:rPr>
          <w:rFonts w:ascii="Century Schoolbook" w:hAnsi="Century Schoolbook"/>
        </w:rPr>
        <w:t>s</w:t>
      </w:r>
      <w:r w:rsidR="00E44F4F">
        <w:rPr>
          <w:rFonts w:ascii="Century Schoolbook" w:hAnsi="Century Schoolbook"/>
        </w:rPr>
        <w:t xml:space="preserve"> below</w:t>
      </w:r>
      <w:r w:rsidR="00711330">
        <w:rPr>
          <w:rFonts w:ascii="Century Schoolbook" w:hAnsi="Century Schoolbook"/>
        </w:rPr>
        <w:t>)</w:t>
      </w:r>
      <w:r w:rsidR="00E8482D">
        <w:rPr>
          <w:rFonts w:ascii="Century Schoolbook" w:hAnsi="Century Schoolbook"/>
        </w:rPr>
        <w:t xml:space="preserve">. </w:t>
      </w:r>
      <w:r w:rsidR="00E00B9C">
        <w:rPr>
          <w:rFonts w:ascii="Century Schoolbook" w:hAnsi="Century Schoolbook"/>
        </w:rPr>
        <w:t xml:space="preserve"> W</w:t>
      </w:r>
      <w:r>
        <w:rPr>
          <w:rFonts w:ascii="Century Schoolbook" w:hAnsi="Century Schoolbook"/>
        </w:rPr>
        <w:t xml:space="preserve">hile </w:t>
      </w:r>
      <w:r w:rsidR="00711330">
        <w:rPr>
          <w:rFonts w:ascii="Century Schoolbook" w:hAnsi="Century Schoolbook"/>
        </w:rPr>
        <w:t xml:space="preserve">Jane Doe </w:t>
      </w:r>
      <w:r w:rsidR="000E41C6">
        <w:rPr>
          <w:rFonts w:ascii="Century Schoolbook" w:hAnsi="Century Schoolbook"/>
        </w:rPr>
        <w:t>LSA 35’s</w:t>
      </w:r>
      <w:r w:rsidR="00711330">
        <w:rPr>
          <w:rFonts w:ascii="Century Schoolbook" w:hAnsi="Century Schoolbook"/>
        </w:rPr>
        <w:t xml:space="preserve"> </w:t>
      </w:r>
      <w:r w:rsidR="0076411E">
        <w:rPr>
          <w:rFonts w:ascii="Century Schoolbook" w:hAnsi="Century Schoolbook"/>
        </w:rPr>
        <w:t xml:space="preserve">opposition </w:t>
      </w:r>
      <w:r w:rsidR="00711330">
        <w:rPr>
          <w:rFonts w:ascii="Century Schoolbook" w:hAnsi="Century Schoolbook"/>
        </w:rPr>
        <w:t>briefly discuss</w:t>
      </w:r>
      <w:r>
        <w:rPr>
          <w:rFonts w:ascii="Century Schoolbook" w:hAnsi="Century Schoolbook"/>
        </w:rPr>
        <w:t xml:space="preserve">ed </w:t>
      </w:r>
      <w:r w:rsidR="00711330">
        <w:rPr>
          <w:rFonts w:ascii="Century Schoolbook" w:hAnsi="Century Schoolbook"/>
        </w:rPr>
        <w:t>the coordination order and a</w:t>
      </w:r>
      <w:r>
        <w:rPr>
          <w:rFonts w:ascii="Century Schoolbook" w:hAnsi="Century Schoolbook"/>
        </w:rPr>
        <w:t xml:space="preserve">sserted </w:t>
      </w:r>
      <w:r w:rsidR="00711330">
        <w:rPr>
          <w:rFonts w:ascii="Century Schoolbook" w:hAnsi="Century Schoolbook"/>
        </w:rPr>
        <w:t xml:space="preserve">that it </w:t>
      </w:r>
      <w:r w:rsidR="000E41C6">
        <w:rPr>
          <w:rFonts w:ascii="Century Schoolbook" w:hAnsi="Century Schoolbook"/>
        </w:rPr>
        <w:t>“issued findings which are pertinent here</w:t>
      </w:r>
      <w:r>
        <w:rPr>
          <w:rFonts w:ascii="Century Schoolbook" w:hAnsi="Century Schoolbook"/>
        </w:rPr>
        <w:t>,</w:t>
      </w:r>
      <w:r w:rsidR="000E41C6">
        <w:rPr>
          <w:rFonts w:ascii="Century Schoolbook" w:hAnsi="Century Schoolbook"/>
        </w:rPr>
        <w:t>”</w:t>
      </w:r>
      <w:r w:rsidR="00A30BBC">
        <w:rPr>
          <w:rFonts w:ascii="Century Schoolbook" w:hAnsi="Century Schoolbook"/>
        </w:rPr>
        <w:t xml:space="preserve"> </w:t>
      </w:r>
      <w:r w:rsidR="001761A1">
        <w:rPr>
          <w:rFonts w:ascii="Century Schoolbook" w:hAnsi="Century Schoolbook"/>
        </w:rPr>
        <w:t>neither brief assert</w:t>
      </w:r>
      <w:r>
        <w:rPr>
          <w:rFonts w:ascii="Century Schoolbook" w:hAnsi="Century Schoolbook"/>
        </w:rPr>
        <w:t>ed</w:t>
      </w:r>
      <w:r w:rsidR="001761A1">
        <w:rPr>
          <w:rFonts w:ascii="Century Schoolbook" w:hAnsi="Century Schoolbook"/>
        </w:rPr>
        <w:t xml:space="preserve"> </w:t>
      </w:r>
      <w:r w:rsidR="00E00B9C">
        <w:rPr>
          <w:rFonts w:ascii="Century Schoolbook" w:hAnsi="Century Schoolbook"/>
        </w:rPr>
        <w:t>that the order “governed</w:t>
      </w:r>
      <w:r w:rsidR="00D71431">
        <w:rPr>
          <w:rFonts w:ascii="Century Schoolbook" w:hAnsi="Century Schoolbook"/>
        </w:rPr>
        <w:t xml:space="preserve">.”  Neither brief asserted </w:t>
      </w:r>
      <w:r w:rsidR="001761A1">
        <w:rPr>
          <w:rFonts w:ascii="Century Schoolbook" w:hAnsi="Century Schoolbook"/>
        </w:rPr>
        <w:t>any claim of “proper deference.”  And</w:t>
      </w:r>
      <w:r w:rsidR="00D71431">
        <w:rPr>
          <w:rFonts w:ascii="Century Schoolbook" w:hAnsi="Century Schoolbook"/>
        </w:rPr>
        <w:t>,</w:t>
      </w:r>
      <w:r w:rsidR="001761A1">
        <w:rPr>
          <w:rFonts w:ascii="Century Schoolbook" w:hAnsi="Century Schoolbook"/>
        </w:rPr>
        <w:t xml:space="preserve"> </w:t>
      </w:r>
      <w:r w:rsidR="00A30BBC">
        <w:rPr>
          <w:rFonts w:ascii="Century Schoolbook" w:hAnsi="Century Schoolbook"/>
        </w:rPr>
        <w:t xml:space="preserve">as plaintiffs expressly admit, collateral estoppel is nowhere </w:t>
      </w:r>
      <w:r w:rsidR="001761A1">
        <w:rPr>
          <w:rFonts w:ascii="Century Schoolbook" w:hAnsi="Century Schoolbook"/>
        </w:rPr>
        <w:t>mentioned</w:t>
      </w:r>
      <w:r w:rsidR="00A30BBC">
        <w:rPr>
          <w:rFonts w:ascii="Century Schoolbook" w:hAnsi="Century Schoolbook"/>
        </w:rPr>
        <w:t xml:space="preserve"> in </w:t>
      </w:r>
      <w:r w:rsidR="0033257D">
        <w:rPr>
          <w:rFonts w:ascii="Century Schoolbook" w:hAnsi="Century Schoolbook"/>
        </w:rPr>
        <w:t xml:space="preserve">either </w:t>
      </w:r>
      <w:r w:rsidR="00A30BBC">
        <w:rPr>
          <w:rFonts w:ascii="Century Schoolbook" w:hAnsi="Century Schoolbook"/>
        </w:rPr>
        <w:t>opposition</w:t>
      </w:r>
      <w:r w:rsidRPr="00602F68" w:rsidR="00A30BBC">
        <w:rPr>
          <w:rFonts w:ascii="Century Schoolbook" w:hAnsi="Century Schoolbook"/>
        </w:rPr>
        <w:t xml:space="preserve">. </w:t>
      </w:r>
      <w:r w:rsidR="00A30BBC">
        <w:rPr>
          <w:rFonts w:ascii="Century Schoolbook" w:hAnsi="Century Schoolbook"/>
        </w:rPr>
        <w:t xml:space="preserve"> </w:t>
      </w:r>
      <w:r>
        <w:rPr>
          <w:rFonts w:ascii="Century Schoolbook" w:hAnsi="Century Schoolbook"/>
        </w:rPr>
        <w:t xml:space="preserve">In any event, the argument </w:t>
      </w:r>
      <w:r w:rsidR="00E44F4F">
        <w:rPr>
          <w:rFonts w:ascii="Century Schoolbook" w:hAnsi="Century Schoolbook"/>
        </w:rPr>
        <w:t>cannot prevail</w:t>
      </w:r>
      <w:r>
        <w:rPr>
          <w:rFonts w:ascii="Century Schoolbook" w:hAnsi="Century Schoolbook"/>
        </w:rPr>
        <w:t>.</w:t>
      </w:r>
    </w:p>
    <w:p w:rsidR="00103AC8" w:rsidP="00103AC8" w14:paraId="0609F9AC" w14:textId="77777777">
      <w:pPr>
        <w:spacing w:line="360" w:lineRule="auto"/>
        <w:rPr>
          <w:rFonts w:ascii="Century Schoolbook" w:hAnsi="Century Schoolbook"/>
        </w:rPr>
      </w:pPr>
      <w:r>
        <w:rPr>
          <w:rFonts w:ascii="Century Schoolbook" w:hAnsi="Century Schoolbook"/>
        </w:rPr>
        <w:tab/>
      </w:r>
      <w:r w:rsidRPr="000557E9">
        <w:rPr>
          <w:rFonts w:ascii="Century Schoolbook" w:hAnsi="Century Schoolbook"/>
        </w:rPr>
        <w:t>“</w:t>
      </w:r>
      <w:r>
        <w:rPr>
          <w:rFonts w:ascii="Century Schoolbook" w:hAnsi="Century Schoolbook"/>
        </w:rPr>
        <w:t xml:space="preserve"> ‘</w:t>
      </w:r>
      <w:r w:rsidRPr="000557E9">
        <w:rPr>
          <w:rFonts w:ascii="Century Schoolbook" w:hAnsi="Century Schoolbook"/>
        </w:rPr>
        <w:t>In general, whether a prior finding will be given conclusive effect in a later proceeding is governed by the doctrine of issue preclusion, also known as collateral estoppel.</w:t>
      </w:r>
      <w:r>
        <w:rPr>
          <w:rFonts w:ascii="Century Schoolbook" w:hAnsi="Century Schoolbook"/>
        </w:rPr>
        <w:t>’</w:t>
      </w:r>
      <w:r w:rsidRPr="000557E9">
        <w:rPr>
          <w:rFonts w:ascii="Century Schoolbook" w:hAnsi="Century Schoolbook"/>
        </w:rPr>
        <w:t xml:space="preserve"> </w:t>
      </w:r>
      <w:r>
        <w:rPr>
          <w:rFonts w:ascii="Century Schoolbook" w:hAnsi="Century Schoolbook"/>
        </w:rPr>
        <w:t xml:space="preserve"> [Citation.]  ‘</w:t>
      </w:r>
      <w:r w:rsidRPr="000557E9">
        <w:rPr>
          <w:rFonts w:ascii="Century Schoolbook" w:hAnsi="Century Schoolbook"/>
        </w:rPr>
        <w:t xml:space="preserve">The doctrine of collateral estoppel, or issue preclusion, is firmly embedded in both federal and California common law. </w:t>
      </w:r>
      <w:r>
        <w:rPr>
          <w:rFonts w:ascii="Century Schoolbook" w:hAnsi="Century Schoolbook"/>
        </w:rPr>
        <w:t xml:space="preserve"> </w:t>
      </w:r>
      <w:r w:rsidRPr="000557E9">
        <w:rPr>
          <w:rFonts w:ascii="Century Schoolbook" w:hAnsi="Century Schoolbook"/>
        </w:rPr>
        <w:t xml:space="preserve">It is grounded on the premise that </w:t>
      </w:r>
      <w:r>
        <w:rPr>
          <w:rFonts w:ascii="Century Schoolbook" w:hAnsi="Century Schoolbook"/>
        </w:rPr>
        <w:t>“</w:t>
      </w:r>
      <w:r w:rsidRPr="000557E9">
        <w:rPr>
          <w:rFonts w:ascii="Century Schoolbook" w:hAnsi="Century Schoolbook"/>
        </w:rPr>
        <w:t>once an issue has been resolved in a prior proceeding, there is no further factfinding function to be performed.</w:t>
      </w:r>
      <w:r>
        <w:rPr>
          <w:rFonts w:ascii="Century Schoolbook" w:hAnsi="Century Schoolbook"/>
        </w:rPr>
        <w:t xml:space="preserve">”  </w:t>
      </w:r>
      <w:r w:rsidRPr="000557E9">
        <w:rPr>
          <w:rFonts w:ascii="Century Schoolbook" w:hAnsi="Century Schoolbook"/>
        </w:rPr>
        <w:t xml:space="preserve">[Citation.] </w:t>
      </w:r>
      <w:r>
        <w:rPr>
          <w:rFonts w:ascii="Century Schoolbook" w:hAnsi="Century Schoolbook"/>
        </w:rPr>
        <w:t xml:space="preserve"> </w:t>
      </w:r>
      <w:r w:rsidR="00D66919">
        <w:rPr>
          <w:rFonts w:ascii="Century Schoolbook" w:hAnsi="Century Schoolbook"/>
        </w:rPr>
        <w:t>“</w:t>
      </w:r>
      <w:r w:rsidRPr="000557E9">
        <w:rPr>
          <w:rFonts w:ascii="Century Schoolbook" w:hAnsi="Century Schoolbook"/>
        </w:rPr>
        <w:t xml:space="preserve">Collateral estoppel </w:t>
      </w:r>
      <w:r w:rsidR="00D66919">
        <w:rPr>
          <w:rFonts w:ascii="Century Schoolbook" w:hAnsi="Century Schoolbook"/>
        </w:rPr>
        <w:t>. . .</w:t>
      </w:r>
      <w:r w:rsidRPr="000557E9">
        <w:rPr>
          <w:rFonts w:ascii="Century Schoolbook" w:hAnsi="Century Schoolbook"/>
        </w:rPr>
        <w:t xml:space="preserve"> has the dual purpose of protecting litigants from the burden of relitigating an identical issue with the same party or his privy and of promoting judicial economy by preventing needless litigation.”</w:t>
      </w:r>
      <w:r w:rsidR="00D66919">
        <w:rPr>
          <w:rFonts w:ascii="Century Schoolbook" w:hAnsi="Century Schoolbook"/>
        </w:rPr>
        <w:t xml:space="preserve"> </w:t>
      </w:r>
      <w:r w:rsidRPr="000557E9" w:rsidR="00D66919">
        <w:rPr>
          <w:rFonts w:ascii="Century Schoolbook" w:hAnsi="Century Schoolbook"/>
        </w:rPr>
        <w:t>’</w:t>
      </w:r>
      <w:r w:rsidRPr="000557E9">
        <w:rPr>
          <w:rFonts w:ascii="Century Schoolbook" w:hAnsi="Century Schoolbook"/>
        </w:rPr>
        <w:t xml:space="preserve"> </w:t>
      </w:r>
      <w:r w:rsidR="00D66919">
        <w:rPr>
          <w:rFonts w:ascii="Century Schoolbook" w:hAnsi="Century Schoolbook"/>
        </w:rPr>
        <w:t xml:space="preserve"> [Citation.]</w:t>
      </w:r>
    </w:p>
    <w:p w:rsidR="005E6ED7" w:rsidP="00103AC8" w14:paraId="6BFA4899" w14:textId="76BB2F14">
      <w:pPr>
        <w:spacing w:line="360" w:lineRule="auto"/>
        <w:rPr>
          <w:rFonts w:ascii="Century Schoolbook" w:hAnsi="Century Schoolbook"/>
        </w:rPr>
      </w:pPr>
      <w:r>
        <w:rPr>
          <w:rFonts w:ascii="Century Schoolbook" w:hAnsi="Century Schoolbook"/>
        </w:rPr>
        <w:tab/>
      </w:r>
      <w:r w:rsidRPr="000557E9" w:rsidR="000557E9">
        <w:rPr>
          <w:rFonts w:ascii="Century Schoolbook" w:hAnsi="Century Schoolbook"/>
        </w:rPr>
        <w:t>“</w:t>
      </w:r>
      <w:r>
        <w:rPr>
          <w:rFonts w:ascii="Century Schoolbook" w:hAnsi="Century Schoolbook"/>
        </w:rPr>
        <w:t xml:space="preserve"> ‘</w:t>
      </w:r>
      <w:r w:rsidRPr="000557E9" w:rsidR="000557E9">
        <w:rPr>
          <w:rFonts w:ascii="Century Schoolbook" w:hAnsi="Century Schoolbook"/>
        </w:rPr>
        <w:t xml:space="preserve">As traditionally understood and applied, issue preclusion bars relitigation of issues earlier decided </w:t>
      </w:r>
      <w:r>
        <w:rPr>
          <w:rFonts w:ascii="Century Schoolbook" w:hAnsi="Century Schoolbook"/>
        </w:rPr>
        <w:t>“</w:t>
      </w:r>
      <w:r w:rsidRPr="000557E9" w:rsidR="000557E9">
        <w:rPr>
          <w:rFonts w:ascii="Century Schoolbook" w:hAnsi="Century Schoolbook"/>
        </w:rPr>
        <w:t xml:space="preserve">only if several threshold requirements are fulfilled. </w:t>
      </w:r>
      <w:r>
        <w:rPr>
          <w:rFonts w:ascii="Century Schoolbook" w:hAnsi="Century Schoolbook"/>
        </w:rPr>
        <w:t xml:space="preserve"> </w:t>
      </w:r>
      <w:r w:rsidRPr="000557E9" w:rsidR="000557E9">
        <w:rPr>
          <w:rFonts w:ascii="Century Schoolbook" w:hAnsi="Century Schoolbook"/>
        </w:rPr>
        <w:t xml:space="preserve">First, the issue sought to be precluded from relitigation must be identical to that decided in a former proceeding. </w:t>
      </w:r>
      <w:r>
        <w:rPr>
          <w:rFonts w:ascii="Century Schoolbook" w:hAnsi="Century Schoolbook"/>
        </w:rPr>
        <w:t xml:space="preserve"> </w:t>
      </w:r>
      <w:r w:rsidRPr="000557E9" w:rsidR="000557E9">
        <w:rPr>
          <w:rFonts w:ascii="Century Schoolbook" w:hAnsi="Century Schoolbook"/>
        </w:rPr>
        <w:t xml:space="preserve">Second, this issue must have been actually litigated in the former proceeding. </w:t>
      </w:r>
      <w:r>
        <w:rPr>
          <w:rFonts w:ascii="Century Schoolbook" w:hAnsi="Century Schoolbook"/>
        </w:rPr>
        <w:t xml:space="preserve"> </w:t>
      </w:r>
      <w:r w:rsidRPr="000557E9" w:rsidR="000557E9">
        <w:rPr>
          <w:rFonts w:ascii="Century Schoolbook" w:hAnsi="Century Schoolbook"/>
        </w:rPr>
        <w:t xml:space="preserve">Third, it must have been necessarily decided in the former proceeding. </w:t>
      </w:r>
      <w:r>
        <w:rPr>
          <w:rFonts w:ascii="Century Schoolbook" w:hAnsi="Century Schoolbook"/>
        </w:rPr>
        <w:t xml:space="preserve"> </w:t>
      </w:r>
      <w:r w:rsidRPr="000557E9" w:rsidR="000557E9">
        <w:rPr>
          <w:rFonts w:ascii="Century Schoolbook" w:hAnsi="Century Schoolbook"/>
        </w:rPr>
        <w:t xml:space="preserve">Fourth, the decision in the former proceeding must be final and on the merits. </w:t>
      </w:r>
      <w:r>
        <w:rPr>
          <w:rFonts w:ascii="Century Schoolbook" w:hAnsi="Century Schoolbook"/>
        </w:rPr>
        <w:t xml:space="preserve"> </w:t>
      </w:r>
      <w:r w:rsidRPr="000557E9" w:rsidR="000557E9">
        <w:rPr>
          <w:rFonts w:ascii="Century Schoolbook" w:hAnsi="Century Schoolbook"/>
        </w:rPr>
        <w:t>Finally, the party against whom preclusion is sought must be the same as, or in privity with, the party to the former proceeding.</w:t>
      </w:r>
      <w:r>
        <w:rPr>
          <w:rFonts w:ascii="Century Schoolbook" w:hAnsi="Century Schoolbook"/>
        </w:rPr>
        <w:t>”</w:t>
      </w:r>
      <w:r w:rsidRPr="000557E9" w:rsidR="000557E9">
        <w:rPr>
          <w:rFonts w:ascii="Century Schoolbook" w:hAnsi="Century Schoolbook"/>
        </w:rPr>
        <w:t xml:space="preserve"> </w:t>
      </w:r>
      <w:r>
        <w:rPr>
          <w:rFonts w:ascii="Century Schoolbook" w:hAnsi="Century Schoolbook"/>
        </w:rPr>
        <w:t xml:space="preserve">’ </w:t>
      </w:r>
      <w:r w:rsidRPr="000557E9" w:rsidR="000557E9">
        <w:rPr>
          <w:rFonts w:ascii="Century Schoolbook" w:hAnsi="Century Schoolbook"/>
        </w:rPr>
        <w:t xml:space="preserve"> </w:t>
      </w:r>
      <w:r>
        <w:rPr>
          <w:rFonts w:ascii="Century Schoolbook" w:hAnsi="Century Schoolbook"/>
        </w:rPr>
        <w:t xml:space="preserve">[Citation.] </w:t>
      </w:r>
      <w:r w:rsidRPr="000557E9" w:rsidR="000557E9">
        <w:rPr>
          <w:rFonts w:ascii="Century Schoolbook" w:hAnsi="Century Schoolbook"/>
        </w:rPr>
        <w:t xml:space="preserve"> </w:t>
      </w:r>
      <w:r>
        <w:rPr>
          <w:rFonts w:ascii="Century Schoolbook" w:hAnsi="Century Schoolbook"/>
        </w:rPr>
        <w:t>‘</w:t>
      </w:r>
      <w:r w:rsidRPr="000557E9" w:rsidR="000557E9">
        <w:rPr>
          <w:rFonts w:ascii="Century Schoolbook" w:hAnsi="Century Schoolbook"/>
        </w:rPr>
        <w:t>The party asserting collateral estoppel bears the burden of establishing these requirements.</w:t>
      </w:r>
      <w:r>
        <w:rPr>
          <w:rFonts w:ascii="Century Schoolbook" w:hAnsi="Century Schoolbook"/>
        </w:rPr>
        <w:t xml:space="preserve">’ </w:t>
      </w:r>
      <w:r w:rsidRPr="000557E9" w:rsidR="000557E9">
        <w:rPr>
          <w:rFonts w:ascii="Century Schoolbook" w:hAnsi="Century Schoolbook"/>
        </w:rPr>
        <w:t>”</w:t>
      </w:r>
      <w:r>
        <w:rPr>
          <w:rFonts w:ascii="Century Schoolbook" w:hAnsi="Century Schoolbook"/>
        </w:rPr>
        <w:t xml:space="preserve">  (</w:t>
      </w:r>
      <w:r w:rsidRPr="00D66919" w:rsidR="000557E9">
        <w:rPr>
          <w:rFonts w:ascii="Century Schoolbook" w:hAnsi="Century Schoolbook"/>
          <w:i/>
          <w:iCs/>
        </w:rPr>
        <w:t>People v. Curiel</w:t>
      </w:r>
      <w:r>
        <w:rPr>
          <w:rFonts w:ascii="Century Schoolbook" w:hAnsi="Century Schoolbook"/>
        </w:rPr>
        <w:t xml:space="preserve"> (2023)</w:t>
      </w:r>
      <w:r w:rsidRPr="000557E9" w:rsidR="000557E9">
        <w:rPr>
          <w:rFonts w:ascii="Century Schoolbook" w:hAnsi="Century Schoolbook"/>
        </w:rPr>
        <w:t xml:space="preserve"> 15 Cal.5th 433, 451–</w:t>
      </w:r>
      <w:r>
        <w:rPr>
          <w:rFonts w:ascii="Century Schoolbook" w:hAnsi="Century Schoolbook"/>
        </w:rPr>
        <w:t>4</w:t>
      </w:r>
      <w:r w:rsidRPr="000557E9" w:rsidR="000557E9">
        <w:rPr>
          <w:rFonts w:ascii="Century Schoolbook" w:hAnsi="Century Schoolbook"/>
        </w:rPr>
        <w:t>52</w:t>
      </w:r>
      <w:r>
        <w:rPr>
          <w:rFonts w:ascii="Century Schoolbook" w:hAnsi="Century Schoolbook"/>
        </w:rPr>
        <w:t>.</w:t>
      </w:r>
      <w:r w:rsidRPr="000557E9" w:rsidR="000557E9">
        <w:rPr>
          <w:rFonts w:ascii="Century Schoolbook" w:hAnsi="Century Schoolbook"/>
        </w:rPr>
        <w:t>)</w:t>
      </w:r>
      <w:r w:rsidR="00A30BBC">
        <w:rPr>
          <w:rFonts w:ascii="Century Schoolbook" w:hAnsi="Century Schoolbook"/>
        </w:rPr>
        <w:t xml:space="preserve">  </w:t>
      </w:r>
    </w:p>
    <w:p w:rsidR="00103AC8" w:rsidRPr="00E5047E" w:rsidP="00103AC8" w14:paraId="3E302A10" w14:textId="769FA259">
      <w:pPr>
        <w:spacing w:line="360" w:lineRule="auto"/>
        <w:rPr>
          <w:rFonts w:ascii="Century Schoolbook" w:hAnsi="Century Schoolbook"/>
        </w:rPr>
      </w:pPr>
      <w:r>
        <w:rPr>
          <w:rFonts w:ascii="Century Schoolbook" w:hAnsi="Century Schoolbook"/>
        </w:rPr>
        <w:tab/>
      </w:r>
      <w:r w:rsidR="00E44F4F">
        <w:rPr>
          <w:rFonts w:ascii="Century Schoolbook" w:hAnsi="Century Schoolbook"/>
        </w:rPr>
        <w:t>Plaintiffs cite nothing supporting any collateral estoppel effect of a coordinati</w:t>
      </w:r>
      <w:r w:rsidR="00583A2E">
        <w:rPr>
          <w:rFonts w:ascii="Century Schoolbook" w:hAnsi="Century Schoolbook"/>
        </w:rPr>
        <w:t>o</w:t>
      </w:r>
      <w:r w:rsidR="00E44F4F">
        <w:rPr>
          <w:rFonts w:ascii="Century Schoolbook" w:hAnsi="Century Schoolbook"/>
        </w:rPr>
        <w:t>n order.  And t</w:t>
      </w:r>
      <w:r>
        <w:rPr>
          <w:rFonts w:ascii="Century Schoolbook" w:hAnsi="Century Schoolbook"/>
        </w:rPr>
        <w:t xml:space="preserve">he parties dispute whether the issues decided by the coordination court and Judge Schulman were “identical,” and whether the coordination action was a “former proceeding.” </w:t>
      </w:r>
      <w:r w:rsidR="00E44F4F">
        <w:rPr>
          <w:rFonts w:ascii="Century Schoolbook" w:hAnsi="Century Schoolbook"/>
        </w:rPr>
        <w:t xml:space="preserve"> </w:t>
      </w:r>
      <w:r>
        <w:rPr>
          <w:rFonts w:ascii="Century Schoolbook" w:hAnsi="Century Schoolbook"/>
        </w:rPr>
        <w:t xml:space="preserve">But there is a more fundamental problem—collateral estoppel </w:t>
      </w:r>
      <w:r w:rsidR="00615E9F">
        <w:rPr>
          <w:rFonts w:ascii="Century Schoolbook" w:hAnsi="Century Schoolbook"/>
        </w:rPr>
        <w:t>can</w:t>
      </w:r>
      <w:r>
        <w:rPr>
          <w:rFonts w:ascii="Century Schoolbook" w:hAnsi="Century Schoolbook"/>
        </w:rPr>
        <w:t>not apply</w:t>
      </w:r>
      <w:r w:rsidR="00615E9F">
        <w:rPr>
          <w:rFonts w:ascii="Century Schoolbook" w:hAnsi="Century Schoolbook"/>
        </w:rPr>
        <w:t xml:space="preserve">. </w:t>
      </w:r>
      <w:r>
        <w:rPr>
          <w:rFonts w:ascii="Century Schoolbook" w:hAnsi="Century Schoolbook"/>
        </w:rPr>
        <w:t xml:space="preserve"> </w:t>
      </w:r>
      <w:r w:rsidR="00615E9F">
        <w:rPr>
          <w:rFonts w:ascii="Century Schoolbook" w:hAnsi="Century Schoolbook"/>
        </w:rPr>
        <w:t>A</w:t>
      </w:r>
      <w:r w:rsidR="00E44F4F">
        <w:rPr>
          <w:rFonts w:ascii="Century Schoolbook" w:hAnsi="Century Schoolbook"/>
        </w:rPr>
        <w:t xml:space="preserve">s </w:t>
      </w:r>
      <w:r>
        <w:rPr>
          <w:rFonts w:ascii="Century Schoolbook" w:hAnsi="Century Schoolbook"/>
        </w:rPr>
        <w:t xml:space="preserve">this very court held in </w:t>
      </w:r>
      <w:r>
        <w:rPr>
          <w:rFonts w:ascii="Century Schoolbook" w:hAnsi="Century Schoolbook"/>
          <w:i/>
          <w:iCs/>
        </w:rPr>
        <w:t xml:space="preserve">Lennane v. Franchise Tax Board </w:t>
      </w:r>
      <w:r>
        <w:rPr>
          <w:rFonts w:ascii="Century Schoolbook" w:hAnsi="Century Schoolbook"/>
        </w:rPr>
        <w:t>(1996) 51 Cal.App.4th 1180, 11</w:t>
      </w:r>
      <w:r w:rsidR="00E44F4F">
        <w:rPr>
          <w:rFonts w:ascii="Century Schoolbook" w:hAnsi="Century Schoolbook"/>
        </w:rPr>
        <w:t>85</w:t>
      </w:r>
      <w:r>
        <w:rPr>
          <w:rFonts w:ascii="Century Schoolbook" w:hAnsi="Century Schoolbook"/>
        </w:rPr>
        <w:t xml:space="preserve"> (</w:t>
      </w:r>
      <w:r>
        <w:rPr>
          <w:rFonts w:ascii="Century Schoolbook" w:hAnsi="Century Schoolbook"/>
          <w:i/>
          <w:iCs/>
        </w:rPr>
        <w:t>Lennane</w:t>
      </w:r>
      <w:r>
        <w:rPr>
          <w:rFonts w:ascii="Century Schoolbook" w:hAnsi="Century Schoolbook"/>
        </w:rPr>
        <w:t>)</w:t>
      </w:r>
      <w:r w:rsidR="00615E9F">
        <w:rPr>
          <w:rFonts w:ascii="Century Schoolbook" w:hAnsi="Century Schoolbook"/>
        </w:rPr>
        <w:t xml:space="preserve">:  </w:t>
      </w:r>
      <w:r w:rsidR="00E5047E">
        <w:rPr>
          <w:rFonts w:ascii="Century Schoolbook" w:hAnsi="Century Schoolbook"/>
        </w:rPr>
        <w:t xml:space="preserve">“The doctrine of res judicata fails because, as [the Franchise Tax Board] observes, the first ruling was not in a </w:t>
      </w:r>
      <w:r w:rsidR="00E5047E">
        <w:rPr>
          <w:rFonts w:ascii="Century Schoolbook" w:hAnsi="Century Schoolbook"/>
          <w:i/>
          <w:iCs/>
        </w:rPr>
        <w:t xml:space="preserve">former </w:t>
      </w:r>
      <w:r w:rsidR="00E5047E">
        <w:rPr>
          <w:rFonts w:ascii="Century Schoolbook" w:hAnsi="Century Schoolbook"/>
        </w:rPr>
        <w:t>action (</w:t>
      </w:r>
      <w:r w:rsidR="00E5047E">
        <w:rPr>
          <w:rFonts w:ascii="Century Schoolbook" w:hAnsi="Century Schoolbook"/>
          <w:i/>
          <w:iCs/>
        </w:rPr>
        <w:t xml:space="preserve">Panos v. Great Western Packing Co. </w:t>
      </w:r>
      <w:r w:rsidR="00E5047E">
        <w:rPr>
          <w:rFonts w:ascii="Century Schoolbook" w:hAnsi="Century Schoolbook"/>
        </w:rPr>
        <w:t>(1943) 21 Cal.2d 636, 637</w:t>
      </w:r>
      <w:r w:rsidR="00E5047E">
        <w:rPr>
          <w:rFonts w:ascii="Symbol" w:hAnsi="Symbol"/>
        </w:rPr>
        <w:sym w:font="Symbol" w:char="F02D"/>
      </w:r>
      <w:r w:rsidR="00E5047E">
        <w:rPr>
          <w:rFonts w:ascii="Century Schoolbook" w:hAnsi="Century Schoolbook"/>
        </w:rPr>
        <w:t xml:space="preserve">638; </w:t>
      </w:r>
      <w:r w:rsidR="00E5047E">
        <w:rPr>
          <w:rFonts w:ascii="Century Schoolbook" w:hAnsi="Century Schoolbook"/>
          <w:i/>
          <w:iCs/>
        </w:rPr>
        <w:t xml:space="preserve">Levy v. Cohen </w:t>
      </w:r>
      <w:r w:rsidR="00E5047E">
        <w:rPr>
          <w:rFonts w:ascii="Century Schoolbook" w:hAnsi="Century Schoolbook"/>
        </w:rPr>
        <w:t>(1977) 19</w:t>
      </w:r>
      <w:r w:rsidR="004E35C9">
        <w:rPr>
          <w:rFonts w:ascii="Century Schoolbook" w:hAnsi="Century Schoolbook"/>
        </w:rPr>
        <w:t> </w:t>
      </w:r>
      <w:r w:rsidR="00E5047E">
        <w:rPr>
          <w:rFonts w:ascii="Century Schoolbook" w:hAnsi="Century Schoolbook"/>
        </w:rPr>
        <w:t>Cal.3d 165, 171, a requirement which would also apply should we view the issue one of ‘collateral estoppel’ (</w:t>
      </w:r>
      <w:r w:rsidR="00E5047E">
        <w:rPr>
          <w:rFonts w:ascii="Century Schoolbook" w:hAnsi="Century Schoolbook"/>
          <w:i/>
          <w:iCs/>
        </w:rPr>
        <w:t xml:space="preserve">Producers Dairy Delivery Co. v. Sentry Ins. Co. </w:t>
      </w:r>
      <w:r w:rsidR="00E5047E">
        <w:rPr>
          <w:rFonts w:ascii="Century Schoolbook" w:hAnsi="Century Schoolbook"/>
        </w:rPr>
        <w:t>(1986) 41 Cal.3d 903, 910).”</w:t>
      </w:r>
    </w:p>
    <w:p w:rsidR="00D6510C" w:rsidRPr="00E44F4F" w:rsidP="00624ADF" w14:paraId="2B6FE26B" w14:textId="74CD16BC">
      <w:pPr>
        <w:spacing w:line="360" w:lineRule="auto"/>
        <w:rPr>
          <w:rFonts w:ascii="Century Schoolbook" w:hAnsi="Century Schoolbook"/>
          <w:color w:val="3D3D3D"/>
          <w:shd w:val="clear" w:color="auto" w:fill="FFFFFF"/>
        </w:rPr>
      </w:pPr>
      <w:r>
        <w:rPr>
          <w:rFonts w:ascii="Century Schoolbook" w:hAnsi="Century Schoolbook"/>
        </w:rPr>
        <w:tab/>
      </w:r>
      <w:r w:rsidR="006A72BE">
        <w:rPr>
          <w:rFonts w:ascii="Century Schoolbook" w:hAnsi="Century Schoolbook"/>
        </w:rPr>
        <w:t>C</w:t>
      </w:r>
      <w:r>
        <w:rPr>
          <w:rFonts w:ascii="Century Schoolbook" w:hAnsi="Century Schoolbook"/>
        </w:rPr>
        <w:t xml:space="preserve">iting </w:t>
      </w:r>
      <w:r>
        <w:rPr>
          <w:rFonts w:ascii="Century Schoolbook" w:hAnsi="Century Schoolbook"/>
          <w:i/>
          <w:iCs/>
        </w:rPr>
        <w:t>Lennane</w:t>
      </w:r>
      <w:r>
        <w:rPr>
          <w:rFonts w:ascii="Century Schoolbook" w:hAnsi="Century Schoolbook"/>
        </w:rPr>
        <w:t xml:space="preserve"> and </w:t>
      </w:r>
      <w:r w:rsidR="00E44F4F">
        <w:rPr>
          <w:rFonts w:ascii="Century Schoolbook" w:hAnsi="Century Schoolbook"/>
        </w:rPr>
        <w:t xml:space="preserve">numerous </w:t>
      </w:r>
      <w:r>
        <w:rPr>
          <w:rFonts w:ascii="Century Schoolbook" w:hAnsi="Century Schoolbook"/>
        </w:rPr>
        <w:t>other authorities</w:t>
      </w:r>
      <w:r w:rsidR="006A72BE">
        <w:rPr>
          <w:rFonts w:ascii="Century Schoolbook" w:hAnsi="Century Schoolbook"/>
        </w:rPr>
        <w:t>, this is how Witkin puts it</w:t>
      </w:r>
      <w:r>
        <w:rPr>
          <w:rFonts w:ascii="Century Schoolbook" w:hAnsi="Century Schoolbook"/>
        </w:rPr>
        <w:t>:</w:t>
      </w:r>
      <w:r w:rsidR="00624ADF">
        <w:rPr>
          <w:rFonts w:ascii="Century Schoolbook" w:hAnsi="Century Schoolbook"/>
        </w:rPr>
        <w:t xml:space="preserve">  </w:t>
      </w:r>
      <w:r w:rsidRPr="00E44F4F" w:rsidR="00FD1FC9">
        <w:rPr>
          <w:rFonts w:ascii="Century Schoolbook" w:hAnsi="Century Schoolbook"/>
          <w:color w:val="3D3D3D"/>
          <w:shd w:val="clear" w:color="auto" w:fill="FFFFFF"/>
        </w:rPr>
        <w:t>“</w:t>
      </w:r>
      <w:r w:rsidRPr="00E44F4F" w:rsidR="00FD1FC9">
        <w:rPr>
          <w:rFonts w:ascii="Century Schoolbook" w:hAnsi="Century Schoolbook"/>
          <w:color w:val="3D3D3D"/>
          <w:szCs w:val="26"/>
          <w:shd w:val="clear" w:color="auto" w:fill="FFFFFF"/>
        </w:rPr>
        <w:t>(2) </w:t>
      </w:r>
      <w:r w:rsidRPr="00E44F4F" w:rsidR="00FD1FC9">
        <w:rPr>
          <w:rStyle w:val="Emphasis"/>
          <w:rFonts w:ascii="Century Schoolbook" w:hAnsi="Century Schoolbook"/>
          <w:color w:val="3D3D3D"/>
          <w:szCs w:val="26"/>
          <w:bdr w:val="none" w:sz="0" w:space="0" w:color="auto" w:frame="1"/>
          <w:shd w:val="clear" w:color="auto" w:fill="FFFFFF"/>
        </w:rPr>
        <w:t>Earlier Ruling in Same Case Cannot Be Preclusive.</w:t>
      </w:r>
      <w:r w:rsidRPr="00E44F4F" w:rsidR="00FD1FC9">
        <w:rPr>
          <w:rStyle w:val="Emphasis"/>
          <w:rFonts w:ascii="Century Schoolbook" w:hAnsi="Century Schoolbook"/>
          <w:color w:val="3D3D3D"/>
          <w:bdr w:val="none" w:sz="0" w:space="0" w:color="auto" w:frame="1"/>
          <w:shd w:val="clear" w:color="auto" w:fill="FFFFFF"/>
        </w:rPr>
        <w:t xml:space="preserve">  </w:t>
      </w:r>
      <w:r w:rsidRPr="00E44F4F" w:rsidR="00FD1FC9">
        <w:rPr>
          <w:rFonts w:ascii="Century Schoolbook" w:hAnsi="Century Schoolbook"/>
          <w:color w:val="3D3D3D"/>
          <w:szCs w:val="26"/>
          <w:shd w:val="clear" w:color="auto" w:fill="FFFFFF"/>
        </w:rPr>
        <w:t xml:space="preserve">The preclusion doctrines give conclusive effect to a former judgment only when the former judgment was in a different action; an earlier ruling in the same action cannot be preclusive, although it may be </w:t>
      </w:r>
      <w:r w:rsidRPr="00E44F4F" w:rsidR="00FD1FC9">
        <w:rPr>
          <w:rFonts w:ascii="Century Schoolbook" w:hAnsi="Century Schoolbook"/>
          <w:color w:val="3D3D3D"/>
          <w:shd w:val="clear" w:color="auto" w:fill="FFFFFF"/>
        </w:rPr>
        <w:t>‘</w:t>
      </w:r>
      <w:r w:rsidRPr="00E44F4F" w:rsidR="00FD1FC9">
        <w:rPr>
          <w:rFonts w:ascii="Century Schoolbook" w:hAnsi="Century Schoolbook"/>
          <w:color w:val="3D3D3D"/>
          <w:szCs w:val="26"/>
          <w:shd w:val="clear" w:color="auto" w:fill="FFFFFF"/>
        </w:rPr>
        <w:t>law of the case</w:t>
      </w:r>
      <w:r w:rsidRPr="00E44F4F" w:rsidR="00FD1FC9">
        <w:rPr>
          <w:rFonts w:ascii="Century Schoolbook" w:hAnsi="Century Schoolbook"/>
          <w:color w:val="3D3D3D"/>
          <w:shd w:val="clear" w:color="auto" w:fill="FFFFFF"/>
        </w:rPr>
        <w:t>’</w:t>
      </w:r>
      <w:r w:rsidRPr="00E44F4F" w:rsidR="00FD1FC9">
        <w:rPr>
          <w:rFonts w:ascii="Century Schoolbook" w:hAnsi="Century Schoolbook"/>
          <w:color w:val="3D3D3D"/>
          <w:szCs w:val="26"/>
          <w:shd w:val="clear" w:color="auto" w:fill="FFFFFF"/>
        </w:rPr>
        <w:t xml:space="preserve"> if an appellate court has determined the issue. </w:t>
      </w:r>
      <w:r w:rsidRPr="00E44F4F" w:rsidR="00FD1FC9">
        <w:rPr>
          <w:rFonts w:ascii="Century Schoolbook" w:hAnsi="Century Schoolbook"/>
          <w:color w:val="3D3D3D"/>
          <w:shd w:val="clear" w:color="auto" w:fill="FFFFFF"/>
        </w:rPr>
        <w:t xml:space="preserve"> </w:t>
      </w:r>
      <w:r w:rsidR="00E478DE">
        <w:rPr>
          <w:rFonts w:ascii="Century Schoolbook" w:hAnsi="Century Schoolbook"/>
          <w:color w:val="3D3D3D"/>
          <w:shd w:val="clear" w:color="auto" w:fill="FFFFFF"/>
        </w:rPr>
        <w:t>[Citations.]</w:t>
      </w:r>
      <w:r w:rsidR="00CB18F1">
        <w:rPr>
          <w:rFonts w:ascii="Century Schoolbook" w:hAnsi="Century Schoolbook"/>
          <w:color w:val="3D3D3D"/>
          <w:shd w:val="clear" w:color="auto" w:fill="FFFFFF"/>
        </w:rPr>
        <w:t>”  (7 Witkin, Cal. Proc</w:t>
      </w:r>
      <w:r w:rsidR="000D131F">
        <w:rPr>
          <w:rFonts w:ascii="Century Schoolbook" w:hAnsi="Century Schoolbook"/>
          <w:color w:val="3D3D3D"/>
          <w:shd w:val="clear" w:color="auto" w:fill="FFFFFF"/>
        </w:rPr>
        <w:t>edure (6th ed. 2024) Judgment, §362.)</w:t>
      </w:r>
    </w:p>
    <w:p w:rsidR="0062342B" w:rsidP="006A29B1" w14:paraId="5113ADA4" w14:textId="2A903121">
      <w:pPr>
        <w:spacing w:line="360" w:lineRule="auto"/>
        <w:rPr>
          <w:rFonts w:ascii="Century Schoolbook" w:hAnsi="Century Schoolbook"/>
        </w:rPr>
      </w:pPr>
      <w:r>
        <w:rPr>
          <w:rFonts w:ascii="Century Schoolbook" w:hAnsi="Century Schoolbook"/>
        </w:rPr>
        <w:tab/>
      </w:r>
      <w:r w:rsidR="00FD1FC9">
        <w:rPr>
          <w:rFonts w:ascii="Century Schoolbook" w:hAnsi="Century Schoolbook"/>
        </w:rPr>
        <w:t xml:space="preserve">Finally, on this issue, we note that </w:t>
      </w:r>
      <w:r>
        <w:rPr>
          <w:rFonts w:ascii="Century Schoolbook" w:hAnsi="Century Schoolbook"/>
        </w:rPr>
        <w:t>even if Judge Schulman erred—and plaintiffs have not shown he did—</w:t>
      </w:r>
      <w:r w:rsidR="00054802">
        <w:rPr>
          <w:rFonts w:ascii="Century Schoolbook" w:hAnsi="Century Schoolbook"/>
        </w:rPr>
        <w:t>the</w:t>
      </w:r>
      <w:r w:rsidR="00CF413E">
        <w:rPr>
          <w:rFonts w:ascii="Century Schoolbook" w:hAnsi="Century Schoolbook"/>
        </w:rPr>
        <w:t xml:space="preserve"> error was harmless.</w:t>
      </w:r>
      <w:r w:rsidR="00F12216">
        <w:rPr>
          <w:rFonts w:ascii="Century Schoolbook" w:hAnsi="Century Schoolbook"/>
        </w:rPr>
        <w:t xml:space="preserve">  </w:t>
      </w:r>
    </w:p>
    <w:p w:rsidR="0062342B" w:rsidP="006A29B1" w14:paraId="32EEED05" w14:textId="368AC9ED">
      <w:pPr>
        <w:spacing w:line="360" w:lineRule="auto"/>
        <w:rPr>
          <w:rFonts w:ascii="Century Schoolbook" w:hAnsi="Century Schoolbook"/>
        </w:rPr>
      </w:pPr>
      <w:r>
        <w:rPr>
          <w:rFonts w:ascii="Century Schoolbook" w:hAnsi="Century Schoolbook"/>
        </w:rPr>
        <w:tab/>
        <w:t>“[A]rticle VI, section 13 [of the California Constitution] prohibits a reviewing court from setting aside a judgment due to trial court error unless it finds the error prejudicial.”  (</w:t>
      </w:r>
      <w:r w:rsidRPr="006A29B1">
        <w:rPr>
          <w:rFonts w:ascii="Century Schoolbook" w:hAnsi="Century Schoolbook"/>
          <w:i/>
          <w:iCs/>
        </w:rPr>
        <w:t>People v. Chun</w:t>
      </w:r>
      <w:r>
        <w:rPr>
          <w:rFonts w:ascii="Century Schoolbook" w:hAnsi="Century Schoolbook"/>
        </w:rPr>
        <w:t xml:space="preserve"> (2009) 45 Cal.4th 1172, 1201; accord, </w:t>
      </w:r>
      <w:r w:rsidRPr="006A29B1">
        <w:rPr>
          <w:rFonts w:ascii="Century Schoolbook" w:hAnsi="Century Schoolbook"/>
          <w:i/>
          <w:iCs/>
        </w:rPr>
        <w:t>TriCoast Builders, Inc. v. Fonnegra</w:t>
      </w:r>
      <w:r>
        <w:rPr>
          <w:rFonts w:ascii="Century Schoolbook" w:hAnsi="Century Schoolbook"/>
        </w:rPr>
        <w:t xml:space="preserve"> (2024) 15 Cal.5th 766, 786; </w:t>
      </w:r>
      <w:r w:rsidRPr="006A29B1">
        <w:rPr>
          <w:rFonts w:ascii="Century Schoolbook" w:hAnsi="Century Schoolbook"/>
          <w:i/>
          <w:iCs/>
        </w:rPr>
        <w:t>F.P. v. Monier</w:t>
      </w:r>
      <w:r>
        <w:rPr>
          <w:rFonts w:ascii="Century Schoolbook" w:hAnsi="Century Schoolbook"/>
        </w:rPr>
        <w:t xml:space="preserve"> (2017) 3 Cal.5th 1099, 1108.)  Plaintiffs bear the burden of showing such prejudice (</w:t>
      </w:r>
      <w:r w:rsidRPr="006A29B1">
        <w:rPr>
          <w:rFonts w:ascii="Century Schoolbook" w:hAnsi="Century Schoolbook"/>
          <w:i/>
          <w:iCs/>
        </w:rPr>
        <w:t>Citizens for Open Government v. City of Lodi</w:t>
      </w:r>
      <w:r>
        <w:rPr>
          <w:rFonts w:ascii="Century Schoolbook" w:hAnsi="Century Schoolbook"/>
        </w:rPr>
        <w:t xml:space="preserve"> (2012) 205</w:t>
      </w:r>
      <w:r w:rsidR="00DB0D9C">
        <w:rPr>
          <w:rFonts w:ascii="Century Schoolbook" w:hAnsi="Century Schoolbook"/>
        </w:rPr>
        <w:t> </w:t>
      </w:r>
      <w:r>
        <w:rPr>
          <w:rFonts w:ascii="Century Schoolbook" w:hAnsi="Century Schoolbook"/>
        </w:rPr>
        <w:t>Cal.App.4th 296, 308), a burden that requires them to show “</w:t>
      </w:r>
      <w:r w:rsidR="00DB0D9C">
        <w:rPr>
          <w:rFonts w:ascii="Century Schoolbook" w:hAnsi="Century Schoolbook"/>
        </w:rPr>
        <w:t xml:space="preserve"> ‘</w:t>
      </w:r>
      <w:r>
        <w:rPr>
          <w:rFonts w:ascii="Century Schoolbook" w:hAnsi="Century Schoolbook"/>
        </w:rPr>
        <w:t>it is reasonably probable</w:t>
      </w:r>
      <w:r w:rsidR="006A29B1">
        <w:rPr>
          <w:rFonts w:ascii="Century Schoolbook" w:hAnsi="Century Schoolbook"/>
        </w:rPr>
        <w:t xml:space="preserve"> that a result more favorable to [them] would have been reached in the absence of the error.</w:t>
      </w:r>
      <w:r w:rsidR="00DB0D9C">
        <w:rPr>
          <w:rFonts w:ascii="Century Schoolbook" w:hAnsi="Century Schoolbook"/>
        </w:rPr>
        <w:t xml:space="preserve">’ </w:t>
      </w:r>
      <w:r w:rsidR="006A29B1">
        <w:rPr>
          <w:rFonts w:ascii="Century Schoolbook" w:hAnsi="Century Schoolbook"/>
        </w:rPr>
        <w:t>”  (</w:t>
      </w:r>
      <w:r w:rsidRPr="006A29B1" w:rsidR="006A29B1">
        <w:rPr>
          <w:rFonts w:ascii="Century Schoolbook" w:hAnsi="Century Schoolbook"/>
          <w:i/>
          <w:iCs/>
        </w:rPr>
        <w:t>Cassim v. All</w:t>
      </w:r>
      <w:r w:rsidR="006A29B1">
        <w:rPr>
          <w:rFonts w:ascii="Century Schoolbook" w:hAnsi="Century Schoolbook"/>
          <w:i/>
          <w:iCs/>
        </w:rPr>
        <w:t>s</w:t>
      </w:r>
      <w:r w:rsidRPr="006A29B1" w:rsidR="006A29B1">
        <w:rPr>
          <w:rFonts w:ascii="Century Schoolbook" w:hAnsi="Century Schoolbook"/>
          <w:i/>
          <w:iCs/>
        </w:rPr>
        <w:t>tate Ins. Co.</w:t>
      </w:r>
      <w:r w:rsidR="006A29B1">
        <w:rPr>
          <w:rFonts w:ascii="Century Schoolbook" w:hAnsi="Century Schoolbook"/>
        </w:rPr>
        <w:t xml:space="preserve"> (2004) 33</w:t>
      </w:r>
      <w:r w:rsidR="00434022">
        <w:rPr>
          <w:rFonts w:ascii="Century Schoolbook" w:hAnsi="Century Schoolbook"/>
        </w:rPr>
        <w:t> </w:t>
      </w:r>
      <w:r w:rsidR="006A29B1">
        <w:rPr>
          <w:rFonts w:ascii="Century Schoolbook" w:hAnsi="Century Schoolbook"/>
        </w:rPr>
        <w:t xml:space="preserve">Cal.4th 780, 800.)  </w:t>
      </w:r>
    </w:p>
    <w:p w:rsidR="00800407" w:rsidP="006A29B1" w14:paraId="7734361F" w14:textId="131FD8A5">
      <w:pPr>
        <w:spacing w:line="360" w:lineRule="auto"/>
        <w:rPr>
          <w:rFonts w:ascii="Century Schoolbook" w:hAnsi="Century Schoolbook"/>
        </w:rPr>
      </w:pPr>
      <w:r>
        <w:rPr>
          <w:rFonts w:ascii="Century Schoolbook" w:hAnsi="Century Schoolbook"/>
        </w:rPr>
        <w:tab/>
        <w:t xml:space="preserve">Here, </w:t>
      </w:r>
      <w:r w:rsidR="00620A04">
        <w:rPr>
          <w:rFonts w:ascii="Century Schoolbook" w:hAnsi="Century Schoolbook"/>
        </w:rPr>
        <w:t>Judge Schulman</w:t>
      </w:r>
      <w:r w:rsidR="001D47D1">
        <w:rPr>
          <w:rFonts w:ascii="Century Schoolbook" w:hAnsi="Century Schoolbook"/>
        </w:rPr>
        <w:t xml:space="preserve"> expressly stated that </w:t>
      </w:r>
      <w:r w:rsidR="00620A04">
        <w:rPr>
          <w:rFonts w:ascii="Century Schoolbook" w:hAnsi="Century Schoolbook"/>
        </w:rPr>
        <w:t>he</w:t>
      </w:r>
      <w:r w:rsidR="001D47D1">
        <w:rPr>
          <w:rFonts w:ascii="Century Schoolbook" w:hAnsi="Century Schoolbook"/>
        </w:rPr>
        <w:t xml:space="preserve"> “need not resolve” whether the </w:t>
      </w:r>
      <w:r w:rsidR="0061137C">
        <w:rPr>
          <w:rFonts w:ascii="Century Schoolbook" w:hAnsi="Century Schoolbook"/>
        </w:rPr>
        <w:t xml:space="preserve">private interest factor concerning the </w:t>
      </w:r>
      <w:r w:rsidR="001D47D1">
        <w:rPr>
          <w:rFonts w:ascii="Century Schoolbook" w:hAnsi="Century Schoolbook"/>
        </w:rPr>
        <w:t xml:space="preserve">location of evidence and witnesses weighed in favor of transfer because “the public interest factors </w:t>
      </w:r>
      <w:r w:rsidR="0037709F">
        <w:rPr>
          <w:rFonts w:ascii="Century Schoolbook" w:hAnsi="Century Schoolbook"/>
        </w:rPr>
        <w:t>weigh heavily</w:t>
      </w:r>
      <w:r w:rsidR="00E91F22">
        <w:rPr>
          <w:rFonts w:ascii="Century Schoolbook" w:hAnsi="Century Schoolbook"/>
        </w:rPr>
        <w:t xml:space="preserve"> in favor of transfer” and “overwhelmingly apply here</w:t>
      </w:r>
      <w:r w:rsidR="0037709F">
        <w:rPr>
          <w:rFonts w:ascii="Century Schoolbook" w:hAnsi="Century Schoolbook"/>
        </w:rPr>
        <w:t xml:space="preserve"> in favor of granting Uber’s motions</w:t>
      </w:r>
      <w:r w:rsidR="00E91F22">
        <w:rPr>
          <w:rFonts w:ascii="Century Schoolbook" w:hAnsi="Century Schoolbook"/>
        </w:rPr>
        <w:t xml:space="preserve"> as to both cases.”</w:t>
      </w:r>
      <w:r w:rsidR="0037709F">
        <w:rPr>
          <w:rFonts w:ascii="Century Schoolbook" w:hAnsi="Century Schoolbook"/>
        </w:rPr>
        <w:t xml:space="preserve">  </w:t>
      </w:r>
      <w:r w:rsidR="00E5047E">
        <w:rPr>
          <w:rFonts w:ascii="Century Schoolbook" w:hAnsi="Century Schoolbook"/>
        </w:rPr>
        <w:t>So</w:t>
      </w:r>
      <w:r w:rsidR="00EA4FEB">
        <w:rPr>
          <w:rFonts w:ascii="Century Schoolbook" w:hAnsi="Century Schoolbook"/>
        </w:rPr>
        <w:t xml:space="preserve">, even if </w:t>
      </w:r>
      <w:r w:rsidR="00620A04">
        <w:rPr>
          <w:rFonts w:ascii="Century Schoolbook" w:hAnsi="Century Schoolbook"/>
        </w:rPr>
        <w:t>Judge Schulman</w:t>
      </w:r>
      <w:r w:rsidR="00EA4FEB">
        <w:rPr>
          <w:rFonts w:ascii="Century Schoolbook" w:hAnsi="Century Schoolbook"/>
        </w:rPr>
        <w:t xml:space="preserve"> had </w:t>
      </w:r>
      <w:r w:rsidR="00BF5B11">
        <w:rPr>
          <w:rFonts w:ascii="Century Schoolbook" w:hAnsi="Century Schoolbook"/>
        </w:rPr>
        <w:t>afforded preclusive effect to t</w:t>
      </w:r>
      <w:r w:rsidR="00656A02">
        <w:rPr>
          <w:rFonts w:ascii="Century Schoolbook" w:hAnsi="Century Schoolbook"/>
        </w:rPr>
        <w:t xml:space="preserve">he coordination court’s view that “liability questions center on [Uber], not its drivers,” and therefore concluded that the location of witnesses and evidence weighed against </w:t>
      </w:r>
      <w:r w:rsidR="00E91F22">
        <w:rPr>
          <w:rFonts w:ascii="Century Schoolbook" w:hAnsi="Century Schoolbook"/>
        </w:rPr>
        <w:t>granting the motions</w:t>
      </w:r>
      <w:r w:rsidR="00656A02">
        <w:rPr>
          <w:rFonts w:ascii="Century Schoolbook" w:hAnsi="Century Schoolbook"/>
        </w:rPr>
        <w:t xml:space="preserve">, plaintiffs have failed to </w:t>
      </w:r>
      <w:r w:rsidR="00054802">
        <w:rPr>
          <w:rFonts w:ascii="Century Schoolbook" w:hAnsi="Century Schoolbook"/>
        </w:rPr>
        <w:t xml:space="preserve">demonstrate </w:t>
      </w:r>
      <w:r w:rsidR="00656A02">
        <w:rPr>
          <w:rFonts w:ascii="Century Schoolbook" w:hAnsi="Century Schoolbook"/>
        </w:rPr>
        <w:t xml:space="preserve">a reasonable probability of a different result. </w:t>
      </w:r>
      <w:r w:rsidR="00EA4FEB">
        <w:rPr>
          <w:rFonts w:ascii="Century Schoolbook" w:hAnsi="Century Schoolbook"/>
        </w:rPr>
        <w:t xml:space="preserve"> </w:t>
      </w:r>
      <w:r w:rsidR="00CF413E">
        <w:rPr>
          <w:rFonts w:ascii="Century Schoolbook" w:hAnsi="Century Schoolbook"/>
        </w:rPr>
        <w:t xml:space="preserve">(See </w:t>
      </w:r>
      <w:r w:rsidRPr="00CF413E" w:rsidR="00CF413E">
        <w:rPr>
          <w:rFonts w:ascii="Century Schoolbook" w:hAnsi="Century Schoolbook"/>
          <w:i/>
          <w:iCs/>
        </w:rPr>
        <w:t>American Federation of State etc. Employees v. County of Los Angeles</w:t>
      </w:r>
      <w:r w:rsidRPr="00CF413E" w:rsidR="00CF413E">
        <w:rPr>
          <w:rFonts w:ascii="Century Schoolbook" w:hAnsi="Century Schoolbook"/>
        </w:rPr>
        <w:t xml:space="preserve"> (1983) 146 Cal.App.3d 879, 887 [affirming trial court despite erroneous collateral estoppel ruling</w:t>
      </w:r>
      <w:r w:rsidR="0037709F">
        <w:rPr>
          <w:rFonts w:ascii="Century Schoolbook" w:hAnsi="Century Schoolbook"/>
        </w:rPr>
        <w:t xml:space="preserve"> where</w:t>
      </w:r>
      <w:r w:rsidRPr="00CF413E" w:rsidR="00CF413E">
        <w:rPr>
          <w:rFonts w:ascii="Century Schoolbook" w:hAnsi="Century Schoolbook"/>
        </w:rPr>
        <w:t xml:space="preserve"> reviewing court “view[ed] the error as harmless”]</w:t>
      </w:r>
      <w:r w:rsidR="00CF413E">
        <w:rPr>
          <w:rFonts w:ascii="Century Schoolbook" w:hAnsi="Century Schoolbook"/>
        </w:rPr>
        <w:t xml:space="preserve">.)  </w:t>
      </w:r>
    </w:p>
    <w:p w:rsidR="00800407" w:rsidRPr="00800407" w:rsidP="00A8221A" w14:paraId="437B0FFB" w14:textId="78B997B3">
      <w:pPr>
        <w:spacing w:line="240" w:lineRule="auto"/>
        <w:rPr>
          <w:rFonts w:ascii="Century Schoolbook" w:hAnsi="Century Schoolbook"/>
          <w:b/>
          <w:bCs/>
        </w:rPr>
      </w:pPr>
      <w:r>
        <w:rPr>
          <w:rFonts w:ascii="Century Schoolbook" w:hAnsi="Century Schoolbook"/>
        </w:rPr>
        <w:tab/>
      </w:r>
      <w:r w:rsidR="0061137C">
        <w:rPr>
          <w:rFonts w:ascii="Century Schoolbook" w:hAnsi="Century Schoolbook"/>
          <w:b/>
          <w:bCs/>
        </w:rPr>
        <w:t xml:space="preserve">We Decline to </w:t>
      </w:r>
      <w:r w:rsidR="00B71D66">
        <w:rPr>
          <w:rFonts w:ascii="Century Schoolbook" w:hAnsi="Century Schoolbook"/>
          <w:b/>
          <w:bCs/>
        </w:rPr>
        <w:t xml:space="preserve">Exercise Our Discretion to </w:t>
      </w:r>
      <w:r w:rsidR="0061137C">
        <w:rPr>
          <w:rFonts w:ascii="Century Schoolbook" w:hAnsi="Century Schoolbook"/>
          <w:b/>
          <w:bCs/>
        </w:rPr>
        <w:t>Consider Plaintiffs’ Argument Based on Uber’s Terms of Use</w:t>
      </w:r>
    </w:p>
    <w:p w:rsidR="00413822" w:rsidRPr="008D0F4E" w:rsidP="00413822" w14:paraId="6D30A802" w14:textId="19FD26D8">
      <w:pPr>
        <w:rPr>
          <w:rFonts w:ascii="Century Schoolbook" w:hAnsi="Century Schoolbook"/>
        </w:rPr>
      </w:pPr>
      <w:r>
        <w:rPr>
          <w:rFonts w:ascii="Century Schoolbook" w:hAnsi="Century Schoolbook"/>
        </w:rPr>
        <w:tab/>
      </w:r>
      <w:r w:rsidR="00B217EC">
        <w:rPr>
          <w:rFonts w:ascii="Century Schoolbook" w:hAnsi="Century Schoolbook"/>
        </w:rPr>
        <w:t>Finally, and conceding that they make the argument for</w:t>
      </w:r>
      <w:r w:rsidR="00B71D66">
        <w:rPr>
          <w:rFonts w:ascii="Century Schoolbook" w:hAnsi="Century Schoolbook"/>
        </w:rPr>
        <w:t xml:space="preserve"> </w:t>
      </w:r>
      <w:r>
        <w:rPr>
          <w:rFonts w:ascii="Century Schoolbook" w:hAnsi="Century Schoolbook"/>
        </w:rPr>
        <w:t>the first time on appeal, plaintiffs argue that Uber’s terms of use require it to honor plaintiffs’ choice of forum</w:t>
      </w:r>
      <w:r w:rsidR="00434022">
        <w:rPr>
          <w:rFonts w:ascii="Century Schoolbook" w:hAnsi="Century Schoolbook"/>
        </w:rPr>
        <w:t xml:space="preserve">.  The argument relies </w:t>
      </w:r>
      <w:r>
        <w:rPr>
          <w:rFonts w:ascii="Century Schoolbook" w:hAnsi="Century Schoolbook"/>
        </w:rPr>
        <w:t xml:space="preserve">on </w:t>
      </w:r>
      <w:r w:rsidR="00A30BBC">
        <w:rPr>
          <w:rFonts w:ascii="Century Schoolbook" w:hAnsi="Century Schoolbook"/>
        </w:rPr>
        <w:t xml:space="preserve">section 2, particularly </w:t>
      </w:r>
      <w:r>
        <w:rPr>
          <w:rFonts w:ascii="Century Schoolbook" w:hAnsi="Century Schoolbook"/>
        </w:rPr>
        <w:t>sections 2(a) and 2(b)</w:t>
      </w:r>
      <w:r w:rsidR="00A30BBC">
        <w:rPr>
          <w:rFonts w:ascii="Century Schoolbook" w:hAnsi="Century Schoolbook"/>
        </w:rPr>
        <w:t>,</w:t>
      </w:r>
      <w:r>
        <w:rPr>
          <w:rFonts w:ascii="Century Schoolbook" w:hAnsi="Century Schoolbook"/>
        </w:rPr>
        <w:t xml:space="preserve"> from </w:t>
      </w:r>
      <w:r w:rsidR="004D544B">
        <w:rPr>
          <w:rFonts w:ascii="Century Schoolbook" w:hAnsi="Century Schoolbook"/>
        </w:rPr>
        <w:t>one of the versions of its</w:t>
      </w:r>
      <w:r w:rsidR="00A8221A">
        <w:rPr>
          <w:rFonts w:ascii="Century Schoolbook" w:hAnsi="Century Schoolbook"/>
        </w:rPr>
        <w:t xml:space="preserve"> terms of use Uber attached to </w:t>
      </w:r>
      <w:r w:rsidR="004D544B">
        <w:rPr>
          <w:rFonts w:ascii="Century Schoolbook" w:hAnsi="Century Schoolbook"/>
        </w:rPr>
        <w:t>its opposition to the motion for coordination</w:t>
      </w:r>
      <w:r>
        <w:rPr>
          <w:rFonts w:ascii="Century Schoolbook" w:hAnsi="Century Schoolbook"/>
        </w:rPr>
        <w:t>.</w:t>
      </w:r>
      <w:r w:rsidR="00E5047E">
        <w:rPr>
          <w:rFonts w:ascii="Century Schoolbook" w:hAnsi="Century Schoolbook"/>
        </w:rPr>
        <w:t xml:space="preserve">  </w:t>
      </w:r>
      <w:r>
        <w:rPr>
          <w:rFonts w:ascii="Century Schoolbook" w:hAnsi="Century Schoolbook"/>
        </w:rPr>
        <w:t>Section 2</w:t>
      </w:r>
      <w:r w:rsidR="00A30BBC">
        <w:rPr>
          <w:rFonts w:ascii="Century Schoolbook" w:hAnsi="Century Schoolbook"/>
        </w:rPr>
        <w:t xml:space="preserve"> is entitled “Arbitration Agreement,” and </w:t>
      </w:r>
      <w:r w:rsidR="009E2AA5">
        <w:rPr>
          <w:rFonts w:ascii="Century Schoolbook" w:hAnsi="Century Schoolbook"/>
        </w:rPr>
        <w:t xml:space="preserve">section 2(a) </w:t>
      </w:r>
      <w:r w:rsidR="00A30BBC">
        <w:rPr>
          <w:rFonts w:ascii="Century Schoolbook" w:hAnsi="Century Schoolbook"/>
        </w:rPr>
        <w:t xml:space="preserve">provides that </w:t>
      </w:r>
      <w:r>
        <w:rPr>
          <w:rFonts w:ascii="Century Schoolbook" w:hAnsi="Century Schoolbook"/>
        </w:rPr>
        <w:t>“</w:t>
      </w:r>
      <w:r w:rsidRPr="008D0F4E">
        <w:rPr>
          <w:rFonts w:ascii="Century Schoolbook" w:hAnsi="Century Schoolbook"/>
        </w:rPr>
        <w:t>Except as expressly provided below in Section 2(b), you and Uber agree that any dispute, claim</w:t>
      </w:r>
      <w:r>
        <w:rPr>
          <w:rFonts w:ascii="Century Schoolbook" w:hAnsi="Century Schoolbook"/>
        </w:rPr>
        <w:t xml:space="preserve"> </w:t>
      </w:r>
      <w:r w:rsidRPr="008D0F4E">
        <w:rPr>
          <w:rFonts w:ascii="Century Schoolbook" w:hAnsi="Century Schoolbook"/>
        </w:rPr>
        <w:t>or controversy in any way arising out of or relating to</w:t>
      </w:r>
      <w:r w:rsidR="00CE6A51">
        <w:rPr>
          <w:rFonts w:ascii="Century Schoolbook" w:hAnsi="Century Schoolbook"/>
        </w:rPr>
        <w:t> </w:t>
      </w:r>
      <w:r>
        <w:rPr>
          <w:rFonts w:ascii="Century Schoolbook" w:hAnsi="Century Schoolbook"/>
        </w:rPr>
        <w:t>. . .</w:t>
      </w:r>
      <w:r w:rsidRPr="008D0F4E">
        <w:rPr>
          <w:rFonts w:ascii="Century Schoolbook" w:hAnsi="Century Schoolbook"/>
        </w:rPr>
        <w:t xml:space="preserve"> (iii) incidents or accidents</w:t>
      </w:r>
      <w:r>
        <w:rPr>
          <w:rFonts w:ascii="Century Schoolbook" w:hAnsi="Century Schoolbook"/>
        </w:rPr>
        <w:t xml:space="preserve"> </w:t>
      </w:r>
      <w:r w:rsidRPr="008D0F4E">
        <w:rPr>
          <w:rFonts w:ascii="Century Schoolbook" w:hAnsi="Century Schoolbook"/>
        </w:rPr>
        <w:t>resulting in personal injury that you allege occurred in connection with your use of the Services,</w:t>
      </w:r>
      <w:r>
        <w:rPr>
          <w:rFonts w:ascii="Century Schoolbook" w:hAnsi="Century Schoolbook"/>
        </w:rPr>
        <w:t xml:space="preserve"> </w:t>
      </w:r>
      <w:r w:rsidRPr="008D0F4E">
        <w:rPr>
          <w:rFonts w:ascii="Century Schoolbook" w:hAnsi="Century Schoolbook"/>
        </w:rPr>
        <w:t>whether the dispute, claim or controversy occurred or accrued before or after the date you</w:t>
      </w:r>
      <w:r>
        <w:rPr>
          <w:rFonts w:ascii="Century Schoolbook" w:hAnsi="Century Schoolbook"/>
        </w:rPr>
        <w:t xml:space="preserve"> </w:t>
      </w:r>
      <w:r w:rsidRPr="008D0F4E">
        <w:rPr>
          <w:rFonts w:ascii="Century Schoolbook" w:hAnsi="Century Schoolbook"/>
        </w:rPr>
        <w:t xml:space="preserve">agreed to the Terms, </w:t>
      </w:r>
      <w:r>
        <w:rPr>
          <w:rFonts w:ascii="Century Schoolbook" w:hAnsi="Century Schoolbook"/>
        </w:rPr>
        <w:t>. . .</w:t>
      </w:r>
      <w:r w:rsidRPr="008D0F4E">
        <w:rPr>
          <w:rFonts w:ascii="Century Schoolbook" w:hAnsi="Century Schoolbook"/>
        </w:rPr>
        <w:t xml:space="preserve"> will be settled by binding arbitration</w:t>
      </w:r>
      <w:r>
        <w:rPr>
          <w:rFonts w:ascii="Century Schoolbook" w:hAnsi="Century Schoolbook"/>
        </w:rPr>
        <w:t xml:space="preserve"> </w:t>
      </w:r>
      <w:r w:rsidRPr="008D0F4E">
        <w:rPr>
          <w:rFonts w:ascii="Century Schoolbook" w:hAnsi="Century Schoolbook"/>
        </w:rPr>
        <w:t>between you and Uber, and not in a court of law.</w:t>
      </w:r>
      <w:r>
        <w:rPr>
          <w:rFonts w:ascii="Century Schoolbook" w:hAnsi="Century Schoolbook"/>
        </w:rPr>
        <w:t xml:space="preserve">”  </w:t>
      </w:r>
      <w:r w:rsidR="006562A5">
        <w:rPr>
          <w:rFonts w:ascii="Century Schoolbook" w:hAnsi="Century Schoolbook"/>
        </w:rPr>
        <w:t>And s</w:t>
      </w:r>
      <w:r>
        <w:rPr>
          <w:rFonts w:ascii="Century Schoolbook" w:hAnsi="Century Schoolbook"/>
        </w:rPr>
        <w:t>ection 2(b), titled “Exceptions to Arbitration,” provides:  “</w:t>
      </w:r>
      <w:r w:rsidRPr="008D0F4E">
        <w:rPr>
          <w:rFonts w:ascii="Century Schoolbook" w:hAnsi="Century Schoolbook"/>
        </w:rPr>
        <w:t>Notwithstanding the foregoing, this Arbitration Agreement shall not require arbitration of the</w:t>
      </w:r>
      <w:r>
        <w:rPr>
          <w:rFonts w:ascii="Century Schoolbook" w:hAnsi="Century Schoolbook"/>
        </w:rPr>
        <w:t xml:space="preserve"> </w:t>
      </w:r>
      <w:r w:rsidRPr="008D0F4E">
        <w:rPr>
          <w:rFonts w:ascii="Century Schoolbook" w:hAnsi="Century Schoolbook"/>
        </w:rPr>
        <w:t xml:space="preserve">following claims: </w:t>
      </w:r>
      <w:r>
        <w:rPr>
          <w:rFonts w:ascii="Century Schoolbook" w:hAnsi="Century Schoolbook"/>
        </w:rPr>
        <w:t xml:space="preserve"> . . .  </w:t>
      </w:r>
      <w:r w:rsidRPr="008D0F4E">
        <w:rPr>
          <w:rFonts w:ascii="Century Schoolbook" w:hAnsi="Century Schoolbook"/>
        </w:rPr>
        <w:t>(ii)</w:t>
      </w:r>
      <w:r w:rsidR="00CE6A51">
        <w:rPr>
          <w:rFonts w:ascii="Century Schoolbook" w:hAnsi="Century Schoolbook"/>
        </w:rPr>
        <w:t> </w:t>
      </w:r>
      <w:r w:rsidRPr="008D0F4E">
        <w:rPr>
          <w:rFonts w:ascii="Century Schoolbook" w:hAnsi="Century Schoolbook"/>
        </w:rPr>
        <w:t>individual claims of sexual assault or sexual harassment occurring in connection with your</w:t>
      </w:r>
      <w:r>
        <w:rPr>
          <w:rFonts w:ascii="Century Schoolbook" w:hAnsi="Century Schoolbook"/>
        </w:rPr>
        <w:t xml:space="preserve"> </w:t>
      </w:r>
      <w:r w:rsidRPr="008D0F4E">
        <w:rPr>
          <w:rFonts w:ascii="Century Schoolbook" w:hAnsi="Century Schoolbook"/>
        </w:rPr>
        <w:t xml:space="preserve">use of the Services; </w:t>
      </w:r>
      <w:r>
        <w:rPr>
          <w:rFonts w:ascii="Century Schoolbook" w:hAnsi="Century Schoolbook"/>
        </w:rPr>
        <w:t xml:space="preserve">. . . </w:t>
      </w:r>
      <w:r w:rsidRPr="008D0F4E">
        <w:rPr>
          <w:rFonts w:ascii="Century Schoolbook" w:hAnsi="Century Schoolbook"/>
        </w:rPr>
        <w:t>.</w:t>
      </w:r>
      <w:r>
        <w:rPr>
          <w:rFonts w:ascii="Century Schoolbook" w:hAnsi="Century Schoolbook"/>
        </w:rPr>
        <w:t xml:space="preserve">  </w:t>
      </w:r>
      <w:r w:rsidRPr="008D0F4E">
        <w:rPr>
          <w:rFonts w:ascii="Century Schoolbook" w:hAnsi="Century Schoolbook"/>
        </w:rPr>
        <w:t>Such claims may be brought and litigated in a court of competent jurisdiction by you on an</w:t>
      </w:r>
      <w:r>
        <w:rPr>
          <w:rFonts w:ascii="Century Schoolbook" w:hAnsi="Century Schoolbook"/>
        </w:rPr>
        <w:t xml:space="preserve"> </w:t>
      </w:r>
      <w:r w:rsidRPr="008D0F4E">
        <w:rPr>
          <w:rFonts w:ascii="Century Schoolbook" w:hAnsi="Century Schoolbook"/>
        </w:rPr>
        <w:t>individual basis only</w:t>
      </w:r>
      <w:r w:rsidR="005D5AFF">
        <w:rPr>
          <w:rFonts w:ascii="Century Schoolbook" w:hAnsi="Century Schoolbook"/>
        </w:rPr>
        <w:t xml:space="preserve"> . . . .</w:t>
      </w:r>
      <w:r w:rsidRPr="008D0F4E">
        <w:rPr>
          <w:rFonts w:ascii="Century Schoolbook" w:hAnsi="Century Schoolbook"/>
        </w:rPr>
        <w:t xml:space="preserve"> </w:t>
      </w:r>
      <w:r>
        <w:rPr>
          <w:rFonts w:ascii="Century Schoolbook" w:hAnsi="Century Schoolbook"/>
        </w:rPr>
        <w:t xml:space="preserve"> </w:t>
      </w:r>
      <w:r w:rsidRPr="008D0F4E">
        <w:rPr>
          <w:rFonts w:ascii="Century Schoolbook" w:hAnsi="Century Schoolbook"/>
        </w:rPr>
        <w:t>Where your claims are brought and litigated to completion</w:t>
      </w:r>
      <w:r>
        <w:rPr>
          <w:rFonts w:ascii="Century Schoolbook" w:hAnsi="Century Schoolbook"/>
        </w:rPr>
        <w:t xml:space="preserve"> </w:t>
      </w:r>
      <w:r w:rsidRPr="008D0F4E">
        <w:rPr>
          <w:rFonts w:ascii="Century Schoolbook" w:hAnsi="Century Schoolbook"/>
        </w:rPr>
        <w:t>on such an individual basis in a court of competent jurisdiction, Uber agrees to honor your</w:t>
      </w:r>
      <w:r>
        <w:rPr>
          <w:rFonts w:ascii="Century Schoolbook" w:hAnsi="Century Schoolbook"/>
        </w:rPr>
        <w:t xml:space="preserve"> </w:t>
      </w:r>
      <w:r w:rsidRPr="008D0F4E">
        <w:rPr>
          <w:rFonts w:ascii="Century Schoolbook" w:hAnsi="Century Schoolbook"/>
        </w:rPr>
        <w:t>election.</w:t>
      </w:r>
      <w:r w:rsidR="005D5AFF">
        <w:rPr>
          <w:rFonts w:ascii="Century Schoolbook" w:hAnsi="Century Schoolbook"/>
        </w:rPr>
        <w:t xml:space="preserve">” </w:t>
      </w:r>
    </w:p>
    <w:p w:rsidR="00E3196F" w:rsidP="0035628A" w14:paraId="1A76B0C4" w14:textId="6794D597">
      <w:pPr>
        <w:rPr>
          <w:rFonts w:ascii="Century Schoolbook" w:hAnsi="Century Schoolbook"/>
        </w:rPr>
      </w:pPr>
      <w:r>
        <w:rPr>
          <w:rFonts w:ascii="Century Schoolbook" w:hAnsi="Century Schoolbook"/>
        </w:rPr>
        <w:tab/>
      </w:r>
      <w:r w:rsidR="00582E75">
        <w:rPr>
          <w:rFonts w:ascii="Century Schoolbook" w:hAnsi="Century Schoolbook"/>
        </w:rPr>
        <w:t xml:space="preserve">Plaintiffs argue that the statement “Uber agrees to honor your election” means that “Uber has promised to ‘honor’ plaintiffs’ choice of forum.”  </w:t>
      </w:r>
      <w:r w:rsidR="0035628A">
        <w:rPr>
          <w:rFonts w:ascii="Century Schoolbook" w:hAnsi="Century Schoolbook"/>
        </w:rPr>
        <w:t>They concede that they have not previously made this argument</w:t>
      </w:r>
      <w:r w:rsidR="00360C39">
        <w:rPr>
          <w:rFonts w:ascii="Century Schoolbook" w:hAnsi="Century Schoolbook"/>
        </w:rPr>
        <w:t>,</w:t>
      </w:r>
      <w:r w:rsidR="0035628A">
        <w:rPr>
          <w:rFonts w:ascii="Century Schoolbook" w:hAnsi="Century Schoolbook"/>
        </w:rPr>
        <w:t xml:space="preserve"> but assert that we should exercise our discretion to address the issue for the first time on appeal because the interpretation of a writing is a pure question of law that does not turn on the resolution of any disputed facts.  </w:t>
      </w:r>
      <w:r w:rsidRPr="0035628A" w:rsidR="0035628A">
        <w:rPr>
          <w:rFonts w:ascii="Century Schoolbook" w:hAnsi="Century Schoolbook"/>
        </w:rPr>
        <w:t>We do have discretion to address pure questions of law, but we will not do so here</w:t>
      </w:r>
      <w:r w:rsidR="00FD1FC9">
        <w:rPr>
          <w:rFonts w:ascii="Century Schoolbook" w:hAnsi="Century Schoolbook"/>
        </w:rPr>
        <w:t xml:space="preserve">, </w:t>
      </w:r>
      <w:r w:rsidR="009E2AA5">
        <w:rPr>
          <w:rFonts w:ascii="Century Schoolbook" w:hAnsi="Century Schoolbook"/>
        </w:rPr>
        <w:t>especially because we do not agree the issue presents undisputed facts</w:t>
      </w:r>
      <w:r w:rsidRPr="0035628A" w:rsidR="0035628A">
        <w:rPr>
          <w:rFonts w:ascii="Century Schoolbook" w:hAnsi="Century Schoolbook"/>
        </w:rPr>
        <w:t>.</w:t>
      </w:r>
      <w:r w:rsidR="0035628A">
        <w:rPr>
          <w:rFonts w:ascii="Century Schoolbook" w:hAnsi="Century Schoolbook"/>
        </w:rPr>
        <w:t xml:space="preserve">  (See </w:t>
      </w:r>
      <w:r w:rsidRPr="00BF7BCF" w:rsidR="0035628A">
        <w:rPr>
          <w:rFonts w:ascii="Century Schoolbook" w:hAnsi="Century Schoolbook"/>
          <w:i/>
          <w:iCs/>
        </w:rPr>
        <w:t>Kucera v. Lizza</w:t>
      </w:r>
      <w:r w:rsidR="0035628A">
        <w:rPr>
          <w:rFonts w:ascii="Century Schoolbook" w:hAnsi="Century Schoolbook"/>
        </w:rPr>
        <w:t xml:space="preserve"> </w:t>
      </w:r>
      <w:r w:rsidRPr="0035628A" w:rsidR="0035628A">
        <w:rPr>
          <w:rFonts w:ascii="Century Schoolbook" w:hAnsi="Century Schoolbook"/>
        </w:rPr>
        <w:t>(1997) 59 Cal.App.4th 1141, 1150</w:t>
      </w:r>
      <w:r w:rsidR="0035628A">
        <w:rPr>
          <w:rFonts w:ascii="Century Schoolbook" w:hAnsi="Century Schoolbook"/>
        </w:rPr>
        <w:t xml:space="preserve">.)  </w:t>
      </w:r>
      <w:r w:rsidRPr="0035628A" w:rsidR="0035628A">
        <w:rPr>
          <w:rFonts w:ascii="Century Schoolbook" w:hAnsi="Century Schoolbook"/>
        </w:rPr>
        <w:t xml:space="preserve"> </w:t>
      </w:r>
    </w:p>
    <w:p w:rsidR="009E2AA5" w:rsidP="00C568C9" w14:paraId="337E771C" w14:textId="04A7241D">
      <w:pPr>
        <w:rPr>
          <w:rFonts w:ascii="Century Schoolbook" w:hAnsi="Century Schoolbook"/>
        </w:rPr>
      </w:pPr>
      <w:r>
        <w:rPr>
          <w:rFonts w:ascii="Century Schoolbook" w:hAnsi="Century Schoolbook"/>
        </w:rPr>
        <w:tab/>
      </w:r>
      <w:r w:rsidR="00BF7BCF">
        <w:rPr>
          <w:rFonts w:ascii="Century Schoolbook" w:hAnsi="Century Schoolbook"/>
        </w:rPr>
        <w:t xml:space="preserve">In opposing plaintiffs’ motion for coordination, Uber </w:t>
      </w:r>
      <w:r w:rsidR="005B6B0F">
        <w:rPr>
          <w:rFonts w:ascii="Century Schoolbook" w:hAnsi="Century Schoolbook"/>
        </w:rPr>
        <w:t xml:space="preserve">attached and </w:t>
      </w:r>
      <w:r w:rsidR="00530ED2">
        <w:rPr>
          <w:rFonts w:ascii="Century Schoolbook" w:hAnsi="Century Schoolbook"/>
        </w:rPr>
        <w:t>relied on</w:t>
      </w:r>
      <w:r w:rsidR="00BF7BCF">
        <w:rPr>
          <w:rFonts w:ascii="Century Schoolbook" w:hAnsi="Century Schoolbook"/>
        </w:rPr>
        <w:t xml:space="preserve"> </w:t>
      </w:r>
      <w:r w:rsidR="00C07275">
        <w:rPr>
          <w:rFonts w:ascii="Century Schoolbook" w:hAnsi="Century Schoolbook"/>
        </w:rPr>
        <w:t>two versions of its</w:t>
      </w:r>
      <w:r w:rsidR="00BF7BCF">
        <w:rPr>
          <w:rFonts w:ascii="Century Schoolbook" w:hAnsi="Century Schoolbook"/>
        </w:rPr>
        <w:t xml:space="preserve"> terms of use, </w:t>
      </w:r>
      <w:r w:rsidR="00C07275">
        <w:rPr>
          <w:rFonts w:ascii="Century Schoolbook" w:hAnsi="Century Schoolbook"/>
        </w:rPr>
        <w:t>one “last modified” on July 12, 2021, and another “effective” December 13, 2017</w:t>
      </w:r>
      <w:r w:rsidR="00377DCF">
        <w:rPr>
          <w:rFonts w:ascii="Century Schoolbook" w:hAnsi="Century Schoolbook"/>
        </w:rPr>
        <w:t>.</w:t>
      </w:r>
      <w:r w:rsidR="00C07275">
        <w:rPr>
          <w:rFonts w:ascii="Century Schoolbook" w:hAnsi="Century Schoolbook"/>
        </w:rPr>
        <w:t xml:space="preserve"> </w:t>
      </w:r>
      <w:r w:rsidR="005B6B0F">
        <w:rPr>
          <w:rFonts w:ascii="Century Schoolbook" w:hAnsi="Century Schoolbook"/>
        </w:rPr>
        <w:t xml:space="preserve"> On reply, </w:t>
      </w:r>
      <w:r w:rsidR="00B7741F">
        <w:rPr>
          <w:rFonts w:ascii="Century Schoolbook" w:hAnsi="Century Schoolbook"/>
        </w:rPr>
        <w:t xml:space="preserve">plaintiffs argued that the July 21, 2021 version of the terms of use was </w:t>
      </w:r>
      <w:r w:rsidR="00FF2870">
        <w:rPr>
          <w:rFonts w:ascii="Century Schoolbook" w:hAnsi="Century Schoolbook"/>
        </w:rPr>
        <w:t xml:space="preserve">“prepared </w:t>
      </w:r>
      <w:r w:rsidR="00FF2870">
        <w:rPr>
          <w:rFonts w:ascii="Century Schoolbook" w:hAnsi="Century Schoolbook"/>
          <w:i/>
          <w:iCs/>
        </w:rPr>
        <w:t xml:space="preserve">after </w:t>
      </w:r>
      <w:r w:rsidR="00FF2870">
        <w:rPr>
          <w:rFonts w:ascii="Century Schoolbook" w:hAnsi="Century Schoolbook"/>
        </w:rPr>
        <w:t xml:space="preserve">these cases were all filed and </w:t>
      </w:r>
      <w:r w:rsidR="00FF2870">
        <w:rPr>
          <w:rFonts w:ascii="Century Schoolbook" w:hAnsi="Century Schoolbook"/>
          <w:i/>
          <w:iCs/>
        </w:rPr>
        <w:t>after</w:t>
      </w:r>
      <w:r w:rsidR="00FF2870">
        <w:rPr>
          <w:rFonts w:ascii="Century Schoolbook" w:hAnsi="Century Schoolbook"/>
        </w:rPr>
        <w:t xml:space="preserve"> the petition for coordination was already filed,” and that other courts had found Uber’s terms of use to be unenforceable contracts of adhesion.  </w:t>
      </w:r>
      <w:r>
        <w:rPr>
          <w:rFonts w:ascii="Century Schoolbook" w:hAnsi="Century Schoolbook"/>
        </w:rPr>
        <w:t>After the coordination hearing, plaintiffs filed a supplemental brief, stating that “</w:t>
      </w:r>
      <w:r w:rsidRPr="00E3196F">
        <w:rPr>
          <w:rFonts w:ascii="Century Schoolbook" w:hAnsi="Century Schoolbook"/>
        </w:rPr>
        <w:t>Uber filed a declaration with six Terms of Use attached, five days after our reply was filed and</w:t>
      </w:r>
      <w:r>
        <w:rPr>
          <w:rFonts w:ascii="Century Schoolbook" w:hAnsi="Century Schoolbook"/>
        </w:rPr>
        <w:t xml:space="preserve"> </w:t>
      </w:r>
      <w:r w:rsidRPr="00E3196F">
        <w:rPr>
          <w:rFonts w:ascii="Century Schoolbook" w:hAnsi="Century Schoolbook"/>
        </w:rPr>
        <w:t>only two days before the hearing</w:t>
      </w:r>
      <w:r>
        <w:rPr>
          <w:rFonts w:ascii="Century Schoolbook" w:hAnsi="Century Schoolbook"/>
        </w:rPr>
        <w:t xml:space="preserve">,” and arguing that </w:t>
      </w:r>
      <w:r w:rsidR="00C568C9">
        <w:rPr>
          <w:rFonts w:ascii="Century Schoolbook" w:hAnsi="Century Schoolbook"/>
        </w:rPr>
        <w:t>“</w:t>
      </w:r>
      <w:r w:rsidRPr="00C568C9" w:rsidR="00C568C9">
        <w:rPr>
          <w:rFonts w:ascii="Century Schoolbook" w:hAnsi="Century Schoolbook"/>
        </w:rPr>
        <w:t>(1) a careful reading of all the Terms of Use reveals that they are ambiguous in a manner that would be</w:t>
      </w:r>
      <w:r w:rsidR="00C568C9">
        <w:rPr>
          <w:rFonts w:ascii="Century Schoolbook" w:hAnsi="Century Schoolbook"/>
        </w:rPr>
        <w:t xml:space="preserve"> </w:t>
      </w:r>
      <w:r w:rsidRPr="00C568C9" w:rsidR="00C568C9">
        <w:rPr>
          <w:rFonts w:ascii="Century Schoolbook" w:hAnsi="Century Schoolbook"/>
        </w:rPr>
        <w:t>resolved against Uber and do not stand for the proposition that Uber asserts; (2) all the Terms of Use on</w:t>
      </w:r>
      <w:r w:rsidR="00C568C9">
        <w:rPr>
          <w:rFonts w:ascii="Century Schoolbook" w:hAnsi="Century Schoolbook"/>
        </w:rPr>
        <w:t xml:space="preserve"> </w:t>
      </w:r>
      <w:r w:rsidRPr="00C568C9" w:rsidR="00C568C9">
        <w:rPr>
          <w:rFonts w:ascii="Century Schoolbook" w:hAnsi="Century Schoolbook"/>
        </w:rPr>
        <w:t>their face are a contract of adhesion; (3) all the Terms of Use violate public policy, and (4)</w:t>
      </w:r>
      <w:r w:rsidR="00DB0D9C">
        <w:rPr>
          <w:rFonts w:ascii="Century Schoolbook" w:hAnsi="Century Schoolbook"/>
        </w:rPr>
        <w:t> </w:t>
      </w:r>
      <w:r w:rsidRPr="00C568C9" w:rsidR="00C568C9">
        <w:rPr>
          <w:rFonts w:ascii="Century Schoolbook" w:hAnsi="Century Schoolbook"/>
        </w:rPr>
        <w:t>Uber has not</w:t>
      </w:r>
      <w:r w:rsidR="00C568C9">
        <w:rPr>
          <w:rFonts w:ascii="Century Schoolbook" w:hAnsi="Century Schoolbook"/>
        </w:rPr>
        <w:t xml:space="preserve"> </w:t>
      </w:r>
      <w:r w:rsidRPr="00C568C9" w:rsidR="00C568C9">
        <w:rPr>
          <w:rFonts w:ascii="Century Schoolbook" w:hAnsi="Century Schoolbook"/>
        </w:rPr>
        <w:t xml:space="preserve">shown that any </w:t>
      </w:r>
      <w:r w:rsidR="00DB0D9C">
        <w:rPr>
          <w:rFonts w:ascii="Century Schoolbook" w:hAnsi="Century Schoolbook"/>
        </w:rPr>
        <w:t xml:space="preserve">[plaintiff] </w:t>
      </w:r>
      <w:r w:rsidRPr="00C568C9" w:rsidR="00C568C9">
        <w:rPr>
          <w:rFonts w:ascii="Century Schoolbook" w:hAnsi="Century Schoolbook"/>
        </w:rPr>
        <w:t>made a knowing and intelligent waiver of the right to seek coordination in</w:t>
      </w:r>
      <w:r w:rsidR="00C568C9">
        <w:rPr>
          <w:rFonts w:ascii="Century Schoolbook" w:hAnsi="Century Schoolbook"/>
        </w:rPr>
        <w:t xml:space="preserve"> </w:t>
      </w:r>
      <w:r w:rsidRPr="00C568C9" w:rsidR="00C568C9">
        <w:rPr>
          <w:rFonts w:ascii="Century Schoolbook" w:hAnsi="Century Schoolbook"/>
        </w:rPr>
        <w:t>the event of sexual assault.</w:t>
      </w:r>
      <w:r w:rsidR="00C568C9">
        <w:rPr>
          <w:rFonts w:ascii="Century Schoolbook" w:hAnsi="Century Schoolbook"/>
        </w:rPr>
        <w:t xml:space="preserve">”  </w:t>
      </w:r>
    </w:p>
    <w:p w:rsidR="001E5E9F" w:rsidP="00C568C9" w14:paraId="4AC3BAFB" w14:textId="57AC962C">
      <w:pPr>
        <w:rPr>
          <w:rFonts w:ascii="Century Schoolbook" w:hAnsi="Century Schoolbook"/>
        </w:rPr>
      </w:pPr>
      <w:r>
        <w:rPr>
          <w:rFonts w:ascii="Century Schoolbook" w:hAnsi="Century Schoolbook"/>
        </w:rPr>
        <w:tab/>
      </w:r>
      <w:r w:rsidR="00CA55E3">
        <w:rPr>
          <w:rFonts w:ascii="Century Schoolbook" w:hAnsi="Century Schoolbook"/>
        </w:rPr>
        <w:t xml:space="preserve">These six </w:t>
      </w:r>
      <w:r w:rsidR="00F37193">
        <w:rPr>
          <w:rFonts w:ascii="Century Schoolbook" w:hAnsi="Century Schoolbook"/>
        </w:rPr>
        <w:t>versions of the terms of use are not in the record before us</w:t>
      </w:r>
      <w:r w:rsidR="00360C39">
        <w:rPr>
          <w:rFonts w:ascii="Century Schoolbook" w:hAnsi="Century Schoolbook"/>
        </w:rPr>
        <w:t xml:space="preserve">. </w:t>
      </w:r>
      <w:r w:rsidR="00F37193">
        <w:rPr>
          <w:rFonts w:ascii="Century Schoolbook" w:hAnsi="Century Schoolbook"/>
        </w:rPr>
        <w:t xml:space="preserve"> </w:t>
      </w:r>
      <w:r w:rsidR="00735E5C">
        <w:rPr>
          <w:rFonts w:ascii="Century Schoolbook" w:hAnsi="Century Schoolbook"/>
        </w:rPr>
        <w:t>A</w:t>
      </w:r>
      <w:r w:rsidR="00CA55E3">
        <w:rPr>
          <w:rFonts w:ascii="Century Schoolbook" w:hAnsi="Century Schoolbook"/>
        </w:rPr>
        <w:t xml:space="preserve">nd given </w:t>
      </w:r>
      <w:r w:rsidR="00F37193">
        <w:rPr>
          <w:rFonts w:ascii="Century Schoolbook" w:hAnsi="Century Schoolbook"/>
        </w:rPr>
        <w:t xml:space="preserve">that plaintiffs argued </w:t>
      </w:r>
      <w:r w:rsidR="00735E5C">
        <w:rPr>
          <w:rFonts w:ascii="Century Schoolbook" w:hAnsi="Century Schoolbook"/>
        </w:rPr>
        <w:t xml:space="preserve">below </w:t>
      </w:r>
      <w:r w:rsidR="00CA55E3">
        <w:rPr>
          <w:rFonts w:ascii="Century Schoolbook" w:hAnsi="Century Schoolbook"/>
        </w:rPr>
        <w:t>that the version on which they now rely did not apply to them and w</w:t>
      </w:r>
      <w:r w:rsidR="00735E5C">
        <w:rPr>
          <w:rFonts w:ascii="Century Schoolbook" w:hAnsi="Century Schoolbook"/>
        </w:rPr>
        <w:t xml:space="preserve">as </w:t>
      </w:r>
      <w:r w:rsidR="00CA55E3">
        <w:rPr>
          <w:rFonts w:ascii="Century Schoolbook" w:hAnsi="Century Schoolbook"/>
        </w:rPr>
        <w:t xml:space="preserve">in any event unenforceable, we decline to exercise our discretion to consider plaintiffs’ new argument. </w:t>
      </w:r>
    </w:p>
    <w:p w:rsidR="006E6257" w:rsidP="00C568C9" w14:paraId="3081AB42" w14:textId="77777777">
      <w:pPr>
        <w:rPr>
          <w:rFonts w:ascii="Century Schoolbook" w:hAnsi="Century Schoolbook"/>
        </w:rPr>
      </w:pPr>
    </w:p>
    <w:p w:rsidR="00B34AA9" w:rsidRPr="00B34AA9" w:rsidP="00B34AA9" w14:paraId="7C86E1DD" w14:textId="1D59159B">
      <w:pPr>
        <w:jc w:val="center"/>
        <w:rPr>
          <w:rFonts w:ascii="Century Schoolbook" w:hAnsi="Century Schoolbook"/>
          <w:b/>
          <w:bCs/>
        </w:rPr>
      </w:pPr>
      <w:r w:rsidRPr="00B34AA9">
        <w:rPr>
          <w:rFonts w:ascii="Century Schoolbook" w:hAnsi="Century Schoolbook"/>
          <w:b/>
          <w:bCs/>
        </w:rPr>
        <w:t>DISPOSITION</w:t>
      </w:r>
    </w:p>
    <w:p w:rsidR="00B34AA9" w:rsidP="005E2ABA" w14:paraId="0DE07A78" w14:textId="19535B8C">
      <w:pPr>
        <w:rPr>
          <w:rFonts w:ascii="Century Schoolbook" w:hAnsi="Century Schoolbook"/>
        </w:rPr>
      </w:pPr>
      <w:r>
        <w:rPr>
          <w:rFonts w:ascii="Century Schoolbook" w:hAnsi="Century Schoolbook"/>
        </w:rPr>
        <w:tab/>
      </w:r>
      <w:r w:rsidR="00155A7B">
        <w:rPr>
          <w:rFonts w:ascii="Century Schoolbook" w:hAnsi="Century Schoolbook"/>
        </w:rPr>
        <w:t xml:space="preserve">The orders appealed from are affirmed.  </w:t>
      </w:r>
      <w:r w:rsidR="00072B7E">
        <w:rPr>
          <w:rFonts w:ascii="Century Schoolbook" w:hAnsi="Century Schoolbook"/>
        </w:rPr>
        <w:t xml:space="preserve">Respondents shall recover their costs on appeal. </w:t>
      </w:r>
    </w:p>
    <w:p w:rsidR="008156FE" w14:paraId="17178413" w14:textId="7C329402">
      <w:pPr>
        <w:tabs>
          <w:tab w:val="clear" w:pos="720"/>
        </w:tabs>
        <w:spacing w:after="160" w:line="278" w:lineRule="auto"/>
        <w:rPr>
          <w:rFonts w:ascii="Century Schoolbook" w:hAnsi="Century Schoolbook"/>
        </w:rPr>
      </w:pPr>
      <w:r>
        <w:rPr>
          <w:rFonts w:ascii="Century Schoolbook" w:hAnsi="Century Schoolbook"/>
        </w:rPr>
        <w:br w:type="page"/>
      </w:r>
    </w:p>
    <w:p w:rsidR="008A7124" w:rsidRPr="00DF2DE8" w:rsidP="008A7124" w14:paraId="4D6B1822" w14:textId="77777777">
      <w:pPr>
        <w:rPr>
          <w:rFonts w:ascii="Century Schoolbook" w:hAnsi="Century Schoolbook"/>
        </w:rPr>
      </w:pP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t>_________________________</w:t>
      </w:r>
    </w:p>
    <w:p w:rsidR="008A7124" w:rsidRPr="00DF2DE8" w:rsidP="008A7124" w14:paraId="2089A433" w14:textId="77777777">
      <w:pPr>
        <w:rPr>
          <w:rFonts w:ascii="Century Schoolbook" w:hAnsi="Century Schoolbook"/>
        </w:rPr>
      </w:pP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r>
      <w:r w:rsidRPr="00DF2DE8">
        <w:rPr>
          <w:rFonts w:ascii="Century Schoolbook" w:hAnsi="Century Schoolbook"/>
        </w:rPr>
        <w:tab/>
        <w:t>Richman, J.</w:t>
      </w:r>
    </w:p>
    <w:p w:rsidR="008A7124" w:rsidRPr="00DF2DE8" w:rsidP="008A7124" w14:paraId="5B6CF5D1" w14:textId="77777777">
      <w:pPr>
        <w:rPr>
          <w:rFonts w:ascii="Century Schoolbook" w:hAnsi="Century Schoolbook"/>
        </w:rPr>
      </w:pPr>
    </w:p>
    <w:p w:rsidR="008A7124" w:rsidRPr="00DF2DE8" w:rsidP="008A7124" w14:paraId="7E1F4317" w14:textId="77777777">
      <w:pPr>
        <w:rPr>
          <w:rFonts w:ascii="Century Schoolbook" w:hAnsi="Century Schoolbook"/>
        </w:rPr>
      </w:pPr>
    </w:p>
    <w:p w:rsidR="008A7124" w:rsidRPr="00DF2DE8" w:rsidP="008A7124" w14:paraId="105DC657" w14:textId="77777777">
      <w:pPr>
        <w:rPr>
          <w:rFonts w:ascii="Century Schoolbook" w:hAnsi="Century Schoolbook"/>
        </w:rPr>
      </w:pPr>
      <w:r w:rsidRPr="00DF2DE8">
        <w:rPr>
          <w:rFonts w:ascii="Century Schoolbook" w:hAnsi="Century Schoolbook"/>
        </w:rPr>
        <w:t>We concur:</w:t>
      </w:r>
    </w:p>
    <w:p w:rsidR="008A7124" w:rsidRPr="00DF2DE8" w:rsidP="008A7124" w14:paraId="788EAA2E" w14:textId="77777777">
      <w:pPr>
        <w:rPr>
          <w:rFonts w:ascii="Century Schoolbook" w:hAnsi="Century Schoolbook"/>
        </w:rPr>
      </w:pPr>
    </w:p>
    <w:p w:rsidR="008A7124" w:rsidRPr="00DF2DE8" w:rsidP="008A7124" w14:paraId="142397DB" w14:textId="77777777">
      <w:pPr>
        <w:rPr>
          <w:rFonts w:ascii="Century Schoolbook" w:hAnsi="Century Schoolbook"/>
        </w:rPr>
      </w:pPr>
      <w:r w:rsidRPr="00DF2DE8">
        <w:rPr>
          <w:rFonts w:ascii="Century Schoolbook" w:hAnsi="Century Schoolbook"/>
        </w:rPr>
        <w:t>_________________________</w:t>
      </w:r>
    </w:p>
    <w:p w:rsidR="008A7124" w:rsidRPr="00DF2DE8" w:rsidP="008A7124" w14:paraId="34856AD3" w14:textId="77777777">
      <w:pPr>
        <w:rPr>
          <w:rFonts w:ascii="Century Schoolbook" w:hAnsi="Century Schoolbook"/>
        </w:rPr>
      </w:pPr>
      <w:r w:rsidRPr="00DF2DE8">
        <w:rPr>
          <w:rFonts w:ascii="Century Schoolbook" w:hAnsi="Century Schoolbook"/>
        </w:rPr>
        <w:t>Stewart, P.J.</w:t>
      </w:r>
    </w:p>
    <w:p w:rsidR="008A7124" w:rsidRPr="00DF2DE8" w:rsidP="008A7124" w14:paraId="7D5FF851" w14:textId="77777777">
      <w:pPr>
        <w:rPr>
          <w:rFonts w:ascii="Century Schoolbook" w:hAnsi="Century Schoolbook"/>
        </w:rPr>
      </w:pPr>
    </w:p>
    <w:p w:rsidR="008A7124" w:rsidRPr="00DF2DE8" w:rsidP="008A7124" w14:paraId="65C62932" w14:textId="77777777">
      <w:pPr>
        <w:rPr>
          <w:rFonts w:ascii="Century Schoolbook" w:hAnsi="Century Schoolbook"/>
        </w:rPr>
      </w:pPr>
      <w:r w:rsidRPr="00DF2DE8">
        <w:rPr>
          <w:rFonts w:ascii="Century Schoolbook" w:hAnsi="Century Schoolbook"/>
        </w:rPr>
        <w:t>_________________________</w:t>
      </w:r>
    </w:p>
    <w:p w:rsidR="008A7124" w:rsidRPr="00DF2DE8" w:rsidP="008A7124" w14:paraId="7E27410C" w14:textId="77777777">
      <w:pPr>
        <w:rPr>
          <w:rFonts w:ascii="Century Schoolbook" w:hAnsi="Century Schoolbook"/>
        </w:rPr>
      </w:pPr>
      <w:r w:rsidRPr="00DF2DE8">
        <w:rPr>
          <w:rFonts w:ascii="Century Schoolbook" w:hAnsi="Century Schoolbook"/>
        </w:rPr>
        <w:t>Miller, J.</w:t>
      </w:r>
    </w:p>
    <w:p w:rsidR="008A7124" w:rsidRPr="00DF2DE8" w:rsidP="008A7124" w14:paraId="42F75A0D" w14:textId="77777777">
      <w:pPr>
        <w:rPr>
          <w:rFonts w:ascii="Century Schoolbook" w:hAnsi="Century Schoolbook"/>
        </w:rPr>
      </w:pPr>
    </w:p>
    <w:p w:rsidR="008A7124" w:rsidRPr="00DF2DE8" w:rsidP="008A7124" w14:paraId="264685C2" w14:textId="77777777">
      <w:pPr>
        <w:rPr>
          <w:rFonts w:ascii="Century Schoolbook" w:hAnsi="Century Schoolbook"/>
        </w:rPr>
      </w:pPr>
    </w:p>
    <w:p w:rsidR="008A7124" w:rsidRPr="00DF2DE8" w:rsidP="008A7124" w14:paraId="7A861F91" w14:textId="77777777">
      <w:pPr>
        <w:rPr>
          <w:rFonts w:ascii="Century Schoolbook" w:hAnsi="Century Schoolbook"/>
        </w:rPr>
      </w:pPr>
    </w:p>
    <w:p w:rsidR="008A7124" w:rsidRPr="00DF2DE8" w:rsidP="008A7124" w14:paraId="0675F172" w14:textId="77777777">
      <w:pPr>
        <w:rPr>
          <w:rFonts w:ascii="Century Schoolbook" w:hAnsi="Century Schoolbook"/>
        </w:rPr>
      </w:pPr>
    </w:p>
    <w:p w:rsidR="008A7124" w:rsidRPr="00DF2DE8" w:rsidP="008A7124" w14:paraId="75BC47F3" w14:textId="77777777">
      <w:pPr>
        <w:rPr>
          <w:rFonts w:ascii="Century Schoolbook" w:hAnsi="Century Schoolbook"/>
        </w:rPr>
      </w:pPr>
    </w:p>
    <w:p w:rsidR="008A7124" w:rsidRPr="00DF2DE8" w:rsidP="008A7124" w14:paraId="5321358E" w14:textId="77777777">
      <w:pPr>
        <w:rPr>
          <w:rFonts w:ascii="Century Schoolbook" w:hAnsi="Century Schoolbook"/>
        </w:rPr>
      </w:pPr>
    </w:p>
    <w:p w:rsidR="008A7124" w:rsidRPr="00DF2DE8" w:rsidP="008A7124" w14:paraId="3C10613A" w14:textId="77777777">
      <w:pPr>
        <w:rPr>
          <w:rFonts w:ascii="Century Schoolbook" w:hAnsi="Century Schoolbook"/>
        </w:rPr>
      </w:pPr>
    </w:p>
    <w:p w:rsidR="008A7124" w:rsidRPr="00DF2DE8" w:rsidP="008A7124" w14:paraId="5B6EC356" w14:textId="77777777">
      <w:pPr>
        <w:rPr>
          <w:rFonts w:ascii="Century Schoolbook" w:hAnsi="Century Schoolbook"/>
        </w:rPr>
      </w:pPr>
    </w:p>
    <w:p w:rsidR="008A7124" w:rsidRPr="00DF2DE8" w:rsidP="008A7124" w14:paraId="4348AF35" w14:textId="77777777">
      <w:pPr>
        <w:rPr>
          <w:rFonts w:ascii="Century Schoolbook" w:hAnsi="Century Schoolbook"/>
        </w:rPr>
      </w:pPr>
    </w:p>
    <w:p w:rsidR="008A7124" w:rsidRPr="00DF2DE8" w:rsidP="008A7124" w14:paraId="56764C7C" w14:textId="77777777">
      <w:pPr>
        <w:rPr>
          <w:rFonts w:ascii="Century Schoolbook" w:hAnsi="Century Schoolbook"/>
        </w:rPr>
      </w:pPr>
    </w:p>
    <w:p w:rsidR="008A7124" w:rsidRPr="00DF2DE8" w:rsidP="008A7124" w14:paraId="13610EC9" w14:textId="77777777">
      <w:pPr>
        <w:rPr>
          <w:rFonts w:ascii="Century Schoolbook" w:hAnsi="Century Schoolbook"/>
        </w:rPr>
      </w:pPr>
    </w:p>
    <w:p w:rsidR="008A7124" w:rsidRPr="00DF2DE8" w:rsidP="008A7124" w14:paraId="0D80F16A" w14:textId="36A54574">
      <w:pPr>
        <w:rPr>
          <w:rFonts w:ascii="Century Schoolbook" w:eastAsia="Times New Roman" w:hAnsi="Century Schoolbook"/>
          <w:color w:val="000000"/>
          <w:shd w:val="clear" w:color="auto" w:fill="FFFFFF"/>
        </w:rPr>
      </w:pPr>
      <w:r>
        <w:rPr>
          <w:rFonts w:ascii="Century Schoolbook" w:hAnsi="Century Schoolbook"/>
          <w:i/>
          <w:lang w:val="it-IT"/>
        </w:rPr>
        <w:t>Jane Doe WHBE 3</w:t>
      </w:r>
      <w:r w:rsidR="00E25936">
        <w:rPr>
          <w:rFonts w:ascii="Century Schoolbook" w:hAnsi="Century Schoolbook"/>
          <w:i/>
          <w:lang w:val="it-IT"/>
        </w:rPr>
        <w:t xml:space="preserve">, et al. v. Uber Technologies, Inc. Et al. </w:t>
      </w:r>
      <w:r w:rsidRPr="00DF2DE8">
        <w:rPr>
          <w:rFonts w:ascii="Century Schoolbook" w:hAnsi="Century Schoolbook"/>
          <w:lang w:val="it-IT"/>
        </w:rPr>
        <w:t>(</w:t>
      </w:r>
      <w:r w:rsidRPr="00DF2DE8">
        <w:rPr>
          <w:rFonts w:ascii="Century Schoolbook" w:hAnsi="Century Schoolbook"/>
        </w:rPr>
        <w:t>A</w:t>
      </w:r>
      <w:r w:rsidR="00E25936">
        <w:rPr>
          <w:rFonts w:ascii="Century Schoolbook" w:hAnsi="Century Schoolbook"/>
        </w:rPr>
        <w:t>167458</w:t>
      </w:r>
      <w:r w:rsidR="006E6257">
        <w:rPr>
          <w:rFonts w:ascii="Century Schoolbook" w:hAnsi="Century Schoolbook"/>
        </w:rPr>
        <w:t>,</w:t>
      </w:r>
      <w:r w:rsidR="00E25936">
        <w:rPr>
          <w:rFonts w:ascii="Century Schoolbook" w:hAnsi="Century Schoolbook"/>
        </w:rPr>
        <w:t xml:space="preserve"> A167709</w:t>
      </w:r>
      <w:r w:rsidRPr="00DF2DE8">
        <w:rPr>
          <w:rFonts w:ascii="Century Schoolbook" w:hAnsi="Century Schoolbook"/>
          <w:lang w:val="it-IT"/>
        </w:rPr>
        <w:t>)</w:t>
      </w:r>
    </w:p>
    <w:p w:rsidR="008156FE" w:rsidP="005E2ABA" w14:paraId="71CC082A" w14:textId="77777777">
      <w:pPr>
        <w:rPr>
          <w:rFonts w:ascii="Century Schoolbook" w:hAnsi="Century Schoolbook"/>
        </w:rPr>
      </w:pPr>
    </w:p>
    <w:p w:rsidR="008156FE" w14:paraId="49EDC1BF" w14:textId="412E8A3D">
      <w:pPr>
        <w:tabs>
          <w:tab w:val="clear" w:pos="720"/>
        </w:tabs>
        <w:spacing w:after="160" w:line="278" w:lineRule="auto"/>
        <w:rPr>
          <w:rFonts w:ascii="Century Schoolbook" w:hAnsi="Century Schoolbook"/>
        </w:rPr>
      </w:pPr>
      <w:r>
        <w:rPr>
          <w:rFonts w:ascii="Century Schoolbook" w:hAnsi="Century Schoolbook"/>
        </w:rPr>
        <w:br w:type="page"/>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2"/>
        <w:gridCol w:w="4678"/>
      </w:tblGrid>
      <w:tr w14:paraId="0151CFC0" w14:textId="77777777" w:rsidTr="008C452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88" w:type="dxa"/>
            <w:tcBorders>
              <w:top w:val="nil"/>
              <w:left w:val="nil"/>
              <w:bottom w:val="nil"/>
              <w:right w:val="nil"/>
            </w:tcBorders>
            <w:hideMark/>
          </w:tcPr>
          <w:p w:rsidR="008156FE" w:rsidRPr="008156FE" w:rsidP="008C452C" w14:paraId="339523E8" w14:textId="77777777">
            <w:pPr>
              <w:spacing w:line="240" w:lineRule="auto"/>
              <w:ind w:right="90"/>
              <w:rPr>
                <w:rFonts w:ascii="Century Schoolbook" w:hAnsi="Century Schoolbook"/>
              </w:rPr>
            </w:pPr>
            <w:r w:rsidRPr="008156FE">
              <w:rPr>
                <w:rFonts w:ascii="Century Schoolbook" w:hAnsi="Century Schoolbook"/>
              </w:rPr>
              <w:t>Trial Court:</w:t>
            </w:r>
          </w:p>
        </w:tc>
        <w:tc>
          <w:tcPr>
            <w:tcW w:w="4788" w:type="dxa"/>
            <w:tcBorders>
              <w:top w:val="nil"/>
              <w:left w:val="nil"/>
              <w:bottom w:val="nil"/>
              <w:right w:val="nil"/>
            </w:tcBorders>
          </w:tcPr>
          <w:p w:rsidR="008156FE" w:rsidRPr="008156FE" w:rsidP="008C452C" w14:paraId="7B8F5A49" w14:textId="77777777">
            <w:pPr>
              <w:spacing w:line="240" w:lineRule="auto"/>
              <w:ind w:right="90"/>
              <w:rPr>
                <w:rFonts w:ascii="Century Schoolbook" w:hAnsi="Century Schoolbook"/>
              </w:rPr>
            </w:pPr>
            <w:r w:rsidRPr="008156FE">
              <w:rPr>
                <w:rFonts w:ascii="Century Schoolbook" w:hAnsi="Century Schoolbook"/>
              </w:rPr>
              <w:t>San Francisco County Superior Court;</w:t>
            </w:r>
          </w:p>
          <w:p w:rsidR="008156FE" w:rsidRPr="008156FE" w:rsidP="008C452C" w14:paraId="4587AF03" w14:textId="77777777">
            <w:pPr>
              <w:spacing w:line="240" w:lineRule="auto"/>
              <w:ind w:right="90"/>
              <w:rPr>
                <w:rFonts w:ascii="Century Schoolbook" w:hAnsi="Century Schoolbook"/>
              </w:rPr>
            </w:pPr>
          </w:p>
        </w:tc>
      </w:tr>
      <w:tr w14:paraId="5406F696" w14:textId="77777777" w:rsidTr="008C452C">
        <w:tblPrEx>
          <w:tblW w:w="0" w:type="auto"/>
          <w:tblLook w:val="04A0"/>
        </w:tblPrEx>
        <w:tc>
          <w:tcPr>
            <w:tcW w:w="4788" w:type="dxa"/>
            <w:tcBorders>
              <w:top w:val="nil"/>
              <w:left w:val="nil"/>
              <w:bottom w:val="nil"/>
              <w:right w:val="nil"/>
            </w:tcBorders>
            <w:hideMark/>
          </w:tcPr>
          <w:p w:rsidR="008156FE" w:rsidRPr="008156FE" w:rsidP="008C452C" w14:paraId="3A9B9B11" w14:textId="4DE5270C">
            <w:pPr>
              <w:spacing w:line="240" w:lineRule="auto"/>
              <w:ind w:right="90"/>
              <w:rPr>
                <w:rFonts w:ascii="Century Schoolbook" w:hAnsi="Century Schoolbook"/>
              </w:rPr>
            </w:pPr>
            <w:r w:rsidRPr="008156FE">
              <w:rPr>
                <w:rFonts w:ascii="Century Schoolbook" w:hAnsi="Century Schoolbook"/>
              </w:rPr>
              <w:t>Trial Judge:</w:t>
            </w:r>
          </w:p>
        </w:tc>
        <w:tc>
          <w:tcPr>
            <w:tcW w:w="4788" w:type="dxa"/>
            <w:tcBorders>
              <w:top w:val="nil"/>
              <w:left w:val="nil"/>
              <w:bottom w:val="nil"/>
              <w:right w:val="nil"/>
            </w:tcBorders>
          </w:tcPr>
          <w:p w:rsidR="008156FE" w:rsidRPr="008156FE" w:rsidP="008C452C" w14:paraId="7E98BC5B" w14:textId="6B17CA01">
            <w:pPr>
              <w:spacing w:line="240" w:lineRule="auto"/>
              <w:ind w:right="90"/>
              <w:rPr>
                <w:rFonts w:ascii="Century Schoolbook" w:hAnsi="Century Schoolbook"/>
              </w:rPr>
            </w:pPr>
            <w:r>
              <w:rPr>
                <w:rFonts w:ascii="Century Schoolbook" w:hAnsi="Century Schoolbook"/>
              </w:rPr>
              <w:t>Honorable Ethan Schulman</w:t>
            </w:r>
            <w:r w:rsidRPr="008156FE">
              <w:rPr>
                <w:rFonts w:ascii="Century Schoolbook" w:hAnsi="Century Schoolbook"/>
              </w:rPr>
              <w:t>;</w:t>
            </w:r>
          </w:p>
          <w:p w:rsidR="008156FE" w:rsidRPr="008156FE" w:rsidP="008C452C" w14:paraId="447EEAEA" w14:textId="77777777">
            <w:pPr>
              <w:spacing w:line="240" w:lineRule="auto"/>
              <w:ind w:right="90"/>
              <w:rPr>
                <w:rFonts w:ascii="Century Schoolbook" w:hAnsi="Century Schoolbook"/>
              </w:rPr>
            </w:pPr>
          </w:p>
        </w:tc>
      </w:tr>
      <w:tr w14:paraId="16208FD0" w14:textId="77777777" w:rsidTr="008C452C">
        <w:tblPrEx>
          <w:tblW w:w="0" w:type="auto"/>
          <w:tblLook w:val="04A0"/>
        </w:tblPrEx>
        <w:tc>
          <w:tcPr>
            <w:tcW w:w="4788" w:type="dxa"/>
            <w:tcBorders>
              <w:top w:val="nil"/>
              <w:left w:val="nil"/>
              <w:bottom w:val="nil"/>
              <w:right w:val="nil"/>
            </w:tcBorders>
            <w:hideMark/>
          </w:tcPr>
          <w:p w:rsidR="008156FE" w:rsidRPr="008156FE" w:rsidP="008C452C" w14:paraId="2A2EC1B1" w14:textId="1F9E7985">
            <w:pPr>
              <w:spacing w:line="240" w:lineRule="auto"/>
              <w:ind w:right="90"/>
              <w:rPr>
                <w:rFonts w:ascii="Century Schoolbook" w:hAnsi="Century Schoolbook"/>
              </w:rPr>
            </w:pPr>
            <w:r w:rsidRPr="008156FE">
              <w:rPr>
                <w:rFonts w:ascii="Century Schoolbook" w:hAnsi="Century Schoolbook"/>
              </w:rPr>
              <w:t>Attorney for P</w:t>
            </w:r>
            <w:r>
              <w:rPr>
                <w:rFonts w:ascii="Century Schoolbook" w:hAnsi="Century Schoolbook"/>
              </w:rPr>
              <w:t xml:space="preserve">laintiffs </w:t>
            </w:r>
            <w:r w:rsidRPr="008156FE">
              <w:rPr>
                <w:rFonts w:ascii="Century Schoolbook" w:hAnsi="Century Schoolbook"/>
              </w:rPr>
              <w:t>and Appellant</w:t>
            </w:r>
            <w:r>
              <w:rPr>
                <w:rFonts w:ascii="Century Schoolbook" w:hAnsi="Century Schoolbook"/>
              </w:rPr>
              <w:t>s</w:t>
            </w:r>
            <w:r w:rsidRPr="008156FE">
              <w:rPr>
                <w:rFonts w:ascii="Century Schoolbook" w:hAnsi="Century Schoolbook"/>
              </w:rPr>
              <w:t xml:space="preserve">, </w:t>
            </w:r>
            <w:r>
              <w:rPr>
                <w:rFonts w:ascii="Century Schoolbook" w:hAnsi="Century Schoolbook"/>
              </w:rPr>
              <w:t>Jane Doe WHBE 3, et al</w:t>
            </w:r>
            <w:r w:rsidRPr="008156FE">
              <w:rPr>
                <w:rFonts w:ascii="Century Schoolbook" w:hAnsi="Century Schoolbook"/>
              </w:rPr>
              <w:t>:</w:t>
            </w:r>
          </w:p>
          <w:p w:rsidR="008156FE" w:rsidRPr="008156FE" w:rsidP="008C452C" w14:paraId="5EC97E0A" w14:textId="77777777">
            <w:pPr>
              <w:spacing w:line="240" w:lineRule="auto"/>
              <w:ind w:right="90"/>
              <w:rPr>
                <w:rFonts w:ascii="Century Schoolbook" w:hAnsi="Century Schoolbook"/>
              </w:rPr>
            </w:pPr>
          </w:p>
        </w:tc>
        <w:tc>
          <w:tcPr>
            <w:tcW w:w="4788" w:type="dxa"/>
            <w:tcBorders>
              <w:top w:val="nil"/>
              <w:left w:val="nil"/>
              <w:bottom w:val="nil"/>
              <w:right w:val="nil"/>
            </w:tcBorders>
          </w:tcPr>
          <w:p w:rsidR="008156FE" w:rsidRPr="008156FE" w:rsidP="008C452C" w14:paraId="72F51E32" w14:textId="7A40AB15">
            <w:pPr>
              <w:spacing w:line="240" w:lineRule="auto"/>
              <w:ind w:right="90"/>
              <w:rPr>
                <w:rFonts w:ascii="Century Schoolbook" w:hAnsi="Century Schoolbook"/>
              </w:rPr>
            </w:pPr>
            <w:r>
              <w:rPr>
                <w:rFonts w:ascii="Century Schoolbook" w:hAnsi="Century Schoolbook"/>
              </w:rPr>
              <w:t>Alan Charles Dell’Ario</w:t>
            </w:r>
            <w:r w:rsidR="001D0950">
              <w:rPr>
                <w:rFonts w:ascii="Century Schoolbook" w:hAnsi="Century Schoolbook"/>
              </w:rPr>
              <w:t>, Attorney at Law</w:t>
            </w:r>
            <w:r w:rsidRPr="008156FE">
              <w:rPr>
                <w:rFonts w:ascii="Century Schoolbook" w:hAnsi="Century Schoolbook"/>
              </w:rPr>
              <w:t>;</w:t>
            </w:r>
            <w:r w:rsidR="001D0950">
              <w:rPr>
                <w:rFonts w:ascii="Century Schoolbook" w:hAnsi="Century Schoolbook"/>
              </w:rPr>
              <w:t xml:space="preserve"> Williams, Hart &amp; Boundas, John Eddie Williams, Jr. (pro hac vice), </w:t>
            </w:r>
            <w:r w:rsidR="00075675">
              <w:rPr>
                <w:rFonts w:ascii="Century Schoolbook" w:hAnsi="Century Schoolbook"/>
              </w:rPr>
              <w:t xml:space="preserve">John Boundas (pro hac vice), Brian Abramson (pro hac vice), </w:t>
            </w:r>
            <w:r w:rsidR="00320424">
              <w:rPr>
                <w:rFonts w:ascii="Century Schoolbook" w:hAnsi="Century Schoolbook"/>
              </w:rPr>
              <w:t>Margaret Leococke (pro hac vice), Walt Cubberly</w:t>
            </w:r>
            <w:r w:rsidR="001D5A18">
              <w:rPr>
                <w:rFonts w:ascii="Century Schoolbook" w:hAnsi="Century Schoolbook"/>
              </w:rPr>
              <w:t>; Levin Simes, William A. Levin;</w:t>
            </w:r>
          </w:p>
          <w:p w:rsidR="008156FE" w:rsidRPr="008156FE" w:rsidP="008C452C" w14:paraId="409458D4" w14:textId="77777777">
            <w:pPr>
              <w:spacing w:line="240" w:lineRule="auto"/>
              <w:ind w:right="90"/>
              <w:rPr>
                <w:rFonts w:ascii="Century Schoolbook" w:hAnsi="Century Schoolbook"/>
              </w:rPr>
            </w:pPr>
          </w:p>
        </w:tc>
      </w:tr>
      <w:tr w14:paraId="44E44A70" w14:textId="77777777" w:rsidTr="008C452C">
        <w:tblPrEx>
          <w:tblW w:w="0" w:type="auto"/>
          <w:tblLook w:val="04A0"/>
        </w:tblPrEx>
        <w:tc>
          <w:tcPr>
            <w:tcW w:w="4788" w:type="dxa"/>
            <w:tcBorders>
              <w:top w:val="nil"/>
              <w:left w:val="nil"/>
              <w:bottom w:val="nil"/>
              <w:right w:val="nil"/>
            </w:tcBorders>
            <w:hideMark/>
          </w:tcPr>
          <w:p w:rsidR="008156FE" w:rsidRPr="008156FE" w:rsidP="008C452C" w14:paraId="7A39ED62" w14:textId="66ACF08B">
            <w:pPr>
              <w:spacing w:line="240" w:lineRule="auto"/>
              <w:ind w:right="90"/>
              <w:rPr>
                <w:rFonts w:ascii="Century Schoolbook" w:hAnsi="Century Schoolbook"/>
              </w:rPr>
            </w:pPr>
            <w:r w:rsidRPr="008156FE">
              <w:rPr>
                <w:rFonts w:ascii="Century Schoolbook" w:hAnsi="Century Schoolbook"/>
              </w:rPr>
              <w:t>Attorney for Defendant</w:t>
            </w:r>
            <w:r>
              <w:rPr>
                <w:rFonts w:ascii="Century Schoolbook" w:hAnsi="Century Schoolbook"/>
              </w:rPr>
              <w:t>s</w:t>
            </w:r>
            <w:r w:rsidRPr="008156FE">
              <w:rPr>
                <w:rFonts w:ascii="Century Schoolbook" w:hAnsi="Century Schoolbook"/>
              </w:rPr>
              <w:t xml:space="preserve"> and Respondent</w:t>
            </w:r>
            <w:r>
              <w:rPr>
                <w:rFonts w:ascii="Century Schoolbook" w:hAnsi="Century Schoolbook"/>
              </w:rPr>
              <w:t>s</w:t>
            </w:r>
            <w:r w:rsidRPr="008156FE">
              <w:rPr>
                <w:rFonts w:ascii="Century Schoolbook" w:hAnsi="Century Schoolbook"/>
              </w:rPr>
              <w:t xml:space="preserve">, </w:t>
            </w:r>
            <w:r>
              <w:rPr>
                <w:rFonts w:ascii="Century Schoolbook" w:hAnsi="Century Schoolbook"/>
              </w:rPr>
              <w:t>Uber Technologies, Inc, et al.</w:t>
            </w:r>
            <w:r w:rsidRPr="008156FE">
              <w:rPr>
                <w:rFonts w:ascii="Century Schoolbook" w:hAnsi="Century Schoolbook"/>
              </w:rPr>
              <w:t>:</w:t>
            </w:r>
          </w:p>
          <w:p w:rsidR="008156FE" w:rsidRPr="008156FE" w:rsidP="008C452C" w14:paraId="1B54CC1A" w14:textId="77777777">
            <w:pPr>
              <w:spacing w:line="240" w:lineRule="auto"/>
              <w:ind w:right="90"/>
              <w:rPr>
                <w:rFonts w:ascii="Century Schoolbook" w:hAnsi="Century Schoolbook"/>
              </w:rPr>
            </w:pPr>
          </w:p>
          <w:p w:rsidR="008156FE" w:rsidRPr="008156FE" w:rsidP="008C452C" w14:paraId="1F26D2E5" w14:textId="77777777">
            <w:pPr>
              <w:spacing w:line="240" w:lineRule="auto"/>
              <w:ind w:right="90"/>
              <w:rPr>
                <w:rFonts w:ascii="Century Schoolbook" w:hAnsi="Century Schoolbook"/>
              </w:rPr>
            </w:pPr>
          </w:p>
        </w:tc>
        <w:tc>
          <w:tcPr>
            <w:tcW w:w="4788" w:type="dxa"/>
            <w:tcBorders>
              <w:top w:val="nil"/>
              <w:left w:val="nil"/>
              <w:bottom w:val="nil"/>
              <w:right w:val="nil"/>
            </w:tcBorders>
          </w:tcPr>
          <w:p w:rsidR="008156FE" w:rsidRPr="008156FE" w:rsidP="008C452C" w14:paraId="2F755FAD" w14:textId="60B943AB">
            <w:pPr>
              <w:spacing w:line="240" w:lineRule="auto"/>
              <w:ind w:right="90"/>
              <w:rPr>
                <w:rFonts w:ascii="Century Schoolbook" w:hAnsi="Century Schoolbook"/>
              </w:rPr>
            </w:pPr>
            <w:r>
              <w:rPr>
                <w:rFonts w:ascii="Century Schoolbook" w:hAnsi="Century Schoolbook"/>
              </w:rPr>
              <w:t>Paul, Weiss, Rifkin</w:t>
            </w:r>
            <w:r w:rsidR="00E545B5">
              <w:rPr>
                <w:rFonts w:ascii="Century Schoolbook" w:hAnsi="Century Schoolbook"/>
              </w:rPr>
              <w:t>d</w:t>
            </w:r>
            <w:r>
              <w:rPr>
                <w:rFonts w:ascii="Century Schoolbook" w:hAnsi="Century Schoolbook"/>
              </w:rPr>
              <w:t xml:space="preserve">, </w:t>
            </w:r>
            <w:r w:rsidR="00B2664A">
              <w:rPr>
                <w:rFonts w:ascii="Century Schoolbook" w:hAnsi="Century Schoolbook"/>
              </w:rPr>
              <w:t>Wharton &amp; Garrison,</w:t>
            </w:r>
            <w:r w:rsidR="00390B0F">
              <w:rPr>
                <w:rFonts w:ascii="Century Schoolbook" w:hAnsi="Century Schoolbook"/>
              </w:rPr>
              <w:t xml:space="preserve"> </w:t>
            </w:r>
            <w:r w:rsidR="00050638">
              <w:rPr>
                <w:rFonts w:ascii="Century Schoolbook" w:hAnsi="Century Schoolbook"/>
              </w:rPr>
              <w:t xml:space="preserve"> Kannon K. Shanmugam (pro hac vice), </w:t>
            </w:r>
            <w:r w:rsidR="00390B0F">
              <w:rPr>
                <w:rFonts w:ascii="Century Schoolbook" w:hAnsi="Century Schoolbook"/>
              </w:rPr>
              <w:t>Randall S. Luskey, Robert Atkins (pro hac vice)</w:t>
            </w:r>
            <w:r w:rsidR="00025FBC">
              <w:rPr>
                <w:rFonts w:ascii="Century Schoolbook" w:hAnsi="Century Schoolbook"/>
              </w:rPr>
              <w:t xml:space="preserve"> Kyle Smith (pro hac vice)</w:t>
            </w:r>
            <w:r w:rsidRPr="008156FE">
              <w:rPr>
                <w:rFonts w:ascii="Century Schoolbook" w:hAnsi="Century Schoolbook"/>
              </w:rPr>
              <w:t>.</w:t>
            </w:r>
          </w:p>
        </w:tc>
      </w:tr>
    </w:tbl>
    <w:p w:rsidR="008156FE" w:rsidP="005E2ABA" w14:paraId="317A156F" w14:textId="77777777">
      <w:pPr>
        <w:rPr>
          <w:rFonts w:ascii="Century Schoolbook" w:hAnsi="Century Schoolbook"/>
        </w:rPr>
      </w:pPr>
    </w:p>
    <w:sectPr>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525559857"/>
      <w:docPartObj>
        <w:docPartGallery w:val="Page Numbers (Bottom of Page)"/>
        <w:docPartUnique/>
      </w:docPartObj>
    </w:sdtPr>
    <w:sdtEndPr>
      <w:rPr>
        <w:rStyle w:val="PageNumber"/>
      </w:rPr>
    </w:sdtEndPr>
    <w:sdtContent>
      <w:p w:rsidR="0016591D" w:rsidP="006E161E" w14:paraId="79311FAC" w14:textId="46EA2D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33402">
          <w:rPr>
            <w:rStyle w:val="PageNumber"/>
          </w:rPr>
          <w:fldChar w:fldCharType="separate"/>
        </w:r>
        <w:r>
          <w:rPr>
            <w:rStyle w:val="PageNumber"/>
          </w:rPr>
          <w:fldChar w:fldCharType="end"/>
        </w:r>
      </w:p>
    </w:sdtContent>
  </w:sdt>
  <w:p w:rsidR="0016591D" w14:paraId="4F11CE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799645127"/>
      <w:docPartObj>
        <w:docPartGallery w:val="Page Numbers (Bottom of Page)"/>
        <w:docPartUnique/>
      </w:docPartObj>
    </w:sdtPr>
    <w:sdtEndPr>
      <w:rPr>
        <w:rStyle w:val="PageNumber"/>
        <w:rFonts w:ascii="Century Schoolbook" w:hAnsi="Century Schoolbook"/>
      </w:rPr>
    </w:sdtEndPr>
    <w:sdtContent>
      <w:p w:rsidR="0016591D" w:rsidRPr="0016591D" w:rsidP="006E161E" w14:paraId="183BAF8F" w14:textId="7D7A2E43">
        <w:pPr>
          <w:pStyle w:val="Footer"/>
          <w:framePr w:wrap="none" w:vAnchor="text" w:hAnchor="margin" w:xAlign="center" w:y="1"/>
          <w:rPr>
            <w:rStyle w:val="PageNumber"/>
            <w:rFonts w:ascii="Century Schoolbook" w:hAnsi="Century Schoolbook"/>
          </w:rPr>
        </w:pPr>
        <w:r w:rsidRPr="0016591D">
          <w:rPr>
            <w:rStyle w:val="PageNumber"/>
            <w:rFonts w:ascii="Century Schoolbook" w:hAnsi="Century Schoolbook"/>
          </w:rPr>
          <w:fldChar w:fldCharType="begin"/>
        </w:r>
        <w:r w:rsidRPr="0016591D">
          <w:rPr>
            <w:rStyle w:val="PageNumber"/>
            <w:rFonts w:ascii="Century Schoolbook" w:hAnsi="Century Schoolbook"/>
          </w:rPr>
          <w:instrText xml:space="preserve"> PAGE </w:instrText>
        </w:r>
        <w:r w:rsidRPr="0016591D">
          <w:rPr>
            <w:rStyle w:val="PageNumber"/>
            <w:rFonts w:ascii="Century Schoolbook" w:hAnsi="Century Schoolbook"/>
          </w:rPr>
          <w:fldChar w:fldCharType="separate"/>
        </w:r>
        <w:r w:rsidRPr="0016591D">
          <w:rPr>
            <w:rStyle w:val="PageNumber"/>
            <w:rFonts w:ascii="Century Schoolbook" w:hAnsi="Century Schoolbook"/>
            <w:noProof/>
          </w:rPr>
          <w:t>1</w:t>
        </w:r>
        <w:r w:rsidRPr="0016591D">
          <w:rPr>
            <w:rStyle w:val="PageNumber"/>
            <w:rFonts w:ascii="Century Schoolbook" w:hAnsi="Century Schoolbook"/>
          </w:rPr>
          <w:fldChar w:fldCharType="end"/>
        </w:r>
      </w:p>
    </w:sdtContent>
  </w:sdt>
  <w:p w:rsidR="0016591D" w14:paraId="015E42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501BE" w:rsidP="00D01004" w14:paraId="05AB5BB1" w14:textId="77777777">
      <w:pPr>
        <w:spacing w:line="240" w:lineRule="auto"/>
      </w:pPr>
      <w:r>
        <w:separator/>
      </w:r>
    </w:p>
  </w:footnote>
  <w:footnote w:type="continuationSeparator" w:id="1">
    <w:p w:rsidR="001501BE" w:rsidP="00D01004" w14:paraId="261B3D24" w14:textId="77777777">
      <w:pPr>
        <w:spacing w:line="240" w:lineRule="auto"/>
      </w:pPr>
      <w:r>
        <w:continuationSeparator/>
      </w:r>
    </w:p>
  </w:footnote>
  <w:footnote w:id="2">
    <w:p w:rsidR="00267DB7" w:rsidRPr="00EE1CD1" w:rsidP="00D5585E" w14:paraId="473C1E89" w14:textId="1B212CD4">
      <w:pPr>
        <w:pStyle w:val="FootnoteText"/>
        <w:spacing w:after="120"/>
        <w:rPr>
          <w:rFonts w:ascii="Century Schoolbook" w:hAnsi="Century Schoolbook"/>
          <w:sz w:val="26"/>
          <w:szCs w:val="26"/>
        </w:rPr>
      </w:pPr>
      <w:r w:rsidRPr="00EE1CD1">
        <w:rPr>
          <w:rFonts w:ascii="Century Schoolbook" w:hAnsi="Century Schoolbook"/>
          <w:sz w:val="26"/>
          <w:szCs w:val="26"/>
        </w:rPr>
        <w:tab/>
      </w:r>
      <w:r w:rsidRPr="00EE1CD1">
        <w:rPr>
          <w:rStyle w:val="FootnoteReference"/>
          <w:rFonts w:ascii="Century Schoolbook" w:hAnsi="Century Schoolbook"/>
          <w:sz w:val="26"/>
          <w:szCs w:val="26"/>
        </w:rPr>
        <w:footnoteRef/>
      </w:r>
      <w:r w:rsidRPr="00EE1CD1">
        <w:rPr>
          <w:rFonts w:ascii="Century Schoolbook" w:hAnsi="Century Schoolbook"/>
          <w:sz w:val="26"/>
          <w:szCs w:val="26"/>
        </w:rPr>
        <w:t xml:space="preserve"> </w:t>
      </w:r>
      <w:r>
        <w:rPr>
          <w:rFonts w:ascii="Century Schoolbook" w:hAnsi="Century Schoolbook"/>
          <w:sz w:val="26"/>
          <w:szCs w:val="26"/>
        </w:rPr>
        <w:t>As plaintiffs’ opening brief explains:  “</w:t>
      </w:r>
      <w:r w:rsidRPr="00EE1CD1">
        <w:rPr>
          <w:rFonts w:ascii="Century Schoolbook" w:hAnsi="Century Schoolbook"/>
          <w:sz w:val="26"/>
          <w:szCs w:val="26"/>
        </w:rPr>
        <w:t>Because so many Jane Doe plaintiffs filed actions against</w:t>
      </w:r>
      <w:r>
        <w:rPr>
          <w:rFonts w:ascii="Century Schoolbook" w:hAnsi="Century Schoolbook"/>
          <w:sz w:val="26"/>
          <w:szCs w:val="26"/>
        </w:rPr>
        <w:t xml:space="preserve"> </w:t>
      </w:r>
      <w:r w:rsidRPr="00EE1CD1">
        <w:rPr>
          <w:rFonts w:ascii="Century Schoolbook" w:hAnsi="Century Schoolbook"/>
          <w:sz w:val="26"/>
          <w:szCs w:val="26"/>
        </w:rPr>
        <w:t>Uber, they assumed additional pseudonyms utilizing the initials</w:t>
      </w:r>
      <w:r>
        <w:rPr>
          <w:rFonts w:ascii="Century Schoolbook" w:hAnsi="Century Schoolbook"/>
          <w:sz w:val="26"/>
          <w:szCs w:val="26"/>
        </w:rPr>
        <w:t xml:space="preserve"> </w:t>
      </w:r>
      <w:r w:rsidRPr="00EE1CD1">
        <w:rPr>
          <w:rFonts w:ascii="Century Schoolbook" w:hAnsi="Century Schoolbook"/>
          <w:sz w:val="26"/>
          <w:szCs w:val="26"/>
        </w:rPr>
        <w:t>of the law firms representing them.</w:t>
      </w:r>
      <w:r>
        <w:rPr>
          <w:rFonts w:ascii="Century Schoolbook" w:hAnsi="Century Schoolbook"/>
          <w:sz w:val="26"/>
          <w:szCs w:val="26"/>
        </w:rPr>
        <w:t>”  Jane Doe WHBE 3 was</w:t>
      </w:r>
      <w:r w:rsidRPr="00EE1CD1">
        <w:rPr>
          <w:rFonts w:ascii="Century Schoolbook" w:hAnsi="Century Schoolbook"/>
          <w:sz w:val="26"/>
          <w:szCs w:val="26"/>
        </w:rPr>
        <w:t xml:space="preserve"> </w:t>
      </w:r>
      <w:r>
        <w:rPr>
          <w:rFonts w:ascii="Century Schoolbook" w:hAnsi="Century Schoolbook"/>
          <w:sz w:val="26"/>
          <w:szCs w:val="26"/>
        </w:rPr>
        <w:t>“</w:t>
      </w:r>
      <w:r w:rsidRPr="00EE1CD1">
        <w:rPr>
          <w:rFonts w:ascii="Century Schoolbook" w:hAnsi="Century Schoolbook"/>
          <w:sz w:val="26"/>
          <w:szCs w:val="26"/>
        </w:rPr>
        <w:t xml:space="preserve">the third </w:t>
      </w:r>
      <w:r>
        <w:rPr>
          <w:rFonts w:ascii="Century Schoolbook" w:hAnsi="Century Schoolbook"/>
          <w:sz w:val="26"/>
          <w:szCs w:val="26"/>
        </w:rPr>
        <w:t>[case]</w:t>
      </w:r>
      <w:r w:rsidRPr="00EE1CD1">
        <w:rPr>
          <w:rFonts w:ascii="Century Schoolbook" w:hAnsi="Century Schoolbook"/>
          <w:sz w:val="26"/>
          <w:szCs w:val="26"/>
        </w:rPr>
        <w:t xml:space="preserve"> in which</w:t>
      </w:r>
      <w:r>
        <w:rPr>
          <w:rFonts w:ascii="Century Schoolbook" w:hAnsi="Century Schoolbook"/>
          <w:sz w:val="26"/>
          <w:szCs w:val="26"/>
        </w:rPr>
        <w:t xml:space="preserve"> </w:t>
      </w:r>
      <w:r w:rsidRPr="00EE1CD1">
        <w:rPr>
          <w:rFonts w:ascii="Century Schoolbook" w:hAnsi="Century Schoolbook"/>
          <w:sz w:val="26"/>
          <w:szCs w:val="26"/>
        </w:rPr>
        <w:t>the plaintiff was represented by Williams, Hart, Boundas and</w:t>
      </w:r>
      <w:r>
        <w:rPr>
          <w:rFonts w:ascii="Century Schoolbook" w:hAnsi="Century Schoolbook"/>
          <w:sz w:val="26"/>
          <w:szCs w:val="26"/>
        </w:rPr>
        <w:t xml:space="preserve"> </w:t>
      </w:r>
      <w:r w:rsidRPr="00EE1CD1">
        <w:rPr>
          <w:rFonts w:ascii="Century Schoolbook" w:hAnsi="Century Schoolbook"/>
          <w:sz w:val="26"/>
          <w:szCs w:val="26"/>
        </w:rPr>
        <w:t xml:space="preserve">Easterby, LLP (now Williams, Hart &amp; Boundas, LLP) (SF Super </w:t>
      </w:r>
      <w:r>
        <w:rPr>
          <w:rFonts w:ascii="Century Schoolbook" w:hAnsi="Century Schoolbook"/>
          <w:sz w:val="26"/>
          <w:szCs w:val="26"/>
        </w:rPr>
        <w:t xml:space="preserve">Ct. </w:t>
      </w:r>
      <w:r w:rsidRPr="00EE1CD1">
        <w:rPr>
          <w:rFonts w:ascii="Century Schoolbook" w:hAnsi="Century Schoolbook"/>
          <w:sz w:val="26"/>
          <w:szCs w:val="26"/>
        </w:rPr>
        <w:t>No. CGC-20-584649)</w:t>
      </w:r>
      <w:r>
        <w:rPr>
          <w:rFonts w:ascii="Century Schoolbook" w:hAnsi="Century Schoolbook"/>
          <w:sz w:val="26"/>
          <w:szCs w:val="26"/>
        </w:rPr>
        <w:t xml:space="preserve">.”  </w:t>
      </w:r>
      <w:r w:rsidRPr="00EE1CD1">
        <w:rPr>
          <w:rFonts w:ascii="Century Schoolbook" w:hAnsi="Century Schoolbook"/>
          <w:sz w:val="26"/>
          <w:szCs w:val="26"/>
        </w:rPr>
        <w:t xml:space="preserve"> </w:t>
      </w:r>
    </w:p>
  </w:footnote>
  <w:footnote w:id="3">
    <w:p w:rsidR="002A44C9" w:rsidP="002A44C9" w14:paraId="67814F0A" w14:textId="62C16EA5">
      <w:pPr>
        <w:pStyle w:val="FootnoteText"/>
        <w:spacing w:after="120"/>
      </w:pPr>
      <w:r>
        <w:tab/>
      </w:r>
      <w:r>
        <w:rPr>
          <w:rStyle w:val="FootnoteReference"/>
        </w:rPr>
        <w:footnoteRef/>
      </w:r>
      <w:r>
        <w:t xml:space="preserve"> </w:t>
      </w:r>
      <w:r>
        <w:rPr>
          <w:rFonts w:ascii="Century Schoolbook" w:hAnsi="Century Schoolbook"/>
          <w:sz w:val="26"/>
          <w:szCs w:val="26"/>
        </w:rPr>
        <w:t>Jane Doe LSA 35’s case was the</w:t>
      </w:r>
      <w:r w:rsidRPr="00EE1CD1">
        <w:rPr>
          <w:rFonts w:ascii="Century Schoolbook" w:hAnsi="Century Schoolbook"/>
          <w:sz w:val="26"/>
          <w:szCs w:val="26"/>
        </w:rPr>
        <w:t xml:space="preserve"> 35th case where the</w:t>
      </w:r>
      <w:r>
        <w:rPr>
          <w:rFonts w:ascii="Century Schoolbook" w:hAnsi="Century Schoolbook"/>
          <w:sz w:val="26"/>
          <w:szCs w:val="26"/>
        </w:rPr>
        <w:t xml:space="preserve"> </w:t>
      </w:r>
      <w:r w:rsidRPr="00EE1CD1">
        <w:rPr>
          <w:rFonts w:ascii="Century Schoolbook" w:hAnsi="Century Schoolbook"/>
          <w:sz w:val="26"/>
          <w:szCs w:val="26"/>
        </w:rPr>
        <w:t>plaintiff was represented by Levin Simes Abrams LLP (now</w:t>
      </w:r>
      <w:r>
        <w:rPr>
          <w:rFonts w:ascii="Century Schoolbook" w:hAnsi="Century Schoolbook"/>
          <w:sz w:val="26"/>
          <w:szCs w:val="26"/>
        </w:rPr>
        <w:t xml:space="preserve"> </w:t>
      </w:r>
      <w:r w:rsidRPr="00EE1CD1">
        <w:rPr>
          <w:rFonts w:ascii="Century Schoolbook" w:hAnsi="Century Schoolbook"/>
          <w:sz w:val="26"/>
          <w:szCs w:val="26"/>
        </w:rPr>
        <w:t>Levin Simes LLP)</w:t>
      </w:r>
      <w:r>
        <w:rPr>
          <w:rFonts w:ascii="Century Schoolbook" w:hAnsi="Century Schoolbook"/>
          <w:sz w:val="26"/>
          <w:szCs w:val="26"/>
        </w:rPr>
        <w:t xml:space="preserve"> </w:t>
      </w:r>
      <w:r w:rsidRPr="00EE1CD1">
        <w:rPr>
          <w:rFonts w:ascii="Century Schoolbook" w:hAnsi="Century Schoolbook"/>
          <w:sz w:val="26"/>
          <w:szCs w:val="26"/>
        </w:rPr>
        <w:t xml:space="preserve">(SF Super. </w:t>
      </w:r>
      <w:r>
        <w:rPr>
          <w:rFonts w:ascii="Century Schoolbook" w:hAnsi="Century Schoolbook"/>
          <w:sz w:val="26"/>
          <w:szCs w:val="26"/>
        </w:rPr>
        <w:t xml:space="preserve">Ct. </w:t>
      </w:r>
      <w:r w:rsidRPr="00EE1CD1">
        <w:rPr>
          <w:rFonts w:ascii="Century Schoolbook" w:hAnsi="Century Schoolbook"/>
          <w:sz w:val="26"/>
          <w:szCs w:val="26"/>
        </w:rPr>
        <w:t>No. CGC-21-592274)</w:t>
      </w:r>
      <w:r>
        <w:rPr>
          <w:rFonts w:ascii="Century Schoolbook" w:hAnsi="Century Schoolbook"/>
          <w:sz w:val="26"/>
          <w:szCs w:val="26"/>
        </w:rPr>
        <w:t xml:space="preserve">. </w:t>
      </w:r>
    </w:p>
  </w:footnote>
  <w:footnote w:id="4">
    <w:p w:rsidR="00656523" w:rsidRPr="00D01004" w:rsidP="0026040F" w14:paraId="17618E5A" w14:textId="77777777">
      <w:pPr>
        <w:pStyle w:val="FootnoteText"/>
        <w:spacing w:after="120"/>
        <w:rPr>
          <w:rFonts w:ascii="Century Schoolbook" w:hAnsi="Century Schoolbook"/>
          <w:sz w:val="26"/>
          <w:szCs w:val="26"/>
        </w:rPr>
      </w:pPr>
      <w:r w:rsidRPr="00D01004">
        <w:rPr>
          <w:rFonts w:ascii="Century Schoolbook" w:hAnsi="Century Schoolbook"/>
          <w:sz w:val="26"/>
          <w:szCs w:val="26"/>
        </w:rPr>
        <w:tab/>
      </w:r>
      <w:r w:rsidRPr="00D01004">
        <w:rPr>
          <w:rStyle w:val="FootnoteReference"/>
          <w:rFonts w:ascii="Century Schoolbook" w:hAnsi="Century Schoolbook"/>
          <w:sz w:val="26"/>
          <w:szCs w:val="26"/>
        </w:rPr>
        <w:footnoteRef/>
      </w:r>
      <w:r w:rsidRPr="00D01004">
        <w:rPr>
          <w:rFonts w:ascii="Century Schoolbook" w:hAnsi="Century Schoolbook"/>
          <w:sz w:val="26"/>
          <w:szCs w:val="26"/>
        </w:rPr>
        <w:t xml:space="preserve"> “Coordination of civil actions sharing a common question of fact or law is appropriate if one judge hearing all of the actions for all purposes in a selected site or sites will promote the ends of justice taking into account whether the common question of fact or law is predominating and significant to the litigation; the convenience of parties, witnesses, and counsel; the relative development of the actions and the work product of counsel; the efficient utilization of judicial facilities and manpower; the calendar of the courts; the disadvantages of duplicative and inconsistent rulings, orders, or judgments; and, the likelihood of settlement of the actions without further litigation should coordination be denied.”</w:t>
      </w:r>
    </w:p>
  </w:footnote>
  <w:footnote w:id="5">
    <w:p w:rsidR="0026040F" w:rsidP="0026040F" w14:paraId="1C425E6A" w14:textId="31BEA189">
      <w:pPr>
        <w:spacing w:line="240" w:lineRule="auto"/>
        <w:rPr>
          <w:rFonts w:ascii="Century Schoolbook" w:hAnsi="Century Schoolbook"/>
        </w:rPr>
      </w:pPr>
      <w:r>
        <w:tab/>
      </w:r>
      <w:r>
        <w:rPr>
          <w:rStyle w:val="FootnoteReference"/>
        </w:rPr>
        <w:footnoteRef/>
      </w:r>
      <w:r>
        <w:t xml:space="preserve"> </w:t>
      </w:r>
      <w:r>
        <w:rPr>
          <w:rFonts w:ascii="Century Schoolbook" w:hAnsi="Century Schoolbook"/>
        </w:rPr>
        <w:t>On November 10, after the hearing, p</w:t>
      </w:r>
      <w:r w:rsidR="008156FE">
        <w:rPr>
          <w:rFonts w:ascii="Century Schoolbook" w:hAnsi="Century Schoolbook"/>
        </w:rPr>
        <w:t xml:space="preserve">laintiffs </w:t>
      </w:r>
      <w:r>
        <w:rPr>
          <w:rFonts w:ascii="Century Schoolbook" w:hAnsi="Century Schoolbook"/>
        </w:rPr>
        <w:t xml:space="preserve">submitted a supplemental reply brief. </w:t>
      </w:r>
    </w:p>
    <w:p w:rsidR="0026040F" w14:paraId="0673296C" w14:textId="392CCCFE">
      <w:pPr>
        <w:pStyle w:val="FootnoteText"/>
      </w:pPr>
    </w:p>
  </w:footnote>
  <w:footnote w:id="6">
    <w:p w:rsidR="00806186" w:rsidRPr="00806186" w:rsidP="00806186" w14:paraId="18469FC9" w14:textId="6FEE8DBD">
      <w:pPr>
        <w:pStyle w:val="FootnoteText"/>
        <w:ind w:firstLine="720"/>
        <w:rPr>
          <w:rFonts w:ascii="Century Schoolbook" w:hAnsi="Century Schoolbook"/>
          <w:sz w:val="26"/>
          <w:szCs w:val="26"/>
        </w:rPr>
      </w:pPr>
      <w:r w:rsidRPr="00806186">
        <w:rPr>
          <w:rStyle w:val="FootnoteReference"/>
          <w:rFonts w:ascii="Century Schoolbook" w:hAnsi="Century Schoolbook"/>
          <w:sz w:val="26"/>
          <w:szCs w:val="26"/>
        </w:rPr>
        <w:footnoteRef/>
      </w:r>
      <w:r w:rsidRPr="00806186">
        <w:rPr>
          <w:rFonts w:ascii="Century Schoolbook" w:hAnsi="Century Schoolbook"/>
          <w:sz w:val="26"/>
          <w:szCs w:val="26"/>
        </w:rPr>
        <w:t xml:space="preserve"> We granted Uber’s unopposed motion to augment the record with the transcripts of the March 4, 2022 and April 21, 2022 case management conferences.  </w:t>
      </w:r>
    </w:p>
  </w:footnote>
  <w:footnote w:id="7">
    <w:p w:rsidR="00B65916" w:rsidRPr="00B65916" w:rsidP="00B65916" w14:paraId="38919EAA" w14:textId="7947C654">
      <w:pPr>
        <w:pStyle w:val="FootnoteText"/>
        <w:ind w:firstLine="720"/>
        <w:rPr>
          <w:rFonts w:ascii="Century Schoolbook" w:hAnsi="Century Schoolbook"/>
          <w:sz w:val="26"/>
          <w:szCs w:val="26"/>
        </w:rPr>
      </w:pPr>
      <w:r w:rsidRPr="00B65916">
        <w:rPr>
          <w:rStyle w:val="FootnoteReference"/>
          <w:rFonts w:ascii="Century Schoolbook" w:hAnsi="Century Schoolbook"/>
          <w:sz w:val="26"/>
          <w:szCs w:val="26"/>
        </w:rPr>
        <w:footnoteRef/>
      </w:r>
      <w:r w:rsidRPr="00B65916">
        <w:rPr>
          <w:rFonts w:ascii="Century Schoolbook" w:hAnsi="Century Schoolbook"/>
          <w:sz w:val="26"/>
          <w:szCs w:val="26"/>
        </w:rPr>
        <w:t xml:space="preserve"> The order noted “[i]n appendices to its papers, Uber lists the cases that discovery to date shows fall within each of the categories. There appear to be 925 cases listed under Category 1 and 37 under Category 2.  Thus, Uber’s motions potentially bear on the proper forum for more than two-thirds of the over 1,400 coordinated cases.”   </w:t>
      </w:r>
    </w:p>
  </w:footnote>
  <w:footnote w:id="8">
    <w:p w:rsidR="007F43A3" w:rsidRPr="00F76B24" w:rsidP="00CF4423" w14:paraId="5633F9DF" w14:textId="2FE17CEF">
      <w:pPr>
        <w:pStyle w:val="FootnoteText"/>
        <w:rPr>
          <w:rFonts w:ascii="Century Schoolbook" w:hAnsi="Century Schoolbook"/>
          <w:sz w:val="26"/>
          <w:szCs w:val="26"/>
        </w:rPr>
      </w:pPr>
      <w:r w:rsidRPr="00F76B24">
        <w:rPr>
          <w:rFonts w:ascii="Century Schoolbook" w:hAnsi="Century Schoolbook"/>
          <w:sz w:val="26"/>
          <w:szCs w:val="26"/>
        </w:rPr>
        <w:tab/>
      </w:r>
      <w:r w:rsidRPr="00F76B24">
        <w:rPr>
          <w:rStyle w:val="FootnoteReference"/>
          <w:rFonts w:ascii="Century Schoolbook" w:hAnsi="Century Schoolbook"/>
          <w:sz w:val="26"/>
          <w:szCs w:val="26"/>
        </w:rPr>
        <w:footnoteRef/>
      </w:r>
      <w:r w:rsidRPr="00F76B24">
        <w:rPr>
          <w:rFonts w:ascii="Century Schoolbook" w:hAnsi="Century Schoolbook"/>
          <w:sz w:val="26"/>
          <w:szCs w:val="26"/>
        </w:rPr>
        <w:t xml:space="preserve"> </w:t>
      </w:r>
      <w:r>
        <w:rPr>
          <w:rFonts w:ascii="Century Schoolbook" w:hAnsi="Century Schoolbook"/>
          <w:sz w:val="26"/>
          <w:szCs w:val="26"/>
        </w:rPr>
        <w:t xml:space="preserve">Uber has </w:t>
      </w:r>
      <w:r w:rsidR="00C6430A">
        <w:rPr>
          <w:rFonts w:ascii="Century Schoolbook" w:hAnsi="Century Schoolbook"/>
          <w:sz w:val="26"/>
          <w:szCs w:val="26"/>
        </w:rPr>
        <w:t>included this email in its respondent’s appendix</w:t>
      </w:r>
      <w:r>
        <w:rPr>
          <w:rFonts w:ascii="Century Schoolbook" w:hAnsi="Century Schoolbook"/>
          <w:sz w:val="26"/>
          <w:szCs w:val="26"/>
        </w:rPr>
        <w:t>.  Plaintiffs object to the inclusion of th</w:t>
      </w:r>
      <w:r w:rsidR="00834329">
        <w:rPr>
          <w:rFonts w:ascii="Century Schoolbook" w:hAnsi="Century Schoolbook"/>
          <w:sz w:val="26"/>
          <w:szCs w:val="26"/>
        </w:rPr>
        <w:t>e</w:t>
      </w:r>
      <w:r>
        <w:rPr>
          <w:rFonts w:ascii="Century Schoolbook" w:hAnsi="Century Schoolbook"/>
          <w:sz w:val="26"/>
          <w:szCs w:val="26"/>
        </w:rPr>
        <w:t xml:space="preserve"> email on the ground it was </w:t>
      </w:r>
      <w:r w:rsidR="0054007D">
        <w:rPr>
          <w:rFonts w:ascii="Century Schoolbook" w:hAnsi="Century Schoolbook"/>
          <w:sz w:val="26"/>
          <w:szCs w:val="26"/>
        </w:rPr>
        <w:t>“neither filed nor lodged”</w:t>
      </w:r>
      <w:r>
        <w:rPr>
          <w:rFonts w:ascii="Century Schoolbook" w:hAnsi="Century Schoolbook"/>
          <w:sz w:val="26"/>
          <w:szCs w:val="26"/>
        </w:rPr>
        <w:t xml:space="preserve"> in the trial court</w:t>
      </w:r>
      <w:r w:rsidR="0054007D">
        <w:rPr>
          <w:rFonts w:ascii="Century Schoolbook" w:hAnsi="Century Schoolbook"/>
          <w:sz w:val="26"/>
          <w:szCs w:val="26"/>
        </w:rPr>
        <w:t>.</w:t>
      </w:r>
      <w:r>
        <w:rPr>
          <w:rFonts w:ascii="Century Schoolbook" w:hAnsi="Century Schoolbook"/>
          <w:sz w:val="26"/>
          <w:szCs w:val="26"/>
        </w:rPr>
        <w:t xml:space="preserve">  </w:t>
      </w:r>
      <w:r w:rsidR="004E327D">
        <w:rPr>
          <w:rFonts w:ascii="Century Schoolbook" w:hAnsi="Century Schoolbook"/>
          <w:sz w:val="26"/>
          <w:szCs w:val="26"/>
        </w:rPr>
        <w:t>But the</w:t>
      </w:r>
      <w:r w:rsidR="0054007D">
        <w:rPr>
          <w:rFonts w:ascii="Century Schoolbook" w:hAnsi="Century Schoolbook"/>
          <w:sz w:val="26"/>
          <w:szCs w:val="26"/>
        </w:rPr>
        <w:t xml:space="preserve"> email </w:t>
      </w:r>
      <w:r w:rsidR="004E327D">
        <w:rPr>
          <w:rFonts w:ascii="Century Schoolbook" w:hAnsi="Century Schoolbook"/>
          <w:sz w:val="26"/>
          <w:szCs w:val="26"/>
        </w:rPr>
        <w:t xml:space="preserve">was </w:t>
      </w:r>
      <w:r w:rsidR="0054007D">
        <w:rPr>
          <w:rFonts w:ascii="Century Schoolbook" w:hAnsi="Century Schoolbook"/>
          <w:sz w:val="26"/>
          <w:szCs w:val="26"/>
        </w:rPr>
        <w:t xml:space="preserve">sent to the court, and </w:t>
      </w:r>
      <w:r w:rsidR="00834329">
        <w:rPr>
          <w:rFonts w:ascii="Century Schoolbook" w:hAnsi="Century Schoolbook"/>
          <w:sz w:val="26"/>
          <w:szCs w:val="26"/>
        </w:rPr>
        <w:t>Judge Schulman</w:t>
      </w:r>
      <w:r w:rsidR="00CD0AD8">
        <w:rPr>
          <w:rFonts w:ascii="Century Schoolbook" w:hAnsi="Century Schoolbook"/>
          <w:sz w:val="26"/>
          <w:szCs w:val="26"/>
        </w:rPr>
        <w:t xml:space="preserve"> </w:t>
      </w:r>
      <w:r w:rsidR="0054007D">
        <w:rPr>
          <w:rFonts w:ascii="Century Schoolbook" w:hAnsi="Century Schoolbook"/>
          <w:sz w:val="26"/>
          <w:szCs w:val="26"/>
        </w:rPr>
        <w:t xml:space="preserve">considered it in concluding that the proposed order had been agreed to by the parties.  </w:t>
      </w:r>
      <w:r w:rsidR="003A086B">
        <w:rPr>
          <w:rFonts w:ascii="Century Schoolbook" w:hAnsi="Century Schoolbook"/>
          <w:sz w:val="26"/>
          <w:szCs w:val="26"/>
        </w:rPr>
        <w:t>In short</w:t>
      </w:r>
      <w:r w:rsidR="0054007D">
        <w:rPr>
          <w:rFonts w:ascii="Century Schoolbook" w:hAnsi="Century Schoolbook"/>
          <w:sz w:val="26"/>
          <w:szCs w:val="26"/>
        </w:rPr>
        <w:t>, plaintiffs have put at issue whether they consented to Uber’s proposed order, and therefore the email is not “unnecessary for proper consideration of the issues.”  (See Cal. Rules of Court, rule 8.124(b)(3)</w:t>
      </w:r>
      <w:r w:rsidR="00CF4423">
        <w:rPr>
          <w:rFonts w:ascii="Century Schoolbook" w:hAnsi="Century Schoolbook"/>
          <w:sz w:val="26"/>
          <w:szCs w:val="26"/>
        </w:rPr>
        <w:t xml:space="preserve">(A).)  </w:t>
      </w:r>
      <w:r w:rsidR="0054007D">
        <w:rPr>
          <w:rFonts w:ascii="Century Schoolbook" w:hAnsi="Century Schoolbook"/>
          <w:sz w:val="26"/>
          <w:szCs w:val="26"/>
        </w:rPr>
        <w:t xml:space="preserve"> </w:t>
      </w:r>
    </w:p>
  </w:footnote>
  <w:footnote w:id="9">
    <w:p w:rsidR="006F2056" w:rsidRPr="006F2056" w:rsidP="006F2056" w14:paraId="16B50CC3" w14:textId="7BBA9F3F">
      <w:pPr>
        <w:pStyle w:val="FootnoteText"/>
        <w:ind w:firstLine="720"/>
        <w:rPr>
          <w:rFonts w:ascii="Century Schoolbook" w:hAnsi="Century Schoolbook"/>
          <w:sz w:val="26"/>
          <w:szCs w:val="26"/>
        </w:rPr>
      </w:pPr>
      <w:r w:rsidRPr="006F2056">
        <w:rPr>
          <w:rStyle w:val="FootnoteReference"/>
          <w:rFonts w:ascii="Century Schoolbook" w:hAnsi="Century Schoolbook"/>
          <w:sz w:val="26"/>
          <w:szCs w:val="26"/>
        </w:rPr>
        <w:footnoteRef/>
      </w:r>
      <w:r w:rsidRPr="006F2056">
        <w:rPr>
          <w:rFonts w:ascii="Century Schoolbook" w:hAnsi="Century Schoolbook"/>
          <w:sz w:val="26"/>
          <w:szCs w:val="26"/>
        </w:rPr>
        <w:t xml:space="preserve"> </w:t>
      </w:r>
      <w:r w:rsidR="000538E1">
        <w:rPr>
          <w:rFonts w:ascii="Century Schoolbook" w:hAnsi="Century Schoolbook"/>
          <w:sz w:val="26"/>
          <w:szCs w:val="26"/>
        </w:rPr>
        <w:t xml:space="preserve">Plaintiffs </w:t>
      </w:r>
      <w:r w:rsidR="00974429">
        <w:rPr>
          <w:rFonts w:ascii="Century Schoolbook" w:hAnsi="Century Schoolbook"/>
          <w:sz w:val="26"/>
          <w:szCs w:val="26"/>
        </w:rPr>
        <w:t xml:space="preserve">filed a </w:t>
      </w:r>
      <w:r w:rsidR="000538E1">
        <w:rPr>
          <w:rFonts w:ascii="Century Schoolbook" w:hAnsi="Century Schoolbook"/>
          <w:sz w:val="26"/>
          <w:szCs w:val="26"/>
        </w:rPr>
        <w:t xml:space="preserve">request for judicial notice of </w:t>
      </w:r>
      <w:r w:rsidR="00974429">
        <w:rPr>
          <w:rFonts w:ascii="Century Schoolbook" w:hAnsi="Century Schoolbook"/>
          <w:sz w:val="26"/>
          <w:szCs w:val="26"/>
        </w:rPr>
        <w:t xml:space="preserve">certain </w:t>
      </w:r>
      <w:r w:rsidR="000538E1">
        <w:rPr>
          <w:rFonts w:ascii="Century Schoolbook" w:hAnsi="Century Schoolbook"/>
          <w:sz w:val="26"/>
          <w:szCs w:val="26"/>
        </w:rPr>
        <w:t xml:space="preserve">pleadings in a </w:t>
      </w:r>
      <w:r w:rsidR="00974429">
        <w:rPr>
          <w:rFonts w:ascii="Century Schoolbook" w:hAnsi="Century Schoolbook"/>
          <w:sz w:val="26"/>
          <w:szCs w:val="26"/>
        </w:rPr>
        <w:t xml:space="preserve">case in </w:t>
      </w:r>
      <w:r w:rsidR="000538E1">
        <w:rPr>
          <w:rFonts w:ascii="Century Schoolbook" w:hAnsi="Century Schoolbook"/>
          <w:sz w:val="26"/>
          <w:szCs w:val="26"/>
        </w:rPr>
        <w:t>Missouri</w:t>
      </w:r>
      <w:r w:rsidR="00974429">
        <w:rPr>
          <w:rFonts w:ascii="Century Schoolbook" w:hAnsi="Century Schoolbook"/>
          <w:sz w:val="26"/>
          <w:szCs w:val="26"/>
        </w:rPr>
        <w:t>.</w:t>
      </w:r>
      <w:r w:rsidR="00103CF4">
        <w:rPr>
          <w:rFonts w:ascii="Century Schoolbook" w:hAnsi="Century Schoolbook"/>
          <w:sz w:val="26"/>
          <w:szCs w:val="26"/>
        </w:rPr>
        <w:t xml:space="preserve">  After oral argument, Uber filed its own request for another pleading in that case.</w:t>
      </w:r>
      <w:r w:rsidR="001A6F16">
        <w:rPr>
          <w:rFonts w:ascii="Century Schoolbook" w:hAnsi="Century Schoolbook"/>
          <w:sz w:val="26"/>
          <w:szCs w:val="26"/>
        </w:rPr>
        <w:t xml:space="preserve">  Based on counsels’ representations </w:t>
      </w:r>
      <w:r w:rsidR="009F606F">
        <w:rPr>
          <w:rFonts w:ascii="Century Schoolbook" w:hAnsi="Century Schoolbook"/>
          <w:sz w:val="26"/>
          <w:szCs w:val="26"/>
        </w:rPr>
        <w:t>at oral argument</w:t>
      </w:r>
      <w:r w:rsidR="005C317F">
        <w:rPr>
          <w:rFonts w:ascii="Century Schoolbook" w:hAnsi="Century Schoolbook"/>
          <w:sz w:val="26"/>
          <w:szCs w:val="26"/>
        </w:rPr>
        <w:t xml:space="preserve"> as to a </w:t>
      </w:r>
      <w:r w:rsidR="00F9750B">
        <w:rPr>
          <w:rFonts w:ascii="Century Schoolbook" w:hAnsi="Century Schoolbook"/>
          <w:sz w:val="26"/>
          <w:szCs w:val="26"/>
        </w:rPr>
        <w:t>stipulation in that case</w:t>
      </w:r>
      <w:r w:rsidR="001A6F16">
        <w:rPr>
          <w:rFonts w:ascii="Century Schoolbook" w:hAnsi="Century Schoolbook"/>
          <w:sz w:val="26"/>
          <w:szCs w:val="26"/>
        </w:rPr>
        <w:t>, both requests are denied</w:t>
      </w:r>
      <w:r w:rsidR="00F9750B">
        <w:rPr>
          <w:rFonts w:ascii="Century Schoolbook" w:hAnsi="Century Schoolbook"/>
          <w:sz w:val="26"/>
          <w:szCs w:val="26"/>
        </w:rPr>
        <w:t xml:space="preserve">. </w:t>
      </w:r>
    </w:p>
  </w:footnote>
  <w:footnote w:id="10">
    <w:p w:rsidR="00BD41B8" w:rsidRPr="00BD41B8" w:rsidP="00BD41B8" w14:paraId="1FF8DF7C" w14:textId="0203DC7F">
      <w:pPr>
        <w:spacing w:line="240" w:lineRule="auto"/>
        <w:rPr>
          <w:rFonts w:ascii="Century Schoolbook" w:hAnsi="Century Schoolbook"/>
        </w:rPr>
      </w:pPr>
      <w:r w:rsidRPr="00BD41B8">
        <w:rPr>
          <w:rFonts w:ascii="Century Schoolbook" w:hAnsi="Century Schoolbook"/>
        </w:rPr>
        <w:tab/>
      </w:r>
      <w:r w:rsidRPr="00BD41B8">
        <w:rPr>
          <w:rStyle w:val="FootnoteReference"/>
          <w:rFonts w:ascii="Century Schoolbook" w:hAnsi="Century Schoolbook"/>
        </w:rPr>
        <w:footnoteRef/>
      </w:r>
      <w:r w:rsidRPr="00BD41B8">
        <w:rPr>
          <w:rFonts w:ascii="Century Schoolbook" w:hAnsi="Century Schoolbook"/>
        </w:rPr>
        <w:t xml:space="preserve"> </w:t>
      </w:r>
      <w:r w:rsidR="00211B22">
        <w:rPr>
          <w:rFonts w:ascii="Century Schoolbook" w:hAnsi="Century Schoolbook"/>
        </w:rPr>
        <w:t xml:space="preserve">This is the comment:  </w:t>
      </w:r>
      <w:r w:rsidRPr="00BD41B8">
        <w:rPr>
          <w:rFonts w:ascii="Century Schoolbook" w:hAnsi="Century Schoolbook"/>
        </w:rPr>
        <w:t>“Within those limits [under the due process clauses of the Fifth and Fourteenth Amendments], the owner of a transitory cause of action will often have a wide choice of forums in which to bring his action.  Some of these forums may have little relation either to the parties or to the cause of action and suit in them may increase greatly the burden to the defendant of making a defense.  Under the doctrine of inconvenient forum, a court, even though it has jurisdiction, will not entertain the suit if it believes that the forum of filing is a seriously inconvenient forum for the trial of the action.”</w:t>
      </w:r>
    </w:p>
    <w:p w:rsidR="00BD41B8" w14:paraId="157CBF7C" w14:textId="29A265E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0B"/>
    <w:rsid w:val="00000EE1"/>
    <w:rsid w:val="00003273"/>
    <w:rsid w:val="0000688D"/>
    <w:rsid w:val="00010AE1"/>
    <w:rsid w:val="00011553"/>
    <w:rsid w:val="00014244"/>
    <w:rsid w:val="000152D4"/>
    <w:rsid w:val="000171B4"/>
    <w:rsid w:val="00017B4D"/>
    <w:rsid w:val="00025FBC"/>
    <w:rsid w:val="0003145A"/>
    <w:rsid w:val="00036B99"/>
    <w:rsid w:val="00037AC8"/>
    <w:rsid w:val="00047A48"/>
    <w:rsid w:val="00050638"/>
    <w:rsid w:val="000538E1"/>
    <w:rsid w:val="00054548"/>
    <w:rsid w:val="00054802"/>
    <w:rsid w:val="000557E9"/>
    <w:rsid w:val="00056B57"/>
    <w:rsid w:val="0006418B"/>
    <w:rsid w:val="00071E1D"/>
    <w:rsid w:val="00072949"/>
    <w:rsid w:val="00072B7E"/>
    <w:rsid w:val="000731E9"/>
    <w:rsid w:val="00075675"/>
    <w:rsid w:val="00075899"/>
    <w:rsid w:val="000821EC"/>
    <w:rsid w:val="0008527A"/>
    <w:rsid w:val="00086EEC"/>
    <w:rsid w:val="00094E17"/>
    <w:rsid w:val="00095ED0"/>
    <w:rsid w:val="000A351C"/>
    <w:rsid w:val="000A3DEB"/>
    <w:rsid w:val="000A51A9"/>
    <w:rsid w:val="000A5995"/>
    <w:rsid w:val="000A620F"/>
    <w:rsid w:val="000A7153"/>
    <w:rsid w:val="000B393A"/>
    <w:rsid w:val="000B5736"/>
    <w:rsid w:val="000C2474"/>
    <w:rsid w:val="000C26C5"/>
    <w:rsid w:val="000C54E4"/>
    <w:rsid w:val="000C6274"/>
    <w:rsid w:val="000C7F0B"/>
    <w:rsid w:val="000C7F56"/>
    <w:rsid w:val="000D131F"/>
    <w:rsid w:val="000D16AA"/>
    <w:rsid w:val="000D39F2"/>
    <w:rsid w:val="000D4CBA"/>
    <w:rsid w:val="000D716A"/>
    <w:rsid w:val="000E05C6"/>
    <w:rsid w:val="000E1991"/>
    <w:rsid w:val="000E2EE2"/>
    <w:rsid w:val="000E36BD"/>
    <w:rsid w:val="000E36CD"/>
    <w:rsid w:val="000E41C6"/>
    <w:rsid w:val="000E7722"/>
    <w:rsid w:val="000F2FFD"/>
    <w:rsid w:val="000F7D30"/>
    <w:rsid w:val="00103AC8"/>
    <w:rsid w:val="00103CF4"/>
    <w:rsid w:val="00105D72"/>
    <w:rsid w:val="00113362"/>
    <w:rsid w:val="001160A5"/>
    <w:rsid w:val="001222BA"/>
    <w:rsid w:val="00122D40"/>
    <w:rsid w:val="00122F8B"/>
    <w:rsid w:val="0012343D"/>
    <w:rsid w:val="00125CB4"/>
    <w:rsid w:val="001301AF"/>
    <w:rsid w:val="00130A98"/>
    <w:rsid w:val="001335E1"/>
    <w:rsid w:val="00135C0C"/>
    <w:rsid w:val="00136EB1"/>
    <w:rsid w:val="00147FC8"/>
    <w:rsid w:val="001501BE"/>
    <w:rsid w:val="0015113B"/>
    <w:rsid w:val="00151C2E"/>
    <w:rsid w:val="00154E97"/>
    <w:rsid w:val="00155A7B"/>
    <w:rsid w:val="00157B1D"/>
    <w:rsid w:val="00160860"/>
    <w:rsid w:val="00163029"/>
    <w:rsid w:val="001641C6"/>
    <w:rsid w:val="0016591D"/>
    <w:rsid w:val="00173924"/>
    <w:rsid w:val="00173D4C"/>
    <w:rsid w:val="00173F0F"/>
    <w:rsid w:val="001761A1"/>
    <w:rsid w:val="0018143F"/>
    <w:rsid w:val="0018224E"/>
    <w:rsid w:val="00182B55"/>
    <w:rsid w:val="001851D6"/>
    <w:rsid w:val="00187085"/>
    <w:rsid w:val="001870D3"/>
    <w:rsid w:val="00190F66"/>
    <w:rsid w:val="00192D55"/>
    <w:rsid w:val="001A3509"/>
    <w:rsid w:val="001A6F16"/>
    <w:rsid w:val="001B1863"/>
    <w:rsid w:val="001B4A0C"/>
    <w:rsid w:val="001B6F53"/>
    <w:rsid w:val="001C2A12"/>
    <w:rsid w:val="001C47CB"/>
    <w:rsid w:val="001D0950"/>
    <w:rsid w:val="001D1832"/>
    <w:rsid w:val="001D2CF7"/>
    <w:rsid w:val="001D47D1"/>
    <w:rsid w:val="001D5A18"/>
    <w:rsid w:val="001D6436"/>
    <w:rsid w:val="001D6B61"/>
    <w:rsid w:val="001E105F"/>
    <w:rsid w:val="001E5E9F"/>
    <w:rsid w:val="001E7215"/>
    <w:rsid w:val="001E7B28"/>
    <w:rsid w:val="001F5CD3"/>
    <w:rsid w:val="001F69C8"/>
    <w:rsid w:val="001F756C"/>
    <w:rsid w:val="00202D30"/>
    <w:rsid w:val="00206709"/>
    <w:rsid w:val="00211B22"/>
    <w:rsid w:val="00217F3B"/>
    <w:rsid w:val="0023000B"/>
    <w:rsid w:val="00235727"/>
    <w:rsid w:val="00237E5A"/>
    <w:rsid w:val="00241920"/>
    <w:rsid w:val="002420EA"/>
    <w:rsid w:val="00251D6E"/>
    <w:rsid w:val="0026040F"/>
    <w:rsid w:val="00260FEE"/>
    <w:rsid w:val="0026502C"/>
    <w:rsid w:val="00265478"/>
    <w:rsid w:val="002672F0"/>
    <w:rsid w:val="00267686"/>
    <w:rsid w:val="00267DB7"/>
    <w:rsid w:val="00267EDA"/>
    <w:rsid w:val="00270BE2"/>
    <w:rsid w:val="00272465"/>
    <w:rsid w:val="00274B99"/>
    <w:rsid w:val="002756DE"/>
    <w:rsid w:val="00276773"/>
    <w:rsid w:val="002807E3"/>
    <w:rsid w:val="00291594"/>
    <w:rsid w:val="002915C0"/>
    <w:rsid w:val="00291D4A"/>
    <w:rsid w:val="00293B2D"/>
    <w:rsid w:val="002A0167"/>
    <w:rsid w:val="002A44C9"/>
    <w:rsid w:val="002A789E"/>
    <w:rsid w:val="002B032C"/>
    <w:rsid w:val="002B4009"/>
    <w:rsid w:val="002B5762"/>
    <w:rsid w:val="002B62E4"/>
    <w:rsid w:val="002C4506"/>
    <w:rsid w:val="002D627A"/>
    <w:rsid w:val="002D66D8"/>
    <w:rsid w:val="002E02F3"/>
    <w:rsid w:val="002E07B4"/>
    <w:rsid w:val="002E4BBC"/>
    <w:rsid w:val="002E75BB"/>
    <w:rsid w:val="002F1761"/>
    <w:rsid w:val="002F241B"/>
    <w:rsid w:val="0030267D"/>
    <w:rsid w:val="00307A66"/>
    <w:rsid w:val="00307C36"/>
    <w:rsid w:val="0031540D"/>
    <w:rsid w:val="003170FD"/>
    <w:rsid w:val="00320424"/>
    <w:rsid w:val="0032052C"/>
    <w:rsid w:val="00324555"/>
    <w:rsid w:val="00325D17"/>
    <w:rsid w:val="0032627B"/>
    <w:rsid w:val="00330D98"/>
    <w:rsid w:val="0033257D"/>
    <w:rsid w:val="00333C87"/>
    <w:rsid w:val="003463A9"/>
    <w:rsid w:val="00346BF4"/>
    <w:rsid w:val="00351D97"/>
    <w:rsid w:val="0035628A"/>
    <w:rsid w:val="0036089B"/>
    <w:rsid w:val="00360C39"/>
    <w:rsid w:val="00364148"/>
    <w:rsid w:val="00365F16"/>
    <w:rsid w:val="00367878"/>
    <w:rsid w:val="003716C2"/>
    <w:rsid w:val="00372C1C"/>
    <w:rsid w:val="00373E4C"/>
    <w:rsid w:val="0037709F"/>
    <w:rsid w:val="00377DCF"/>
    <w:rsid w:val="0038229B"/>
    <w:rsid w:val="0038697B"/>
    <w:rsid w:val="00386E05"/>
    <w:rsid w:val="003876D5"/>
    <w:rsid w:val="00390B0F"/>
    <w:rsid w:val="00391085"/>
    <w:rsid w:val="0039460A"/>
    <w:rsid w:val="003961AE"/>
    <w:rsid w:val="003971E0"/>
    <w:rsid w:val="003A086B"/>
    <w:rsid w:val="003A18F2"/>
    <w:rsid w:val="003A3554"/>
    <w:rsid w:val="003A6445"/>
    <w:rsid w:val="003A6CC5"/>
    <w:rsid w:val="003B464F"/>
    <w:rsid w:val="003B4D23"/>
    <w:rsid w:val="003B4E36"/>
    <w:rsid w:val="003B5018"/>
    <w:rsid w:val="003C05B0"/>
    <w:rsid w:val="003C0DC3"/>
    <w:rsid w:val="003C7DD4"/>
    <w:rsid w:val="003D0F55"/>
    <w:rsid w:val="003D1CD4"/>
    <w:rsid w:val="003D37B9"/>
    <w:rsid w:val="003D49A1"/>
    <w:rsid w:val="003D4F53"/>
    <w:rsid w:val="003D570A"/>
    <w:rsid w:val="003D6068"/>
    <w:rsid w:val="003D7BC3"/>
    <w:rsid w:val="003E213D"/>
    <w:rsid w:val="003E3E70"/>
    <w:rsid w:val="003E5C05"/>
    <w:rsid w:val="003E6053"/>
    <w:rsid w:val="003E664D"/>
    <w:rsid w:val="003E71DF"/>
    <w:rsid w:val="003F1F9B"/>
    <w:rsid w:val="003F39F0"/>
    <w:rsid w:val="003F4A85"/>
    <w:rsid w:val="003F50AF"/>
    <w:rsid w:val="003F655F"/>
    <w:rsid w:val="00402DCB"/>
    <w:rsid w:val="00407450"/>
    <w:rsid w:val="00411279"/>
    <w:rsid w:val="004114E1"/>
    <w:rsid w:val="00413822"/>
    <w:rsid w:val="0042271D"/>
    <w:rsid w:val="00423F7C"/>
    <w:rsid w:val="00425878"/>
    <w:rsid w:val="00425D06"/>
    <w:rsid w:val="004271D2"/>
    <w:rsid w:val="004272F4"/>
    <w:rsid w:val="00432C91"/>
    <w:rsid w:val="00433402"/>
    <w:rsid w:val="00434022"/>
    <w:rsid w:val="00437BEE"/>
    <w:rsid w:val="0044118F"/>
    <w:rsid w:val="0044263D"/>
    <w:rsid w:val="004522BB"/>
    <w:rsid w:val="00454835"/>
    <w:rsid w:val="00455AA3"/>
    <w:rsid w:val="00457147"/>
    <w:rsid w:val="00462088"/>
    <w:rsid w:val="0046259E"/>
    <w:rsid w:val="004652BD"/>
    <w:rsid w:val="00466265"/>
    <w:rsid w:val="004718AC"/>
    <w:rsid w:val="00473A9F"/>
    <w:rsid w:val="00477645"/>
    <w:rsid w:val="00481DE2"/>
    <w:rsid w:val="004823BC"/>
    <w:rsid w:val="00482512"/>
    <w:rsid w:val="00482F19"/>
    <w:rsid w:val="00485CA8"/>
    <w:rsid w:val="004A7322"/>
    <w:rsid w:val="004B1E0F"/>
    <w:rsid w:val="004B28C5"/>
    <w:rsid w:val="004B32CE"/>
    <w:rsid w:val="004B6579"/>
    <w:rsid w:val="004D248E"/>
    <w:rsid w:val="004D27DE"/>
    <w:rsid w:val="004D2FDD"/>
    <w:rsid w:val="004D544B"/>
    <w:rsid w:val="004E2B38"/>
    <w:rsid w:val="004E327D"/>
    <w:rsid w:val="004E35C9"/>
    <w:rsid w:val="004E607A"/>
    <w:rsid w:val="004F3196"/>
    <w:rsid w:val="004F3C6E"/>
    <w:rsid w:val="004F47B1"/>
    <w:rsid w:val="004F533F"/>
    <w:rsid w:val="004F5730"/>
    <w:rsid w:val="004F59DE"/>
    <w:rsid w:val="004F5B61"/>
    <w:rsid w:val="004F703E"/>
    <w:rsid w:val="004F78FA"/>
    <w:rsid w:val="00503096"/>
    <w:rsid w:val="00503257"/>
    <w:rsid w:val="00503BD3"/>
    <w:rsid w:val="00510B91"/>
    <w:rsid w:val="00511B62"/>
    <w:rsid w:val="00512C8D"/>
    <w:rsid w:val="005141EF"/>
    <w:rsid w:val="00516E0E"/>
    <w:rsid w:val="005238AC"/>
    <w:rsid w:val="005244D8"/>
    <w:rsid w:val="00526F3B"/>
    <w:rsid w:val="00530ED2"/>
    <w:rsid w:val="005313CA"/>
    <w:rsid w:val="0054007D"/>
    <w:rsid w:val="005405F5"/>
    <w:rsid w:val="005448F1"/>
    <w:rsid w:val="00570134"/>
    <w:rsid w:val="005705B8"/>
    <w:rsid w:val="00573161"/>
    <w:rsid w:val="0057375E"/>
    <w:rsid w:val="00573EEB"/>
    <w:rsid w:val="00575E8D"/>
    <w:rsid w:val="00580E86"/>
    <w:rsid w:val="00582E75"/>
    <w:rsid w:val="00583A2E"/>
    <w:rsid w:val="00583D1F"/>
    <w:rsid w:val="005847A9"/>
    <w:rsid w:val="00587E7D"/>
    <w:rsid w:val="005912CE"/>
    <w:rsid w:val="00591384"/>
    <w:rsid w:val="00591993"/>
    <w:rsid w:val="00596806"/>
    <w:rsid w:val="00596D57"/>
    <w:rsid w:val="005A0276"/>
    <w:rsid w:val="005A0477"/>
    <w:rsid w:val="005A07AE"/>
    <w:rsid w:val="005A41FB"/>
    <w:rsid w:val="005A6B6E"/>
    <w:rsid w:val="005B0CE1"/>
    <w:rsid w:val="005B22E8"/>
    <w:rsid w:val="005B587E"/>
    <w:rsid w:val="005B6B0F"/>
    <w:rsid w:val="005C09F5"/>
    <w:rsid w:val="005C1839"/>
    <w:rsid w:val="005C317F"/>
    <w:rsid w:val="005C3386"/>
    <w:rsid w:val="005D5AFF"/>
    <w:rsid w:val="005E01C2"/>
    <w:rsid w:val="005E10FA"/>
    <w:rsid w:val="005E2ABA"/>
    <w:rsid w:val="005E4DFA"/>
    <w:rsid w:val="005E5379"/>
    <w:rsid w:val="005E56EE"/>
    <w:rsid w:val="005E5FAE"/>
    <w:rsid w:val="005E6ED7"/>
    <w:rsid w:val="005E7475"/>
    <w:rsid w:val="005F1AE1"/>
    <w:rsid w:val="005F2B1A"/>
    <w:rsid w:val="006019D7"/>
    <w:rsid w:val="00602F68"/>
    <w:rsid w:val="00610DC2"/>
    <w:rsid w:val="0061137C"/>
    <w:rsid w:val="00611D26"/>
    <w:rsid w:val="006141AF"/>
    <w:rsid w:val="00615D17"/>
    <w:rsid w:val="00615E9F"/>
    <w:rsid w:val="00620A04"/>
    <w:rsid w:val="0062342B"/>
    <w:rsid w:val="00623B86"/>
    <w:rsid w:val="0062424F"/>
    <w:rsid w:val="00624ADF"/>
    <w:rsid w:val="00632333"/>
    <w:rsid w:val="006335F6"/>
    <w:rsid w:val="0063384C"/>
    <w:rsid w:val="006346B8"/>
    <w:rsid w:val="006362F9"/>
    <w:rsid w:val="006377FF"/>
    <w:rsid w:val="00650DD3"/>
    <w:rsid w:val="00654655"/>
    <w:rsid w:val="006562A5"/>
    <w:rsid w:val="00656523"/>
    <w:rsid w:val="0065693B"/>
    <w:rsid w:val="00656A02"/>
    <w:rsid w:val="006601E5"/>
    <w:rsid w:val="006622B2"/>
    <w:rsid w:val="006670EA"/>
    <w:rsid w:val="00674372"/>
    <w:rsid w:val="006760D2"/>
    <w:rsid w:val="00676762"/>
    <w:rsid w:val="006838E7"/>
    <w:rsid w:val="006853FE"/>
    <w:rsid w:val="006866B4"/>
    <w:rsid w:val="00692B11"/>
    <w:rsid w:val="006943D5"/>
    <w:rsid w:val="006953DE"/>
    <w:rsid w:val="006969F6"/>
    <w:rsid w:val="006A0377"/>
    <w:rsid w:val="006A0B4C"/>
    <w:rsid w:val="006A28E9"/>
    <w:rsid w:val="006A29B1"/>
    <w:rsid w:val="006A2DFA"/>
    <w:rsid w:val="006A2E05"/>
    <w:rsid w:val="006A67EA"/>
    <w:rsid w:val="006A72BE"/>
    <w:rsid w:val="006A73FF"/>
    <w:rsid w:val="006B042D"/>
    <w:rsid w:val="006B0494"/>
    <w:rsid w:val="006B06C3"/>
    <w:rsid w:val="006B0D61"/>
    <w:rsid w:val="006B126B"/>
    <w:rsid w:val="006B3F7F"/>
    <w:rsid w:val="006B4FF1"/>
    <w:rsid w:val="006B6A7A"/>
    <w:rsid w:val="006B76A8"/>
    <w:rsid w:val="006C05DD"/>
    <w:rsid w:val="006C116B"/>
    <w:rsid w:val="006C5F2A"/>
    <w:rsid w:val="006D02F4"/>
    <w:rsid w:val="006D1C60"/>
    <w:rsid w:val="006D2C34"/>
    <w:rsid w:val="006D55FA"/>
    <w:rsid w:val="006D70FD"/>
    <w:rsid w:val="006D7D9C"/>
    <w:rsid w:val="006E161E"/>
    <w:rsid w:val="006E18CB"/>
    <w:rsid w:val="006E372D"/>
    <w:rsid w:val="006E37D2"/>
    <w:rsid w:val="006E38CD"/>
    <w:rsid w:val="006E3EA5"/>
    <w:rsid w:val="006E6257"/>
    <w:rsid w:val="006F2056"/>
    <w:rsid w:val="006F3DB2"/>
    <w:rsid w:val="006F4359"/>
    <w:rsid w:val="006F67E7"/>
    <w:rsid w:val="006F6826"/>
    <w:rsid w:val="006F76AF"/>
    <w:rsid w:val="00706C52"/>
    <w:rsid w:val="007079D8"/>
    <w:rsid w:val="0071019F"/>
    <w:rsid w:val="00711330"/>
    <w:rsid w:val="007150C1"/>
    <w:rsid w:val="00715AFC"/>
    <w:rsid w:val="007161AD"/>
    <w:rsid w:val="007229DB"/>
    <w:rsid w:val="007231C1"/>
    <w:rsid w:val="00726C54"/>
    <w:rsid w:val="00730156"/>
    <w:rsid w:val="00731377"/>
    <w:rsid w:val="00735E5C"/>
    <w:rsid w:val="007517D6"/>
    <w:rsid w:val="00752917"/>
    <w:rsid w:val="00752D8C"/>
    <w:rsid w:val="00757ABC"/>
    <w:rsid w:val="00760EF0"/>
    <w:rsid w:val="007611FD"/>
    <w:rsid w:val="0076411E"/>
    <w:rsid w:val="0077270D"/>
    <w:rsid w:val="00773599"/>
    <w:rsid w:val="0077633E"/>
    <w:rsid w:val="00784235"/>
    <w:rsid w:val="0078699A"/>
    <w:rsid w:val="007A0D3F"/>
    <w:rsid w:val="007A0F29"/>
    <w:rsid w:val="007A1EA0"/>
    <w:rsid w:val="007A3AB9"/>
    <w:rsid w:val="007B0066"/>
    <w:rsid w:val="007B0261"/>
    <w:rsid w:val="007B1F81"/>
    <w:rsid w:val="007B49F9"/>
    <w:rsid w:val="007C039C"/>
    <w:rsid w:val="007C1FF8"/>
    <w:rsid w:val="007D4F75"/>
    <w:rsid w:val="007D703D"/>
    <w:rsid w:val="007E4298"/>
    <w:rsid w:val="007E6A73"/>
    <w:rsid w:val="007F212D"/>
    <w:rsid w:val="007F43A3"/>
    <w:rsid w:val="007F55F0"/>
    <w:rsid w:val="007F6E1D"/>
    <w:rsid w:val="00800407"/>
    <w:rsid w:val="008025CD"/>
    <w:rsid w:val="0080455A"/>
    <w:rsid w:val="00806186"/>
    <w:rsid w:val="00811B8C"/>
    <w:rsid w:val="00814A55"/>
    <w:rsid w:val="00814FD8"/>
    <w:rsid w:val="008156FE"/>
    <w:rsid w:val="0082237F"/>
    <w:rsid w:val="008245D5"/>
    <w:rsid w:val="00824D15"/>
    <w:rsid w:val="00825615"/>
    <w:rsid w:val="0083411E"/>
    <w:rsid w:val="00834245"/>
    <w:rsid w:val="00834329"/>
    <w:rsid w:val="008422C4"/>
    <w:rsid w:val="00857085"/>
    <w:rsid w:val="00857F90"/>
    <w:rsid w:val="008666A4"/>
    <w:rsid w:val="00867A3B"/>
    <w:rsid w:val="00870D52"/>
    <w:rsid w:val="00872EB2"/>
    <w:rsid w:val="00874BBF"/>
    <w:rsid w:val="00874D2F"/>
    <w:rsid w:val="00874E4F"/>
    <w:rsid w:val="00875341"/>
    <w:rsid w:val="00880378"/>
    <w:rsid w:val="00881410"/>
    <w:rsid w:val="00884363"/>
    <w:rsid w:val="00890537"/>
    <w:rsid w:val="008922AB"/>
    <w:rsid w:val="00893B23"/>
    <w:rsid w:val="00893EEE"/>
    <w:rsid w:val="008958BC"/>
    <w:rsid w:val="0089613E"/>
    <w:rsid w:val="008A191E"/>
    <w:rsid w:val="008A2393"/>
    <w:rsid w:val="008A35AF"/>
    <w:rsid w:val="008A7124"/>
    <w:rsid w:val="008B204E"/>
    <w:rsid w:val="008B5171"/>
    <w:rsid w:val="008B5601"/>
    <w:rsid w:val="008B614A"/>
    <w:rsid w:val="008C3245"/>
    <w:rsid w:val="008C452C"/>
    <w:rsid w:val="008C7229"/>
    <w:rsid w:val="008D0F4E"/>
    <w:rsid w:val="008D76C1"/>
    <w:rsid w:val="008D7D1C"/>
    <w:rsid w:val="008E3913"/>
    <w:rsid w:val="008E4F8E"/>
    <w:rsid w:val="008E5586"/>
    <w:rsid w:val="008F1ED3"/>
    <w:rsid w:val="008F2A6D"/>
    <w:rsid w:val="008F5C0A"/>
    <w:rsid w:val="008F6C6E"/>
    <w:rsid w:val="008F6E83"/>
    <w:rsid w:val="00900D07"/>
    <w:rsid w:val="00903FAD"/>
    <w:rsid w:val="009069A2"/>
    <w:rsid w:val="00913099"/>
    <w:rsid w:val="00914E3D"/>
    <w:rsid w:val="00917CBC"/>
    <w:rsid w:val="009229C2"/>
    <w:rsid w:val="00923C0B"/>
    <w:rsid w:val="00924B98"/>
    <w:rsid w:val="00924E6D"/>
    <w:rsid w:val="0092634B"/>
    <w:rsid w:val="009338B8"/>
    <w:rsid w:val="0093392D"/>
    <w:rsid w:val="0094108F"/>
    <w:rsid w:val="00943C53"/>
    <w:rsid w:val="0095712D"/>
    <w:rsid w:val="00957C65"/>
    <w:rsid w:val="009609AE"/>
    <w:rsid w:val="0096125A"/>
    <w:rsid w:val="00966392"/>
    <w:rsid w:val="00971BC1"/>
    <w:rsid w:val="00974429"/>
    <w:rsid w:val="009779B5"/>
    <w:rsid w:val="0098002D"/>
    <w:rsid w:val="00981C3D"/>
    <w:rsid w:val="0098567C"/>
    <w:rsid w:val="009865CE"/>
    <w:rsid w:val="0099270C"/>
    <w:rsid w:val="00992F56"/>
    <w:rsid w:val="009944C2"/>
    <w:rsid w:val="00994622"/>
    <w:rsid w:val="00997EC8"/>
    <w:rsid w:val="009A081F"/>
    <w:rsid w:val="009A2E7B"/>
    <w:rsid w:val="009B0A2B"/>
    <w:rsid w:val="009B1A00"/>
    <w:rsid w:val="009B710A"/>
    <w:rsid w:val="009C0E87"/>
    <w:rsid w:val="009C412E"/>
    <w:rsid w:val="009C4238"/>
    <w:rsid w:val="009C795E"/>
    <w:rsid w:val="009D2B57"/>
    <w:rsid w:val="009D7539"/>
    <w:rsid w:val="009E104E"/>
    <w:rsid w:val="009E2AA5"/>
    <w:rsid w:val="009F0A1C"/>
    <w:rsid w:val="009F1392"/>
    <w:rsid w:val="009F55C0"/>
    <w:rsid w:val="009F606F"/>
    <w:rsid w:val="009F7FA7"/>
    <w:rsid w:val="00A05007"/>
    <w:rsid w:val="00A0792E"/>
    <w:rsid w:val="00A07F7E"/>
    <w:rsid w:val="00A15299"/>
    <w:rsid w:val="00A20D10"/>
    <w:rsid w:val="00A22C40"/>
    <w:rsid w:val="00A30738"/>
    <w:rsid w:val="00A30BBC"/>
    <w:rsid w:val="00A40DB1"/>
    <w:rsid w:val="00A41A49"/>
    <w:rsid w:val="00A438BD"/>
    <w:rsid w:val="00A438E2"/>
    <w:rsid w:val="00A458B2"/>
    <w:rsid w:val="00A53C12"/>
    <w:rsid w:val="00A55B71"/>
    <w:rsid w:val="00A57A2A"/>
    <w:rsid w:val="00A62A3C"/>
    <w:rsid w:val="00A62F07"/>
    <w:rsid w:val="00A720F6"/>
    <w:rsid w:val="00A73F17"/>
    <w:rsid w:val="00A75716"/>
    <w:rsid w:val="00A75E9E"/>
    <w:rsid w:val="00A8221A"/>
    <w:rsid w:val="00A826B4"/>
    <w:rsid w:val="00A9030B"/>
    <w:rsid w:val="00A90E17"/>
    <w:rsid w:val="00A92524"/>
    <w:rsid w:val="00AA09B3"/>
    <w:rsid w:val="00AA5DE8"/>
    <w:rsid w:val="00AB2A20"/>
    <w:rsid w:val="00AC2911"/>
    <w:rsid w:val="00AC73B0"/>
    <w:rsid w:val="00AD165F"/>
    <w:rsid w:val="00AD5F6E"/>
    <w:rsid w:val="00AE4CBB"/>
    <w:rsid w:val="00AF60C1"/>
    <w:rsid w:val="00B00EFA"/>
    <w:rsid w:val="00B04067"/>
    <w:rsid w:val="00B075CE"/>
    <w:rsid w:val="00B1190F"/>
    <w:rsid w:val="00B162A5"/>
    <w:rsid w:val="00B17F68"/>
    <w:rsid w:val="00B213F7"/>
    <w:rsid w:val="00B217EC"/>
    <w:rsid w:val="00B219DC"/>
    <w:rsid w:val="00B2395D"/>
    <w:rsid w:val="00B2664A"/>
    <w:rsid w:val="00B2737D"/>
    <w:rsid w:val="00B34AA9"/>
    <w:rsid w:val="00B4129D"/>
    <w:rsid w:val="00B4712D"/>
    <w:rsid w:val="00B47E28"/>
    <w:rsid w:val="00B506AB"/>
    <w:rsid w:val="00B5247B"/>
    <w:rsid w:val="00B53357"/>
    <w:rsid w:val="00B550B2"/>
    <w:rsid w:val="00B56773"/>
    <w:rsid w:val="00B62BAD"/>
    <w:rsid w:val="00B65916"/>
    <w:rsid w:val="00B71904"/>
    <w:rsid w:val="00B71D66"/>
    <w:rsid w:val="00B73347"/>
    <w:rsid w:val="00B74605"/>
    <w:rsid w:val="00B76810"/>
    <w:rsid w:val="00B7741F"/>
    <w:rsid w:val="00B80FBC"/>
    <w:rsid w:val="00B8216E"/>
    <w:rsid w:val="00B90495"/>
    <w:rsid w:val="00B912A7"/>
    <w:rsid w:val="00B912CB"/>
    <w:rsid w:val="00B931A2"/>
    <w:rsid w:val="00B973EA"/>
    <w:rsid w:val="00B97E69"/>
    <w:rsid w:val="00BB02F6"/>
    <w:rsid w:val="00BB1EB1"/>
    <w:rsid w:val="00BB2718"/>
    <w:rsid w:val="00BC015A"/>
    <w:rsid w:val="00BC41D0"/>
    <w:rsid w:val="00BC7326"/>
    <w:rsid w:val="00BD1D6E"/>
    <w:rsid w:val="00BD41B8"/>
    <w:rsid w:val="00BD5967"/>
    <w:rsid w:val="00BE6B5D"/>
    <w:rsid w:val="00BE6B85"/>
    <w:rsid w:val="00BE7424"/>
    <w:rsid w:val="00BF0D73"/>
    <w:rsid w:val="00BF189F"/>
    <w:rsid w:val="00BF4898"/>
    <w:rsid w:val="00BF5B11"/>
    <w:rsid w:val="00BF7BCF"/>
    <w:rsid w:val="00C00CEE"/>
    <w:rsid w:val="00C0278B"/>
    <w:rsid w:val="00C03DE4"/>
    <w:rsid w:val="00C053D1"/>
    <w:rsid w:val="00C066D7"/>
    <w:rsid w:val="00C07275"/>
    <w:rsid w:val="00C1128D"/>
    <w:rsid w:val="00C17C05"/>
    <w:rsid w:val="00C22FBB"/>
    <w:rsid w:val="00C242DC"/>
    <w:rsid w:val="00C24695"/>
    <w:rsid w:val="00C26CE3"/>
    <w:rsid w:val="00C26E7A"/>
    <w:rsid w:val="00C27E41"/>
    <w:rsid w:val="00C30DBB"/>
    <w:rsid w:val="00C31B22"/>
    <w:rsid w:val="00C36A13"/>
    <w:rsid w:val="00C37A86"/>
    <w:rsid w:val="00C511D8"/>
    <w:rsid w:val="00C51235"/>
    <w:rsid w:val="00C53067"/>
    <w:rsid w:val="00C55879"/>
    <w:rsid w:val="00C568C9"/>
    <w:rsid w:val="00C572C7"/>
    <w:rsid w:val="00C6430A"/>
    <w:rsid w:val="00C6674A"/>
    <w:rsid w:val="00C67393"/>
    <w:rsid w:val="00C73B20"/>
    <w:rsid w:val="00C75BFB"/>
    <w:rsid w:val="00C75D8C"/>
    <w:rsid w:val="00C760B7"/>
    <w:rsid w:val="00C775AE"/>
    <w:rsid w:val="00C80AA3"/>
    <w:rsid w:val="00C81806"/>
    <w:rsid w:val="00C856D2"/>
    <w:rsid w:val="00C96714"/>
    <w:rsid w:val="00CA0480"/>
    <w:rsid w:val="00CA55E3"/>
    <w:rsid w:val="00CA6776"/>
    <w:rsid w:val="00CB137F"/>
    <w:rsid w:val="00CB143C"/>
    <w:rsid w:val="00CB18F1"/>
    <w:rsid w:val="00CC380E"/>
    <w:rsid w:val="00CC3D78"/>
    <w:rsid w:val="00CC7FE4"/>
    <w:rsid w:val="00CD0AD8"/>
    <w:rsid w:val="00CD3C1D"/>
    <w:rsid w:val="00CD7DD9"/>
    <w:rsid w:val="00CE092D"/>
    <w:rsid w:val="00CE4832"/>
    <w:rsid w:val="00CE5B77"/>
    <w:rsid w:val="00CE6A51"/>
    <w:rsid w:val="00CE7245"/>
    <w:rsid w:val="00CE7549"/>
    <w:rsid w:val="00CF2C36"/>
    <w:rsid w:val="00CF413E"/>
    <w:rsid w:val="00CF4423"/>
    <w:rsid w:val="00CF4CB4"/>
    <w:rsid w:val="00CF4DE0"/>
    <w:rsid w:val="00CF7D36"/>
    <w:rsid w:val="00D000E3"/>
    <w:rsid w:val="00D01004"/>
    <w:rsid w:val="00D02DDC"/>
    <w:rsid w:val="00D03025"/>
    <w:rsid w:val="00D033A6"/>
    <w:rsid w:val="00D06409"/>
    <w:rsid w:val="00D0649B"/>
    <w:rsid w:val="00D07CCF"/>
    <w:rsid w:val="00D1130E"/>
    <w:rsid w:val="00D1153E"/>
    <w:rsid w:val="00D124B1"/>
    <w:rsid w:val="00D12B3E"/>
    <w:rsid w:val="00D15EB6"/>
    <w:rsid w:val="00D228AB"/>
    <w:rsid w:val="00D244E5"/>
    <w:rsid w:val="00D2740E"/>
    <w:rsid w:val="00D30B14"/>
    <w:rsid w:val="00D31169"/>
    <w:rsid w:val="00D4564B"/>
    <w:rsid w:val="00D53238"/>
    <w:rsid w:val="00D53FFB"/>
    <w:rsid w:val="00D5585E"/>
    <w:rsid w:val="00D56A31"/>
    <w:rsid w:val="00D60F18"/>
    <w:rsid w:val="00D6510C"/>
    <w:rsid w:val="00D66919"/>
    <w:rsid w:val="00D71431"/>
    <w:rsid w:val="00D7332A"/>
    <w:rsid w:val="00D7339E"/>
    <w:rsid w:val="00D739A5"/>
    <w:rsid w:val="00D75538"/>
    <w:rsid w:val="00D84022"/>
    <w:rsid w:val="00D863BB"/>
    <w:rsid w:val="00D90024"/>
    <w:rsid w:val="00D904C6"/>
    <w:rsid w:val="00D90EF7"/>
    <w:rsid w:val="00D95005"/>
    <w:rsid w:val="00D968B9"/>
    <w:rsid w:val="00D97488"/>
    <w:rsid w:val="00DA5226"/>
    <w:rsid w:val="00DA5AAF"/>
    <w:rsid w:val="00DB0D9C"/>
    <w:rsid w:val="00DB4080"/>
    <w:rsid w:val="00DB626F"/>
    <w:rsid w:val="00DC04D0"/>
    <w:rsid w:val="00DC2D59"/>
    <w:rsid w:val="00DC3310"/>
    <w:rsid w:val="00DC4B83"/>
    <w:rsid w:val="00DC66ED"/>
    <w:rsid w:val="00DC76B2"/>
    <w:rsid w:val="00DC78FB"/>
    <w:rsid w:val="00DD5A74"/>
    <w:rsid w:val="00DD73F2"/>
    <w:rsid w:val="00DE58E6"/>
    <w:rsid w:val="00DF0019"/>
    <w:rsid w:val="00DF2CC6"/>
    <w:rsid w:val="00DF2DE8"/>
    <w:rsid w:val="00DF6360"/>
    <w:rsid w:val="00DF725D"/>
    <w:rsid w:val="00E00B9C"/>
    <w:rsid w:val="00E02485"/>
    <w:rsid w:val="00E05470"/>
    <w:rsid w:val="00E07A60"/>
    <w:rsid w:val="00E104CC"/>
    <w:rsid w:val="00E15A57"/>
    <w:rsid w:val="00E15C1E"/>
    <w:rsid w:val="00E1683A"/>
    <w:rsid w:val="00E203FC"/>
    <w:rsid w:val="00E22159"/>
    <w:rsid w:val="00E23AFD"/>
    <w:rsid w:val="00E241C5"/>
    <w:rsid w:val="00E25936"/>
    <w:rsid w:val="00E3196F"/>
    <w:rsid w:val="00E40400"/>
    <w:rsid w:val="00E415FE"/>
    <w:rsid w:val="00E41C0B"/>
    <w:rsid w:val="00E42A51"/>
    <w:rsid w:val="00E44F4F"/>
    <w:rsid w:val="00E461F2"/>
    <w:rsid w:val="00E4638B"/>
    <w:rsid w:val="00E478DE"/>
    <w:rsid w:val="00E479D5"/>
    <w:rsid w:val="00E5047E"/>
    <w:rsid w:val="00E525E8"/>
    <w:rsid w:val="00E52CBE"/>
    <w:rsid w:val="00E53F23"/>
    <w:rsid w:val="00E53F46"/>
    <w:rsid w:val="00E545B5"/>
    <w:rsid w:val="00E54696"/>
    <w:rsid w:val="00E57ACF"/>
    <w:rsid w:val="00E60BBB"/>
    <w:rsid w:val="00E617B5"/>
    <w:rsid w:val="00E63DCE"/>
    <w:rsid w:val="00E64062"/>
    <w:rsid w:val="00E6696B"/>
    <w:rsid w:val="00E75F70"/>
    <w:rsid w:val="00E8293C"/>
    <w:rsid w:val="00E8482D"/>
    <w:rsid w:val="00E8603F"/>
    <w:rsid w:val="00E912D6"/>
    <w:rsid w:val="00E91F22"/>
    <w:rsid w:val="00EA0655"/>
    <w:rsid w:val="00EA4FEB"/>
    <w:rsid w:val="00EA7024"/>
    <w:rsid w:val="00EB027E"/>
    <w:rsid w:val="00EB3696"/>
    <w:rsid w:val="00EB4906"/>
    <w:rsid w:val="00EC187E"/>
    <w:rsid w:val="00EC5EB8"/>
    <w:rsid w:val="00EC74DE"/>
    <w:rsid w:val="00ED1A5C"/>
    <w:rsid w:val="00ED2B24"/>
    <w:rsid w:val="00ED4F07"/>
    <w:rsid w:val="00ED61FB"/>
    <w:rsid w:val="00EE1115"/>
    <w:rsid w:val="00EE1CD1"/>
    <w:rsid w:val="00EE3A16"/>
    <w:rsid w:val="00EE64E1"/>
    <w:rsid w:val="00EE6BC4"/>
    <w:rsid w:val="00EE6EFC"/>
    <w:rsid w:val="00EE7162"/>
    <w:rsid w:val="00EF5AA1"/>
    <w:rsid w:val="00EF745C"/>
    <w:rsid w:val="00F01A2A"/>
    <w:rsid w:val="00F0674F"/>
    <w:rsid w:val="00F12216"/>
    <w:rsid w:val="00F1229F"/>
    <w:rsid w:val="00F12E00"/>
    <w:rsid w:val="00F15ACE"/>
    <w:rsid w:val="00F170B8"/>
    <w:rsid w:val="00F26EE3"/>
    <w:rsid w:val="00F32741"/>
    <w:rsid w:val="00F3359A"/>
    <w:rsid w:val="00F3426C"/>
    <w:rsid w:val="00F35DA9"/>
    <w:rsid w:val="00F3715E"/>
    <w:rsid w:val="00F37193"/>
    <w:rsid w:val="00F37DFE"/>
    <w:rsid w:val="00F40013"/>
    <w:rsid w:val="00F41B9A"/>
    <w:rsid w:val="00F5018A"/>
    <w:rsid w:val="00F51E85"/>
    <w:rsid w:val="00F520C7"/>
    <w:rsid w:val="00F56858"/>
    <w:rsid w:val="00F56C13"/>
    <w:rsid w:val="00F57B5A"/>
    <w:rsid w:val="00F61B9E"/>
    <w:rsid w:val="00F7148B"/>
    <w:rsid w:val="00F73F58"/>
    <w:rsid w:val="00F76B24"/>
    <w:rsid w:val="00F824E7"/>
    <w:rsid w:val="00F84AB0"/>
    <w:rsid w:val="00F85124"/>
    <w:rsid w:val="00F86092"/>
    <w:rsid w:val="00F90646"/>
    <w:rsid w:val="00F93541"/>
    <w:rsid w:val="00F9679E"/>
    <w:rsid w:val="00F9750B"/>
    <w:rsid w:val="00FA1C6A"/>
    <w:rsid w:val="00FA4F5E"/>
    <w:rsid w:val="00FB12A2"/>
    <w:rsid w:val="00FB1C76"/>
    <w:rsid w:val="00FC3A04"/>
    <w:rsid w:val="00FC4015"/>
    <w:rsid w:val="00FC4B23"/>
    <w:rsid w:val="00FC7A44"/>
    <w:rsid w:val="00FD0CB6"/>
    <w:rsid w:val="00FD1FC9"/>
    <w:rsid w:val="00FE2146"/>
    <w:rsid w:val="00FE2A77"/>
    <w:rsid w:val="00FE50FE"/>
    <w:rsid w:val="00FF2870"/>
    <w:rsid w:val="00FF5149"/>
    <w:rsid w:val="00FF5B84"/>
    <w:rsid w:val="00FF5B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C0B"/>
    <w:pPr>
      <w:tabs>
        <w:tab w:val="left" w:pos="720"/>
      </w:tabs>
      <w:spacing w:after="0" w:line="480" w:lineRule="atLeast"/>
    </w:pPr>
    <w:rPr>
      <w:rFonts w:ascii="Times New Roman" w:hAnsi="Times New Roman" w:cs="Times New Roman"/>
      <w:kern w:val="0"/>
      <w:sz w:val="26"/>
      <w:szCs w:val="22"/>
      <w14:ligatures w14:val="none"/>
    </w:rPr>
  </w:style>
  <w:style w:type="paragraph" w:styleId="Heading1">
    <w:name w:val="heading 1"/>
    <w:basedOn w:val="Normal"/>
    <w:next w:val="Normal"/>
    <w:link w:val="Heading1Char"/>
    <w:uiPriority w:val="9"/>
    <w:qFormat/>
    <w:rsid w:val="00923C0B"/>
    <w:pPr>
      <w:keepNext/>
      <w:keepLines/>
      <w:tabs>
        <w:tab w:val="clear" w:pos="720"/>
      </w:tab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3C0B"/>
    <w:pPr>
      <w:keepNext/>
      <w:keepLines/>
      <w:tabs>
        <w:tab w:val="clear" w:pos="720"/>
      </w:tab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3C0B"/>
    <w:pPr>
      <w:keepNext/>
      <w:keepLines/>
      <w:tabs>
        <w:tab w:val="clear" w:pos="720"/>
      </w:tab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3C0B"/>
    <w:pPr>
      <w:keepNext/>
      <w:keepLines/>
      <w:tabs>
        <w:tab w:val="clear" w:pos="720"/>
      </w:tab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23C0B"/>
    <w:pPr>
      <w:keepNext/>
      <w:keepLines/>
      <w:tabs>
        <w:tab w:val="clear" w:pos="720"/>
      </w:tab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23C0B"/>
    <w:pPr>
      <w:keepNext/>
      <w:keepLines/>
      <w:tabs>
        <w:tab w:val="clear" w:pos="720"/>
      </w:tab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23C0B"/>
    <w:pPr>
      <w:keepNext/>
      <w:keepLines/>
      <w:tabs>
        <w:tab w:val="clear" w:pos="720"/>
      </w:tab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23C0B"/>
    <w:pPr>
      <w:keepNext/>
      <w:keepLines/>
      <w:tabs>
        <w:tab w:val="clear" w:pos="720"/>
      </w:tab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23C0B"/>
    <w:pPr>
      <w:keepNext/>
      <w:keepLines/>
      <w:tabs>
        <w:tab w:val="clear" w:pos="720"/>
      </w:tab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C0B"/>
    <w:rPr>
      <w:rFonts w:eastAsiaTheme="majorEastAsia" w:cstheme="majorBidi"/>
      <w:color w:val="272727" w:themeColor="text1" w:themeTint="D8"/>
    </w:rPr>
  </w:style>
  <w:style w:type="paragraph" w:styleId="Title">
    <w:name w:val="Title"/>
    <w:basedOn w:val="Normal"/>
    <w:next w:val="Normal"/>
    <w:link w:val="TitleChar"/>
    <w:uiPriority w:val="10"/>
    <w:qFormat/>
    <w:rsid w:val="00923C0B"/>
    <w:pPr>
      <w:tabs>
        <w:tab w:val="clear" w:pos="720"/>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3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C0B"/>
    <w:pPr>
      <w:numPr>
        <w:ilvl w:val="1"/>
      </w:numPr>
      <w:tabs>
        <w:tab w:val="clear" w:pos="720"/>
      </w:tabs>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3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C0B"/>
    <w:pPr>
      <w:tabs>
        <w:tab w:val="clear" w:pos="720"/>
      </w:tabs>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23C0B"/>
    <w:rPr>
      <w:i/>
      <w:iCs/>
      <w:color w:val="404040" w:themeColor="text1" w:themeTint="BF"/>
    </w:rPr>
  </w:style>
  <w:style w:type="paragraph" w:styleId="ListParagraph">
    <w:name w:val="List Paragraph"/>
    <w:basedOn w:val="Normal"/>
    <w:uiPriority w:val="34"/>
    <w:qFormat/>
    <w:rsid w:val="00923C0B"/>
    <w:pPr>
      <w:tabs>
        <w:tab w:val="clear" w:pos="720"/>
      </w:tabs>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23C0B"/>
    <w:rPr>
      <w:i/>
      <w:iCs/>
      <w:color w:val="0F4761" w:themeColor="accent1" w:themeShade="BF"/>
    </w:rPr>
  </w:style>
  <w:style w:type="paragraph" w:styleId="IntenseQuote">
    <w:name w:val="Intense Quote"/>
    <w:basedOn w:val="Normal"/>
    <w:next w:val="Normal"/>
    <w:link w:val="IntenseQuoteChar"/>
    <w:uiPriority w:val="30"/>
    <w:qFormat/>
    <w:rsid w:val="00923C0B"/>
    <w:pPr>
      <w:pBdr>
        <w:top w:val="single" w:sz="4" w:space="10" w:color="0F4761" w:themeColor="accent1" w:themeShade="BF"/>
        <w:bottom w:val="single" w:sz="4" w:space="10" w:color="0F4761" w:themeColor="accent1" w:themeShade="BF"/>
      </w:pBdr>
      <w:tabs>
        <w:tab w:val="clear" w:pos="720"/>
      </w:tabs>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23C0B"/>
    <w:rPr>
      <w:i/>
      <w:iCs/>
      <w:color w:val="0F4761" w:themeColor="accent1" w:themeShade="BF"/>
    </w:rPr>
  </w:style>
  <w:style w:type="character" w:styleId="IntenseReference">
    <w:name w:val="Intense Reference"/>
    <w:basedOn w:val="DefaultParagraphFont"/>
    <w:uiPriority w:val="32"/>
    <w:qFormat/>
    <w:rsid w:val="00923C0B"/>
    <w:rPr>
      <w:b/>
      <w:bCs/>
      <w:smallCaps/>
      <w:color w:val="0F4761" w:themeColor="accent1" w:themeShade="BF"/>
      <w:spacing w:val="5"/>
    </w:rPr>
  </w:style>
  <w:style w:type="paragraph" w:styleId="FootnoteText">
    <w:name w:val="footnote text"/>
    <w:basedOn w:val="Normal"/>
    <w:link w:val="FootnoteTextChar"/>
    <w:uiPriority w:val="99"/>
    <w:unhideWhenUsed/>
    <w:rsid w:val="00D01004"/>
    <w:pPr>
      <w:spacing w:line="240" w:lineRule="auto"/>
    </w:pPr>
    <w:rPr>
      <w:sz w:val="20"/>
      <w:szCs w:val="20"/>
    </w:rPr>
  </w:style>
  <w:style w:type="character" w:customStyle="1" w:styleId="FootnoteTextChar">
    <w:name w:val="Footnote Text Char"/>
    <w:basedOn w:val="DefaultParagraphFont"/>
    <w:link w:val="FootnoteText"/>
    <w:uiPriority w:val="99"/>
    <w:rsid w:val="00D01004"/>
    <w:rPr>
      <w:rFonts w:ascii="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01004"/>
    <w:rPr>
      <w:vertAlign w:val="superscript"/>
    </w:rPr>
  </w:style>
  <w:style w:type="paragraph" w:styleId="Footer">
    <w:name w:val="footer"/>
    <w:basedOn w:val="Normal"/>
    <w:link w:val="FooterChar"/>
    <w:uiPriority w:val="99"/>
    <w:unhideWhenUsed/>
    <w:rsid w:val="0016591D"/>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16591D"/>
    <w:rPr>
      <w:rFonts w:ascii="Times New Roman" w:hAnsi="Times New Roman" w:cs="Times New Roman"/>
      <w:kern w:val="0"/>
      <w:sz w:val="26"/>
      <w:szCs w:val="22"/>
      <w14:ligatures w14:val="none"/>
    </w:rPr>
  </w:style>
  <w:style w:type="character" w:styleId="PageNumber">
    <w:name w:val="page number"/>
    <w:basedOn w:val="DefaultParagraphFont"/>
    <w:uiPriority w:val="99"/>
    <w:semiHidden/>
    <w:unhideWhenUsed/>
    <w:rsid w:val="0016591D"/>
  </w:style>
  <w:style w:type="paragraph" w:styleId="Header">
    <w:name w:val="header"/>
    <w:basedOn w:val="Normal"/>
    <w:link w:val="HeaderChar"/>
    <w:uiPriority w:val="99"/>
    <w:unhideWhenUsed/>
    <w:rsid w:val="0016591D"/>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16591D"/>
    <w:rPr>
      <w:rFonts w:ascii="Times New Roman" w:hAnsi="Times New Roman" w:cs="Times New Roman"/>
      <w:kern w:val="0"/>
      <w:sz w:val="26"/>
      <w:szCs w:val="22"/>
      <w14:ligatures w14:val="none"/>
    </w:rPr>
  </w:style>
  <w:style w:type="character" w:styleId="Emphasis">
    <w:name w:val="Emphasis"/>
    <w:basedOn w:val="DefaultParagraphFont"/>
    <w:uiPriority w:val="20"/>
    <w:qFormat/>
    <w:rsid w:val="00FD1F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E19A-808B-440D-8057-2AB618A1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11451</Words>
  <Characters>65272</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2024-06-24T23:34:04Z</dcterms:created>
  <dcterms:modified xsi:type="dcterms:W3CDTF">2024-06-24T23:34:04Z</dcterms:modified>
</cp:coreProperties>
</file>